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r w:rsidRPr="000E6014">
        <w:rPr>
          <w:rFonts w:ascii="Times New Roman" w:hAnsi="Times New Roman"/>
          <w:b/>
          <w:bCs/>
        </w:rPr>
        <w:t>I PRIEDAS</w:t>
      </w: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jc w:val="center"/>
        <w:rPr>
          <w:rFonts w:ascii="Times New Roman" w:hAnsi="Times New Roman"/>
          <w:b/>
          <w:bCs/>
        </w:rPr>
      </w:pPr>
      <w:r w:rsidRPr="000E6014">
        <w:rPr>
          <w:rFonts w:ascii="Times New Roman" w:hAnsi="Times New Roman"/>
          <w:b/>
          <w:bCs/>
        </w:rPr>
        <w:t>PREPARATO CHARAKTERISTIKŲ SANTRAUKA</w:t>
      </w:r>
    </w:p>
    <w:p w:rsidR="00D052A5" w:rsidRPr="000E6014" w:rsidRDefault="00D052A5" w:rsidP="00D052A5">
      <w:pPr>
        <w:tabs>
          <w:tab w:val="left" w:pos="0"/>
          <w:tab w:val="left" w:pos="567"/>
        </w:tabs>
        <w:spacing w:after="0" w:line="240" w:lineRule="auto"/>
        <w:jc w:val="center"/>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br w:type="page"/>
      </w:r>
      <w:r w:rsidRPr="000E6014">
        <w:rPr>
          <w:rFonts w:ascii="Times New Roman" w:hAnsi="Times New Roman"/>
          <w:b/>
          <w:bCs/>
        </w:rPr>
        <w:lastRenderedPageBreak/>
        <w:t>1.</w:t>
      </w:r>
      <w:r w:rsidRPr="000E6014">
        <w:rPr>
          <w:rFonts w:ascii="Times New Roman" w:hAnsi="Times New Roman"/>
          <w:b/>
          <w:bCs/>
        </w:rPr>
        <w:tab/>
      </w:r>
      <w:r w:rsidRPr="000E6014">
        <w:rPr>
          <w:rFonts w:ascii="Times New Roman" w:hAnsi="Times New Roman"/>
          <w:b/>
          <w:bCs/>
          <w:caps/>
        </w:rPr>
        <w:t>VAISTINIO</w:t>
      </w:r>
      <w:r w:rsidRPr="000E6014">
        <w:rPr>
          <w:rFonts w:ascii="Times New Roman" w:hAnsi="Times New Roman"/>
          <w:b/>
          <w:bCs/>
        </w:rPr>
        <w:t xml:space="preserve"> PREPARATO PAVADINIMAS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strike/>
        </w:rPr>
      </w:pPr>
      <w:r w:rsidRPr="000E6014">
        <w:rPr>
          <w:rFonts w:ascii="Times New Roman" w:hAnsi="Times New Roman"/>
          <w:color w:val="000000"/>
        </w:rPr>
        <w:t>Irinotecan Seacross 20 mg/ml koncentratas infuziniam tirpalui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2.</w:t>
      </w:r>
      <w:r w:rsidRPr="000E6014">
        <w:rPr>
          <w:rFonts w:ascii="Times New Roman" w:hAnsi="Times New Roman"/>
          <w:b/>
          <w:bCs/>
          <w:caps/>
        </w:rPr>
        <w:tab/>
        <w:t>kokybinė ir kiekybinė sudėtis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 ml koncentrato yra 20 mg irinotekano hidrochlorido trihidrato, atitinkančio 17,33 mg/ml irinotekano.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Kiekviename Irinotecan Seacross 2 ml, 5 ml, 15 ml ar 25 ml </w:t>
      </w:r>
      <w:r>
        <w:rPr>
          <w:rFonts w:ascii="Times New Roman" w:hAnsi="Times New Roman"/>
        </w:rPr>
        <w:t xml:space="preserve">flakone </w:t>
      </w:r>
      <w:r w:rsidRPr="000E6014">
        <w:rPr>
          <w:rFonts w:ascii="Times New Roman" w:hAnsi="Times New Roman"/>
        </w:rPr>
        <w:t>yra atitinkamai 40 mg,100 mg, 300 mg ir 500 mg irinotekano hidrochlorido trihidrato.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Pagalbinės medžiagos, kurių poveikis žinomas: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 sorbitolis (E 420) 45 mg/ml ir natris (žr. 4.4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Visos pagalbinės medžiagos išvardytos 6.1 skyriuje.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3.</w:t>
      </w:r>
      <w:r w:rsidRPr="000E6014">
        <w:rPr>
          <w:rFonts w:ascii="Times New Roman" w:hAnsi="Times New Roman"/>
          <w:b/>
          <w:bCs/>
          <w:caps/>
        </w:rPr>
        <w:tab/>
        <w:t>FARMACINĖ forma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Koncentratas infuziniam tirpalui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Koncentratas yra skaidrus, geltonas tirpalas.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pH: 3,0 – 4,0</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4.</w:t>
      </w:r>
      <w:r w:rsidRPr="000E6014">
        <w:rPr>
          <w:rFonts w:ascii="Times New Roman" w:hAnsi="Times New Roman"/>
          <w:b/>
          <w:bCs/>
          <w:caps/>
        </w:rPr>
        <w:tab/>
        <w:t>klinikinĖ informacija</w:t>
      </w:r>
    </w:p>
    <w:p w:rsidR="00D052A5" w:rsidRPr="000E6014" w:rsidRDefault="00D052A5" w:rsidP="00D052A5">
      <w:pPr>
        <w:tabs>
          <w:tab w:val="left" w:pos="0"/>
          <w:tab w:val="left" w:pos="567"/>
        </w:tabs>
        <w:spacing w:after="0" w:line="240" w:lineRule="auto"/>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4.1</w:t>
      </w:r>
      <w:r w:rsidRPr="000E6014">
        <w:rPr>
          <w:rFonts w:ascii="Times New Roman" w:hAnsi="Times New Roman"/>
          <w:b/>
          <w:bCs/>
        </w:rPr>
        <w:tab/>
        <w:t>Terapinės indikacijos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color w:val="000000"/>
        </w:rPr>
        <w:t>Irinotecan Seacross skirtas p</w:t>
      </w:r>
      <w:r w:rsidRPr="000E6014">
        <w:rPr>
          <w:rFonts w:ascii="Times New Roman" w:hAnsi="Times New Roman"/>
        </w:rPr>
        <w:t>rogresavusiam gaubtinės ir tiesiosios žarnos vėžiui gydyti: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w:t>
      </w:r>
      <w:r w:rsidRPr="000E6014">
        <w:rPr>
          <w:rFonts w:ascii="Times New Roman" w:hAnsi="Times New Roman"/>
        </w:rPr>
        <w:tab/>
        <w:t>kartu su 5-fluorouracilu ir folino rūgštimi pacientams, kuriems dėl progresavusio vėžio chemoterapija anksčiau netaikyta;</w:t>
      </w:r>
    </w:p>
    <w:p w:rsidR="00D052A5" w:rsidRPr="000E6014" w:rsidRDefault="00D052A5" w:rsidP="00D052A5">
      <w:pPr>
        <w:tabs>
          <w:tab w:val="left" w:pos="540"/>
        </w:tabs>
        <w:spacing w:after="0"/>
        <w:rPr>
          <w:rFonts w:ascii="Times New Roman" w:hAnsi="Times New Roman"/>
        </w:rPr>
      </w:pPr>
      <w:r w:rsidRPr="000E6014">
        <w:rPr>
          <w:rFonts w:ascii="Times New Roman" w:hAnsi="Times New Roman"/>
        </w:rPr>
        <w:t>-</w:t>
      </w:r>
      <w:r w:rsidRPr="000E6014">
        <w:rPr>
          <w:rFonts w:ascii="Times New Roman" w:hAnsi="Times New Roman"/>
        </w:rPr>
        <w:tab/>
        <w:t>monoterapija pacientams, kuriems gydymas pripažintais preparatais, tarp kurių buvo 5-fluorouracilas, buvo neveiksmingas.</w:t>
      </w:r>
    </w:p>
    <w:p w:rsidR="00D052A5" w:rsidRPr="000E6014" w:rsidRDefault="00D052A5" w:rsidP="00D052A5">
      <w:pPr>
        <w:tabs>
          <w:tab w:val="left" w:pos="540"/>
        </w:tabs>
        <w:spacing w:after="0"/>
        <w:rPr>
          <w:rFonts w:ascii="Times New Roman" w:hAnsi="Times New Roman"/>
        </w:rPr>
      </w:pPr>
    </w:p>
    <w:p w:rsidR="00D052A5" w:rsidRPr="000E6014" w:rsidRDefault="00D052A5" w:rsidP="00D052A5">
      <w:pPr>
        <w:spacing w:after="0"/>
        <w:rPr>
          <w:rFonts w:ascii="Times New Roman" w:hAnsi="Times New Roman"/>
          <w:lang w:eastAsia="lt-LT"/>
        </w:rPr>
      </w:pPr>
      <w:r w:rsidRPr="000E6014">
        <w:rPr>
          <w:rFonts w:ascii="Times New Roman" w:hAnsi="Times New Roman"/>
          <w:lang w:eastAsia="lt-LT"/>
        </w:rPr>
        <w:t xml:space="preserve">Irinotecan Seacross kartu su cetuksimabu skiriamas laukinio tipo </w:t>
      </w:r>
      <w:r w:rsidRPr="000E6014">
        <w:rPr>
          <w:rFonts w:ascii="Times New Roman" w:hAnsi="Times New Roman"/>
        </w:rPr>
        <w:t xml:space="preserve">(nemutavusiam) </w:t>
      </w:r>
      <w:r w:rsidRPr="000E6014">
        <w:rPr>
          <w:rFonts w:ascii="Times New Roman" w:hAnsi="Times New Roman"/>
          <w:lang w:eastAsia="lt-LT"/>
        </w:rPr>
        <w:t xml:space="preserve">KRAS metastazavusiam </w:t>
      </w:r>
      <w:r w:rsidRPr="000E6014">
        <w:rPr>
          <w:rFonts w:ascii="Times New Roman" w:hAnsi="Times New Roman"/>
        </w:rPr>
        <w:t xml:space="preserve">gaubtinės ir tiesiosios žarnos </w:t>
      </w:r>
      <w:r w:rsidRPr="000E6014">
        <w:rPr>
          <w:rFonts w:ascii="Times New Roman" w:hAnsi="Times New Roman"/>
          <w:lang w:eastAsia="lt-LT"/>
        </w:rPr>
        <w:t xml:space="preserve">vėžiui, kuris ekspresuoja epidermio augimo faktoriaus receptorių (EAFR), gydyti pacientams, </w:t>
      </w:r>
      <w:r w:rsidRPr="000E6014">
        <w:rPr>
          <w:rFonts w:ascii="Times New Roman" w:hAnsi="Times New Roman"/>
        </w:rPr>
        <w:t xml:space="preserve">kuriems anksčiau nebuvo gydytas metastazavęs vėžys </w:t>
      </w:r>
      <w:r w:rsidRPr="000E6014">
        <w:rPr>
          <w:rFonts w:ascii="Times New Roman" w:hAnsi="Times New Roman"/>
          <w:lang w:eastAsia="lt-LT"/>
        </w:rPr>
        <w:t xml:space="preserve">arba </w:t>
      </w:r>
      <w:r w:rsidRPr="000E6014">
        <w:rPr>
          <w:rFonts w:ascii="Times New Roman" w:hAnsi="Times New Roman"/>
        </w:rPr>
        <w:t>gydymas citotoksiniais preparatais, įskaitant irinotekaną, buvo neveiksmingas</w:t>
      </w:r>
      <w:r w:rsidRPr="000E6014">
        <w:rPr>
          <w:rFonts w:ascii="Times New Roman" w:hAnsi="Times New Roman"/>
          <w:lang w:eastAsia="lt-LT"/>
        </w:rPr>
        <w:t xml:space="preserve"> (žr. 5.1 skyrių).</w:t>
      </w:r>
    </w:p>
    <w:p w:rsidR="00D052A5" w:rsidRPr="000E6014" w:rsidRDefault="00D052A5" w:rsidP="00D052A5">
      <w:pPr>
        <w:tabs>
          <w:tab w:val="left" w:pos="0"/>
          <w:tab w:val="left" w:pos="567"/>
        </w:tabs>
        <w:spacing w:after="0" w:line="240" w:lineRule="auto"/>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Cs/>
        </w:rPr>
      </w:pPr>
      <w:r w:rsidRPr="000E6014">
        <w:rPr>
          <w:rFonts w:ascii="Times New Roman" w:hAnsi="Times New Roman"/>
          <w:bCs/>
        </w:rPr>
        <w:t>Irinotecan Seacross kartu su 5-fluorouracilu, folino rūgštimi ir bevacizumabu skiriamas pirmaeiliam metastazavusios gaubtinės arba tiesiosios žarnos karcinomos gydymui.</w:t>
      </w:r>
    </w:p>
    <w:p w:rsidR="00D052A5" w:rsidRPr="000E6014" w:rsidRDefault="00D052A5" w:rsidP="00D052A5">
      <w:pPr>
        <w:tabs>
          <w:tab w:val="left" w:pos="0"/>
          <w:tab w:val="left" w:pos="567"/>
        </w:tabs>
        <w:spacing w:after="0" w:line="240" w:lineRule="auto"/>
        <w:rPr>
          <w:rFonts w:ascii="Times New Roman" w:hAnsi="Times New Roman"/>
          <w:bCs/>
        </w:rPr>
      </w:pPr>
    </w:p>
    <w:p w:rsidR="00D052A5" w:rsidRPr="000E6014" w:rsidRDefault="00D052A5" w:rsidP="00D052A5">
      <w:pPr>
        <w:tabs>
          <w:tab w:val="left" w:pos="0"/>
          <w:tab w:val="left" w:pos="567"/>
        </w:tabs>
        <w:spacing w:after="0" w:line="240" w:lineRule="auto"/>
        <w:rPr>
          <w:rFonts w:ascii="Times New Roman" w:hAnsi="Times New Roman"/>
          <w:bCs/>
        </w:rPr>
      </w:pPr>
      <w:r w:rsidRPr="000E6014">
        <w:rPr>
          <w:rFonts w:ascii="Times New Roman" w:hAnsi="Times New Roman"/>
          <w:bCs/>
        </w:rPr>
        <w:t>Irinotecan Seacross su kapecitabinu ir su bevacizumabu arba be jo skiriamas pirmaeiliam metastazavusios gaubtinės ir tiesiosios žarnos karcinomos gydymui.</w:t>
      </w:r>
    </w:p>
    <w:p w:rsidR="00D052A5" w:rsidRPr="000E6014" w:rsidRDefault="00D052A5" w:rsidP="00D052A5">
      <w:pPr>
        <w:tabs>
          <w:tab w:val="left" w:pos="0"/>
          <w:tab w:val="left" w:pos="567"/>
        </w:tabs>
        <w:spacing w:after="0" w:line="240" w:lineRule="auto"/>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4.2</w:t>
      </w:r>
      <w:r w:rsidRPr="000E6014">
        <w:rPr>
          <w:rFonts w:ascii="Times New Roman" w:hAnsi="Times New Roman"/>
          <w:b/>
          <w:bCs/>
        </w:rPr>
        <w:tab/>
        <w:t>Dozavimas ir vartojimo metodas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Preparatu gydomi tik suaugę žmonės. Irinotecan Seacross infuzinis tirpalas lašinamas į periferinę arba centrinę veną.</w:t>
      </w:r>
    </w:p>
    <w:p w:rsidR="00D052A5" w:rsidRPr="000E6014" w:rsidRDefault="00D052A5" w:rsidP="00D052A5">
      <w:pPr>
        <w:tabs>
          <w:tab w:val="left" w:pos="0"/>
          <w:tab w:val="left" w:pos="567"/>
        </w:tabs>
        <w:spacing w:after="0" w:line="240" w:lineRule="auto"/>
        <w:rPr>
          <w:rFonts w:ascii="Times New Roman" w:hAnsi="Times New Roman"/>
          <w:iCs/>
        </w:rPr>
      </w:pPr>
    </w:p>
    <w:p w:rsidR="00D052A5" w:rsidRPr="000E6014" w:rsidRDefault="00D052A5" w:rsidP="00D052A5">
      <w:pPr>
        <w:tabs>
          <w:tab w:val="left" w:pos="0"/>
          <w:tab w:val="left" w:pos="567"/>
        </w:tabs>
        <w:spacing w:after="0" w:line="240" w:lineRule="auto"/>
        <w:rPr>
          <w:rFonts w:ascii="Times New Roman" w:hAnsi="Times New Roman"/>
          <w:iCs/>
        </w:rPr>
      </w:pPr>
      <w:r w:rsidRPr="000E6014">
        <w:rPr>
          <w:rFonts w:ascii="Times New Roman" w:hAnsi="Times New Roman"/>
          <w:noProof/>
          <w:u w:val="single"/>
        </w:rPr>
        <w:t>Vartojimo metodas</w:t>
      </w: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Prieš ruošiant ir skiriant vaistinį preparatą reikia imtis atsargumo priemonių</w:t>
      </w:r>
    </w:p>
    <w:p w:rsidR="00D052A5" w:rsidRPr="000E6014" w:rsidRDefault="00D052A5" w:rsidP="00D052A5">
      <w:pPr>
        <w:tabs>
          <w:tab w:val="left" w:pos="0"/>
          <w:tab w:val="left" w:pos="567"/>
        </w:tabs>
        <w:spacing w:after="0" w:line="240" w:lineRule="auto"/>
        <w:rPr>
          <w:rFonts w:ascii="Times New Roman" w:hAnsi="Times New Roman"/>
          <w:iCs/>
        </w:rPr>
      </w:pPr>
      <w:r w:rsidRPr="000E6014">
        <w:rPr>
          <w:rFonts w:ascii="Times New Roman" w:hAnsi="Times New Roman"/>
          <w:iCs/>
        </w:rPr>
        <w:t>Irinotekanas yra citotoksiškas. 6.6 skyriuje pateikta informacija kaip preparatą skiesti ir apie specialias atsargumo priemones jį tvarkant  ir šalinant.</w:t>
      </w:r>
    </w:p>
    <w:p w:rsidR="00D052A5" w:rsidRPr="000E6014" w:rsidRDefault="00D052A5" w:rsidP="00D052A5">
      <w:pPr>
        <w:tabs>
          <w:tab w:val="left" w:pos="0"/>
          <w:tab w:val="left" w:pos="567"/>
        </w:tabs>
        <w:spacing w:after="0" w:line="240" w:lineRule="auto"/>
        <w:rPr>
          <w:rFonts w:ascii="Times New Roman" w:hAnsi="Times New Roman"/>
          <w:iCs/>
        </w:rPr>
      </w:pPr>
      <w:r w:rsidRPr="000E6014">
        <w:rPr>
          <w:rFonts w:ascii="Times New Roman" w:hAnsi="Times New Roman"/>
          <w:iCs/>
        </w:rPr>
        <w:t>Irinotekano negalima leisti į veną boliusine injekcija ar trumpesne nei 30 minučių ir ilgesne nei 90 minučių infuzija į veną</w:t>
      </w:r>
    </w:p>
    <w:p w:rsidR="00D052A5" w:rsidRPr="000E6014" w:rsidRDefault="00D052A5" w:rsidP="00D052A5">
      <w:pPr>
        <w:tabs>
          <w:tab w:val="left" w:pos="0"/>
          <w:tab w:val="left" w:pos="567"/>
        </w:tabs>
        <w:spacing w:after="0" w:line="240" w:lineRule="auto"/>
        <w:rPr>
          <w:rFonts w:ascii="Times New Roman" w:hAnsi="Times New Roman"/>
          <w:iCs/>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Rekomenduojamas dozavimas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Anksčiau gydytų pacientų monoterapija</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Rekomenduojama irinotekano hidrochlorido trihidrato dozė yra 350 mg/m² kūno paviršiaus. Ji infuzuojama nuo 30 iki 90 min. į veną kas tris savaites (žr. šio skyrius poskyrį „Vartojimo metodas“ ir 4.4 bei 6.6 skyrius).</w:t>
      </w:r>
    </w:p>
    <w:p w:rsidR="00D052A5" w:rsidRPr="000E6014" w:rsidRDefault="00D052A5" w:rsidP="00D052A5">
      <w:pPr>
        <w:tabs>
          <w:tab w:val="left" w:pos="0"/>
          <w:tab w:val="left" w:pos="567"/>
        </w:tabs>
        <w:spacing w:after="0" w:line="240" w:lineRule="auto"/>
        <w:rPr>
          <w:rFonts w:ascii="Times New Roman" w:hAnsi="Times New Roman"/>
          <w:i/>
          <w:u w:val="single"/>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Kompleksinė anksčiau negydytų pacientų terapija</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Gydymo irinotekanu kartu su 5-fluorouracilu (5FU) ir folino rūgštimi (FR) saugumas bei veiksmingumas nustatinėtas gydant tokiu būdu (žr. 5.1 skyrių): kas 2 savaites infuzuota irinotekano, 5FU ir FR.</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Rekomenduojama Irinotecan Seacross dozė – 180 mg/m² kūno paviršiaus. Ji kas 2 savaitės infuzuojama į venąnuo 30 iki 90 min., po to į veną lašinama folino rūgšties ir 5-fluorouracilo.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Kaip dozuoti ir kokiu būdu leisti kartu vartojamą cetuksimabą, reikia peržiūrėti cetuksimabo charakteristikų santrauką.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Paprastai vartojama tokia pati irinotekano dozė, kokia buvo gydyta paskutiniųjų ankstesnio gydymo preparatais, tarp kurių buvo irinotekanas, ciklų metu. Anksčiau negu praėjus valandai po cetuksimabo infuzijos pabaigos, irinotekano leisti negalima. Kaip dozuoti ir kokiu būdu leisti kartu vartojamą </w:t>
      </w:r>
      <w:r w:rsidRPr="000E6014">
        <w:rPr>
          <w:rFonts w:ascii="Times New Roman" w:hAnsi="Times New Roman"/>
          <w:bCs/>
        </w:rPr>
        <w:t>bevacizumabo, reikia skaityti bevacizumabo charakteristikų santraukoje.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Kaip dozuoti ir kokiu būdu leisti kartu vartojamą kapecitabiną, žiūrėkite 5.1 skyrių ir atitinkamą kapecitabino charakteristikų santrauką.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caps/>
          <w:u w:val="single"/>
        </w:rPr>
      </w:pPr>
      <w:r w:rsidRPr="000E6014">
        <w:rPr>
          <w:rFonts w:ascii="Times New Roman" w:hAnsi="Times New Roman"/>
          <w:i/>
          <w:iCs/>
          <w:caps/>
          <w:u w:val="single"/>
        </w:rPr>
        <w:t>D</w:t>
      </w:r>
      <w:r w:rsidRPr="000E6014">
        <w:rPr>
          <w:rFonts w:ascii="Times New Roman" w:hAnsi="Times New Roman"/>
          <w:i/>
          <w:iCs/>
          <w:u w:val="single"/>
        </w:rPr>
        <w:t>ozavimo keitimas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Irinotekaną galima infuzuoti tik tada, kai visi nepageidaujamo poveikio simptomai susilpnėja iki nulinio arba 1-ojo laipsnio pagal NVI BTK (Nacionalinio vėžio instituto bendrus toksiškumo kriterijus) ir kai visiškai praeina gydymo sukeltas viduriavimas.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Prieš kitą infuziją reikia mažinti Irinotecan Seacross ir 5FU (jeigu juo gydoma) dozę, atsižvelgiant į blogiausią nepageidaujamų reiškinių, atsiradusių ankstesnės infuzijos metu, laipsnį. Infuziją reikia atidėti 1–2 savaitėms, kad išnyktų su gydymu susiję nepageidaujami reiškiniai.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Irinotekano hidrochlorido trihidrato ir (arba) 5FU (jeigu juo gydoma) dozę reikia mažinti 15–20</w:t>
      </w:r>
      <w:r w:rsidRPr="000E6014">
        <w:rPr>
          <w:rFonts w:ascii="Times New Roman" w:hAnsi="Times New Roman"/>
        </w:rPr>
        <w:sym w:font="Symbol" w:char="F025"/>
      </w:r>
      <w:r w:rsidRPr="000E6014">
        <w:rPr>
          <w:rFonts w:ascii="Times New Roman" w:hAnsi="Times New Roman"/>
        </w:rPr>
        <w:t xml:space="preserve">, jeigu atsiranda šių nepageidaujamų reiškinių: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 toksinis poveikis kraujodarai (4-ojo laipsnio neutropenija, febrili neutropenija (3-4 laipsnio neutropenija ir 2-4 laipsnio karščiavimas), trombocitopenija ir leukopenija (4-ojo laipsnio);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 toksinis poveikis ne kraujui (3-4 laipsnio).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Su irinotekanu derinamo cetuksimabo dozę reikia keisti taip, kaip rekomenduojama pastarojo preparato charakteristikų santraukoje. Kartu vartojant kapecitabiną, gydant 65 metų ir vyresnius pacientus, pradinę kapecitabino dozę rekomenduojame mažinti iki 800 mg/m</w:t>
      </w:r>
      <w:r w:rsidRPr="000E6014">
        <w:rPr>
          <w:rFonts w:ascii="Times New Roman" w:hAnsi="Times New Roman"/>
          <w:vertAlign w:val="superscript"/>
        </w:rPr>
        <w:t xml:space="preserve">2 </w:t>
      </w:r>
      <w:r w:rsidRPr="000E6014">
        <w:rPr>
          <w:rFonts w:ascii="Times New Roman" w:hAnsi="Times New Roman"/>
        </w:rPr>
        <w:t>kūno paviršiaus ploto du kartus per parą, atsižvelgiant į kapecitabino charakteristikų santrauką. Taip pat skaitykite kombinuoto gydymo dozės keitimo rekomendacijas pateiktas kapecitabino charakteristikų santraukoje.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Gydymo trukmė</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Irinotekanu gydoma tol, kol prasideda objektyvus ligos progresavimas arba atsiranda nepriimtinas toksinis poveikis. </w:t>
      </w:r>
    </w:p>
    <w:p w:rsidR="00D052A5" w:rsidRPr="000E6014" w:rsidRDefault="00D052A5" w:rsidP="00D052A5">
      <w:pPr>
        <w:tabs>
          <w:tab w:val="left" w:pos="0"/>
          <w:tab w:val="left" w:pos="567"/>
        </w:tabs>
        <w:spacing w:after="0" w:line="240" w:lineRule="auto"/>
        <w:rPr>
          <w:rFonts w:ascii="Times New Roman" w:hAnsi="Times New Roman"/>
          <w:i/>
          <w:u w:val="single"/>
        </w:rPr>
      </w:pPr>
    </w:p>
    <w:p w:rsidR="00D052A5" w:rsidRPr="000E6014" w:rsidRDefault="00D052A5" w:rsidP="00D052A5">
      <w:pPr>
        <w:tabs>
          <w:tab w:val="left" w:pos="0"/>
          <w:tab w:val="left" w:pos="567"/>
        </w:tabs>
        <w:spacing w:after="0" w:line="240" w:lineRule="auto"/>
        <w:rPr>
          <w:rFonts w:ascii="Times New Roman" w:hAnsi="Times New Roman"/>
          <w:bCs/>
          <w:i/>
          <w:u w:val="single"/>
        </w:rPr>
      </w:pPr>
      <w:r w:rsidRPr="000E6014">
        <w:rPr>
          <w:rFonts w:ascii="Times New Roman" w:hAnsi="Times New Roman"/>
          <w:bCs/>
          <w:i/>
          <w:u w:val="single"/>
        </w:rPr>
        <w:t>Specialių grupių ligoniai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Pacientai, kurių kepenų funkcija sutrikusi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iCs/>
          <w:u w:val="single"/>
        </w:rPr>
        <w:t>Monoterapija</w:t>
      </w:r>
      <w:r w:rsidRPr="000E6014">
        <w:rPr>
          <w:rFonts w:ascii="Times New Roman" w:hAnsi="Times New Roman"/>
        </w:rPr>
        <w:t xml:space="preserve">. Pacientams, kurių funkcinė būklė pagal PSO yra </w:t>
      </w:r>
      <w:r w:rsidRPr="000E6014">
        <w:rPr>
          <w:rFonts w:ascii="Times New Roman" w:hAnsi="Times New Roman"/>
        </w:rPr>
        <w:sym w:font="Symbol" w:char="F0A3"/>
      </w:r>
      <w:r w:rsidRPr="000E6014">
        <w:rPr>
          <w:rFonts w:ascii="Times New Roman" w:hAnsi="Times New Roman"/>
        </w:rPr>
        <w:t> 2, pradinę Irinotecan Seacross dozę turi lemti bilirubino kiekis kraujyje (ne daugiau kaip 3 kartus didesnis už viršutinę normos ribą). Pacientų, kuriems yra hiperbilirubinemija ir kurių protrombino laikas didesnis nei 50%, organizme irinotekano klirensas yra mažesnis (žr. 5.2 skyrių), vadinasi, jiems yra didesnė toksinio poveikio kraujodarai rizika. Tokiems ligoniams reikia kas savaitę nustatinėti visų kraujo ląstelių kiekį.</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Pacientams, kurių bilirubino kiekis mažiau negu 1,5 karto didesnis už viršutinę normos ribą (VNR), rekomenduojama irinotekano hidrochlorido trihidrato dozė yra 350 mg/m</w:t>
      </w:r>
      <w:r w:rsidRPr="000E6014">
        <w:rPr>
          <w:rFonts w:ascii="Times New Roman" w:hAnsi="Times New Roman"/>
          <w:vertAlign w:val="superscript"/>
        </w:rPr>
        <w:t>2</w:t>
      </w:r>
      <w:r w:rsidRPr="000E6014">
        <w:rPr>
          <w:rFonts w:ascii="Times New Roman" w:hAnsi="Times New Roman"/>
        </w:rPr>
        <w:t xml:space="preserve"> kūno paviršiaus.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Pacientams, kurių bilirubino kiekis yra 1,5–3 kartus didesnis už VNR, rekomenduojama irinotekano hidrochlorido trihidrato dozė yra 200 mg/m</w:t>
      </w:r>
      <w:r w:rsidRPr="000E6014">
        <w:rPr>
          <w:rFonts w:ascii="Times New Roman" w:hAnsi="Times New Roman"/>
          <w:vertAlign w:val="superscript"/>
        </w:rPr>
        <w:t>2</w:t>
      </w:r>
      <w:r w:rsidRPr="000E6014">
        <w:rPr>
          <w:rFonts w:ascii="Times New Roman" w:hAnsi="Times New Roman"/>
        </w:rPr>
        <w:t xml:space="preserve"> kūno paviršiaus.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Pacientų, kurių bilirubino kiekis yra daugiau negu 3 kartus didesnis už VNR, irinotekano hidrochloridu trihidratu gydyti negalima (žr. 4.3 ir 4.4 skyrius).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Apie pacientų, kurių kepenų funkcija sutrikusi, gydymą irinotekanu kartu kitais preparatais, duomenų nėra.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Pacientai, kurių inkstų funkcija sutrikusi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Pacientų, kurių inkstų funkcija sutrikusi, irinotekanu gydyti nerekomenduojama, kadangi preparato poveikis tokiems ligoniams netirtas (žr. 4.4 ir 5.2 skyrius).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Senyvi pacientai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Specifinių farmakokinetikos tyrimų pagyvenusių žmonių organizme neatlikta. Kadangi tokių pacientų kepenų funkcija dažniau būna susilpnėjusi, todėl jiems šio vaistinio preparato dozę reikia nustatyti atsargiai, o gydymo metu atidžiau juos prižiūrėti (žr. 4.4 skyrių).</w:t>
      </w:r>
    </w:p>
    <w:p w:rsidR="00D052A5" w:rsidRPr="000E6014" w:rsidRDefault="00D052A5" w:rsidP="00D052A5">
      <w:pPr>
        <w:tabs>
          <w:tab w:val="left" w:pos="0"/>
          <w:tab w:val="left" w:pos="567"/>
        </w:tabs>
        <w:spacing w:after="0" w:line="240" w:lineRule="auto"/>
        <w:rPr>
          <w:rFonts w:ascii="Times New Roman" w:hAnsi="Times New Roman"/>
          <w:bCs/>
        </w:rPr>
      </w:pPr>
    </w:p>
    <w:p w:rsidR="00D052A5" w:rsidRPr="000E6014" w:rsidRDefault="00D052A5" w:rsidP="00D052A5">
      <w:pPr>
        <w:tabs>
          <w:tab w:val="left" w:pos="0"/>
          <w:tab w:val="left" w:pos="567"/>
        </w:tabs>
        <w:spacing w:after="0" w:line="240" w:lineRule="auto"/>
        <w:rPr>
          <w:rFonts w:ascii="Times New Roman" w:hAnsi="Times New Roman"/>
          <w:i/>
          <w:noProof/>
        </w:rPr>
      </w:pPr>
      <w:r w:rsidRPr="000E6014">
        <w:rPr>
          <w:rFonts w:ascii="Times New Roman" w:hAnsi="Times New Roman"/>
          <w:i/>
          <w:noProof/>
        </w:rPr>
        <w:t>Vaikų populiacija</w:t>
      </w:r>
    </w:p>
    <w:p w:rsidR="00D052A5" w:rsidRPr="000E6014" w:rsidRDefault="00D052A5" w:rsidP="00D052A5">
      <w:pPr>
        <w:tabs>
          <w:tab w:val="left" w:pos="0"/>
          <w:tab w:val="left" w:pos="567"/>
        </w:tabs>
        <w:spacing w:after="0" w:line="240" w:lineRule="auto"/>
        <w:rPr>
          <w:rFonts w:ascii="Times New Roman" w:hAnsi="Times New Roman"/>
          <w:bCs/>
          <w:iCs/>
        </w:rPr>
      </w:pPr>
      <w:r w:rsidRPr="000E6014">
        <w:rPr>
          <w:rFonts w:ascii="Times New Roman" w:hAnsi="Times New Roman"/>
          <w:iCs/>
          <w:noProof/>
        </w:rPr>
        <w:t>Irinotekano negalima vartoti vaikams..</w:t>
      </w:r>
    </w:p>
    <w:p w:rsidR="00D052A5" w:rsidRPr="000E6014" w:rsidRDefault="00D052A5" w:rsidP="00D052A5">
      <w:pPr>
        <w:tabs>
          <w:tab w:val="left" w:pos="0"/>
          <w:tab w:val="left" w:pos="567"/>
        </w:tabs>
        <w:spacing w:after="0" w:line="240" w:lineRule="auto"/>
        <w:rPr>
          <w:rFonts w:ascii="Times New Roman" w:hAnsi="Times New Roman"/>
          <w:bCs/>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4.3</w:t>
      </w:r>
      <w:r w:rsidRPr="000E6014">
        <w:rPr>
          <w:rFonts w:ascii="Times New Roman" w:hAnsi="Times New Roman"/>
          <w:b/>
          <w:bCs/>
        </w:rPr>
        <w:tab/>
        <w:t>Kontraindikacijos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Lėtinė uždegiminė žarnų liga ir (arba) žarnų obstrukcija (žr. 4.4 skyrių).</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lastRenderedPageBreak/>
        <w:t xml:space="preserve">• Anksčiau buvusios sunkios padidėjusio jautrumo reakcijos irinotekano hidrochlorido trihidratui arba bet kuriai pagalbinei Irinotecan Seacross koncentrato infuziniam tirpalui medžiagai.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Žindymo laikotarpis (žr. 4.6ir 4.4skyrius).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Daugiau nei 3 kartus didesnis už viršutinę normos ribą bilirubino kiekis (žr. 4.4 skyrių).</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Sunkus kaulų čiulpų funkcijos nepakankamumas.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Funkcinė būklė pagal PSO &gt; 2.</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Vartojimas kartu su Paprastosios jonažolės preparatais (žr. 4.5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Papildomos cetuksimabo, bevacizumabo ir kapecitabino kontraindikacijos, nurodytos pastarųjų vaistinių preparatų charakteristikų santraukose.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4.4</w:t>
      </w:r>
      <w:r w:rsidRPr="000E6014">
        <w:rPr>
          <w:rFonts w:ascii="Times New Roman" w:hAnsi="Times New Roman"/>
          <w:b/>
          <w:bCs/>
        </w:rPr>
        <w:tab/>
        <w:t>Specialūs įspėjimai ir atsargumo priemonės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Irinotecan Seacross galima infuzuoti tik specializuotose, citotoksinę chemoterapiją taikančiuose, skyriuose, prižiūrint kvalifikuotam priešvėžinės chemoterapijos gydytojui.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Atsižvelgiant į nepageidaujamų reiškinių pobūdį ir dažnį, žemiau nurodytais atvejais Irinotecan Seacross galima gydyti tik nustačius, kad laukiama gydymo nauda bus didesnė už galimą riziką.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Pacientams, turintiems rizikos veiksnių, ypač tiems, kurių funkcinė klasė pagal PSO yra 2.</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Tais retais atvejais, kai manoma, kad pacientas nevykdys nepageidaujamų reiškinių valdymo nurodymų (prasidėjus vėlyvajam viduriavimui, nedelsiant pradėti ir ilgai vartoti preparatų nuo viduriavimo bei vartoti daug skysčių). Tokiems pacientams rekomenduojama griežta priežiūra ligoninėje.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Gydant vien Irinotecan Seacross, jo paprastai infuzuojama kas tris savaites. Vis dėlto pacientams, kuriems būtinas atidesnis stebėjimas arba kuriems yra didelė sunkios neutropenijos pasireiškimo rizika, šio vaistinio preparato gali būti tikslinga infuzuoti kas savaitę (žr. 5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u w:val="single"/>
        </w:rPr>
      </w:pPr>
      <w:r w:rsidRPr="000E6014">
        <w:rPr>
          <w:rFonts w:ascii="Times New Roman" w:hAnsi="Times New Roman"/>
          <w:i/>
          <w:u w:val="single"/>
        </w:rPr>
        <w:t>Vėlyvasis viduriavimas</w:t>
      </w:r>
    </w:p>
    <w:p w:rsidR="00D052A5" w:rsidRPr="000E6014" w:rsidRDefault="00D052A5" w:rsidP="00D052A5">
      <w:pPr>
        <w:tabs>
          <w:tab w:val="left" w:pos="0"/>
          <w:tab w:val="left" w:pos="567"/>
        </w:tabs>
        <w:spacing w:after="0" w:line="240" w:lineRule="auto"/>
        <w:rPr>
          <w:rFonts w:ascii="Times New Roman" w:hAnsi="Times New Roman"/>
          <w:i/>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Pacientą būtina informuoti apie vėlyvojo, t. y. prasidedančio praėjus daugiau kaip 24 val. po irinotekano infuzijos, bet kuriuo metu iki kito gydymo ciklo, viduriavimo galimybę. Taikant monoterapiją, pirmasis tuštinimasis skystomis išmatomis prasidėjo vidutiniškai penktą parą po irinotekano infuzijos. Apie prasidėjusį viduriavimą pacientas turi nedelsdamas informuoti gydytoją ir tuoj pat pradėti jo skirtą gydymą.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Viduriavimo rizika yra didesnė pacientams, kurių pilvo ar mažojo dubens sritis anksčiau buvo švitinta radioaktyviaisiais spinduliais, kuriems prieš pradedant gydyti buvo hiperleukocitozė arba kurių funkcinė klasė pagal PSO yra ≥ 2, bei moterims. Tinkamai negydomas viduriavimas gali būti pavojingas gyvybei, ypač tiems pacientams, kuriems yra ir neutropenija.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Pirmą kartą pasituštinęs skystomis išmatomis pacientas turi nedelsdamas pradėti gerti daug skysčių, kuriuose yra elektrolitų, ir tinkamą gydymą nuo viduriavimo. Vaistinių preparatų nuo viduriavimo bus išrašyta tame skyriuje, kuriame buvo infuzuota irinotekano. Jų pacientas turi įsigyti išvykdamas iš ligoninės, kad viduriavimą galėtų slopinti </w:t>
      </w:r>
      <w:r w:rsidRPr="000E6014">
        <w:rPr>
          <w:rFonts w:ascii="Times New Roman" w:hAnsi="Times New Roman"/>
        </w:rPr>
        <w:lastRenderedPageBreak/>
        <w:t>iškart, kai tik jis prasideda. Be to, apie prasidėjusį viduriavimą pacientas turi informuoti savo arba skyriaus, kuriame irinotekanas buvo infuzuotas, gydytoją.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Šiuo metu rekomenduojama viduriavimą slopinti didelėmis loperamido dozėmis (pradžioje gerti 4 mg, vėliau – po 2 mg kas 2 val.). Toks gydymas, jo nekeičiant, tęsiamas dar 12 val. po paskutinio pasituštinimo skystomis išmatomis. Taip loperamido galima dozuoti ne ilgiau kaip 48 val. iš eilės, kadangi kyla paralyžinio žarnų nepraeinamumo rizika, bet ne trumpiau kaip 12 valandų.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Jeigu viduriavimas susijęs su sunkia neutropenija (neutrofilų yra &lt; 500 ląstelių/mm³), infekcijos profilaktikai reikia kartu su vaistiniais preparatais nuo viduriavimo vartoti plataus veikimo spektro antibiotikų.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Stabdant viduriavimą, be gydymo antibiotikais, pacientą rekomenduojama hospitalizuoti, jeigu: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viduriavimas susijęs su karščiavimu;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viduriavimas sunkus (būtina į veną leisti skysčių);</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pradėjus gydyti didele loperamido doze, viduriavimas trunka ilgiau nei 48 val.</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Viduriavimo profilaktikai loperamido vartoti negalima net tiems pacientams, kuriems ankstesnio gydymo ciklo metu buvo pasireiškęs vėlyvasis viduriavimas.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Pacientams, kuriems buvo pasireiškęs sunkus viduriavimas, kitų gydymo ciklų metu rekomenduojama mažinti irinotekano hidrochlorido trihidrato dozę (žr. 4.2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Kraujas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Gydant irinotekanu, rekomenduojama kas savaitę matuoti kraujo ląstelių kiekį. Pacientą būtina informuoti apie neutropenijos galimybę ir karščiavimo reikšmę. Pasireiškus febriliai neutropenijai (temperatūra &gt; 38°C ir neutrofilų ≤ 1 000 ląstelių/mm³), pacientą reikia nedelsiant guldyti į ligoninę ir gydyti į veną injekuojamais plataus veikimo spektro antibiotikais.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Pacientams, kuriems atsirado sunkių kraujodaros sutrikimų, tolesnių gydymo ciklų metu dozę rekomenduojama mažinti (žr. 4.2 skyrių).</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Ligoniams, kuriems pasireiškė sunkus viduriavimas, yra didesnė infekcijos ir toksinio poveikio kraujodarai rizika. Pacientams, kuriems prasidėjo sunkus viduriavimas, reikia matuoti visų kraujo ląstelių kiekį.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Kepenų funkcijos sutrikimas</w:t>
      </w:r>
    </w:p>
    <w:p w:rsidR="00D052A5" w:rsidRPr="000E6014" w:rsidRDefault="00D052A5" w:rsidP="00D052A5">
      <w:pPr>
        <w:tabs>
          <w:tab w:val="left" w:pos="0"/>
          <w:tab w:val="left" w:pos="567"/>
        </w:tabs>
        <w:spacing w:after="0" w:line="240" w:lineRule="auto"/>
        <w:rPr>
          <w:rFonts w:ascii="Times New Roman" w:hAnsi="Times New Roman"/>
          <w:b/>
          <w:iCs/>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Prieš pradedant gydyti irinotekanu ir prieš kiekvieną jo infuziją reikia ištirti kepenų funkciją.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rPr>
      </w:pPr>
      <w:r w:rsidRPr="000E6014">
        <w:rPr>
          <w:rFonts w:ascii="Times New Roman" w:hAnsi="Times New Roman"/>
          <w:bCs/>
        </w:rPr>
        <w:t>Pacientams, kurių bilirubino kiekis tampa 1,5–3 kartus didesnis už viršutinę normos ribą, organizme irinotekano klirensas yra mažesnis, todėl didėja toksinio poveikio kraujodarai rizika (žr. 5.2 skyrių). Tokiems ligoniams reikia kas savaitė matuoti visų kraujo ląstelių kiekį. Informacijos apie pacientus, kurių bilirubino kiekis daugiau nei 3 kartus didesnis už viršutinę normos ribą žr. 4.3 skyriuje.</w:t>
      </w:r>
    </w:p>
    <w:p w:rsidR="00D052A5" w:rsidRPr="000E6014" w:rsidRDefault="00D052A5" w:rsidP="00D052A5">
      <w:pPr>
        <w:tabs>
          <w:tab w:val="left" w:pos="0"/>
          <w:tab w:val="left" w:pos="567"/>
        </w:tabs>
        <w:spacing w:after="0" w:line="240" w:lineRule="auto"/>
        <w:rPr>
          <w:rFonts w:ascii="Times New Roman" w:hAnsi="Times New Roman"/>
          <w:bCs/>
          <w:i/>
          <w:iCs/>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Pykinimas ir vėmimas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Prieš kiekvieną irinotekano infuziją rekomenduojamas profilaktinis gydymas vėmimą slopinančiais vaistiniais preparatais. Pykinimas ir vėmimas pasitaiko dažnai. Jei vėmimas prasideda kartu su vėlyvuoju viduriavimu, pacientą reikia nedelsiant hospitalizuoti ir gydyti.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Ūminis cholinerginis sindromas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Jei atsiranda ūminis cholinerginis sindromas (ankstyvasis viduriavimas ir įvairūs kiti simptomai, pvz., prakaitavimas, pilvo diegliai, miozė, seilėtekis), reikia po oda švirkšti atropino sulfato (250 mikrogramų), išskyrus tuos atvejus, kai jo vartoti draudžiama dėl klinikinės būklės (žr. 4.8 skyrių). Pacientus, kurie serga astma, reikia gydyti atsargiai. Jei pasireiškia ūminis ar sunkus cholinerginis sindromas, tolesnių irinotekano dozių infuzijos metu rekomenduojamas profilaktinis gydymas atropino sulfatu.</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Kvėpavimo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Intersticinė plaučių liga, pasireiškianti plaučių infiltratais, gydymo irinotekanu metu pasireiškia nedažnai. Intersticinė plaučių liga gali būti mirtina. Rizikos veiksniai, su kuriais gali būti susijęs intersticinės plaučių ligos pasireiškimas, yra toksinį poveikį plaučiams sukeliančių medikamentų vartojimas, radioterapija ir augimo faktorių vartojimas.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Prieš irinotekano infuziją ir po jos reikia atidžiai sekti, ar pacientams, kuriems yra rizikos veiksnių, neatsiranda kvėpavimo sutrikimo simptomų.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Ekstravazacija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Nors nežinoma, kad irinotekanas sukeltų pūlinius, reikia stengtis, kad jį leidžiant neįvyktų ekstravazacija ir reikia stebėti, ar infuzijos vietoje nėra uždegimo požymių. Įvykus ekstravazacijai tą vietą reikia praplauti ir uždėti ant jos ledą.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Senyvi žmonės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Kadangi senyvų  pacientų organų, ypač kepenų, funkcija dažniau būna susilpnėjusi, todėl juos Irinotecan Seacross reikia gydyti atsargiai (žr. 4.2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Pacientai, sergantys lėtine uždegimine žarnų liga / žarnų obstrukcija</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Tokių ligonių irinotekanu gydyti negalima tol, kol žarnų obstrukcija neišnyks (žr. 4.3 skyrių).</w:t>
      </w:r>
    </w:p>
    <w:p w:rsidR="00D052A5" w:rsidRPr="000E6014" w:rsidRDefault="00D052A5" w:rsidP="00D052A5">
      <w:pPr>
        <w:tabs>
          <w:tab w:val="left" w:pos="0"/>
          <w:tab w:val="left" w:pos="567"/>
        </w:tabs>
        <w:spacing w:after="0" w:line="240" w:lineRule="auto"/>
        <w:rPr>
          <w:rFonts w:ascii="Times New Roman" w:hAnsi="Times New Roman"/>
          <w:i/>
          <w:iCs/>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 xml:space="preserve">Pacientai su inkstų funkcijos sutrikimais </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Irinotekano poveikis tokiems pacientams netirtas (žr. 4.2 ir 5.2 skyrius).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Širdies sutrikimai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Po gydymo irinotekanu buvo pastebėti miokardo išemijos atvejai, daugiausia pacientams, sergantiems širdies liga, turintiems kitų žinomų širdies ligų rizikos faktorių ar anksčiau gavusių citotoksinę chemoterapiją (žr. 4.8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Todėl pacientai, turintys rizikos faktorių, turi būti atidžiai stebimi ir turi būti imtasi priemonių pamėginti sumažinti tuos rizikos faktorius, kuriuos galima keisti (pvz., rūkymą, hipertenziją ir hiperlipidemiją).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Imunosupresantų poveikis / padidėjęs imlumas infekcijoms.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Skiriant gyvas ar gyvas susilpnintas vakcinas pacientams, kurių imuninė sistema nusilpusi dėl chemoterapinių preparatų, įskaitant irinotekaną vartojimo, gali sąlygoti sunkių ar mirtinų infekcijų išsivystymą. Pacientų, vartojančių irinotekaną negalima skiepyti gyvomis vakcinomis. Jiems galima skirti negyvas ar inaktyvuotas vakcinas, tačiau atsakas į tas vakcinas gali būti sumažintas.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u w:val="single"/>
        </w:rPr>
      </w:pPr>
      <w:r w:rsidRPr="000E6014">
        <w:rPr>
          <w:rFonts w:ascii="Times New Roman" w:hAnsi="Times New Roman"/>
          <w:i/>
          <w:iCs/>
          <w:u w:val="single"/>
        </w:rPr>
        <w:t>Kitokios būklės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Kadangi šio vaisto sudėtyje yra sorbitolio, jis netinka žmonėms, kuriems yra paveldėtas fruktozės netoleravimas. Pacientams, kurie dėl viduriavimo ir (arba) vėmimo neteko skysčių arba kuriems yra sepsis, nedažnais atvejais pasireiškė inkstų nepakankamumas, hipotenzija ar sepsis.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Gydymo metu ir mažiausiai tris mėnesius po jo būtinos kontracepcijos priemonės (žr. 4.6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Irinotekano vartojant kartu su stipriais citochromo P450 3A4 inhibitoriais (pvz., ketokonazolu) arba induktoriais (pvz., rifampicinu, karbamazepinu, fenobarbitaliu, fenitoinu, Paprastosios jonažolės preparatais), gali kisti irinotekano metabolizmas, todėl taip gydyti reikia vengti (žr. 4.5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4.5</w:t>
      </w:r>
      <w:r w:rsidRPr="000E6014">
        <w:rPr>
          <w:rFonts w:ascii="Times New Roman" w:hAnsi="Times New Roman"/>
          <w:b/>
          <w:bCs/>
        </w:rPr>
        <w:tab/>
        <w:t>Sąveika su kitais vaistiniais preparatais ir kitokia sąveika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Irinotekano sąveikos su nervo ir raumens sinapsių blokatoriais galimybės atmesti negalima. Kadangi irinotekanas slopina acetilcholinesterazės aktyvumą, todėl vaistiniai preparatai, pasižymintys anticholinesteraziniu aktyvumu, gali ilginti suksametonio sukeliamą nervo ir raumens sinapsių blokuojamąjį poveikį ir naikinti nedepoliarizuojančio poveikio miorelaksantų sukeltą nervo ir raumens sinapsių blokadą.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Keli tyrimai parodė, kad kartu vartojami CYP 3A indukuojantys prieštraukuliniai preparatai (pvz., karbamazepinas, fenobarbitalis ar fenitoinas) mažina irinotekano, SN-38  ir SN-38 gliukuronido ekspoziciją ir silpnina farmakodinaminį poveikį. Minėtų prieštraukulinių preparatų poveikį rodė SN-38 ir SN-38 gliukuronido AUC sumažėjimas 50</w:t>
      </w:r>
      <w:r w:rsidRPr="000E6014">
        <w:rPr>
          <w:rFonts w:ascii="Times New Roman" w:hAnsi="Times New Roman"/>
        </w:rPr>
        <w:sym w:font="Symbol" w:char="F025"/>
      </w:r>
      <w:r w:rsidRPr="000E6014">
        <w:rPr>
          <w:rFonts w:ascii="Times New Roman" w:hAnsi="Times New Roman"/>
        </w:rPr>
        <w:t xml:space="preserve"> arba daugiau. Be citochromo P450 3A fermentų indukcijos, irinotekano ir jo metabolitų ekspozicija gali mažėti ir dėl gliukuroninimo bei išsiskyrimo su tulžimi padidėjimo.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Tyrimų rezultatai rodo, kad gydant irinotekanu kartu su ketokonazolu, 87</w:t>
      </w:r>
      <w:r w:rsidRPr="000E6014">
        <w:rPr>
          <w:rFonts w:ascii="Times New Roman" w:hAnsi="Times New Roman"/>
        </w:rPr>
        <w:sym w:font="Symbol" w:char="F025"/>
      </w:r>
      <w:r w:rsidRPr="000E6014">
        <w:rPr>
          <w:rFonts w:ascii="Times New Roman" w:hAnsi="Times New Roman"/>
        </w:rPr>
        <w:t xml:space="preserve"> sumažėja aminopentano rūgšties darinio (angl. APC) plotas po koncentracijos kraujyje priklausomai nuo laiko kreive ir 109</w:t>
      </w:r>
      <w:r w:rsidRPr="000E6014">
        <w:rPr>
          <w:rFonts w:ascii="Times New Roman" w:hAnsi="Times New Roman"/>
        </w:rPr>
        <w:sym w:font="Symbol" w:char="F025"/>
      </w:r>
      <w:r w:rsidRPr="000E6014">
        <w:rPr>
          <w:rFonts w:ascii="Times New Roman" w:hAnsi="Times New Roman"/>
        </w:rPr>
        <w:t xml:space="preserve"> padidėja SN-38 AUC, palyginti su gydymu vien irinotekanu.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Pacientus, irinotekano vartojančius kartu su vaistiniais preparatais, slopinančiais (pvz., ketokonazolu) arba indukuojančiais (pvz., rifampicinu, karbamazepinu, fenobarbitaliu ar fenitoinu) medikamentų metabolizmą, veikiant citochromo P450 3A4 fermentams, reikia gydyti atsargiai. Irinotekano vartojant kartu su šio metabolizmo būdo inhibitoriais arba induktoriais, gali kisti irinotekano metabolizmas, todėl taip gydyti reikia vengti (žr. 4.4 skyrių).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Vieno mažo (n</w:t>
      </w:r>
      <w:r w:rsidRPr="000E6014">
        <w:rPr>
          <w:rFonts w:ascii="Times New Roman" w:hAnsi="Times New Roman"/>
        </w:rPr>
        <w:sym w:font="Symbol" w:char="F03D"/>
      </w:r>
      <w:r w:rsidRPr="000E6014">
        <w:rPr>
          <w:rFonts w:ascii="Times New Roman" w:hAnsi="Times New Roman"/>
        </w:rPr>
        <w:t>5) farmakokinetikos tyrimo metu pacientų, 350 mg/m</w:t>
      </w:r>
      <w:r w:rsidRPr="000E6014">
        <w:rPr>
          <w:rFonts w:ascii="Times New Roman" w:hAnsi="Times New Roman"/>
          <w:vertAlign w:val="superscript"/>
        </w:rPr>
        <w:t>2</w:t>
      </w:r>
      <w:r w:rsidRPr="000E6014">
        <w:rPr>
          <w:rFonts w:ascii="Times New Roman" w:hAnsi="Times New Roman"/>
        </w:rPr>
        <w:t xml:space="preserve"> kūno paviršiaus irinotekano dozę vartojusių kartu su 900 mg Paprastosios jonažolės (</w:t>
      </w:r>
      <w:r w:rsidRPr="000E6014">
        <w:rPr>
          <w:rFonts w:ascii="Times New Roman" w:hAnsi="Times New Roman"/>
          <w:i/>
        </w:rPr>
        <w:t>Hypericum perforatum)</w:t>
      </w:r>
      <w:r w:rsidRPr="000E6014">
        <w:rPr>
          <w:rFonts w:ascii="Times New Roman" w:hAnsi="Times New Roman"/>
        </w:rPr>
        <w:t xml:space="preserve"> doze, kraujo plazmoje aktyvaus irinotekano metabolito SN-38 koncentracija sumažėjo 42</w:t>
      </w:r>
      <w:r w:rsidRPr="000E6014">
        <w:rPr>
          <w:rFonts w:ascii="Times New Roman" w:hAnsi="Times New Roman"/>
        </w:rPr>
        <w:sym w:font="Symbol" w:char="F025"/>
      </w:r>
      <w:r w:rsidRPr="000E6014">
        <w:rPr>
          <w:rFonts w:ascii="Times New Roman" w:hAnsi="Times New Roman"/>
        </w:rPr>
        <w:t>, todėl Paprastosios jonažolės kartu su irinotekanu vartoti negalima (žr. 4.3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5-fluorouracilo ir folino rūgšties derinys kartu vartojamo irinotekano farmakokinetikos nekeitė.</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Atazanaviro sulfatas. Kartu skiriant atazanaviro sulfatą, CYP3A4 ir UGT1A1 inhibitorių, padidėja sisteminė SN-38, aktyvaus irinotekano metabolito, ekspozicija. Gydytojai tai turi turėti omenyje skirdami kartu šiuos vaistus.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Sąveika, bendra visiems citotoksiniams preparatams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Dažnai yra vartojami antikoaguliantai, nes sergant neoplastinėmis ligomis padidėja trombozių pavojus. Jei vartojami vitamino K antagonistai,  reikia dažniau sekti TNS (tarptautinį normalizuotą santykį), nes jų terapinis langas yra siauras, yra žymus kraujo krešamumo kintamumas tarp pacientų ir vieno paciento organizme bei yra tarpusavio sąveikos tarp geriamųjų antikoaguliantų ir priešvėžinių chemoterapinių preparatų galimybė.</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Kartu vartoti negalima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Style w:val="Sraopastraipa"/>
        <w:numPr>
          <w:ilvl w:val="0"/>
          <w:numId w:val="5"/>
        </w:numPr>
        <w:tabs>
          <w:tab w:val="left" w:pos="0"/>
          <w:tab w:val="left" w:pos="567"/>
        </w:tabs>
        <w:spacing w:after="0" w:line="240" w:lineRule="auto"/>
        <w:rPr>
          <w:rFonts w:ascii="Times New Roman" w:hAnsi="Times New Roman"/>
        </w:rPr>
      </w:pPr>
      <w:r w:rsidRPr="000E6014">
        <w:rPr>
          <w:rFonts w:ascii="Times New Roman" w:hAnsi="Times New Roman"/>
        </w:rPr>
        <w:t>Vakcinos nuo geltonosios karštligės: mirtinos generalizuotos reakcijos į vakciną pavojus.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 xml:space="preserve">Kartu vartoti nerekomenduojama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Style w:val="Sraopastraipa"/>
        <w:numPr>
          <w:ilvl w:val="0"/>
          <w:numId w:val="5"/>
        </w:numPr>
        <w:tabs>
          <w:tab w:val="left" w:pos="0"/>
          <w:tab w:val="left" w:pos="567"/>
        </w:tabs>
        <w:spacing w:after="0" w:line="240" w:lineRule="auto"/>
        <w:rPr>
          <w:rFonts w:ascii="Times New Roman" w:hAnsi="Times New Roman"/>
        </w:rPr>
      </w:pPr>
      <w:r w:rsidRPr="000E6014">
        <w:rPr>
          <w:rFonts w:ascii="Times New Roman" w:hAnsi="Times New Roman"/>
        </w:rPr>
        <w:t>Gyvų susilpnintų vakcinų (išskyrus geltonosios karštinės vakciną): sisteminių, galimai mirtinų ligų (infekcijų) pavojus. Šis pavojus padidėja ligoniams, kurių imuninė sistema nuslopinta esamos ligos.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ab/>
        <w:t>Reikia skiepyti inaktyvuota vakcina, jeigu tokia yra (poliomielito)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Style w:val="Sraopastraipa"/>
        <w:numPr>
          <w:ilvl w:val="0"/>
          <w:numId w:val="5"/>
        </w:numPr>
        <w:tabs>
          <w:tab w:val="left" w:pos="0"/>
          <w:tab w:val="left" w:pos="567"/>
        </w:tabs>
        <w:spacing w:after="0" w:line="240" w:lineRule="auto"/>
        <w:rPr>
          <w:rFonts w:ascii="Times New Roman" w:hAnsi="Times New Roman"/>
        </w:rPr>
      </w:pPr>
      <w:r w:rsidRPr="000E6014">
        <w:rPr>
          <w:rFonts w:ascii="Times New Roman" w:hAnsi="Times New Roman"/>
        </w:rPr>
        <w:t>Fenitoino: traukulių paūmėjimas dėl sumažėjusios citotoksinių vaistų poveikyje fenitoino absorbcijos virškinimo trakte ar dėl padidėjusio toksiškumo dėl fenitoino sužadinto metabolizmo kepenyse.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Kartu vartojant reikia atsižvelgti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Style w:val="Sraopastraipa"/>
        <w:numPr>
          <w:ilvl w:val="0"/>
          <w:numId w:val="5"/>
        </w:numPr>
        <w:tabs>
          <w:tab w:val="left" w:pos="0"/>
          <w:tab w:val="left" w:pos="567"/>
        </w:tabs>
        <w:spacing w:after="0" w:line="240" w:lineRule="auto"/>
        <w:rPr>
          <w:rFonts w:ascii="Times New Roman" w:hAnsi="Times New Roman"/>
        </w:rPr>
      </w:pPr>
      <w:r w:rsidRPr="000E6014">
        <w:rPr>
          <w:rFonts w:ascii="Times New Roman" w:hAnsi="Times New Roman"/>
        </w:rPr>
        <w:t>Ciklosporinas, takrolimusas: pernelyg didelis imuninės sistemos slopinimas, yra limfoproliferacijos pavojus.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Kad kartu vartojamas cetuksimabas darytų įtaką irinotekano saugumui ir atvirkščiai, duomenų nėra.</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Vaistų tarpusavio sąveikai įvertinti skirto tyrimo duomenimis bevacizumabas žymiau nepaveikė irinotekano ir jo aktyvaus metabolito SN-38 farmakokinetikos. Tačiau tai neleidžia atmesti toksiškumo padidėjimo dėl jų farmakologinių savybių.</w:t>
      </w:r>
    </w:p>
    <w:p w:rsidR="00D052A5" w:rsidRPr="000E6014" w:rsidRDefault="00D052A5" w:rsidP="00D052A5">
      <w:pPr>
        <w:tabs>
          <w:tab w:val="left" w:pos="0"/>
          <w:tab w:val="left" w:pos="567"/>
        </w:tabs>
        <w:spacing w:after="0" w:line="240" w:lineRule="auto"/>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4.6</w:t>
      </w:r>
      <w:r w:rsidRPr="000E6014">
        <w:rPr>
          <w:rFonts w:ascii="Times New Roman" w:hAnsi="Times New Roman"/>
          <w:b/>
          <w:bCs/>
        </w:rPr>
        <w:tab/>
        <w:t>Vaisingumas, nėštumo ir žindymo laikotarpis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u w:val="single"/>
        </w:rPr>
      </w:pPr>
      <w:r w:rsidRPr="000E6014">
        <w:rPr>
          <w:rFonts w:ascii="Times New Roman" w:hAnsi="Times New Roman"/>
          <w:i/>
          <w:u w:val="single"/>
        </w:rPr>
        <w:t>Nėštumas</w:t>
      </w:r>
    </w:p>
    <w:p w:rsidR="00D052A5" w:rsidRPr="000E6014" w:rsidRDefault="00D052A5" w:rsidP="00D052A5">
      <w:pPr>
        <w:tabs>
          <w:tab w:val="left" w:pos="0"/>
          <w:tab w:val="left" w:pos="567"/>
        </w:tabs>
        <w:spacing w:after="0" w:line="240" w:lineRule="auto"/>
        <w:rPr>
          <w:rFonts w:ascii="Times New Roman" w:hAnsi="Times New Roman"/>
          <w:i/>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Klinikinių duomenų apie irinotekano vartojimą nėštumo metu nėra. Nustatyta, kad gyvūnams irinotekanas sukelia embriotoksinį, fetotoksinį ir teratogeninį poveikį. Todėl, atsižvelgiant į tyrimų su gyvūnais duomenis, nėščioms moterims Irinotecan Seacross vartoti negalima, nebent tai būtų būtina.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u w:val="single"/>
        </w:rPr>
      </w:pPr>
      <w:r w:rsidRPr="000E6014">
        <w:rPr>
          <w:rFonts w:ascii="Times New Roman" w:hAnsi="Times New Roman"/>
          <w:i/>
          <w:u w:val="single"/>
        </w:rPr>
        <w:t>Vaisingo amžiaus moterys</w:t>
      </w:r>
    </w:p>
    <w:p w:rsidR="00D052A5" w:rsidRPr="000E6014" w:rsidRDefault="00D052A5" w:rsidP="00D052A5">
      <w:pPr>
        <w:tabs>
          <w:tab w:val="left" w:pos="0"/>
          <w:tab w:val="left" w:pos="567"/>
        </w:tabs>
        <w:spacing w:after="0" w:line="240" w:lineRule="auto"/>
        <w:rPr>
          <w:rFonts w:ascii="Times New Roman" w:hAnsi="Times New Roman"/>
          <w:i/>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Vaisingo amžiaus moterys ir vyrai turi naudoti veiksmingas kontraceptines priemones gydymo metu ir atitinkamai dar 1 ir 3 mėnesius nutraukus gydymą atitinkamai..</w:t>
      </w:r>
    </w:p>
    <w:p w:rsidR="00D052A5" w:rsidRPr="000E6014" w:rsidRDefault="00D052A5" w:rsidP="00D052A5">
      <w:pPr>
        <w:tabs>
          <w:tab w:val="left" w:pos="0"/>
          <w:tab w:val="left" w:pos="567"/>
        </w:tabs>
        <w:spacing w:after="0" w:line="240" w:lineRule="auto"/>
        <w:rPr>
          <w:rFonts w:ascii="Times New Roman" w:hAnsi="Times New Roman"/>
          <w:u w:val="single"/>
        </w:rPr>
      </w:pPr>
    </w:p>
    <w:p w:rsidR="00D052A5" w:rsidRPr="000E6014" w:rsidRDefault="00D052A5" w:rsidP="00D052A5">
      <w:pPr>
        <w:tabs>
          <w:tab w:val="left" w:pos="0"/>
          <w:tab w:val="left" w:pos="567"/>
        </w:tabs>
        <w:spacing w:after="0" w:line="240" w:lineRule="auto"/>
        <w:rPr>
          <w:rFonts w:ascii="Times New Roman" w:hAnsi="Times New Roman"/>
          <w:i/>
          <w:u w:val="single"/>
        </w:rPr>
      </w:pPr>
      <w:r w:rsidRPr="000E6014">
        <w:rPr>
          <w:rFonts w:ascii="Times New Roman" w:hAnsi="Times New Roman"/>
          <w:i/>
          <w:u w:val="single"/>
        </w:rPr>
        <w:t>Žindymo laikotarpis</w:t>
      </w:r>
    </w:p>
    <w:p w:rsidR="00D052A5" w:rsidRPr="000E6014" w:rsidRDefault="00D052A5" w:rsidP="00D052A5">
      <w:pPr>
        <w:tabs>
          <w:tab w:val="left" w:pos="0"/>
          <w:tab w:val="left" w:pos="567"/>
        </w:tabs>
        <w:spacing w:after="0" w:line="240" w:lineRule="auto"/>
        <w:rPr>
          <w:rFonts w:ascii="Times New Roman" w:hAnsi="Times New Roman"/>
          <w:i/>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Žindymo laikotarpiu pavartoto </w:t>
      </w:r>
      <w:r w:rsidRPr="000E6014">
        <w:rPr>
          <w:rFonts w:ascii="Times New Roman" w:hAnsi="Times New Roman"/>
          <w:vertAlign w:val="superscript"/>
        </w:rPr>
        <w:t>14</w:t>
      </w:r>
      <w:r w:rsidRPr="000E6014">
        <w:rPr>
          <w:rFonts w:ascii="Times New Roman" w:hAnsi="Times New Roman"/>
        </w:rPr>
        <w:t>C irinotekano į žiurkių pieną pateko. Ar irinotekano išsiskiria į moters pieną, nežinoma. Dėl galimų nepageidaujamų reakcijų žindomam kūdikiui, kūdikį maitinant krūtimi, gydymą irinotekanu reikia nutraukti. (žr. 4.3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Vaisingumas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Nėra duomenų apie irinotekano poveikį žmonių vaisingumui. Gyvūnams nustatytas nepageidaujamas poveikis palikuonių vaisingumui.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4.7</w:t>
      </w:r>
      <w:r w:rsidRPr="000E6014">
        <w:rPr>
          <w:rFonts w:ascii="Times New Roman" w:hAnsi="Times New Roman"/>
          <w:b/>
          <w:bCs/>
        </w:rPr>
        <w:tab/>
        <w:t>Poveikis gebėjimui vairuoti ir valdyti mechanizmus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Pacientą būtina perspėti, kad per pirmąsias 24 val. po infuzijos gali svaigti galva ir sutrikti regėjimas, ir patarti nevairuoti ir nevaldyti mechanizmų, jeigu tokių simptomų atsiranda.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4.8</w:t>
      </w:r>
      <w:r w:rsidRPr="000E6014">
        <w:rPr>
          <w:rFonts w:ascii="Times New Roman" w:hAnsi="Times New Roman"/>
          <w:b/>
          <w:bCs/>
        </w:rPr>
        <w:tab/>
        <w:t>Nepageidaujamas poveikis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Nepageidaujamas irinotekano poveikis nurodytas žemiau. Kad kartu vartojami irinotekanas ir cetuksimabas darytų poveikį vienas kito saugumui, įrodymų nėra. Gydymo irinotekano ir cetuksimabo deriniu metu pasireiškęs papildomas nepageidaujamas poveikis buvo būdingas cetuksimabui (pvz., 88</w:t>
      </w:r>
      <w:r w:rsidRPr="000E6014">
        <w:rPr>
          <w:rFonts w:ascii="Times New Roman" w:hAnsi="Times New Roman"/>
        </w:rPr>
        <w:sym w:font="Symbol" w:char="F025"/>
      </w:r>
      <w:r w:rsidRPr="000E6014">
        <w:rPr>
          <w:rFonts w:ascii="Times New Roman" w:hAnsi="Times New Roman"/>
        </w:rPr>
        <w:t xml:space="preserve"> pacientų pasireiškė spuogus primenantis išbėrimas). Informacijos apie nepageidaujamas reakcijas skiriant irinotekaną kartu su cetuksimabu taip pat ieškokite šių preparatų charakteristikų santraukose.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Informacijos apie nepageidaujamas reakcijas gydymo irinotekano ir bevacizumabo deriniu galima rasti bevacizumabo charakteristikų santraukoje.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autoSpaceDE w:val="0"/>
        <w:autoSpaceDN w:val="0"/>
        <w:adjustRightInd w:val="0"/>
        <w:spacing w:after="0" w:line="240" w:lineRule="auto"/>
        <w:rPr>
          <w:rFonts w:ascii="Times New Roman" w:hAnsi="Times New Roman"/>
        </w:rPr>
      </w:pPr>
      <w:r w:rsidRPr="000E6014">
        <w:rPr>
          <w:rFonts w:ascii="Times New Roman" w:hAnsi="Times New Roman"/>
        </w:rPr>
        <w:t xml:space="preserve">Kapecitabino ir irinotekano deriniu gydytų pacientų stebėtos nepageidaujamos vaisto reakcijos, papildomai registruotos tik su kapecitabino monoterapija ar stebėtos didesnio dažnio grupėje, palyginus su kapecitabino monoterapija, yra: </w:t>
      </w:r>
    </w:p>
    <w:p w:rsidR="00D052A5" w:rsidRPr="000E6014" w:rsidRDefault="00D052A5" w:rsidP="00D052A5">
      <w:pPr>
        <w:pStyle w:val="Sraopastraipa"/>
        <w:numPr>
          <w:ilvl w:val="0"/>
          <w:numId w:val="2"/>
        </w:numPr>
        <w:autoSpaceDE w:val="0"/>
        <w:autoSpaceDN w:val="0"/>
        <w:adjustRightInd w:val="0"/>
        <w:spacing w:after="0" w:line="240" w:lineRule="auto"/>
        <w:ind w:left="567" w:hanging="567"/>
        <w:rPr>
          <w:rFonts w:ascii="Times New Roman" w:hAnsi="Times New Roman"/>
        </w:rPr>
      </w:pPr>
      <w:r w:rsidRPr="000E6014">
        <w:rPr>
          <w:rFonts w:ascii="Times New Roman" w:hAnsi="Times New Roman"/>
          <w:b/>
        </w:rPr>
        <w:t>labai dažnos, visų laipsnių nepageidaujamos vaisto reakcijos:</w:t>
      </w:r>
      <w:r w:rsidRPr="000E6014">
        <w:rPr>
          <w:rFonts w:ascii="Times New Roman" w:hAnsi="Times New Roman"/>
        </w:rPr>
        <w:t xml:space="preserve"> trombozė, embolija; </w:t>
      </w:r>
    </w:p>
    <w:p w:rsidR="00D052A5" w:rsidRPr="000E6014" w:rsidRDefault="00D052A5" w:rsidP="00D052A5">
      <w:pPr>
        <w:pStyle w:val="Sraopastraipa"/>
        <w:numPr>
          <w:ilvl w:val="0"/>
          <w:numId w:val="2"/>
        </w:numPr>
        <w:tabs>
          <w:tab w:val="left" w:pos="567"/>
        </w:tabs>
        <w:autoSpaceDE w:val="0"/>
        <w:autoSpaceDN w:val="0"/>
        <w:adjustRightInd w:val="0"/>
        <w:spacing w:after="0" w:line="240" w:lineRule="auto"/>
        <w:ind w:left="0" w:firstLine="0"/>
        <w:rPr>
          <w:rFonts w:ascii="Times New Roman" w:hAnsi="Times New Roman"/>
        </w:rPr>
      </w:pPr>
      <w:r w:rsidRPr="000E6014">
        <w:rPr>
          <w:rFonts w:ascii="Times New Roman" w:hAnsi="Times New Roman"/>
          <w:b/>
        </w:rPr>
        <w:t>dažnos, visų laipsnių nepageidaujamos vaisto reakcijos:</w:t>
      </w:r>
      <w:r w:rsidRPr="000E6014">
        <w:rPr>
          <w:rFonts w:ascii="Times New Roman" w:hAnsi="Times New Roman"/>
        </w:rPr>
        <w:t xml:space="preserve"> padidėjusio jautrumo reakcija, širdies išemija, infarktas;</w:t>
      </w:r>
    </w:p>
    <w:p w:rsidR="00D052A5" w:rsidRPr="000E6014" w:rsidRDefault="00D052A5" w:rsidP="00D052A5">
      <w:pPr>
        <w:pStyle w:val="Sraopastraipa"/>
        <w:numPr>
          <w:ilvl w:val="0"/>
          <w:numId w:val="2"/>
        </w:numPr>
        <w:autoSpaceDE w:val="0"/>
        <w:autoSpaceDN w:val="0"/>
        <w:adjustRightInd w:val="0"/>
        <w:spacing w:after="0" w:line="240" w:lineRule="auto"/>
        <w:ind w:left="567" w:hanging="567"/>
        <w:rPr>
          <w:rFonts w:ascii="Times New Roman" w:hAnsi="Times New Roman"/>
        </w:rPr>
      </w:pPr>
      <w:r w:rsidRPr="000E6014">
        <w:rPr>
          <w:rFonts w:ascii="Times New Roman" w:hAnsi="Times New Roman"/>
          <w:b/>
        </w:rPr>
        <w:t>dažnos 3 ir 4 laipsnio nepageidaujamos vaisto reakcijos:</w:t>
      </w:r>
      <w:r w:rsidRPr="000E6014">
        <w:rPr>
          <w:rFonts w:ascii="Times New Roman" w:hAnsi="Times New Roman"/>
        </w:rPr>
        <w:t xml:space="preserve"> febrili neutropenija.</w:t>
      </w:r>
    </w:p>
    <w:p w:rsidR="00D052A5" w:rsidRPr="000E6014" w:rsidRDefault="00D052A5" w:rsidP="00D052A5">
      <w:pPr>
        <w:autoSpaceDE w:val="0"/>
        <w:autoSpaceDN w:val="0"/>
        <w:adjustRightInd w:val="0"/>
        <w:spacing w:after="0" w:line="240" w:lineRule="auto"/>
        <w:rPr>
          <w:rFonts w:ascii="Times New Roman" w:hAnsi="Times New Roman"/>
        </w:rPr>
      </w:pPr>
      <w:r w:rsidRPr="000E6014">
        <w:rPr>
          <w:rFonts w:ascii="Times New Roman" w:hAnsi="Times New Roman"/>
        </w:rPr>
        <w:t>Visą informaciją apie kapecitabino nepageidaujamas reakcijas galima rasti kapecitabino preparato charakteristikų santraukoje.</w:t>
      </w:r>
    </w:p>
    <w:p w:rsidR="00D052A5" w:rsidRPr="000E6014" w:rsidRDefault="00D052A5" w:rsidP="00D052A5">
      <w:pPr>
        <w:autoSpaceDE w:val="0"/>
        <w:autoSpaceDN w:val="0"/>
        <w:adjustRightInd w:val="0"/>
        <w:spacing w:after="0" w:line="240" w:lineRule="auto"/>
        <w:rPr>
          <w:rFonts w:ascii="Times New Roman" w:hAnsi="Times New Roman"/>
        </w:rPr>
      </w:pPr>
      <w:r w:rsidRPr="000E6014">
        <w:rPr>
          <w:rFonts w:ascii="Times New Roman" w:hAnsi="Times New Roman"/>
        </w:rPr>
        <w:lastRenderedPageBreak/>
        <w:t> </w:t>
      </w:r>
    </w:p>
    <w:p w:rsidR="00D052A5" w:rsidRPr="000E6014" w:rsidRDefault="00D052A5" w:rsidP="00D052A5">
      <w:pPr>
        <w:autoSpaceDE w:val="0"/>
        <w:autoSpaceDN w:val="0"/>
        <w:adjustRightInd w:val="0"/>
        <w:spacing w:after="0" w:line="240" w:lineRule="auto"/>
        <w:rPr>
          <w:rFonts w:ascii="Times New Roman" w:hAnsi="Times New Roman"/>
        </w:rPr>
      </w:pPr>
      <w:r w:rsidRPr="000E6014">
        <w:rPr>
          <w:rFonts w:ascii="Times New Roman" w:hAnsi="Times New Roman"/>
        </w:rPr>
        <w:t>Kapecitabino ir irinotekano su bevacizumabu deriniu gydytų pacientų stebėtos 3 ir 4 laipsnio nepageidaujamos vaisto reakcijos, papildomai registruotos tik su kapecitabino monoterapija ar stebėtos didesnio dažnio grupėje, palyginus su kapecitabino monoterapija, yra:</w:t>
      </w:r>
    </w:p>
    <w:p w:rsidR="00D052A5" w:rsidRPr="000E6014" w:rsidRDefault="00D052A5" w:rsidP="00D052A5">
      <w:pPr>
        <w:pStyle w:val="Sraopastraipa"/>
        <w:numPr>
          <w:ilvl w:val="0"/>
          <w:numId w:val="3"/>
        </w:numPr>
        <w:tabs>
          <w:tab w:val="left" w:pos="567"/>
        </w:tabs>
        <w:autoSpaceDE w:val="0"/>
        <w:autoSpaceDN w:val="0"/>
        <w:adjustRightInd w:val="0"/>
        <w:spacing w:after="0" w:line="240" w:lineRule="auto"/>
        <w:ind w:left="0" w:firstLine="0"/>
        <w:rPr>
          <w:rFonts w:ascii="Times New Roman" w:hAnsi="Times New Roman"/>
        </w:rPr>
      </w:pPr>
      <w:r w:rsidRPr="000E6014">
        <w:rPr>
          <w:rFonts w:ascii="Times New Roman" w:hAnsi="Times New Roman"/>
          <w:b/>
        </w:rPr>
        <w:t xml:space="preserve">dažnos, 3 ir 4 laipsnio nepageidaujamos vaisto reakcijos: </w:t>
      </w:r>
      <w:r w:rsidRPr="000E6014">
        <w:rPr>
          <w:rFonts w:ascii="Times New Roman" w:hAnsi="Times New Roman"/>
        </w:rPr>
        <w:t xml:space="preserve">neutropenija, trombozė, embolija, hipertenzija ir širdies išemija, infarktas. </w:t>
      </w:r>
    </w:p>
    <w:p w:rsidR="00D052A5" w:rsidRPr="000E6014" w:rsidRDefault="00D052A5" w:rsidP="00D052A5">
      <w:pPr>
        <w:autoSpaceDE w:val="0"/>
        <w:autoSpaceDN w:val="0"/>
        <w:adjustRightInd w:val="0"/>
        <w:spacing w:after="0" w:line="240" w:lineRule="auto"/>
        <w:rPr>
          <w:rFonts w:ascii="Times New Roman" w:hAnsi="Times New Roman"/>
        </w:rPr>
      </w:pPr>
      <w:r w:rsidRPr="000E6014">
        <w:rPr>
          <w:rFonts w:ascii="Times New Roman" w:hAnsi="Times New Roman"/>
        </w:rPr>
        <w:t>Visą informaciją apie kapecitabino ir bevacizumabo nepageidaujamas reakcijas galima rasti atitinkamoje kapecitabino ir bevacizumabo preparato charakteristikų santraukoje.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Toliau išvardytos nepageidaujamos reakcijos, kurios manoma yra arba gali būti susijusios su irinotekano poveikiu, buvo pastebėtos 765 pacientams, gydomiems vien rekomenduojama šio preparato doze, t. y. 350 mg/m</w:t>
      </w:r>
      <w:r w:rsidRPr="000E6014">
        <w:rPr>
          <w:rFonts w:ascii="Times New Roman" w:hAnsi="Times New Roman"/>
          <w:vertAlign w:val="superscript"/>
        </w:rPr>
        <w:t>2</w:t>
      </w:r>
      <w:r w:rsidRPr="000E6014">
        <w:rPr>
          <w:rFonts w:ascii="Times New Roman" w:hAnsi="Times New Roman"/>
        </w:rPr>
        <w:t xml:space="preserve"> kūno paviršiaus, bei 145 pacientams, kas dvi savaitės vartojusiems rekomenduojamą irinotekano dozę, t. y. 180 mg/m</w:t>
      </w:r>
      <w:r w:rsidRPr="000E6014">
        <w:rPr>
          <w:rFonts w:ascii="Times New Roman" w:hAnsi="Times New Roman"/>
          <w:vertAlign w:val="superscript"/>
        </w:rPr>
        <w:t>2</w:t>
      </w:r>
      <w:r w:rsidRPr="000E6014">
        <w:rPr>
          <w:rFonts w:ascii="Times New Roman" w:hAnsi="Times New Roman"/>
        </w:rPr>
        <w:t xml:space="preserve"> kūno paviršiaus, kartu su 5FU/FR.</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u w:val="single"/>
        </w:rPr>
      </w:pPr>
      <w:r w:rsidRPr="000E6014">
        <w:rPr>
          <w:rFonts w:ascii="Times New Roman" w:hAnsi="Times New Roman"/>
          <w:u w:val="single"/>
        </w:rPr>
        <w:t>Dažnio apibūdinimai: labai dažni (≥1/10), dažni (nuo≥1/100 iki &lt;1/10), nedažni (nuo≥1/1 000 iki &lt;1/100), reti (nuo ≥1/10 000 iki &lt;1/1 000), labai reti &lt;1/10 000).</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Virškinimo trakto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Vėlyvasis viduriavimas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Viduriavimas, prasidedantis praėjus daugiau negu 24 valandoms po infuzijos, yra toksinis poveikis, dėl kurio reikia riboti irinotekano dozę.</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Monoterapijos metu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dažnai 20% pacientų, kurie laikėsi viduriavimo valdymo rekomendacijų, pasireiškė sunkus viduriavimas. Vertintų gydymo ciklų metu sunkus viduriavimas prasidėjo 14% pacientų. Vidutinis laikotarpis po irinotekano infuzijos iki pirmojo tuštinimosi skystomis išmatomis buvo 5 paros.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Kompleksinės terapijos metu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dažnai 13,1% pacientų, kurie laikėsi viduriavimo valdymo rekomendacijų, pasireiškė sunkus viduriavimas. Vertintų gydymo ciklų metu sunkus viduriavimas prasidėjo 3,9% pacientų.</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Nedažni pseudomembraninio kolito atvejai, vienas atvejis patvirtintas bakteriologiniu tyrimu (nustatyta </w:t>
      </w:r>
      <w:r w:rsidRPr="000E6014">
        <w:rPr>
          <w:rFonts w:ascii="Times New Roman" w:hAnsi="Times New Roman"/>
          <w:i/>
          <w:iCs/>
        </w:rPr>
        <w:t>Clostridium difficile</w:t>
      </w:r>
      <w:r w:rsidRPr="000E6014">
        <w:rPr>
          <w:rFonts w:ascii="Times New Roman" w:hAnsi="Times New Roman"/>
        </w:rPr>
        <w:t>).</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Pykinimas ir vėmimas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i/>
          <w:iCs/>
        </w:rPr>
        <w:t>Monoterapijos metu</w:t>
      </w:r>
      <w:r w:rsidRPr="000E6014">
        <w:rPr>
          <w:rFonts w:ascii="Times New Roman" w:hAnsi="Times New Roman"/>
        </w:rPr>
        <w:t xml:space="preserve">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dažnai pasireiškė pykinimas ir vėmimas, kurie buvo sunkūs maždaug 10% pacientų, gydytų vėmimą slopinančiais vaistiniais preparatais.</w:t>
      </w:r>
    </w:p>
    <w:p w:rsidR="00D052A5" w:rsidRPr="000E6014" w:rsidRDefault="00D052A5" w:rsidP="00D052A5">
      <w:pPr>
        <w:tabs>
          <w:tab w:val="left" w:pos="0"/>
          <w:tab w:val="left" w:pos="567"/>
        </w:tabs>
        <w:spacing w:after="0" w:line="240" w:lineRule="auto"/>
        <w:rPr>
          <w:rFonts w:ascii="Times New Roman" w:hAnsi="Times New Roman"/>
          <w:i/>
          <w:iCs/>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Kompleksinės terapijos metu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Dažnai pasireiškė sunkus pykinimas ir vėmimas, bet rečiau negu monoterapijos metu (atitinkamai 2,1% ir 2,8% pacientų).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Dehidracija</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Dažnai gauta pranešimų apie dehidracijos epizodus, dažniausiai susijusius su viduriavimu ir (arba) vėmimu.</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Nedažnai dėl viduriavimo ir (arba) vėmimo skysčių netekusiems pacientams buvo inkstų nepakankamumo, hipotenzijos arba širdies ir kraujagyslių funkcijos nepakankamumo atvejų.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 xml:space="preserve">Kiti virškinimo trakto reiškiniai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Dažni: nuo irinotekano ir (arba) loperamido priklausomas vidurių užkietėjimas: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monoterapijos metu – mažiau nei 10% pacientų;</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kompleksinės terapijos metu – 3,4% pacientų.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Nedažni žarnų obstrukcijos, žarnų nepraeinamumo ar virškinimo trakto hemoragijos atvejai.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Retai pasireiškė kolitas, įskaitant tiflitą, išeminis arba opinis kolitas. Gauti keli pranešimai apie žarnų perforacijos atvejus. Kitoks silpnas poveikis – tai anoreksija, pilvo skausmas ir mukozitas.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Buvo simptominio ir besimptominio pankreatito atvejų, susijusių su gydymu irinotekanu.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Kraujo ir limfinės sistemos sutrikimai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Dozę ribojantis toksinis poveikis yra neutropenija. Ji būdavo laikina ir nesikaupianti tiek monoterapijos metu, tiek gydant keliais preparatais, vidutinis laikas iki didžiausio neutrofilų kiekio sumažėjimo </w:t>
      </w:r>
      <w:r w:rsidRPr="000E6014">
        <w:rPr>
          <w:rFonts w:ascii="Times New Roman" w:hAnsi="Times New Roman"/>
        </w:rPr>
        <w:sym w:font="Symbol" w:char="F02D"/>
      </w:r>
      <w:r w:rsidRPr="000E6014">
        <w:rPr>
          <w:rFonts w:ascii="Times New Roman" w:hAnsi="Times New Roman"/>
        </w:rPr>
        <w:t xml:space="preserve"> 8 paros.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Monoterapijos metu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dažni: 78,7% pacientų, atsirado neutropenija, 22,6% jų ji buvo sunki (neutrofilų buvo &lt; 500 ląstelių/mm</w:t>
      </w:r>
      <w:r w:rsidRPr="000E6014">
        <w:rPr>
          <w:rFonts w:ascii="Times New Roman" w:hAnsi="Times New Roman"/>
          <w:vertAlign w:val="superscript"/>
        </w:rPr>
        <w:t>3</w:t>
      </w:r>
      <w:r w:rsidRPr="000E6014">
        <w:rPr>
          <w:rFonts w:ascii="Times New Roman" w:hAnsi="Times New Roman"/>
        </w:rPr>
        <w:t>). Vertintų gydymo ciklų metu 18% pacientų neutrofilų buvo mažiau nei 1 000 ląstelių/mm</w:t>
      </w:r>
      <w:r w:rsidRPr="000E6014">
        <w:rPr>
          <w:rFonts w:ascii="Times New Roman" w:hAnsi="Times New Roman"/>
          <w:vertAlign w:val="superscript"/>
        </w:rPr>
        <w:t>3</w:t>
      </w:r>
      <w:r w:rsidRPr="000E6014">
        <w:rPr>
          <w:rFonts w:ascii="Times New Roman" w:hAnsi="Times New Roman"/>
        </w:rPr>
        <w:t>, įskaitant 7,6% atvejų, kai neutrofilų buvo &lt; 500 ląstelių/mm</w:t>
      </w:r>
      <w:r w:rsidRPr="000E6014">
        <w:rPr>
          <w:rFonts w:ascii="Times New Roman" w:hAnsi="Times New Roman"/>
          <w:vertAlign w:val="superscript"/>
        </w:rPr>
        <w:t>3</w:t>
      </w:r>
      <w:r w:rsidRPr="000E6014">
        <w:rPr>
          <w:rFonts w:ascii="Times New Roman" w:hAnsi="Times New Roman"/>
        </w:rPr>
        <w:t xml:space="preserve">. Neutrofilų kiekis paprastai sunormalėjo per 22 paras.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Dažni: 6,2% pacientų (1,7% gydymo ciklų metu) pasireiškė karščiavimas ir kartu sunki neutropenija. Infekcijos epizodų pasitaikė maždaug 10,3% pacientų (2,5% gydymo ciklų metu). Apie 5,3% pacientų (1,1% gydymo ciklų metu) jie buvo susiję su sunkia neutropenija, 2 pacientai dėl jos mirė.</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Maždaug 58,7% pacientų atsirado anemija (8% jų hemoglobino buvo &lt; 8 g/dl, 0,9% </w:t>
      </w:r>
      <w:r w:rsidRPr="000E6014">
        <w:rPr>
          <w:rFonts w:ascii="Times New Roman" w:hAnsi="Times New Roman"/>
        </w:rPr>
        <w:sym w:font="Symbol" w:char="F02D"/>
      </w:r>
      <w:r w:rsidRPr="000E6014">
        <w:rPr>
          <w:rFonts w:ascii="Times New Roman" w:hAnsi="Times New Roman"/>
        </w:rPr>
        <w:t xml:space="preserve"> &lt; 6,5 g/dl).</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Trombocitopenija (</w:t>
      </w:r>
      <w:r w:rsidRPr="000E6014">
        <w:rPr>
          <w:rFonts w:ascii="Times New Roman" w:hAnsi="Times New Roman"/>
        </w:rPr>
        <w:sym w:font="Symbol" w:char="F03C"/>
      </w:r>
      <w:r w:rsidRPr="000E6014">
        <w:rPr>
          <w:rFonts w:ascii="Times New Roman" w:hAnsi="Times New Roman"/>
        </w:rPr>
        <w:t> 100 000 ląstelių/mm</w:t>
      </w:r>
      <w:r w:rsidRPr="000E6014">
        <w:rPr>
          <w:rFonts w:ascii="Times New Roman" w:hAnsi="Times New Roman"/>
          <w:vertAlign w:val="superscript"/>
        </w:rPr>
        <w:t>3</w:t>
      </w:r>
      <w:r w:rsidRPr="000E6014">
        <w:rPr>
          <w:rFonts w:ascii="Times New Roman" w:hAnsi="Times New Roman"/>
        </w:rPr>
        <w:t xml:space="preserve">) pasireiškė 7,4% pacientų (1,8% gydymo ciklų metu), įskaitant 0,9% pacientų (0,2% gydymo ciklų metu), kuriems trombocitų buvo </w:t>
      </w:r>
      <w:r w:rsidRPr="000E6014">
        <w:rPr>
          <w:rFonts w:ascii="Times New Roman" w:hAnsi="Times New Roman"/>
        </w:rPr>
        <w:sym w:font="Symbol" w:char="F0A3"/>
      </w:r>
      <w:r w:rsidRPr="000E6014">
        <w:rPr>
          <w:rFonts w:ascii="Times New Roman" w:hAnsi="Times New Roman"/>
        </w:rPr>
        <w:t> 50 000 ląstelių/mm</w:t>
      </w:r>
      <w:r w:rsidRPr="000E6014">
        <w:rPr>
          <w:rFonts w:ascii="Times New Roman" w:hAnsi="Times New Roman"/>
          <w:vertAlign w:val="superscript"/>
        </w:rPr>
        <w:t>3</w:t>
      </w:r>
      <w:r w:rsidRPr="000E6014">
        <w:rPr>
          <w:rFonts w:ascii="Times New Roman" w:hAnsi="Times New Roman"/>
        </w:rPr>
        <w:t>. Beveik visiems pacientams minėti pokyčiai per 22 paras išnyko.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 xml:space="preserve">Kompleksinės terapijos metu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dažni: 82,5% pacientų atsirado neutropenija, 9,8% jų ji buvo sunki (neutrofilų buvo &lt; 500 ląstelių/mm</w:t>
      </w:r>
      <w:r w:rsidRPr="000E6014">
        <w:rPr>
          <w:rFonts w:ascii="Times New Roman" w:hAnsi="Times New Roman"/>
          <w:vertAlign w:val="superscript"/>
        </w:rPr>
        <w:t>3</w:t>
      </w:r>
      <w:r w:rsidRPr="000E6014">
        <w:rPr>
          <w:rFonts w:ascii="Times New Roman" w:hAnsi="Times New Roman"/>
        </w:rPr>
        <w:t>). Vertintų gydymo ciklų metu 67,3% pacientų neutrofilų kiekis buvo mažesnis nei 1 000 ląstelių/mm</w:t>
      </w:r>
      <w:r w:rsidRPr="000E6014">
        <w:rPr>
          <w:rFonts w:ascii="Times New Roman" w:hAnsi="Times New Roman"/>
          <w:vertAlign w:val="superscript"/>
        </w:rPr>
        <w:t>3</w:t>
      </w:r>
      <w:r w:rsidRPr="000E6014">
        <w:rPr>
          <w:rFonts w:ascii="Times New Roman" w:hAnsi="Times New Roman"/>
        </w:rPr>
        <w:t>, 2,7% jų neutrofilų buvo &lt; 500 ląstelių/mm</w:t>
      </w:r>
      <w:r w:rsidRPr="000E6014">
        <w:rPr>
          <w:rFonts w:ascii="Times New Roman" w:hAnsi="Times New Roman"/>
          <w:vertAlign w:val="superscript"/>
        </w:rPr>
        <w:t>3</w:t>
      </w:r>
      <w:r w:rsidRPr="000E6014">
        <w:rPr>
          <w:rFonts w:ascii="Times New Roman" w:hAnsi="Times New Roman"/>
        </w:rPr>
        <w:t>. Neutrofilų kiekis paprastai sunormalėjo per 7–8 paras.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Dažni: 3,4% pacientų (0,9% gydymo ciklų metu) atsirado karščiavimas, susijęs su sunkia neutropenija.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Infekcijos epizodų pasitaikė maždaug 2% pacientų (0,5% gydymo ciklų metu), kurie maždaug 2,1% pacientų (0,5% gydymo ciklų metu) buvo susiję su sunkia neutropenija, vienas pacientas nuo to mirė.</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97,2% pacientų atsirado anemija (2,1% jų hemoglobino buvo &lt; 80 g/l).</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32,6% pacientų (21,8% gydymo ciklų metu) nustatyta trombocitopenija (&lt; 100 000 ląstelių/mm</w:t>
      </w:r>
      <w:r w:rsidRPr="000E6014">
        <w:rPr>
          <w:rFonts w:ascii="Times New Roman" w:hAnsi="Times New Roman"/>
          <w:vertAlign w:val="superscript"/>
        </w:rPr>
        <w:t>3</w:t>
      </w:r>
      <w:r w:rsidRPr="000E6014">
        <w:rPr>
          <w:rFonts w:ascii="Times New Roman" w:hAnsi="Times New Roman"/>
        </w:rPr>
        <w:t>).</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Sunkios trombocitopenijos (&lt; 50 000 ląstelių/mm</w:t>
      </w:r>
      <w:r w:rsidRPr="000E6014">
        <w:rPr>
          <w:rFonts w:ascii="Times New Roman" w:hAnsi="Times New Roman"/>
          <w:vertAlign w:val="superscript"/>
        </w:rPr>
        <w:t>3</w:t>
      </w:r>
      <w:r w:rsidRPr="000E6014">
        <w:rPr>
          <w:rFonts w:ascii="Times New Roman" w:hAnsi="Times New Roman"/>
        </w:rPr>
        <w:t xml:space="preserve">) atvejų nebuvo.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reti: tik vienam pacientui pasireiškė periferinė trombocitopenija, kuri buvo susijusi su antitrombocitinių antikūnų atsiradimu. Apie šį atvejį pranešta vaistui patekus į rinką.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Infekcijos ir infestacijos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Nedažnai pacientams, kuriems pasireiškė sepsis, buvo inkstų nepakankamumo, hipotenzijos ir širdies bei kraujagyslių nepakankamumo atvejų.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Bendrieji sutrikimai ir vartojimo vietos pažeidimai</w:t>
      </w:r>
    </w:p>
    <w:p w:rsidR="00D052A5" w:rsidRPr="000E6014" w:rsidRDefault="00D052A5" w:rsidP="00D052A5">
      <w:pPr>
        <w:tabs>
          <w:tab w:val="left" w:pos="0"/>
          <w:tab w:val="left" w:pos="567"/>
        </w:tabs>
        <w:spacing w:after="0" w:line="240" w:lineRule="auto"/>
        <w:rPr>
          <w:rFonts w:ascii="Times New Roman" w:hAnsi="Times New Roman"/>
          <w:i/>
          <w:iCs/>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Ūminis cholinerginis sindromas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Sunkus trumpalaikis ūminis cholinerginis sindromas pasireiškė 9% pacientų monoterapijos metu ir 1,4% pacientų kompleksinės terapijos metu. Svarbiausi simptomai, atsirandantys per pirmąsias 24 valandas po irinotekano infuzijos, yra ankstyvasis viduriavimas ir kiti įvairūs simptomai, tokie kaip pilvo skausmas, konjunktyvitas, rinitas, hipotenzija, kraujagyslių išsiplėtimas, prakaitavimas, šalčio krėtimas, negalavimas, galvos svaigimas, regos sutrikimas, miozė, ašarojimas ir seilėtekio padidėjimas. Jie išnyksta pavartojus atropino (žr. 4.4 skyrių).</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Mažiau nei 10% pacientų monoterapijos metu ir 6,2% pacientų kompleksinės terapijos metu atsirado sunki astenija. Priežastinis ryšys su irinotekanu gerai neištirtas.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12% pacientų monoterapijos metu ir 6,2% pacientų kompleksinės terapijos metu pasitaikė karščiavimas, nesusijęs su infekcija ir sunkia neutropenija.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Nedažnai gauti pranešimai apie silpną infuzijos vietos reakciją.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Širdies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Gauti keli pranešimai apie hipertenzijos atvejus, atsiradusius infuzijos metu arba po jos.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Kvėpavimo sistemos krūtinės ląstos ir tarpuplaučio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Gydant irinotekanu nedažnai pasireiškė intersticinė plaučių liga, kuri reiškėsi plaučių infiltratais. Buvo ankstyvojo poveikio, pvz., dusulio, atvejų (žr. 4.4 skyrių).</w:t>
      </w:r>
    </w:p>
    <w:p w:rsidR="00D052A5" w:rsidRPr="000E6014" w:rsidRDefault="00D052A5" w:rsidP="00D052A5">
      <w:pPr>
        <w:tabs>
          <w:tab w:val="left" w:pos="0"/>
          <w:tab w:val="left" w:pos="567"/>
        </w:tabs>
        <w:spacing w:after="0" w:line="240" w:lineRule="auto"/>
        <w:rPr>
          <w:rFonts w:ascii="Times New Roman" w:hAnsi="Times New Roman"/>
          <w:b/>
          <w:i/>
          <w:iCs/>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Odos ir poodinio audinio sutrikimai</w:t>
      </w:r>
    </w:p>
    <w:p w:rsidR="00D052A5" w:rsidRPr="000E6014" w:rsidRDefault="00D052A5" w:rsidP="00D052A5">
      <w:pPr>
        <w:tabs>
          <w:tab w:val="left" w:pos="0"/>
          <w:tab w:val="left" w:pos="567"/>
        </w:tabs>
        <w:spacing w:after="0" w:line="240" w:lineRule="auto"/>
        <w:rPr>
          <w:rFonts w:ascii="Times New Roman" w:hAnsi="Times New Roman"/>
          <w:b/>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Labai dažni: grįžtama alopecija.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Nedažni: lengvos odos reakcijos.</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Imuninės sistemos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Nedažni: silpnos alerginės reakcijos.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Reti: anafilaksinės / anafilaktoidinės reakcijos.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Skeleto, raumenų ir jungiamojo audinio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Reti: ankstyvasis poveikis, pvz., raumenų susitraukimai arba mėšlungis ir parestezija.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Laboratoriniai tyrimai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Dažnai monoterapijos metu pacientų, kuriems nebuvo progresuojančių kepenų metastazių, kraujo serume laikinai truputį ar vidutiniškai padidėjo transaminazių, šarminės fosfatazės arba bilirubino kiekis, atitinkamai 9,2%, 8,1% ir 1,8% pacientų. 7,3% pacientų trumpam šiek tiek ar vidutiniškai padidėjo kreatinino koncentracija kraujo serume. Kompleksinės terapijos metu 1% pacientų pastebėtas praeinantis 3 laipsnio bilirubino kiekio padidėjimas serume.</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dažnai kompleksinės terapijos metu pacientų, kuriems nebuvo progresuojančių kepenų metastazių, kraujo serume trumpam padidėjo (padidėjimas buvo 1-ojo arba 2-ojo laipsnio) ALT, AST, šarminės fosfatazės ar bilirubino kiekis, atitinkamai 15%, 11%, 11% ir 10% pacientų. Trumpalaikis šių rodiklių 3-ojo laipsnio padidėjimas atsirado atitinkamai 0%, 0%, 0% ir 1% pacientų. 4-ojo laipsnio padidėjimo atvejų nebuvo.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Cs/>
        </w:rPr>
      </w:pPr>
      <w:r w:rsidRPr="000E6014">
        <w:rPr>
          <w:rFonts w:ascii="Times New Roman" w:hAnsi="Times New Roman"/>
          <w:iCs/>
        </w:rPr>
        <w:t>Labai reti amilazės ir (arba) lipazės kiekio padidėjimo atvejai.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Reti  hipokalemijos ir hiponatremijos atvejai, dažniausiai dėl viduriavimo ir (arba) vėmimo.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u w:val="single"/>
        </w:rPr>
      </w:pPr>
      <w:r w:rsidRPr="000E6014">
        <w:rPr>
          <w:rFonts w:ascii="Times New Roman" w:hAnsi="Times New Roman"/>
          <w:bCs/>
          <w:i/>
          <w:iCs/>
          <w:u w:val="single"/>
        </w:rPr>
        <w:t>Nervų sistemos sutrikimai</w:t>
      </w:r>
    </w:p>
    <w:p w:rsidR="00D052A5" w:rsidRPr="000E6014" w:rsidRDefault="00D052A5" w:rsidP="00D052A5">
      <w:pPr>
        <w:tabs>
          <w:tab w:val="left" w:pos="0"/>
          <w:tab w:val="left" w:pos="567"/>
        </w:tabs>
        <w:spacing w:after="0" w:line="240" w:lineRule="auto"/>
        <w:rPr>
          <w:rFonts w:ascii="Times New Roman" w:hAnsi="Times New Roman"/>
          <w:i/>
          <w:iCs/>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Labai reti: laikini kalbos sutrikimai, susiję su irinotekano infuzija.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autoSpaceDE w:val="0"/>
        <w:autoSpaceDN w:val="0"/>
        <w:adjustRightInd w:val="0"/>
        <w:jc w:val="both"/>
        <w:rPr>
          <w:rFonts w:ascii="Times New Roman" w:hAnsi="Times New Roman"/>
          <w:u w:val="single"/>
        </w:rPr>
      </w:pPr>
      <w:r w:rsidRPr="000E6014">
        <w:rPr>
          <w:rFonts w:ascii="Times New Roman" w:hAnsi="Times New Roman"/>
          <w:noProof/>
          <w:u w:val="single"/>
        </w:rPr>
        <w:t>Pranešimas apie įtariamas nepageidaujamas reakcijas</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Svarbu pranešti apie įtariamas nepageidaujamas reakcijas po vaistinio preparato registracijos, nes tai leidžia nuolat stebėti vaistinio preparato naudos ir rizikos santykį.</w:t>
      </w:r>
      <w:r w:rsidRPr="000E6014">
        <w:rPr>
          <w:rFonts w:ascii="Times New Roman" w:hAnsi="Times New Roman"/>
        </w:rPr>
        <w:t xml:space="preserve"> </w:t>
      </w:r>
      <w:r w:rsidRPr="000E6014">
        <w:rPr>
          <w:rFonts w:ascii="Times New Roman" w:hAnsi="Times New Roman"/>
          <w:noProof/>
        </w:rPr>
        <w:t>Sveikatos priežiūros specialistai turi pranešti apie bet kokias įtariamas nepageidaujamas reakcijas naudodamiesi:</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VVKT prie LR SAM</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Žirmūnų g. 139A</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 xml:space="preserve">LT  09120, Vilnius </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Tel: 8 800 73568</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Faksas: 8 800 20131</w:t>
      </w:r>
    </w:p>
    <w:p w:rsidR="00D052A5" w:rsidRPr="000E6014" w:rsidRDefault="00D052A5" w:rsidP="00D052A5">
      <w:pPr>
        <w:tabs>
          <w:tab w:val="left" w:pos="0"/>
          <w:tab w:val="left" w:pos="567"/>
        </w:tabs>
        <w:spacing w:after="0" w:line="240" w:lineRule="auto"/>
        <w:rPr>
          <w:rFonts w:ascii="Times New Roman" w:hAnsi="Times New Roman"/>
          <w:noProof/>
        </w:rPr>
      </w:pPr>
      <w:r w:rsidRPr="000E6014">
        <w:rPr>
          <w:rFonts w:ascii="Times New Roman" w:hAnsi="Times New Roman"/>
          <w:noProof/>
        </w:rPr>
        <w:t>El. paštas: NepageidaujamaR@vvkt.lt</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noProof/>
        </w:rPr>
        <w:t xml:space="preserve">Interneto svetainė: www.vvkt.lt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4.9</w:t>
      </w:r>
      <w:r w:rsidRPr="000E6014">
        <w:rPr>
          <w:rFonts w:ascii="Times New Roman" w:hAnsi="Times New Roman"/>
          <w:b/>
          <w:bCs/>
        </w:rPr>
        <w:tab/>
        <w:t>Perdozavimas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Yra pranešimų apie perdozavimą, kai buvo vartojamos maždaug du kartus didesnės nei rekomenduojamos gydomosios dozės, nuo kurių gali ištikti mirtis. Svarbiausios ne</w:t>
      </w:r>
      <w:r w:rsidRPr="000E6014">
        <w:rPr>
          <w:rFonts w:ascii="Times New Roman" w:hAnsi="Times New Roman"/>
        </w:rPr>
        <w:lastRenderedPageBreak/>
        <w:t>pageidaujamos perdozavimo reakcijos buvo sunki neutropenija ir viduriavimas. Irinotekano priešnuodis nežinomas. Reikia taikyti palaikomąjį gydymą, kad dėl viduriavimo neatsirastų dehidracijos, ir gydyti infekcijos sukeltas komplikacijas.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5.</w:t>
      </w:r>
      <w:r w:rsidRPr="000E6014">
        <w:rPr>
          <w:rFonts w:ascii="Times New Roman" w:hAnsi="Times New Roman"/>
          <w:b/>
          <w:bCs/>
          <w:caps/>
        </w:rPr>
        <w:tab/>
      </w:r>
      <w:r w:rsidRPr="000E6014">
        <w:rPr>
          <w:rFonts w:ascii="Times New Roman" w:hAnsi="Times New Roman"/>
          <w:b/>
          <w:bCs/>
        </w:rPr>
        <w:t xml:space="preserve">FARMAKOLOGINĖS </w:t>
      </w:r>
      <w:r w:rsidRPr="000E6014">
        <w:rPr>
          <w:rFonts w:ascii="Times New Roman" w:hAnsi="Times New Roman"/>
          <w:b/>
          <w:bCs/>
          <w:caps/>
        </w:rPr>
        <w:t>savybės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5.1</w:t>
      </w:r>
      <w:r w:rsidRPr="000E6014">
        <w:rPr>
          <w:rFonts w:ascii="Times New Roman" w:hAnsi="Times New Roman"/>
          <w:b/>
          <w:bCs/>
        </w:rPr>
        <w:tab/>
        <w:t>Farmakodinaminės savybės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Farmakoterapinė grupė </w:t>
      </w:r>
      <w:r w:rsidRPr="000E6014">
        <w:rPr>
          <w:rFonts w:ascii="Times New Roman" w:hAnsi="Times New Roman"/>
        </w:rPr>
        <w:sym w:font="Symbol" w:char="F02D"/>
      </w:r>
      <w:r w:rsidRPr="000E6014">
        <w:rPr>
          <w:rFonts w:ascii="Times New Roman" w:hAnsi="Times New Roman"/>
        </w:rPr>
        <w:t xml:space="preserve"> antinavikiniai ir imunomoduliuojantys vaistai, citostatikai, topoizomerazės I inhibitoriai, ATC kodas – L01XX19.</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u w:val="single"/>
        </w:rPr>
      </w:pPr>
      <w:r w:rsidRPr="000E6014">
        <w:rPr>
          <w:rFonts w:ascii="Times New Roman" w:hAnsi="Times New Roman"/>
          <w:bCs/>
          <w:i/>
          <w:u w:val="single"/>
        </w:rPr>
        <w:t>Tyrimų duomenys</w:t>
      </w:r>
    </w:p>
    <w:p w:rsidR="00D052A5" w:rsidRPr="000E6014" w:rsidRDefault="00D052A5" w:rsidP="00D052A5">
      <w:pPr>
        <w:tabs>
          <w:tab w:val="left" w:pos="0"/>
          <w:tab w:val="left" w:pos="567"/>
        </w:tabs>
        <w:spacing w:after="0" w:line="240" w:lineRule="auto"/>
        <w:rPr>
          <w:rFonts w:ascii="Times New Roman" w:hAnsi="Times New Roman"/>
          <w:u w:val="single"/>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Irinotekanas yra pusiau sintetinis kamptotecino darinys. Tai – priešnavikinis preparatas, veikiantis kaip specifinis DNR topoizomerazės I inhibitorius. Daugelyje audinių karboksilesterazė jį metabolizuoja į SN-38, kuris, kaip nustatyta, daug aktyviau negu irinotekanas veikia išgrynintą topoizomerazę I ir yra labiau citotoksiškas kelioms pelių ir žmogaus navikų ląstelių linijoms. Kai irinotekanas ar SN-38 nuslopina DNR topoizomerazės I aktyvumą, pažeidžiama viena DNR spiralės vija, dėl to blokuojama DNR replikacijos šakutė ir sukeliamas citotoksinis poveikis. Paaiškėjo, kad šis citotoksinis poveikis priklauso nuo laiko ir yra specifiškas S-fazei.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i/>
          <w:iCs/>
        </w:rPr>
        <w:t>In vitro</w:t>
      </w:r>
      <w:r w:rsidRPr="000E6014">
        <w:rPr>
          <w:rFonts w:ascii="Times New Roman" w:hAnsi="Times New Roman"/>
        </w:rPr>
        <w:t xml:space="preserve"> glikoproteinas P MDR reikšmingai irinotekano ir SN-38 neatpažįsta, o irinotekanas pasižymi citotoksiniu aktyvumu prieš ląstelių linijas, kurios atsparios doksorubicinui ir vinblastinui.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Be to, </w:t>
      </w:r>
      <w:r w:rsidRPr="000E6014">
        <w:rPr>
          <w:rFonts w:ascii="Times New Roman" w:hAnsi="Times New Roman"/>
          <w:i/>
        </w:rPr>
        <w:t>in vivo</w:t>
      </w:r>
      <w:r w:rsidRPr="000E6014">
        <w:rPr>
          <w:rFonts w:ascii="Times New Roman" w:hAnsi="Times New Roman"/>
        </w:rPr>
        <w:t xml:space="preserve"> irinotekanui būdingas platus prieš navikinis aktyvumas prieš pelių navikų modelius (P03 kasos latakų adenokarcinomą, MA16/C pieno liaukų adenokarcinomą, C38 ir C51 storosios žarnos adenokarcinomas) ir žmogaus ksenotransplantatus (Co-4 storosios žarnos adenokarcinomą, MX-1 krūties adenokarcinomą, ST-15 ir SC-16 skrandžio adenokarcinomas). Irinotekanas aktyviai veikia navikus, kuriems būdinga glikoproteino P MDR ekspresija (vinkristinui ir doksorubicinui atsparias P388 leukemijas).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Be priešnavikinio, kitas svarbiausias farmakologinis irinotekano poveikis yra acetilcholinesterazės aktyvumo slopinimas.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u w:val="single"/>
        </w:rPr>
      </w:pPr>
      <w:r w:rsidRPr="000E6014">
        <w:rPr>
          <w:rFonts w:ascii="Times New Roman" w:hAnsi="Times New Roman"/>
          <w:bCs/>
          <w:i/>
          <w:u w:val="single"/>
        </w:rPr>
        <w:t>Klinikiniai duomenys</w:t>
      </w:r>
    </w:p>
    <w:p w:rsidR="00D052A5" w:rsidRPr="000E6014" w:rsidRDefault="00D052A5" w:rsidP="00D052A5">
      <w:pPr>
        <w:tabs>
          <w:tab w:val="left" w:pos="0"/>
          <w:tab w:val="left" w:pos="567"/>
        </w:tabs>
        <w:spacing w:after="0" w:line="240" w:lineRule="auto"/>
        <w:rPr>
          <w:rFonts w:ascii="Times New Roman" w:hAnsi="Times New Roman"/>
          <w:b/>
        </w:rPr>
      </w:pPr>
    </w:p>
    <w:p w:rsidR="00D052A5" w:rsidRPr="000E6014" w:rsidRDefault="00D052A5" w:rsidP="00D052A5">
      <w:pPr>
        <w:autoSpaceDE w:val="0"/>
        <w:autoSpaceDN w:val="0"/>
        <w:adjustRightInd w:val="0"/>
        <w:spacing w:after="0" w:line="240" w:lineRule="auto"/>
        <w:rPr>
          <w:rFonts w:ascii="Times New Roman" w:hAnsi="Times New Roman"/>
          <w:bCs/>
          <w:u w:val="single"/>
          <w:lang w:eastAsia="en-GB"/>
        </w:rPr>
      </w:pPr>
      <w:r w:rsidRPr="000E6014">
        <w:rPr>
          <w:rFonts w:ascii="Times New Roman" w:hAnsi="Times New Roman"/>
          <w:bCs/>
          <w:u w:val="single"/>
          <w:lang w:eastAsia="en-GB"/>
        </w:rPr>
        <w:t>Metastazavusio gaubtinės ir tiesiosios žarnos vėžio pirmos eilės gydymas deriniu</w:t>
      </w:r>
    </w:p>
    <w:p w:rsidR="00D052A5" w:rsidRPr="000E6014" w:rsidRDefault="00D052A5" w:rsidP="00D052A5">
      <w:pPr>
        <w:autoSpaceDE w:val="0"/>
        <w:autoSpaceDN w:val="0"/>
        <w:adjustRightInd w:val="0"/>
        <w:spacing w:after="0" w:line="240" w:lineRule="auto"/>
        <w:rPr>
          <w:rFonts w:ascii="Times New Roman" w:hAnsi="Times New Roman"/>
          <w:b/>
          <w:lang w:eastAsia="en-GB"/>
        </w:rPr>
      </w:pPr>
    </w:p>
    <w:p w:rsidR="00D052A5" w:rsidRPr="000E6014" w:rsidRDefault="00D052A5" w:rsidP="00D052A5">
      <w:pPr>
        <w:autoSpaceDE w:val="0"/>
        <w:autoSpaceDN w:val="0"/>
        <w:adjustRightInd w:val="0"/>
        <w:spacing w:after="0" w:line="240" w:lineRule="auto"/>
        <w:rPr>
          <w:rFonts w:ascii="Times New Roman" w:hAnsi="Times New Roman"/>
          <w:bCs/>
          <w:i/>
          <w:iCs/>
          <w:lang w:eastAsia="en-GB"/>
        </w:rPr>
      </w:pPr>
      <w:r w:rsidRPr="000E6014">
        <w:rPr>
          <w:rFonts w:ascii="Times New Roman" w:hAnsi="Times New Roman"/>
          <w:bCs/>
          <w:i/>
          <w:iCs/>
          <w:lang w:eastAsia="en-GB"/>
        </w:rPr>
        <w:t xml:space="preserve">Gydymas folino rūgšties ir </w:t>
      </w:r>
      <w:r w:rsidRPr="000E6014">
        <w:rPr>
          <w:rFonts w:ascii="Times New Roman" w:hAnsi="Times New Roman"/>
          <w:bCs/>
          <w:i/>
          <w:iCs/>
        </w:rPr>
        <w:t>5-fluorouracilo deriniu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III fazės tyrime dalyvavo 385 pacientai, sergantys anksčiau negydytu metastaziniu gaubtinės ir tiesiosios žarnų vėžiu, kuriems irinotekano buvo infuzuojama kas 2 savaitės (žr. 4.2 skyrių) arba kas savaitė. Pacientai, kuriems irinotekano buvo infuzuojama kas 2 savaites, buvo gydomi taip: pirmą gydymo ciklo parą buvo lašinama 180 mg/m</w:t>
      </w:r>
      <w:r w:rsidRPr="000E6014">
        <w:rPr>
          <w:rFonts w:ascii="Times New Roman" w:hAnsi="Times New Roman"/>
          <w:vertAlign w:val="superscript"/>
        </w:rPr>
        <w:t>2</w:t>
      </w:r>
      <w:r w:rsidRPr="000E6014">
        <w:rPr>
          <w:rFonts w:ascii="Times New Roman" w:hAnsi="Times New Roman"/>
        </w:rPr>
        <w:t xml:space="preserve"> kūno paviršiaus irinotekano dozė, po jos </w:t>
      </w:r>
      <w:r w:rsidRPr="000E6014">
        <w:rPr>
          <w:rFonts w:ascii="Times New Roman" w:hAnsi="Times New Roman"/>
        </w:rPr>
        <w:sym w:font="Symbol" w:char="F02D"/>
      </w:r>
      <w:r w:rsidRPr="000E6014">
        <w:rPr>
          <w:rFonts w:ascii="Times New Roman" w:hAnsi="Times New Roman"/>
        </w:rPr>
        <w:t xml:space="preserve"> folino rūgštis (200 mg/m</w:t>
      </w:r>
      <w:r w:rsidRPr="000E6014">
        <w:rPr>
          <w:rFonts w:ascii="Times New Roman" w:hAnsi="Times New Roman"/>
          <w:vertAlign w:val="superscript"/>
        </w:rPr>
        <w:t>2</w:t>
      </w:r>
      <w:r w:rsidRPr="000E6014">
        <w:rPr>
          <w:rFonts w:ascii="Times New Roman" w:hAnsi="Times New Roman"/>
        </w:rPr>
        <w:t xml:space="preserve"> kūno paviršiaus per 2 valandas į veną), o po to </w:t>
      </w:r>
      <w:r w:rsidRPr="000E6014">
        <w:rPr>
          <w:rFonts w:ascii="Times New Roman" w:hAnsi="Times New Roman"/>
        </w:rPr>
        <w:sym w:font="Symbol" w:char="F02D"/>
      </w:r>
      <w:r w:rsidRPr="000E6014">
        <w:rPr>
          <w:rFonts w:ascii="Times New Roman" w:hAnsi="Times New Roman"/>
        </w:rPr>
        <w:t xml:space="preserve"> 5-fluorouracilo (iš karto į veną švirkšta 400 mg/m</w:t>
      </w:r>
      <w:r w:rsidRPr="000E6014">
        <w:rPr>
          <w:rFonts w:ascii="Times New Roman" w:hAnsi="Times New Roman"/>
          <w:vertAlign w:val="superscript"/>
        </w:rPr>
        <w:t>2</w:t>
      </w:r>
      <w:r w:rsidRPr="000E6014">
        <w:rPr>
          <w:rFonts w:ascii="Times New Roman" w:hAnsi="Times New Roman"/>
        </w:rPr>
        <w:t xml:space="preserve"> kūno paviršiaus dozė, po to 600 mg/m</w:t>
      </w:r>
      <w:r w:rsidRPr="000E6014">
        <w:rPr>
          <w:rFonts w:ascii="Times New Roman" w:hAnsi="Times New Roman"/>
          <w:vertAlign w:val="superscript"/>
        </w:rPr>
        <w:t>2</w:t>
      </w:r>
      <w:r w:rsidRPr="000E6014">
        <w:rPr>
          <w:rFonts w:ascii="Times New Roman" w:hAnsi="Times New Roman"/>
        </w:rPr>
        <w:t xml:space="preserve"> kūno paviršiaus dozė lašinta į veną per 22 val.). Antrą gydymo ciklo parą folino rūgštis ir 5-fluorouracilas vartoti tokiomis pačiomis dozėmis ir tokiu pačiu metodu. Pacientai, kuriems irinotekano buvo infuzuojama kas savaitė, 6 savaites buvo gydomi taip: pradžioje į veną buvo lašinama </w:t>
      </w:r>
      <w:r w:rsidRPr="000E6014">
        <w:rPr>
          <w:rFonts w:ascii="Times New Roman" w:hAnsi="Times New Roman"/>
        </w:rPr>
        <w:lastRenderedPageBreak/>
        <w:t>80 mg/m</w:t>
      </w:r>
      <w:r w:rsidRPr="000E6014">
        <w:rPr>
          <w:rFonts w:ascii="Times New Roman" w:hAnsi="Times New Roman"/>
          <w:vertAlign w:val="superscript"/>
        </w:rPr>
        <w:t>2</w:t>
      </w:r>
      <w:r w:rsidRPr="000E6014">
        <w:rPr>
          <w:rFonts w:ascii="Times New Roman" w:hAnsi="Times New Roman"/>
        </w:rPr>
        <w:t xml:space="preserve"> kūno paviršiaus irinotekano dozė, po jos </w:t>
      </w:r>
      <w:r w:rsidRPr="000E6014">
        <w:rPr>
          <w:rFonts w:ascii="Times New Roman" w:hAnsi="Times New Roman"/>
        </w:rPr>
        <w:sym w:font="Symbol" w:char="F02D"/>
      </w:r>
      <w:r w:rsidRPr="000E6014">
        <w:rPr>
          <w:rFonts w:ascii="Times New Roman" w:hAnsi="Times New Roman"/>
        </w:rPr>
        <w:t xml:space="preserve"> folino rūgštis (500 mg/m</w:t>
      </w:r>
      <w:r w:rsidRPr="000E6014">
        <w:rPr>
          <w:rFonts w:ascii="Times New Roman" w:hAnsi="Times New Roman"/>
          <w:vertAlign w:val="superscript"/>
        </w:rPr>
        <w:t>2</w:t>
      </w:r>
      <w:r w:rsidRPr="000E6014">
        <w:rPr>
          <w:rFonts w:ascii="Times New Roman" w:hAnsi="Times New Roman"/>
        </w:rPr>
        <w:t xml:space="preserve"> kūno paviršiaus dozė per 2 valandas), o po to </w:t>
      </w:r>
      <w:r w:rsidRPr="000E6014">
        <w:rPr>
          <w:rFonts w:ascii="Times New Roman" w:hAnsi="Times New Roman"/>
        </w:rPr>
        <w:sym w:font="Symbol" w:char="F02D"/>
      </w:r>
      <w:r w:rsidRPr="000E6014">
        <w:rPr>
          <w:rFonts w:ascii="Times New Roman" w:hAnsi="Times New Roman"/>
        </w:rPr>
        <w:t xml:space="preserve"> 5-fluorouracilas (2 300 mg/m</w:t>
      </w:r>
      <w:r w:rsidRPr="000E6014">
        <w:rPr>
          <w:rFonts w:ascii="Times New Roman" w:hAnsi="Times New Roman"/>
          <w:vertAlign w:val="superscript"/>
        </w:rPr>
        <w:t>2</w:t>
      </w:r>
      <w:r w:rsidRPr="000E6014">
        <w:rPr>
          <w:rFonts w:ascii="Times New Roman" w:hAnsi="Times New Roman"/>
        </w:rPr>
        <w:t xml:space="preserve"> kūno paviršiaus dozė per 24 valandas).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Tyrimo, kurio metu taikytas kompleksinis gydymas dviem aukščiau aprašytais būdais, irinotekano veiksmingumas vertintas 198 pacientams.</w:t>
      </w:r>
    </w:p>
    <w:p w:rsidR="00D052A5" w:rsidRPr="000E6014" w:rsidRDefault="00D052A5" w:rsidP="00D052A5">
      <w:pPr>
        <w:tabs>
          <w:tab w:val="left" w:pos="0"/>
          <w:tab w:val="left" w:pos="567"/>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48"/>
        <w:gridCol w:w="1232"/>
        <w:gridCol w:w="24"/>
        <w:gridCol w:w="828"/>
        <w:gridCol w:w="20"/>
        <w:gridCol w:w="1282"/>
        <w:gridCol w:w="22"/>
        <w:gridCol w:w="962"/>
        <w:gridCol w:w="10"/>
        <w:gridCol w:w="1283"/>
        <w:gridCol w:w="21"/>
        <w:gridCol w:w="1128"/>
      </w:tblGrid>
      <w:tr w:rsidR="00D052A5" w:rsidRPr="000E6014" w:rsidTr="001060F1">
        <w:tc>
          <w:tcPr>
            <w:tcW w:w="2423"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br w:type="page"/>
            </w:r>
          </w:p>
        </w:tc>
        <w:tc>
          <w:tcPr>
            <w:tcW w:w="2018" w:type="dxa"/>
            <w:gridSpan w:val="5"/>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Kompleksinė terapija</w:t>
            </w: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(n=198)</w:t>
            </w:r>
          </w:p>
        </w:tc>
        <w:tc>
          <w:tcPr>
            <w:tcW w:w="235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 xml:space="preserve">Preparatų vartota kas savaitę </w:t>
            </w: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(n=50)</w:t>
            </w:r>
          </w:p>
        </w:tc>
        <w:tc>
          <w:tcPr>
            <w:tcW w:w="2364"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 xml:space="preserve">Preparatų vartota kas 2 savaitės </w:t>
            </w: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(n=148)</w:t>
            </w:r>
          </w:p>
        </w:tc>
      </w:tr>
      <w:tr w:rsidR="00D052A5" w:rsidRPr="000E6014" w:rsidTr="001060F1">
        <w:tc>
          <w:tcPr>
            <w:tcW w:w="2423"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p>
        </w:tc>
        <w:tc>
          <w:tcPr>
            <w:tcW w:w="1080"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Irinotekanas  + 5FU ir FR</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5FU ir FR</w:t>
            </w:r>
          </w:p>
        </w:tc>
        <w:tc>
          <w:tcPr>
            <w:tcW w:w="1209"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Irinotekanas + 5FU ir FR</w:t>
            </w:r>
          </w:p>
        </w:tc>
        <w:tc>
          <w:tcPr>
            <w:tcW w:w="1142"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5FU ir FR</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Irinotekanas  + 5FU ir FR</w:t>
            </w:r>
          </w:p>
        </w:tc>
        <w:tc>
          <w:tcPr>
            <w:tcW w:w="1284"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5FU ir FR</w:t>
            </w:r>
          </w:p>
        </w:tc>
      </w:tr>
      <w:tr w:rsidR="00D052A5" w:rsidRPr="000E6014" w:rsidTr="001060F1">
        <w:tc>
          <w:tcPr>
            <w:tcW w:w="2423"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Atsako dažnis (%)</w:t>
            </w:r>
          </w:p>
        </w:tc>
        <w:tc>
          <w:tcPr>
            <w:tcW w:w="1080"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40,8*</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23,1*</w:t>
            </w:r>
          </w:p>
        </w:tc>
        <w:tc>
          <w:tcPr>
            <w:tcW w:w="1209"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51,2*</w:t>
            </w:r>
          </w:p>
        </w:tc>
        <w:tc>
          <w:tcPr>
            <w:tcW w:w="1142"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28,6*</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37,5*</w:t>
            </w:r>
          </w:p>
        </w:tc>
        <w:tc>
          <w:tcPr>
            <w:tcW w:w="1284"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21,6*</w:t>
            </w:r>
          </w:p>
        </w:tc>
      </w:tr>
      <w:tr w:rsidR="00D052A5" w:rsidRPr="000E6014" w:rsidTr="001060F1">
        <w:tc>
          <w:tcPr>
            <w:tcW w:w="2423"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w:t>
            </w:r>
          </w:p>
        </w:tc>
        <w:tc>
          <w:tcPr>
            <w:tcW w:w="2018" w:type="dxa"/>
            <w:gridSpan w:val="5"/>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&lt; 0,001</w:t>
            </w:r>
          </w:p>
        </w:tc>
        <w:tc>
          <w:tcPr>
            <w:tcW w:w="235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0,045</w:t>
            </w:r>
          </w:p>
        </w:tc>
        <w:tc>
          <w:tcPr>
            <w:tcW w:w="2364"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0,005</w:t>
            </w:r>
          </w:p>
        </w:tc>
      </w:tr>
      <w:tr w:rsidR="00D052A5" w:rsidRPr="000E6014" w:rsidTr="001060F1">
        <w:tc>
          <w:tcPr>
            <w:tcW w:w="2463" w:type="dxa"/>
            <w:gridSpan w:val="2"/>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Laiko iki ligos progresavimo vidurkis (mėnesiais)</w:t>
            </w:r>
          </w:p>
        </w:tc>
        <w:tc>
          <w:tcPr>
            <w:tcW w:w="1020" w:type="dxa"/>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6,7</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4,4</w:t>
            </w:r>
          </w:p>
        </w:tc>
        <w:tc>
          <w:tcPr>
            <w:tcW w:w="1213" w:type="dxa"/>
            <w:gridSpan w:val="2"/>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7,2</w:t>
            </w:r>
          </w:p>
        </w:tc>
        <w:tc>
          <w:tcPr>
            <w:tcW w:w="1148" w:type="dxa"/>
            <w:gridSpan w:val="2"/>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6,5</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6,5</w:t>
            </w:r>
          </w:p>
        </w:tc>
        <w:tc>
          <w:tcPr>
            <w:tcW w:w="1294" w:type="dxa"/>
            <w:gridSpan w:val="2"/>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3,7</w:t>
            </w:r>
          </w:p>
        </w:tc>
      </w:tr>
      <w:tr w:rsidR="00D052A5" w:rsidRPr="000E6014" w:rsidTr="001060F1">
        <w:tc>
          <w:tcPr>
            <w:tcW w:w="2463" w:type="dxa"/>
            <w:gridSpan w:val="2"/>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w:t>
            </w:r>
          </w:p>
        </w:tc>
        <w:tc>
          <w:tcPr>
            <w:tcW w:w="1958"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&lt; 0,001</w:t>
            </w:r>
          </w:p>
        </w:tc>
        <w:tc>
          <w:tcPr>
            <w:tcW w:w="236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NS</w:t>
            </w:r>
          </w:p>
        </w:tc>
        <w:tc>
          <w:tcPr>
            <w:tcW w:w="2374"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0,001</w:t>
            </w:r>
          </w:p>
        </w:tc>
      </w:tr>
      <w:tr w:rsidR="00D052A5" w:rsidRPr="000E6014" w:rsidTr="001060F1">
        <w:tc>
          <w:tcPr>
            <w:tcW w:w="2463" w:type="dxa"/>
            <w:gridSpan w:val="2"/>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Vidutinė atsako trukmė (mėnesiais)</w:t>
            </w:r>
          </w:p>
        </w:tc>
        <w:tc>
          <w:tcPr>
            <w:tcW w:w="1020"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9,3</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8,8</w:t>
            </w:r>
          </w:p>
        </w:tc>
        <w:tc>
          <w:tcPr>
            <w:tcW w:w="1213"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8,9</w:t>
            </w:r>
          </w:p>
        </w:tc>
        <w:tc>
          <w:tcPr>
            <w:tcW w:w="114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6,7</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9,3</w:t>
            </w:r>
          </w:p>
        </w:tc>
        <w:tc>
          <w:tcPr>
            <w:tcW w:w="1294"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9,5</w:t>
            </w:r>
          </w:p>
        </w:tc>
      </w:tr>
      <w:tr w:rsidR="00D052A5" w:rsidRPr="000E6014" w:rsidTr="001060F1">
        <w:tc>
          <w:tcPr>
            <w:tcW w:w="2463" w:type="dxa"/>
            <w:gridSpan w:val="2"/>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w:t>
            </w:r>
          </w:p>
        </w:tc>
        <w:tc>
          <w:tcPr>
            <w:tcW w:w="1958"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NS</w:t>
            </w:r>
          </w:p>
        </w:tc>
        <w:tc>
          <w:tcPr>
            <w:tcW w:w="236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p=0,043</w:t>
            </w:r>
          </w:p>
        </w:tc>
        <w:tc>
          <w:tcPr>
            <w:tcW w:w="2374"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NS</w:t>
            </w:r>
          </w:p>
        </w:tc>
      </w:tr>
      <w:tr w:rsidR="00D052A5" w:rsidRPr="000E6014" w:rsidTr="001060F1">
        <w:tc>
          <w:tcPr>
            <w:tcW w:w="2463" w:type="dxa"/>
            <w:gridSpan w:val="2"/>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Vidutinė atsako ir stabilizacijos trukmė (mėnesiais)</w:t>
            </w:r>
          </w:p>
        </w:tc>
        <w:tc>
          <w:tcPr>
            <w:tcW w:w="1020"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8,6</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6,2</w:t>
            </w:r>
          </w:p>
        </w:tc>
        <w:tc>
          <w:tcPr>
            <w:tcW w:w="1213"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8,3</w:t>
            </w:r>
          </w:p>
        </w:tc>
        <w:tc>
          <w:tcPr>
            <w:tcW w:w="114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6,7</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8,5</w:t>
            </w:r>
          </w:p>
        </w:tc>
        <w:tc>
          <w:tcPr>
            <w:tcW w:w="1294"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5,6</w:t>
            </w:r>
          </w:p>
        </w:tc>
      </w:tr>
      <w:tr w:rsidR="00D052A5" w:rsidRPr="000E6014" w:rsidTr="001060F1">
        <w:tc>
          <w:tcPr>
            <w:tcW w:w="2463" w:type="dxa"/>
            <w:gridSpan w:val="2"/>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w:t>
            </w:r>
          </w:p>
        </w:tc>
        <w:tc>
          <w:tcPr>
            <w:tcW w:w="1958"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&lt; 0,001</w:t>
            </w:r>
          </w:p>
        </w:tc>
        <w:tc>
          <w:tcPr>
            <w:tcW w:w="236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NS</w:t>
            </w:r>
          </w:p>
        </w:tc>
        <w:tc>
          <w:tcPr>
            <w:tcW w:w="2374"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0,003</w:t>
            </w:r>
          </w:p>
        </w:tc>
      </w:tr>
      <w:tr w:rsidR="00D052A5" w:rsidRPr="000E6014" w:rsidTr="001060F1">
        <w:tc>
          <w:tcPr>
            <w:tcW w:w="2463" w:type="dxa"/>
            <w:gridSpan w:val="2"/>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Laiko, per kurį gydymas tampa neveiksmingas, vidurkis (mėnesiais)</w:t>
            </w:r>
          </w:p>
        </w:tc>
        <w:tc>
          <w:tcPr>
            <w:tcW w:w="1020"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5,3</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3,8</w:t>
            </w:r>
          </w:p>
        </w:tc>
        <w:tc>
          <w:tcPr>
            <w:tcW w:w="1213"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5,4</w:t>
            </w:r>
          </w:p>
        </w:tc>
        <w:tc>
          <w:tcPr>
            <w:tcW w:w="114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5,0</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5,1</w:t>
            </w:r>
          </w:p>
        </w:tc>
        <w:tc>
          <w:tcPr>
            <w:tcW w:w="1294"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3,0</w:t>
            </w:r>
          </w:p>
        </w:tc>
      </w:tr>
      <w:tr w:rsidR="00D052A5" w:rsidRPr="000E6014" w:rsidTr="001060F1">
        <w:tc>
          <w:tcPr>
            <w:tcW w:w="2463" w:type="dxa"/>
            <w:gridSpan w:val="2"/>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w:t>
            </w:r>
          </w:p>
        </w:tc>
        <w:tc>
          <w:tcPr>
            <w:tcW w:w="1958"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0,0014</w:t>
            </w:r>
          </w:p>
        </w:tc>
        <w:tc>
          <w:tcPr>
            <w:tcW w:w="236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NS</w:t>
            </w:r>
          </w:p>
        </w:tc>
        <w:tc>
          <w:tcPr>
            <w:tcW w:w="2374"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&lt; 0,001</w:t>
            </w:r>
          </w:p>
        </w:tc>
      </w:tr>
      <w:tr w:rsidR="00D052A5" w:rsidRPr="000E6014" w:rsidTr="001060F1">
        <w:tc>
          <w:tcPr>
            <w:tcW w:w="2463" w:type="dxa"/>
            <w:gridSpan w:val="2"/>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Vidutinis išgyvenamumas (mėnesiais)</w:t>
            </w:r>
          </w:p>
        </w:tc>
        <w:tc>
          <w:tcPr>
            <w:tcW w:w="1020"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16,8</w:t>
            </w:r>
          </w:p>
        </w:tc>
        <w:tc>
          <w:tcPr>
            <w:tcW w:w="93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14,</w:t>
            </w:r>
          </w:p>
        </w:tc>
        <w:tc>
          <w:tcPr>
            <w:tcW w:w="1213"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19,2</w:t>
            </w:r>
          </w:p>
        </w:tc>
        <w:tc>
          <w:tcPr>
            <w:tcW w:w="1148"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14,1</w:t>
            </w:r>
          </w:p>
        </w:tc>
        <w:tc>
          <w:tcPr>
            <w:tcW w:w="1080"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15,6</w:t>
            </w:r>
          </w:p>
        </w:tc>
        <w:tc>
          <w:tcPr>
            <w:tcW w:w="1294"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13,0</w:t>
            </w:r>
          </w:p>
        </w:tc>
      </w:tr>
      <w:tr w:rsidR="00D052A5" w:rsidRPr="000E6014" w:rsidTr="001060F1">
        <w:tc>
          <w:tcPr>
            <w:tcW w:w="2463" w:type="dxa"/>
            <w:gridSpan w:val="2"/>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w:t>
            </w:r>
          </w:p>
        </w:tc>
        <w:tc>
          <w:tcPr>
            <w:tcW w:w="1958"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0,028</w:t>
            </w:r>
          </w:p>
        </w:tc>
        <w:tc>
          <w:tcPr>
            <w:tcW w:w="2361"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NS</w:t>
            </w:r>
          </w:p>
        </w:tc>
        <w:tc>
          <w:tcPr>
            <w:tcW w:w="2374"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0,041</w:t>
            </w:r>
          </w:p>
        </w:tc>
      </w:tr>
    </w:tbl>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5FU – 5-fluorouracilas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FR – folino rūgštis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NS – statistiškai nereikšminga</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 pagal pacientų analizės protokolą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Vaistinių preparatų vartojant kas savaitę, sunkiai viduriavo 44% pacientų, gydytų irinotekano, 5FU ir FR deriniu, ir 25,6% pacientų, gydytų vien 5FU ir FR deriniu. Sunki neutropenija (neutrofilų &lt; 500 ląstelių/mm</w:t>
      </w:r>
      <w:r w:rsidRPr="000E6014">
        <w:rPr>
          <w:rFonts w:ascii="Times New Roman" w:hAnsi="Times New Roman"/>
          <w:vertAlign w:val="superscript"/>
        </w:rPr>
        <w:t>3</w:t>
      </w:r>
      <w:r w:rsidRPr="000E6014">
        <w:rPr>
          <w:rFonts w:ascii="Times New Roman" w:hAnsi="Times New Roman"/>
        </w:rPr>
        <w:t xml:space="preserve">) atsirado 5,8% pacientų, gydytų irinotekano, 5FU ir FR deriniu, bei 2,4% pacientų, gydytų vien 5FU ir FR deriniu.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Be to, pacientų, kurie vartojo irinotekano, 5FU ir FR derinio, grupėje funkcinė būklė ryškiai pablogėjo vėliau, negu pacientų, kurie vartojo vien 5 FU ir FR derinio grupėje (p = 0,046).</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Šio III fazės tyrimo metu gyvenimo kokybė vertinta pagal EORTC QLQ-C30 anketą (apklausos lapą). Tų pacientų, kuriems buvo infuzuota irinotekano, gyvenimo kokybė pablogėjo vėliau. Sveikatos būklė ir gyvenimo kokybė buvo, nors nedaug bei nereikšmingai, geresnė tų pacientų, kurie kartu su kitais preparatais vartojo irinotekano. Tai rodo, kad kompleksinės terapijos metu irinotekanas gali būti veiksmingas ir neveikti gyvenimo kokybės.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u w:val="single"/>
        </w:rPr>
      </w:pPr>
      <w:r w:rsidRPr="000E6014">
        <w:rPr>
          <w:rFonts w:ascii="Times New Roman" w:hAnsi="Times New Roman"/>
          <w:bCs/>
          <w:i/>
          <w:iCs/>
        </w:rPr>
        <w:lastRenderedPageBreak/>
        <w:t>Kompleksinė terapija su bevacizumabu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Bevacizumabo, vartojamo kartu su irinotekanu, 5FU ir FR pirmaeiliam metastazinės gaubtinės ir tiesiosios žarnų vėžio gydymui, veiksmingumas buvo nustatinėjamas III fazės atsitiktinių imčių klinikiniu tyrimu, atliktu dvigubai aklu būdu aktyvioje kontrolėje (tyrimas AVF2107g). Gydymą irinotekano, 5FU ir FR deriniu papildžius bevacizumabu, statistiškai reikšmingai pailgėjo BI trukmė. Atsižvelgiant į BI, klinikinė nauda buvo pastebima visų specifikuotų pogrupių pacientams, įskaitant pogrupius pagal amžių, lytį, funkcionalumą, pirminio naviko lokalizaciją, įtrauktų organų skaičių bei metastazinės ligos trukmę. Reikia peržiūrėti taip pat ir bevacizumabo charakteristikų santrauką. Tyrimo AVF2107g metu gauti veiksmingumo rezultatai pateikti žemiau esančioje lentelėje.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center"/>
        <w:rPr>
          <w:rFonts w:ascii="Times New Roman" w:hAnsi="Times New Roman"/>
          <w:bCs/>
        </w:rPr>
      </w:pPr>
      <w:r w:rsidRPr="000E6014">
        <w:rPr>
          <w:rFonts w:ascii="Times New Roman" w:hAnsi="Times New Roman"/>
        </w:rPr>
        <w:tab/>
      </w:r>
      <w:r w:rsidRPr="000E6014">
        <w:rPr>
          <w:rFonts w:ascii="Times New Roman" w:hAnsi="Times New Roman"/>
        </w:rPr>
        <w:tab/>
      </w:r>
      <w:r w:rsidRPr="000E6014">
        <w:rPr>
          <w:rFonts w:ascii="Times New Roman" w:hAnsi="Times New Roman"/>
        </w:rPr>
        <w:tab/>
      </w:r>
      <w:r w:rsidRPr="000E6014">
        <w:rPr>
          <w:rFonts w:ascii="Times New Roman" w:hAnsi="Times New Roman"/>
          <w:bCs/>
        </w:rPr>
        <w:t>AVF2107g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2660"/>
        <w:gridCol w:w="2154"/>
      </w:tblGrid>
      <w:tr w:rsidR="00D052A5" w:rsidRPr="000E6014" w:rsidTr="001060F1">
        <w:tc>
          <w:tcPr>
            <w:tcW w:w="4428" w:type="dxa"/>
          </w:tcPr>
          <w:p w:rsidR="00D052A5" w:rsidRPr="000E6014" w:rsidRDefault="00D052A5" w:rsidP="001060F1">
            <w:pPr>
              <w:tabs>
                <w:tab w:val="left" w:pos="0"/>
                <w:tab w:val="left" w:pos="567"/>
              </w:tabs>
              <w:spacing w:after="0" w:line="240" w:lineRule="auto"/>
              <w:rPr>
                <w:rFonts w:ascii="Times New Roman" w:hAnsi="Times New Roman"/>
              </w:rPr>
            </w:pPr>
          </w:p>
        </w:tc>
        <w:tc>
          <w:tcPr>
            <w:tcW w:w="2700" w:type="dxa"/>
          </w:tcPr>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1 grupė</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Irinotekanas/5FU/FU</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Placebas</w:t>
            </w:r>
          </w:p>
          <w:p w:rsidR="00D052A5" w:rsidRPr="000E6014" w:rsidRDefault="00D052A5" w:rsidP="001060F1">
            <w:pPr>
              <w:tabs>
                <w:tab w:val="left" w:pos="0"/>
                <w:tab w:val="left" w:pos="567"/>
              </w:tabs>
              <w:spacing w:after="0" w:line="240" w:lineRule="auto"/>
              <w:rPr>
                <w:rFonts w:ascii="Times New Roman" w:hAnsi="Times New Roman"/>
              </w:rPr>
            </w:pPr>
          </w:p>
        </w:tc>
        <w:tc>
          <w:tcPr>
            <w:tcW w:w="2158" w:type="dxa"/>
          </w:tcPr>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2 grupė Irinotekanas/5FU/FU</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Avastinas</w:t>
            </w:r>
            <w:r w:rsidRPr="000E6014">
              <w:rPr>
                <w:rFonts w:ascii="Times New Roman" w:hAnsi="Times New Roman"/>
                <w:vertAlign w:val="superscript"/>
              </w:rPr>
              <w:t xml:space="preserve">a </w:t>
            </w:r>
          </w:p>
          <w:p w:rsidR="00D052A5" w:rsidRPr="000E6014" w:rsidRDefault="00D052A5" w:rsidP="001060F1">
            <w:pPr>
              <w:tabs>
                <w:tab w:val="left" w:pos="0"/>
                <w:tab w:val="left" w:pos="567"/>
              </w:tabs>
              <w:spacing w:after="0" w:line="240" w:lineRule="auto"/>
              <w:jc w:val="center"/>
              <w:rPr>
                <w:rFonts w:ascii="Times New Roman" w:hAnsi="Times New Roman"/>
              </w:rPr>
            </w:pPr>
          </w:p>
        </w:tc>
      </w:tr>
      <w:tr w:rsidR="00D052A5" w:rsidRPr="000E6014" w:rsidTr="001060F1">
        <w:tc>
          <w:tcPr>
            <w:tcW w:w="4428"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Tiriamųjų skaičius</w:t>
            </w:r>
          </w:p>
        </w:tc>
        <w:tc>
          <w:tcPr>
            <w:tcW w:w="2700" w:type="dxa"/>
          </w:tcPr>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411</w:t>
            </w:r>
          </w:p>
        </w:tc>
        <w:tc>
          <w:tcPr>
            <w:tcW w:w="2158" w:type="dxa"/>
          </w:tcPr>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402</w:t>
            </w:r>
          </w:p>
        </w:tc>
      </w:tr>
      <w:tr w:rsidR="00D052A5" w:rsidRPr="000E6014" w:rsidTr="001060F1">
        <w:tc>
          <w:tcPr>
            <w:tcW w:w="4428"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Bendras išgyvenamumas:</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vidutinis laikas (mėn.)</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95</w:t>
            </w:r>
            <w:r w:rsidRPr="000E6014">
              <w:rPr>
                <w:rFonts w:ascii="Times New Roman" w:hAnsi="Times New Roman"/>
              </w:rPr>
              <w:sym w:font="Symbol" w:char="F025"/>
            </w:r>
            <w:r w:rsidRPr="000E6014">
              <w:rPr>
                <w:rFonts w:ascii="Times New Roman" w:hAnsi="Times New Roman"/>
              </w:rPr>
              <w:t xml:space="preserve"> PI</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rizikos santykis</w:t>
            </w:r>
            <w:r w:rsidRPr="000E6014">
              <w:rPr>
                <w:rFonts w:ascii="Times New Roman" w:hAnsi="Times New Roman"/>
                <w:vertAlign w:val="superscript"/>
              </w:rPr>
              <w:t>b</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p reikšmė</w:t>
            </w:r>
          </w:p>
        </w:tc>
        <w:tc>
          <w:tcPr>
            <w:tcW w:w="2700"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15,6</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14,29 – 16,99</w:t>
            </w:r>
          </w:p>
        </w:tc>
        <w:tc>
          <w:tcPr>
            <w:tcW w:w="2158"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20,3</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18,46 – 24,18</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0,66</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0,00004</w:t>
            </w:r>
          </w:p>
        </w:tc>
      </w:tr>
      <w:tr w:rsidR="00D052A5" w:rsidRPr="000E6014" w:rsidTr="001060F1">
        <w:tc>
          <w:tcPr>
            <w:tcW w:w="4428"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Laikas ligai neprogresuojant:</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vidutinis laikas (mėn.)</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rizikos santykis</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p reikšmė</w:t>
            </w:r>
          </w:p>
        </w:tc>
        <w:tc>
          <w:tcPr>
            <w:tcW w:w="2700"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6,2</w:t>
            </w:r>
          </w:p>
        </w:tc>
        <w:tc>
          <w:tcPr>
            <w:tcW w:w="2158"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10,6</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0,54</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&lt;0,0001</w:t>
            </w:r>
          </w:p>
        </w:tc>
      </w:tr>
      <w:tr w:rsidR="00D052A5" w:rsidRPr="000E6014" w:rsidTr="001060F1">
        <w:tc>
          <w:tcPr>
            <w:tcW w:w="4428"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Bendras atsako dažnis:</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dažnis (</w:t>
            </w:r>
            <w:r w:rsidRPr="000E6014">
              <w:rPr>
                <w:rFonts w:ascii="Times New Roman" w:hAnsi="Times New Roman"/>
              </w:rPr>
              <w:sym w:font="Symbol" w:char="F025"/>
            </w:r>
            <w:r w:rsidRPr="000E6014">
              <w:rPr>
                <w:rFonts w:ascii="Times New Roman" w:hAnsi="Times New Roman"/>
              </w:rPr>
              <w:t>)</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95</w:t>
            </w:r>
            <w:r w:rsidRPr="000E6014">
              <w:rPr>
                <w:rFonts w:ascii="Times New Roman" w:hAnsi="Times New Roman"/>
              </w:rPr>
              <w:sym w:font="Symbol" w:char="F025"/>
            </w:r>
            <w:r w:rsidRPr="000E6014">
              <w:rPr>
                <w:rFonts w:ascii="Times New Roman" w:hAnsi="Times New Roman"/>
              </w:rPr>
              <w:t xml:space="preserve"> PI</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P reikšmė</w:t>
            </w:r>
          </w:p>
        </w:tc>
        <w:tc>
          <w:tcPr>
            <w:tcW w:w="2700"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34,8</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30,2 – 39,6</w:t>
            </w:r>
          </w:p>
        </w:tc>
        <w:tc>
          <w:tcPr>
            <w:tcW w:w="2158"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44,8</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39,9 – 49,8</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0,0036</w:t>
            </w:r>
          </w:p>
        </w:tc>
      </w:tr>
      <w:tr w:rsidR="00D052A5" w:rsidRPr="000E6014" w:rsidTr="001060F1">
        <w:tc>
          <w:tcPr>
            <w:tcW w:w="4428"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Atsako trukmė</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vidutinė trukmė (mėn.)</w:t>
            </w:r>
          </w:p>
          <w:p w:rsidR="00D052A5" w:rsidRPr="000E6014" w:rsidRDefault="00D052A5" w:rsidP="001060F1">
            <w:pPr>
              <w:numPr>
                <w:ilvl w:val="0"/>
                <w:numId w:val="1"/>
              </w:numPr>
              <w:tabs>
                <w:tab w:val="left" w:pos="0"/>
                <w:tab w:val="left" w:pos="567"/>
              </w:tabs>
              <w:spacing w:after="0" w:line="240" w:lineRule="auto"/>
              <w:ind w:left="0" w:firstLine="0"/>
              <w:rPr>
                <w:rFonts w:ascii="Times New Roman" w:hAnsi="Times New Roman"/>
              </w:rPr>
            </w:pPr>
            <w:r w:rsidRPr="000E6014">
              <w:rPr>
                <w:rFonts w:ascii="Times New Roman" w:hAnsi="Times New Roman"/>
              </w:rPr>
              <w:t>25 – 75 procentilių (mėn.)</w:t>
            </w:r>
          </w:p>
        </w:tc>
        <w:tc>
          <w:tcPr>
            <w:tcW w:w="2700"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7,1</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4,7 – 11,8</w:t>
            </w:r>
          </w:p>
        </w:tc>
        <w:tc>
          <w:tcPr>
            <w:tcW w:w="2158" w:type="dxa"/>
          </w:tcPr>
          <w:p w:rsidR="00D052A5" w:rsidRPr="000E6014" w:rsidRDefault="00D052A5" w:rsidP="001060F1">
            <w:pPr>
              <w:tabs>
                <w:tab w:val="left" w:pos="0"/>
                <w:tab w:val="left" w:pos="567"/>
              </w:tabs>
              <w:spacing w:after="0" w:line="240" w:lineRule="auto"/>
              <w:jc w:val="center"/>
              <w:rPr>
                <w:rFonts w:ascii="Times New Roman" w:hAnsi="Times New Roman"/>
              </w:rPr>
            </w:pP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10,4</w:t>
            </w:r>
          </w:p>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6,7 - 15</w:t>
            </w:r>
          </w:p>
        </w:tc>
      </w:tr>
    </w:tbl>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vertAlign w:val="superscript"/>
        </w:rPr>
        <w:t>a</w:t>
      </w:r>
      <w:r w:rsidRPr="000E6014">
        <w:rPr>
          <w:rFonts w:ascii="Times New Roman" w:hAnsi="Times New Roman"/>
        </w:rPr>
        <w:t xml:space="preserve"> 5 mg/kg kūno svorio kas 2 savaitės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vertAlign w:val="superscript"/>
        </w:rPr>
        <w:t>b</w:t>
      </w:r>
      <w:r w:rsidRPr="000E6014">
        <w:rPr>
          <w:rFonts w:ascii="Times New Roman" w:hAnsi="Times New Roman"/>
        </w:rPr>
        <w:t xml:space="preserve"> Palyginti su kontroline grupe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Cs/>
          <w:i/>
          <w:iCs/>
        </w:rPr>
      </w:pPr>
      <w:r w:rsidRPr="000E6014">
        <w:rPr>
          <w:rFonts w:ascii="Times New Roman" w:hAnsi="Times New Roman"/>
          <w:bCs/>
          <w:i/>
          <w:iCs/>
        </w:rPr>
        <w:t>Kompleksinė terapija kartu su cetuksimabu</w:t>
      </w:r>
    </w:p>
    <w:p w:rsidR="00D052A5" w:rsidRPr="000E6014" w:rsidRDefault="00D052A5" w:rsidP="00D052A5">
      <w:pPr>
        <w:spacing w:after="0" w:line="240" w:lineRule="auto"/>
        <w:rPr>
          <w:rFonts w:ascii="Times New Roman" w:hAnsi="Times New Roman"/>
        </w:rPr>
      </w:pPr>
      <w:r w:rsidRPr="000E6014">
        <w:rPr>
          <w:rFonts w:ascii="Times New Roman" w:hAnsi="Times New Roman"/>
        </w:rPr>
        <w:t xml:space="preserve">EMR 62 202-013: Atsitiktinių imčių tyrimas su pacientais, sergančiais metastaziniu kolorektaliniu vėžiu, kurie negavo metastazinės ligos gydymo, lyginant cetuksimabo ir irinotekano derinį bei 5-fluoruracilu / folino rūgštimi (5FU/FA) infuziją (599 pacientai) su tokia pačia viena chemoterapija (599 pacientai). Pacientų su KRAS WTp53 (angl. </w:t>
      </w:r>
      <w:r w:rsidRPr="000E6014">
        <w:rPr>
          <w:rFonts w:ascii="Times New Roman" w:hAnsi="Times New Roman"/>
          <w:i/>
        </w:rPr>
        <w:t>wild-type</w:t>
      </w:r>
      <w:r w:rsidRPr="000E6014">
        <w:rPr>
          <w:rFonts w:ascii="Times New Roman" w:hAnsi="Times New Roman"/>
        </w:rPr>
        <w:t xml:space="preserve">) augliais santykis su pacientų populiacija, vertinama dėl KRAS, sudarė 64%. </w:t>
      </w:r>
    </w:p>
    <w:p w:rsidR="00D052A5" w:rsidRPr="000E6014" w:rsidRDefault="00D052A5" w:rsidP="00D052A5">
      <w:pPr>
        <w:spacing w:after="0" w:line="240" w:lineRule="auto"/>
        <w:rPr>
          <w:rFonts w:ascii="Times New Roman" w:hAnsi="Times New Roman"/>
        </w:rPr>
      </w:pPr>
      <w:r w:rsidRPr="000E6014">
        <w:rPr>
          <w:rFonts w:ascii="Times New Roman" w:hAnsi="Times New Roman"/>
        </w:rPr>
        <w:t>Veiksmingumo duomenys, gauti šiame tyrime, apibendrinti žemiau esančioje lentelėje:</w:t>
      </w:r>
    </w:p>
    <w:tbl>
      <w:tblPr>
        <w:tblW w:w="0" w:type="auto"/>
        <w:tblCellMar>
          <w:left w:w="0" w:type="dxa"/>
          <w:right w:w="0" w:type="dxa"/>
        </w:tblCellMar>
        <w:tblLook w:val="0000" w:firstRow="0" w:lastRow="0" w:firstColumn="0" w:lastColumn="0" w:noHBand="0" w:noVBand="0"/>
      </w:tblPr>
      <w:tblGrid>
        <w:gridCol w:w="1843"/>
        <w:gridCol w:w="1756"/>
        <w:gridCol w:w="1750"/>
        <w:gridCol w:w="1756"/>
        <w:gridCol w:w="1751"/>
      </w:tblGrid>
      <w:tr w:rsidR="00D052A5" w:rsidRPr="000E6014" w:rsidTr="001060F1">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35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Bendra populiacija</w:t>
            </w:r>
          </w:p>
        </w:tc>
        <w:tc>
          <w:tcPr>
            <w:tcW w:w="350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KRAS WTp53 (angl. wild-type) populiacija</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Kintamasis /statinis</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Cetuksimabas  plius FOLFIRI (n=599)</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FOLFIRI</w:t>
            </w:r>
          </w:p>
          <w:p w:rsidR="00D052A5" w:rsidRPr="000E6014" w:rsidRDefault="00D052A5" w:rsidP="001060F1">
            <w:pPr>
              <w:spacing w:after="0" w:line="240" w:lineRule="auto"/>
              <w:rPr>
                <w:rFonts w:ascii="Times New Roman" w:hAnsi="Times New Roman"/>
              </w:rPr>
            </w:pPr>
            <w:r w:rsidRPr="000E6014">
              <w:rPr>
                <w:rFonts w:ascii="Times New Roman" w:hAnsi="Times New Roman"/>
              </w:rPr>
              <w:t>(n=599)</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Cetuksimabas plius FOLFIRI (n=172)</w:t>
            </w:r>
          </w:p>
        </w:tc>
        <w:tc>
          <w:tcPr>
            <w:tcW w:w="1751"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FOLFIRI</w:t>
            </w:r>
          </w:p>
          <w:p w:rsidR="00D052A5" w:rsidRPr="000E6014" w:rsidRDefault="00D052A5" w:rsidP="001060F1">
            <w:pPr>
              <w:spacing w:after="0" w:line="240" w:lineRule="auto"/>
              <w:rPr>
                <w:rFonts w:ascii="Times New Roman" w:hAnsi="Times New Roman"/>
              </w:rPr>
            </w:pPr>
            <w:r w:rsidRPr="000E6014">
              <w:rPr>
                <w:rFonts w:ascii="Times New Roman" w:hAnsi="Times New Roman"/>
              </w:rPr>
              <w:t>(n=176)</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ORR</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1751"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%(95% PI)</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46,9 (42,9, 51,0)</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38,7 (34,8, 42,8)</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59,3 (51,6, 66,7)</w:t>
            </w:r>
          </w:p>
        </w:tc>
        <w:tc>
          <w:tcPr>
            <w:tcW w:w="1751"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43,2 (35,8, 50,9)</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p reikšmė</w:t>
            </w:r>
          </w:p>
        </w:tc>
        <w:tc>
          <w:tcPr>
            <w:tcW w:w="3506" w:type="dxa"/>
            <w:gridSpan w:val="2"/>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0,0038</w:t>
            </w:r>
          </w:p>
        </w:tc>
        <w:tc>
          <w:tcPr>
            <w:tcW w:w="3507" w:type="dxa"/>
            <w:gridSpan w:val="2"/>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0,0025</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PFS</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1750"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1756"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c>
          <w:tcPr>
            <w:tcW w:w="1751" w:type="dxa"/>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 </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lastRenderedPageBreak/>
              <w:t>Rizikos santykis (95% PI)</w:t>
            </w:r>
          </w:p>
        </w:tc>
        <w:tc>
          <w:tcPr>
            <w:tcW w:w="3506" w:type="dxa"/>
            <w:gridSpan w:val="2"/>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0,85 (0,726, 0,998)</w:t>
            </w:r>
          </w:p>
        </w:tc>
        <w:tc>
          <w:tcPr>
            <w:tcW w:w="3507" w:type="dxa"/>
            <w:gridSpan w:val="2"/>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0,68 (0,501, 0,934)</w:t>
            </w:r>
          </w:p>
        </w:tc>
      </w:tr>
      <w:tr w:rsidR="00D052A5" w:rsidRPr="000E6014" w:rsidTr="001060F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p reikšmė</w:t>
            </w:r>
          </w:p>
        </w:tc>
        <w:tc>
          <w:tcPr>
            <w:tcW w:w="3506" w:type="dxa"/>
            <w:gridSpan w:val="2"/>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0,0479</w:t>
            </w:r>
          </w:p>
        </w:tc>
        <w:tc>
          <w:tcPr>
            <w:tcW w:w="3507" w:type="dxa"/>
            <w:gridSpan w:val="2"/>
            <w:tcBorders>
              <w:top w:val="nil"/>
              <w:left w:val="nil"/>
              <w:bottom w:val="single" w:sz="8" w:space="0" w:color="auto"/>
              <w:right w:val="single" w:sz="8" w:space="0" w:color="auto"/>
            </w:tcBorders>
            <w:tcMar>
              <w:top w:w="0" w:type="dxa"/>
              <w:left w:w="108" w:type="dxa"/>
              <w:bottom w:w="0" w:type="dxa"/>
              <w:right w:w="108" w:type="dxa"/>
            </w:tcMar>
          </w:tcPr>
          <w:p w:rsidR="00D052A5" w:rsidRPr="000E6014" w:rsidRDefault="00D052A5" w:rsidP="001060F1">
            <w:pPr>
              <w:spacing w:after="0" w:line="240" w:lineRule="auto"/>
              <w:rPr>
                <w:rFonts w:ascii="Times New Roman" w:hAnsi="Times New Roman"/>
              </w:rPr>
            </w:pPr>
            <w:r w:rsidRPr="000E6014">
              <w:rPr>
                <w:rFonts w:ascii="Times New Roman" w:hAnsi="Times New Roman"/>
              </w:rPr>
              <w:t>0,0167</w:t>
            </w:r>
          </w:p>
        </w:tc>
      </w:tr>
    </w:tbl>
    <w:p w:rsidR="00D052A5" w:rsidRPr="000E6014" w:rsidRDefault="00D052A5" w:rsidP="00D052A5">
      <w:pPr>
        <w:spacing w:after="0" w:line="240" w:lineRule="auto"/>
        <w:rPr>
          <w:rFonts w:ascii="Times New Roman" w:hAnsi="Times New Roman"/>
        </w:rPr>
      </w:pPr>
      <w:r w:rsidRPr="000E6014">
        <w:rPr>
          <w:rFonts w:ascii="Times New Roman" w:hAnsi="Times New Roman"/>
        </w:rPr>
        <w:t>PI = pasitikėjimo intervalas, FOLFIRI = irinotekanas plius  infuzinis 5-FU/FA, ORR = objektyvus atsako dažnis (pacientai su visišku ar daliniu atsaku), PFS = išgyvenimo be progresavimo laikas</w:t>
      </w:r>
    </w:p>
    <w:p w:rsidR="00D052A5" w:rsidRPr="000E6014" w:rsidRDefault="00D052A5" w:rsidP="00D052A5">
      <w:pPr>
        <w:spacing w:after="0" w:line="240" w:lineRule="auto"/>
        <w:rPr>
          <w:rFonts w:ascii="Times New Roman" w:hAnsi="Times New Roman"/>
          <w:b/>
        </w:rPr>
      </w:pPr>
    </w:p>
    <w:p w:rsidR="00D052A5" w:rsidRPr="000E6014" w:rsidRDefault="00D052A5" w:rsidP="00D052A5">
      <w:pPr>
        <w:spacing w:after="0" w:line="240" w:lineRule="auto"/>
        <w:rPr>
          <w:rFonts w:ascii="Times New Roman" w:hAnsi="Times New Roman"/>
          <w:bCs/>
          <w:i/>
          <w:iCs/>
        </w:rPr>
      </w:pPr>
      <w:r w:rsidRPr="000E6014">
        <w:rPr>
          <w:rFonts w:ascii="Times New Roman" w:hAnsi="Times New Roman"/>
          <w:bCs/>
          <w:i/>
          <w:iCs/>
        </w:rPr>
        <w:t>Deriniai su kapecitabinu</w:t>
      </w:r>
    </w:p>
    <w:p w:rsidR="00D052A5" w:rsidRPr="000E6014" w:rsidRDefault="00D052A5" w:rsidP="00D052A5">
      <w:pPr>
        <w:spacing w:after="0" w:line="240" w:lineRule="auto"/>
        <w:rPr>
          <w:rFonts w:ascii="Times New Roman" w:hAnsi="Times New Roman"/>
        </w:rPr>
      </w:pPr>
      <w:r w:rsidRPr="000E6014">
        <w:rPr>
          <w:rFonts w:ascii="Times New Roman" w:hAnsi="Times New Roman"/>
        </w:rPr>
        <w:t>Atsitiktinių imčių, kontroliuojamo, III fazės tyrimo (CAIRO) duomenimis palaikomas kapecitabino pradinis vartojimas 1000 mg/m</w:t>
      </w:r>
      <w:r w:rsidRPr="000E6014">
        <w:rPr>
          <w:rFonts w:ascii="Times New Roman" w:hAnsi="Times New Roman"/>
          <w:vertAlign w:val="superscript"/>
        </w:rPr>
        <w:t>2</w:t>
      </w:r>
      <w:r w:rsidRPr="000E6014">
        <w:rPr>
          <w:rFonts w:ascii="Times New Roman" w:hAnsi="Times New Roman"/>
        </w:rPr>
        <w:t xml:space="preserve"> doze 2 savaites kas 3 savaites derinyje su irinotekanu kaip pirmo pasirinkimo gydymas pacientams su metastaziniu kolorektaliniu vėžiu. 820 pacientų buvo atsitiktinai atrinkta gauti arba nuoseklų gydymą (n=410), arba kombinuotą gydymą (n=410). Nuoseklų gydymą sudarė pirmo pasirinkimo gydymas kapecitabinu (1250 mg/m</w:t>
      </w:r>
      <w:r w:rsidRPr="000E6014">
        <w:rPr>
          <w:rFonts w:ascii="Times New Roman" w:hAnsi="Times New Roman"/>
          <w:vertAlign w:val="superscript"/>
        </w:rPr>
        <w:t>2</w:t>
      </w:r>
      <w:r w:rsidRPr="000E6014">
        <w:rPr>
          <w:rFonts w:ascii="Times New Roman" w:hAnsi="Times New Roman"/>
        </w:rPr>
        <w:t xml:space="preserve"> du kartus per parą 14 parų), antro pasirinkimo – irinotekanas (350 mg/m</w:t>
      </w:r>
      <w:r w:rsidRPr="000E6014">
        <w:rPr>
          <w:rFonts w:ascii="Times New Roman" w:hAnsi="Times New Roman"/>
          <w:vertAlign w:val="superscript"/>
        </w:rPr>
        <w:t>2</w:t>
      </w:r>
      <w:r w:rsidRPr="000E6014">
        <w:rPr>
          <w:rFonts w:ascii="Times New Roman" w:hAnsi="Times New Roman"/>
        </w:rPr>
        <w:t xml:space="preserve"> 1 parą) bei trečio pasirinkimo – kapecitabino (1000 mg/m</w:t>
      </w:r>
      <w:r w:rsidRPr="000E6014">
        <w:rPr>
          <w:rFonts w:ascii="Times New Roman" w:hAnsi="Times New Roman"/>
          <w:vertAlign w:val="superscript"/>
        </w:rPr>
        <w:t xml:space="preserve">2 </w:t>
      </w:r>
      <w:r w:rsidRPr="000E6014">
        <w:rPr>
          <w:rFonts w:ascii="Times New Roman" w:hAnsi="Times New Roman"/>
        </w:rPr>
        <w:t>du kartus per parą 14 parų) ir oksaliplatinos (130 mg/m</w:t>
      </w:r>
      <w:r w:rsidRPr="000E6014">
        <w:rPr>
          <w:rFonts w:ascii="Times New Roman" w:hAnsi="Times New Roman"/>
          <w:vertAlign w:val="superscript"/>
        </w:rPr>
        <w:t>2</w:t>
      </w:r>
      <w:r w:rsidRPr="000E6014">
        <w:rPr>
          <w:rFonts w:ascii="Times New Roman" w:hAnsi="Times New Roman"/>
        </w:rPr>
        <w:t xml:space="preserve"> 1 parą) derinys. Kombinuotą gydymą sudarė pirmo pasirinkimo gydymas kapecitabino (1000 mg/m</w:t>
      </w:r>
      <w:r w:rsidRPr="000E6014">
        <w:rPr>
          <w:rFonts w:ascii="Times New Roman" w:hAnsi="Times New Roman"/>
          <w:vertAlign w:val="superscript"/>
        </w:rPr>
        <w:t>2</w:t>
      </w:r>
      <w:r w:rsidRPr="000E6014">
        <w:rPr>
          <w:rFonts w:ascii="Times New Roman" w:hAnsi="Times New Roman"/>
        </w:rPr>
        <w:t xml:space="preserve"> du kartus per parą 14 parų) ir irinotekano (250 mg/m</w:t>
      </w:r>
      <w:r w:rsidRPr="000E6014">
        <w:rPr>
          <w:rFonts w:ascii="Times New Roman" w:hAnsi="Times New Roman"/>
          <w:vertAlign w:val="superscript"/>
        </w:rPr>
        <w:t>2</w:t>
      </w:r>
      <w:r w:rsidRPr="000E6014">
        <w:rPr>
          <w:rFonts w:ascii="Times New Roman" w:hAnsi="Times New Roman"/>
        </w:rPr>
        <w:t xml:space="preserve"> 1 parą) (XELIRI) derinys bei antro pasirinkimo – kapecitabino 1000 mg/m</w:t>
      </w:r>
      <w:r w:rsidRPr="000E6014">
        <w:rPr>
          <w:rFonts w:ascii="Times New Roman" w:hAnsi="Times New Roman"/>
          <w:vertAlign w:val="superscript"/>
        </w:rPr>
        <w:t>2</w:t>
      </w:r>
      <w:r w:rsidRPr="000E6014">
        <w:rPr>
          <w:rFonts w:ascii="Times New Roman" w:hAnsi="Times New Roman"/>
        </w:rPr>
        <w:t xml:space="preserve"> du kartus per parą 14 parų) ir oksaliplatina (130 mg/m</w:t>
      </w:r>
      <w:r w:rsidRPr="000E6014">
        <w:rPr>
          <w:rFonts w:ascii="Times New Roman" w:hAnsi="Times New Roman"/>
          <w:vertAlign w:val="superscript"/>
        </w:rPr>
        <w:t>2</w:t>
      </w:r>
      <w:r w:rsidRPr="000E6014">
        <w:rPr>
          <w:rFonts w:ascii="Times New Roman" w:hAnsi="Times New Roman"/>
        </w:rPr>
        <w:t xml:space="preserve"> 1 parą). Visi gydymo kursai buvo skiriami 3 savaičių intervalu. Pirmo pasirinkimo gydymo vidutinis išgyvenamumas be progresavimo ketinamoje gydyti populiacijoje buvo 5,8 mėnesio (95% PI, 5,1–6,2 mėnesio) kapecitabino monoterapijos grupėje ir 7,8 mėnesio (95% PI, 7,0–8,3 mėnesio) XELIRI grupėje (p=0,0002).</w:t>
      </w:r>
    </w:p>
    <w:p w:rsidR="00D052A5" w:rsidRPr="000E6014" w:rsidRDefault="00D052A5" w:rsidP="00D052A5">
      <w:pPr>
        <w:spacing w:after="0" w:line="240" w:lineRule="auto"/>
        <w:rPr>
          <w:rFonts w:ascii="Times New Roman" w:hAnsi="Times New Roman"/>
        </w:rPr>
      </w:pPr>
      <w:r w:rsidRPr="000E6014">
        <w:rPr>
          <w:rFonts w:ascii="Times New Roman" w:hAnsi="Times New Roman"/>
        </w:rPr>
        <w:t>Daugiacentrio, atsitiktinių imčių, kontroliuojamo, II fazės tyrimo (AIO KRK 0604) tarpinės analizės duomenimis palaikomas kapecitabino vartojimas pradine 800 mg/m</w:t>
      </w:r>
      <w:r w:rsidRPr="000E6014">
        <w:rPr>
          <w:rFonts w:ascii="Times New Roman" w:hAnsi="Times New Roman"/>
          <w:vertAlign w:val="superscript"/>
        </w:rPr>
        <w:t>2</w:t>
      </w:r>
      <w:r w:rsidRPr="000E6014">
        <w:rPr>
          <w:rFonts w:ascii="Times New Roman" w:hAnsi="Times New Roman"/>
        </w:rPr>
        <w:t xml:space="preserve"> doze 2 savaites kas 3 savaites derinyje su irinotekanu ir bevacizumabu kaip pirmo pasirinkimo gydymas pacientams su metastaziniu kolorektaliniu vėžiu. 115 pacientų buvo atsitiktinai atrinkta gydymui kapecitabinu derinyje su irinotekanu (XELIRI) ir bevacizumabu: kapecitabinas (800 mg/m</w:t>
      </w:r>
      <w:r w:rsidRPr="000E6014">
        <w:rPr>
          <w:rFonts w:ascii="Times New Roman" w:hAnsi="Times New Roman"/>
          <w:vertAlign w:val="superscript"/>
        </w:rPr>
        <w:t>2</w:t>
      </w:r>
      <w:r w:rsidRPr="000E6014">
        <w:rPr>
          <w:rFonts w:ascii="Times New Roman" w:hAnsi="Times New Roman"/>
        </w:rPr>
        <w:t xml:space="preserve"> du kartus per parą 2 savaites ir po to einančiu 7 parų ramybės laikotarpiu), irinotekanas (200 mg/m</w:t>
      </w:r>
      <w:r w:rsidRPr="000E6014">
        <w:rPr>
          <w:rFonts w:ascii="Times New Roman" w:hAnsi="Times New Roman"/>
          <w:vertAlign w:val="superscript"/>
        </w:rPr>
        <w:t>2</w:t>
      </w:r>
      <w:r w:rsidRPr="000E6014">
        <w:rPr>
          <w:rFonts w:ascii="Times New Roman" w:hAnsi="Times New Roman"/>
        </w:rPr>
        <w:t xml:space="preserve"> 30 minučių trukmės infuzija 1 parą kas 3 savaites) ir bevacizumabas (7,5 mg/kg 30–90 minučių infuzija 1 parą kas 3 savaites): iš viso 118 pacientų buvo atsitiktinai atrinkta gydymui kapecitabinu derinyje su oksaliplatina ir bevacizumabu: kapecitabinas (1000 mg/m</w:t>
      </w:r>
      <w:r w:rsidRPr="000E6014">
        <w:rPr>
          <w:rFonts w:ascii="Times New Roman" w:hAnsi="Times New Roman"/>
          <w:vertAlign w:val="superscript"/>
        </w:rPr>
        <w:t>2</w:t>
      </w:r>
      <w:r w:rsidRPr="000E6014">
        <w:rPr>
          <w:rFonts w:ascii="Times New Roman" w:hAnsi="Times New Roman"/>
        </w:rPr>
        <w:t xml:space="preserve"> du kartus per parą 2 savaites ir po to einančiu 7 parų ramybės laikotarpiu), oksaliplatina (130 mg/m</w:t>
      </w:r>
      <w:r w:rsidRPr="000E6014">
        <w:rPr>
          <w:rFonts w:ascii="Times New Roman" w:hAnsi="Times New Roman"/>
          <w:vertAlign w:val="superscript"/>
        </w:rPr>
        <w:t>2</w:t>
      </w:r>
      <w:r w:rsidRPr="000E6014">
        <w:rPr>
          <w:rFonts w:ascii="Times New Roman" w:hAnsi="Times New Roman"/>
        </w:rPr>
        <w:t xml:space="preserve"> 2 valandų trukmės infuzija 1 parą kas 3 savaites) ir bevacizumabas (7,5 mg/kg 30–90 minučių infuzija 1 parą kas 3 savaites). Išgyvenamumas be progresavimo 6 mėnesį ketinamoje gydyti populiacijoje buvo 80% (XELIRI ir bevacizumabas), palyginus su 74% (XELOX ir bevacizumabas). Bendras atsako dažnis (visiškas ir dalinis atsakas) buvo 45% (XELOX ir bevacizumabas), palyginus su 47% (XELIRI ir bevacizumabas)</w:t>
      </w:r>
    </w:p>
    <w:p w:rsidR="00D052A5" w:rsidRPr="000E6014" w:rsidRDefault="00D052A5" w:rsidP="00D052A5">
      <w:pPr>
        <w:autoSpaceDE w:val="0"/>
        <w:autoSpaceDN w:val="0"/>
        <w:adjustRightInd w:val="0"/>
        <w:spacing w:after="0" w:line="240" w:lineRule="auto"/>
        <w:rPr>
          <w:rFonts w:ascii="Times New Roman" w:hAnsi="Times New Roman"/>
          <w:b/>
          <w:u w:val="single"/>
          <w:lang w:eastAsia="en-GB"/>
        </w:rPr>
      </w:pPr>
    </w:p>
    <w:p w:rsidR="00D052A5" w:rsidRPr="000E6014" w:rsidRDefault="00D052A5" w:rsidP="00D052A5">
      <w:pPr>
        <w:autoSpaceDE w:val="0"/>
        <w:autoSpaceDN w:val="0"/>
        <w:adjustRightInd w:val="0"/>
        <w:spacing w:after="0" w:line="240" w:lineRule="auto"/>
        <w:rPr>
          <w:rFonts w:ascii="Times New Roman" w:hAnsi="Times New Roman"/>
          <w:b/>
          <w:lang w:eastAsia="el-GR"/>
        </w:rPr>
      </w:pPr>
      <w:r w:rsidRPr="000E6014">
        <w:rPr>
          <w:rFonts w:ascii="Times New Roman" w:hAnsi="Times New Roman"/>
          <w:bCs/>
          <w:i/>
          <w:iCs/>
          <w:lang w:eastAsia="en-GB"/>
        </w:rPr>
        <w:t>Metastazavusio gaubtinės ir tiesiosios žarnos vėžio antros eilės gydymas vienu preparatu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II ir III fazės klinikinių tyrimų metu gydyta daugiau kaip 980 metastaziniu gaubtinės ir tiesiosios žarnų vėžiu sergančių pacientų, kuriems ankstesnis gydymas 5FU buvo neveiksmingas.  Veiksmingumas vertintas 765 pacientams, kurių ligos progresavimas gydymo 5-fluorouracilu metu buvo dokumentuotas prieš įtraukiant į tyrimą.</w:t>
      </w:r>
    </w:p>
    <w:p w:rsidR="00D052A5" w:rsidRPr="000E6014" w:rsidRDefault="00D052A5" w:rsidP="00D052A5">
      <w:pPr>
        <w:tabs>
          <w:tab w:val="left" w:pos="0"/>
          <w:tab w:val="left" w:pos="567"/>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389"/>
        <w:gridCol w:w="1280"/>
        <w:gridCol w:w="1166"/>
        <w:gridCol w:w="15"/>
        <w:gridCol w:w="1374"/>
        <w:gridCol w:w="916"/>
        <w:gridCol w:w="1166"/>
      </w:tblGrid>
      <w:tr w:rsidR="00D052A5" w:rsidRPr="000E6014" w:rsidTr="001060F1">
        <w:tc>
          <w:tcPr>
            <w:tcW w:w="9178" w:type="dxa"/>
            <w:gridSpan w:val="8"/>
          </w:tcPr>
          <w:p w:rsidR="00D052A5" w:rsidRPr="000E6014" w:rsidRDefault="00D052A5" w:rsidP="001060F1">
            <w:pPr>
              <w:tabs>
                <w:tab w:val="left" w:pos="0"/>
                <w:tab w:val="left" w:pos="567"/>
              </w:tabs>
              <w:spacing w:after="0" w:line="240" w:lineRule="auto"/>
              <w:jc w:val="center"/>
              <w:rPr>
                <w:rFonts w:ascii="Times New Roman" w:hAnsi="Times New Roman"/>
              </w:rPr>
            </w:pPr>
            <w:r w:rsidRPr="000E6014">
              <w:rPr>
                <w:rFonts w:ascii="Times New Roman" w:hAnsi="Times New Roman"/>
              </w:rPr>
              <w:t>III FAZĖS TYRIMAS</w:t>
            </w:r>
          </w:p>
        </w:tc>
      </w:tr>
      <w:tr w:rsidR="00D052A5" w:rsidRPr="000E6014" w:rsidTr="001060F1">
        <w:tblPrEx>
          <w:tblLook w:val="0000" w:firstRow="0" w:lastRow="0" w:firstColumn="0" w:lastColumn="0" w:noHBand="0" w:noVBand="0"/>
        </w:tblPrEx>
        <w:tc>
          <w:tcPr>
            <w:tcW w:w="164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p>
        </w:tc>
        <w:tc>
          <w:tcPr>
            <w:tcW w:w="3948" w:type="dxa"/>
            <w:gridSpan w:val="4"/>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Irinotekanas palyginti su palaikomąja slauga</w:t>
            </w:r>
          </w:p>
        </w:tc>
        <w:tc>
          <w:tcPr>
            <w:tcW w:w="3584" w:type="dxa"/>
            <w:gridSpan w:val="3"/>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Irinotekanas palyginti su 5FU</w:t>
            </w:r>
          </w:p>
        </w:tc>
      </w:tr>
      <w:tr w:rsidR="00D052A5" w:rsidRPr="000E6014" w:rsidTr="001060F1">
        <w:tblPrEx>
          <w:tblLook w:val="0000" w:firstRow="0" w:lastRow="0" w:firstColumn="0" w:lastColumn="0" w:noHBand="0" w:noVBand="0"/>
        </w:tblPrEx>
        <w:tc>
          <w:tcPr>
            <w:tcW w:w="164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p>
        </w:tc>
        <w:tc>
          <w:tcPr>
            <w:tcW w:w="1487"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 xml:space="preserve">Irinotekanas </w:t>
            </w:r>
          </w:p>
        </w:tc>
        <w:tc>
          <w:tcPr>
            <w:tcW w:w="1280"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Palaikomoji slauga</w:t>
            </w:r>
          </w:p>
        </w:tc>
        <w:tc>
          <w:tcPr>
            <w:tcW w:w="1166"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reikšmės</w:t>
            </w:r>
          </w:p>
        </w:tc>
        <w:tc>
          <w:tcPr>
            <w:tcW w:w="1487"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 xml:space="preserve">Irinotekanas </w:t>
            </w:r>
          </w:p>
        </w:tc>
        <w:tc>
          <w:tcPr>
            <w:tcW w:w="946" w:type="dxa"/>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5FU</w:t>
            </w:r>
          </w:p>
        </w:tc>
        <w:tc>
          <w:tcPr>
            <w:tcW w:w="1166"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p>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reikšmės</w:t>
            </w:r>
          </w:p>
        </w:tc>
      </w:tr>
      <w:tr w:rsidR="00D052A5" w:rsidRPr="000E6014" w:rsidTr="001060F1">
        <w:tblPrEx>
          <w:tblLook w:val="0000" w:firstRow="0" w:lastRow="0" w:firstColumn="0" w:lastColumn="0" w:noHBand="0" w:noVBand="0"/>
        </w:tblPrEx>
        <w:tc>
          <w:tcPr>
            <w:tcW w:w="164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p>
        </w:tc>
        <w:tc>
          <w:tcPr>
            <w:tcW w:w="1487"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 = 183</w:t>
            </w:r>
          </w:p>
        </w:tc>
        <w:tc>
          <w:tcPr>
            <w:tcW w:w="1280"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 = 90</w:t>
            </w:r>
          </w:p>
        </w:tc>
        <w:tc>
          <w:tcPr>
            <w:tcW w:w="1166"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p>
        </w:tc>
        <w:tc>
          <w:tcPr>
            <w:tcW w:w="1487" w:type="dxa"/>
            <w:gridSpan w:val="2"/>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 = 127</w:t>
            </w:r>
          </w:p>
        </w:tc>
        <w:tc>
          <w:tcPr>
            <w:tcW w:w="946" w:type="dxa"/>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 = 129</w:t>
            </w:r>
          </w:p>
        </w:tc>
        <w:tc>
          <w:tcPr>
            <w:tcW w:w="1166"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p>
        </w:tc>
      </w:tr>
      <w:tr w:rsidR="00D052A5" w:rsidRPr="000E6014" w:rsidTr="001060F1">
        <w:tblPrEx>
          <w:tblLook w:val="0000" w:firstRow="0" w:lastRow="0" w:firstColumn="0" w:lastColumn="0" w:noHBand="0" w:noVBand="0"/>
        </w:tblPrEx>
        <w:tc>
          <w:tcPr>
            <w:tcW w:w="164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Išgyvenamumas be ligos progresavimo požymių po 6 mėnesių (%)</w:t>
            </w:r>
          </w:p>
        </w:tc>
        <w:tc>
          <w:tcPr>
            <w:tcW w:w="1487"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NA</w:t>
            </w:r>
          </w:p>
        </w:tc>
        <w:tc>
          <w:tcPr>
            <w:tcW w:w="1280"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NA</w:t>
            </w:r>
          </w:p>
        </w:tc>
        <w:tc>
          <w:tcPr>
            <w:tcW w:w="1166"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p>
        </w:tc>
        <w:tc>
          <w:tcPr>
            <w:tcW w:w="1487" w:type="dxa"/>
            <w:gridSpan w:val="2"/>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33,5*</w:t>
            </w:r>
          </w:p>
        </w:tc>
        <w:tc>
          <w:tcPr>
            <w:tcW w:w="946"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26,7</w:t>
            </w:r>
          </w:p>
        </w:tc>
        <w:tc>
          <w:tcPr>
            <w:tcW w:w="1166" w:type="dxa"/>
            <w:tcBorders>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0,03</w:t>
            </w:r>
          </w:p>
        </w:tc>
      </w:tr>
      <w:tr w:rsidR="00D052A5" w:rsidRPr="000E6014" w:rsidTr="001060F1">
        <w:tblPrEx>
          <w:tblLook w:val="0000" w:firstRow="0" w:lastRow="0" w:firstColumn="0" w:lastColumn="0" w:noHBand="0" w:noVBand="0"/>
        </w:tblPrEx>
        <w:tc>
          <w:tcPr>
            <w:tcW w:w="164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Išgyvenamumas po 12 mėnesių (%)</w:t>
            </w:r>
          </w:p>
        </w:tc>
        <w:tc>
          <w:tcPr>
            <w:tcW w:w="1487"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36,2*</w:t>
            </w:r>
          </w:p>
        </w:tc>
        <w:tc>
          <w:tcPr>
            <w:tcW w:w="1280"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13,8</w:t>
            </w:r>
          </w:p>
        </w:tc>
        <w:tc>
          <w:tcPr>
            <w:tcW w:w="116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0,0001</w:t>
            </w:r>
          </w:p>
        </w:tc>
        <w:tc>
          <w:tcPr>
            <w:tcW w:w="1487" w:type="dxa"/>
            <w:gridSpan w:val="2"/>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44,8*</w:t>
            </w:r>
          </w:p>
        </w:tc>
        <w:tc>
          <w:tcPr>
            <w:tcW w:w="94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32,4</w:t>
            </w:r>
          </w:p>
        </w:tc>
        <w:tc>
          <w:tcPr>
            <w:tcW w:w="1166" w:type="dxa"/>
            <w:tcBorders>
              <w:top w:val="nil"/>
              <w:bottom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0,0351</w:t>
            </w:r>
          </w:p>
        </w:tc>
      </w:tr>
      <w:tr w:rsidR="00D052A5" w:rsidRPr="000E6014" w:rsidTr="001060F1">
        <w:tblPrEx>
          <w:tblLook w:val="0000" w:firstRow="0" w:lastRow="0" w:firstColumn="0" w:lastColumn="0" w:noHBand="0" w:noVBand="0"/>
        </w:tblPrEx>
        <w:tc>
          <w:tcPr>
            <w:tcW w:w="1646"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Vidutinis išgyvenamumas (mėn.)</w:t>
            </w:r>
          </w:p>
        </w:tc>
        <w:tc>
          <w:tcPr>
            <w:tcW w:w="1487"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9,2*</w:t>
            </w:r>
          </w:p>
        </w:tc>
        <w:tc>
          <w:tcPr>
            <w:tcW w:w="1280"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6,5</w:t>
            </w:r>
          </w:p>
        </w:tc>
        <w:tc>
          <w:tcPr>
            <w:tcW w:w="1166"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0,0001</w:t>
            </w:r>
          </w:p>
        </w:tc>
        <w:tc>
          <w:tcPr>
            <w:tcW w:w="1487" w:type="dxa"/>
            <w:gridSpan w:val="2"/>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10,8*</w:t>
            </w:r>
          </w:p>
        </w:tc>
        <w:tc>
          <w:tcPr>
            <w:tcW w:w="946"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8,5</w:t>
            </w:r>
          </w:p>
        </w:tc>
        <w:tc>
          <w:tcPr>
            <w:tcW w:w="1166" w:type="dxa"/>
            <w:tcBorders>
              <w:top w:val="nil"/>
            </w:tcBorders>
          </w:tcPr>
          <w:p w:rsidR="00D052A5" w:rsidRPr="000E6014" w:rsidRDefault="00D052A5" w:rsidP="001060F1">
            <w:pPr>
              <w:tabs>
                <w:tab w:val="left" w:pos="0"/>
                <w:tab w:val="left" w:pos="567"/>
              </w:tabs>
              <w:spacing w:after="0" w:line="240" w:lineRule="auto"/>
              <w:rPr>
                <w:rFonts w:ascii="Times New Roman" w:hAnsi="Times New Roman"/>
              </w:rPr>
            </w:pPr>
            <w:r w:rsidRPr="000E6014">
              <w:rPr>
                <w:rFonts w:ascii="Times New Roman" w:hAnsi="Times New Roman"/>
              </w:rPr>
              <w:t>p = 0,0351</w:t>
            </w:r>
          </w:p>
        </w:tc>
      </w:tr>
    </w:tbl>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NA: duomenų nėra</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Skirtumas statistiškai reikšmingas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II fazės tyrimų metu iš 455 pacientų, kuriems vaistinio preparato buvo infuzuojama kas 3 savaitės, be ligos požymių po 6 mėnesių gydymo buvo 30%, o vidutinis išgyvenamumo laikas buvo 9 mėnesiai. Vidutinis laikas, per kurį liga pradėjo progresuoti, buvo 18 savaičių.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Be to, atlikti nelyginamieji II fazės tyrimai, kurių metu 304 pacientams kas savaitę 4 savaites iš eilės į veną per 90 minučių buvo lašinama 125 mg/m</w:t>
      </w:r>
      <w:r w:rsidRPr="000E6014">
        <w:rPr>
          <w:rFonts w:ascii="Times New Roman" w:hAnsi="Times New Roman"/>
          <w:vertAlign w:val="superscript"/>
        </w:rPr>
        <w:t>2</w:t>
      </w:r>
      <w:r w:rsidRPr="000E6014">
        <w:rPr>
          <w:rFonts w:ascii="Times New Roman" w:hAnsi="Times New Roman"/>
        </w:rPr>
        <w:t xml:space="preserve"> kūno paviršiaus dozė, o po to daroma 2 savaičių pertrauka. Šių tyrimų metu vidutiniškai liga pradėjo progresuoti po 17 savaičių, o vidutinis išgyvenamumo laikas buvo 10 mėnesių. Panašus preparato saugumas nustatytas ir tyrimo, kurio metu 193 pacientams preparato į veną buvo lašinta kas savaitę metu; pradinė dozė buvo 125 mg/m</w:t>
      </w:r>
      <w:r w:rsidRPr="000E6014">
        <w:rPr>
          <w:rFonts w:ascii="Times New Roman" w:hAnsi="Times New Roman"/>
          <w:vertAlign w:val="superscript"/>
        </w:rPr>
        <w:t>2</w:t>
      </w:r>
      <w:r w:rsidRPr="000E6014">
        <w:rPr>
          <w:rFonts w:ascii="Times New Roman" w:hAnsi="Times New Roman"/>
        </w:rPr>
        <w:t xml:space="preserve"> kūno paviršiaus. Tuštinimasis skystomis išmatomis prasidėjo vidutiniškai 11 parą.</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rPr>
          <w:rFonts w:ascii="Times New Roman" w:hAnsi="Times New Roman"/>
          <w:u w:val="single"/>
          <w:lang w:eastAsia="en-GB"/>
        </w:rPr>
      </w:pPr>
      <w:r w:rsidRPr="000E6014">
        <w:rPr>
          <w:rFonts w:ascii="Times New Roman" w:hAnsi="Times New Roman"/>
          <w:u w:val="single"/>
          <w:lang w:eastAsia="en-GB"/>
        </w:rPr>
        <w:t>Deriniai su cetuksimabu nepavykus gydyti irinotekanu, įskaitant gydymą citotoksiniais preparatais</w:t>
      </w:r>
    </w:p>
    <w:p w:rsidR="00D052A5" w:rsidRPr="000E6014" w:rsidRDefault="00D052A5" w:rsidP="00D052A5">
      <w:pPr>
        <w:pStyle w:val="prastojitrauka"/>
        <w:ind w:left="0"/>
        <w:rPr>
          <w:szCs w:val="22"/>
          <w:lang w:val="lt-LT"/>
        </w:rPr>
      </w:pPr>
      <w:r w:rsidRPr="000E6014">
        <w:rPr>
          <w:szCs w:val="22"/>
          <w:lang w:val="lt-LT"/>
        </w:rPr>
        <w:t>Cetuksimabo derinio su irinotekanu veiksmingumas buvo tirtas dviejų klinikinių tyrimų metu. Iš viso dalyvavo 356 pacientai, sergantys EAFR ekspresuojančiu metastaziniu kolorektaliniu vėžiu,  neseniai gydyti irinotekanu, įskaitant gydymą citotoksiniais preparatais, kuriems gydymas buvo nesėkmingas ir jų būklės vertinimas pagal Karnofsky skalę buvo mažiausiai 60 balų, o dauguma buvo vertinami  ≥80 balų pagal Karnofsky skalę, kuriems buvo skirtas kompleksinis gydymas.</w:t>
      </w:r>
    </w:p>
    <w:p w:rsidR="00D052A5" w:rsidRPr="000E6014" w:rsidRDefault="00D052A5" w:rsidP="00D052A5">
      <w:pPr>
        <w:pStyle w:val="prastojitrauka"/>
        <w:ind w:left="0"/>
        <w:rPr>
          <w:szCs w:val="22"/>
          <w:lang w:val="lt-LT"/>
        </w:rPr>
      </w:pPr>
      <w:r w:rsidRPr="000E6014">
        <w:rPr>
          <w:szCs w:val="22"/>
          <w:lang w:val="lt-LT"/>
        </w:rPr>
        <w:t>EMR 62 202-007: šiame atsitiktinių imčių tyrime buvo palygintas gydymas cetuksimabo ir irinotekano deriniu (218 pacientų) su gydymu vienu cetuksimabu (111 pacientų).</w:t>
      </w:r>
    </w:p>
    <w:p w:rsidR="00D052A5" w:rsidRPr="000E6014" w:rsidRDefault="00D052A5" w:rsidP="00D052A5">
      <w:pPr>
        <w:pStyle w:val="prastojitrauka"/>
        <w:ind w:left="0"/>
        <w:rPr>
          <w:szCs w:val="22"/>
          <w:lang w:val="lt-LT"/>
        </w:rPr>
      </w:pPr>
      <w:r w:rsidRPr="000E6014">
        <w:rPr>
          <w:szCs w:val="22"/>
          <w:lang w:val="lt-LT"/>
        </w:rPr>
        <w:t>IMCL CP02-9923: šiame vienos grupės atvirame tyrime buvo tirtas kompleksinis gydymas su 138 pacientais.</w:t>
      </w:r>
    </w:p>
    <w:p w:rsidR="00D052A5" w:rsidRPr="000E6014" w:rsidRDefault="00D052A5" w:rsidP="00D052A5">
      <w:pPr>
        <w:pStyle w:val="prastojitrauka"/>
        <w:ind w:left="0"/>
        <w:rPr>
          <w:szCs w:val="22"/>
          <w:lang w:val="lt-LT"/>
        </w:rPr>
      </w:pPr>
      <w:r w:rsidRPr="000E6014">
        <w:rPr>
          <w:szCs w:val="22"/>
          <w:lang w:val="lt-LT"/>
        </w:rPr>
        <w:t>Veiksmingumo duomenys pateikti toliau esančioje lentelėje: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546"/>
        <w:gridCol w:w="799"/>
        <w:gridCol w:w="867"/>
        <w:gridCol w:w="820"/>
        <w:gridCol w:w="867"/>
        <w:gridCol w:w="986"/>
        <w:gridCol w:w="668"/>
        <w:gridCol w:w="986"/>
        <w:gridCol w:w="688"/>
      </w:tblGrid>
      <w:tr w:rsidR="00D052A5" w:rsidRPr="000E6014" w:rsidTr="001060F1">
        <w:trPr>
          <w:cantSplit/>
          <w:trHeight w:val="417"/>
        </w:trPr>
        <w:tc>
          <w:tcPr>
            <w:tcW w:w="0" w:type="auto"/>
          </w:tcPr>
          <w:p w:rsidR="00D052A5" w:rsidRPr="000E6014" w:rsidRDefault="00D052A5" w:rsidP="001060F1">
            <w:pPr>
              <w:pStyle w:val="prastojitrauka"/>
              <w:ind w:left="0"/>
              <w:rPr>
                <w:szCs w:val="22"/>
                <w:lang w:val="lt-LT"/>
              </w:rPr>
            </w:pPr>
            <w:r w:rsidRPr="000E6014">
              <w:rPr>
                <w:szCs w:val="22"/>
                <w:lang w:val="lt-LT"/>
              </w:rPr>
              <w:t>Tyrimas</w:t>
            </w:r>
          </w:p>
        </w:tc>
        <w:tc>
          <w:tcPr>
            <w:tcW w:w="0" w:type="auto"/>
          </w:tcPr>
          <w:p w:rsidR="00D052A5" w:rsidRPr="000E6014" w:rsidRDefault="00D052A5" w:rsidP="001060F1">
            <w:pPr>
              <w:pStyle w:val="prastojitrauka"/>
              <w:ind w:left="0"/>
              <w:rPr>
                <w:szCs w:val="22"/>
                <w:lang w:val="lt-LT"/>
              </w:rPr>
            </w:pPr>
            <w:r w:rsidRPr="000E6014">
              <w:rPr>
                <w:szCs w:val="22"/>
                <w:lang w:val="lt-LT"/>
              </w:rPr>
              <w:t>Nr.</w:t>
            </w:r>
          </w:p>
        </w:tc>
        <w:tc>
          <w:tcPr>
            <w:tcW w:w="0" w:type="auto"/>
            <w:gridSpan w:val="2"/>
          </w:tcPr>
          <w:p w:rsidR="00D052A5" w:rsidRPr="000E6014" w:rsidRDefault="00D052A5" w:rsidP="001060F1">
            <w:pPr>
              <w:pStyle w:val="prastojitrauka"/>
              <w:ind w:left="0"/>
              <w:rPr>
                <w:szCs w:val="22"/>
                <w:lang w:val="lt-LT"/>
              </w:rPr>
            </w:pPr>
            <w:r w:rsidRPr="000E6014">
              <w:rPr>
                <w:szCs w:val="22"/>
                <w:lang w:val="lt-LT"/>
              </w:rPr>
              <w:t>ORR</w:t>
            </w:r>
          </w:p>
        </w:tc>
        <w:tc>
          <w:tcPr>
            <w:tcW w:w="0" w:type="auto"/>
            <w:gridSpan w:val="2"/>
          </w:tcPr>
          <w:p w:rsidR="00D052A5" w:rsidRPr="000E6014" w:rsidRDefault="00D052A5" w:rsidP="001060F1">
            <w:pPr>
              <w:pStyle w:val="prastojitrauka"/>
              <w:ind w:left="0"/>
              <w:rPr>
                <w:szCs w:val="22"/>
                <w:lang w:val="lt-LT"/>
              </w:rPr>
            </w:pPr>
            <w:r w:rsidRPr="000E6014">
              <w:rPr>
                <w:szCs w:val="22"/>
                <w:lang w:val="lt-LT"/>
              </w:rPr>
              <w:t>DCR</w:t>
            </w:r>
          </w:p>
        </w:tc>
        <w:tc>
          <w:tcPr>
            <w:tcW w:w="0" w:type="auto"/>
            <w:gridSpan w:val="2"/>
          </w:tcPr>
          <w:p w:rsidR="00D052A5" w:rsidRPr="000E6014" w:rsidRDefault="00D052A5" w:rsidP="001060F1">
            <w:pPr>
              <w:pStyle w:val="prastojitrauka"/>
              <w:ind w:left="0"/>
              <w:rPr>
                <w:szCs w:val="22"/>
                <w:lang w:val="lt-LT"/>
              </w:rPr>
            </w:pPr>
            <w:r w:rsidRPr="000E6014">
              <w:rPr>
                <w:szCs w:val="22"/>
                <w:lang w:val="lt-LT"/>
              </w:rPr>
              <w:t>PFS (mėnesiai)</w:t>
            </w:r>
          </w:p>
        </w:tc>
        <w:tc>
          <w:tcPr>
            <w:tcW w:w="0" w:type="auto"/>
            <w:gridSpan w:val="2"/>
          </w:tcPr>
          <w:p w:rsidR="00D052A5" w:rsidRPr="000E6014" w:rsidRDefault="00D052A5" w:rsidP="001060F1">
            <w:pPr>
              <w:pStyle w:val="prastojitrauka"/>
              <w:ind w:left="0"/>
              <w:rPr>
                <w:szCs w:val="22"/>
                <w:lang w:val="lt-LT"/>
              </w:rPr>
            </w:pPr>
            <w:r w:rsidRPr="000E6014">
              <w:rPr>
                <w:szCs w:val="22"/>
                <w:lang w:val="lt-LT"/>
              </w:rPr>
              <w:t>OS (mėnesiai)</w:t>
            </w:r>
          </w:p>
        </w:tc>
      </w:tr>
      <w:tr w:rsidR="00D052A5" w:rsidRPr="000E6014" w:rsidTr="001060F1">
        <w:trPr>
          <w:cantSplit/>
          <w:trHeight w:val="551"/>
        </w:trPr>
        <w:tc>
          <w:tcPr>
            <w:tcW w:w="0" w:type="auto"/>
          </w:tcPr>
          <w:p w:rsidR="00D052A5" w:rsidRPr="000E6014" w:rsidRDefault="00D052A5" w:rsidP="001060F1">
            <w:pPr>
              <w:pStyle w:val="prastojitrauka"/>
              <w:ind w:left="0"/>
              <w:rPr>
                <w:szCs w:val="22"/>
                <w:lang w:val="lt-LT"/>
              </w:rPr>
            </w:pPr>
          </w:p>
        </w:tc>
        <w:tc>
          <w:tcPr>
            <w:tcW w:w="0" w:type="auto"/>
            <w:textDirection w:val="tbRl"/>
          </w:tcPr>
          <w:p w:rsidR="00D052A5" w:rsidRPr="000E6014" w:rsidRDefault="00D052A5" w:rsidP="001060F1">
            <w:pPr>
              <w:pStyle w:val="prastojitrauka"/>
              <w:ind w:left="0"/>
              <w:rPr>
                <w:szCs w:val="22"/>
                <w:lang w:val="lt-LT"/>
              </w:rPr>
            </w:pPr>
          </w:p>
        </w:tc>
        <w:tc>
          <w:tcPr>
            <w:tcW w:w="0" w:type="auto"/>
          </w:tcPr>
          <w:p w:rsidR="00D052A5" w:rsidRPr="000E6014" w:rsidRDefault="00D052A5" w:rsidP="001060F1">
            <w:pPr>
              <w:pStyle w:val="prastojitrauka"/>
              <w:ind w:left="0"/>
              <w:rPr>
                <w:szCs w:val="22"/>
                <w:lang w:val="lt-LT"/>
              </w:rPr>
            </w:pPr>
            <w:r w:rsidRPr="000E6014">
              <w:rPr>
                <w:szCs w:val="22"/>
                <w:lang w:val="lt-LT"/>
              </w:rPr>
              <w:t>n(%)</w:t>
            </w:r>
          </w:p>
        </w:tc>
        <w:tc>
          <w:tcPr>
            <w:tcW w:w="0" w:type="auto"/>
          </w:tcPr>
          <w:p w:rsidR="00D052A5" w:rsidRPr="000E6014" w:rsidRDefault="00D052A5" w:rsidP="001060F1">
            <w:pPr>
              <w:pStyle w:val="prastojitrauka"/>
              <w:ind w:left="0"/>
              <w:rPr>
                <w:szCs w:val="22"/>
                <w:lang w:val="lt-LT"/>
              </w:rPr>
            </w:pPr>
            <w:r w:rsidRPr="000E6014">
              <w:rPr>
                <w:szCs w:val="22"/>
                <w:lang w:val="lt-LT"/>
              </w:rPr>
              <w:t>95%PI</w:t>
            </w:r>
          </w:p>
        </w:tc>
        <w:tc>
          <w:tcPr>
            <w:tcW w:w="0" w:type="auto"/>
          </w:tcPr>
          <w:p w:rsidR="00D052A5" w:rsidRPr="000E6014" w:rsidRDefault="00D052A5" w:rsidP="001060F1">
            <w:pPr>
              <w:pStyle w:val="prastojitrauka"/>
              <w:ind w:left="0"/>
              <w:rPr>
                <w:szCs w:val="22"/>
                <w:lang w:val="lt-LT"/>
              </w:rPr>
            </w:pPr>
            <w:r w:rsidRPr="000E6014">
              <w:rPr>
                <w:szCs w:val="22"/>
                <w:lang w:val="lt-LT"/>
              </w:rPr>
              <w:t>n(%)</w:t>
            </w:r>
          </w:p>
        </w:tc>
        <w:tc>
          <w:tcPr>
            <w:tcW w:w="0" w:type="auto"/>
          </w:tcPr>
          <w:p w:rsidR="00D052A5" w:rsidRPr="000E6014" w:rsidRDefault="00D052A5" w:rsidP="001060F1">
            <w:pPr>
              <w:pStyle w:val="prastojitrauka"/>
              <w:ind w:left="0"/>
              <w:rPr>
                <w:szCs w:val="22"/>
                <w:lang w:val="lt-LT"/>
              </w:rPr>
            </w:pPr>
            <w:r w:rsidRPr="000E6014">
              <w:rPr>
                <w:szCs w:val="22"/>
                <w:lang w:val="lt-LT"/>
              </w:rPr>
              <w:t>95%PI</w:t>
            </w:r>
          </w:p>
        </w:tc>
        <w:tc>
          <w:tcPr>
            <w:tcW w:w="0" w:type="auto"/>
          </w:tcPr>
          <w:p w:rsidR="00D052A5" w:rsidRPr="000E6014" w:rsidRDefault="00D052A5" w:rsidP="001060F1">
            <w:pPr>
              <w:pStyle w:val="prastojitrauka"/>
              <w:ind w:left="0"/>
              <w:rPr>
                <w:szCs w:val="22"/>
                <w:lang w:val="lt-LT"/>
              </w:rPr>
            </w:pPr>
            <w:r w:rsidRPr="000E6014">
              <w:rPr>
                <w:szCs w:val="22"/>
                <w:lang w:val="lt-LT"/>
              </w:rPr>
              <w:t>Mediana</w:t>
            </w:r>
          </w:p>
        </w:tc>
        <w:tc>
          <w:tcPr>
            <w:tcW w:w="0" w:type="auto"/>
          </w:tcPr>
          <w:p w:rsidR="00D052A5" w:rsidRPr="000E6014" w:rsidRDefault="00D052A5" w:rsidP="001060F1">
            <w:pPr>
              <w:pStyle w:val="prastojitrauka"/>
              <w:ind w:left="0"/>
              <w:rPr>
                <w:szCs w:val="22"/>
                <w:lang w:val="lt-LT"/>
              </w:rPr>
            </w:pPr>
            <w:r w:rsidRPr="000E6014">
              <w:rPr>
                <w:szCs w:val="22"/>
                <w:lang w:val="lt-LT"/>
              </w:rPr>
              <w:t>95% PI</w:t>
            </w:r>
          </w:p>
        </w:tc>
        <w:tc>
          <w:tcPr>
            <w:tcW w:w="0" w:type="auto"/>
          </w:tcPr>
          <w:p w:rsidR="00D052A5" w:rsidRPr="000E6014" w:rsidRDefault="00D052A5" w:rsidP="001060F1">
            <w:pPr>
              <w:pStyle w:val="prastojitrauka"/>
              <w:ind w:left="0"/>
              <w:rPr>
                <w:szCs w:val="22"/>
                <w:lang w:val="lt-LT"/>
              </w:rPr>
            </w:pPr>
            <w:r w:rsidRPr="000E6014">
              <w:rPr>
                <w:szCs w:val="22"/>
                <w:lang w:val="lt-LT"/>
              </w:rPr>
              <w:t>Mediana</w:t>
            </w:r>
          </w:p>
        </w:tc>
        <w:tc>
          <w:tcPr>
            <w:tcW w:w="0" w:type="auto"/>
          </w:tcPr>
          <w:p w:rsidR="00D052A5" w:rsidRPr="000E6014" w:rsidRDefault="00D052A5" w:rsidP="001060F1">
            <w:pPr>
              <w:pStyle w:val="prastojitrauka"/>
              <w:ind w:left="0"/>
              <w:rPr>
                <w:szCs w:val="22"/>
                <w:lang w:val="lt-LT"/>
              </w:rPr>
            </w:pPr>
            <w:r w:rsidRPr="000E6014">
              <w:rPr>
                <w:szCs w:val="22"/>
                <w:lang w:val="lt-LT"/>
              </w:rPr>
              <w:t>95% PI</w:t>
            </w:r>
          </w:p>
        </w:tc>
      </w:tr>
      <w:tr w:rsidR="00D052A5" w:rsidRPr="000E6014" w:rsidTr="001060F1">
        <w:trPr>
          <w:cantSplit/>
          <w:trHeight w:val="475"/>
        </w:trPr>
        <w:tc>
          <w:tcPr>
            <w:tcW w:w="0" w:type="auto"/>
            <w:gridSpan w:val="10"/>
          </w:tcPr>
          <w:p w:rsidR="00D052A5" w:rsidRPr="000E6014" w:rsidRDefault="00D052A5" w:rsidP="001060F1">
            <w:pPr>
              <w:pStyle w:val="prastojitrauka"/>
              <w:ind w:left="0"/>
              <w:rPr>
                <w:szCs w:val="22"/>
                <w:lang w:val="lt-LT"/>
              </w:rPr>
            </w:pPr>
            <w:r w:rsidRPr="000E6014">
              <w:rPr>
                <w:szCs w:val="22"/>
                <w:lang w:val="lt-LT"/>
              </w:rPr>
              <w:t>Cetuksimabas + irinotekanas</w:t>
            </w:r>
          </w:p>
        </w:tc>
      </w:tr>
      <w:tr w:rsidR="00D052A5" w:rsidRPr="000E6014" w:rsidTr="001060F1">
        <w:trPr>
          <w:cantSplit/>
          <w:trHeight w:val="581"/>
        </w:trPr>
        <w:tc>
          <w:tcPr>
            <w:tcW w:w="0" w:type="auto"/>
          </w:tcPr>
          <w:p w:rsidR="00D052A5" w:rsidRPr="000E6014" w:rsidRDefault="00D052A5" w:rsidP="001060F1">
            <w:pPr>
              <w:pStyle w:val="prastojitrauka"/>
              <w:ind w:left="0"/>
              <w:rPr>
                <w:szCs w:val="22"/>
                <w:lang w:val="lt-LT"/>
              </w:rPr>
            </w:pPr>
            <w:r w:rsidRPr="000E6014">
              <w:rPr>
                <w:szCs w:val="22"/>
                <w:lang w:val="lt-LT"/>
              </w:rPr>
              <w:t>EMR 62 202-007</w:t>
            </w:r>
          </w:p>
        </w:tc>
        <w:tc>
          <w:tcPr>
            <w:tcW w:w="0" w:type="auto"/>
          </w:tcPr>
          <w:p w:rsidR="00D052A5" w:rsidRPr="000E6014" w:rsidRDefault="00D052A5" w:rsidP="001060F1">
            <w:pPr>
              <w:pStyle w:val="prastojitrauka"/>
              <w:ind w:left="0"/>
              <w:rPr>
                <w:szCs w:val="22"/>
                <w:lang w:val="lt-LT"/>
              </w:rPr>
            </w:pPr>
            <w:r w:rsidRPr="000E6014">
              <w:rPr>
                <w:szCs w:val="22"/>
                <w:lang w:val="lt-LT"/>
              </w:rPr>
              <w:t>218</w:t>
            </w:r>
          </w:p>
        </w:tc>
        <w:tc>
          <w:tcPr>
            <w:tcW w:w="0" w:type="auto"/>
          </w:tcPr>
          <w:p w:rsidR="00D052A5" w:rsidRPr="000E6014" w:rsidRDefault="00D052A5" w:rsidP="001060F1">
            <w:pPr>
              <w:pStyle w:val="prastojitrauka"/>
              <w:ind w:left="0"/>
              <w:rPr>
                <w:szCs w:val="22"/>
                <w:lang w:val="lt-LT"/>
              </w:rPr>
            </w:pPr>
            <w:r w:rsidRPr="000E6014">
              <w:rPr>
                <w:szCs w:val="22"/>
                <w:lang w:val="lt-LT"/>
              </w:rPr>
              <w:t>50 (22,9)</w:t>
            </w:r>
          </w:p>
        </w:tc>
        <w:tc>
          <w:tcPr>
            <w:tcW w:w="0" w:type="auto"/>
          </w:tcPr>
          <w:p w:rsidR="00D052A5" w:rsidRPr="000E6014" w:rsidRDefault="00D052A5" w:rsidP="001060F1">
            <w:pPr>
              <w:pStyle w:val="prastojitrauka"/>
              <w:ind w:left="0"/>
              <w:rPr>
                <w:szCs w:val="22"/>
                <w:lang w:val="lt-LT"/>
              </w:rPr>
            </w:pPr>
            <w:r w:rsidRPr="000E6014">
              <w:rPr>
                <w:szCs w:val="22"/>
                <w:lang w:val="lt-LT"/>
              </w:rPr>
              <w:t>17,5, 29,1</w:t>
            </w:r>
          </w:p>
        </w:tc>
        <w:tc>
          <w:tcPr>
            <w:tcW w:w="0" w:type="auto"/>
          </w:tcPr>
          <w:p w:rsidR="00D052A5" w:rsidRPr="000E6014" w:rsidRDefault="00D052A5" w:rsidP="001060F1">
            <w:pPr>
              <w:pStyle w:val="prastojitrauka"/>
              <w:ind w:left="0"/>
              <w:rPr>
                <w:szCs w:val="22"/>
                <w:lang w:val="lt-LT"/>
              </w:rPr>
            </w:pPr>
            <w:r w:rsidRPr="000E6014">
              <w:rPr>
                <w:szCs w:val="22"/>
                <w:lang w:val="lt-LT"/>
              </w:rPr>
              <w:t>121 (55,5)</w:t>
            </w:r>
          </w:p>
        </w:tc>
        <w:tc>
          <w:tcPr>
            <w:tcW w:w="0" w:type="auto"/>
          </w:tcPr>
          <w:p w:rsidR="00D052A5" w:rsidRPr="000E6014" w:rsidRDefault="00D052A5" w:rsidP="001060F1">
            <w:pPr>
              <w:pStyle w:val="prastojitrauka"/>
              <w:ind w:left="0"/>
              <w:rPr>
                <w:szCs w:val="22"/>
                <w:lang w:val="lt-LT"/>
              </w:rPr>
            </w:pPr>
            <w:r w:rsidRPr="000E6014">
              <w:rPr>
                <w:szCs w:val="22"/>
                <w:lang w:val="lt-LT"/>
              </w:rPr>
              <w:t>48,6, 62,2</w:t>
            </w:r>
          </w:p>
        </w:tc>
        <w:tc>
          <w:tcPr>
            <w:tcW w:w="0" w:type="auto"/>
          </w:tcPr>
          <w:p w:rsidR="00D052A5" w:rsidRPr="000E6014" w:rsidRDefault="00D052A5" w:rsidP="001060F1">
            <w:pPr>
              <w:pStyle w:val="prastojitrauka"/>
              <w:ind w:left="0"/>
              <w:rPr>
                <w:szCs w:val="22"/>
                <w:lang w:val="lt-LT"/>
              </w:rPr>
            </w:pPr>
            <w:r w:rsidRPr="000E6014">
              <w:rPr>
                <w:szCs w:val="22"/>
                <w:lang w:val="lt-LT"/>
              </w:rPr>
              <w:t>4,1</w:t>
            </w:r>
          </w:p>
        </w:tc>
        <w:tc>
          <w:tcPr>
            <w:tcW w:w="0" w:type="auto"/>
          </w:tcPr>
          <w:p w:rsidR="00D052A5" w:rsidRPr="000E6014" w:rsidRDefault="00D052A5" w:rsidP="001060F1">
            <w:pPr>
              <w:pStyle w:val="prastojitrauka"/>
              <w:ind w:left="0"/>
              <w:rPr>
                <w:szCs w:val="22"/>
                <w:lang w:val="lt-LT"/>
              </w:rPr>
            </w:pPr>
            <w:r w:rsidRPr="000E6014">
              <w:rPr>
                <w:szCs w:val="22"/>
                <w:lang w:val="lt-LT"/>
              </w:rPr>
              <w:t>2,8, 4.3</w:t>
            </w:r>
          </w:p>
        </w:tc>
        <w:tc>
          <w:tcPr>
            <w:tcW w:w="0" w:type="auto"/>
          </w:tcPr>
          <w:p w:rsidR="00D052A5" w:rsidRPr="000E6014" w:rsidRDefault="00D052A5" w:rsidP="001060F1">
            <w:pPr>
              <w:pStyle w:val="prastojitrauka"/>
              <w:ind w:left="0"/>
              <w:rPr>
                <w:szCs w:val="22"/>
                <w:lang w:val="lt-LT"/>
              </w:rPr>
            </w:pPr>
            <w:r w:rsidRPr="000E6014">
              <w:rPr>
                <w:szCs w:val="22"/>
                <w:lang w:val="lt-LT"/>
              </w:rPr>
              <w:t>8,6</w:t>
            </w:r>
          </w:p>
        </w:tc>
        <w:tc>
          <w:tcPr>
            <w:tcW w:w="0" w:type="auto"/>
          </w:tcPr>
          <w:p w:rsidR="00D052A5" w:rsidRPr="000E6014" w:rsidRDefault="00D052A5" w:rsidP="001060F1">
            <w:pPr>
              <w:pStyle w:val="prastojitrauka"/>
              <w:ind w:left="0"/>
              <w:rPr>
                <w:szCs w:val="22"/>
                <w:lang w:val="lt-LT"/>
              </w:rPr>
            </w:pPr>
            <w:r w:rsidRPr="000E6014">
              <w:rPr>
                <w:szCs w:val="22"/>
                <w:lang w:val="lt-LT"/>
              </w:rPr>
              <w:t>7.6, 9.6</w:t>
            </w:r>
          </w:p>
        </w:tc>
      </w:tr>
      <w:tr w:rsidR="00D052A5" w:rsidRPr="000E6014" w:rsidTr="001060F1">
        <w:trPr>
          <w:cantSplit/>
          <w:trHeight w:val="505"/>
        </w:trPr>
        <w:tc>
          <w:tcPr>
            <w:tcW w:w="0" w:type="auto"/>
          </w:tcPr>
          <w:p w:rsidR="00D052A5" w:rsidRPr="000E6014" w:rsidRDefault="00D052A5" w:rsidP="001060F1">
            <w:pPr>
              <w:pStyle w:val="prastojitrauka"/>
              <w:ind w:left="0"/>
              <w:rPr>
                <w:szCs w:val="22"/>
                <w:lang w:val="lt-LT"/>
              </w:rPr>
            </w:pPr>
            <w:r w:rsidRPr="000E6014">
              <w:rPr>
                <w:szCs w:val="22"/>
                <w:lang w:val="lt-LT"/>
              </w:rPr>
              <w:lastRenderedPageBreak/>
              <w:t>IMCL CP02-9923</w:t>
            </w:r>
          </w:p>
        </w:tc>
        <w:tc>
          <w:tcPr>
            <w:tcW w:w="0" w:type="auto"/>
          </w:tcPr>
          <w:p w:rsidR="00D052A5" w:rsidRPr="000E6014" w:rsidRDefault="00D052A5" w:rsidP="001060F1">
            <w:pPr>
              <w:pStyle w:val="prastojitrauka"/>
              <w:ind w:left="0"/>
              <w:rPr>
                <w:szCs w:val="22"/>
                <w:lang w:val="lt-LT"/>
              </w:rPr>
            </w:pPr>
            <w:r w:rsidRPr="000E6014">
              <w:rPr>
                <w:szCs w:val="22"/>
                <w:lang w:val="lt-LT"/>
              </w:rPr>
              <w:t>138</w:t>
            </w:r>
          </w:p>
        </w:tc>
        <w:tc>
          <w:tcPr>
            <w:tcW w:w="0" w:type="auto"/>
          </w:tcPr>
          <w:p w:rsidR="00D052A5" w:rsidRPr="000E6014" w:rsidRDefault="00D052A5" w:rsidP="001060F1">
            <w:pPr>
              <w:pStyle w:val="prastojitrauka"/>
              <w:ind w:left="0"/>
              <w:rPr>
                <w:szCs w:val="22"/>
                <w:lang w:val="lt-LT"/>
              </w:rPr>
            </w:pPr>
            <w:r w:rsidRPr="000E6014">
              <w:rPr>
                <w:szCs w:val="22"/>
                <w:lang w:val="lt-LT"/>
              </w:rPr>
              <w:t>21 (15,2)</w:t>
            </w:r>
          </w:p>
        </w:tc>
        <w:tc>
          <w:tcPr>
            <w:tcW w:w="0" w:type="auto"/>
          </w:tcPr>
          <w:p w:rsidR="00D052A5" w:rsidRPr="000E6014" w:rsidRDefault="00D052A5" w:rsidP="001060F1">
            <w:pPr>
              <w:pStyle w:val="prastojitrauka"/>
              <w:ind w:left="0"/>
              <w:rPr>
                <w:szCs w:val="22"/>
                <w:lang w:val="lt-LT"/>
              </w:rPr>
            </w:pPr>
            <w:r w:rsidRPr="000E6014">
              <w:rPr>
                <w:szCs w:val="22"/>
                <w:lang w:val="lt-LT"/>
              </w:rPr>
              <w:t>9,7, 22,3</w:t>
            </w:r>
          </w:p>
        </w:tc>
        <w:tc>
          <w:tcPr>
            <w:tcW w:w="0" w:type="auto"/>
          </w:tcPr>
          <w:p w:rsidR="00D052A5" w:rsidRPr="000E6014" w:rsidRDefault="00D052A5" w:rsidP="001060F1">
            <w:pPr>
              <w:pStyle w:val="prastojitrauka"/>
              <w:ind w:left="0"/>
              <w:rPr>
                <w:szCs w:val="22"/>
                <w:lang w:val="lt-LT"/>
              </w:rPr>
            </w:pPr>
            <w:r w:rsidRPr="000E6014">
              <w:rPr>
                <w:szCs w:val="22"/>
                <w:lang w:val="lt-LT"/>
              </w:rPr>
              <w:t>84 (60,9)</w:t>
            </w:r>
          </w:p>
        </w:tc>
        <w:tc>
          <w:tcPr>
            <w:tcW w:w="0" w:type="auto"/>
          </w:tcPr>
          <w:p w:rsidR="00D052A5" w:rsidRPr="000E6014" w:rsidRDefault="00D052A5" w:rsidP="001060F1">
            <w:pPr>
              <w:pStyle w:val="prastojitrauka"/>
              <w:ind w:left="0"/>
              <w:rPr>
                <w:szCs w:val="22"/>
                <w:lang w:val="lt-LT"/>
              </w:rPr>
            </w:pPr>
            <w:r w:rsidRPr="000E6014">
              <w:rPr>
                <w:szCs w:val="22"/>
                <w:lang w:val="lt-LT"/>
              </w:rPr>
              <w:t>52,2, 69,1</w:t>
            </w:r>
          </w:p>
        </w:tc>
        <w:tc>
          <w:tcPr>
            <w:tcW w:w="0" w:type="auto"/>
          </w:tcPr>
          <w:p w:rsidR="00D052A5" w:rsidRPr="000E6014" w:rsidRDefault="00D052A5" w:rsidP="001060F1">
            <w:pPr>
              <w:pStyle w:val="prastojitrauka"/>
              <w:ind w:left="0"/>
              <w:rPr>
                <w:szCs w:val="22"/>
                <w:lang w:val="lt-LT"/>
              </w:rPr>
            </w:pPr>
            <w:r w:rsidRPr="000E6014">
              <w:rPr>
                <w:szCs w:val="22"/>
                <w:lang w:val="lt-LT"/>
              </w:rPr>
              <w:t>2,9</w:t>
            </w:r>
          </w:p>
        </w:tc>
        <w:tc>
          <w:tcPr>
            <w:tcW w:w="0" w:type="auto"/>
          </w:tcPr>
          <w:p w:rsidR="00D052A5" w:rsidRPr="000E6014" w:rsidRDefault="00D052A5" w:rsidP="001060F1">
            <w:pPr>
              <w:pStyle w:val="prastojitrauka"/>
              <w:ind w:left="0"/>
              <w:rPr>
                <w:szCs w:val="22"/>
                <w:lang w:val="lt-LT"/>
              </w:rPr>
            </w:pPr>
            <w:r w:rsidRPr="000E6014">
              <w:rPr>
                <w:szCs w:val="22"/>
                <w:lang w:val="lt-LT"/>
              </w:rPr>
              <w:t>2,6, 4,1</w:t>
            </w:r>
          </w:p>
        </w:tc>
        <w:tc>
          <w:tcPr>
            <w:tcW w:w="0" w:type="auto"/>
          </w:tcPr>
          <w:p w:rsidR="00D052A5" w:rsidRPr="000E6014" w:rsidRDefault="00D052A5" w:rsidP="001060F1">
            <w:pPr>
              <w:pStyle w:val="prastojitrauka"/>
              <w:ind w:left="0"/>
              <w:rPr>
                <w:szCs w:val="22"/>
                <w:lang w:val="lt-LT"/>
              </w:rPr>
            </w:pPr>
            <w:r w:rsidRPr="000E6014">
              <w:rPr>
                <w:szCs w:val="22"/>
                <w:lang w:val="lt-LT"/>
              </w:rPr>
              <w:t>8,4</w:t>
            </w:r>
          </w:p>
        </w:tc>
        <w:tc>
          <w:tcPr>
            <w:tcW w:w="0" w:type="auto"/>
          </w:tcPr>
          <w:p w:rsidR="00D052A5" w:rsidRPr="000E6014" w:rsidRDefault="00D052A5" w:rsidP="001060F1">
            <w:pPr>
              <w:pStyle w:val="prastojitrauka"/>
              <w:ind w:left="0"/>
              <w:rPr>
                <w:szCs w:val="22"/>
                <w:lang w:val="lt-LT"/>
              </w:rPr>
            </w:pPr>
            <w:r w:rsidRPr="000E6014">
              <w:rPr>
                <w:szCs w:val="22"/>
                <w:lang w:val="lt-LT"/>
              </w:rPr>
              <w:t>7.2, 10.3</w:t>
            </w:r>
          </w:p>
        </w:tc>
      </w:tr>
      <w:tr w:rsidR="00D052A5" w:rsidRPr="000E6014" w:rsidTr="001060F1">
        <w:trPr>
          <w:cantSplit/>
          <w:trHeight w:val="429"/>
        </w:trPr>
        <w:tc>
          <w:tcPr>
            <w:tcW w:w="0" w:type="auto"/>
            <w:gridSpan w:val="10"/>
          </w:tcPr>
          <w:p w:rsidR="00D052A5" w:rsidRPr="000E6014" w:rsidRDefault="00D052A5" w:rsidP="001060F1">
            <w:pPr>
              <w:pStyle w:val="prastojitrauka"/>
              <w:ind w:left="0"/>
              <w:rPr>
                <w:szCs w:val="22"/>
                <w:lang w:val="lt-LT"/>
              </w:rPr>
            </w:pPr>
            <w:r w:rsidRPr="000E6014">
              <w:rPr>
                <w:szCs w:val="22"/>
                <w:lang w:val="lt-LT"/>
              </w:rPr>
              <w:t>Cetuksimabas</w:t>
            </w:r>
          </w:p>
        </w:tc>
      </w:tr>
      <w:tr w:rsidR="00D052A5" w:rsidRPr="000E6014" w:rsidTr="001060F1">
        <w:trPr>
          <w:cantSplit/>
          <w:trHeight w:val="563"/>
        </w:trPr>
        <w:tc>
          <w:tcPr>
            <w:tcW w:w="0" w:type="auto"/>
          </w:tcPr>
          <w:p w:rsidR="00D052A5" w:rsidRPr="000E6014" w:rsidRDefault="00D052A5" w:rsidP="001060F1">
            <w:pPr>
              <w:pStyle w:val="prastojitrauka"/>
              <w:ind w:left="0"/>
              <w:rPr>
                <w:szCs w:val="22"/>
                <w:lang w:val="lt-LT"/>
              </w:rPr>
            </w:pPr>
            <w:r w:rsidRPr="000E6014">
              <w:rPr>
                <w:szCs w:val="22"/>
                <w:lang w:val="lt-LT"/>
              </w:rPr>
              <w:t>EMR 62 202-007</w:t>
            </w:r>
          </w:p>
        </w:tc>
        <w:tc>
          <w:tcPr>
            <w:tcW w:w="0" w:type="auto"/>
          </w:tcPr>
          <w:p w:rsidR="00D052A5" w:rsidRPr="000E6014" w:rsidRDefault="00D052A5" w:rsidP="001060F1">
            <w:pPr>
              <w:pStyle w:val="prastojitrauka"/>
              <w:ind w:left="0"/>
              <w:rPr>
                <w:szCs w:val="22"/>
                <w:lang w:val="lt-LT"/>
              </w:rPr>
            </w:pPr>
            <w:r w:rsidRPr="000E6014">
              <w:rPr>
                <w:szCs w:val="22"/>
                <w:lang w:val="lt-LT"/>
              </w:rPr>
              <w:t>111</w:t>
            </w:r>
          </w:p>
        </w:tc>
        <w:tc>
          <w:tcPr>
            <w:tcW w:w="0" w:type="auto"/>
          </w:tcPr>
          <w:p w:rsidR="00D052A5" w:rsidRPr="000E6014" w:rsidRDefault="00D052A5" w:rsidP="001060F1">
            <w:pPr>
              <w:pStyle w:val="prastojitrauka"/>
              <w:ind w:left="0"/>
              <w:rPr>
                <w:szCs w:val="22"/>
                <w:lang w:val="lt-LT"/>
              </w:rPr>
            </w:pPr>
            <w:r w:rsidRPr="000E6014">
              <w:rPr>
                <w:szCs w:val="22"/>
                <w:lang w:val="lt-LT"/>
              </w:rPr>
              <w:t>12 (10,8)</w:t>
            </w:r>
          </w:p>
        </w:tc>
        <w:tc>
          <w:tcPr>
            <w:tcW w:w="0" w:type="auto"/>
          </w:tcPr>
          <w:p w:rsidR="00D052A5" w:rsidRPr="000E6014" w:rsidRDefault="00D052A5" w:rsidP="001060F1">
            <w:pPr>
              <w:pStyle w:val="prastojitrauka"/>
              <w:ind w:left="0"/>
              <w:rPr>
                <w:szCs w:val="22"/>
                <w:lang w:val="lt-LT"/>
              </w:rPr>
            </w:pPr>
            <w:r w:rsidRPr="000E6014">
              <w:rPr>
                <w:szCs w:val="22"/>
                <w:lang w:val="lt-LT"/>
              </w:rPr>
              <w:t>5,7, 18,1</w:t>
            </w:r>
          </w:p>
        </w:tc>
        <w:tc>
          <w:tcPr>
            <w:tcW w:w="0" w:type="auto"/>
          </w:tcPr>
          <w:p w:rsidR="00D052A5" w:rsidRPr="000E6014" w:rsidRDefault="00D052A5" w:rsidP="001060F1">
            <w:pPr>
              <w:pStyle w:val="prastojitrauka"/>
              <w:ind w:left="0"/>
              <w:rPr>
                <w:szCs w:val="22"/>
                <w:lang w:val="lt-LT"/>
              </w:rPr>
            </w:pPr>
            <w:r w:rsidRPr="000E6014">
              <w:rPr>
                <w:szCs w:val="22"/>
                <w:lang w:val="lt-LT"/>
              </w:rPr>
              <w:t>36 (32,4)</w:t>
            </w:r>
          </w:p>
        </w:tc>
        <w:tc>
          <w:tcPr>
            <w:tcW w:w="0" w:type="auto"/>
          </w:tcPr>
          <w:p w:rsidR="00D052A5" w:rsidRPr="000E6014" w:rsidRDefault="00D052A5" w:rsidP="001060F1">
            <w:pPr>
              <w:pStyle w:val="prastojitrauka"/>
              <w:ind w:left="0"/>
              <w:rPr>
                <w:szCs w:val="22"/>
                <w:lang w:val="lt-LT"/>
              </w:rPr>
            </w:pPr>
            <w:r w:rsidRPr="000E6014">
              <w:rPr>
                <w:szCs w:val="22"/>
                <w:lang w:val="lt-LT"/>
              </w:rPr>
              <w:t>23,9, 42,0</w:t>
            </w:r>
          </w:p>
        </w:tc>
        <w:tc>
          <w:tcPr>
            <w:tcW w:w="0" w:type="auto"/>
          </w:tcPr>
          <w:p w:rsidR="00D052A5" w:rsidRPr="000E6014" w:rsidRDefault="00D052A5" w:rsidP="001060F1">
            <w:pPr>
              <w:pStyle w:val="prastojitrauka"/>
              <w:ind w:left="0"/>
              <w:rPr>
                <w:szCs w:val="22"/>
                <w:lang w:val="lt-LT"/>
              </w:rPr>
            </w:pPr>
            <w:r w:rsidRPr="000E6014">
              <w:rPr>
                <w:szCs w:val="22"/>
                <w:lang w:val="lt-LT"/>
              </w:rPr>
              <w:t>1,5</w:t>
            </w:r>
          </w:p>
        </w:tc>
        <w:tc>
          <w:tcPr>
            <w:tcW w:w="0" w:type="auto"/>
          </w:tcPr>
          <w:p w:rsidR="00D052A5" w:rsidRPr="000E6014" w:rsidRDefault="00D052A5" w:rsidP="001060F1">
            <w:pPr>
              <w:pStyle w:val="prastojitrauka"/>
              <w:ind w:left="0"/>
              <w:rPr>
                <w:szCs w:val="22"/>
                <w:lang w:val="lt-LT"/>
              </w:rPr>
            </w:pPr>
            <w:r w:rsidRPr="000E6014">
              <w:rPr>
                <w:szCs w:val="22"/>
                <w:lang w:val="lt-LT"/>
              </w:rPr>
              <w:t>1,4, 2,0</w:t>
            </w:r>
          </w:p>
        </w:tc>
        <w:tc>
          <w:tcPr>
            <w:tcW w:w="0" w:type="auto"/>
          </w:tcPr>
          <w:p w:rsidR="00D052A5" w:rsidRPr="000E6014" w:rsidRDefault="00D052A5" w:rsidP="001060F1">
            <w:pPr>
              <w:pStyle w:val="prastojitrauka"/>
              <w:ind w:left="0"/>
              <w:rPr>
                <w:szCs w:val="22"/>
                <w:lang w:val="lt-LT"/>
              </w:rPr>
            </w:pPr>
            <w:r w:rsidRPr="000E6014">
              <w:rPr>
                <w:szCs w:val="22"/>
                <w:lang w:val="lt-LT"/>
              </w:rPr>
              <w:t>6,9</w:t>
            </w:r>
          </w:p>
        </w:tc>
        <w:tc>
          <w:tcPr>
            <w:tcW w:w="0" w:type="auto"/>
          </w:tcPr>
          <w:p w:rsidR="00D052A5" w:rsidRPr="000E6014" w:rsidRDefault="00D052A5" w:rsidP="001060F1">
            <w:pPr>
              <w:pStyle w:val="prastojitrauka"/>
              <w:ind w:left="0"/>
              <w:rPr>
                <w:szCs w:val="22"/>
                <w:lang w:val="lt-LT"/>
              </w:rPr>
            </w:pPr>
            <w:r w:rsidRPr="000E6014">
              <w:rPr>
                <w:szCs w:val="22"/>
                <w:lang w:val="lt-LT"/>
              </w:rPr>
              <w:t>5.6, 9.1</w:t>
            </w:r>
          </w:p>
        </w:tc>
      </w:tr>
    </w:tbl>
    <w:p w:rsidR="00D052A5" w:rsidRPr="000E6014" w:rsidRDefault="00D052A5" w:rsidP="00D052A5">
      <w:pPr>
        <w:pStyle w:val="prastojitrauka"/>
        <w:ind w:left="0"/>
        <w:rPr>
          <w:szCs w:val="22"/>
          <w:lang w:val="lt-LT"/>
        </w:rPr>
      </w:pPr>
      <w:r w:rsidRPr="000E6014">
        <w:rPr>
          <w:szCs w:val="22"/>
          <w:lang w:val="lt-LT"/>
        </w:rPr>
        <w:t>PI= patikimumo intervalas, DCR= ligos kontroliavimo dažnis (pacientai su visišku atsaku, su daliniu atsaku, ar ligai stabilizavus mažiausiai 6 savaitėms), ORR= objektyvaus atsako dažnis (pacientai su visišku ar dalinius atsaku), OS= bendras išgyvenimo laikas, PFS= išgyvenimo be ligos progresavimo laikas</w:t>
      </w:r>
    </w:p>
    <w:p w:rsidR="00D052A5" w:rsidRPr="000E6014" w:rsidRDefault="00D052A5" w:rsidP="00D052A5">
      <w:pPr>
        <w:pStyle w:val="prastojitrauka"/>
        <w:ind w:left="0"/>
        <w:rPr>
          <w:szCs w:val="22"/>
          <w:lang w:val="lt-LT"/>
        </w:rPr>
      </w:pPr>
      <w:r w:rsidRPr="000E6014">
        <w:rPr>
          <w:szCs w:val="22"/>
          <w:lang w:val="lt-LT"/>
        </w:rPr>
        <w:t>Vertinant pagal objektyvaus atsako dažnį (ORR), ligos kontroliavimo dažnį (DCR) ir išgyvenimą be ligos progresavimo (PFS) cetuksimabo derinys su irinotekanu buvo veiksmingesnis negu gydymas vienu cetuksimabu. Atsitiktinių imčių tyrimo metu poveikio bendram išgyvenimo laikui nestebėta (rizikos santykis 0,91, p = 0,48).</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i/>
        </w:rPr>
      </w:pPr>
    </w:p>
    <w:p w:rsidR="00D052A5" w:rsidRPr="000E6014" w:rsidRDefault="00D052A5" w:rsidP="00D052A5">
      <w:pPr>
        <w:tabs>
          <w:tab w:val="left" w:pos="0"/>
          <w:tab w:val="left" w:pos="567"/>
        </w:tabs>
        <w:spacing w:after="0" w:line="240" w:lineRule="auto"/>
        <w:rPr>
          <w:rFonts w:ascii="Times New Roman" w:hAnsi="Times New Roman"/>
          <w:b/>
          <w:i/>
        </w:rPr>
      </w:pPr>
      <w:r w:rsidRPr="000E6014">
        <w:rPr>
          <w:rFonts w:ascii="Times New Roman" w:hAnsi="Times New Roman"/>
          <w:bCs/>
          <w:i/>
          <w:u w:val="single"/>
        </w:rPr>
        <w:t>Farmakokinetika ir farmakodinamika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Svarbiausio toksinio irinotekano poveikio (pvz., leukoneutropenijos ir viduriavimo) stiprumas priklausė nuo nepakitusio irinotekano ir jo metabolito SN-38 ekspozicijos (AUC). Monoterapijos metu stebėta reikšminga koreliacija tarp toksinio poveikio kraujodarai (leukocitų ir neutrofilų kiekio sumažėjimo tuo metu, kai jis būna mažiausias) ar viduriavimo stiprumo ir bendro irinotekano bei metabolito SN-38 AUC dydžio.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iCs/>
        </w:rPr>
      </w:pPr>
      <w:r w:rsidRPr="000E6014">
        <w:rPr>
          <w:rFonts w:ascii="Times New Roman" w:hAnsi="Times New Roman"/>
          <w:i/>
          <w:iCs/>
        </w:rPr>
        <w:t>Pacientai, kuriems sumažėjęs UGT1A1 aktyvumas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Uridino difosfato gliukuronoziltransferazė 1A1 (UGT1A1) dalyvauja aktyvaus irinotekano metabolito SN-38 metabolizme paversdama jį neaktyviu SN-38 gliukuronidu (SN-38G). UGT1A1 genas yra labai polimorfiškas, dėl to atskirų individų organizme pasireiškia įvairūs metaboliniai pajėgumai. Vienoje specifinėje UGT1A1 geno variacijoje, žinomoje kaip UGT1A1*28 variantas, yra polimorfinė promoterio sritis. Šis variantas ir kitos įgimtos UGT1A1 ekspresijos stokos (pvz., Crigler-Najjar ir Gilbert sindromai) susiję su šio fermento aktyvumo sumažėjimu. Meta analizės duomenys rodo, kad turintiems Crigler-Najjar sindromą (1 ir 2 tipo) ar turintiems  homozigotinį UDT1A1*28 alelinį geną (Gilbert sindromas), yra didesnis hematologinio toksinio poveikio (3 ir 4 laipsnio) pavojus vartojant irinotekaną vidutinėmis ar didelėmis dozėmis (&gt;150 mg/m²). Ryšys tarp UGT1A1 genotipo ir irinotekano sukelto viduriavimo nenustatytas.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Pacientams, kurie turi homozigotinį UGT1A1*28 variantą, reikia skirti normalią pradinę irinotekano dozę. Tačiau tokius pacientus reikia stebėti, ar nepasireiškia hematologinis toksinis poveikis. Sumažintą pradinę irinotekano dozę reikia skirti tiems pacientams, kuriems ankstesnio gydymo metu pasireiškė toksinis hematologinis poveikis. Kiek šiems pacientams reikia sumažinti pradinę dozę nėra nustatyta ir tolimesnis dozės koregavimas turi būti pagrįstas tuo, kaip pacientas toleruoja gydymą (žr. 4.2 ir 4.4 skyrius).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Šiuo metu nėra pakankamai duomenų, kad galima būtų nuspręsti kaip kliniškai panaudoti UGT1A1 genotipo nustatymą.</w:t>
      </w:r>
    </w:p>
    <w:p w:rsidR="00D052A5" w:rsidRPr="000E6014" w:rsidRDefault="00D052A5" w:rsidP="00D052A5">
      <w:pPr>
        <w:tabs>
          <w:tab w:val="left" w:pos="0"/>
          <w:tab w:val="left" w:pos="567"/>
        </w:tabs>
        <w:spacing w:after="0" w:line="240" w:lineRule="auto"/>
        <w:rPr>
          <w:rFonts w:ascii="Times New Roman" w:hAnsi="Times New Roman"/>
          <w:b/>
          <w:i/>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5.2</w:t>
      </w:r>
      <w:r w:rsidRPr="000E6014">
        <w:rPr>
          <w:rFonts w:ascii="Times New Roman" w:hAnsi="Times New Roman"/>
          <w:b/>
          <w:bCs/>
        </w:rPr>
        <w:tab/>
        <w:t xml:space="preserve">Farmakokinetinės savybės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Irinotekano ir SN-38 (aktyvaus metabolito) farmakokinetika nustatinėta I fazės tyrimu, kurio metu 60 pacientų kas tris savaites į veną per 30 min. buvo lašinama rekomenduojama irinotekano dozė, t. y. 100–750 mg/m</w:t>
      </w:r>
      <w:r w:rsidRPr="000E6014">
        <w:rPr>
          <w:rFonts w:ascii="Times New Roman" w:hAnsi="Times New Roman"/>
          <w:vertAlign w:val="superscript"/>
        </w:rPr>
        <w:t>2</w:t>
      </w:r>
      <w:r w:rsidRPr="000E6014">
        <w:rPr>
          <w:rFonts w:ascii="Times New Roman" w:hAnsi="Times New Roman"/>
        </w:rPr>
        <w:t xml:space="preserve"> kūno paviršiaus. Preparato eliminacija iš plazmos buvo dvifazė arba trifazė. Vidutinis klirensas plazmoje buvo 15 l/val./m</w:t>
      </w:r>
      <w:r w:rsidRPr="000E6014">
        <w:rPr>
          <w:rFonts w:ascii="Times New Roman" w:hAnsi="Times New Roman"/>
          <w:vertAlign w:val="superscript"/>
        </w:rPr>
        <w:t>2</w:t>
      </w:r>
      <w:r w:rsidRPr="000E6014">
        <w:rPr>
          <w:rFonts w:ascii="Times New Roman" w:hAnsi="Times New Roman"/>
        </w:rPr>
        <w:t xml:space="preserve">, pasiskirstymo tūris tuo metu, kai apykaita pusiausvyrinė (Vss), </w:t>
      </w:r>
      <w:r w:rsidRPr="000E6014">
        <w:rPr>
          <w:rFonts w:ascii="Times New Roman" w:hAnsi="Times New Roman"/>
        </w:rPr>
        <w:sym w:font="Symbol" w:char="F02D"/>
      </w:r>
      <w:r w:rsidRPr="000E6014">
        <w:rPr>
          <w:rFonts w:ascii="Times New Roman" w:hAnsi="Times New Roman"/>
        </w:rPr>
        <w:t xml:space="preserve"> 157 l/m</w:t>
      </w:r>
      <w:r w:rsidRPr="000E6014">
        <w:rPr>
          <w:rFonts w:ascii="Times New Roman" w:hAnsi="Times New Roman"/>
          <w:vertAlign w:val="superscript"/>
        </w:rPr>
        <w:t>2</w:t>
      </w:r>
      <w:r w:rsidRPr="000E6014">
        <w:rPr>
          <w:rFonts w:ascii="Times New Roman" w:hAnsi="Times New Roman"/>
        </w:rPr>
        <w:t>. Trifazės eliminacijos atveju pirmosios fazės metu vidutinis pusinės eliminacijos laikas buvo 12 minučių, antrosios fazės metu – 2,5 valandų, galutinės fazės metu – 14,2 valandų. SN-38 eliminacija iš kraujo plazmos buvo dvifazė, galutinės fazės metu vidutinis pusinės eliminacijos laikas buvo 13,8 valandų. Vidutinė didžiausia irinotekano ar SN-38 koncentracija kraujo plazmoje, atsiradusi rekomenduojamos 350 mg/m</w:t>
      </w:r>
      <w:r w:rsidRPr="000E6014">
        <w:rPr>
          <w:rFonts w:ascii="Times New Roman" w:hAnsi="Times New Roman"/>
          <w:vertAlign w:val="superscript"/>
        </w:rPr>
        <w:t>2</w:t>
      </w:r>
      <w:r w:rsidRPr="000E6014">
        <w:rPr>
          <w:rFonts w:ascii="Times New Roman" w:hAnsi="Times New Roman"/>
        </w:rPr>
        <w:t xml:space="preserve"> kūno paviršiaus dozės infuzijos pabaigoje, buvo atitinkamai 7,7mikrogramai/ml ir 56 ng/ml, plotas po koncentracijos kraujyje priklausomai nuo laiko kreive (AUC) – atitinkamai 34 mikrogramai.val./ml ir 451 mikrogramai.val./ml. Atskirų asmenų organizme dideli farmakokinetinių parametrų skirtumai pastebėti daugiausia SN-38 metabolito.</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Irinotekano farmakokinetikos analizė atlikta 148 pacientų, sergančių metastaziniu gaubtinės ir tiesiosios žarnų vėžiu, II fazės tyrimų metu gydytų įvairiais metodais ir skirtingomis dozėmis, organizme. Farmakokinetikos parametrai, apytikriai apskaičiuoti naudojant trijų pasiskirstymo skyrių modelį, buvo panašūs kaip ir nustatyti I fazės tyrimų metu. Visi tyrimai parodė, kad irinotekano (CPT-11) ir SN-38 ekspozicija didėja proporcingai vartojamos CPT-11 dozės dydžiui ir kad jų farmakokinetika nepriklauso nuo ankstesnių gydymo ciklų skaičiaus ar vartojimo metodo.</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i/>
          <w:iCs/>
        </w:rPr>
        <w:t>In vitro</w:t>
      </w:r>
      <w:r w:rsidRPr="000E6014">
        <w:rPr>
          <w:rFonts w:ascii="Times New Roman" w:hAnsi="Times New Roman"/>
        </w:rPr>
        <w:t xml:space="preserve"> maždaug 65% irinotekano ir 95% SN-38 prisijungia prie kraujo plazmos baltymų.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Masės balanso ir metabolizmo tyrimai, atlikti vartojant </w:t>
      </w:r>
      <w:r w:rsidRPr="000E6014">
        <w:rPr>
          <w:rFonts w:ascii="Times New Roman" w:hAnsi="Times New Roman"/>
          <w:vertAlign w:val="superscript"/>
        </w:rPr>
        <w:t>14</w:t>
      </w:r>
      <w:r w:rsidRPr="000E6014">
        <w:rPr>
          <w:rFonts w:ascii="Times New Roman" w:hAnsi="Times New Roman"/>
        </w:rPr>
        <w:t>C žymėto preparato, parodė, kad daugiau nei 50% į veną suleistos irinotekano dozės išsiskiria nepakitusio preparato pavidalu, 33% išsiskiria su tulžimi ir pašalinama su išmatomis, 22% – išsiskiria su šlapimu.</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Yra du metabolizmo būdai, kurių kiekvienu metabolizuojama mažiausiai 12% dozės.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Vykstant karboksilesterazės katalizuojamai hidrolizei atsiranda aktyvus SN-38 metabolitas. SN-38 daugiausia eliminuojamas sudarant jo gliukuronidą ir po to pašalinant su tulžimi bei pro inkstus (mažiau nei 0,5% irinotekano dozės). Atrodo, kad SN-38 gliukuronidas vėliau hidrolizuojamas žarnyne.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sym w:font="Symbol" w:char="F0B7"/>
      </w:r>
      <w:r w:rsidRPr="000E6014">
        <w:rPr>
          <w:rFonts w:ascii="Times New Roman" w:hAnsi="Times New Roman"/>
        </w:rPr>
        <w:tab/>
        <w:t>Vykstant oksidacijai, kurią skatina citochromo P450 3A fermentai, sutrūksta išorinis piperidino žiedas, susidaro aminopentano rūgšties darinys (angl. APC) ir svarbiausias amino darinys (angl. NPC) (žr. 4.5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Kraujo plazmoje daugiausia būna nepakitusio irinotekano, mažiau APC, SN-38 gliukuronido ir SN-38. Tik SN-38 pasižymi reikšmingu citotoksiniu poveikiu.</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Pacientams, kurių bilirubino kiekis kraujyje 1,5–3 kartus didesnis už viršutinę normos ribą, organizme irinotekano klirensas yra apie 40% mažesnis. Tokių pacientų kraujo plazmoje preparato ekspozicija nuo 200 mg/m</w:t>
      </w:r>
      <w:r w:rsidRPr="000E6014">
        <w:rPr>
          <w:rFonts w:ascii="Times New Roman" w:hAnsi="Times New Roman"/>
          <w:vertAlign w:val="superscript"/>
        </w:rPr>
        <w:t>2</w:t>
      </w:r>
      <w:r w:rsidRPr="000E6014">
        <w:rPr>
          <w:rFonts w:ascii="Times New Roman" w:hAnsi="Times New Roman"/>
        </w:rPr>
        <w:t xml:space="preserve"> kūno paviršiaus dozės būna panaši į tą, kuri atsiranda nuo 350 mg/m</w:t>
      </w:r>
      <w:r w:rsidRPr="000E6014">
        <w:rPr>
          <w:rFonts w:ascii="Times New Roman" w:hAnsi="Times New Roman"/>
          <w:vertAlign w:val="superscript"/>
        </w:rPr>
        <w:t>2</w:t>
      </w:r>
      <w:r w:rsidRPr="000E6014">
        <w:rPr>
          <w:rFonts w:ascii="Times New Roman" w:hAnsi="Times New Roman"/>
        </w:rPr>
        <w:t xml:space="preserve"> kūno paviršiaus dozės vėžiu sergančių pacientų, kurių kepenų funkcijos parametrai normalūs, kraujyje.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5.3</w:t>
      </w:r>
      <w:r w:rsidRPr="000E6014">
        <w:rPr>
          <w:rFonts w:ascii="Times New Roman" w:hAnsi="Times New Roman"/>
          <w:b/>
          <w:bCs/>
        </w:rPr>
        <w:tab/>
        <w:t>Ikiklinikinių saugumo tyrimų duomenys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lastRenderedPageBreak/>
        <w:t xml:space="preserve">Nustatyta, kad </w:t>
      </w:r>
      <w:r w:rsidRPr="000E6014">
        <w:rPr>
          <w:rFonts w:ascii="Times New Roman" w:hAnsi="Times New Roman"/>
          <w:i/>
          <w:iCs/>
        </w:rPr>
        <w:t>in vitro</w:t>
      </w:r>
      <w:r w:rsidRPr="000E6014">
        <w:rPr>
          <w:rFonts w:ascii="Times New Roman" w:hAnsi="Times New Roman"/>
        </w:rPr>
        <w:t xml:space="preserve"> chromosomų aberacijos CHO ląstelėse ir </w:t>
      </w:r>
      <w:r w:rsidRPr="000E6014">
        <w:rPr>
          <w:rFonts w:ascii="Times New Roman" w:hAnsi="Times New Roman"/>
          <w:i/>
          <w:iCs/>
        </w:rPr>
        <w:t>in vivo</w:t>
      </w:r>
      <w:r w:rsidRPr="000E6014">
        <w:rPr>
          <w:rFonts w:ascii="Times New Roman" w:hAnsi="Times New Roman"/>
        </w:rPr>
        <w:t xml:space="preserve"> pelių mikrobranduolių tyrimų metu irinotekanas ir SN-38 sukėlė mutageninį poveikį. Tačiau </w:t>
      </w:r>
      <w:r w:rsidRPr="000E6014">
        <w:rPr>
          <w:rFonts w:ascii="Times New Roman" w:hAnsi="Times New Roman"/>
          <w:i/>
        </w:rPr>
        <w:t>Ames</w:t>
      </w:r>
      <w:r w:rsidRPr="000E6014">
        <w:rPr>
          <w:rFonts w:ascii="Times New Roman" w:hAnsi="Times New Roman"/>
        </w:rPr>
        <w:t xml:space="preserve"> testo metu mutageninio poveikio medikamentas nedarė.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Žiurkėms, kurioms 13 savaičių kartą per savaitę buvo duodama didžiausia 150 mg/m</w:t>
      </w:r>
      <w:r w:rsidRPr="000E6014">
        <w:rPr>
          <w:rFonts w:ascii="Times New Roman" w:hAnsi="Times New Roman"/>
          <w:vertAlign w:val="superscript"/>
        </w:rPr>
        <w:t>2</w:t>
      </w:r>
      <w:r w:rsidRPr="000E6014">
        <w:rPr>
          <w:rFonts w:ascii="Times New Roman" w:hAnsi="Times New Roman"/>
        </w:rPr>
        <w:t xml:space="preserve"> kūno paviršiaus dozė (perpus mažesnė už dozę, rekomenduojamą vartoti žmogui), 91 savaitę po preparato dozavimo pabaigos, nuo gydymo priklausomų navikų neatsirado.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Vienkartinės ir kartotinių dozių toksinis poveikis tirtas pelėms, žiurkėms ir šunims. Stipriausias toksinis poveikis pasireiškė kraujodarai ir limfinei sistemai. Šunims prasidėjo vėlyvasis viduriavimas, susijęs su žarnyno gleivinės atrofija ir židinine nekroze. Jiems pasireiškė ir alopecija. Šie pokyčiai buvo laikini, sunkumas priklausė nuo dozės dydžio.</w:t>
      </w:r>
    </w:p>
    <w:p w:rsidR="00D052A5" w:rsidRPr="000E6014"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u w:val="single"/>
        </w:rPr>
      </w:pPr>
      <w:r w:rsidRPr="000E6014">
        <w:rPr>
          <w:rFonts w:ascii="Times New Roman" w:hAnsi="Times New Roman"/>
          <w:u w:val="single"/>
        </w:rPr>
        <w:t>Reprodukcija</w:t>
      </w:r>
    </w:p>
    <w:p w:rsidR="00D052A5" w:rsidRPr="000E6014" w:rsidRDefault="00D052A5" w:rsidP="00D052A5">
      <w:pPr>
        <w:tabs>
          <w:tab w:val="left" w:pos="0"/>
          <w:tab w:val="left" w:pos="567"/>
        </w:tabs>
        <w:spacing w:after="0" w:line="240" w:lineRule="auto"/>
        <w:rPr>
          <w:rFonts w:ascii="Times New Roman" w:hAnsi="Times New Roman"/>
          <w:u w:val="single"/>
        </w:rPr>
      </w:pPr>
    </w:p>
    <w:p w:rsidR="00D052A5" w:rsidRPr="000E6014" w:rsidRDefault="00D052A5" w:rsidP="00D052A5">
      <w:pPr>
        <w:tabs>
          <w:tab w:val="left" w:pos="0"/>
          <w:tab w:val="left" w:pos="567"/>
        </w:tabs>
        <w:spacing w:after="0" w:line="240" w:lineRule="auto"/>
        <w:rPr>
          <w:rFonts w:ascii="Times New Roman" w:hAnsi="Times New Roman"/>
          <w:caps/>
          <w:u w:val="single"/>
        </w:rPr>
      </w:pPr>
      <w:r w:rsidRPr="000E6014">
        <w:rPr>
          <w:rFonts w:ascii="Times New Roman" w:hAnsi="Times New Roman"/>
          <w:u w:val="single"/>
        </w:rPr>
        <w:t>Irinotekanas pasižymėjo teratogeniniu poveikiu žiurkėms ir triušiams jį skiriant mažesnėmis nei žmogaus terapinės dozės. Žiurkių, kurioms buvo duodamas irinotekanas, jaunikliai turėjo išorinius išsigimimus ir jų vaisingumas buvo sumažėjęs. To nestebėta morfologiškai normalių jauniklių tarpe. Nustatyta vaikingų žiurkių placentos svorio sumažėjimas,  sumažėjęs vaisiaus gyvybingumas bei padidėję jauniklių elgesio sutrikimai.</w:t>
      </w:r>
    </w:p>
    <w:p w:rsidR="00D052A5" w:rsidRPr="000E6014"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6.</w:t>
      </w:r>
      <w:r w:rsidRPr="000E6014">
        <w:rPr>
          <w:rFonts w:ascii="Times New Roman" w:hAnsi="Times New Roman"/>
          <w:b/>
          <w:bCs/>
          <w:caps/>
        </w:rPr>
        <w:tab/>
        <w:t>farmacinė informacija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6.1</w:t>
      </w:r>
      <w:r w:rsidRPr="000E6014">
        <w:rPr>
          <w:rFonts w:ascii="Times New Roman" w:hAnsi="Times New Roman"/>
          <w:b/>
          <w:bCs/>
        </w:rPr>
        <w:tab/>
        <w:t>Pagalbinių medžiagų sąrašas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Sorbitolis (E 420)</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Pieno rūgštis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Natrio hidroksidas (pH koreguoti)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Injekcinis vanduo</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Vandenilio chlorido rūgštis (pH koreguoti)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6.2</w:t>
      </w:r>
      <w:r w:rsidRPr="000E6014">
        <w:rPr>
          <w:rFonts w:ascii="Times New Roman" w:hAnsi="Times New Roman"/>
          <w:b/>
          <w:bCs/>
        </w:rPr>
        <w:tab/>
        <w:t>Nesuderinamumas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Šio vaistinio preparato negalima maišyti su kitais, išskyrus išvardytus 6.6 skyriuje (žr. 4.2 skyrių).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6.3</w:t>
      </w:r>
      <w:r w:rsidRPr="000E6014">
        <w:rPr>
          <w:rFonts w:ascii="Times New Roman" w:hAnsi="Times New Roman"/>
          <w:b/>
          <w:bCs/>
        </w:rPr>
        <w:tab/>
        <w:t>Tinkamumo laikas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 xml:space="preserve">Neatkimštas flakonas: </w:t>
      </w:r>
      <w:r w:rsidRPr="000E6014">
        <w:rPr>
          <w:rFonts w:ascii="Times New Roman" w:hAnsi="Times New Roman"/>
          <w:iCs/>
        </w:rPr>
        <w:t>36 mėnesiai</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Atkimštas flakonas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Pirmą kartą atidarius flakoną, preparatą būtina vartoti nedelsiant.</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Cheminis ir fizinis praskiesto rekomenduojamu skiedikliu (žr. 6.6 skyrių) preparato stabilumas išlieka 6 valandas, laikant jį 25 </w:t>
      </w:r>
      <w:r w:rsidRPr="000E6014">
        <w:rPr>
          <w:rFonts w:ascii="Times New Roman" w:hAnsi="Times New Roman"/>
        </w:rPr>
        <w:sym w:font="Symbol" w:char="F0B0"/>
      </w:r>
      <w:r w:rsidRPr="000E6014">
        <w:rPr>
          <w:rFonts w:ascii="Times New Roman" w:hAnsi="Times New Roman"/>
        </w:rPr>
        <w:t>C (±2 </w:t>
      </w:r>
      <w:r w:rsidRPr="000E6014">
        <w:rPr>
          <w:rFonts w:ascii="Times New Roman" w:hAnsi="Times New Roman"/>
        </w:rPr>
        <w:sym w:font="Symbol" w:char="F0B0"/>
      </w:r>
      <w:r w:rsidRPr="000E6014">
        <w:rPr>
          <w:rFonts w:ascii="Times New Roman" w:hAnsi="Times New Roman"/>
        </w:rPr>
        <w:t>C) temperatūroje ir 24 valandas 2–8 </w:t>
      </w:r>
      <w:r w:rsidRPr="000E6014">
        <w:rPr>
          <w:rFonts w:ascii="Times New Roman" w:hAnsi="Times New Roman"/>
        </w:rPr>
        <w:sym w:font="Symbol" w:char="F0B0"/>
      </w:r>
      <w:r w:rsidRPr="000E6014">
        <w:rPr>
          <w:rFonts w:ascii="Times New Roman" w:hAnsi="Times New Roman"/>
        </w:rPr>
        <w:t xml:space="preserve">C temperatūroje.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Mikrobiologiniu požiūriu, jei atidarymo ir skiedimo metodika nesumažina mikrobiologinio užterštumo pavojaus, praskiestą preparatą reikia vartoti nedelsiant. Jei jis tuoj pat nevartojamas, už laikymo trukmę ir sąlygas atsako vartotojas.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6.4</w:t>
      </w:r>
      <w:r w:rsidRPr="000E6014">
        <w:rPr>
          <w:rFonts w:ascii="Times New Roman" w:hAnsi="Times New Roman"/>
          <w:b/>
          <w:bCs/>
        </w:rPr>
        <w:tab/>
        <w:t>Specialios laikymo sąlygos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Laikyti flakoną išorinėje  pakuotėje, kad preparatas būtų apsaugotas nuo šviesos.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Praskiesto vaistinio preparato laikymo sąlygos nurodytos 6.3 skyriuje.</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Negalima užšaldyti</w:t>
      </w:r>
    </w:p>
    <w:p w:rsidR="00D052A5" w:rsidRPr="000E6014" w:rsidRDefault="00D052A5" w:rsidP="00D052A5">
      <w:pPr>
        <w:tabs>
          <w:tab w:val="left" w:pos="0"/>
          <w:tab w:val="left" w:pos="567"/>
        </w:tabs>
        <w:spacing w:after="0" w:line="240" w:lineRule="auto"/>
        <w:rPr>
          <w:rFonts w:ascii="Times New Roman" w:hAnsi="Times New Roman"/>
          <w:b/>
          <w:bCs/>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6.5</w:t>
      </w:r>
      <w:r w:rsidRPr="000E6014">
        <w:rPr>
          <w:rFonts w:ascii="Times New Roman" w:hAnsi="Times New Roman"/>
          <w:b/>
          <w:bCs/>
        </w:rPr>
        <w:tab/>
        <w:t>Pakuotė ir jos turinys</w:t>
      </w:r>
    </w:p>
    <w:p w:rsidR="00D052A5" w:rsidRPr="000E6014" w:rsidRDefault="00D052A5" w:rsidP="00D052A5">
      <w:pPr>
        <w:pStyle w:val="Default"/>
        <w:rPr>
          <w:sz w:val="22"/>
          <w:szCs w:val="22"/>
          <w:lang w:val="lt-LT"/>
        </w:rPr>
      </w:pPr>
    </w:p>
    <w:p w:rsidR="00D052A5" w:rsidRPr="000E6014" w:rsidRDefault="00D052A5" w:rsidP="00D052A5">
      <w:pPr>
        <w:pStyle w:val="Default"/>
        <w:rPr>
          <w:sz w:val="22"/>
          <w:szCs w:val="22"/>
          <w:lang w:val="lt-LT"/>
        </w:rPr>
      </w:pPr>
      <w:r w:rsidRPr="000E6014">
        <w:rPr>
          <w:sz w:val="22"/>
          <w:szCs w:val="22"/>
          <w:lang w:val="lt-LT"/>
        </w:rPr>
        <w:t>Irinotekano koncentratas infuziniam tirpalui tiekiamas 40 mg/2 ml, 100 mg/5 ml, 300 mg/15 ml arba 500 mg/25 ml I tipo stiklo vamzdelio formos flakonuose, užkimštuose teflonu padengtu kamščiu, uždengtu nuplėšiamu aliuminio dangteliu.</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Pakuotės dydžiai: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 x 2 ml flakonas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 x 5 ml flakonas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1x 15 ml flakonas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 x 25 ml flakonas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Gali būti tiekiamos ne visų dydžių pakuotės.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Flakonai gali būti įdėti į atitinkamas movas.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rPr>
      </w:pPr>
      <w:r w:rsidRPr="000E6014">
        <w:rPr>
          <w:rFonts w:ascii="Times New Roman" w:hAnsi="Times New Roman"/>
          <w:b/>
          <w:bCs/>
        </w:rPr>
        <w:t>6.6</w:t>
      </w:r>
      <w:r w:rsidRPr="000E6014">
        <w:rPr>
          <w:rFonts w:ascii="Times New Roman" w:hAnsi="Times New Roman"/>
          <w:b/>
          <w:bCs/>
        </w:rPr>
        <w:tab/>
        <w:t>Specialūs reikalavimai atliekoms tvarkyti ir vaistiniam preparatui ruošti</w:t>
      </w:r>
    </w:p>
    <w:p w:rsidR="00D052A5" w:rsidRPr="000E6014" w:rsidRDefault="00D052A5" w:rsidP="00D052A5">
      <w:pPr>
        <w:tabs>
          <w:tab w:val="left" w:pos="0"/>
          <w:tab w:val="left" w:pos="567"/>
        </w:tabs>
        <w:spacing w:after="0" w:line="240" w:lineRule="auto"/>
        <w:rPr>
          <w:rFonts w:ascii="Times New Roman" w:hAnsi="Times New Roman"/>
          <w:i/>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Irinotecan Seacross, kaip ir kiti priešvėžiniai preparatai turi būti ruošiamas ir tvarkomas atsargiai. Būtina naudoti akinius, kaukę ir pirštines.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Jeigu Irinotecan Seacross patenka ant odos,  užterštą vietą reikia tuoj pat rūpestingai nuplauti vandeniu ir muilu. Jeigu preparato patenka ant gleivinės, užterštą vietą būtina tuoj pat nuplauti vandeniu.</w:t>
      </w:r>
    </w:p>
    <w:p w:rsidR="00D052A5" w:rsidRPr="000E6014" w:rsidRDefault="00D052A5" w:rsidP="00D052A5">
      <w:pPr>
        <w:tabs>
          <w:tab w:val="left" w:pos="0"/>
          <w:tab w:val="left" w:pos="567"/>
        </w:tabs>
        <w:spacing w:after="0" w:line="240" w:lineRule="auto"/>
        <w:rPr>
          <w:rFonts w:ascii="Times New Roman" w:hAnsi="Times New Roman"/>
          <w:i/>
        </w:rPr>
      </w:pPr>
    </w:p>
    <w:p w:rsidR="00D052A5" w:rsidRPr="000E6014" w:rsidRDefault="00D052A5" w:rsidP="00D052A5">
      <w:pPr>
        <w:tabs>
          <w:tab w:val="left" w:pos="0"/>
          <w:tab w:val="left" w:pos="567"/>
        </w:tabs>
        <w:spacing w:after="0" w:line="240" w:lineRule="auto"/>
        <w:rPr>
          <w:rFonts w:ascii="Times New Roman" w:hAnsi="Times New Roman"/>
          <w:i/>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Paruošimas infuzijai į veną</w:t>
      </w:r>
    </w:p>
    <w:p w:rsidR="00D052A5" w:rsidRPr="000E6014" w:rsidRDefault="00D052A5" w:rsidP="00D052A5">
      <w:pPr>
        <w:tabs>
          <w:tab w:val="left" w:pos="0"/>
          <w:tab w:val="left" w:pos="567"/>
        </w:tabs>
        <w:spacing w:after="0" w:line="240" w:lineRule="auto"/>
        <w:rPr>
          <w:rFonts w:ascii="Times New Roman" w:hAnsi="Times New Roman"/>
          <w:i/>
        </w:rPr>
      </w:pPr>
    </w:p>
    <w:p w:rsidR="00D052A5" w:rsidRPr="000E6014" w:rsidRDefault="00D052A5" w:rsidP="00D052A5">
      <w:pPr>
        <w:tabs>
          <w:tab w:val="left" w:pos="0"/>
          <w:tab w:val="left" w:pos="567"/>
        </w:tabs>
        <w:spacing w:after="0" w:line="240" w:lineRule="auto"/>
        <w:rPr>
          <w:rFonts w:ascii="Times New Roman" w:hAnsi="Times New Roman"/>
          <w:iCs/>
        </w:rPr>
      </w:pPr>
      <w:r w:rsidRPr="000E6014">
        <w:rPr>
          <w:rFonts w:ascii="Times New Roman" w:hAnsi="Times New Roman"/>
          <w:iCs/>
        </w:rPr>
        <w:t>Kaip ir ruošiant kitus leidžiamus vaistus, tirpalas turi būti paruoštas aseptinėmis sąlygomis (žr. 6.3 skyrių).</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Jeigu flakonuose arba praskiestame tirpale yra nuosėdų, preparatą būtina sunaikinti, laikantis įprastinių citotoksinių preparatų naikinimo taisyklių.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Cs/>
        </w:rPr>
      </w:pPr>
      <w:r w:rsidRPr="000E6014">
        <w:rPr>
          <w:rFonts w:ascii="Times New Roman" w:hAnsi="Times New Roman"/>
        </w:rPr>
        <w:t xml:space="preserve">Aseptinėse sąlygose graduotu švirkštu reikia iš flakono ištraukti reikiamą Irinotecan Seacross koncentrato infuziniam tirpalui kiekį ir suleisti į 250 ml infuzinį maišelį arba butelį su 0,9 % natrio chlorido ar 5 % gliukozės tirpalu, po to, juos sukiojant tarp rankų, tirpalą gerai sumaišyti.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i/>
        </w:rPr>
      </w:pPr>
      <w:r w:rsidRPr="000E6014">
        <w:rPr>
          <w:rFonts w:ascii="Times New Roman" w:hAnsi="Times New Roman"/>
          <w:i/>
        </w:rPr>
        <w:t>Atliekų tvarkymas</w:t>
      </w:r>
    </w:p>
    <w:p w:rsidR="00D052A5" w:rsidRPr="000E6014" w:rsidRDefault="00D052A5" w:rsidP="00D052A5">
      <w:pPr>
        <w:tabs>
          <w:tab w:val="left" w:pos="0"/>
          <w:tab w:val="left" w:pos="567"/>
        </w:tabs>
        <w:spacing w:after="0" w:line="240" w:lineRule="auto"/>
        <w:rPr>
          <w:rFonts w:ascii="Times New Roman" w:hAnsi="Times New Roman"/>
          <w:i/>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Visas medžiagas, naudotas skiedimui ir infuzijai reikia sunaikinti  laikantis įprastinių citotoksinių preparatų naikinimo taisyklių.</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7.</w:t>
      </w:r>
      <w:r w:rsidRPr="000E6014">
        <w:rPr>
          <w:rFonts w:ascii="Times New Roman" w:hAnsi="Times New Roman"/>
          <w:b/>
          <w:bCs/>
          <w:caps/>
        </w:rPr>
        <w:tab/>
        <w:t>RINKODAROS TEISĖS TURĖTOJAS</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Style w:val="BTEMEASMCA"/>
      </w:pPr>
    </w:p>
    <w:p w:rsidR="00D052A5" w:rsidRPr="003905A2" w:rsidRDefault="00D052A5" w:rsidP="00D052A5">
      <w:pPr>
        <w:spacing w:after="0"/>
        <w:ind w:left="539" w:hanging="539"/>
        <w:contextualSpacing/>
        <w:rPr>
          <w:rFonts w:ascii="Times New Roman" w:hAnsi="Times New Roman"/>
        </w:rPr>
      </w:pPr>
      <w:r w:rsidRPr="003905A2">
        <w:rPr>
          <w:rFonts w:ascii="Times New Roman" w:hAnsi="Times New Roman"/>
        </w:rPr>
        <w:t xml:space="preserve">Seacross Pharmaceuticals Limited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Bedford Business Centre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61-63 St. Peter’s Street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Bedford MK40 2PR </w:t>
      </w:r>
    </w:p>
    <w:p w:rsidR="00D052A5" w:rsidRPr="003905A2" w:rsidRDefault="00D052A5" w:rsidP="00D052A5">
      <w:pPr>
        <w:tabs>
          <w:tab w:val="left" w:pos="0"/>
          <w:tab w:val="left" w:pos="567"/>
        </w:tabs>
        <w:spacing w:after="0" w:line="240" w:lineRule="auto"/>
        <w:rPr>
          <w:rFonts w:ascii="Times New Roman" w:hAnsi="Times New Roman"/>
        </w:rPr>
      </w:pPr>
      <w:r w:rsidRPr="003905A2">
        <w:rPr>
          <w:rFonts w:ascii="Times New Roman" w:hAnsi="Times New Roman"/>
          <w:lang w:val="en-US"/>
        </w:rPr>
        <w:t>Jungtinė Karalystė</w:t>
      </w:r>
    </w:p>
    <w:p w:rsidR="00D052A5"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8.</w:t>
      </w:r>
      <w:r w:rsidRPr="000E6014">
        <w:rPr>
          <w:rFonts w:ascii="Times New Roman" w:hAnsi="Times New Roman"/>
          <w:b/>
          <w:bCs/>
          <w:caps/>
        </w:rPr>
        <w:tab/>
        <w:t xml:space="preserve">RINKODAROS TEISĖS numeris </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2 ml – LT/1/11/2422/001</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5 ml – LT/1/11/2422/002</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15 ml – LT/1/11/2422/003</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25 ml – LT/1/11/2422/004</w:t>
      </w:r>
    </w:p>
    <w:p w:rsidR="00D052A5"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9.</w:t>
      </w:r>
      <w:r w:rsidRPr="000E6014">
        <w:rPr>
          <w:rFonts w:ascii="Times New Roman" w:hAnsi="Times New Roman"/>
          <w:b/>
          <w:bCs/>
          <w:caps/>
        </w:rPr>
        <w:tab/>
        <w:t>RINKODAROS TEISĖS SUTEIKIMO / ATNAUJINIMO DATA</w:t>
      </w:r>
    </w:p>
    <w:p w:rsidR="00D052A5" w:rsidRPr="000E6014"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pStyle w:val="Default"/>
        <w:jc w:val="both"/>
        <w:rPr>
          <w:sz w:val="22"/>
          <w:szCs w:val="22"/>
          <w:lang w:val="lt-LT"/>
        </w:rPr>
      </w:pPr>
    </w:p>
    <w:p w:rsidR="00D052A5" w:rsidRPr="000E6014" w:rsidRDefault="00D052A5" w:rsidP="00D052A5">
      <w:pPr>
        <w:tabs>
          <w:tab w:val="left" w:pos="0"/>
          <w:tab w:val="left" w:pos="567"/>
        </w:tabs>
        <w:spacing w:after="0" w:line="240" w:lineRule="auto"/>
        <w:rPr>
          <w:rFonts w:ascii="Times New Roman" w:hAnsi="Times New Roman"/>
          <w:caps/>
        </w:rPr>
      </w:pPr>
      <w:r w:rsidRPr="000E6014">
        <w:rPr>
          <w:rFonts w:ascii="Times New Roman" w:hAnsi="Times New Roman"/>
          <w:caps/>
        </w:rPr>
        <w:t>2011-04-21</w:t>
      </w:r>
    </w:p>
    <w:p w:rsidR="00D052A5"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caps/>
        </w:rPr>
      </w:pPr>
    </w:p>
    <w:p w:rsidR="00D052A5" w:rsidRPr="000E6014" w:rsidRDefault="00D052A5" w:rsidP="00D052A5">
      <w:pPr>
        <w:tabs>
          <w:tab w:val="left" w:pos="0"/>
          <w:tab w:val="left" w:pos="567"/>
        </w:tabs>
        <w:spacing w:after="0" w:line="240" w:lineRule="auto"/>
        <w:rPr>
          <w:rFonts w:ascii="Times New Roman" w:hAnsi="Times New Roman"/>
          <w:b/>
          <w:bCs/>
          <w:caps/>
        </w:rPr>
      </w:pPr>
      <w:r w:rsidRPr="000E6014">
        <w:rPr>
          <w:rFonts w:ascii="Times New Roman" w:hAnsi="Times New Roman"/>
          <w:b/>
          <w:bCs/>
          <w:caps/>
        </w:rPr>
        <w:t>10.</w:t>
      </w:r>
      <w:r w:rsidRPr="000E6014">
        <w:rPr>
          <w:rFonts w:ascii="Times New Roman" w:hAnsi="Times New Roman"/>
          <w:b/>
          <w:bCs/>
          <w:caps/>
        </w:rPr>
        <w:tab/>
        <w:t>teksto peržiūros data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Pr>
          <w:rFonts w:ascii="Times New Roman" w:hAnsi="Times New Roman"/>
        </w:rPr>
        <w:t>2015-02-17</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Išsami informacija apie šį vaistinį preparatą pateikiama Valstybinės vaistų kontrolės tarnybos prie Lietuvos Respublikos  sveikatos apsaugos ministerijos tinklalapyje</w:t>
      </w:r>
      <w:r w:rsidRPr="000E6014">
        <w:rPr>
          <w:rFonts w:ascii="Times New Roman" w:hAnsi="Times New Roman"/>
          <w:i/>
        </w:rPr>
        <w:t xml:space="preserve"> </w:t>
      </w:r>
      <w:hyperlink r:id="rId7" w:history="1">
        <w:r w:rsidRPr="000E6014">
          <w:rPr>
            <w:rStyle w:val="Hipersaitas"/>
            <w:rFonts w:ascii="Times New Roman" w:hAnsi="Times New Roman"/>
          </w:rPr>
          <w:t>http://www.vvkt.lt</w:t>
        </w:r>
      </w:hyperlink>
    </w:p>
    <w:p w:rsidR="00D052A5" w:rsidRPr="000E6014" w:rsidRDefault="00D052A5" w:rsidP="00D052A5">
      <w:pPr>
        <w:spacing w:after="0" w:line="240" w:lineRule="auto"/>
        <w:rPr>
          <w:rFonts w:ascii="Times New Roman" w:hAnsi="Times New Roman"/>
        </w:rPr>
      </w:pPr>
      <w:r w:rsidRPr="000E6014">
        <w:rPr>
          <w:rFonts w:ascii="Times New Roman" w:hAnsi="Times New Roman"/>
        </w:rPr>
        <w:br w:type="page"/>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Default="00D052A5" w:rsidP="00D052A5">
      <w:pPr>
        <w:pStyle w:val="TTEMEASMCA"/>
        <w:rPr>
          <w:lang w:val="lt-LT"/>
        </w:rPr>
      </w:pPr>
      <w:bookmarkStart w:id="0" w:name="_Toc129243128"/>
      <w:bookmarkStart w:id="1" w:name="_Toc129243253"/>
    </w:p>
    <w:p w:rsidR="00D052A5" w:rsidRPr="000E6014" w:rsidRDefault="00D052A5" w:rsidP="00D052A5">
      <w:pPr>
        <w:pStyle w:val="TTEMEASMCA"/>
        <w:rPr>
          <w:lang w:val="lt-LT"/>
        </w:rPr>
      </w:pPr>
      <w:r w:rsidRPr="000E6014">
        <w:rPr>
          <w:lang w:val="lt-LT"/>
        </w:rPr>
        <w:t>II PRIEDAS</w:t>
      </w:r>
      <w:bookmarkEnd w:id="0"/>
      <w:bookmarkEnd w:id="1"/>
    </w:p>
    <w:p w:rsidR="00D052A5" w:rsidRPr="000E6014" w:rsidRDefault="00D052A5" w:rsidP="00D052A5">
      <w:pPr>
        <w:pStyle w:val="TTEMEASMCA"/>
        <w:rPr>
          <w:lang w:val="lt-LT"/>
        </w:rPr>
      </w:pPr>
    </w:p>
    <w:p w:rsidR="00D052A5" w:rsidRPr="000E6014" w:rsidRDefault="00D052A5" w:rsidP="00D052A5">
      <w:pPr>
        <w:pStyle w:val="TTEMEASMCA"/>
        <w:rPr>
          <w:lang w:val="lt-LT"/>
        </w:rPr>
      </w:pPr>
      <w:r w:rsidRPr="000E6014">
        <w:rPr>
          <w:lang w:val="lt-LT"/>
        </w:rPr>
        <w:t>RINKODAROS SĄLYGOS</w:t>
      </w:r>
    </w:p>
    <w:p w:rsidR="00D052A5" w:rsidRPr="000E6014" w:rsidRDefault="00D052A5" w:rsidP="00D052A5">
      <w:pPr>
        <w:pStyle w:val="BTEMEASMCA"/>
      </w:pPr>
    </w:p>
    <w:p w:rsidR="00D052A5" w:rsidRPr="000E6014" w:rsidRDefault="00D052A5" w:rsidP="00D052A5">
      <w:pPr>
        <w:pStyle w:val="BTAnIIEMEASMCA"/>
        <w:rPr>
          <w:rFonts w:cs="Times New Roman"/>
          <w:highlight w:val="yellow"/>
          <w:lang w:val="lt-LT"/>
        </w:rPr>
      </w:pPr>
      <w:r w:rsidRPr="000E6014">
        <w:rPr>
          <w:rFonts w:cs="Times New Roman"/>
          <w:lang w:val="lt-LT"/>
        </w:rPr>
        <w:t>A.</w:t>
      </w:r>
      <w:r w:rsidRPr="000E6014">
        <w:rPr>
          <w:rFonts w:cs="Times New Roman"/>
          <w:lang w:val="lt-LT"/>
        </w:rPr>
        <w:tab/>
        <w:t>GAMYBOS LICENCIJOS TURĖTOJAS, ATSAKINGAS UŽ SERIJŲ IŠLEIDIMĄ</w:t>
      </w:r>
    </w:p>
    <w:p w:rsidR="00D052A5" w:rsidRPr="000E6014" w:rsidRDefault="00D052A5" w:rsidP="00D052A5">
      <w:pPr>
        <w:pStyle w:val="BTEMEASMCA"/>
        <w:rPr>
          <w:highlight w:val="yellow"/>
        </w:rPr>
      </w:pPr>
    </w:p>
    <w:p w:rsidR="00D052A5" w:rsidRPr="000E6014" w:rsidRDefault="00D052A5" w:rsidP="00D052A5">
      <w:pPr>
        <w:pStyle w:val="BTAnIIEMEASMCA"/>
        <w:rPr>
          <w:rFonts w:cs="Times New Roman"/>
          <w:lang w:val="lt-LT"/>
        </w:rPr>
      </w:pPr>
      <w:r w:rsidRPr="000E6014">
        <w:rPr>
          <w:rFonts w:cs="Times New Roman"/>
          <w:lang w:val="lt-LT"/>
        </w:rPr>
        <w:t>B.</w:t>
      </w:r>
      <w:r w:rsidRPr="000E6014">
        <w:rPr>
          <w:rFonts w:cs="Times New Roman"/>
          <w:lang w:val="lt-LT"/>
        </w:rPr>
        <w:tab/>
        <w:t>RINKODAROS TEISĖS SĄLYGOS</w:t>
      </w:r>
    </w:p>
    <w:p w:rsidR="00D052A5" w:rsidRPr="000E6014" w:rsidRDefault="00D052A5" w:rsidP="00D052A5">
      <w:pPr>
        <w:pStyle w:val="BTEMEASMCA"/>
        <w:rPr>
          <w:highlight w:val="yellow"/>
        </w:rPr>
      </w:pPr>
    </w:p>
    <w:p w:rsidR="00D052A5" w:rsidRPr="000E6014" w:rsidRDefault="00D052A5" w:rsidP="00D052A5">
      <w:pPr>
        <w:pStyle w:val="PI-1EMEASMCA"/>
      </w:pPr>
      <w:r w:rsidRPr="000E6014">
        <w:br w:type="page"/>
      </w:r>
      <w:r w:rsidRPr="000E6014">
        <w:lastRenderedPageBreak/>
        <w:t>A.</w:t>
      </w:r>
      <w:r w:rsidRPr="000E6014">
        <w:tab/>
        <w:t>GAMYBOS LICENCIJOS TURĖTOJAS, ATSAKINGAS UŽ SERIJŲ IŠLEIDIMĄ</w:t>
      </w:r>
    </w:p>
    <w:p w:rsidR="00D052A5" w:rsidRPr="000E6014" w:rsidRDefault="00D052A5" w:rsidP="00D052A5">
      <w:pPr>
        <w:pStyle w:val="BTEMEASMCA"/>
        <w:rPr>
          <w:highlight w:val="yellow"/>
        </w:rPr>
      </w:pPr>
    </w:p>
    <w:p w:rsidR="00D052A5" w:rsidRPr="000E6014" w:rsidRDefault="00D052A5" w:rsidP="00D052A5">
      <w:pPr>
        <w:pStyle w:val="BTuEMEASMCA"/>
      </w:pPr>
      <w:r w:rsidRPr="000E6014">
        <w:t>Gamintojo, atsakingo už serijų išleidimą, pavadinimas ir adresas</w:t>
      </w:r>
    </w:p>
    <w:p w:rsidR="00D052A5" w:rsidRPr="000E6014" w:rsidRDefault="00D052A5" w:rsidP="00D052A5">
      <w:pPr>
        <w:pStyle w:val="BTEMEASMCA"/>
      </w:pPr>
    </w:p>
    <w:p w:rsidR="00D052A5" w:rsidRPr="00823523" w:rsidRDefault="00D052A5" w:rsidP="00D052A5">
      <w:pPr>
        <w:pStyle w:val="BTEMEASMCA"/>
      </w:pPr>
      <w:r w:rsidRPr="00823523">
        <w:t xml:space="preserve">GP Pharm, S.A </w:t>
      </w:r>
    </w:p>
    <w:p w:rsidR="00D052A5" w:rsidRPr="00823523" w:rsidRDefault="00D052A5" w:rsidP="00D052A5">
      <w:pPr>
        <w:pStyle w:val="BTEMEASMCA"/>
      </w:pPr>
      <w:r w:rsidRPr="00823523">
        <w:t xml:space="preserve">Poligono Industrial Els, Vinyets-Els Fogars, 2, </w:t>
      </w:r>
    </w:p>
    <w:p w:rsidR="00D052A5" w:rsidRPr="00823523" w:rsidRDefault="00D052A5" w:rsidP="00D052A5">
      <w:pPr>
        <w:pStyle w:val="BTEMEASMCA"/>
      </w:pPr>
      <w:r w:rsidRPr="00823523">
        <w:t>Ctra. C-244, Km. 22, 08777 Sant Quanti de Mediona (Barcelona),</w:t>
      </w:r>
    </w:p>
    <w:p w:rsidR="00D052A5" w:rsidRPr="00823523" w:rsidRDefault="00D052A5" w:rsidP="00D052A5">
      <w:pPr>
        <w:pStyle w:val="BTEMEASMCA"/>
      </w:pPr>
      <w:r w:rsidRPr="00823523">
        <w:t>Ispanija</w:t>
      </w:r>
    </w:p>
    <w:p w:rsidR="00D052A5" w:rsidRPr="00823523" w:rsidRDefault="00D052A5" w:rsidP="00D052A5">
      <w:pPr>
        <w:pStyle w:val="BTEMEASMCA"/>
      </w:pPr>
    </w:p>
    <w:p w:rsidR="00D052A5" w:rsidRPr="00823523"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Seacross Pharmaceuticals Ltd</w:t>
      </w:r>
    </w:p>
    <w:p w:rsidR="00D052A5" w:rsidRPr="00823523"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 xml:space="preserve">Stanmore Place </w:t>
      </w:r>
    </w:p>
    <w:p w:rsidR="00D052A5" w:rsidRPr="00823523"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 xml:space="preserve">Howard Road, Stanmore HA7 1 BT </w:t>
      </w:r>
    </w:p>
    <w:p w:rsidR="00D052A5" w:rsidRPr="00222D94"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Jungtinė Karalystė</w:t>
      </w:r>
    </w:p>
    <w:p w:rsidR="00D052A5" w:rsidRPr="00222D94" w:rsidRDefault="00D052A5" w:rsidP="00D052A5">
      <w:pPr>
        <w:pStyle w:val="BTEMEASMCA"/>
        <w:rPr>
          <w:highlight w:val="lightGray"/>
          <w:lang w:val="lt-LT"/>
        </w:rPr>
      </w:pPr>
    </w:p>
    <w:p w:rsidR="00D052A5" w:rsidRPr="000E6014" w:rsidRDefault="00D052A5" w:rsidP="00D052A5">
      <w:pPr>
        <w:pStyle w:val="BTEMEASMCA"/>
        <w:rPr>
          <w:highlight w:val="yellow"/>
        </w:rPr>
      </w:pPr>
    </w:p>
    <w:p w:rsidR="00D052A5" w:rsidRPr="000E6014" w:rsidRDefault="00D052A5" w:rsidP="00D052A5">
      <w:pPr>
        <w:pStyle w:val="PI-1EMEASMCA"/>
      </w:pPr>
      <w:bookmarkStart w:id="2" w:name="_Toc129243129"/>
      <w:bookmarkStart w:id="3" w:name="_Toc129243254"/>
      <w:r w:rsidRPr="000E6014">
        <w:t>B.</w:t>
      </w:r>
      <w:r w:rsidRPr="000E6014">
        <w:tab/>
        <w:t>RINKODAROS TEISĖS SĄLYGOS</w:t>
      </w:r>
      <w:bookmarkEnd w:id="2"/>
      <w:bookmarkEnd w:id="3"/>
    </w:p>
    <w:p w:rsidR="00D052A5" w:rsidRPr="000E6014" w:rsidRDefault="00D052A5" w:rsidP="00D052A5">
      <w:pPr>
        <w:pStyle w:val="BTEMEASMCA"/>
      </w:pPr>
    </w:p>
    <w:p w:rsidR="00D052A5" w:rsidRPr="000E6014" w:rsidRDefault="00D052A5" w:rsidP="00D052A5">
      <w:pPr>
        <w:pStyle w:val="PI-2EMEASMCA"/>
      </w:pPr>
      <w:bookmarkStart w:id="4" w:name="_Toc129243130"/>
      <w:bookmarkStart w:id="5" w:name="_Toc129243255"/>
      <w:r w:rsidRPr="000E6014">
        <w:t>•</w:t>
      </w:r>
      <w:r w:rsidRPr="000E6014">
        <w:tab/>
        <w:t>TIEKIMO IR VARTOJIMO SĄLYGOS AR APRIBOJIMAI, TAIKOMI RINKODAROS TEISĖS TURĖTOJUI</w:t>
      </w:r>
      <w:bookmarkEnd w:id="4"/>
      <w:bookmarkEnd w:id="5"/>
    </w:p>
    <w:p w:rsidR="00D052A5" w:rsidRPr="000E6014" w:rsidRDefault="00D052A5" w:rsidP="00D052A5">
      <w:pPr>
        <w:pStyle w:val="BTEMEASMCA"/>
      </w:pPr>
    </w:p>
    <w:p w:rsidR="00D052A5" w:rsidRPr="000E6014" w:rsidRDefault="00D052A5" w:rsidP="00D052A5">
      <w:pPr>
        <w:pStyle w:val="BTEMEASMCA"/>
      </w:pPr>
      <w:r w:rsidRPr="000E6014">
        <w:t>Receptinis vaistinis preparatas</w:t>
      </w:r>
    </w:p>
    <w:p w:rsidR="00D052A5" w:rsidRPr="000E6014" w:rsidRDefault="00D052A5" w:rsidP="00D052A5">
      <w:pPr>
        <w:pStyle w:val="BTEMEASMCA"/>
        <w:rPr>
          <w:highlight w:val="yellow"/>
        </w:rPr>
      </w:pPr>
    </w:p>
    <w:p w:rsidR="00D052A5" w:rsidRPr="000E6014" w:rsidRDefault="00D052A5" w:rsidP="00D052A5">
      <w:pPr>
        <w:pStyle w:val="PI-2EMEASMCA"/>
      </w:pPr>
      <w:bookmarkStart w:id="6" w:name="_Toc129243131"/>
      <w:bookmarkStart w:id="7" w:name="_Toc129243256"/>
      <w:r w:rsidRPr="000E6014">
        <w:t>•</w:t>
      </w:r>
      <w:r w:rsidRPr="000E6014">
        <w:tab/>
        <w:t>SĄLYGOS AR APRIBOJIMAI, SKIRTI SAUGIAM IR VEIKSMINGAM VAISTINIO PREPARATO VARTOJIMUI UŽTIKRINTI</w:t>
      </w:r>
      <w:bookmarkEnd w:id="6"/>
      <w:bookmarkEnd w:id="7"/>
    </w:p>
    <w:p w:rsidR="00D052A5" w:rsidRPr="000E6014" w:rsidRDefault="00D052A5" w:rsidP="00D052A5">
      <w:pPr>
        <w:pStyle w:val="BTEMEASMCA"/>
      </w:pPr>
    </w:p>
    <w:p w:rsidR="00D052A5" w:rsidRPr="000E6014" w:rsidRDefault="00D052A5" w:rsidP="00D052A5">
      <w:pPr>
        <w:pStyle w:val="BTEMEASMCA"/>
      </w:pPr>
      <w:r w:rsidRPr="000E6014">
        <w:t>Nebūtini.</w:t>
      </w:r>
    </w:p>
    <w:p w:rsidR="00D052A5" w:rsidRPr="000E6014" w:rsidRDefault="00D052A5" w:rsidP="00D052A5">
      <w:pPr>
        <w:pStyle w:val="PI-2EMEASMCA"/>
      </w:pPr>
      <w:bookmarkStart w:id="8" w:name="_Toc129243132"/>
      <w:bookmarkStart w:id="9" w:name="_Toc129243257"/>
    </w:p>
    <w:p w:rsidR="00D052A5" w:rsidRPr="000E6014" w:rsidRDefault="00D052A5" w:rsidP="00D052A5">
      <w:pPr>
        <w:pStyle w:val="PI-2EMEASMCA"/>
      </w:pPr>
      <w:r w:rsidRPr="000E6014">
        <w:t>•</w:t>
      </w:r>
      <w:r w:rsidRPr="000E6014">
        <w:tab/>
        <w:t>KITOS SĄLYGOS</w:t>
      </w:r>
      <w:bookmarkEnd w:id="8"/>
      <w:bookmarkEnd w:id="9"/>
    </w:p>
    <w:p w:rsidR="00D052A5" w:rsidRPr="000E6014" w:rsidRDefault="00D052A5" w:rsidP="00D052A5">
      <w:pPr>
        <w:pStyle w:val="BTEMEASMCA"/>
        <w:rPr>
          <w:highlight w:val="yellow"/>
        </w:rPr>
      </w:pPr>
    </w:p>
    <w:p w:rsidR="00D052A5" w:rsidRPr="000E6014" w:rsidRDefault="00D052A5" w:rsidP="00D052A5">
      <w:pPr>
        <w:pStyle w:val="BTEMEASMCA"/>
      </w:pPr>
      <w:r w:rsidRPr="000E6014">
        <w:t>Nėra.</w:t>
      </w:r>
    </w:p>
    <w:p w:rsidR="00D052A5" w:rsidRPr="000E6014" w:rsidRDefault="00D052A5" w:rsidP="00D052A5">
      <w:pPr>
        <w:tabs>
          <w:tab w:val="left" w:pos="0"/>
          <w:tab w:val="left" w:pos="567"/>
        </w:tabs>
        <w:spacing w:after="0" w:line="240" w:lineRule="auto"/>
        <w:rPr>
          <w:rFonts w:ascii="Times New Roman" w:hAnsi="Times New Roman"/>
        </w:rPr>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TTEMEASMCA"/>
        <w:rPr>
          <w:lang w:val="lt-LT"/>
        </w:rPr>
      </w:pPr>
      <w:bookmarkStart w:id="10" w:name="_Toc129243134"/>
      <w:bookmarkStart w:id="11" w:name="_Toc129243259"/>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r w:rsidRPr="000E6014">
        <w:rPr>
          <w:lang w:val="lt-LT"/>
        </w:rPr>
        <w:t>III PRIEDAS</w:t>
      </w:r>
      <w:bookmarkEnd w:id="10"/>
      <w:bookmarkEnd w:id="11"/>
    </w:p>
    <w:p w:rsidR="00D052A5" w:rsidRPr="000E6014" w:rsidRDefault="00D052A5" w:rsidP="00D052A5">
      <w:pPr>
        <w:pStyle w:val="BTEMEASMCA"/>
      </w:pPr>
    </w:p>
    <w:p w:rsidR="00D052A5" w:rsidRPr="000E6014" w:rsidRDefault="00D052A5" w:rsidP="00D052A5">
      <w:pPr>
        <w:pStyle w:val="TTEMEASMCA"/>
        <w:rPr>
          <w:lang w:val="lt-LT"/>
        </w:rPr>
      </w:pPr>
      <w:bookmarkStart w:id="12" w:name="_Toc129243135"/>
      <w:bookmarkStart w:id="13" w:name="_Toc129243260"/>
      <w:r w:rsidRPr="000E6014">
        <w:rPr>
          <w:lang w:val="lt-LT"/>
        </w:rPr>
        <w:t>ŽENKLINIMAS IR PAKUOTĖS LAPELIS</w:t>
      </w:r>
      <w:bookmarkEnd w:id="12"/>
      <w:bookmarkEnd w:id="13"/>
    </w:p>
    <w:p w:rsidR="00D052A5" w:rsidRPr="000E6014" w:rsidRDefault="00D052A5" w:rsidP="00D052A5">
      <w:pPr>
        <w:pStyle w:val="BTEMEASMCA"/>
      </w:pPr>
      <w:r w:rsidRPr="000E6014">
        <w:br w:type="page"/>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TTEMEASMCA"/>
        <w:rPr>
          <w:lang w:val="lt-LT"/>
        </w:rPr>
      </w:pPr>
      <w:bookmarkStart w:id="14" w:name="_Toc129243136"/>
      <w:bookmarkStart w:id="15" w:name="_Toc129243261"/>
      <w:r w:rsidRPr="000E6014">
        <w:rPr>
          <w:lang w:val="lt-LT"/>
        </w:rPr>
        <w:t>A. ŽENKLINIMAS</w:t>
      </w:r>
      <w:bookmarkEnd w:id="14"/>
      <w:bookmarkEnd w:id="15"/>
    </w:p>
    <w:p w:rsidR="00D052A5" w:rsidRPr="000E6014" w:rsidRDefault="00D052A5" w:rsidP="00D052A5">
      <w:pPr>
        <w:pStyle w:val="BTEMEASMCA"/>
      </w:pPr>
      <w:r w:rsidRPr="000E6014">
        <w:br w:type="page"/>
      </w:r>
    </w:p>
    <w:p w:rsidR="00D052A5" w:rsidRPr="000E6014" w:rsidRDefault="00D052A5" w:rsidP="00D052A5">
      <w:pPr>
        <w:pStyle w:val="PI-1labEMEASMCA"/>
      </w:pPr>
      <w:r w:rsidRPr="000E6014">
        <w:lastRenderedPageBreak/>
        <w:t>INFORMACIJA ANT IŠORINĖS PAKUOTĖS</w:t>
      </w:r>
    </w:p>
    <w:p w:rsidR="00D052A5" w:rsidRPr="000E6014" w:rsidRDefault="00D052A5" w:rsidP="00D052A5">
      <w:pPr>
        <w:pStyle w:val="PI-1labEMEASMCA"/>
      </w:pPr>
    </w:p>
    <w:p w:rsidR="00D052A5" w:rsidRPr="000E6014" w:rsidRDefault="00D052A5" w:rsidP="00D052A5">
      <w:pPr>
        <w:pStyle w:val="PI-1labEMEASMCA"/>
        <w:rPr>
          <w:bCs/>
        </w:rPr>
      </w:pPr>
      <w:r w:rsidRPr="000E6014">
        <w:t>KARTONO DĖŽUTĖ</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w:t>
      </w:r>
      <w:r w:rsidRPr="000E6014">
        <w:tab/>
        <w:t>VAISTINIO PREPARATO PAVADINIMAS</w:t>
      </w:r>
    </w:p>
    <w:p w:rsidR="00D052A5" w:rsidRPr="000E6014" w:rsidRDefault="00D052A5" w:rsidP="00D052A5">
      <w:pPr>
        <w:pStyle w:val="BTEMEASMCA"/>
      </w:pPr>
    </w:p>
    <w:p w:rsidR="00D052A5" w:rsidRPr="000E6014" w:rsidRDefault="00D052A5" w:rsidP="00D052A5">
      <w:pPr>
        <w:pStyle w:val="BTEMEASMCA"/>
      </w:pPr>
      <w:r w:rsidRPr="000E6014">
        <w:t>Irinotecan Seacross 20 mg/ml koncentratas infuziniam tirpalui</w:t>
      </w:r>
    </w:p>
    <w:p w:rsidR="00D052A5" w:rsidRPr="000E6014" w:rsidRDefault="00D052A5" w:rsidP="00D052A5">
      <w:pPr>
        <w:pStyle w:val="BTEMEASMCA"/>
      </w:pPr>
      <w:r w:rsidRPr="000E6014">
        <w:t>Irinotekano hidrochloridas trihidratas</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2.</w:t>
      </w:r>
      <w:r w:rsidRPr="000E6014">
        <w:tab/>
        <w:t>VEIKLIOJI MEDŽIAGA IR JOS KIEKIS</w:t>
      </w:r>
    </w:p>
    <w:p w:rsidR="00D052A5" w:rsidRPr="000E6014" w:rsidRDefault="00D052A5" w:rsidP="00D052A5">
      <w:pPr>
        <w:pStyle w:val="BTEMEASMCA"/>
      </w:pPr>
    </w:p>
    <w:p w:rsidR="00D052A5" w:rsidRPr="000E6014" w:rsidRDefault="00D052A5" w:rsidP="00D052A5">
      <w:pPr>
        <w:pStyle w:val="BTEMEASMCA"/>
      </w:pPr>
      <w:r w:rsidRPr="000E6014">
        <w:t>1 ml koncentrato infuziniam tirpalui yra 20 mg irinotekano hidrochlorido trihidrato, atitinkančio 17,33 mg/ml irinotekano.</w:t>
      </w:r>
    </w:p>
    <w:p w:rsidR="00D052A5" w:rsidRPr="000E6014" w:rsidRDefault="00D052A5" w:rsidP="00D052A5">
      <w:pPr>
        <w:pStyle w:val="BTEMEASMCA"/>
      </w:pPr>
    </w:p>
    <w:p w:rsidR="00D052A5" w:rsidRPr="000E6014" w:rsidRDefault="00D052A5" w:rsidP="00D052A5">
      <w:pPr>
        <w:pStyle w:val="BTEMEASMCA"/>
      </w:pPr>
      <w:r w:rsidRPr="000E6014">
        <w:t xml:space="preserve">Viename 2 ml </w:t>
      </w:r>
      <w:r>
        <w:t>flakone</w:t>
      </w:r>
      <w:r w:rsidRPr="000E6014">
        <w:t xml:space="preserve"> yra 40 mg irinotekano hidrochlorido trihidrato.</w:t>
      </w:r>
    </w:p>
    <w:p w:rsidR="00D052A5" w:rsidRPr="000E6014" w:rsidRDefault="00D052A5" w:rsidP="00D052A5">
      <w:pPr>
        <w:pStyle w:val="BTEMEASMCA"/>
        <w:rPr>
          <w:highlight w:val="lightGray"/>
        </w:rPr>
      </w:pPr>
      <w:r w:rsidRPr="000E6014">
        <w:rPr>
          <w:highlight w:val="lightGray"/>
        </w:rPr>
        <w:t xml:space="preserve">Viename 5 ml </w:t>
      </w:r>
      <w:r>
        <w:rPr>
          <w:highlight w:val="lightGray"/>
        </w:rPr>
        <w:t>flakone</w:t>
      </w:r>
      <w:r w:rsidRPr="000E6014">
        <w:rPr>
          <w:highlight w:val="lightGray"/>
        </w:rPr>
        <w:t xml:space="preserve"> yra 100 mg irinotekano hidrochlorido trihidrato.</w:t>
      </w:r>
    </w:p>
    <w:p w:rsidR="00D052A5" w:rsidRPr="000E6014" w:rsidRDefault="00D052A5" w:rsidP="00D052A5">
      <w:pPr>
        <w:pStyle w:val="BTEMEASMCA"/>
        <w:rPr>
          <w:highlight w:val="lightGray"/>
        </w:rPr>
      </w:pPr>
      <w:r w:rsidRPr="000E6014">
        <w:rPr>
          <w:highlight w:val="lightGray"/>
        </w:rPr>
        <w:t xml:space="preserve">Viename 15 ml </w:t>
      </w:r>
      <w:r>
        <w:rPr>
          <w:highlight w:val="lightGray"/>
        </w:rPr>
        <w:t>flakone</w:t>
      </w:r>
      <w:r w:rsidRPr="000E6014">
        <w:rPr>
          <w:highlight w:val="lightGray"/>
        </w:rPr>
        <w:t xml:space="preserve"> yra 300 mg irinotekano hidrochlorido trihidrato.</w:t>
      </w:r>
    </w:p>
    <w:p w:rsidR="00D052A5" w:rsidRPr="000E6014" w:rsidRDefault="00D052A5" w:rsidP="00D052A5">
      <w:pPr>
        <w:pStyle w:val="BTEMEASMCA"/>
      </w:pPr>
      <w:r w:rsidRPr="000E6014">
        <w:rPr>
          <w:highlight w:val="lightGray"/>
        </w:rPr>
        <w:t xml:space="preserve">Viename 25 ml </w:t>
      </w:r>
      <w:r>
        <w:rPr>
          <w:highlight w:val="lightGray"/>
        </w:rPr>
        <w:t>flakone</w:t>
      </w:r>
      <w:r w:rsidRPr="000E6014">
        <w:rPr>
          <w:highlight w:val="lightGray"/>
        </w:rPr>
        <w:t xml:space="preserve"> yra 500 mg irinotekano hidrochlorido trihidrato.</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3.</w:t>
      </w:r>
      <w:r w:rsidRPr="000E6014">
        <w:tab/>
        <w:t>PAGALBINIŲ MEDŽIAGŲ SĄRAŠAS</w:t>
      </w:r>
    </w:p>
    <w:p w:rsidR="00D052A5" w:rsidRPr="000E6014" w:rsidRDefault="00D052A5" w:rsidP="00D052A5">
      <w:pPr>
        <w:pStyle w:val="BTEMEASMCA"/>
      </w:pPr>
    </w:p>
    <w:p w:rsidR="00D052A5" w:rsidRPr="000E6014" w:rsidRDefault="00D052A5" w:rsidP="00D052A5">
      <w:pPr>
        <w:pStyle w:val="BTEMEASMCA"/>
      </w:pPr>
      <w:r w:rsidRPr="000E6014">
        <w:t>Pagalbinės medžiagos: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Sorbitolis (E 420)</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Pieno rūgštis</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Natrio hidroksidas ir vandenilio chlorido rūgštis (pH koregavimui)</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Injekcinis vanduo</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4.</w:t>
      </w:r>
      <w:r w:rsidRPr="000E6014">
        <w:tab/>
        <w:t>FARMACINĖ FORMA IR KIEKIS PAKUOTĖJE</w:t>
      </w:r>
    </w:p>
    <w:p w:rsidR="00D052A5" w:rsidRPr="000E6014" w:rsidRDefault="00D052A5" w:rsidP="00D052A5">
      <w:pPr>
        <w:pStyle w:val="BTEMEASMCA"/>
      </w:pPr>
    </w:p>
    <w:p w:rsidR="00D052A5" w:rsidRPr="000E6014" w:rsidRDefault="00D052A5" w:rsidP="00D052A5">
      <w:pPr>
        <w:pStyle w:val="BTEMEASMCA"/>
      </w:pPr>
      <w:r w:rsidRPr="000E6014">
        <w:t>Koncentratas infuziniam tirpalui.</w:t>
      </w:r>
    </w:p>
    <w:p w:rsidR="00D052A5" w:rsidRPr="000E6014" w:rsidRDefault="00D052A5" w:rsidP="00D052A5">
      <w:pPr>
        <w:pStyle w:val="BTEMEASMCA"/>
      </w:pPr>
    </w:p>
    <w:p w:rsidR="00D052A5" w:rsidRPr="000E6014" w:rsidRDefault="00D052A5" w:rsidP="00D052A5">
      <w:pPr>
        <w:pStyle w:val="BTEMEASMCA"/>
      </w:pPr>
      <w:r w:rsidRPr="000E6014">
        <w:t xml:space="preserve">1 x 2 ml </w:t>
      </w:r>
      <w:r>
        <w:t>flakonas</w:t>
      </w:r>
      <w:r w:rsidRPr="000E6014">
        <w:t xml:space="preserve"> (40 mg)</w:t>
      </w:r>
    </w:p>
    <w:p w:rsidR="00D052A5" w:rsidRPr="000E6014" w:rsidRDefault="00D052A5" w:rsidP="00D052A5">
      <w:pPr>
        <w:pStyle w:val="BTEMEASMCA"/>
        <w:rPr>
          <w:highlight w:val="lightGray"/>
        </w:rPr>
      </w:pPr>
      <w:r w:rsidRPr="000E6014">
        <w:rPr>
          <w:highlight w:val="lightGray"/>
        </w:rPr>
        <w:t xml:space="preserve">1 x 5 ml </w:t>
      </w:r>
      <w:r>
        <w:rPr>
          <w:highlight w:val="lightGray"/>
        </w:rPr>
        <w:t>flakonas</w:t>
      </w:r>
      <w:r w:rsidRPr="000E6014">
        <w:rPr>
          <w:highlight w:val="lightGray"/>
        </w:rPr>
        <w:t xml:space="preserve"> (100 mg)</w:t>
      </w:r>
    </w:p>
    <w:p w:rsidR="00D052A5" w:rsidRPr="000E6014" w:rsidRDefault="00D052A5" w:rsidP="00D052A5">
      <w:pPr>
        <w:pStyle w:val="BTEMEASMCA"/>
        <w:rPr>
          <w:highlight w:val="lightGray"/>
        </w:rPr>
      </w:pPr>
      <w:r w:rsidRPr="000E6014">
        <w:rPr>
          <w:highlight w:val="lightGray"/>
        </w:rPr>
        <w:t xml:space="preserve">1 x 15 ml </w:t>
      </w:r>
      <w:r>
        <w:rPr>
          <w:highlight w:val="lightGray"/>
        </w:rPr>
        <w:t>flakonas</w:t>
      </w:r>
      <w:r w:rsidRPr="000E6014">
        <w:rPr>
          <w:highlight w:val="lightGray"/>
        </w:rPr>
        <w:t xml:space="preserve"> (300 mg)</w:t>
      </w:r>
    </w:p>
    <w:p w:rsidR="00D052A5" w:rsidRPr="000E6014" w:rsidRDefault="00D052A5" w:rsidP="00D052A5">
      <w:pPr>
        <w:pStyle w:val="BTEMEASMCA"/>
      </w:pPr>
      <w:r w:rsidRPr="000E6014">
        <w:rPr>
          <w:highlight w:val="lightGray"/>
        </w:rPr>
        <w:t xml:space="preserve">1 x 25 ml </w:t>
      </w:r>
      <w:r>
        <w:rPr>
          <w:highlight w:val="lightGray"/>
        </w:rPr>
        <w:t>flakonas</w:t>
      </w:r>
      <w:r w:rsidRPr="000E6014">
        <w:rPr>
          <w:highlight w:val="lightGray"/>
        </w:rPr>
        <w:t xml:space="preserve"> (500 mg)</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5.</w:t>
      </w:r>
      <w:r w:rsidRPr="000E6014">
        <w:tab/>
        <w:t>VARTOJIMO METODAS IR BŪDAS (-AI)</w:t>
      </w:r>
    </w:p>
    <w:p w:rsidR="00D052A5" w:rsidRPr="000E6014" w:rsidRDefault="00D052A5" w:rsidP="00D052A5">
      <w:pPr>
        <w:pStyle w:val="BTEMEASMCA"/>
      </w:pPr>
    </w:p>
    <w:p w:rsidR="00D052A5" w:rsidRPr="000E6014" w:rsidRDefault="00D052A5" w:rsidP="00D052A5">
      <w:pPr>
        <w:pStyle w:val="BTEMEASMCA"/>
      </w:pPr>
      <w:r w:rsidRPr="000E6014">
        <w:t>Leisti į veną.</w:t>
      </w:r>
    </w:p>
    <w:p w:rsidR="00D052A5" w:rsidRPr="000E6014" w:rsidRDefault="00D052A5" w:rsidP="00D052A5">
      <w:pPr>
        <w:pStyle w:val="BTEMEASMCA"/>
      </w:pPr>
      <w:r w:rsidRPr="000E6014">
        <w:t>Prieš vartojimą perskaitykite pakuotės lapelį.</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6.</w:t>
      </w:r>
      <w:r w:rsidRPr="000E6014">
        <w:tab/>
        <w:t>SPECIALUS ĮSPĖJIMAS, KAD VAISTINĮ PREPARATĄ BŪTINA LAIKYTI VAIKAMS NEPASTEBIMOJE IR NEPASIEKIAMOJE VIETOJE</w:t>
      </w:r>
    </w:p>
    <w:p w:rsidR="00D052A5" w:rsidRPr="000E6014" w:rsidRDefault="00D052A5" w:rsidP="00D052A5">
      <w:pPr>
        <w:pStyle w:val="BTEMEASMCA"/>
      </w:pPr>
    </w:p>
    <w:p w:rsidR="00D052A5" w:rsidRPr="000E6014" w:rsidRDefault="00D052A5" w:rsidP="00D052A5">
      <w:pPr>
        <w:pStyle w:val="BTEMEASMCA"/>
      </w:pPr>
      <w:r w:rsidRPr="000E6014">
        <w:t>Laikyti vaikams nepastebimoje ir nepasiekiamoje vietoje.</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7.</w:t>
      </w:r>
      <w:r w:rsidRPr="000E6014">
        <w:tab/>
        <w:t>KITAS (-I) SPECIALUS (-ŪS) ĮSPĖJIMAS (-AI) (JEI REIKIA)</w:t>
      </w:r>
    </w:p>
    <w:p w:rsidR="00D052A5" w:rsidRPr="000E6014" w:rsidRDefault="00D052A5" w:rsidP="00D052A5">
      <w:pPr>
        <w:pStyle w:val="BTEMEASMCA"/>
      </w:pPr>
    </w:p>
    <w:p w:rsidR="00D052A5" w:rsidRPr="000E6014" w:rsidRDefault="00D052A5" w:rsidP="00D052A5">
      <w:pPr>
        <w:pStyle w:val="BTEMEASMCA"/>
      </w:pPr>
      <w:r w:rsidRPr="000E6014">
        <w:t>Infuzijai į veną atitinkamai praskiedus.</w:t>
      </w:r>
    </w:p>
    <w:p w:rsidR="00D052A5" w:rsidRPr="000E6014" w:rsidRDefault="00D052A5" w:rsidP="00D052A5">
      <w:pPr>
        <w:pStyle w:val="BTEMEASMCA"/>
      </w:pPr>
      <w:r w:rsidRPr="000E6014">
        <w:t>Citotoksinis preparatas.</w:t>
      </w:r>
    </w:p>
    <w:p w:rsidR="00D052A5" w:rsidRPr="000E6014" w:rsidRDefault="00D052A5" w:rsidP="00D052A5">
      <w:pPr>
        <w:pStyle w:val="BTEMEASMCA"/>
      </w:pPr>
      <w:r w:rsidRPr="000E6014">
        <w:t>Tik vienkartiniam vartojimui</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8.</w:t>
      </w:r>
      <w:r w:rsidRPr="000E6014">
        <w:tab/>
        <w:t>TINKAMUMO LAIKAS</w:t>
      </w:r>
    </w:p>
    <w:p w:rsidR="00D052A5" w:rsidRPr="000E6014" w:rsidRDefault="00D052A5" w:rsidP="00D052A5">
      <w:pPr>
        <w:pStyle w:val="BTEMEASMCA"/>
      </w:pPr>
    </w:p>
    <w:p w:rsidR="00D052A5" w:rsidRPr="000E6014" w:rsidRDefault="00D052A5" w:rsidP="00D052A5">
      <w:pPr>
        <w:pStyle w:val="BTEMEASMCA"/>
      </w:pPr>
      <w:r w:rsidRPr="000E6014">
        <w:t>Tinka iki: {mm/MMMM}</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9.</w:t>
      </w:r>
      <w:r w:rsidRPr="000E6014">
        <w:tab/>
        <w:t>SPECIALIOS LAIKYMO SĄLYGOS</w:t>
      </w:r>
    </w:p>
    <w:p w:rsidR="00D052A5" w:rsidRPr="000E6014" w:rsidRDefault="00D052A5" w:rsidP="00D052A5">
      <w:pPr>
        <w:pStyle w:val="BTEMEASMCA"/>
      </w:pPr>
    </w:p>
    <w:p w:rsidR="00D052A5" w:rsidRPr="000E6014" w:rsidRDefault="00D052A5" w:rsidP="00D052A5">
      <w:pPr>
        <w:pStyle w:val="BTEMEASMCA"/>
        <w:rPr>
          <w:noProof w:val="0"/>
        </w:rPr>
      </w:pPr>
      <w:r w:rsidRPr="000E6014">
        <w:t xml:space="preserve">Laikyti ne aukštesnėje kaip 25 </w:t>
      </w:r>
      <w:r w:rsidRPr="000E6014">
        <w:sym w:font="Symbol" w:char="F0B0"/>
      </w:r>
      <w:r w:rsidRPr="000E6014">
        <w:t>C temperatūroje. Negalima užšaldyti.</w:t>
      </w:r>
    </w:p>
    <w:p w:rsidR="00D052A5" w:rsidRPr="000E6014" w:rsidRDefault="00D052A5" w:rsidP="00D052A5">
      <w:pPr>
        <w:pStyle w:val="BTEMEASMCA"/>
      </w:pPr>
      <w:r w:rsidRPr="000E6014">
        <w:t>Laikyti flakoną išorinėje pakuotėje, kad preparatas būtų apsaugotas nuo šviesos.</w:t>
      </w:r>
    </w:p>
    <w:p w:rsidR="00D052A5" w:rsidRPr="000E6014" w:rsidRDefault="00D052A5" w:rsidP="00D052A5">
      <w:pPr>
        <w:pStyle w:val="BTEMEASMCA"/>
      </w:pPr>
      <w:r w:rsidRPr="000E6014">
        <w:t>Praskiedus suvartoti nedelsiant ar per 24 valandas, jei paruoštas aseptinėse sąlygose ir laikytas šaldytuve (2</w:t>
      </w:r>
      <w:r w:rsidRPr="000E6014">
        <w:noBreakHyphen/>
        <w:t>8 °C temperatūroje).</w:t>
      </w:r>
    </w:p>
    <w:p w:rsidR="00D052A5"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10.</w:t>
      </w:r>
      <w:r w:rsidRPr="000E6014">
        <w:tab/>
        <w:t xml:space="preserve">SPECIALIOS ATSARGUMO PRIEMONĖS DĖL NESUVARTOTO </w:t>
      </w:r>
      <w:r w:rsidRPr="000E6014">
        <w:rPr>
          <w:bCs/>
        </w:rPr>
        <w:t xml:space="preserve">VAISTINIO PREPARATO AR JO ATLIEKŲ </w:t>
      </w:r>
      <w:r w:rsidRPr="000E6014">
        <w:t>TVARKYMO (JEI REIKIA)</w:t>
      </w:r>
    </w:p>
    <w:p w:rsidR="00D052A5" w:rsidRPr="000E6014" w:rsidRDefault="00D052A5" w:rsidP="00D052A5">
      <w:pPr>
        <w:pStyle w:val="BTEMEASMCA"/>
      </w:pPr>
    </w:p>
    <w:p w:rsidR="00D052A5" w:rsidRPr="000E6014" w:rsidRDefault="00D052A5" w:rsidP="00D052A5">
      <w:pPr>
        <w:pStyle w:val="BTEMEASMCA"/>
      </w:pPr>
      <w:r w:rsidRPr="000E6014">
        <w:t>Nesuvartotą vaistinį preparatą ar atliekas reikia tvarkyti laikantis vietinių citotoksinių preparatų tvarkymo reikalavimų..</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11.</w:t>
      </w:r>
      <w:r w:rsidRPr="000E6014">
        <w:tab/>
        <w:t>RINKODAROS TEISĖS TURĖTOJO PAVADINIMAS IR ADRESAS</w:t>
      </w:r>
    </w:p>
    <w:p w:rsidR="00D052A5" w:rsidRPr="000E6014" w:rsidRDefault="00D052A5" w:rsidP="00D052A5">
      <w:pPr>
        <w:pStyle w:val="BTEMEASMCA"/>
      </w:pPr>
    </w:p>
    <w:p w:rsidR="00D052A5" w:rsidRPr="003905A2" w:rsidRDefault="00D052A5" w:rsidP="00D052A5">
      <w:pPr>
        <w:spacing w:after="0"/>
        <w:ind w:left="539" w:hanging="539"/>
        <w:contextualSpacing/>
        <w:rPr>
          <w:rFonts w:ascii="Times New Roman" w:hAnsi="Times New Roman"/>
        </w:rPr>
      </w:pPr>
      <w:r w:rsidRPr="003905A2">
        <w:rPr>
          <w:rFonts w:ascii="Times New Roman" w:hAnsi="Times New Roman"/>
        </w:rPr>
        <w:t xml:space="preserve">Seacross Pharmaceuticals Limited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Bedford Business Centre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61-63 St. Peter’s Street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Bedford MK40 2PR </w:t>
      </w:r>
    </w:p>
    <w:p w:rsidR="00D052A5" w:rsidRPr="003905A2" w:rsidRDefault="00D052A5" w:rsidP="00D052A5">
      <w:pPr>
        <w:tabs>
          <w:tab w:val="left" w:pos="0"/>
          <w:tab w:val="left" w:pos="567"/>
        </w:tabs>
        <w:spacing w:after="0" w:line="240" w:lineRule="auto"/>
        <w:rPr>
          <w:rFonts w:ascii="Times New Roman" w:hAnsi="Times New Roman"/>
        </w:rPr>
      </w:pPr>
      <w:r w:rsidRPr="003905A2">
        <w:rPr>
          <w:rFonts w:ascii="Times New Roman" w:hAnsi="Times New Roman"/>
          <w:lang w:val="en-US"/>
        </w:rPr>
        <w:t>Jungtinė Karalystė</w:t>
      </w:r>
    </w:p>
    <w:p w:rsidR="00D052A5"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12.</w:t>
      </w:r>
      <w:r w:rsidRPr="000E6014">
        <w:tab/>
        <w:t xml:space="preserve">RINKODAROS TEISĖS NUMERIS </w:t>
      </w:r>
    </w:p>
    <w:p w:rsidR="00D052A5" w:rsidRPr="000E6014" w:rsidRDefault="00D052A5" w:rsidP="00D052A5">
      <w:pPr>
        <w:pStyle w:val="BTEMEASMCA"/>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2 ml – LT/1/11/2422/001</w:t>
      </w:r>
    </w:p>
    <w:p w:rsidR="00D052A5" w:rsidRPr="000E6014" w:rsidRDefault="00D052A5" w:rsidP="00D052A5">
      <w:pPr>
        <w:tabs>
          <w:tab w:val="left" w:pos="0"/>
          <w:tab w:val="left" w:pos="567"/>
        </w:tabs>
        <w:spacing w:after="0" w:line="240" w:lineRule="auto"/>
        <w:rPr>
          <w:rFonts w:ascii="Times New Roman" w:hAnsi="Times New Roman"/>
          <w:highlight w:val="lightGray"/>
        </w:rPr>
      </w:pPr>
      <w:r w:rsidRPr="000E6014">
        <w:rPr>
          <w:rFonts w:ascii="Times New Roman" w:hAnsi="Times New Roman"/>
          <w:highlight w:val="lightGray"/>
        </w:rPr>
        <w:t>5 ml – LT/1/11/2422/002</w:t>
      </w:r>
    </w:p>
    <w:p w:rsidR="00D052A5" w:rsidRPr="000E6014" w:rsidRDefault="00D052A5" w:rsidP="00D052A5">
      <w:pPr>
        <w:tabs>
          <w:tab w:val="left" w:pos="0"/>
          <w:tab w:val="left" w:pos="567"/>
        </w:tabs>
        <w:spacing w:after="0" w:line="240" w:lineRule="auto"/>
        <w:rPr>
          <w:rFonts w:ascii="Times New Roman" w:hAnsi="Times New Roman"/>
          <w:highlight w:val="lightGray"/>
        </w:rPr>
      </w:pPr>
      <w:r w:rsidRPr="000E6014">
        <w:rPr>
          <w:rFonts w:ascii="Times New Roman" w:hAnsi="Times New Roman"/>
          <w:highlight w:val="lightGray"/>
        </w:rPr>
        <w:t>15 ml – LT/1/11/2422/003</w:t>
      </w:r>
    </w:p>
    <w:p w:rsidR="00D052A5" w:rsidRPr="000E6014" w:rsidRDefault="00D052A5" w:rsidP="00D052A5">
      <w:pPr>
        <w:pStyle w:val="BTEMEASMCA"/>
      </w:pPr>
      <w:r w:rsidRPr="000E6014">
        <w:rPr>
          <w:highlight w:val="lightGray"/>
        </w:rPr>
        <w:t>25 ml – LT/1/11/2422/004</w:t>
      </w:r>
    </w:p>
    <w:p w:rsidR="00D052A5" w:rsidRPr="000E6014" w:rsidRDefault="00D052A5" w:rsidP="00D052A5">
      <w:pPr>
        <w:pStyle w:val="BTEMEASMCA"/>
      </w:pPr>
    </w:p>
    <w:p w:rsidR="00D052A5" w:rsidRPr="000E6014" w:rsidRDefault="00D052A5" w:rsidP="00D052A5">
      <w:pPr>
        <w:pStyle w:val="PI-1labEMEASMCA"/>
      </w:pPr>
      <w:r w:rsidRPr="000E6014">
        <w:t>13.</w:t>
      </w:r>
      <w:r w:rsidRPr="000E6014">
        <w:tab/>
        <w:t>SERIJOS NUMERIS</w:t>
      </w:r>
    </w:p>
    <w:p w:rsidR="00D052A5" w:rsidRPr="000E6014" w:rsidRDefault="00D052A5" w:rsidP="00D052A5">
      <w:pPr>
        <w:pStyle w:val="BTEMEASMCA"/>
      </w:pPr>
    </w:p>
    <w:p w:rsidR="00D052A5" w:rsidRPr="000E6014" w:rsidRDefault="00D052A5" w:rsidP="00D052A5">
      <w:pPr>
        <w:pStyle w:val="BTEMEASMCA"/>
      </w:pPr>
      <w:r w:rsidRPr="000E6014">
        <w:t>Serija:</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14.</w:t>
      </w:r>
      <w:r w:rsidRPr="000E6014">
        <w:tab/>
        <w:t>PARDAVIMO (IŠDAVIMO) TVARKA</w:t>
      </w:r>
    </w:p>
    <w:p w:rsidR="00D052A5" w:rsidRPr="000E6014" w:rsidRDefault="00D052A5" w:rsidP="00D052A5">
      <w:pPr>
        <w:pStyle w:val="BTEMEASMCA"/>
      </w:pPr>
    </w:p>
    <w:p w:rsidR="00D052A5" w:rsidRPr="000E6014" w:rsidRDefault="00D052A5" w:rsidP="00D052A5">
      <w:pPr>
        <w:pStyle w:val="BTEMEASMCA"/>
      </w:pPr>
      <w:r w:rsidRPr="000E6014">
        <w:t>Receptinis vaistinis preparatas</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15.</w:t>
      </w:r>
      <w:r w:rsidRPr="000E6014">
        <w:tab/>
        <w:t>VARTOJIMO INSTRUKCIJA</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16.</w:t>
      </w:r>
      <w:r w:rsidRPr="000E6014">
        <w:tab/>
        <w:t>INFORMACIJA BRAILIO RAŠTU</w:t>
      </w:r>
    </w:p>
    <w:p w:rsidR="00D052A5" w:rsidRPr="000E6014" w:rsidRDefault="00D052A5" w:rsidP="00D052A5">
      <w:pPr>
        <w:pStyle w:val="BTEMEASMCA"/>
      </w:pPr>
    </w:p>
    <w:p w:rsidR="00D052A5" w:rsidRPr="000E6014" w:rsidRDefault="00D052A5" w:rsidP="00D052A5">
      <w:pPr>
        <w:pStyle w:val="BTEMEASMCA"/>
      </w:pPr>
      <w:r w:rsidRPr="000E6014">
        <w:rPr>
          <w:highlight w:val="lightGray"/>
        </w:rPr>
        <w:t>Priimtas paaiškinimas nenurodyti informacijos Brailio raštu</w:t>
      </w:r>
    </w:p>
    <w:p w:rsidR="00D052A5" w:rsidRPr="000E6014" w:rsidRDefault="00D052A5" w:rsidP="00D052A5">
      <w:pPr>
        <w:rPr>
          <w:rFonts w:ascii="Times New Roman" w:hAnsi="Times New Roman"/>
        </w:rPr>
      </w:pPr>
      <w:r w:rsidRPr="000E6014">
        <w:rPr>
          <w:rFonts w:ascii="Times New Roman" w:hAnsi="Times New Roman"/>
        </w:rPr>
        <w:br w:type="page"/>
      </w:r>
    </w:p>
    <w:p w:rsidR="00D052A5" w:rsidRPr="000E6014" w:rsidRDefault="00D052A5" w:rsidP="00D052A5">
      <w:pPr>
        <w:pStyle w:val="PI-1labEMEASMCA"/>
      </w:pPr>
      <w:r w:rsidRPr="000E6014">
        <w:lastRenderedPageBreak/>
        <w:t>MINIMALI INFORMACIJA ANT MAŽŲ VIDINIŲ</w:t>
      </w:r>
      <w:r w:rsidRPr="000E6014">
        <w:rPr>
          <w:bCs/>
        </w:rPr>
        <w:t xml:space="preserve"> </w:t>
      </w:r>
      <w:r w:rsidRPr="000E6014">
        <w:t>PAKUOČIŲ</w:t>
      </w:r>
    </w:p>
    <w:p w:rsidR="00D052A5" w:rsidRPr="000E6014" w:rsidRDefault="00D052A5" w:rsidP="00D052A5">
      <w:pPr>
        <w:pStyle w:val="PI-1labEMEASMCA"/>
      </w:pPr>
    </w:p>
    <w:p w:rsidR="00D052A5" w:rsidRPr="000E6014" w:rsidRDefault="00D052A5" w:rsidP="00D052A5">
      <w:pPr>
        <w:pStyle w:val="PI-1labEMEASMCA"/>
      </w:pPr>
      <w:r w:rsidRPr="000E6014">
        <w:t xml:space="preserve">Flakono etiketė </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1.</w:t>
      </w:r>
      <w:r w:rsidRPr="000E6014">
        <w:tab/>
        <w:t>VAISTINIO PREPARATO PAVADINIMAS IR VARTOJIMO BŪDAS (-AI)</w:t>
      </w:r>
    </w:p>
    <w:p w:rsidR="00D052A5" w:rsidRPr="000E6014" w:rsidRDefault="00D052A5" w:rsidP="00D052A5">
      <w:pPr>
        <w:pStyle w:val="BTEMEASMCA"/>
      </w:pPr>
    </w:p>
    <w:p w:rsidR="00D052A5" w:rsidRPr="000E6014" w:rsidRDefault="00D052A5" w:rsidP="00D052A5">
      <w:pPr>
        <w:pStyle w:val="BTEMEASMCA"/>
      </w:pPr>
      <w:r w:rsidRPr="000E6014">
        <w:t>Irinotecan Seacross 20 mg/ml koncentratas infuziniam tirpalui</w:t>
      </w:r>
    </w:p>
    <w:p w:rsidR="00D052A5" w:rsidRPr="000E6014" w:rsidRDefault="00D052A5" w:rsidP="00D052A5">
      <w:pPr>
        <w:pStyle w:val="BTEMEASMCA"/>
      </w:pPr>
      <w:r w:rsidRPr="000E6014">
        <w:t>Irinotekano hidrochloridas trihidratas</w:t>
      </w:r>
    </w:p>
    <w:p w:rsidR="00D052A5" w:rsidRPr="000E6014" w:rsidRDefault="00D052A5" w:rsidP="00D052A5">
      <w:pPr>
        <w:pStyle w:val="BTEMEASMCA"/>
      </w:pPr>
    </w:p>
    <w:p w:rsidR="00D052A5" w:rsidRPr="000E6014" w:rsidRDefault="00D052A5" w:rsidP="00D052A5">
      <w:pPr>
        <w:pStyle w:val="BTEMEASMCA"/>
      </w:pPr>
      <w:r w:rsidRPr="000E6014">
        <w:t>Lleisti tikt į veną.</w:t>
      </w:r>
    </w:p>
    <w:p w:rsidR="00D052A5" w:rsidRPr="000E6014" w:rsidRDefault="00D052A5" w:rsidP="00D052A5">
      <w:pPr>
        <w:pStyle w:val="BTEMEASMCA"/>
      </w:pPr>
    </w:p>
    <w:p w:rsidR="00D052A5" w:rsidRPr="000E6014" w:rsidRDefault="00D052A5" w:rsidP="00D052A5">
      <w:pPr>
        <w:pStyle w:val="PI-1labEMEASMCA"/>
      </w:pPr>
      <w:r w:rsidRPr="000E6014">
        <w:t>2.</w:t>
      </w:r>
      <w:r w:rsidRPr="000E6014">
        <w:tab/>
        <w:t>VARTOJIMO METODAS</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pPr>
      <w:r w:rsidRPr="000E6014">
        <w:t>3.</w:t>
      </w:r>
      <w:r w:rsidRPr="000E6014">
        <w:tab/>
        <w:t>TINKAMUMO LAIKAS</w:t>
      </w:r>
    </w:p>
    <w:p w:rsidR="00D052A5" w:rsidRPr="000E6014" w:rsidRDefault="00D052A5" w:rsidP="00D052A5">
      <w:pPr>
        <w:pStyle w:val="BTEMEASMCA"/>
      </w:pPr>
    </w:p>
    <w:p w:rsidR="00D052A5" w:rsidRPr="000E6014" w:rsidRDefault="00D052A5" w:rsidP="00D052A5">
      <w:pPr>
        <w:pStyle w:val="BTEMEASMCA"/>
      </w:pPr>
      <w:r w:rsidRPr="000E6014">
        <w:t>Tinka iki: {mm/MMMM}</w:t>
      </w:r>
    </w:p>
    <w:p w:rsidR="00D052A5" w:rsidRPr="000E6014" w:rsidRDefault="00D052A5" w:rsidP="00D052A5">
      <w:pPr>
        <w:pStyle w:val="BTEMEASMCA"/>
      </w:pPr>
      <w:r w:rsidRPr="000E6014">
        <w:rPr>
          <w:highlight w:val="lightGray"/>
        </w:rPr>
        <w:t>EXP:</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4.</w:t>
      </w:r>
      <w:r w:rsidRPr="000E6014">
        <w:tab/>
        <w:t>SERIJOS NUMERIS</w:t>
      </w:r>
    </w:p>
    <w:p w:rsidR="00D052A5" w:rsidRPr="000E6014" w:rsidRDefault="00D052A5" w:rsidP="00D052A5">
      <w:pPr>
        <w:pStyle w:val="BTEMEASMCA"/>
      </w:pPr>
    </w:p>
    <w:p w:rsidR="00D052A5" w:rsidRPr="000E6014" w:rsidRDefault="00D052A5" w:rsidP="00D052A5">
      <w:pPr>
        <w:pStyle w:val="BTEMEASMCA"/>
      </w:pPr>
      <w:r w:rsidRPr="000E6014">
        <w:t>Serija:</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5.</w:t>
      </w:r>
      <w:r w:rsidRPr="000E6014">
        <w:tab/>
        <w:t>KIEKIS (MASĖ, TŪRIS ARBA VIENETAI)</w:t>
      </w:r>
    </w:p>
    <w:p w:rsidR="00D052A5" w:rsidRPr="000E6014" w:rsidRDefault="00D052A5" w:rsidP="00D052A5">
      <w:pPr>
        <w:pStyle w:val="BTEMEASMCA"/>
      </w:pPr>
    </w:p>
    <w:p w:rsidR="00D052A5" w:rsidRPr="000E6014" w:rsidRDefault="00D052A5" w:rsidP="00D052A5">
      <w:pPr>
        <w:pStyle w:val="BTEMEASMCA"/>
      </w:pPr>
      <w:r w:rsidRPr="000E6014">
        <w:t>40 mg/2 ml flakonas</w:t>
      </w:r>
    </w:p>
    <w:p w:rsidR="00D052A5" w:rsidRPr="000E6014" w:rsidRDefault="00D052A5" w:rsidP="00D052A5">
      <w:pPr>
        <w:pStyle w:val="BTEMEASMCA"/>
        <w:rPr>
          <w:highlight w:val="lightGray"/>
        </w:rPr>
      </w:pPr>
      <w:r w:rsidRPr="000E6014">
        <w:rPr>
          <w:highlight w:val="lightGray"/>
        </w:rPr>
        <w:t>100 mg/5 ml flakonas</w:t>
      </w:r>
    </w:p>
    <w:p w:rsidR="00D052A5" w:rsidRPr="000E6014" w:rsidRDefault="00D052A5" w:rsidP="00D052A5">
      <w:pPr>
        <w:pStyle w:val="BTEMEASMCA"/>
        <w:rPr>
          <w:highlight w:val="lightGray"/>
        </w:rPr>
      </w:pPr>
      <w:r w:rsidRPr="000E6014">
        <w:rPr>
          <w:highlight w:val="lightGray"/>
        </w:rPr>
        <w:t>300 mg/15 ml flakonas</w:t>
      </w:r>
    </w:p>
    <w:p w:rsidR="00D052A5" w:rsidRPr="000E6014" w:rsidRDefault="00D052A5" w:rsidP="00D052A5">
      <w:pPr>
        <w:pStyle w:val="BTEMEASMCA"/>
      </w:pPr>
      <w:r w:rsidRPr="000E6014">
        <w:rPr>
          <w:highlight w:val="lightGray"/>
        </w:rPr>
        <w:t xml:space="preserve">500 mg/25 ml </w:t>
      </w:r>
      <w:r w:rsidRPr="000E6014">
        <w:t>flakonas</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PI-1labEMEASMCA"/>
        <w:rPr>
          <w:highlight w:val="lightGray"/>
        </w:rPr>
      </w:pPr>
      <w:r w:rsidRPr="000E6014">
        <w:t>6.</w:t>
      </w:r>
      <w:r w:rsidRPr="000E6014">
        <w:tab/>
        <w:t>KITA</w:t>
      </w:r>
    </w:p>
    <w:p w:rsidR="00D052A5" w:rsidRPr="000E6014" w:rsidRDefault="00D052A5" w:rsidP="00D052A5">
      <w:pPr>
        <w:pStyle w:val="BTEMEASMCA"/>
      </w:pPr>
    </w:p>
    <w:p w:rsidR="00D052A5" w:rsidRPr="000E6014" w:rsidRDefault="00D052A5" w:rsidP="00D052A5">
      <w:pPr>
        <w:pStyle w:val="BTEMEASMCA"/>
      </w:pPr>
      <w:r w:rsidRPr="000E6014">
        <w:t>Citotoksiškas.</w:t>
      </w:r>
    </w:p>
    <w:p w:rsidR="00D052A5" w:rsidRPr="000E6014" w:rsidRDefault="00D052A5" w:rsidP="00D052A5">
      <w:pPr>
        <w:pStyle w:val="BTEMEASMCA"/>
      </w:pPr>
      <w:r w:rsidRPr="000E6014">
        <w:t>Prakiesti prieš vartojant.</w:t>
      </w:r>
    </w:p>
    <w:p w:rsidR="00D052A5" w:rsidRPr="000E6014" w:rsidRDefault="00D052A5" w:rsidP="00D052A5">
      <w:pPr>
        <w:pStyle w:val="BTEMEASMCA"/>
      </w:pPr>
      <w:r w:rsidRPr="000E6014">
        <w:t>Saugoti nuo šviesos.</w:t>
      </w: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BTEMEASMCA"/>
      </w:pPr>
    </w:p>
    <w:p w:rsidR="00D052A5" w:rsidRPr="000E6014" w:rsidRDefault="00D052A5" w:rsidP="00D052A5">
      <w:pPr>
        <w:pStyle w:val="TTEMEASMCA"/>
        <w:rPr>
          <w:lang w:val="lt-LT"/>
        </w:rPr>
      </w:pPr>
      <w:bookmarkStart w:id="16" w:name="_Toc129243137"/>
      <w:bookmarkStart w:id="17" w:name="_Toc129243262"/>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p>
    <w:p w:rsidR="00D052A5" w:rsidRPr="000E6014" w:rsidRDefault="00D052A5" w:rsidP="00D052A5">
      <w:pPr>
        <w:pStyle w:val="TTEMEASMCA"/>
        <w:rPr>
          <w:lang w:val="lt-LT"/>
        </w:rPr>
      </w:pPr>
      <w:r w:rsidRPr="000E6014">
        <w:rPr>
          <w:lang w:val="lt-LT"/>
        </w:rPr>
        <w:t>B. PAKUOTĖS LAPELIS</w:t>
      </w:r>
      <w:bookmarkEnd w:id="16"/>
      <w:bookmarkEnd w:id="17"/>
    </w:p>
    <w:p w:rsidR="00D052A5" w:rsidRPr="000E6014" w:rsidRDefault="00D052A5" w:rsidP="00D052A5">
      <w:pPr>
        <w:tabs>
          <w:tab w:val="left" w:pos="567"/>
        </w:tabs>
        <w:spacing w:after="0" w:line="240" w:lineRule="auto"/>
        <w:jc w:val="center"/>
        <w:rPr>
          <w:rFonts w:ascii="Times New Roman" w:hAnsi="Times New Roman"/>
          <w:b/>
        </w:rPr>
      </w:pPr>
      <w:r w:rsidRPr="000E6014">
        <w:rPr>
          <w:rFonts w:ascii="Times New Roman" w:hAnsi="Times New Roman"/>
        </w:rPr>
        <w:br w:type="page"/>
      </w:r>
      <w:bookmarkStart w:id="18" w:name="_Toc129243263"/>
      <w:bookmarkStart w:id="19" w:name="_Toc129243138"/>
      <w:r w:rsidRPr="000E6014">
        <w:rPr>
          <w:rFonts w:ascii="Times New Roman" w:hAnsi="Times New Roman"/>
          <w:b/>
        </w:rPr>
        <w:lastRenderedPageBreak/>
        <w:t>Pakuotės lapelis: informacija vartotojui</w:t>
      </w:r>
      <w:bookmarkEnd w:id="18"/>
      <w:bookmarkEnd w:id="19"/>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jc w:val="center"/>
        <w:rPr>
          <w:rFonts w:ascii="Times New Roman" w:hAnsi="Times New Roman"/>
          <w:b/>
        </w:rPr>
      </w:pPr>
      <w:r w:rsidRPr="000E6014">
        <w:rPr>
          <w:rFonts w:ascii="Times New Roman" w:hAnsi="Times New Roman"/>
          <w:b/>
        </w:rPr>
        <w:t>Irinotecan Seacross 20 mg/ml koncentratas infuziniam tirpalui</w:t>
      </w:r>
    </w:p>
    <w:p w:rsidR="00D052A5" w:rsidRPr="000E6014" w:rsidRDefault="00D052A5" w:rsidP="00D052A5">
      <w:pPr>
        <w:tabs>
          <w:tab w:val="left" w:pos="567"/>
        </w:tabs>
        <w:spacing w:after="0" w:line="240" w:lineRule="auto"/>
        <w:jc w:val="center"/>
        <w:rPr>
          <w:rFonts w:ascii="Times New Roman" w:hAnsi="Times New Roman"/>
        </w:rPr>
      </w:pPr>
      <w:r w:rsidRPr="000E6014">
        <w:rPr>
          <w:rFonts w:ascii="Times New Roman" w:hAnsi="Times New Roman"/>
        </w:rPr>
        <w:t>Irinotekano hidrochloridas trihidratas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 xml:space="preserve">Atidžiai perskaitykite visą šį lapelį, prieš pradėdami vartoti vaistą, </w:t>
      </w:r>
      <w:r w:rsidRPr="000E6014">
        <w:rPr>
          <w:rFonts w:ascii="Times New Roman" w:hAnsi="Times New Roman"/>
          <w:b/>
          <w:noProof/>
        </w:rPr>
        <w:t>nes jame pateikiama Jums svarbi informacija.</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w:t>
      </w:r>
      <w:r w:rsidRPr="000E6014">
        <w:rPr>
          <w:rFonts w:ascii="Times New Roman" w:hAnsi="Times New Roman"/>
        </w:rPr>
        <w:tab/>
        <w:t>Neišmeskite šio lapelio, nes vėl gali prireikti jį perskaityti.</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w:t>
      </w:r>
      <w:r w:rsidRPr="000E6014">
        <w:rPr>
          <w:rFonts w:ascii="Times New Roman" w:hAnsi="Times New Roman"/>
        </w:rPr>
        <w:tab/>
        <w:t>Jeigu kiltų daugiau klausimų, kreipkitės į gydytoją.</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w:t>
      </w:r>
      <w:r w:rsidRPr="000E6014">
        <w:rPr>
          <w:rFonts w:ascii="Times New Roman" w:hAnsi="Times New Roman"/>
        </w:rPr>
        <w:tab/>
        <w:t>Šis vaistas skirtas tik Jums, todėl kitiems žmonėms jo duoti negalima. Vaistas gali jiems pakenkti (net tiems, kurių ligos požymiai yra tokie patys kaip Jūsų).</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w:t>
      </w:r>
      <w:r w:rsidRPr="000E6014">
        <w:rPr>
          <w:rFonts w:ascii="Times New Roman" w:hAnsi="Times New Roman"/>
        </w:rPr>
        <w:tab/>
        <w:t>Jeigu pasireiškė šalutinis poveikis (net jeigu jis šiame lapelyje nenurodytas)į, kreipkitės į gydytoją.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Apie ką rašoma šiame lapelyje?</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1.</w:t>
      </w:r>
      <w:r w:rsidRPr="000E6014">
        <w:rPr>
          <w:rFonts w:ascii="Times New Roman" w:hAnsi="Times New Roman"/>
        </w:rPr>
        <w:tab/>
        <w:t>Kas yra Irinotecan Seacross ir kam jis vartojamas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2.</w:t>
      </w:r>
      <w:r w:rsidRPr="000E6014">
        <w:rPr>
          <w:rFonts w:ascii="Times New Roman" w:hAnsi="Times New Roman"/>
        </w:rPr>
        <w:tab/>
        <w:t>Kas žinotina prieš vartojant Irinotecan Seacross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3.</w:t>
      </w:r>
      <w:r w:rsidRPr="000E6014">
        <w:rPr>
          <w:rFonts w:ascii="Times New Roman" w:hAnsi="Times New Roman"/>
        </w:rPr>
        <w:tab/>
        <w:t>Kaip vartoti Irinotecan Seacross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4.</w:t>
      </w:r>
      <w:r w:rsidRPr="000E6014">
        <w:rPr>
          <w:rFonts w:ascii="Times New Roman" w:hAnsi="Times New Roman"/>
        </w:rPr>
        <w:tab/>
        <w:t>Galimas šalutinis poveikis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5.</w:t>
      </w:r>
      <w:r w:rsidRPr="000E6014">
        <w:rPr>
          <w:rFonts w:ascii="Times New Roman" w:hAnsi="Times New Roman"/>
        </w:rPr>
        <w:tab/>
        <w:t>Kaip laikyti Irinotecan Seacross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6.</w:t>
      </w:r>
      <w:r w:rsidRPr="000E6014">
        <w:rPr>
          <w:rFonts w:ascii="Times New Roman" w:hAnsi="Times New Roman"/>
        </w:rPr>
        <w:tab/>
        <w:t>Pakuotės turinys ir kita informacija</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bookmarkStart w:id="20" w:name="_Toc129243264"/>
      <w:bookmarkStart w:id="21" w:name="_Toc129243139"/>
      <w:r w:rsidRPr="000E6014">
        <w:rPr>
          <w:rFonts w:ascii="Times New Roman" w:hAnsi="Times New Roman"/>
          <w:b/>
        </w:rPr>
        <w:t>1.</w:t>
      </w:r>
      <w:r w:rsidRPr="000E6014">
        <w:rPr>
          <w:rFonts w:ascii="Times New Roman" w:hAnsi="Times New Roman"/>
          <w:b/>
        </w:rPr>
        <w:tab/>
        <w:t>Kas yra Irinotecan Seacross ir kam jis vartojamas</w:t>
      </w:r>
      <w:bookmarkEnd w:id="20"/>
      <w:bookmarkEnd w:id="21"/>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spacing w:after="0" w:line="240" w:lineRule="auto"/>
        <w:rPr>
          <w:rFonts w:ascii="Times New Roman" w:hAnsi="Times New Roman"/>
        </w:rPr>
      </w:pPr>
      <w:r w:rsidRPr="000E6014">
        <w:rPr>
          <w:rFonts w:ascii="Times New Roman" w:hAnsi="Times New Roman"/>
        </w:rPr>
        <w:t>Irinotecan Seacross priklauso vaistų, vadinamų citostatikais (priešvėžiniais vaistais), grupei.</w:t>
      </w:r>
    </w:p>
    <w:p w:rsidR="00D052A5" w:rsidRPr="000E6014" w:rsidRDefault="00D052A5" w:rsidP="00D052A5">
      <w:pPr>
        <w:spacing w:after="0" w:line="240" w:lineRule="auto"/>
        <w:rPr>
          <w:rFonts w:ascii="Times New Roman" w:hAnsi="Times New Roman"/>
        </w:rPr>
      </w:pPr>
      <w:r w:rsidRPr="000E6014">
        <w:rPr>
          <w:rFonts w:ascii="Times New Roman" w:hAnsi="Times New Roman"/>
        </w:rPr>
        <w:t xml:space="preserve">Irinotecan Seacross gali būti vartojamas vienas ar derinyje su keletu kitų vėžiui gydyti skirtų vaistų. Šie vaistų deriniai gali būti vartojami storųjų žarnų (gaubtinės ar tiesiosios žarnos) pažengusios stadijos vėžiui gydyti. </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pStyle w:val="Sraopastraipa"/>
        <w:numPr>
          <w:ilvl w:val="0"/>
          <w:numId w:val="6"/>
        </w:numPr>
        <w:tabs>
          <w:tab w:val="left" w:pos="0"/>
          <w:tab w:val="left" w:pos="567"/>
          <w:tab w:val="left" w:pos="1440"/>
        </w:tabs>
        <w:spacing w:after="0" w:line="240" w:lineRule="auto"/>
        <w:ind w:left="567" w:hanging="567"/>
        <w:rPr>
          <w:rFonts w:ascii="Times New Roman" w:hAnsi="Times New Roman"/>
          <w:bCs/>
        </w:rPr>
      </w:pPr>
      <w:r w:rsidRPr="000E6014">
        <w:rPr>
          <w:rFonts w:ascii="Times New Roman" w:hAnsi="Times New Roman"/>
        </w:rPr>
        <w:t>Jūsų gydytojas gali skirti vartoti Irinotecan Seacross derinį su</w:t>
      </w:r>
      <w:r w:rsidRPr="000E6014">
        <w:rPr>
          <w:rFonts w:ascii="Times New Roman" w:hAnsi="Times New Roman"/>
          <w:bCs/>
        </w:rPr>
        <w:t>5-fluorouracilu, folino rūgštimi ir bevacizumabu, storosios žarnos (gaubtinės arba tiesiosios žarnos) vėžiui gydyti,</w:t>
      </w:r>
      <w:r w:rsidRPr="000E6014">
        <w:rPr>
          <w:rFonts w:ascii="Times New Roman" w:hAnsi="Times New Roman"/>
        </w:rPr>
        <w:t xml:space="preserve"> .</w:t>
      </w:r>
    </w:p>
    <w:p w:rsidR="00D052A5" w:rsidRPr="000E6014" w:rsidRDefault="00D052A5" w:rsidP="00D052A5">
      <w:pPr>
        <w:tabs>
          <w:tab w:val="left" w:pos="567"/>
        </w:tabs>
        <w:spacing w:after="0" w:line="240" w:lineRule="auto"/>
        <w:rPr>
          <w:rFonts w:ascii="Times New Roman" w:hAnsi="Times New Roman"/>
          <w:bCs/>
        </w:rPr>
      </w:pPr>
      <w:r w:rsidRPr="000E6014">
        <w:rPr>
          <w:rFonts w:ascii="Times New Roman" w:hAnsi="Times New Roman"/>
        </w:rPr>
        <w:t xml:space="preserve">Gydytojas gali Jums skirti Irinotecan Seacross derinį su </w:t>
      </w:r>
      <w:r w:rsidRPr="000E6014">
        <w:rPr>
          <w:rFonts w:ascii="Times New Roman" w:hAnsi="Times New Roman"/>
          <w:bCs/>
        </w:rPr>
        <w:t>kapecitabinu su bevacizumabu arba be jo gaubtinės arba tiesiosios žarnos vėžiui gydyti.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Gydytojas gali Jums skirti Irinotecan Seacross derinį su cetuksimabu storosios žarnos vėžiui (KRAS laukinio tipo), kuris ekspresuoja baltymą, vadinamą EAFR, gydyti.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bookmarkStart w:id="22" w:name="_Toc129243265"/>
      <w:bookmarkStart w:id="23" w:name="_Toc129243140"/>
      <w:r w:rsidRPr="000E6014">
        <w:rPr>
          <w:rFonts w:ascii="Times New Roman" w:hAnsi="Times New Roman"/>
          <w:b/>
        </w:rPr>
        <w:t>2.</w:t>
      </w:r>
      <w:r w:rsidRPr="000E6014">
        <w:rPr>
          <w:rFonts w:ascii="Times New Roman" w:hAnsi="Times New Roman"/>
          <w:b/>
        </w:rPr>
        <w:tab/>
        <w:t xml:space="preserve">Kas žinotina prieš vartojant </w:t>
      </w:r>
      <w:bookmarkEnd w:id="22"/>
      <w:bookmarkEnd w:id="23"/>
      <w:r w:rsidRPr="000E6014">
        <w:rPr>
          <w:rFonts w:ascii="Times New Roman" w:hAnsi="Times New Roman"/>
          <w:b/>
        </w:rPr>
        <w:t>Irinotecan Seacross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 xml:space="preserve">Irinotecan Seacross </w:t>
      </w:r>
      <w:r w:rsidRPr="000E6014">
        <w:rPr>
          <w:rFonts w:ascii="Times New Roman" w:hAnsi="Times New Roman"/>
          <w:b/>
          <w:bCs/>
          <w:noProof/>
        </w:rPr>
        <w:t>vartoti negalima</w:t>
      </w:r>
      <w:r w:rsidRPr="000E6014">
        <w:rPr>
          <w:rFonts w:ascii="Times New Roman" w:hAnsi="Times New Roman"/>
          <w:b/>
        </w:rPr>
        <w:t>::</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w:t>
      </w:r>
      <w:r w:rsidRPr="000E6014">
        <w:rPr>
          <w:rFonts w:ascii="Times New Roman" w:hAnsi="Times New Roman"/>
        </w:rPr>
        <w:tab/>
        <w:t>jeigu yra alergija  irinotekano hidrochloridui trihidratui arba bet kuriai pagalbinei šio vaisto medžiagai (jos išvardytos 6 skyriuje);</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w:t>
      </w:r>
      <w:r w:rsidRPr="000E6014">
        <w:rPr>
          <w:rFonts w:ascii="Times New Roman" w:hAnsi="Times New Roman"/>
        </w:rPr>
        <w:tab/>
        <w:t>jeigu sergate ar sirgote bet kokia kita lėtine uždegimine žarnų liga arba žarnų nepraeinamumu;</w:t>
      </w:r>
    </w:p>
    <w:p w:rsidR="00D052A5" w:rsidRPr="000E6014" w:rsidRDefault="00D052A5" w:rsidP="00D052A5">
      <w:pPr>
        <w:spacing w:after="0" w:line="240" w:lineRule="auto"/>
        <w:ind w:left="567" w:hanging="567"/>
        <w:rPr>
          <w:rFonts w:ascii="Times New Roman" w:hAnsi="Times New Roman"/>
        </w:rPr>
      </w:pPr>
      <w:r w:rsidRPr="000E6014">
        <w:rPr>
          <w:rFonts w:ascii="Times New Roman" w:hAnsi="Times New Roman"/>
        </w:rPr>
        <w:t>-</w:t>
      </w:r>
      <w:r w:rsidRPr="000E6014">
        <w:rPr>
          <w:rFonts w:ascii="Times New Roman" w:hAnsi="Times New Roman"/>
        </w:rPr>
        <w:tab/>
        <w:t>jeigu esate nėščia arba žindote , ar  manote ,kad galite būti pastojusi;</w:t>
      </w:r>
    </w:p>
    <w:p w:rsidR="00D052A5" w:rsidRPr="000E6014" w:rsidRDefault="00D052A5" w:rsidP="00D052A5">
      <w:pPr>
        <w:pStyle w:val="Sraopastraipa"/>
        <w:numPr>
          <w:ilvl w:val="0"/>
          <w:numId w:val="7"/>
        </w:numPr>
        <w:spacing w:after="0" w:line="240" w:lineRule="auto"/>
        <w:ind w:left="567" w:hanging="567"/>
        <w:rPr>
          <w:rFonts w:ascii="Times New Roman" w:hAnsi="Times New Roman"/>
        </w:rPr>
      </w:pPr>
      <w:r w:rsidRPr="000E6014">
        <w:rPr>
          <w:rFonts w:ascii="Times New Roman" w:hAnsi="Times New Roman"/>
        </w:rPr>
        <w:t>jeigu sergate sunkia kepenų liga;</w:t>
      </w:r>
    </w:p>
    <w:p w:rsidR="00D052A5" w:rsidRPr="000E6014" w:rsidRDefault="00D052A5" w:rsidP="00D052A5">
      <w:pPr>
        <w:pStyle w:val="Sraopastraipa"/>
        <w:numPr>
          <w:ilvl w:val="0"/>
          <w:numId w:val="7"/>
        </w:numPr>
        <w:spacing w:after="0" w:line="240" w:lineRule="auto"/>
        <w:ind w:left="567" w:hanging="567"/>
        <w:rPr>
          <w:rFonts w:ascii="Times New Roman" w:hAnsi="Times New Roman"/>
        </w:rPr>
      </w:pPr>
      <w:r w:rsidRPr="000E6014">
        <w:rPr>
          <w:rFonts w:ascii="Times New Roman" w:hAnsi="Times New Roman"/>
        </w:rPr>
        <w:lastRenderedPageBreak/>
        <w:t>jeigu yra sunkus kaulų čiulpų veiklos nepakankamumas;</w:t>
      </w:r>
    </w:p>
    <w:p w:rsidR="00D052A5" w:rsidRPr="000E6014" w:rsidRDefault="00D052A5" w:rsidP="00D052A5">
      <w:pPr>
        <w:pStyle w:val="Sraopastraipa"/>
        <w:numPr>
          <w:ilvl w:val="0"/>
          <w:numId w:val="7"/>
        </w:numPr>
        <w:spacing w:after="0" w:line="240" w:lineRule="auto"/>
        <w:ind w:left="567" w:hanging="567"/>
        <w:rPr>
          <w:rFonts w:ascii="Times New Roman" w:hAnsi="Times New Roman"/>
        </w:rPr>
      </w:pPr>
      <w:r w:rsidRPr="000E6014">
        <w:rPr>
          <w:rFonts w:ascii="Times New Roman" w:hAnsi="Times New Roman"/>
        </w:rPr>
        <w:t>jeigu bloga bendra sveikatos būklė, kuri neleidžia Jums atlikti kasdieninės veiklos ;</w:t>
      </w:r>
    </w:p>
    <w:p w:rsidR="00D052A5" w:rsidRPr="000E6014" w:rsidRDefault="00D052A5" w:rsidP="00D052A5">
      <w:pPr>
        <w:pStyle w:val="Sraopastraipa"/>
        <w:numPr>
          <w:ilvl w:val="0"/>
          <w:numId w:val="7"/>
        </w:numPr>
        <w:spacing w:after="0" w:line="240" w:lineRule="auto"/>
        <w:ind w:left="567" w:hanging="567"/>
        <w:rPr>
          <w:rFonts w:ascii="Times New Roman" w:hAnsi="Times New Roman"/>
        </w:rPr>
      </w:pPr>
      <w:r w:rsidRPr="000E6014">
        <w:rPr>
          <w:rFonts w:ascii="Times New Roman" w:hAnsi="Times New Roman"/>
        </w:rPr>
        <w:t>jeigu vartojate Paprastosios jonažolės (</w:t>
      </w:r>
      <w:r w:rsidRPr="000E6014">
        <w:rPr>
          <w:rFonts w:ascii="Times New Roman" w:hAnsi="Times New Roman"/>
          <w:i/>
        </w:rPr>
        <w:t xml:space="preserve">Hypericum perforatum) </w:t>
      </w:r>
      <w:r w:rsidRPr="000E6014">
        <w:rPr>
          <w:rFonts w:ascii="Times New Roman" w:hAnsi="Times New Roman"/>
        </w:rPr>
        <w:t>preparatus (raminantys augaliniai maisto papildai);</w:t>
      </w:r>
    </w:p>
    <w:p w:rsidR="00D052A5" w:rsidRPr="000E6014" w:rsidRDefault="00D052A5" w:rsidP="00D052A5">
      <w:pPr>
        <w:pStyle w:val="Sraopastraipa"/>
        <w:numPr>
          <w:ilvl w:val="0"/>
          <w:numId w:val="7"/>
        </w:numPr>
        <w:spacing w:after="0" w:line="240" w:lineRule="auto"/>
        <w:ind w:left="567" w:hanging="567"/>
        <w:rPr>
          <w:rFonts w:ascii="Times New Roman" w:hAnsi="Times New Roman"/>
        </w:rPr>
      </w:pPr>
      <w:r w:rsidRPr="000E6014">
        <w:rPr>
          <w:rFonts w:ascii="Times New Roman" w:hAnsi="Times New Roman"/>
        </w:rPr>
        <w:t>Jeigu vartojate Irinotecan Seacross kartu su cetuksimabu, , bevacizumabu arba kapecitabinu, būtinai perskaitykite ir šių preparatų pakuotės lapelius. Juose gali būti informaciją, kurią turite žinoti prieš šių preparatų vartojimą.</w:t>
      </w:r>
    </w:p>
    <w:p w:rsidR="00D052A5" w:rsidRPr="000E6014" w:rsidRDefault="00D052A5" w:rsidP="00D052A5">
      <w:pPr>
        <w:spacing w:after="0" w:line="240" w:lineRule="auto"/>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b/>
        </w:rPr>
        <w:t xml:space="preserve">Vaikams </w:t>
      </w:r>
    </w:p>
    <w:p w:rsidR="00D052A5" w:rsidRPr="000E6014" w:rsidRDefault="00D052A5" w:rsidP="00D052A5">
      <w:pPr>
        <w:tabs>
          <w:tab w:val="left" w:pos="567"/>
        </w:tabs>
        <w:spacing w:after="0" w:line="240" w:lineRule="auto"/>
        <w:ind w:left="567" w:hanging="567"/>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Šis vaistas skirtas tik suaugusiesiems. Jei šis vaistas buvo paskirtas vaikui, atsiklauskite savo gydytojo.</w:t>
      </w:r>
    </w:p>
    <w:p w:rsidR="00D052A5" w:rsidRPr="000E6014" w:rsidRDefault="00D052A5" w:rsidP="00D052A5">
      <w:pPr>
        <w:tabs>
          <w:tab w:val="left" w:pos="567"/>
        </w:tabs>
        <w:spacing w:after="0" w:line="240" w:lineRule="auto"/>
        <w:ind w:left="567" w:hanging="567"/>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b/>
          <w:noProof/>
        </w:rPr>
        <w:t>Įspėjimai ir atsargumo priemonės</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Pasitarkite su gydytoju, prieš pradėdami vartoti Irinotecan Seacross.</w:t>
      </w:r>
    </w:p>
    <w:p w:rsidR="00D052A5" w:rsidRPr="000E6014" w:rsidRDefault="00D052A5" w:rsidP="00D052A5">
      <w:pPr>
        <w:tabs>
          <w:tab w:val="left" w:pos="567"/>
        </w:tabs>
        <w:spacing w:after="0" w:line="240" w:lineRule="auto"/>
        <w:ind w:left="567" w:hanging="567"/>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Specialių atsargumo priemonių reikia imtis senyviems pacientams.</w:t>
      </w:r>
    </w:p>
    <w:p w:rsidR="00D052A5" w:rsidRPr="000E6014" w:rsidRDefault="00D052A5" w:rsidP="00D052A5">
      <w:pPr>
        <w:tabs>
          <w:tab w:val="left" w:pos="567"/>
        </w:tabs>
        <w:spacing w:after="0" w:line="240" w:lineRule="auto"/>
        <w:ind w:left="567" w:hanging="567"/>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Prieš pradedant gydymą Irinotecan Seacross pasakykite savo gydytojui, jei:</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sergate kepenų liga ar gelta,</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sergate inkstų liga,</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 xml:space="preserve">sergate </w:t>
      </w:r>
      <w:r w:rsidRPr="000E6014">
        <w:rPr>
          <w:rFonts w:ascii="Times New Roman" w:hAnsi="Times New Roman"/>
          <w:b/>
          <w:bCs/>
        </w:rPr>
        <w:t>astma</w:t>
      </w:r>
      <w:r w:rsidRPr="000E6014">
        <w:rPr>
          <w:rFonts w:ascii="Times New Roman" w:hAnsi="Times New Roman"/>
        </w:rPr>
        <w:t>,</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 xml:space="preserve">kada nors esate gydyti </w:t>
      </w:r>
      <w:r w:rsidRPr="000E6014">
        <w:rPr>
          <w:rFonts w:ascii="Times New Roman" w:hAnsi="Times New Roman"/>
          <w:b/>
          <w:bCs/>
        </w:rPr>
        <w:t>spinduline terapija</w:t>
      </w:r>
      <w:r w:rsidRPr="000E6014">
        <w:rPr>
          <w:rFonts w:ascii="Times New Roman" w:hAnsi="Times New Roman"/>
        </w:rPr>
        <w:t>,</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 xml:space="preserve">anksčiau buvote gydyti irinotekano tirpalu ir po to patyrėte smarkų </w:t>
      </w:r>
      <w:r w:rsidRPr="000E6014">
        <w:rPr>
          <w:rFonts w:ascii="Times New Roman" w:hAnsi="Times New Roman"/>
          <w:b/>
          <w:bCs/>
        </w:rPr>
        <w:t>viduriavimą</w:t>
      </w:r>
      <w:r w:rsidRPr="000E6014">
        <w:rPr>
          <w:rFonts w:ascii="Times New Roman" w:hAnsi="Times New Roman"/>
        </w:rPr>
        <w:t xml:space="preserve">, ar </w:t>
      </w:r>
      <w:r w:rsidRPr="000E6014">
        <w:rPr>
          <w:rFonts w:ascii="Times New Roman" w:hAnsi="Times New Roman"/>
          <w:b/>
          <w:bCs/>
        </w:rPr>
        <w:t>karščiavimą</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sergate širdies liga</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rūkote, turite aukštą kraujospūdį ar padidintą cholesterolio kiekį, nes tai gali padidinti pavojų susirgti širdies liga gydymo Irinotecan Seacross metu,</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 xml:space="preserve">buvote paskiepyti ar Jus reikia nuo ko nors </w:t>
      </w:r>
      <w:r w:rsidRPr="000E6014">
        <w:rPr>
          <w:rFonts w:ascii="Times New Roman" w:hAnsi="Times New Roman"/>
          <w:b/>
          <w:bCs/>
        </w:rPr>
        <w:t>skiepytis</w:t>
      </w:r>
    </w:p>
    <w:p w:rsidR="00D052A5" w:rsidRPr="000E6014" w:rsidRDefault="00D052A5" w:rsidP="00D052A5">
      <w:pPr>
        <w:pStyle w:val="Sraopastraipa"/>
        <w:numPr>
          <w:ilvl w:val="0"/>
          <w:numId w:val="6"/>
        </w:numPr>
        <w:tabs>
          <w:tab w:val="left" w:pos="567"/>
        </w:tabs>
        <w:spacing w:after="0" w:line="240" w:lineRule="auto"/>
        <w:rPr>
          <w:rFonts w:ascii="Times New Roman" w:hAnsi="Times New Roman"/>
        </w:rPr>
      </w:pPr>
      <w:r w:rsidRPr="000E6014">
        <w:rPr>
          <w:rFonts w:ascii="Times New Roman" w:hAnsi="Times New Roman"/>
        </w:rPr>
        <w:t xml:space="preserve">vartojate kokius nors kitus vaistus. Žr. toliau skyrių </w:t>
      </w:r>
      <w:r w:rsidRPr="000E6014">
        <w:rPr>
          <w:rFonts w:ascii="Times New Roman" w:hAnsi="Times New Roman"/>
          <w:b/>
          <w:bCs/>
        </w:rPr>
        <w:t>„Kiti vaistai ir Irinotecan Seacross“</w:t>
      </w:r>
      <w:r w:rsidRPr="000E6014">
        <w:rPr>
          <w:rFonts w:ascii="Times New Roman" w:hAnsi="Times New Roman"/>
        </w:rPr>
        <w:t xml:space="preserve"> </w:t>
      </w:r>
    </w:p>
    <w:p w:rsidR="00D052A5" w:rsidRPr="000E6014" w:rsidRDefault="00D052A5" w:rsidP="00D052A5">
      <w:pPr>
        <w:tabs>
          <w:tab w:val="left" w:pos="567"/>
        </w:tabs>
        <w:spacing w:after="0" w:line="240" w:lineRule="auto"/>
        <w:ind w:left="567" w:hanging="567"/>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Kadangi Irinotecan Seacross yra vaistas nuo vėžio, jis bus Jums leidžiamas specialiame skyriuje stebint gydytojui, patyrusiam vartojant vaistus nuo vėžio. Skyriaus darbuotojai paaiškins Jums, kokių specialių atsargumo priemonių reikia imtis gydymo metu ir po jo. Šis lapelis padės Jums tai prisiminti.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1.</w:t>
      </w:r>
      <w:r w:rsidRPr="000E6014">
        <w:rPr>
          <w:rFonts w:ascii="Times New Roman" w:hAnsi="Times New Roman"/>
          <w:b/>
          <w:bCs/>
        </w:rPr>
        <w:tab/>
        <w:t xml:space="preserve">Pirmos 24 valandos po Irinotecan Seacross suleidimo </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Lašinant Irinotecan Seacross (30-90 min.) ir netrukus po sulašinimo Jūs galite pajusti šiuos simptomus:</w:t>
      </w:r>
    </w:p>
    <w:p w:rsidR="00D052A5" w:rsidRPr="000E6014" w:rsidRDefault="00D052A5" w:rsidP="00D052A5">
      <w:pPr>
        <w:pStyle w:val="Sraopastraipa"/>
        <w:numPr>
          <w:ilvl w:val="0"/>
          <w:numId w:val="8"/>
        </w:numPr>
        <w:tabs>
          <w:tab w:val="left" w:pos="567"/>
        </w:tabs>
        <w:spacing w:after="0" w:line="240" w:lineRule="auto"/>
        <w:rPr>
          <w:rFonts w:ascii="Times New Roman" w:hAnsi="Times New Roman"/>
        </w:rPr>
      </w:pPr>
      <w:r w:rsidRPr="000E6014">
        <w:rPr>
          <w:rFonts w:ascii="Times New Roman" w:hAnsi="Times New Roman"/>
        </w:rPr>
        <w:t>viduriavimą</w:t>
      </w:r>
    </w:p>
    <w:p w:rsidR="00D052A5" w:rsidRPr="000E6014" w:rsidRDefault="00D052A5" w:rsidP="00D052A5">
      <w:pPr>
        <w:pStyle w:val="Sraopastraipa"/>
        <w:numPr>
          <w:ilvl w:val="0"/>
          <w:numId w:val="8"/>
        </w:numPr>
        <w:tabs>
          <w:tab w:val="left" w:pos="567"/>
        </w:tabs>
        <w:spacing w:after="0" w:line="240" w:lineRule="auto"/>
        <w:rPr>
          <w:rFonts w:ascii="Times New Roman" w:hAnsi="Times New Roman"/>
        </w:rPr>
      </w:pPr>
      <w:r w:rsidRPr="000E6014">
        <w:rPr>
          <w:rFonts w:ascii="Times New Roman" w:hAnsi="Times New Roman"/>
        </w:rPr>
        <w:t>prakaitavimą</w:t>
      </w:r>
    </w:p>
    <w:p w:rsidR="00D052A5" w:rsidRPr="000E6014" w:rsidRDefault="00D052A5" w:rsidP="00D052A5">
      <w:pPr>
        <w:pStyle w:val="Sraopastraipa"/>
        <w:numPr>
          <w:ilvl w:val="0"/>
          <w:numId w:val="8"/>
        </w:numPr>
        <w:tabs>
          <w:tab w:val="left" w:pos="567"/>
        </w:tabs>
        <w:spacing w:after="0" w:line="240" w:lineRule="auto"/>
        <w:rPr>
          <w:rFonts w:ascii="Times New Roman" w:hAnsi="Times New Roman"/>
        </w:rPr>
      </w:pPr>
      <w:r w:rsidRPr="000E6014">
        <w:rPr>
          <w:rFonts w:ascii="Times New Roman" w:hAnsi="Times New Roman"/>
        </w:rPr>
        <w:t>pilvo skausmą</w:t>
      </w:r>
    </w:p>
    <w:p w:rsidR="00D052A5" w:rsidRPr="000E6014" w:rsidRDefault="00D052A5" w:rsidP="00D052A5">
      <w:pPr>
        <w:pStyle w:val="Sraopastraipa"/>
        <w:numPr>
          <w:ilvl w:val="0"/>
          <w:numId w:val="8"/>
        </w:numPr>
        <w:tabs>
          <w:tab w:val="left" w:pos="567"/>
        </w:tabs>
        <w:spacing w:after="0" w:line="240" w:lineRule="auto"/>
        <w:rPr>
          <w:rFonts w:ascii="Times New Roman" w:hAnsi="Times New Roman"/>
        </w:rPr>
      </w:pPr>
      <w:r w:rsidRPr="000E6014">
        <w:rPr>
          <w:rFonts w:ascii="Times New Roman" w:hAnsi="Times New Roman"/>
        </w:rPr>
        <w:t>ašarojimą</w:t>
      </w:r>
    </w:p>
    <w:p w:rsidR="00D052A5" w:rsidRPr="000E6014" w:rsidRDefault="00D052A5" w:rsidP="00D052A5">
      <w:pPr>
        <w:pStyle w:val="Sraopastraipa"/>
        <w:numPr>
          <w:ilvl w:val="0"/>
          <w:numId w:val="8"/>
        </w:numPr>
        <w:tabs>
          <w:tab w:val="left" w:pos="567"/>
        </w:tabs>
        <w:spacing w:after="0" w:line="240" w:lineRule="auto"/>
        <w:rPr>
          <w:rFonts w:ascii="Times New Roman" w:hAnsi="Times New Roman"/>
        </w:rPr>
      </w:pPr>
      <w:r w:rsidRPr="000E6014">
        <w:rPr>
          <w:rFonts w:ascii="Times New Roman" w:hAnsi="Times New Roman"/>
        </w:rPr>
        <w:t>matymo sutrikimą</w:t>
      </w:r>
    </w:p>
    <w:p w:rsidR="00D052A5" w:rsidRPr="000E6014" w:rsidRDefault="00D052A5" w:rsidP="00D052A5">
      <w:pPr>
        <w:pStyle w:val="Sraopastraipa"/>
        <w:numPr>
          <w:ilvl w:val="0"/>
          <w:numId w:val="8"/>
        </w:numPr>
        <w:tabs>
          <w:tab w:val="left" w:pos="567"/>
        </w:tabs>
        <w:spacing w:after="0" w:line="240" w:lineRule="auto"/>
        <w:rPr>
          <w:rFonts w:ascii="Times New Roman" w:hAnsi="Times New Roman"/>
        </w:rPr>
      </w:pPr>
      <w:r w:rsidRPr="000E6014">
        <w:rPr>
          <w:rFonts w:ascii="Times New Roman" w:hAnsi="Times New Roman"/>
        </w:rPr>
        <w:t>didelį seilėtekį</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Šie simptomai vadinami „ūmiu cholinerginiu sindromu“, kurį galima gydyti atropinu. Jei Jums pasireiškia bet kuris iš šių simptomų, nedelsdami pasakykite gydytojui, kuris paskirs Jums reikalingą gydymą.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2.</w:t>
      </w:r>
      <w:r w:rsidRPr="000E6014">
        <w:rPr>
          <w:rFonts w:ascii="Times New Roman" w:hAnsi="Times New Roman"/>
          <w:b/>
          <w:bCs/>
        </w:rPr>
        <w:tab/>
        <w:t>Nuo sekančios dienos po Irinotecan Seacross suleidimo iki sekančio vaisto leidimo</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Šio laikotarpio metu galite patirti įvairių simptomų, kurie gali būti sunkūs ir reikalauti skubaus gydymo bei atidaus stebėjimo.</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Viduriavimas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 viduriavimas prasideda vėliau  nei per 24 valandas po Irinotecan Seacross suleidimo („vėlyvas viduriavimas“), jis gali būti sunkus. Jis dažnai pasireiškia maždaug po 5 dienų po vaisto suleidimo. Viduriavimą reikia nedelsiant gydyti ir atidžiai stebėti. Kai tik pasirodo pirmieji laisvi viduriai, nedelsdami imkitės šių priemonių:</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1.</w:t>
      </w:r>
      <w:r w:rsidRPr="000E6014">
        <w:rPr>
          <w:rFonts w:ascii="Times New Roman" w:hAnsi="Times New Roman"/>
        </w:rPr>
        <w:tab/>
        <w:t>Pavartokite tuos vaistus nuo viduriavimo, kuriuos Jums davė gydytojas tiksliai taip, kaip buvo nurodyta. Gydymo negalima keisti nepasitarus su gydytoju. Rekomenduojamas vaistas nuo viduriavimo yra loperamidas (pirma dozė 4 mg ir po to gerti po 2 mg kas dvi valandas, gerti reikia ir naktį). Šį gydymą reikia tęsti mažiausiai 12 valandų po paskutinių liuosų vidurių. Rekomenduojama loperamido dozė neturi būti vartojama ilgiau kaip 48 valandas.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2.</w:t>
      </w:r>
      <w:r w:rsidRPr="000E6014">
        <w:rPr>
          <w:rFonts w:ascii="Times New Roman" w:hAnsi="Times New Roman"/>
        </w:rPr>
        <w:tab/>
        <w:t>Nedelsdami pradėkite gerti daug vandens ir kitų skysčių (pvz., gazuoto vandens, putojančių gėrimų, sriubos ar kitų organizmo skysčius atstatančių gėrimų).</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3</w:t>
      </w:r>
      <w:r w:rsidRPr="000E6014">
        <w:rPr>
          <w:rFonts w:ascii="Times New Roman" w:hAnsi="Times New Roman"/>
        </w:rPr>
        <w:tab/>
        <w:t>Nedelsdami informuokite gydymą prižiūrintį gydytoją, kad Jums atsirado viduriavimas. Jei negalite susisiekti su gydytoju, Kreipkitės į ligoninės skyrių, kuris prižiūrį gydymą Irinotecan Seacross. Labai svarbu, kad šio skyriaus darbuotojai žinotų apie viduriavimą.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Nedelsdami praneškite gydytojui ar skyriaus, prižiūrinčio gydymą, darbuotojams, jei:</w:t>
      </w:r>
    </w:p>
    <w:p w:rsidR="00D052A5" w:rsidRPr="000E6014" w:rsidRDefault="00D052A5" w:rsidP="00D052A5">
      <w:pPr>
        <w:pStyle w:val="Sraopastraipa"/>
        <w:numPr>
          <w:ilvl w:val="0"/>
          <w:numId w:val="9"/>
        </w:numPr>
        <w:tabs>
          <w:tab w:val="left" w:pos="567"/>
        </w:tabs>
        <w:spacing w:after="0" w:line="240" w:lineRule="auto"/>
        <w:rPr>
          <w:rFonts w:ascii="Times New Roman" w:hAnsi="Times New Roman"/>
        </w:rPr>
      </w:pPr>
      <w:r w:rsidRPr="000E6014">
        <w:rPr>
          <w:rFonts w:ascii="Times New Roman" w:hAnsi="Times New Roman"/>
        </w:rPr>
        <w:t>Jums pasireiškė viduriavimas ir karščiavimas (virš 38 </w:t>
      </w:r>
      <w:r w:rsidRPr="000E6014">
        <w:rPr>
          <w:rFonts w:ascii="Times New Roman" w:hAnsi="Times New Roman"/>
          <w:vertAlign w:val="superscript"/>
        </w:rPr>
        <w:t>o</w:t>
      </w:r>
      <w:r w:rsidRPr="000E6014">
        <w:rPr>
          <w:rFonts w:ascii="Times New Roman" w:hAnsi="Times New Roman"/>
        </w:rPr>
        <w:t>C),</w:t>
      </w:r>
    </w:p>
    <w:p w:rsidR="00D052A5" w:rsidRPr="000E6014" w:rsidRDefault="00D052A5" w:rsidP="00D052A5">
      <w:pPr>
        <w:pStyle w:val="Sraopastraipa"/>
        <w:numPr>
          <w:ilvl w:val="0"/>
          <w:numId w:val="9"/>
        </w:numPr>
        <w:tabs>
          <w:tab w:val="left" w:pos="567"/>
        </w:tabs>
        <w:spacing w:after="0" w:line="240" w:lineRule="auto"/>
        <w:rPr>
          <w:rFonts w:ascii="Times New Roman" w:hAnsi="Times New Roman"/>
        </w:rPr>
      </w:pPr>
      <w:r w:rsidRPr="000E6014">
        <w:rPr>
          <w:rFonts w:ascii="Times New Roman" w:hAnsi="Times New Roman"/>
        </w:rPr>
        <w:t>pasireiškė stiprus viduriavimas (ir vėmimas) ir netekote daug skysčių,</w:t>
      </w:r>
    </w:p>
    <w:p w:rsidR="00D052A5" w:rsidRPr="000E6014" w:rsidRDefault="00D052A5" w:rsidP="00D052A5">
      <w:pPr>
        <w:pStyle w:val="Sraopastraipa"/>
        <w:numPr>
          <w:ilvl w:val="0"/>
          <w:numId w:val="9"/>
        </w:numPr>
        <w:tabs>
          <w:tab w:val="left" w:pos="567"/>
        </w:tabs>
        <w:spacing w:after="0" w:line="240" w:lineRule="auto"/>
        <w:rPr>
          <w:rFonts w:ascii="Times New Roman" w:hAnsi="Times New Roman"/>
        </w:rPr>
      </w:pPr>
      <w:r w:rsidRPr="000E6014">
        <w:rPr>
          <w:rFonts w:ascii="Times New Roman" w:hAnsi="Times New Roman"/>
        </w:rPr>
        <w:t>praėjus 48 valandoms po gydymo nuo viduriavimo pradžios viduriavimas dar tęsiasi.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b/>
          <w:bCs/>
        </w:rPr>
        <w:t>Pastaba</w:t>
      </w:r>
      <w:r w:rsidRPr="000E6014">
        <w:rPr>
          <w:rFonts w:ascii="Times New Roman" w:hAnsi="Times New Roman"/>
        </w:rPr>
        <w:t>. Nevartokite jokių kitų vaistų nuo viduriavimo, išskyrus tuos, kuriuos Jums davė gydytojas ir anksčiau minėtus skysčius. Laikykitės gydytojo nurodymų. Vaistų nuo viduriavimo negalima vartoti norint apsisaugoti nuo tolimesnių viduriavimo epizodų, net tuo atveju, jei Jums anksčiau yra buvęs vėlyvas viduriavimas po ankstesnių gydymo ciklų.</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Karščiavimas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 kūno temperatūra pakyla virš 38 °C, tai gali būti infekcijos požymis, ypač jei Jūs viduriuojate. Jei pakyla temperatūra (virš 38 °C), nedelsdami susisiekite su savo gydytoju arba ligoninės skyriumi, kad jie paskirtų Jums reikiamą gydymą.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Pykinimas ir vėmimas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 Jus pykina ir (ar) vemiate, nedelsdami susisiekite su savo gydytoju arba ligoninės skyriumi.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Neutropenija</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Irinotecan Seacross poveikyje gali sumažėti baltųjų kraujo ląstelių, kurios vaidina svarbų vaidmenį kovojant su infekcija, skaičius. Tai vadinama neutropenija. Neutropenija dažnai pasireiškia gydant irinotekanu ir yra grįžtama. Jūsų gydytojas paskirs </w:t>
      </w:r>
      <w:r w:rsidRPr="000E6014">
        <w:rPr>
          <w:rFonts w:ascii="Times New Roman" w:hAnsi="Times New Roman"/>
        </w:rPr>
        <w:lastRenderedPageBreak/>
        <w:t>Jums reguliariai tirti kraują, kad būtų galima stebėti baltųjų kraujo ląstelių skaičių. Neutropenija yra pavojinga ir turi būti nedelsiant gydoma ir atidžiai stebima.</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Apsunkintas kvėpavimas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 Jums tapo sunku kvėpuoti, nedelsdami kreipkitės į gydytoją.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Kepenų funkcijos sutrikimas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Prieš pradedant gydyti Irinotecan Seacross</w:t>
      </w:r>
      <w:r w:rsidRPr="000E6014">
        <w:rPr>
          <w:rFonts w:ascii="Times New Roman" w:hAnsi="Times New Roman"/>
          <w:spacing w:val="-2"/>
        </w:rPr>
        <w:t xml:space="preserve"> ir prieš kiekvieną sekantį gydymo ciklą reikia stebėti kepenų funkciją (atliekant kraujo tyrimą).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Inkstų funkcijos sutrikimas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Kadangi šis vaistas nebuvo tirtas pacientams, sergantiems inkstų sutrikimu, pasitarkite su gydytoju, jei sergate kokia nors inkstų liga.</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Jeigu Jums, grįžus namo iš ligoninės. Pasireiškė vienas ar daugiau iš paminėtų simptomų, nedelsdami susisiekite su gydytoju arba ligoninės skyriaus, prižiūrinčio gydymą Irinotecan Seacross,</w:t>
      </w:r>
      <w:r w:rsidRPr="000E6014">
        <w:rPr>
          <w:rFonts w:ascii="Times New Roman" w:hAnsi="Times New Roman"/>
          <w:spacing w:val="-2"/>
        </w:rPr>
        <w:t xml:space="preserve"> darbuotojais.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 xml:space="preserve">Kiti vaistai ir </w:t>
      </w:r>
      <w:r w:rsidRPr="000E6014">
        <w:rPr>
          <w:rFonts w:ascii="Times New Roman" w:hAnsi="Times New Roman"/>
          <w:b/>
          <w:bCs/>
        </w:rPr>
        <w:t>Irinotecan Seacross</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Jeigu vartojate arba neseniai vartojote kitų vaistų, </w:t>
      </w:r>
      <w:r w:rsidRPr="000E6014">
        <w:rPr>
          <w:rFonts w:ascii="Times New Roman" w:hAnsi="Times New Roman"/>
          <w:noProof/>
        </w:rPr>
        <w:t>arba dėl to nesate tikri,</w:t>
      </w:r>
      <w:r w:rsidRPr="000E6014">
        <w:rPr>
          <w:rFonts w:ascii="Times New Roman" w:hAnsi="Times New Roman"/>
        </w:rPr>
        <w:t xml:space="preserve">, pasakykite gydytojui arba ligoninės vaistininkui. Tai tinka ir vaistažolių bei stipraus poveikio vitaminų ir mineralinių medžiagų preparatams. </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Kai kurie vaistai gali pakeisti Irinotecan Seacross poveikį. Pasakykite gydytojui, jei vartojate kurį nore iš šių vaistų:</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ketokonazolą (vaistą nuo grybelinių ligų);</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 xml:space="preserve">rifampiciną (vaistą nuo tuberkuliozės); </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karbamazepiną, fenobarbitalį, fenitoiną (epilepsijai gydyti);</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antikoaguliantus (vartojamus kraujui skystinti);</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atazanavirą (vartojamą ŽIV gydyti);</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ciklosporiną ar takrolimuzą (vartojamus imuninei sistemai slopinti);</w:t>
      </w:r>
    </w:p>
    <w:p w:rsidR="00D052A5" w:rsidRPr="000E6014" w:rsidRDefault="00D052A5" w:rsidP="00D052A5">
      <w:pPr>
        <w:pStyle w:val="Sraopastraipa"/>
        <w:numPr>
          <w:ilvl w:val="0"/>
          <w:numId w:val="10"/>
        </w:numPr>
        <w:tabs>
          <w:tab w:val="left" w:pos="567"/>
        </w:tabs>
        <w:spacing w:after="0" w:line="240" w:lineRule="auto"/>
        <w:ind w:left="567" w:hanging="567"/>
        <w:rPr>
          <w:rFonts w:ascii="Times New Roman" w:hAnsi="Times New Roman"/>
        </w:rPr>
      </w:pPr>
      <w:r w:rsidRPr="000E6014">
        <w:rPr>
          <w:rFonts w:ascii="Times New Roman" w:hAnsi="Times New Roman"/>
        </w:rPr>
        <w:t>vakcinas. Pasakykite gydytojui, jei buvote paskiepyti ar turite būti skiepijami bet kokia vakcina.</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Paprastosios jonažolės (</w:t>
      </w:r>
      <w:r w:rsidRPr="000E6014">
        <w:rPr>
          <w:rFonts w:ascii="Times New Roman" w:hAnsi="Times New Roman"/>
          <w:i/>
        </w:rPr>
        <w:t xml:space="preserve">Hypericum perforatum) </w:t>
      </w:r>
      <w:r w:rsidRPr="000E6014">
        <w:rPr>
          <w:rFonts w:ascii="Times New Roman" w:hAnsi="Times New Roman"/>
        </w:rPr>
        <w:t>gydymo Irinotecan Seacross metu ir tarp gydymo ciklų vartoti negalima, nes ji gali sumažinti irinotekano poveikį.</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 Jums reikalinga atlikti operaciją, apie irinotekano vartojimą reikia pasakyti gydytojui ar anesteziologui, nes jis gali pakeisti kai kurių, operacijos metu vartojamų vaistų poveikį.</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Nėštumas, žindymo laikotarpis ir vaisingumas</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Nėščioms moterims Irinotecan Seacross vartoti draudžiama. </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Vaisingo amžiaus moterims gydymo metu pastojimo reikia išvengti. </w:t>
      </w:r>
      <w:r w:rsidRPr="000E6014">
        <w:rPr>
          <w:rFonts w:ascii="Times New Roman" w:hAnsi="Times New Roman"/>
          <w:bCs/>
        </w:rPr>
        <w:t xml:space="preserve">Gydymo metu ir mažiausiai 3 mėn. po jo moterims ir vyrams būtina naudotis kontracepcijos priemonėmis. </w:t>
      </w:r>
      <w:r w:rsidRPr="000E6014">
        <w:rPr>
          <w:rFonts w:ascii="Times New Roman" w:hAnsi="Times New Roman"/>
        </w:rPr>
        <w:t xml:space="preserve">Vis dėlto jeigu minėtu laikotarpiu pastotumėte, turite nedelsdama apie tai informuoti gydytoją. </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Gydymo Irinotecan Seacross metu kūdikio maitinimą krūtimi būtina nutraukti.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Vairavimas ir mechanizmų valdymas</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lastRenderedPageBreak/>
        <w:t>Kai kuriais atvejais Irinotecan Seacross gali sukelti šalutinį poveikį, kuris gali veikti gebėjimą vairuoti, valdyti įrangą ir mechanizmus. Jeigu kyla abejonių, kreipkitės į gydytoją arba vaistininką.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Pirmųjų 24 valandų laikotarpiu po Irinotecan Seacross infuzijos Jums gali svaigti galva arba sutrikti rega. Jeigu toks poveikis pasireiškia, vairuoti ir valdyti įrangos ar mechanizmų negalima. </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Irinotecan Seacross sudėtyje yra natrio</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Šio vaisto vienoje dozėje yra mažiau kaip 1 mmol (23 mg) natrio, t.y. jis beveik neturi reikšmės. Būtina atsižvelgti, jei kontroliuojamas natrio kiekis maiste.</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b/>
          <w:bCs/>
        </w:rPr>
        <w:t>Irinotecan Seacross sudėtyje yra</w:t>
      </w:r>
      <w:r w:rsidRPr="000E6014">
        <w:rPr>
          <w:rFonts w:ascii="Times New Roman" w:hAnsi="Times New Roman"/>
        </w:rPr>
        <w:t xml:space="preserve"> </w:t>
      </w:r>
      <w:r w:rsidRPr="000E6014">
        <w:rPr>
          <w:rFonts w:ascii="Times New Roman" w:hAnsi="Times New Roman"/>
          <w:b/>
        </w:rPr>
        <w:t>sorbitolio</w:t>
      </w:r>
      <w:r w:rsidRPr="000E6014">
        <w:rPr>
          <w:rFonts w:ascii="Times New Roman" w:hAnsi="Times New Roman"/>
        </w:rPr>
        <w:t xml:space="preserve">. </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Jeigu gydytojas Jums yra sakęs, kad netoleruojate kokių nors angliavandenių, kreipkitės į jį prieš pradėdami vartoti šį vaistą.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bookmarkStart w:id="24" w:name="_Toc129243266"/>
      <w:bookmarkStart w:id="25" w:name="_Toc129243141"/>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3.</w:t>
      </w:r>
      <w:r w:rsidRPr="000E6014">
        <w:rPr>
          <w:rFonts w:ascii="Times New Roman" w:hAnsi="Times New Roman"/>
          <w:b/>
        </w:rPr>
        <w:tab/>
        <w:t xml:space="preserve">Kaip </w:t>
      </w:r>
      <w:bookmarkEnd w:id="24"/>
      <w:bookmarkEnd w:id="25"/>
      <w:r w:rsidRPr="000E6014">
        <w:rPr>
          <w:rFonts w:ascii="Times New Roman" w:hAnsi="Times New Roman"/>
          <w:b/>
        </w:rPr>
        <w:t>Jums bus skiriamas  Irinotecan Seacross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Irinotecan Seacross Jums bus leidžiamas infuzija į veną per 30–90 min.</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Jums leidžiamo Irinotecan Seacross  kiekis priklausys nuo Jūsų amžiaus, kūno svorio ir bendrosios sveikatos būklės. Be to, jis priklausys nuo kitų kartu vartojamų vaistų nuo vėžio. Gydytojas nuspręs, koks vaisto kiekis (dozė) yra reikalingas Jums. </w:t>
      </w:r>
    </w:p>
    <w:p w:rsidR="00D052A5" w:rsidRPr="000E6014" w:rsidRDefault="00D052A5" w:rsidP="00D052A5">
      <w:pPr>
        <w:spacing w:after="0" w:line="240" w:lineRule="auto"/>
        <w:ind w:left="720" w:hanging="720"/>
        <w:rPr>
          <w:rFonts w:ascii="Times New Roman" w:hAnsi="Times New Roman"/>
        </w:rPr>
      </w:pPr>
      <w:r>
        <w:rPr>
          <w:rFonts w:ascii="Times New Roman" w:hAnsi="Times New Roman"/>
        </w:rPr>
        <w:t>•</w:t>
      </w:r>
      <w:r w:rsidRPr="000E6014">
        <w:rPr>
          <w:rFonts w:ascii="Times New Roman" w:hAnsi="Times New Roman"/>
        </w:rPr>
        <w:tab/>
        <w:t>Jeigu anksčiau buvote gydytas 5-fluorouracilu, Jus paprastai gydys vien Irinotecan Seacross, pradedant nuo 350 mg/m</w:t>
      </w:r>
      <w:r w:rsidRPr="000E6014">
        <w:rPr>
          <w:rFonts w:ascii="Times New Roman" w:hAnsi="Times New Roman"/>
          <w:vertAlign w:val="superscript"/>
        </w:rPr>
        <w:t>2</w:t>
      </w:r>
      <w:r w:rsidRPr="000E6014">
        <w:rPr>
          <w:rFonts w:ascii="Times New Roman" w:hAnsi="Times New Roman"/>
        </w:rPr>
        <w:t xml:space="preserve"> kūno paviršiaus dozės, infuzuojamos kas 3 savaites.</w:t>
      </w:r>
    </w:p>
    <w:p w:rsidR="00D052A5" w:rsidRPr="000E6014" w:rsidRDefault="00D052A5" w:rsidP="00D052A5">
      <w:pPr>
        <w:spacing w:after="0" w:line="240" w:lineRule="auto"/>
        <w:ind w:left="720" w:hanging="720"/>
        <w:rPr>
          <w:rFonts w:ascii="Times New Roman" w:hAnsi="Times New Roman"/>
        </w:rPr>
      </w:pPr>
      <w:r>
        <w:rPr>
          <w:rFonts w:ascii="Times New Roman" w:hAnsi="Times New Roman"/>
        </w:rPr>
        <w:t>•</w:t>
      </w:r>
      <w:r w:rsidRPr="000E6014">
        <w:rPr>
          <w:rFonts w:ascii="Times New Roman" w:hAnsi="Times New Roman"/>
        </w:rPr>
        <w:tab/>
        <w:t>Jeigu anksčiau chemoterapiniais vaistais nebuvote gydytas, paprastai Jums kas 2 savaites infuzuos 180 mg/m</w:t>
      </w:r>
      <w:r w:rsidRPr="000E6014">
        <w:rPr>
          <w:rFonts w:ascii="Times New Roman" w:hAnsi="Times New Roman"/>
          <w:vertAlign w:val="superscript"/>
        </w:rPr>
        <w:t>2</w:t>
      </w:r>
      <w:r w:rsidRPr="000E6014">
        <w:rPr>
          <w:rFonts w:ascii="Times New Roman" w:hAnsi="Times New Roman"/>
        </w:rPr>
        <w:t xml:space="preserve"> kūno paviršiaus Irinotecan Seacross dozę, o po jos folino rūgšties ir 5-fluorouracilo.</w:t>
      </w:r>
    </w:p>
    <w:p w:rsidR="00D052A5" w:rsidRPr="000E6014" w:rsidRDefault="00D052A5" w:rsidP="00D052A5">
      <w:pPr>
        <w:spacing w:after="0" w:line="240" w:lineRule="auto"/>
        <w:ind w:left="720" w:hanging="720"/>
        <w:rPr>
          <w:rFonts w:ascii="Times New Roman" w:hAnsi="Times New Roman"/>
        </w:rPr>
      </w:pPr>
    </w:p>
    <w:p w:rsidR="00D052A5" w:rsidRPr="000E6014" w:rsidRDefault="00D052A5" w:rsidP="00D052A5">
      <w:pPr>
        <w:spacing w:after="0" w:line="240" w:lineRule="auto"/>
        <w:rPr>
          <w:rFonts w:ascii="Times New Roman" w:hAnsi="Times New Roman"/>
        </w:rPr>
      </w:pPr>
      <w:r w:rsidRPr="000E6014">
        <w:rPr>
          <w:rFonts w:ascii="Times New Roman" w:hAnsi="Times New Roman"/>
        </w:rPr>
        <w:t xml:space="preserve">Jeigu Jūs gydomas Irinotecan Seacross ir cetuksimabo deriniu, </w:t>
      </w:r>
      <w:bookmarkStart w:id="26" w:name="OLE_LINK4"/>
      <w:bookmarkStart w:id="27" w:name="OLE_LINK3"/>
      <w:r w:rsidRPr="000E6014">
        <w:rPr>
          <w:rFonts w:ascii="Times New Roman" w:hAnsi="Times New Roman"/>
        </w:rPr>
        <w:t>Irinotecan Seacross</w:t>
      </w:r>
      <w:bookmarkEnd w:id="26"/>
      <w:bookmarkEnd w:id="27"/>
      <w:r w:rsidRPr="000E6014">
        <w:rPr>
          <w:rFonts w:ascii="Times New Roman" w:hAnsi="Times New Roman"/>
        </w:rPr>
        <w:t xml:space="preserve"> negalima leisti anksčiau, negu po 1 val. po cetuksimabo infuzijos pabaigos. Laikykitės savo gydytojo nurodymų dėl dabartinio gydymo.</w:t>
      </w:r>
    </w:p>
    <w:p w:rsidR="00D052A5" w:rsidRPr="000E6014" w:rsidRDefault="00D052A5" w:rsidP="00D052A5">
      <w:pPr>
        <w:spacing w:after="0" w:line="240" w:lineRule="auto"/>
        <w:rPr>
          <w:rFonts w:ascii="Times New Roman" w:hAnsi="Times New Roman"/>
        </w:rPr>
      </w:pPr>
    </w:p>
    <w:p w:rsidR="00D052A5" w:rsidRPr="000E6014" w:rsidRDefault="00D052A5" w:rsidP="00D052A5">
      <w:pPr>
        <w:spacing w:after="0" w:line="240" w:lineRule="auto"/>
        <w:rPr>
          <w:rFonts w:ascii="Times New Roman" w:hAnsi="Times New Roman"/>
        </w:rPr>
      </w:pPr>
      <w:r w:rsidRPr="000E6014">
        <w:rPr>
          <w:rFonts w:ascii="Times New Roman" w:hAnsi="Times New Roman"/>
        </w:rPr>
        <w:t>Priklausomai nuo Jūsų sveikatos būklės ir pasireiškusio šalutinio poveikio gydytojas minėtą dozavimą gali keisti.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Pavartojus per didelę Irinotecan Seacross dozę</w:t>
      </w:r>
    </w:p>
    <w:p w:rsidR="00D052A5" w:rsidRPr="000E6014" w:rsidRDefault="00D052A5" w:rsidP="00D052A5">
      <w:pPr>
        <w:tabs>
          <w:tab w:val="left" w:pos="567"/>
        </w:tabs>
        <w:spacing w:after="0" w:line="240" w:lineRule="auto"/>
        <w:rPr>
          <w:rFonts w:ascii="Times New Roman" w:hAnsi="Times New Roman"/>
          <w:b/>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Pasakykite savo gydytojui ar sveikatos priežiūros specialistui, jeigu Jūs manote, kad Jums suleido per daug Irinotecan Seacross tirpalo. Ūmiai perdozavus pablogėja toks šalutinis poveikis, kaip viduriavimas ar neutropenija (baltųjų kraujo ląstelių skaičiaus sumažėjimas kraujyje). Jei taip atsitiktų Jums bus skirtas gydymas, kad išvengtumėte dehidracijos. Bus sekamas Jūsų kraujo ląstelių skaičius ir bet kokia infekcija bus atitinkamai gydoma.</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bookmarkStart w:id="28" w:name="_Toc129243267"/>
      <w:bookmarkStart w:id="29" w:name="_Toc129243142"/>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4.</w:t>
      </w:r>
      <w:r w:rsidRPr="000E6014">
        <w:rPr>
          <w:rFonts w:ascii="Times New Roman" w:hAnsi="Times New Roman"/>
          <w:b/>
        </w:rPr>
        <w:tab/>
        <w:t>Galimas šalutinis poveikis</w:t>
      </w:r>
      <w:bookmarkEnd w:id="28"/>
      <w:bookmarkEnd w:id="29"/>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Šis vaistas, kaip ir kiti, gali sukelti šalutinį poveikį, nors jis pasireiškia ne visiems žmonėms. Gydytojas Jus supažindins su šalutiniu poveikiu ir paaiškins gydymo šiuo vaistu riziką ir naudą.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b/>
          <w:bCs/>
        </w:rPr>
        <w:t>Kai kurį šalutinį poveikį reikia gydyti nedelsiant. Tai yra</w:t>
      </w:r>
      <w:r w:rsidRPr="000E6014">
        <w:rPr>
          <w:rFonts w:ascii="Times New Roman" w:hAnsi="Times New Roman"/>
        </w:rPr>
        <w:t>:</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viduriavimas;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sumažėjęs neutrofilinių granuliocitų, baltųjų kraujo kūnelių, kurie vaidina svarbų vaidmenį kovojant su infekcija, skaičius;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karščiavimas;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pykinimas ir vėmimas;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apsunkintas kvėpavimas (galimos sunkios alerginės reakcijos simptomas).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Prašome atidžiai perskaityti instrukcijas, nurodytas skyriuje " Kas žinotina prieš vartojant Iirinotecan Seacross</w:t>
      </w:r>
      <w:r w:rsidRPr="000E6014" w:rsidDel="004A732B">
        <w:rPr>
          <w:rFonts w:ascii="Times New Roman" w:hAnsi="Times New Roman"/>
        </w:rPr>
        <w:t xml:space="preserve"> </w:t>
      </w:r>
      <w:r w:rsidRPr="000E6014">
        <w:rPr>
          <w:rFonts w:ascii="Times New Roman" w:hAnsi="Times New Roman"/>
        </w:rPr>
        <w:t>" ir jas vykdyti, jei pasireiškia kuris nors anksčiau paminėtas šalutinis poveikis.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Kitas šalutinis poveikis: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Labai dažnas šalutinis poveikis (pasireiškia daugiau kaip 1 iš 10 pacientų):</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kraujo sutrikimai, įskaitant nenormaliai mažą neutrofilinių granuliocitų (baltųjų kraujo ląstelių rūšis) skaičių (neutropenija) ir hemoglobino kiekio sumažėjimą (anemija);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kombinuoto gydymo metu – trombocitopenija (sumažėjęs trombocitų skaičius), sąlygojanti mėlynių atsiradimą, polinkį kraujavimui ir nenormalų kraujavimą;</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monoterapijos metu – karščiavimas;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monoterapijos metu – infekcija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vėlyvas stiprus viduriavimas;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monoterapijos metu – smarkus pykinimas ir vėmimas;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plaukų išslinkimas (plaukai atauga pabaigus gydymą).</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kombinuoto gydymo metu – praeinantis nedidelis ar vidutinis kepenų fermentų (SGPT, SGOT, šarminės fosfatazės) aktyvumo ar bilirubino kiekio kraujo serume padidėjimas.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Dažnas šalutinis poveikis (pasireiškia mažiau kaip 1 iš 10, bet daugiau kaip 1 iš 100 pacientų):</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sunkus praeinantis cholinerginis sindromas, kurio pagrindiniai simptomai yra ankstyvas viduriavimas ir įvairūs kiti simptomai, pvz., pilvo skausmas, akių paraudimas, jautrumas, niežėjimas, ašarojimas (konjunktyvitas), išskyros iš nosies (sloga), žemas kraujospūdis, veido paraudimas dėl kraujagyslių išsiplėtimo, prakaitavimas, šaltkrėtys, bendras diskomfortas ir nesveikatos pojūtis, svaigulys, matymo sutrikimai, vyzdžio susitraukimas, ašarojimas, seilėtekis, pasireiškiantys Irinotecan Seacross infuzijos metu ar per 24 valandas po infuzijos.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monoterapijos metu – trombocitopenija (sumažėjęs trombocitų skaičius kraujyje, sąlygojanti mėlynių atsiradimą, polinkį kraujavimui ir nenormalų kraujavimą;</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kombinuoto gydymo metu – karščiavimas;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kombinuoto gydymo metu – infekcija;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infekcijos susijusios su smarkiai sumažėjusiu kai kurių baltųjų kraujų ląstelių rūšių skaičiumi (neutropenija), dėl to buvo 3 mirties atvejai;</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karščiavimas susijęs kai kurių baltųjų kraujo ląstelių skaičiaus sumažėjimu (karščiavimo neutropenija);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skysčių netekimas (dehidracija), paprastai susijęs su viduriavimu ir (arba) vėmimu;</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vidurių užkietėjimas;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lastRenderedPageBreak/>
        <w:t>kombinuoto gydymo metu – smarkus pykinimas ir vėmimas;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kombinuoto gydymo metu – praeinantis smarkus bilirubino kiekio kraujyje padidėjimas;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silpnumas (astenija);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monoterapijos metu – praeinantis nedidelis ar vidutinis kepenų fermentų (transaminazių, šarminės fosfatazės) aktyvumo ar bilirubino kiekio kraujo serume padidėjimas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praeinantis nedidelis ar vidutinis kreatinino kiekio kraujo serume padidėjimas;</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kombinuoto gydymo metu – praeinantis ryškus (3 laipsnio) bilirubino kiekio kraujo serume padidėjimas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Nedažnas šalutinis poveikis (pasireiškia mažiau kaip 1 iš 100 pacientų, bet daugiau kaip 1 iš 1000):</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lengvos alerginės odos reakcijos (odos bėrimas, odos paraudimas ir niežėjimas, dilgėlinė, konjunktyvitas ir rinitas);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lengvos odos reakcijos infuzijos vietoje;</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plaučių liga, pasireiškianti dusuliu, sausu kosuliu ir sausais karkalais (intersticinė plaučių liga), apsunkintu kvėpavimu;</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dalinis ar visiškas žarnų nepraeinamumas, kraujavimas iš skrandžio ar žarnų;</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žarnų uždegimas, sąlygojantis pilvo skausmą ir (arba) viduriavimą (būklė žinoma kaip pseudomembraninis kolitas);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inkstų nepakankamumas, žemas kraujospūdis arba kraujotakos nepakankamumas pacientams, kuriems pasireiškė dehidracija dėl viduriavimo ir (ar) vėmimo ar kuriems pasireiškė sepsis.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Retas šalutinis poveikis (pasireiškia mažiau kaip 1 iš 1000 pacientų, bet daugiau kaip 1 iš 10 000):</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sunkios alerginės reakcijos (anafilaktinės / anafilaktoidinės reakcijos), įskaitant rankų, pėdų, kulkšnių, veido, lūpų ir gerklės patinimą, kas gali apsunkinti rijimą ir ypač apsunkinti kvėpavimą;</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raumenų susitraukimai ar mėšlungis, tirpulys (parestezija);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storųjų žarnų uždegimas, sukeliantis pilvo skausmą (kolitas, įskaitant tiflitą, išeminį ir opinį kolitą);</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žarnų perforacija;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apetito stoka (anoreksija);</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pilvo skausmas;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gleivinių uždegimas;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simptominis ar besimptominis kasos uždegimas (daugiausia pasireiškiantis pilvo skausmu);</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padidėjęs kraujospūdis infuzijos metu arba po infuzijos;</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kalio ir natrio koncentracijos sumažėjimas kraujyje, dažniausiai dėl viduriavimo ir vėmimo.</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Labai retas šalutinis poveikis (pasireiškia mažiau nei 1 iš 10000 pacientų):</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vienas atvejis sumažėjusio trombocitų skaičiaus kraujyje dėl antikūnų prieš trombocitus išsivystymo;</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praeinantys kalbos sutrikimai;</w:t>
      </w:r>
    </w:p>
    <w:p w:rsidR="00D052A5" w:rsidRPr="000E6014" w:rsidRDefault="00D052A5" w:rsidP="00D052A5">
      <w:pPr>
        <w:pStyle w:val="Sraopastraipa"/>
        <w:numPr>
          <w:ilvl w:val="0"/>
          <w:numId w:val="11"/>
        </w:numPr>
        <w:tabs>
          <w:tab w:val="left" w:pos="567"/>
        </w:tabs>
        <w:spacing w:after="0" w:line="240" w:lineRule="auto"/>
        <w:ind w:left="567" w:hanging="567"/>
        <w:rPr>
          <w:rFonts w:ascii="Times New Roman" w:hAnsi="Times New Roman"/>
        </w:rPr>
      </w:pPr>
      <w:r w:rsidRPr="000E6014">
        <w:rPr>
          <w:rFonts w:ascii="Times New Roman" w:hAnsi="Times New Roman"/>
        </w:rPr>
        <w:t>padidėjęs virškinimo fermentų, kurie skaldo cukrus (amilazės) ir riebalus (lipazės) aktyvumas.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lastRenderedPageBreak/>
        <w:t>Jeigu vartojate irinotekano ir cetuksimabo derinį, kai kurie šalutiniai poveikiai gali atsirasti dėl vartojamo derinio. Tai gali būti panašus į akne bėrimas. Dėl šios priežasties, prašome taip pat perskaityti cetuksimabo pakuotės lapelį.</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Jeigu vartojate irinotekano ir kapecitabino derinį, kai kurie šalutiniai poveikiai gali atsirasti dėl vartojamo derinio. Tai gali būti kraujo krešuliai (labai dažnai), alerginės reakcijos (dažnai), širdies smūgis ar pacientams, kurių baltųjų ląstelių kiekis mažas, gali prasidėti karščiavimas. Dėl šios priežasties, prašome taip pat perskaityti kapecitabino pakuotės lapelį.</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Jeigu vartojate irinotekano ir kapecitabino ir bevacizumabo derinį, kai kurie šalutiniai poveikiai gali atsirasti dėl vartojamo derinio. Tai gali būti mažas baltųjų kraujo ląstelių kiekis, kraujo krešuliai, aukštas kraujo spaudimas ir širdies smūgis. Dėl šios priežasties, prašome taip pat perskaityti kapecitabino pakuotės lapelį.</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b/>
          <w:noProof/>
        </w:rPr>
        <w:t>Pranešimas apie šalutinį poveikį</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Jeigu pasireiškė sunkus šalutinis poveikis, įskaitant šiame lapelyje nenurodytą, pasakykite gydytojui, vaistininkui arba slaugytojai. </w:t>
      </w:r>
      <w:r w:rsidRPr="000E6014">
        <w:rPr>
          <w:rFonts w:ascii="Times New Roman" w:hAnsi="Times New Roman"/>
          <w:noProof/>
        </w:rPr>
        <w:t xml:space="preserve">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w:t>
      </w:r>
      <w:r w:rsidRPr="000E6014">
        <w:rPr>
          <w:rFonts w:ascii="Times New Roman" w:hAnsi="Times New Roman"/>
        </w:rPr>
        <w:t xml:space="preserve"> </w:t>
      </w:r>
      <w:r w:rsidRPr="000E6014">
        <w:rPr>
          <w:rFonts w:ascii="Times New Roman" w:hAnsi="Times New Roman"/>
          <w:noProof/>
        </w:rPr>
        <w:t>Pranešdami apie šalutinį poveikį galite mums padėti gauti daugiau informacijos apie šio vaisto saugumą.</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bookmarkStart w:id="30" w:name="_Toc129243268"/>
      <w:bookmarkStart w:id="31" w:name="_Toc129243143"/>
      <w:r w:rsidRPr="000E6014">
        <w:rPr>
          <w:rFonts w:ascii="Times New Roman" w:hAnsi="Times New Roman"/>
          <w:b/>
        </w:rPr>
        <w:t>5.</w:t>
      </w:r>
      <w:r w:rsidRPr="000E6014">
        <w:rPr>
          <w:rFonts w:ascii="Times New Roman" w:hAnsi="Times New Roman"/>
          <w:b/>
        </w:rPr>
        <w:tab/>
        <w:t xml:space="preserve">Kaip laikyti </w:t>
      </w:r>
      <w:bookmarkEnd w:id="30"/>
      <w:bookmarkEnd w:id="31"/>
      <w:r w:rsidRPr="000E6014">
        <w:rPr>
          <w:rFonts w:ascii="Times New Roman" w:hAnsi="Times New Roman"/>
          <w:b/>
        </w:rPr>
        <w:t>Irinotecan Seacross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Šį vaistą laikykite vaikams nepastebimoje ir nepasiekiamoje vietoje</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Ant kartono dėžutės, po „Tinka iki“ nurodytam tinkamumo laikui pasibaigus, šio vaisto vartoti negalima. Vaistas tinkamas vartoti iki paskutinės nurodyto mėnesio dienos.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Flakoną laikyti išorinėje dėžutėje, kad preparatas būtų apsaugotas nuo šviesos.</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Tik vienkartiniam vartojimui.</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noProof/>
        </w:rPr>
        <w:t>Laikyti ne aukštesnėje kaip 25 (C temperatūroje. Negalima užšaldyti.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 xml:space="preserve">Mikrobiologiniu požiūriu infuzinį tirpalą reikia suvartoti tuoj pat. Nesuvartojus tirpalo nedelsiant, atsakingas už jo laikymo laiką ir sąlygas yra vartotojas ir normaliai jo negalima laikyti ilgiau kaip 24 val. </w:t>
      </w:r>
      <w:r w:rsidRPr="000E6014">
        <w:rPr>
          <w:rFonts w:ascii="Times New Roman" w:hAnsi="Times New Roman"/>
          <w:iCs/>
        </w:rPr>
        <w:t xml:space="preserve">2 °C - 8 °C temperatūroje, nebent jis buvo skiedžiamas patikrintomis kontroliuojamomis aseptinėmis sąlygomis. </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Jūsų gydytojas turi pavartoti Irinotecan Seacross tuoj pat, kai tik jis buvo paruoštas.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Panaudotus flakonus turi tvarkyti sveikatos priežiūros specialistas prisilaikydamas standartinės ligoninės procedūros citotoksinių vaistų naikinimui.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bookmarkStart w:id="32" w:name="_Toc129243269"/>
      <w:bookmarkStart w:id="33" w:name="_Toc129243144"/>
      <w:r w:rsidRPr="000E6014">
        <w:rPr>
          <w:rFonts w:ascii="Times New Roman" w:hAnsi="Times New Roman"/>
          <w:b/>
        </w:rPr>
        <w:t>6.</w:t>
      </w:r>
      <w:r w:rsidRPr="000E6014">
        <w:rPr>
          <w:rFonts w:ascii="Times New Roman" w:hAnsi="Times New Roman"/>
          <w:b/>
        </w:rPr>
        <w:tab/>
      </w:r>
      <w:r w:rsidRPr="000E6014">
        <w:rPr>
          <w:rFonts w:ascii="Times New Roman" w:hAnsi="Times New Roman"/>
          <w:b/>
          <w:noProof/>
        </w:rPr>
        <w:t xml:space="preserve">Pakuotės turinys ir </w:t>
      </w:r>
      <w:r w:rsidRPr="000E6014">
        <w:rPr>
          <w:rFonts w:ascii="Times New Roman" w:hAnsi="Times New Roman"/>
          <w:b/>
        </w:rPr>
        <w:t>kita informacija</w:t>
      </w:r>
      <w:bookmarkEnd w:id="32"/>
      <w:bookmarkEnd w:id="33"/>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Irinotecan Seacross sudėtis</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lastRenderedPageBreak/>
        <w:t>-</w:t>
      </w:r>
      <w:r w:rsidRPr="000E6014">
        <w:rPr>
          <w:rFonts w:ascii="Times New Roman" w:hAnsi="Times New Roman"/>
        </w:rPr>
        <w:tab/>
        <w:t xml:space="preserve">Veiklioji medžiaga yra irinotekanas. 1 ml koncentrato yra 20 mg irinotekano hidrochlorido trihidrato, atitinkančio 17,33 mg/ml irinotekano. </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ab/>
        <w:t xml:space="preserve">Kiekviename 2 ml </w:t>
      </w:r>
      <w:r>
        <w:rPr>
          <w:rFonts w:ascii="Times New Roman" w:hAnsi="Times New Roman"/>
        </w:rPr>
        <w:t>flakone</w:t>
      </w:r>
      <w:r w:rsidRPr="000E6014">
        <w:rPr>
          <w:rFonts w:ascii="Times New Roman" w:hAnsi="Times New Roman"/>
        </w:rPr>
        <w:t xml:space="preserve"> yra 40 mg irinotekano hidrochlorido trihidrato.</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ab/>
        <w:t xml:space="preserve">Kiekviename 5 ml </w:t>
      </w:r>
      <w:r>
        <w:rPr>
          <w:rFonts w:ascii="Times New Roman" w:hAnsi="Times New Roman"/>
        </w:rPr>
        <w:t>flakone</w:t>
      </w:r>
      <w:r w:rsidRPr="000E6014">
        <w:rPr>
          <w:rFonts w:ascii="Times New Roman" w:hAnsi="Times New Roman"/>
        </w:rPr>
        <w:t xml:space="preserve"> yra 100 mg irinotekano hidrochlorido trihidrato.</w:t>
      </w:r>
    </w:p>
    <w:p w:rsidR="00D052A5" w:rsidRPr="000E6014" w:rsidRDefault="00D052A5" w:rsidP="00D052A5">
      <w:pPr>
        <w:tabs>
          <w:tab w:val="left" w:pos="567"/>
        </w:tabs>
        <w:spacing w:after="0" w:line="240" w:lineRule="auto"/>
        <w:ind w:left="567"/>
        <w:rPr>
          <w:rFonts w:ascii="Times New Roman" w:hAnsi="Times New Roman"/>
        </w:rPr>
      </w:pPr>
      <w:r w:rsidRPr="000E6014">
        <w:rPr>
          <w:rFonts w:ascii="Times New Roman" w:hAnsi="Times New Roman"/>
        </w:rPr>
        <w:t xml:space="preserve">Kiekviename 15 ml </w:t>
      </w:r>
      <w:r>
        <w:rPr>
          <w:rFonts w:ascii="Times New Roman" w:hAnsi="Times New Roman"/>
        </w:rPr>
        <w:t>flakone</w:t>
      </w:r>
      <w:r w:rsidRPr="000E6014">
        <w:rPr>
          <w:rFonts w:ascii="Times New Roman" w:hAnsi="Times New Roman"/>
        </w:rPr>
        <w:t xml:space="preserve"> yra 300 mg irinotekano hidrochlorido trihidrato.</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ab/>
        <w:t xml:space="preserve">Kiekviename 25 ml </w:t>
      </w:r>
      <w:r>
        <w:rPr>
          <w:rFonts w:ascii="Times New Roman" w:hAnsi="Times New Roman"/>
        </w:rPr>
        <w:t>flakone</w:t>
      </w:r>
      <w:r w:rsidRPr="000E6014">
        <w:rPr>
          <w:rFonts w:ascii="Times New Roman" w:hAnsi="Times New Roman"/>
        </w:rPr>
        <w:t xml:space="preserve"> yra 500 mg irinotekano hidrochlorido trihidrato.</w:t>
      </w:r>
    </w:p>
    <w:p w:rsidR="00D052A5" w:rsidRPr="000E6014" w:rsidRDefault="00D052A5" w:rsidP="00D052A5">
      <w:pPr>
        <w:tabs>
          <w:tab w:val="left" w:pos="567"/>
        </w:tabs>
        <w:spacing w:after="0" w:line="240" w:lineRule="auto"/>
        <w:ind w:left="567" w:hanging="567"/>
        <w:rPr>
          <w:rFonts w:ascii="Times New Roman" w:hAnsi="Times New Roman"/>
        </w:rPr>
      </w:pPr>
      <w:r w:rsidRPr="000E6014">
        <w:rPr>
          <w:rFonts w:ascii="Times New Roman" w:hAnsi="Times New Roman"/>
        </w:rPr>
        <w:t>-</w:t>
      </w:r>
      <w:r w:rsidRPr="000E6014">
        <w:rPr>
          <w:rFonts w:ascii="Times New Roman" w:hAnsi="Times New Roman"/>
        </w:rPr>
        <w:tab/>
        <w:t>Pagalbinės medžiagos yra sorbitolis (E 420), pieno rūgštis, injekcinis vanduo, natrio hidroksidas, vandenilio chlorido rūgštis (reguliuoti pH).</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Irinotecan Seacross išvaizda ir kiekis pakuotėje</w:t>
      </w: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Šis vaistas yra koncentratas infuziniam tirpalui (koncentruotas tirpalas yra skiedžiamas, kad pasidarytų tirpalas, kuris gali būti naudojamas lėtai lašinamai infuzijai). Tai skaidrus blankiai geltonas tirpalas. Vaistas tiekiamas gintaro spalvos stiklo talpyklėje vadinamoje flakonu, flakonai tiekiami po 40 mg/2 ml, 100 mg/5 ml, 300 mg/15 ml arba 500 mg/25 ml. Šie flakonai skirti tik vienkartiniam vartojimui.</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Gali būti tiekiamos ne visų dydžių pakuotės.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rPr>
        <w:t>Rinkodaros teisės turėtojas ir gamintojas</w:t>
      </w:r>
    </w:p>
    <w:p w:rsidR="00D052A5" w:rsidRPr="000E6014" w:rsidRDefault="00D052A5" w:rsidP="00D052A5">
      <w:pPr>
        <w:tabs>
          <w:tab w:val="left" w:pos="567"/>
        </w:tabs>
        <w:spacing w:after="0" w:line="240" w:lineRule="auto"/>
        <w:rPr>
          <w:rFonts w:ascii="Times New Roman" w:hAnsi="Times New Roman"/>
          <w:i/>
        </w:rPr>
      </w:pPr>
      <w:r w:rsidRPr="000E6014">
        <w:rPr>
          <w:rFonts w:ascii="Times New Roman" w:hAnsi="Times New Roman"/>
          <w:i/>
        </w:rPr>
        <w:t>Rinkodaros teisės turėtojas</w:t>
      </w:r>
    </w:p>
    <w:p w:rsidR="00D052A5" w:rsidRPr="003905A2" w:rsidRDefault="00D052A5" w:rsidP="00D052A5">
      <w:pPr>
        <w:spacing w:after="0"/>
        <w:ind w:left="539" w:hanging="539"/>
        <w:contextualSpacing/>
        <w:rPr>
          <w:rFonts w:ascii="Times New Roman" w:hAnsi="Times New Roman"/>
        </w:rPr>
      </w:pPr>
      <w:r w:rsidRPr="003905A2">
        <w:rPr>
          <w:rFonts w:ascii="Times New Roman" w:hAnsi="Times New Roman"/>
        </w:rPr>
        <w:t xml:space="preserve">Seacross Pharmaceuticals Limited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Bedford Business Centre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61-63 St. Peter’s Street </w:t>
      </w:r>
    </w:p>
    <w:p w:rsidR="00D052A5" w:rsidRDefault="00D052A5" w:rsidP="00D052A5">
      <w:pPr>
        <w:tabs>
          <w:tab w:val="left" w:pos="0"/>
          <w:tab w:val="left" w:pos="567"/>
        </w:tabs>
        <w:spacing w:after="0" w:line="240" w:lineRule="auto"/>
        <w:rPr>
          <w:rFonts w:ascii="Times New Roman" w:hAnsi="Times New Roman"/>
          <w:lang w:val="en-US"/>
        </w:rPr>
      </w:pPr>
      <w:r w:rsidRPr="003905A2">
        <w:rPr>
          <w:rFonts w:ascii="Times New Roman" w:hAnsi="Times New Roman"/>
          <w:lang w:val="en-US"/>
        </w:rPr>
        <w:t xml:space="preserve">Bedford MK40 2PR </w:t>
      </w:r>
    </w:p>
    <w:p w:rsidR="00D052A5" w:rsidRPr="003905A2" w:rsidRDefault="00D052A5" w:rsidP="00D052A5">
      <w:pPr>
        <w:tabs>
          <w:tab w:val="left" w:pos="0"/>
          <w:tab w:val="left" w:pos="567"/>
        </w:tabs>
        <w:spacing w:after="0" w:line="240" w:lineRule="auto"/>
        <w:rPr>
          <w:rFonts w:ascii="Times New Roman" w:hAnsi="Times New Roman"/>
        </w:rPr>
      </w:pPr>
      <w:r w:rsidRPr="003905A2">
        <w:rPr>
          <w:rFonts w:ascii="Times New Roman" w:hAnsi="Times New Roman"/>
          <w:lang w:val="en-US"/>
        </w:rPr>
        <w:t>Jungtinė Karalystė</w:t>
      </w:r>
    </w:p>
    <w:p w:rsidR="00D052A5" w:rsidRPr="000E6014" w:rsidRDefault="00D052A5" w:rsidP="00D052A5">
      <w:pPr>
        <w:tabs>
          <w:tab w:val="left" w:pos="567"/>
        </w:tabs>
        <w:spacing w:after="0" w:line="240" w:lineRule="auto"/>
        <w:rPr>
          <w:rFonts w:ascii="Times New Roman" w:hAnsi="Times New Roman"/>
          <w:i/>
        </w:rPr>
      </w:pPr>
    </w:p>
    <w:p w:rsidR="00D052A5" w:rsidRPr="000E6014" w:rsidRDefault="00D052A5" w:rsidP="00D052A5">
      <w:pPr>
        <w:tabs>
          <w:tab w:val="left" w:pos="567"/>
        </w:tabs>
        <w:spacing w:after="0" w:line="240" w:lineRule="auto"/>
        <w:rPr>
          <w:rFonts w:ascii="Times New Roman" w:hAnsi="Times New Roman"/>
          <w:i/>
        </w:rPr>
      </w:pPr>
      <w:r w:rsidRPr="000E6014">
        <w:rPr>
          <w:rFonts w:ascii="Times New Roman" w:hAnsi="Times New Roman"/>
          <w:i/>
        </w:rPr>
        <w:t>Gamintojas</w:t>
      </w:r>
    </w:p>
    <w:p w:rsidR="00D052A5" w:rsidRPr="00823523" w:rsidRDefault="00D052A5" w:rsidP="00D052A5">
      <w:pPr>
        <w:pStyle w:val="BTEMEASMCA"/>
        <w:rPr>
          <w:bCs/>
        </w:rPr>
      </w:pPr>
      <w:r w:rsidRPr="00823523">
        <w:rPr>
          <w:bCs/>
        </w:rPr>
        <w:t xml:space="preserve">GP Pharm, S.A </w:t>
      </w:r>
    </w:p>
    <w:p w:rsidR="00D052A5" w:rsidRPr="00823523" w:rsidRDefault="00D052A5" w:rsidP="00D052A5">
      <w:pPr>
        <w:pStyle w:val="BTEMEASMCA"/>
        <w:rPr>
          <w:bCs/>
        </w:rPr>
      </w:pPr>
      <w:r w:rsidRPr="00823523">
        <w:rPr>
          <w:bCs/>
        </w:rPr>
        <w:t xml:space="preserve">Poligono Industrial Els, Vinyets-Els Fogars, 2, </w:t>
      </w:r>
    </w:p>
    <w:p w:rsidR="00D052A5" w:rsidRPr="00823523" w:rsidRDefault="00D052A5" w:rsidP="00D052A5">
      <w:pPr>
        <w:pStyle w:val="BTEMEASMCA"/>
        <w:rPr>
          <w:bCs/>
        </w:rPr>
      </w:pPr>
      <w:r w:rsidRPr="00823523">
        <w:rPr>
          <w:bCs/>
        </w:rPr>
        <w:t>Ctra. C-244, Km. 22, 08777 Sant Quanti de Mediona (Barcelona),</w:t>
      </w:r>
    </w:p>
    <w:p w:rsidR="00D052A5" w:rsidRPr="00823523" w:rsidRDefault="00D052A5" w:rsidP="00D052A5">
      <w:pPr>
        <w:pStyle w:val="BTEMEASMCA"/>
        <w:rPr>
          <w:bCs/>
        </w:rPr>
      </w:pPr>
      <w:r w:rsidRPr="00823523">
        <w:rPr>
          <w:bCs/>
        </w:rPr>
        <w:t>Ispanija</w:t>
      </w:r>
    </w:p>
    <w:p w:rsidR="00D052A5" w:rsidRPr="00823523" w:rsidRDefault="00D052A5" w:rsidP="00D052A5">
      <w:pPr>
        <w:pStyle w:val="BTEMEASMCA"/>
        <w:rPr>
          <w:bCs/>
        </w:rPr>
      </w:pPr>
    </w:p>
    <w:p w:rsidR="00D052A5" w:rsidRPr="00823523"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Seacross Pharmaceuticals Ltd</w:t>
      </w:r>
    </w:p>
    <w:p w:rsidR="00D052A5" w:rsidRPr="00823523"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 xml:space="preserve">Stanmore Place </w:t>
      </w:r>
    </w:p>
    <w:p w:rsidR="00D052A5" w:rsidRPr="00823523" w:rsidRDefault="00D052A5" w:rsidP="00D052A5">
      <w:pPr>
        <w:spacing w:after="0" w:line="240" w:lineRule="auto"/>
        <w:rPr>
          <w:rFonts w:ascii="Times New Roman" w:hAnsi="Times New Roman"/>
          <w:bCs/>
          <w:lang w:eastAsia="lt-LT"/>
        </w:rPr>
      </w:pPr>
      <w:r w:rsidRPr="00823523">
        <w:rPr>
          <w:rFonts w:ascii="Times New Roman" w:hAnsi="Times New Roman"/>
          <w:bCs/>
          <w:lang w:eastAsia="lt-LT"/>
        </w:rPr>
        <w:t xml:space="preserve">Howard Road, Stanmore HA7 1 BT </w:t>
      </w:r>
    </w:p>
    <w:p w:rsidR="00D052A5" w:rsidRPr="00823523" w:rsidRDefault="00D052A5" w:rsidP="00D052A5">
      <w:pPr>
        <w:pStyle w:val="BTEMEASMCA"/>
        <w:rPr>
          <w:bCs/>
        </w:rPr>
      </w:pPr>
      <w:r w:rsidRPr="00823523">
        <w:rPr>
          <w:rFonts w:eastAsia="Times New Roman"/>
          <w:bCs/>
          <w:lang w:val="lt-LT" w:eastAsia="lt-LT"/>
        </w:rPr>
        <w:t>Jungtinė Karalystė</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bCs/>
        </w:rPr>
      </w:pPr>
      <w:r w:rsidRPr="000E6014">
        <w:rPr>
          <w:rFonts w:ascii="Times New Roman" w:hAnsi="Times New Roman"/>
          <w:b/>
          <w:bCs/>
        </w:rPr>
        <w:t>Šis vaistinis preparatas yra registruotas šalyse narėse Europos ekonominėje erdvėje šiais pavadinimais</w:t>
      </w:r>
    </w:p>
    <w:p w:rsidR="00D052A5" w:rsidRPr="000E6014" w:rsidRDefault="00D052A5" w:rsidP="00D052A5">
      <w:pPr>
        <w:tabs>
          <w:tab w:val="left" w:pos="567"/>
        </w:tabs>
        <w:spacing w:after="0" w:line="240" w:lineRule="auto"/>
        <w:rPr>
          <w:rFonts w:ascii="Times New Roman" w:hAnsi="Times New Roman"/>
        </w:rPr>
      </w:pPr>
    </w:p>
    <w:tbl>
      <w:tblPr>
        <w:tblW w:w="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4434"/>
      </w:tblGrid>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Jungtinė Karalystė</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Irinotecan hydrochloride 20 mg/ml concentrate for solution for infusion</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Čekija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bCs/>
                <w:lang w:eastAsia="el-GR"/>
              </w:rPr>
              <w:t>Irinotecan Seacross 20mg/ml</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Švedija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Irinotecan Seacross 20 mg/ml koncentrat till infusionsvätska, lösning</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Norvegija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Irinotecan Seacross 20 mg/ml konsentrat til infusjonsvæske</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Danija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 xml:space="preserve">Irinotecan Seacross </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Lietuva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n-GB"/>
              </w:rPr>
              <w:t>Irinotecan Seacross 20 mg/ml koncentratas infuziniam tirpalui</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Estija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 xml:space="preserve">Irinotecan Seacross 20 mg/ml </w:t>
            </w:r>
          </w:p>
        </w:tc>
      </w:tr>
      <w:tr w:rsidR="00D052A5" w:rsidRPr="000E6014" w:rsidTr="001060F1">
        <w:tc>
          <w:tcPr>
            <w:tcW w:w="1096"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lastRenderedPageBreak/>
              <w:t>Suomija</w:t>
            </w:r>
          </w:p>
        </w:tc>
        <w:tc>
          <w:tcPr>
            <w:tcW w:w="4434" w:type="dxa"/>
            <w:tcBorders>
              <w:top w:val="single" w:sz="4" w:space="0" w:color="auto"/>
              <w:left w:val="single" w:sz="4" w:space="0" w:color="auto"/>
              <w:bottom w:val="single" w:sz="4" w:space="0" w:color="auto"/>
              <w:right w:val="single" w:sz="4" w:space="0" w:color="auto"/>
            </w:tcBorders>
            <w:hideMark/>
          </w:tcPr>
          <w:p w:rsidR="00D052A5" w:rsidRPr="000E6014" w:rsidRDefault="00D052A5" w:rsidP="001060F1">
            <w:pPr>
              <w:spacing w:after="0" w:line="240" w:lineRule="auto"/>
              <w:rPr>
                <w:rFonts w:ascii="Times New Roman" w:hAnsi="Times New Roman"/>
                <w:lang w:eastAsia="el-GR"/>
              </w:rPr>
            </w:pPr>
            <w:r w:rsidRPr="000E6014">
              <w:rPr>
                <w:rFonts w:ascii="Times New Roman" w:hAnsi="Times New Roman"/>
                <w:lang w:eastAsia="el-GR"/>
              </w:rPr>
              <w:t>Irinotecan Seacross 20 mg/ml infuusiokonsentraatti, liuosta varten</w:t>
            </w:r>
          </w:p>
        </w:tc>
      </w:tr>
    </w:tbl>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
        </w:rPr>
      </w:pPr>
      <w:r w:rsidRPr="000E6014">
        <w:rPr>
          <w:rFonts w:ascii="Times New Roman" w:hAnsi="Times New Roman"/>
          <w:b/>
          <w:bCs/>
        </w:rPr>
        <w:t>Šis pakuotės lapelis</w:t>
      </w:r>
      <w:r w:rsidRPr="000E6014">
        <w:rPr>
          <w:rFonts w:ascii="Times New Roman" w:hAnsi="Times New Roman"/>
          <w:b/>
        </w:rPr>
        <w:t xml:space="preserve"> paskutinį kartą peržiūrėtas </w:t>
      </w:r>
      <w:r w:rsidR="00CF128C" w:rsidRPr="00915065">
        <w:rPr>
          <w:rFonts w:ascii="Times New Roman" w:hAnsi="Times New Roman"/>
          <w:b/>
        </w:rPr>
        <w:t>2017-06-22.</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Išsami informacija apie šį vaistą pateikiama Valstybinės vaistų kontrolės tarnybos prie Lietuvos Respublikos  sveikatos apsaugos ministerijos tinklalapyje</w:t>
      </w:r>
      <w:r w:rsidRPr="000E6014">
        <w:rPr>
          <w:rFonts w:ascii="Times New Roman" w:hAnsi="Times New Roman"/>
          <w:i/>
        </w:rPr>
        <w:t xml:space="preserve"> </w:t>
      </w:r>
      <w:hyperlink r:id="rId8" w:history="1">
        <w:r w:rsidRPr="000E6014">
          <w:rPr>
            <w:rStyle w:val="Hipersaitas"/>
            <w:rFonts w:ascii="Times New Roman" w:hAnsi="Times New Roman"/>
          </w:rPr>
          <w:t>http://www.vvkt.lt</w:t>
        </w:r>
      </w:hyperlink>
    </w:p>
    <w:p w:rsidR="00D052A5" w:rsidRPr="000E6014" w:rsidRDefault="00D052A5" w:rsidP="00D052A5">
      <w:pPr>
        <w:pBdr>
          <w:bottom w:val="dashSmallGap" w:sz="4" w:space="1" w:color="auto"/>
        </w:pBd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jc w:val="center"/>
        <w:rPr>
          <w:rFonts w:ascii="Times New Roman" w:hAnsi="Times New Roman"/>
          <w:b/>
          <w:bCs/>
        </w:rPr>
      </w:pPr>
      <w:r w:rsidRPr="000E6014">
        <w:rPr>
          <w:rFonts w:ascii="Times New Roman" w:hAnsi="Times New Roman"/>
          <w:b/>
          <w:bCs/>
        </w:rPr>
        <w:t>INFORMACIJA SVEIKATOS PRIEŽIŪROS SPECIALISTAMS</w:t>
      </w:r>
    </w:p>
    <w:p w:rsidR="00D052A5" w:rsidRPr="000E6014" w:rsidRDefault="00D052A5" w:rsidP="00D052A5">
      <w:pPr>
        <w:tabs>
          <w:tab w:val="left" w:pos="567"/>
        </w:tabs>
        <w:spacing w:after="0" w:line="240" w:lineRule="auto"/>
        <w:jc w:val="center"/>
        <w:rPr>
          <w:rFonts w:ascii="Times New Roman" w:hAnsi="Times New Roman"/>
          <w:b/>
          <w:bCs/>
          <w:spacing w:val="4"/>
        </w:rPr>
      </w:pPr>
    </w:p>
    <w:p w:rsidR="00D052A5" w:rsidRPr="000E6014" w:rsidRDefault="00D052A5" w:rsidP="00D052A5">
      <w:pPr>
        <w:tabs>
          <w:tab w:val="left" w:pos="567"/>
        </w:tabs>
        <w:spacing w:after="0" w:line="240" w:lineRule="auto"/>
        <w:jc w:val="center"/>
        <w:rPr>
          <w:rFonts w:ascii="Times New Roman" w:hAnsi="Times New Roman"/>
          <w:spacing w:val="4"/>
        </w:rPr>
      </w:pPr>
      <w:r w:rsidRPr="000E6014">
        <w:rPr>
          <w:rFonts w:ascii="Times New Roman" w:hAnsi="Times New Roman"/>
          <w:b/>
          <w:bCs/>
          <w:spacing w:val="4"/>
        </w:rPr>
        <w:t xml:space="preserve">Irinotecan Seacross </w:t>
      </w:r>
      <w:r w:rsidRPr="000E6014">
        <w:rPr>
          <w:rFonts w:ascii="Times New Roman" w:hAnsi="Times New Roman"/>
          <w:spacing w:val="4"/>
        </w:rPr>
        <w:t>20 mg/kg koncentratas infuziniam tirpalui</w:t>
      </w:r>
    </w:p>
    <w:p w:rsidR="00D052A5" w:rsidRPr="000E6014" w:rsidRDefault="00D052A5" w:rsidP="00D052A5">
      <w:pPr>
        <w:tabs>
          <w:tab w:val="left" w:pos="567"/>
        </w:tabs>
        <w:spacing w:after="0" w:line="240" w:lineRule="auto"/>
        <w:jc w:val="center"/>
        <w:rPr>
          <w:rFonts w:ascii="Times New Roman" w:hAnsi="Times New Roman"/>
        </w:rPr>
      </w:pPr>
      <w:r w:rsidRPr="000E6014">
        <w:rPr>
          <w:rFonts w:ascii="Times New Roman" w:hAnsi="Times New Roman"/>
          <w:spacing w:val="4"/>
        </w:rPr>
        <w:t>irinotekano hidrochloridas trihidratas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rPr>
      </w:pPr>
      <w:r w:rsidRPr="000E6014">
        <w:rPr>
          <w:rFonts w:ascii="Times New Roman" w:hAnsi="Times New Roman"/>
        </w:rPr>
        <w:t>Vartojimo instrukcijos  – citotoksiškas</w:t>
      </w:r>
    </w:p>
    <w:p w:rsidR="00D052A5" w:rsidRPr="000E6014" w:rsidRDefault="00D052A5" w:rsidP="00D052A5">
      <w:pPr>
        <w:tabs>
          <w:tab w:val="left" w:pos="567"/>
        </w:tabs>
        <w:spacing w:after="0" w:line="240" w:lineRule="auto"/>
        <w:rPr>
          <w:rFonts w:ascii="Times New Roman" w:hAnsi="Times New Roman"/>
        </w:rPr>
      </w:pPr>
    </w:p>
    <w:p w:rsidR="00D052A5" w:rsidRPr="000E6014" w:rsidRDefault="00D052A5" w:rsidP="00D052A5">
      <w:pPr>
        <w:tabs>
          <w:tab w:val="left" w:pos="567"/>
        </w:tabs>
        <w:spacing w:after="0" w:line="240" w:lineRule="auto"/>
        <w:rPr>
          <w:rFonts w:ascii="Times New Roman" w:hAnsi="Times New Roman"/>
          <w:bCs/>
        </w:rPr>
      </w:pPr>
      <w:r w:rsidRPr="000E6014">
        <w:rPr>
          <w:rFonts w:ascii="Times New Roman" w:hAnsi="Times New Roman"/>
          <w:bCs/>
        </w:rPr>
        <w:t>Žemiau pateikta informacija skirta tik sveikatos priežiūros specialistams</w:t>
      </w:r>
    </w:p>
    <w:p w:rsidR="00D052A5" w:rsidRPr="000E6014" w:rsidRDefault="00D052A5" w:rsidP="00D052A5">
      <w:pPr>
        <w:spacing w:after="0" w:line="240" w:lineRule="auto"/>
        <w:rPr>
          <w:rFonts w:ascii="Times New Roman" w:hAnsi="Times New Roman"/>
        </w:rPr>
      </w:pPr>
    </w:p>
    <w:p w:rsidR="00D052A5" w:rsidRPr="000E6014" w:rsidRDefault="00D052A5" w:rsidP="00D052A5">
      <w:pPr>
        <w:spacing w:after="0" w:line="240" w:lineRule="auto"/>
        <w:rPr>
          <w:rFonts w:ascii="Times New Roman" w:hAnsi="Times New Roman"/>
          <w:b/>
          <w:i/>
        </w:rPr>
      </w:pPr>
      <w:r w:rsidRPr="000E6014">
        <w:rPr>
          <w:rFonts w:ascii="Times New Roman" w:hAnsi="Times New Roman"/>
          <w:b/>
        </w:rPr>
        <w:t>Irinotecan Seacross tvarkymas</w:t>
      </w:r>
    </w:p>
    <w:p w:rsidR="00D052A5" w:rsidRPr="000E6014" w:rsidRDefault="00D052A5" w:rsidP="00D052A5">
      <w:pPr>
        <w:spacing w:after="0" w:line="240" w:lineRule="auto"/>
        <w:rPr>
          <w:rFonts w:ascii="Times New Roman" w:hAnsi="Times New Roman"/>
        </w:rPr>
      </w:pPr>
      <w:r w:rsidRPr="000E6014">
        <w:rPr>
          <w:rFonts w:ascii="Times New Roman" w:hAnsi="Times New Roman"/>
        </w:rPr>
        <w:t xml:space="preserve">Su Irinotecan Seacross, kaip ir kitais priešvėžiniais preparatais, reikia elgtis atsargiai. </w:t>
      </w:r>
      <w:r w:rsidRPr="000E6014">
        <w:rPr>
          <w:rFonts w:ascii="Times New Roman" w:hAnsi="Times New Roman"/>
          <w:lang w:eastAsia="el-GR"/>
        </w:rPr>
        <w:t xml:space="preserve"> Tirpalą turi ruošti apmokytas personalas laikantis aseptikos reikalavimų tam skirtoje patalpoje. Reikia imtis atsargumo priemonių, kad tirpalas nepatektų ant odos ir gleivinių.</w:t>
      </w:r>
    </w:p>
    <w:p w:rsidR="00D052A5" w:rsidRPr="000E6014" w:rsidRDefault="00D052A5" w:rsidP="00D052A5">
      <w:pPr>
        <w:spacing w:after="0" w:line="240" w:lineRule="auto"/>
        <w:rPr>
          <w:rFonts w:ascii="Times New Roman" w:hAnsi="Times New Roman"/>
          <w:b/>
          <w:bCs/>
          <w:spacing w:val="4"/>
        </w:rPr>
      </w:pPr>
      <w:r w:rsidRPr="000E6014">
        <w:rPr>
          <w:rFonts w:ascii="Times New Roman" w:hAnsi="Times New Roman"/>
          <w:b/>
          <w:bCs/>
          <w:lang w:eastAsia="el-GR"/>
        </w:rPr>
        <w:t xml:space="preserve">Saugos instrukcijos ruošiant </w:t>
      </w:r>
      <w:r w:rsidRPr="000E6014">
        <w:rPr>
          <w:rFonts w:ascii="Times New Roman" w:hAnsi="Times New Roman"/>
          <w:b/>
          <w:bCs/>
          <w:spacing w:val="4"/>
        </w:rPr>
        <w:t>Irinotecan Seacross infuziją</w:t>
      </w:r>
    </w:p>
    <w:p w:rsidR="00D052A5" w:rsidRPr="000E6014" w:rsidRDefault="00D052A5" w:rsidP="00D052A5">
      <w:pPr>
        <w:spacing w:after="0" w:line="240" w:lineRule="auto"/>
        <w:rPr>
          <w:rFonts w:ascii="Times New Roman" w:hAnsi="Times New Roman"/>
          <w:spacing w:val="4"/>
        </w:rPr>
      </w:pPr>
      <w:r w:rsidRPr="000E6014">
        <w:rPr>
          <w:rFonts w:ascii="Times New Roman" w:hAnsi="Times New Roman"/>
          <w:spacing w:val="4"/>
        </w:rPr>
        <w:t>1.</w:t>
      </w:r>
      <w:r w:rsidRPr="000E6014">
        <w:rPr>
          <w:rFonts w:ascii="Times New Roman" w:hAnsi="Times New Roman"/>
          <w:spacing w:val="4"/>
        </w:rPr>
        <w:tab/>
        <w:t>Ruošti reikia apsauginėje kameroje mūvint apsaugines pirštines ir dėvint apsauginį chalatą. Jei nėra apsauginės kameros, reikia uždengti burną kaukę ir dėvėti apsauginius akinius.</w:t>
      </w:r>
    </w:p>
    <w:p w:rsidR="00D052A5" w:rsidRPr="000E6014" w:rsidRDefault="00D052A5" w:rsidP="00D052A5">
      <w:pPr>
        <w:spacing w:after="0" w:line="240" w:lineRule="auto"/>
        <w:rPr>
          <w:rFonts w:ascii="Times New Roman" w:hAnsi="Times New Roman"/>
          <w:lang w:eastAsia="el-GR"/>
        </w:rPr>
      </w:pPr>
      <w:r w:rsidRPr="000E6014">
        <w:rPr>
          <w:rFonts w:ascii="Times New Roman" w:hAnsi="Times New Roman"/>
          <w:lang w:eastAsia="el-GR"/>
        </w:rPr>
        <w:t>2.</w:t>
      </w:r>
      <w:r w:rsidRPr="000E6014">
        <w:rPr>
          <w:rFonts w:ascii="Times New Roman" w:hAnsi="Times New Roman"/>
          <w:lang w:eastAsia="el-GR"/>
        </w:rPr>
        <w:tab/>
        <w:t>Atidarytos talpyklės, pvz., injekcijų flakonai ir infuzijos buteliai bei panaudotos kaniulės, švirkštai, kateteriai, vamzdeliai ir citostatikų liekanos turi būti laikomi pavojingomis atliekomis ir šalinami prisilaikant vietinių PAVOJINGŲ ATLIEKŲ šalinimo taisyklių.</w:t>
      </w:r>
    </w:p>
    <w:p w:rsidR="00D052A5" w:rsidRPr="000E6014" w:rsidRDefault="00D052A5" w:rsidP="00D052A5">
      <w:pPr>
        <w:spacing w:after="0" w:line="240" w:lineRule="auto"/>
        <w:rPr>
          <w:rFonts w:ascii="Times New Roman" w:hAnsi="Times New Roman"/>
          <w:lang w:eastAsia="el-GR"/>
        </w:rPr>
      </w:pPr>
      <w:r w:rsidRPr="000E6014">
        <w:rPr>
          <w:rFonts w:ascii="Times New Roman" w:hAnsi="Times New Roman"/>
          <w:lang w:eastAsia="el-GR"/>
        </w:rPr>
        <w:t>3.</w:t>
      </w:r>
      <w:r w:rsidRPr="000E6014">
        <w:rPr>
          <w:rFonts w:ascii="Times New Roman" w:hAnsi="Times New Roman"/>
          <w:lang w:eastAsia="el-GR"/>
        </w:rPr>
        <w:tab/>
        <w:t>Išsiliejus preparatui laikykitės šių nurodymų:</w:t>
      </w:r>
    </w:p>
    <w:p w:rsidR="00D052A5" w:rsidRPr="000E6014" w:rsidRDefault="00D052A5" w:rsidP="00D052A5">
      <w:pPr>
        <w:pStyle w:val="Sraopastraipa"/>
        <w:numPr>
          <w:ilvl w:val="0"/>
          <w:numId w:val="12"/>
        </w:numPr>
        <w:spacing w:after="0" w:line="240" w:lineRule="auto"/>
        <w:rPr>
          <w:rFonts w:ascii="Times New Roman" w:hAnsi="Times New Roman"/>
          <w:lang w:eastAsia="el-GR"/>
        </w:rPr>
      </w:pPr>
      <w:r w:rsidRPr="000E6014">
        <w:rPr>
          <w:rFonts w:ascii="Times New Roman" w:hAnsi="Times New Roman"/>
          <w:lang w:eastAsia="el-GR"/>
        </w:rPr>
        <w:t>dėvėkite apsauginius rūbus;</w:t>
      </w:r>
    </w:p>
    <w:p w:rsidR="00D052A5" w:rsidRPr="000E6014" w:rsidRDefault="00D052A5" w:rsidP="00D052A5">
      <w:pPr>
        <w:pStyle w:val="Sraopastraipa"/>
        <w:numPr>
          <w:ilvl w:val="0"/>
          <w:numId w:val="12"/>
        </w:numPr>
        <w:spacing w:after="0" w:line="240" w:lineRule="auto"/>
        <w:rPr>
          <w:rFonts w:ascii="Times New Roman" w:hAnsi="Times New Roman"/>
          <w:lang w:eastAsia="el-GR"/>
        </w:rPr>
      </w:pPr>
      <w:r w:rsidRPr="000E6014">
        <w:rPr>
          <w:rFonts w:ascii="Times New Roman" w:hAnsi="Times New Roman"/>
          <w:lang w:eastAsia="el-GR"/>
        </w:rPr>
        <w:t>stiklo šukes reikia surinkti ir įdėti į PAVOJINGŲ ATLIEKŲ konteinerį;</w:t>
      </w:r>
    </w:p>
    <w:p w:rsidR="00D052A5" w:rsidRPr="000E6014" w:rsidRDefault="00D052A5" w:rsidP="00D052A5">
      <w:pPr>
        <w:pStyle w:val="Sraopastraipa"/>
        <w:numPr>
          <w:ilvl w:val="0"/>
          <w:numId w:val="12"/>
        </w:numPr>
        <w:spacing w:after="0" w:line="240" w:lineRule="auto"/>
        <w:rPr>
          <w:rFonts w:ascii="Times New Roman" w:hAnsi="Times New Roman"/>
          <w:lang w:eastAsia="el-GR"/>
        </w:rPr>
      </w:pPr>
      <w:r w:rsidRPr="000E6014">
        <w:rPr>
          <w:rFonts w:ascii="Times New Roman" w:hAnsi="Times New Roman"/>
          <w:lang w:eastAsia="el-GR"/>
        </w:rPr>
        <w:t>užterštus paviršius reikia nuplauti gausiai naudojant šaltą vandenį;</w:t>
      </w:r>
    </w:p>
    <w:p w:rsidR="00D052A5" w:rsidRPr="000E6014" w:rsidRDefault="00D052A5" w:rsidP="00D052A5">
      <w:pPr>
        <w:pStyle w:val="Sraopastraipa"/>
        <w:numPr>
          <w:ilvl w:val="0"/>
          <w:numId w:val="12"/>
        </w:numPr>
        <w:spacing w:after="0" w:line="240" w:lineRule="auto"/>
        <w:rPr>
          <w:rFonts w:ascii="Times New Roman" w:hAnsi="Times New Roman"/>
          <w:lang w:eastAsia="el-GR"/>
        </w:rPr>
      </w:pPr>
      <w:r w:rsidRPr="000E6014">
        <w:rPr>
          <w:rFonts w:ascii="Times New Roman" w:hAnsi="Times New Roman"/>
          <w:lang w:eastAsia="el-GR"/>
        </w:rPr>
        <w:t>nuplautus paviršius rūpestingai nušluostyti, o šluostymui naudotą medžiagą išmesti į PAVOJINGŲ ATLIEKŲ konteinerį.</w:t>
      </w:r>
    </w:p>
    <w:p w:rsidR="00D052A5" w:rsidRPr="000E6014" w:rsidRDefault="00D052A5" w:rsidP="00D052A5">
      <w:pPr>
        <w:spacing w:after="0" w:line="240" w:lineRule="auto"/>
        <w:rPr>
          <w:rFonts w:ascii="Times New Roman" w:hAnsi="Times New Roman"/>
        </w:rPr>
      </w:pPr>
      <w:r w:rsidRPr="000E6014">
        <w:rPr>
          <w:rFonts w:ascii="Times New Roman" w:hAnsi="Times New Roman"/>
          <w:lang w:eastAsia="el-GR"/>
        </w:rPr>
        <w:t xml:space="preserve">4. </w:t>
      </w:r>
      <w:r w:rsidRPr="000E6014">
        <w:rPr>
          <w:rFonts w:ascii="Times New Roman" w:hAnsi="Times New Roman"/>
          <w:lang w:eastAsia="el-GR"/>
        </w:rPr>
        <w:tab/>
      </w:r>
      <w:r w:rsidRPr="000E6014">
        <w:rPr>
          <w:rFonts w:ascii="Times New Roman" w:hAnsi="Times New Roman"/>
        </w:rPr>
        <w:t>Irinotecan Seacross patekus ant odos, tą vietą reikia gausiai plauti tekančiu vandeniu ir po to nuplauti muilu ir vandeniu. Patekus preparatui ant gleivinių, rūpestingai nuplaukite vandeniu. Jeigu pajusite kokį nors diskomfortą, kreipkitės į gydytoją.</w:t>
      </w:r>
    </w:p>
    <w:p w:rsidR="00D052A5" w:rsidRPr="000E6014" w:rsidRDefault="00D052A5" w:rsidP="00D052A5">
      <w:pPr>
        <w:spacing w:after="0" w:line="240" w:lineRule="auto"/>
        <w:rPr>
          <w:rFonts w:ascii="Times New Roman" w:hAnsi="Times New Roman"/>
          <w:lang w:eastAsia="el-GR"/>
        </w:rPr>
      </w:pPr>
      <w:r w:rsidRPr="000E6014">
        <w:rPr>
          <w:rFonts w:ascii="Times New Roman" w:hAnsi="Times New Roman"/>
        </w:rPr>
        <w:t>5.</w:t>
      </w:r>
      <w:r w:rsidRPr="000E6014">
        <w:rPr>
          <w:rFonts w:ascii="Times New Roman" w:hAnsi="Times New Roman"/>
        </w:rPr>
        <w:tab/>
        <w:t>Irinotecan Seacross patekus į akis, rūpestingai  išplaukite jas gausiai naudodami vandenį ir nedelsdami kreipkitės į akių gydytoją.</w:t>
      </w:r>
    </w:p>
    <w:p w:rsidR="00D052A5" w:rsidRPr="000E6014" w:rsidRDefault="00D052A5" w:rsidP="00D052A5">
      <w:pPr>
        <w:spacing w:after="0" w:line="240" w:lineRule="auto"/>
        <w:rPr>
          <w:rFonts w:ascii="Times New Roman" w:hAnsi="Times New Roman"/>
          <w:lang w:eastAsia="el-GR"/>
        </w:rPr>
      </w:pPr>
    </w:p>
    <w:p w:rsidR="00D052A5" w:rsidRPr="000E6014" w:rsidRDefault="00D052A5" w:rsidP="00D052A5">
      <w:pPr>
        <w:spacing w:after="0" w:line="240" w:lineRule="auto"/>
        <w:rPr>
          <w:rFonts w:ascii="Times New Roman" w:hAnsi="Times New Roman"/>
          <w:b/>
          <w:bCs/>
          <w:lang w:eastAsia="el-GR"/>
        </w:rPr>
      </w:pPr>
      <w:r w:rsidRPr="000E6014">
        <w:rPr>
          <w:rFonts w:ascii="Times New Roman" w:hAnsi="Times New Roman"/>
          <w:b/>
          <w:bCs/>
          <w:lang w:eastAsia="el-GR"/>
        </w:rPr>
        <w:t>Infuzinio tirpalo paruošimas</w:t>
      </w:r>
    </w:p>
    <w:p w:rsidR="00D052A5" w:rsidRPr="000E6014" w:rsidRDefault="00D052A5" w:rsidP="00D052A5">
      <w:pPr>
        <w:spacing w:after="0" w:line="240" w:lineRule="auto"/>
        <w:rPr>
          <w:rFonts w:ascii="Times New Roman" w:hAnsi="Times New Roman"/>
          <w:lang w:eastAsia="el-GR"/>
        </w:rPr>
      </w:pPr>
      <w:r w:rsidRPr="000E6014">
        <w:rPr>
          <w:rFonts w:ascii="Times New Roman" w:hAnsi="Times New Roman"/>
        </w:rPr>
        <w:t xml:space="preserve">Irinotecan Seacross skirtas infuzijai į veną prieš tai praskiedus jį rekomenduojamais skiedikliais,0,9 % natrio chlorido tirpalu  infuzijoms arba 5 % gliukozės tirpalu infuzijoms. </w:t>
      </w:r>
      <w:r w:rsidRPr="000E6014">
        <w:rPr>
          <w:rFonts w:ascii="Times New Roman" w:hAnsi="Times New Roman"/>
          <w:lang w:eastAsia="el-GR"/>
        </w:rPr>
        <w:t>Kalibruotu švirkštu, laikantis aseptikos reikalavimų, iš flakono reikia išsiurbti reikiamą Irinotecan Seacross koncentrato infuziniam tirpalui kiekį ir sušvirkšti į 250 ml infuzinį maišelį ar butelį. Infuzinį tirpalą reikia gerai sumaišyti sukinėjant rankose.</w:t>
      </w:r>
    </w:p>
    <w:p w:rsidR="00D052A5" w:rsidRPr="000E6014" w:rsidRDefault="00D052A5" w:rsidP="00D052A5">
      <w:pPr>
        <w:spacing w:after="0" w:line="240" w:lineRule="auto"/>
        <w:rPr>
          <w:rFonts w:ascii="Times New Roman" w:hAnsi="Times New Roman"/>
          <w:lang w:eastAsia="el-GR"/>
        </w:rPr>
      </w:pPr>
    </w:p>
    <w:p w:rsidR="00D052A5" w:rsidRPr="000E6014" w:rsidRDefault="00D052A5" w:rsidP="00D052A5">
      <w:pPr>
        <w:spacing w:after="0" w:line="240" w:lineRule="auto"/>
        <w:rPr>
          <w:rFonts w:ascii="Times New Roman" w:hAnsi="Times New Roman"/>
          <w:lang w:eastAsia="el-GR"/>
        </w:rPr>
      </w:pPr>
      <w:r w:rsidRPr="000E6014">
        <w:rPr>
          <w:rFonts w:ascii="Times New Roman" w:hAnsi="Times New Roman"/>
          <w:lang w:eastAsia="el-GR"/>
        </w:rPr>
        <w:lastRenderedPageBreak/>
        <w:t>Jei flakonuose ar praskiedus pastebimos nuosėdos, preparatą reikia išmesti laikantis standartinių citotoksinių medžiagų šalinimo procedūrų.</w:t>
      </w:r>
    </w:p>
    <w:p w:rsidR="00D052A5" w:rsidRPr="000E6014" w:rsidRDefault="00D052A5" w:rsidP="00D052A5">
      <w:pPr>
        <w:spacing w:after="0" w:line="240" w:lineRule="auto"/>
        <w:rPr>
          <w:rFonts w:ascii="Times New Roman" w:hAnsi="Times New Roman"/>
          <w:lang w:eastAsia="el-GR"/>
        </w:rPr>
      </w:pPr>
    </w:p>
    <w:p w:rsidR="00D052A5" w:rsidRPr="000E6014" w:rsidRDefault="00D052A5" w:rsidP="00D052A5">
      <w:pPr>
        <w:spacing w:after="0" w:line="240" w:lineRule="auto"/>
        <w:rPr>
          <w:rFonts w:ascii="Times New Roman" w:hAnsi="Times New Roman"/>
          <w:lang w:eastAsia="el-GR"/>
        </w:rPr>
      </w:pPr>
      <w:r w:rsidRPr="000E6014">
        <w:rPr>
          <w:rFonts w:ascii="Times New Roman" w:hAnsi="Times New Roman"/>
          <w:lang w:eastAsia="el-GR"/>
        </w:rPr>
        <w:t>Šio vaistinio preparato negalima maišyti su kitais vaistiniais preparatais, išskyrus paminėtus anksčiau.</w:t>
      </w:r>
    </w:p>
    <w:p w:rsidR="00D052A5" w:rsidRPr="000E6014" w:rsidRDefault="00D052A5" w:rsidP="00D052A5">
      <w:pPr>
        <w:spacing w:after="0" w:line="240" w:lineRule="auto"/>
        <w:rPr>
          <w:rFonts w:ascii="Times New Roman" w:hAnsi="Times New Roman"/>
          <w:lang w:eastAsia="el-GR"/>
        </w:rPr>
      </w:pPr>
    </w:p>
    <w:p w:rsidR="00D052A5" w:rsidRPr="000E6014" w:rsidRDefault="00D052A5" w:rsidP="00D052A5">
      <w:pPr>
        <w:spacing w:after="0" w:line="240" w:lineRule="auto"/>
        <w:rPr>
          <w:rFonts w:ascii="Times New Roman" w:hAnsi="Times New Roman"/>
          <w:lang w:eastAsia="lt-LT"/>
        </w:rPr>
      </w:pPr>
      <w:r w:rsidRPr="000E6014">
        <w:rPr>
          <w:rFonts w:ascii="Times New Roman" w:hAnsi="Times New Roman"/>
        </w:rPr>
        <w:t xml:space="preserve">Irinotecan Seacross reikia infuzuoti į periferinę arba centrinę veną. Irinotecan Seacross </w:t>
      </w:r>
      <w:r w:rsidRPr="000E6014">
        <w:rPr>
          <w:rFonts w:ascii="Times New Roman" w:hAnsi="Times New Roman"/>
          <w:lang w:eastAsia="lt-LT"/>
        </w:rPr>
        <w:t>negalima sušvirkšti į veną boliusu arba infuzuoti trumpiau kaip 30 minučių arba ilgiau kaip 90 minučių.</w:t>
      </w:r>
    </w:p>
    <w:p w:rsidR="00D052A5" w:rsidRPr="000E6014" w:rsidRDefault="00D052A5" w:rsidP="00D052A5">
      <w:pPr>
        <w:spacing w:after="0" w:line="240" w:lineRule="auto"/>
        <w:rPr>
          <w:rFonts w:ascii="Times New Roman" w:hAnsi="Times New Roman"/>
          <w:b/>
        </w:rPr>
      </w:pPr>
    </w:p>
    <w:p w:rsidR="00D052A5" w:rsidRPr="000E6014" w:rsidRDefault="00D052A5" w:rsidP="00D052A5">
      <w:pPr>
        <w:spacing w:after="0" w:line="240" w:lineRule="auto"/>
        <w:rPr>
          <w:rFonts w:ascii="Times New Roman" w:hAnsi="Times New Roman"/>
          <w:bCs/>
        </w:rPr>
      </w:pPr>
      <w:r w:rsidRPr="000E6014">
        <w:rPr>
          <w:rFonts w:ascii="Times New Roman" w:hAnsi="Times New Roman"/>
          <w:bCs/>
        </w:rPr>
        <w:t xml:space="preserve">Praskiedus tirpalą reikia suvartoti nedelsiant, nes jame nėra apsauginių priemonių nuo bakterijų. Jei preparatas ruošiamas ir tirpinamas griežtai aseptinėmis sąlygomis (pvz., pakopinės ventiliacijos bokse), tirpalas turi būti suvartotas (atlikta infuzija)po pirmojo atidarymo per  24 valandas, jei jis buvo laikomas </w:t>
      </w:r>
      <w:r w:rsidRPr="000E6014">
        <w:rPr>
          <w:rFonts w:ascii="Times New Roman" w:hAnsi="Times New Roman"/>
        </w:rPr>
        <w:t>2 </w:t>
      </w:r>
      <w:r w:rsidRPr="000E6014">
        <w:rPr>
          <w:rFonts w:ascii="Times New Roman" w:hAnsi="Times New Roman"/>
          <w:spacing w:val="-2"/>
        </w:rPr>
        <w:t>°</w:t>
      </w:r>
      <w:r w:rsidRPr="000E6014">
        <w:rPr>
          <w:rFonts w:ascii="Times New Roman" w:hAnsi="Times New Roman"/>
        </w:rPr>
        <w:t>C</w:t>
      </w:r>
      <w:r w:rsidRPr="000E6014">
        <w:rPr>
          <w:rFonts w:ascii="Times New Roman" w:hAnsi="Times New Roman"/>
          <w:spacing w:val="4"/>
        </w:rPr>
        <w:t xml:space="preserve"> </w:t>
      </w:r>
      <w:r w:rsidRPr="000E6014">
        <w:rPr>
          <w:rFonts w:ascii="Times New Roman" w:hAnsi="Times New Roman"/>
          <w:spacing w:val="-2"/>
        </w:rPr>
        <w:t xml:space="preserve">- </w:t>
      </w:r>
      <w:r w:rsidRPr="000E6014">
        <w:rPr>
          <w:rFonts w:ascii="Times New Roman" w:hAnsi="Times New Roman"/>
        </w:rPr>
        <w:t>8 </w:t>
      </w:r>
      <w:r w:rsidRPr="000E6014">
        <w:rPr>
          <w:rFonts w:ascii="Times New Roman" w:hAnsi="Times New Roman"/>
          <w:spacing w:val="-2"/>
        </w:rPr>
        <w:t>°</w:t>
      </w:r>
      <w:r w:rsidRPr="000E6014">
        <w:rPr>
          <w:rFonts w:ascii="Times New Roman" w:hAnsi="Times New Roman"/>
        </w:rPr>
        <w:t>C temperatūroje.</w:t>
      </w:r>
    </w:p>
    <w:p w:rsidR="00D052A5" w:rsidRPr="000E6014" w:rsidRDefault="00D052A5" w:rsidP="00D052A5">
      <w:pPr>
        <w:spacing w:after="0" w:line="240" w:lineRule="auto"/>
        <w:rPr>
          <w:rFonts w:ascii="Times New Roman" w:hAnsi="Times New Roman"/>
          <w:b/>
        </w:rPr>
      </w:pPr>
    </w:p>
    <w:p w:rsidR="00D052A5" w:rsidRPr="000E6014" w:rsidRDefault="00D052A5" w:rsidP="00D052A5">
      <w:pPr>
        <w:spacing w:after="0" w:line="240" w:lineRule="auto"/>
        <w:rPr>
          <w:rFonts w:ascii="Times New Roman" w:hAnsi="Times New Roman"/>
          <w:b/>
        </w:rPr>
      </w:pPr>
      <w:r w:rsidRPr="000E6014">
        <w:rPr>
          <w:rFonts w:ascii="Times New Roman" w:hAnsi="Times New Roman"/>
          <w:b/>
        </w:rPr>
        <w:t>Atliekų tvarkymas</w:t>
      </w:r>
    </w:p>
    <w:p w:rsidR="00D052A5" w:rsidRPr="000E6014" w:rsidRDefault="00D052A5" w:rsidP="00D052A5">
      <w:pPr>
        <w:spacing w:after="0" w:line="240" w:lineRule="auto"/>
        <w:rPr>
          <w:rFonts w:ascii="Times New Roman" w:hAnsi="Times New Roman"/>
        </w:rPr>
      </w:pPr>
      <w:r w:rsidRPr="000E6014">
        <w:rPr>
          <w:rFonts w:ascii="Times New Roman" w:hAnsi="Times New Roman"/>
        </w:rPr>
        <w:t>Visas medžiagas, naudotas paruošimui, infuzijai ar kitaip turėjusias sąlytį su Irinotecan Seacross, reikia tvarkyti laikantis vietinių darbo su citotoksiniais junginiais reikalavimų.</w:t>
      </w:r>
    </w:p>
    <w:p w:rsidR="00D052A5" w:rsidRPr="000E6014" w:rsidRDefault="00D052A5" w:rsidP="00D052A5">
      <w:pPr>
        <w:spacing w:after="0" w:line="240" w:lineRule="auto"/>
        <w:rPr>
          <w:rFonts w:ascii="Times New Roman" w:hAnsi="Times New Roman"/>
        </w:rPr>
      </w:pP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 xml:space="preserve">&lt; </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2 ml – LT/1/11/2422/001</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5 ml – LT/1/11/2422/002</w:t>
      </w:r>
    </w:p>
    <w:p w:rsidR="00D052A5" w:rsidRPr="000E6014" w:rsidRDefault="00D052A5" w:rsidP="00D052A5">
      <w:pPr>
        <w:tabs>
          <w:tab w:val="left" w:pos="0"/>
          <w:tab w:val="left" w:pos="567"/>
        </w:tabs>
        <w:spacing w:after="0" w:line="240" w:lineRule="auto"/>
        <w:rPr>
          <w:rFonts w:ascii="Times New Roman" w:hAnsi="Times New Roman"/>
        </w:rPr>
      </w:pPr>
      <w:r w:rsidRPr="000E6014">
        <w:rPr>
          <w:rFonts w:ascii="Times New Roman" w:hAnsi="Times New Roman"/>
        </w:rPr>
        <w:t>15 ml – LT/1/11/2422/003</w:t>
      </w:r>
    </w:p>
    <w:p w:rsidR="00D052A5" w:rsidRDefault="00D052A5" w:rsidP="00D052A5">
      <w:pPr>
        <w:rPr>
          <w:rFonts w:ascii="Times New Roman" w:hAnsi="Times New Roman"/>
        </w:rPr>
      </w:pPr>
      <w:r w:rsidRPr="000E6014">
        <w:rPr>
          <w:rFonts w:ascii="Times New Roman" w:hAnsi="Times New Roman"/>
        </w:rPr>
        <w:t>25 ml – LT/1/11/2422/004</w:t>
      </w:r>
    </w:p>
    <w:p w:rsidR="00D052A5" w:rsidRDefault="00D052A5" w:rsidP="00D052A5">
      <w:pPr>
        <w:rPr>
          <w:rFonts w:ascii="Times New Roman" w:hAnsi="Times New Roman"/>
        </w:rPr>
      </w:pPr>
    </w:p>
    <w:p w:rsidR="00D052A5" w:rsidRPr="000E6014" w:rsidRDefault="00D052A5" w:rsidP="00D052A5">
      <w:pPr>
        <w:rPr>
          <w:rFonts w:ascii="Times New Roman" w:hAnsi="Times New Roman"/>
        </w:rPr>
      </w:pPr>
      <w:bookmarkStart w:id="34" w:name="_GoBack"/>
      <w:bookmarkEnd w:id="34"/>
      <w:permStart w:id="1236089064" w:edGrp="everyone"/>
      <w:permEnd w:id="1236089064"/>
    </w:p>
    <w:p w:rsidR="006F626A" w:rsidRDefault="006F626A"/>
    <w:sectPr w:rsidR="006F626A" w:rsidSect="008E48DA">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456" w:rsidRDefault="00915065">
      <w:pPr>
        <w:spacing w:after="0" w:line="240" w:lineRule="auto"/>
      </w:pPr>
      <w:r>
        <w:separator/>
      </w:r>
    </w:p>
  </w:endnote>
  <w:endnote w:type="continuationSeparator" w:id="0">
    <w:p w:rsidR="00614456" w:rsidRDefault="0091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14" w:rsidRDefault="00B836C7" w:rsidP="008E48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0E6014" w:rsidRDefault="008D3AD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14" w:rsidRPr="00F815EC" w:rsidRDefault="00B836C7" w:rsidP="008E48DA">
    <w:pPr>
      <w:pStyle w:val="Porat"/>
      <w:framePr w:wrap="around" w:vAnchor="text" w:hAnchor="margin" w:xAlign="right" w:y="1"/>
      <w:rPr>
        <w:rStyle w:val="Puslapionumeris"/>
        <w:sz w:val="20"/>
      </w:rPr>
    </w:pPr>
    <w:r w:rsidRPr="00F815EC">
      <w:rPr>
        <w:rStyle w:val="Puslapionumeris"/>
        <w:sz w:val="20"/>
      </w:rPr>
      <w:fldChar w:fldCharType="begin"/>
    </w:r>
    <w:r w:rsidRPr="00F815EC">
      <w:rPr>
        <w:rStyle w:val="Puslapionumeris"/>
        <w:sz w:val="20"/>
      </w:rPr>
      <w:instrText xml:space="preserve">PAGE  </w:instrText>
    </w:r>
    <w:r w:rsidRPr="00F815EC">
      <w:rPr>
        <w:rStyle w:val="Puslapionumeris"/>
        <w:sz w:val="20"/>
      </w:rPr>
      <w:fldChar w:fldCharType="separate"/>
    </w:r>
    <w:r w:rsidR="008D3ADF">
      <w:rPr>
        <w:rStyle w:val="Puslapionumeris"/>
        <w:noProof/>
        <w:sz w:val="20"/>
      </w:rPr>
      <w:t>37</w:t>
    </w:r>
    <w:r w:rsidRPr="00F815EC">
      <w:rPr>
        <w:rStyle w:val="Puslapionumeris"/>
        <w:sz w:val="20"/>
      </w:rPr>
      <w:fldChar w:fldCharType="end"/>
    </w:r>
  </w:p>
  <w:p w:rsidR="000E6014" w:rsidRDefault="008D3ADF">
    <w:pPr>
      <w:pStyle w:val="Porat"/>
      <w:ind w:right="360"/>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456" w:rsidRDefault="00915065">
      <w:pPr>
        <w:spacing w:after="0" w:line="240" w:lineRule="auto"/>
      </w:pPr>
      <w:r>
        <w:separator/>
      </w:r>
    </w:p>
  </w:footnote>
  <w:footnote w:type="continuationSeparator" w:id="0">
    <w:p w:rsidR="00614456" w:rsidRDefault="00915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B19"/>
    <w:multiLevelType w:val="hybridMultilevel"/>
    <w:tmpl w:val="4BE0258C"/>
    <w:lvl w:ilvl="0" w:tplc="9558C704">
      <w:numFmt w:val="bullet"/>
      <w:lvlText w:val="-"/>
      <w:lvlJc w:val="center"/>
      <w:pPr>
        <w:ind w:left="720" w:hanging="360"/>
      </w:pPr>
      <w:rPr>
        <w:rFonts w:ascii="Times New Roman" w:eastAsia="Times New Roman" w:hAnsi="Times New Roman" w:hint="default"/>
        <w:b/>
        <w:i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024B36"/>
    <w:multiLevelType w:val="hybridMultilevel"/>
    <w:tmpl w:val="3AFEA5C4"/>
    <w:lvl w:ilvl="0" w:tplc="9558C704">
      <w:numFmt w:val="bullet"/>
      <w:lvlText w:val="-"/>
      <w:lvlJc w:val="center"/>
      <w:pPr>
        <w:ind w:left="720" w:hanging="360"/>
      </w:pPr>
      <w:rPr>
        <w:rFonts w:ascii="Times New Roman" w:eastAsia="Times New Roman" w:hAnsi="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E77CB5"/>
    <w:multiLevelType w:val="hybridMultilevel"/>
    <w:tmpl w:val="2102CA7A"/>
    <w:lvl w:ilvl="0" w:tplc="1CF0857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9717E"/>
    <w:multiLevelType w:val="hybridMultilevel"/>
    <w:tmpl w:val="9B1AB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A13B4"/>
    <w:multiLevelType w:val="hybridMultilevel"/>
    <w:tmpl w:val="0CC2B488"/>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995626"/>
    <w:multiLevelType w:val="hybridMultilevel"/>
    <w:tmpl w:val="86CCAE96"/>
    <w:lvl w:ilvl="0" w:tplc="9558C704">
      <w:numFmt w:val="bullet"/>
      <w:lvlText w:val="-"/>
      <w:lvlJc w:val="center"/>
      <w:pPr>
        <w:ind w:left="720" w:hanging="360"/>
      </w:pPr>
      <w:rPr>
        <w:rFonts w:ascii="Times New Roman" w:eastAsia="Times New Roman" w:hAnsi="Times New Roman" w:hint="default"/>
        <w:b/>
        <w:i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3C3DD2"/>
    <w:multiLevelType w:val="hybridMultilevel"/>
    <w:tmpl w:val="FF4A70FA"/>
    <w:lvl w:ilvl="0" w:tplc="1CF0857A">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1652E"/>
    <w:multiLevelType w:val="hybridMultilevel"/>
    <w:tmpl w:val="FE6AC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5F3A9C"/>
    <w:multiLevelType w:val="hybridMultilevel"/>
    <w:tmpl w:val="7DFA7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820720"/>
    <w:multiLevelType w:val="hybridMultilevel"/>
    <w:tmpl w:val="0832EA2A"/>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6F2EE9"/>
    <w:multiLevelType w:val="hybridMultilevel"/>
    <w:tmpl w:val="C5CCB002"/>
    <w:lvl w:ilvl="0" w:tplc="1CF0857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4"/>
  </w:num>
  <w:num w:numId="5">
    <w:abstractNumId w:va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VL2rd8teThj7MxhlBm67l3SFWhrG4gDPrY4wTjVzax8Or8RrkhlqXPQuCSWarL5p8Gy3lk+lX7hqjkcjaesk/Q==" w:salt="j5hIz4+mC8ifUnSNHx6y5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30"/>
    <w:rsid w:val="00407430"/>
    <w:rsid w:val="00614456"/>
    <w:rsid w:val="006F626A"/>
    <w:rsid w:val="00823523"/>
    <w:rsid w:val="008D3ADF"/>
    <w:rsid w:val="00915065"/>
    <w:rsid w:val="00B836C7"/>
    <w:rsid w:val="00CF128C"/>
    <w:rsid w:val="00D052A5"/>
    <w:rsid w:val="00FB2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C018D-567D-4625-AFFD-76B926F2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52A5"/>
    <w:pPr>
      <w:spacing w:after="200" w:line="276" w:lineRule="auto"/>
    </w:pPr>
    <w:rPr>
      <w:rFonts w:ascii="Calibri" w:eastAsia="Times New Roman" w:hAnsi="Calibri" w:cs="Times New Roman"/>
    </w:rPr>
  </w:style>
  <w:style w:type="paragraph" w:styleId="Antrat1">
    <w:name w:val="heading 1"/>
    <w:basedOn w:val="prastasis"/>
    <w:next w:val="prastasis"/>
    <w:link w:val="Antrat1Diagrama"/>
    <w:uiPriority w:val="99"/>
    <w:qFormat/>
    <w:rsid w:val="00D052A5"/>
    <w:pPr>
      <w:keepNext/>
      <w:spacing w:before="240" w:after="60" w:line="240"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uiPriority w:val="99"/>
    <w:qFormat/>
    <w:rsid w:val="00D052A5"/>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uiPriority w:val="99"/>
    <w:qFormat/>
    <w:rsid w:val="00D052A5"/>
    <w:pPr>
      <w:keepNext/>
      <w:spacing w:before="240" w:after="60" w:line="240" w:lineRule="auto"/>
      <w:outlineLvl w:val="2"/>
    </w:pPr>
    <w:rPr>
      <w:rFonts w:ascii="Arial" w:eastAsia="Calibri"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2A5"/>
    <w:rPr>
      <w:rFonts w:ascii="Arial" w:eastAsia="Calibri" w:hAnsi="Arial" w:cs="Arial"/>
      <w:b/>
      <w:bCs/>
      <w:kern w:val="32"/>
      <w:sz w:val="32"/>
      <w:szCs w:val="32"/>
    </w:rPr>
  </w:style>
  <w:style w:type="character" w:customStyle="1" w:styleId="Antrat2Diagrama">
    <w:name w:val="Antraštė 2 Diagrama"/>
    <w:basedOn w:val="Numatytasispastraiposriftas"/>
    <w:link w:val="Antrat2"/>
    <w:uiPriority w:val="99"/>
    <w:rsid w:val="00D052A5"/>
    <w:rPr>
      <w:rFonts w:ascii="Arial" w:eastAsia="Calibri" w:hAnsi="Arial" w:cs="Arial"/>
      <w:b/>
      <w:bCs/>
      <w:i/>
      <w:iCs/>
      <w:sz w:val="28"/>
      <w:szCs w:val="28"/>
    </w:rPr>
  </w:style>
  <w:style w:type="character" w:customStyle="1" w:styleId="Antrat3Diagrama">
    <w:name w:val="Antraštė 3 Diagrama"/>
    <w:basedOn w:val="Numatytasispastraiposriftas"/>
    <w:link w:val="Antrat3"/>
    <w:uiPriority w:val="99"/>
    <w:rsid w:val="00D052A5"/>
    <w:rPr>
      <w:rFonts w:ascii="Arial" w:eastAsia="Calibri" w:hAnsi="Arial" w:cs="Arial"/>
      <w:b/>
      <w:bCs/>
      <w:sz w:val="26"/>
      <w:szCs w:val="26"/>
    </w:rPr>
  </w:style>
  <w:style w:type="character" w:styleId="Komentaronuoroda">
    <w:name w:val="annotation reference"/>
    <w:uiPriority w:val="99"/>
    <w:semiHidden/>
    <w:rsid w:val="00D052A5"/>
    <w:rPr>
      <w:rFonts w:cs="Times New Roman"/>
      <w:sz w:val="16"/>
    </w:rPr>
  </w:style>
  <w:style w:type="character" w:styleId="Puslapionumeris">
    <w:name w:val="page number"/>
    <w:uiPriority w:val="99"/>
    <w:rsid w:val="00D052A5"/>
    <w:rPr>
      <w:rFonts w:ascii="Arial" w:hAnsi="Arial" w:cs="Times New Roman"/>
      <w:sz w:val="16"/>
    </w:rPr>
  </w:style>
  <w:style w:type="paragraph" w:styleId="Porat">
    <w:name w:val="footer"/>
    <w:basedOn w:val="prastasis"/>
    <w:link w:val="PoratDiagrama"/>
    <w:uiPriority w:val="99"/>
    <w:rsid w:val="00D052A5"/>
    <w:pPr>
      <w:spacing w:after="0" w:line="240" w:lineRule="auto"/>
    </w:pPr>
    <w:rPr>
      <w:rFonts w:ascii="Arial" w:eastAsia="Calibri" w:hAnsi="Arial"/>
      <w:sz w:val="16"/>
      <w:szCs w:val="20"/>
      <w:lang w:val="en-US" w:eastAsia="ja-JP"/>
    </w:rPr>
  </w:style>
  <w:style w:type="character" w:customStyle="1" w:styleId="PoratDiagrama">
    <w:name w:val="Poraštė Diagrama"/>
    <w:basedOn w:val="Numatytasispastraiposriftas"/>
    <w:link w:val="Porat"/>
    <w:uiPriority w:val="99"/>
    <w:rsid w:val="00D052A5"/>
    <w:rPr>
      <w:rFonts w:ascii="Arial" w:eastAsia="Calibri" w:hAnsi="Arial" w:cs="Times New Roman"/>
      <w:sz w:val="16"/>
      <w:szCs w:val="20"/>
      <w:lang w:val="en-US" w:eastAsia="ja-JP"/>
    </w:rPr>
  </w:style>
  <w:style w:type="paragraph" w:styleId="Komentarotekstas">
    <w:name w:val="annotation text"/>
    <w:basedOn w:val="prastasis"/>
    <w:link w:val="KomentarotekstasDiagrama"/>
    <w:uiPriority w:val="99"/>
    <w:semiHidden/>
    <w:rsid w:val="00D052A5"/>
    <w:pPr>
      <w:tabs>
        <w:tab w:val="left" w:pos="567"/>
      </w:tabs>
      <w:spacing w:after="0" w:line="260" w:lineRule="exact"/>
    </w:pPr>
    <w:rPr>
      <w:rFonts w:ascii="Times New Roman" w:eastAsia="Calibri" w:hAnsi="Times New Roman"/>
      <w:sz w:val="20"/>
      <w:szCs w:val="20"/>
      <w:lang w:val="cs-CZ" w:eastAsia="ja-JP"/>
    </w:rPr>
  </w:style>
  <w:style w:type="character" w:customStyle="1" w:styleId="KomentarotekstasDiagrama">
    <w:name w:val="Komentaro tekstas Diagrama"/>
    <w:basedOn w:val="Numatytasispastraiposriftas"/>
    <w:link w:val="Komentarotekstas"/>
    <w:uiPriority w:val="99"/>
    <w:semiHidden/>
    <w:rsid w:val="00D052A5"/>
    <w:rPr>
      <w:rFonts w:ascii="Times New Roman" w:eastAsia="Calibri" w:hAnsi="Times New Roman" w:cs="Times New Roman"/>
      <w:sz w:val="20"/>
      <w:szCs w:val="20"/>
      <w:lang w:val="cs-CZ" w:eastAsia="ja-JP"/>
    </w:rPr>
  </w:style>
  <w:style w:type="table" w:styleId="Lentelstinklelis">
    <w:name w:val="Table Grid"/>
    <w:basedOn w:val="prastojilentel"/>
    <w:uiPriority w:val="99"/>
    <w:rsid w:val="00D052A5"/>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D052A5"/>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D052A5"/>
    <w:pPr>
      <w:tabs>
        <w:tab w:val="clear" w:pos="567"/>
      </w:tabs>
      <w:spacing w:line="240" w:lineRule="auto"/>
    </w:pPr>
    <w:rPr>
      <w:b/>
      <w:bCs/>
      <w:lang w:val="lt-LT" w:eastAsia="en-US"/>
    </w:rPr>
  </w:style>
  <w:style w:type="character" w:customStyle="1" w:styleId="KomentarotemaDiagrama">
    <w:name w:val="Komentaro tema Diagrama"/>
    <w:basedOn w:val="KomentarotekstasDiagrama"/>
    <w:link w:val="Komentarotema"/>
    <w:uiPriority w:val="99"/>
    <w:semiHidden/>
    <w:rsid w:val="00D052A5"/>
    <w:rPr>
      <w:rFonts w:ascii="Times New Roman" w:eastAsia="Calibri" w:hAnsi="Times New Roman" w:cs="Times New Roman"/>
      <w:b/>
      <w:bCs/>
      <w:sz w:val="20"/>
      <w:szCs w:val="20"/>
      <w:lang w:val="cs-CZ" w:eastAsia="ja-JP"/>
    </w:rPr>
  </w:style>
  <w:style w:type="paragraph" w:styleId="Debesliotekstas">
    <w:name w:val="Balloon Text"/>
    <w:basedOn w:val="prastasis"/>
    <w:link w:val="DebesliotekstasDiagrama"/>
    <w:uiPriority w:val="99"/>
    <w:semiHidden/>
    <w:rsid w:val="00D052A5"/>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D052A5"/>
    <w:rPr>
      <w:rFonts w:ascii="Tahoma" w:eastAsia="Calibri" w:hAnsi="Tahoma" w:cs="Tahoma"/>
      <w:sz w:val="16"/>
      <w:szCs w:val="16"/>
    </w:rPr>
  </w:style>
  <w:style w:type="paragraph" w:styleId="Antrats">
    <w:name w:val="header"/>
    <w:basedOn w:val="prastasis"/>
    <w:link w:val="AntratsDiagrama"/>
    <w:uiPriority w:val="99"/>
    <w:rsid w:val="00D052A5"/>
    <w:pPr>
      <w:tabs>
        <w:tab w:val="center" w:pos="4320"/>
        <w:tab w:val="right" w:pos="8640"/>
      </w:tabs>
      <w:spacing w:after="0" w:line="240" w:lineRule="auto"/>
    </w:pPr>
    <w:rPr>
      <w:rFonts w:ascii="Times New Roman" w:eastAsia="Calibri" w:hAnsi="Times New Roman"/>
      <w:sz w:val="24"/>
      <w:szCs w:val="24"/>
      <w:lang w:val="en-US"/>
    </w:rPr>
  </w:style>
  <w:style w:type="character" w:customStyle="1" w:styleId="AntratsDiagrama">
    <w:name w:val="Antraštės Diagrama"/>
    <w:basedOn w:val="Numatytasispastraiposriftas"/>
    <w:link w:val="Antrats"/>
    <w:uiPriority w:val="99"/>
    <w:rsid w:val="00D052A5"/>
    <w:rPr>
      <w:rFonts w:ascii="Times New Roman" w:eastAsia="Calibri" w:hAnsi="Times New Roman" w:cs="Times New Roman"/>
      <w:sz w:val="24"/>
      <w:szCs w:val="24"/>
      <w:lang w:val="en-US"/>
    </w:rPr>
  </w:style>
  <w:style w:type="character" w:customStyle="1" w:styleId="DeltaViewDeletion">
    <w:name w:val="DeltaView Deletion"/>
    <w:uiPriority w:val="99"/>
    <w:rsid w:val="00D052A5"/>
    <w:rPr>
      <w:strike/>
      <w:color w:val="FF0000"/>
      <w:spacing w:val="0"/>
    </w:rPr>
  </w:style>
  <w:style w:type="paragraph" w:customStyle="1" w:styleId="PI-1EMEASMCA">
    <w:name w:val="PI-1 EMEA_SMCA"/>
    <w:basedOn w:val="Antrat2"/>
    <w:autoRedefine/>
    <w:uiPriority w:val="99"/>
    <w:rsid w:val="00D052A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uiPriority w:val="99"/>
    <w:rsid w:val="00D052A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D052A5"/>
    <w:pPr>
      <w:spacing w:after="0" w:line="240" w:lineRule="auto"/>
    </w:pPr>
    <w:rPr>
      <w:rFonts w:ascii="Times New Roman" w:eastAsia="Calibri" w:hAnsi="Times New Roman"/>
      <w:noProof/>
      <w:lang w:val="da-DK"/>
    </w:rPr>
  </w:style>
  <w:style w:type="character" w:customStyle="1" w:styleId="BTEMEASMCAChar">
    <w:name w:val="BT EMEA_SMCA Char"/>
    <w:link w:val="BTEMEASMCA"/>
    <w:uiPriority w:val="99"/>
    <w:locked/>
    <w:rsid w:val="00D052A5"/>
    <w:rPr>
      <w:rFonts w:ascii="Times New Roman" w:eastAsia="Calibri" w:hAnsi="Times New Roman" w:cs="Times New Roman"/>
      <w:noProof/>
      <w:lang w:val="da-DK"/>
    </w:rPr>
  </w:style>
  <w:style w:type="paragraph" w:customStyle="1" w:styleId="TTEMEASMCA">
    <w:name w:val="TT EMEA_SMCA"/>
    <w:basedOn w:val="Antrat1"/>
    <w:link w:val="TTEMEASMCAChar"/>
    <w:autoRedefine/>
    <w:uiPriority w:val="99"/>
    <w:rsid w:val="00D052A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D052A5"/>
    <w:rPr>
      <w:rFonts w:ascii="Times New Roman" w:eastAsia="Calibri" w:hAnsi="Times New Roman" w:cs="Times New Roman"/>
      <w:b/>
      <w:caps/>
      <w:lang w:val="en-US"/>
    </w:rPr>
  </w:style>
  <w:style w:type="paragraph" w:customStyle="1" w:styleId="BTAnIIEMEASMCA">
    <w:name w:val="BT(AnII) EMEA_SMCA"/>
    <w:basedOn w:val="Debesliotekstas"/>
    <w:autoRedefine/>
    <w:uiPriority w:val="99"/>
    <w:rsid w:val="00D052A5"/>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D052A5"/>
    <w:rPr>
      <w:i/>
      <w:color w:val="008000"/>
    </w:rPr>
  </w:style>
  <w:style w:type="character" w:customStyle="1" w:styleId="BTgEMEASMCAChar">
    <w:name w:val="BT(g) EMEA_SMCA Char"/>
    <w:link w:val="BTgEMEASMCA"/>
    <w:uiPriority w:val="99"/>
    <w:locked/>
    <w:rsid w:val="00D052A5"/>
    <w:rPr>
      <w:rFonts w:ascii="Times New Roman" w:eastAsia="Calibri" w:hAnsi="Times New Roman" w:cs="Times New Roman"/>
      <w:i/>
      <w:noProof/>
      <w:color w:val="008000"/>
      <w:lang w:val="da-DK"/>
    </w:rPr>
  </w:style>
  <w:style w:type="paragraph" w:customStyle="1" w:styleId="BTuEMEASMCA">
    <w:name w:val="BT(u) EMEA_SMCA"/>
    <w:basedOn w:val="BTEMEASMCA"/>
    <w:autoRedefine/>
    <w:uiPriority w:val="99"/>
    <w:rsid w:val="00D052A5"/>
    <w:rPr>
      <w:u w:val="single"/>
    </w:rPr>
  </w:style>
  <w:style w:type="character" w:customStyle="1" w:styleId="longtext">
    <w:name w:val="long_text"/>
    <w:uiPriority w:val="99"/>
    <w:rsid w:val="00D052A5"/>
    <w:rPr>
      <w:rFonts w:cs="Times New Roman"/>
    </w:rPr>
  </w:style>
  <w:style w:type="paragraph" w:customStyle="1" w:styleId="Sraopastraipa1">
    <w:name w:val="Sąrašo pastraipa1"/>
    <w:basedOn w:val="prastasis"/>
    <w:rsid w:val="00D052A5"/>
    <w:pPr>
      <w:ind w:left="720"/>
      <w:contextualSpacing/>
    </w:pPr>
  </w:style>
  <w:style w:type="paragraph" w:customStyle="1" w:styleId="Default">
    <w:name w:val="Default"/>
    <w:rsid w:val="00D052A5"/>
    <w:pPr>
      <w:autoSpaceDE w:val="0"/>
      <w:autoSpaceDN w:val="0"/>
      <w:adjustRightInd w:val="0"/>
      <w:spacing w:after="0" w:line="240" w:lineRule="auto"/>
    </w:pPr>
    <w:rPr>
      <w:rFonts w:ascii="Times New Roman" w:eastAsia="Calibri" w:hAnsi="Times New Roman" w:cs="Times New Roman"/>
      <w:color w:val="000000"/>
      <w:sz w:val="24"/>
      <w:szCs w:val="24"/>
      <w:lang w:val="el-GR" w:eastAsia="el-GR"/>
    </w:rPr>
  </w:style>
  <w:style w:type="paragraph" w:customStyle="1" w:styleId="Pataisymai1">
    <w:name w:val="Pataisymai1"/>
    <w:hidden/>
    <w:semiHidden/>
    <w:rsid w:val="00D052A5"/>
    <w:pPr>
      <w:spacing w:after="0" w:line="240" w:lineRule="auto"/>
    </w:pPr>
    <w:rPr>
      <w:rFonts w:ascii="Calibri" w:eastAsia="Times New Roman" w:hAnsi="Calibri" w:cs="Times New Roman"/>
    </w:rPr>
  </w:style>
  <w:style w:type="paragraph" w:customStyle="1" w:styleId="PI-1labEMEASMCA">
    <w:name w:val="PI-1_lab EMEA_SMCA"/>
    <w:basedOn w:val="prastasis"/>
    <w:link w:val="PI-1labEMEASMCAChar"/>
    <w:autoRedefine/>
    <w:uiPriority w:val="99"/>
    <w:rsid w:val="00D052A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b/>
      <w:noProof/>
    </w:rPr>
  </w:style>
  <w:style w:type="character" w:customStyle="1" w:styleId="PI-1labEMEASMCAChar">
    <w:name w:val="PI-1_lab EMEA_SMCA Char"/>
    <w:link w:val="PI-1labEMEASMCA"/>
    <w:uiPriority w:val="99"/>
    <w:locked/>
    <w:rsid w:val="00D052A5"/>
    <w:rPr>
      <w:rFonts w:ascii="Times New Roman" w:eastAsia="Calibri" w:hAnsi="Times New Roman" w:cs="Times New Roman"/>
      <w:b/>
      <w:noProof/>
    </w:rPr>
  </w:style>
  <w:style w:type="paragraph" w:customStyle="1" w:styleId="BT-EMEASMCA">
    <w:name w:val="BT- EMEA_SMCA"/>
    <w:basedOn w:val="BTEMEASMCA"/>
    <w:autoRedefine/>
    <w:uiPriority w:val="99"/>
    <w:rsid w:val="00D052A5"/>
    <w:pPr>
      <w:numPr>
        <w:numId w:val="4"/>
      </w:numPr>
    </w:pPr>
  </w:style>
  <w:style w:type="paragraph" w:customStyle="1" w:styleId="PI-3EMEASMCA">
    <w:name w:val="PI-3 EMEA_SMCA"/>
    <w:basedOn w:val="prastasis"/>
    <w:autoRedefine/>
    <w:uiPriority w:val="99"/>
    <w:rsid w:val="00D052A5"/>
    <w:pPr>
      <w:spacing w:after="0" w:line="220" w:lineRule="exact"/>
    </w:pPr>
    <w:rPr>
      <w:rFonts w:ascii="Times New Roman" w:eastAsia="Calibri" w:hAnsi="Times New Roman"/>
      <w:b/>
      <w:bCs/>
    </w:rPr>
  </w:style>
  <w:style w:type="paragraph" w:customStyle="1" w:styleId="BTbEMEASMCA">
    <w:name w:val="BT(b) EMEA_SMCA"/>
    <w:basedOn w:val="BTEMEASMCA"/>
    <w:autoRedefine/>
    <w:uiPriority w:val="99"/>
    <w:rsid w:val="00D052A5"/>
    <w:rPr>
      <w:b/>
    </w:rPr>
  </w:style>
  <w:style w:type="paragraph" w:customStyle="1" w:styleId="BTbeEMEASMCA">
    <w:name w:val="BT(be) EMEA_SMCA"/>
    <w:basedOn w:val="BTEMEASMCA"/>
    <w:autoRedefine/>
    <w:uiPriority w:val="99"/>
    <w:rsid w:val="00D052A5"/>
    <w:pPr>
      <w:jc w:val="center"/>
    </w:pPr>
    <w:rPr>
      <w:b/>
    </w:rPr>
  </w:style>
  <w:style w:type="paragraph" w:customStyle="1" w:styleId="BTeEMEASMCA">
    <w:name w:val="BT(e) EMEA_SMCA"/>
    <w:basedOn w:val="BTEMEASMCA"/>
    <w:autoRedefine/>
    <w:uiPriority w:val="99"/>
    <w:rsid w:val="00D052A5"/>
    <w:pPr>
      <w:jc w:val="center"/>
    </w:pPr>
  </w:style>
  <w:style w:type="paragraph" w:styleId="prastasiniatinklio">
    <w:name w:val="Normal (Web)"/>
    <w:basedOn w:val="prastasis"/>
    <w:uiPriority w:val="99"/>
    <w:rsid w:val="00D052A5"/>
    <w:pPr>
      <w:spacing w:before="100" w:beforeAutospacing="1" w:after="100" w:afterAutospacing="1" w:line="240" w:lineRule="auto"/>
    </w:pPr>
    <w:rPr>
      <w:rFonts w:ascii="Times New Roman" w:eastAsia="Calibri" w:hAnsi="Times New Roman"/>
      <w:sz w:val="24"/>
      <w:szCs w:val="24"/>
      <w:lang w:eastAsia="lt-LT"/>
    </w:rPr>
  </w:style>
  <w:style w:type="character" w:customStyle="1" w:styleId="hps">
    <w:name w:val="hps"/>
    <w:rsid w:val="00D052A5"/>
    <w:rPr>
      <w:rFonts w:cs="Times New Roman"/>
    </w:rPr>
  </w:style>
  <w:style w:type="paragraph" w:styleId="Sraopastraipa">
    <w:name w:val="List Paragraph"/>
    <w:basedOn w:val="prastasis"/>
    <w:uiPriority w:val="99"/>
    <w:qFormat/>
    <w:rsid w:val="00D052A5"/>
    <w:pPr>
      <w:ind w:left="720"/>
      <w:contextualSpacing/>
    </w:pPr>
    <w:rPr>
      <w:rFonts w:eastAsia="Calibri"/>
    </w:rPr>
  </w:style>
  <w:style w:type="paragraph" w:styleId="prastojitrauka">
    <w:name w:val="Normal Indent"/>
    <w:basedOn w:val="prastasis"/>
    <w:rsid w:val="00D052A5"/>
    <w:pPr>
      <w:spacing w:after="120" w:line="240" w:lineRule="auto"/>
      <w:ind w:left="720"/>
    </w:pPr>
    <w:rPr>
      <w:rFonts w:ascii="Times New Roman" w:hAnsi="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54320</Words>
  <Characters>30963</Characters>
  <Application>Microsoft Office Word</Application>
  <DocSecurity>8</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2018-01-05T11:58:00Z</dcterms:created>
  <dcterms:modified xsi:type="dcterms:W3CDTF">2018-01-05T11:58:00Z</dcterms:modified>
</cp:coreProperties>
</file>