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290" w:rsidRPr="0003312B" w:rsidRDefault="009E3290" w:rsidP="009E3290">
      <w:pPr>
        <w:tabs>
          <w:tab w:val="left" w:pos="567"/>
        </w:tabs>
        <w:jc w:val="center"/>
        <w:rPr>
          <w:rFonts w:ascii="Times New Roman" w:hAnsi="Times New Roman" w:cs="Times New Roman"/>
          <w:b/>
          <w:sz w:val="22"/>
          <w:szCs w:val="22"/>
          <w:lang w:val="lt-LT"/>
        </w:rPr>
      </w:pPr>
      <w:bookmarkStart w:id="0" w:name="_Toc129243221"/>
      <w:bookmarkStart w:id="1" w:name="_Toc129243096"/>
    </w:p>
    <w:p w:rsidR="009E3290" w:rsidRPr="00042943" w:rsidRDefault="009E3290" w:rsidP="009E3290">
      <w:pPr>
        <w:tabs>
          <w:tab w:val="left" w:pos="567"/>
        </w:tabs>
        <w:jc w:val="center"/>
        <w:rPr>
          <w:rFonts w:ascii="Times New Roman" w:hAnsi="Times New Roman"/>
          <w:b/>
          <w:sz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outlineLvl w:val="0"/>
        <w:rPr>
          <w:rFonts w:ascii="Times New Roman" w:hAnsi="Times New Roman"/>
          <w:b/>
          <w:sz w:val="22"/>
          <w:szCs w:val="22"/>
          <w:lang w:val="lt-LT"/>
        </w:rPr>
      </w:pPr>
      <w:r w:rsidRPr="00042943">
        <w:rPr>
          <w:rFonts w:ascii="Times New Roman" w:hAnsi="Times New Roman"/>
          <w:b/>
          <w:sz w:val="22"/>
          <w:szCs w:val="22"/>
          <w:lang w:val="lt-LT"/>
        </w:rPr>
        <w:t>I PRIEDAS</w:t>
      </w:r>
      <w:bookmarkEnd w:id="0"/>
      <w:bookmarkEnd w:id="1"/>
    </w:p>
    <w:p w:rsidR="009E3290" w:rsidRPr="00042943" w:rsidRDefault="009E3290" w:rsidP="009E3290">
      <w:pPr>
        <w:tabs>
          <w:tab w:val="left" w:pos="567"/>
        </w:tabs>
        <w:jc w:val="center"/>
        <w:rPr>
          <w:rFonts w:ascii="Times New Roman" w:hAnsi="Times New Roman"/>
          <w:b/>
          <w:sz w:val="22"/>
          <w:szCs w:val="22"/>
          <w:lang w:val="lt-LT"/>
        </w:rPr>
      </w:pPr>
    </w:p>
    <w:p w:rsidR="009E3290" w:rsidRPr="00042943" w:rsidRDefault="009E3290" w:rsidP="009E3290">
      <w:pPr>
        <w:tabs>
          <w:tab w:val="left" w:pos="567"/>
        </w:tabs>
        <w:jc w:val="center"/>
        <w:outlineLvl w:val="0"/>
        <w:rPr>
          <w:rFonts w:ascii="Times New Roman" w:hAnsi="Times New Roman"/>
          <w:b/>
          <w:sz w:val="22"/>
          <w:szCs w:val="22"/>
          <w:lang w:val="lt-LT"/>
        </w:rPr>
      </w:pPr>
      <w:bookmarkStart w:id="2" w:name="_Toc129243097"/>
      <w:bookmarkStart w:id="3" w:name="_Toc129243222"/>
      <w:r w:rsidRPr="00042943">
        <w:rPr>
          <w:rFonts w:ascii="Times New Roman" w:hAnsi="Times New Roman"/>
          <w:b/>
          <w:sz w:val="22"/>
          <w:szCs w:val="22"/>
          <w:lang w:val="lt-LT"/>
        </w:rPr>
        <w:t xml:space="preserve">PREPARATO </w:t>
      </w:r>
      <w:smartTag w:uri="schemas-tilde-lt/tildestengine" w:element="templates">
        <w:smartTagPr>
          <w:attr w:name="baseform" w:val="charakteristik|a"/>
          <w:attr w:name="id" w:val="-1"/>
          <w:attr w:name="text" w:val="CHARAKTERISTIKŲ"/>
        </w:smartTagPr>
        <w:r w:rsidRPr="00042943">
          <w:rPr>
            <w:rFonts w:ascii="Times New Roman" w:hAnsi="Times New Roman"/>
            <w:b/>
            <w:sz w:val="22"/>
            <w:szCs w:val="22"/>
            <w:lang w:val="lt-LT"/>
          </w:rPr>
          <w:t>CHARAKTERISTIKŲ</w:t>
        </w:r>
      </w:smartTag>
      <w:r w:rsidRPr="00042943">
        <w:rPr>
          <w:rFonts w:ascii="Times New Roman" w:hAnsi="Times New Roman"/>
          <w:b/>
          <w:sz w:val="22"/>
          <w:szCs w:val="22"/>
          <w:lang w:val="lt-LT"/>
        </w:rPr>
        <w:t xml:space="preserve"> SANTRAUKA</w:t>
      </w:r>
      <w:bookmarkEnd w:id="2"/>
      <w:bookmarkEnd w:id="3"/>
    </w:p>
    <w:p w:rsidR="009E3290" w:rsidRPr="00042943" w:rsidRDefault="009E3290" w:rsidP="009E3290">
      <w:pPr>
        <w:rPr>
          <w:rFonts w:ascii="Times New Roman" w:hAnsi="Times New Roman"/>
          <w:sz w:val="22"/>
          <w:szCs w:val="22"/>
          <w:lang w:val="lt-LT"/>
        </w:rPr>
      </w:pPr>
    </w:p>
    <w:p w:rsidR="009E3290" w:rsidRPr="00042943" w:rsidRDefault="009E3290" w:rsidP="009E3290">
      <w:pPr>
        <w:ind w:left="567" w:hanging="567"/>
        <w:rPr>
          <w:rFonts w:ascii="Times New Roman" w:hAnsi="Times New Roman"/>
          <w:b/>
          <w:bCs/>
          <w:sz w:val="22"/>
          <w:szCs w:val="22"/>
          <w:lang w:val="lt-LT" w:eastAsia="lt-LT"/>
        </w:rPr>
      </w:pPr>
      <w:r w:rsidRPr="00042943">
        <w:rPr>
          <w:rFonts w:ascii="Times New Roman" w:hAnsi="Times New Roman"/>
          <w:sz w:val="22"/>
          <w:szCs w:val="22"/>
          <w:lang w:val="lt-LT"/>
        </w:rPr>
        <w:br w:type="page"/>
      </w:r>
      <w:r w:rsidRPr="00042943">
        <w:rPr>
          <w:rFonts w:ascii="Times New Roman" w:hAnsi="Times New Roman"/>
          <w:b/>
          <w:bCs/>
          <w:sz w:val="22"/>
          <w:szCs w:val="22"/>
          <w:lang w:val="lt-LT" w:eastAsia="lt-LT"/>
        </w:rPr>
        <w:lastRenderedPageBreak/>
        <w:t>1.</w:t>
      </w:r>
      <w:r w:rsidRPr="00042943">
        <w:rPr>
          <w:rFonts w:ascii="Times New Roman" w:hAnsi="Times New Roman"/>
          <w:b/>
          <w:bCs/>
          <w:sz w:val="22"/>
          <w:szCs w:val="22"/>
          <w:lang w:val="lt-LT" w:eastAsia="lt-LT"/>
        </w:rPr>
        <w:tab/>
        <w:t>VAISTINIO PREPARATO PAVADINIMAS</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lang w:val="lt-LT"/>
        </w:rPr>
        <w:t>OSSICA 3</w:t>
      </w:r>
      <w:r w:rsidR="008F5879">
        <w:rPr>
          <w:color w:val="auto"/>
          <w:sz w:val="22"/>
          <w:szCs w:val="22"/>
          <w:lang w:val="lt-LT"/>
        </w:rPr>
        <w:t> </w:t>
      </w:r>
      <w:r w:rsidRPr="0003312B">
        <w:rPr>
          <w:color w:val="auto"/>
          <w:sz w:val="22"/>
          <w:szCs w:val="22"/>
          <w:lang w:val="lt-LT"/>
        </w:rPr>
        <w:t>mg injekcinis tirpalas užpildytame švirkšte</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rPr>
          <w:color w:val="auto"/>
          <w:sz w:val="22"/>
          <w:szCs w:val="22"/>
          <w:lang w:val="lt-LT"/>
        </w:rPr>
      </w:pPr>
      <w:r w:rsidRPr="0003312B">
        <w:rPr>
          <w:b/>
          <w:bCs/>
          <w:color w:val="auto"/>
          <w:sz w:val="22"/>
          <w:szCs w:val="22"/>
          <w:lang w:val="lt-LT" w:eastAsia="lt-LT"/>
        </w:rPr>
        <w:t>2.</w:t>
      </w:r>
      <w:r w:rsidRPr="0003312B">
        <w:rPr>
          <w:b/>
          <w:bCs/>
          <w:color w:val="auto"/>
          <w:sz w:val="22"/>
          <w:szCs w:val="22"/>
          <w:lang w:val="lt-LT" w:eastAsia="lt-LT"/>
        </w:rPr>
        <w:tab/>
        <w:t>KOKYBINĖ IR KIEKYBINĖ SUDĖTIS</w:t>
      </w:r>
      <w:r w:rsidRPr="0003312B">
        <w:rPr>
          <w:b/>
          <w:bCs/>
          <w:color w:val="auto"/>
          <w:sz w:val="22"/>
          <w:szCs w:val="22"/>
          <w:lang w:val="lt-LT"/>
        </w:rPr>
        <w:t xml:space="preserve"> </w:t>
      </w:r>
    </w:p>
    <w:p w:rsidR="009E3290" w:rsidRPr="0003312B" w:rsidRDefault="009E3290" w:rsidP="009E3290">
      <w:pPr>
        <w:pStyle w:val="Default"/>
        <w:ind w:left="560" w:hanging="560"/>
        <w:rPr>
          <w:bCs/>
          <w:color w:val="auto"/>
          <w:sz w:val="22"/>
          <w:szCs w:val="22"/>
          <w:lang w:val="lt-LT"/>
        </w:rPr>
      </w:pPr>
    </w:p>
    <w:p w:rsidR="009E3290" w:rsidRPr="0003312B" w:rsidRDefault="009E3290" w:rsidP="009E3290">
      <w:pPr>
        <w:pStyle w:val="Default"/>
        <w:ind w:hanging="20"/>
        <w:rPr>
          <w:bCs/>
          <w:color w:val="auto"/>
          <w:sz w:val="22"/>
          <w:szCs w:val="22"/>
          <w:lang w:val="lt-LT"/>
        </w:rPr>
      </w:pPr>
      <w:r w:rsidRPr="0003312B">
        <w:rPr>
          <w:bCs/>
          <w:color w:val="auto"/>
          <w:sz w:val="22"/>
          <w:szCs w:val="22"/>
          <w:lang w:val="lt-LT"/>
        </w:rPr>
        <w:t>Viename užpildytame švirkšte (3</w:t>
      </w:r>
      <w:r w:rsidR="008F5879">
        <w:rPr>
          <w:bCs/>
          <w:color w:val="auto"/>
          <w:sz w:val="22"/>
          <w:szCs w:val="22"/>
          <w:lang w:val="lt-LT"/>
        </w:rPr>
        <w:t> </w:t>
      </w:r>
      <w:r w:rsidRPr="0003312B">
        <w:rPr>
          <w:bCs/>
          <w:color w:val="auto"/>
          <w:sz w:val="22"/>
          <w:szCs w:val="22"/>
          <w:lang w:val="lt-LT"/>
        </w:rPr>
        <w:t>ml tirpalo) yra 3</w:t>
      </w:r>
      <w:r w:rsidR="008F5879">
        <w:rPr>
          <w:bCs/>
          <w:color w:val="auto"/>
          <w:sz w:val="22"/>
          <w:szCs w:val="22"/>
          <w:lang w:val="lt-LT"/>
        </w:rPr>
        <w:t> </w:t>
      </w:r>
      <w:r w:rsidRPr="0003312B">
        <w:rPr>
          <w:bCs/>
          <w:color w:val="auto"/>
          <w:sz w:val="22"/>
          <w:szCs w:val="22"/>
          <w:lang w:val="lt-LT"/>
        </w:rPr>
        <w:t xml:space="preserve">mg </w:t>
      </w:r>
      <w:proofErr w:type="spellStart"/>
      <w:r w:rsidRPr="0003312B">
        <w:rPr>
          <w:bCs/>
          <w:color w:val="auto"/>
          <w:sz w:val="22"/>
          <w:szCs w:val="22"/>
          <w:lang w:val="lt-LT"/>
        </w:rPr>
        <w:t>ibandrono</w:t>
      </w:r>
      <w:proofErr w:type="spellEnd"/>
      <w:r w:rsidRPr="0003312B">
        <w:rPr>
          <w:bCs/>
          <w:color w:val="auto"/>
          <w:sz w:val="22"/>
          <w:szCs w:val="22"/>
          <w:lang w:val="lt-LT"/>
        </w:rPr>
        <w:t xml:space="preserve"> rūgšties (3,375</w:t>
      </w:r>
      <w:r w:rsidR="008F5879">
        <w:rPr>
          <w:bCs/>
          <w:color w:val="auto"/>
          <w:sz w:val="22"/>
          <w:szCs w:val="22"/>
          <w:lang w:val="lt-LT"/>
        </w:rPr>
        <w:t> </w:t>
      </w:r>
      <w:r w:rsidRPr="0003312B">
        <w:rPr>
          <w:bCs/>
          <w:color w:val="auto"/>
          <w:sz w:val="22"/>
          <w:szCs w:val="22"/>
          <w:lang w:val="lt-LT"/>
        </w:rPr>
        <w:t xml:space="preserve">mg natrio </w:t>
      </w:r>
      <w:proofErr w:type="spellStart"/>
      <w:r w:rsidRPr="0003312B">
        <w:rPr>
          <w:bCs/>
          <w:color w:val="auto"/>
          <w:sz w:val="22"/>
          <w:szCs w:val="22"/>
          <w:lang w:val="lt-LT"/>
        </w:rPr>
        <w:t>ibandronato</w:t>
      </w:r>
      <w:proofErr w:type="spellEnd"/>
      <w:r w:rsidRPr="0003312B">
        <w:rPr>
          <w:bCs/>
          <w:color w:val="auto"/>
          <w:sz w:val="22"/>
          <w:szCs w:val="22"/>
          <w:lang w:val="lt-LT"/>
        </w:rPr>
        <w:t xml:space="preserve"> </w:t>
      </w:r>
      <w:proofErr w:type="spellStart"/>
      <w:r w:rsidRPr="0003312B">
        <w:rPr>
          <w:bCs/>
          <w:color w:val="auto"/>
          <w:sz w:val="22"/>
          <w:szCs w:val="22"/>
          <w:lang w:val="lt-LT"/>
        </w:rPr>
        <w:t>monohidrato</w:t>
      </w:r>
      <w:proofErr w:type="spellEnd"/>
      <w:r w:rsidRPr="0003312B">
        <w:rPr>
          <w:bCs/>
          <w:color w:val="auto"/>
          <w:sz w:val="22"/>
          <w:szCs w:val="22"/>
          <w:lang w:val="lt-LT"/>
        </w:rPr>
        <w:t xml:space="preserve"> pavidalu).  </w:t>
      </w:r>
    </w:p>
    <w:p w:rsidR="009E3290" w:rsidRPr="0003312B" w:rsidRDefault="009E3290" w:rsidP="009E3290">
      <w:pPr>
        <w:pStyle w:val="Default"/>
        <w:ind w:left="560" w:hanging="560"/>
        <w:rPr>
          <w:bCs/>
          <w:color w:val="auto"/>
          <w:sz w:val="22"/>
          <w:szCs w:val="22"/>
          <w:lang w:val="lt-LT"/>
        </w:rPr>
      </w:pPr>
      <w:r w:rsidRPr="0003312B">
        <w:rPr>
          <w:bCs/>
          <w:color w:val="auto"/>
          <w:sz w:val="22"/>
          <w:szCs w:val="22"/>
          <w:lang w:val="lt-LT"/>
        </w:rPr>
        <w:t>1</w:t>
      </w:r>
      <w:r w:rsidR="008F5879">
        <w:rPr>
          <w:bCs/>
          <w:color w:val="auto"/>
          <w:sz w:val="22"/>
          <w:szCs w:val="22"/>
          <w:lang w:val="lt-LT"/>
        </w:rPr>
        <w:t> </w:t>
      </w:r>
      <w:r w:rsidRPr="0003312B">
        <w:rPr>
          <w:bCs/>
          <w:color w:val="auto"/>
          <w:sz w:val="22"/>
          <w:szCs w:val="22"/>
          <w:lang w:val="lt-LT"/>
        </w:rPr>
        <w:t>ml injekcinio tirpalo yra 1</w:t>
      </w:r>
      <w:r w:rsidR="008F5879">
        <w:rPr>
          <w:bCs/>
          <w:color w:val="auto"/>
          <w:sz w:val="22"/>
          <w:szCs w:val="22"/>
          <w:lang w:val="lt-LT"/>
        </w:rPr>
        <w:t> </w:t>
      </w:r>
      <w:r w:rsidRPr="0003312B">
        <w:rPr>
          <w:bCs/>
          <w:color w:val="auto"/>
          <w:sz w:val="22"/>
          <w:szCs w:val="22"/>
          <w:lang w:val="lt-LT"/>
        </w:rPr>
        <w:t xml:space="preserve">mg </w:t>
      </w:r>
      <w:proofErr w:type="spellStart"/>
      <w:r w:rsidRPr="0003312B">
        <w:rPr>
          <w:bCs/>
          <w:color w:val="auto"/>
          <w:sz w:val="22"/>
          <w:szCs w:val="22"/>
          <w:lang w:val="lt-LT"/>
        </w:rPr>
        <w:t>ibandrono</w:t>
      </w:r>
      <w:proofErr w:type="spellEnd"/>
      <w:r w:rsidRPr="0003312B">
        <w:rPr>
          <w:bCs/>
          <w:color w:val="auto"/>
          <w:sz w:val="22"/>
          <w:szCs w:val="22"/>
          <w:lang w:val="lt-LT"/>
        </w:rPr>
        <w:t xml:space="preserve"> rūgšties.</w:t>
      </w:r>
    </w:p>
    <w:p w:rsidR="009E3290" w:rsidRPr="0003312B" w:rsidRDefault="009E3290" w:rsidP="009E3290">
      <w:pPr>
        <w:pStyle w:val="Default"/>
        <w:ind w:left="560" w:hanging="560"/>
        <w:rPr>
          <w:bCs/>
          <w:color w:val="auto"/>
          <w:sz w:val="22"/>
          <w:szCs w:val="22"/>
          <w:lang w:val="lt-LT"/>
        </w:rPr>
      </w:pPr>
    </w:p>
    <w:p w:rsidR="009E3290" w:rsidRPr="0003312B" w:rsidRDefault="009E3290" w:rsidP="009E3290">
      <w:pPr>
        <w:pStyle w:val="Default"/>
        <w:ind w:left="560" w:hanging="560"/>
        <w:rPr>
          <w:bCs/>
          <w:color w:val="auto"/>
          <w:sz w:val="22"/>
          <w:szCs w:val="22"/>
          <w:lang w:val="lt-LT"/>
        </w:rPr>
      </w:pPr>
      <w:r w:rsidRPr="009B4D79">
        <w:rPr>
          <w:bCs/>
          <w:color w:val="auto"/>
          <w:sz w:val="22"/>
          <w:szCs w:val="22"/>
          <w:u w:val="single"/>
          <w:lang w:val="lt-LT"/>
        </w:rPr>
        <w:t>Pagalbinė medžiaga, kurios poveikis žinomas</w:t>
      </w:r>
      <w:r w:rsidRPr="0003312B">
        <w:rPr>
          <w:bCs/>
          <w:color w:val="auto"/>
          <w:sz w:val="22"/>
          <w:szCs w:val="22"/>
          <w:lang w:val="lt-LT"/>
        </w:rPr>
        <w:t xml:space="preserve">: </w:t>
      </w:r>
    </w:p>
    <w:p w:rsidR="009E3290" w:rsidRPr="0003312B" w:rsidRDefault="008F5879" w:rsidP="009E3290">
      <w:pPr>
        <w:pStyle w:val="Default"/>
        <w:rPr>
          <w:bCs/>
          <w:color w:val="auto"/>
          <w:sz w:val="22"/>
          <w:szCs w:val="22"/>
          <w:lang w:val="lt-LT"/>
        </w:rPr>
      </w:pPr>
      <w:r w:rsidRPr="0003312B">
        <w:rPr>
          <w:bCs/>
          <w:color w:val="auto"/>
          <w:sz w:val="22"/>
          <w:szCs w:val="22"/>
          <w:lang w:val="lt-LT"/>
        </w:rPr>
        <w:t xml:space="preserve">kiekviename </w:t>
      </w:r>
      <w:r w:rsidR="009E3290" w:rsidRPr="0003312B">
        <w:rPr>
          <w:bCs/>
          <w:color w:val="auto"/>
          <w:sz w:val="22"/>
          <w:szCs w:val="22"/>
          <w:lang w:val="lt-LT"/>
        </w:rPr>
        <w:t>užpildytame švirkšte, kuriame yra 3</w:t>
      </w:r>
      <w:r>
        <w:rPr>
          <w:bCs/>
          <w:color w:val="auto"/>
          <w:sz w:val="22"/>
          <w:szCs w:val="22"/>
          <w:lang w:val="lt-LT"/>
        </w:rPr>
        <w:t> </w:t>
      </w:r>
      <w:r w:rsidR="009E3290" w:rsidRPr="0003312B">
        <w:rPr>
          <w:bCs/>
          <w:color w:val="auto"/>
          <w:sz w:val="22"/>
          <w:szCs w:val="22"/>
          <w:lang w:val="lt-LT"/>
        </w:rPr>
        <w:t>ml tirpalo, yra 10,54</w:t>
      </w:r>
      <w:r>
        <w:rPr>
          <w:bCs/>
          <w:color w:val="auto"/>
          <w:sz w:val="22"/>
          <w:szCs w:val="22"/>
          <w:lang w:val="lt-LT"/>
        </w:rPr>
        <w:t> </w:t>
      </w:r>
      <w:r w:rsidR="009E3290" w:rsidRPr="0003312B">
        <w:rPr>
          <w:bCs/>
          <w:color w:val="auto"/>
          <w:sz w:val="22"/>
          <w:szCs w:val="22"/>
          <w:lang w:val="lt-LT"/>
        </w:rPr>
        <w:t>mg natrio.</w:t>
      </w:r>
    </w:p>
    <w:p w:rsidR="009E3290" w:rsidRPr="0003312B" w:rsidRDefault="009E3290" w:rsidP="009E3290">
      <w:pPr>
        <w:pStyle w:val="Default"/>
        <w:ind w:left="560" w:hanging="560"/>
        <w:rPr>
          <w:bCs/>
          <w:color w:val="auto"/>
          <w:sz w:val="22"/>
          <w:szCs w:val="22"/>
          <w:lang w:val="lt-LT"/>
        </w:rPr>
      </w:pPr>
    </w:p>
    <w:p w:rsidR="009E3290" w:rsidRPr="0003312B" w:rsidRDefault="009E3290" w:rsidP="009E3290">
      <w:pPr>
        <w:pStyle w:val="Default"/>
        <w:ind w:left="560" w:hanging="560"/>
        <w:outlineLvl w:val="0"/>
        <w:rPr>
          <w:bCs/>
          <w:color w:val="auto"/>
          <w:sz w:val="22"/>
          <w:szCs w:val="22"/>
          <w:lang w:val="lt-LT"/>
        </w:rPr>
      </w:pPr>
      <w:r w:rsidRPr="0003312B">
        <w:rPr>
          <w:bCs/>
          <w:color w:val="auto"/>
          <w:sz w:val="22"/>
          <w:szCs w:val="22"/>
          <w:lang w:val="lt-LT"/>
        </w:rPr>
        <w:t>Visos pagalbinės medžiagos išvardytos 6.1 skyriuje.</w:t>
      </w:r>
    </w:p>
    <w:p w:rsidR="009E3290" w:rsidRPr="00042943" w:rsidRDefault="009E3290" w:rsidP="009E3290">
      <w:pPr>
        <w:rPr>
          <w:rFonts w:ascii="Times New Roman" w:hAnsi="Times New Roman"/>
          <w:sz w:val="22"/>
          <w:lang w:val="lt-LT"/>
        </w:rPr>
      </w:pPr>
    </w:p>
    <w:p w:rsidR="009E3290" w:rsidRPr="0003312B" w:rsidRDefault="009E3290" w:rsidP="009E3290">
      <w:pPr>
        <w:pStyle w:val="Default"/>
        <w:ind w:left="560" w:hanging="560"/>
        <w:rPr>
          <w:bCs/>
          <w:color w:val="auto"/>
          <w:sz w:val="22"/>
          <w:szCs w:val="22"/>
          <w:lang w:val="lt-LT"/>
        </w:rPr>
      </w:pPr>
    </w:p>
    <w:p w:rsidR="009E3290" w:rsidRPr="0003312B" w:rsidRDefault="009E3290" w:rsidP="009E3290">
      <w:pPr>
        <w:pStyle w:val="Default"/>
        <w:ind w:left="560" w:hanging="560"/>
        <w:rPr>
          <w:color w:val="auto"/>
          <w:sz w:val="22"/>
          <w:szCs w:val="22"/>
          <w:lang w:val="lt-LT"/>
        </w:rPr>
      </w:pPr>
      <w:r w:rsidRPr="0003312B">
        <w:rPr>
          <w:b/>
          <w:bCs/>
          <w:color w:val="auto"/>
          <w:sz w:val="22"/>
          <w:szCs w:val="22"/>
          <w:lang w:val="lt-LT"/>
        </w:rPr>
        <w:t>3.</w:t>
      </w:r>
      <w:r w:rsidRPr="0003312B">
        <w:rPr>
          <w:b/>
          <w:bCs/>
          <w:color w:val="auto"/>
          <w:sz w:val="22"/>
          <w:szCs w:val="22"/>
          <w:lang w:val="lt-LT"/>
        </w:rPr>
        <w:tab/>
        <w:t xml:space="preserve">FARMACINĖ FORMA </w:t>
      </w:r>
    </w:p>
    <w:p w:rsidR="009E3290" w:rsidRPr="0003312B" w:rsidRDefault="009E3290" w:rsidP="009E3290">
      <w:pPr>
        <w:pStyle w:val="Default"/>
        <w:ind w:left="560" w:hanging="560"/>
        <w:rPr>
          <w:bCs/>
          <w:color w:val="auto"/>
          <w:sz w:val="22"/>
          <w:szCs w:val="22"/>
          <w:lang w:val="lt-LT"/>
        </w:rPr>
      </w:pPr>
    </w:p>
    <w:p w:rsidR="009E3290" w:rsidRPr="00042943" w:rsidRDefault="009E3290" w:rsidP="009E3290">
      <w:pPr>
        <w:autoSpaceDE w:val="0"/>
        <w:autoSpaceDN w:val="0"/>
        <w:adjustRightInd w:val="0"/>
        <w:rPr>
          <w:rFonts w:ascii="Times New Roman" w:hAnsi="Times New Roman"/>
          <w:sz w:val="22"/>
          <w:lang w:val="lt-LT"/>
        </w:rPr>
      </w:pPr>
      <w:r w:rsidRPr="00042943">
        <w:rPr>
          <w:rFonts w:ascii="Times New Roman" w:hAnsi="Times New Roman"/>
          <w:sz w:val="22"/>
          <w:szCs w:val="22"/>
          <w:lang w:val="lt-LT"/>
        </w:rPr>
        <w:t>Injekcinis tirpalas užpildytame švirkšte.</w:t>
      </w: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 xml:space="preserve">Skaidrus, bespalvis tirpalas, </w:t>
      </w:r>
      <w:r w:rsidRPr="00042943">
        <w:rPr>
          <w:rFonts w:ascii="Times New Roman" w:hAnsi="Times New Roman"/>
          <w:sz w:val="22"/>
          <w:szCs w:val="22"/>
          <w:lang w:val="lt-LT" w:eastAsia="lt-LT"/>
        </w:rPr>
        <w:t>praktiškai be jokių dalelių</w:t>
      </w:r>
      <w:r w:rsidRPr="00042943">
        <w:rPr>
          <w:rFonts w:ascii="Times New Roman" w:hAnsi="Times New Roman"/>
          <w:sz w:val="22"/>
          <w:szCs w:val="22"/>
          <w:lang w:val="lt-LT"/>
        </w:rPr>
        <w:t>, pH 3,5–4,5.</w:t>
      </w:r>
    </w:p>
    <w:p w:rsidR="009E3290" w:rsidRPr="00042943" w:rsidRDefault="009E3290" w:rsidP="009E3290">
      <w:pPr>
        <w:rPr>
          <w:rFonts w:ascii="Times New Roman" w:hAnsi="Times New Roman"/>
          <w:sz w:val="22"/>
          <w:szCs w:val="22"/>
          <w:lang w:val="lt-LT"/>
        </w:rPr>
      </w:pPr>
    </w:p>
    <w:p w:rsidR="009E3290" w:rsidRPr="0003312B" w:rsidRDefault="009E3290" w:rsidP="009E3290">
      <w:pPr>
        <w:pStyle w:val="Default"/>
        <w:ind w:left="560" w:hanging="560"/>
        <w:rPr>
          <w:bCs/>
          <w:color w:val="auto"/>
          <w:sz w:val="22"/>
          <w:szCs w:val="22"/>
          <w:lang w:val="lt-LT"/>
        </w:rPr>
      </w:pPr>
    </w:p>
    <w:p w:rsidR="009E3290" w:rsidRPr="0003312B" w:rsidRDefault="009E3290" w:rsidP="009E3290">
      <w:pPr>
        <w:pStyle w:val="Default"/>
        <w:ind w:left="560" w:hanging="560"/>
        <w:rPr>
          <w:color w:val="auto"/>
          <w:sz w:val="22"/>
          <w:szCs w:val="22"/>
          <w:lang w:val="lt-LT"/>
        </w:rPr>
      </w:pPr>
      <w:r w:rsidRPr="0003312B">
        <w:rPr>
          <w:b/>
          <w:bCs/>
          <w:color w:val="auto"/>
          <w:sz w:val="22"/>
          <w:szCs w:val="22"/>
          <w:lang w:val="lt-LT"/>
        </w:rPr>
        <w:t>4.</w:t>
      </w:r>
      <w:r w:rsidRPr="0003312B">
        <w:rPr>
          <w:b/>
          <w:bCs/>
          <w:color w:val="auto"/>
          <w:sz w:val="22"/>
          <w:szCs w:val="22"/>
          <w:lang w:val="lt-LT"/>
        </w:rPr>
        <w:tab/>
        <w:t>KLINIKINĖ INFORMACIJA</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4.1</w:t>
      </w:r>
      <w:r w:rsidRPr="0003312B">
        <w:rPr>
          <w:b/>
          <w:bCs/>
          <w:color w:val="auto"/>
          <w:sz w:val="22"/>
          <w:szCs w:val="22"/>
          <w:lang w:val="lt-LT"/>
        </w:rPr>
        <w:tab/>
        <w:t xml:space="preserve">Terapinės indikacijos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Moterų po menopauzės, kurioms padidėjusi kaulų lūžių rizika (žr. 5.1 skyrių), osteoporozės gydymas.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Įrodytas veiksmingumas mažinant stuburo slankstelių lūžių riziką. Veiksmingumas mažinant šlaunikaulio kaklelio lūžių riziką nenustatytas. </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rPr>
          <w:b/>
          <w:bCs/>
          <w:color w:val="auto"/>
          <w:sz w:val="22"/>
          <w:szCs w:val="22"/>
          <w:lang w:val="lt-LT"/>
        </w:rPr>
      </w:pPr>
      <w:r w:rsidRPr="0003312B">
        <w:rPr>
          <w:b/>
          <w:bCs/>
          <w:color w:val="auto"/>
          <w:sz w:val="22"/>
          <w:szCs w:val="22"/>
          <w:lang w:val="lt-LT"/>
        </w:rPr>
        <w:t>4.2</w:t>
      </w:r>
      <w:r w:rsidRPr="0003312B">
        <w:rPr>
          <w:b/>
          <w:bCs/>
          <w:color w:val="auto"/>
          <w:sz w:val="22"/>
          <w:szCs w:val="22"/>
          <w:lang w:val="lt-LT"/>
        </w:rPr>
        <w:tab/>
        <w:t xml:space="preserve">Dozavimas ir vartojimo metodas </w:t>
      </w:r>
    </w:p>
    <w:p w:rsidR="009E3290" w:rsidRPr="0003312B" w:rsidRDefault="009E3290" w:rsidP="009E3290">
      <w:pPr>
        <w:pStyle w:val="Default"/>
        <w:ind w:left="560" w:hanging="560"/>
        <w:rPr>
          <w:color w:val="auto"/>
          <w:sz w:val="22"/>
          <w:szCs w:val="22"/>
          <w:lang w:val="lt-LT"/>
        </w:rPr>
      </w:pPr>
    </w:p>
    <w:p w:rsidR="009E3290" w:rsidRPr="00042943" w:rsidRDefault="009E3290" w:rsidP="009E3290">
      <w:pPr>
        <w:pStyle w:val="Default"/>
        <w:ind w:left="560" w:hanging="560"/>
        <w:rPr>
          <w:sz w:val="22"/>
          <w:szCs w:val="22"/>
          <w:lang w:val="lt-LT"/>
        </w:rPr>
      </w:pPr>
      <w:r w:rsidRPr="00042943">
        <w:rPr>
          <w:sz w:val="22"/>
          <w:szCs w:val="22"/>
          <w:lang w:val="lt-LT"/>
        </w:rPr>
        <w:t>OSSICA gydomi pacientai turi turėti šio vaisto pakuotės lapelį bei paciento atmintinę.</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u w:val="single"/>
          <w:lang w:val="lt-LT"/>
        </w:rPr>
        <w:t>Dozavimas</w:t>
      </w: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Rekomenduojama 3 mg </w:t>
      </w:r>
      <w:proofErr w:type="spellStart"/>
      <w:r w:rsidRPr="0003312B">
        <w:rPr>
          <w:color w:val="auto"/>
          <w:sz w:val="22"/>
          <w:szCs w:val="22"/>
          <w:lang w:val="lt-LT"/>
        </w:rPr>
        <w:t>ibandrono</w:t>
      </w:r>
      <w:proofErr w:type="spellEnd"/>
      <w:r w:rsidRPr="0003312B">
        <w:rPr>
          <w:color w:val="auto"/>
          <w:sz w:val="22"/>
          <w:szCs w:val="22"/>
          <w:lang w:val="lt-LT"/>
        </w:rPr>
        <w:t xml:space="preserve"> rūgšties dozę per 15 </w:t>
      </w:r>
      <w:r w:rsidRPr="0003312B">
        <w:rPr>
          <w:color w:val="auto"/>
          <w:sz w:val="22"/>
          <w:szCs w:val="22"/>
          <w:lang w:val="lt-LT" w:eastAsia="lt-LT"/>
        </w:rPr>
        <w:t>–</w:t>
      </w:r>
      <w:r w:rsidRPr="0003312B">
        <w:rPr>
          <w:color w:val="auto"/>
          <w:sz w:val="22"/>
          <w:szCs w:val="22"/>
          <w:lang w:val="lt-LT"/>
        </w:rPr>
        <w:t xml:space="preserve"> 30 sekundžių įšvirkšti kas tris mėnesius. </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Pacientams būtina papildomai skirti kalcio ir vitamino D (žr. 4.4 ir 4.5 skyrius).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Praleidus dozę, injekciją reikia atlikti kiek įmanoma greičiau. Vėliau injekcijas kartoti kas 3 mėnesius, skaičiuojant nuo paskutinės injekcijos datos.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Optimali osteoporozės gydymo </w:t>
      </w:r>
      <w:proofErr w:type="spellStart"/>
      <w:r w:rsidRPr="0003312B">
        <w:rPr>
          <w:color w:val="auto"/>
          <w:sz w:val="22"/>
          <w:szCs w:val="22"/>
          <w:lang w:val="lt-LT"/>
        </w:rPr>
        <w:t>bisfosfonatais</w:t>
      </w:r>
      <w:proofErr w:type="spellEnd"/>
      <w:r w:rsidRPr="0003312B">
        <w:rPr>
          <w:color w:val="auto"/>
          <w:sz w:val="22"/>
          <w:szCs w:val="22"/>
          <w:lang w:val="lt-LT"/>
        </w:rPr>
        <w:t xml:space="preserve"> trukmė nėra nustatyta. Tolimesnio gydymo poreikį reikia įvertinti periodiškai, remiantis </w:t>
      </w:r>
      <w:proofErr w:type="spellStart"/>
      <w:r w:rsidRPr="0003312B">
        <w:rPr>
          <w:color w:val="auto"/>
          <w:sz w:val="22"/>
          <w:szCs w:val="22"/>
          <w:lang w:val="lt-LT"/>
        </w:rPr>
        <w:t>ibandrono</w:t>
      </w:r>
      <w:proofErr w:type="spellEnd"/>
      <w:r w:rsidRPr="0003312B">
        <w:rPr>
          <w:color w:val="auto"/>
          <w:sz w:val="22"/>
          <w:szCs w:val="22"/>
          <w:lang w:val="lt-LT"/>
        </w:rPr>
        <w:t xml:space="preserve"> rūgšties nauda ir galima rizika, kylančia kiekvienam pacientui, ypač po 5 ar daugiau vaisto vartojimo metų. </w:t>
      </w:r>
    </w:p>
    <w:p w:rsidR="009E3290" w:rsidRPr="0003312B" w:rsidRDefault="009E3290" w:rsidP="009E3290">
      <w:pPr>
        <w:pStyle w:val="Default"/>
        <w:rPr>
          <w:i/>
          <w:iCs/>
          <w:color w:val="auto"/>
          <w:sz w:val="22"/>
          <w:szCs w:val="22"/>
          <w:u w:val="single"/>
          <w:lang w:val="lt-LT"/>
        </w:rPr>
      </w:pPr>
    </w:p>
    <w:p w:rsidR="009E3290" w:rsidRPr="00042943" w:rsidRDefault="009E3290" w:rsidP="009E3290">
      <w:pPr>
        <w:autoSpaceDE w:val="0"/>
        <w:autoSpaceDN w:val="0"/>
        <w:adjustRightInd w:val="0"/>
        <w:snapToGrid w:val="0"/>
        <w:outlineLvl w:val="0"/>
        <w:rPr>
          <w:rFonts w:ascii="Times New Roman" w:hAnsi="Times New Roman"/>
          <w:i/>
          <w:sz w:val="22"/>
          <w:u w:val="single"/>
          <w:lang w:val="lt-LT"/>
        </w:rPr>
      </w:pPr>
      <w:r w:rsidRPr="00042943">
        <w:rPr>
          <w:rFonts w:ascii="Times New Roman" w:hAnsi="Times New Roman"/>
          <w:i/>
          <w:sz w:val="22"/>
          <w:szCs w:val="22"/>
          <w:u w:val="single"/>
          <w:lang w:val="lt-LT" w:eastAsia="lt-LT"/>
        </w:rPr>
        <w:t>Specialios pacientų grupės</w:t>
      </w:r>
    </w:p>
    <w:p w:rsidR="009E3290" w:rsidRPr="00042943" w:rsidRDefault="009E3290" w:rsidP="009E3290">
      <w:pPr>
        <w:autoSpaceDE w:val="0"/>
        <w:autoSpaceDN w:val="0"/>
        <w:adjustRightInd w:val="0"/>
        <w:snapToGrid w:val="0"/>
        <w:rPr>
          <w:rFonts w:ascii="Times New Roman" w:hAnsi="Times New Roman"/>
          <w:i/>
          <w:sz w:val="22"/>
          <w:szCs w:val="22"/>
          <w:lang w:val="lt-LT" w:eastAsia="lt-LT"/>
        </w:rPr>
      </w:pPr>
    </w:p>
    <w:p w:rsidR="009E3290" w:rsidRPr="00042943" w:rsidRDefault="009E3290" w:rsidP="009E3290">
      <w:pPr>
        <w:autoSpaceDE w:val="0"/>
        <w:autoSpaceDN w:val="0"/>
        <w:adjustRightInd w:val="0"/>
        <w:snapToGrid w:val="0"/>
        <w:outlineLvl w:val="0"/>
        <w:rPr>
          <w:rFonts w:ascii="Times New Roman" w:hAnsi="Times New Roman"/>
          <w:sz w:val="22"/>
          <w:szCs w:val="22"/>
          <w:lang w:val="lt-LT" w:eastAsia="lt-LT"/>
        </w:rPr>
      </w:pPr>
      <w:r w:rsidRPr="00042943">
        <w:rPr>
          <w:rFonts w:ascii="Times New Roman" w:hAnsi="Times New Roman"/>
          <w:i/>
          <w:sz w:val="22"/>
          <w:szCs w:val="22"/>
          <w:lang w:val="lt-LT" w:eastAsia="lt-LT"/>
        </w:rPr>
        <w:t>Pacientams, kurių inkstų funkcija sutrikusi</w:t>
      </w:r>
    </w:p>
    <w:p w:rsidR="009E3290" w:rsidRPr="00042943" w:rsidRDefault="009E3290" w:rsidP="009E3290">
      <w:pPr>
        <w:pStyle w:val="Default"/>
        <w:rPr>
          <w:sz w:val="22"/>
          <w:szCs w:val="22"/>
          <w:lang w:val="lt-LT"/>
        </w:rPr>
      </w:pPr>
      <w:r w:rsidRPr="00042943">
        <w:rPr>
          <w:sz w:val="22"/>
          <w:szCs w:val="22"/>
          <w:lang w:val="lt-LT"/>
        </w:rPr>
        <w:t xml:space="preserve">OSSICA injekcijos nerekomenduojama skirti pacientams, kurių serumo </w:t>
      </w:r>
      <w:proofErr w:type="spellStart"/>
      <w:r w:rsidRPr="00042943">
        <w:rPr>
          <w:sz w:val="22"/>
          <w:szCs w:val="22"/>
          <w:lang w:val="lt-LT"/>
        </w:rPr>
        <w:t>kreatinino</w:t>
      </w:r>
      <w:proofErr w:type="spellEnd"/>
      <w:r w:rsidRPr="00042943">
        <w:rPr>
          <w:sz w:val="22"/>
          <w:szCs w:val="22"/>
          <w:lang w:val="lt-LT"/>
        </w:rPr>
        <w:t xml:space="preserve"> koncentracija yra didesnė kaip 200 </w:t>
      </w:r>
      <w:proofErr w:type="spellStart"/>
      <w:r w:rsidRPr="00042943">
        <w:rPr>
          <w:sz w:val="22"/>
          <w:szCs w:val="22"/>
          <w:lang w:val="lt-LT"/>
        </w:rPr>
        <w:t>mkmol</w:t>
      </w:r>
      <w:proofErr w:type="spellEnd"/>
      <w:r w:rsidRPr="00042943">
        <w:rPr>
          <w:sz w:val="22"/>
          <w:szCs w:val="22"/>
          <w:lang w:val="lt-LT"/>
        </w:rPr>
        <w:t xml:space="preserve">/l (2,3 mg/dl), arba kurių </w:t>
      </w:r>
      <w:proofErr w:type="spellStart"/>
      <w:r w:rsidRPr="00042943">
        <w:rPr>
          <w:sz w:val="22"/>
          <w:szCs w:val="22"/>
          <w:lang w:val="lt-LT"/>
        </w:rPr>
        <w:t>kreatinino</w:t>
      </w:r>
      <w:proofErr w:type="spellEnd"/>
      <w:r w:rsidRPr="00042943">
        <w:rPr>
          <w:sz w:val="22"/>
          <w:szCs w:val="22"/>
          <w:lang w:val="lt-LT"/>
        </w:rPr>
        <w:t xml:space="preserve"> klirensas (išmatuotas ar apskaičiuotas) mažesnis kaip 30 ml/min, nes klinikinių tyrimų, kuriuose dalyvavo tokie pacientai, duomenų nepakanka (žr. 4.4 ir 5.2 skyrius). </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 xml:space="preserve">Dozės nereikia koreguoti pacientams, kuriems yra nedidelio ar vidutinio laipsnio inkstų pažeidimas, kai </w:t>
      </w:r>
      <w:proofErr w:type="spellStart"/>
      <w:r w:rsidRPr="00042943">
        <w:rPr>
          <w:rFonts w:ascii="Times New Roman" w:hAnsi="Times New Roman"/>
          <w:sz w:val="22"/>
          <w:szCs w:val="22"/>
          <w:lang w:val="lt-LT" w:eastAsia="lt-LT"/>
        </w:rPr>
        <w:t>kreatinino</w:t>
      </w:r>
      <w:proofErr w:type="spellEnd"/>
      <w:r w:rsidRPr="00042943">
        <w:rPr>
          <w:rFonts w:ascii="Times New Roman" w:hAnsi="Times New Roman"/>
          <w:sz w:val="22"/>
          <w:szCs w:val="22"/>
          <w:lang w:val="lt-LT" w:eastAsia="lt-LT"/>
        </w:rPr>
        <w:t xml:space="preserve"> koncentracija serume yra 200 µ</w:t>
      </w:r>
      <w:proofErr w:type="spellStart"/>
      <w:r w:rsidRPr="00042943">
        <w:rPr>
          <w:rFonts w:ascii="Times New Roman" w:hAnsi="Times New Roman"/>
          <w:sz w:val="22"/>
          <w:szCs w:val="22"/>
          <w:lang w:val="lt-LT" w:eastAsia="lt-LT"/>
        </w:rPr>
        <w:t>mol</w:t>
      </w:r>
      <w:proofErr w:type="spellEnd"/>
      <w:r w:rsidRPr="00042943">
        <w:rPr>
          <w:rFonts w:ascii="Times New Roman" w:hAnsi="Times New Roman"/>
          <w:sz w:val="22"/>
          <w:szCs w:val="22"/>
          <w:lang w:val="lt-LT" w:eastAsia="lt-LT"/>
        </w:rPr>
        <w:t xml:space="preserve">/l (2,3 mg/dl) ar mažesnė, arba kai </w:t>
      </w:r>
      <w:proofErr w:type="spellStart"/>
      <w:r w:rsidRPr="00042943">
        <w:rPr>
          <w:rFonts w:ascii="Times New Roman" w:hAnsi="Times New Roman"/>
          <w:sz w:val="22"/>
          <w:szCs w:val="22"/>
          <w:lang w:val="lt-LT" w:eastAsia="lt-LT"/>
        </w:rPr>
        <w:t>kreatinino</w:t>
      </w:r>
      <w:proofErr w:type="spellEnd"/>
      <w:r w:rsidRPr="00042943">
        <w:rPr>
          <w:rFonts w:ascii="Times New Roman" w:hAnsi="Times New Roman"/>
          <w:sz w:val="22"/>
          <w:szCs w:val="22"/>
          <w:lang w:val="lt-LT" w:eastAsia="lt-LT"/>
        </w:rPr>
        <w:t xml:space="preserve"> klirensas (išmatuotas ar apskaičiuotas) yra 30 ml/min. ar didesnis.</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i/>
          <w:sz w:val="22"/>
          <w:lang w:val="lt-LT"/>
        </w:rPr>
      </w:pPr>
    </w:p>
    <w:p w:rsidR="009E3290" w:rsidRPr="00042943" w:rsidRDefault="009E3290" w:rsidP="009E3290">
      <w:pPr>
        <w:autoSpaceDE w:val="0"/>
        <w:autoSpaceDN w:val="0"/>
        <w:adjustRightInd w:val="0"/>
        <w:snapToGrid w:val="0"/>
        <w:outlineLvl w:val="0"/>
        <w:rPr>
          <w:rFonts w:ascii="Times New Roman" w:hAnsi="Times New Roman"/>
          <w:i/>
          <w:sz w:val="22"/>
          <w:szCs w:val="22"/>
          <w:lang w:val="lt-LT" w:eastAsia="lt-LT"/>
        </w:rPr>
      </w:pPr>
      <w:r w:rsidRPr="00042943">
        <w:rPr>
          <w:rFonts w:ascii="Times New Roman" w:hAnsi="Times New Roman"/>
          <w:i/>
          <w:sz w:val="22"/>
          <w:szCs w:val="22"/>
          <w:lang w:val="lt-LT" w:eastAsia="lt-LT"/>
        </w:rPr>
        <w:t>Pacientams, kurių kepenų funkcija sutrikusi</w:t>
      </w:r>
    </w:p>
    <w:p w:rsidR="009E3290" w:rsidRPr="0003312B" w:rsidRDefault="009E3290" w:rsidP="009E3290">
      <w:pPr>
        <w:pStyle w:val="Default"/>
        <w:rPr>
          <w:color w:val="auto"/>
          <w:sz w:val="22"/>
          <w:szCs w:val="22"/>
          <w:lang w:val="lt-LT"/>
        </w:rPr>
      </w:pPr>
      <w:r w:rsidRPr="0003312B">
        <w:rPr>
          <w:i/>
          <w:iCs/>
          <w:color w:val="auto"/>
          <w:sz w:val="22"/>
          <w:szCs w:val="22"/>
          <w:lang w:val="lt-LT"/>
        </w:rPr>
        <w:t xml:space="preserve"> </w:t>
      </w:r>
      <w:r w:rsidRPr="0003312B">
        <w:rPr>
          <w:color w:val="auto"/>
          <w:sz w:val="22"/>
          <w:szCs w:val="22"/>
          <w:lang w:val="lt-LT"/>
        </w:rPr>
        <w:t xml:space="preserve">Dozės koreguoti nereikia (žr. 5.2 skyrių).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 xml:space="preserve">Senyviems (&gt;65 metų)  pacientams </w:t>
      </w:r>
    </w:p>
    <w:p w:rsidR="009E3290" w:rsidRPr="0003312B" w:rsidRDefault="009E3290" w:rsidP="009E3290">
      <w:pPr>
        <w:pStyle w:val="Default"/>
        <w:rPr>
          <w:color w:val="auto"/>
          <w:sz w:val="22"/>
          <w:szCs w:val="22"/>
          <w:lang w:val="lt-LT"/>
        </w:rPr>
      </w:pPr>
      <w:r w:rsidRPr="0003312B">
        <w:rPr>
          <w:color w:val="auto"/>
          <w:sz w:val="22"/>
          <w:szCs w:val="22"/>
          <w:lang w:val="lt-LT"/>
        </w:rPr>
        <w:t>Dozės koreguoti nereikia (žr. 5.2 skyrių).</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Vaikų populiacija</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Vaikams nėra aktualu vartoti OSSICA, </w:t>
      </w:r>
      <w:proofErr w:type="spellStart"/>
      <w:r w:rsidRPr="0003312B">
        <w:rPr>
          <w:color w:val="auto"/>
          <w:sz w:val="22"/>
          <w:szCs w:val="22"/>
          <w:lang w:val="lt-LT"/>
        </w:rPr>
        <w:t>ibandrono</w:t>
      </w:r>
      <w:proofErr w:type="spellEnd"/>
      <w:r w:rsidRPr="0003312B">
        <w:rPr>
          <w:color w:val="auto"/>
          <w:sz w:val="22"/>
          <w:szCs w:val="22"/>
          <w:lang w:val="lt-LT"/>
        </w:rPr>
        <w:t xml:space="preserve"> rūgšties tyrimai jaunesniems nei 18 metų vaikams neatlikti (žr. 5.1 ir 5.2 skyrius). </w:t>
      </w:r>
    </w:p>
    <w:p w:rsidR="009E3290" w:rsidRPr="0003312B" w:rsidRDefault="009E3290" w:rsidP="009E3290">
      <w:pPr>
        <w:pStyle w:val="Default"/>
        <w:rPr>
          <w:color w:val="auto"/>
          <w:sz w:val="22"/>
          <w:szCs w:val="22"/>
          <w:u w:val="single"/>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u w:val="single"/>
          <w:lang w:val="lt-LT"/>
        </w:rPr>
        <w:t xml:space="preserve">Vartojimo metodas </w:t>
      </w:r>
    </w:p>
    <w:p w:rsidR="009E3290" w:rsidRPr="00042943" w:rsidRDefault="009E3290" w:rsidP="009E3290">
      <w:pPr>
        <w:pStyle w:val="Default"/>
        <w:rPr>
          <w:sz w:val="22"/>
          <w:szCs w:val="22"/>
          <w:lang w:val="lt-LT"/>
        </w:rPr>
      </w:pPr>
      <w:r w:rsidRPr="0003312B">
        <w:rPr>
          <w:color w:val="auto"/>
          <w:sz w:val="22"/>
          <w:szCs w:val="22"/>
          <w:lang w:val="lt-LT"/>
        </w:rPr>
        <w:t xml:space="preserve">Vartoti į veną, </w:t>
      </w:r>
      <w:r w:rsidRPr="00042943">
        <w:rPr>
          <w:sz w:val="22"/>
          <w:szCs w:val="22"/>
          <w:lang w:val="lt-LT"/>
        </w:rPr>
        <w:t xml:space="preserve"> švirkšti per 15 - 30 sekundžių, kas tris mėnesius. </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Galima švirkšti tik į veną (žr. 4.4 skyrių). </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4.3</w:t>
      </w:r>
      <w:r w:rsidRPr="0003312B">
        <w:rPr>
          <w:b/>
          <w:bCs/>
          <w:color w:val="auto"/>
          <w:sz w:val="22"/>
          <w:szCs w:val="22"/>
          <w:lang w:val="lt-LT"/>
        </w:rPr>
        <w:tab/>
        <w:t>Kontraindikacijos</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rPr>
          <w:color w:val="auto"/>
          <w:sz w:val="22"/>
          <w:szCs w:val="22"/>
          <w:lang w:val="lt-LT"/>
        </w:rPr>
      </w:pPr>
      <w:r w:rsidRPr="0003312B">
        <w:rPr>
          <w:color w:val="auto"/>
          <w:sz w:val="22"/>
          <w:szCs w:val="22"/>
          <w:lang w:val="lt-LT"/>
        </w:rPr>
        <w:t>-</w:t>
      </w:r>
      <w:r w:rsidRPr="0003312B">
        <w:rPr>
          <w:color w:val="auto"/>
          <w:sz w:val="22"/>
          <w:szCs w:val="22"/>
          <w:lang w:val="lt-LT"/>
        </w:rPr>
        <w:tab/>
        <w:t xml:space="preserve">Padidėjęs jautrumas veikliajai arba bet kuriai 6.1 skyriuje nurodytai pagalbinei medžiagai. </w:t>
      </w:r>
    </w:p>
    <w:p w:rsidR="009E3290" w:rsidRPr="0003312B" w:rsidRDefault="009E3290" w:rsidP="009E3290">
      <w:pPr>
        <w:pStyle w:val="Default"/>
        <w:ind w:left="560" w:hanging="560"/>
        <w:rPr>
          <w:color w:val="auto"/>
          <w:sz w:val="22"/>
          <w:szCs w:val="22"/>
          <w:lang w:val="lt-LT"/>
        </w:rPr>
      </w:pPr>
      <w:r w:rsidRPr="0003312B">
        <w:rPr>
          <w:color w:val="auto"/>
          <w:sz w:val="22"/>
          <w:szCs w:val="22"/>
          <w:lang w:val="lt-LT"/>
        </w:rPr>
        <w:t>-</w:t>
      </w:r>
      <w:r w:rsidRPr="0003312B">
        <w:rPr>
          <w:color w:val="auto"/>
          <w:sz w:val="22"/>
          <w:szCs w:val="22"/>
          <w:lang w:val="lt-LT"/>
        </w:rPr>
        <w:tab/>
      </w:r>
      <w:proofErr w:type="spellStart"/>
      <w:r w:rsidRPr="0003312B">
        <w:rPr>
          <w:color w:val="auto"/>
          <w:sz w:val="22"/>
          <w:szCs w:val="22"/>
          <w:lang w:val="lt-LT"/>
        </w:rPr>
        <w:t>Hipokalcemija</w:t>
      </w:r>
      <w:proofErr w:type="spellEnd"/>
      <w:r w:rsidRPr="0003312B">
        <w:rPr>
          <w:color w:val="auto"/>
          <w:sz w:val="22"/>
          <w:szCs w:val="22"/>
          <w:lang w:val="lt-LT"/>
        </w:rPr>
        <w:t xml:space="preserve">.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4.4</w:t>
      </w:r>
      <w:r w:rsidRPr="0003312B">
        <w:rPr>
          <w:b/>
          <w:bCs/>
          <w:color w:val="auto"/>
          <w:sz w:val="22"/>
          <w:szCs w:val="22"/>
          <w:lang w:val="lt-LT"/>
        </w:rPr>
        <w:tab/>
        <w:t xml:space="preserve">Specialūs įspėjimai ir atsargumo priemonės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outlineLvl w:val="0"/>
        <w:rPr>
          <w:i/>
          <w:iCs/>
          <w:color w:val="auto"/>
          <w:sz w:val="22"/>
          <w:szCs w:val="22"/>
          <w:lang w:val="lt-LT"/>
        </w:rPr>
      </w:pPr>
      <w:r w:rsidRPr="0003312B">
        <w:rPr>
          <w:i/>
          <w:iCs/>
          <w:color w:val="auto"/>
          <w:sz w:val="22"/>
          <w:szCs w:val="22"/>
          <w:lang w:val="lt-LT"/>
        </w:rPr>
        <w:t xml:space="preserve">Vaisto švirkštimo klaidos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Atliekant OSSICA injekciją, svarbu nepataikyti į arteriją ar šalia venos, nes taip galima pažeisti audinius.</w:t>
      </w:r>
      <w:r w:rsidRPr="0003312B">
        <w:rPr>
          <w:rFonts w:ascii="Times New Roman" w:hAnsi="Times New Roman"/>
          <w:sz w:val="22"/>
          <w:szCs w:val="22"/>
          <w:lang w:val="lt-LT"/>
        </w:rPr>
        <w:t xml:space="preserve">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proofErr w:type="spellStart"/>
      <w:r w:rsidRPr="0003312B">
        <w:rPr>
          <w:i/>
          <w:iCs/>
          <w:color w:val="auto"/>
          <w:sz w:val="22"/>
          <w:szCs w:val="22"/>
          <w:lang w:val="lt-LT"/>
        </w:rPr>
        <w:t>Hipokalcemija</w:t>
      </w:r>
      <w:proofErr w:type="spellEnd"/>
      <w:r w:rsidRPr="0003312B">
        <w:rPr>
          <w:i/>
          <w:iCs/>
          <w:color w:val="auto"/>
          <w:sz w:val="22"/>
          <w:szCs w:val="22"/>
          <w:lang w:val="lt-LT"/>
        </w:rPr>
        <w:t xml:space="preserve">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OSSICA, kaip ir kitų </w:t>
      </w:r>
      <w:proofErr w:type="spellStart"/>
      <w:r w:rsidRPr="0003312B">
        <w:rPr>
          <w:color w:val="auto"/>
          <w:sz w:val="22"/>
          <w:szCs w:val="22"/>
          <w:lang w:val="lt-LT"/>
        </w:rPr>
        <w:t>bisfosfonatų</w:t>
      </w:r>
      <w:proofErr w:type="spellEnd"/>
      <w:r w:rsidRPr="0003312B">
        <w:rPr>
          <w:color w:val="auto"/>
          <w:sz w:val="22"/>
          <w:szCs w:val="22"/>
          <w:lang w:val="lt-LT"/>
        </w:rPr>
        <w:t>, sušvirkštus į veną, gali laikinai sumažėti kalcio koncentracija serume.</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 xml:space="preserve">Prieš pradedant gydyti OSSICA injekcijomis, reikia koreguoti esamą </w:t>
      </w:r>
      <w:proofErr w:type="spellStart"/>
      <w:r w:rsidRPr="00042943">
        <w:rPr>
          <w:rFonts w:ascii="Times New Roman" w:hAnsi="Times New Roman"/>
          <w:sz w:val="22"/>
          <w:szCs w:val="22"/>
          <w:lang w:val="lt-LT" w:eastAsia="lt-LT"/>
        </w:rPr>
        <w:t>hipokalcemiją</w:t>
      </w:r>
      <w:proofErr w:type="spellEnd"/>
      <w:r w:rsidRPr="00042943">
        <w:rPr>
          <w:rFonts w:ascii="Times New Roman" w:hAnsi="Times New Roman"/>
          <w:sz w:val="22"/>
          <w:szCs w:val="22"/>
          <w:lang w:val="lt-LT" w:eastAsia="lt-LT"/>
        </w:rPr>
        <w:t>. Taip pat, prieš pradedant gydyti OSSICA injekcijomis, reikia išgydyti kitus kaulų ir mineralinių medžiagų metabolizmo sutrikimus.</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Visi pacientai turi gauti pakankamą kalcio ir vitamino D kiekį. </w:t>
      </w:r>
    </w:p>
    <w:p w:rsidR="009E3290" w:rsidRPr="0003312B" w:rsidRDefault="009E3290" w:rsidP="009E3290">
      <w:pPr>
        <w:pStyle w:val="Default"/>
        <w:rPr>
          <w:i/>
          <w:iCs/>
          <w:color w:val="auto"/>
          <w:sz w:val="22"/>
          <w:szCs w:val="22"/>
          <w:lang w:val="lt-LT"/>
        </w:rPr>
      </w:pPr>
    </w:p>
    <w:p w:rsidR="009E3290" w:rsidRPr="00B87759" w:rsidRDefault="009E3290" w:rsidP="009E3290">
      <w:pPr>
        <w:pStyle w:val="Default"/>
        <w:rPr>
          <w:sz w:val="22"/>
          <w:szCs w:val="22"/>
          <w:lang w:val="lt-LT"/>
        </w:rPr>
      </w:pPr>
      <w:r w:rsidRPr="009B4D79">
        <w:rPr>
          <w:i/>
          <w:iCs/>
          <w:sz w:val="22"/>
          <w:szCs w:val="22"/>
          <w:lang w:val="lt-LT"/>
        </w:rPr>
        <w:t xml:space="preserve">Anafilaksinė reakcija ar šokas </w:t>
      </w:r>
    </w:p>
    <w:p w:rsidR="009E3290" w:rsidRPr="0003312B" w:rsidRDefault="009E3290" w:rsidP="009E3290">
      <w:pPr>
        <w:pStyle w:val="Default"/>
        <w:rPr>
          <w:sz w:val="22"/>
          <w:szCs w:val="22"/>
          <w:lang w:val="lt-LT"/>
        </w:rPr>
      </w:pPr>
      <w:proofErr w:type="spellStart"/>
      <w:r w:rsidRPr="0003312B">
        <w:rPr>
          <w:sz w:val="22"/>
          <w:szCs w:val="22"/>
          <w:lang w:val="lt-LT"/>
        </w:rPr>
        <w:t>Ibandrono</w:t>
      </w:r>
      <w:proofErr w:type="spellEnd"/>
      <w:r w:rsidRPr="0003312B">
        <w:rPr>
          <w:sz w:val="22"/>
          <w:szCs w:val="22"/>
          <w:lang w:val="lt-LT"/>
        </w:rPr>
        <w:t xml:space="preserve"> rūgštimi į veną gydytiems pacientams buvo pastebėti anafilaksinės reakcijos ar šoko atvejai, įskaitant mirtį nulėmusius atvejus. </w:t>
      </w:r>
    </w:p>
    <w:p w:rsidR="009E3290" w:rsidRPr="0003312B" w:rsidRDefault="009E3290" w:rsidP="009E3290">
      <w:pPr>
        <w:pStyle w:val="Default"/>
        <w:rPr>
          <w:sz w:val="22"/>
          <w:szCs w:val="22"/>
          <w:lang w:val="lt-LT"/>
        </w:rPr>
      </w:pPr>
      <w:r w:rsidRPr="0003312B">
        <w:rPr>
          <w:sz w:val="22"/>
          <w:szCs w:val="22"/>
          <w:lang w:val="lt-LT"/>
        </w:rPr>
        <w:lastRenderedPageBreak/>
        <w:t xml:space="preserve">Švirkščiant OSSICA į veną reikia turėti paruoštas atitinkamas palaikomojo gydymo ir stebėsenos priemones. Jeigu pasireiškia anafilaksinė arba kitokia sunki padidėjusio jautrumo ar alerginė reakcija, injekciją nedelsdami nutraukite ir pradėkite atitinkamą gydymą. </w:t>
      </w:r>
    </w:p>
    <w:p w:rsidR="009E3290" w:rsidRDefault="009E3290" w:rsidP="009E3290">
      <w:pPr>
        <w:pStyle w:val="Default"/>
        <w:outlineLvl w:val="0"/>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 xml:space="preserve">Inkstų funkcijos sutrikimas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Pacientus, sergančius gretutinėmis ligomis ar vartojančius vaistinius preparatus, galinčius daryti šalutinį poveikį inkstams, gydymo metu reikia reguliariai tirti pagal geros medicininės praktikos reikalavimus.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Kadangi nepakanka klinikinės patirties, OSSICA injekcijos nerekomenduojamos pacientams, kurių </w:t>
      </w:r>
      <w:proofErr w:type="spellStart"/>
      <w:r w:rsidRPr="0003312B">
        <w:rPr>
          <w:rFonts w:ascii="Times New Roman" w:hAnsi="Times New Roman"/>
          <w:sz w:val="22"/>
          <w:szCs w:val="22"/>
          <w:lang w:val="lt-LT" w:eastAsia="lt-LT"/>
        </w:rPr>
        <w:t>kreatinino</w:t>
      </w:r>
      <w:proofErr w:type="spellEnd"/>
      <w:r w:rsidRPr="0003312B">
        <w:rPr>
          <w:rFonts w:ascii="Times New Roman" w:hAnsi="Times New Roman"/>
          <w:sz w:val="22"/>
          <w:szCs w:val="22"/>
          <w:lang w:val="lt-LT" w:eastAsia="lt-LT"/>
        </w:rPr>
        <w:t xml:space="preserve"> koncentracija serume didesnė kaip 200 µ</w:t>
      </w:r>
      <w:proofErr w:type="spellStart"/>
      <w:r w:rsidRPr="0003312B">
        <w:rPr>
          <w:rFonts w:ascii="Times New Roman" w:hAnsi="Times New Roman"/>
          <w:sz w:val="22"/>
          <w:szCs w:val="22"/>
          <w:lang w:val="lt-LT" w:eastAsia="lt-LT"/>
        </w:rPr>
        <w:t>mol</w:t>
      </w:r>
      <w:proofErr w:type="spellEnd"/>
      <w:r w:rsidRPr="0003312B">
        <w:rPr>
          <w:rFonts w:ascii="Times New Roman" w:hAnsi="Times New Roman"/>
          <w:sz w:val="22"/>
          <w:szCs w:val="22"/>
          <w:lang w:val="lt-LT" w:eastAsia="lt-LT"/>
        </w:rPr>
        <w:t xml:space="preserve">/l (2,3 mg/dl) arba kurių </w:t>
      </w:r>
      <w:proofErr w:type="spellStart"/>
      <w:r w:rsidRPr="0003312B">
        <w:rPr>
          <w:rFonts w:ascii="Times New Roman" w:hAnsi="Times New Roman"/>
          <w:sz w:val="22"/>
          <w:szCs w:val="22"/>
          <w:lang w:val="lt-LT" w:eastAsia="lt-LT"/>
        </w:rPr>
        <w:t>kreatinino</w:t>
      </w:r>
      <w:proofErr w:type="spellEnd"/>
      <w:r w:rsidRPr="0003312B">
        <w:rPr>
          <w:rFonts w:ascii="Times New Roman" w:hAnsi="Times New Roman"/>
          <w:sz w:val="22"/>
          <w:szCs w:val="22"/>
          <w:lang w:val="lt-LT" w:eastAsia="lt-LT"/>
        </w:rPr>
        <w:t xml:space="preserve"> klirensas mažesnis kaip 30 ml/min. (žr. 4.4 ir 5.2 skyrius).</w:t>
      </w:r>
    </w:p>
    <w:p w:rsidR="009E3290" w:rsidRDefault="009E3290" w:rsidP="009E3290">
      <w:pPr>
        <w:pStyle w:val="Default"/>
        <w:rPr>
          <w:i/>
          <w:sz w:val="22"/>
          <w:szCs w:val="22"/>
          <w:u w:val="single"/>
          <w:lang w:val="lt-LT"/>
        </w:rPr>
      </w:pPr>
    </w:p>
    <w:p w:rsidR="009E3290" w:rsidRPr="005B046F" w:rsidRDefault="009E3290" w:rsidP="009E3290">
      <w:pPr>
        <w:pStyle w:val="Default"/>
        <w:rPr>
          <w:i/>
          <w:sz w:val="22"/>
          <w:szCs w:val="22"/>
          <w:lang w:val="lt-LT"/>
        </w:rPr>
      </w:pPr>
      <w:r w:rsidRPr="005B046F">
        <w:rPr>
          <w:i/>
          <w:sz w:val="22"/>
          <w:szCs w:val="22"/>
          <w:lang w:val="lt-LT"/>
        </w:rPr>
        <w:t xml:space="preserve">Pacientai, kuriems yra širdies sutrikimas </w:t>
      </w:r>
    </w:p>
    <w:p w:rsidR="009E3290" w:rsidRPr="0003312B" w:rsidRDefault="009E3290" w:rsidP="009E3290">
      <w:pPr>
        <w:pStyle w:val="Default"/>
        <w:rPr>
          <w:sz w:val="22"/>
          <w:szCs w:val="22"/>
          <w:lang w:val="lt-LT"/>
        </w:rPr>
      </w:pPr>
      <w:r w:rsidRPr="0003312B">
        <w:rPr>
          <w:sz w:val="22"/>
          <w:szCs w:val="22"/>
          <w:lang w:val="lt-LT"/>
        </w:rPr>
        <w:t xml:space="preserve">Pacientams, kuriems yra širdies nepakankamumo rizika, reikia vengti pernelyg didelės </w:t>
      </w:r>
      <w:proofErr w:type="spellStart"/>
      <w:r w:rsidRPr="0003312B">
        <w:rPr>
          <w:sz w:val="22"/>
          <w:szCs w:val="22"/>
          <w:lang w:val="lt-LT"/>
        </w:rPr>
        <w:t>hidracijos</w:t>
      </w:r>
      <w:proofErr w:type="spellEnd"/>
      <w:r w:rsidRPr="0003312B">
        <w:rPr>
          <w:sz w:val="22"/>
          <w:szCs w:val="22"/>
          <w:lang w:val="lt-LT"/>
        </w:rPr>
        <w:t xml:space="preserve">. </w:t>
      </w:r>
    </w:p>
    <w:p w:rsidR="009E3290" w:rsidRPr="0003312B" w:rsidRDefault="009E3290" w:rsidP="009E3290">
      <w:pPr>
        <w:pStyle w:val="Default"/>
        <w:outlineLvl w:val="0"/>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 xml:space="preserve">Žandikaulio </w:t>
      </w:r>
      <w:proofErr w:type="spellStart"/>
      <w:r w:rsidRPr="0003312B">
        <w:rPr>
          <w:i/>
          <w:iCs/>
          <w:color w:val="auto"/>
          <w:sz w:val="22"/>
          <w:szCs w:val="22"/>
          <w:lang w:val="lt-LT"/>
        </w:rPr>
        <w:t>osteonekrozė</w:t>
      </w:r>
      <w:proofErr w:type="spellEnd"/>
      <w:r w:rsidRPr="0003312B">
        <w:rPr>
          <w:i/>
          <w:iCs/>
          <w:color w:val="auto"/>
          <w:sz w:val="22"/>
          <w:szCs w:val="22"/>
          <w:lang w:val="lt-LT"/>
        </w:rPr>
        <w:t xml:space="preserve">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Vaistui jau esant rinkoje yra pastebėta labai retų žandikaulio </w:t>
      </w:r>
      <w:proofErr w:type="spellStart"/>
      <w:r w:rsidRPr="00042943">
        <w:rPr>
          <w:rFonts w:ascii="Times New Roman" w:hAnsi="Times New Roman" w:cs="Times New Roman"/>
          <w:color w:val="000000"/>
          <w:sz w:val="22"/>
          <w:szCs w:val="22"/>
          <w:lang w:val="lt-LT"/>
        </w:rPr>
        <w:t>osteonekrozės</w:t>
      </w:r>
      <w:proofErr w:type="spellEnd"/>
      <w:r w:rsidRPr="00042943">
        <w:rPr>
          <w:rFonts w:ascii="Times New Roman" w:hAnsi="Times New Roman" w:cs="Times New Roman"/>
          <w:color w:val="000000"/>
          <w:sz w:val="22"/>
          <w:szCs w:val="22"/>
          <w:lang w:val="lt-LT"/>
        </w:rPr>
        <w:t xml:space="preserve"> (ŽON) atvejų pacientams, kurie </w:t>
      </w:r>
      <w:proofErr w:type="spellStart"/>
      <w:r w:rsidRPr="00042943">
        <w:rPr>
          <w:rFonts w:ascii="Times New Roman" w:hAnsi="Times New Roman" w:cs="Times New Roman"/>
          <w:color w:val="000000"/>
          <w:sz w:val="22"/>
          <w:szCs w:val="22"/>
          <w:lang w:val="lt-LT"/>
        </w:rPr>
        <w:t>ibandrono</w:t>
      </w:r>
      <w:proofErr w:type="spellEnd"/>
      <w:r w:rsidRPr="00042943">
        <w:rPr>
          <w:rFonts w:ascii="Times New Roman" w:hAnsi="Times New Roman" w:cs="Times New Roman"/>
          <w:color w:val="000000"/>
          <w:sz w:val="22"/>
          <w:szCs w:val="22"/>
          <w:lang w:val="lt-LT"/>
        </w:rPr>
        <w:t xml:space="preserve"> rūgštimi buvo gydomi nuo osteoporozės (žr. 4.8 skyrių).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Pacientams, kurių burnoje yra neužgijusių atvirų minkštųjų audinių pažaidų, gydymo ar naujo gydymo kurso pradžią reikia atidėti. </w:t>
      </w:r>
    </w:p>
    <w:p w:rsidR="009E3290" w:rsidRPr="00042943" w:rsidRDefault="009E3290" w:rsidP="009E3290">
      <w:pPr>
        <w:tabs>
          <w:tab w:val="left" w:pos="567"/>
        </w:tabs>
        <w:rPr>
          <w:rFonts w:ascii="Times New Roman" w:hAnsi="Times New Roman" w:cs="Times New Roman"/>
          <w:color w:val="000000"/>
          <w:sz w:val="22"/>
          <w:szCs w:val="22"/>
          <w:lang w:val="lt-LT"/>
        </w:rPr>
      </w:pPr>
    </w:p>
    <w:p w:rsidR="009E3290" w:rsidRPr="00042943" w:rsidRDefault="009E3290" w:rsidP="009E3290">
      <w:pPr>
        <w:tabs>
          <w:tab w:val="left" w:pos="567"/>
        </w:tabs>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Prieš gydymą OSSICA rekomenduojama ištirti lydinčių rizikos veiksnių turinčių pacientų dantų būklę ir taikyti profilaktinį gydymą, remiantis individualiu naudos ir rizikos įvertinimu. </w:t>
      </w:r>
    </w:p>
    <w:p w:rsidR="009E3290" w:rsidRPr="00042943" w:rsidRDefault="009E3290" w:rsidP="009E3290">
      <w:pPr>
        <w:autoSpaceDE w:val="0"/>
        <w:autoSpaceDN w:val="0"/>
        <w:adjustRightInd w:val="0"/>
        <w:rPr>
          <w:rFonts w:ascii="Verdana" w:hAnsi="Verdana" w:cs="Verdana"/>
          <w:color w:val="000000"/>
          <w:sz w:val="18"/>
          <w:szCs w:val="18"/>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Rizikos veiksniai, į kuriuos reikia atsižvelgti vertinant paciento riziką susirgti ŽON, yra šie: </w:t>
      </w:r>
    </w:p>
    <w:p w:rsidR="009E3290" w:rsidRPr="00042943" w:rsidRDefault="009E3290" w:rsidP="009E3290">
      <w:pPr>
        <w:autoSpaceDE w:val="0"/>
        <w:autoSpaceDN w:val="0"/>
        <w:adjustRightInd w:val="0"/>
        <w:ind w:left="720" w:hanging="72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    </w:t>
      </w:r>
      <w:r w:rsidRPr="00042943">
        <w:rPr>
          <w:rFonts w:ascii="Times New Roman" w:hAnsi="Times New Roman" w:cs="Times New Roman"/>
          <w:color w:val="000000"/>
          <w:sz w:val="22"/>
          <w:szCs w:val="22"/>
          <w:lang w:val="lt-LT"/>
        </w:rPr>
        <w:tab/>
        <w:t xml:space="preserve"> stiprumas kaulų </w:t>
      </w:r>
      <w:proofErr w:type="spellStart"/>
      <w:r w:rsidRPr="00042943">
        <w:rPr>
          <w:rFonts w:ascii="Times New Roman" w:hAnsi="Times New Roman" w:cs="Times New Roman"/>
          <w:color w:val="000000"/>
          <w:sz w:val="22"/>
          <w:szCs w:val="22"/>
          <w:lang w:val="lt-LT"/>
        </w:rPr>
        <w:t>rezorbciją</w:t>
      </w:r>
      <w:proofErr w:type="spellEnd"/>
      <w:r w:rsidRPr="00042943">
        <w:rPr>
          <w:rFonts w:ascii="Times New Roman" w:hAnsi="Times New Roman" w:cs="Times New Roman"/>
          <w:color w:val="000000"/>
          <w:sz w:val="22"/>
          <w:szCs w:val="22"/>
          <w:lang w:val="lt-LT"/>
        </w:rPr>
        <w:t xml:space="preserve"> slopinančio vaisto (didesnę riziką kelia labai stiprūs junginiai), vartojimo būdas  (didesnė rizika vartojant </w:t>
      </w:r>
      <w:proofErr w:type="spellStart"/>
      <w:r w:rsidRPr="00042943">
        <w:rPr>
          <w:rFonts w:ascii="Times New Roman" w:hAnsi="Times New Roman" w:cs="Times New Roman"/>
          <w:color w:val="000000"/>
          <w:sz w:val="22"/>
          <w:szCs w:val="22"/>
          <w:lang w:val="lt-LT"/>
        </w:rPr>
        <w:t>parenteriniu</w:t>
      </w:r>
      <w:proofErr w:type="spellEnd"/>
      <w:r w:rsidRPr="00042943">
        <w:rPr>
          <w:rFonts w:ascii="Times New Roman" w:hAnsi="Times New Roman" w:cs="Times New Roman"/>
          <w:color w:val="000000"/>
          <w:sz w:val="22"/>
          <w:szCs w:val="22"/>
          <w:lang w:val="lt-LT"/>
        </w:rPr>
        <w:t xml:space="preserve"> būdu) ir kaulų </w:t>
      </w:r>
      <w:proofErr w:type="spellStart"/>
      <w:r w:rsidRPr="00042943">
        <w:rPr>
          <w:rFonts w:ascii="Times New Roman" w:hAnsi="Times New Roman" w:cs="Times New Roman"/>
          <w:color w:val="000000"/>
          <w:sz w:val="22"/>
          <w:szCs w:val="22"/>
          <w:lang w:val="lt-LT"/>
        </w:rPr>
        <w:t>rezorbcijos</w:t>
      </w:r>
      <w:proofErr w:type="spellEnd"/>
      <w:r w:rsidRPr="00042943">
        <w:rPr>
          <w:rFonts w:ascii="Times New Roman" w:hAnsi="Times New Roman" w:cs="Times New Roman"/>
          <w:color w:val="000000"/>
          <w:sz w:val="22"/>
          <w:szCs w:val="22"/>
          <w:lang w:val="lt-LT"/>
        </w:rPr>
        <w:t xml:space="preserve"> terapijos kaupiamoji dozę; </w:t>
      </w:r>
    </w:p>
    <w:p w:rsidR="009E3290" w:rsidRPr="00042943" w:rsidRDefault="009E3290" w:rsidP="009E3290">
      <w:pPr>
        <w:autoSpaceDE w:val="0"/>
        <w:autoSpaceDN w:val="0"/>
        <w:adjustRightInd w:val="0"/>
        <w:ind w:left="720" w:hanging="72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    </w:t>
      </w:r>
      <w:r w:rsidRPr="00042943">
        <w:rPr>
          <w:rFonts w:ascii="Times New Roman" w:hAnsi="Times New Roman" w:cs="Times New Roman"/>
          <w:color w:val="000000"/>
          <w:sz w:val="22"/>
          <w:szCs w:val="22"/>
          <w:lang w:val="lt-LT"/>
        </w:rPr>
        <w:tab/>
        <w:t xml:space="preserve"> vėžio liga, lydinčios patologinės būklės (pvz., anemija, </w:t>
      </w:r>
      <w:proofErr w:type="spellStart"/>
      <w:r w:rsidRPr="00042943">
        <w:rPr>
          <w:rFonts w:ascii="Times New Roman" w:hAnsi="Times New Roman" w:cs="Times New Roman"/>
          <w:color w:val="000000"/>
          <w:sz w:val="22"/>
          <w:szCs w:val="22"/>
          <w:lang w:val="lt-LT"/>
        </w:rPr>
        <w:t>koaguliacijos</w:t>
      </w:r>
      <w:proofErr w:type="spellEnd"/>
      <w:r w:rsidRPr="00042943">
        <w:rPr>
          <w:rFonts w:ascii="Times New Roman" w:hAnsi="Times New Roman" w:cs="Times New Roman"/>
          <w:color w:val="000000"/>
          <w:sz w:val="22"/>
          <w:szCs w:val="22"/>
          <w:lang w:val="lt-LT"/>
        </w:rPr>
        <w:t xml:space="preserve"> sutrikimai, infekcija), rūkymas; </w:t>
      </w:r>
    </w:p>
    <w:p w:rsidR="009E3290" w:rsidRPr="00042943" w:rsidRDefault="009E3290" w:rsidP="009E3290">
      <w:pPr>
        <w:autoSpaceDE w:val="0"/>
        <w:autoSpaceDN w:val="0"/>
        <w:adjustRightInd w:val="0"/>
        <w:ind w:left="720" w:hanging="72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     </w:t>
      </w:r>
      <w:r w:rsidRPr="00042943">
        <w:rPr>
          <w:rFonts w:ascii="Times New Roman" w:hAnsi="Times New Roman" w:cs="Times New Roman"/>
          <w:color w:val="000000"/>
          <w:sz w:val="22"/>
          <w:szCs w:val="22"/>
          <w:lang w:val="lt-LT"/>
        </w:rPr>
        <w:tab/>
        <w:t xml:space="preserve">gretutinis gydymas </w:t>
      </w:r>
      <w:proofErr w:type="spellStart"/>
      <w:r w:rsidRPr="00042943">
        <w:rPr>
          <w:rFonts w:ascii="Times New Roman" w:hAnsi="Times New Roman" w:cs="Times New Roman"/>
          <w:color w:val="000000"/>
          <w:sz w:val="22"/>
          <w:szCs w:val="22"/>
          <w:lang w:val="lt-LT"/>
        </w:rPr>
        <w:t>kortokosteroidais</w:t>
      </w:r>
      <w:proofErr w:type="spellEnd"/>
      <w:r w:rsidRPr="00042943">
        <w:rPr>
          <w:rFonts w:ascii="Times New Roman" w:hAnsi="Times New Roman" w:cs="Times New Roman"/>
          <w:color w:val="000000"/>
          <w:sz w:val="22"/>
          <w:szCs w:val="22"/>
          <w:lang w:val="lt-LT"/>
        </w:rPr>
        <w:t xml:space="preserve">, chemoterapija, </w:t>
      </w:r>
      <w:proofErr w:type="spellStart"/>
      <w:r w:rsidRPr="00042943">
        <w:rPr>
          <w:rFonts w:ascii="Times New Roman" w:hAnsi="Times New Roman" w:cs="Times New Roman"/>
          <w:color w:val="000000"/>
          <w:sz w:val="22"/>
          <w:szCs w:val="22"/>
          <w:lang w:val="lt-LT"/>
        </w:rPr>
        <w:t>angiogenezės</w:t>
      </w:r>
      <w:proofErr w:type="spellEnd"/>
      <w:r w:rsidRPr="00042943">
        <w:rPr>
          <w:rFonts w:ascii="Times New Roman" w:hAnsi="Times New Roman" w:cs="Times New Roman"/>
          <w:color w:val="000000"/>
          <w:sz w:val="22"/>
          <w:szCs w:val="22"/>
          <w:lang w:val="lt-LT"/>
        </w:rPr>
        <w:t xml:space="preserve"> inhibitoriais (žr. 4.5 skyrių), galvos ir kaklo  radioterapija; </w:t>
      </w:r>
    </w:p>
    <w:p w:rsidR="009E3290" w:rsidRPr="00042943" w:rsidRDefault="009E3290" w:rsidP="009E3290">
      <w:pPr>
        <w:autoSpaceDE w:val="0"/>
        <w:autoSpaceDN w:val="0"/>
        <w:adjustRightInd w:val="0"/>
        <w:ind w:left="720" w:hanging="72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     </w:t>
      </w:r>
      <w:r w:rsidRPr="00042943">
        <w:rPr>
          <w:rFonts w:ascii="Times New Roman" w:hAnsi="Times New Roman" w:cs="Times New Roman"/>
          <w:color w:val="000000"/>
          <w:sz w:val="22"/>
          <w:szCs w:val="22"/>
          <w:lang w:val="lt-LT"/>
        </w:rPr>
        <w:tab/>
        <w:t xml:space="preserve">prasta burnos higiena, </w:t>
      </w:r>
      <w:proofErr w:type="spellStart"/>
      <w:r w:rsidRPr="00042943">
        <w:rPr>
          <w:rFonts w:ascii="Times New Roman" w:hAnsi="Times New Roman" w:cs="Times New Roman"/>
          <w:color w:val="000000"/>
          <w:sz w:val="22"/>
          <w:szCs w:val="22"/>
          <w:lang w:val="lt-LT"/>
        </w:rPr>
        <w:t>periodonto</w:t>
      </w:r>
      <w:proofErr w:type="spellEnd"/>
      <w:r w:rsidRPr="00042943">
        <w:rPr>
          <w:rFonts w:ascii="Times New Roman" w:hAnsi="Times New Roman" w:cs="Times New Roman"/>
          <w:color w:val="000000"/>
          <w:sz w:val="22"/>
          <w:szCs w:val="22"/>
          <w:lang w:val="lt-LT"/>
        </w:rPr>
        <w:t xml:space="preserve"> ligos, blogai pritaikyti protezai, buvusios dantų ligos, invazinės odontologinės procedūros (pvz., dantų traukimas).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Gydymo OSSICA metu visi pacientai turi būti skatinami palaikyti gerą burnos higieną, reguliariai tikrintis dantis ir iš karto pranešti apie visus burnos simptomus, tokius kaip dantų išklibimas, skausmas ar patinimas, negyjančios opos ar išskyros. Gydymo metu invazines dantų gydymo procedūras galima atlikti nuodugniai apsvarsčius ir kuo toliau nuo OSSICA vartojimo vietos.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Pacientų, kuriems atsirado ŽON, gydymo planas turi būti parengtas glaudžiai bendradarbiaujant gydančiam gydytojui ir gydytojui odontologui ar burnos chirurgui, tu</w:t>
      </w:r>
      <w:r w:rsidRPr="00042943">
        <w:rPr>
          <w:rFonts w:ascii="Times New Roman" w:hAnsi="Times New Roman" w:cs="Times New Roman"/>
          <w:color w:val="000000"/>
          <w:sz w:val="22"/>
          <w:szCs w:val="22"/>
          <w:lang w:val="lt-LT"/>
        </w:rPr>
        <w:lastRenderedPageBreak/>
        <w:t xml:space="preserve">rinčiam ŽON gydymo patirties. Reikia apsvarstyti, ar nevertėtų gydymo OSSICA laikinai nutraukti, jeigu įmanoma, kol būklė pagerės ar susiję rizikos veiksniai bus sušvelninti. </w:t>
      </w:r>
    </w:p>
    <w:p w:rsidR="009E3290" w:rsidRPr="00042943" w:rsidRDefault="009E3290" w:rsidP="009E3290">
      <w:pPr>
        <w:tabs>
          <w:tab w:val="left" w:pos="567"/>
        </w:tabs>
        <w:rPr>
          <w:rFonts w:ascii="Times New Roman" w:hAnsi="Times New Roman"/>
          <w:sz w:val="22"/>
          <w:lang w:val="lt-LT"/>
        </w:rPr>
      </w:pPr>
    </w:p>
    <w:p w:rsidR="009E3290" w:rsidRPr="00042943" w:rsidRDefault="009E3290" w:rsidP="009E3290">
      <w:pPr>
        <w:tabs>
          <w:tab w:val="left" w:pos="567"/>
        </w:tabs>
        <w:rPr>
          <w:rFonts w:ascii="Times New Roman" w:eastAsia="Calibri" w:hAnsi="Times New Roman"/>
          <w:i/>
          <w:color w:val="000000"/>
          <w:sz w:val="22"/>
          <w:lang w:val="lt-LT"/>
        </w:rPr>
      </w:pPr>
      <w:r w:rsidRPr="00042943">
        <w:rPr>
          <w:rFonts w:ascii="Times New Roman" w:eastAsia="Calibri" w:hAnsi="Times New Roman"/>
          <w:i/>
          <w:color w:val="000000"/>
          <w:sz w:val="22"/>
          <w:lang w:val="lt-LT"/>
        </w:rPr>
        <w:t xml:space="preserve">Išorinio ausies kanalo </w:t>
      </w:r>
      <w:proofErr w:type="spellStart"/>
      <w:r w:rsidRPr="00042943">
        <w:rPr>
          <w:rFonts w:ascii="Times New Roman" w:eastAsia="Calibri" w:hAnsi="Times New Roman"/>
          <w:i/>
          <w:color w:val="000000"/>
          <w:sz w:val="22"/>
          <w:lang w:val="lt-LT"/>
        </w:rPr>
        <w:t>osteonekrozė</w:t>
      </w:r>
      <w:proofErr w:type="spellEnd"/>
    </w:p>
    <w:p w:rsidR="009E3290" w:rsidRPr="0003312B" w:rsidRDefault="009E3290" w:rsidP="009E3290">
      <w:pPr>
        <w:tabs>
          <w:tab w:val="left" w:pos="567"/>
        </w:tabs>
        <w:rPr>
          <w:rFonts w:ascii="Times New Roman" w:hAnsi="Times New Roman"/>
          <w:i/>
          <w:sz w:val="22"/>
          <w:szCs w:val="22"/>
          <w:lang w:val="lt-LT"/>
        </w:rPr>
      </w:pPr>
      <w:r w:rsidRPr="00042943">
        <w:rPr>
          <w:rFonts w:ascii="Times New Roman" w:eastAsia="Calibri" w:hAnsi="Times New Roman"/>
          <w:color w:val="000000"/>
          <w:sz w:val="22"/>
          <w:lang w:val="lt-LT"/>
        </w:rPr>
        <w:t xml:space="preserve">Vartojant </w:t>
      </w:r>
      <w:proofErr w:type="spellStart"/>
      <w:r w:rsidRPr="00042943">
        <w:rPr>
          <w:rFonts w:ascii="Times New Roman" w:eastAsia="Calibri" w:hAnsi="Times New Roman"/>
          <w:color w:val="000000"/>
          <w:sz w:val="22"/>
          <w:lang w:val="lt-LT"/>
        </w:rPr>
        <w:t>bisfosfonatus</w:t>
      </w:r>
      <w:proofErr w:type="spellEnd"/>
      <w:r w:rsidRPr="00042943">
        <w:rPr>
          <w:rFonts w:ascii="Times New Roman" w:eastAsia="Calibri" w:hAnsi="Times New Roman"/>
          <w:color w:val="000000"/>
          <w:sz w:val="22"/>
          <w:lang w:val="lt-LT"/>
        </w:rPr>
        <w:t xml:space="preserve">, tarp pacientų nustatyta išorinio ausies kanalo </w:t>
      </w:r>
      <w:proofErr w:type="spellStart"/>
      <w:r w:rsidRPr="00042943">
        <w:rPr>
          <w:rFonts w:ascii="Times New Roman" w:eastAsia="Calibri" w:hAnsi="Times New Roman"/>
          <w:color w:val="000000"/>
          <w:sz w:val="22"/>
          <w:lang w:val="lt-LT"/>
        </w:rPr>
        <w:t>osteonekrozės</w:t>
      </w:r>
      <w:proofErr w:type="spellEnd"/>
      <w:r w:rsidRPr="00042943">
        <w:rPr>
          <w:rFonts w:ascii="Times New Roman" w:eastAsia="Calibri" w:hAnsi="Times New Roman"/>
          <w:color w:val="000000"/>
          <w:sz w:val="22"/>
          <w:lang w:val="lt-LT"/>
        </w:rPr>
        <w:t xml:space="preserve"> atvejų, kurie daugiausia siejami su ilgalaikiu gydymu. Tarp galimų išorinio ausies kanalo </w:t>
      </w:r>
      <w:proofErr w:type="spellStart"/>
      <w:r w:rsidRPr="00042943">
        <w:rPr>
          <w:rFonts w:ascii="Times New Roman" w:eastAsia="Calibri" w:hAnsi="Times New Roman"/>
          <w:color w:val="000000"/>
          <w:sz w:val="22"/>
          <w:lang w:val="lt-LT"/>
        </w:rPr>
        <w:t>osteonekrozės</w:t>
      </w:r>
      <w:proofErr w:type="spellEnd"/>
      <w:r w:rsidRPr="00042943">
        <w:rPr>
          <w:rFonts w:ascii="Times New Roman" w:eastAsia="Calibri" w:hAnsi="Times New Roman"/>
          <w:color w:val="000000"/>
          <w:sz w:val="22"/>
          <w:lang w:val="lt-LT"/>
        </w:rPr>
        <w:t xml:space="preserve"> rizikos veiksnių – steroidų vartojimas ir chemoterapija ir (arba) lokalūs rizikos veiksniai, pvz., infekcija arba trauma. Išorinio ausies kanalo </w:t>
      </w:r>
      <w:proofErr w:type="spellStart"/>
      <w:r w:rsidRPr="00042943">
        <w:rPr>
          <w:rFonts w:ascii="Times New Roman" w:eastAsia="Calibri" w:hAnsi="Times New Roman"/>
          <w:color w:val="000000"/>
          <w:sz w:val="22"/>
          <w:lang w:val="lt-LT"/>
        </w:rPr>
        <w:t>osteonekrozės</w:t>
      </w:r>
      <w:proofErr w:type="spellEnd"/>
      <w:r w:rsidRPr="00042943">
        <w:rPr>
          <w:rFonts w:ascii="Times New Roman" w:eastAsia="Calibri" w:hAnsi="Times New Roman"/>
          <w:color w:val="000000"/>
          <w:sz w:val="22"/>
          <w:lang w:val="lt-LT"/>
        </w:rPr>
        <w:t xml:space="preserve"> galimybę reikėtų turėti omenyje gydant tuos </w:t>
      </w:r>
      <w:proofErr w:type="spellStart"/>
      <w:r w:rsidRPr="00042943">
        <w:rPr>
          <w:rFonts w:ascii="Times New Roman" w:eastAsia="Calibri" w:hAnsi="Times New Roman"/>
          <w:color w:val="000000"/>
          <w:sz w:val="22"/>
          <w:lang w:val="lt-LT"/>
        </w:rPr>
        <w:t>bisfosfonatų</w:t>
      </w:r>
      <w:proofErr w:type="spellEnd"/>
      <w:r w:rsidRPr="00042943">
        <w:rPr>
          <w:rFonts w:ascii="Times New Roman" w:eastAsia="Calibri" w:hAnsi="Times New Roman"/>
          <w:color w:val="000000"/>
          <w:sz w:val="22"/>
          <w:lang w:val="lt-LT"/>
        </w:rPr>
        <w:t xml:space="preserve"> vartojančius pacientus, kuriems pasireiškia su ausimi susijusių simptomų, įskaitant simptomus, kuriuos sukelia lėtinės ausų infekcijos.</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pStyle w:val="BodytextAgency"/>
        <w:outlineLvl w:val="0"/>
        <w:rPr>
          <w:i/>
          <w:sz w:val="22"/>
          <w:szCs w:val="22"/>
          <w:lang w:val="lt-LT"/>
        </w:rPr>
      </w:pPr>
      <w:r w:rsidRPr="0003312B">
        <w:rPr>
          <w:i/>
          <w:sz w:val="22"/>
          <w:szCs w:val="22"/>
          <w:lang w:val="lt-LT"/>
        </w:rPr>
        <w:t xml:space="preserve">Netipiški šlaunikaulio lūžiai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Gydant </w:t>
      </w:r>
      <w:proofErr w:type="spellStart"/>
      <w:r w:rsidRPr="0003312B">
        <w:rPr>
          <w:color w:val="auto"/>
          <w:sz w:val="22"/>
          <w:szCs w:val="22"/>
          <w:lang w:val="lt-LT" w:eastAsia="lt-LT"/>
        </w:rPr>
        <w:t>bisfosfonatais</w:t>
      </w:r>
      <w:proofErr w:type="spellEnd"/>
      <w:r w:rsidRPr="0003312B">
        <w:rPr>
          <w:color w:val="auto"/>
          <w:sz w:val="22"/>
          <w:szCs w:val="22"/>
          <w:lang w:val="lt-LT" w:eastAsia="lt-LT"/>
        </w:rPr>
        <w:t xml:space="preserve"> buvo gauta pranešimų apie netipiškus </w:t>
      </w:r>
      <w:proofErr w:type="spellStart"/>
      <w:r w:rsidRPr="0003312B">
        <w:rPr>
          <w:bCs/>
          <w:color w:val="auto"/>
          <w:sz w:val="22"/>
          <w:szCs w:val="22"/>
          <w:lang w:val="lt-LT"/>
        </w:rPr>
        <w:t>subtrochanterinius</w:t>
      </w:r>
      <w:proofErr w:type="spellEnd"/>
      <w:r w:rsidRPr="0003312B">
        <w:rPr>
          <w:color w:val="auto"/>
          <w:sz w:val="22"/>
          <w:szCs w:val="22"/>
          <w:lang w:val="lt-LT"/>
        </w:rPr>
        <w:t xml:space="preserve"> ir </w:t>
      </w:r>
      <w:proofErr w:type="spellStart"/>
      <w:r w:rsidRPr="0003312B">
        <w:rPr>
          <w:color w:val="auto"/>
          <w:sz w:val="22"/>
          <w:szCs w:val="22"/>
          <w:lang w:val="lt-LT"/>
        </w:rPr>
        <w:t>diafizinius</w:t>
      </w:r>
      <w:proofErr w:type="spellEnd"/>
      <w:r w:rsidRPr="0003312B">
        <w:rPr>
          <w:color w:val="auto"/>
          <w:sz w:val="22"/>
          <w:szCs w:val="22"/>
          <w:lang w:val="lt-LT"/>
        </w:rPr>
        <w:t xml:space="preserve"> šlaunikaulio lūžimo atvejus, ypač pacientams, kuriems ilgą laiką buvo taikomas gydymas nuo osteoporozės. Šie skersiniai arba trumpi įstriži lūžiai gali atsirasti bet kurioje vietoje išilgai šlaunikaulio nuo pat mažojo šlaunikaulio gūbrio iki </w:t>
      </w:r>
      <w:proofErr w:type="spellStart"/>
      <w:r w:rsidRPr="0003312B">
        <w:rPr>
          <w:color w:val="auto"/>
          <w:sz w:val="22"/>
          <w:szCs w:val="22"/>
          <w:lang w:val="lt-LT"/>
        </w:rPr>
        <w:t>s</w:t>
      </w:r>
      <w:r w:rsidRPr="0003312B">
        <w:rPr>
          <w:bCs/>
          <w:color w:val="auto"/>
          <w:sz w:val="22"/>
          <w:szCs w:val="22"/>
          <w:lang w:val="lt-LT"/>
        </w:rPr>
        <w:t>uprakondiliarinio</w:t>
      </w:r>
      <w:proofErr w:type="spellEnd"/>
      <w:r w:rsidRPr="0003312B">
        <w:rPr>
          <w:bCs/>
          <w:color w:val="auto"/>
          <w:sz w:val="22"/>
          <w:szCs w:val="22"/>
          <w:lang w:val="lt-LT"/>
        </w:rPr>
        <w:t xml:space="preserve"> krumplio. Šie lūžiai atsiranda po minimalių traumų arba visai be traumų. Kai kurie pacientai jaučia šlaunies arba kirkšnies skausmą, kuris dažnai yra susijęs su įsivaizduojamais stresiniais lūžiais savaites ar mėnesius prieš atsirandant visiškam šlaunikaulio lūžiui. Lūžiai dažnai būna </w:t>
      </w:r>
      <w:proofErr w:type="spellStart"/>
      <w:r w:rsidRPr="0003312B">
        <w:rPr>
          <w:bCs/>
          <w:color w:val="auto"/>
          <w:sz w:val="22"/>
          <w:szCs w:val="22"/>
          <w:lang w:val="lt-LT"/>
        </w:rPr>
        <w:t>bilateraliniai</w:t>
      </w:r>
      <w:proofErr w:type="spellEnd"/>
      <w:r w:rsidRPr="0003312B">
        <w:rPr>
          <w:bCs/>
          <w:color w:val="auto"/>
          <w:sz w:val="22"/>
          <w:szCs w:val="22"/>
          <w:lang w:val="lt-LT"/>
        </w:rPr>
        <w:t xml:space="preserve">, todėl </w:t>
      </w:r>
      <w:proofErr w:type="spellStart"/>
      <w:r w:rsidRPr="0003312B">
        <w:rPr>
          <w:color w:val="auto"/>
          <w:sz w:val="22"/>
          <w:szCs w:val="22"/>
          <w:lang w:val="lt-LT" w:eastAsia="lt-LT"/>
        </w:rPr>
        <w:t>bisfosfonatais</w:t>
      </w:r>
      <w:proofErr w:type="spellEnd"/>
      <w:r w:rsidRPr="0003312B">
        <w:rPr>
          <w:color w:val="auto"/>
          <w:sz w:val="22"/>
          <w:szCs w:val="22"/>
          <w:lang w:val="lt-LT" w:eastAsia="lt-LT"/>
        </w:rPr>
        <w:t xml:space="preserve"> gydomiems pacientams, kuriems yra ilgalaikis šlaunikaulio kaulo lūžis, reikia tirti </w:t>
      </w:r>
      <w:proofErr w:type="spellStart"/>
      <w:r w:rsidRPr="0003312B">
        <w:rPr>
          <w:color w:val="auto"/>
          <w:sz w:val="22"/>
          <w:szCs w:val="22"/>
          <w:lang w:val="lt-LT" w:eastAsia="lt-LT"/>
        </w:rPr>
        <w:t>kontralateralinį</w:t>
      </w:r>
      <w:proofErr w:type="spellEnd"/>
      <w:r w:rsidRPr="0003312B">
        <w:rPr>
          <w:color w:val="auto"/>
          <w:sz w:val="22"/>
          <w:szCs w:val="22"/>
          <w:lang w:val="lt-LT" w:eastAsia="lt-LT"/>
        </w:rPr>
        <w:t xml:space="preserve"> šlaunikaulį. Taip pat buvo gauta pranešimų apie sunkų tokių lūžių gijimą. Gydymo </w:t>
      </w:r>
      <w:proofErr w:type="spellStart"/>
      <w:r w:rsidRPr="0003312B">
        <w:rPr>
          <w:color w:val="auto"/>
          <w:sz w:val="22"/>
          <w:szCs w:val="22"/>
          <w:lang w:val="lt-LT" w:eastAsia="lt-LT"/>
        </w:rPr>
        <w:t>bisfosfonatais</w:t>
      </w:r>
      <w:proofErr w:type="spellEnd"/>
      <w:r w:rsidRPr="0003312B">
        <w:rPr>
          <w:color w:val="auto"/>
          <w:sz w:val="22"/>
          <w:szCs w:val="22"/>
          <w:lang w:val="lt-LT" w:eastAsia="lt-LT"/>
        </w:rPr>
        <w:t xml:space="preserve"> nutraukimą pacientams, kuriems įtariamas netipinis šlaunikaulio lūžis, reikia apsvarstyti remiantis individualiu paciento naudos ir rizikos įvertinimu.</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rPr>
          <w:rFonts w:ascii="Times New Roman" w:hAnsi="Times New Roman"/>
          <w:sz w:val="22"/>
          <w:szCs w:val="22"/>
          <w:lang w:val="lt-LT"/>
        </w:rPr>
      </w:pPr>
      <w:r w:rsidRPr="0003312B">
        <w:rPr>
          <w:rFonts w:ascii="Times New Roman" w:hAnsi="Times New Roman"/>
          <w:sz w:val="22"/>
          <w:szCs w:val="22"/>
          <w:lang w:val="lt-LT" w:eastAsia="lt-LT"/>
        </w:rPr>
        <w:t xml:space="preserve">Gydymo </w:t>
      </w:r>
      <w:proofErr w:type="spellStart"/>
      <w:r w:rsidRPr="0003312B">
        <w:rPr>
          <w:rFonts w:ascii="Times New Roman" w:hAnsi="Times New Roman"/>
          <w:sz w:val="22"/>
          <w:szCs w:val="22"/>
          <w:lang w:val="lt-LT" w:eastAsia="lt-LT"/>
        </w:rPr>
        <w:t>bisfosfonatais</w:t>
      </w:r>
      <w:proofErr w:type="spellEnd"/>
      <w:r w:rsidRPr="0003312B">
        <w:rPr>
          <w:rFonts w:ascii="Times New Roman" w:hAnsi="Times New Roman"/>
          <w:sz w:val="22"/>
          <w:szCs w:val="22"/>
          <w:lang w:val="lt-LT" w:eastAsia="lt-LT"/>
        </w:rPr>
        <w:t xml:space="preserve"> metu pacientams reikia patarti pranešti apie bet kokį šlaunies, klubo ar kirkšnies skausmą, ir visus pacientus, kuriems yra tokie simptomai, reikia įvertinti dėl nevisiško šlaunikaulio lūžio.</w:t>
      </w:r>
    </w:p>
    <w:p w:rsidR="009E3290" w:rsidRPr="0003312B" w:rsidRDefault="009E3290" w:rsidP="009E3290">
      <w:pPr>
        <w:rPr>
          <w:rFonts w:ascii="Times New Roman" w:hAnsi="Times New Roman"/>
          <w:sz w:val="22"/>
          <w:szCs w:val="22"/>
          <w:lang w:val="lt-LT"/>
        </w:rPr>
      </w:pPr>
    </w:p>
    <w:p w:rsidR="009E3290" w:rsidRPr="00042943" w:rsidRDefault="009E3290" w:rsidP="009E3290">
      <w:pPr>
        <w:rPr>
          <w:rFonts w:ascii="Times New Roman" w:hAnsi="Times New Roman"/>
          <w:sz w:val="22"/>
          <w:lang w:val="lt-LT"/>
        </w:rPr>
      </w:pPr>
      <w:r w:rsidRPr="00042943">
        <w:rPr>
          <w:rFonts w:ascii="Times New Roman" w:hAnsi="Times New Roman"/>
          <w:sz w:val="22"/>
          <w:szCs w:val="22"/>
          <w:lang w:val="lt-LT"/>
        </w:rPr>
        <w:t xml:space="preserve">OSSICA sudėtyje yra mažiau kaip 1 </w:t>
      </w:r>
      <w:proofErr w:type="spellStart"/>
      <w:r w:rsidRPr="00042943">
        <w:rPr>
          <w:rFonts w:ascii="Times New Roman" w:hAnsi="Times New Roman"/>
          <w:sz w:val="22"/>
          <w:szCs w:val="22"/>
          <w:lang w:val="lt-LT"/>
        </w:rPr>
        <w:t>mmol</w:t>
      </w:r>
      <w:proofErr w:type="spellEnd"/>
      <w:r w:rsidRPr="00042943">
        <w:rPr>
          <w:rFonts w:ascii="Times New Roman" w:hAnsi="Times New Roman"/>
          <w:sz w:val="22"/>
          <w:szCs w:val="22"/>
          <w:lang w:val="lt-LT"/>
        </w:rPr>
        <w:t xml:space="preserve"> natrio (23 mg) viename 3 ml tirpalu užpildytame švirkšte, t. y. iš esmės be natrio.</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4.5</w:t>
      </w:r>
      <w:r w:rsidRPr="0003312B">
        <w:rPr>
          <w:b/>
          <w:bCs/>
          <w:color w:val="auto"/>
          <w:sz w:val="22"/>
          <w:szCs w:val="22"/>
          <w:lang w:val="lt-LT"/>
        </w:rPr>
        <w:tab/>
      </w:r>
      <w:r w:rsidRPr="0003312B">
        <w:rPr>
          <w:b/>
          <w:bCs/>
          <w:color w:val="auto"/>
          <w:sz w:val="22"/>
          <w:szCs w:val="22"/>
          <w:lang w:val="lt-LT" w:eastAsia="lt-LT"/>
        </w:rPr>
        <w:t>Sąveika su kitais vaistiniais preparatais ir kitokia sąveika</w:t>
      </w:r>
      <w:r w:rsidRPr="0003312B">
        <w:rPr>
          <w:b/>
          <w:bCs/>
          <w:color w:val="auto"/>
          <w:sz w:val="22"/>
          <w:szCs w:val="22"/>
          <w:lang w:val="lt-LT"/>
        </w:rPr>
        <w:t xml:space="preserve"> </w:t>
      </w:r>
    </w:p>
    <w:p w:rsidR="009E3290" w:rsidRPr="0003312B" w:rsidRDefault="009E3290" w:rsidP="009E3290">
      <w:pPr>
        <w:pStyle w:val="Default"/>
        <w:ind w:left="560" w:hanging="560"/>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eastAsia="lt-LT"/>
        </w:rPr>
        <w:t xml:space="preserve">Manoma, kad </w:t>
      </w:r>
      <w:proofErr w:type="spellStart"/>
      <w:r w:rsidRPr="0003312B">
        <w:rPr>
          <w:rFonts w:ascii="Times New Roman" w:hAnsi="Times New Roman"/>
          <w:sz w:val="22"/>
          <w:szCs w:val="22"/>
          <w:lang w:val="lt-LT" w:eastAsia="lt-LT"/>
        </w:rPr>
        <w:t>metabolinės</w:t>
      </w:r>
      <w:proofErr w:type="spellEnd"/>
      <w:r w:rsidRPr="0003312B">
        <w:rPr>
          <w:rFonts w:ascii="Times New Roman" w:hAnsi="Times New Roman"/>
          <w:sz w:val="22"/>
          <w:szCs w:val="22"/>
          <w:lang w:val="lt-LT" w:eastAsia="lt-LT"/>
        </w:rPr>
        <w:t xml:space="preserve"> sąveikos neturėtų būti, nes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rūgštis neslopina pagrindinių žmogaus kepenų P450 </w:t>
      </w:r>
      <w:proofErr w:type="spellStart"/>
      <w:r w:rsidRPr="0003312B">
        <w:rPr>
          <w:rFonts w:ascii="Times New Roman" w:hAnsi="Times New Roman"/>
          <w:sz w:val="22"/>
          <w:szCs w:val="22"/>
          <w:lang w:val="lt-LT" w:eastAsia="lt-LT"/>
        </w:rPr>
        <w:t>izofermentų</w:t>
      </w:r>
      <w:proofErr w:type="spellEnd"/>
      <w:r w:rsidRPr="0003312B">
        <w:rPr>
          <w:rFonts w:ascii="Times New Roman" w:hAnsi="Times New Roman"/>
          <w:sz w:val="22"/>
          <w:szCs w:val="22"/>
          <w:lang w:val="lt-LT" w:eastAsia="lt-LT"/>
        </w:rPr>
        <w:t xml:space="preserve"> ir nesužadina žiurkių kepenų </w:t>
      </w:r>
      <w:proofErr w:type="spellStart"/>
      <w:r w:rsidRPr="0003312B">
        <w:rPr>
          <w:rFonts w:ascii="Times New Roman" w:hAnsi="Times New Roman"/>
          <w:sz w:val="22"/>
          <w:szCs w:val="22"/>
          <w:lang w:val="lt-LT" w:eastAsia="lt-LT"/>
        </w:rPr>
        <w:t>citochromo</w:t>
      </w:r>
      <w:proofErr w:type="spellEnd"/>
      <w:r w:rsidRPr="0003312B">
        <w:rPr>
          <w:rFonts w:ascii="Times New Roman" w:hAnsi="Times New Roman"/>
          <w:sz w:val="22"/>
          <w:szCs w:val="22"/>
          <w:lang w:val="lt-LT" w:eastAsia="lt-LT"/>
        </w:rPr>
        <w:t xml:space="preserve"> P450 sistemos fermentų (žr. 5.2 skyrių).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rūgštis pasišalina tik per inkstus sekrecijos būdu, jos </w:t>
      </w:r>
      <w:proofErr w:type="spellStart"/>
      <w:r w:rsidRPr="0003312B">
        <w:rPr>
          <w:rFonts w:ascii="Times New Roman" w:hAnsi="Times New Roman"/>
          <w:sz w:val="22"/>
          <w:szCs w:val="22"/>
          <w:lang w:val="lt-LT" w:eastAsia="lt-LT"/>
        </w:rPr>
        <w:t>biotransformacija</w:t>
      </w:r>
      <w:proofErr w:type="spellEnd"/>
      <w:r w:rsidRPr="0003312B">
        <w:rPr>
          <w:rFonts w:ascii="Times New Roman" w:hAnsi="Times New Roman"/>
          <w:sz w:val="22"/>
          <w:szCs w:val="22"/>
          <w:lang w:val="lt-LT" w:eastAsia="lt-LT"/>
        </w:rPr>
        <w:t xml:space="preserve"> nevyksta. </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4.6</w:t>
      </w:r>
      <w:r w:rsidRPr="0003312B">
        <w:rPr>
          <w:b/>
          <w:bCs/>
          <w:color w:val="auto"/>
          <w:sz w:val="22"/>
          <w:szCs w:val="22"/>
          <w:lang w:val="lt-LT"/>
        </w:rPr>
        <w:tab/>
        <w:t>Vaisingumas, nėštumo ir žindymo laikotarpis</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outlineLvl w:val="0"/>
        <w:rPr>
          <w:color w:val="auto"/>
          <w:sz w:val="22"/>
          <w:szCs w:val="22"/>
          <w:u w:val="single"/>
          <w:lang w:val="lt-LT"/>
        </w:rPr>
      </w:pPr>
      <w:r w:rsidRPr="0003312B">
        <w:rPr>
          <w:color w:val="auto"/>
          <w:sz w:val="22"/>
          <w:szCs w:val="22"/>
          <w:u w:val="single"/>
          <w:lang w:val="lt-LT"/>
        </w:rPr>
        <w:t xml:space="preserve">Nėštumas </w:t>
      </w: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rPr>
        <w:t xml:space="preserve">OSSICA yra skirtas vartoti moterims po menopauzės, jo negalima vartoti vaisingo amžiaus moterims.  </w:t>
      </w:r>
      <w:r w:rsidRPr="0003312B">
        <w:rPr>
          <w:rFonts w:ascii="Times New Roman" w:hAnsi="Times New Roman"/>
          <w:sz w:val="22"/>
          <w:szCs w:val="22"/>
          <w:lang w:val="lt-LT" w:eastAsia="lt-LT"/>
        </w:rPr>
        <w:t xml:space="preserve">Nepakanka duomenų apie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skyrimą nėščioms moterims. Tiriant žiurkes, nustatytas toksinis poveikis reprodukcinei sistemai (žr. 5.3 skyrių). Galima rizika žmogui nežinoma. OSSICA negalima vartoti nėštumo metu.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pStyle w:val="Default"/>
        <w:outlineLvl w:val="0"/>
        <w:rPr>
          <w:color w:val="auto"/>
          <w:sz w:val="22"/>
          <w:szCs w:val="22"/>
          <w:u w:val="single"/>
          <w:lang w:val="lt-LT"/>
        </w:rPr>
      </w:pPr>
      <w:r w:rsidRPr="0003312B">
        <w:rPr>
          <w:color w:val="auto"/>
          <w:sz w:val="22"/>
          <w:szCs w:val="22"/>
          <w:u w:val="single"/>
          <w:lang w:val="lt-LT"/>
        </w:rPr>
        <w:t>Žindymas</w:t>
      </w: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lastRenderedPageBreak/>
        <w:t xml:space="preserve">Nežinoma, ar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patenka į moters pieną. Tiriant nustatyta, kad, vaisto sušvirkštus į veną, žindomų žiurkių piene buvo nedaug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OSSICA negalima vartoti žindymo laikotarpiu.</w:t>
      </w:r>
      <w:r w:rsidRPr="00042943">
        <w:rPr>
          <w:rFonts w:ascii="Times New Roman" w:hAnsi="Times New Roman"/>
          <w:sz w:val="22"/>
          <w:szCs w:val="22"/>
          <w:lang w:val="lt-LT"/>
        </w:rPr>
        <w:t xml:space="preserve"> </w:t>
      </w:r>
    </w:p>
    <w:p w:rsidR="009E3290" w:rsidRPr="00042943" w:rsidRDefault="009E3290" w:rsidP="009E3290">
      <w:pPr>
        <w:pStyle w:val="Default"/>
        <w:rPr>
          <w:sz w:val="22"/>
          <w:szCs w:val="22"/>
          <w:u w:val="single"/>
          <w:lang w:val="lt-LT"/>
        </w:rPr>
      </w:pPr>
    </w:p>
    <w:p w:rsidR="009E3290" w:rsidRPr="00042943" w:rsidRDefault="009E3290" w:rsidP="009E3290">
      <w:pPr>
        <w:pStyle w:val="Default"/>
        <w:rPr>
          <w:sz w:val="22"/>
          <w:szCs w:val="22"/>
          <w:lang w:val="lt-LT"/>
        </w:rPr>
      </w:pPr>
      <w:r w:rsidRPr="00042943">
        <w:rPr>
          <w:sz w:val="22"/>
          <w:szCs w:val="22"/>
          <w:u w:val="single"/>
          <w:lang w:val="lt-LT"/>
        </w:rPr>
        <w:t xml:space="preserve">Vaisingumas </w:t>
      </w:r>
    </w:p>
    <w:p w:rsidR="009E3290" w:rsidRPr="00042943" w:rsidRDefault="009E3290" w:rsidP="009E3290">
      <w:pPr>
        <w:pStyle w:val="Default"/>
        <w:ind w:left="567" w:hanging="568"/>
        <w:rPr>
          <w:sz w:val="22"/>
          <w:szCs w:val="22"/>
          <w:lang w:val="lt-LT"/>
        </w:rPr>
      </w:pPr>
      <w:r w:rsidRPr="00042943">
        <w:rPr>
          <w:sz w:val="22"/>
          <w:szCs w:val="22"/>
          <w:lang w:val="lt-LT"/>
        </w:rPr>
        <w:t xml:space="preserve">Duomenų apie </w:t>
      </w:r>
      <w:proofErr w:type="spellStart"/>
      <w:r w:rsidRPr="00042943">
        <w:rPr>
          <w:sz w:val="22"/>
          <w:szCs w:val="22"/>
          <w:lang w:val="lt-LT"/>
        </w:rPr>
        <w:t>ibandrono</w:t>
      </w:r>
      <w:proofErr w:type="spellEnd"/>
      <w:r w:rsidRPr="00042943">
        <w:rPr>
          <w:sz w:val="22"/>
          <w:szCs w:val="22"/>
          <w:lang w:val="lt-LT"/>
        </w:rPr>
        <w:t xml:space="preserve"> rūgšties poveikius žmonėms nėra. Poveikio žiurkių reprodukcijai tyrimų </w:t>
      </w:r>
    </w:p>
    <w:p w:rsidR="009E3290" w:rsidRPr="00042943" w:rsidRDefault="009E3290" w:rsidP="009E3290">
      <w:pPr>
        <w:pStyle w:val="Default"/>
        <w:ind w:left="567" w:hanging="568"/>
        <w:rPr>
          <w:sz w:val="22"/>
          <w:szCs w:val="22"/>
          <w:lang w:val="lt-LT"/>
        </w:rPr>
      </w:pPr>
      <w:r w:rsidRPr="00042943">
        <w:rPr>
          <w:sz w:val="22"/>
          <w:szCs w:val="22"/>
          <w:lang w:val="lt-LT"/>
        </w:rPr>
        <w:t xml:space="preserve">metu geriamoji </w:t>
      </w:r>
      <w:proofErr w:type="spellStart"/>
      <w:r w:rsidRPr="00042943">
        <w:rPr>
          <w:sz w:val="22"/>
          <w:szCs w:val="22"/>
          <w:lang w:val="lt-LT"/>
        </w:rPr>
        <w:t>ibandrono</w:t>
      </w:r>
      <w:proofErr w:type="spellEnd"/>
      <w:r w:rsidRPr="00042943">
        <w:rPr>
          <w:sz w:val="22"/>
          <w:szCs w:val="22"/>
          <w:lang w:val="lt-LT"/>
        </w:rPr>
        <w:t xml:space="preserve"> rūgštis vaisingumą sumažino. Tyrimų su žiurkėmis metu suleistos į veną </w:t>
      </w:r>
    </w:p>
    <w:p w:rsidR="009E3290" w:rsidRPr="00042943" w:rsidRDefault="009E3290" w:rsidP="009E3290">
      <w:pPr>
        <w:pStyle w:val="Default"/>
        <w:ind w:left="567" w:hanging="568"/>
        <w:rPr>
          <w:sz w:val="22"/>
          <w:szCs w:val="22"/>
          <w:lang w:val="lt-LT"/>
        </w:rPr>
      </w:pPr>
      <w:r w:rsidRPr="00042943">
        <w:rPr>
          <w:sz w:val="22"/>
          <w:szCs w:val="22"/>
          <w:lang w:val="lt-LT"/>
        </w:rPr>
        <w:t xml:space="preserve">didelės </w:t>
      </w:r>
      <w:proofErr w:type="spellStart"/>
      <w:r w:rsidRPr="00042943">
        <w:rPr>
          <w:sz w:val="22"/>
          <w:szCs w:val="22"/>
          <w:lang w:val="lt-LT"/>
        </w:rPr>
        <w:t>ibandrono</w:t>
      </w:r>
      <w:proofErr w:type="spellEnd"/>
      <w:r w:rsidRPr="00042943">
        <w:rPr>
          <w:sz w:val="22"/>
          <w:szCs w:val="22"/>
          <w:lang w:val="lt-LT"/>
        </w:rPr>
        <w:t xml:space="preserve"> rūgšties paros dozės vaisingumą sumažino (žr. 5.3 skyrių). </w:t>
      </w:r>
    </w:p>
    <w:p w:rsidR="009E3290" w:rsidRPr="00042943" w:rsidRDefault="009E3290" w:rsidP="009E3290">
      <w:pPr>
        <w:pStyle w:val="Default"/>
        <w:ind w:left="567" w:hanging="568"/>
        <w:rPr>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4.7</w:t>
      </w:r>
      <w:r w:rsidRPr="0003312B">
        <w:rPr>
          <w:b/>
          <w:bCs/>
          <w:color w:val="auto"/>
          <w:sz w:val="22"/>
          <w:szCs w:val="22"/>
          <w:lang w:val="lt-LT"/>
        </w:rPr>
        <w:tab/>
        <w:t xml:space="preserve">Poveikis gebėjimui vairuoti ir valdyti mechanizmus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rPr>
          <w:color w:val="auto"/>
          <w:sz w:val="22"/>
          <w:szCs w:val="22"/>
          <w:lang w:val="lt-LT"/>
        </w:rPr>
      </w:pPr>
      <w:r w:rsidRPr="0003312B">
        <w:rPr>
          <w:sz w:val="22"/>
          <w:szCs w:val="22"/>
          <w:lang w:val="lt-LT"/>
        </w:rPr>
        <w:t xml:space="preserve">Remiantis farmakodinamika ir </w:t>
      </w:r>
      <w:proofErr w:type="spellStart"/>
      <w:r w:rsidRPr="0003312B">
        <w:rPr>
          <w:sz w:val="22"/>
          <w:szCs w:val="22"/>
          <w:lang w:val="lt-LT"/>
        </w:rPr>
        <w:t>farmakokinetika</w:t>
      </w:r>
      <w:proofErr w:type="spellEnd"/>
      <w:r w:rsidRPr="0003312B">
        <w:rPr>
          <w:sz w:val="22"/>
          <w:szCs w:val="22"/>
          <w:lang w:val="lt-LT"/>
        </w:rPr>
        <w:t xml:space="preserve"> bei pastebėtomis nepageidaujamomis reakcijomis manoma, kad OSSICA gebėjimo vairuoti ir valdyti mechanizmus neveikia arba veikia nereikšmingai.</w:t>
      </w:r>
    </w:p>
    <w:p w:rsidR="009E3290" w:rsidRPr="0003312B" w:rsidRDefault="009E3290" w:rsidP="009E3290">
      <w:pPr>
        <w:pStyle w:val="Default"/>
        <w:ind w:left="560" w:hanging="560"/>
        <w:outlineLvl w:val="0"/>
        <w:rPr>
          <w:b/>
          <w:bCs/>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4.8</w:t>
      </w:r>
      <w:r w:rsidRPr="0003312B">
        <w:rPr>
          <w:b/>
          <w:bCs/>
          <w:color w:val="auto"/>
          <w:sz w:val="22"/>
          <w:szCs w:val="22"/>
          <w:lang w:val="lt-LT"/>
        </w:rPr>
        <w:tab/>
        <w:t xml:space="preserve">Šalutinis poveikis </w:t>
      </w:r>
    </w:p>
    <w:p w:rsidR="009E3290" w:rsidRPr="0003312B" w:rsidRDefault="009E3290" w:rsidP="009E3290">
      <w:pPr>
        <w:pStyle w:val="Default"/>
        <w:rPr>
          <w:sz w:val="22"/>
          <w:szCs w:val="22"/>
          <w:u w:val="single"/>
          <w:lang w:val="lt-LT"/>
        </w:rPr>
      </w:pPr>
    </w:p>
    <w:p w:rsidR="009E3290" w:rsidRPr="0003312B" w:rsidRDefault="009E3290" w:rsidP="009E3290">
      <w:pPr>
        <w:pStyle w:val="Default"/>
        <w:rPr>
          <w:sz w:val="22"/>
          <w:szCs w:val="22"/>
          <w:lang w:val="lt-LT"/>
        </w:rPr>
      </w:pPr>
      <w:r w:rsidRPr="0003312B">
        <w:rPr>
          <w:sz w:val="22"/>
          <w:szCs w:val="22"/>
          <w:u w:val="single"/>
          <w:lang w:val="lt-LT"/>
        </w:rPr>
        <w:t xml:space="preserve">Saugumo duomenų santrauka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Dažniausios sunkios nepageidaujamos reakcijos yra anafilaksinė reakcija/šokas, atipiniai šlaunikaulio lūžiai, žandikaulio </w:t>
      </w:r>
      <w:proofErr w:type="spellStart"/>
      <w:r w:rsidRPr="0003312B">
        <w:rPr>
          <w:color w:val="auto"/>
          <w:sz w:val="22"/>
          <w:szCs w:val="22"/>
          <w:lang w:val="lt-LT"/>
        </w:rPr>
        <w:t>osteonekrozė</w:t>
      </w:r>
      <w:proofErr w:type="spellEnd"/>
      <w:r w:rsidRPr="0003312B">
        <w:rPr>
          <w:color w:val="auto"/>
          <w:sz w:val="22"/>
          <w:szCs w:val="22"/>
          <w:lang w:val="lt-LT"/>
        </w:rPr>
        <w:t xml:space="preserve"> ir akių uždegimas (žr. skirsnį „</w:t>
      </w:r>
      <w:r w:rsidRPr="0003312B">
        <w:rPr>
          <w:sz w:val="22"/>
          <w:szCs w:val="22"/>
          <w:u w:val="single"/>
          <w:lang w:val="lt-LT"/>
        </w:rPr>
        <w:t xml:space="preserve">Kai kurių nepageidaujamų reakcijų aprašymas” ir 4.4 skyrių). </w:t>
      </w:r>
      <w:r w:rsidRPr="0003312B">
        <w:rPr>
          <w:sz w:val="22"/>
          <w:szCs w:val="22"/>
          <w:lang w:val="lt-LT"/>
        </w:rPr>
        <w:t>Dažniausiai pastebėtos nepageidaujamos reakcijos yra sąnarių skausmas bei į gripą panašūs simptomai. Šie simptomai paprastai būna susiję su pirmąja doze, trunka neilgai, yra nesunkūs ar vidutinio sunkumo, toliau vartojant preparatą paprastai praeina savaime be gydymo vaistais (žiūrėkite paragrafą „Į gripą panaši liga“).</w:t>
      </w:r>
    </w:p>
    <w:p w:rsidR="009E3290" w:rsidRPr="0003312B" w:rsidRDefault="009E3290" w:rsidP="009E3290">
      <w:pPr>
        <w:pStyle w:val="Default"/>
        <w:rPr>
          <w:sz w:val="22"/>
          <w:szCs w:val="22"/>
          <w:u w:val="single"/>
          <w:lang w:val="lt-LT"/>
        </w:rPr>
      </w:pPr>
    </w:p>
    <w:p w:rsidR="009E3290" w:rsidRPr="0003312B" w:rsidRDefault="009E3290" w:rsidP="009E3290">
      <w:pPr>
        <w:pStyle w:val="Default"/>
        <w:rPr>
          <w:sz w:val="22"/>
          <w:szCs w:val="22"/>
          <w:lang w:val="lt-LT"/>
        </w:rPr>
      </w:pPr>
      <w:r w:rsidRPr="0003312B">
        <w:rPr>
          <w:sz w:val="22"/>
          <w:szCs w:val="22"/>
          <w:u w:val="single"/>
          <w:lang w:val="lt-LT"/>
        </w:rPr>
        <w:t xml:space="preserve">Nepageidaujamų reakcijų santrauka lentelėje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rPr>
        <w:t xml:space="preserve">Visų žinomų nepageidaujamų reakcijų apžvalga yra pateikta 1-oje lentelėje.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Geriamųjų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2,5 mg tablečių vieną kartą per parą saugumas buvo vertinamas pagal 1251 pacientės, vartojusios preparatą keturių </w:t>
      </w:r>
      <w:proofErr w:type="spellStart"/>
      <w:r w:rsidRPr="0003312B">
        <w:rPr>
          <w:rFonts w:ascii="Times New Roman" w:hAnsi="Times New Roman"/>
          <w:sz w:val="22"/>
          <w:szCs w:val="22"/>
          <w:lang w:val="lt-LT" w:eastAsia="lt-LT"/>
        </w:rPr>
        <w:t>placebu</w:t>
      </w:r>
      <w:proofErr w:type="spellEnd"/>
      <w:r w:rsidRPr="0003312B">
        <w:rPr>
          <w:rFonts w:ascii="Times New Roman" w:hAnsi="Times New Roman"/>
          <w:sz w:val="22"/>
          <w:szCs w:val="22"/>
          <w:lang w:val="lt-LT" w:eastAsia="lt-LT"/>
        </w:rPr>
        <w:t xml:space="preserve"> kontroliuojamų klinikinių tyrimų metu (dauguma pacienčių dalyvavo pagrindiniame trejų metų tyrime (MF 4411), duomenis.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Dvejų metų pagrindinio tyrimo (BM16550), kuriame dalyvavo osteoporoze sergančios moterys po menopauzės, metu į veną švirkščiamos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po 3 mg kas 3 mėnesius ir geriamosios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po 2,5 mg vieną kartą per parą bendrieji saugumo duomenys buvo panašūs. Bendroji pacienčių, patyrusių šalutinį poveikį vartojant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rūgštį po 3 mg injekcijomis kas 3 mėnesius, dalis po pirmųjų ir antrųjų metų atitinkamai buvo 26% ir 28,6. Dėl nepageidaujamų reakcijų pasireiškimo gydymo dažniausiai nutraukti nereikėjo.</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rPr>
          <w:sz w:val="22"/>
          <w:szCs w:val="22"/>
          <w:lang w:val="lt-LT"/>
        </w:rPr>
      </w:pPr>
      <w:r w:rsidRPr="0003312B">
        <w:rPr>
          <w:sz w:val="22"/>
          <w:szCs w:val="22"/>
          <w:lang w:val="lt-LT"/>
        </w:rPr>
        <w:t xml:space="preserve">Nepageidaujamos reakcijos yra išvardytos pagal </w:t>
      </w:r>
      <w:proofErr w:type="spellStart"/>
      <w:r w:rsidRPr="0003312B">
        <w:rPr>
          <w:sz w:val="22"/>
          <w:szCs w:val="22"/>
          <w:lang w:val="lt-LT"/>
        </w:rPr>
        <w:t>MedDRA</w:t>
      </w:r>
      <w:proofErr w:type="spellEnd"/>
      <w:r w:rsidRPr="0003312B">
        <w:rPr>
          <w:sz w:val="22"/>
          <w:szCs w:val="22"/>
          <w:lang w:val="lt-LT"/>
        </w:rPr>
        <w:t xml:space="preserve"> organų sistemų klases ir dažnį. Nepageidaujamo poveikio dažnis apibūdinamas taip:: labai dažnas (≥ 1/10), dažnas (nuo ≥ 1/100 iki &lt; 1/10), nedažnas (nuo ≥ 1/1 000 iki &lt; 1/100), retas (nuo ≥ 1/10 000 iki &lt; 1/1 000), labai retas (&lt; 1/10 000), dažnis nežinomas (negali būti apskaičiuotas pagal turimus duomenis). Kiekvienoje dažnio grupėje nepageidaujamos reakcijos išdėstytos mažėjančio sunkumo tvarka.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rPr>
        <w:lastRenderedPageBreak/>
        <w:t xml:space="preserve">1 lentelė. </w:t>
      </w:r>
      <w:r w:rsidRPr="0003312B">
        <w:rPr>
          <w:rFonts w:ascii="Times New Roman" w:hAnsi="Times New Roman"/>
          <w:sz w:val="22"/>
          <w:szCs w:val="22"/>
          <w:lang w:val="lt-LT" w:eastAsia="lt-LT"/>
        </w:rPr>
        <w:t xml:space="preserve">Nepageidaujamos reakcijos, pasitaikiusios III fazės BM16550 ir MF4411 tyrimų metu ir vaistui esant rinkoje, kai moterys po menopauzės vartojo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rūgštį po 3 mg injekcijomis kas 3 mėnesius arba gėrė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rūgštį po 2,5 mg kasdien.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438"/>
        <w:gridCol w:w="2257"/>
        <w:gridCol w:w="1949"/>
        <w:gridCol w:w="1668"/>
      </w:tblGrid>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jc w:val="both"/>
              <w:rPr>
                <w:rFonts w:ascii="Times New Roman" w:hAnsi="Times New Roman"/>
                <w:sz w:val="22"/>
                <w:lang w:val="lt-LT"/>
              </w:rPr>
            </w:pPr>
            <w:r w:rsidRPr="00042943">
              <w:rPr>
                <w:rFonts w:ascii="Times New Roman" w:hAnsi="Times New Roman"/>
                <w:sz w:val="22"/>
                <w:szCs w:val="22"/>
                <w:lang w:val="lt-LT" w:eastAsia="lt-LT"/>
              </w:rPr>
              <w:t>Organų sistemų klasės</w:t>
            </w:r>
          </w:p>
        </w:tc>
        <w:tc>
          <w:tcPr>
            <w:tcW w:w="143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jc w:val="both"/>
              <w:rPr>
                <w:rFonts w:ascii="Times New Roman" w:hAnsi="Times New Roman"/>
                <w:sz w:val="22"/>
                <w:szCs w:val="22"/>
                <w:lang w:val="lt-LT" w:eastAsia="lt-LT"/>
              </w:rPr>
            </w:pPr>
            <w:r w:rsidRPr="00042943">
              <w:rPr>
                <w:rFonts w:ascii="Times New Roman" w:hAnsi="Times New Roman"/>
                <w:sz w:val="22"/>
                <w:szCs w:val="22"/>
                <w:lang w:val="lt-LT" w:eastAsia="lt-LT"/>
              </w:rPr>
              <w:t>Dažnas</w:t>
            </w:r>
          </w:p>
        </w:tc>
        <w:tc>
          <w:tcPr>
            <w:tcW w:w="2257"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jc w:val="both"/>
              <w:rPr>
                <w:rFonts w:ascii="Times New Roman" w:hAnsi="Times New Roman"/>
                <w:sz w:val="22"/>
                <w:szCs w:val="22"/>
                <w:lang w:val="lt-LT" w:eastAsia="lt-LT"/>
              </w:rPr>
            </w:pPr>
            <w:r w:rsidRPr="00042943">
              <w:rPr>
                <w:rFonts w:ascii="Times New Roman" w:hAnsi="Times New Roman"/>
                <w:sz w:val="22"/>
                <w:szCs w:val="22"/>
                <w:lang w:val="lt-LT" w:eastAsia="lt-LT"/>
              </w:rPr>
              <w:t>Nedažnas</w:t>
            </w:r>
          </w:p>
        </w:tc>
        <w:tc>
          <w:tcPr>
            <w:tcW w:w="1949"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jc w:val="both"/>
              <w:rPr>
                <w:rFonts w:ascii="Times New Roman" w:hAnsi="Times New Roman"/>
                <w:sz w:val="22"/>
                <w:szCs w:val="22"/>
                <w:lang w:val="lt-LT" w:eastAsia="lt-LT"/>
              </w:rPr>
            </w:pPr>
            <w:r w:rsidRPr="00042943">
              <w:rPr>
                <w:rFonts w:ascii="Times New Roman" w:hAnsi="Times New Roman"/>
                <w:sz w:val="22"/>
                <w:szCs w:val="22"/>
                <w:lang w:val="lt-LT" w:eastAsia="lt-LT"/>
              </w:rPr>
              <w:t>Retas</w:t>
            </w:r>
          </w:p>
        </w:tc>
        <w:tc>
          <w:tcPr>
            <w:tcW w:w="166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jc w:val="both"/>
              <w:rPr>
                <w:rFonts w:ascii="Times New Roman" w:hAnsi="Times New Roman"/>
                <w:sz w:val="22"/>
                <w:szCs w:val="22"/>
                <w:lang w:val="lt-LT" w:eastAsia="lt-LT"/>
              </w:rPr>
            </w:pPr>
            <w:r w:rsidRPr="00042943">
              <w:rPr>
                <w:rFonts w:ascii="Times New Roman" w:hAnsi="Times New Roman"/>
                <w:sz w:val="22"/>
                <w:szCs w:val="22"/>
                <w:lang w:val="lt-LT" w:eastAsia="lt-LT"/>
              </w:rPr>
              <w:t>Labai retas</w:t>
            </w:r>
          </w:p>
        </w:tc>
      </w:tr>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Imuninės sistemos sutrikimai</w:t>
            </w:r>
          </w:p>
        </w:tc>
        <w:tc>
          <w:tcPr>
            <w:tcW w:w="143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2257"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Bronchų astmos paūmėjimas</w:t>
            </w:r>
          </w:p>
        </w:tc>
        <w:tc>
          <w:tcPr>
            <w:tcW w:w="1949"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Padidėjusio jautrumo reakcija</w:t>
            </w:r>
          </w:p>
        </w:tc>
        <w:tc>
          <w:tcPr>
            <w:tcW w:w="166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52"/>
            </w:tblGrid>
            <w:tr w:rsidR="009E3290" w:rsidRPr="0003312B" w:rsidTr="00DA32C5">
              <w:trPr>
                <w:trHeight w:val="398"/>
              </w:trPr>
              <w:tc>
                <w:tcPr>
                  <w:tcW w:w="0" w:type="auto"/>
                  <w:tcBorders>
                    <w:top w:val="nil"/>
                    <w:left w:val="nil"/>
                    <w:bottom w:val="nil"/>
                    <w:right w:val="nil"/>
                  </w:tcBorders>
                  <w:hideMark/>
                </w:tcPr>
                <w:p w:rsidR="009E3290" w:rsidRPr="00042943" w:rsidRDefault="009E3290" w:rsidP="00DA32C5">
                  <w:pPr>
                    <w:pStyle w:val="Default"/>
                    <w:rPr>
                      <w:sz w:val="22"/>
                      <w:szCs w:val="22"/>
                      <w:lang w:val="lt-LT"/>
                    </w:rPr>
                  </w:pPr>
                  <w:r w:rsidRPr="00042943">
                    <w:rPr>
                      <w:sz w:val="22"/>
                      <w:szCs w:val="22"/>
                      <w:lang w:val="lt-LT"/>
                    </w:rPr>
                    <w:t xml:space="preserve">Anafilaksinė reakcija ar šokas*† </w:t>
                  </w:r>
                </w:p>
              </w:tc>
            </w:tr>
          </w:tbl>
          <w:p w:rsidR="009E3290" w:rsidRPr="00042943" w:rsidRDefault="009E3290" w:rsidP="00DA32C5">
            <w:pPr>
              <w:rPr>
                <w:rFonts w:ascii="Times New Roman" w:hAnsi="Times New Roman"/>
                <w:sz w:val="22"/>
                <w:lang w:val="lt-LT"/>
              </w:rPr>
            </w:pPr>
          </w:p>
        </w:tc>
      </w:tr>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Nervų sistemos sutrikimai</w:t>
            </w:r>
          </w:p>
        </w:tc>
        <w:tc>
          <w:tcPr>
            <w:tcW w:w="143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Galvos skausmas</w:t>
            </w:r>
          </w:p>
        </w:tc>
        <w:tc>
          <w:tcPr>
            <w:tcW w:w="2257"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1949"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p>
        </w:tc>
        <w:tc>
          <w:tcPr>
            <w:tcW w:w="166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r>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Akių sutrikimai</w:t>
            </w:r>
          </w:p>
        </w:tc>
        <w:tc>
          <w:tcPr>
            <w:tcW w:w="143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2257"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1949"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Akių uždegimas*†</w:t>
            </w:r>
          </w:p>
        </w:tc>
        <w:tc>
          <w:tcPr>
            <w:tcW w:w="166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r>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Kraujagyslių sutrikimai</w:t>
            </w:r>
          </w:p>
        </w:tc>
        <w:tc>
          <w:tcPr>
            <w:tcW w:w="143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2257"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Flebitas/</w:t>
            </w:r>
            <w:proofErr w:type="spellStart"/>
            <w:r w:rsidRPr="00042943">
              <w:rPr>
                <w:rFonts w:ascii="Times New Roman" w:hAnsi="Times New Roman"/>
                <w:sz w:val="22"/>
                <w:szCs w:val="22"/>
                <w:lang w:val="lt-LT" w:eastAsia="lt-LT"/>
              </w:rPr>
              <w:t>tromboflebitas</w:t>
            </w:r>
            <w:proofErr w:type="spellEnd"/>
          </w:p>
        </w:tc>
        <w:tc>
          <w:tcPr>
            <w:tcW w:w="1949"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166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r>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Virškinimo trakto sutrikimai</w:t>
            </w:r>
          </w:p>
        </w:tc>
        <w:tc>
          <w:tcPr>
            <w:tcW w:w="143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3312B">
              <w:rPr>
                <w:rFonts w:ascii="Times New Roman" w:hAnsi="Times New Roman"/>
                <w:sz w:val="22"/>
                <w:szCs w:val="22"/>
                <w:lang w:val="lt-LT" w:eastAsia="lt-LT"/>
              </w:rPr>
              <w:t xml:space="preserve">Gastritas, dispepsija, </w:t>
            </w:r>
            <w:proofErr w:type="spellStart"/>
            <w:r w:rsidRPr="0003312B">
              <w:rPr>
                <w:rFonts w:ascii="Times New Roman" w:hAnsi="Times New Roman"/>
                <w:sz w:val="22"/>
                <w:szCs w:val="22"/>
                <w:lang w:val="lt-LT" w:eastAsia="lt-LT"/>
              </w:rPr>
              <w:t>diarėja</w:t>
            </w:r>
            <w:proofErr w:type="spellEnd"/>
            <w:r w:rsidRPr="0003312B">
              <w:rPr>
                <w:rFonts w:ascii="Times New Roman" w:hAnsi="Times New Roman"/>
                <w:sz w:val="22"/>
                <w:szCs w:val="22"/>
                <w:lang w:val="lt-LT" w:eastAsia="lt-LT"/>
              </w:rPr>
              <w:t>, pilvo skausmas, pykinimas, vidurių užkietėjimas</w:t>
            </w:r>
          </w:p>
        </w:tc>
        <w:tc>
          <w:tcPr>
            <w:tcW w:w="2257"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1949"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166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r>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3312B">
              <w:rPr>
                <w:rFonts w:ascii="Times New Roman" w:hAnsi="Times New Roman"/>
                <w:sz w:val="22"/>
                <w:szCs w:val="22"/>
                <w:lang w:val="lt-LT" w:eastAsia="lt-LT"/>
              </w:rPr>
              <w:t>Odos ir poodinio audinio sutrikimai</w:t>
            </w:r>
          </w:p>
        </w:tc>
        <w:tc>
          <w:tcPr>
            <w:tcW w:w="143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Bėrimas</w:t>
            </w:r>
          </w:p>
        </w:tc>
        <w:tc>
          <w:tcPr>
            <w:tcW w:w="2257"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1949"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proofErr w:type="spellStart"/>
            <w:r w:rsidRPr="0003312B">
              <w:rPr>
                <w:rFonts w:ascii="Times New Roman" w:hAnsi="Times New Roman"/>
                <w:sz w:val="22"/>
                <w:szCs w:val="22"/>
                <w:lang w:val="lt-LT" w:eastAsia="lt-LT"/>
              </w:rPr>
              <w:t>Angioedema</w:t>
            </w:r>
            <w:proofErr w:type="spellEnd"/>
            <w:r w:rsidRPr="0003312B">
              <w:rPr>
                <w:rFonts w:ascii="Times New Roman" w:hAnsi="Times New Roman"/>
                <w:sz w:val="22"/>
                <w:szCs w:val="22"/>
                <w:lang w:val="lt-LT" w:eastAsia="lt-LT"/>
              </w:rPr>
              <w:t>, veido tinimas/edema, dilgėlinė</w:t>
            </w:r>
          </w:p>
        </w:tc>
        <w:tc>
          <w:tcPr>
            <w:tcW w:w="166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proofErr w:type="spellStart"/>
            <w:r w:rsidRPr="00042943">
              <w:rPr>
                <w:rFonts w:ascii="Times New Roman" w:hAnsi="Times New Roman"/>
                <w:sz w:val="22"/>
                <w:szCs w:val="22"/>
                <w:lang w:val="lt-LT" w:eastAsia="lt-LT"/>
              </w:rPr>
              <w:t>Stivenso</w:t>
            </w:r>
            <w:proofErr w:type="spellEnd"/>
            <w:r w:rsidRPr="00042943">
              <w:rPr>
                <w:rFonts w:ascii="Times New Roman" w:hAnsi="Times New Roman"/>
                <w:sz w:val="22"/>
                <w:szCs w:val="22"/>
                <w:lang w:val="lt-LT" w:eastAsia="lt-LT"/>
              </w:rPr>
              <w:t>- Džonsono (</w:t>
            </w:r>
            <w:proofErr w:type="spellStart"/>
            <w:r w:rsidRPr="009B4D79">
              <w:rPr>
                <w:rFonts w:ascii="Times New Roman" w:hAnsi="Times New Roman"/>
                <w:i/>
                <w:sz w:val="22"/>
                <w:szCs w:val="22"/>
                <w:lang w:val="lt-LT" w:eastAsia="lt-LT"/>
              </w:rPr>
              <w:t>Stevens-Johnson</w:t>
            </w:r>
            <w:proofErr w:type="spellEnd"/>
            <w:r w:rsidRPr="00042943">
              <w:rPr>
                <w:rFonts w:ascii="Times New Roman" w:hAnsi="Times New Roman"/>
                <w:sz w:val="22"/>
                <w:szCs w:val="22"/>
                <w:lang w:val="lt-LT" w:eastAsia="lt-LT"/>
              </w:rPr>
              <w:t xml:space="preserve">) sindromas†, daugiaformė </w:t>
            </w:r>
            <w:proofErr w:type="spellStart"/>
            <w:r w:rsidRPr="00042943">
              <w:rPr>
                <w:rFonts w:ascii="Times New Roman" w:hAnsi="Times New Roman"/>
                <w:sz w:val="22"/>
                <w:szCs w:val="22"/>
                <w:lang w:val="lt-LT" w:eastAsia="lt-LT"/>
              </w:rPr>
              <w:t>eritema</w:t>
            </w:r>
            <w:proofErr w:type="spellEnd"/>
            <w:r w:rsidRPr="00042943">
              <w:rPr>
                <w:rFonts w:ascii="Times New Roman" w:hAnsi="Times New Roman"/>
                <w:sz w:val="22"/>
                <w:szCs w:val="22"/>
                <w:lang w:val="lt-LT" w:eastAsia="lt-LT"/>
              </w:rPr>
              <w:t xml:space="preserve">†, </w:t>
            </w:r>
            <w:proofErr w:type="spellStart"/>
            <w:r w:rsidRPr="00042943">
              <w:rPr>
                <w:rFonts w:ascii="Times New Roman" w:hAnsi="Times New Roman"/>
                <w:sz w:val="22"/>
                <w:szCs w:val="22"/>
                <w:lang w:val="lt-LT" w:eastAsia="lt-LT"/>
              </w:rPr>
              <w:t>pūslinis</w:t>
            </w:r>
            <w:proofErr w:type="spellEnd"/>
            <w:r w:rsidRPr="00042943">
              <w:rPr>
                <w:rFonts w:ascii="Times New Roman" w:hAnsi="Times New Roman"/>
                <w:sz w:val="22"/>
                <w:szCs w:val="22"/>
                <w:lang w:val="lt-LT" w:eastAsia="lt-LT"/>
              </w:rPr>
              <w:t xml:space="preserve"> dermatitas†</w:t>
            </w:r>
          </w:p>
        </w:tc>
      </w:tr>
      <w:tr w:rsidR="009E3290" w:rsidRPr="0081226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3312B">
              <w:rPr>
                <w:rFonts w:ascii="Times New Roman" w:hAnsi="Times New Roman"/>
                <w:sz w:val="22"/>
                <w:szCs w:val="22"/>
                <w:lang w:val="lt-LT" w:eastAsia="lt-LT"/>
              </w:rPr>
              <w:t>Skeleto, raumenų ir jungiamojo audinio sutrikimai</w:t>
            </w:r>
          </w:p>
        </w:tc>
        <w:tc>
          <w:tcPr>
            <w:tcW w:w="143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proofErr w:type="spellStart"/>
            <w:r w:rsidRPr="0003312B">
              <w:rPr>
                <w:rFonts w:ascii="Times New Roman" w:hAnsi="Times New Roman"/>
                <w:sz w:val="22"/>
                <w:szCs w:val="22"/>
                <w:lang w:val="lt-LT" w:eastAsia="lt-LT"/>
              </w:rPr>
              <w:t>Artralgija</w:t>
            </w:r>
            <w:proofErr w:type="spellEnd"/>
            <w:r w:rsidRPr="0003312B">
              <w:rPr>
                <w:rFonts w:ascii="Times New Roman" w:hAnsi="Times New Roman"/>
                <w:sz w:val="22"/>
                <w:szCs w:val="22"/>
                <w:lang w:val="lt-LT" w:eastAsia="lt-LT"/>
              </w:rPr>
              <w:t xml:space="preserve">, </w:t>
            </w:r>
            <w:proofErr w:type="spellStart"/>
            <w:r w:rsidRPr="0003312B">
              <w:rPr>
                <w:rFonts w:ascii="Times New Roman" w:hAnsi="Times New Roman"/>
                <w:sz w:val="22"/>
                <w:szCs w:val="22"/>
                <w:lang w:val="lt-LT" w:eastAsia="lt-LT"/>
              </w:rPr>
              <w:t>mialgija</w:t>
            </w:r>
            <w:proofErr w:type="spellEnd"/>
            <w:r w:rsidRPr="0003312B">
              <w:rPr>
                <w:rFonts w:ascii="Times New Roman" w:hAnsi="Times New Roman"/>
                <w:sz w:val="22"/>
                <w:szCs w:val="22"/>
                <w:lang w:val="lt-LT" w:eastAsia="lt-LT"/>
              </w:rPr>
              <w:t>, skeleto raumenų skausmas, nugaros skausmas</w:t>
            </w:r>
          </w:p>
        </w:tc>
        <w:tc>
          <w:tcPr>
            <w:tcW w:w="2257"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szCs w:val="22"/>
                <w:lang w:val="lt-LT" w:eastAsia="lt-LT"/>
              </w:rPr>
              <w:t>Kaulų skausmas</w:t>
            </w:r>
          </w:p>
        </w:tc>
        <w:tc>
          <w:tcPr>
            <w:tcW w:w="1949"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pStyle w:val="Default"/>
              <w:rPr>
                <w:sz w:val="22"/>
                <w:szCs w:val="22"/>
                <w:lang w:val="lt-LT"/>
              </w:rPr>
            </w:pPr>
            <w:r w:rsidRPr="00042943">
              <w:rPr>
                <w:sz w:val="22"/>
                <w:szCs w:val="22"/>
                <w:lang w:val="lt-LT"/>
              </w:rPr>
              <w:t xml:space="preserve">Atipiniai šlaunikaulio </w:t>
            </w:r>
            <w:proofErr w:type="spellStart"/>
            <w:r w:rsidRPr="00042943">
              <w:rPr>
                <w:sz w:val="22"/>
                <w:szCs w:val="22"/>
                <w:lang w:val="lt-LT"/>
              </w:rPr>
              <w:t>pogūbriniai</w:t>
            </w:r>
            <w:proofErr w:type="spellEnd"/>
            <w:r w:rsidRPr="00042943">
              <w:rPr>
                <w:sz w:val="22"/>
                <w:szCs w:val="22"/>
                <w:lang w:val="lt-LT"/>
              </w:rPr>
              <w:t xml:space="preserve"> ir </w:t>
            </w:r>
            <w:proofErr w:type="spellStart"/>
            <w:r w:rsidRPr="00042943">
              <w:rPr>
                <w:sz w:val="22"/>
                <w:szCs w:val="22"/>
                <w:lang w:val="lt-LT"/>
              </w:rPr>
              <w:t>diafizės</w:t>
            </w:r>
            <w:proofErr w:type="spellEnd"/>
            <w:r w:rsidRPr="00042943">
              <w:rPr>
                <w:sz w:val="22"/>
                <w:szCs w:val="22"/>
                <w:lang w:val="lt-LT"/>
              </w:rPr>
              <w:t xml:space="preserve"> lūžiai† </w:t>
            </w:r>
          </w:p>
          <w:p w:rsidR="009E3290" w:rsidRPr="00042943" w:rsidRDefault="009E3290" w:rsidP="00DA32C5">
            <w:pPr>
              <w:rPr>
                <w:rFonts w:ascii="Times New Roman" w:hAnsi="Times New Roman"/>
                <w:sz w:val="22"/>
                <w:szCs w:val="22"/>
                <w:lang w:val="lt-LT" w:eastAsia="lt-LT"/>
              </w:rPr>
            </w:pPr>
          </w:p>
        </w:tc>
        <w:tc>
          <w:tcPr>
            <w:tcW w:w="166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3312B">
              <w:rPr>
                <w:rFonts w:ascii="Times New Roman" w:hAnsi="Times New Roman"/>
                <w:sz w:val="22"/>
                <w:szCs w:val="22"/>
                <w:lang w:val="lt-LT" w:eastAsia="lt-LT"/>
              </w:rPr>
              <w:t xml:space="preserve">Žandikaulio </w:t>
            </w:r>
            <w:proofErr w:type="spellStart"/>
            <w:r w:rsidRPr="0003312B">
              <w:rPr>
                <w:rFonts w:ascii="Times New Roman" w:hAnsi="Times New Roman"/>
                <w:sz w:val="22"/>
                <w:szCs w:val="22"/>
                <w:lang w:val="lt-LT" w:eastAsia="lt-LT"/>
              </w:rPr>
              <w:t>osteonekrozė</w:t>
            </w:r>
            <w:proofErr w:type="spellEnd"/>
            <w:r w:rsidRPr="00042943">
              <w:rPr>
                <w:rFonts w:ascii="Times New Roman" w:hAnsi="Times New Roman"/>
                <w:sz w:val="22"/>
                <w:szCs w:val="22"/>
                <w:lang w:val="lt-LT" w:eastAsia="lt-LT"/>
              </w:rPr>
              <w:t>*†,</w:t>
            </w:r>
          </w:p>
          <w:p w:rsidR="009E3290" w:rsidRPr="00042943" w:rsidRDefault="009E3290" w:rsidP="00DA32C5">
            <w:pPr>
              <w:rPr>
                <w:rFonts w:ascii="Times New Roman" w:hAnsi="Times New Roman"/>
                <w:sz w:val="22"/>
                <w:szCs w:val="22"/>
                <w:lang w:val="lt-LT" w:eastAsia="lt-LT"/>
              </w:rPr>
            </w:pPr>
            <w:r w:rsidRPr="00042943">
              <w:rPr>
                <w:rFonts w:ascii="Times New Roman" w:hAnsi="Times New Roman"/>
                <w:sz w:val="22"/>
                <w:lang w:val="lt-LT"/>
              </w:rPr>
              <w:t xml:space="preserve">Išorinio ausies kanalo </w:t>
            </w:r>
            <w:proofErr w:type="spellStart"/>
            <w:r w:rsidRPr="00042943">
              <w:rPr>
                <w:rFonts w:ascii="Times New Roman" w:hAnsi="Times New Roman"/>
                <w:sz w:val="22"/>
                <w:lang w:val="lt-LT"/>
              </w:rPr>
              <w:t>osteonekrozė</w:t>
            </w:r>
            <w:proofErr w:type="spellEnd"/>
            <w:r w:rsidRPr="00042943">
              <w:rPr>
                <w:rFonts w:ascii="Times New Roman" w:hAnsi="Times New Roman"/>
                <w:sz w:val="22"/>
                <w:lang w:val="lt-LT"/>
              </w:rPr>
              <w:t xml:space="preserve"> (</w:t>
            </w:r>
            <w:proofErr w:type="spellStart"/>
            <w:r w:rsidRPr="00042943">
              <w:rPr>
                <w:rFonts w:ascii="Times New Roman" w:hAnsi="Times New Roman"/>
                <w:sz w:val="22"/>
                <w:lang w:val="lt-LT"/>
              </w:rPr>
              <w:t>bisfosfonatų</w:t>
            </w:r>
            <w:proofErr w:type="spellEnd"/>
            <w:r w:rsidRPr="00042943">
              <w:rPr>
                <w:rFonts w:ascii="Times New Roman" w:hAnsi="Times New Roman"/>
                <w:sz w:val="22"/>
                <w:lang w:val="lt-LT"/>
              </w:rPr>
              <w:t xml:space="preserve"> grupės vaistams būdinga nepageidaujama reakcija).</w:t>
            </w:r>
          </w:p>
        </w:tc>
      </w:tr>
      <w:tr w:rsidR="009E3290" w:rsidRPr="0003312B" w:rsidTr="00DA32C5">
        <w:tc>
          <w:tcPr>
            <w:tcW w:w="174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3312B">
              <w:rPr>
                <w:rFonts w:ascii="Times New Roman" w:hAnsi="Times New Roman"/>
                <w:sz w:val="22"/>
                <w:szCs w:val="22"/>
                <w:lang w:val="lt-LT" w:eastAsia="lt-LT"/>
              </w:rPr>
              <w:t>Bendrieji sutrikimai ir vartojimo vietos pažeidimai</w:t>
            </w:r>
          </w:p>
        </w:tc>
        <w:tc>
          <w:tcPr>
            <w:tcW w:w="1438" w:type="dxa"/>
            <w:tcBorders>
              <w:top w:val="single" w:sz="4" w:space="0" w:color="auto"/>
              <w:left w:val="single" w:sz="4" w:space="0" w:color="auto"/>
              <w:bottom w:val="single" w:sz="4" w:space="0" w:color="auto"/>
              <w:right w:val="single" w:sz="4" w:space="0" w:color="auto"/>
            </w:tcBorders>
            <w:hideMark/>
          </w:tcPr>
          <w:p w:rsidR="009E3290" w:rsidRPr="00042943" w:rsidRDefault="009E3290" w:rsidP="00DA32C5">
            <w:pPr>
              <w:rPr>
                <w:rFonts w:ascii="Times New Roman" w:hAnsi="Times New Roman"/>
                <w:sz w:val="22"/>
                <w:szCs w:val="22"/>
                <w:lang w:val="lt-LT" w:eastAsia="lt-LT"/>
              </w:rPr>
            </w:pPr>
            <w:r w:rsidRPr="0003312B">
              <w:rPr>
                <w:rFonts w:ascii="Times New Roman" w:hAnsi="Times New Roman"/>
                <w:sz w:val="22"/>
                <w:szCs w:val="22"/>
                <w:lang w:val="lt-LT" w:eastAsia="lt-LT"/>
              </w:rPr>
              <w:t>Į gripą panaši liga*, nuovargis</w:t>
            </w:r>
          </w:p>
        </w:tc>
        <w:tc>
          <w:tcPr>
            <w:tcW w:w="2257"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pStyle w:val="Default"/>
              <w:rPr>
                <w:sz w:val="22"/>
                <w:szCs w:val="22"/>
                <w:lang w:val="lt-LT"/>
              </w:rPr>
            </w:pPr>
            <w:r w:rsidRPr="00042943">
              <w:rPr>
                <w:sz w:val="22"/>
                <w:szCs w:val="22"/>
                <w:lang w:val="lt-LT"/>
              </w:rPr>
              <w:t xml:space="preserve">Injekcijos vietos reakcijos, </w:t>
            </w:r>
            <w:proofErr w:type="spellStart"/>
            <w:r w:rsidRPr="00042943">
              <w:rPr>
                <w:sz w:val="22"/>
                <w:szCs w:val="22"/>
                <w:lang w:val="lt-LT"/>
              </w:rPr>
              <w:t>astenija</w:t>
            </w:r>
            <w:proofErr w:type="spellEnd"/>
            <w:r w:rsidRPr="00042943">
              <w:rPr>
                <w:sz w:val="22"/>
                <w:szCs w:val="22"/>
                <w:lang w:val="lt-LT"/>
              </w:rPr>
              <w:t xml:space="preserve"> </w:t>
            </w:r>
          </w:p>
          <w:p w:rsidR="009E3290" w:rsidRPr="00042943" w:rsidRDefault="009E3290" w:rsidP="00DA32C5">
            <w:pPr>
              <w:rPr>
                <w:rFonts w:ascii="Times New Roman" w:hAnsi="Times New Roman"/>
                <w:sz w:val="22"/>
                <w:szCs w:val="22"/>
                <w:lang w:val="lt-LT" w:eastAsia="lt-LT"/>
              </w:rPr>
            </w:pPr>
          </w:p>
        </w:tc>
        <w:tc>
          <w:tcPr>
            <w:tcW w:w="1949"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c>
          <w:tcPr>
            <w:tcW w:w="1668" w:type="dxa"/>
            <w:tcBorders>
              <w:top w:val="single" w:sz="4" w:space="0" w:color="auto"/>
              <w:left w:val="single" w:sz="4" w:space="0" w:color="auto"/>
              <w:bottom w:val="single" w:sz="4" w:space="0" w:color="auto"/>
              <w:right w:val="single" w:sz="4" w:space="0" w:color="auto"/>
            </w:tcBorders>
          </w:tcPr>
          <w:p w:rsidR="009E3290" w:rsidRPr="00042943" w:rsidRDefault="009E3290" w:rsidP="00DA32C5">
            <w:pPr>
              <w:rPr>
                <w:rFonts w:ascii="Times New Roman" w:hAnsi="Times New Roman"/>
                <w:sz w:val="22"/>
                <w:szCs w:val="22"/>
                <w:lang w:val="lt-LT" w:eastAsia="lt-LT"/>
              </w:rPr>
            </w:pPr>
          </w:p>
        </w:tc>
      </w:tr>
    </w:tbl>
    <w:p w:rsidR="009E3290" w:rsidRPr="00042943" w:rsidRDefault="009E3290" w:rsidP="009E3290">
      <w:pPr>
        <w:jc w:val="both"/>
        <w:rPr>
          <w:rFonts w:ascii="Times New Roman" w:hAnsi="Times New Roman"/>
          <w:sz w:val="22"/>
          <w:lang w:val="lt-LT"/>
        </w:rPr>
      </w:pP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*Žiūrėti informaciją toliau.</w:t>
      </w:r>
    </w:p>
    <w:p w:rsidR="009E3290" w:rsidRPr="00042943" w:rsidRDefault="009E3290" w:rsidP="009E3290">
      <w:pPr>
        <w:rPr>
          <w:rFonts w:ascii="Times New Roman" w:hAnsi="Times New Roman"/>
          <w:sz w:val="22"/>
          <w:szCs w:val="22"/>
          <w:lang w:val="lt-LT"/>
        </w:rPr>
      </w:pPr>
      <w:r w:rsidRPr="00042943">
        <w:rPr>
          <w:rFonts w:ascii="Times New Roman" w:hAnsi="Times New Roman"/>
          <w:sz w:val="22"/>
          <w:szCs w:val="22"/>
          <w:lang w:val="lt-LT"/>
        </w:rPr>
        <w:t>†Nustatyta vaistui esant rinkoje.</w:t>
      </w:r>
    </w:p>
    <w:p w:rsidR="009E3290" w:rsidRPr="0003312B" w:rsidRDefault="009E3290" w:rsidP="009E3290">
      <w:pPr>
        <w:pStyle w:val="Default"/>
        <w:spacing w:before="120"/>
        <w:rPr>
          <w:color w:val="auto"/>
          <w:sz w:val="22"/>
          <w:szCs w:val="22"/>
          <w:lang w:val="lt-LT"/>
        </w:rPr>
      </w:pPr>
    </w:p>
    <w:p w:rsidR="009E3290" w:rsidRPr="00042943" w:rsidRDefault="009E3290" w:rsidP="009E3290">
      <w:pPr>
        <w:autoSpaceDE w:val="0"/>
        <w:autoSpaceDN w:val="0"/>
        <w:adjustRightInd w:val="0"/>
        <w:rPr>
          <w:rFonts w:ascii="Times New Roman" w:hAnsi="Times New Roman"/>
          <w:sz w:val="22"/>
          <w:lang w:val="lt-LT"/>
        </w:rPr>
      </w:pPr>
      <w:r w:rsidRPr="00042943">
        <w:rPr>
          <w:rFonts w:ascii="Times New Roman" w:hAnsi="Times New Roman"/>
          <w:sz w:val="22"/>
          <w:szCs w:val="22"/>
          <w:u w:val="single"/>
          <w:lang w:val="lt-LT"/>
        </w:rPr>
        <w:t>Kai kurių nepageidaujamų reakcijų aprašymas</w:t>
      </w:r>
    </w:p>
    <w:p w:rsidR="009E3290" w:rsidRPr="0003312B" w:rsidRDefault="009E3290" w:rsidP="009E3290">
      <w:pPr>
        <w:pStyle w:val="Default"/>
        <w:spacing w:before="120"/>
        <w:outlineLvl w:val="0"/>
        <w:rPr>
          <w:i/>
          <w:iCs/>
          <w:color w:val="auto"/>
          <w:sz w:val="22"/>
          <w:szCs w:val="22"/>
          <w:u w:val="single"/>
          <w:lang w:val="lt-LT"/>
        </w:rPr>
      </w:pPr>
      <w:r w:rsidRPr="0003312B">
        <w:rPr>
          <w:i/>
          <w:iCs/>
          <w:color w:val="auto"/>
          <w:sz w:val="22"/>
          <w:szCs w:val="22"/>
          <w:u w:val="single"/>
          <w:lang w:val="lt-LT"/>
        </w:rPr>
        <w:t>Į gripą panaši liga</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Į gripą panaši liga pasireiškė kaip ūmios fazės reakcija kartu su </w:t>
      </w:r>
      <w:proofErr w:type="spellStart"/>
      <w:r w:rsidRPr="0003312B">
        <w:rPr>
          <w:rFonts w:ascii="Times New Roman" w:hAnsi="Times New Roman"/>
          <w:sz w:val="22"/>
          <w:szCs w:val="22"/>
          <w:lang w:val="lt-LT" w:eastAsia="lt-LT"/>
        </w:rPr>
        <w:t>mialgija</w:t>
      </w:r>
      <w:proofErr w:type="spellEnd"/>
      <w:r w:rsidRPr="0003312B">
        <w:rPr>
          <w:rFonts w:ascii="Times New Roman" w:hAnsi="Times New Roman"/>
          <w:sz w:val="22"/>
          <w:szCs w:val="22"/>
          <w:lang w:val="lt-LT" w:eastAsia="lt-LT"/>
        </w:rPr>
        <w:t xml:space="preserve">, </w:t>
      </w:r>
      <w:proofErr w:type="spellStart"/>
      <w:r w:rsidRPr="0003312B">
        <w:rPr>
          <w:rFonts w:ascii="Times New Roman" w:hAnsi="Times New Roman"/>
          <w:sz w:val="22"/>
          <w:szCs w:val="22"/>
          <w:lang w:val="lt-LT" w:eastAsia="lt-LT"/>
        </w:rPr>
        <w:t>artralgija</w:t>
      </w:r>
      <w:proofErr w:type="spellEnd"/>
      <w:r w:rsidRPr="0003312B">
        <w:rPr>
          <w:rFonts w:ascii="Times New Roman" w:hAnsi="Times New Roman"/>
          <w:sz w:val="22"/>
          <w:szCs w:val="22"/>
          <w:lang w:val="lt-LT" w:eastAsia="lt-LT"/>
        </w:rPr>
        <w:t xml:space="preserve">, karščiavimu, </w:t>
      </w:r>
      <w:proofErr w:type="spellStart"/>
      <w:r w:rsidRPr="0003312B">
        <w:rPr>
          <w:rFonts w:ascii="Times New Roman" w:hAnsi="Times New Roman"/>
          <w:sz w:val="22"/>
          <w:szCs w:val="22"/>
          <w:lang w:val="lt-LT" w:eastAsia="lt-LT"/>
        </w:rPr>
        <w:t>šaltkrėčiu</w:t>
      </w:r>
      <w:proofErr w:type="spellEnd"/>
      <w:r w:rsidRPr="0003312B">
        <w:rPr>
          <w:rFonts w:ascii="Times New Roman" w:hAnsi="Times New Roman"/>
          <w:sz w:val="22"/>
          <w:szCs w:val="22"/>
          <w:lang w:val="lt-LT" w:eastAsia="lt-LT"/>
        </w:rPr>
        <w:t xml:space="preserve">, nuovargiu, pykinimu, sumažėjusiu apetitu ir kaulų skausmu. </w:t>
      </w:r>
    </w:p>
    <w:p w:rsidR="009E3290" w:rsidRPr="0003312B" w:rsidRDefault="009E3290" w:rsidP="009E3290">
      <w:pPr>
        <w:pStyle w:val="Default"/>
        <w:rPr>
          <w:color w:val="auto"/>
          <w:sz w:val="22"/>
          <w:szCs w:val="22"/>
          <w:lang w:val="lt-LT"/>
        </w:rPr>
      </w:pPr>
      <w:r w:rsidRPr="0003312B">
        <w:rPr>
          <w:color w:val="auto"/>
          <w:sz w:val="22"/>
          <w:szCs w:val="22"/>
          <w:lang w:val="lt-LT"/>
        </w:rPr>
        <w:lastRenderedPageBreak/>
        <w:t xml:space="preserve"> </w:t>
      </w:r>
    </w:p>
    <w:p w:rsidR="009E3290" w:rsidRPr="0003312B" w:rsidRDefault="009E3290" w:rsidP="009E3290">
      <w:pPr>
        <w:pStyle w:val="Default"/>
        <w:outlineLvl w:val="0"/>
        <w:rPr>
          <w:color w:val="auto"/>
          <w:sz w:val="22"/>
          <w:szCs w:val="22"/>
          <w:lang w:val="lt-LT"/>
        </w:rPr>
      </w:pPr>
      <w:r w:rsidRPr="0003312B">
        <w:rPr>
          <w:i/>
          <w:iCs/>
          <w:color w:val="auto"/>
          <w:sz w:val="22"/>
          <w:szCs w:val="22"/>
          <w:u w:val="single"/>
          <w:lang w:val="lt-LT"/>
        </w:rPr>
        <w:t xml:space="preserve">Žandikaulio </w:t>
      </w:r>
      <w:proofErr w:type="spellStart"/>
      <w:r w:rsidRPr="0003312B">
        <w:rPr>
          <w:i/>
          <w:iCs/>
          <w:color w:val="auto"/>
          <w:sz w:val="22"/>
          <w:szCs w:val="22"/>
          <w:u w:val="single"/>
          <w:lang w:val="lt-LT"/>
        </w:rPr>
        <w:t>osteonekrozė</w:t>
      </w:r>
      <w:proofErr w:type="spellEnd"/>
      <w:r w:rsidRPr="0003312B">
        <w:rPr>
          <w:i/>
          <w:color w:val="auto"/>
          <w:sz w:val="22"/>
          <w:szCs w:val="22"/>
          <w:u w:val="single"/>
          <w:lang w:val="lt-LT"/>
        </w:rPr>
        <w:t xml:space="preserve"> </w:t>
      </w:r>
    </w:p>
    <w:p w:rsidR="009E3290" w:rsidRPr="00042943" w:rsidRDefault="009E3290" w:rsidP="009E3290">
      <w:pPr>
        <w:tabs>
          <w:tab w:val="left" w:pos="567"/>
        </w:tabs>
        <w:rPr>
          <w:rFonts w:ascii="Times New Roman" w:hAnsi="Times New Roman"/>
          <w:spacing w:val="-3"/>
          <w:sz w:val="22"/>
          <w:lang w:val="lt-LT"/>
        </w:rPr>
      </w:pPr>
      <w:r w:rsidRPr="00042943">
        <w:rPr>
          <w:rFonts w:ascii="Times New Roman" w:hAnsi="Times New Roman" w:cs="Times New Roman"/>
          <w:sz w:val="22"/>
          <w:szCs w:val="22"/>
          <w:lang w:val="lt-LT"/>
        </w:rPr>
        <w:t>Yra pastebėta</w:t>
      </w:r>
      <w:r w:rsidRPr="0003312B">
        <w:rPr>
          <w:rFonts w:ascii="Times New Roman" w:hAnsi="Times New Roman"/>
          <w:sz w:val="22"/>
          <w:lang w:val="lt-LT"/>
        </w:rPr>
        <w:t xml:space="preserve"> žandikaulio </w:t>
      </w:r>
      <w:proofErr w:type="spellStart"/>
      <w:r w:rsidRPr="0003312B">
        <w:rPr>
          <w:rFonts w:ascii="Times New Roman" w:hAnsi="Times New Roman"/>
          <w:sz w:val="22"/>
          <w:lang w:val="lt-LT"/>
        </w:rPr>
        <w:t>osteonekrozės</w:t>
      </w:r>
      <w:proofErr w:type="spellEnd"/>
      <w:r w:rsidRPr="0003312B">
        <w:rPr>
          <w:rFonts w:ascii="Times New Roman" w:hAnsi="Times New Roman"/>
          <w:sz w:val="22"/>
          <w:lang w:val="lt-LT"/>
        </w:rPr>
        <w:t xml:space="preserve"> atvejų</w:t>
      </w:r>
      <w:r w:rsidRPr="00042943">
        <w:rPr>
          <w:rFonts w:ascii="Times New Roman" w:hAnsi="Times New Roman" w:cs="Times New Roman"/>
          <w:sz w:val="22"/>
          <w:szCs w:val="22"/>
          <w:lang w:val="lt-LT"/>
        </w:rPr>
        <w:t xml:space="preserve">, dauguma jų </w:t>
      </w:r>
      <w:r w:rsidRPr="0003312B">
        <w:rPr>
          <w:rFonts w:ascii="Times New Roman" w:hAnsi="Times New Roman"/>
          <w:sz w:val="22"/>
          <w:lang w:val="lt-LT"/>
        </w:rPr>
        <w:t xml:space="preserve">registruota vėžiu sirgusiems pacientams, </w:t>
      </w:r>
      <w:r w:rsidRPr="00042943">
        <w:rPr>
          <w:rFonts w:ascii="Times New Roman" w:hAnsi="Times New Roman" w:cs="Times New Roman"/>
          <w:sz w:val="22"/>
          <w:szCs w:val="22"/>
          <w:lang w:val="lt-LT"/>
        </w:rPr>
        <w:t xml:space="preserve">gydytiems kaulų </w:t>
      </w:r>
      <w:proofErr w:type="spellStart"/>
      <w:r w:rsidRPr="00042943">
        <w:rPr>
          <w:rFonts w:ascii="Times New Roman" w:hAnsi="Times New Roman" w:cs="Times New Roman"/>
          <w:sz w:val="22"/>
          <w:szCs w:val="22"/>
          <w:lang w:val="lt-LT"/>
        </w:rPr>
        <w:t>rezorbciją</w:t>
      </w:r>
      <w:proofErr w:type="spellEnd"/>
      <w:r w:rsidRPr="00042943">
        <w:rPr>
          <w:rFonts w:ascii="Times New Roman" w:hAnsi="Times New Roman" w:cs="Times New Roman"/>
          <w:sz w:val="22"/>
          <w:szCs w:val="22"/>
          <w:lang w:val="lt-LT"/>
        </w:rPr>
        <w:t xml:space="preserve"> slopinančiais vaistiniais preparatais, tokiais kaip </w:t>
      </w:r>
      <w:proofErr w:type="spellStart"/>
      <w:r w:rsidRPr="00042943">
        <w:rPr>
          <w:rFonts w:ascii="Times New Roman" w:hAnsi="Times New Roman" w:cs="Times New Roman"/>
          <w:sz w:val="22"/>
          <w:szCs w:val="22"/>
          <w:lang w:val="lt-LT"/>
        </w:rPr>
        <w:t>ibandrono</w:t>
      </w:r>
      <w:proofErr w:type="spellEnd"/>
      <w:r w:rsidRPr="00042943">
        <w:rPr>
          <w:rFonts w:ascii="Times New Roman" w:hAnsi="Times New Roman" w:cs="Times New Roman"/>
          <w:sz w:val="22"/>
          <w:szCs w:val="22"/>
          <w:lang w:val="lt-LT"/>
        </w:rPr>
        <w:t xml:space="preserve"> rūgštis (žr. 4.4 skyrių). ŽON atvejų yra pastebėta </w:t>
      </w:r>
      <w:proofErr w:type="spellStart"/>
      <w:r w:rsidRPr="00042943">
        <w:rPr>
          <w:rFonts w:ascii="Times New Roman" w:hAnsi="Times New Roman" w:cs="Times New Roman"/>
          <w:sz w:val="22"/>
          <w:szCs w:val="22"/>
          <w:lang w:val="lt-LT"/>
        </w:rPr>
        <w:t>ibandrono</w:t>
      </w:r>
      <w:proofErr w:type="spellEnd"/>
      <w:r w:rsidRPr="00042943">
        <w:rPr>
          <w:rFonts w:ascii="Times New Roman" w:hAnsi="Times New Roman" w:cs="Times New Roman"/>
          <w:sz w:val="22"/>
          <w:szCs w:val="22"/>
          <w:lang w:val="lt-LT"/>
        </w:rPr>
        <w:t xml:space="preserve"> rūgšties preparatams jau esant rinkoje.</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 xml:space="preserve">Akių uždegimas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Vartojusiesiems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rūgštį buvo pastebėti akių uždegimo reiškiniai, tokie kaip </w:t>
      </w:r>
      <w:proofErr w:type="spellStart"/>
      <w:r w:rsidRPr="0003312B">
        <w:rPr>
          <w:rFonts w:ascii="Times New Roman" w:hAnsi="Times New Roman"/>
          <w:sz w:val="22"/>
          <w:szCs w:val="22"/>
          <w:lang w:val="lt-LT" w:eastAsia="lt-LT"/>
        </w:rPr>
        <w:t>uveitas</w:t>
      </w:r>
      <w:proofErr w:type="spellEnd"/>
      <w:r w:rsidRPr="0003312B">
        <w:rPr>
          <w:rFonts w:ascii="Times New Roman" w:hAnsi="Times New Roman"/>
          <w:sz w:val="22"/>
          <w:szCs w:val="22"/>
          <w:lang w:val="lt-LT" w:eastAsia="lt-LT"/>
        </w:rPr>
        <w:t xml:space="preserve">, </w:t>
      </w:r>
      <w:proofErr w:type="spellStart"/>
      <w:r w:rsidRPr="0003312B">
        <w:rPr>
          <w:rFonts w:ascii="Times New Roman" w:hAnsi="Times New Roman"/>
          <w:sz w:val="22"/>
          <w:szCs w:val="22"/>
          <w:lang w:val="lt-LT" w:eastAsia="lt-LT"/>
        </w:rPr>
        <w:t>episkleritas</w:t>
      </w:r>
      <w:proofErr w:type="spellEnd"/>
      <w:r w:rsidRPr="0003312B">
        <w:rPr>
          <w:rFonts w:ascii="Times New Roman" w:hAnsi="Times New Roman"/>
          <w:sz w:val="22"/>
          <w:szCs w:val="22"/>
          <w:lang w:val="lt-LT" w:eastAsia="lt-LT"/>
        </w:rPr>
        <w:t xml:space="preserve"> ir </w:t>
      </w:r>
      <w:proofErr w:type="spellStart"/>
      <w:r w:rsidRPr="0003312B">
        <w:rPr>
          <w:rFonts w:ascii="Times New Roman" w:hAnsi="Times New Roman"/>
          <w:sz w:val="22"/>
          <w:szCs w:val="22"/>
          <w:lang w:val="lt-LT" w:eastAsia="lt-LT"/>
        </w:rPr>
        <w:t>skleritas</w:t>
      </w:r>
      <w:proofErr w:type="spellEnd"/>
      <w:r w:rsidRPr="0003312B">
        <w:rPr>
          <w:rFonts w:ascii="Times New Roman" w:hAnsi="Times New Roman"/>
          <w:sz w:val="22"/>
          <w:szCs w:val="22"/>
          <w:lang w:val="lt-LT" w:eastAsia="lt-LT"/>
        </w:rPr>
        <w:t xml:space="preserve">. Kai kuriais atvejais šie reiškiniai išnykdavo tik nutraukus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vartojimą.</w:t>
      </w:r>
    </w:p>
    <w:p w:rsidR="009E3290" w:rsidRPr="0003312B" w:rsidRDefault="009E3290" w:rsidP="009E3290">
      <w:pPr>
        <w:pStyle w:val="Default"/>
        <w:rPr>
          <w:i/>
          <w:iCs/>
          <w:sz w:val="22"/>
          <w:szCs w:val="22"/>
          <w:u w:val="single"/>
          <w:lang w:val="lt-LT"/>
        </w:rPr>
      </w:pPr>
    </w:p>
    <w:p w:rsidR="009E3290" w:rsidRPr="0003312B" w:rsidRDefault="009E3290" w:rsidP="009E3290">
      <w:pPr>
        <w:pStyle w:val="Default"/>
        <w:rPr>
          <w:sz w:val="22"/>
          <w:szCs w:val="22"/>
          <w:lang w:val="lt-LT"/>
        </w:rPr>
      </w:pPr>
      <w:r w:rsidRPr="0003312B">
        <w:rPr>
          <w:i/>
          <w:iCs/>
          <w:sz w:val="22"/>
          <w:szCs w:val="22"/>
          <w:u w:val="single"/>
          <w:lang w:val="lt-LT"/>
        </w:rPr>
        <w:t xml:space="preserve">Anafilaksinė reakcija ar šokas </w:t>
      </w:r>
    </w:p>
    <w:p w:rsidR="009E3290" w:rsidRPr="0003312B" w:rsidRDefault="009E3290" w:rsidP="009E3290">
      <w:pPr>
        <w:pStyle w:val="Default"/>
        <w:rPr>
          <w:sz w:val="22"/>
          <w:szCs w:val="22"/>
          <w:lang w:val="lt-LT"/>
        </w:rPr>
      </w:pPr>
      <w:proofErr w:type="spellStart"/>
      <w:r w:rsidRPr="0003312B">
        <w:rPr>
          <w:sz w:val="22"/>
          <w:szCs w:val="22"/>
          <w:lang w:val="lt-LT"/>
        </w:rPr>
        <w:t>Ibandrono</w:t>
      </w:r>
      <w:proofErr w:type="spellEnd"/>
      <w:r w:rsidRPr="0003312B">
        <w:rPr>
          <w:sz w:val="22"/>
          <w:szCs w:val="22"/>
          <w:lang w:val="lt-LT"/>
        </w:rPr>
        <w:t xml:space="preserve"> rūgštimi į veną gydytiems pacientams buvo pastebėti anafilaksinės reakcijos ar šoko atvejai, įskaitant mirtį nulėmusius atvejus. </w:t>
      </w:r>
    </w:p>
    <w:p w:rsidR="009E3290" w:rsidRPr="00042943" w:rsidRDefault="009E3290" w:rsidP="009E3290">
      <w:pPr>
        <w:autoSpaceDE w:val="0"/>
        <w:autoSpaceDN w:val="0"/>
        <w:adjustRightInd w:val="0"/>
        <w:jc w:val="both"/>
        <w:rPr>
          <w:rFonts w:ascii="Times New Roman" w:hAnsi="Times New Roman"/>
          <w:sz w:val="22"/>
          <w:szCs w:val="22"/>
          <w:u w:val="single"/>
          <w:lang w:val="lt-LT"/>
        </w:rPr>
      </w:pPr>
    </w:p>
    <w:p w:rsidR="009E3290" w:rsidRPr="00042943" w:rsidRDefault="009E3290" w:rsidP="009E3290">
      <w:pPr>
        <w:autoSpaceDE w:val="0"/>
        <w:autoSpaceDN w:val="0"/>
        <w:adjustRightInd w:val="0"/>
        <w:jc w:val="both"/>
        <w:rPr>
          <w:rFonts w:ascii="Times New Roman" w:hAnsi="Times New Roman"/>
          <w:sz w:val="22"/>
          <w:szCs w:val="22"/>
          <w:lang w:val="lt-LT"/>
        </w:rPr>
      </w:pPr>
      <w:r w:rsidRPr="00042943">
        <w:rPr>
          <w:rFonts w:ascii="Times New Roman" w:hAnsi="Times New Roman"/>
          <w:sz w:val="22"/>
          <w:szCs w:val="22"/>
          <w:lang w:val="lt-LT"/>
        </w:rPr>
        <w:t>Pranešimas apie įtariamas nepageidaujamas reakcijas</w:t>
      </w:r>
    </w:p>
    <w:p w:rsidR="009E3290" w:rsidRPr="00042943" w:rsidRDefault="009E3290" w:rsidP="005B5307">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0081226B">
        <w:fldChar w:fldCharType="begin"/>
      </w:r>
      <w:r w:rsidR="0081226B" w:rsidRPr="0081226B">
        <w:rPr>
          <w:lang w:val="lt-LT"/>
        </w:rPr>
        <w:instrText xml:space="preserve"> HYPERLINK "http://www.vvkt.lt/" </w:instrText>
      </w:r>
      <w:r w:rsidR="0081226B">
        <w:fldChar w:fldCharType="separate"/>
      </w:r>
      <w:r w:rsidR="001818F4" w:rsidRPr="00202FA6">
        <w:rPr>
          <w:rStyle w:val="Hipersaitas"/>
          <w:rFonts w:ascii="Times New Roman" w:hAnsi="Times New Roman"/>
          <w:sz w:val="22"/>
          <w:szCs w:val="22"/>
          <w:lang w:val="lt-LT"/>
        </w:rPr>
        <w:t>http://www.vvkt.lt/</w:t>
      </w:r>
      <w:r w:rsidR="0081226B">
        <w:rPr>
          <w:rStyle w:val="Hipersaitas"/>
          <w:rFonts w:ascii="Times New Roman" w:hAnsi="Times New Roman"/>
          <w:sz w:val="22"/>
          <w:szCs w:val="22"/>
          <w:lang w:val="lt-LT"/>
        </w:rPr>
        <w:fldChar w:fldCharType="end"/>
      </w:r>
      <w:r w:rsidR="001818F4">
        <w:rPr>
          <w:rFonts w:ascii="Times New Roman" w:hAnsi="Times New Roman"/>
          <w:sz w:val="22"/>
          <w:szCs w:val="22"/>
          <w:lang w:val="lt-LT"/>
        </w:rPr>
        <w:t xml:space="preserve"> </w:t>
      </w:r>
      <w:r w:rsidRPr="00042943">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81226B">
        <w:fldChar w:fldCharType="begin"/>
      </w:r>
      <w:r w:rsidR="0081226B" w:rsidRPr="0081226B">
        <w:rPr>
          <w:lang w:val="lt-LT"/>
        </w:rPr>
        <w:instrText xml:space="preserve"> HYPERLINK "mailto:NepageidaujamaR@vvkt.lt" </w:instrText>
      </w:r>
      <w:r w:rsidR="0081226B">
        <w:fldChar w:fldCharType="separate"/>
      </w:r>
      <w:r w:rsidR="001818F4" w:rsidRPr="00202FA6">
        <w:rPr>
          <w:rStyle w:val="Hipersaitas"/>
          <w:rFonts w:ascii="Times New Roman" w:hAnsi="Times New Roman"/>
          <w:sz w:val="22"/>
          <w:szCs w:val="22"/>
          <w:lang w:val="lt-LT"/>
        </w:rPr>
        <w:t>NepageidaujamaR@vvkt.lt</w:t>
      </w:r>
      <w:r w:rsidR="0081226B">
        <w:rPr>
          <w:rStyle w:val="Hipersaitas"/>
          <w:rFonts w:ascii="Times New Roman" w:hAnsi="Times New Roman"/>
          <w:sz w:val="22"/>
          <w:szCs w:val="22"/>
          <w:lang w:val="lt-LT"/>
        </w:rPr>
        <w:fldChar w:fldCharType="end"/>
      </w:r>
      <w:r w:rsidR="001818F4">
        <w:rPr>
          <w:rFonts w:ascii="Times New Roman" w:hAnsi="Times New Roman"/>
          <w:sz w:val="22"/>
          <w:szCs w:val="22"/>
          <w:lang w:val="lt-LT"/>
        </w:rPr>
        <w:t xml:space="preserve"> </w:t>
      </w:r>
      <w:r w:rsidRPr="00042943">
        <w:rPr>
          <w:rFonts w:ascii="Times New Roman" w:hAnsi="Times New Roman"/>
          <w:sz w:val="22"/>
          <w:szCs w:val="22"/>
          <w:lang w:val="lt-LT"/>
        </w:rPr>
        <w:t xml:space="preserve">), per interneto svetainę (adresu </w:t>
      </w:r>
      <w:r w:rsidR="0081226B">
        <w:fldChar w:fldCharType="begin"/>
      </w:r>
      <w:r w:rsidR="0081226B" w:rsidRPr="0081226B">
        <w:rPr>
          <w:lang w:val="lt-LT"/>
        </w:rPr>
        <w:instrText xml:space="preserve"> HYPERLINK "http://w</w:instrText>
      </w:r>
      <w:r w:rsidR="0081226B" w:rsidRPr="0081226B">
        <w:rPr>
          <w:lang w:val="lt-LT"/>
        </w:rPr>
        <w:instrText xml:space="preserve">ww.vvkt.lt" </w:instrText>
      </w:r>
      <w:r w:rsidR="0081226B">
        <w:fldChar w:fldCharType="separate"/>
      </w:r>
      <w:r w:rsidR="001818F4" w:rsidRPr="00202FA6">
        <w:rPr>
          <w:rStyle w:val="Hipersaitas"/>
          <w:rFonts w:ascii="Times New Roman" w:hAnsi="Times New Roman"/>
          <w:sz w:val="22"/>
          <w:szCs w:val="22"/>
          <w:lang w:val="lt-LT"/>
        </w:rPr>
        <w:t>http://www.vvkt.lt</w:t>
      </w:r>
      <w:r w:rsidR="0081226B">
        <w:rPr>
          <w:rStyle w:val="Hipersaitas"/>
          <w:rFonts w:ascii="Times New Roman" w:hAnsi="Times New Roman"/>
          <w:sz w:val="22"/>
          <w:szCs w:val="22"/>
          <w:lang w:val="lt-LT"/>
        </w:rPr>
        <w:fldChar w:fldCharType="end"/>
      </w:r>
      <w:r w:rsidR="001818F4">
        <w:rPr>
          <w:rFonts w:ascii="Times New Roman" w:hAnsi="Times New Roman"/>
          <w:sz w:val="22"/>
          <w:szCs w:val="22"/>
          <w:lang w:val="lt-LT"/>
        </w:rPr>
        <w:t xml:space="preserve"> </w:t>
      </w:r>
      <w:r w:rsidRPr="00042943">
        <w:rPr>
          <w:rFonts w:ascii="Times New Roman" w:hAnsi="Times New Roman"/>
          <w:sz w:val="22"/>
          <w:szCs w:val="22"/>
          <w:lang w:val="lt-LT"/>
        </w:rPr>
        <w:t>).</w:t>
      </w:r>
    </w:p>
    <w:p w:rsidR="009E3290" w:rsidRPr="0003312B" w:rsidRDefault="009E3290" w:rsidP="009E3290">
      <w:pPr>
        <w:pStyle w:val="Default"/>
        <w:ind w:left="560" w:hanging="560"/>
        <w:outlineLvl w:val="0"/>
        <w:rPr>
          <w:b/>
          <w:bCs/>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4.9</w:t>
      </w:r>
      <w:r w:rsidRPr="0003312B">
        <w:rPr>
          <w:b/>
          <w:bCs/>
          <w:color w:val="auto"/>
          <w:sz w:val="22"/>
          <w:szCs w:val="22"/>
          <w:lang w:val="lt-LT"/>
        </w:rPr>
        <w:tab/>
        <w:t xml:space="preserve">Perdozavimas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Specialios informacijos apie OSSICA perdozavimo reiškinių gydymą nėra.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Remiantis duomenimis apie šios klasės junginius, injekcinės vaisto formos perdozavimas gali sukelti </w:t>
      </w:r>
      <w:proofErr w:type="spellStart"/>
      <w:r w:rsidRPr="0003312B">
        <w:rPr>
          <w:rFonts w:ascii="Times New Roman" w:hAnsi="Times New Roman"/>
          <w:sz w:val="22"/>
          <w:szCs w:val="22"/>
          <w:lang w:val="lt-LT" w:eastAsia="lt-LT"/>
        </w:rPr>
        <w:t>hipokalcemiją</w:t>
      </w:r>
      <w:proofErr w:type="spellEnd"/>
      <w:r w:rsidRPr="0003312B">
        <w:rPr>
          <w:rFonts w:ascii="Times New Roman" w:hAnsi="Times New Roman"/>
          <w:sz w:val="22"/>
          <w:szCs w:val="22"/>
          <w:lang w:val="lt-LT" w:eastAsia="lt-LT"/>
        </w:rPr>
        <w:t xml:space="preserve">, </w:t>
      </w:r>
      <w:proofErr w:type="spellStart"/>
      <w:r w:rsidRPr="0003312B">
        <w:rPr>
          <w:rFonts w:ascii="Times New Roman" w:hAnsi="Times New Roman"/>
          <w:sz w:val="22"/>
          <w:szCs w:val="22"/>
          <w:lang w:val="lt-LT" w:eastAsia="lt-LT"/>
        </w:rPr>
        <w:t>hipofosfotemiją</w:t>
      </w:r>
      <w:proofErr w:type="spellEnd"/>
      <w:r w:rsidRPr="0003312B">
        <w:rPr>
          <w:rFonts w:ascii="Times New Roman" w:hAnsi="Times New Roman"/>
          <w:sz w:val="22"/>
          <w:szCs w:val="22"/>
          <w:lang w:val="lt-LT" w:eastAsia="lt-LT"/>
        </w:rPr>
        <w:t xml:space="preserve"> ir </w:t>
      </w:r>
      <w:proofErr w:type="spellStart"/>
      <w:r w:rsidRPr="0003312B">
        <w:rPr>
          <w:rFonts w:ascii="Times New Roman" w:hAnsi="Times New Roman"/>
          <w:sz w:val="22"/>
          <w:szCs w:val="22"/>
          <w:lang w:val="lt-LT" w:eastAsia="lt-LT"/>
        </w:rPr>
        <w:t>hipomagnezemiją</w:t>
      </w:r>
      <w:proofErr w:type="spellEnd"/>
      <w:r w:rsidRPr="0003312B">
        <w:rPr>
          <w:rFonts w:ascii="Times New Roman" w:hAnsi="Times New Roman"/>
          <w:sz w:val="22"/>
          <w:szCs w:val="22"/>
          <w:lang w:val="lt-LT" w:eastAsia="lt-LT"/>
        </w:rPr>
        <w:t xml:space="preserve">. Jei kliniškai reikšmingai sumažėja kalcio, fosforo ar magnio koncentracija serume, būklę reikia koreguoti į veną švirkščiant atitinkamą kiekį kalcio </w:t>
      </w:r>
      <w:proofErr w:type="spellStart"/>
      <w:r w:rsidRPr="0003312B">
        <w:rPr>
          <w:rFonts w:ascii="Times New Roman" w:hAnsi="Times New Roman"/>
          <w:sz w:val="22"/>
          <w:szCs w:val="22"/>
          <w:lang w:val="lt-LT" w:eastAsia="lt-LT"/>
        </w:rPr>
        <w:t>gliukonato</w:t>
      </w:r>
      <w:proofErr w:type="spellEnd"/>
      <w:r w:rsidRPr="0003312B">
        <w:rPr>
          <w:rFonts w:ascii="Times New Roman" w:hAnsi="Times New Roman"/>
          <w:sz w:val="22"/>
          <w:szCs w:val="22"/>
          <w:lang w:val="lt-LT" w:eastAsia="lt-LT"/>
        </w:rPr>
        <w:t>, kalio ar natrio fosfato arba magnio sulfato.</w:t>
      </w:r>
    </w:p>
    <w:p w:rsidR="009E3290" w:rsidRPr="0003312B" w:rsidRDefault="009E3290" w:rsidP="009E3290">
      <w:pPr>
        <w:rPr>
          <w:rFonts w:ascii="Times New Roman" w:hAnsi="Times New Roman"/>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5.</w:t>
      </w:r>
      <w:r w:rsidRPr="0003312B">
        <w:rPr>
          <w:b/>
          <w:bCs/>
          <w:color w:val="auto"/>
          <w:sz w:val="22"/>
          <w:szCs w:val="22"/>
          <w:lang w:val="lt-LT"/>
        </w:rPr>
        <w:tab/>
        <w:t>FARMAKOLOGINĖS SAVYBĖS</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5.1</w:t>
      </w:r>
      <w:r w:rsidRPr="0003312B">
        <w:rPr>
          <w:b/>
          <w:bCs/>
          <w:color w:val="auto"/>
          <w:sz w:val="22"/>
          <w:szCs w:val="22"/>
          <w:lang w:val="lt-LT"/>
        </w:rPr>
        <w:tab/>
      </w:r>
      <w:proofErr w:type="spellStart"/>
      <w:r w:rsidRPr="0003312B">
        <w:rPr>
          <w:b/>
          <w:bCs/>
          <w:color w:val="auto"/>
          <w:sz w:val="22"/>
          <w:szCs w:val="22"/>
          <w:lang w:val="lt-LT"/>
        </w:rPr>
        <w:t>Farmakodinaminės</w:t>
      </w:r>
      <w:proofErr w:type="spellEnd"/>
      <w:r w:rsidRPr="0003312B">
        <w:rPr>
          <w:b/>
          <w:bCs/>
          <w:color w:val="auto"/>
          <w:sz w:val="22"/>
          <w:szCs w:val="22"/>
          <w:lang w:val="lt-LT"/>
        </w:rPr>
        <w:t xml:space="preserve"> savybės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rPr>
          <w:color w:val="auto"/>
          <w:sz w:val="22"/>
          <w:szCs w:val="22"/>
          <w:lang w:val="lt-LT"/>
        </w:rPr>
      </w:pPr>
      <w:proofErr w:type="spellStart"/>
      <w:r w:rsidRPr="0003312B">
        <w:rPr>
          <w:color w:val="auto"/>
          <w:sz w:val="22"/>
          <w:szCs w:val="22"/>
          <w:lang w:val="lt-LT"/>
        </w:rPr>
        <w:t>Farmakoterapinė</w:t>
      </w:r>
      <w:proofErr w:type="spellEnd"/>
      <w:r w:rsidRPr="0003312B">
        <w:rPr>
          <w:color w:val="auto"/>
          <w:sz w:val="22"/>
          <w:szCs w:val="22"/>
          <w:lang w:val="lt-LT"/>
        </w:rPr>
        <w:t xml:space="preserve"> grupė – vaistai kaulų ligoms gydyti, </w:t>
      </w:r>
      <w:proofErr w:type="spellStart"/>
      <w:r w:rsidRPr="0003312B">
        <w:rPr>
          <w:color w:val="auto"/>
          <w:sz w:val="22"/>
          <w:szCs w:val="22"/>
          <w:lang w:val="lt-LT"/>
        </w:rPr>
        <w:t>bisfosfonatai</w:t>
      </w:r>
      <w:proofErr w:type="spellEnd"/>
      <w:r w:rsidRPr="0003312B">
        <w:rPr>
          <w:color w:val="auto"/>
          <w:sz w:val="22"/>
          <w:szCs w:val="22"/>
          <w:lang w:val="lt-LT"/>
        </w:rPr>
        <w:t xml:space="preserve">, ATC kodas – M05BA06.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u w:val="single"/>
          <w:lang w:val="lt-LT"/>
        </w:rPr>
      </w:pPr>
      <w:r w:rsidRPr="0003312B">
        <w:rPr>
          <w:iCs/>
          <w:color w:val="auto"/>
          <w:sz w:val="22"/>
          <w:szCs w:val="22"/>
          <w:u w:val="single"/>
          <w:lang w:val="lt-LT"/>
        </w:rPr>
        <w:t>Veikimo mechanizmas</w:t>
      </w:r>
    </w:p>
    <w:p w:rsidR="009E3290" w:rsidRPr="0003312B" w:rsidRDefault="009E3290" w:rsidP="009E3290">
      <w:pPr>
        <w:autoSpaceDE w:val="0"/>
        <w:autoSpaceDN w:val="0"/>
        <w:adjustRightInd w:val="0"/>
        <w:snapToGrid w:val="0"/>
        <w:rPr>
          <w:rFonts w:ascii="Times New Roman" w:hAnsi="Times New Roman"/>
          <w:sz w:val="22"/>
          <w:szCs w:val="22"/>
          <w:lang w:val="lt-LT"/>
        </w:rPr>
      </w:pP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rūgštis yra stipriai veikiantis </w:t>
      </w:r>
      <w:proofErr w:type="spellStart"/>
      <w:r w:rsidRPr="0003312B">
        <w:rPr>
          <w:rFonts w:ascii="Times New Roman" w:hAnsi="Times New Roman"/>
          <w:sz w:val="22"/>
          <w:szCs w:val="22"/>
          <w:lang w:val="lt-LT" w:eastAsia="lt-LT"/>
        </w:rPr>
        <w:t>bisfosfonatas</w:t>
      </w:r>
      <w:proofErr w:type="spellEnd"/>
      <w:r w:rsidRPr="0003312B">
        <w:rPr>
          <w:rFonts w:ascii="Times New Roman" w:hAnsi="Times New Roman"/>
          <w:sz w:val="22"/>
          <w:szCs w:val="22"/>
          <w:lang w:val="lt-LT" w:eastAsia="lt-LT"/>
        </w:rPr>
        <w:t xml:space="preserve">, priklausantis azoto molekulę turinčiai </w:t>
      </w:r>
      <w:proofErr w:type="spellStart"/>
      <w:r w:rsidRPr="0003312B">
        <w:rPr>
          <w:rFonts w:ascii="Times New Roman" w:hAnsi="Times New Roman"/>
          <w:sz w:val="22"/>
          <w:szCs w:val="22"/>
          <w:lang w:val="lt-LT" w:eastAsia="lt-LT"/>
        </w:rPr>
        <w:t>bisfosfonatų</w:t>
      </w:r>
      <w:proofErr w:type="spellEnd"/>
      <w:r w:rsidRPr="0003312B">
        <w:rPr>
          <w:rFonts w:ascii="Times New Roman" w:hAnsi="Times New Roman"/>
          <w:sz w:val="22"/>
          <w:szCs w:val="22"/>
          <w:lang w:val="lt-LT" w:eastAsia="lt-LT"/>
        </w:rPr>
        <w:t xml:space="preserve"> grupei, kuri selektyviai veikia kaulinį audinį ir specifiškai slopina </w:t>
      </w:r>
      <w:proofErr w:type="spellStart"/>
      <w:r w:rsidRPr="0003312B">
        <w:rPr>
          <w:rFonts w:ascii="Times New Roman" w:hAnsi="Times New Roman"/>
          <w:sz w:val="22"/>
          <w:szCs w:val="22"/>
          <w:lang w:val="lt-LT" w:eastAsia="lt-LT"/>
        </w:rPr>
        <w:t>osteoklastų</w:t>
      </w:r>
      <w:proofErr w:type="spellEnd"/>
      <w:r w:rsidRPr="0003312B">
        <w:rPr>
          <w:rFonts w:ascii="Times New Roman" w:hAnsi="Times New Roman"/>
          <w:sz w:val="22"/>
          <w:szCs w:val="22"/>
          <w:lang w:val="lt-LT" w:eastAsia="lt-LT"/>
        </w:rPr>
        <w:t xml:space="preserve"> aktyvumą, tiesiogiai neveikdama kaulų formavimosi. Ji neslopina </w:t>
      </w:r>
      <w:proofErr w:type="spellStart"/>
      <w:r w:rsidRPr="0003312B">
        <w:rPr>
          <w:rFonts w:ascii="Times New Roman" w:hAnsi="Times New Roman"/>
          <w:sz w:val="22"/>
          <w:szCs w:val="22"/>
          <w:lang w:val="lt-LT" w:eastAsia="lt-LT"/>
        </w:rPr>
        <w:t>osteoklastų</w:t>
      </w:r>
      <w:proofErr w:type="spellEnd"/>
      <w:r w:rsidRPr="0003312B">
        <w:rPr>
          <w:rFonts w:ascii="Times New Roman" w:hAnsi="Times New Roman"/>
          <w:sz w:val="22"/>
          <w:szCs w:val="22"/>
          <w:lang w:val="lt-LT" w:eastAsia="lt-LT"/>
        </w:rPr>
        <w:t xml:space="preserve"> </w:t>
      </w:r>
      <w:proofErr w:type="spellStart"/>
      <w:r w:rsidRPr="0003312B">
        <w:rPr>
          <w:rFonts w:ascii="Times New Roman" w:hAnsi="Times New Roman"/>
          <w:sz w:val="22"/>
          <w:szCs w:val="22"/>
          <w:lang w:val="lt-LT" w:eastAsia="lt-LT"/>
        </w:rPr>
        <w:t>proliferacijos</w:t>
      </w:r>
      <w:proofErr w:type="spellEnd"/>
      <w:r w:rsidRPr="0003312B">
        <w:rPr>
          <w:rFonts w:ascii="Times New Roman" w:hAnsi="Times New Roman"/>
          <w:sz w:val="22"/>
          <w:szCs w:val="22"/>
          <w:lang w:val="lt-LT" w:eastAsia="lt-LT"/>
        </w:rPr>
        <w:t xml:space="preserve">.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rūgštis laipsniškai didina kaulų masę ir mažina lūžių dažnį, slopindama moterų po menopauzės suaktyvėjusią kaulų apykaitą iki to lygio, kuris buvo prieš menopauzę.</w:t>
      </w:r>
      <w:r w:rsidRPr="0003312B">
        <w:rPr>
          <w:rFonts w:ascii="Times New Roman" w:hAnsi="Times New Roman"/>
          <w:sz w:val="22"/>
          <w:szCs w:val="22"/>
          <w:lang w:val="lt-LT"/>
        </w:rPr>
        <w:t xml:space="preserve">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u w:val="single"/>
          <w:lang w:val="lt-LT"/>
        </w:rPr>
      </w:pPr>
      <w:proofErr w:type="spellStart"/>
      <w:r w:rsidRPr="0003312B">
        <w:rPr>
          <w:iCs/>
          <w:color w:val="auto"/>
          <w:sz w:val="22"/>
          <w:szCs w:val="22"/>
          <w:u w:val="single"/>
          <w:lang w:val="lt-LT"/>
        </w:rPr>
        <w:t>Farmakodinaminis</w:t>
      </w:r>
      <w:proofErr w:type="spellEnd"/>
      <w:r w:rsidRPr="0003312B">
        <w:rPr>
          <w:iCs/>
          <w:color w:val="auto"/>
          <w:sz w:val="22"/>
          <w:szCs w:val="22"/>
          <w:u w:val="single"/>
          <w:lang w:val="lt-LT"/>
        </w:rPr>
        <w:t xml:space="preserve"> poveikis</w:t>
      </w:r>
    </w:p>
    <w:p w:rsidR="009E3290" w:rsidRPr="00042943" w:rsidRDefault="009E3290" w:rsidP="009E3290">
      <w:pPr>
        <w:autoSpaceDE w:val="0"/>
        <w:autoSpaceDN w:val="0"/>
        <w:adjustRightInd w:val="0"/>
        <w:rPr>
          <w:rFonts w:ascii="Times New Roman" w:hAnsi="Times New Roman"/>
          <w:sz w:val="22"/>
          <w:lang w:val="lt-LT"/>
        </w:rPr>
      </w:pPr>
      <w:proofErr w:type="spellStart"/>
      <w:r w:rsidRPr="00042943">
        <w:rPr>
          <w:rFonts w:ascii="Times New Roman" w:hAnsi="Times New Roman"/>
          <w:sz w:val="22"/>
          <w:szCs w:val="22"/>
          <w:lang w:val="lt-LT" w:eastAsia="lt-LT"/>
        </w:rPr>
        <w:t>Farmakodinaminis</w:t>
      </w:r>
      <w:proofErr w:type="spellEnd"/>
      <w:r w:rsidRPr="00042943">
        <w:rPr>
          <w:rFonts w:ascii="Times New Roman" w:hAnsi="Times New Roman"/>
          <w:sz w:val="22"/>
          <w:szCs w:val="22"/>
          <w:lang w:val="lt-LT" w:eastAsia="lt-LT"/>
        </w:rPr>
        <w:t xml:space="preserve">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poveikis yra kaulų </w:t>
      </w:r>
      <w:proofErr w:type="spellStart"/>
      <w:r w:rsidRPr="00042943">
        <w:rPr>
          <w:rFonts w:ascii="Times New Roman" w:hAnsi="Times New Roman"/>
          <w:sz w:val="22"/>
          <w:szCs w:val="22"/>
          <w:lang w:val="lt-LT" w:eastAsia="lt-LT"/>
        </w:rPr>
        <w:t>rezorbcijos</w:t>
      </w:r>
      <w:proofErr w:type="spellEnd"/>
      <w:r w:rsidRPr="00042943">
        <w:rPr>
          <w:rFonts w:ascii="Times New Roman" w:hAnsi="Times New Roman"/>
          <w:sz w:val="22"/>
          <w:szCs w:val="22"/>
          <w:lang w:val="lt-LT" w:eastAsia="lt-LT"/>
        </w:rPr>
        <w:t xml:space="preserve"> slopinimas. </w:t>
      </w:r>
      <w:proofErr w:type="spellStart"/>
      <w:r w:rsidRPr="00042943">
        <w:rPr>
          <w:rFonts w:ascii="Times New Roman" w:hAnsi="Times New Roman"/>
          <w:i/>
          <w:iCs/>
          <w:sz w:val="22"/>
          <w:szCs w:val="22"/>
          <w:lang w:val="lt-LT" w:eastAsia="lt-LT"/>
        </w:rPr>
        <w:t>In</w:t>
      </w:r>
      <w:proofErr w:type="spellEnd"/>
      <w:r w:rsidRPr="00042943">
        <w:rPr>
          <w:rFonts w:ascii="Times New Roman" w:hAnsi="Times New Roman"/>
          <w:i/>
          <w:iCs/>
          <w:sz w:val="22"/>
          <w:szCs w:val="22"/>
          <w:lang w:val="lt-LT" w:eastAsia="lt-LT"/>
        </w:rPr>
        <w:t xml:space="preserve"> </w:t>
      </w:r>
      <w:proofErr w:type="spellStart"/>
      <w:r w:rsidRPr="00042943">
        <w:rPr>
          <w:rFonts w:ascii="Times New Roman" w:hAnsi="Times New Roman"/>
          <w:i/>
          <w:iCs/>
          <w:sz w:val="22"/>
          <w:szCs w:val="22"/>
          <w:lang w:val="lt-LT" w:eastAsia="lt-LT"/>
        </w:rPr>
        <w:t>vivo</w:t>
      </w:r>
      <w:proofErr w:type="spellEnd"/>
      <w:r w:rsidRPr="00042943">
        <w:rPr>
          <w:rFonts w:ascii="Times New Roman" w:hAnsi="Times New Roman"/>
          <w:i/>
          <w:iCs/>
          <w:sz w:val="22"/>
          <w:szCs w:val="22"/>
          <w:lang w:val="lt-LT" w:eastAsia="lt-LT"/>
        </w:rPr>
        <w:t xml:space="preserve">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rūgštis stabdo eksperimentiškai sužadintą kaulų destrukciją, sukeltą slopinamos lytinių liaukų funkcijos, </w:t>
      </w:r>
      <w:proofErr w:type="spellStart"/>
      <w:r w:rsidRPr="00042943">
        <w:rPr>
          <w:rFonts w:ascii="Times New Roman" w:hAnsi="Times New Roman"/>
          <w:sz w:val="22"/>
          <w:szCs w:val="22"/>
          <w:lang w:val="lt-LT" w:eastAsia="lt-LT"/>
        </w:rPr>
        <w:t>retinoidų</w:t>
      </w:r>
      <w:proofErr w:type="spellEnd"/>
      <w:r w:rsidRPr="00042943">
        <w:rPr>
          <w:rFonts w:ascii="Times New Roman" w:hAnsi="Times New Roman"/>
          <w:sz w:val="22"/>
          <w:szCs w:val="22"/>
          <w:lang w:val="lt-LT" w:eastAsia="lt-LT"/>
        </w:rPr>
        <w:t xml:space="preserve">, navikų ar navikų ekstraktų. Jaunoms (greitai augančioms) žiurkėms taip pat slopinama endogeninė kaulų </w:t>
      </w:r>
      <w:proofErr w:type="spellStart"/>
      <w:r w:rsidRPr="00042943">
        <w:rPr>
          <w:rFonts w:ascii="Times New Roman" w:hAnsi="Times New Roman"/>
          <w:sz w:val="22"/>
          <w:szCs w:val="22"/>
          <w:lang w:val="lt-LT" w:eastAsia="lt-LT"/>
        </w:rPr>
        <w:t>rezorbcija</w:t>
      </w:r>
      <w:proofErr w:type="spellEnd"/>
      <w:r w:rsidRPr="00042943">
        <w:rPr>
          <w:rFonts w:ascii="Times New Roman" w:hAnsi="Times New Roman"/>
          <w:sz w:val="22"/>
          <w:szCs w:val="22"/>
          <w:lang w:val="lt-LT" w:eastAsia="lt-LT"/>
        </w:rPr>
        <w:t xml:space="preserve">, dėl to padidėja normali kaulų masė lyginant su gyvūnų, negavusių preparato. </w:t>
      </w:r>
    </w:p>
    <w:p w:rsidR="009E3290" w:rsidRPr="00042943" w:rsidRDefault="009E3290" w:rsidP="009E3290">
      <w:pPr>
        <w:autoSpaceDE w:val="0"/>
        <w:autoSpaceDN w:val="0"/>
        <w:adjustRightInd w:val="0"/>
        <w:rPr>
          <w:rFonts w:ascii="Times New Roman" w:hAnsi="Times New Roman"/>
          <w:sz w:val="22"/>
          <w:szCs w:val="22"/>
          <w:lang w:val="lt-LT" w:eastAsia="lt-LT"/>
        </w:rPr>
      </w:pPr>
    </w:p>
    <w:p w:rsidR="009E3290" w:rsidRPr="00042943" w:rsidRDefault="009E3290" w:rsidP="009E3290">
      <w:pPr>
        <w:autoSpaceDE w:val="0"/>
        <w:autoSpaceDN w:val="0"/>
        <w:adjustRightInd w:val="0"/>
        <w:rPr>
          <w:rFonts w:ascii="Times New Roman" w:hAnsi="Times New Roman"/>
          <w:sz w:val="22"/>
          <w:szCs w:val="22"/>
          <w:lang w:val="lt-LT" w:eastAsia="lt-LT"/>
        </w:rPr>
      </w:pPr>
      <w:r w:rsidRPr="00042943">
        <w:rPr>
          <w:rFonts w:ascii="Times New Roman" w:hAnsi="Times New Roman"/>
          <w:sz w:val="22"/>
          <w:szCs w:val="22"/>
          <w:lang w:val="lt-LT" w:eastAsia="lt-LT"/>
        </w:rPr>
        <w:t xml:space="preserve">Gyvūnų modeliai patvirtino, kad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rūgštis stipriai slopina </w:t>
      </w:r>
      <w:proofErr w:type="spellStart"/>
      <w:r w:rsidRPr="00042943">
        <w:rPr>
          <w:rFonts w:ascii="Times New Roman" w:hAnsi="Times New Roman"/>
          <w:sz w:val="22"/>
          <w:szCs w:val="22"/>
          <w:lang w:val="lt-LT" w:eastAsia="lt-LT"/>
        </w:rPr>
        <w:t>osteoklastų</w:t>
      </w:r>
      <w:proofErr w:type="spellEnd"/>
      <w:r w:rsidRPr="00042943">
        <w:rPr>
          <w:rFonts w:ascii="Times New Roman" w:hAnsi="Times New Roman"/>
          <w:sz w:val="22"/>
          <w:szCs w:val="22"/>
          <w:lang w:val="lt-LT" w:eastAsia="lt-LT"/>
        </w:rPr>
        <w:t xml:space="preserve"> aktyvumą. Jokie duomenys nerodo, kad augančioms žiurkėms būtų slopinama </w:t>
      </w:r>
      <w:proofErr w:type="spellStart"/>
      <w:r w:rsidRPr="00042943">
        <w:rPr>
          <w:rFonts w:ascii="Times New Roman" w:hAnsi="Times New Roman"/>
          <w:sz w:val="22"/>
          <w:szCs w:val="22"/>
          <w:lang w:val="lt-LT" w:eastAsia="lt-LT"/>
        </w:rPr>
        <w:t>mineralizacija</w:t>
      </w:r>
      <w:proofErr w:type="spellEnd"/>
      <w:r w:rsidRPr="00042943">
        <w:rPr>
          <w:rFonts w:ascii="Times New Roman" w:hAnsi="Times New Roman"/>
          <w:sz w:val="22"/>
          <w:szCs w:val="22"/>
          <w:lang w:val="lt-LT" w:eastAsia="lt-LT"/>
        </w:rPr>
        <w:t xml:space="preserve">, net kai vartojama 5000 kartų didesnė negu osteoporozei gydyti dozė. </w:t>
      </w:r>
    </w:p>
    <w:p w:rsidR="009E3290" w:rsidRPr="00042943" w:rsidRDefault="009E3290" w:rsidP="009E3290">
      <w:pPr>
        <w:autoSpaceDE w:val="0"/>
        <w:autoSpaceDN w:val="0"/>
        <w:adjustRightInd w:val="0"/>
        <w:rPr>
          <w:rFonts w:ascii="Times New Roman" w:hAnsi="Times New Roman"/>
          <w:sz w:val="22"/>
          <w:szCs w:val="22"/>
          <w:lang w:val="lt-LT" w:eastAsia="lt-LT"/>
        </w:rPr>
      </w:pPr>
    </w:p>
    <w:p w:rsidR="009E3290" w:rsidRPr="00042943" w:rsidRDefault="009E3290" w:rsidP="009E3290">
      <w:pPr>
        <w:autoSpaceDE w:val="0"/>
        <w:autoSpaceDN w:val="0"/>
        <w:adjustRightInd w:val="0"/>
        <w:rPr>
          <w:rFonts w:ascii="Times New Roman" w:hAnsi="Times New Roman"/>
          <w:sz w:val="22"/>
          <w:szCs w:val="22"/>
          <w:lang w:val="lt-LT" w:eastAsia="lt-LT"/>
        </w:rPr>
      </w:pPr>
      <w:r w:rsidRPr="00042943">
        <w:rPr>
          <w:rFonts w:ascii="Times New Roman" w:hAnsi="Times New Roman"/>
          <w:sz w:val="22"/>
          <w:szCs w:val="22"/>
          <w:lang w:val="lt-LT" w:eastAsia="lt-LT"/>
        </w:rPr>
        <w:t xml:space="preserve">Ilgai kasdien ar su pertraukomis (ilgi intervalai tarp dozių) preparato gavusioms žiurkėms, šunims ir beždžionėms formavosi naujas, normalus kaulinis audinys, kurio mechaninis atsparumas išliko toks pat arba padidėjo net skiriant toksines dozes. Žmonėms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efektyvumas, jos vartojant kasdien ar su pertraukomis, kai intervalas tarp dozių yra 9-10 savaičių, įrodytas klinikiniame tyrime (MF 4411). Šio tyrimo metu buvo patvirtintas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efektyvumas lūžių prevencijai. </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 xml:space="preserve">Modeliuose su gyvūnais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rūgštis sukėlė biocheminių rodiklių pokyčius, kurie rodė nuo dozės priklausomą kaulų </w:t>
      </w:r>
      <w:proofErr w:type="spellStart"/>
      <w:r w:rsidRPr="00042943">
        <w:rPr>
          <w:rFonts w:ascii="Times New Roman" w:hAnsi="Times New Roman"/>
          <w:sz w:val="22"/>
          <w:szCs w:val="22"/>
          <w:lang w:val="lt-LT" w:eastAsia="lt-LT"/>
        </w:rPr>
        <w:t>rezorbcijos</w:t>
      </w:r>
      <w:proofErr w:type="spellEnd"/>
      <w:r w:rsidRPr="00042943">
        <w:rPr>
          <w:rFonts w:ascii="Times New Roman" w:hAnsi="Times New Roman"/>
          <w:sz w:val="22"/>
          <w:szCs w:val="22"/>
          <w:lang w:val="lt-LT" w:eastAsia="lt-LT"/>
        </w:rPr>
        <w:t xml:space="preserve"> slopinimą, iš jų ir sumažėjusį biocheminių kolageno irimo žymenų (pavyzdžiui, </w:t>
      </w:r>
      <w:proofErr w:type="spellStart"/>
      <w:r w:rsidRPr="00042943">
        <w:rPr>
          <w:rFonts w:ascii="Times New Roman" w:hAnsi="Times New Roman"/>
          <w:sz w:val="22"/>
          <w:szCs w:val="22"/>
          <w:lang w:val="lt-LT" w:eastAsia="lt-LT"/>
        </w:rPr>
        <w:t>deoksipiridinolino</w:t>
      </w:r>
      <w:proofErr w:type="spellEnd"/>
      <w:r w:rsidRPr="00042943">
        <w:rPr>
          <w:rFonts w:ascii="Times New Roman" w:hAnsi="Times New Roman"/>
          <w:sz w:val="22"/>
          <w:szCs w:val="22"/>
          <w:lang w:val="lt-LT" w:eastAsia="lt-LT"/>
        </w:rPr>
        <w:t xml:space="preserve"> ir kryžminių I tipo kolageno N-</w:t>
      </w:r>
      <w:proofErr w:type="spellStart"/>
      <w:r w:rsidRPr="00042943">
        <w:rPr>
          <w:rFonts w:ascii="Times New Roman" w:hAnsi="Times New Roman"/>
          <w:sz w:val="22"/>
          <w:szCs w:val="22"/>
          <w:lang w:val="lt-LT" w:eastAsia="lt-LT"/>
        </w:rPr>
        <w:t>telopeptidų</w:t>
      </w:r>
      <w:proofErr w:type="spellEnd"/>
      <w:r w:rsidRPr="00042943">
        <w:rPr>
          <w:rFonts w:ascii="Times New Roman" w:hAnsi="Times New Roman"/>
          <w:sz w:val="22"/>
          <w:szCs w:val="22"/>
          <w:lang w:val="lt-LT" w:eastAsia="lt-LT"/>
        </w:rPr>
        <w:t xml:space="preserve"> (NTX) kiekį šlapime.</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Ir kasdien, ir su pertraukomis (kai vaisto nevartojama 9–10 savaičių) geriamos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tabletės, taip pat ir injekcinės vaisto formos moterims po menopauzės sukėlė biocheminių pokyčių, rodančių nuo dozės priklausantį kaulų </w:t>
      </w:r>
      <w:proofErr w:type="spellStart"/>
      <w:r w:rsidRPr="0003312B">
        <w:rPr>
          <w:rFonts w:ascii="Times New Roman" w:hAnsi="Times New Roman"/>
          <w:sz w:val="22"/>
          <w:szCs w:val="22"/>
          <w:lang w:val="lt-LT" w:eastAsia="lt-LT"/>
        </w:rPr>
        <w:t>rezorbcijos</w:t>
      </w:r>
      <w:proofErr w:type="spellEnd"/>
      <w:r w:rsidRPr="0003312B">
        <w:rPr>
          <w:rFonts w:ascii="Times New Roman" w:hAnsi="Times New Roman"/>
          <w:sz w:val="22"/>
          <w:szCs w:val="22"/>
          <w:lang w:val="lt-LT" w:eastAsia="lt-LT"/>
        </w:rPr>
        <w:t xml:space="preserve"> slopinimą.</w:t>
      </w:r>
      <w:r w:rsidRPr="0003312B">
        <w:rPr>
          <w:rFonts w:ascii="Times New Roman" w:hAnsi="Times New Roman"/>
          <w:sz w:val="22"/>
          <w:szCs w:val="22"/>
          <w:lang w:val="lt-LT"/>
        </w:rPr>
        <w:t xml:space="preserve">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Po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injekcijų į veną per 3–7 paras nuo gydymo pradžios sumažėjo I tipo kolageno alfa grandinės C-</w:t>
      </w:r>
      <w:proofErr w:type="spellStart"/>
      <w:r w:rsidRPr="0003312B">
        <w:rPr>
          <w:rFonts w:ascii="Times New Roman" w:hAnsi="Times New Roman"/>
          <w:sz w:val="22"/>
          <w:szCs w:val="22"/>
          <w:lang w:val="lt-LT" w:eastAsia="lt-LT"/>
        </w:rPr>
        <w:t>telopeptido</w:t>
      </w:r>
      <w:proofErr w:type="spellEnd"/>
      <w:r w:rsidRPr="0003312B">
        <w:rPr>
          <w:rFonts w:ascii="Times New Roman" w:hAnsi="Times New Roman"/>
          <w:sz w:val="22"/>
          <w:szCs w:val="22"/>
          <w:lang w:val="lt-LT" w:eastAsia="lt-LT"/>
        </w:rPr>
        <w:t xml:space="preserve"> (CTX) koncentracija serume, o per 3 mėnesius sumažėjo </w:t>
      </w:r>
      <w:proofErr w:type="spellStart"/>
      <w:r w:rsidRPr="0003312B">
        <w:rPr>
          <w:rFonts w:ascii="Times New Roman" w:hAnsi="Times New Roman"/>
          <w:sz w:val="22"/>
          <w:szCs w:val="22"/>
          <w:lang w:val="lt-LT" w:eastAsia="lt-LT"/>
        </w:rPr>
        <w:t>osteokalcino</w:t>
      </w:r>
      <w:proofErr w:type="spellEnd"/>
      <w:r w:rsidRPr="0003312B">
        <w:rPr>
          <w:rFonts w:ascii="Times New Roman" w:hAnsi="Times New Roman"/>
          <w:sz w:val="22"/>
          <w:szCs w:val="22"/>
          <w:lang w:val="lt-LT" w:eastAsia="lt-LT"/>
        </w:rPr>
        <w:t xml:space="preserve"> koncentracija.</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Nutraukus gydymą, kaulų </w:t>
      </w:r>
      <w:proofErr w:type="spellStart"/>
      <w:r w:rsidRPr="0003312B">
        <w:rPr>
          <w:rFonts w:ascii="Times New Roman" w:hAnsi="Times New Roman"/>
          <w:sz w:val="22"/>
          <w:szCs w:val="22"/>
          <w:lang w:val="lt-LT" w:eastAsia="lt-LT"/>
        </w:rPr>
        <w:t>rezorbcija</w:t>
      </w:r>
      <w:proofErr w:type="spellEnd"/>
      <w:r w:rsidRPr="0003312B">
        <w:rPr>
          <w:rFonts w:ascii="Times New Roman" w:hAnsi="Times New Roman"/>
          <w:sz w:val="22"/>
          <w:szCs w:val="22"/>
          <w:lang w:val="lt-LT" w:eastAsia="lt-LT"/>
        </w:rPr>
        <w:t xml:space="preserve"> vėl padidėjo iki prieš gydymą buvusio patologiškai suintensyvėjusio lygio, susijusio su osteoporoze po menopauzės.</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Po dvejų ir trejų metų moterų po menopauzės gydymo geriamosiomis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2,5 mg tabletėmis kartą per parą ir iki 1 mg dozėmis į veną su pertraukomis kas 3 mėnesius kaulų biopsijų histologinis tyrimas parodė, kad kaulų struktūra buvo normali, be jokių </w:t>
      </w:r>
      <w:proofErr w:type="spellStart"/>
      <w:r w:rsidRPr="0003312B">
        <w:rPr>
          <w:rFonts w:ascii="Times New Roman" w:hAnsi="Times New Roman"/>
          <w:sz w:val="22"/>
          <w:szCs w:val="22"/>
          <w:lang w:val="lt-LT" w:eastAsia="lt-LT"/>
        </w:rPr>
        <w:t>mineralizacijos</w:t>
      </w:r>
      <w:proofErr w:type="spellEnd"/>
      <w:r w:rsidRPr="0003312B">
        <w:rPr>
          <w:rFonts w:ascii="Times New Roman" w:hAnsi="Times New Roman"/>
          <w:sz w:val="22"/>
          <w:szCs w:val="22"/>
          <w:lang w:val="lt-LT" w:eastAsia="lt-LT"/>
        </w:rPr>
        <w:t xml:space="preserve"> defektų požymių. Lauktas kaulų apykaitos sumažėjimas ir normali kaulo kokybė be </w:t>
      </w:r>
      <w:proofErr w:type="spellStart"/>
      <w:r w:rsidRPr="0003312B">
        <w:rPr>
          <w:rFonts w:ascii="Times New Roman" w:hAnsi="Times New Roman"/>
          <w:sz w:val="22"/>
          <w:szCs w:val="22"/>
          <w:lang w:val="lt-LT" w:eastAsia="lt-LT"/>
        </w:rPr>
        <w:t>mineralizacijos</w:t>
      </w:r>
      <w:proofErr w:type="spellEnd"/>
      <w:r w:rsidRPr="0003312B">
        <w:rPr>
          <w:rFonts w:ascii="Times New Roman" w:hAnsi="Times New Roman"/>
          <w:sz w:val="22"/>
          <w:szCs w:val="22"/>
          <w:lang w:val="lt-LT" w:eastAsia="lt-LT"/>
        </w:rPr>
        <w:t xml:space="preserve"> defektų taip pat nustatyta po dvejų gydymo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3 mg injekcijomis metų.</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pStyle w:val="Default"/>
        <w:outlineLvl w:val="0"/>
        <w:rPr>
          <w:color w:val="auto"/>
          <w:sz w:val="22"/>
          <w:szCs w:val="22"/>
          <w:u w:val="single"/>
          <w:lang w:val="lt-LT"/>
        </w:rPr>
      </w:pPr>
      <w:r w:rsidRPr="0003312B">
        <w:rPr>
          <w:iCs/>
          <w:color w:val="auto"/>
          <w:sz w:val="22"/>
          <w:szCs w:val="22"/>
          <w:u w:val="single"/>
          <w:lang w:val="lt-LT"/>
        </w:rPr>
        <w:t>Klinikinis efektyvumas</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Norint nustatyti, kurioms moterims kaulų lūžių dėl osteoporozės rizika yra padidėjusi, reikia atsižvelgti į nepriklausomus rizikos veiksnius, pvz., mažą KMT, amžių, anksčiau buvusius kaulų lūžius, kaulų lūžius šeimos </w:t>
      </w:r>
      <w:proofErr w:type="spellStart"/>
      <w:r w:rsidRPr="0003312B">
        <w:rPr>
          <w:rFonts w:ascii="Times New Roman" w:hAnsi="Times New Roman"/>
          <w:sz w:val="22"/>
          <w:szCs w:val="22"/>
          <w:lang w:val="lt-LT" w:eastAsia="lt-LT"/>
        </w:rPr>
        <w:t>anamnezėje</w:t>
      </w:r>
      <w:proofErr w:type="spellEnd"/>
      <w:r w:rsidRPr="0003312B">
        <w:rPr>
          <w:rFonts w:ascii="Times New Roman" w:hAnsi="Times New Roman"/>
          <w:sz w:val="22"/>
          <w:szCs w:val="22"/>
          <w:lang w:val="lt-LT" w:eastAsia="lt-LT"/>
        </w:rPr>
        <w:t>, greitą kaulų apykaitą ir mažą kūno masės indeksą.</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pStyle w:val="Default"/>
        <w:outlineLvl w:val="0"/>
        <w:rPr>
          <w:color w:val="auto"/>
          <w:sz w:val="22"/>
          <w:szCs w:val="22"/>
          <w:u w:val="single"/>
          <w:lang w:val="lt-LT"/>
        </w:rPr>
      </w:pPr>
      <w:proofErr w:type="spellStart"/>
      <w:r w:rsidRPr="0003312B">
        <w:rPr>
          <w:color w:val="auto"/>
          <w:sz w:val="22"/>
          <w:szCs w:val="22"/>
          <w:u w:val="single"/>
          <w:lang w:val="lt-LT"/>
        </w:rPr>
        <w:t>Ibandrono</w:t>
      </w:r>
      <w:proofErr w:type="spellEnd"/>
      <w:r w:rsidRPr="0003312B">
        <w:rPr>
          <w:color w:val="auto"/>
          <w:sz w:val="22"/>
          <w:szCs w:val="22"/>
          <w:u w:val="single"/>
          <w:lang w:val="lt-LT"/>
        </w:rPr>
        <w:t xml:space="preserve"> rūgšties 3 mg injekcijos kas 3 mėnesius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rPr>
          <w:color w:val="auto"/>
          <w:sz w:val="22"/>
          <w:szCs w:val="22"/>
          <w:lang w:val="lt-LT"/>
        </w:rPr>
      </w:pPr>
      <w:r w:rsidRPr="0003312B">
        <w:rPr>
          <w:i/>
          <w:iCs/>
          <w:color w:val="auto"/>
          <w:sz w:val="22"/>
          <w:szCs w:val="22"/>
          <w:lang w:val="lt-LT"/>
        </w:rPr>
        <w:t xml:space="preserve">Kaulų mineralinis tankis (KMT)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lastRenderedPageBreak/>
        <w:t xml:space="preserve">Dvejų metų atsitiktinių imčių, dvigubai aklu būdu atlikto, </w:t>
      </w:r>
      <w:proofErr w:type="spellStart"/>
      <w:r w:rsidRPr="0003312B">
        <w:rPr>
          <w:rFonts w:ascii="Times New Roman" w:hAnsi="Times New Roman"/>
          <w:sz w:val="22"/>
          <w:szCs w:val="22"/>
          <w:lang w:val="lt-LT" w:eastAsia="lt-LT"/>
        </w:rPr>
        <w:t>daugiacentrio</w:t>
      </w:r>
      <w:proofErr w:type="spellEnd"/>
      <w:r w:rsidRPr="0003312B">
        <w:rPr>
          <w:rFonts w:ascii="Times New Roman" w:hAnsi="Times New Roman"/>
          <w:sz w:val="22"/>
          <w:szCs w:val="22"/>
          <w:lang w:val="lt-LT" w:eastAsia="lt-LT"/>
        </w:rPr>
        <w:t xml:space="preserve">, ne mažesnio efektyvumo tyrimo (BM16550) metu, kuriame dalyvavo moterys po menopauzės (1386 moterys nuo 55 iki 80 metų ), sergančios osteoporoze (pradinis juosmens slankstelių KMT T balas – žemesnis kaip – 2,5 SD) įrodyta, kad gydymas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3 mg injekcijomis į veną kas 3 mėnesius yra mažiausiai toks pats efektyvus, kaip ir gydymas geriamosiomis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2,5 mg tabletėmis kartą per parą. Tai parodė pirminės analizės po vienerių metų duomenys ir patvirtino rezultatų po dvejų metų analizė (2 lentelė).</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Pirminė BM16550 tyrimo duomenų po vienerių metų analizė ir patvirtinamoji analizė po dvejų metų parodė, kad gydymas 3 mg injekcijomis kas 3 mėnesius nėra mažiau efektyvus už gydymą geriamosiomis 2,5 mg tabletėmis kartą per parą, vertinant pagal juosmens slankstelių, bendrojo klubo, šlaunikaulio kaklelio ir gumburo KMT vidutinį padidėjimą (2 lentelė).</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rPr>
        <w:t xml:space="preserve">2 lentelė. </w:t>
      </w:r>
      <w:r w:rsidRPr="0003312B">
        <w:rPr>
          <w:rFonts w:ascii="Times New Roman" w:hAnsi="Times New Roman"/>
          <w:sz w:val="22"/>
          <w:szCs w:val="22"/>
          <w:lang w:val="lt-LT" w:eastAsia="lt-LT"/>
        </w:rPr>
        <w:t>Juosmens slankstelių, šlaunikaulio kaklelio ir gumburo bei bendrojo klubo KMT vidutinis reliatyvus pokytis nuo pradinės vertės po vienerių metų (pirminė analizė) ir po dvejų gydymo metų (populiacija protokolui) tyrimo BM 16550 metu.</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tbl>
      <w:tblPr>
        <w:tblW w:w="7992" w:type="dxa"/>
        <w:jc w:val="center"/>
        <w:tblLayout w:type="fixed"/>
        <w:tblLook w:val="04A0" w:firstRow="1" w:lastRow="0" w:firstColumn="1" w:lastColumn="0" w:noHBand="0" w:noVBand="1"/>
      </w:tblPr>
      <w:tblGrid>
        <w:gridCol w:w="1878"/>
        <w:gridCol w:w="1568"/>
        <w:gridCol w:w="1534"/>
        <w:gridCol w:w="1531"/>
        <w:gridCol w:w="1481"/>
      </w:tblGrid>
      <w:tr w:rsidR="009E3290" w:rsidRPr="0003312B" w:rsidTr="00DA32C5">
        <w:trPr>
          <w:trHeight w:val="565"/>
          <w:jc w:val="center"/>
        </w:trPr>
        <w:tc>
          <w:tcPr>
            <w:tcW w:w="1877" w:type="dxa"/>
            <w:tcBorders>
              <w:top w:val="single" w:sz="8" w:space="0" w:color="000000"/>
              <w:left w:val="single" w:sz="8" w:space="0" w:color="000000"/>
              <w:bottom w:val="single" w:sz="8" w:space="0" w:color="000000"/>
              <w:right w:val="single" w:sz="8" w:space="0" w:color="000000"/>
            </w:tcBorders>
          </w:tcPr>
          <w:p w:rsidR="009E3290" w:rsidRPr="0003312B" w:rsidRDefault="009E3290" w:rsidP="00DA32C5">
            <w:pPr>
              <w:pStyle w:val="Default"/>
              <w:spacing w:after="160"/>
              <w:rPr>
                <w:color w:val="auto"/>
                <w:sz w:val="22"/>
                <w:szCs w:val="22"/>
                <w:lang w:val="lt-LT"/>
              </w:rPr>
            </w:pPr>
          </w:p>
        </w:tc>
        <w:tc>
          <w:tcPr>
            <w:tcW w:w="3101" w:type="dxa"/>
            <w:gridSpan w:val="2"/>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r w:rsidRPr="0003312B">
              <w:rPr>
                <w:color w:val="auto"/>
                <w:sz w:val="22"/>
                <w:szCs w:val="22"/>
                <w:lang w:val="lt-LT"/>
              </w:rPr>
              <w:t>BM 16550 tyrimo duomenys po vienerių metų</w:t>
            </w:r>
          </w:p>
        </w:tc>
        <w:tc>
          <w:tcPr>
            <w:tcW w:w="3012" w:type="dxa"/>
            <w:gridSpan w:val="2"/>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BM 16550 tyrimo duomenys po dvejų metų</w:t>
            </w:r>
          </w:p>
        </w:tc>
      </w:tr>
      <w:tr w:rsidR="009E3290" w:rsidRPr="0003312B" w:rsidTr="00DA32C5">
        <w:trPr>
          <w:trHeight w:val="1417"/>
          <w:jc w:val="center"/>
        </w:trPr>
        <w:tc>
          <w:tcPr>
            <w:tcW w:w="187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Vidutinis reliatyvus pokytis nuo pradinės vertės, % [95% CI] </w:t>
            </w:r>
          </w:p>
        </w:tc>
        <w:tc>
          <w:tcPr>
            <w:tcW w:w="156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proofErr w:type="spellStart"/>
            <w:r w:rsidRPr="0003312B">
              <w:rPr>
                <w:color w:val="auto"/>
                <w:sz w:val="22"/>
                <w:szCs w:val="22"/>
                <w:lang w:val="lt-LT"/>
              </w:rPr>
              <w:t>Ibandrono</w:t>
            </w:r>
            <w:proofErr w:type="spellEnd"/>
            <w:r w:rsidRPr="0003312B">
              <w:rPr>
                <w:color w:val="auto"/>
                <w:sz w:val="22"/>
                <w:szCs w:val="22"/>
                <w:lang w:val="lt-LT"/>
              </w:rPr>
              <w:t xml:space="preserve"> rūgštis, 2,5 mg kartą per parą </w:t>
            </w:r>
          </w:p>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(N = 377) </w:t>
            </w:r>
          </w:p>
        </w:tc>
        <w:tc>
          <w:tcPr>
            <w:tcW w:w="1534"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rPr>
                <w:color w:val="auto"/>
                <w:sz w:val="22"/>
                <w:szCs w:val="22"/>
                <w:lang w:val="lt-LT"/>
              </w:rPr>
            </w:pPr>
            <w:proofErr w:type="spellStart"/>
            <w:r w:rsidRPr="0003312B">
              <w:rPr>
                <w:color w:val="auto"/>
                <w:sz w:val="22"/>
                <w:szCs w:val="22"/>
                <w:lang w:val="lt-LT"/>
              </w:rPr>
              <w:t>Ibandrono</w:t>
            </w:r>
            <w:proofErr w:type="spellEnd"/>
            <w:r w:rsidRPr="0003312B">
              <w:rPr>
                <w:color w:val="auto"/>
                <w:sz w:val="22"/>
                <w:szCs w:val="22"/>
                <w:lang w:val="lt-LT"/>
              </w:rPr>
              <w:t xml:space="preserve"> rūgštis, 3 mg injekcijos kas 3 mėnesius </w:t>
            </w:r>
          </w:p>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(N = 365) </w:t>
            </w:r>
          </w:p>
        </w:tc>
        <w:tc>
          <w:tcPr>
            <w:tcW w:w="153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proofErr w:type="spellStart"/>
            <w:r w:rsidRPr="0003312B">
              <w:rPr>
                <w:color w:val="auto"/>
                <w:sz w:val="22"/>
                <w:szCs w:val="22"/>
                <w:lang w:val="lt-LT"/>
              </w:rPr>
              <w:t>Ibandrono</w:t>
            </w:r>
            <w:proofErr w:type="spellEnd"/>
            <w:r w:rsidRPr="0003312B">
              <w:rPr>
                <w:color w:val="auto"/>
                <w:sz w:val="22"/>
                <w:szCs w:val="22"/>
                <w:lang w:val="lt-LT"/>
              </w:rPr>
              <w:t xml:space="preserve"> rūgštis, 2,5 mg kartą per parą </w:t>
            </w:r>
          </w:p>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(N = 334) </w:t>
            </w:r>
          </w:p>
        </w:tc>
        <w:tc>
          <w:tcPr>
            <w:tcW w:w="148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rPr>
                <w:color w:val="auto"/>
                <w:sz w:val="22"/>
                <w:szCs w:val="22"/>
                <w:lang w:val="lt-LT"/>
              </w:rPr>
            </w:pPr>
            <w:proofErr w:type="spellStart"/>
            <w:r w:rsidRPr="0003312B">
              <w:rPr>
                <w:color w:val="auto"/>
                <w:sz w:val="22"/>
                <w:szCs w:val="22"/>
                <w:lang w:val="lt-LT"/>
              </w:rPr>
              <w:t>Ibandrono</w:t>
            </w:r>
            <w:proofErr w:type="spellEnd"/>
            <w:r w:rsidRPr="0003312B">
              <w:rPr>
                <w:color w:val="auto"/>
                <w:sz w:val="22"/>
                <w:szCs w:val="22"/>
                <w:lang w:val="lt-LT"/>
              </w:rPr>
              <w:t xml:space="preserve"> rūgštis, 3 mg injekcijos kas 3 mėnesius </w:t>
            </w:r>
          </w:p>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(N = 334) </w:t>
            </w:r>
          </w:p>
        </w:tc>
      </w:tr>
      <w:tr w:rsidR="009E3290" w:rsidRPr="0003312B" w:rsidTr="00DA32C5">
        <w:trPr>
          <w:trHeight w:val="430"/>
          <w:jc w:val="center"/>
        </w:trPr>
        <w:tc>
          <w:tcPr>
            <w:tcW w:w="187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Juosmens slankstelių L2-L4 KMT </w:t>
            </w:r>
          </w:p>
        </w:tc>
        <w:tc>
          <w:tcPr>
            <w:tcW w:w="156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3,8 [3,4; 4,2]</w:t>
            </w:r>
          </w:p>
        </w:tc>
        <w:tc>
          <w:tcPr>
            <w:tcW w:w="1534"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4,8 [4.5; 5,2]</w:t>
            </w:r>
          </w:p>
        </w:tc>
        <w:tc>
          <w:tcPr>
            <w:tcW w:w="153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4,8 [4,3; 5,4]</w:t>
            </w:r>
          </w:p>
        </w:tc>
        <w:tc>
          <w:tcPr>
            <w:tcW w:w="148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6,3 [5,7; 6,8]</w:t>
            </w:r>
          </w:p>
        </w:tc>
      </w:tr>
      <w:tr w:rsidR="009E3290" w:rsidRPr="0003312B" w:rsidTr="00DA32C5">
        <w:trPr>
          <w:trHeight w:val="301"/>
          <w:jc w:val="center"/>
        </w:trPr>
        <w:tc>
          <w:tcPr>
            <w:tcW w:w="187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Bendrasis klubo KMT </w:t>
            </w:r>
          </w:p>
        </w:tc>
        <w:tc>
          <w:tcPr>
            <w:tcW w:w="156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1,8 [1,5; 2,1]</w:t>
            </w:r>
          </w:p>
        </w:tc>
        <w:tc>
          <w:tcPr>
            <w:tcW w:w="1534"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2,4 [2,0; 2,7]</w:t>
            </w:r>
          </w:p>
        </w:tc>
        <w:tc>
          <w:tcPr>
            <w:tcW w:w="153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2,2 [1,8; 2,6]</w:t>
            </w:r>
          </w:p>
        </w:tc>
        <w:tc>
          <w:tcPr>
            <w:tcW w:w="148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3,1 [2,6; 3,6]</w:t>
            </w:r>
          </w:p>
        </w:tc>
      </w:tr>
      <w:tr w:rsidR="009E3290" w:rsidRPr="0003312B" w:rsidTr="00DA32C5">
        <w:trPr>
          <w:trHeight w:val="403"/>
          <w:jc w:val="center"/>
        </w:trPr>
        <w:tc>
          <w:tcPr>
            <w:tcW w:w="187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Šlaunikaulio kaklelio KMT </w:t>
            </w:r>
          </w:p>
        </w:tc>
        <w:tc>
          <w:tcPr>
            <w:tcW w:w="156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1,6 [1,2; 2]</w:t>
            </w:r>
          </w:p>
        </w:tc>
        <w:tc>
          <w:tcPr>
            <w:tcW w:w="1534"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2,3 [1,9; 2,7]</w:t>
            </w:r>
          </w:p>
        </w:tc>
        <w:tc>
          <w:tcPr>
            <w:tcW w:w="153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2,2 [1,8; 2,7]</w:t>
            </w:r>
          </w:p>
        </w:tc>
        <w:tc>
          <w:tcPr>
            <w:tcW w:w="148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2,8 [2,3; 3,3]</w:t>
            </w:r>
          </w:p>
        </w:tc>
      </w:tr>
      <w:tr w:rsidR="009E3290" w:rsidRPr="0003312B" w:rsidTr="00DA32C5">
        <w:trPr>
          <w:trHeight w:val="258"/>
          <w:jc w:val="center"/>
        </w:trPr>
        <w:tc>
          <w:tcPr>
            <w:tcW w:w="187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rPr>
                <w:color w:val="auto"/>
                <w:sz w:val="22"/>
                <w:szCs w:val="22"/>
                <w:lang w:val="lt-LT"/>
              </w:rPr>
            </w:pPr>
            <w:r w:rsidRPr="0003312B">
              <w:rPr>
                <w:color w:val="auto"/>
                <w:sz w:val="22"/>
                <w:szCs w:val="22"/>
                <w:lang w:val="lt-LT"/>
              </w:rPr>
              <w:t xml:space="preserve">Gumburo KMT </w:t>
            </w:r>
          </w:p>
        </w:tc>
        <w:tc>
          <w:tcPr>
            <w:tcW w:w="1567"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3,0 [2,6; 3,4]</w:t>
            </w:r>
          </w:p>
        </w:tc>
        <w:tc>
          <w:tcPr>
            <w:tcW w:w="1534"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3,8 [3,2; 4,4]</w:t>
            </w:r>
          </w:p>
        </w:tc>
        <w:tc>
          <w:tcPr>
            <w:tcW w:w="153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3,5 [3,0; 4,0]</w:t>
            </w:r>
          </w:p>
        </w:tc>
        <w:tc>
          <w:tcPr>
            <w:tcW w:w="1481" w:type="dxa"/>
            <w:tcBorders>
              <w:top w:val="single" w:sz="8" w:space="0" w:color="000000"/>
              <w:left w:val="single" w:sz="8" w:space="0" w:color="000000"/>
              <w:bottom w:val="single" w:sz="8" w:space="0" w:color="000000"/>
              <w:right w:val="single" w:sz="8" w:space="0" w:color="000000"/>
            </w:tcBorders>
            <w:hideMark/>
          </w:tcPr>
          <w:p w:rsidR="009E3290" w:rsidRPr="0003312B" w:rsidRDefault="009E3290" w:rsidP="00DA32C5">
            <w:pPr>
              <w:pStyle w:val="Default"/>
              <w:spacing w:after="160"/>
              <w:jc w:val="center"/>
              <w:rPr>
                <w:color w:val="auto"/>
                <w:sz w:val="22"/>
                <w:szCs w:val="22"/>
                <w:lang w:val="lt-LT"/>
              </w:rPr>
            </w:pPr>
            <w:r w:rsidRPr="0003312B">
              <w:rPr>
                <w:color w:val="auto"/>
                <w:sz w:val="22"/>
                <w:szCs w:val="22"/>
                <w:lang w:val="lt-LT"/>
              </w:rPr>
              <w:t>4,9 [4,1; 5,7]</w:t>
            </w:r>
          </w:p>
        </w:tc>
      </w:tr>
    </w:tbl>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Dar daugiau, perspektyviniu tyrimu buvo įrodyta, kad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3 mg injekcijos kas 3 mėnesius efektyviau už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2,5 mg tabletes, geriamas vieną kartą per parą, didino juosmens slankstelių KMT po vienerių metų, p &lt; 0,001, ir po dvejų metų, p &lt;0,001.</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Juosmens slankstelių KMT. Po 1 metų 92,1% pacienčių, gydytų 3 mg injekcijomis kas 3 mėnesius, KMT padidėjo arba išliko nepakitęs (t. y. buvo gautas atsakas), palyginti su 84,9% pacienčių, gėrusių po 2,5 mg per parą (p = 0,002). Po 2 metų 92,8% pacienčių, gydytų 3 mg injekcijomis, ir 84,7% pacienčių, gėrusių po 2,5 mg, juosmens slankstelių KMT padidėjo ar išliko nepakitęs (p = 0,001).</w:t>
      </w:r>
      <w:r w:rsidRPr="0003312B">
        <w:rPr>
          <w:rFonts w:ascii="Times New Roman" w:hAnsi="Times New Roman"/>
          <w:sz w:val="22"/>
          <w:szCs w:val="22"/>
          <w:lang w:val="lt-LT"/>
        </w:rPr>
        <w:t xml:space="preserve">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Bendrasis klubo KMT. Po 1 metų 82,3% pacienčių, gydytų 3 mg injekcijomis kas 3 mėnesius, buvo gautas atsakas, palyginti su 75,1% pacienčių, gėrusių po 2,5 mg per </w:t>
      </w:r>
      <w:r w:rsidRPr="0003312B">
        <w:rPr>
          <w:rFonts w:ascii="Times New Roman" w:hAnsi="Times New Roman"/>
          <w:sz w:val="22"/>
          <w:szCs w:val="22"/>
          <w:lang w:val="lt-LT" w:eastAsia="lt-LT"/>
        </w:rPr>
        <w:lastRenderedPageBreak/>
        <w:t>parą (p = 0,02). Po 2 metų 85,6% pacienčių, gydytų 3 mg injekcijomis, ir 77,0% pacienčių, gėrusių po 2,5 mg, bendrasis klubo KMT padidėjo ar išliko nepakitęs (p = 0,004).</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Po vienerių metų 76,2% pacienčių, gydytų 3 mg injekcijomis kas 3 mėnesius, ir 67,2% pacienčių, gėrusių 2,5 mg per parą, padidėjo ar išliko nepakitęs juosmens stuburo slankstelių ir bendrasis klubo KMT (p = 0,007). Po dvejų metų KMT atsakas gautas atitinkamai 80,1% ir 68,8% pacienčių, gydytų 3 mg injekcijomis kas 3 mėnesius ar gėrusių 2,5 mg per parą (p = 0,001).</w:t>
      </w:r>
      <w:r w:rsidRPr="0003312B">
        <w:rPr>
          <w:rFonts w:ascii="Times New Roman" w:hAnsi="Times New Roman"/>
          <w:sz w:val="22"/>
          <w:szCs w:val="22"/>
          <w:lang w:val="lt-LT"/>
        </w:rPr>
        <w:t xml:space="preserve">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 xml:space="preserve">Biocheminiai kaulų apykaitos žymenys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Kiekvieną kartą atliekant tyrimus, nustatytas kliniškai reikšmingas CTX koncentracijos serume sumažėjimas. Po 12 mėnesių santykinio pokyčio nuo pradinės vertės mediana buvo 58,6% gydytų 3 mg injekcijomis kas 3 mėnesius pacienčių grupėje ir – 62,6% gėrusiųjų po 2,5 mg vieną kartą per parą grupėje. Be to, 64,8% pacienčių, gydytų 3 mg injekcijomis kas 3 mėnesius, buvo gautas atsakas (registruotas, kai pradinė vertė sumažėjo ≥50% ), palyginti su 64,9% pacienčių, gėrusių po 2,5 mg per parą. CTX koncentracija serume buvo sumažėjusi 2 metus, abiejose gydymo grupėse atsakas buvo gautas daugiau nei pusei pacienčių.</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Remiantis BM 16550 tyrimo rezultatais, manoma, kad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3 mg injekcijos į veną kas 3 mėnesius yra tokios pačios efektyvios kaulų lūžių profilaktikai, kaip ir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2,5 mg tabletės, geriamos vieną kartą per parą.</w:t>
      </w:r>
    </w:p>
    <w:p w:rsidR="009E3290" w:rsidRPr="0003312B" w:rsidRDefault="009E3290" w:rsidP="009E3290">
      <w:pPr>
        <w:pStyle w:val="Default"/>
        <w:rPr>
          <w:color w:val="auto"/>
          <w:sz w:val="22"/>
          <w:szCs w:val="22"/>
          <w:u w:val="single"/>
          <w:lang w:val="lt-LT"/>
        </w:rPr>
      </w:pPr>
    </w:p>
    <w:p w:rsidR="009E3290" w:rsidRPr="0003312B" w:rsidRDefault="009E3290" w:rsidP="009E3290">
      <w:pPr>
        <w:pStyle w:val="Default"/>
        <w:outlineLvl w:val="0"/>
        <w:rPr>
          <w:color w:val="auto"/>
          <w:sz w:val="22"/>
          <w:szCs w:val="22"/>
          <w:lang w:val="lt-LT"/>
        </w:rPr>
      </w:pPr>
      <w:proofErr w:type="spellStart"/>
      <w:r w:rsidRPr="0003312B">
        <w:rPr>
          <w:color w:val="auto"/>
          <w:sz w:val="22"/>
          <w:szCs w:val="22"/>
          <w:u w:val="single"/>
          <w:lang w:val="lt-LT"/>
        </w:rPr>
        <w:t>Ibandrono</w:t>
      </w:r>
      <w:proofErr w:type="spellEnd"/>
      <w:r w:rsidRPr="0003312B">
        <w:rPr>
          <w:color w:val="auto"/>
          <w:sz w:val="22"/>
          <w:szCs w:val="22"/>
          <w:u w:val="single"/>
          <w:lang w:val="lt-LT"/>
        </w:rPr>
        <w:t xml:space="preserve"> rūgšties 2,5 mg tabletės vieną kartą per parą </w:t>
      </w: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eastAsia="lt-LT"/>
        </w:rPr>
        <w:t xml:space="preserve">Trejų metų trukmės atsitiktinių imčių, dvigubai aklu būdu atlikto, </w:t>
      </w:r>
      <w:proofErr w:type="spellStart"/>
      <w:r w:rsidRPr="0003312B">
        <w:rPr>
          <w:rFonts w:ascii="Times New Roman" w:hAnsi="Times New Roman"/>
          <w:sz w:val="22"/>
          <w:szCs w:val="22"/>
          <w:lang w:val="lt-LT" w:eastAsia="lt-LT"/>
        </w:rPr>
        <w:t>placebu</w:t>
      </w:r>
      <w:proofErr w:type="spellEnd"/>
      <w:r w:rsidRPr="0003312B">
        <w:rPr>
          <w:rFonts w:ascii="Times New Roman" w:hAnsi="Times New Roman"/>
          <w:sz w:val="22"/>
          <w:szCs w:val="22"/>
          <w:lang w:val="lt-LT" w:eastAsia="lt-LT"/>
        </w:rPr>
        <w:t xml:space="preserve"> kontroliuojamo kaulų lūžių tyrimo metu (MF 4411) statistiškai patikimai ir kliniškai reikšmingai sumažėjo naujų </w:t>
      </w:r>
      <w:proofErr w:type="spellStart"/>
      <w:r w:rsidRPr="0003312B">
        <w:rPr>
          <w:rFonts w:ascii="Times New Roman" w:hAnsi="Times New Roman"/>
          <w:sz w:val="22"/>
          <w:szCs w:val="22"/>
          <w:lang w:val="lt-LT" w:eastAsia="lt-LT"/>
        </w:rPr>
        <w:t>radiografinių</w:t>
      </w:r>
      <w:proofErr w:type="spellEnd"/>
      <w:r w:rsidRPr="0003312B">
        <w:rPr>
          <w:rFonts w:ascii="Times New Roman" w:hAnsi="Times New Roman"/>
          <w:sz w:val="22"/>
          <w:szCs w:val="22"/>
          <w:lang w:val="lt-LT" w:eastAsia="lt-LT"/>
        </w:rPr>
        <w:t xml:space="preserve"> </w:t>
      </w:r>
      <w:proofErr w:type="spellStart"/>
      <w:r w:rsidRPr="0003312B">
        <w:rPr>
          <w:rFonts w:ascii="Times New Roman" w:hAnsi="Times New Roman"/>
          <w:sz w:val="22"/>
          <w:szCs w:val="22"/>
          <w:lang w:val="lt-LT" w:eastAsia="lt-LT"/>
        </w:rPr>
        <w:t>morfometrinių</w:t>
      </w:r>
      <w:proofErr w:type="spellEnd"/>
      <w:r w:rsidRPr="0003312B">
        <w:rPr>
          <w:rFonts w:ascii="Times New Roman" w:hAnsi="Times New Roman"/>
          <w:sz w:val="22"/>
          <w:szCs w:val="22"/>
          <w:lang w:val="lt-LT" w:eastAsia="lt-LT"/>
        </w:rPr>
        <w:t xml:space="preserve"> ir simptominių stuburo slankstelių lūžių dažnis (3 lentelė). Šio tyrimo metu buvo lyginamos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2,5 mg tabletės, geriamos vieną kartą per parą, ir, kaip tiriamasis vartojimo režimas, 20 mg dozė, vartojama su pertraukomis.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pacientės gėrė ryte nevalgiusios, išgėrusios vaisto nevalgė ir negėrė dar 60 minučių (badavimo laikas išgėrus dozę). Tyrime dalyvavo moterys nuo 55 iki 80 metų, kurioms menopauzė prasidėjo mažiausiai prieš 5 metus, kurių juosmens slankstelių KMT bent viename slankstelyje [L1-L4] buvo nuo - 2 iki - 5 SN mažesnis už vidurkį prieš menopauzę (T lygmuo) ir kurioms buvo nuo vieno iki keturių slankstelių lūžių. Visos pacientės gavo po 500 mg kalcio ir 400 TV vitamino D per parą. Efektyvumas buvo vertinamas tiriant 2928 pacientes. Vartojant po 2,5 mg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kasdien, statistiškai patikimai ir kliniškai reikšmingai sumažėjo naujų slankstelių lūžių dažnis. Per trejus tyrimo metus gydant 62% (p = 0,0001) sumažėjo naujų </w:t>
      </w:r>
      <w:proofErr w:type="spellStart"/>
      <w:r w:rsidRPr="0003312B">
        <w:rPr>
          <w:rFonts w:ascii="Times New Roman" w:hAnsi="Times New Roman"/>
          <w:sz w:val="22"/>
          <w:szCs w:val="22"/>
          <w:lang w:val="lt-LT" w:eastAsia="lt-LT"/>
        </w:rPr>
        <w:t>radiografinių</w:t>
      </w:r>
      <w:proofErr w:type="spellEnd"/>
      <w:r w:rsidRPr="0003312B">
        <w:rPr>
          <w:rFonts w:ascii="Times New Roman" w:hAnsi="Times New Roman"/>
          <w:sz w:val="22"/>
          <w:szCs w:val="22"/>
          <w:lang w:val="lt-LT" w:eastAsia="lt-LT"/>
        </w:rPr>
        <w:t xml:space="preserve"> slankstelių lūžių dažnis. Po 2 metų reliatyvi rizika sumažėjo 61% (p = 0,0006). Po vienerių gydymo metų statistiškai patikimo skirtumo nebuvo nustatyta (p = 0,056). Lūžių dažnį mažinantis poveikis nekito per visą tyrimą, ilgainiui nesumažėjo ir efektyvumas.</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Simptominių stuburo slankstelių lūžių dažnis po 3 metų taip pat sumažėjo reikšmingai – 49% (p = 0,011). Stiprų vaisto poveikį slankstelių lūžiams atspindi ir statistiškai patikimai sulėtėjęs ūgio mažėjimas pacientėms, palyginti su </w:t>
      </w:r>
      <w:proofErr w:type="spellStart"/>
      <w:r w:rsidRPr="0003312B">
        <w:rPr>
          <w:rFonts w:ascii="Times New Roman" w:hAnsi="Times New Roman"/>
          <w:sz w:val="22"/>
          <w:szCs w:val="22"/>
          <w:lang w:val="lt-LT" w:eastAsia="lt-LT"/>
        </w:rPr>
        <w:t>placebo</w:t>
      </w:r>
      <w:proofErr w:type="spellEnd"/>
      <w:r w:rsidRPr="0003312B">
        <w:rPr>
          <w:rFonts w:ascii="Times New Roman" w:hAnsi="Times New Roman"/>
          <w:sz w:val="22"/>
          <w:szCs w:val="22"/>
          <w:lang w:val="lt-LT" w:eastAsia="lt-LT"/>
        </w:rPr>
        <w:t xml:space="preserve"> gavusiųjų grupe (p &lt;0,0001).</w:t>
      </w:r>
      <w:r w:rsidRPr="0003312B">
        <w:rPr>
          <w:rFonts w:ascii="Times New Roman" w:hAnsi="Times New Roman"/>
          <w:sz w:val="22"/>
          <w:szCs w:val="22"/>
          <w:lang w:val="lt-LT"/>
        </w:rPr>
        <w:t xml:space="preserve">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jc w:val="both"/>
        <w:rPr>
          <w:rFonts w:ascii="Times New Roman" w:hAnsi="Times New Roman"/>
          <w:sz w:val="22"/>
          <w:szCs w:val="22"/>
          <w:lang w:val="lt-LT" w:eastAsia="lt-LT"/>
        </w:rPr>
      </w:pPr>
      <w:r w:rsidRPr="0003312B">
        <w:rPr>
          <w:rFonts w:ascii="Times New Roman" w:hAnsi="Times New Roman"/>
          <w:sz w:val="22"/>
          <w:szCs w:val="22"/>
          <w:lang w:val="lt-LT"/>
        </w:rPr>
        <w:t xml:space="preserve">3 lentelė. </w:t>
      </w:r>
      <w:r w:rsidRPr="0003312B">
        <w:rPr>
          <w:rFonts w:ascii="Times New Roman" w:hAnsi="Times New Roman"/>
          <w:sz w:val="22"/>
          <w:szCs w:val="22"/>
          <w:lang w:val="lt-LT" w:eastAsia="lt-LT"/>
        </w:rPr>
        <w:t>Trejų metų trukmės lūžių tyrimo MF 4411 rezultatai (%, 95% PI)</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tbl>
      <w:tblPr>
        <w:tblW w:w="75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3"/>
        <w:gridCol w:w="2140"/>
        <w:gridCol w:w="2469"/>
      </w:tblGrid>
      <w:tr w:rsidR="009E3290" w:rsidRPr="0003312B" w:rsidTr="00DA32C5">
        <w:trPr>
          <w:trHeight w:val="245"/>
        </w:trPr>
        <w:tc>
          <w:tcPr>
            <w:tcW w:w="2961" w:type="dxa"/>
            <w:tcBorders>
              <w:top w:val="single" w:sz="4" w:space="0" w:color="auto"/>
              <w:left w:val="single" w:sz="4" w:space="0" w:color="auto"/>
              <w:bottom w:val="single" w:sz="4" w:space="0" w:color="auto"/>
              <w:right w:val="single" w:sz="4" w:space="0" w:color="auto"/>
            </w:tcBorders>
          </w:tcPr>
          <w:p w:rsidR="009E3290" w:rsidRPr="0003312B" w:rsidRDefault="009E3290" w:rsidP="00DA32C5">
            <w:pPr>
              <w:pStyle w:val="Default"/>
              <w:rPr>
                <w:color w:val="auto"/>
                <w:sz w:val="22"/>
                <w:szCs w:val="22"/>
                <w:lang w:val="lt-LT"/>
              </w:rPr>
            </w:pPr>
          </w:p>
        </w:tc>
        <w:tc>
          <w:tcPr>
            <w:tcW w:w="2139"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proofErr w:type="spellStart"/>
            <w:r w:rsidRPr="0003312B">
              <w:rPr>
                <w:color w:val="auto"/>
                <w:sz w:val="22"/>
                <w:szCs w:val="22"/>
                <w:lang w:val="lt-LT"/>
              </w:rPr>
              <w:t>Placebas</w:t>
            </w:r>
            <w:proofErr w:type="spellEnd"/>
            <w:r w:rsidRPr="0003312B">
              <w:rPr>
                <w:color w:val="auto"/>
                <w:sz w:val="22"/>
                <w:szCs w:val="22"/>
                <w:lang w:val="lt-LT"/>
              </w:rPr>
              <w:t xml:space="preserve"> </w:t>
            </w:r>
          </w:p>
          <w:p w:rsidR="009E3290" w:rsidRPr="0003312B" w:rsidRDefault="009E3290" w:rsidP="00DA32C5">
            <w:pPr>
              <w:pStyle w:val="Default"/>
              <w:jc w:val="center"/>
              <w:rPr>
                <w:color w:val="auto"/>
                <w:sz w:val="22"/>
                <w:szCs w:val="22"/>
                <w:lang w:val="lt-LT"/>
              </w:rPr>
            </w:pPr>
            <w:r w:rsidRPr="0003312B">
              <w:rPr>
                <w:color w:val="auto"/>
                <w:sz w:val="22"/>
                <w:szCs w:val="22"/>
                <w:lang w:val="lt-LT"/>
              </w:rPr>
              <w:t>(n = 974)</w:t>
            </w:r>
          </w:p>
        </w:tc>
        <w:tc>
          <w:tcPr>
            <w:tcW w:w="2468"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proofErr w:type="spellStart"/>
            <w:r w:rsidRPr="0003312B">
              <w:rPr>
                <w:color w:val="auto"/>
                <w:sz w:val="22"/>
                <w:szCs w:val="22"/>
                <w:lang w:val="lt-LT"/>
              </w:rPr>
              <w:t>Ibandrono</w:t>
            </w:r>
            <w:proofErr w:type="spellEnd"/>
            <w:r w:rsidRPr="0003312B">
              <w:rPr>
                <w:color w:val="auto"/>
                <w:sz w:val="22"/>
                <w:szCs w:val="22"/>
                <w:lang w:val="lt-LT"/>
              </w:rPr>
              <w:t xml:space="preserve"> rūgštis, 2,5 mg per parą</w:t>
            </w:r>
          </w:p>
          <w:p w:rsidR="009E3290" w:rsidRPr="0003312B" w:rsidRDefault="009E3290" w:rsidP="00DA32C5">
            <w:pPr>
              <w:pStyle w:val="Default"/>
              <w:jc w:val="center"/>
              <w:rPr>
                <w:color w:val="auto"/>
                <w:sz w:val="22"/>
                <w:szCs w:val="22"/>
                <w:lang w:val="lt-LT"/>
              </w:rPr>
            </w:pPr>
            <w:r w:rsidRPr="0003312B">
              <w:rPr>
                <w:color w:val="auto"/>
                <w:sz w:val="22"/>
                <w:szCs w:val="22"/>
                <w:lang w:val="lt-LT"/>
              </w:rPr>
              <w:t>(n = 977)</w:t>
            </w:r>
          </w:p>
        </w:tc>
      </w:tr>
      <w:tr w:rsidR="009E3290" w:rsidRPr="0003312B" w:rsidTr="00DA32C5">
        <w:trPr>
          <w:trHeight w:val="261"/>
        </w:trPr>
        <w:tc>
          <w:tcPr>
            <w:tcW w:w="296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 xml:space="preserve">Sumažėjusi santykinė rizika </w:t>
            </w:r>
          </w:p>
          <w:p w:rsidR="009E3290" w:rsidRPr="0003312B" w:rsidRDefault="009E3290" w:rsidP="00DA32C5">
            <w:pPr>
              <w:pStyle w:val="Default"/>
              <w:rPr>
                <w:color w:val="auto"/>
                <w:sz w:val="22"/>
                <w:szCs w:val="22"/>
                <w:lang w:val="lt-LT"/>
              </w:rPr>
            </w:pPr>
            <w:r w:rsidRPr="0003312B">
              <w:rPr>
                <w:color w:val="auto"/>
                <w:sz w:val="22"/>
                <w:szCs w:val="22"/>
                <w:lang w:val="lt-LT"/>
              </w:rPr>
              <w:t xml:space="preserve">Nauji </w:t>
            </w:r>
            <w:proofErr w:type="spellStart"/>
            <w:r w:rsidRPr="0003312B">
              <w:rPr>
                <w:color w:val="auto"/>
                <w:sz w:val="22"/>
                <w:szCs w:val="22"/>
                <w:lang w:val="lt-LT"/>
              </w:rPr>
              <w:t>morfometriniai</w:t>
            </w:r>
            <w:proofErr w:type="spellEnd"/>
            <w:r w:rsidRPr="0003312B">
              <w:rPr>
                <w:color w:val="auto"/>
                <w:sz w:val="22"/>
                <w:szCs w:val="22"/>
                <w:lang w:val="lt-LT"/>
              </w:rPr>
              <w:t xml:space="preserve"> slankstelių lūžiai</w:t>
            </w:r>
          </w:p>
        </w:tc>
        <w:tc>
          <w:tcPr>
            <w:tcW w:w="2139" w:type="dxa"/>
            <w:tcBorders>
              <w:top w:val="single" w:sz="4" w:space="0" w:color="auto"/>
              <w:left w:val="single" w:sz="4" w:space="0" w:color="auto"/>
              <w:bottom w:val="single" w:sz="4" w:space="0" w:color="auto"/>
              <w:right w:val="single" w:sz="4" w:space="0" w:color="auto"/>
            </w:tcBorders>
          </w:tcPr>
          <w:p w:rsidR="009E3290" w:rsidRPr="0003312B" w:rsidRDefault="009E3290" w:rsidP="00DA32C5">
            <w:pPr>
              <w:pStyle w:val="Default"/>
              <w:jc w:val="center"/>
              <w:rPr>
                <w:color w:val="auto"/>
                <w:sz w:val="22"/>
                <w:szCs w:val="22"/>
                <w:lang w:val="lt-LT"/>
              </w:rPr>
            </w:pPr>
          </w:p>
        </w:tc>
        <w:tc>
          <w:tcPr>
            <w:tcW w:w="2468"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62% (40,9; 75,1)</w:t>
            </w:r>
          </w:p>
        </w:tc>
      </w:tr>
      <w:tr w:rsidR="009E3290" w:rsidRPr="0003312B" w:rsidTr="00DA32C5">
        <w:trPr>
          <w:trHeight w:val="261"/>
        </w:trPr>
        <w:tc>
          <w:tcPr>
            <w:tcW w:w="296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 xml:space="preserve">Naujų </w:t>
            </w:r>
            <w:proofErr w:type="spellStart"/>
            <w:r w:rsidRPr="0003312B">
              <w:rPr>
                <w:color w:val="auto"/>
                <w:sz w:val="22"/>
                <w:szCs w:val="22"/>
                <w:lang w:val="lt-LT"/>
              </w:rPr>
              <w:t>morfometrinių</w:t>
            </w:r>
            <w:proofErr w:type="spellEnd"/>
            <w:r w:rsidRPr="0003312B">
              <w:rPr>
                <w:color w:val="auto"/>
                <w:sz w:val="22"/>
                <w:szCs w:val="22"/>
                <w:lang w:val="lt-LT"/>
              </w:rPr>
              <w:t xml:space="preserve"> slankstelių lūžių dažnis</w:t>
            </w:r>
          </w:p>
        </w:tc>
        <w:tc>
          <w:tcPr>
            <w:tcW w:w="2139"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9,56% (7,5; 11,7)</w:t>
            </w:r>
          </w:p>
        </w:tc>
        <w:tc>
          <w:tcPr>
            <w:tcW w:w="2468"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4,68% (3,2; 6,2)</w:t>
            </w:r>
          </w:p>
        </w:tc>
      </w:tr>
      <w:tr w:rsidR="009E3290" w:rsidRPr="0003312B" w:rsidTr="00DA32C5">
        <w:trPr>
          <w:trHeight w:val="261"/>
        </w:trPr>
        <w:tc>
          <w:tcPr>
            <w:tcW w:w="296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Sumažėjusi simptominių slankstelių lūžių santykinė rizika</w:t>
            </w:r>
          </w:p>
        </w:tc>
        <w:tc>
          <w:tcPr>
            <w:tcW w:w="2139" w:type="dxa"/>
            <w:tcBorders>
              <w:top w:val="single" w:sz="4" w:space="0" w:color="auto"/>
              <w:left w:val="single" w:sz="4" w:space="0" w:color="auto"/>
              <w:bottom w:val="single" w:sz="4" w:space="0" w:color="auto"/>
              <w:right w:val="single" w:sz="4" w:space="0" w:color="auto"/>
            </w:tcBorders>
          </w:tcPr>
          <w:p w:rsidR="009E3290" w:rsidRPr="0003312B" w:rsidRDefault="009E3290" w:rsidP="00DA32C5">
            <w:pPr>
              <w:pStyle w:val="Default"/>
              <w:jc w:val="center"/>
              <w:rPr>
                <w:color w:val="auto"/>
                <w:sz w:val="22"/>
                <w:szCs w:val="22"/>
                <w:lang w:val="lt-LT"/>
              </w:rPr>
            </w:pPr>
          </w:p>
        </w:tc>
        <w:tc>
          <w:tcPr>
            <w:tcW w:w="2468"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49% (14,03; 69,49)</w:t>
            </w:r>
          </w:p>
        </w:tc>
      </w:tr>
      <w:tr w:rsidR="009E3290" w:rsidRPr="0003312B" w:rsidTr="00DA32C5">
        <w:trPr>
          <w:trHeight w:val="261"/>
        </w:trPr>
        <w:tc>
          <w:tcPr>
            <w:tcW w:w="296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Simptominių slankstelių lūžių dažnis</w:t>
            </w:r>
          </w:p>
        </w:tc>
        <w:tc>
          <w:tcPr>
            <w:tcW w:w="2139"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5,33% (3,73; 6,92)</w:t>
            </w:r>
          </w:p>
        </w:tc>
        <w:tc>
          <w:tcPr>
            <w:tcW w:w="2468"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2,75% (1,61; 3,89)</w:t>
            </w:r>
          </w:p>
        </w:tc>
      </w:tr>
      <w:tr w:rsidR="009E3290" w:rsidRPr="0003312B" w:rsidTr="00DA32C5">
        <w:trPr>
          <w:trHeight w:val="261"/>
        </w:trPr>
        <w:tc>
          <w:tcPr>
            <w:tcW w:w="296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KMT – vidutinis juosmens slankstelių pokytis per 3 metus, palyginti su pradine verte</w:t>
            </w:r>
          </w:p>
        </w:tc>
        <w:tc>
          <w:tcPr>
            <w:tcW w:w="2139"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1,26% (0,8; 1,7)</w:t>
            </w:r>
          </w:p>
        </w:tc>
        <w:tc>
          <w:tcPr>
            <w:tcW w:w="2468"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6,54% (6,1; 7,0)</w:t>
            </w:r>
          </w:p>
        </w:tc>
      </w:tr>
      <w:tr w:rsidR="009E3290" w:rsidRPr="0003312B" w:rsidTr="00DA32C5">
        <w:trPr>
          <w:trHeight w:val="337"/>
        </w:trPr>
        <w:tc>
          <w:tcPr>
            <w:tcW w:w="296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 xml:space="preserve">KMT – vidutinis bendrasis klubo kaulų pokytis per 3 metus, palyginti su pradine verte </w:t>
            </w:r>
          </w:p>
        </w:tc>
        <w:tc>
          <w:tcPr>
            <w:tcW w:w="2139"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- 0,69%</w:t>
            </w:r>
          </w:p>
          <w:p w:rsidR="009E3290" w:rsidRPr="0003312B" w:rsidRDefault="009E3290" w:rsidP="00DA32C5">
            <w:pPr>
              <w:pStyle w:val="Default"/>
              <w:jc w:val="center"/>
              <w:rPr>
                <w:color w:val="auto"/>
                <w:sz w:val="22"/>
                <w:szCs w:val="22"/>
                <w:lang w:val="lt-LT"/>
              </w:rPr>
            </w:pPr>
            <w:r w:rsidRPr="0003312B">
              <w:rPr>
                <w:color w:val="auto"/>
                <w:sz w:val="22"/>
                <w:szCs w:val="22"/>
                <w:lang w:val="lt-LT"/>
              </w:rPr>
              <w:t>(- 1,0; - 0,4)</w:t>
            </w:r>
          </w:p>
        </w:tc>
        <w:tc>
          <w:tcPr>
            <w:tcW w:w="2468"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3,36%</w:t>
            </w:r>
          </w:p>
          <w:p w:rsidR="009E3290" w:rsidRPr="0003312B" w:rsidRDefault="009E3290" w:rsidP="00DA32C5">
            <w:pPr>
              <w:pStyle w:val="Default"/>
              <w:jc w:val="center"/>
              <w:rPr>
                <w:color w:val="auto"/>
                <w:sz w:val="22"/>
                <w:szCs w:val="22"/>
                <w:lang w:val="lt-LT"/>
              </w:rPr>
            </w:pPr>
            <w:r w:rsidRPr="0003312B">
              <w:rPr>
                <w:color w:val="auto"/>
                <w:sz w:val="22"/>
                <w:szCs w:val="22"/>
                <w:lang w:val="lt-LT"/>
              </w:rPr>
              <w:t>(3,0; 3,7)</w:t>
            </w:r>
          </w:p>
        </w:tc>
      </w:tr>
    </w:tbl>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Toliau gydymo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rūgštimi efektas buvo vertinamas analizuojant pogrupį pacienčių, kurių pradinis juosmens slankstelių KMT T lygmuo buvo mažesnis kaip – 2,5 (4 lentelė). Slankstelių lūžių rizikos sumažėjimas buvo panašus į visos grupės vertę.</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rPr>
        <w:t xml:space="preserve">4 lentelė. </w:t>
      </w:r>
      <w:r w:rsidRPr="0003312B">
        <w:rPr>
          <w:rFonts w:ascii="Times New Roman" w:hAnsi="Times New Roman"/>
          <w:sz w:val="22"/>
          <w:szCs w:val="22"/>
          <w:lang w:val="lt-LT" w:eastAsia="lt-LT"/>
        </w:rPr>
        <w:t>Trejų metų trukmės lūžių tyrimo MF 4411 rezultatai (%, 95% PI) pacienčių, kurių pradinis juosmens slankstelių KMT T lygmuo buvo mažesnis kaip - 2,5</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pStyle w:val="Default"/>
        <w:rPr>
          <w:color w:val="auto"/>
          <w:sz w:val="22"/>
          <w:szCs w:val="22"/>
          <w:lang w:val="lt-LT"/>
        </w:rPr>
      </w:pPr>
    </w:p>
    <w:tbl>
      <w:tblPr>
        <w:tblW w:w="77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9"/>
        <w:gridCol w:w="2422"/>
        <w:gridCol w:w="2261"/>
      </w:tblGrid>
      <w:tr w:rsidR="009E3290" w:rsidRPr="0003312B" w:rsidTr="00DA32C5">
        <w:trPr>
          <w:trHeight w:val="513"/>
        </w:trPr>
        <w:tc>
          <w:tcPr>
            <w:tcW w:w="3067" w:type="dxa"/>
            <w:tcBorders>
              <w:top w:val="single" w:sz="4" w:space="0" w:color="auto"/>
              <w:left w:val="single" w:sz="4" w:space="0" w:color="auto"/>
              <w:bottom w:val="single" w:sz="4" w:space="0" w:color="auto"/>
              <w:right w:val="single" w:sz="4" w:space="0" w:color="auto"/>
            </w:tcBorders>
          </w:tcPr>
          <w:p w:rsidR="009E3290" w:rsidRPr="0003312B" w:rsidRDefault="009E3290" w:rsidP="00DA32C5">
            <w:pPr>
              <w:pStyle w:val="Default"/>
              <w:rPr>
                <w:color w:val="auto"/>
                <w:sz w:val="22"/>
                <w:szCs w:val="22"/>
                <w:lang w:val="lt-LT"/>
              </w:rPr>
            </w:pPr>
          </w:p>
        </w:tc>
        <w:tc>
          <w:tcPr>
            <w:tcW w:w="242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proofErr w:type="spellStart"/>
            <w:r w:rsidRPr="0003312B">
              <w:rPr>
                <w:color w:val="auto"/>
                <w:sz w:val="22"/>
                <w:szCs w:val="22"/>
                <w:lang w:val="lt-LT"/>
              </w:rPr>
              <w:t>Placebas</w:t>
            </w:r>
            <w:proofErr w:type="spellEnd"/>
          </w:p>
          <w:p w:rsidR="009E3290" w:rsidRPr="0003312B" w:rsidRDefault="009E3290" w:rsidP="00DA32C5">
            <w:pPr>
              <w:pStyle w:val="Default"/>
              <w:jc w:val="center"/>
              <w:rPr>
                <w:color w:val="auto"/>
                <w:sz w:val="22"/>
                <w:szCs w:val="22"/>
                <w:lang w:val="lt-LT"/>
              </w:rPr>
            </w:pPr>
            <w:r w:rsidRPr="0003312B">
              <w:rPr>
                <w:color w:val="auto"/>
                <w:sz w:val="22"/>
                <w:szCs w:val="22"/>
                <w:lang w:val="lt-LT"/>
              </w:rPr>
              <w:t>(n = 587)</w:t>
            </w:r>
          </w:p>
        </w:tc>
        <w:tc>
          <w:tcPr>
            <w:tcW w:w="2260"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proofErr w:type="spellStart"/>
            <w:r w:rsidRPr="0003312B">
              <w:rPr>
                <w:color w:val="auto"/>
                <w:sz w:val="22"/>
                <w:szCs w:val="22"/>
                <w:lang w:val="lt-LT"/>
              </w:rPr>
              <w:t>Ibandrono</w:t>
            </w:r>
            <w:proofErr w:type="spellEnd"/>
            <w:r w:rsidRPr="0003312B">
              <w:rPr>
                <w:color w:val="auto"/>
                <w:sz w:val="22"/>
                <w:szCs w:val="22"/>
                <w:lang w:val="lt-LT"/>
              </w:rPr>
              <w:t xml:space="preserve"> rūgštis, 2,5 mg per parą</w:t>
            </w:r>
          </w:p>
          <w:p w:rsidR="009E3290" w:rsidRPr="0003312B" w:rsidRDefault="009E3290" w:rsidP="00DA32C5">
            <w:pPr>
              <w:pStyle w:val="Default"/>
              <w:jc w:val="center"/>
              <w:rPr>
                <w:color w:val="auto"/>
                <w:sz w:val="22"/>
                <w:szCs w:val="22"/>
                <w:lang w:val="lt-LT"/>
              </w:rPr>
            </w:pPr>
            <w:r w:rsidRPr="0003312B">
              <w:rPr>
                <w:color w:val="auto"/>
                <w:sz w:val="22"/>
                <w:szCs w:val="22"/>
                <w:lang w:val="lt-LT"/>
              </w:rPr>
              <w:t>(n = 575)</w:t>
            </w:r>
          </w:p>
        </w:tc>
      </w:tr>
      <w:tr w:rsidR="009E3290" w:rsidRPr="0003312B" w:rsidTr="00DA32C5">
        <w:trPr>
          <w:trHeight w:val="513"/>
        </w:trPr>
        <w:tc>
          <w:tcPr>
            <w:tcW w:w="3067"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 xml:space="preserve">Sumažėjusi santykinė rizika </w:t>
            </w:r>
          </w:p>
          <w:p w:rsidR="009E3290" w:rsidRPr="0003312B" w:rsidRDefault="009E3290" w:rsidP="00DA32C5">
            <w:pPr>
              <w:pStyle w:val="Default"/>
              <w:rPr>
                <w:color w:val="auto"/>
                <w:sz w:val="22"/>
                <w:szCs w:val="22"/>
                <w:lang w:val="lt-LT"/>
              </w:rPr>
            </w:pPr>
            <w:r w:rsidRPr="0003312B">
              <w:rPr>
                <w:color w:val="auto"/>
                <w:sz w:val="22"/>
                <w:szCs w:val="22"/>
                <w:lang w:val="lt-LT"/>
              </w:rPr>
              <w:t xml:space="preserve">Nauji </w:t>
            </w:r>
            <w:proofErr w:type="spellStart"/>
            <w:r w:rsidRPr="0003312B">
              <w:rPr>
                <w:color w:val="auto"/>
                <w:sz w:val="22"/>
                <w:szCs w:val="22"/>
                <w:lang w:val="lt-LT"/>
              </w:rPr>
              <w:t>morfometriniai</w:t>
            </w:r>
            <w:proofErr w:type="spellEnd"/>
            <w:r w:rsidRPr="0003312B">
              <w:rPr>
                <w:color w:val="auto"/>
                <w:sz w:val="22"/>
                <w:szCs w:val="22"/>
                <w:lang w:val="lt-LT"/>
              </w:rPr>
              <w:t xml:space="preserve"> slankstelių lūžiai</w:t>
            </w:r>
          </w:p>
        </w:tc>
        <w:tc>
          <w:tcPr>
            <w:tcW w:w="2421" w:type="dxa"/>
            <w:tcBorders>
              <w:top w:val="single" w:sz="4" w:space="0" w:color="auto"/>
              <w:left w:val="single" w:sz="4" w:space="0" w:color="auto"/>
              <w:bottom w:val="single" w:sz="4" w:space="0" w:color="auto"/>
              <w:right w:val="single" w:sz="4" w:space="0" w:color="auto"/>
            </w:tcBorders>
          </w:tcPr>
          <w:p w:rsidR="009E3290" w:rsidRPr="0003312B" w:rsidRDefault="009E3290" w:rsidP="00DA32C5">
            <w:pPr>
              <w:pStyle w:val="Default"/>
              <w:jc w:val="center"/>
              <w:rPr>
                <w:color w:val="auto"/>
                <w:sz w:val="22"/>
                <w:szCs w:val="22"/>
                <w:lang w:val="lt-LT"/>
              </w:rPr>
            </w:pPr>
          </w:p>
        </w:tc>
        <w:tc>
          <w:tcPr>
            <w:tcW w:w="2260"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59% (34,5; 74,3)</w:t>
            </w:r>
          </w:p>
        </w:tc>
      </w:tr>
      <w:tr w:rsidR="009E3290" w:rsidRPr="0003312B" w:rsidTr="00DA32C5">
        <w:trPr>
          <w:trHeight w:val="513"/>
        </w:trPr>
        <w:tc>
          <w:tcPr>
            <w:tcW w:w="3067"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 xml:space="preserve">Naujų </w:t>
            </w:r>
            <w:proofErr w:type="spellStart"/>
            <w:r w:rsidRPr="0003312B">
              <w:rPr>
                <w:color w:val="auto"/>
                <w:sz w:val="22"/>
                <w:szCs w:val="22"/>
                <w:lang w:val="lt-LT"/>
              </w:rPr>
              <w:t>morfometrinių</w:t>
            </w:r>
            <w:proofErr w:type="spellEnd"/>
            <w:r w:rsidRPr="0003312B">
              <w:rPr>
                <w:color w:val="auto"/>
                <w:sz w:val="22"/>
                <w:szCs w:val="22"/>
                <w:lang w:val="lt-LT"/>
              </w:rPr>
              <w:t xml:space="preserve"> slankstelių lūžių dažnis</w:t>
            </w:r>
          </w:p>
        </w:tc>
        <w:tc>
          <w:tcPr>
            <w:tcW w:w="242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12,54% (9,53; 15,55)</w:t>
            </w:r>
          </w:p>
        </w:tc>
        <w:tc>
          <w:tcPr>
            <w:tcW w:w="2260"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5,36% (3,31; 7,41)</w:t>
            </w:r>
          </w:p>
        </w:tc>
      </w:tr>
      <w:tr w:rsidR="009E3290" w:rsidRPr="0003312B" w:rsidTr="00DA32C5">
        <w:trPr>
          <w:trHeight w:val="513"/>
        </w:trPr>
        <w:tc>
          <w:tcPr>
            <w:tcW w:w="3067"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Sumažėjusi simptominių slankstelių lūžių santykinė rizika</w:t>
            </w:r>
          </w:p>
        </w:tc>
        <w:tc>
          <w:tcPr>
            <w:tcW w:w="2421" w:type="dxa"/>
            <w:tcBorders>
              <w:top w:val="single" w:sz="4" w:space="0" w:color="auto"/>
              <w:left w:val="single" w:sz="4" w:space="0" w:color="auto"/>
              <w:bottom w:val="single" w:sz="4" w:space="0" w:color="auto"/>
              <w:right w:val="single" w:sz="4" w:space="0" w:color="auto"/>
            </w:tcBorders>
          </w:tcPr>
          <w:p w:rsidR="009E3290" w:rsidRPr="0003312B" w:rsidRDefault="009E3290" w:rsidP="00DA32C5">
            <w:pPr>
              <w:pStyle w:val="Default"/>
              <w:jc w:val="center"/>
              <w:rPr>
                <w:color w:val="auto"/>
                <w:sz w:val="22"/>
                <w:szCs w:val="22"/>
                <w:lang w:val="lt-LT"/>
              </w:rPr>
            </w:pPr>
          </w:p>
        </w:tc>
        <w:tc>
          <w:tcPr>
            <w:tcW w:w="2260"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50% (9,49; 71,91)</w:t>
            </w:r>
          </w:p>
        </w:tc>
      </w:tr>
      <w:tr w:rsidR="009E3290" w:rsidRPr="0003312B" w:rsidTr="00DA32C5">
        <w:trPr>
          <w:trHeight w:val="513"/>
        </w:trPr>
        <w:tc>
          <w:tcPr>
            <w:tcW w:w="3067"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Simptominių slankstelių lūžių dažnis</w:t>
            </w:r>
          </w:p>
        </w:tc>
        <w:tc>
          <w:tcPr>
            <w:tcW w:w="242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6,97% (4,67; 9,27)</w:t>
            </w:r>
          </w:p>
        </w:tc>
        <w:tc>
          <w:tcPr>
            <w:tcW w:w="2260"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3,57% (1,89; 5,24)</w:t>
            </w:r>
          </w:p>
        </w:tc>
      </w:tr>
      <w:tr w:rsidR="009E3290" w:rsidRPr="0003312B" w:rsidTr="00DA32C5">
        <w:trPr>
          <w:trHeight w:val="513"/>
        </w:trPr>
        <w:tc>
          <w:tcPr>
            <w:tcW w:w="3067"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KMT – vidutinis juosmens slankstelių pokytis per 3 metus, palyginti su pradine verte</w:t>
            </w:r>
          </w:p>
        </w:tc>
        <w:tc>
          <w:tcPr>
            <w:tcW w:w="242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1,13 % (0,6; 1,7)</w:t>
            </w:r>
          </w:p>
        </w:tc>
        <w:tc>
          <w:tcPr>
            <w:tcW w:w="2260"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7,01% (6,5; 7,6)</w:t>
            </w:r>
          </w:p>
        </w:tc>
      </w:tr>
      <w:tr w:rsidR="009E3290" w:rsidRPr="0003312B" w:rsidTr="00DA32C5">
        <w:trPr>
          <w:trHeight w:val="513"/>
        </w:trPr>
        <w:tc>
          <w:tcPr>
            <w:tcW w:w="3067"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rPr>
                <w:color w:val="auto"/>
                <w:sz w:val="22"/>
                <w:szCs w:val="22"/>
                <w:lang w:val="lt-LT"/>
              </w:rPr>
            </w:pPr>
            <w:r w:rsidRPr="0003312B">
              <w:rPr>
                <w:color w:val="auto"/>
                <w:sz w:val="22"/>
                <w:szCs w:val="22"/>
                <w:lang w:val="lt-LT"/>
              </w:rPr>
              <w:t xml:space="preserve">KMT – vidutinis bendrasis klubo kaulų pokytis per 3 </w:t>
            </w:r>
            <w:r w:rsidRPr="0003312B">
              <w:rPr>
                <w:color w:val="auto"/>
                <w:sz w:val="22"/>
                <w:szCs w:val="22"/>
                <w:lang w:val="lt-LT"/>
              </w:rPr>
              <w:lastRenderedPageBreak/>
              <w:t>metus, palyginti su pradine verte</w:t>
            </w:r>
          </w:p>
        </w:tc>
        <w:tc>
          <w:tcPr>
            <w:tcW w:w="2421" w:type="dxa"/>
            <w:tcBorders>
              <w:top w:val="single" w:sz="4" w:space="0" w:color="auto"/>
              <w:left w:val="single" w:sz="4" w:space="0" w:color="auto"/>
              <w:bottom w:val="single" w:sz="4" w:space="0" w:color="auto"/>
              <w:right w:val="single" w:sz="4" w:space="0" w:color="auto"/>
            </w:tcBorders>
            <w:hideMark/>
          </w:tcPr>
          <w:p w:rsidR="009E3290" w:rsidRPr="0003312B" w:rsidRDefault="009E3290" w:rsidP="009E3290">
            <w:pPr>
              <w:pStyle w:val="Default"/>
              <w:numPr>
                <w:ilvl w:val="0"/>
                <w:numId w:val="4"/>
              </w:numPr>
              <w:jc w:val="center"/>
              <w:rPr>
                <w:color w:val="auto"/>
                <w:sz w:val="22"/>
                <w:szCs w:val="22"/>
                <w:lang w:val="lt-LT"/>
              </w:rPr>
            </w:pPr>
            <w:r w:rsidRPr="0003312B">
              <w:rPr>
                <w:color w:val="auto"/>
                <w:sz w:val="22"/>
                <w:szCs w:val="22"/>
                <w:lang w:val="lt-LT"/>
              </w:rPr>
              <w:lastRenderedPageBreak/>
              <w:t>0,70% (- 1,1; - 0,2)</w:t>
            </w:r>
          </w:p>
        </w:tc>
        <w:tc>
          <w:tcPr>
            <w:tcW w:w="2260" w:type="dxa"/>
            <w:tcBorders>
              <w:top w:val="single" w:sz="4" w:space="0" w:color="auto"/>
              <w:left w:val="single" w:sz="4" w:space="0" w:color="auto"/>
              <w:bottom w:val="single" w:sz="4" w:space="0" w:color="auto"/>
              <w:right w:val="single" w:sz="4" w:space="0" w:color="auto"/>
            </w:tcBorders>
            <w:hideMark/>
          </w:tcPr>
          <w:p w:rsidR="009E3290" w:rsidRPr="0003312B" w:rsidRDefault="009E3290" w:rsidP="00DA32C5">
            <w:pPr>
              <w:pStyle w:val="Default"/>
              <w:jc w:val="center"/>
              <w:rPr>
                <w:color w:val="auto"/>
                <w:sz w:val="22"/>
                <w:szCs w:val="22"/>
                <w:lang w:val="lt-LT"/>
              </w:rPr>
            </w:pPr>
            <w:r w:rsidRPr="0003312B">
              <w:rPr>
                <w:color w:val="auto"/>
                <w:sz w:val="22"/>
                <w:szCs w:val="22"/>
                <w:lang w:val="lt-LT"/>
              </w:rPr>
              <w:t>3,59% (3,1; 4,1)</w:t>
            </w:r>
          </w:p>
        </w:tc>
      </w:tr>
    </w:tbl>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Visoje MF4411 tyrimo pacientų populiacijoje ne slankstelių lūžių dažnis nesumažėjo, tačiau kasdien vartojamas </w:t>
      </w:r>
      <w:proofErr w:type="spellStart"/>
      <w:r w:rsidRPr="0003312B">
        <w:rPr>
          <w:rFonts w:ascii="Times New Roman" w:hAnsi="Times New Roman"/>
          <w:sz w:val="22"/>
          <w:szCs w:val="22"/>
          <w:lang w:val="lt-LT" w:eastAsia="lt-LT"/>
        </w:rPr>
        <w:t>ibandronatas</w:t>
      </w:r>
      <w:proofErr w:type="spellEnd"/>
      <w:r w:rsidRPr="0003312B">
        <w:rPr>
          <w:rFonts w:ascii="Times New Roman" w:hAnsi="Times New Roman"/>
          <w:sz w:val="22"/>
          <w:szCs w:val="22"/>
          <w:lang w:val="lt-LT" w:eastAsia="lt-LT"/>
        </w:rPr>
        <w:t xml:space="preserve"> buvo efektyvus didelės rizikos </w:t>
      </w:r>
      <w:proofErr w:type="spellStart"/>
      <w:r w:rsidRPr="0003312B">
        <w:rPr>
          <w:rFonts w:ascii="Times New Roman" w:hAnsi="Times New Roman"/>
          <w:sz w:val="22"/>
          <w:szCs w:val="22"/>
          <w:lang w:val="lt-LT" w:eastAsia="lt-LT"/>
        </w:rPr>
        <w:t>subpopuliacijoje</w:t>
      </w:r>
      <w:proofErr w:type="spellEnd"/>
      <w:r w:rsidRPr="0003312B">
        <w:rPr>
          <w:rFonts w:ascii="Times New Roman" w:hAnsi="Times New Roman"/>
          <w:sz w:val="22"/>
          <w:szCs w:val="22"/>
          <w:lang w:val="lt-LT" w:eastAsia="lt-LT"/>
        </w:rPr>
        <w:t xml:space="preserve"> (šlaunikaulio kaklelio KMT T lygmuo mažesnis kaip - 3,0), kurioje ne slankstelių lūžių rizika sumažėjo 69 %.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42943" w:rsidRDefault="009E3290" w:rsidP="009E3290">
      <w:pPr>
        <w:autoSpaceDE w:val="0"/>
        <w:autoSpaceDN w:val="0"/>
        <w:adjustRightInd w:val="0"/>
        <w:snapToGrid w:val="0"/>
        <w:outlineLvl w:val="0"/>
        <w:rPr>
          <w:rFonts w:ascii="Times New Roman" w:hAnsi="Times New Roman"/>
          <w:sz w:val="22"/>
          <w:lang w:val="lt-LT"/>
        </w:rPr>
      </w:pPr>
      <w:r w:rsidRPr="00042943">
        <w:rPr>
          <w:rFonts w:ascii="Times New Roman" w:hAnsi="Times New Roman"/>
          <w:sz w:val="22"/>
          <w:szCs w:val="22"/>
          <w:lang w:val="lt-LT" w:eastAsia="lt-LT"/>
        </w:rPr>
        <w:t xml:space="preserve">Kasdien geriant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2,5 mg tabletes, nuolat didėjo stuburo slankstelių ir kitų kaulų KMT.</w:t>
      </w:r>
      <w:r w:rsidRPr="00042943">
        <w:rPr>
          <w:rFonts w:ascii="Times New Roman" w:hAnsi="Times New Roman"/>
          <w:sz w:val="22"/>
          <w:szCs w:val="22"/>
          <w:lang w:val="lt-LT"/>
        </w:rPr>
        <w:t xml:space="preserve"> </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 xml:space="preserve">Per trejus metus juosmens slankstelių KMT padidėjo 5,3%, palyginti su </w:t>
      </w:r>
      <w:proofErr w:type="spellStart"/>
      <w:r w:rsidRPr="00042943">
        <w:rPr>
          <w:rFonts w:ascii="Times New Roman" w:hAnsi="Times New Roman"/>
          <w:sz w:val="22"/>
          <w:szCs w:val="22"/>
          <w:lang w:val="lt-LT" w:eastAsia="lt-LT"/>
        </w:rPr>
        <w:t>placebo</w:t>
      </w:r>
      <w:proofErr w:type="spellEnd"/>
      <w:r w:rsidRPr="00042943">
        <w:rPr>
          <w:rFonts w:ascii="Times New Roman" w:hAnsi="Times New Roman"/>
          <w:sz w:val="22"/>
          <w:szCs w:val="22"/>
          <w:lang w:val="lt-LT" w:eastAsia="lt-LT"/>
        </w:rPr>
        <w:t xml:space="preserve"> gavusiųjų grupe, ir 6,5%, palyginti su pradine verte. Klubo kaulų pokytis, palyginti su pradine verte, buvo toks: 2,8% – šlaunikaulio kaklelio, 3,4% – bendras klubo kaulų ir 5,5% – gumburo srities.</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Kaip tikėtasi, biocheminiai kaulų apykaitos žymenys (pavyzdžiui, šlapimo CTX ir serumo </w:t>
      </w:r>
      <w:proofErr w:type="spellStart"/>
      <w:r w:rsidRPr="0003312B">
        <w:rPr>
          <w:rFonts w:ascii="Times New Roman" w:hAnsi="Times New Roman"/>
          <w:sz w:val="22"/>
          <w:szCs w:val="22"/>
          <w:lang w:val="lt-LT" w:eastAsia="lt-LT"/>
        </w:rPr>
        <w:t>osteokalcinas</w:t>
      </w:r>
      <w:proofErr w:type="spellEnd"/>
      <w:r w:rsidRPr="0003312B">
        <w:rPr>
          <w:rFonts w:ascii="Times New Roman" w:hAnsi="Times New Roman"/>
          <w:sz w:val="22"/>
          <w:szCs w:val="22"/>
          <w:lang w:val="lt-LT" w:eastAsia="lt-LT"/>
        </w:rPr>
        <w:t xml:space="preserve">) rodė sulėtėjusią apykaitą iki lygio, buvusio prieš menopauzę, ir stipriausio veikimo pasiekta per 3–6 mėnesius, vartojant po 2,5 mg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per parą.</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Kliniškai reikšmingai 50% sumažėjo biocheminių kaulų </w:t>
      </w:r>
      <w:proofErr w:type="spellStart"/>
      <w:r w:rsidRPr="0003312B">
        <w:rPr>
          <w:rFonts w:ascii="Times New Roman" w:hAnsi="Times New Roman"/>
          <w:sz w:val="22"/>
          <w:szCs w:val="22"/>
          <w:lang w:val="lt-LT" w:eastAsia="lt-LT"/>
        </w:rPr>
        <w:t>rezorbcijos</w:t>
      </w:r>
      <w:proofErr w:type="spellEnd"/>
      <w:r w:rsidRPr="0003312B">
        <w:rPr>
          <w:rFonts w:ascii="Times New Roman" w:hAnsi="Times New Roman"/>
          <w:sz w:val="22"/>
          <w:szCs w:val="22"/>
          <w:lang w:val="lt-LT" w:eastAsia="lt-LT"/>
        </w:rPr>
        <w:t xml:space="preserve"> žymenų praėjus vienam mėnesiui nuo gydymo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rūgštimi 2,5 mg pradžios.</w:t>
      </w:r>
      <w:r w:rsidRPr="0003312B">
        <w:rPr>
          <w:rFonts w:ascii="Times New Roman" w:hAnsi="Times New Roman"/>
          <w:sz w:val="22"/>
          <w:szCs w:val="22"/>
          <w:lang w:val="lt-LT"/>
        </w:rPr>
        <w:t xml:space="preserve"> </w:t>
      </w:r>
    </w:p>
    <w:p w:rsidR="009E3290" w:rsidRPr="0003312B" w:rsidRDefault="009E3290" w:rsidP="009E3290">
      <w:pPr>
        <w:rPr>
          <w:rFonts w:ascii="Times New Roman" w:hAnsi="Times New Roman"/>
          <w:sz w:val="22"/>
          <w:szCs w:val="22"/>
          <w:lang w:val="lt-LT"/>
        </w:rPr>
      </w:pPr>
    </w:p>
    <w:p w:rsidR="009E3290" w:rsidRPr="00042943" w:rsidRDefault="009E3290" w:rsidP="009E3290">
      <w:pPr>
        <w:outlineLvl w:val="0"/>
        <w:rPr>
          <w:rFonts w:ascii="Times New Roman" w:hAnsi="Times New Roman"/>
          <w:sz w:val="22"/>
          <w:lang w:val="lt-LT"/>
        </w:rPr>
      </w:pPr>
      <w:r w:rsidRPr="00042943">
        <w:rPr>
          <w:rFonts w:ascii="Times New Roman" w:hAnsi="Times New Roman"/>
          <w:i/>
          <w:iCs/>
          <w:sz w:val="22"/>
          <w:szCs w:val="22"/>
          <w:lang w:val="lt-LT"/>
        </w:rPr>
        <w:t>Vaikų populiacija (žr. 4.2 ir 5.2 skyrius)</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proofErr w:type="spellStart"/>
      <w:r w:rsidRPr="00042943">
        <w:rPr>
          <w:rFonts w:ascii="Times New Roman" w:hAnsi="Times New Roman"/>
          <w:sz w:val="22"/>
          <w:szCs w:val="22"/>
          <w:lang w:val="lt-LT"/>
        </w:rPr>
        <w:t>Ibandrono</w:t>
      </w:r>
      <w:proofErr w:type="spellEnd"/>
      <w:r w:rsidRPr="00042943">
        <w:rPr>
          <w:rFonts w:ascii="Times New Roman" w:hAnsi="Times New Roman"/>
          <w:sz w:val="22"/>
          <w:szCs w:val="22"/>
          <w:lang w:val="lt-LT"/>
        </w:rPr>
        <w:t xml:space="preserve"> rūgšties </w:t>
      </w:r>
      <w:r w:rsidRPr="00042943">
        <w:rPr>
          <w:rFonts w:ascii="Times New Roman" w:hAnsi="Times New Roman"/>
          <w:sz w:val="22"/>
          <w:szCs w:val="22"/>
          <w:lang w:val="lt-LT" w:eastAsia="lt-LT"/>
        </w:rPr>
        <w:t>tyrimai vaikams neatlikti, todėl duomenų apie veiksmingumą arba saugumą šiai pacientų populiacijai nėra.</w:t>
      </w:r>
    </w:p>
    <w:p w:rsidR="009E3290" w:rsidRPr="00042943" w:rsidRDefault="009E3290" w:rsidP="009E3290">
      <w:pPr>
        <w:rPr>
          <w:rFonts w:ascii="Times New Roman" w:hAnsi="Times New Roman"/>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5.2</w:t>
      </w:r>
      <w:r w:rsidRPr="0003312B">
        <w:rPr>
          <w:b/>
          <w:bCs/>
          <w:color w:val="auto"/>
          <w:sz w:val="22"/>
          <w:szCs w:val="22"/>
          <w:lang w:val="lt-LT"/>
        </w:rPr>
        <w:tab/>
      </w:r>
      <w:proofErr w:type="spellStart"/>
      <w:r w:rsidRPr="0003312B">
        <w:rPr>
          <w:b/>
          <w:bCs/>
          <w:color w:val="auto"/>
          <w:sz w:val="22"/>
          <w:szCs w:val="22"/>
          <w:lang w:val="lt-LT"/>
        </w:rPr>
        <w:t>Farmakokinetinės</w:t>
      </w:r>
      <w:proofErr w:type="spellEnd"/>
      <w:r w:rsidRPr="0003312B">
        <w:rPr>
          <w:b/>
          <w:bCs/>
          <w:color w:val="auto"/>
          <w:sz w:val="22"/>
          <w:szCs w:val="22"/>
          <w:lang w:val="lt-LT"/>
        </w:rPr>
        <w:t xml:space="preserve"> savybės</w:t>
      </w:r>
    </w:p>
    <w:p w:rsidR="009E3290" w:rsidRPr="0003312B" w:rsidRDefault="009E3290" w:rsidP="009E3290">
      <w:pPr>
        <w:pStyle w:val="Default"/>
        <w:ind w:left="560" w:hanging="560"/>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 xml:space="preserve">Įvairių gyvūnų ir žmonių tyrimų duomenimis, pirminis farmakologinis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poveikis kaulams nėra tiesiogiai proporcingas koncentracijai plazmoje.</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autoSpaceDE w:val="0"/>
        <w:autoSpaceDN w:val="0"/>
        <w:adjustRightInd w:val="0"/>
        <w:snapToGrid w:val="0"/>
        <w:outlineLvl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Į veną sušvirkštus nuo 0,5 mg iki 6 mg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jos koncentracija serume didėja  proporcingai dozei.</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u w:val="single"/>
          <w:lang w:val="lt-LT"/>
        </w:rPr>
      </w:pPr>
      <w:r w:rsidRPr="0003312B">
        <w:rPr>
          <w:iCs/>
          <w:color w:val="auto"/>
          <w:sz w:val="22"/>
          <w:szCs w:val="22"/>
          <w:u w:val="single"/>
          <w:lang w:val="lt-LT"/>
        </w:rPr>
        <w:t>Absorbcija</w:t>
      </w:r>
    </w:p>
    <w:p w:rsidR="009E3290" w:rsidRPr="0003312B" w:rsidRDefault="009E3290" w:rsidP="009E3290">
      <w:pPr>
        <w:pStyle w:val="Default"/>
        <w:rPr>
          <w:color w:val="auto"/>
          <w:sz w:val="22"/>
          <w:szCs w:val="22"/>
          <w:lang w:val="lt-LT"/>
        </w:rPr>
      </w:pPr>
      <w:r w:rsidRPr="0003312B">
        <w:rPr>
          <w:color w:val="auto"/>
          <w:sz w:val="22"/>
          <w:szCs w:val="22"/>
          <w:lang w:val="lt-LT"/>
        </w:rPr>
        <w:t>Duomenys negalioja.</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u w:val="single"/>
          <w:lang w:val="lt-LT"/>
        </w:rPr>
      </w:pPr>
      <w:r w:rsidRPr="0003312B">
        <w:rPr>
          <w:iCs/>
          <w:color w:val="auto"/>
          <w:sz w:val="22"/>
          <w:szCs w:val="22"/>
          <w:u w:val="single"/>
          <w:lang w:val="lt-LT"/>
        </w:rPr>
        <w:t>Pasiskirstymas</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Iš pradžių patekusi į sisteminę kraujotaką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rūgštis greitai jungiasi su kauliniu audiniu arba išsiskiria su šlapimu. Žmonėms nustatytas galutinis pasiskirstymo tūris yra mažiausiai 90 l, o į kaulus patenka 40–50% cirkuliuojančios vaisto dozės. Su žmogaus plazmos baltymais susijungia maždaug 85–87% vaisto (nustatyta </w:t>
      </w:r>
      <w:proofErr w:type="spellStart"/>
      <w:r w:rsidRPr="0003312B">
        <w:rPr>
          <w:rFonts w:ascii="Times New Roman" w:hAnsi="Times New Roman"/>
          <w:i/>
          <w:sz w:val="22"/>
          <w:szCs w:val="22"/>
          <w:lang w:val="lt-LT" w:eastAsia="lt-LT"/>
        </w:rPr>
        <w:t>in</w:t>
      </w:r>
      <w:proofErr w:type="spellEnd"/>
      <w:r w:rsidRPr="0003312B">
        <w:rPr>
          <w:rFonts w:ascii="Times New Roman" w:hAnsi="Times New Roman"/>
          <w:i/>
          <w:sz w:val="22"/>
          <w:szCs w:val="22"/>
          <w:lang w:val="lt-LT" w:eastAsia="lt-LT"/>
        </w:rPr>
        <w:t xml:space="preserve"> </w:t>
      </w:r>
      <w:proofErr w:type="spellStart"/>
      <w:r w:rsidRPr="0003312B">
        <w:rPr>
          <w:rFonts w:ascii="Times New Roman" w:hAnsi="Times New Roman"/>
          <w:i/>
          <w:sz w:val="22"/>
          <w:szCs w:val="22"/>
          <w:lang w:val="lt-LT" w:eastAsia="lt-LT"/>
        </w:rPr>
        <w:t>vitro</w:t>
      </w:r>
      <w:proofErr w:type="spellEnd"/>
      <w:r w:rsidRPr="0003312B">
        <w:rPr>
          <w:rFonts w:ascii="Times New Roman" w:hAnsi="Times New Roman"/>
          <w:sz w:val="22"/>
          <w:szCs w:val="22"/>
          <w:lang w:val="lt-LT" w:eastAsia="lt-LT"/>
        </w:rPr>
        <w:t xml:space="preserve">, kai susidaro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gydomoji koncentracija), todėl sąveika su kitais vaistiniais preparatais dėl išstūmimo mažai tikėtina.</w:t>
      </w:r>
      <w:r w:rsidRPr="0003312B">
        <w:rPr>
          <w:rFonts w:ascii="Times New Roman" w:hAnsi="Times New Roman"/>
          <w:sz w:val="22"/>
          <w:szCs w:val="22"/>
          <w:lang w:val="lt-LT"/>
        </w:rPr>
        <w:t xml:space="preserve">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u w:val="single"/>
          <w:lang w:val="lt-LT"/>
        </w:rPr>
      </w:pPr>
      <w:proofErr w:type="spellStart"/>
      <w:r w:rsidRPr="0003312B">
        <w:rPr>
          <w:iCs/>
          <w:color w:val="auto"/>
          <w:sz w:val="22"/>
          <w:szCs w:val="22"/>
          <w:u w:val="single"/>
          <w:lang w:val="lt-LT"/>
        </w:rPr>
        <w:t>Biotransformacija</w:t>
      </w:r>
      <w:proofErr w:type="spellEnd"/>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Nėra duomenų, kad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rūgštis būtų </w:t>
      </w:r>
      <w:proofErr w:type="spellStart"/>
      <w:r w:rsidRPr="0003312B">
        <w:rPr>
          <w:rFonts w:ascii="Times New Roman" w:hAnsi="Times New Roman"/>
          <w:sz w:val="22"/>
          <w:szCs w:val="22"/>
          <w:lang w:val="lt-LT" w:eastAsia="lt-LT"/>
        </w:rPr>
        <w:t>metabolizuojama</w:t>
      </w:r>
      <w:proofErr w:type="spellEnd"/>
      <w:r w:rsidRPr="0003312B">
        <w:rPr>
          <w:rFonts w:ascii="Times New Roman" w:hAnsi="Times New Roman"/>
          <w:sz w:val="22"/>
          <w:szCs w:val="22"/>
          <w:lang w:val="lt-LT" w:eastAsia="lt-LT"/>
        </w:rPr>
        <w:t xml:space="preserve"> gyvūnų ar žmonių organizme.</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u w:val="single"/>
          <w:lang w:val="lt-LT"/>
        </w:rPr>
      </w:pPr>
      <w:r w:rsidRPr="0003312B">
        <w:rPr>
          <w:iCs/>
          <w:color w:val="auto"/>
          <w:sz w:val="22"/>
          <w:szCs w:val="22"/>
          <w:u w:val="single"/>
          <w:lang w:val="lt-LT"/>
        </w:rPr>
        <w:t>Eliminacija</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roofErr w:type="spellStart"/>
      <w:r w:rsidRPr="0003312B">
        <w:rPr>
          <w:rFonts w:ascii="Times New Roman" w:hAnsi="Times New Roman"/>
          <w:sz w:val="22"/>
          <w:szCs w:val="22"/>
          <w:lang w:val="lt-LT" w:eastAsia="lt-LT"/>
        </w:rPr>
        <w:lastRenderedPageBreak/>
        <w:t>Ibandrono</w:t>
      </w:r>
      <w:proofErr w:type="spellEnd"/>
      <w:r w:rsidRPr="0003312B">
        <w:rPr>
          <w:rFonts w:ascii="Times New Roman" w:hAnsi="Times New Roman"/>
          <w:sz w:val="22"/>
          <w:szCs w:val="22"/>
          <w:lang w:val="lt-LT" w:eastAsia="lt-LT"/>
        </w:rPr>
        <w:t xml:space="preserve"> rūgštis pasišalina iš kraujotakos ir patenka į kaulus (moterų po menopauzės organizme maždaug 40–50 %), o kita dalis nepakitusi pasišalina per inkstus.</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 xml:space="preserve">Nustatytų pusinės eliminacijos periodų reikšmių amplitudė buvo plati, dažniausiai nustatytas galutinis pusinės eliminacijos periodas truko 10–72 valandas. Kadangi apskaičiuotos vertės dažniausiai yra tyrimo trukmės, dozės ir tyrimo jautrumo funkcija, todėl tikrasis galutinis pusinės eliminacijos periodas gali </w:t>
      </w:r>
      <w:proofErr w:type="spellStart"/>
      <w:r w:rsidRPr="00042943">
        <w:rPr>
          <w:rFonts w:ascii="Times New Roman" w:hAnsi="Times New Roman"/>
          <w:sz w:val="22"/>
          <w:szCs w:val="22"/>
          <w:lang w:val="lt-LT" w:eastAsia="lt-LT"/>
        </w:rPr>
        <w:t>buti</w:t>
      </w:r>
      <w:proofErr w:type="spellEnd"/>
      <w:r w:rsidRPr="00042943">
        <w:rPr>
          <w:rFonts w:ascii="Times New Roman" w:hAnsi="Times New Roman"/>
          <w:sz w:val="22"/>
          <w:szCs w:val="22"/>
          <w:lang w:val="lt-LT" w:eastAsia="lt-LT"/>
        </w:rPr>
        <w:t xml:space="preserve"> gerokai ilgesnis, kaip ir kitų </w:t>
      </w:r>
      <w:proofErr w:type="spellStart"/>
      <w:r w:rsidRPr="00042943">
        <w:rPr>
          <w:rFonts w:ascii="Times New Roman" w:hAnsi="Times New Roman"/>
          <w:sz w:val="22"/>
          <w:szCs w:val="22"/>
          <w:lang w:val="lt-LT" w:eastAsia="lt-LT"/>
        </w:rPr>
        <w:t>bisfosfonatų</w:t>
      </w:r>
      <w:proofErr w:type="spellEnd"/>
      <w:r w:rsidRPr="00042943">
        <w:rPr>
          <w:rFonts w:ascii="Times New Roman" w:hAnsi="Times New Roman"/>
          <w:sz w:val="22"/>
          <w:szCs w:val="22"/>
          <w:lang w:val="lt-LT" w:eastAsia="lt-LT"/>
        </w:rPr>
        <w:t>. Ankstyvoji plazmos koncentracija mažėja greitai, vaisto suleidus į veną ar išgėrus iki 10% didžiausios vertės sumažėja atitinkamai per 3 ir per 8 valandas.</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eastAsia="lt-LT"/>
        </w:rPr>
        <w:t xml:space="preserve">Bendrasis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klirensas yra mažas, vidutinė vertė svyruoja nuo 84 iki 160 ml/min. Inkstų klirensas (sveikų moterų po menopauzės – apie 60 ml/min.) sudaro 50–60% bendrojo klirenso ir yra susijęs su </w:t>
      </w:r>
      <w:proofErr w:type="spellStart"/>
      <w:r w:rsidRPr="0003312B">
        <w:rPr>
          <w:rFonts w:ascii="Times New Roman" w:hAnsi="Times New Roman"/>
          <w:sz w:val="22"/>
          <w:szCs w:val="22"/>
          <w:lang w:val="lt-LT" w:eastAsia="lt-LT"/>
        </w:rPr>
        <w:t>kreatinino</w:t>
      </w:r>
      <w:proofErr w:type="spellEnd"/>
      <w:r w:rsidRPr="0003312B">
        <w:rPr>
          <w:rFonts w:ascii="Times New Roman" w:hAnsi="Times New Roman"/>
          <w:sz w:val="22"/>
          <w:szCs w:val="22"/>
          <w:lang w:val="lt-LT" w:eastAsia="lt-LT"/>
        </w:rPr>
        <w:t xml:space="preserve"> klirensu. Manoma, kad skirtumas tarp bendrojo ir inkstų klirenso atspindi vaisto patekimą į kaulus.</w:t>
      </w:r>
      <w:r w:rsidRPr="00042943">
        <w:rPr>
          <w:rFonts w:ascii="Times New Roman" w:hAnsi="Times New Roman"/>
          <w:sz w:val="22"/>
          <w:szCs w:val="22"/>
          <w:lang w:val="lt-LT"/>
        </w:rPr>
        <w:t xml:space="preserve"> </w:t>
      </w:r>
    </w:p>
    <w:p w:rsidR="009E3290" w:rsidRPr="00042943" w:rsidRDefault="009E3290" w:rsidP="009E3290">
      <w:pPr>
        <w:pStyle w:val="Default"/>
        <w:rPr>
          <w:sz w:val="22"/>
          <w:szCs w:val="22"/>
          <w:lang w:val="lt-LT"/>
        </w:rPr>
      </w:pPr>
    </w:p>
    <w:p w:rsidR="009E3290" w:rsidRPr="0003312B" w:rsidRDefault="009E3290" w:rsidP="009E3290">
      <w:pPr>
        <w:pStyle w:val="Default"/>
        <w:rPr>
          <w:color w:val="auto"/>
          <w:sz w:val="22"/>
          <w:szCs w:val="22"/>
          <w:u w:val="single"/>
          <w:lang w:val="lt-LT"/>
        </w:rPr>
      </w:pPr>
      <w:r w:rsidRPr="00042943">
        <w:rPr>
          <w:sz w:val="22"/>
          <w:szCs w:val="22"/>
          <w:lang w:val="lt-LT"/>
        </w:rPr>
        <w:t xml:space="preserve">Atrodo, kad sekrecijoje nedalyvauja žinomos rūgščių ar šarmų transporto sistemos, dalyvaujančios šalinant kitas veikliąsias medžiagas (žr. 4.5 skyrių). Be to, </w:t>
      </w:r>
      <w:proofErr w:type="spellStart"/>
      <w:r w:rsidRPr="00042943">
        <w:rPr>
          <w:sz w:val="22"/>
          <w:szCs w:val="22"/>
          <w:lang w:val="lt-LT"/>
        </w:rPr>
        <w:t>ibandrono</w:t>
      </w:r>
      <w:proofErr w:type="spellEnd"/>
      <w:r w:rsidRPr="00042943">
        <w:rPr>
          <w:sz w:val="22"/>
          <w:szCs w:val="22"/>
          <w:lang w:val="lt-LT"/>
        </w:rPr>
        <w:t xml:space="preserve"> rūgštis neslopina daugumos žmogaus kepenų P450 </w:t>
      </w:r>
      <w:proofErr w:type="spellStart"/>
      <w:r w:rsidRPr="00042943">
        <w:rPr>
          <w:sz w:val="22"/>
          <w:szCs w:val="22"/>
          <w:lang w:val="lt-LT"/>
        </w:rPr>
        <w:t>izofermentų</w:t>
      </w:r>
      <w:proofErr w:type="spellEnd"/>
      <w:r w:rsidRPr="00042943">
        <w:rPr>
          <w:sz w:val="22"/>
          <w:szCs w:val="22"/>
          <w:lang w:val="lt-LT"/>
        </w:rPr>
        <w:t xml:space="preserve"> bei neindukuoja žiurkių kepenų </w:t>
      </w:r>
      <w:proofErr w:type="spellStart"/>
      <w:r w:rsidRPr="00042943">
        <w:rPr>
          <w:sz w:val="22"/>
          <w:szCs w:val="22"/>
          <w:lang w:val="lt-LT"/>
        </w:rPr>
        <w:t>citochromų</w:t>
      </w:r>
      <w:proofErr w:type="spellEnd"/>
      <w:r w:rsidRPr="00042943">
        <w:rPr>
          <w:sz w:val="22"/>
          <w:szCs w:val="22"/>
          <w:lang w:val="lt-LT"/>
        </w:rPr>
        <w:t xml:space="preserve"> P450</w:t>
      </w:r>
    </w:p>
    <w:p w:rsidR="009E3290" w:rsidRPr="0003312B" w:rsidRDefault="009E3290" w:rsidP="009E3290">
      <w:pPr>
        <w:pStyle w:val="Default"/>
        <w:outlineLvl w:val="0"/>
        <w:rPr>
          <w:color w:val="auto"/>
          <w:sz w:val="22"/>
          <w:szCs w:val="22"/>
          <w:u w:val="single"/>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u w:val="single"/>
          <w:lang w:val="lt-LT"/>
        </w:rPr>
        <w:t xml:space="preserve">Specialiųjų klinikinių situacijų </w:t>
      </w:r>
      <w:proofErr w:type="spellStart"/>
      <w:r w:rsidRPr="0003312B">
        <w:rPr>
          <w:color w:val="auto"/>
          <w:sz w:val="22"/>
          <w:szCs w:val="22"/>
          <w:u w:val="single"/>
          <w:lang w:val="lt-LT"/>
        </w:rPr>
        <w:t>farmakokinetika</w:t>
      </w:r>
      <w:proofErr w:type="spellEnd"/>
      <w:r w:rsidRPr="0003312B">
        <w:rPr>
          <w:color w:val="auto"/>
          <w:sz w:val="22"/>
          <w:szCs w:val="22"/>
          <w:u w:val="single"/>
          <w:lang w:val="lt-LT"/>
        </w:rPr>
        <w:t xml:space="preserve">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 xml:space="preserve">Lytis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Moterų ir vyrų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w:t>
      </w:r>
      <w:proofErr w:type="spellStart"/>
      <w:r w:rsidRPr="0003312B">
        <w:rPr>
          <w:rFonts w:ascii="Times New Roman" w:hAnsi="Times New Roman"/>
          <w:sz w:val="22"/>
          <w:szCs w:val="22"/>
          <w:lang w:val="lt-LT" w:eastAsia="lt-LT"/>
        </w:rPr>
        <w:t>farmakokinetika</w:t>
      </w:r>
      <w:proofErr w:type="spellEnd"/>
      <w:r w:rsidRPr="0003312B">
        <w:rPr>
          <w:rFonts w:ascii="Times New Roman" w:hAnsi="Times New Roman"/>
          <w:sz w:val="22"/>
          <w:szCs w:val="22"/>
          <w:lang w:val="lt-LT" w:eastAsia="lt-LT"/>
        </w:rPr>
        <w:t xml:space="preserve"> yra panaši.</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Rasė</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Nėra įrodymų apie kliniškai svarbius etninius mongolidų ir europidų rasės pacientams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kinetikos skirtumus. Apie negridų rasės pacientus yra labai nedaug duomenų.</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Pacientams, kurių inkstų funkcija sutrikusi</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inkstų klirensas pacientams, kuriems yra įvairaus laipsnio inkstų funkcijos sutrikimas, yra tiesiogiai proporcingas </w:t>
      </w:r>
      <w:proofErr w:type="spellStart"/>
      <w:r w:rsidRPr="0003312B">
        <w:rPr>
          <w:rFonts w:ascii="Times New Roman" w:hAnsi="Times New Roman"/>
          <w:sz w:val="22"/>
          <w:szCs w:val="22"/>
          <w:lang w:val="lt-LT" w:eastAsia="lt-LT"/>
        </w:rPr>
        <w:t>kreatinino</w:t>
      </w:r>
      <w:proofErr w:type="spellEnd"/>
      <w:r w:rsidRPr="0003312B">
        <w:rPr>
          <w:rFonts w:ascii="Times New Roman" w:hAnsi="Times New Roman"/>
          <w:sz w:val="22"/>
          <w:szCs w:val="22"/>
          <w:lang w:val="lt-LT" w:eastAsia="lt-LT"/>
        </w:rPr>
        <w:t xml:space="preserve"> klirensui (</w:t>
      </w:r>
      <w:proofErr w:type="spellStart"/>
      <w:r w:rsidRPr="0003312B">
        <w:rPr>
          <w:rFonts w:ascii="Times New Roman" w:hAnsi="Times New Roman"/>
          <w:sz w:val="22"/>
          <w:szCs w:val="22"/>
          <w:lang w:val="lt-LT" w:eastAsia="lt-LT"/>
        </w:rPr>
        <w:t>Klcr</w:t>
      </w:r>
      <w:proofErr w:type="spellEnd"/>
      <w:r w:rsidRPr="0003312B">
        <w:rPr>
          <w:rFonts w:ascii="Times New Roman" w:hAnsi="Times New Roman"/>
          <w:sz w:val="22"/>
          <w:szCs w:val="22"/>
          <w:lang w:val="lt-LT" w:eastAsia="lt-LT"/>
        </w:rPr>
        <w:t>).</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Dozės koreguoti nereikia, kai inkstų funkcijos sutrikimas nedidelio ar vidutinio laipsnio (</w:t>
      </w:r>
      <w:proofErr w:type="spellStart"/>
      <w:r w:rsidRPr="0003312B">
        <w:rPr>
          <w:rFonts w:ascii="Times New Roman" w:hAnsi="Times New Roman"/>
          <w:sz w:val="22"/>
          <w:szCs w:val="22"/>
          <w:lang w:val="lt-LT" w:eastAsia="lt-LT"/>
        </w:rPr>
        <w:t>Klcr</w:t>
      </w:r>
      <w:proofErr w:type="spellEnd"/>
      <w:r w:rsidRPr="0003312B">
        <w:rPr>
          <w:rFonts w:ascii="Times New Roman" w:hAnsi="Times New Roman"/>
          <w:sz w:val="22"/>
          <w:szCs w:val="22"/>
          <w:lang w:val="lt-LT" w:eastAsia="lt-LT"/>
        </w:rPr>
        <w:t xml:space="preserve"> yra lygus ar didesnis kaip 30 ml/min.).</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Tiriamiesiems, kuriems buvo sunkus inkstų funkcijos sutrikimas (</w:t>
      </w:r>
      <w:proofErr w:type="spellStart"/>
      <w:r w:rsidRPr="0003312B">
        <w:rPr>
          <w:rFonts w:ascii="Times New Roman" w:hAnsi="Times New Roman"/>
          <w:sz w:val="22"/>
          <w:szCs w:val="22"/>
          <w:lang w:val="lt-LT" w:eastAsia="lt-LT"/>
        </w:rPr>
        <w:t>kreatinino</w:t>
      </w:r>
      <w:proofErr w:type="spellEnd"/>
      <w:r w:rsidRPr="0003312B">
        <w:rPr>
          <w:rFonts w:ascii="Times New Roman" w:hAnsi="Times New Roman"/>
          <w:sz w:val="22"/>
          <w:szCs w:val="22"/>
          <w:lang w:val="lt-LT" w:eastAsia="lt-LT"/>
        </w:rPr>
        <w:t xml:space="preserve"> klirensas mažesnis kaip 30 ml/min.), 21 dieną geriant po 10 mg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buvo nustatyta 2 – 3 kartus didesnė preparato koncentracija plazmoje negu tiriamiesiems, kurių inkstų funkcija normali, o bendrasis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klirensas buvo 44 ml/min. Tiriamųjų, kuriems buvo sunkus inkstų funkcijos sutrikimas ir kurie gavo 0,5 mg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į veną, bendrasis, inkstų ir ne inkstų klirensas sumažėjo atitinkamai 67%, 77% ir 50%, tačiau nebuvo nustatyta sumažėjusios tolerancijos, susijusios su padidėjusia ekspozicija. Kadangi nepakanka klinikinės patirties,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nerekomenduojama skirti pacientėms, kurioms yra sunkus inkstų funkcijos sutrikimas (žr. 4.2 ir 4.4 skyrius).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w:t>
      </w:r>
      <w:proofErr w:type="spellStart"/>
      <w:r w:rsidRPr="0003312B">
        <w:rPr>
          <w:rFonts w:ascii="Times New Roman" w:hAnsi="Times New Roman"/>
          <w:sz w:val="22"/>
          <w:szCs w:val="22"/>
          <w:lang w:val="lt-LT" w:eastAsia="lt-LT"/>
        </w:rPr>
        <w:t>farmakokinetika</w:t>
      </w:r>
      <w:proofErr w:type="spellEnd"/>
      <w:r w:rsidRPr="0003312B">
        <w:rPr>
          <w:rFonts w:ascii="Times New Roman" w:hAnsi="Times New Roman"/>
          <w:sz w:val="22"/>
          <w:szCs w:val="22"/>
          <w:lang w:val="lt-LT" w:eastAsia="lt-LT"/>
        </w:rPr>
        <w:t xml:space="preserve"> asmenims, kuriems yra paskutiniosios stadijos inkstų funkcijos sutrikimas, buvo vertinta tik dalyvaujant mažam </w:t>
      </w:r>
      <w:proofErr w:type="spellStart"/>
      <w:r w:rsidRPr="0003312B">
        <w:rPr>
          <w:rFonts w:ascii="Times New Roman" w:hAnsi="Times New Roman"/>
          <w:sz w:val="22"/>
          <w:szCs w:val="22"/>
          <w:lang w:val="lt-LT" w:eastAsia="lt-LT"/>
        </w:rPr>
        <w:t>hemodializuojamų</w:t>
      </w:r>
      <w:proofErr w:type="spellEnd"/>
      <w:r w:rsidRPr="0003312B">
        <w:rPr>
          <w:rFonts w:ascii="Times New Roman" w:hAnsi="Times New Roman"/>
          <w:sz w:val="22"/>
          <w:szCs w:val="22"/>
          <w:lang w:val="lt-LT" w:eastAsia="lt-LT"/>
        </w:rPr>
        <w:t xml:space="preserve"> pacientų skaičiui, todėl pacientų, kurie nėra gydomi hemodializės būdu,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w:t>
      </w:r>
      <w:proofErr w:type="spellStart"/>
      <w:r w:rsidRPr="0003312B">
        <w:rPr>
          <w:rFonts w:ascii="Times New Roman" w:hAnsi="Times New Roman"/>
          <w:sz w:val="22"/>
          <w:szCs w:val="22"/>
          <w:lang w:val="lt-LT" w:eastAsia="lt-LT"/>
        </w:rPr>
        <w:t>farmakokinetika</w:t>
      </w:r>
      <w:proofErr w:type="spellEnd"/>
      <w:r w:rsidRPr="0003312B">
        <w:rPr>
          <w:rFonts w:ascii="Times New Roman" w:hAnsi="Times New Roman"/>
          <w:sz w:val="22"/>
          <w:szCs w:val="22"/>
          <w:lang w:val="lt-LT" w:eastAsia="lt-LT"/>
        </w:rPr>
        <w:t xml:space="preserve"> nežinoma. </w:t>
      </w:r>
      <w:r w:rsidRPr="0003312B">
        <w:rPr>
          <w:rFonts w:ascii="Times New Roman" w:hAnsi="Times New Roman"/>
          <w:sz w:val="22"/>
          <w:szCs w:val="22"/>
          <w:lang w:val="lt-LT" w:eastAsia="lt-LT"/>
        </w:rPr>
        <w:lastRenderedPageBreak/>
        <w:t xml:space="preserve">Kadangi nepakanka duomenų, visiems pacientams, kuriems yra paskutinės stadijos inkstų funkcijos sutrikimas,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nereikėtų skirti.</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Pacientams, kurių kepenų funkcija sutrikusi (žr. 4.2 skyrių)</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Pacientų, kurių sutrikusi kepenų funkcija, duomenų apie </w:t>
      </w:r>
      <w:proofErr w:type="spellStart"/>
      <w:r w:rsidRPr="0003312B">
        <w:rPr>
          <w:color w:val="auto"/>
          <w:sz w:val="22"/>
          <w:szCs w:val="22"/>
          <w:lang w:val="lt-LT"/>
        </w:rPr>
        <w:t>ibandrono</w:t>
      </w:r>
      <w:proofErr w:type="spellEnd"/>
      <w:r w:rsidRPr="0003312B">
        <w:rPr>
          <w:color w:val="auto"/>
          <w:sz w:val="22"/>
          <w:szCs w:val="22"/>
          <w:lang w:val="lt-LT"/>
        </w:rPr>
        <w:t xml:space="preserve"> rūgšties </w:t>
      </w:r>
      <w:proofErr w:type="spellStart"/>
      <w:r w:rsidRPr="0003312B">
        <w:rPr>
          <w:color w:val="auto"/>
          <w:sz w:val="22"/>
          <w:szCs w:val="22"/>
          <w:lang w:val="lt-LT"/>
        </w:rPr>
        <w:t>farmakokinetiką</w:t>
      </w:r>
      <w:proofErr w:type="spellEnd"/>
      <w:r w:rsidRPr="0003312B">
        <w:rPr>
          <w:color w:val="auto"/>
          <w:sz w:val="22"/>
          <w:szCs w:val="22"/>
          <w:lang w:val="lt-LT"/>
        </w:rPr>
        <w:t xml:space="preserve"> nėra. Kepenys neturi didelės įtakos </w:t>
      </w:r>
      <w:proofErr w:type="spellStart"/>
      <w:r w:rsidRPr="0003312B">
        <w:rPr>
          <w:color w:val="auto"/>
          <w:sz w:val="22"/>
          <w:szCs w:val="22"/>
          <w:lang w:val="lt-LT"/>
        </w:rPr>
        <w:t>ibandrono</w:t>
      </w:r>
      <w:proofErr w:type="spellEnd"/>
      <w:r w:rsidRPr="0003312B">
        <w:rPr>
          <w:color w:val="auto"/>
          <w:sz w:val="22"/>
          <w:szCs w:val="22"/>
          <w:lang w:val="lt-LT"/>
        </w:rPr>
        <w:t xml:space="preserve"> rūgšties klirensui, nes ji </w:t>
      </w:r>
      <w:proofErr w:type="spellStart"/>
      <w:r w:rsidRPr="0003312B">
        <w:rPr>
          <w:color w:val="auto"/>
          <w:sz w:val="22"/>
          <w:szCs w:val="22"/>
          <w:lang w:val="lt-LT"/>
        </w:rPr>
        <w:t>nemetabolizuojama</w:t>
      </w:r>
      <w:proofErr w:type="spellEnd"/>
      <w:r w:rsidRPr="0003312B">
        <w:rPr>
          <w:color w:val="auto"/>
          <w:sz w:val="22"/>
          <w:szCs w:val="22"/>
          <w:lang w:val="lt-LT"/>
        </w:rPr>
        <w:t xml:space="preserve">, o išsiskiria per inkstus </w:t>
      </w:r>
      <w:proofErr w:type="spellStart"/>
      <w:r w:rsidRPr="0003312B">
        <w:rPr>
          <w:color w:val="auto"/>
          <w:sz w:val="22"/>
          <w:szCs w:val="22"/>
          <w:lang w:val="lt-LT"/>
        </w:rPr>
        <w:t>ekskrecijos</w:t>
      </w:r>
      <w:proofErr w:type="spellEnd"/>
      <w:r w:rsidRPr="0003312B">
        <w:rPr>
          <w:color w:val="auto"/>
          <w:sz w:val="22"/>
          <w:szCs w:val="22"/>
          <w:lang w:val="lt-LT"/>
        </w:rPr>
        <w:t xml:space="preserve"> būdu arba patenka į kaulus. Todėl pacientams, kuriems sutrikusi kepenų funkcija, dozės keisti nereikia.</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i/>
          <w:iCs/>
          <w:color w:val="auto"/>
          <w:sz w:val="22"/>
          <w:szCs w:val="22"/>
          <w:lang w:val="lt-LT"/>
        </w:rPr>
        <w:t>Senyvi pacientai (žr. 4.2 skyrių)</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Daugiamatės analizės duomenimis nustatyta, kad amžius nėra nepriklausomas bet kurio iš tirtų </w:t>
      </w:r>
      <w:proofErr w:type="spellStart"/>
      <w:r w:rsidRPr="0003312B">
        <w:rPr>
          <w:color w:val="auto"/>
          <w:sz w:val="22"/>
          <w:szCs w:val="22"/>
          <w:lang w:val="lt-LT"/>
        </w:rPr>
        <w:t>farmakokinetikos</w:t>
      </w:r>
      <w:proofErr w:type="spellEnd"/>
      <w:r w:rsidRPr="0003312B">
        <w:rPr>
          <w:color w:val="auto"/>
          <w:sz w:val="22"/>
          <w:szCs w:val="22"/>
          <w:lang w:val="lt-LT"/>
        </w:rPr>
        <w:t xml:space="preserve"> rodmenų faktorius. Senstant inkstų funkcija blogėja, todėl inkstų funkcija yra vienintelis veiksnys, į kurį reikėtų atkreipti dėmesį (žr. skyrių apie inkstų funkcijos sutrikimą).</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rPr>
          <w:i/>
          <w:iCs/>
          <w:sz w:val="22"/>
          <w:szCs w:val="22"/>
          <w:lang w:val="lt-LT"/>
        </w:rPr>
      </w:pPr>
      <w:r w:rsidRPr="0003312B">
        <w:rPr>
          <w:i/>
          <w:iCs/>
          <w:sz w:val="22"/>
          <w:szCs w:val="22"/>
          <w:lang w:val="lt-LT"/>
        </w:rPr>
        <w:t xml:space="preserve">Vaikų populiacija (žr. 4.2 ir5.1 skyrius)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Nėra informacijos apie </w:t>
      </w:r>
      <w:proofErr w:type="spellStart"/>
      <w:r w:rsidRPr="0003312B">
        <w:rPr>
          <w:color w:val="auto"/>
          <w:sz w:val="22"/>
          <w:szCs w:val="22"/>
          <w:lang w:val="lt-LT"/>
        </w:rPr>
        <w:t>ibandrono</w:t>
      </w:r>
      <w:proofErr w:type="spellEnd"/>
      <w:r w:rsidRPr="0003312B">
        <w:rPr>
          <w:color w:val="auto"/>
          <w:sz w:val="22"/>
          <w:szCs w:val="22"/>
          <w:lang w:val="lt-LT"/>
        </w:rPr>
        <w:t xml:space="preserve"> rūgšties vartojimą šio amžiaus grupių pacientams. </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5.3</w:t>
      </w:r>
      <w:r w:rsidRPr="0003312B">
        <w:rPr>
          <w:b/>
          <w:bCs/>
          <w:color w:val="auto"/>
          <w:sz w:val="22"/>
          <w:szCs w:val="22"/>
          <w:lang w:val="lt-LT"/>
        </w:rPr>
        <w:tab/>
      </w:r>
      <w:proofErr w:type="spellStart"/>
      <w:r w:rsidRPr="0003312B">
        <w:rPr>
          <w:b/>
          <w:bCs/>
          <w:color w:val="auto"/>
          <w:sz w:val="22"/>
          <w:szCs w:val="22"/>
          <w:lang w:val="lt-LT"/>
        </w:rPr>
        <w:t>Ikiklinikinių</w:t>
      </w:r>
      <w:proofErr w:type="spellEnd"/>
      <w:r w:rsidRPr="0003312B">
        <w:rPr>
          <w:b/>
          <w:bCs/>
          <w:color w:val="auto"/>
          <w:sz w:val="22"/>
          <w:szCs w:val="22"/>
          <w:lang w:val="lt-LT"/>
        </w:rPr>
        <w:t xml:space="preserve"> saugumo tyrimų duomenys</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Toksinių reiškinių, t. y. inkstų pažeidimo požymių, buvo nustatyta tik šunų organizme esant vaisto kiekiui, kuris yra daug didesnis už didžiausią žmogaus organizme, todėl šio tyrimo klinikinė reikšmė maža.</w:t>
      </w:r>
      <w:r w:rsidRPr="0003312B">
        <w:rPr>
          <w:rFonts w:ascii="Times New Roman" w:hAnsi="Times New Roman"/>
          <w:sz w:val="22"/>
          <w:szCs w:val="22"/>
          <w:lang w:val="lt-LT"/>
        </w:rPr>
        <w:t xml:space="preserve"> </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proofErr w:type="spellStart"/>
      <w:r w:rsidRPr="0003312B">
        <w:rPr>
          <w:i/>
          <w:iCs/>
          <w:color w:val="auto"/>
          <w:sz w:val="22"/>
          <w:szCs w:val="22"/>
          <w:lang w:val="lt-LT"/>
        </w:rPr>
        <w:t>Mutageniškumas</w:t>
      </w:r>
      <w:proofErr w:type="spellEnd"/>
      <w:r w:rsidRPr="0003312B">
        <w:rPr>
          <w:i/>
          <w:iCs/>
          <w:color w:val="auto"/>
          <w:sz w:val="22"/>
          <w:szCs w:val="22"/>
          <w:lang w:val="lt-LT"/>
        </w:rPr>
        <w:t>/</w:t>
      </w:r>
      <w:proofErr w:type="spellStart"/>
      <w:r w:rsidRPr="0003312B">
        <w:rPr>
          <w:i/>
          <w:iCs/>
          <w:color w:val="auto"/>
          <w:sz w:val="22"/>
          <w:szCs w:val="22"/>
          <w:lang w:val="lt-LT"/>
        </w:rPr>
        <w:t>kancerogeniškumas</w:t>
      </w:r>
      <w:proofErr w:type="spellEnd"/>
      <w:r w:rsidRPr="0003312B">
        <w:rPr>
          <w:i/>
          <w:iCs/>
          <w:color w:val="auto"/>
          <w:sz w:val="22"/>
          <w:szCs w:val="22"/>
          <w:lang w:val="lt-LT"/>
        </w:rPr>
        <w:t xml:space="preserve"> </w:t>
      </w: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rPr>
        <w:t xml:space="preserve">Galimo </w:t>
      </w:r>
      <w:proofErr w:type="spellStart"/>
      <w:r w:rsidRPr="00042943">
        <w:rPr>
          <w:rFonts w:ascii="Times New Roman" w:hAnsi="Times New Roman"/>
          <w:sz w:val="22"/>
          <w:szCs w:val="22"/>
          <w:lang w:val="lt-LT"/>
        </w:rPr>
        <w:t>kancerogeniškumo</w:t>
      </w:r>
      <w:proofErr w:type="spellEnd"/>
      <w:r w:rsidRPr="00042943">
        <w:rPr>
          <w:rFonts w:ascii="Times New Roman" w:hAnsi="Times New Roman"/>
          <w:sz w:val="22"/>
          <w:szCs w:val="22"/>
          <w:lang w:val="lt-LT"/>
        </w:rPr>
        <w:t xml:space="preserve"> nenustatyta. </w:t>
      </w:r>
      <w:proofErr w:type="spellStart"/>
      <w:r w:rsidRPr="00042943">
        <w:rPr>
          <w:rFonts w:ascii="Times New Roman" w:hAnsi="Times New Roman"/>
          <w:sz w:val="22"/>
          <w:szCs w:val="22"/>
          <w:lang w:val="lt-LT" w:eastAsia="lt-LT"/>
        </w:rPr>
        <w:t>Genotoksiškumo</w:t>
      </w:r>
      <w:proofErr w:type="spellEnd"/>
      <w:r w:rsidRPr="00042943">
        <w:rPr>
          <w:rFonts w:ascii="Times New Roman" w:hAnsi="Times New Roman"/>
          <w:sz w:val="22"/>
          <w:szCs w:val="22"/>
          <w:lang w:val="lt-LT" w:eastAsia="lt-LT"/>
        </w:rPr>
        <w:t xml:space="preserve"> tyrimų metu nenustatyta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poveikio genų aktyvumui.</w:t>
      </w:r>
    </w:p>
    <w:p w:rsidR="009E3290" w:rsidRPr="0003312B" w:rsidRDefault="009E3290" w:rsidP="009E3290">
      <w:pPr>
        <w:pStyle w:val="Default"/>
        <w:rPr>
          <w:i/>
          <w:iCs/>
          <w:color w:val="auto"/>
          <w:sz w:val="22"/>
          <w:szCs w:val="22"/>
          <w:lang w:val="lt-LT"/>
        </w:rPr>
      </w:pPr>
    </w:p>
    <w:p w:rsidR="009E3290" w:rsidRPr="0003312B" w:rsidRDefault="009E3290" w:rsidP="009E3290">
      <w:pPr>
        <w:pStyle w:val="Default"/>
        <w:outlineLvl w:val="0"/>
        <w:rPr>
          <w:color w:val="auto"/>
          <w:sz w:val="22"/>
          <w:szCs w:val="22"/>
          <w:lang w:val="lt-LT"/>
        </w:rPr>
      </w:pPr>
      <w:proofErr w:type="spellStart"/>
      <w:r w:rsidRPr="0003312B">
        <w:rPr>
          <w:i/>
          <w:iCs/>
          <w:color w:val="auto"/>
          <w:sz w:val="22"/>
          <w:szCs w:val="22"/>
          <w:lang w:val="lt-LT"/>
        </w:rPr>
        <w:t>Toksiškumas</w:t>
      </w:r>
      <w:proofErr w:type="spellEnd"/>
      <w:r w:rsidRPr="0003312B">
        <w:rPr>
          <w:i/>
          <w:iCs/>
          <w:color w:val="auto"/>
          <w:sz w:val="22"/>
          <w:szCs w:val="22"/>
          <w:lang w:val="lt-LT"/>
        </w:rPr>
        <w:t xml:space="preserve"> reprodukcijai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Specifinių tyrimų, kai vaisto būtų skiriama kas 3 mėnesius, nėra. Tiriant žiurkes ir triušius, kuriems buvo skirta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į veną kiekvieną parą, tiesioginio toksinio ar </w:t>
      </w:r>
      <w:proofErr w:type="spellStart"/>
      <w:r w:rsidRPr="0003312B">
        <w:rPr>
          <w:rFonts w:ascii="Times New Roman" w:hAnsi="Times New Roman"/>
          <w:sz w:val="22"/>
          <w:szCs w:val="22"/>
          <w:lang w:val="lt-LT" w:eastAsia="lt-LT"/>
        </w:rPr>
        <w:t>teratogeninio</w:t>
      </w:r>
      <w:proofErr w:type="spellEnd"/>
      <w:r w:rsidRPr="0003312B">
        <w:rPr>
          <w:rFonts w:ascii="Times New Roman" w:hAnsi="Times New Roman"/>
          <w:sz w:val="22"/>
          <w:szCs w:val="22"/>
          <w:lang w:val="lt-LT" w:eastAsia="lt-LT"/>
        </w:rPr>
        <w:t xml:space="preserve"> poveikio vaisiui nenustatyta. Sulėtėjo svorio didėjimas pirmos kartos žiurkių </w:t>
      </w:r>
      <w:proofErr w:type="spellStart"/>
      <w:r w:rsidRPr="0003312B">
        <w:rPr>
          <w:rFonts w:ascii="Times New Roman" w:hAnsi="Times New Roman"/>
          <w:sz w:val="22"/>
          <w:szCs w:val="22"/>
          <w:lang w:val="lt-LT" w:eastAsia="lt-LT"/>
        </w:rPr>
        <w:t>palikuonims</w:t>
      </w:r>
      <w:proofErr w:type="spellEnd"/>
      <w:r w:rsidRPr="0003312B">
        <w:rPr>
          <w:rFonts w:ascii="Times New Roman" w:hAnsi="Times New Roman"/>
          <w:sz w:val="22"/>
          <w:szCs w:val="22"/>
          <w:lang w:val="lt-LT" w:eastAsia="lt-LT"/>
        </w:rPr>
        <w:t xml:space="preserve">. </w:t>
      </w:r>
      <w:r w:rsidRPr="0003312B">
        <w:rPr>
          <w:rFonts w:ascii="Times New Roman" w:hAnsi="Times New Roman"/>
          <w:sz w:val="22"/>
          <w:szCs w:val="22"/>
          <w:lang w:val="lt-LT"/>
        </w:rPr>
        <w:t xml:space="preserve">Tiriant toksinį poveikį  reprodukcijai, žiurkėms sugirdžius 1 mg/kg kūno svorio ir didesnes paros dozes, poveikis vaikingumui pasireiškė padidėjusia embrionų žūtimi prieš implantaciją. Tiriant toksinį poveikį reprodukcijai, žiurkių patinams į veną sušvirkštus 0,3 mg/kg kūno svorio per parą, sumažėjo spermos kiekis, o patinų ir patelių vaikingumas sumažėjo sušvirkštus atitinkamai 1 mg/kg kūno svorio ir 1,2 mg/kg kūno svorio per parą. </w:t>
      </w:r>
      <w:r w:rsidRPr="0003312B">
        <w:rPr>
          <w:rFonts w:ascii="Times New Roman" w:hAnsi="Times New Roman"/>
          <w:sz w:val="22"/>
          <w:szCs w:val="22"/>
          <w:lang w:val="lt-LT" w:eastAsia="lt-LT"/>
        </w:rPr>
        <w:t xml:space="preserve">Tiriant </w:t>
      </w:r>
      <w:proofErr w:type="spellStart"/>
      <w:r w:rsidRPr="0003312B">
        <w:rPr>
          <w:rFonts w:ascii="Times New Roman" w:hAnsi="Times New Roman"/>
          <w:sz w:val="22"/>
          <w:szCs w:val="22"/>
          <w:lang w:val="lt-LT" w:eastAsia="lt-LT"/>
        </w:rPr>
        <w:t>toksiškumą</w:t>
      </w:r>
      <w:proofErr w:type="spellEnd"/>
      <w:r w:rsidRPr="0003312B">
        <w:rPr>
          <w:rFonts w:ascii="Times New Roman" w:hAnsi="Times New Roman"/>
          <w:sz w:val="22"/>
          <w:szCs w:val="22"/>
          <w:lang w:val="lt-LT" w:eastAsia="lt-LT"/>
        </w:rPr>
        <w:t xml:space="preserve"> žiurkių reprodukcijai, nustatyta kitų, </w:t>
      </w:r>
      <w:proofErr w:type="spellStart"/>
      <w:r w:rsidRPr="0003312B">
        <w:rPr>
          <w:rFonts w:ascii="Times New Roman" w:hAnsi="Times New Roman"/>
          <w:sz w:val="22"/>
          <w:szCs w:val="22"/>
          <w:lang w:val="lt-LT" w:eastAsia="lt-LT"/>
        </w:rPr>
        <w:t>ibandrono</w:t>
      </w:r>
      <w:proofErr w:type="spellEnd"/>
      <w:r w:rsidRPr="0003312B">
        <w:rPr>
          <w:rFonts w:ascii="Times New Roman" w:hAnsi="Times New Roman"/>
          <w:sz w:val="22"/>
          <w:szCs w:val="22"/>
          <w:lang w:val="lt-LT" w:eastAsia="lt-LT"/>
        </w:rPr>
        <w:t xml:space="preserve"> rūgšties sukeliamų nepageidaujamų reakcijų, būdingų </w:t>
      </w:r>
      <w:proofErr w:type="spellStart"/>
      <w:r w:rsidRPr="0003312B">
        <w:rPr>
          <w:rFonts w:ascii="Times New Roman" w:hAnsi="Times New Roman"/>
          <w:sz w:val="22"/>
          <w:szCs w:val="22"/>
          <w:lang w:val="lt-LT" w:eastAsia="lt-LT"/>
        </w:rPr>
        <w:t>bisfosfonatų</w:t>
      </w:r>
      <w:proofErr w:type="spellEnd"/>
      <w:r w:rsidRPr="0003312B">
        <w:rPr>
          <w:rFonts w:ascii="Times New Roman" w:hAnsi="Times New Roman"/>
          <w:sz w:val="22"/>
          <w:szCs w:val="22"/>
          <w:lang w:val="lt-LT" w:eastAsia="lt-LT"/>
        </w:rPr>
        <w:t xml:space="preserve"> klasės vaistams. Tai sumažėjęs implantacijos vietų skaičius, pasunkėjęs natūralus jauniklių atsivedimas (</w:t>
      </w:r>
      <w:proofErr w:type="spellStart"/>
      <w:r w:rsidRPr="0003312B">
        <w:rPr>
          <w:rFonts w:ascii="Times New Roman" w:hAnsi="Times New Roman"/>
          <w:sz w:val="22"/>
          <w:szCs w:val="22"/>
          <w:lang w:val="lt-LT" w:eastAsia="lt-LT"/>
        </w:rPr>
        <w:t>distocija</w:t>
      </w:r>
      <w:proofErr w:type="spellEnd"/>
      <w:r w:rsidRPr="0003312B">
        <w:rPr>
          <w:rFonts w:ascii="Times New Roman" w:hAnsi="Times New Roman"/>
          <w:sz w:val="22"/>
          <w:szCs w:val="22"/>
          <w:lang w:val="lt-LT" w:eastAsia="lt-LT"/>
        </w:rPr>
        <w:t>) ir padažnėję vidaus organų pokyčiai (inkstų geldelių ir šlapimtakių sindromas).</w:t>
      </w:r>
      <w:r w:rsidRPr="0003312B">
        <w:rPr>
          <w:rFonts w:ascii="Times New Roman" w:hAnsi="Times New Roman"/>
          <w:sz w:val="22"/>
          <w:szCs w:val="22"/>
          <w:lang w:val="lt-LT"/>
        </w:rPr>
        <w:t xml:space="preserve"> </w:t>
      </w:r>
    </w:p>
    <w:p w:rsidR="009E3290" w:rsidRPr="0003312B" w:rsidRDefault="009E3290" w:rsidP="009E3290">
      <w:pPr>
        <w:rPr>
          <w:rFonts w:ascii="Times New Roman" w:hAnsi="Times New Roman"/>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6.</w:t>
      </w:r>
      <w:r w:rsidRPr="0003312B">
        <w:rPr>
          <w:b/>
          <w:bCs/>
          <w:color w:val="auto"/>
          <w:sz w:val="22"/>
          <w:szCs w:val="22"/>
          <w:lang w:val="lt-LT"/>
        </w:rPr>
        <w:tab/>
      </w:r>
      <w:r w:rsidRPr="0003312B">
        <w:rPr>
          <w:b/>
          <w:bCs/>
          <w:color w:val="auto"/>
          <w:sz w:val="22"/>
          <w:szCs w:val="22"/>
          <w:lang w:val="lt-LT" w:eastAsia="lt-LT"/>
        </w:rPr>
        <w:t>FARMACINĖ INFORMACIJA</w:t>
      </w:r>
      <w:r w:rsidRPr="0003312B">
        <w:rPr>
          <w:b/>
          <w:bCs/>
          <w:color w:val="auto"/>
          <w:sz w:val="22"/>
          <w:szCs w:val="22"/>
          <w:lang w:val="lt-LT"/>
        </w:rPr>
        <w:t xml:space="preserve">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6.1</w:t>
      </w:r>
      <w:r w:rsidRPr="0003312B">
        <w:rPr>
          <w:b/>
          <w:bCs/>
          <w:color w:val="auto"/>
          <w:sz w:val="22"/>
          <w:szCs w:val="22"/>
          <w:lang w:val="lt-LT"/>
        </w:rPr>
        <w:tab/>
      </w:r>
      <w:r w:rsidRPr="0003312B">
        <w:rPr>
          <w:b/>
          <w:bCs/>
          <w:color w:val="auto"/>
          <w:sz w:val="22"/>
          <w:szCs w:val="22"/>
          <w:lang w:val="lt-LT" w:eastAsia="lt-LT"/>
        </w:rPr>
        <w:t>Pagalbinių medžiagų sąrašas</w:t>
      </w:r>
    </w:p>
    <w:p w:rsidR="009E3290" w:rsidRPr="0003312B" w:rsidRDefault="009E3290" w:rsidP="009E3290">
      <w:pPr>
        <w:pStyle w:val="Default"/>
        <w:ind w:left="560" w:hanging="560"/>
        <w:rPr>
          <w:color w:val="auto"/>
          <w:sz w:val="22"/>
          <w:szCs w:val="22"/>
          <w:lang w:val="lt-LT"/>
        </w:rPr>
      </w:pPr>
    </w:p>
    <w:p w:rsidR="009E3290" w:rsidRPr="00042943" w:rsidRDefault="009E3290" w:rsidP="009E3290">
      <w:pPr>
        <w:autoSpaceDE w:val="0"/>
        <w:autoSpaceDN w:val="0"/>
        <w:adjustRightInd w:val="0"/>
        <w:outlineLvl w:val="0"/>
        <w:rPr>
          <w:rFonts w:ascii="Times New Roman" w:hAnsi="Times New Roman"/>
          <w:sz w:val="22"/>
          <w:lang w:val="lt-LT"/>
        </w:rPr>
      </w:pPr>
      <w:r w:rsidRPr="00042943">
        <w:rPr>
          <w:rFonts w:ascii="Times New Roman" w:hAnsi="Times New Roman"/>
          <w:sz w:val="22"/>
          <w:szCs w:val="22"/>
          <w:lang w:val="lt-LT" w:eastAsia="lt-LT"/>
        </w:rPr>
        <w:t>Natrio chloridas</w:t>
      </w:r>
    </w:p>
    <w:p w:rsidR="009E3290" w:rsidRPr="00042943" w:rsidRDefault="009E3290" w:rsidP="009E3290">
      <w:pPr>
        <w:autoSpaceDE w:val="0"/>
        <w:autoSpaceDN w:val="0"/>
        <w:adjustRightInd w:val="0"/>
        <w:rPr>
          <w:rFonts w:ascii="Times New Roman" w:hAnsi="Times New Roman"/>
          <w:sz w:val="22"/>
          <w:szCs w:val="22"/>
          <w:lang w:val="lt-LT" w:eastAsia="lt-LT"/>
        </w:rPr>
      </w:pPr>
      <w:r w:rsidRPr="00042943">
        <w:rPr>
          <w:rFonts w:ascii="Times New Roman" w:hAnsi="Times New Roman"/>
          <w:sz w:val="22"/>
          <w:szCs w:val="22"/>
          <w:lang w:val="lt-LT" w:eastAsia="lt-LT"/>
        </w:rPr>
        <w:t>Ledinė acto rūgštis</w:t>
      </w:r>
    </w:p>
    <w:p w:rsidR="009E3290" w:rsidRPr="00042943" w:rsidRDefault="009E3290" w:rsidP="009E3290">
      <w:pPr>
        <w:autoSpaceDE w:val="0"/>
        <w:autoSpaceDN w:val="0"/>
        <w:adjustRightInd w:val="0"/>
        <w:rPr>
          <w:rFonts w:ascii="Times New Roman" w:hAnsi="Times New Roman"/>
          <w:sz w:val="22"/>
          <w:szCs w:val="22"/>
          <w:lang w:val="lt-LT" w:eastAsia="lt-LT"/>
        </w:rPr>
      </w:pPr>
      <w:r w:rsidRPr="00042943">
        <w:rPr>
          <w:rFonts w:ascii="Times New Roman" w:hAnsi="Times New Roman"/>
          <w:sz w:val="22"/>
          <w:szCs w:val="22"/>
          <w:lang w:val="lt-LT" w:eastAsia="lt-LT"/>
        </w:rPr>
        <w:t xml:space="preserve">Natrio acetatas </w:t>
      </w:r>
      <w:proofErr w:type="spellStart"/>
      <w:r w:rsidRPr="00042943">
        <w:rPr>
          <w:rFonts w:ascii="Times New Roman" w:hAnsi="Times New Roman"/>
          <w:sz w:val="22"/>
          <w:szCs w:val="22"/>
          <w:lang w:val="lt-LT" w:eastAsia="lt-LT"/>
        </w:rPr>
        <w:t>trihidratas</w:t>
      </w:r>
      <w:proofErr w:type="spellEnd"/>
    </w:p>
    <w:p w:rsidR="009E3290" w:rsidRPr="00042943" w:rsidRDefault="009E3290" w:rsidP="009E3290">
      <w:pPr>
        <w:rPr>
          <w:rFonts w:ascii="Times New Roman" w:hAnsi="Times New Roman"/>
          <w:sz w:val="22"/>
          <w:szCs w:val="22"/>
          <w:lang w:val="lt-LT" w:eastAsia="lt-LT"/>
        </w:rPr>
      </w:pPr>
      <w:r w:rsidRPr="00042943">
        <w:rPr>
          <w:rFonts w:ascii="Times New Roman" w:hAnsi="Times New Roman"/>
          <w:sz w:val="22"/>
          <w:szCs w:val="22"/>
          <w:lang w:val="lt-LT" w:eastAsia="lt-LT"/>
        </w:rPr>
        <w:t>Injekcinis vanduo</w:t>
      </w:r>
    </w:p>
    <w:p w:rsidR="009E3290" w:rsidRPr="00042943" w:rsidRDefault="009E3290" w:rsidP="009E3290">
      <w:pPr>
        <w:rPr>
          <w:rFonts w:ascii="Times New Roman" w:hAnsi="Times New Roman"/>
          <w:sz w:val="22"/>
          <w:szCs w:val="22"/>
          <w:lang w:val="lt-LT" w:eastAsia="lt-LT"/>
        </w:rPr>
      </w:pPr>
      <w:r w:rsidRPr="00042943">
        <w:rPr>
          <w:rFonts w:ascii="Times New Roman" w:hAnsi="Times New Roman"/>
          <w:sz w:val="22"/>
          <w:szCs w:val="22"/>
          <w:lang w:val="lt-LT" w:eastAsia="lt-LT"/>
        </w:rPr>
        <w:lastRenderedPageBreak/>
        <w:t xml:space="preserve">Natrio </w:t>
      </w:r>
      <w:proofErr w:type="spellStart"/>
      <w:r w:rsidRPr="00042943">
        <w:rPr>
          <w:rFonts w:ascii="Times New Roman" w:hAnsi="Times New Roman"/>
          <w:sz w:val="22"/>
          <w:szCs w:val="22"/>
          <w:lang w:val="lt-LT" w:eastAsia="lt-LT"/>
        </w:rPr>
        <w:t>hidroksidas</w:t>
      </w:r>
      <w:proofErr w:type="spellEnd"/>
      <w:r w:rsidRPr="00042943">
        <w:rPr>
          <w:rFonts w:ascii="Times New Roman" w:hAnsi="Times New Roman"/>
          <w:sz w:val="22"/>
          <w:szCs w:val="22"/>
          <w:lang w:val="lt-LT" w:eastAsia="lt-LT"/>
        </w:rPr>
        <w:t xml:space="preserve"> (pH sureguliuoti)</w:t>
      </w:r>
    </w:p>
    <w:p w:rsidR="009E3290" w:rsidRPr="00042943" w:rsidRDefault="008F5879" w:rsidP="009E3290">
      <w:pPr>
        <w:autoSpaceDE w:val="0"/>
        <w:autoSpaceDN w:val="0"/>
        <w:adjustRightInd w:val="0"/>
        <w:rPr>
          <w:rFonts w:ascii="Times New Roman" w:hAnsi="Times New Roman"/>
          <w:sz w:val="22"/>
          <w:szCs w:val="22"/>
          <w:lang w:val="lt-LT"/>
        </w:rPr>
      </w:pPr>
      <w:r>
        <w:rPr>
          <w:rFonts w:ascii="Times New Roman" w:hAnsi="Times New Roman"/>
          <w:sz w:val="22"/>
          <w:szCs w:val="22"/>
          <w:lang w:val="lt-LT" w:eastAsia="lt-LT"/>
        </w:rPr>
        <w:t>Praskiesta</w:t>
      </w:r>
      <w:r w:rsidRPr="00042943">
        <w:rPr>
          <w:rFonts w:ascii="Times New Roman" w:hAnsi="Times New Roman"/>
          <w:sz w:val="22"/>
          <w:szCs w:val="22"/>
          <w:lang w:val="lt-LT" w:eastAsia="lt-LT"/>
        </w:rPr>
        <w:t xml:space="preserve"> vandenilio </w:t>
      </w:r>
      <w:r w:rsidR="009E3290" w:rsidRPr="00042943">
        <w:rPr>
          <w:rFonts w:ascii="Times New Roman" w:hAnsi="Times New Roman"/>
          <w:sz w:val="22"/>
          <w:szCs w:val="22"/>
          <w:lang w:val="lt-LT" w:eastAsia="lt-LT"/>
        </w:rPr>
        <w:t>chlorido rūgštis (pH sureguliuoti)</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rPr>
          <w:color w:val="auto"/>
          <w:sz w:val="22"/>
          <w:szCs w:val="22"/>
          <w:lang w:val="lt-LT"/>
        </w:rPr>
      </w:pPr>
      <w:r w:rsidRPr="0003312B">
        <w:rPr>
          <w:b/>
          <w:bCs/>
          <w:color w:val="auto"/>
          <w:sz w:val="22"/>
          <w:szCs w:val="22"/>
          <w:lang w:val="lt-LT"/>
        </w:rPr>
        <w:t>6.2</w:t>
      </w:r>
      <w:r w:rsidRPr="0003312B">
        <w:rPr>
          <w:b/>
          <w:bCs/>
          <w:color w:val="auto"/>
          <w:sz w:val="22"/>
          <w:szCs w:val="22"/>
          <w:lang w:val="lt-LT"/>
        </w:rPr>
        <w:tab/>
      </w:r>
      <w:r w:rsidRPr="0003312B">
        <w:rPr>
          <w:b/>
          <w:bCs/>
          <w:color w:val="auto"/>
          <w:sz w:val="22"/>
          <w:szCs w:val="22"/>
          <w:lang w:val="lt-LT" w:eastAsia="lt-LT"/>
        </w:rPr>
        <w:t>Nesuderinamumas</w:t>
      </w:r>
      <w:r w:rsidRPr="0003312B">
        <w:rPr>
          <w:b/>
          <w:bCs/>
          <w:color w:val="auto"/>
          <w:sz w:val="22"/>
          <w:szCs w:val="22"/>
          <w:lang w:val="lt-LT"/>
        </w:rPr>
        <w:t xml:space="preserve"> </w:t>
      </w:r>
    </w:p>
    <w:p w:rsidR="009E3290" w:rsidRPr="0003312B" w:rsidRDefault="009E3290" w:rsidP="009E3290">
      <w:pPr>
        <w:pStyle w:val="Default"/>
        <w:ind w:left="560" w:hanging="560"/>
        <w:rPr>
          <w:b/>
          <w:bCs/>
          <w:color w:val="auto"/>
          <w:sz w:val="22"/>
          <w:szCs w:val="22"/>
          <w:lang w:val="lt-LT"/>
        </w:rPr>
      </w:pPr>
    </w:p>
    <w:p w:rsidR="009E3290" w:rsidRPr="00042943" w:rsidRDefault="009E3290" w:rsidP="009E3290">
      <w:pPr>
        <w:autoSpaceDE w:val="0"/>
        <w:autoSpaceDN w:val="0"/>
        <w:adjustRightInd w:val="0"/>
        <w:rPr>
          <w:rFonts w:ascii="Times New Roman" w:hAnsi="Times New Roman"/>
          <w:sz w:val="22"/>
          <w:lang w:val="lt-LT"/>
        </w:rPr>
      </w:pPr>
      <w:r w:rsidRPr="00042943">
        <w:rPr>
          <w:rFonts w:ascii="Times New Roman" w:hAnsi="Times New Roman"/>
          <w:sz w:val="22"/>
          <w:szCs w:val="22"/>
          <w:lang w:val="lt-LT" w:eastAsia="lt-LT"/>
        </w:rPr>
        <w:t xml:space="preserve">OSSICA negalima maišyti su tirpalais, kuriuose yra kalcio, ar su </w:t>
      </w:r>
      <w:r w:rsidRPr="00042943">
        <w:rPr>
          <w:rFonts w:ascii="Times New Roman" w:hAnsi="Times New Roman"/>
          <w:sz w:val="22"/>
          <w:szCs w:val="22"/>
          <w:lang w:val="lt-LT"/>
        </w:rPr>
        <w:t xml:space="preserve">kitais į veną vartojamais vaistiniais preparatais. </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6.3</w:t>
      </w:r>
      <w:r w:rsidRPr="0003312B">
        <w:rPr>
          <w:b/>
          <w:bCs/>
          <w:color w:val="auto"/>
          <w:sz w:val="22"/>
          <w:szCs w:val="22"/>
          <w:lang w:val="lt-LT"/>
        </w:rPr>
        <w:tab/>
      </w:r>
      <w:r w:rsidRPr="0003312B">
        <w:rPr>
          <w:b/>
          <w:bCs/>
          <w:color w:val="auto"/>
          <w:sz w:val="22"/>
          <w:szCs w:val="22"/>
          <w:lang w:val="lt-LT" w:eastAsia="lt-LT"/>
        </w:rPr>
        <w:t>Tinkamumo laikas</w:t>
      </w:r>
      <w:r w:rsidRPr="0003312B">
        <w:rPr>
          <w:b/>
          <w:bCs/>
          <w:color w:val="auto"/>
          <w:sz w:val="22"/>
          <w:szCs w:val="22"/>
          <w:lang w:val="lt-LT"/>
        </w:rPr>
        <w:t xml:space="preserve"> </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rPr>
          <w:bCs/>
          <w:color w:val="auto"/>
          <w:sz w:val="22"/>
          <w:szCs w:val="22"/>
          <w:lang w:val="lt-LT"/>
        </w:rPr>
      </w:pPr>
      <w:r w:rsidRPr="0003312B">
        <w:rPr>
          <w:bCs/>
          <w:color w:val="auto"/>
          <w:sz w:val="22"/>
          <w:szCs w:val="22"/>
          <w:lang w:val="lt-LT"/>
        </w:rPr>
        <w:t>3 metai.</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6.4</w:t>
      </w:r>
      <w:r w:rsidRPr="0003312B">
        <w:rPr>
          <w:b/>
          <w:bCs/>
          <w:color w:val="auto"/>
          <w:sz w:val="22"/>
          <w:szCs w:val="22"/>
          <w:lang w:val="lt-LT"/>
        </w:rPr>
        <w:tab/>
      </w:r>
      <w:r w:rsidRPr="0003312B">
        <w:rPr>
          <w:b/>
          <w:bCs/>
          <w:color w:val="auto"/>
          <w:sz w:val="22"/>
          <w:szCs w:val="22"/>
          <w:lang w:val="lt-LT" w:eastAsia="lt-LT"/>
        </w:rPr>
        <w:t>Specialios laikymo sąlygos</w:t>
      </w:r>
    </w:p>
    <w:p w:rsidR="009E3290" w:rsidRPr="0003312B" w:rsidRDefault="009E3290" w:rsidP="009E3290">
      <w:pPr>
        <w:pStyle w:val="Default"/>
        <w:ind w:left="560" w:hanging="560"/>
        <w:rPr>
          <w:b/>
          <w:bCs/>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rPr>
        <w:t xml:space="preserve">Laikyti gamintojo pakuotėje, kad </w:t>
      </w:r>
      <w:r w:rsidR="008F5879">
        <w:rPr>
          <w:rFonts w:ascii="Times New Roman" w:hAnsi="Times New Roman"/>
          <w:sz w:val="22"/>
          <w:szCs w:val="22"/>
          <w:lang w:val="lt-LT"/>
        </w:rPr>
        <w:t xml:space="preserve">vaistinis </w:t>
      </w:r>
      <w:r w:rsidRPr="00042943">
        <w:rPr>
          <w:rFonts w:ascii="Times New Roman" w:hAnsi="Times New Roman"/>
          <w:sz w:val="22"/>
          <w:szCs w:val="22"/>
          <w:lang w:val="lt-LT"/>
        </w:rPr>
        <w:t xml:space="preserve">preparatas būtų apsaugotas nuo šviesos. </w:t>
      </w:r>
      <w:r w:rsidR="008F5879" w:rsidRPr="008F5879">
        <w:rPr>
          <w:rFonts w:ascii="Times New Roman" w:hAnsi="Times New Roman"/>
          <w:sz w:val="22"/>
          <w:szCs w:val="22"/>
          <w:lang w:val="lt-LT" w:eastAsia="lt-LT"/>
        </w:rPr>
        <w:t>Šio vaistinio preparato laikymui specialių temperatūros sąlygų nereikalaujama</w:t>
      </w:r>
      <w:r w:rsidRPr="00042943">
        <w:rPr>
          <w:rFonts w:ascii="Times New Roman" w:hAnsi="Times New Roman"/>
          <w:sz w:val="22"/>
          <w:szCs w:val="22"/>
          <w:lang w:val="lt-LT" w:eastAsia="lt-LT"/>
        </w:rPr>
        <w:t>.</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6.5</w:t>
      </w:r>
      <w:r w:rsidRPr="0003312B">
        <w:rPr>
          <w:b/>
          <w:bCs/>
          <w:color w:val="auto"/>
          <w:sz w:val="22"/>
          <w:szCs w:val="22"/>
          <w:lang w:val="lt-LT"/>
        </w:rPr>
        <w:tab/>
      </w:r>
      <w:proofErr w:type="spellStart"/>
      <w:r w:rsidRPr="0003312B">
        <w:rPr>
          <w:b/>
          <w:bCs/>
          <w:color w:val="auto"/>
          <w:sz w:val="22"/>
          <w:szCs w:val="22"/>
          <w:lang w:val="lt-LT"/>
        </w:rPr>
        <w:t>Talpyklės</w:t>
      </w:r>
      <w:proofErr w:type="spellEnd"/>
      <w:r w:rsidRPr="0003312B">
        <w:rPr>
          <w:b/>
          <w:bCs/>
          <w:color w:val="auto"/>
          <w:sz w:val="22"/>
          <w:szCs w:val="22"/>
          <w:lang w:val="lt-LT"/>
        </w:rPr>
        <w:t xml:space="preserve"> pobūdis </w:t>
      </w:r>
      <w:r w:rsidRPr="0003312B">
        <w:rPr>
          <w:b/>
          <w:bCs/>
          <w:color w:val="auto"/>
          <w:sz w:val="22"/>
          <w:szCs w:val="22"/>
          <w:lang w:val="lt-LT" w:eastAsia="lt-LT"/>
        </w:rPr>
        <w:t>ir jos turinys</w:t>
      </w:r>
    </w:p>
    <w:p w:rsidR="009E3290" w:rsidRPr="0003312B" w:rsidRDefault="009E3290" w:rsidP="009E3290">
      <w:pPr>
        <w:pStyle w:val="Default"/>
        <w:rPr>
          <w:b/>
          <w:bCs/>
          <w:color w:val="auto"/>
          <w:sz w:val="22"/>
          <w:szCs w:val="22"/>
          <w:lang w:val="lt-LT"/>
        </w:rPr>
      </w:pPr>
    </w:p>
    <w:p w:rsidR="009E3290" w:rsidRPr="0003312B" w:rsidRDefault="009E3290" w:rsidP="009E3290">
      <w:pPr>
        <w:autoSpaceDE w:val="0"/>
        <w:autoSpaceDN w:val="0"/>
        <w:adjustRightInd w:val="0"/>
        <w:rPr>
          <w:rFonts w:ascii="Times New Roman" w:hAnsi="Times New Roman"/>
          <w:sz w:val="22"/>
          <w:szCs w:val="22"/>
          <w:lang w:val="lt-LT"/>
        </w:rPr>
      </w:pPr>
      <w:r w:rsidRPr="0003312B">
        <w:rPr>
          <w:rFonts w:ascii="Times New Roman" w:hAnsi="Times New Roman"/>
          <w:sz w:val="22"/>
          <w:szCs w:val="22"/>
          <w:lang w:val="lt-LT"/>
        </w:rPr>
        <w:t>Užpildyti švirkštai (5</w:t>
      </w:r>
      <w:r w:rsidR="008F5879">
        <w:rPr>
          <w:rFonts w:ascii="Times New Roman" w:hAnsi="Times New Roman"/>
          <w:sz w:val="22"/>
          <w:szCs w:val="22"/>
          <w:lang w:val="lt-LT"/>
        </w:rPr>
        <w:t> </w:t>
      </w:r>
      <w:r w:rsidRPr="0003312B">
        <w:rPr>
          <w:rFonts w:ascii="Times New Roman" w:hAnsi="Times New Roman"/>
          <w:sz w:val="22"/>
          <w:szCs w:val="22"/>
          <w:lang w:val="lt-LT"/>
        </w:rPr>
        <w:t xml:space="preserve">ml) pagaminti iš bespalvio I tipo stiklo, su smaigalio dangteliu, teflonu padengtu pilku guminiu stūmoklio kamščiu (pagamintu iš silikonu užsandarinto </w:t>
      </w:r>
      <w:proofErr w:type="spellStart"/>
      <w:r w:rsidRPr="0003312B">
        <w:rPr>
          <w:rFonts w:ascii="Times New Roman" w:hAnsi="Times New Roman"/>
          <w:sz w:val="22"/>
          <w:szCs w:val="22"/>
          <w:lang w:val="lt-LT"/>
        </w:rPr>
        <w:t>bromobutilo</w:t>
      </w:r>
      <w:proofErr w:type="spellEnd"/>
      <w:r w:rsidRPr="0003312B">
        <w:rPr>
          <w:rFonts w:ascii="Times New Roman" w:hAnsi="Times New Roman"/>
          <w:sz w:val="22"/>
          <w:szCs w:val="22"/>
          <w:lang w:val="lt-LT"/>
        </w:rPr>
        <w:t xml:space="preserve"> </w:t>
      </w:r>
      <w:proofErr w:type="spellStart"/>
      <w:r w:rsidRPr="0003312B">
        <w:rPr>
          <w:rFonts w:ascii="Times New Roman" w:hAnsi="Times New Roman"/>
          <w:sz w:val="22"/>
          <w:szCs w:val="22"/>
          <w:lang w:val="lt-LT"/>
        </w:rPr>
        <w:t>elastomero</w:t>
      </w:r>
      <w:proofErr w:type="spellEnd"/>
      <w:r w:rsidRPr="0003312B">
        <w:rPr>
          <w:rFonts w:ascii="Times New Roman" w:hAnsi="Times New Roman"/>
          <w:sz w:val="22"/>
          <w:szCs w:val="22"/>
          <w:lang w:val="lt-LT"/>
        </w:rPr>
        <w:t xml:space="preserve">) ir </w:t>
      </w:r>
      <w:proofErr w:type="spellStart"/>
      <w:r w:rsidRPr="0003312B">
        <w:rPr>
          <w:rFonts w:ascii="Times New Roman" w:hAnsi="Times New Roman"/>
          <w:sz w:val="22"/>
          <w:szCs w:val="22"/>
          <w:lang w:val="lt-LT"/>
        </w:rPr>
        <w:t>polist</w:t>
      </w:r>
      <w:r w:rsidR="008F5879">
        <w:rPr>
          <w:rFonts w:ascii="Times New Roman" w:hAnsi="Times New Roman"/>
          <w:sz w:val="22"/>
          <w:szCs w:val="22"/>
          <w:lang w:val="lt-LT"/>
        </w:rPr>
        <w:t>ir</w:t>
      </w:r>
      <w:r w:rsidRPr="0003312B">
        <w:rPr>
          <w:rFonts w:ascii="Times New Roman" w:hAnsi="Times New Roman"/>
          <w:sz w:val="22"/>
          <w:szCs w:val="22"/>
          <w:lang w:val="lt-LT"/>
        </w:rPr>
        <w:t>e</w:t>
      </w:r>
      <w:r w:rsidR="008F5879">
        <w:rPr>
          <w:rFonts w:ascii="Times New Roman" w:hAnsi="Times New Roman"/>
          <w:sz w:val="22"/>
          <w:szCs w:val="22"/>
          <w:lang w:val="lt-LT"/>
        </w:rPr>
        <w:t>n</w:t>
      </w:r>
      <w:r w:rsidRPr="0003312B">
        <w:rPr>
          <w:rFonts w:ascii="Times New Roman" w:hAnsi="Times New Roman"/>
          <w:sz w:val="22"/>
          <w:szCs w:val="22"/>
          <w:lang w:val="lt-LT"/>
        </w:rPr>
        <w:t>o</w:t>
      </w:r>
      <w:proofErr w:type="spellEnd"/>
      <w:r w:rsidRPr="0003312B">
        <w:rPr>
          <w:rFonts w:ascii="Times New Roman" w:hAnsi="Times New Roman"/>
          <w:sz w:val="22"/>
          <w:szCs w:val="22"/>
          <w:lang w:val="lt-LT"/>
        </w:rPr>
        <w:t xml:space="preserve"> stūmoklio kotu. Švirkštuose yra po 3</w:t>
      </w:r>
      <w:r w:rsidR="008F5879">
        <w:rPr>
          <w:rFonts w:ascii="Times New Roman" w:hAnsi="Times New Roman"/>
          <w:sz w:val="22"/>
          <w:szCs w:val="22"/>
          <w:lang w:val="lt-LT"/>
        </w:rPr>
        <w:t> </w:t>
      </w:r>
      <w:r w:rsidRPr="0003312B">
        <w:rPr>
          <w:rFonts w:ascii="Times New Roman" w:hAnsi="Times New Roman"/>
          <w:sz w:val="22"/>
          <w:szCs w:val="22"/>
          <w:lang w:val="lt-LT"/>
        </w:rPr>
        <w:t xml:space="preserve">ml injekcinio tirpalo.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autoSpaceDE w:val="0"/>
        <w:autoSpaceDN w:val="0"/>
        <w:adjustRightInd w:val="0"/>
        <w:snapToGrid w:val="0"/>
        <w:outlineLvl w:val="0"/>
        <w:rPr>
          <w:rFonts w:ascii="Times New Roman" w:hAnsi="Times New Roman"/>
          <w:sz w:val="22"/>
          <w:szCs w:val="22"/>
          <w:lang w:val="lt-LT" w:eastAsia="lt-LT"/>
        </w:rPr>
      </w:pPr>
      <w:r w:rsidRPr="0003312B">
        <w:rPr>
          <w:rFonts w:ascii="Times New Roman" w:hAnsi="Times New Roman"/>
          <w:sz w:val="22"/>
          <w:szCs w:val="22"/>
          <w:lang w:val="lt-LT" w:eastAsia="lt-LT"/>
        </w:rPr>
        <w:t>Pakuotėje yra 1 užpildytas švirkštas ir 1 injekcinė adata arba 4 užpildyti švirkštai ir 4 injekcinės adatos.</w:t>
      </w:r>
    </w:p>
    <w:p w:rsidR="009E3290" w:rsidRPr="0003312B" w:rsidRDefault="009E3290" w:rsidP="009E3290">
      <w:pPr>
        <w:autoSpaceDE w:val="0"/>
        <w:autoSpaceDN w:val="0"/>
        <w:adjustRightInd w:val="0"/>
        <w:rPr>
          <w:rFonts w:ascii="Times New Roman" w:hAnsi="Times New Roman"/>
          <w:sz w:val="22"/>
          <w:szCs w:val="22"/>
          <w:lang w:val="lt-LT"/>
        </w:rPr>
      </w:pPr>
    </w:p>
    <w:p w:rsidR="009E3290" w:rsidRPr="0003312B" w:rsidRDefault="009E3290" w:rsidP="009E3290">
      <w:pPr>
        <w:autoSpaceDE w:val="0"/>
        <w:autoSpaceDN w:val="0"/>
        <w:adjustRightInd w:val="0"/>
        <w:outlineLvl w:val="0"/>
        <w:rPr>
          <w:rFonts w:ascii="Times New Roman" w:hAnsi="Times New Roman"/>
          <w:sz w:val="22"/>
          <w:szCs w:val="22"/>
          <w:lang w:val="lt-LT"/>
        </w:rPr>
      </w:pPr>
      <w:r w:rsidRPr="0003312B">
        <w:rPr>
          <w:rFonts w:ascii="Times New Roman" w:hAnsi="Times New Roman"/>
          <w:sz w:val="22"/>
          <w:szCs w:val="22"/>
          <w:lang w:val="lt-LT"/>
        </w:rPr>
        <w:t>Gali būti tiekiamos ne visų dydžių pakuotės.</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ind w:left="567" w:hanging="567"/>
        <w:outlineLvl w:val="0"/>
        <w:rPr>
          <w:color w:val="auto"/>
          <w:sz w:val="22"/>
          <w:szCs w:val="22"/>
          <w:lang w:val="lt-LT"/>
        </w:rPr>
      </w:pPr>
      <w:r w:rsidRPr="0003312B">
        <w:rPr>
          <w:b/>
          <w:bCs/>
          <w:color w:val="auto"/>
          <w:sz w:val="22"/>
          <w:szCs w:val="22"/>
          <w:lang w:val="lt-LT"/>
        </w:rPr>
        <w:t>6.6</w:t>
      </w:r>
      <w:r w:rsidRPr="0003312B">
        <w:rPr>
          <w:b/>
          <w:bCs/>
          <w:color w:val="auto"/>
          <w:sz w:val="22"/>
          <w:szCs w:val="22"/>
          <w:lang w:val="lt-LT"/>
        </w:rPr>
        <w:tab/>
      </w:r>
      <w:r w:rsidRPr="0003312B">
        <w:rPr>
          <w:b/>
          <w:bCs/>
          <w:color w:val="auto"/>
          <w:sz w:val="22"/>
          <w:szCs w:val="22"/>
          <w:lang w:val="lt-LT" w:eastAsia="lt-LT"/>
        </w:rPr>
        <w:t>Specialūs reikalavimai atliekoms tvarkyti</w:t>
      </w:r>
      <w:r w:rsidRPr="0003312B">
        <w:rPr>
          <w:b/>
          <w:bCs/>
          <w:color w:val="auto"/>
          <w:sz w:val="22"/>
          <w:szCs w:val="22"/>
          <w:lang w:val="lt-LT"/>
        </w:rPr>
        <w:t xml:space="preserve"> </w:t>
      </w:r>
    </w:p>
    <w:p w:rsidR="009E3290" w:rsidRPr="0003312B" w:rsidRDefault="009E3290" w:rsidP="009E3290">
      <w:pPr>
        <w:pStyle w:val="Default"/>
        <w:ind w:left="560" w:hanging="560"/>
        <w:rPr>
          <w:b/>
          <w:bCs/>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eastAsia="lt-LT"/>
        </w:rPr>
        <w:t xml:space="preserve">Jeigu </w:t>
      </w:r>
      <w:r w:rsidR="008F5879">
        <w:rPr>
          <w:rFonts w:ascii="Times New Roman" w:hAnsi="Times New Roman"/>
          <w:sz w:val="22"/>
          <w:szCs w:val="22"/>
          <w:lang w:val="lt-LT" w:eastAsia="lt-LT"/>
        </w:rPr>
        <w:t xml:space="preserve">vaistinis </w:t>
      </w:r>
      <w:r w:rsidRPr="0003312B">
        <w:rPr>
          <w:rFonts w:ascii="Times New Roman" w:hAnsi="Times New Roman"/>
          <w:sz w:val="22"/>
          <w:szCs w:val="22"/>
          <w:lang w:val="lt-LT" w:eastAsia="lt-LT"/>
        </w:rPr>
        <w:t xml:space="preserve">preparatas lašinamas naudojant lašinę sistemą, galima vartoti tik </w:t>
      </w:r>
      <w:proofErr w:type="spellStart"/>
      <w:r w:rsidRPr="0003312B">
        <w:rPr>
          <w:rFonts w:ascii="Times New Roman" w:hAnsi="Times New Roman"/>
          <w:sz w:val="22"/>
          <w:szCs w:val="22"/>
          <w:lang w:val="lt-LT" w:eastAsia="lt-LT"/>
        </w:rPr>
        <w:t>izotoninį</w:t>
      </w:r>
      <w:proofErr w:type="spellEnd"/>
      <w:r w:rsidRPr="0003312B">
        <w:rPr>
          <w:rFonts w:ascii="Times New Roman" w:hAnsi="Times New Roman"/>
          <w:sz w:val="22"/>
          <w:szCs w:val="22"/>
          <w:lang w:val="lt-LT" w:eastAsia="lt-LT"/>
        </w:rPr>
        <w:t xml:space="preserve"> natrio chlorido arba 50</w:t>
      </w:r>
      <w:r w:rsidR="008F5879">
        <w:rPr>
          <w:rFonts w:ascii="Times New Roman" w:hAnsi="Times New Roman"/>
          <w:sz w:val="22"/>
          <w:szCs w:val="22"/>
          <w:lang w:val="lt-LT" w:eastAsia="lt-LT"/>
        </w:rPr>
        <w:t> </w:t>
      </w:r>
      <w:r w:rsidRPr="0003312B">
        <w:rPr>
          <w:rFonts w:ascii="Times New Roman" w:hAnsi="Times New Roman"/>
          <w:sz w:val="22"/>
          <w:szCs w:val="22"/>
          <w:lang w:val="lt-LT" w:eastAsia="lt-LT"/>
        </w:rPr>
        <w:t>mg/ml (5</w:t>
      </w:r>
      <w:r w:rsidR="008F5879">
        <w:rPr>
          <w:rFonts w:ascii="Times New Roman" w:hAnsi="Times New Roman"/>
          <w:sz w:val="22"/>
          <w:szCs w:val="22"/>
          <w:lang w:val="lt-LT" w:eastAsia="lt-LT"/>
        </w:rPr>
        <w:t> </w:t>
      </w:r>
      <w:r w:rsidRPr="0003312B">
        <w:rPr>
          <w:rFonts w:ascii="Times New Roman" w:hAnsi="Times New Roman"/>
          <w:sz w:val="22"/>
          <w:szCs w:val="22"/>
          <w:lang w:val="lt-LT" w:eastAsia="lt-LT"/>
        </w:rPr>
        <w:t>%) gliukozės infuzinius tirpalus. Tai taip pat svarbu parenkant tirpalus ,,peteliškės“ tipo injekcinėms adatoms ir kitoms priemonėms praplauti.</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rPr>
        <w:t>Nesuvartotą injekcinį tirpalą</w:t>
      </w:r>
      <w:r w:rsidRPr="00042943">
        <w:rPr>
          <w:rFonts w:ascii="Times New Roman" w:hAnsi="Times New Roman"/>
          <w:sz w:val="22"/>
          <w:szCs w:val="22"/>
          <w:lang w:val="lt-LT" w:eastAsia="lt-LT"/>
        </w:rPr>
        <w:t>, švirkštą ir injekcinę adatą reikia tvarkyti laikantis vietinių reikalavimų.</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7.</w:t>
      </w:r>
      <w:r w:rsidRPr="0003312B">
        <w:rPr>
          <w:b/>
          <w:bCs/>
          <w:color w:val="auto"/>
          <w:sz w:val="22"/>
          <w:szCs w:val="22"/>
          <w:lang w:val="lt-LT"/>
        </w:rPr>
        <w:tab/>
        <w:t xml:space="preserve">REGISTRUOTOJAS </w:t>
      </w:r>
    </w:p>
    <w:p w:rsidR="009E3290" w:rsidRPr="0003312B" w:rsidRDefault="009E3290" w:rsidP="009E3290">
      <w:pPr>
        <w:pStyle w:val="Default"/>
        <w:ind w:left="560" w:hanging="560"/>
        <w:rPr>
          <w:b/>
          <w:bCs/>
          <w:color w:val="auto"/>
          <w:sz w:val="22"/>
          <w:szCs w:val="22"/>
          <w:lang w:val="lt-LT"/>
        </w:rPr>
      </w:pPr>
    </w:p>
    <w:p w:rsidR="009E3290" w:rsidRPr="00042943" w:rsidRDefault="009E3290" w:rsidP="009E3290">
      <w:pPr>
        <w:autoSpaceDE w:val="0"/>
        <w:autoSpaceDN w:val="0"/>
        <w:adjustRightInd w:val="0"/>
        <w:rPr>
          <w:rFonts w:ascii="Times New Roman" w:hAnsi="Times New Roman"/>
          <w:sz w:val="22"/>
          <w:lang w:val="lt-LT"/>
        </w:rPr>
      </w:pPr>
      <w:proofErr w:type="spellStart"/>
      <w:r w:rsidRPr="00042943">
        <w:rPr>
          <w:rFonts w:ascii="Times New Roman" w:hAnsi="Times New Roman"/>
          <w:sz w:val="22"/>
          <w:szCs w:val="22"/>
          <w:lang w:val="lt-LT"/>
        </w:rPr>
        <w:t>Gedeon</w:t>
      </w:r>
      <w:proofErr w:type="spellEnd"/>
      <w:r w:rsidRPr="00042943">
        <w:rPr>
          <w:rFonts w:ascii="Times New Roman" w:hAnsi="Times New Roman"/>
          <w:sz w:val="22"/>
          <w:szCs w:val="22"/>
          <w:lang w:val="lt-LT"/>
        </w:rPr>
        <w:t xml:space="preserve"> </w:t>
      </w:r>
      <w:proofErr w:type="spellStart"/>
      <w:r w:rsidRPr="00042943">
        <w:rPr>
          <w:rFonts w:ascii="Times New Roman" w:hAnsi="Times New Roman"/>
          <w:sz w:val="22"/>
          <w:szCs w:val="22"/>
          <w:lang w:val="lt-LT"/>
        </w:rPr>
        <w:t>Richter</w:t>
      </w:r>
      <w:proofErr w:type="spellEnd"/>
      <w:r w:rsidRPr="00042943">
        <w:rPr>
          <w:rFonts w:ascii="Times New Roman" w:hAnsi="Times New Roman"/>
          <w:sz w:val="22"/>
          <w:szCs w:val="22"/>
          <w:lang w:val="lt-LT"/>
        </w:rPr>
        <w:t xml:space="preserve"> </w:t>
      </w:r>
      <w:proofErr w:type="spellStart"/>
      <w:r w:rsidRPr="00042943">
        <w:rPr>
          <w:rFonts w:ascii="Times New Roman" w:hAnsi="Times New Roman"/>
          <w:sz w:val="22"/>
          <w:szCs w:val="22"/>
          <w:lang w:val="lt-LT"/>
        </w:rPr>
        <w:t>Plc</w:t>
      </w:r>
      <w:proofErr w:type="spellEnd"/>
      <w:r w:rsidRPr="00042943">
        <w:rPr>
          <w:rFonts w:ascii="Times New Roman" w:hAnsi="Times New Roman"/>
          <w:sz w:val="22"/>
          <w:szCs w:val="22"/>
          <w:lang w:val="lt-LT"/>
        </w:rPr>
        <w:t>.</w:t>
      </w:r>
    </w:p>
    <w:p w:rsidR="009E3290" w:rsidRPr="00042943" w:rsidRDefault="009E3290" w:rsidP="009E3290">
      <w:pPr>
        <w:autoSpaceDE w:val="0"/>
        <w:autoSpaceDN w:val="0"/>
        <w:adjustRightInd w:val="0"/>
        <w:outlineLvl w:val="0"/>
        <w:rPr>
          <w:rFonts w:ascii="Times New Roman" w:hAnsi="Times New Roman"/>
          <w:sz w:val="22"/>
          <w:szCs w:val="22"/>
          <w:lang w:val="lt-LT"/>
        </w:rPr>
      </w:pPr>
      <w:proofErr w:type="spellStart"/>
      <w:r w:rsidRPr="00042943">
        <w:rPr>
          <w:rFonts w:ascii="Times New Roman" w:hAnsi="Times New Roman"/>
          <w:sz w:val="22"/>
          <w:szCs w:val="22"/>
          <w:lang w:val="lt-LT"/>
        </w:rPr>
        <w:t>Gyömrői</w:t>
      </w:r>
      <w:proofErr w:type="spellEnd"/>
      <w:r w:rsidRPr="00042943">
        <w:rPr>
          <w:rFonts w:ascii="Times New Roman" w:hAnsi="Times New Roman"/>
          <w:sz w:val="22"/>
          <w:szCs w:val="22"/>
          <w:lang w:val="lt-LT"/>
        </w:rPr>
        <w:t xml:space="preserve"> </w:t>
      </w:r>
      <w:proofErr w:type="spellStart"/>
      <w:r w:rsidRPr="00042943">
        <w:rPr>
          <w:rFonts w:ascii="Times New Roman" w:hAnsi="Times New Roman"/>
          <w:sz w:val="22"/>
          <w:szCs w:val="22"/>
          <w:lang w:val="lt-LT"/>
        </w:rPr>
        <w:t>út</w:t>
      </w:r>
      <w:proofErr w:type="spellEnd"/>
      <w:r w:rsidRPr="00042943">
        <w:rPr>
          <w:rFonts w:ascii="Times New Roman" w:hAnsi="Times New Roman"/>
          <w:sz w:val="22"/>
          <w:szCs w:val="22"/>
          <w:lang w:val="lt-LT"/>
        </w:rPr>
        <w:t>. 19</w:t>
      </w:r>
      <w:r w:rsidRPr="00042943">
        <w:rPr>
          <w:rFonts w:ascii="Times New Roman" w:hAnsi="Times New Roman"/>
          <w:sz w:val="22"/>
          <w:szCs w:val="22"/>
          <w:lang w:val="lt-LT" w:eastAsia="lt-LT"/>
        </w:rPr>
        <w:t>–</w:t>
      </w:r>
      <w:r w:rsidRPr="00042943">
        <w:rPr>
          <w:rFonts w:ascii="Times New Roman" w:hAnsi="Times New Roman"/>
          <w:sz w:val="22"/>
          <w:szCs w:val="22"/>
          <w:lang w:val="lt-LT"/>
        </w:rPr>
        <w:t>21</w:t>
      </w: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 xml:space="preserve">1103 </w:t>
      </w:r>
      <w:proofErr w:type="spellStart"/>
      <w:r w:rsidRPr="00042943">
        <w:rPr>
          <w:rFonts w:ascii="Times New Roman" w:hAnsi="Times New Roman"/>
          <w:sz w:val="22"/>
          <w:szCs w:val="22"/>
          <w:lang w:val="lt-LT"/>
        </w:rPr>
        <w:t>Budapest</w:t>
      </w:r>
      <w:proofErr w:type="spellEnd"/>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Vengrija</w:t>
      </w:r>
    </w:p>
    <w:p w:rsidR="009E3290" w:rsidRPr="00042943" w:rsidRDefault="009E3290" w:rsidP="009E3290">
      <w:pPr>
        <w:rPr>
          <w:rFonts w:ascii="Times New Roman" w:hAnsi="Times New Roman"/>
          <w:sz w:val="22"/>
          <w:szCs w:val="22"/>
          <w:lang w:val="lt-LT"/>
        </w:rPr>
      </w:pP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8.</w:t>
      </w:r>
      <w:r w:rsidRPr="0003312B">
        <w:rPr>
          <w:b/>
          <w:bCs/>
          <w:color w:val="auto"/>
          <w:sz w:val="22"/>
          <w:szCs w:val="22"/>
          <w:lang w:val="lt-LT"/>
        </w:rPr>
        <w:tab/>
        <w:t xml:space="preserve">REGISTRACIJOS </w:t>
      </w:r>
      <w:r w:rsidRPr="0003312B">
        <w:rPr>
          <w:b/>
          <w:bCs/>
          <w:color w:val="auto"/>
          <w:sz w:val="22"/>
          <w:szCs w:val="22"/>
          <w:lang w:val="lt-LT" w:eastAsia="lt-LT"/>
        </w:rPr>
        <w:t>PAŽYMĖJIMO NUMERIS</w:t>
      </w:r>
      <w:r w:rsidRPr="0003312B">
        <w:rPr>
          <w:b/>
          <w:bCs/>
          <w:color w:val="auto"/>
          <w:sz w:val="22"/>
          <w:szCs w:val="22"/>
          <w:lang w:val="lt-LT"/>
        </w:rPr>
        <w:t xml:space="preserve"> </w:t>
      </w:r>
    </w:p>
    <w:p w:rsidR="009E3290" w:rsidRPr="0003312B" w:rsidRDefault="009E3290" w:rsidP="009E3290">
      <w:pPr>
        <w:pStyle w:val="Default"/>
        <w:ind w:left="560" w:hanging="560"/>
        <w:rPr>
          <w:b/>
          <w:bCs/>
          <w:color w:val="auto"/>
          <w:sz w:val="22"/>
          <w:szCs w:val="22"/>
          <w:lang w:val="lt-LT"/>
        </w:rPr>
      </w:pPr>
    </w:p>
    <w:p w:rsidR="009E3290" w:rsidRPr="00042943" w:rsidRDefault="009E3290" w:rsidP="009E3290">
      <w:pPr>
        <w:rPr>
          <w:rFonts w:ascii="Times New Roman" w:hAnsi="Times New Roman"/>
          <w:sz w:val="22"/>
          <w:lang w:val="lt-LT"/>
        </w:rPr>
      </w:pPr>
      <w:r w:rsidRPr="00042943">
        <w:rPr>
          <w:rFonts w:ascii="Times New Roman" w:hAnsi="Times New Roman"/>
          <w:sz w:val="22"/>
          <w:szCs w:val="22"/>
          <w:lang w:val="lt-LT"/>
        </w:rPr>
        <w:t>N1 – LT/1/11/2734/005</w:t>
      </w:r>
    </w:p>
    <w:p w:rsidR="009E3290" w:rsidRPr="00042943" w:rsidRDefault="009E3290" w:rsidP="009E3290">
      <w:pPr>
        <w:rPr>
          <w:rFonts w:ascii="Times New Roman" w:hAnsi="Times New Roman"/>
          <w:sz w:val="22"/>
          <w:szCs w:val="22"/>
          <w:lang w:val="lt-LT"/>
        </w:rPr>
      </w:pPr>
      <w:r w:rsidRPr="00042943">
        <w:rPr>
          <w:rFonts w:ascii="Times New Roman" w:hAnsi="Times New Roman"/>
          <w:sz w:val="22"/>
          <w:szCs w:val="22"/>
          <w:lang w:val="lt-LT"/>
        </w:rPr>
        <w:t>N4 – LT/1/11/2734/006</w:t>
      </w:r>
    </w:p>
    <w:p w:rsidR="009E3290" w:rsidRPr="00042943" w:rsidRDefault="009E3290" w:rsidP="009E3290">
      <w:pPr>
        <w:rPr>
          <w:rFonts w:ascii="Times New Roman" w:hAnsi="Times New Roman"/>
          <w:sz w:val="22"/>
          <w:szCs w:val="22"/>
          <w:lang w:val="lt-LT"/>
        </w:rPr>
      </w:pPr>
      <w:bookmarkStart w:id="4" w:name="_GoBack"/>
      <w:bookmarkEnd w:id="4"/>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9.</w:t>
      </w:r>
      <w:r w:rsidRPr="0003312B">
        <w:rPr>
          <w:b/>
          <w:bCs/>
          <w:color w:val="auto"/>
          <w:sz w:val="22"/>
          <w:szCs w:val="22"/>
          <w:lang w:val="lt-LT"/>
        </w:rPr>
        <w:tab/>
        <w:t xml:space="preserve">REGISTRAVIMO / PERREGISTRAVIMO </w:t>
      </w:r>
      <w:r w:rsidRPr="0003312B">
        <w:rPr>
          <w:b/>
          <w:bCs/>
          <w:color w:val="auto"/>
          <w:sz w:val="22"/>
          <w:szCs w:val="22"/>
          <w:lang w:val="lt-LT" w:eastAsia="lt-LT"/>
        </w:rPr>
        <w:t>DATA</w:t>
      </w:r>
      <w:r w:rsidRPr="0003312B">
        <w:rPr>
          <w:b/>
          <w:bCs/>
          <w:color w:val="auto"/>
          <w:sz w:val="22"/>
          <w:szCs w:val="22"/>
          <w:lang w:val="lt-LT"/>
        </w:rPr>
        <w:t xml:space="preserve"> </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rPr>
          <w:rFonts w:ascii="Times New Roman" w:hAnsi="Times New Roman"/>
          <w:sz w:val="22"/>
          <w:szCs w:val="22"/>
          <w:lang w:val="lt-LT"/>
        </w:rPr>
      </w:pPr>
      <w:r w:rsidRPr="0003312B">
        <w:rPr>
          <w:rFonts w:ascii="Times New Roman" w:hAnsi="Times New Roman"/>
          <w:sz w:val="22"/>
          <w:szCs w:val="22"/>
          <w:lang w:val="lt-LT"/>
        </w:rPr>
        <w:t>Registravimo data 2011 m. gruodžio</w:t>
      </w:r>
      <w:r w:rsidR="00887FCE">
        <w:rPr>
          <w:rFonts w:ascii="Times New Roman" w:hAnsi="Times New Roman"/>
          <w:sz w:val="22"/>
          <w:szCs w:val="22"/>
          <w:lang w:val="lt-LT"/>
        </w:rPr>
        <w:t xml:space="preserve"> mėn.</w:t>
      </w:r>
      <w:r w:rsidRPr="0003312B">
        <w:rPr>
          <w:rFonts w:ascii="Times New Roman" w:hAnsi="Times New Roman"/>
          <w:sz w:val="22"/>
          <w:szCs w:val="22"/>
          <w:lang w:val="lt-LT"/>
        </w:rPr>
        <w:t xml:space="preserve"> 16 d.</w:t>
      </w:r>
    </w:p>
    <w:p w:rsidR="009E3290" w:rsidRPr="0003312B" w:rsidRDefault="00887FCE" w:rsidP="009E3290">
      <w:pPr>
        <w:rPr>
          <w:rFonts w:ascii="Times New Roman" w:hAnsi="Times New Roman"/>
          <w:sz w:val="22"/>
          <w:szCs w:val="22"/>
          <w:lang w:val="lt-LT"/>
        </w:rPr>
      </w:pPr>
      <w:r w:rsidRPr="00887FCE">
        <w:rPr>
          <w:rFonts w:ascii="Times New Roman" w:hAnsi="Times New Roman"/>
          <w:sz w:val="22"/>
          <w:szCs w:val="22"/>
          <w:lang w:val="lt-LT"/>
        </w:rPr>
        <w:t>Paskutinio perregistravimo data 2017 m. birželio mėn. 13 d.</w:t>
      </w: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10.</w:t>
      </w:r>
      <w:r w:rsidRPr="0003312B">
        <w:rPr>
          <w:b/>
          <w:bCs/>
          <w:color w:val="auto"/>
          <w:sz w:val="22"/>
          <w:szCs w:val="22"/>
          <w:lang w:val="lt-LT"/>
        </w:rPr>
        <w:tab/>
      </w:r>
      <w:r w:rsidRPr="0003312B">
        <w:rPr>
          <w:b/>
          <w:bCs/>
          <w:color w:val="auto"/>
          <w:sz w:val="22"/>
          <w:szCs w:val="22"/>
          <w:lang w:val="lt-LT" w:eastAsia="lt-LT"/>
        </w:rPr>
        <w:t>TEKSTO PERŽIŪROS DATA</w:t>
      </w:r>
    </w:p>
    <w:p w:rsidR="009E3290" w:rsidRDefault="009E3290" w:rsidP="009E3290">
      <w:pPr>
        <w:pStyle w:val="Default"/>
        <w:rPr>
          <w:bCs/>
          <w:color w:val="auto"/>
          <w:sz w:val="22"/>
          <w:szCs w:val="22"/>
          <w:lang w:val="lt-LT"/>
        </w:rPr>
      </w:pPr>
    </w:p>
    <w:p w:rsidR="00887FCE" w:rsidRDefault="00887FCE" w:rsidP="009E3290">
      <w:pPr>
        <w:pStyle w:val="Default"/>
        <w:rPr>
          <w:bCs/>
          <w:color w:val="auto"/>
          <w:sz w:val="22"/>
          <w:szCs w:val="22"/>
          <w:lang w:val="lt-LT"/>
        </w:rPr>
      </w:pPr>
      <w:r w:rsidRPr="00887FCE">
        <w:rPr>
          <w:bCs/>
          <w:color w:val="auto"/>
          <w:sz w:val="22"/>
          <w:szCs w:val="22"/>
          <w:lang w:val="lt-LT"/>
        </w:rPr>
        <w:t>2017 m. birželio mėn. 13 d.</w:t>
      </w:r>
    </w:p>
    <w:p w:rsidR="00887FCE" w:rsidRPr="00887FCE" w:rsidRDefault="00887FCE" w:rsidP="009E3290">
      <w:pPr>
        <w:pStyle w:val="Default"/>
        <w:rPr>
          <w:bCs/>
          <w:color w:val="auto"/>
          <w:sz w:val="22"/>
          <w:szCs w:val="22"/>
          <w:lang w:val="lt-LT"/>
        </w:rPr>
      </w:pPr>
    </w:p>
    <w:p w:rsidR="009E3290" w:rsidRPr="0003312B" w:rsidRDefault="009E3290" w:rsidP="009E3290">
      <w:pPr>
        <w:rPr>
          <w:rFonts w:ascii="Times New Roman" w:hAnsi="Times New Roman"/>
          <w:sz w:val="22"/>
          <w:szCs w:val="22"/>
          <w:lang w:val="lt-LT"/>
        </w:rPr>
      </w:pPr>
    </w:p>
    <w:p w:rsidR="009E3290" w:rsidRPr="008F5879" w:rsidRDefault="009E3290" w:rsidP="009E3290">
      <w:pPr>
        <w:pStyle w:val="Paprastasistekstas"/>
        <w:tabs>
          <w:tab w:val="left" w:pos="5954"/>
          <w:tab w:val="left" w:pos="6237"/>
          <w:tab w:val="left" w:pos="6663"/>
          <w:tab w:val="left" w:pos="6946"/>
        </w:tabs>
        <w:rPr>
          <w:rFonts w:ascii="Times New Roman" w:hAnsi="Times New Roman"/>
          <w:sz w:val="22"/>
          <w:szCs w:val="22"/>
          <w:lang w:val="lt-LT"/>
        </w:rPr>
      </w:pPr>
      <w:r w:rsidRPr="008F5879">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012BAC">
        <w:rPr>
          <w:rFonts w:ascii="Times New Roman" w:hAnsi="Times New Roman"/>
          <w:i/>
          <w:sz w:val="22"/>
          <w:szCs w:val="22"/>
          <w:lang w:val="lt-LT"/>
        </w:rPr>
        <w:t xml:space="preserve"> </w:t>
      </w:r>
      <w:hyperlink r:id="rId7" w:history="1">
        <w:r w:rsidRPr="009B4D79">
          <w:rPr>
            <w:rStyle w:val="Hipersaitas"/>
            <w:rFonts w:ascii="Times New Roman" w:hAnsi="Times New Roman"/>
            <w:sz w:val="22"/>
            <w:szCs w:val="22"/>
          </w:rPr>
          <w:t>http://www.vvkt.lt</w:t>
        </w:r>
      </w:hyperlink>
    </w:p>
    <w:p w:rsidR="009E3290" w:rsidRPr="008F5879" w:rsidRDefault="009E3290" w:rsidP="009E3290">
      <w:pPr>
        <w:pStyle w:val="Paprastasistekstas"/>
        <w:tabs>
          <w:tab w:val="left" w:pos="5954"/>
          <w:tab w:val="left" w:pos="6237"/>
          <w:tab w:val="left" w:pos="6663"/>
          <w:tab w:val="left" w:pos="6946"/>
        </w:tabs>
        <w:jc w:val="center"/>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r w:rsidRPr="0003312B">
        <w:rPr>
          <w:rFonts w:ascii="Times New Roman" w:hAnsi="Times New Roman"/>
          <w:sz w:val="22"/>
          <w:szCs w:val="22"/>
          <w:lang w:val="lt-LT"/>
        </w:rPr>
        <w:br w:type="page"/>
      </w: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both"/>
        <w:rPr>
          <w:rFonts w:ascii="Times New Roman" w:hAnsi="Times New Roman"/>
          <w:sz w:val="22"/>
          <w:szCs w:val="22"/>
          <w:lang w:val="lt-LT"/>
        </w:rPr>
      </w:pPr>
    </w:p>
    <w:p w:rsidR="009E3290" w:rsidRPr="0003312B" w:rsidRDefault="009E3290" w:rsidP="009E3290">
      <w:pPr>
        <w:jc w:val="center"/>
        <w:rPr>
          <w:rFonts w:ascii="Times New Roman" w:hAnsi="Times New Roman"/>
          <w:b/>
          <w:sz w:val="22"/>
          <w:szCs w:val="22"/>
          <w:lang w:val="lt-LT"/>
        </w:rPr>
      </w:pPr>
    </w:p>
    <w:p w:rsidR="009E3290" w:rsidRDefault="009E3290" w:rsidP="009E3290">
      <w:pPr>
        <w:jc w:val="center"/>
        <w:rPr>
          <w:rFonts w:ascii="Times New Roman" w:hAnsi="Times New Roman"/>
          <w:b/>
          <w:sz w:val="22"/>
          <w:szCs w:val="22"/>
          <w:lang w:val="lt-LT"/>
        </w:rPr>
      </w:pPr>
    </w:p>
    <w:p w:rsidR="00887FCE" w:rsidRPr="0003312B" w:rsidRDefault="00887FCE" w:rsidP="009E3290">
      <w:pPr>
        <w:jc w:val="center"/>
        <w:rPr>
          <w:rFonts w:ascii="Times New Roman" w:hAnsi="Times New Roman"/>
          <w:b/>
          <w:sz w:val="22"/>
          <w:szCs w:val="22"/>
          <w:lang w:val="lt-LT"/>
        </w:rPr>
      </w:pPr>
    </w:p>
    <w:p w:rsidR="009E3290" w:rsidRPr="00042943" w:rsidRDefault="009E3290" w:rsidP="009E3290">
      <w:pPr>
        <w:jc w:val="center"/>
        <w:outlineLvl w:val="0"/>
        <w:rPr>
          <w:rFonts w:ascii="Times New Roman" w:hAnsi="Times New Roman"/>
          <w:b/>
          <w:sz w:val="22"/>
          <w:lang w:val="lt-LT"/>
        </w:rPr>
      </w:pPr>
      <w:r w:rsidRPr="00042943">
        <w:rPr>
          <w:rFonts w:ascii="Times New Roman" w:hAnsi="Times New Roman"/>
          <w:b/>
          <w:sz w:val="22"/>
          <w:szCs w:val="22"/>
          <w:lang w:val="lt-LT"/>
        </w:rPr>
        <w:t>II PRIEDAS</w:t>
      </w:r>
    </w:p>
    <w:p w:rsidR="009E3290" w:rsidRPr="00042943" w:rsidRDefault="009E3290" w:rsidP="009E3290">
      <w:pPr>
        <w:jc w:val="both"/>
        <w:rPr>
          <w:rFonts w:ascii="Times New Roman" w:hAnsi="Times New Roman"/>
          <w:b/>
          <w:sz w:val="22"/>
          <w:szCs w:val="22"/>
          <w:lang w:val="lt-LT"/>
        </w:rPr>
      </w:pPr>
    </w:p>
    <w:p w:rsidR="009E3290" w:rsidRPr="00042943" w:rsidRDefault="009E3290" w:rsidP="009E3290">
      <w:pPr>
        <w:jc w:val="center"/>
        <w:outlineLvl w:val="0"/>
        <w:rPr>
          <w:rFonts w:ascii="Times New Roman" w:hAnsi="Times New Roman"/>
          <w:b/>
          <w:sz w:val="22"/>
          <w:szCs w:val="22"/>
          <w:lang w:val="lt-LT"/>
        </w:rPr>
      </w:pPr>
      <w:r w:rsidRPr="00042943">
        <w:rPr>
          <w:rFonts w:ascii="Times New Roman" w:hAnsi="Times New Roman"/>
          <w:b/>
          <w:sz w:val="22"/>
          <w:szCs w:val="22"/>
          <w:lang w:val="lt-LT"/>
        </w:rPr>
        <w:t>REGISTRACIJOS SĄLYGOS</w:t>
      </w:r>
    </w:p>
    <w:p w:rsidR="009E3290" w:rsidRPr="00042943" w:rsidRDefault="009E3290" w:rsidP="009E3290">
      <w:pPr>
        <w:jc w:val="both"/>
        <w:rPr>
          <w:rFonts w:ascii="Times New Roman" w:hAnsi="Times New Roman"/>
          <w:sz w:val="22"/>
          <w:szCs w:val="22"/>
          <w:lang w:val="lt-LT"/>
        </w:rPr>
      </w:pPr>
    </w:p>
    <w:p w:rsidR="009E3290" w:rsidRPr="00042943" w:rsidRDefault="009E3290" w:rsidP="009E3290">
      <w:pPr>
        <w:ind w:left="2127" w:hanging="831"/>
        <w:jc w:val="both"/>
        <w:rPr>
          <w:rFonts w:ascii="Times New Roman" w:hAnsi="Times New Roman"/>
          <w:b/>
          <w:sz w:val="22"/>
          <w:szCs w:val="22"/>
          <w:lang w:val="lt-LT"/>
        </w:rPr>
      </w:pPr>
      <w:r w:rsidRPr="00042943">
        <w:rPr>
          <w:rFonts w:ascii="Times New Roman" w:hAnsi="Times New Roman"/>
          <w:b/>
          <w:sz w:val="22"/>
          <w:szCs w:val="22"/>
          <w:lang w:val="lt-LT"/>
        </w:rPr>
        <w:t>A.</w:t>
      </w:r>
      <w:r w:rsidRPr="00042943">
        <w:rPr>
          <w:rFonts w:ascii="Times New Roman" w:hAnsi="Times New Roman"/>
          <w:b/>
          <w:sz w:val="22"/>
          <w:szCs w:val="22"/>
          <w:lang w:val="lt-LT"/>
        </w:rPr>
        <w:tab/>
        <w:t>GAMINTOJAS (-AI), ATSAKINGAS (-I) UŽ SERIJŲ IŠLEIDIMĄ</w:t>
      </w:r>
    </w:p>
    <w:p w:rsidR="009E3290" w:rsidRPr="00042943" w:rsidRDefault="009E3290" w:rsidP="009E3290">
      <w:pPr>
        <w:ind w:left="2127" w:hanging="831"/>
        <w:jc w:val="both"/>
        <w:rPr>
          <w:rFonts w:ascii="Times New Roman" w:hAnsi="Times New Roman"/>
          <w:sz w:val="22"/>
          <w:szCs w:val="22"/>
          <w:lang w:val="lt-LT"/>
        </w:rPr>
      </w:pPr>
    </w:p>
    <w:p w:rsidR="009E3290" w:rsidRPr="00042943" w:rsidRDefault="009E3290" w:rsidP="009E3290">
      <w:pPr>
        <w:ind w:left="2127" w:hanging="831"/>
        <w:jc w:val="both"/>
        <w:rPr>
          <w:rFonts w:ascii="Times New Roman" w:hAnsi="Times New Roman"/>
          <w:b/>
          <w:sz w:val="22"/>
          <w:szCs w:val="22"/>
          <w:lang w:val="lt-LT"/>
        </w:rPr>
      </w:pPr>
      <w:r w:rsidRPr="00042943">
        <w:rPr>
          <w:rFonts w:ascii="Times New Roman" w:hAnsi="Times New Roman"/>
          <w:b/>
          <w:sz w:val="22"/>
          <w:szCs w:val="22"/>
          <w:lang w:val="lt-LT"/>
        </w:rPr>
        <w:t>B.</w:t>
      </w:r>
      <w:r w:rsidRPr="00042943">
        <w:rPr>
          <w:rFonts w:ascii="Times New Roman" w:hAnsi="Times New Roman"/>
          <w:b/>
          <w:sz w:val="22"/>
          <w:szCs w:val="22"/>
          <w:lang w:val="lt-LT"/>
        </w:rPr>
        <w:tab/>
        <w:t xml:space="preserve">TIEKIMO IR VARTOJIMO SĄLYGOS AR APRIBOJIMAI </w:t>
      </w:r>
    </w:p>
    <w:p w:rsidR="009E3290" w:rsidRPr="00042943" w:rsidRDefault="009E3290" w:rsidP="009E3290">
      <w:pPr>
        <w:pStyle w:val="PI-1EMEASMCA"/>
        <w:rPr>
          <w:lang w:val="lt-LT"/>
        </w:rPr>
      </w:pPr>
      <w:r w:rsidRPr="00042943">
        <w:rPr>
          <w:b w:val="0"/>
          <w:lang w:val="lt-LT"/>
        </w:rPr>
        <w:br w:type="page"/>
      </w:r>
      <w:r w:rsidRPr="00042943">
        <w:rPr>
          <w:lang w:val="lt-LT"/>
        </w:rPr>
        <w:lastRenderedPageBreak/>
        <w:t>A.</w:t>
      </w:r>
      <w:r w:rsidRPr="00042943">
        <w:rPr>
          <w:lang w:val="lt-LT"/>
        </w:rPr>
        <w:tab/>
        <w:t>GAMINTOJAS</w:t>
      </w:r>
      <w:r w:rsidR="008F5879">
        <w:rPr>
          <w:lang w:val="lt-LT"/>
        </w:rPr>
        <w:t xml:space="preserve"> (-AI)</w:t>
      </w:r>
      <w:r w:rsidRPr="00042943">
        <w:rPr>
          <w:lang w:val="lt-LT"/>
        </w:rPr>
        <w:t>, ATSAKINGAS (-I) UŽ SERIJŲ IŠLEIDIMĄ</w:t>
      </w:r>
    </w:p>
    <w:p w:rsidR="009E3290" w:rsidRPr="00042943" w:rsidRDefault="009E3290" w:rsidP="008F5879">
      <w:pPr>
        <w:pStyle w:val="BTuEMEASMCA"/>
      </w:pPr>
    </w:p>
    <w:p w:rsidR="008F5879" w:rsidRPr="008F5879" w:rsidRDefault="008F5879" w:rsidP="008F5879">
      <w:pPr>
        <w:pStyle w:val="BTuEMEASMCA"/>
      </w:pPr>
      <w:r w:rsidRPr="008F5879">
        <w:t>Gamintojo (-ų), atsakingo (-ų) už serijų išleidimą, pavadinimas (-ai) ir adresas (-ai)</w:t>
      </w:r>
    </w:p>
    <w:p w:rsidR="009E3290" w:rsidRPr="00042943" w:rsidRDefault="009E3290" w:rsidP="009E3290">
      <w:pPr>
        <w:pStyle w:val="BTEMEASMCA"/>
        <w:rPr>
          <w:highlight w:val="yellow"/>
          <w:lang w:val="lt-LT"/>
        </w:rPr>
      </w:pPr>
    </w:p>
    <w:p w:rsidR="009E3290" w:rsidRPr="00042943" w:rsidRDefault="009E3290" w:rsidP="009E3290">
      <w:pPr>
        <w:tabs>
          <w:tab w:val="left" w:pos="567"/>
        </w:tabs>
        <w:rPr>
          <w:rFonts w:ascii="Times New Roman" w:hAnsi="Times New Roman"/>
          <w:sz w:val="22"/>
          <w:szCs w:val="22"/>
          <w:lang w:val="lt-LT"/>
        </w:rPr>
      </w:pPr>
      <w:proofErr w:type="spellStart"/>
      <w:r w:rsidRPr="00042943">
        <w:rPr>
          <w:rFonts w:ascii="Times New Roman" w:hAnsi="Times New Roman"/>
          <w:sz w:val="22"/>
          <w:szCs w:val="22"/>
          <w:lang w:val="lt-LT"/>
        </w:rPr>
        <w:t>Gedeon</w:t>
      </w:r>
      <w:proofErr w:type="spellEnd"/>
      <w:r w:rsidRPr="00042943">
        <w:rPr>
          <w:rFonts w:ascii="Times New Roman" w:hAnsi="Times New Roman"/>
          <w:sz w:val="22"/>
          <w:szCs w:val="22"/>
          <w:lang w:val="lt-LT"/>
        </w:rPr>
        <w:t xml:space="preserve"> </w:t>
      </w:r>
      <w:proofErr w:type="spellStart"/>
      <w:r w:rsidRPr="00042943">
        <w:rPr>
          <w:rFonts w:ascii="Times New Roman" w:hAnsi="Times New Roman"/>
          <w:sz w:val="22"/>
          <w:szCs w:val="22"/>
          <w:lang w:val="lt-LT"/>
        </w:rPr>
        <w:t>Richter</w:t>
      </w:r>
      <w:proofErr w:type="spellEnd"/>
      <w:r w:rsidRPr="00042943">
        <w:rPr>
          <w:rFonts w:ascii="Times New Roman" w:hAnsi="Times New Roman"/>
          <w:sz w:val="22"/>
          <w:szCs w:val="22"/>
          <w:lang w:val="lt-LT"/>
        </w:rPr>
        <w:t xml:space="preserve"> </w:t>
      </w:r>
      <w:proofErr w:type="spellStart"/>
      <w:r w:rsidRPr="00042943">
        <w:rPr>
          <w:rFonts w:ascii="Times New Roman" w:hAnsi="Times New Roman"/>
          <w:sz w:val="22"/>
          <w:szCs w:val="22"/>
          <w:lang w:val="lt-LT"/>
        </w:rPr>
        <w:t>Plc</w:t>
      </w:r>
      <w:proofErr w:type="spellEnd"/>
      <w:r w:rsidRPr="00042943">
        <w:rPr>
          <w:rFonts w:ascii="Times New Roman" w:hAnsi="Times New Roman"/>
          <w:sz w:val="22"/>
          <w:szCs w:val="22"/>
          <w:lang w:val="lt-LT"/>
        </w:rPr>
        <w:t xml:space="preserve">. </w:t>
      </w:r>
    </w:p>
    <w:p w:rsidR="009E3290" w:rsidRPr="00042943" w:rsidRDefault="009E3290" w:rsidP="009E3290">
      <w:pPr>
        <w:tabs>
          <w:tab w:val="left" w:pos="567"/>
        </w:tabs>
        <w:rPr>
          <w:rFonts w:ascii="Times New Roman" w:hAnsi="Times New Roman"/>
          <w:sz w:val="22"/>
          <w:szCs w:val="22"/>
          <w:lang w:val="lt-LT"/>
        </w:rPr>
      </w:pPr>
      <w:proofErr w:type="spellStart"/>
      <w:r w:rsidRPr="00042943">
        <w:rPr>
          <w:rFonts w:ascii="Times New Roman" w:hAnsi="Times New Roman"/>
          <w:sz w:val="22"/>
          <w:szCs w:val="22"/>
          <w:lang w:val="lt-LT"/>
        </w:rPr>
        <w:t>Gyömrői</w:t>
      </w:r>
      <w:proofErr w:type="spellEnd"/>
      <w:r w:rsidRPr="00042943">
        <w:rPr>
          <w:rFonts w:ascii="Times New Roman" w:hAnsi="Times New Roman"/>
          <w:sz w:val="22"/>
          <w:szCs w:val="22"/>
          <w:lang w:val="lt-LT"/>
        </w:rPr>
        <w:t xml:space="preserve"> </w:t>
      </w:r>
      <w:proofErr w:type="spellStart"/>
      <w:r w:rsidRPr="00042943">
        <w:rPr>
          <w:rFonts w:ascii="Times New Roman" w:hAnsi="Times New Roman"/>
          <w:sz w:val="22"/>
          <w:szCs w:val="22"/>
          <w:lang w:val="lt-LT"/>
        </w:rPr>
        <w:t>út</w:t>
      </w:r>
      <w:proofErr w:type="spellEnd"/>
      <w:r w:rsidRPr="00042943">
        <w:rPr>
          <w:rFonts w:ascii="Times New Roman" w:hAnsi="Times New Roman"/>
          <w:sz w:val="22"/>
          <w:szCs w:val="22"/>
          <w:lang w:val="lt-LT"/>
        </w:rPr>
        <w:t>. 19–21</w:t>
      </w:r>
    </w:p>
    <w:p w:rsidR="009E3290" w:rsidRPr="00042943" w:rsidRDefault="009E3290" w:rsidP="009E3290">
      <w:pPr>
        <w:tabs>
          <w:tab w:val="left" w:pos="567"/>
        </w:tabs>
        <w:rPr>
          <w:rFonts w:ascii="Times New Roman" w:hAnsi="Times New Roman"/>
          <w:sz w:val="22"/>
          <w:szCs w:val="22"/>
          <w:lang w:val="lt-LT"/>
        </w:rPr>
      </w:pPr>
      <w:r w:rsidRPr="00042943">
        <w:rPr>
          <w:rFonts w:ascii="Times New Roman" w:hAnsi="Times New Roman"/>
          <w:sz w:val="22"/>
          <w:szCs w:val="22"/>
          <w:lang w:val="lt-LT"/>
        </w:rPr>
        <w:t xml:space="preserve">1103 </w:t>
      </w:r>
      <w:proofErr w:type="spellStart"/>
      <w:r w:rsidRPr="00042943">
        <w:rPr>
          <w:rFonts w:ascii="Times New Roman" w:hAnsi="Times New Roman"/>
          <w:sz w:val="22"/>
          <w:szCs w:val="22"/>
          <w:lang w:val="lt-LT"/>
        </w:rPr>
        <w:t>Budapest</w:t>
      </w:r>
      <w:proofErr w:type="spellEnd"/>
      <w:r w:rsidRPr="00042943">
        <w:rPr>
          <w:rFonts w:ascii="Times New Roman" w:hAnsi="Times New Roman"/>
          <w:sz w:val="22"/>
          <w:szCs w:val="22"/>
          <w:lang w:val="lt-LT"/>
        </w:rPr>
        <w:t xml:space="preserve"> </w:t>
      </w:r>
    </w:p>
    <w:p w:rsidR="009E3290" w:rsidRPr="00042943" w:rsidRDefault="009E3290" w:rsidP="009E3290">
      <w:pPr>
        <w:tabs>
          <w:tab w:val="left" w:pos="567"/>
        </w:tabs>
        <w:jc w:val="both"/>
        <w:rPr>
          <w:rFonts w:ascii="Times New Roman" w:hAnsi="Times New Roman"/>
          <w:sz w:val="22"/>
          <w:szCs w:val="22"/>
          <w:lang w:val="lt-LT"/>
        </w:rPr>
      </w:pPr>
      <w:r w:rsidRPr="00042943">
        <w:rPr>
          <w:rFonts w:ascii="Times New Roman" w:hAnsi="Times New Roman"/>
          <w:sz w:val="22"/>
          <w:szCs w:val="22"/>
          <w:lang w:val="lt-LT"/>
        </w:rPr>
        <w:t>Vengrija</w:t>
      </w:r>
    </w:p>
    <w:p w:rsidR="009E3290" w:rsidRPr="00042943" w:rsidRDefault="009E3290" w:rsidP="009E3290">
      <w:pPr>
        <w:pStyle w:val="BTEMEASMCA"/>
        <w:rPr>
          <w:highlight w:val="yellow"/>
          <w:lang w:val="lt-LT"/>
        </w:rPr>
      </w:pPr>
    </w:p>
    <w:p w:rsidR="009E3290" w:rsidRPr="00042943" w:rsidRDefault="009E3290" w:rsidP="009E3290">
      <w:pPr>
        <w:pStyle w:val="BTEMEASMCA"/>
        <w:rPr>
          <w:highlight w:val="yellow"/>
          <w:lang w:val="lt-LT"/>
        </w:rPr>
      </w:pPr>
    </w:p>
    <w:p w:rsidR="009E3290" w:rsidRPr="0003312B" w:rsidRDefault="009E3290" w:rsidP="009E3290">
      <w:pPr>
        <w:pStyle w:val="PI-1EMEASMCA"/>
        <w:rPr>
          <w:lang w:val="lt-LT"/>
        </w:rPr>
      </w:pPr>
      <w:bookmarkStart w:id="5" w:name="_Toc129243254"/>
      <w:bookmarkStart w:id="6" w:name="_Toc129243129"/>
      <w:r w:rsidRPr="00042943">
        <w:rPr>
          <w:lang w:val="lt-LT"/>
        </w:rPr>
        <w:t>B.</w:t>
      </w:r>
      <w:r w:rsidRPr="00042943">
        <w:rPr>
          <w:lang w:val="lt-LT"/>
        </w:rPr>
        <w:tab/>
      </w:r>
      <w:bookmarkStart w:id="7" w:name="_Toc129243255"/>
      <w:bookmarkStart w:id="8" w:name="_Toc129243130"/>
      <w:bookmarkEnd w:id="5"/>
      <w:bookmarkEnd w:id="6"/>
      <w:r w:rsidRPr="0003312B">
        <w:rPr>
          <w:lang w:val="lt-LT"/>
        </w:rPr>
        <w:t>TIEKIMO IR VARTOJIMO SĄLYGOS AR APRIBOJIMAI</w:t>
      </w:r>
      <w:bookmarkEnd w:id="7"/>
      <w:bookmarkEnd w:id="8"/>
    </w:p>
    <w:p w:rsidR="009E3290" w:rsidRPr="0003312B"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outlineLvl w:val="0"/>
        <w:rPr>
          <w:rFonts w:ascii="Times New Roman" w:hAnsi="Times New Roman"/>
          <w:sz w:val="22"/>
          <w:lang w:val="lt-LT"/>
        </w:rPr>
      </w:pPr>
      <w:r w:rsidRPr="00042943">
        <w:rPr>
          <w:rFonts w:ascii="Times New Roman" w:hAnsi="Times New Roman"/>
          <w:sz w:val="22"/>
          <w:szCs w:val="22"/>
          <w:lang w:val="lt-LT"/>
        </w:rPr>
        <w:t>Receptinis vaistinis preparatas.</w:t>
      </w:r>
    </w:p>
    <w:p w:rsidR="009E3290" w:rsidRPr="00042943" w:rsidRDefault="009E3290" w:rsidP="009E3290">
      <w:pPr>
        <w:tabs>
          <w:tab w:val="left" w:pos="567"/>
        </w:tabs>
        <w:rPr>
          <w:rFonts w:ascii="Times New Roman" w:hAnsi="Times New Roman"/>
          <w:sz w:val="22"/>
          <w:szCs w:val="22"/>
          <w:lang w:val="lt-LT"/>
        </w:rPr>
      </w:pPr>
    </w:p>
    <w:p w:rsidR="009E3290" w:rsidRPr="00B01E83" w:rsidRDefault="008F5879" w:rsidP="009E3290">
      <w:pPr>
        <w:pStyle w:val="TTEMEASMCA"/>
        <w:rPr>
          <w:rFonts w:ascii="Times New Roman" w:hAnsi="Times New Roman"/>
          <w:lang w:val="lt-LT"/>
        </w:rPr>
      </w:pPr>
      <w:r>
        <w:rPr>
          <w:rFonts w:ascii="Times New Roman" w:hAnsi="Times New Roman"/>
          <w:lang w:val="lt-LT"/>
        </w:rPr>
        <w:br w:type="page"/>
      </w:r>
      <w:bookmarkStart w:id="9" w:name="_Toc129243259"/>
      <w:bookmarkStart w:id="10" w:name="_Toc129243134"/>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p>
    <w:p w:rsidR="009E3290" w:rsidRDefault="009E3290" w:rsidP="009E3290">
      <w:pPr>
        <w:pStyle w:val="TTEMEASMCA"/>
        <w:rPr>
          <w:rFonts w:ascii="Times New Roman" w:hAnsi="Times New Roman"/>
          <w:lang w:val="lt-LT"/>
        </w:rPr>
      </w:pPr>
    </w:p>
    <w:p w:rsidR="00887FCE" w:rsidRPr="00B01E83" w:rsidRDefault="00887FCE" w:rsidP="009E3290">
      <w:pPr>
        <w:pStyle w:val="TTEMEASMCA"/>
        <w:rPr>
          <w:rFonts w:ascii="Times New Roman" w:hAnsi="Times New Roman"/>
          <w:lang w:val="lt-LT"/>
        </w:rPr>
      </w:pPr>
    </w:p>
    <w:p w:rsidR="009E3290" w:rsidRPr="00B01E83" w:rsidRDefault="009E3290" w:rsidP="009E3290">
      <w:pPr>
        <w:pStyle w:val="TTEMEASMCA"/>
        <w:rPr>
          <w:rFonts w:ascii="Times New Roman" w:hAnsi="Times New Roman"/>
          <w:lang w:val="lt-LT"/>
        </w:rPr>
      </w:pPr>
      <w:r w:rsidRPr="00B01E83">
        <w:rPr>
          <w:rFonts w:ascii="Times New Roman" w:hAnsi="Times New Roman"/>
          <w:lang w:val="lt-LT"/>
        </w:rPr>
        <w:t>III PRIEDAS</w:t>
      </w:r>
      <w:bookmarkEnd w:id="9"/>
      <w:bookmarkEnd w:id="10"/>
    </w:p>
    <w:p w:rsidR="009E3290" w:rsidRPr="00B01E83" w:rsidRDefault="009E3290" w:rsidP="009E3290">
      <w:pPr>
        <w:pStyle w:val="BTEMEASMCA"/>
        <w:rPr>
          <w:rFonts w:ascii="Times New Roman" w:hAnsi="Times New Roman"/>
          <w:lang w:val="lt-LT"/>
        </w:rPr>
      </w:pPr>
    </w:p>
    <w:p w:rsidR="009E3290" w:rsidRPr="00B01E83" w:rsidRDefault="009E3290" w:rsidP="009E3290">
      <w:pPr>
        <w:pStyle w:val="TTEMEASMCA"/>
        <w:rPr>
          <w:rFonts w:ascii="Times New Roman" w:hAnsi="Times New Roman"/>
          <w:lang w:val="lt-LT"/>
        </w:rPr>
      </w:pPr>
      <w:r w:rsidRPr="00B01E83">
        <w:rPr>
          <w:rFonts w:ascii="Times New Roman" w:hAnsi="Times New Roman"/>
          <w:lang w:val="lt-LT"/>
        </w:rPr>
        <w:t>ŽENKLINIMAS IR PAKUOTĖS LAPELIS</w:t>
      </w:r>
    </w:p>
    <w:p w:rsidR="009E3290" w:rsidRPr="00B01E83" w:rsidRDefault="009E3290" w:rsidP="009E3290">
      <w:pPr>
        <w:tabs>
          <w:tab w:val="left" w:pos="567"/>
        </w:tabs>
        <w:jc w:val="center"/>
        <w:rPr>
          <w:rFonts w:ascii="Times New Roman" w:hAnsi="Times New Roman" w:cs="Times New Roman"/>
          <w:sz w:val="22"/>
          <w:szCs w:val="22"/>
          <w:lang w:val="lt-LT"/>
        </w:rPr>
      </w:pPr>
      <w:r w:rsidRPr="00B01E83">
        <w:rPr>
          <w:rFonts w:ascii="Times New Roman" w:hAnsi="Times New Roman" w:cs="Times New Roman"/>
          <w:sz w:val="22"/>
          <w:szCs w:val="22"/>
          <w:lang w:val="lt-LT"/>
        </w:rPr>
        <w:br w:type="page"/>
      </w:r>
    </w:p>
    <w:p w:rsidR="009E3290" w:rsidRPr="00B01E83" w:rsidRDefault="009E3290" w:rsidP="009E3290">
      <w:pPr>
        <w:tabs>
          <w:tab w:val="left" w:pos="567"/>
        </w:tabs>
        <w:jc w:val="center"/>
        <w:rPr>
          <w:rFonts w:ascii="Times New Roman" w:hAnsi="Times New Roman" w:cs="Times New Roman"/>
          <w:sz w:val="22"/>
          <w:szCs w:val="22"/>
          <w:lang w:val="lt-LT"/>
        </w:rPr>
      </w:pPr>
    </w:p>
    <w:p w:rsidR="009E3290" w:rsidRPr="00F9149D" w:rsidRDefault="009E3290" w:rsidP="009E3290">
      <w:pPr>
        <w:tabs>
          <w:tab w:val="left" w:pos="567"/>
        </w:tabs>
        <w:jc w:val="center"/>
        <w:rPr>
          <w:rFonts w:ascii="Times New Roman" w:hAnsi="Times New Roman" w:cs="Times New Roman"/>
          <w:sz w:val="22"/>
          <w:szCs w:val="22"/>
          <w:lang w:val="lt-LT"/>
        </w:rPr>
      </w:pPr>
    </w:p>
    <w:p w:rsidR="009E3290" w:rsidRPr="00F9149D" w:rsidRDefault="009E3290" w:rsidP="009E3290">
      <w:pPr>
        <w:tabs>
          <w:tab w:val="left" w:pos="567"/>
        </w:tabs>
        <w:jc w:val="center"/>
        <w:rPr>
          <w:rFonts w:ascii="Times New Roman" w:hAnsi="Times New Roman" w:cs="Times New Roman"/>
          <w:sz w:val="22"/>
          <w:szCs w:val="22"/>
          <w:lang w:val="lt-LT"/>
        </w:rPr>
      </w:pPr>
    </w:p>
    <w:p w:rsidR="009E3290" w:rsidRPr="00F9149D"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8F5879" w:rsidRDefault="009E3290" w:rsidP="009E3290">
      <w:pPr>
        <w:tabs>
          <w:tab w:val="left" w:pos="567"/>
        </w:tabs>
        <w:jc w:val="center"/>
        <w:rPr>
          <w:rFonts w:ascii="Times New Roman" w:hAnsi="Times New Roman" w:cs="Times New Roman"/>
          <w:sz w:val="22"/>
          <w:szCs w:val="22"/>
          <w:lang w:val="lt-LT"/>
        </w:rPr>
      </w:pPr>
    </w:p>
    <w:p w:rsidR="009E3290" w:rsidRPr="00B01E83" w:rsidRDefault="009E3290" w:rsidP="009E3290">
      <w:pPr>
        <w:pStyle w:val="BTEMEASMCA"/>
        <w:rPr>
          <w:rFonts w:ascii="Times New Roman" w:hAnsi="Times New Roman"/>
          <w:lang w:val="lt-LT"/>
        </w:rPr>
      </w:pPr>
    </w:p>
    <w:p w:rsidR="009E3290" w:rsidRDefault="009E3290" w:rsidP="009E3290">
      <w:pPr>
        <w:pStyle w:val="TTEMEASMCA"/>
        <w:ind w:left="0" w:firstLine="0"/>
        <w:rPr>
          <w:rFonts w:ascii="Times New Roman" w:hAnsi="Times New Roman"/>
          <w:lang w:val="lt-LT"/>
        </w:rPr>
      </w:pPr>
      <w:bookmarkStart w:id="11" w:name="_Toc129243260"/>
      <w:bookmarkStart w:id="12" w:name="_Toc129243135"/>
    </w:p>
    <w:p w:rsidR="00887FCE" w:rsidRPr="00B01E83" w:rsidRDefault="00887FCE" w:rsidP="009E3290">
      <w:pPr>
        <w:pStyle w:val="TTEMEASMCA"/>
        <w:ind w:left="0" w:firstLine="0"/>
        <w:rPr>
          <w:rFonts w:ascii="Times New Roman" w:hAnsi="Times New Roman"/>
          <w:lang w:val="lt-LT"/>
        </w:rPr>
      </w:pPr>
    </w:p>
    <w:p w:rsidR="009E3290" w:rsidRPr="00B01E83" w:rsidRDefault="009E3290" w:rsidP="009E3290">
      <w:pPr>
        <w:pStyle w:val="TTEMEASMCA"/>
        <w:ind w:left="0" w:firstLine="0"/>
        <w:rPr>
          <w:rFonts w:ascii="Times New Roman" w:hAnsi="Times New Roman"/>
          <w:lang w:val="lt-LT"/>
        </w:rPr>
      </w:pPr>
      <w:r w:rsidRPr="00B01E83">
        <w:rPr>
          <w:rFonts w:ascii="Times New Roman" w:hAnsi="Times New Roman"/>
          <w:lang w:val="lt-LT"/>
        </w:rPr>
        <w:t xml:space="preserve">A. ŽENKLINIMAS </w:t>
      </w:r>
      <w:bookmarkEnd w:id="11"/>
      <w:bookmarkEnd w:id="12"/>
    </w:p>
    <w:p w:rsidR="009E3290" w:rsidRPr="00B01E83" w:rsidRDefault="009E3290" w:rsidP="009E3290">
      <w:pPr>
        <w:pStyle w:val="Antrat2"/>
        <w:pBdr>
          <w:top w:val="single" w:sz="4" w:space="1" w:color="auto"/>
          <w:left w:val="single" w:sz="4" w:space="4" w:color="auto"/>
          <w:bottom w:val="single" w:sz="4" w:space="1" w:color="auto"/>
          <w:right w:val="single" w:sz="4" w:space="4" w:color="auto"/>
        </w:pBdr>
        <w:jc w:val="left"/>
        <w:rPr>
          <w:b/>
          <w:sz w:val="22"/>
          <w:szCs w:val="22"/>
        </w:rPr>
      </w:pPr>
      <w:r w:rsidRPr="00B01E83">
        <w:rPr>
          <w:b/>
          <w:i/>
          <w:sz w:val="22"/>
          <w:szCs w:val="22"/>
        </w:rPr>
        <w:br w:type="page"/>
      </w:r>
      <w:r w:rsidRPr="00B01E83">
        <w:rPr>
          <w:b/>
          <w:sz w:val="22"/>
          <w:szCs w:val="22"/>
        </w:rPr>
        <w:lastRenderedPageBreak/>
        <w:t xml:space="preserve">INFORMACIJA ANT IŠORINĖS PAKUOTĖS </w:t>
      </w:r>
    </w:p>
    <w:p w:rsidR="008F5879" w:rsidRDefault="008F5879" w:rsidP="009E3290">
      <w:pPr>
        <w:pStyle w:val="Pagrindinistekstas"/>
        <w:pBdr>
          <w:top w:val="single" w:sz="4" w:space="1" w:color="auto"/>
          <w:left w:val="single" w:sz="4" w:space="4" w:color="auto"/>
          <w:bottom w:val="single" w:sz="4" w:space="1" w:color="auto"/>
          <w:right w:val="single" w:sz="4" w:space="4" w:color="auto"/>
        </w:pBdr>
        <w:outlineLvl w:val="0"/>
        <w:rPr>
          <w:b/>
          <w:sz w:val="22"/>
          <w:szCs w:val="22"/>
        </w:rPr>
      </w:pPr>
    </w:p>
    <w:p w:rsidR="009E3290" w:rsidRPr="00B01E83" w:rsidRDefault="009E3290" w:rsidP="009E3290">
      <w:pPr>
        <w:pStyle w:val="Pagrindinistekstas"/>
        <w:pBdr>
          <w:top w:val="single" w:sz="4" w:space="1" w:color="auto"/>
          <w:left w:val="single" w:sz="4" w:space="4" w:color="auto"/>
          <w:bottom w:val="single" w:sz="4" w:space="1" w:color="auto"/>
          <w:right w:val="single" w:sz="4" w:space="4" w:color="auto"/>
        </w:pBdr>
        <w:outlineLvl w:val="0"/>
        <w:rPr>
          <w:b/>
          <w:sz w:val="22"/>
          <w:szCs w:val="22"/>
        </w:rPr>
      </w:pPr>
      <w:r w:rsidRPr="00B01E83">
        <w:rPr>
          <w:b/>
          <w:sz w:val="22"/>
          <w:szCs w:val="22"/>
        </w:rPr>
        <w:t>KARTONO DĖŽUTĖ</w:t>
      </w:r>
    </w:p>
    <w:p w:rsidR="009E3290" w:rsidRPr="00B01E83" w:rsidRDefault="009E3290" w:rsidP="009E3290">
      <w:pPr>
        <w:pStyle w:val="Pagrindinistekstas"/>
        <w:rPr>
          <w:sz w:val="22"/>
          <w:szCs w:val="22"/>
        </w:rPr>
      </w:pPr>
    </w:p>
    <w:p w:rsidR="009E3290" w:rsidRPr="00B01E83" w:rsidRDefault="009E3290" w:rsidP="009E3290">
      <w:pPr>
        <w:pStyle w:val="Pagrindinistekstas"/>
        <w:rPr>
          <w:sz w:val="22"/>
          <w:szCs w:val="22"/>
        </w:rPr>
      </w:pPr>
    </w:p>
    <w:p w:rsidR="009E3290" w:rsidRPr="00B01E83" w:rsidRDefault="009E3290" w:rsidP="009E3290">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sz w:val="22"/>
          <w:szCs w:val="22"/>
          <w:lang w:val="lt-LT"/>
        </w:rPr>
      </w:pPr>
      <w:r w:rsidRPr="00B01E83">
        <w:rPr>
          <w:rFonts w:ascii="Times New Roman" w:hAnsi="Times New Roman"/>
          <w:sz w:val="22"/>
          <w:szCs w:val="22"/>
          <w:lang w:val="lt-LT"/>
        </w:rPr>
        <w:t>1.</w:t>
      </w:r>
      <w:r w:rsidRPr="00B01E83">
        <w:rPr>
          <w:rFonts w:ascii="Times New Roman" w:hAnsi="Times New Roman"/>
          <w:sz w:val="22"/>
          <w:szCs w:val="22"/>
          <w:lang w:val="lt-LT"/>
        </w:rPr>
        <w:tab/>
        <w:t>VAISTINIO PREPARATO PAVADINIMAS</w:t>
      </w:r>
    </w:p>
    <w:p w:rsidR="009E3290" w:rsidRPr="00B01E83" w:rsidRDefault="009E3290" w:rsidP="009E3290">
      <w:pPr>
        <w:pStyle w:val="Pagrindinistekstas"/>
        <w:rPr>
          <w:sz w:val="22"/>
          <w:szCs w:val="22"/>
        </w:rPr>
      </w:pPr>
    </w:p>
    <w:p w:rsidR="009E3290" w:rsidRPr="00B01E83" w:rsidRDefault="009E3290" w:rsidP="009E3290">
      <w:pPr>
        <w:textAlignment w:val="top"/>
        <w:rPr>
          <w:rFonts w:ascii="Times New Roman" w:hAnsi="Times New Roman" w:cs="Times New Roman"/>
          <w:sz w:val="22"/>
          <w:szCs w:val="22"/>
          <w:lang w:val="lt-LT"/>
        </w:rPr>
      </w:pPr>
      <w:r w:rsidRPr="00B01E83">
        <w:rPr>
          <w:rFonts w:ascii="Times New Roman" w:hAnsi="Times New Roman" w:cs="Times New Roman"/>
          <w:sz w:val="22"/>
          <w:szCs w:val="22"/>
          <w:lang w:val="lt-LT"/>
        </w:rPr>
        <w:t>OSSICA 3</w:t>
      </w:r>
      <w:r w:rsidR="008F5879">
        <w:rPr>
          <w:rFonts w:ascii="Times New Roman" w:hAnsi="Times New Roman" w:cs="Times New Roman"/>
          <w:sz w:val="22"/>
          <w:szCs w:val="22"/>
          <w:lang w:val="lt-LT"/>
        </w:rPr>
        <w:t> </w:t>
      </w:r>
      <w:r w:rsidRPr="00B01E83">
        <w:rPr>
          <w:rFonts w:ascii="Times New Roman" w:hAnsi="Times New Roman" w:cs="Times New Roman"/>
          <w:sz w:val="22"/>
          <w:szCs w:val="22"/>
          <w:lang w:val="lt-LT"/>
        </w:rPr>
        <w:t>mg injekcinis tirpalas užpildytame švirkšte</w:t>
      </w:r>
    </w:p>
    <w:p w:rsidR="009E3290" w:rsidRPr="00F9149D" w:rsidRDefault="009E3290" w:rsidP="009E3290">
      <w:pPr>
        <w:pStyle w:val="Pagrindinistekstas"/>
        <w:rPr>
          <w:sz w:val="22"/>
          <w:szCs w:val="22"/>
        </w:rPr>
      </w:pPr>
      <w:proofErr w:type="spellStart"/>
      <w:r w:rsidRPr="00F9149D">
        <w:rPr>
          <w:sz w:val="22"/>
          <w:szCs w:val="22"/>
        </w:rPr>
        <w:t>Acidum</w:t>
      </w:r>
      <w:proofErr w:type="spellEnd"/>
      <w:r w:rsidRPr="00F9149D">
        <w:rPr>
          <w:sz w:val="22"/>
          <w:szCs w:val="22"/>
        </w:rPr>
        <w:t xml:space="preserve"> </w:t>
      </w:r>
      <w:proofErr w:type="spellStart"/>
      <w:r w:rsidRPr="00F9149D">
        <w:rPr>
          <w:sz w:val="22"/>
          <w:szCs w:val="22"/>
        </w:rPr>
        <w:t>ibandronicum</w:t>
      </w:r>
      <w:proofErr w:type="spellEnd"/>
    </w:p>
    <w:p w:rsidR="009E3290" w:rsidRPr="00F9149D" w:rsidRDefault="009E3290" w:rsidP="009E3290">
      <w:pPr>
        <w:pStyle w:val="Pagrindinistekstas"/>
        <w:rPr>
          <w:sz w:val="22"/>
          <w:szCs w:val="22"/>
        </w:rPr>
      </w:pPr>
    </w:p>
    <w:p w:rsidR="009E3290" w:rsidRPr="00F9149D" w:rsidRDefault="009E3290" w:rsidP="009E3290">
      <w:pPr>
        <w:pStyle w:val="Pagrindinistekstas"/>
        <w:rPr>
          <w:sz w:val="22"/>
          <w:szCs w:val="22"/>
        </w:rPr>
      </w:pPr>
    </w:p>
    <w:p w:rsidR="00F9149D" w:rsidRPr="00F9149D" w:rsidRDefault="00F9149D" w:rsidP="00F9149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F9149D">
        <w:rPr>
          <w:rFonts w:ascii="Times New Roman" w:hAnsi="Times New Roman" w:cs="Times New Roman"/>
          <w:b/>
          <w:sz w:val="22"/>
          <w:szCs w:val="22"/>
          <w:lang w:val="lt-LT" w:eastAsia="lt-LT"/>
        </w:rPr>
        <w:t>2.</w:t>
      </w:r>
      <w:r w:rsidRPr="00F9149D">
        <w:rPr>
          <w:rFonts w:ascii="Times New Roman" w:hAnsi="Times New Roman" w:cs="Times New Roman"/>
          <w:b/>
          <w:sz w:val="22"/>
          <w:szCs w:val="22"/>
          <w:lang w:val="lt-LT" w:eastAsia="lt-LT"/>
        </w:rPr>
        <w:tab/>
        <w:t xml:space="preserve">VEIKLIOJI </w:t>
      </w:r>
      <w:r w:rsidRPr="00F9149D">
        <w:rPr>
          <w:rFonts w:ascii="Times New Roman" w:hAnsi="Times New Roman" w:cs="Times New Roman"/>
          <w:b/>
          <w:noProof/>
          <w:sz w:val="22"/>
          <w:lang w:val="lt-LT" w:eastAsia="lt-LT"/>
        </w:rPr>
        <w:t>(-IOS)</w:t>
      </w:r>
      <w:r w:rsidRPr="00F9149D">
        <w:rPr>
          <w:rFonts w:ascii="Times New Roman" w:hAnsi="Times New Roman" w:cs="Times New Roman"/>
          <w:b/>
          <w:sz w:val="22"/>
          <w:szCs w:val="22"/>
          <w:lang w:val="lt-LT" w:eastAsia="lt-LT"/>
        </w:rPr>
        <w:t xml:space="preserve"> MEDŽIAGA </w:t>
      </w:r>
      <w:r w:rsidRPr="00F9149D">
        <w:rPr>
          <w:rFonts w:ascii="Times New Roman" w:hAnsi="Times New Roman" w:cs="Times New Roman"/>
          <w:b/>
          <w:noProof/>
          <w:sz w:val="22"/>
          <w:lang w:val="lt-LT" w:eastAsia="lt-LT"/>
        </w:rPr>
        <w:t>(-OS)</w:t>
      </w:r>
      <w:r w:rsidRPr="00F9149D">
        <w:rPr>
          <w:rFonts w:ascii="Times New Roman" w:hAnsi="Times New Roman" w:cs="Times New Roman"/>
          <w:b/>
          <w:sz w:val="22"/>
          <w:szCs w:val="22"/>
          <w:lang w:val="lt-LT" w:eastAsia="lt-LT"/>
        </w:rPr>
        <w:t xml:space="preserve"> IR JOS </w:t>
      </w:r>
      <w:r w:rsidRPr="00F9149D">
        <w:rPr>
          <w:rFonts w:ascii="Times New Roman" w:hAnsi="Times New Roman" w:cs="Times New Roman"/>
          <w:b/>
          <w:noProof/>
          <w:sz w:val="22"/>
          <w:lang w:val="lt-LT" w:eastAsia="lt-LT"/>
        </w:rPr>
        <w:t>(-Ų)</w:t>
      </w:r>
      <w:r w:rsidRPr="00F9149D">
        <w:rPr>
          <w:rFonts w:ascii="Times New Roman" w:hAnsi="Times New Roman" w:cs="Times New Roman"/>
          <w:b/>
          <w:sz w:val="22"/>
          <w:szCs w:val="22"/>
          <w:lang w:val="lt-LT" w:eastAsia="lt-LT"/>
        </w:rPr>
        <w:t xml:space="preserve"> KIEKIS </w:t>
      </w:r>
      <w:r w:rsidRPr="00F9149D">
        <w:rPr>
          <w:rFonts w:ascii="Times New Roman" w:hAnsi="Times New Roman" w:cs="Times New Roman"/>
          <w:b/>
          <w:noProof/>
          <w:sz w:val="22"/>
          <w:lang w:val="lt-LT" w:eastAsia="lt-LT"/>
        </w:rPr>
        <w:t>(-IAI)</w:t>
      </w:r>
    </w:p>
    <w:p w:rsidR="009E3290" w:rsidRPr="00F9149D" w:rsidRDefault="009E3290" w:rsidP="009E3290">
      <w:pPr>
        <w:pStyle w:val="Pagrindinistekstas"/>
        <w:rPr>
          <w:sz w:val="22"/>
          <w:szCs w:val="22"/>
        </w:rPr>
      </w:pPr>
    </w:p>
    <w:p w:rsidR="009E3290" w:rsidRPr="00F9149D" w:rsidRDefault="009E3290" w:rsidP="009E3290">
      <w:pPr>
        <w:rPr>
          <w:rFonts w:ascii="Times New Roman" w:hAnsi="Times New Roman" w:cs="Times New Roman"/>
          <w:sz w:val="22"/>
          <w:szCs w:val="22"/>
          <w:lang w:val="lt-LT"/>
        </w:rPr>
      </w:pPr>
      <w:r w:rsidRPr="00F9149D">
        <w:rPr>
          <w:rFonts w:ascii="Times New Roman" w:hAnsi="Times New Roman" w:cs="Times New Roman"/>
          <w:sz w:val="22"/>
          <w:szCs w:val="22"/>
          <w:lang w:val="lt-LT"/>
        </w:rPr>
        <w:t>Kiekviename užpildytame švirkšte (3</w:t>
      </w:r>
      <w:r w:rsidR="008F5879">
        <w:rPr>
          <w:rFonts w:ascii="Times New Roman" w:hAnsi="Times New Roman" w:cs="Times New Roman"/>
          <w:sz w:val="22"/>
          <w:szCs w:val="22"/>
          <w:lang w:val="lt-LT"/>
        </w:rPr>
        <w:t> </w:t>
      </w:r>
      <w:r w:rsidRPr="00F9149D">
        <w:rPr>
          <w:rFonts w:ascii="Times New Roman" w:hAnsi="Times New Roman" w:cs="Times New Roman"/>
          <w:sz w:val="22"/>
          <w:szCs w:val="22"/>
          <w:lang w:val="lt-LT"/>
        </w:rPr>
        <w:t>ml injekcinio tirpalo) yra 3</w:t>
      </w:r>
      <w:r w:rsidR="008F5879">
        <w:rPr>
          <w:rFonts w:ascii="Times New Roman" w:hAnsi="Times New Roman" w:cs="Times New Roman"/>
          <w:sz w:val="22"/>
          <w:szCs w:val="22"/>
          <w:lang w:val="lt-LT"/>
        </w:rPr>
        <w:t> </w:t>
      </w:r>
      <w:r w:rsidRPr="00F9149D">
        <w:rPr>
          <w:rFonts w:ascii="Times New Roman" w:hAnsi="Times New Roman" w:cs="Times New Roman"/>
          <w:sz w:val="22"/>
          <w:szCs w:val="22"/>
          <w:lang w:val="lt-LT"/>
        </w:rPr>
        <w:t xml:space="preserve">mg </w:t>
      </w:r>
      <w:proofErr w:type="spellStart"/>
      <w:r w:rsidRPr="00F9149D">
        <w:rPr>
          <w:rFonts w:ascii="Times New Roman" w:hAnsi="Times New Roman" w:cs="Times New Roman"/>
          <w:sz w:val="22"/>
          <w:szCs w:val="22"/>
          <w:lang w:val="lt-LT"/>
        </w:rPr>
        <w:t>ibandrono</w:t>
      </w:r>
      <w:proofErr w:type="spellEnd"/>
      <w:r w:rsidRPr="00F9149D">
        <w:rPr>
          <w:rFonts w:ascii="Times New Roman" w:hAnsi="Times New Roman" w:cs="Times New Roman"/>
          <w:sz w:val="22"/>
          <w:szCs w:val="22"/>
          <w:lang w:val="lt-LT"/>
        </w:rPr>
        <w:t xml:space="preserve"> rūgšties (3,375</w:t>
      </w:r>
      <w:r w:rsidR="008F5879">
        <w:rPr>
          <w:rFonts w:ascii="Times New Roman" w:hAnsi="Times New Roman" w:cs="Times New Roman"/>
          <w:sz w:val="22"/>
          <w:szCs w:val="22"/>
          <w:lang w:val="lt-LT"/>
        </w:rPr>
        <w:t> </w:t>
      </w:r>
      <w:r w:rsidRPr="00F9149D">
        <w:rPr>
          <w:rFonts w:ascii="Times New Roman" w:hAnsi="Times New Roman" w:cs="Times New Roman"/>
          <w:sz w:val="22"/>
          <w:szCs w:val="22"/>
          <w:lang w:val="lt-LT"/>
        </w:rPr>
        <w:t xml:space="preserve">mg natrio </w:t>
      </w:r>
      <w:proofErr w:type="spellStart"/>
      <w:r w:rsidRPr="00F9149D">
        <w:rPr>
          <w:rFonts w:ascii="Times New Roman" w:hAnsi="Times New Roman" w:cs="Times New Roman"/>
          <w:sz w:val="22"/>
          <w:szCs w:val="22"/>
          <w:lang w:val="lt-LT"/>
        </w:rPr>
        <w:t>ibandronato</w:t>
      </w:r>
      <w:proofErr w:type="spellEnd"/>
      <w:r w:rsidRPr="00F9149D">
        <w:rPr>
          <w:rFonts w:ascii="Times New Roman" w:hAnsi="Times New Roman" w:cs="Times New Roman"/>
          <w:sz w:val="22"/>
          <w:szCs w:val="22"/>
          <w:lang w:val="lt-LT"/>
        </w:rPr>
        <w:t xml:space="preserve"> </w:t>
      </w:r>
      <w:proofErr w:type="spellStart"/>
      <w:r w:rsidRPr="00F9149D">
        <w:rPr>
          <w:rFonts w:ascii="Times New Roman" w:hAnsi="Times New Roman" w:cs="Times New Roman"/>
          <w:sz w:val="22"/>
          <w:szCs w:val="22"/>
          <w:lang w:val="lt-LT"/>
        </w:rPr>
        <w:t>monohidrato</w:t>
      </w:r>
      <w:proofErr w:type="spellEnd"/>
      <w:r w:rsidRPr="00F9149D">
        <w:rPr>
          <w:rFonts w:ascii="Times New Roman" w:hAnsi="Times New Roman" w:cs="Times New Roman"/>
          <w:sz w:val="22"/>
          <w:szCs w:val="22"/>
          <w:lang w:val="lt-LT"/>
        </w:rPr>
        <w:t xml:space="preserve"> pavidalu). </w:t>
      </w:r>
    </w:p>
    <w:p w:rsidR="009E3290" w:rsidRPr="008F5879" w:rsidRDefault="009E3290" w:rsidP="009E3290">
      <w:pPr>
        <w:rPr>
          <w:rFonts w:ascii="Times New Roman" w:hAnsi="Times New Roman" w:cs="Times New Roman"/>
          <w:sz w:val="22"/>
          <w:szCs w:val="22"/>
          <w:lang w:val="lt-LT"/>
        </w:rPr>
      </w:pPr>
      <w:r w:rsidRPr="008F5879">
        <w:rPr>
          <w:rFonts w:ascii="Times New Roman" w:hAnsi="Times New Roman" w:cs="Times New Roman"/>
          <w:sz w:val="22"/>
          <w:szCs w:val="22"/>
          <w:lang w:val="lt-LT"/>
        </w:rPr>
        <w:t>Kiekviename ml injekcinio tirpalo yra 1</w:t>
      </w:r>
      <w:r w:rsidR="008F5879">
        <w:rPr>
          <w:rFonts w:ascii="Times New Roman" w:hAnsi="Times New Roman" w:cs="Times New Roman"/>
          <w:sz w:val="22"/>
          <w:szCs w:val="22"/>
          <w:lang w:val="lt-LT"/>
        </w:rPr>
        <w:t> </w:t>
      </w:r>
      <w:r w:rsidRPr="008F5879">
        <w:rPr>
          <w:rFonts w:ascii="Times New Roman" w:hAnsi="Times New Roman" w:cs="Times New Roman"/>
          <w:sz w:val="22"/>
          <w:szCs w:val="22"/>
          <w:lang w:val="lt-LT"/>
        </w:rPr>
        <w:t xml:space="preserve">mg </w:t>
      </w:r>
      <w:proofErr w:type="spellStart"/>
      <w:r w:rsidRPr="008F5879">
        <w:rPr>
          <w:rFonts w:ascii="Times New Roman" w:hAnsi="Times New Roman" w:cs="Times New Roman"/>
          <w:sz w:val="22"/>
          <w:szCs w:val="22"/>
          <w:lang w:val="lt-LT"/>
        </w:rPr>
        <w:t>ibandrono</w:t>
      </w:r>
      <w:proofErr w:type="spellEnd"/>
      <w:r w:rsidRPr="008F5879">
        <w:rPr>
          <w:rFonts w:ascii="Times New Roman" w:hAnsi="Times New Roman" w:cs="Times New Roman"/>
          <w:sz w:val="22"/>
          <w:szCs w:val="22"/>
          <w:lang w:val="lt-LT"/>
        </w:rPr>
        <w:t xml:space="preserve"> rūgšties.</w:t>
      </w:r>
    </w:p>
    <w:p w:rsidR="009E3290" w:rsidRPr="008F5879" w:rsidRDefault="009E3290" w:rsidP="009E3290">
      <w:pPr>
        <w:tabs>
          <w:tab w:val="left" w:pos="567"/>
        </w:tabs>
        <w:rPr>
          <w:rFonts w:ascii="Times New Roman" w:hAnsi="Times New Roman" w:cs="Times New Roman"/>
          <w:sz w:val="22"/>
          <w:szCs w:val="22"/>
          <w:lang w:val="lt-LT"/>
        </w:rPr>
      </w:pPr>
    </w:p>
    <w:p w:rsidR="009E3290" w:rsidRPr="008F5879" w:rsidRDefault="009E3290" w:rsidP="009E3290">
      <w:pPr>
        <w:tabs>
          <w:tab w:val="left" w:pos="567"/>
        </w:tabs>
        <w:rPr>
          <w:rFonts w:ascii="Times New Roman" w:hAnsi="Times New Roman" w:cs="Times New Roman"/>
          <w:sz w:val="22"/>
          <w:szCs w:val="22"/>
          <w:lang w:val="lt-LT"/>
        </w:rPr>
      </w:pPr>
    </w:p>
    <w:p w:rsidR="009E3290" w:rsidRPr="00012BAC"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12BAC">
        <w:rPr>
          <w:rFonts w:ascii="Times New Roman" w:hAnsi="Times New Roman"/>
          <w:sz w:val="22"/>
          <w:szCs w:val="22"/>
          <w:lang w:val="lt-LT"/>
        </w:rPr>
        <w:t>3.</w:t>
      </w:r>
      <w:r w:rsidRPr="00012BAC">
        <w:rPr>
          <w:rFonts w:ascii="Times New Roman" w:hAnsi="Times New Roman"/>
          <w:sz w:val="22"/>
          <w:szCs w:val="22"/>
          <w:lang w:val="lt-LT"/>
        </w:rPr>
        <w:tab/>
        <w:t>PAGALBINIŲ MEDŽIAGŲ SĄRAŠAS</w:t>
      </w:r>
    </w:p>
    <w:p w:rsidR="009E3290" w:rsidRPr="00012BAC" w:rsidRDefault="009E3290" w:rsidP="009E3290">
      <w:pPr>
        <w:pStyle w:val="Pagrindinistekstas"/>
        <w:rPr>
          <w:sz w:val="22"/>
          <w:szCs w:val="22"/>
        </w:rPr>
      </w:pPr>
    </w:p>
    <w:p w:rsidR="00F9149D" w:rsidRPr="00F9149D" w:rsidRDefault="00F9149D" w:rsidP="00F9149D">
      <w:pPr>
        <w:rPr>
          <w:rFonts w:ascii="Times New Roman" w:hAnsi="Times New Roman" w:cs="Times New Roman"/>
          <w:sz w:val="22"/>
          <w:szCs w:val="22"/>
          <w:lang w:val="lt-LT" w:eastAsia="lt-LT"/>
        </w:rPr>
      </w:pPr>
      <w:r w:rsidRPr="00F9149D">
        <w:rPr>
          <w:rFonts w:ascii="Times New Roman" w:hAnsi="Times New Roman" w:cs="Times New Roman"/>
          <w:sz w:val="22"/>
          <w:szCs w:val="22"/>
          <w:lang w:val="lt-LT" w:eastAsia="lt-LT"/>
        </w:rPr>
        <w:t xml:space="preserve">Sudėtyje yra natrio chlorido, natrio </w:t>
      </w:r>
      <w:proofErr w:type="spellStart"/>
      <w:r w:rsidRPr="00F9149D">
        <w:rPr>
          <w:rFonts w:ascii="Times New Roman" w:hAnsi="Times New Roman" w:cs="Times New Roman"/>
          <w:sz w:val="22"/>
          <w:szCs w:val="22"/>
          <w:lang w:val="lt-LT" w:eastAsia="lt-LT"/>
        </w:rPr>
        <w:t>hidroksido</w:t>
      </w:r>
      <w:proofErr w:type="spellEnd"/>
      <w:r w:rsidRPr="00F9149D">
        <w:rPr>
          <w:rFonts w:ascii="Times New Roman" w:hAnsi="Times New Roman" w:cs="Times New Roman"/>
          <w:sz w:val="22"/>
          <w:szCs w:val="22"/>
          <w:lang w:val="lt-LT" w:eastAsia="lt-LT"/>
        </w:rPr>
        <w:t xml:space="preserve"> (pH reguliavimui), praskiest</w:t>
      </w:r>
      <w:r w:rsidR="008F5879">
        <w:rPr>
          <w:rFonts w:ascii="Times New Roman" w:hAnsi="Times New Roman" w:cs="Times New Roman"/>
          <w:sz w:val="22"/>
          <w:szCs w:val="22"/>
          <w:lang w:val="lt-LT" w:eastAsia="lt-LT"/>
        </w:rPr>
        <w:t>os</w:t>
      </w:r>
      <w:r w:rsidRPr="00F9149D">
        <w:rPr>
          <w:rFonts w:ascii="Times New Roman" w:hAnsi="Times New Roman" w:cs="Times New Roman"/>
          <w:sz w:val="22"/>
          <w:szCs w:val="22"/>
          <w:lang w:val="lt-LT" w:eastAsia="lt-LT"/>
        </w:rPr>
        <w:t xml:space="preserve"> vandenilio chlorido rūgšties (pH reguliavimui), acto rūgšties, natrio acetato </w:t>
      </w:r>
      <w:proofErr w:type="spellStart"/>
      <w:r w:rsidRPr="00F9149D">
        <w:rPr>
          <w:rFonts w:ascii="Times New Roman" w:hAnsi="Times New Roman" w:cs="Times New Roman"/>
          <w:sz w:val="22"/>
          <w:szCs w:val="22"/>
          <w:lang w:val="lt-LT" w:eastAsia="lt-LT"/>
        </w:rPr>
        <w:t>trihidrato</w:t>
      </w:r>
      <w:proofErr w:type="spellEnd"/>
      <w:r w:rsidRPr="00F9149D">
        <w:rPr>
          <w:rFonts w:ascii="Times New Roman" w:hAnsi="Times New Roman" w:cs="Times New Roman"/>
          <w:sz w:val="22"/>
          <w:szCs w:val="22"/>
          <w:lang w:val="lt-LT" w:eastAsia="lt-LT"/>
        </w:rPr>
        <w:t>, injekcinio vandens.</w:t>
      </w:r>
    </w:p>
    <w:p w:rsidR="009E3290" w:rsidRPr="00F9149D" w:rsidRDefault="009E3290" w:rsidP="009E3290">
      <w:pPr>
        <w:pStyle w:val="Pagrindinistekstas"/>
        <w:rPr>
          <w:sz w:val="22"/>
          <w:szCs w:val="22"/>
        </w:rPr>
      </w:pPr>
    </w:p>
    <w:p w:rsidR="009E3290" w:rsidRPr="00F9149D" w:rsidRDefault="009E3290" w:rsidP="009E3290">
      <w:pPr>
        <w:pStyle w:val="Pagrindinistekstas"/>
        <w:rPr>
          <w:sz w:val="22"/>
          <w:szCs w:val="22"/>
        </w:rPr>
      </w:pPr>
    </w:p>
    <w:p w:rsidR="009E3290" w:rsidRPr="00F9149D"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F9149D">
        <w:rPr>
          <w:rFonts w:ascii="Times New Roman" w:hAnsi="Times New Roman"/>
          <w:sz w:val="22"/>
          <w:szCs w:val="22"/>
          <w:lang w:val="lt-LT"/>
        </w:rPr>
        <w:t>4.</w:t>
      </w:r>
      <w:r w:rsidRPr="00F9149D">
        <w:rPr>
          <w:rFonts w:ascii="Times New Roman" w:hAnsi="Times New Roman"/>
          <w:sz w:val="22"/>
          <w:szCs w:val="22"/>
          <w:lang w:val="lt-LT"/>
        </w:rPr>
        <w:tab/>
        <w:t>FARMACINĖ FORMA IR KIEKIS PAKUOTĖJE</w:t>
      </w:r>
    </w:p>
    <w:p w:rsidR="009E3290" w:rsidRPr="008F5879" w:rsidRDefault="009E3290" w:rsidP="009E3290">
      <w:pPr>
        <w:pStyle w:val="Pagrindinistekstas"/>
        <w:rPr>
          <w:sz w:val="22"/>
          <w:szCs w:val="22"/>
        </w:rPr>
      </w:pPr>
    </w:p>
    <w:p w:rsidR="009E3290" w:rsidRPr="00F9149D" w:rsidRDefault="009E3290" w:rsidP="009E3290">
      <w:pPr>
        <w:pStyle w:val="Pagrindinistekstas"/>
        <w:outlineLvl w:val="0"/>
        <w:rPr>
          <w:sz w:val="22"/>
          <w:szCs w:val="22"/>
        </w:rPr>
      </w:pPr>
      <w:r w:rsidRPr="008F5879">
        <w:rPr>
          <w:sz w:val="22"/>
          <w:szCs w:val="22"/>
        </w:rPr>
        <w:t>Injekcinis tirpalas</w:t>
      </w:r>
      <w:r w:rsidR="00F9149D">
        <w:rPr>
          <w:sz w:val="22"/>
          <w:szCs w:val="22"/>
        </w:rPr>
        <w:t xml:space="preserve"> </w:t>
      </w:r>
      <w:r w:rsidR="00F9149D" w:rsidRPr="009B4D79">
        <w:rPr>
          <w:sz w:val="22"/>
          <w:szCs w:val="22"/>
        </w:rPr>
        <w:t>užpildytame švirkšte</w:t>
      </w:r>
    </w:p>
    <w:p w:rsidR="009E3290" w:rsidRPr="00F9149D" w:rsidRDefault="009E3290" w:rsidP="009E3290">
      <w:pPr>
        <w:pStyle w:val="Default"/>
        <w:rPr>
          <w:color w:val="auto"/>
          <w:sz w:val="22"/>
          <w:szCs w:val="22"/>
          <w:lang w:val="lt-LT"/>
        </w:rPr>
      </w:pPr>
      <w:r w:rsidRPr="00F9149D">
        <w:rPr>
          <w:color w:val="auto"/>
          <w:sz w:val="22"/>
          <w:szCs w:val="22"/>
          <w:lang w:val="lt-LT"/>
        </w:rPr>
        <w:t>1x3</w:t>
      </w:r>
      <w:r w:rsidR="008F5879">
        <w:rPr>
          <w:color w:val="auto"/>
          <w:sz w:val="22"/>
          <w:szCs w:val="22"/>
          <w:lang w:val="lt-LT"/>
        </w:rPr>
        <w:t> </w:t>
      </w:r>
      <w:r w:rsidRPr="00F9149D">
        <w:rPr>
          <w:color w:val="auto"/>
          <w:sz w:val="22"/>
          <w:szCs w:val="22"/>
          <w:lang w:val="lt-LT"/>
        </w:rPr>
        <w:t xml:space="preserve">ml užpildytas švirkštas + 1 injekcinė adata </w:t>
      </w:r>
    </w:p>
    <w:p w:rsidR="009E3290" w:rsidRPr="009B4D79" w:rsidRDefault="009E3290" w:rsidP="009E3290">
      <w:pPr>
        <w:pStyle w:val="Pagrindinistekstas"/>
        <w:rPr>
          <w:sz w:val="22"/>
          <w:szCs w:val="22"/>
          <w:highlight w:val="lightGray"/>
          <w:lang w:eastAsia="lt-LT"/>
        </w:rPr>
      </w:pPr>
      <w:r w:rsidRPr="009B4D79">
        <w:rPr>
          <w:sz w:val="22"/>
          <w:szCs w:val="22"/>
          <w:highlight w:val="lightGray"/>
          <w:lang w:eastAsia="lt-LT"/>
        </w:rPr>
        <w:t>4x3</w:t>
      </w:r>
      <w:r w:rsidR="008F5879">
        <w:rPr>
          <w:sz w:val="22"/>
          <w:szCs w:val="22"/>
          <w:highlight w:val="lightGray"/>
          <w:lang w:eastAsia="lt-LT"/>
        </w:rPr>
        <w:t> </w:t>
      </w:r>
      <w:r w:rsidRPr="009B4D79">
        <w:rPr>
          <w:sz w:val="22"/>
          <w:szCs w:val="22"/>
          <w:highlight w:val="lightGray"/>
          <w:lang w:eastAsia="lt-LT"/>
        </w:rPr>
        <w:t>ml užpildyti švirkštai + 4 injekcinės adatos</w:t>
      </w:r>
    </w:p>
    <w:p w:rsidR="009E3290" w:rsidRPr="00F9149D" w:rsidRDefault="009E3290" w:rsidP="009E3290">
      <w:pPr>
        <w:pStyle w:val="Pagrindinistekstas"/>
        <w:rPr>
          <w:sz w:val="22"/>
          <w:szCs w:val="22"/>
        </w:rPr>
      </w:pPr>
    </w:p>
    <w:p w:rsidR="009E3290" w:rsidRPr="00F9149D" w:rsidRDefault="009E3290" w:rsidP="009E3290">
      <w:pPr>
        <w:pStyle w:val="Pagrindinistekstas"/>
        <w:rPr>
          <w:sz w:val="22"/>
          <w:szCs w:val="22"/>
        </w:rPr>
      </w:pPr>
    </w:p>
    <w:p w:rsidR="009E3290" w:rsidRPr="00F9149D"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F9149D">
        <w:rPr>
          <w:rFonts w:ascii="Times New Roman" w:hAnsi="Times New Roman"/>
          <w:sz w:val="22"/>
          <w:szCs w:val="22"/>
          <w:lang w:val="lt-LT"/>
        </w:rPr>
        <w:t>5.</w:t>
      </w:r>
      <w:r w:rsidRPr="00F9149D">
        <w:rPr>
          <w:rFonts w:ascii="Times New Roman" w:hAnsi="Times New Roman"/>
          <w:sz w:val="22"/>
          <w:szCs w:val="22"/>
          <w:lang w:val="lt-LT"/>
        </w:rPr>
        <w:tab/>
      </w:r>
      <w:r w:rsidR="00F9149D" w:rsidRPr="009B4D79">
        <w:rPr>
          <w:rFonts w:ascii="Times New Roman" w:hAnsi="Times New Roman"/>
          <w:sz w:val="22"/>
          <w:szCs w:val="22"/>
          <w:lang w:val="lt-LT"/>
        </w:rPr>
        <w:t>VARTOJIMO METODAS IR BŪDAS (-AI)</w:t>
      </w:r>
    </w:p>
    <w:p w:rsidR="009E3290" w:rsidRPr="00F9149D" w:rsidRDefault="009E3290" w:rsidP="009E3290">
      <w:pPr>
        <w:pStyle w:val="Pagrindinistekstas"/>
        <w:rPr>
          <w:sz w:val="22"/>
          <w:szCs w:val="22"/>
        </w:rPr>
      </w:pPr>
    </w:p>
    <w:p w:rsidR="009E3290" w:rsidRPr="008F5879" w:rsidRDefault="009E3290" w:rsidP="009E3290">
      <w:pPr>
        <w:rPr>
          <w:rFonts w:ascii="Times New Roman" w:hAnsi="Times New Roman" w:cs="Times New Roman"/>
          <w:sz w:val="22"/>
          <w:szCs w:val="22"/>
          <w:lang w:val="lt-LT"/>
        </w:rPr>
      </w:pPr>
      <w:r w:rsidRPr="008F5879">
        <w:rPr>
          <w:rFonts w:ascii="Times New Roman" w:hAnsi="Times New Roman" w:cs="Times New Roman"/>
          <w:sz w:val="22"/>
          <w:szCs w:val="22"/>
          <w:lang w:val="lt-LT"/>
        </w:rPr>
        <w:t xml:space="preserve">Leisti į veną. </w:t>
      </w:r>
    </w:p>
    <w:p w:rsidR="009E3290" w:rsidRPr="008F5879" w:rsidRDefault="009E3290" w:rsidP="009E3290">
      <w:pPr>
        <w:rPr>
          <w:rFonts w:ascii="Times New Roman" w:hAnsi="Times New Roman" w:cs="Times New Roman"/>
          <w:sz w:val="22"/>
          <w:szCs w:val="22"/>
          <w:lang w:val="lt-LT"/>
        </w:rPr>
      </w:pPr>
      <w:r w:rsidRPr="008F5879">
        <w:rPr>
          <w:rFonts w:ascii="Times New Roman" w:hAnsi="Times New Roman" w:cs="Times New Roman"/>
          <w:sz w:val="22"/>
          <w:szCs w:val="22"/>
          <w:lang w:val="lt-LT"/>
        </w:rPr>
        <w:t>Prieš vartojimą perskaitykite pakuotės lapelį.</w:t>
      </w:r>
    </w:p>
    <w:p w:rsidR="009E3290" w:rsidRPr="008F5879" w:rsidRDefault="009E3290" w:rsidP="009E3290">
      <w:pPr>
        <w:rPr>
          <w:rFonts w:ascii="Times New Roman" w:hAnsi="Times New Roman" w:cs="Times New Roman"/>
          <w:sz w:val="22"/>
          <w:szCs w:val="22"/>
          <w:lang w:val="lt-LT"/>
        </w:rPr>
      </w:pPr>
    </w:p>
    <w:p w:rsidR="009E3290" w:rsidRPr="00012BAC" w:rsidRDefault="009E3290" w:rsidP="009E3290">
      <w:pPr>
        <w:rPr>
          <w:rFonts w:ascii="Times New Roman" w:hAnsi="Times New Roman" w:cs="Times New Roman"/>
          <w:sz w:val="22"/>
          <w:szCs w:val="22"/>
          <w:lang w:val="lt-LT"/>
        </w:rPr>
      </w:pPr>
    </w:p>
    <w:p w:rsidR="009E3290" w:rsidRPr="00012BAC"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12BAC">
        <w:rPr>
          <w:rFonts w:ascii="Times New Roman" w:hAnsi="Times New Roman"/>
          <w:sz w:val="22"/>
          <w:szCs w:val="22"/>
          <w:lang w:val="lt-LT"/>
        </w:rPr>
        <w:t>6.</w:t>
      </w:r>
      <w:r w:rsidRPr="00012BAC">
        <w:rPr>
          <w:rFonts w:ascii="Times New Roman" w:hAnsi="Times New Roman"/>
          <w:sz w:val="22"/>
          <w:szCs w:val="22"/>
          <w:lang w:val="lt-LT"/>
        </w:rPr>
        <w:tab/>
        <w:t>SPECIALUS ĮSPĖJIMAS, KAD VAISTINĮ PREPARATĄ BŪTINA LAIKYTI VAIKAMS NEPASTEBIMOJE IR NEPASIEKIAMOJE VIETOJE</w:t>
      </w:r>
    </w:p>
    <w:p w:rsidR="009E3290" w:rsidRPr="007229F1" w:rsidRDefault="009E3290" w:rsidP="009E3290">
      <w:pPr>
        <w:pStyle w:val="Pagrindinistekstas"/>
        <w:rPr>
          <w:sz w:val="22"/>
          <w:szCs w:val="22"/>
        </w:rPr>
      </w:pPr>
    </w:p>
    <w:p w:rsidR="009E3290" w:rsidRPr="002042BC" w:rsidRDefault="009E3290" w:rsidP="009E3290">
      <w:pPr>
        <w:pStyle w:val="Pagrindinistekstas"/>
        <w:outlineLvl w:val="0"/>
        <w:rPr>
          <w:sz w:val="22"/>
          <w:szCs w:val="22"/>
        </w:rPr>
      </w:pPr>
      <w:r w:rsidRPr="002042BC">
        <w:rPr>
          <w:sz w:val="22"/>
          <w:szCs w:val="22"/>
        </w:rPr>
        <w:t>Laikyti vaikams nepastebimoje ir nepasiekiamoje vietoje.</w:t>
      </w:r>
    </w:p>
    <w:p w:rsidR="009E3290" w:rsidRPr="002042BC" w:rsidRDefault="009E3290" w:rsidP="009E3290">
      <w:pPr>
        <w:pStyle w:val="Pagrindinistekstas"/>
        <w:rPr>
          <w:sz w:val="22"/>
          <w:szCs w:val="22"/>
        </w:rPr>
      </w:pPr>
    </w:p>
    <w:p w:rsidR="009E3290" w:rsidRPr="002042BC" w:rsidRDefault="009E3290" w:rsidP="009E3290">
      <w:pPr>
        <w:pStyle w:val="Pagrindinistekstas"/>
        <w:rPr>
          <w:sz w:val="22"/>
          <w:szCs w:val="22"/>
        </w:rPr>
      </w:pPr>
    </w:p>
    <w:p w:rsidR="00F9149D" w:rsidRPr="00F9149D" w:rsidRDefault="00F9149D" w:rsidP="00F9149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F9149D">
        <w:rPr>
          <w:rFonts w:ascii="Times New Roman" w:hAnsi="Times New Roman" w:cs="Times New Roman"/>
          <w:b/>
          <w:sz w:val="22"/>
          <w:szCs w:val="22"/>
          <w:lang w:val="lt-LT" w:eastAsia="lt-LT"/>
        </w:rPr>
        <w:t>7.</w:t>
      </w:r>
      <w:r w:rsidRPr="00F9149D">
        <w:rPr>
          <w:rFonts w:ascii="Times New Roman" w:hAnsi="Times New Roman" w:cs="Times New Roman"/>
          <w:b/>
          <w:sz w:val="22"/>
          <w:szCs w:val="22"/>
          <w:lang w:val="lt-LT" w:eastAsia="lt-LT"/>
        </w:rPr>
        <w:tab/>
        <w:t xml:space="preserve">KITAS </w:t>
      </w:r>
      <w:r w:rsidRPr="00F9149D">
        <w:rPr>
          <w:rFonts w:ascii="Times New Roman" w:hAnsi="Times New Roman" w:cs="Times New Roman"/>
          <w:b/>
          <w:bCs/>
          <w:noProof/>
          <w:sz w:val="22"/>
          <w:lang w:val="lt-LT" w:eastAsia="lt-LT"/>
        </w:rPr>
        <w:t>(-I)</w:t>
      </w:r>
      <w:r w:rsidRPr="00F9149D">
        <w:rPr>
          <w:rFonts w:ascii="Times New Roman" w:hAnsi="Times New Roman" w:cs="Times New Roman"/>
          <w:b/>
          <w:sz w:val="22"/>
          <w:szCs w:val="22"/>
          <w:lang w:val="lt-LT" w:eastAsia="lt-LT"/>
        </w:rPr>
        <w:t xml:space="preserve"> SPECIALUS </w:t>
      </w:r>
      <w:r w:rsidRPr="00F9149D">
        <w:rPr>
          <w:rFonts w:ascii="Times New Roman" w:hAnsi="Times New Roman" w:cs="Times New Roman"/>
          <w:b/>
          <w:bCs/>
          <w:noProof/>
          <w:sz w:val="22"/>
          <w:lang w:val="lt-LT" w:eastAsia="lt-LT"/>
        </w:rPr>
        <w:t>(-ŪS)</w:t>
      </w:r>
      <w:r w:rsidRPr="00F9149D">
        <w:rPr>
          <w:rFonts w:ascii="Times New Roman" w:hAnsi="Times New Roman" w:cs="Times New Roman"/>
          <w:b/>
          <w:sz w:val="22"/>
          <w:szCs w:val="22"/>
          <w:lang w:val="lt-LT" w:eastAsia="lt-LT"/>
        </w:rPr>
        <w:t xml:space="preserve"> ĮSPĖJIMAS </w:t>
      </w:r>
      <w:r w:rsidRPr="00F9149D">
        <w:rPr>
          <w:rFonts w:ascii="Times New Roman" w:hAnsi="Times New Roman" w:cs="Times New Roman"/>
          <w:b/>
          <w:bCs/>
          <w:noProof/>
          <w:sz w:val="22"/>
          <w:lang w:val="lt-LT" w:eastAsia="lt-LT"/>
        </w:rPr>
        <w:t>(-AI)</w:t>
      </w:r>
      <w:r w:rsidRPr="00F9149D">
        <w:rPr>
          <w:rFonts w:ascii="Times New Roman" w:hAnsi="Times New Roman" w:cs="Times New Roman"/>
          <w:b/>
          <w:sz w:val="22"/>
          <w:szCs w:val="22"/>
          <w:lang w:val="lt-LT" w:eastAsia="lt-LT"/>
        </w:rPr>
        <w:t xml:space="preserve"> (JEI REIKIA)</w:t>
      </w:r>
    </w:p>
    <w:p w:rsidR="009E3290" w:rsidRPr="00F9149D" w:rsidRDefault="009E3290" w:rsidP="009E3290">
      <w:pPr>
        <w:pStyle w:val="Pagrindinistekstas"/>
        <w:rPr>
          <w:sz w:val="22"/>
          <w:szCs w:val="22"/>
        </w:rPr>
      </w:pPr>
    </w:p>
    <w:p w:rsidR="009E3290" w:rsidRPr="00F9149D" w:rsidRDefault="009E3290" w:rsidP="009E3290">
      <w:pPr>
        <w:pStyle w:val="Pagrindinistekstas"/>
        <w:rPr>
          <w:sz w:val="22"/>
          <w:szCs w:val="22"/>
        </w:rPr>
      </w:pPr>
    </w:p>
    <w:p w:rsidR="009E3290" w:rsidRPr="008F5879"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8F5879">
        <w:rPr>
          <w:rFonts w:ascii="Times New Roman" w:hAnsi="Times New Roman"/>
          <w:sz w:val="22"/>
          <w:szCs w:val="22"/>
          <w:lang w:val="lt-LT"/>
        </w:rPr>
        <w:t>8.</w:t>
      </w:r>
      <w:r w:rsidRPr="008F5879">
        <w:rPr>
          <w:rFonts w:ascii="Times New Roman" w:hAnsi="Times New Roman"/>
          <w:sz w:val="22"/>
          <w:szCs w:val="22"/>
          <w:lang w:val="lt-LT"/>
        </w:rPr>
        <w:tab/>
        <w:t>TINKAMUMO LAIKAS</w:t>
      </w:r>
    </w:p>
    <w:p w:rsidR="009E3290" w:rsidRPr="008F5879" w:rsidRDefault="009E3290" w:rsidP="009E3290">
      <w:pPr>
        <w:pStyle w:val="Pagrindinistekstas"/>
        <w:rPr>
          <w:sz w:val="22"/>
          <w:szCs w:val="22"/>
        </w:rPr>
      </w:pPr>
    </w:p>
    <w:p w:rsidR="009E3290" w:rsidRPr="008F5879" w:rsidRDefault="009E3290" w:rsidP="009E3290">
      <w:pPr>
        <w:pStyle w:val="Pagrindinistekstas"/>
        <w:outlineLvl w:val="0"/>
        <w:rPr>
          <w:sz w:val="22"/>
          <w:szCs w:val="22"/>
        </w:rPr>
      </w:pPr>
      <w:r w:rsidRPr="008F5879">
        <w:rPr>
          <w:sz w:val="22"/>
          <w:szCs w:val="22"/>
        </w:rPr>
        <w:lastRenderedPageBreak/>
        <w:t>Tinka iki {mm/MMMM}</w:t>
      </w:r>
    </w:p>
    <w:p w:rsidR="009E3290" w:rsidRPr="00012BAC" w:rsidRDefault="009E3290" w:rsidP="009E3290">
      <w:pPr>
        <w:pStyle w:val="Pagrindinistekstas"/>
        <w:rPr>
          <w:sz w:val="22"/>
          <w:szCs w:val="22"/>
        </w:rPr>
      </w:pPr>
    </w:p>
    <w:p w:rsidR="009E3290" w:rsidRPr="00012BAC" w:rsidRDefault="009E3290" w:rsidP="009E3290">
      <w:pPr>
        <w:pStyle w:val="Pagrindinistekstas"/>
        <w:rPr>
          <w:sz w:val="22"/>
          <w:szCs w:val="22"/>
        </w:rPr>
      </w:pPr>
    </w:p>
    <w:p w:rsidR="009E3290" w:rsidRPr="007229F1"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7229F1">
        <w:rPr>
          <w:rFonts w:ascii="Times New Roman" w:hAnsi="Times New Roman"/>
          <w:sz w:val="22"/>
          <w:szCs w:val="22"/>
          <w:lang w:val="lt-LT"/>
        </w:rPr>
        <w:t>9.</w:t>
      </w:r>
      <w:r w:rsidRPr="007229F1">
        <w:rPr>
          <w:rFonts w:ascii="Times New Roman" w:hAnsi="Times New Roman"/>
          <w:sz w:val="22"/>
          <w:szCs w:val="22"/>
          <w:lang w:val="lt-LT"/>
        </w:rPr>
        <w:tab/>
        <w:t>SPECIALIOS LAIKYMO SĄLYGOS</w:t>
      </w:r>
    </w:p>
    <w:p w:rsidR="009E3290" w:rsidRPr="002042BC" w:rsidRDefault="009E3290" w:rsidP="009E3290">
      <w:pPr>
        <w:pStyle w:val="Pagrindinistekstas"/>
        <w:rPr>
          <w:sz w:val="22"/>
          <w:szCs w:val="22"/>
        </w:rPr>
      </w:pPr>
    </w:p>
    <w:p w:rsidR="009E3290" w:rsidRPr="000F5514" w:rsidRDefault="009E3290" w:rsidP="009E3290">
      <w:pPr>
        <w:pStyle w:val="Pagrindinistekstas"/>
        <w:outlineLvl w:val="0"/>
        <w:rPr>
          <w:sz w:val="22"/>
          <w:szCs w:val="22"/>
        </w:rPr>
      </w:pPr>
      <w:r w:rsidRPr="002042BC">
        <w:rPr>
          <w:sz w:val="22"/>
          <w:szCs w:val="22"/>
        </w:rPr>
        <w:t xml:space="preserve">Laikyti gamintojo pakuotėje, kad </w:t>
      </w:r>
      <w:r w:rsidR="000F5514">
        <w:rPr>
          <w:sz w:val="22"/>
          <w:szCs w:val="22"/>
        </w:rPr>
        <w:t>vaistas</w:t>
      </w:r>
      <w:r w:rsidR="000F5514" w:rsidRPr="000F5514">
        <w:rPr>
          <w:sz w:val="22"/>
          <w:szCs w:val="22"/>
        </w:rPr>
        <w:t xml:space="preserve"> </w:t>
      </w:r>
      <w:r w:rsidRPr="000F5514">
        <w:rPr>
          <w:sz w:val="22"/>
          <w:szCs w:val="22"/>
        </w:rPr>
        <w:t>būtų apsaugotas nuo šviesos.</w:t>
      </w:r>
    </w:p>
    <w:p w:rsidR="009E3290" w:rsidRPr="00012BAC" w:rsidRDefault="009E3290" w:rsidP="009E3290">
      <w:pPr>
        <w:pStyle w:val="Pagrindinistekstas"/>
        <w:rPr>
          <w:sz w:val="22"/>
          <w:szCs w:val="22"/>
        </w:rPr>
      </w:pPr>
    </w:p>
    <w:p w:rsidR="009E3290" w:rsidRPr="00012BAC" w:rsidRDefault="009E3290" w:rsidP="009E3290">
      <w:pPr>
        <w:pStyle w:val="Pagrindinistekstas"/>
        <w:rPr>
          <w:sz w:val="22"/>
          <w:szCs w:val="22"/>
        </w:rPr>
      </w:pPr>
    </w:p>
    <w:p w:rsidR="009E3290" w:rsidRPr="007229F1"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12BAC">
        <w:rPr>
          <w:rFonts w:ascii="Times New Roman" w:hAnsi="Times New Roman"/>
          <w:sz w:val="22"/>
          <w:szCs w:val="22"/>
          <w:lang w:val="lt-LT"/>
        </w:rPr>
        <w:t>10.</w:t>
      </w:r>
      <w:r w:rsidRPr="00012BAC">
        <w:rPr>
          <w:rFonts w:ascii="Times New Roman" w:hAnsi="Times New Roman"/>
          <w:sz w:val="22"/>
          <w:szCs w:val="22"/>
          <w:lang w:val="lt-LT"/>
        </w:rPr>
        <w:tab/>
        <w:t xml:space="preserve">SPECIALIOS </w:t>
      </w:r>
      <w:r w:rsidRPr="007229F1">
        <w:rPr>
          <w:rFonts w:ascii="Times New Roman" w:hAnsi="Times New Roman"/>
          <w:sz w:val="22"/>
          <w:szCs w:val="22"/>
          <w:lang w:val="lt-LT"/>
        </w:rPr>
        <w:t>ATSARGUMO PRIEMONĖS DĖL NESUVARTOTO VAISTINIO PREPARATO AR JO ATLIEKŲ TVARKYMO (JEI REIKIA)</w:t>
      </w:r>
    </w:p>
    <w:p w:rsidR="009E3290" w:rsidRPr="002042BC" w:rsidRDefault="009E3290" w:rsidP="009E3290">
      <w:pPr>
        <w:pStyle w:val="Pagrindinistekstas"/>
        <w:rPr>
          <w:sz w:val="22"/>
          <w:szCs w:val="22"/>
        </w:rPr>
      </w:pPr>
    </w:p>
    <w:p w:rsidR="009E3290" w:rsidRPr="002042BC" w:rsidRDefault="009E3290" w:rsidP="009E3290">
      <w:pPr>
        <w:pStyle w:val="Pagrindinistekstas"/>
        <w:rPr>
          <w:sz w:val="22"/>
          <w:szCs w:val="22"/>
        </w:rPr>
      </w:pPr>
    </w:p>
    <w:p w:rsidR="009E3290" w:rsidRPr="00F9149D"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2042BC">
        <w:rPr>
          <w:rFonts w:ascii="Times New Roman" w:hAnsi="Times New Roman"/>
          <w:sz w:val="22"/>
          <w:szCs w:val="22"/>
          <w:lang w:val="lt-LT"/>
        </w:rPr>
        <w:t>11.</w:t>
      </w:r>
      <w:r w:rsidRPr="002042BC">
        <w:rPr>
          <w:rFonts w:ascii="Times New Roman" w:hAnsi="Times New Roman"/>
          <w:sz w:val="22"/>
          <w:szCs w:val="22"/>
          <w:lang w:val="lt-LT"/>
        </w:rPr>
        <w:tab/>
      </w:r>
      <w:r w:rsidR="00F9149D" w:rsidRPr="009B4D79">
        <w:rPr>
          <w:rFonts w:ascii="Times New Roman" w:hAnsi="Times New Roman"/>
          <w:sz w:val="22"/>
          <w:szCs w:val="22"/>
          <w:lang w:val="lt-LT"/>
        </w:rPr>
        <w:t xml:space="preserve">REGISTRUOTOJO </w:t>
      </w:r>
      <w:r w:rsidR="000F5514" w:rsidRPr="000F5514">
        <w:rPr>
          <w:rFonts w:ascii="Times New Roman" w:hAnsi="Times New Roman"/>
          <w:sz w:val="22"/>
          <w:szCs w:val="22"/>
          <w:lang w:val="lt-LT"/>
        </w:rPr>
        <w:t>PAVADINIMAS IR ADRESAS</w:t>
      </w:r>
    </w:p>
    <w:p w:rsidR="009E3290" w:rsidRPr="00F9149D" w:rsidRDefault="009E3290" w:rsidP="009E3290">
      <w:pPr>
        <w:pStyle w:val="Pagrindinistekstas"/>
        <w:rPr>
          <w:sz w:val="22"/>
          <w:szCs w:val="22"/>
        </w:rPr>
      </w:pPr>
    </w:p>
    <w:p w:rsidR="009E3290" w:rsidRPr="008F5879" w:rsidRDefault="009E3290" w:rsidP="009E3290">
      <w:pPr>
        <w:tabs>
          <w:tab w:val="left" w:pos="567"/>
        </w:tabs>
        <w:rPr>
          <w:rFonts w:ascii="Times New Roman" w:eastAsia="Arial Unicode MS" w:hAnsi="Times New Roman" w:cs="Times New Roman"/>
          <w:sz w:val="22"/>
          <w:szCs w:val="22"/>
          <w:lang w:val="lt-LT"/>
        </w:rPr>
      </w:pPr>
      <w:proofErr w:type="spellStart"/>
      <w:r w:rsidRPr="008F5879">
        <w:rPr>
          <w:rFonts w:ascii="Times New Roman" w:eastAsia="Arial Unicode MS" w:hAnsi="Times New Roman" w:cs="Times New Roman"/>
          <w:sz w:val="22"/>
          <w:szCs w:val="22"/>
          <w:lang w:val="lt-LT"/>
        </w:rPr>
        <w:t>Gedeon</w:t>
      </w:r>
      <w:proofErr w:type="spellEnd"/>
      <w:r w:rsidRPr="008F5879">
        <w:rPr>
          <w:rFonts w:ascii="Times New Roman" w:eastAsia="Arial Unicode MS" w:hAnsi="Times New Roman" w:cs="Times New Roman"/>
          <w:sz w:val="22"/>
          <w:szCs w:val="22"/>
          <w:lang w:val="lt-LT"/>
        </w:rPr>
        <w:t xml:space="preserve"> </w:t>
      </w:r>
      <w:proofErr w:type="spellStart"/>
      <w:r w:rsidRPr="008F5879">
        <w:rPr>
          <w:rFonts w:ascii="Times New Roman" w:eastAsia="Arial Unicode MS" w:hAnsi="Times New Roman" w:cs="Times New Roman"/>
          <w:sz w:val="22"/>
          <w:szCs w:val="22"/>
          <w:lang w:val="lt-LT"/>
        </w:rPr>
        <w:t>Richter</w:t>
      </w:r>
      <w:proofErr w:type="spellEnd"/>
      <w:r w:rsidRPr="008F5879">
        <w:rPr>
          <w:rFonts w:ascii="Times New Roman" w:eastAsia="Arial Unicode MS" w:hAnsi="Times New Roman" w:cs="Times New Roman"/>
          <w:sz w:val="22"/>
          <w:szCs w:val="22"/>
          <w:lang w:val="lt-LT"/>
        </w:rPr>
        <w:t xml:space="preserve"> </w:t>
      </w:r>
      <w:proofErr w:type="spellStart"/>
      <w:r w:rsidRPr="008F5879">
        <w:rPr>
          <w:rFonts w:ascii="Times New Roman" w:eastAsia="Arial Unicode MS" w:hAnsi="Times New Roman" w:cs="Times New Roman"/>
          <w:sz w:val="22"/>
          <w:szCs w:val="22"/>
          <w:lang w:val="lt-LT"/>
        </w:rPr>
        <w:t>Plc</w:t>
      </w:r>
      <w:proofErr w:type="spellEnd"/>
      <w:r w:rsidRPr="008F5879">
        <w:rPr>
          <w:rFonts w:ascii="Times New Roman" w:eastAsia="Arial Unicode MS" w:hAnsi="Times New Roman" w:cs="Times New Roman"/>
          <w:sz w:val="22"/>
          <w:szCs w:val="22"/>
          <w:lang w:val="lt-LT"/>
        </w:rPr>
        <w:t>.</w:t>
      </w:r>
      <w:r w:rsidRPr="008F5879">
        <w:rPr>
          <w:rFonts w:ascii="Times New Roman" w:hAnsi="Times New Roman" w:cs="Times New Roman"/>
          <w:sz w:val="22"/>
          <w:szCs w:val="22"/>
          <w:lang w:val="lt-LT"/>
        </w:rPr>
        <w:t xml:space="preserve"> </w:t>
      </w:r>
    </w:p>
    <w:p w:rsidR="009E3290" w:rsidRPr="00012BAC" w:rsidRDefault="009E3290" w:rsidP="009E3290">
      <w:pPr>
        <w:tabs>
          <w:tab w:val="left" w:pos="0"/>
        </w:tabs>
        <w:rPr>
          <w:rFonts w:ascii="Times New Roman" w:hAnsi="Times New Roman" w:cs="Times New Roman"/>
          <w:sz w:val="22"/>
          <w:szCs w:val="22"/>
          <w:lang w:val="lt-LT"/>
        </w:rPr>
      </w:pPr>
      <w:proofErr w:type="spellStart"/>
      <w:r w:rsidRPr="00012BAC">
        <w:rPr>
          <w:rFonts w:ascii="Times New Roman" w:hAnsi="Times New Roman" w:cs="Times New Roman"/>
          <w:sz w:val="22"/>
          <w:szCs w:val="22"/>
          <w:lang w:val="lt-LT"/>
        </w:rPr>
        <w:t>Gyömrői</w:t>
      </w:r>
      <w:proofErr w:type="spellEnd"/>
      <w:r w:rsidRPr="00012BAC">
        <w:rPr>
          <w:rFonts w:ascii="Times New Roman" w:hAnsi="Times New Roman" w:cs="Times New Roman"/>
          <w:sz w:val="22"/>
          <w:szCs w:val="22"/>
          <w:lang w:val="lt-LT"/>
        </w:rPr>
        <w:t xml:space="preserve"> </w:t>
      </w:r>
      <w:proofErr w:type="spellStart"/>
      <w:r w:rsidRPr="00012BAC">
        <w:rPr>
          <w:rFonts w:ascii="Times New Roman" w:hAnsi="Times New Roman" w:cs="Times New Roman"/>
          <w:sz w:val="22"/>
          <w:szCs w:val="22"/>
          <w:lang w:val="lt-LT"/>
        </w:rPr>
        <w:t>út</w:t>
      </w:r>
      <w:proofErr w:type="spellEnd"/>
      <w:r w:rsidRPr="00012BAC">
        <w:rPr>
          <w:rFonts w:ascii="Times New Roman" w:hAnsi="Times New Roman" w:cs="Times New Roman"/>
          <w:sz w:val="22"/>
          <w:szCs w:val="22"/>
          <w:lang w:val="lt-LT"/>
        </w:rPr>
        <w:t xml:space="preserve"> 19-21</w:t>
      </w:r>
    </w:p>
    <w:p w:rsidR="009E3290" w:rsidRPr="00012BAC" w:rsidRDefault="009E3290" w:rsidP="009E3290">
      <w:pPr>
        <w:tabs>
          <w:tab w:val="left" w:pos="0"/>
        </w:tabs>
        <w:rPr>
          <w:rFonts w:ascii="Times New Roman" w:hAnsi="Times New Roman" w:cs="Times New Roman"/>
          <w:sz w:val="22"/>
          <w:szCs w:val="22"/>
          <w:lang w:val="lt-LT"/>
        </w:rPr>
      </w:pPr>
      <w:r w:rsidRPr="00012BAC">
        <w:rPr>
          <w:rFonts w:ascii="Times New Roman" w:hAnsi="Times New Roman" w:cs="Times New Roman"/>
          <w:sz w:val="22"/>
          <w:szCs w:val="22"/>
          <w:lang w:val="lt-LT"/>
        </w:rPr>
        <w:t xml:space="preserve">1103 </w:t>
      </w:r>
      <w:proofErr w:type="spellStart"/>
      <w:r w:rsidRPr="00012BAC">
        <w:rPr>
          <w:rFonts w:ascii="Times New Roman" w:hAnsi="Times New Roman" w:cs="Times New Roman"/>
          <w:sz w:val="22"/>
          <w:szCs w:val="22"/>
          <w:lang w:val="lt-LT"/>
        </w:rPr>
        <w:t>Budapest</w:t>
      </w:r>
      <w:proofErr w:type="spellEnd"/>
      <w:r w:rsidRPr="00012BAC">
        <w:rPr>
          <w:rFonts w:ascii="Times New Roman" w:hAnsi="Times New Roman" w:cs="Times New Roman"/>
          <w:sz w:val="22"/>
          <w:szCs w:val="22"/>
          <w:lang w:val="lt-LT"/>
        </w:rPr>
        <w:t xml:space="preserve"> </w:t>
      </w:r>
    </w:p>
    <w:p w:rsidR="009E3290" w:rsidRPr="007229F1" w:rsidRDefault="009E3290" w:rsidP="009E3290">
      <w:pPr>
        <w:tabs>
          <w:tab w:val="left" w:pos="0"/>
        </w:tabs>
        <w:rPr>
          <w:rFonts w:ascii="Times New Roman" w:hAnsi="Times New Roman" w:cs="Times New Roman"/>
          <w:sz w:val="22"/>
          <w:szCs w:val="22"/>
          <w:lang w:val="lt-LT"/>
        </w:rPr>
      </w:pPr>
      <w:r w:rsidRPr="007229F1">
        <w:rPr>
          <w:rFonts w:ascii="Times New Roman" w:hAnsi="Times New Roman" w:cs="Times New Roman"/>
          <w:sz w:val="22"/>
          <w:szCs w:val="22"/>
          <w:lang w:val="lt-LT"/>
        </w:rPr>
        <w:t>Vengrija</w:t>
      </w:r>
    </w:p>
    <w:p w:rsidR="009E3290" w:rsidRPr="002042BC" w:rsidRDefault="009E3290" w:rsidP="009E3290">
      <w:pPr>
        <w:tabs>
          <w:tab w:val="left" w:pos="0"/>
        </w:tabs>
        <w:rPr>
          <w:rFonts w:ascii="Times New Roman" w:hAnsi="Times New Roman" w:cs="Times New Roman"/>
          <w:sz w:val="22"/>
          <w:szCs w:val="22"/>
          <w:lang w:val="lt-LT"/>
        </w:rPr>
      </w:pPr>
    </w:p>
    <w:p w:rsidR="009E3290" w:rsidRPr="00E3225E" w:rsidRDefault="009E3290" w:rsidP="009E3290">
      <w:pPr>
        <w:rPr>
          <w:rFonts w:ascii="Times New Roman" w:hAnsi="Times New Roman" w:cs="Times New Roman"/>
          <w:sz w:val="22"/>
          <w:szCs w:val="22"/>
          <w:lang w:val="lt-LT"/>
        </w:rPr>
      </w:pPr>
      <w:r w:rsidRPr="002042BC">
        <w:rPr>
          <w:rFonts w:ascii="Times New Roman" w:hAnsi="Times New Roman" w:cs="Times New Roman"/>
          <w:sz w:val="22"/>
          <w:szCs w:val="22"/>
          <w:lang w:val="lt-LT"/>
        </w:rPr>
        <w:t>((RG logo</w:t>
      </w:r>
      <w:r w:rsidR="00E3225E">
        <w:rPr>
          <w:rFonts w:ascii="Times New Roman" w:hAnsi="Times New Roman" w:cs="Times New Roman"/>
          <w:sz w:val="22"/>
          <w:szCs w:val="22"/>
          <w:lang w:val="lt-LT"/>
        </w:rPr>
        <w:t>tipas</w:t>
      </w:r>
      <w:r w:rsidRPr="00E3225E">
        <w:rPr>
          <w:rFonts w:ascii="Times New Roman" w:hAnsi="Times New Roman" w:cs="Times New Roman"/>
          <w:sz w:val="22"/>
          <w:szCs w:val="22"/>
          <w:lang w:val="lt-LT"/>
        </w:rPr>
        <w:t>))</w:t>
      </w:r>
    </w:p>
    <w:p w:rsidR="009E3290" w:rsidRPr="002042BC" w:rsidRDefault="009E3290" w:rsidP="009E3290">
      <w:pPr>
        <w:pStyle w:val="Pagrindinistekstas"/>
        <w:rPr>
          <w:sz w:val="22"/>
          <w:szCs w:val="22"/>
        </w:rPr>
      </w:pPr>
    </w:p>
    <w:p w:rsidR="009E3290" w:rsidRPr="002042BC" w:rsidRDefault="009E3290" w:rsidP="009E3290">
      <w:pPr>
        <w:pStyle w:val="Pagrindinistekstas"/>
        <w:rPr>
          <w:sz w:val="22"/>
          <w:szCs w:val="22"/>
        </w:rPr>
      </w:pPr>
    </w:p>
    <w:p w:rsidR="009E3290" w:rsidRPr="000F5514"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2042BC">
        <w:rPr>
          <w:rFonts w:ascii="Times New Roman" w:hAnsi="Times New Roman"/>
          <w:sz w:val="22"/>
          <w:szCs w:val="22"/>
          <w:lang w:val="lt-LT"/>
        </w:rPr>
        <w:t>12</w:t>
      </w:r>
      <w:r w:rsidRPr="00E313F5">
        <w:rPr>
          <w:rFonts w:ascii="Times New Roman" w:hAnsi="Times New Roman"/>
          <w:sz w:val="22"/>
          <w:szCs w:val="22"/>
          <w:lang w:val="lt-LT"/>
        </w:rPr>
        <w:t>.</w:t>
      </w:r>
      <w:r w:rsidRPr="00E313F5">
        <w:rPr>
          <w:rFonts w:ascii="Times New Roman" w:hAnsi="Times New Roman"/>
          <w:sz w:val="22"/>
          <w:szCs w:val="22"/>
          <w:lang w:val="lt-LT"/>
        </w:rPr>
        <w:tab/>
        <w:t>REGISTRACIJOS PAŽYMĖJIMO NUMERIS</w:t>
      </w:r>
      <w:r w:rsidR="000F5514">
        <w:rPr>
          <w:rFonts w:ascii="Times New Roman" w:hAnsi="Times New Roman"/>
          <w:sz w:val="22"/>
          <w:szCs w:val="22"/>
          <w:lang w:val="lt-LT"/>
        </w:rPr>
        <w:t xml:space="preserve"> (-IAI)</w:t>
      </w:r>
    </w:p>
    <w:p w:rsidR="009E3290" w:rsidRPr="00012BAC" w:rsidRDefault="009E3290" w:rsidP="009E3290">
      <w:pPr>
        <w:pStyle w:val="Pagrindinistekstas"/>
        <w:ind w:left="540" w:hanging="540"/>
        <w:rPr>
          <w:sz w:val="22"/>
          <w:szCs w:val="22"/>
        </w:rPr>
      </w:pPr>
    </w:p>
    <w:p w:rsidR="009E3290" w:rsidRPr="00012BAC" w:rsidRDefault="009E3290" w:rsidP="009E3290">
      <w:pPr>
        <w:rPr>
          <w:rFonts w:ascii="Times New Roman" w:hAnsi="Times New Roman" w:cs="Times New Roman"/>
          <w:sz w:val="22"/>
          <w:szCs w:val="22"/>
          <w:lang w:val="lt-LT"/>
        </w:rPr>
      </w:pPr>
      <w:r w:rsidRPr="00012BAC">
        <w:rPr>
          <w:rFonts w:ascii="Times New Roman" w:hAnsi="Times New Roman" w:cs="Times New Roman"/>
          <w:sz w:val="22"/>
          <w:szCs w:val="22"/>
          <w:lang w:val="lt-LT"/>
        </w:rPr>
        <w:t>N1 – LT/1/11/2734/005</w:t>
      </w:r>
    </w:p>
    <w:p w:rsidR="009E3290" w:rsidRPr="009B4D79" w:rsidRDefault="009E3290" w:rsidP="009B4D79">
      <w:pPr>
        <w:pStyle w:val="Pagrindinistekstas"/>
        <w:rPr>
          <w:sz w:val="22"/>
          <w:szCs w:val="22"/>
          <w:highlight w:val="lightGray"/>
          <w:lang w:eastAsia="lt-LT"/>
        </w:rPr>
      </w:pPr>
      <w:r w:rsidRPr="009B4D79">
        <w:rPr>
          <w:sz w:val="22"/>
          <w:szCs w:val="22"/>
          <w:highlight w:val="lightGray"/>
          <w:lang w:eastAsia="lt-LT"/>
        </w:rPr>
        <w:t>N4 – LT/1/11/2734/006</w:t>
      </w:r>
    </w:p>
    <w:p w:rsidR="009E3290" w:rsidRPr="00F9149D" w:rsidRDefault="009E3290" w:rsidP="009E3290">
      <w:pPr>
        <w:pStyle w:val="Pagrindinistekstas"/>
        <w:ind w:left="540" w:hanging="540"/>
        <w:rPr>
          <w:sz w:val="22"/>
          <w:szCs w:val="22"/>
        </w:rPr>
      </w:pPr>
    </w:p>
    <w:p w:rsidR="009E3290" w:rsidRPr="008F5879" w:rsidRDefault="009E3290" w:rsidP="009E3290">
      <w:pPr>
        <w:pStyle w:val="Pagrindinistekstas"/>
        <w:ind w:left="540" w:hanging="540"/>
        <w:rPr>
          <w:sz w:val="22"/>
          <w:szCs w:val="22"/>
        </w:rPr>
      </w:pPr>
    </w:p>
    <w:p w:rsidR="009E3290" w:rsidRPr="008F5879"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8F5879">
        <w:rPr>
          <w:rFonts w:ascii="Times New Roman" w:hAnsi="Times New Roman"/>
          <w:sz w:val="22"/>
          <w:szCs w:val="22"/>
          <w:lang w:val="lt-LT"/>
        </w:rPr>
        <w:t>13.</w:t>
      </w:r>
      <w:r w:rsidRPr="008F5879">
        <w:rPr>
          <w:rFonts w:ascii="Times New Roman" w:hAnsi="Times New Roman"/>
          <w:sz w:val="22"/>
          <w:szCs w:val="22"/>
          <w:lang w:val="lt-LT"/>
        </w:rPr>
        <w:tab/>
        <w:t xml:space="preserve"> SERIJOS NUMERIS</w:t>
      </w:r>
    </w:p>
    <w:p w:rsidR="009E3290" w:rsidRPr="008F5879" w:rsidRDefault="009E3290" w:rsidP="009E3290">
      <w:pPr>
        <w:pStyle w:val="Pagrindinistekstas"/>
        <w:ind w:left="540" w:hanging="540"/>
        <w:rPr>
          <w:sz w:val="22"/>
          <w:szCs w:val="22"/>
        </w:rPr>
      </w:pPr>
    </w:p>
    <w:p w:rsidR="009E3290" w:rsidRPr="00012BAC" w:rsidRDefault="009E3290" w:rsidP="009E3290">
      <w:pPr>
        <w:pStyle w:val="Pagrindinistekstas"/>
        <w:ind w:left="540" w:hanging="540"/>
        <w:outlineLvl w:val="0"/>
        <w:rPr>
          <w:sz w:val="22"/>
          <w:szCs w:val="22"/>
        </w:rPr>
      </w:pPr>
      <w:r w:rsidRPr="00012BAC">
        <w:rPr>
          <w:sz w:val="22"/>
          <w:szCs w:val="22"/>
        </w:rPr>
        <w:t xml:space="preserve">Serija </w:t>
      </w:r>
    </w:p>
    <w:p w:rsidR="009E3290" w:rsidRPr="00012BAC" w:rsidRDefault="009E3290" w:rsidP="009E3290">
      <w:pPr>
        <w:pStyle w:val="Pagrindinistekstas"/>
        <w:ind w:left="540" w:hanging="540"/>
        <w:rPr>
          <w:sz w:val="22"/>
          <w:szCs w:val="22"/>
        </w:rPr>
      </w:pPr>
    </w:p>
    <w:p w:rsidR="009E3290" w:rsidRPr="007229F1" w:rsidRDefault="009E3290" w:rsidP="009E3290">
      <w:pPr>
        <w:pStyle w:val="Pagrindinistekstas"/>
        <w:ind w:left="540" w:hanging="540"/>
        <w:rPr>
          <w:sz w:val="22"/>
          <w:szCs w:val="22"/>
        </w:rPr>
      </w:pPr>
    </w:p>
    <w:p w:rsidR="009E3290" w:rsidRPr="002042BC"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2042BC">
        <w:rPr>
          <w:rFonts w:ascii="Times New Roman" w:hAnsi="Times New Roman"/>
          <w:sz w:val="22"/>
          <w:szCs w:val="22"/>
          <w:lang w:val="lt-LT"/>
        </w:rPr>
        <w:t>14.</w:t>
      </w:r>
      <w:r w:rsidRPr="002042BC">
        <w:rPr>
          <w:rFonts w:ascii="Times New Roman" w:hAnsi="Times New Roman"/>
          <w:sz w:val="22"/>
          <w:szCs w:val="22"/>
          <w:lang w:val="lt-LT"/>
        </w:rPr>
        <w:tab/>
        <w:t>PARDAVIMO (IŠDAVIMO) TVARKA</w:t>
      </w:r>
    </w:p>
    <w:p w:rsidR="009E3290" w:rsidRPr="002042BC" w:rsidRDefault="009E3290" w:rsidP="009E3290">
      <w:pPr>
        <w:pStyle w:val="Pagrindinistekstas"/>
        <w:ind w:left="540" w:hanging="540"/>
        <w:rPr>
          <w:sz w:val="22"/>
          <w:szCs w:val="22"/>
        </w:rPr>
      </w:pPr>
    </w:p>
    <w:p w:rsidR="009E3290" w:rsidRPr="000730B8" w:rsidRDefault="009E3290" w:rsidP="009E3290">
      <w:pPr>
        <w:pStyle w:val="Pagrindinistekstas"/>
        <w:ind w:left="540" w:hanging="540"/>
        <w:outlineLvl w:val="0"/>
        <w:rPr>
          <w:sz w:val="22"/>
          <w:szCs w:val="22"/>
        </w:rPr>
      </w:pPr>
      <w:r w:rsidRPr="002042BC">
        <w:rPr>
          <w:sz w:val="22"/>
          <w:szCs w:val="22"/>
        </w:rPr>
        <w:t>Receptinis vaist</w:t>
      </w:r>
      <w:r w:rsidRPr="000730B8">
        <w:rPr>
          <w:sz w:val="22"/>
          <w:szCs w:val="22"/>
        </w:rPr>
        <w:t>as.</w:t>
      </w:r>
    </w:p>
    <w:p w:rsidR="009E3290" w:rsidRPr="00655FB0" w:rsidRDefault="009E3290" w:rsidP="009E3290">
      <w:pPr>
        <w:pStyle w:val="Pagrindinistekstas"/>
        <w:ind w:left="540" w:hanging="540"/>
        <w:rPr>
          <w:sz w:val="22"/>
          <w:szCs w:val="22"/>
        </w:rPr>
      </w:pPr>
    </w:p>
    <w:p w:rsidR="009E3290" w:rsidRPr="004E24AC" w:rsidRDefault="009E3290" w:rsidP="009E3290">
      <w:pPr>
        <w:pStyle w:val="Pagrindinistekstas"/>
        <w:ind w:left="540" w:hanging="540"/>
        <w:rPr>
          <w:sz w:val="22"/>
          <w:szCs w:val="22"/>
        </w:rPr>
      </w:pPr>
    </w:p>
    <w:p w:rsidR="009E3290" w:rsidRPr="00B87759"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B87759">
        <w:rPr>
          <w:rFonts w:ascii="Times New Roman" w:hAnsi="Times New Roman"/>
          <w:sz w:val="22"/>
          <w:szCs w:val="22"/>
          <w:lang w:val="lt-LT"/>
        </w:rPr>
        <w:t>15.</w:t>
      </w:r>
      <w:r w:rsidRPr="00B87759">
        <w:rPr>
          <w:rFonts w:ascii="Times New Roman" w:hAnsi="Times New Roman"/>
          <w:sz w:val="22"/>
          <w:szCs w:val="22"/>
          <w:lang w:val="lt-LT"/>
        </w:rPr>
        <w:tab/>
        <w:t>VARTOJIMO INSTRUKCIJA</w:t>
      </w:r>
    </w:p>
    <w:p w:rsidR="009E3290" w:rsidRPr="008D1A91" w:rsidRDefault="009E3290" w:rsidP="009E3290">
      <w:pPr>
        <w:pStyle w:val="Pagrindinistekstas"/>
        <w:ind w:left="540" w:hanging="540"/>
        <w:rPr>
          <w:sz w:val="22"/>
          <w:szCs w:val="22"/>
        </w:rPr>
      </w:pPr>
    </w:p>
    <w:p w:rsidR="009E3290" w:rsidRPr="008D1A91" w:rsidRDefault="009E3290" w:rsidP="009E3290">
      <w:pPr>
        <w:pStyle w:val="Pagrindinistekstas"/>
        <w:rPr>
          <w:sz w:val="22"/>
          <w:szCs w:val="22"/>
        </w:rPr>
      </w:pPr>
    </w:p>
    <w:p w:rsidR="009E3290" w:rsidRPr="00B01E83" w:rsidRDefault="009E3290" w:rsidP="009E3290">
      <w:pPr>
        <w:pStyle w:val="PI-1labEMEASMCA"/>
        <w:outlineLvl w:val="0"/>
        <w:rPr>
          <w:rFonts w:ascii="Times New Roman" w:hAnsi="Times New Roman"/>
          <w:noProof w:val="0"/>
          <w:lang w:val="lt-LT"/>
        </w:rPr>
      </w:pPr>
      <w:r w:rsidRPr="00B01E83">
        <w:rPr>
          <w:rFonts w:ascii="Times New Roman" w:hAnsi="Times New Roman"/>
          <w:noProof w:val="0"/>
          <w:lang w:val="lt-LT"/>
        </w:rPr>
        <w:t>16.</w:t>
      </w:r>
      <w:r w:rsidRPr="00B01E83">
        <w:rPr>
          <w:rFonts w:ascii="Times New Roman" w:hAnsi="Times New Roman"/>
          <w:noProof w:val="0"/>
          <w:lang w:val="lt-LT"/>
        </w:rPr>
        <w:tab/>
        <w:t>INFORMACIJA BRAILIO RAŠTU</w:t>
      </w:r>
    </w:p>
    <w:p w:rsidR="009E3290" w:rsidRPr="00B01E83" w:rsidRDefault="009E3290" w:rsidP="009E3290">
      <w:pPr>
        <w:pStyle w:val="BTEMEASMCA"/>
        <w:rPr>
          <w:rFonts w:ascii="Times New Roman" w:hAnsi="Times New Roman"/>
          <w:lang w:val="lt-LT"/>
        </w:rPr>
      </w:pPr>
    </w:p>
    <w:p w:rsidR="000F5514" w:rsidRPr="000F5514" w:rsidRDefault="000F5514" w:rsidP="000F5514">
      <w:pPr>
        <w:pStyle w:val="BTEMEASMCA"/>
        <w:rPr>
          <w:rFonts w:ascii="Times New Roman" w:hAnsi="Times New Roman"/>
          <w:highlight w:val="lightGray"/>
          <w:lang w:val="lt-LT"/>
        </w:rPr>
      </w:pPr>
      <w:r w:rsidRPr="000F5514">
        <w:rPr>
          <w:rFonts w:ascii="Times New Roman" w:hAnsi="Times New Roman"/>
          <w:highlight w:val="lightGray"/>
          <w:lang w:val="lt-LT"/>
        </w:rPr>
        <w:t>Priimtas pagrindimas informacijos Brailio raštu nepateikti.</w:t>
      </w:r>
    </w:p>
    <w:p w:rsidR="00655FB0" w:rsidRDefault="00655FB0" w:rsidP="009E3290">
      <w:pPr>
        <w:pStyle w:val="BTEMEASMCA"/>
        <w:rPr>
          <w:rFonts w:ascii="Times New Roman" w:hAnsi="Times New Roman"/>
          <w:highlight w:val="lightGray"/>
          <w:lang w:val="lt-LT"/>
        </w:rPr>
      </w:pPr>
    </w:p>
    <w:p w:rsidR="00B01E83" w:rsidRPr="00B01E83" w:rsidRDefault="00B01E83" w:rsidP="009E3290">
      <w:pPr>
        <w:pStyle w:val="BTEMEASMCA"/>
        <w:rPr>
          <w:rFonts w:ascii="Times New Roman" w:hAnsi="Times New Roman"/>
          <w:lang w:val="lt-LT"/>
        </w:rPr>
      </w:pPr>
    </w:p>
    <w:p w:rsidR="00B01E83" w:rsidRPr="00B01E83" w:rsidRDefault="00B01E83" w:rsidP="00B01E8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2"/>
          <w:lang w:val="en-GB"/>
        </w:rPr>
      </w:pPr>
      <w:r w:rsidRPr="00B01E83">
        <w:rPr>
          <w:rFonts w:ascii="Times New Roman" w:hAnsi="Times New Roman" w:cs="Times New Roman"/>
          <w:b/>
          <w:noProof/>
          <w:snapToGrid w:val="0"/>
          <w:sz w:val="22"/>
          <w:szCs w:val="22"/>
          <w:lang w:val="en-GB"/>
        </w:rPr>
        <w:t>17.</w:t>
      </w:r>
      <w:r w:rsidRPr="00B01E83">
        <w:rPr>
          <w:rFonts w:ascii="Times New Roman" w:hAnsi="Times New Roman" w:cs="Times New Roman"/>
          <w:b/>
          <w:noProof/>
          <w:snapToGrid w:val="0"/>
          <w:sz w:val="22"/>
          <w:szCs w:val="22"/>
          <w:lang w:val="en-GB"/>
        </w:rPr>
        <w:tab/>
        <w:t>UNIKALUS IDENTIFIKATORIUS – 2D BRŪKŠNINIS KODAS</w:t>
      </w:r>
    </w:p>
    <w:p w:rsidR="00B01E83" w:rsidRPr="00B01E83" w:rsidRDefault="00B01E83" w:rsidP="00B01E83">
      <w:pPr>
        <w:tabs>
          <w:tab w:val="left" w:pos="567"/>
        </w:tabs>
        <w:spacing w:line="260" w:lineRule="exact"/>
        <w:rPr>
          <w:rFonts w:ascii="Times New Roman" w:hAnsi="Times New Roman" w:cs="Times New Roman"/>
          <w:noProof/>
          <w:snapToGrid w:val="0"/>
          <w:sz w:val="22"/>
          <w:szCs w:val="22"/>
          <w:lang w:val="en-GB"/>
        </w:rPr>
      </w:pPr>
    </w:p>
    <w:p w:rsidR="00B01E83" w:rsidRPr="00F9149D" w:rsidRDefault="00B01E83" w:rsidP="00B01E83">
      <w:pPr>
        <w:tabs>
          <w:tab w:val="left" w:pos="567"/>
        </w:tabs>
        <w:spacing w:line="260" w:lineRule="exact"/>
        <w:rPr>
          <w:rFonts w:ascii="Times New Roman" w:hAnsi="Times New Roman" w:cs="Times New Roman"/>
          <w:noProof/>
          <w:snapToGrid w:val="0"/>
          <w:sz w:val="22"/>
          <w:szCs w:val="22"/>
          <w:shd w:val="clear" w:color="auto" w:fill="CCCCCC"/>
          <w:lang w:val="en-GB"/>
        </w:rPr>
      </w:pPr>
      <w:r w:rsidRPr="00F9149D">
        <w:rPr>
          <w:rFonts w:ascii="Times New Roman" w:hAnsi="Times New Roman" w:cs="Times New Roman"/>
          <w:noProof/>
          <w:snapToGrid w:val="0"/>
          <w:sz w:val="22"/>
          <w:szCs w:val="22"/>
          <w:highlight w:val="lightGray"/>
          <w:lang w:val="en-GB"/>
        </w:rPr>
        <w:t>2D brūkšninis kodas su nurodytu unikaliu identifikatoriumi.</w:t>
      </w:r>
    </w:p>
    <w:p w:rsidR="00B01E83" w:rsidRPr="00F9149D" w:rsidRDefault="00B01E83" w:rsidP="00B01E83">
      <w:pPr>
        <w:tabs>
          <w:tab w:val="left" w:pos="567"/>
        </w:tabs>
        <w:spacing w:line="260" w:lineRule="exact"/>
        <w:rPr>
          <w:rFonts w:ascii="Times New Roman" w:hAnsi="Times New Roman" w:cs="Times New Roman"/>
          <w:noProof/>
          <w:snapToGrid w:val="0"/>
          <w:sz w:val="22"/>
          <w:szCs w:val="22"/>
          <w:shd w:val="clear" w:color="auto" w:fill="CCCCCC"/>
          <w:lang w:val="en-GB"/>
        </w:rPr>
      </w:pPr>
    </w:p>
    <w:p w:rsidR="00B01E83" w:rsidRPr="00F9149D" w:rsidRDefault="00B01E83" w:rsidP="00B01E83">
      <w:pPr>
        <w:tabs>
          <w:tab w:val="left" w:pos="567"/>
        </w:tabs>
        <w:spacing w:line="260" w:lineRule="exact"/>
        <w:rPr>
          <w:rFonts w:ascii="Times New Roman" w:hAnsi="Times New Roman" w:cs="Times New Roman"/>
          <w:noProof/>
          <w:snapToGrid w:val="0"/>
          <w:sz w:val="22"/>
          <w:szCs w:val="22"/>
          <w:lang w:val="en-GB"/>
        </w:rPr>
      </w:pPr>
    </w:p>
    <w:p w:rsidR="00B01E83" w:rsidRPr="00F9149D" w:rsidRDefault="00B01E83" w:rsidP="00B01E8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2"/>
          <w:lang w:val="en-GB"/>
        </w:rPr>
      </w:pPr>
      <w:r w:rsidRPr="00F9149D">
        <w:rPr>
          <w:rFonts w:ascii="Times New Roman" w:hAnsi="Times New Roman" w:cs="Times New Roman"/>
          <w:b/>
          <w:noProof/>
          <w:snapToGrid w:val="0"/>
          <w:sz w:val="22"/>
          <w:szCs w:val="22"/>
          <w:lang w:val="en-GB"/>
        </w:rPr>
        <w:t>18.</w:t>
      </w:r>
      <w:r w:rsidRPr="00F9149D">
        <w:rPr>
          <w:rFonts w:ascii="Times New Roman" w:hAnsi="Times New Roman" w:cs="Times New Roman"/>
          <w:b/>
          <w:noProof/>
          <w:snapToGrid w:val="0"/>
          <w:sz w:val="22"/>
          <w:szCs w:val="22"/>
          <w:lang w:val="en-GB"/>
        </w:rPr>
        <w:tab/>
        <w:t>UNIKALUS IDENTIFIKATORIUS – ŽMONĖMS SUPRANTAMI DUOMENYS</w:t>
      </w:r>
    </w:p>
    <w:p w:rsidR="00B01E83" w:rsidRPr="008F5879" w:rsidRDefault="00B01E83" w:rsidP="00B01E83">
      <w:pPr>
        <w:tabs>
          <w:tab w:val="left" w:pos="567"/>
        </w:tabs>
        <w:spacing w:line="260" w:lineRule="exact"/>
        <w:rPr>
          <w:rFonts w:ascii="Times New Roman" w:hAnsi="Times New Roman" w:cs="Times New Roman"/>
          <w:noProof/>
          <w:snapToGrid w:val="0"/>
          <w:sz w:val="22"/>
          <w:szCs w:val="22"/>
          <w:lang w:val="en-GB"/>
        </w:rPr>
      </w:pPr>
    </w:p>
    <w:p w:rsidR="00F9149D" w:rsidRPr="00F9149D" w:rsidRDefault="00F9149D" w:rsidP="00F9149D">
      <w:pPr>
        <w:rPr>
          <w:rFonts w:ascii="Times New Roman" w:hAnsi="Times New Roman" w:cs="Times New Roman"/>
          <w:sz w:val="22"/>
          <w:lang w:val="lt-LT" w:eastAsia="lt-LT"/>
        </w:rPr>
      </w:pPr>
      <w:r w:rsidRPr="00F9149D">
        <w:rPr>
          <w:rFonts w:ascii="Times New Roman" w:hAnsi="Times New Roman" w:cs="Times New Roman"/>
          <w:sz w:val="22"/>
          <w:lang w:val="lt-LT" w:eastAsia="lt-LT"/>
        </w:rPr>
        <w:t>PC: {numeris}</w:t>
      </w:r>
    </w:p>
    <w:p w:rsidR="00F9149D" w:rsidRPr="00F9149D" w:rsidRDefault="00F9149D" w:rsidP="00F9149D">
      <w:pPr>
        <w:rPr>
          <w:rFonts w:ascii="Times New Roman" w:hAnsi="Times New Roman" w:cs="Times New Roman"/>
          <w:sz w:val="22"/>
          <w:lang w:val="lt-LT" w:eastAsia="lt-LT"/>
        </w:rPr>
      </w:pPr>
      <w:r w:rsidRPr="00F9149D">
        <w:rPr>
          <w:rFonts w:ascii="Times New Roman" w:hAnsi="Times New Roman" w:cs="Times New Roman"/>
          <w:sz w:val="22"/>
          <w:lang w:val="lt-LT" w:eastAsia="lt-LT"/>
        </w:rPr>
        <w:t>SN: {numeris}</w:t>
      </w:r>
    </w:p>
    <w:p w:rsidR="00F9149D" w:rsidRPr="00F9149D" w:rsidRDefault="00F9149D" w:rsidP="00F9149D">
      <w:pPr>
        <w:spacing w:after="120"/>
        <w:rPr>
          <w:rFonts w:ascii="Times New Roman" w:hAnsi="Times New Roman" w:cs="Times New Roman"/>
          <w:sz w:val="22"/>
          <w:lang w:val="lt-LT" w:eastAsia="lt-LT"/>
        </w:rPr>
      </w:pPr>
      <w:r w:rsidRPr="009B4D79">
        <w:rPr>
          <w:rFonts w:ascii="Times New Roman" w:hAnsi="Times New Roman" w:cs="Times New Roman"/>
          <w:sz w:val="22"/>
          <w:highlight w:val="lightGray"/>
          <w:lang w:val="lt-LT" w:eastAsia="lt-LT"/>
        </w:rPr>
        <w:t>NN: {numeris}</w:t>
      </w:r>
    </w:p>
    <w:p w:rsidR="00B01E83" w:rsidRPr="00042943" w:rsidRDefault="00B01E83" w:rsidP="009E3290">
      <w:pPr>
        <w:pStyle w:val="BTEMEASMCA"/>
        <w:rPr>
          <w:lang w:val="lt-LT"/>
        </w:rPr>
      </w:pPr>
    </w:p>
    <w:p w:rsidR="009E3290" w:rsidRPr="00042943" w:rsidRDefault="009E3290" w:rsidP="009E3290">
      <w:pPr>
        <w:rPr>
          <w:lang w:val="lt-LT"/>
        </w:rPr>
        <w:sectPr w:rsidR="009E3290" w:rsidRPr="00042943" w:rsidSect="00DA32C5">
          <w:footerReference w:type="default" r:id="rId8"/>
          <w:pgSz w:w="11906" w:h="16838"/>
          <w:pgMar w:top="1134" w:right="1418" w:bottom="1134" w:left="1418" w:header="567" w:footer="567" w:gutter="0"/>
          <w:cols w:space="720"/>
        </w:sectPr>
      </w:pPr>
    </w:p>
    <w:p w:rsidR="009E3290" w:rsidRPr="00042943" w:rsidRDefault="009E3290" w:rsidP="009E3290">
      <w:pPr>
        <w:pStyle w:val="Pagrindinistekstas"/>
        <w:pBdr>
          <w:top w:val="single" w:sz="4" w:space="1" w:color="auto"/>
          <w:left w:val="single" w:sz="4" w:space="4" w:color="auto"/>
          <w:bottom w:val="single" w:sz="4" w:space="1" w:color="auto"/>
          <w:right w:val="single" w:sz="4" w:space="4" w:color="auto"/>
        </w:pBdr>
        <w:outlineLvl w:val="0"/>
        <w:rPr>
          <w:b/>
          <w:sz w:val="22"/>
        </w:rPr>
      </w:pPr>
      <w:r w:rsidRPr="00042943">
        <w:rPr>
          <w:b/>
          <w:sz w:val="22"/>
        </w:rPr>
        <w:lastRenderedPageBreak/>
        <w:t>MINIMALI INFORMACIJA ANT MAŽŲ VIDINIŲ PAKUOČIŲ</w:t>
      </w:r>
    </w:p>
    <w:p w:rsidR="009E3290" w:rsidRPr="00042943" w:rsidRDefault="009E3290" w:rsidP="009E3290">
      <w:pPr>
        <w:pStyle w:val="Pagrindinistekstas"/>
        <w:pBdr>
          <w:top w:val="single" w:sz="4" w:space="1" w:color="auto"/>
          <w:left w:val="single" w:sz="4" w:space="4" w:color="auto"/>
          <w:bottom w:val="single" w:sz="4" w:space="1" w:color="auto"/>
          <w:right w:val="single" w:sz="4" w:space="4" w:color="auto"/>
        </w:pBdr>
        <w:rPr>
          <w:sz w:val="22"/>
        </w:rPr>
      </w:pPr>
    </w:p>
    <w:p w:rsidR="009E3290" w:rsidRPr="00042943" w:rsidRDefault="009E3290" w:rsidP="009E3290">
      <w:pPr>
        <w:pStyle w:val="Pagrindinistekstas"/>
        <w:pBdr>
          <w:top w:val="single" w:sz="4" w:space="1" w:color="auto"/>
          <w:left w:val="single" w:sz="4" w:space="4" w:color="auto"/>
          <w:bottom w:val="single" w:sz="4" w:space="1" w:color="auto"/>
          <w:right w:val="single" w:sz="4" w:space="4" w:color="auto"/>
        </w:pBdr>
        <w:rPr>
          <w:b/>
          <w:sz w:val="22"/>
        </w:rPr>
      </w:pPr>
      <w:r w:rsidRPr="00042943">
        <w:rPr>
          <w:b/>
          <w:sz w:val="22"/>
        </w:rPr>
        <w:t>UŽPILDYTAS ŠVIRKŠTAS</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p>
    <w:p w:rsidR="009E3290" w:rsidRPr="00042943"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42943">
        <w:rPr>
          <w:rFonts w:ascii="Times New Roman" w:hAnsi="Times New Roman"/>
          <w:sz w:val="22"/>
          <w:szCs w:val="22"/>
          <w:lang w:val="lt-LT"/>
        </w:rPr>
        <w:t>1.</w:t>
      </w:r>
      <w:r w:rsidRPr="00042943">
        <w:rPr>
          <w:rFonts w:ascii="Times New Roman" w:hAnsi="Times New Roman"/>
          <w:sz w:val="22"/>
          <w:szCs w:val="22"/>
          <w:lang w:val="lt-LT"/>
        </w:rPr>
        <w:tab/>
        <w:t>VAISTINIO PREPARATO PAVADINIMAS IR VARTOJIMO BŪDAS</w:t>
      </w:r>
    </w:p>
    <w:p w:rsidR="009E3290" w:rsidRPr="00042943" w:rsidRDefault="009E3290" w:rsidP="009E3290">
      <w:pPr>
        <w:pStyle w:val="Pagrindinistekstas"/>
        <w:rPr>
          <w:sz w:val="22"/>
        </w:rPr>
      </w:pPr>
    </w:p>
    <w:p w:rsidR="009E3290" w:rsidRPr="00042943" w:rsidRDefault="009E3290" w:rsidP="009E3290">
      <w:pPr>
        <w:textAlignment w:val="top"/>
        <w:outlineLvl w:val="0"/>
        <w:rPr>
          <w:rFonts w:ascii="Times New Roman" w:hAnsi="Times New Roman" w:cs="Times New Roman"/>
          <w:sz w:val="22"/>
          <w:szCs w:val="22"/>
          <w:lang w:val="lt-LT"/>
        </w:rPr>
      </w:pPr>
      <w:r w:rsidRPr="00042943">
        <w:rPr>
          <w:rFonts w:ascii="Times New Roman" w:hAnsi="Times New Roman" w:cs="Times New Roman"/>
          <w:sz w:val="22"/>
          <w:szCs w:val="22"/>
          <w:lang w:val="lt-LT"/>
        </w:rPr>
        <w:t>OSSICA 3</w:t>
      </w:r>
      <w:r w:rsidR="000F5514">
        <w:rPr>
          <w:rFonts w:ascii="Times New Roman" w:hAnsi="Times New Roman" w:cs="Times New Roman"/>
          <w:sz w:val="22"/>
          <w:szCs w:val="22"/>
          <w:lang w:val="lt-LT"/>
        </w:rPr>
        <w:t> </w:t>
      </w:r>
      <w:r w:rsidRPr="00042943">
        <w:rPr>
          <w:rFonts w:ascii="Times New Roman" w:hAnsi="Times New Roman" w:cs="Times New Roman"/>
          <w:sz w:val="22"/>
          <w:szCs w:val="22"/>
          <w:lang w:val="lt-LT"/>
        </w:rPr>
        <w:t xml:space="preserve">mg injekcinis tirpalas </w:t>
      </w:r>
    </w:p>
    <w:p w:rsidR="009E3290" w:rsidRPr="00042943" w:rsidRDefault="009E3290" w:rsidP="009E3290">
      <w:pPr>
        <w:pStyle w:val="Pagrindinistekstas"/>
        <w:rPr>
          <w:sz w:val="22"/>
        </w:rPr>
      </w:pPr>
      <w:proofErr w:type="spellStart"/>
      <w:r w:rsidRPr="00042943">
        <w:rPr>
          <w:sz w:val="22"/>
        </w:rPr>
        <w:t>Acidum</w:t>
      </w:r>
      <w:proofErr w:type="spellEnd"/>
      <w:r w:rsidRPr="00042943">
        <w:rPr>
          <w:sz w:val="22"/>
        </w:rPr>
        <w:t xml:space="preserve"> </w:t>
      </w:r>
      <w:proofErr w:type="spellStart"/>
      <w:r w:rsidRPr="00042943">
        <w:rPr>
          <w:sz w:val="22"/>
        </w:rPr>
        <w:t>ibandronicum</w:t>
      </w:r>
      <w:proofErr w:type="spellEnd"/>
    </w:p>
    <w:p w:rsidR="009E3290" w:rsidRPr="00042943" w:rsidRDefault="009E3290" w:rsidP="009E3290">
      <w:pPr>
        <w:pStyle w:val="Pagrindinistekstas"/>
        <w:rPr>
          <w:sz w:val="22"/>
        </w:rPr>
      </w:pPr>
      <w:proofErr w:type="spellStart"/>
      <w:r w:rsidRPr="00042943">
        <w:rPr>
          <w:sz w:val="22"/>
        </w:rPr>
        <w:t>i.v</w:t>
      </w:r>
      <w:proofErr w:type="spellEnd"/>
      <w:r w:rsidRPr="00042943">
        <w:rPr>
          <w:sz w:val="22"/>
        </w:rPr>
        <w:t>.</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p>
    <w:p w:rsidR="009E3290" w:rsidRPr="00042943"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42943">
        <w:rPr>
          <w:rFonts w:ascii="Times New Roman" w:hAnsi="Times New Roman"/>
          <w:sz w:val="22"/>
          <w:szCs w:val="22"/>
          <w:lang w:val="lt-LT"/>
        </w:rPr>
        <w:t>2.</w:t>
      </w:r>
      <w:r w:rsidRPr="00042943">
        <w:rPr>
          <w:rFonts w:ascii="Times New Roman" w:hAnsi="Times New Roman"/>
          <w:sz w:val="22"/>
          <w:szCs w:val="22"/>
          <w:lang w:val="lt-LT"/>
        </w:rPr>
        <w:tab/>
        <w:t>VARTOJIMO METODAS</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p>
    <w:p w:rsidR="009E3290" w:rsidRPr="00042943"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42943">
        <w:rPr>
          <w:rFonts w:ascii="Times New Roman" w:hAnsi="Times New Roman"/>
          <w:sz w:val="22"/>
          <w:szCs w:val="22"/>
          <w:lang w:val="lt-LT"/>
        </w:rPr>
        <w:t>3.</w:t>
      </w:r>
      <w:r w:rsidRPr="00042943">
        <w:rPr>
          <w:rFonts w:ascii="Times New Roman" w:hAnsi="Times New Roman"/>
          <w:sz w:val="22"/>
          <w:szCs w:val="22"/>
          <w:lang w:val="lt-LT"/>
        </w:rPr>
        <w:tab/>
        <w:t>TINKAMUMO LAIKAS</w:t>
      </w:r>
    </w:p>
    <w:p w:rsidR="009E3290" w:rsidRPr="00257A87" w:rsidRDefault="009E3290" w:rsidP="009E3290">
      <w:pPr>
        <w:pStyle w:val="Pagrindinistekstas"/>
        <w:rPr>
          <w:sz w:val="22"/>
          <w:highlight w:val="lightGray"/>
        </w:rPr>
      </w:pPr>
    </w:p>
    <w:p w:rsidR="009E3290" w:rsidRPr="00042943" w:rsidRDefault="00F9149D" w:rsidP="009E3290">
      <w:pPr>
        <w:pStyle w:val="Pagrindinistekstas"/>
        <w:rPr>
          <w:sz w:val="22"/>
        </w:rPr>
      </w:pPr>
      <w:r w:rsidRPr="00976A77">
        <w:rPr>
          <w:highlight w:val="lightGray"/>
        </w:rPr>
        <w:t>[</w:t>
      </w:r>
      <w:r w:rsidR="009E3290" w:rsidRPr="00257A87">
        <w:rPr>
          <w:sz w:val="22"/>
          <w:highlight w:val="lightGray"/>
        </w:rPr>
        <w:t>Tinka iki</w:t>
      </w:r>
      <w:r w:rsidRPr="00976A77">
        <w:rPr>
          <w:highlight w:val="lightGray"/>
        </w:rPr>
        <w:t>]</w:t>
      </w:r>
      <w:r w:rsidR="009E3290" w:rsidRPr="00042943">
        <w:rPr>
          <w:sz w:val="22"/>
        </w:rPr>
        <w:t>{mm/MMMM}</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p>
    <w:p w:rsidR="009E3290" w:rsidRPr="00042943"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42943">
        <w:rPr>
          <w:rFonts w:ascii="Times New Roman" w:hAnsi="Times New Roman"/>
          <w:sz w:val="22"/>
          <w:szCs w:val="22"/>
          <w:lang w:val="lt-LT"/>
        </w:rPr>
        <w:t>4.</w:t>
      </w:r>
      <w:r w:rsidRPr="00042943">
        <w:rPr>
          <w:rFonts w:ascii="Times New Roman" w:hAnsi="Times New Roman"/>
          <w:sz w:val="22"/>
          <w:szCs w:val="22"/>
          <w:lang w:val="lt-LT"/>
        </w:rPr>
        <w:tab/>
        <w:t>SERIJOS NUMERIS</w:t>
      </w:r>
    </w:p>
    <w:p w:rsidR="009E3290" w:rsidRPr="00042943" w:rsidRDefault="009E3290" w:rsidP="009E3290">
      <w:pPr>
        <w:pStyle w:val="Pagrindinistekstas"/>
        <w:rPr>
          <w:sz w:val="22"/>
        </w:rPr>
      </w:pPr>
    </w:p>
    <w:p w:rsidR="009E3290" w:rsidRPr="00042943" w:rsidRDefault="00F9149D" w:rsidP="009E3290">
      <w:pPr>
        <w:pStyle w:val="Pagrindinistekstas"/>
        <w:rPr>
          <w:sz w:val="22"/>
        </w:rPr>
      </w:pPr>
      <w:r w:rsidRPr="00976A77">
        <w:rPr>
          <w:highlight w:val="lightGray"/>
        </w:rPr>
        <w:t>[</w:t>
      </w:r>
      <w:r w:rsidR="009E3290" w:rsidRPr="00257A87">
        <w:rPr>
          <w:sz w:val="22"/>
          <w:highlight w:val="lightGray"/>
        </w:rPr>
        <w:t>Serija</w:t>
      </w:r>
      <w:r w:rsidRPr="00976A77">
        <w:rPr>
          <w:highlight w:val="lightGray"/>
        </w:rPr>
        <w:t>]</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p>
    <w:p w:rsidR="009E3290" w:rsidRPr="00042943" w:rsidRDefault="009E3290" w:rsidP="009E3290">
      <w:pPr>
        <w:pStyle w:val="Antrat3"/>
        <w:pBdr>
          <w:top w:val="single" w:sz="4" w:space="1" w:color="auto"/>
          <w:left w:val="single" w:sz="4" w:space="4" w:color="auto"/>
          <w:bottom w:val="single" w:sz="4" w:space="1" w:color="auto"/>
          <w:right w:val="single" w:sz="4" w:space="4" w:color="auto"/>
        </w:pBdr>
        <w:spacing w:before="0" w:after="0"/>
        <w:ind w:left="540" w:hanging="540"/>
        <w:rPr>
          <w:rFonts w:ascii="Times New Roman" w:hAnsi="Times New Roman"/>
          <w:sz w:val="22"/>
          <w:szCs w:val="22"/>
          <w:lang w:val="lt-LT"/>
        </w:rPr>
      </w:pPr>
      <w:r w:rsidRPr="00042943">
        <w:rPr>
          <w:rFonts w:ascii="Times New Roman" w:hAnsi="Times New Roman"/>
          <w:sz w:val="22"/>
          <w:szCs w:val="22"/>
          <w:lang w:val="lt-LT"/>
        </w:rPr>
        <w:t>5.</w:t>
      </w:r>
      <w:r w:rsidRPr="00042943">
        <w:rPr>
          <w:rFonts w:ascii="Times New Roman" w:hAnsi="Times New Roman"/>
          <w:sz w:val="22"/>
          <w:szCs w:val="22"/>
          <w:lang w:val="lt-LT"/>
        </w:rPr>
        <w:tab/>
        <w:t>KIEKIS (MASĖ, TŪRIS ARBA VIENETAI)</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r w:rsidRPr="00042943">
        <w:rPr>
          <w:sz w:val="22"/>
        </w:rPr>
        <w:t>3</w:t>
      </w:r>
      <w:r w:rsidR="000F5514">
        <w:rPr>
          <w:sz w:val="22"/>
        </w:rPr>
        <w:t> </w:t>
      </w:r>
      <w:r w:rsidRPr="00042943">
        <w:rPr>
          <w:sz w:val="22"/>
        </w:rPr>
        <w:t>ml</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p>
    <w:p w:rsidR="009E3290" w:rsidRPr="00042943" w:rsidRDefault="009E3290" w:rsidP="009E3290">
      <w:pPr>
        <w:pStyle w:val="Pagrindinistekstas"/>
        <w:pBdr>
          <w:top w:val="single" w:sz="4" w:space="1" w:color="auto"/>
          <w:left w:val="single" w:sz="4" w:space="4" w:color="auto"/>
          <w:bottom w:val="single" w:sz="4" w:space="1" w:color="auto"/>
          <w:right w:val="single" w:sz="4" w:space="4" w:color="auto"/>
        </w:pBdr>
        <w:ind w:left="540" w:hanging="540"/>
        <w:outlineLvl w:val="0"/>
        <w:rPr>
          <w:b/>
          <w:sz w:val="22"/>
        </w:rPr>
      </w:pPr>
      <w:r w:rsidRPr="00042943">
        <w:rPr>
          <w:b/>
          <w:sz w:val="22"/>
        </w:rPr>
        <w:t xml:space="preserve">6. </w:t>
      </w:r>
      <w:r w:rsidRPr="00042943">
        <w:rPr>
          <w:b/>
          <w:sz w:val="22"/>
        </w:rPr>
        <w:tab/>
        <w:t>KITA</w:t>
      </w:r>
    </w:p>
    <w:p w:rsidR="009E3290" w:rsidRPr="00042943" w:rsidRDefault="009E3290" w:rsidP="009E3290">
      <w:pPr>
        <w:pStyle w:val="Pagrindinistekstas"/>
        <w:rPr>
          <w:sz w:val="22"/>
        </w:rPr>
      </w:pPr>
    </w:p>
    <w:p w:rsidR="009E3290" w:rsidRPr="00042943" w:rsidRDefault="009E3290" w:rsidP="009E3290">
      <w:pPr>
        <w:pStyle w:val="Pagrindinistekstas"/>
        <w:rPr>
          <w:sz w:val="22"/>
        </w:rPr>
      </w:pPr>
      <w:r w:rsidRPr="00042943">
        <w:rPr>
          <w:sz w:val="22"/>
        </w:rPr>
        <w:t>(RG emblema)</w:t>
      </w:r>
    </w:p>
    <w:p w:rsidR="009E3290" w:rsidRPr="00042943" w:rsidRDefault="009E3290" w:rsidP="009E3290">
      <w:pPr>
        <w:pStyle w:val="Pagrindinistekstas"/>
        <w:rPr>
          <w:sz w:val="22"/>
        </w:rPr>
      </w:pPr>
    </w:p>
    <w:p w:rsidR="009E3290" w:rsidRPr="00042943" w:rsidRDefault="009E3290" w:rsidP="009E3290">
      <w:pPr>
        <w:tabs>
          <w:tab w:val="left" w:pos="567"/>
        </w:tabs>
        <w:rPr>
          <w:rFonts w:ascii="Times New Roman" w:hAnsi="Times New Roman"/>
          <w:sz w:val="22"/>
          <w:szCs w:val="22"/>
          <w:lang w:val="lt-LT"/>
        </w:rPr>
      </w:pPr>
      <w:r w:rsidRPr="00042943">
        <w:rPr>
          <w:rFonts w:ascii="Times New Roman" w:hAnsi="Times New Roman"/>
          <w:sz w:val="22"/>
          <w:szCs w:val="22"/>
          <w:lang w:val="lt-LT"/>
        </w:rPr>
        <w:br w:type="page"/>
      </w: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Pr="00042943" w:rsidRDefault="009E3290" w:rsidP="009E3290">
      <w:pPr>
        <w:tabs>
          <w:tab w:val="left" w:pos="567"/>
        </w:tabs>
        <w:rPr>
          <w:rFonts w:ascii="Times New Roman" w:hAnsi="Times New Roman"/>
          <w:sz w:val="22"/>
          <w:szCs w:val="22"/>
          <w:lang w:val="lt-LT"/>
        </w:rPr>
      </w:pPr>
    </w:p>
    <w:p w:rsidR="009E3290" w:rsidRDefault="009E3290" w:rsidP="009E3290">
      <w:pPr>
        <w:tabs>
          <w:tab w:val="left" w:pos="567"/>
        </w:tabs>
        <w:rPr>
          <w:rFonts w:ascii="Times New Roman" w:hAnsi="Times New Roman"/>
          <w:sz w:val="22"/>
          <w:szCs w:val="22"/>
          <w:lang w:val="lt-LT"/>
        </w:rPr>
      </w:pPr>
    </w:p>
    <w:p w:rsidR="00887FCE" w:rsidRPr="00042943" w:rsidRDefault="00887FCE" w:rsidP="009E3290">
      <w:pPr>
        <w:tabs>
          <w:tab w:val="left" w:pos="567"/>
        </w:tabs>
        <w:rPr>
          <w:rFonts w:ascii="Times New Roman" w:hAnsi="Times New Roman"/>
          <w:sz w:val="22"/>
          <w:szCs w:val="22"/>
          <w:lang w:val="lt-LT"/>
        </w:rPr>
      </w:pPr>
    </w:p>
    <w:p w:rsidR="009E3290" w:rsidRPr="00B01E83" w:rsidRDefault="009E3290" w:rsidP="00B01E83">
      <w:pPr>
        <w:pStyle w:val="BTbeEMEASMCA"/>
      </w:pPr>
      <w:bookmarkStart w:id="13" w:name="_Toc129243262"/>
      <w:bookmarkStart w:id="14" w:name="_Toc129243137"/>
      <w:r w:rsidRPr="00B01E83">
        <w:t>B. PAKUOTĖS LAPELIS</w:t>
      </w:r>
      <w:bookmarkEnd w:id="13"/>
      <w:bookmarkEnd w:id="14"/>
    </w:p>
    <w:p w:rsidR="009E3290" w:rsidRPr="00042943" w:rsidRDefault="009E3290" w:rsidP="009E3290">
      <w:pPr>
        <w:numPr>
          <w:ilvl w:val="12"/>
          <w:numId w:val="0"/>
        </w:numPr>
        <w:tabs>
          <w:tab w:val="left" w:pos="708"/>
        </w:tabs>
        <w:rPr>
          <w:rFonts w:ascii="Times New Roman" w:hAnsi="Times New Roman"/>
          <w:sz w:val="22"/>
          <w:szCs w:val="22"/>
          <w:lang w:val="lt-LT"/>
        </w:rPr>
      </w:pPr>
      <w:r w:rsidRPr="00042943">
        <w:rPr>
          <w:rFonts w:ascii="Times New Roman" w:hAnsi="Times New Roman"/>
          <w:sz w:val="22"/>
          <w:szCs w:val="22"/>
          <w:lang w:val="lt-LT"/>
        </w:rPr>
        <w:br w:type="page"/>
      </w:r>
    </w:p>
    <w:p w:rsidR="009E3290" w:rsidRPr="00B14435" w:rsidRDefault="009E3290" w:rsidP="009E3290">
      <w:pPr>
        <w:pStyle w:val="Antrat2"/>
        <w:rPr>
          <w:b/>
          <w:sz w:val="22"/>
        </w:rPr>
      </w:pPr>
      <w:r w:rsidRPr="00B14435">
        <w:rPr>
          <w:b/>
          <w:sz w:val="22"/>
        </w:rPr>
        <w:lastRenderedPageBreak/>
        <w:t>Pakuotės lapelis: informacija vartotojui</w:t>
      </w:r>
    </w:p>
    <w:p w:rsidR="009E3290" w:rsidRPr="0003312B" w:rsidRDefault="009E3290" w:rsidP="009E3290">
      <w:pPr>
        <w:pStyle w:val="Default"/>
        <w:jc w:val="center"/>
        <w:rPr>
          <w:color w:val="auto"/>
          <w:sz w:val="22"/>
          <w:szCs w:val="22"/>
          <w:lang w:val="lt-LT"/>
        </w:rPr>
      </w:pPr>
    </w:p>
    <w:p w:rsidR="009E3290" w:rsidRPr="0003312B" w:rsidRDefault="009E3290" w:rsidP="009E3290">
      <w:pPr>
        <w:pStyle w:val="Default"/>
        <w:jc w:val="center"/>
        <w:outlineLvl w:val="0"/>
        <w:rPr>
          <w:color w:val="auto"/>
          <w:sz w:val="22"/>
          <w:szCs w:val="22"/>
          <w:lang w:val="lt-LT"/>
        </w:rPr>
      </w:pPr>
      <w:r w:rsidRPr="0003312B">
        <w:rPr>
          <w:b/>
          <w:bCs/>
          <w:color w:val="auto"/>
          <w:sz w:val="22"/>
          <w:szCs w:val="22"/>
          <w:lang w:val="lt-LT"/>
        </w:rPr>
        <w:t>OSSICA 3</w:t>
      </w:r>
      <w:r w:rsidR="000F5514">
        <w:rPr>
          <w:b/>
          <w:bCs/>
          <w:color w:val="auto"/>
          <w:sz w:val="22"/>
          <w:szCs w:val="22"/>
          <w:lang w:val="lt-LT"/>
        </w:rPr>
        <w:t> </w:t>
      </w:r>
      <w:r w:rsidRPr="0003312B">
        <w:rPr>
          <w:b/>
          <w:bCs/>
          <w:color w:val="auto"/>
          <w:sz w:val="22"/>
          <w:szCs w:val="22"/>
          <w:lang w:val="lt-LT"/>
        </w:rPr>
        <w:t xml:space="preserve">mg injekcinis tirpalas užpildytame švirkšte </w:t>
      </w:r>
    </w:p>
    <w:p w:rsidR="009E3290" w:rsidRPr="0003312B" w:rsidRDefault="009E3290" w:rsidP="009E3290">
      <w:pPr>
        <w:pStyle w:val="Default"/>
        <w:jc w:val="center"/>
        <w:outlineLvl w:val="0"/>
        <w:rPr>
          <w:color w:val="auto"/>
          <w:sz w:val="22"/>
          <w:szCs w:val="22"/>
          <w:lang w:val="lt-LT"/>
        </w:rPr>
      </w:pPr>
      <w:proofErr w:type="spellStart"/>
      <w:r w:rsidRPr="0003312B">
        <w:rPr>
          <w:color w:val="auto"/>
          <w:sz w:val="22"/>
          <w:szCs w:val="22"/>
          <w:lang w:val="lt-LT"/>
        </w:rPr>
        <w:t>Ibandrono</w:t>
      </w:r>
      <w:proofErr w:type="spellEnd"/>
      <w:r w:rsidRPr="0003312B">
        <w:rPr>
          <w:color w:val="auto"/>
          <w:sz w:val="22"/>
          <w:szCs w:val="22"/>
          <w:lang w:val="lt-LT"/>
        </w:rPr>
        <w:t xml:space="preserve"> rūgštis</w:t>
      </w:r>
    </w:p>
    <w:p w:rsidR="009E3290" w:rsidRPr="0003312B" w:rsidRDefault="009E3290" w:rsidP="009E3290">
      <w:pPr>
        <w:pStyle w:val="Default"/>
        <w:jc w:val="center"/>
        <w:outlineLvl w:val="0"/>
        <w:rPr>
          <w:color w:val="auto"/>
          <w:sz w:val="22"/>
          <w:szCs w:val="22"/>
          <w:lang w:val="lt-LT"/>
        </w:rPr>
      </w:pPr>
    </w:p>
    <w:p w:rsidR="009E3290" w:rsidRPr="0003312B" w:rsidRDefault="009E3290" w:rsidP="009B4D79">
      <w:pPr>
        <w:suppressAutoHyphens/>
        <w:rPr>
          <w:rFonts w:ascii="Times New Roman" w:hAnsi="Times New Roman"/>
          <w:sz w:val="22"/>
          <w:szCs w:val="22"/>
          <w:lang w:val="lt-LT"/>
        </w:rPr>
      </w:pPr>
      <w:r w:rsidRPr="00042943">
        <w:rPr>
          <w:rFonts w:ascii="Times New Roman" w:hAnsi="Times New Roman"/>
          <w:b/>
          <w:sz w:val="22"/>
          <w:szCs w:val="22"/>
          <w:lang w:val="lt-LT"/>
        </w:rPr>
        <w:t>Atidžiai perskaitykite visą šį lapelį, prieš pradėdami vartoti vaistą, nes jame pateikiama Jums svarbi informacija.</w:t>
      </w:r>
    </w:p>
    <w:p w:rsidR="009E3290" w:rsidRPr="0003312B" w:rsidRDefault="009E3290" w:rsidP="009E3290">
      <w:pPr>
        <w:numPr>
          <w:ilvl w:val="0"/>
          <w:numId w:val="6"/>
        </w:numPr>
        <w:ind w:left="567" w:right="-2" w:hanging="567"/>
        <w:rPr>
          <w:rFonts w:ascii="Times New Roman" w:hAnsi="Times New Roman"/>
          <w:sz w:val="22"/>
          <w:szCs w:val="22"/>
          <w:lang w:val="lt-LT"/>
        </w:rPr>
      </w:pPr>
      <w:r w:rsidRPr="00042943">
        <w:rPr>
          <w:rFonts w:ascii="Times New Roman" w:hAnsi="Times New Roman"/>
          <w:sz w:val="22"/>
          <w:szCs w:val="22"/>
          <w:lang w:val="lt-LT"/>
        </w:rPr>
        <w:t xml:space="preserve">Neišmeskite šio lapelio, nes vėl gali prireikti jį perskaityti. </w:t>
      </w:r>
    </w:p>
    <w:p w:rsidR="009E3290" w:rsidRPr="0003312B" w:rsidRDefault="009E3290" w:rsidP="009E3290">
      <w:pPr>
        <w:numPr>
          <w:ilvl w:val="0"/>
          <w:numId w:val="6"/>
        </w:numPr>
        <w:ind w:left="567" w:right="-2" w:hanging="567"/>
        <w:rPr>
          <w:rFonts w:ascii="Times New Roman" w:hAnsi="Times New Roman"/>
          <w:sz w:val="22"/>
          <w:szCs w:val="22"/>
          <w:lang w:val="lt-LT"/>
        </w:rPr>
      </w:pPr>
      <w:r w:rsidRPr="00042943">
        <w:rPr>
          <w:rFonts w:ascii="Times New Roman" w:hAnsi="Times New Roman"/>
          <w:sz w:val="22"/>
          <w:szCs w:val="22"/>
          <w:lang w:val="lt-LT"/>
        </w:rPr>
        <w:t>Jeigu kiltų daugiau klausimų, kreipkitės į gydytoją, vaistininką arba slaugytoją.</w:t>
      </w:r>
    </w:p>
    <w:p w:rsidR="009E3290" w:rsidRPr="0003312B" w:rsidRDefault="009E3290" w:rsidP="009E3290">
      <w:pPr>
        <w:numPr>
          <w:ilvl w:val="0"/>
          <w:numId w:val="6"/>
        </w:numPr>
        <w:ind w:left="567" w:right="-2" w:hanging="567"/>
        <w:rPr>
          <w:rFonts w:ascii="Times New Roman" w:hAnsi="Times New Roman"/>
          <w:sz w:val="22"/>
          <w:szCs w:val="22"/>
          <w:lang w:val="lt-LT"/>
        </w:rPr>
      </w:pPr>
      <w:r w:rsidRPr="00042943">
        <w:rPr>
          <w:rFonts w:ascii="Times New Roman" w:hAnsi="Times New Roman"/>
          <w:sz w:val="22"/>
          <w:szCs w:val="22"/>
          <w:lang w:val="lt-LT"/>
        </w:rPr>
        <w:t>Jeigu pasireiškė šalutinis poveikis (net jeigu jis šiame lapelyje nenurodytas), kreipkitės į gydytoją, vaistininką arba slaugytoją. Žr. 4 skyrių.</w:t>
      </w:r>
    </w:p>
    <w:p w:rsidR="009E3290" w:rsidRPr="0003312B" w:rsidRDefault="009E3290" w:rsidP="009E3290">
      <w:pPr>
        <w:ind w:right="-2"/>
        <w:rPr>
          <w:rFonts w:ascii="Times New Roman" w:hAnsi="Times New Roman"/>
          <w:sz w:val="22"/>
          <w:szCs w:val="22"/>
          <w:lang w:val="lt-LT"/>
        </w:rPr>
      </w:pPr>
    </w:p>
    <w:p w:rsidR="009E3290" w:rsidRPr="00042943" w:rsidRDefault="009E3290" w:rsidP="009E3290">
      <w:pPr>
        <w:autoSpaceDE w:val="0"/>
        <w:autoSpaceDN w:val="0"/>
        <w:adjustRightInd w:val="0"/>
        <w:outlineLvl w:val="0"/>
        <w:rPr>
          <w:rFonts w:ascii="Times New Roman" w:hAnsi="Times New Roman"/>
          <w:b/>
          <w:sz w:val="22"/>
          <w:lang w:val="lt-LT"/>
        </w:rPr>
      </w:pPr>
      <w:r w:rsidRPr="00042943">
        <w:rPr>
          <w:rFonts w:ascii="Times New Roman" w:hAnsi="Times New Roman"/>
          <w:b/>
          <w:bCs/>
          <w:sz w:val="22"/>
          <w:szCs w:val="22"/>
          <w:lang w:val="lt-LT" w:eastAsia="lt-LT"/>
        </w:rPr>
        <w:t xml:space="preserve">Apie ką rašoma šiame lapelyje? </w:t>
      </w:r>
    </w:p>
    <w:p w:rsidR="009E3290" w:rsidRPr="00042943" w:rsidRDefault="009E3290" w:rsidP="009E3290">
      <w:pPr>
        <w:autoSpaceDE w:val="0"/>
        <w:autoSpaceDN w:val="0"/>
        <w:adjustRightInd w:val="0"/>
        <w:outlineLvl w:val="0"/>
        <w:rPr>
          <w:rFonts w:ascii="Times New Roman" w:hAnsi="Times New Roman"/>
          <w:b/>
          <w:bCs/>
          <w:sz w:val="22"/>
          <w:szCs w:val="22"/>
          <w:lang w:val="lt-LT" w:eastAsia="lt-LT"/>
        </w:rPr>
      </w:pP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1. </w:t>
      </w:r>
      <w:r w:rsidRPr="00042943">
        <w:rPr>
          <w:rFonts w:ascii="Times New Roman" w:hAnsi="Times New Roman"/>
          <w:sz w:val="22"/>
          <w:szCs w:val="22"/>
          <w:lang w:val="lt-LT" w:eastAsia="lt-LT"/>
        </w:rPr>
        <w:tab/>
        <w:t>Kas yra OSSICA ir kam jis vartojamas</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2. </w:t>
      </w:r>
      <w:r w:rsidRPr="00042943">
        <w:rPr>
          <w:rFonts w:ascii="Times New Roman" w:hAnsi="Times New Roman"/>
          <w:sz w:val="22"/>
          <w:szCs w:val="22"/>
          <w:lang w:val="lt-LT" w:eastAsia="lt-LT"/>
        </w:rPr>
        <w:tab/>
        <w:t>Kas žinotina prieš vartojant OSSICA</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3. </w:t>
      </w:r>
      <w:r w:rsidRPr="00042943">
        <w:rPr>
          <w:rFonts w:ascii="Times New Roman" w:hAnsi="Times New Roman"/>
          <w:sz w:val="22"/>
          <w:szCs w:val="22"/>
          <w:lang w:val="lt-LT" w:eastAsia="lt-LT"/>
        </w:rPr>
        <w:tab/>
        <w:t>Kaip vartoti OSSICA</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4. </w:t>
      </w:r>
      <w:r w:rsidRPr="00042943">
        <w:rPr>
          <w:rFonts w:ascii="Times New Roman" w:hAnsi="Times New Roman"/>
          <w:sz w:val="22"/>
          <w:szCs w:val="22"/>
          <w:lang w:val="lt-LT" w:eastAsia="lt-LT"/>
        </w:rPr>
        <w:tab/>
        <w:t>Galimas šalutinis poveikis</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5. </w:t>
      </w:r>
      <w:r w:rsidRPr="00042943">
        <w:rPr>
          <w:rFonts w:ascii="Times New Roman" w:hAnsi="Times New Roman"/>
          <w:sz w:val="22"/>
          <w:szCs w:val="22"/>
          <w:lang w:val="lt-LT" w:eastAsia="lt-LT"/>
        </w:rPr>
        <w:tab/>
        <w:t>Kaip laikyti OSSICA</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6. </w:t>
      </w:r>
      <w:r w:rsidRPr="00042943">
        <w:rPr>
          <w:rFonts w:ascii="Times New Roman" w:hAnsi="Times New Roman"/>
          <w:sz w:val="22"/>
          <w:szCs w:val="22"/>
          <w:lang w:val="lt-LT" w:eastAsia="lt-LT"/>
        </w:rPr>
        <w:tab/>
        <w:t>Pakuotės turinys ir kita informacija</w:t>
      </w:r>
    </w:p>
    <w:p w:rsidR="009E3290" w:rsidRPr="00042943" w:rsidRDefault="009E3290" w:rsidP="009E3290">
      <w:pPr>
        <w:autoSpaceDE w:val="0"/>
        <w:autoSpaceDN w:val="0"/>
        <w:adjustRightInd w:val="0"/>
        <w:rPr>
          <w:rFonts w:ascii="Times New Roman" w:hAnsi="Times New Roman"/>
          <w:b/>
          <w:bCs/>
          <w:sz w:val="22"/>
          <w:szCs w:val="22"/>
          <w:lang w:val="lt-LT"/>
        </w:rPr>
      </w:pPr>
    </w:p>
    <w:p w:rsidR="009E3290" w:rsidRPr="00042943" w:rsidRDefault="009E3290" w:rsidP="009E3290">
      <w:pPr>
        <w:autoSpaceDE w:val="0"/>
        <w:autoSpaceDN w:val="0"/>
        <w:adjustRightInd w:val="0"/>
        <w:rPr>
          <w:rFonts w:ascii="Times New Roman" w:hAnsi="Times New Roman"/>
          <w:b/>
          <w:bCs/>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eastAsia="lt-LT"/>
        </w:rPr>
        <w:t>1.</w:t>
      </w:r>
      <w:r w:rsidRPr="0003312B">
        <w:rPr>
          <w:b/>
          <w:bCs/>
          <w:color w:val="auto"/>
          <w:sz w:val="22"/>
          <w:szCs w:val="22"/>
          <w:lang w:val="lt-LT" w:eastAsia="lt-LT"/>
        </w:rPr>
        <w:tab/>
        <w:t xml:space="preserve">Kas yra OSSICA ir kam jis vartojamas </w:t>
      </w:r>
    </w:p>
    <w:p w:rsidR="009E3290" w:rsidRPr="00042943" w:rsidRDefault="009E3290" w:rsidP="009E3290">
      <w:pPr>
        <w:autoSpaceDE w:val="0"/>
        <w:autoSpaceDN w:val="0"/>
        <w:adjustRightInd w:val="0"/>
        <w:snapToGrid w:val="0"/>
        <w:rPr>
          <w:rFonts w:ascii="Times New Roman" w:hAnsi="Times New Roman"/>
          <w:sz w:val="22"/>
          <w:lang w:val="lt-LT"/>
        </w:rPr>
      </w:pP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rPr>
        <w:t xml:space="preserve">OSSICA </w:t>
      </w:r>
      <w:r w:rsidRPr="00042943">
        <w:rPr>
          <w:rFonts w:ascii="Times New Roman" w:hAnsi="Times New Roman"/>
          <w:sz w:val="22"/>
          <w:szCs w:val="22"/>
          <w:lang w:val="lt-LT" w:eastAsia="lt-LT"/>
        </w:rPr>
        <w:t xml:space="preserve">priklauso vaistų, vadinamų </w:t>
      </w:r>
      <w:proofErr w:type="spellStart"/>
      <w:r w:rsidRPr="00042943">
        <w:rPr>
          <w:rFonts w:ascii="Times New Roman" w:hAnsi="Times New Roman"/>
          <w:sz w:val="22"/>
          <w:szCs w:val="22"/>
          <w:lang w:val="lt-LT" w:eastAsia="lt-LT"/>
        </w:rPr>
        <w:t>bisfosfonatais</w:t>
      </w:r>
      <w:proofErr w:type="spellEnd"/>
      <w:r w:rsidRPr="00042943">
        <w:rPr>
          <w:rFonts w:ascii="Times New Roman" w:hAnsi="Times New Roman"/>
          <w:sz w:val="22"/>
          <w:szCs w:val="22"/>
          <w:lang w:val="lt-LT" w:eastAsia="lt-LT"/>
        </w:rPr>
        <w:t xml:space="preserve">, grupei. Jame yra veikliosios medžiagos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rūgšties.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OSSICA gali panaikinti kaulų retėjimą, sustabdydama kaulinio audinio nykimą ir didindama kaulų masę moterims, kurios vartoja šį preparatą, nors jos ir negalės pastebėti ar pajusti skirtumo. OSSICA gali sumažinti kaulų lūžių tikimybę. Įrodyta, kad vaistas sumažina stuburo slankstelių, bet ne klubo kaulų, lūžių riziką.</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OSSICA yra skirtas osteoporozei po menopauzės gydyti, kai kaulų lūžių rizika yra padidėjusi. </w:t>
      </w: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eastAsia="lt-LT"/>
        </w:rPr>
        <w:t>Osteoporozė – tai kaulų išretėjimas ir susilpnėjimas. Ji būdinga moterims po menopauzės. Menopauzės metu moters kiaušidės nustoja gaminti moteriškąjį lytinį hormoną estrogeną, kuris padeda išsaugoti sveikus kaulus.</w:t>
      </w:r>
    </w:p>
    <w:p w:rsidR="009E3290" w:rsidRPr="0003312B" w:rsidRDefault="009E3290" w:rsidP="009E3290">
      <w:pPr>
        <w:pStyle w:val="Default"/>
        <w:ind w:left="709"/>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Kuo anksčiau moteriai prasideda menopauzė, tuo didesnė osteoporozės sukeltų kaulų lūžių rizika.</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Kiti kaulų lūžių riziką didinantys veiksniai:</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nepakankamas kalcio ir vitamino D kiekis maiste;</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rūkymas ar per gausus alkoholio vartojimas;</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vaikščiojimo ar kitų kūno svorį reguliuojančių pratimų trūkumas;</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osteoporozės atvejai šeimoje.</w:t>
      </w:r>
      <w:r w:rsidRPr="00042943">
        <w:rPr>
          <w:rFonts w:ascii="Times New Roman" w:hAnsi="Times New Roman"/>
          <w:sz w:val="22"/>
          <w:szCs w:val="22"/>
          <w:lang w:val="lt-LT"/>
        </w:rPr>
        <w:t xml:space="preserve"> </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b/>
          <w:sz w:val="22"/>
          <w:szCs w:val="22"/>
          <w:lang w:val="lt-LT" w:eastAsia="lt-LT"/>
        </w:rPr>
        <w:t>Sveikas gyvenimo būdas</w:t>
      </w:r>
      <w:r w:rsidRPr="00042943">
        <w:rPr>
          <w:rFonts w:ascii="Times New Roman" w:hAnsi="Times New Roman"/>
          <w:sz w:val="22"/>
          <w:szCs w:val="22"/>
          <w:lang w:val="lt-LT" w:eastAsia="lt-LT"/>
        </w:rPr>
        <w:t xml:space="preserve"> taip pat padidins gydymo naudą. Vadinasi, reikia vartoti subalansuotą maistą, kuriame gausu kalcio ir vitamino D, vaikščioti ar daryti kitus kūno svorį reguliuojančius </w:t>
      </w:r>
      <w:proofErr w:type="spellStart"/>
      <w:r w:rsidRPr="00042943">
        <w:rPr>
          <w:rFonts w:ascii="Times New Roman" w:hAnsi="Times New Roman"/>
          <w:sz w:val="22"/>
          <w:szCs w:val="22"/>
          <w:lang w:val="lt-LT" w:eastAsia="lt-LT"/>
        </w:rPr>
        <w:t>pratimus</w:t>
      </w:r>
      <w:proofErr w:type="spellEnd"/>
      <w:r w:rsidRPr="00042943">
        <w:rPr>
          <w:rFonts w:ascii="Times New Roman" w:hAnsi="Times New Roman"/>
          <w:sz w:val="22"/>
          <w:szCs w:val="22"/>
          <w:lang w:val="lt-LT" w:eastAsia="lt-LT"/>
        </w:rPr>
        <w:t>, nerūkyti ir negerti per daug alkoholio.</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eastAsia="lt-LT"/>
        </w:rPr>
        <w:lastRenderedPageBreak/>
        <w:t xml:space="preserve">2. </w:t>
      </w:r>
      <w:r w:rsidRPr="0003312B">
        <w:rPr>
          <w:b/>
          <w:bCs/>
          <w:color w:val="auto"/>
          <w:sz w:val="22"/>
          <w:szCs w:val="22"/>
          <w:lang w:val="lt-LT" w:eastAsia="lt-LT"/>
        </w:rPr>
        <w:tab/>
        <w:t>Kas žinotina prieš vartojant OSSICA</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eastAsia="lt-LT"/>
        </w:rPr>
        <w:t>OSSICA vartoti negalima:</w:t>
      </w:r>
    </w:p>
    <w:p w:rsidR="009E3290" w:rsidRPr="00042943" w:rsidRDefault="009E3290" w:rsidP="009E3290">
      <w:pPr>
        <w:numPr>
          <w:ilvl w:val="0"/>
          <w:numId w:val="7"/>
        </w:numPr>
        <w:autoSpaceDE w:val="0"/>
        <w:autoSpaceDN w:val="0"/>
        <w:adjustRightInd w:val="0"/>
        <w:snapToGrid w:val="0"/>
        <w:ind w:left="360"/>
        <w:rPr>
          <w:rFonts w:ascii="Times New Roman" w:hAnsi="Times New Roman"/>
          <w:sz w:val="22"/>
          <w:lang w:val="lt-LT"/>
        </w:rPr>
      </w:pPr>
      <w:r w:rsidRPr="0003312B">
        <w:rPr>
          <w:rFonts w:ascii="Times New Roman" w:hAnsi="Times New Roman"/>
          <w:b/>
          <w:sz w:val="22"/>
          <w:szCs w:val="22"/>
          <w:lang w:val="lt-LT" w:eastAsia="lt-LT"/>
        </w:rPr>
        <w:t>jei Jūsų kraujyje yra ar anksčiau buvo maža kalcio koncentracija.</w:t>
      </w:r>
      <w:r w:rsidRPr="0003312B">
        <w:rPr>
          <w:rFonts w:ascii="Times New Roman" w:hAnsi="Times New Roman"/>
          <w:sz w:val="22"/>
          <w:szCs w:val="22"/>
          <w:lang w:val="lt-LT" w:eastAsia="lt-LT"/>
        </w:rPr>
        <w:t xml:space="preserve"> Pasitarkite su gydytoju;</w:t>
      </w:r>
    </w:p>
    <w:p w:rsidR="009E3290" w:rsidRPr="00042943" w:rsidRDefault="009E3290" w:rsidP="009E3290">
      <w:pPr>
        <w:numPr>
          <w:ilvl w:val="0"/>
          <w:numId w:val="7"/>
        </w:numPr>
        <w:autoSpaceDE w:val="0"/>
        <w:autoSpaceDN w:val="0"/>
        <w:adjustRightInd w:val="0"/>
        <w:snapToGrid w:val="0"/>
        <w:ind w:left="360"/>
        <w:rPr>
          <w:rFonts w:ascii="Times New Roman" w:hAnsi="Times New Roman"/>
          <w:sz w:val="22"/>
          <w:szCs w:val="22"/>
          <w:lang w:val="lt-LT" w:eastAsia="lt-LT"/>
        </w:rPr>
      </w:pPr>
      <w:r w:rsidRPr="00042943">
        <w:rPr>
          <w:rFonts w:ascii="Times New Roman" w:hAnsi="Times New Roman"/>
          <w:sz w:val="22"/>
          <w:szCs w:val="22"/>
          <w:lang w:val="lt-LT" w:eastAsia="lt-LT"/>
        </w:rPr>
        <w:t xml:space="preserve">jeigu yra alergija) </w:t>
      </w:r>
      <w:proofErr w:type="spellStart"/>
      <w:r w:rsidRPr="00042943">
        <w:rPr>
          <w:rFonts w:ascii="Times New Roman" w:hAnsi="Times New Roman"/>
          <w:sz w:val="22"/>
          <w:szCs w:val="22"/>
          <w:lang w:val="lt-LT" w:eastAsia="lt-LT"/>
        </w:rPr>
        <w:t>ibandrono</w:t>
      </w:r>
      <w:proofErr w:type="spellEnd"/>
      <w:r w:rsidRPr="00042943">
        <w:rPr>
          <w:rFonts w:ascii="Times New Roman" w:hAnsi="Times New Roman"/>
          <w:sz w:val="22"/>
          <w:szCs w:val="22"/>
          <w:lang w:val="lt-LT" w:eastAsia="lt-LT"/>
        </w:rPr>
        <w:t xml:space="preserve"> rūgščiai arba bet kuriai pagalbinei šio vaisto medžiagai (jos išvardytos 6 skyriuje).</w:t>
      </w:r>
    </w:p>
    <w:p w:rsidR="009E3290" w:rsidRPr="00042943" w:rsidRDefault="009E3290" w:rsidP="009E3290">
      <w:pPr>
        <w:pStyle w:val="Antrat4"/>
        <w:rPr>
          <w:rFonts w:ascii="Times New Roman" w:hAnsi="Times New Roman"/>
          <w:sz w:val="22"/>
          <w:lang w:val="lt-LT"/>
        </w:rPr>
      </w:pPr>
      <w:r w:rsidRPr="00042943">
        <w:rPr>
          <w:rFonts w:ascii="Times New Roman" w:hAnsi="Times New Roman"/>
          <w:sz w:val="22"/>
          <w:lang w:val="lt-LT"/>
        </w:rPr>
        <w:t xml:space="preserve"> Įspėjimai ir atsargumo priemonės </w:t>
      </w:r>
    </w:p>
    <w:p w:rsidR="009E3290" w:rsidRPr="00042943" w:rsidRDefault="009E3290" w:rsidP="009E3290">
      <w:pPr>
        <w:autoSpaceDE w:val="0"/>
        <w:autoSpaceDN w:val="0"/>
        <w:adjustRightInd w:val="0"/>
        <w:rPr>
          <w:rFonts w:ascii="Times New Roman" w:hAnsi="Times New Roman" w:cs="Times New Roman"/>
          <w:sz w:val="22"/>
          <w:szCs w:val="22"/>
          <w:lang w:val="lt-LT"/>
        </w:rPr>
      </w:pPr>
      <w:proofErr w:type="spellStart"/>
      <w:r w:rsidRPr="00042943">
        <w:rPr>
          <w:rFonts w:ascii="Times New Roman" w:hAnsi="Times New Roman" w:cs="Times New Roman"/>
          <w:sz w:val="22"/>
          <w:szCs w:val="22"/>
          <w:lang w:val="lt-LT"/>
        </w:rPr>
        <w:t>Ibandrono</w:t>
      </w:r>
      <w:proofErr w:type="spellEnd"/>
      <w:r w:rsidRPr="00042943">
        <w:rPr>
          <w:rFonts w:ascii="Times New Roman" w:hAnsi="Times New Roman" w:cs="Times New Roman"/>
          <w:sz w:val="22"/>
          <w:szCs w:val="22"/>
          <w:lang w:val="lt-LT"/>
        </w:rPr>
        <w:t xml:space="preserve"> rūgšties nuo osteoporozės vartojantiems pacientams yra pastebėtas labai retas šalutinis poveikis, vadinamas žandikaulio </w:t>
      </w:r>
      <w:proofErr w:type="spellStart"/>
      <w:r w:rsidRPr="00042943">
        <w:rPr>
          <w:rFonts w:ascii="Times New Roman" w:hAnsi="Times New Roman" w:cs="Times New Roman"/>
          <w:sz w:val="22"/>
          <w:szCs w:val="22"/>
          <w:lang w:val="lt-LT"/>
        </w:rPr>
        <w:t>osteonekroze</w:t>
      </w:r>
      <w:proofErr w:type="spellEnd"/>
      <w:r w:rsidRPr="00042943">
        <w:rPr>
          <w:rFonts w:ascii="Times New Roman" w:hAnsi="Times New Roman" w:cs="Times New Roman"/>
          <w:sz w:val="22"/>
          <w:szCs w:val="22"/>
          <w:lang w:val="lt-LT"/>
        </w:rPr>
        <w:t xml:space="preserve"> (ŽON) (kaulo pažaida žandikaulyje) jau vaistui esant rinkoje. ŽON taip pat gali pasireikšti po gydymo nutraukimo. </w:t>
      </w:r>
    </w:p>
    <w:p w:rsidR="009E3290" w:rsidRPr="00042943" w:rsidRDefault="009E3290" w:rsidP="009E3290">
      <w:pPr>
        <w:autoSpaceDE w:val="0"/>
        <w:autoSpaceDN w:val="0"/>
        <w:adjustRightInd w:val="0"/>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Svarbu stengtis išvengti ŽON atsiradimo, nes tai yra skausminga būklė, kurią gali būti sunku gydyti. Norint sumažinti žandikaulio </w:t>
      </w:r>
      <w:proofErr w:type="spellStart"/>
      <w:r w:rsidRPr="00042943">
        <w:rPr>
          <w:rFonts w:ascii="Times New Roman" w:hAnsi="Times New Roman" w:cs="Times New Roman"/>
          <w:sz w:val="22"/>
          <w:szCs w:val="22"/>
          <w:lang w:val="lt-LT"/>
        </w:rPr>
        <w:t>osteonekrozės</w:t>
      </w:r>
      <w:proofErr w:type="spellEnd"/>
      <w:r w:rsidRPr="00042943">
        <w:rPr>
          <w:rFonts w:ascii="Times New Roman" w:hAnsi="Times New Roman" w:cs="Times New Roman"/>
          <w:sz w:val="22"/>
          <w:szCs w:val="22"/>
          <w:lang w:val="lt-LT"/>
        </w:rPr>
        <w:t xml:space="preserve"> atsiradimo pavojų, yra keletas atsargumo priemonių, kurių Jums reikia imtis. </w:t>
      </w:r>
    </w:p>
    <w:p w:rsidR="009E3290" w:rsidRPr="00042943" w:rsidRDefault="009E3290" w:rsidP="009E3290">
      <w:pPr>
        <w:autoSpaceDE w:val="0"/>
        <w:autoSpaceDN w:val="0"/>
        <w:adjustRightInd w:val="0"/>
        <w:rPr>
          <w:rFonts w:ascii="Times New Roman" w:hAnsi="Times New Roman" w:cs="Times New Roman"/>
          <w:sz w:val="22"/>
          <w:szCs w:val="22"/>
          <w:lang w:val="lt-LT"/>
        </w:rPr>
      </w:pPr>
    </w:p>
    <w:p w:rsidR="009E3290" w:rsidRPr="00042943" w:rsidRDefault="009E3290" w:rsidP="009E3290">
      <w:pPr>
        <w:autoSpaceDE w:val="0"/>
        <w:autoSpaceDN w:val="0"/>
        <w:adjustRightInd w:val="0"/>
        <w:rPr>
          <w:rFonts w:ascii="Times New Roman" w:hAnsi="Times New Roman" w:cs="Times New Roman"/>
          <w:sz w:val="22"/>
          <w:szCs w:val="22"/>
          <w:lang w:val="lt-LT"/>
        </w:rPr>
      </w:pPr>
      <w:r w:rsidRPr="00042943">
        <w:rPr>
          <w:rFonts w:ascii="Times New Roman" w:hAnsi="Times New Roman" w:cs="Times New Roman"/>
          <w:sz w:val="22"/>
          <w:szCs w:val="22"/>
          <w:lang w:val="lt-LT"/>
        </w:rPr>
        <w:t>Prieš</w:t>
      </w:r>
      <w:r w:rsidRPr="0003312B">
        <w:rPr>
          <w:rFonts w:ascii="Times New Roman" w:hAnsi="Times New Roman"/>
          <w:sz w:val="22"/>
          <w:lang w:val="lt-LT"/>
        </w:rPr>
        <w:t xml:space="preserve"> pradėdami </w:t>
      </w:r>
      <w:r w:rsidRPr="00042943">
        <w:rPr>
          <w:rFonts w:ascii="Times New Roman" w:hAnsi="Times New Roman" w:cs="Times New Roman"/>
          <w:sz w:val="22"/>
          <w:szCs w:val="22"/>
          <w:lang w:val="lt-LT"/>
        </w:rPr>
        <w:t xml:space="preserve">gydytis pasakykite gydytojui ar slaugytojui (sveikatos priežiūros specialistui), jeigu: </w:t>
      </w:r>
    </w:p>
    <w:p w:rsidR="009E3290"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turite kokių nors burnos ar dantų problemų, tokių kaip prasta dantų būklė, dantenų liga ar planuojamas danties ištraukimas;</w:t>
      </w:r>
    </w:p>
    <w:p w:rsidR="009E3290" w:rsidRPr="00042943" w:rsidRDefault="009E3290" w:rsidP="009E3290">
      <w:pPr>
        <w:autoSpaceDE w:val="0"/>
        <w:autoSpaceDN w:val="0"/>
        <w:adjustRightInd w:val="0"/>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kasdien nevalote dantų arba senai buvote pas odontologą; </w:t>
      </w:r>
    </w:p>
    <w:p w:rsidR="009E3290" w:rsidRPr="00042943"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w:t>
      </w:r>
      <w:r w:rsidRPr="00042943">
        <w:rPr>
          <w:rFonts w:ascii="Times New Roman" w:hAnsi="Times New Roman" w:cs="Times New Roman"/>
          <w:sz w:val="22"/>
          <w:szCs w:val="22"/>
          <w:lang w:val="lt-LT"/>
        </w:rPr>
        <w:tab/>
        <w:t xml:space="preserve">esate rūkalius (rūkymas gali padidinti dantų ligų pavojų); </w:t>
      </w:r>
    </w:p>
    <w:p w:rsidR="009E3290"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anksčiau buvote gydomas </w:t>
      </w:r>
      <w:proofErr w:type="spellStart"/>
      <w:r w:rsidRPr="00042943">
        <w:rPr>
          <w:rFonts w:ascii="Times New Roman" w:hAnsi="Times New Roman" w:cs="Times New Roman"/>
          <w:sz w:val="22"/>
          <w:szCs w:val="22"/>
          <w:lang w:val="lt-LT"/>
        </w:rPr>
        <w:t>bisfosfonatais</w:t>
      </w:r>
      <w:proofErr w:type="spellEnd"/>
      <w:r w:rsidRPr="00042943">
        <w:rPr>
          <w:rFonts w:ascii="Times New Roman" w:hAnsi="Times New Roman" w:cs="Times New Roman"/>
          <w:sz w:val="22"/>
          <w:szCs w:val="22"/>
          <w:lang w:val="lt-LT"/>
        </w:rPr>
        <w:t xml:space="preserve"> (jie vartojami gydyti arba užkirsti kelią kaulų ligoms);  </w:t>
      </w:r>
    </w:p>
    <w:p w:rsidR="009E3290" w:rsidRPr="00042943"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vartojate vaistus, vadinamus kortikosteroidais (pavyzdžiui, prednizolono arba </w:t>
      </w:r>
      <w:proofErr w:type="spellStart"/>
      <w:r w:rsidRPr="00042943">
        <w:rPr>
          <w:rFonts w:ascii="Times New Roman" w:hAnsi="Times New Roman" w:cs="Times New Roman"/>
          <w:sz w:val="22"/>
          <w:szCs w:val="22"/>
          <w:lang w:val="lt-LT"/>
        </w:rPr>
        <w:t>deksametazono</w:t>
      </w:r>
      <w:proofErr w:type="spellEnd"/>
      <w:r w:rsidRPr="00042943">
        <w:rPr>
          <w:rFonts w:ascii="Times New Roman" w:hAnsi="Times New Roman" w:cs="Times New Roman"/>
          <w:sz w:val="22"/>
          <w:szCs w:val="22"/>
          <w:lang w:val="lt-LT"/>
        </w:rPr>
        <w:t xml:space="preserve">); </w:t>
      </w:r>
    </w:p>
    <w:p w:rsidR="009E3290" w:rsidRPr="00042943"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sergate vėžiu. </w:t>
      </w:r>
    </w:p>
    <w:p w:rsidR="009E3290" w:rsidRPr="00042943" w:rsidRDefault="009E3290" w:rsidP="009E3290">
      <w:pPr>
        <w:widowControl w:val="0"/>
        <w:tabs>
          <w:tab w:val="left" w:pos="567"/>
        </w:tabs>
        <w:autoSpaceDE w:val="0"/>
        <w:autoSpaceDN w:val="0"/>
        <w:adjustRightInd w:val="0"/>
        <w:rPr>
          <w:rFonts w:ascii="Times New Roman" w:hAnsi="Times New Roman" w:cs="Times New Roman"/>
          <w:color w:val="FF0000"/>
          <w:sz w:val="22"/>
          <w:szCs w:val="22"/>
          <w:lang w:val="lt-LT"/>
        </w:rPr>
      </w:pPr>
    </w:p>
    <w:p w:rsidR="009E3290" w:rsidRPr="00042943" w:rsidRDefault="009E3290" w:rsidP="009E3290">
      <w:pPr>
        <w:autoSpaceDE w:val="0"/>
        <w:autoSpaceDN w:val="0"/>
        <w:adjustRightInd w:val="0"/>
        <w:rPr>
          <w:rFonts w:ascii="Times New Roman" w:hAnsi="Times New Roman"/>
          <w:color w:val="000000"/>
          <w:sz w:val="22"/>
          <w:lang w:val="lt-LT"/>
        </w:rPr>
      </w:pPr>
      <w:r w:rsidRPr="00042943">
        <w:rPr>
          <w:rFonts w:ascii="Times New Roman" w:hAnsi="Times New Roman" w:cs="Times New Roman"/>
          <w:color w:val="000000"/>
          <w:sz w:val="22"/>
          <w:szCs w:val="22"/>
          <w:lang w:val="lt-LT"/>
        </w:rPr>
        <w:t>Prieš paskirdamas gydymą</w:t>
      </w:r>
      <w:r w:rsidRPr="00042943">
        <w:rPr>
          <w:rFonts w:ascii="Times New Roman" w:hAnsi="Times New Roman"/>
          <w:color w:val="000000"/>
          <w:sz w:val="22"/>
          <w:lang w:val="lt-LT"/>
        </w:rPr>
        <w:t xml:space="preserve"> OSSICA</w:t>
      </w:r>
      <w:r w:rsidRPr="00042943">
        <w:rPr>
          <w:rFonts w:ascii="Times New Roman" w:hAnsi="Times New Roman" w:cs="Times New Roman"/>
          <w:color w:val="000000"/>
          <w:sz w:val="22"/>
          <w:szCs w:val="22"/>
          <w:lang w:val="lt-LT"/>
        </w:rPr>
        <w:t xml:space="preserve"> gydytojas gali Jūsų paprašyti pasitikrinti dantis.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OSSICA.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Pajutę kokių nors burnos ar dantų negalavimų, tokių kaip dantų iškritimas, skausmas ar patinimas, negyjančios opelės arba išskyros, nedelsdami kreipkitės į gydytoją ir odontologą, nes tai galėtų būti žandikaulio </w:t>
      </w:r>
      <w:proofErr w:type="spellStart"/>
      <w:r w:rsidRPr="00042943">
        <w:rPr>
          <w:rFonts w:ascii="Times New Roman" w:hAnsi="Times New Roman" w:cs="Times New Roman"/>
          <w:color w:val="000000"/>
          <w:sz w:val="22"/>
          <w:szCs w:val="22"/>
          <w:lang w:val="lt-LT"/>
        </w:rPr>
        <w:t>osteonekrozės</w:t>
      </w:r>
      <w:proofErr w:type="spellEnd"/>
      <w:r w:rsidRPr="00042943">
        <w:rPr>
          <w:rFonts w:ascii="Times New Roman" w:hAnsi="Times New Roman" w:cs="Times New Roman"/>
          <w:color w:val="000000"/>
          <w:sz w:val="22"/>
          <w:szCs w:val="22"/>
          <w:lang w:val="lt-LT"/>
        </w:rPr>
        <w:t xml:space="preserve"> požymiai. </w:t>
      </w:r>
    </w:p>
    <w:p w:rsidR="009E3290" w:rsidRPr="0003312B" w:rsidRDefault="009E3290" w:rsidP="009E3290">
      <w:pPr>
        <w:pStyle w:val="Default"/>
        <w:rPr>
          <w:color w:val="auto"/>
          <w:sz w:val="22"/>
          <w:szCs w:val="22"/>
          <w:lang w:val="lt-LT"/>
        </w:rPr>
      </w:pPr>
    </w:p>
    <w:p w:rsidR="009E3290" w:rsidRPr="0003312B" w:rsidRDefault="009E3290" w:rsidP="009E3290">
      <w:pPr>
        <w:numPr>
          <w:ilvl w:val="12"/>
          <w:numId w:val="0"/>
        </w:numPr>
        <w:ind w:right="-2"/>
        <w:rPr>
          <w:rFonts w:ascii="Times New Roman" w:hAnsi="Times New Roman"/>
          <w:sz w:val="22"/>
          <w:szCs w:val="22"/>
          <w:lang w:val="lt-LT"/>
        </w:rPr>
      </w:pPr>
      <w:r w:rsidRPr="00042943">
        <w:rPr>
          <w:rFonts w:ascii="Times New Roman" w:hAnsi="Times New Roman"/>
          <w:sz w:val="22"/>
          <w:szCs w:val="22"/>
          <w:lang w:val="lt-LT" w:eastAsia="lt-LT"/>
        </w:rPr>
        <w:t>Kai kurie pacientai turi labai atsargiai vartoti</w:t>
      </w:r>
      <w:r w:rsidRPr="00042943">
        <w:rPr>
          <w:rFonts w:ascii="Times New Roman" w:hAnsi="Times New Roman"/>
          <w:sz w:val="22"/>
          <w:szCs w:val="22"/>
          <w:lang w:val="lt-LT"/>
        </w:rPr>
        <w:t xml:space="preserve"> OSSICA. </w:t>
      </w: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Pasitarkite su gydytoju, prieš pradėdamos vartoti OSSICA:</w:t>
      </w:r>
      <w:r w:rsidRPr="00042943">
        <w:rPr>
          <w:rFonts w:ascii="Times New Roman" w:hAnsi="Times New Roman"/>
          <w:sz w:val="22"/>
          <w:szCs w:val="22"/>
          <w:lang w:val="lt-LT"/>
        </w:rPr>
        <w:t xml:space="preserve"> </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jei Jums yra ar kada nors buvo inkstų sutrikimų, inkstų nepakankamumas ar kada nors reikėjo atlikti dializę, arba jei sergate liga, dėl kurios gali būti pažeisti inkstai;</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jei Jums yra mineralinių medžiagų metabolizmo sutrikimų (pavyzdžiui, vitamino D trūkumas);</w:t>
      </w:r>
      <w:r w:rsidRPr="00042943">
        <w:rPr>
          <w:rFonts w:ascii="Times New Roman" w:hAnsi="Times New Roman"/>
          <w:sz w:val="22"/>
          <w:szCs w:val="22"/>
          <w:lang w:val="lt-LT"/>
        </w:rPr>
        <w:t xml:space="preserve"> </w:t>
      </w:r>
    </w:p>
    <w:p w:rsidR="009E3290" w:rsidRPr="00042943" w:rsidRDefault="009E3290" w:rsidP="009E3290">
      <w:pPr>
        <w:numPr>
          <w:ilvl w:val="0"/>
          <w:numId w:val="8"/>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gydymo OSSICA metu turite papildomai vartoti kalcio ir vitamino D. Pasakykite gydytojui, jei negalite to padaryti;</w:t>
      </w:r>
      <w:r w:rsidRPr="00042943">
        <w:rPr>
          <w:rFonts w:ascii="Times New Roman" w:hAnsi="Times New Roman"/>
          <w:sz w:val="22"/>
          <w:szCs w:val="22"/>
          <w:lang w:val="lt-LT"/>
        </w:rPr>
        <w:t xml:space="preserve"> </w:t>
      </w:r>
    </w:p>
    <w:p w:rsidR="009E3290" w:rsidRPr="00042943" w:rsidRDefault="009E3290" w:rsidP="009E3290">
      <w:pPr>
        <w:pStyle w:val="Default"/>
        <w:numPr>
          <w:ilvl w:val="0"/>
          <w:numId w:val="8"/>
        </w:numPr>
        <w:rPr>
          <w:sz w:val="22"/>
          <w:szCs w:val="22"/>
          <w:lang w:val="lt-LT"/>
        </w:rPr>
      </w:pPr>
      <w:r w:rsidRPr="00042943">
        <w:rPr>
          <w:sz w:val="22"/>
          <w:szCs w:val="22"/>
          <w:lang w:val="lt-LT"/>
        </w:rPr>
        <w:t xml:space="preserve">Jeigu sergate širdies ligomis ir gydytojas rekomendavo riboti per parą suvartojamų skysčių kiekį. </w:t>
      </w:r>
    </w:p>
    <w:p w:rsidR="009E3290" w:rsidRPr="00042943" w:rsidRDefault="009E3290" w:rsidP="009E3290">
      <w:pPr>
        <w:pStyle w:val="Default"/>
        <w:ind w:left="562" w:hanging="563"/>
        <w:rPr>
          <w:sz w:val="22"/>
          <w:szCs w:val="22"/>
          <w:lang w:val="lt-LT"/>
        </w:rPr>
      </w:pPr>
    </w:p>
    <w:p w:rsidR="009E3290" w:rsidRPr="00042943" w:rsidRDefault="009E3290" w:rsidP="009E3290">
      <w:pPr>
        <w:pStyle w:val="Default"/>
        <w:rPr>
          <w:sz w:val="22"/>
          <w:szCs w:val="22"/>
          <w:lang w:val="lt-LT"/>
        </w:rPr>
      </w:pPr>
      <w:proofErr w:type="spellStart"/>
      <w:r w:rsidRPr="00042943">
        <w:rPr>
          <w:sz w:val="22"/>
          <w:szCs w:val="22"/>
          <w:lang w:val="lt-LT"/>
        </w:rPr>
        <w:t>Ibandrono</w:t>
      </w:r>
      <w:proofErr w:type="spellEnd"/>
      <w:r w:rsidRPr="00042943">
        <w:rPr>
          <w:sz w:val="22"/>
          <w:szCs w:val="22"/>
          <w:lang w:val="lt-LT"/>
        </w:rPr>
        <w:t xml:space="preserve"> rūgštimi į veną gydytiems pacientams buvo pastebėti sunkios alerginės reakcijos atvejai, įskaitant mirtį nulėmusius atvejus. </w:t>
      </w:r>
    </w:p>
    <w:p w:rsidR="009E3290" w:rsidRPr="00042943" w:rsidRDefault="009E3290" w:rsidP="009E3290">
      <w:pPr>
        <w:pStyle w:val="Default"/>
        <w:rPr>
          <w:sz w:val="22"/>
          <w:szCs w:val="22"/>
          <w:lang w:val="lt-LT"/>
        </w:rPr>
      </w:pPr>
      <w:r w:rsidRPr="00042943">
        <w:rPr>
          <w:sz w:val="22"/>
          <w:szCs w:val="22"/>
          <w:lang w:val="lt-LT"/>
        </w:rPr>
        <w:t xml:space="preserve">Jeigu Jums pasireiškė vienas iš tokių simptomų, kaip dusulys ar sunkumas kvėpuoti, veržimo jausmas gerklėje, liežuvio patinimas, svaigulys, sąmonės netekimo jausmas, veido paraudimas ar patinimas, išbėrimas visame kūne, pykinimas ar vėmimas, nedelsdami įspėkite savo gydytoją arba slaugytoją (žr. 4 skyrių). </w:t>
      </w:r>
    </w:p>
    <w:p w:rsidR="009E3290" w:rsidRPr="00042943" w:rsidRDefault="009E3290" w:rsidP="009E3290">
      <w:pPr>
        <w:pStyle w:val="Default"/>
        <w:rPr>
          <w:sz w:val="22"/>
          <w:szCs w:val="22"/>
          <w:lang w:val="lt-LT"/>
        </w:rPr>
      </w:pPr>
    </w:p>
    <w:p w:rsidR="009E3290" w:rsidRPr="00042943" w:rsidRDefault="009E3290" w:rsidP="009E3290">
      <w:pPr>
        <w:autoSpaceDE w:val="0"/>
        <w:autoSpaceDN w:val="0"/>
        <w:adjustRightInd w:val="0"/>
        <w:outlineLvl w:val="0"/>
        <w:rPr>
          <w:rFonts w:ascii="Times New Roman" w:hAnsi="Times New Roman"/>
          <w:b/>
          <w:bCs/>
          <w:sz w:val="22"/>
          <w:szCs w:val="22"/>
          <w:lang w:val="lt-LT"/>
        </w:rPr>
      </w:pPr>
      <w:r w:rsidRPr="00042943">
        <w:rPr>
          <w:rFonts w:ascii="Times New Roman" w:hAnsi="Times New Roman"/>
          <w:b/>
          <w:bCs/>
          <w:sz w:val="22"/>
          <w:szCs w:val="22"/>
          <w:lang w:val="lt-LT" w:eastAsia="lt-LT"/>
        </w:rPr>
        <w:t>Vaikams  ir paaugliams</w:t>
      </w:r>
    </w:p>
    <w:p w:rsidR="009E3290" w:rsidRPr="00042943" w:rsidRDefault="009E3290" w:rsidP="009E3290">
      <w:pPr>
        <w:autoSpaceDE w:val="0"/>
        <w:autoSpaceDN w:val="0"/>
        <w:adjustRightInd w:val="0"/>
        <w:outlineLvl w:val="0"/>
        <w:rPr>
          <w:rFonts w:ascii="Times New Roman" w:hAnsi="Times New Roman"/>
          <w:bCs/>
          <w:sz w:val="22"/>
          <w:szCs w:val="22"/>
          <w:lang w:val="lt-LT"/>
        </w:rPr>
      </w:pPr>
      <w:r w:rsidRPr="00042943">
        <w:rPr>
          <w:rFonts w:ascii="Times New Roman" w:hAnsi="Times New Roman"/>
          <w:bCs/>
          <w:sz w:val="22"/>
          <w:szCs w:val="22"/>
          <w:lang w:val="lt-LT"/>
        </w:rPr>
        <w:t xml:space="preserve">Jaunesniems kaip 18 metų vaikams ar paaugliams OSSICA vartoti draudžiama. </w:t>
      </w:r>
    </w:p>
    <w:p w:rsidR="009E3290" w:rsidRPr="00042943" w:rsidRDefault="009E3290" w:rsidP="009E3290">
      <w:pPr>
        <w:autoSpaceDE w:val="0"/>
        <w:autoSpaceDN w:val="0"/>
        <w:adjustRightInd w:val="0"/>
        <w:rPr>
          <w:rFonts w:ascii="Times New Roman" w:hAnsi="Times New Roman"/>
          <w:b/>
          <w:bCs/>
          <w:sz w:val="22"/>
          <w:szCs w:val="22"/>
          <w:lang w:val="lt-LT"/>
        </w:rPr>
      </w:pPr>
    </w:p>
    <w:p w:rsidR="009E3290" w:rsidRPr="00042943" w:rsidRDefault="009E3290" w:rsidP="009E3290">
      <w:pPr>
        <w:pStyle w:val="Antrat4"/>
        <w:rPr>
          <w:rFonts w:ascii="Times New Roman" w:hAnsi="Times New Roman"/>
          <w:sz w:val="22"/>
          <w:lang w:val="lt-LT"/>
        </w:rPr>
      </w:pPr>
      <w:r w:rsidRPr="00042943">
        <w:rPr>
          <w:rFonts w:ascii="Times New Roman" w:hAnsi="Times New Roman"/>
          <w:sz w:val="22"/>
          <w:lang w:val="lt-LT"/>
        </w:rPr>
        <w:t>Kiti vaistai ir OSSICA</w:t>
      </w:r>
    </w:p>
    <w:p w:rsidR="009E3290" w:rsidRPr="0003312B" w:rsidRDefault="009E3290" w:rsidP="009E3290">
      <w:pPr>
        <w:numPr>
          <w:ilvl w:val="12"/>
          <w:numId w:val="0"/>
        </w:numPr>
        <w:ind w:right="-2"/>
        <w:rPr>
          <w:rFonts w:ascii="Times New Roman" w:hAnsi="Times New Roman"/>
          <w:sz w:val="22"/>
          <w:szCs w:val="22"/>
          <w:lang w:val="lt-LT"/>
        </w:rPr>
      </w:pPr>
      <w:r w:rsidRPr="00042943">
        <w:rPr>
          <w:rFonts w:ascii="Times New Roman" w:hAnsi="Times New Roman"/>
          <w:sz w:val="22"/>
          <w:szCs w:val="22"/>
          <w:lang w:val="lt-LT"/>
        </w:rPr>
        <w:t xml:space="preserve">Jeigu vartojate ar neseniai vartojote kitų vaistų arba dėl to nesate tikri, apie tai pasakykite </w:t>
      </w:r>
      <w:proofErr w:type="spellStart"/>
      <w:r w:rsidRPr="00042943">
        <w:rPr>
          <w:rFonts w:ascii="Times New Roman" w:hAnsi="Times New Roman"/>
          <w:sz w:val="22"/>
          <w:szCs w:val="22"/>
          <w:lang w:val="lt-LT"/>
        </w:rPr>
        <w:t>gydytojui,slaugytojai</w:t>
      </w:r>
      <w:proofErr w:type="spellEnd"/>
      <w:r w:rsidRPr="00042943">
        <w:rPr>
          <w:rFonts w:ascii="Times New Roman" w:hAnsi="Times New Roman"/>
          <w:sz w:val="22"/>
          <w:szCs w:val="22"/>
          <w:lang w:val="lt-LT"/>
        </w:rPr>
        <w:t>, arba vaistininkui.</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eastAsia="lt-LT"/>
        </w:rPr>
        <w:t>Nėštumo ir žindymo laikotarpis</w:t>
      </w:r>
      <w:r w:rsidRPr="0003312B">
        <w:rPr>
          <w:b/>
          <w:bCs/>
          <w:color w:val="auto"/>
          <w:sz w:val="22"/>
          <w:szCs w:val="22"/>
          <w:lang w:val="lt-LT"/>
        </w:rPr>
        <w:t xml:space="preserve"> </w:t>
      </w: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rPr>
        <w:t xml:space="preserve">OSSICA yra skirtas vartoti moterims po menopauzės, jo negalima vartoti vaisingo amžiaus moterims.  </w:t>
      </w:r>
      <w:r w:rsidRPr="00042943">
        <w:rPr>
          <w:rFonts w:ascii="Times New Roman" w:hAnsi="Times New Roman"/>
          <w:sz w:val="22"/>
          <w:szCs w:val="22"/>
          <w:lang w:val="lt-LT" w:eastAsia="lt-LT"/>
        </w:rPr>
        <w:t xml:space="preserve">Jums negalima švirkšti OSSICA, jeigu esate nėščia arba  žindote kūdikį. </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Prieš vartojant šį vaistą, būtina pasitarti su gydytoju arba vaistininku.</w:t>
      </w:r>
    </w:p>
    <w:p w:rsidR="009E3290" w:rsidRPr="0003312B" w:rsidRDefault="009E3290" w:rsidP="009E3290">
      <w:pPr>
        <w:pStyle w:val="Default"/>
        <w:rPr>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eastAsia="lt-LT"/>
        </w:rPr>
        <w:t>Vairavimas ir mechanizmų valdymas</w:t>
      </w:r>
      <w:r w:rsidRPr="0003312B">
        <w:rPr>
          <w:b/>
          <w:bCs/>
          <w:color w:val="auto"/>
          <w:sz w:val="22"/>
          <w:szCs w:val="22"/>
          <w:lang w:val="lt-LT"/>
        </w:rPr>
        <w:t xml:space="preserve"> </w:t>
      </w:r>
    </w:p>
    <w:p w:rsidR="009E3290" w:rsidRPr="00042943" w:rsidRDefault="009E3290" w:rsidP="009E3290">
      <w:pPr>
        <w:rPr>
          <w:rFonts w:ascii="Times New Roman" w:hAnsi="Times New Roman"/>
          <w:sz w:val="22"/>
          <w:lang w:val="lt-LT"/>
        </w:rPr>
      </w:pPr>
      <w:r w:rsidRPr="00042943">
        <w:rPr>
          <w:rFonts w:ascii="Times New Roman" w:hAnsi="Times New Roman"/>
          <w:sz w:val="22"/>
          <w:szCs w:val="22"/>
          <w:lang w:val="lt-LT"/>
        </w:rPr>
        <w:t xml:space="preserve">Jūs galite vairuoti ir valdyti mechanizmus, nes manoma, kad OSSICA gebėjimo vairuoti ir valdyti mechanizmus neveikia arba veikia nereikšmingai. </w:t>
      </w:r>
    </w:p>
    <w:p w:rsidR="009E3290" w:rsidRPr="00042943" w:rsidRDefault="009E3290" w:rsidP="009E3290">
      <w:pPr>
        <w:rPr>
          <w:rFonts w:ascii="Times New Roman" w:hAnsi="Times New Roman"/>
          <w:sz w:val="22"/>
          <w:szCs w:val="22"/>
          <w:lang w:val="lt-LT"/>
        </w:rPr>
      </w:pPr>
    </w:p>
    <w:p w:rsidR="009E3290" w:rsidRPr="00042943" w:rsidRDefault="009E3290" w:rsidP="009E3290">
      <w:pPr>
        <w:outlineLvl w:val="0"/>
        <w:rPr>
          <w:rFonts w:ascii="Times New Roman" w:hAnsi="Times New Roman"/>
          <w:b/>
          <w:sz w:val="22"/>
          <w:szCs w:val="22"/>
          <w:lang w:val="lt-LT"/>
        </w:rPr>
      </w:pPr>
      <w:r w:rsidRPr="00042943">
        <w:rPr>
          <w:rFonts w:ascii="Times New Roman" w:hAnsi="Times New Roman"/>
          <w:b/>
          <w:bCs/>
          <w:sz w:val="22"/>
          <w:szCs w:val="22"/>
          <w:lang w:val="lt-LT" w:eastAsia="lt-LT"/>
        </w:rPr>
        <w:t>OSSICA sudėtyje yra  natrio</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 xml:space="preserve">Vienoje OSSICA dozėje (3 ml) yra mažiau kaip 1 </w:t>
      </w:r>
      <w:proofErr w:type="spellStart"/>
      <w:r w:rsidRPr="00042943">
        <w:rPr>
          <w:rFonts w:ascii="Times New Roman" w:hAnsi="Times New Roman"/>
          <w:sz w:val="22"/>
          <w:szCs w:val="22"/>
          <w:lang w:val="lt-LT" w:eastAsia="lt-LT"/>
        </w:rPr>
        <w:t>mmol</w:t>
      </w:r>
      <w:proofErr w:type="spellEnd"/>
      <w:r w:rsidRPr="00042943">
        <w:rPr>
          <w:rFonts w:ascii="Times New Roman" w:hAnsi="Times New Roman"/>
          <w:sz w:val="22"/>
          <w:szCs w:val="22"/>
          <w:lang w:val="lt-LT" w:eastAsia="lt-LT"/>
        </w:rPr>
        <w:t xml:space="preserve"> (23 mg) natrio, t. y. iš esmės be natrio.</w:t>
      </w:r>
    </w:p>
    <w:p w:rsidR="009E3290" w:rsidRPr="00042943" w:rsidRDefault="009E3290" w:rsidP="009E3290">
      <w:pPr>
        <w:rPr>
          <w:rFonts w:ascii="Times New Roman" w:hAnsi="Times New Roman"/>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7" w:hanging="567"/>
        <w:outlineLvl w:val="0"/>
        <w:rPr>
          <w:b/>
          <w:bCs/>
          <w:color w:val="auto"/>
          <w:sz w:val="22"/>
          <w:szCs w:val="22"/>
          <w:lang w:val="lt-LT"/>
        </w:rPr>
      </w:pPr>
      <w:r w:rsidRPr="0003312B">
        <w:rPr>
          <w:b/>
          <w:bCs/>
          <w:color w:val="auto"/>
          <w:sz w:val="22"/>
          <w:szCs w:val="22"/>
          <w:lang w:val="lt-LT"/>
        </w:rPr>
        <w:t>3.</w:t>
      </w:r>
      <w:r w:rsidRPr="0003312B">
        <w:rPr>
          <w:b/>
          <w:bCs/>
          <w:color w:val="auto"/>
          <w:sz w:val="22"/>
          <w:szCs w:val="22"/>
          <w:lang w:val="lt-LT"/>
        </w:rPr>
        <w:tab/>
      </w:r>
      <w:r w:rsidRPr="0003312B">
        <w:rPr>
          <w:b/>
          <w:bCs/>
          <w:color w:val="auto"/>
          <w:sz w:val="22"/>
          <w:szCs w:val="22"/>
          <w:lang w:val="lt-LT" w:eastAsia="lt-LT"/>
        </w:rPr>
        <w:t>Kaip vartoti OSSICA</w:t>
      </w:r>
      <w:r w:rsidRPr="0003312B">
        <w:rPr>
          <w:b/>
          <w:bCs/>
          <w:color w:val="auto"/>
          <w:sz w:val="22"/>
          <w:szCs w:val="22"/>
          <w:lang w:val="lt-LT"/>
        </w:rPr>
        <w:t xml:space="preserve">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outlineLvl w:val="0"/>
        <w:rPr>
          <w:rFonts w:ascii="Times New Roman" w:hAnsi="Times New Roman"/>
          <w:sz w:val="22"/>
          <w:szCs w:val="22"/>
          <w:lang w:val="lt-LT" w:eastAsia="lt-LT"/>
        </w:rPr>
      </w:pPr>
      <w:r w:rsidRPr="0003312B">
        <w:rPr>
          <w:rFonts w:ascii="Times New Roman" w:hAnsi="Times New Roman"/>
          <w:sz w:val="22"/>
          <w:szCs w:val="22"/>
          <w:lang w:val="lt-LT" w:eastAsia="lt-LT"/>
        </w:rPr>
        <w:t>Rekomenduojama OSSICA dozė injekcijoms į veną yra 3 mg (1 užpildytas švirkštas) kas 3 mėnesius.</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Injekciją į veną turi sušvirkšti gydytojas ar kitas kvalifikuotas sveikatos priežiūros specialistas.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Nešvirkškite preparato patys.</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autoSpaceDE w:val="0"/>
        <w:autoSpaceDN w:val="0"/>
        <w:adjustRightInd w:val="0"/>
        <w:snapToGrid w:val="0"/>
        <w:outlineLvl w:val="0"/>
        <w:rPr>
          <w:rFonts w:ascii="Times New Roman" w:hAnsi="Times New Roman"/>
          <w:sz w:val="22"/>
          <w:szCs w:val="22"/>
          <w:lang w:val="lt-LT" w:eastAsia="lt-LT"/>
        </w:rPr>
      </w:pPr>
      <w:r w:rsidRPr="0003312B">
        <w:rPr>
          <w:rFonts w:ascii="Times New Roman" w:hAnsi="Times New Roman"/>
          <w:sz w:val="22"/>
          <w:szCs w:val="22"/>
          <w:lang w:val="lt-LT" w:eastAsia="lt-LT"/>
        </w:rPr>
        <w:t>Injekcinį tirpalą galima švirkšti tik į veną, niekur daugiau.</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OSSICA vartojimo trukmė</w:t>
      </w:r>
    </w:p>
    <w:p w:rsidR="009E3290" w:rsidRPr="0003312B" w:rsidRDefault="009E3290" w:rsidP="009E3290">
      <w:pPr>
        <w:pStyle w:val="Default"/>
        <w:rPr>
          <w:color w:val="auto"/>
          <w:sz w:val="22"/>
          <w:szCs w:val="22"/>
          <w:lang w:val="lt-LT"/>
        </w:rPr>
      </w:pPr>
      <w:r w:rsidRPr="0003312B">
        <w:rPr>
          <w:color w:val="auto"/>
          <w:sz w:val="22"/>
          <w:szCs w:val="22"/>
          <w:lang w:val="lt-LT"/>
        </w:rPr>
        <w:t>Norint pasiekti geriausių gydymo rezultatų, svarbu ir toliau kas 3 mėnesius vaistą leisti tiek laiko, kiek paskiria gydytojas. OSSICA gali padėti osteoporozę gydyti tiek laiko, kiek vartosite šį vaistą, nors skirtumo galite nepastebėti ar nepajusti. Po 5 metų gydymo OSSICA, pasitarkite su gydytoju, ar Jums tęsti gydymą OSSICA.</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Taip pat turite papildomai vartoti kalcio ir vitamino D tiek, kiek rekomendavo gydytojas.  </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Pavartojus per didelę OSSICA dozę </w:t>
      </w:r>
    </w:p>
    <w:p w:rsidR="009E3290" w:rsidRPr="0003312B" w:rsidRDefault="009E3290" w:rsidP="009E3290">
      <w:pPr>
        <w:pStyle w:val="Default"/>
        <w:rPr>
          <w:color w:val="auto"/>
          <w:sz w:val="22"/>
          <w:szCs w:val="22"/>
          <w:lang w:val="lt-LT"/>
        </w:rPr>
      </w:pPr>
      <w:r w:rsidRPr="0003312B">
        <w:rPr>
          <w:color w:val="auto"/>
          <w:sz w:val="22"/>
          <w:szCs w:val="22"/>
          <w:lang w:val="lt-LT"/>
        </w:rPr>
        <w:lastRenderedPageBreak/>
        <w:t xml:space="preserve">Jūsų kraujyje gali sumažėti kalcio, fosforo ar magnio koncentracija. Gydytojas, norėdamas koreguoti šiuos sutrikimus, gali paskirti šių mineralinių medžiagų tirpalų injekcijas. </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Praleidus OSSICA dozę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Turite kuo greičiau apsilankyti pas gydytoją, kad Jums sušvirkštų vaisto. Po to injekcijas reikia atlikti kas 3 mėnesius, skaičiuojant nuo paskutinės injekcijos datos. </w:t>
      </w:r>
    </w:p>
    <w:p w:rsidR="009E3290" w:rsidRPr="00042943" w:rsidRDefault="009E3290" w:rsidP="009E3290">
      <w:pPr>
        <w:numPr>
          <w:ilvl w:val="12"/>
          <w:numId w:val="0"/>
        </w:numPr>
        <w:tabs>
          <w:tab w:val="left" w:pos="708"/>
        </w:tabs>
        <w:ind w:right="-2"/>
        <w:rPr>
          <w:rFonts w:ascii="Times New Roman" w:hAnsi="Times New Roman"/>
          <w:sz w:val="22"/>
          <w:lang w:val="lt-LT"/>
        </w:rPr>
      </w:pP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4.</w:t>
      </w:r>
      <w:r w:rsidRPr="0003312B">
        <w:rPr>
          <w:b/>
          <w:bCs/>
          <w:color w:val="auto"/>
          <w:sz w:val="22"/>
          <w:szCs w:val="22"/>
          <w:lang w:val="lt-LT"/>
        </w:rPr>
        <w:tab/>
      </w:r>
      <w:r w:rsidRPr="0003312B">
        <w:rPr>
          <w:b/>
          <w:bCs/>
          <w:color w:val="auto"/>
          <w:sz w:val="22"/>
          <w:szCs w:val="22"/>
          <w:lang w:val="lt-LT" w:eastAsia="lt-LT"/>
        </w:rPr>
        <w:t xml:space="preserve">Galimas šalutinis poveikis </w:t>
      </w:r>
    </w:p>
    <w:p w:rsidR="009E3290" w:rsidRPr="0003312B" w:rsidRDefault="009E3290" w:rsidP="009E3290">
      <w:pPr>
        <w:pStyle w:val="Default"/>
        <w:ind w:right="-20"/>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Šis vaistas, kaip ir visi kiti, gali sukelti šalutinį poveikį, nors jis pasireiškia ne visiems žmonėms. </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right="-29"/>
        <w:rPr>
          <w:b/>
          <w:bCs/>
          <w:color w:val="auto"/>
          <w:sz w:val="22"/>
          <w:szCs w:val="22"/>
          <w:lang w:val="lt-LT"/>
        </w:rPr>
      </w:pPr>
      <w:r w:rsidRPr="0003312B">
        <w:rPr>
          <w:b/>
          <w:bCs/>
          <w:color w:val="auto"/>
          <w:sz w:val="22"/>
          <w:szCs w:val="22"/>
          <w:lang w:val="lt-LT"/>
        </w:rPr>
        <w:t xml:space="preserve">Jeigu pastebėjote bet kurį iš šių šalutinio poveikio simptomų, nedelsdami pasakykite slaugytojui arba  gydytojui, nes Jums gali reikėti skubios medicininės pagalbos: </w:t>
      </w:r>
    </w:p>
    <w:p w:rsidR="009E3290" w:rsidRPr="0003312B" w:rsidRDefault="009E3290" w:rsidP="009E3290">
      <w:pPr>
        <w:pStyle w:val="Default"/>
        <w:ind w:right="-29"/>
        <w:rPr>
          <w:b/>
          <w:bCs/>
          <w:color w:val="auto"/>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Reti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1000 pacientų): </w:t>
      </w:r>
    </w:p>
    <w:p w:rsidR="009E3290" w:rsidRPr="00042943" w:rsidRDefault="009E3290" w:rsidP="009E3290">
      <w:pPr>
        <w:pStyle w:val="Default"/>
        <w:ind w:left="562" w:hanging="563"/>
        <w:rPr>
          <w:sz w:val="22"/>
          <w:szCs w:val="22"/>
          <w:lang w:val="lt-LT"/>
        </w:rPr>
      </w:pPr>
      <w:r w:rsidRPr="00042943">
        <w:rPr>
          <w:sz w:val="22"/>
          <w:szCs w:val="22"/>
          <w:lang w:val="lt-LT"/>
        </w:rPr>
        <w:t>• niežėjimas, veido, lūpų, liežuvio ar gerklės patinimas, sunkinantis kvėpavimą</w:t>
      </w:r>
      <w:r w:rsidR="008D1A91">
        <w:rPr>
          <w:sz w:val="22"/>
          <w:szCs w:val="22"/>
          <w:lang w:val="lt-LT"/>
        </w:rPr>
        <w:t>;</w:t>
      </w:r>
      <w:r w:rsidRPr="00042943">
        <w:rPr>
          <w:sz w:val="22"/>
          <w:szCs w:val="22"/>
          <w:lang w:val="lt-LT"/>
        </w:rPr>
        <w:t xml:space="preserve"> </w:t>
      </w:r>
    </w:p>
    <w:p w:rsidR="009E3290" w:rsidRPr="00042943" w:rsidRDefault="009E3290" w:rsidP="009E3290">
      <w:pPr>
        <w:pStyle w:val="Default"/>
        <w:rPr>
          <w:sz w:val="22"/>
          <w:szCs w:val="22"/>
          <w:lang w:val="lt-LT"/>
        </w:rPr>
      </w:pPr>
      <w:r w:rsidRPr="00042943">
        <w:rPr>
          <w:sz w:val="22"/>
          <w:szCs w:val="22"/>
          <w:lang w:val="lt-LT"/>
        </w:rPr>
        <w:t>• nuolatinis akių skausmas ir uždegimas (jeigu ilgai trunka)</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562" w:hanging="563"/>
        <w:rPr>
          <w:sz w:val="22"/>
          <w:szCs w:val="22"/>
          <w:lang w:val="lt-LT"/>
        </w:rPr>
      </w:pPr>
      <w:r w:rsidRPr="00042943">
        <w:rPr>
          <w:sz w:val="22"/>
          <w:szCs w:val="22"/>
          <w:lang w:val="lt-LT"/>
        </w:rPr>
        <w:t xml:space="preserve">• naujai atsiradęs skausmas, silpnumas ar nemalonus pojūtis šlaunies, klubo ar kirkšnies srityje. Tai gali būti ankstyvieji galimo neįprasto šlaunikaulio lūžio požymiai. </w:t>
      </w:r>
    </w:p>
    <w:p w:rsidR="009E3290" w:rsidRPr="00042943" w:rsidRDefault="009E3290" w:rsidP="009E3290">
      <w:pPr>
        <w:pStyle w:val="Default"/>
        <w:ind w:right="-29"/>
        <w:rPr>
          <w:b/>
          <w:bCs/>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Labai reti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10 000 pacientų): </w:t>
      </w:r>
    </w:p>
    <w:p w:rsidR="009E3290" w:rsidRPr="00042943" w:rsidRDefault="009E3290" w:rsidP="009E3290">
      <w:pPr>
        <w:pStyle w:val="Default"/>
        <w:ind w:left="538" w:hanging="480"/>
        <w:rPr>
          <w:sz w:val="22"/>
          <w:szCs w:val="22"/>
          <w:lang w:val="lt-LT"/>
        </w:rPr>
      </w:pPr>
      <w:r w:rsidRPr="00042943">
        <w:rPr>
          <w:sz w:val="22"/>
          <w:szCs w:val="22"/>
          <w:lang w:val="lt-LT"/>
        </w:rPr>
        <w:t xml:space="preserve">• skausmas ar žaizda burnoje ar žandikaulyje. Tai gali būti ankstyvieji sunkios žandikaulio ligos (nekrozės (žuvusio kaulinio audinio) žandikaulyje požymiai); </w:t>
      </w:r>
    </w:p>
    <w:p w:rsidR="009E3290" w:rsidRPr="00042943" w:rsidRDefault="009E3290" w:rsidP="009E3290">
      <w:pPr>
        <w:pStyle w:val="Default"/>
        <w:ind w:left="58"/>
        <w:rPr>
          <w:sz w:val="22"/>
          <w:szCs w:val="22"/>
          <w:lang w:val="lt-LT"/>
        </w:rPr>
      </w:pPr>
      <w:r w:rsidRPr="00042943">
        <w:rPr>
          <w:sz w:val="22"/>
          <w:szCs w:val="22"/>
          <w:lang w:val="lt-LT"/>
        </w:rPr>
        <w:t>• sunkios, galinčios sukelti grėsmę gyvybei, alerginės reakcijos (žr. 2 skyrių);</w:t>
      </w:r>
    </w:p>
    <w:p w:rsidR="009E3290" w:rsidRPr="00042943" w:rsidRDefault="009E3290" w:rsidP="009E3290">
      <w:pPr>
        <w:pStyle w:val="Default"/>
        <w:ind w:left="58"/>
        <w:rPr>
          <w:sz w:val="22"/>
          <w:szCs w:val="22"/>
          <w:lang w:val="lt-LT"/>
        </w:rPr>
      </w:pPr>
      <w:r w:rsidRPr="00042943">
        <w:rPr>
          <w:sz w:val="22"/>
          <w:szCs w:val="22"/>
          <w:lang w:val="lt-LT"/>
        </w:rPr>
        <w:t>• sunkios šalutinės odos reakcijos</w:t>
      </w:r>
      <w:r w:rsidR="008D1A91">
        <w:rPr>
          <w:sz w:val="22"/>
          <w:szCs w:val="22"/>
          <w:lang w:val="lt-LT"/>
        </w:rPr>
        <w:t>.</w:t>
      </w:r>
    </w:p>
    <w:p w:rsidR="009E3290" w:rsidRPr="0003312B" w:rsidRDefault="009E3290" w:rsidP="009E3290">
      <w:pPr>
        <w:autoSpaceDE w:val="0"/>
        <w:autoSpaceDN w:val="0"/>
        <w:adjustRightInd w:val="0"/>
        <w:ind w:left="142" w:right="-20" w:hanging="142"/>
        <w:rPr>
          <w:rFonts w:ascii="Times New Roman" w:hAnsi="Times New Roman"/>
          <w:bCs/>
          <w:color w:val="000000"/>
          <w:sz w:val="22"/>
          <w:szCs w:val="22"/>
          <w:lang w:val="lt-LT"/>
        </w:rPr>
      </w:pPr>
      <w:r>
        <w:rPr>
          <w:rFonts w:ascii="Times New Roman" w:hAnsi="Times New Roman"/>
          <w:sz w:val="22"/>
          <w:szCs w:val="22"/>
          <w:lang w:val="lt-LT"/>
        </w:rPr>
        <w:t xml:space="preserve"> </w:t>
      </w:r>
      <w:r w:rsidRPr="00042943">
        <w:rPr>
          <w:rFonts w:ascii="Times New Roman" w:hAnsi="Times New Roman"/>
          <w:sz w:val="22"/>
          <w:szCs w:val="22"/>
          <w:lang w:val="lt-LT"/>
        </w:rPr>
        <w:t>•</w:t>
      </w:r>
      <w:r w:rsidRPr="00042943">
        <w:rPr>
          <w:sz w:val="22"/>
          <w:szCs w:val="22"/>
          <w:lang w:val="lt-LT"/>
        </w:rPr>
        <w:t xml:space="preserve"> </w:t>
      </w:r>
      <w:r w:rsidRPr="0003312B">
        <w:rPr>
          <w:rFonts w:ascii="Times New Roman" w:hAnsi="Times New Roman"/>
          <w:bCs/>
          <w:color w:val="000000"/>
          <w:sz w:val="22"/>
          <w:szCs w:val="22"/>
          <w:lang w:val="lt-LT"/>
        </w:rPr>
        <w:t>Pasikalbėkite su savo gydytoju, jeigu Jums skauda ausį, iš ausies teka išskyros ir (arba) Jums prasidėjęs ausies uždegimas. Tai gali būtų ausyje esančio kaulo pažeidimo požymiai.</w:t>
      </w:r>
    </w:p>
    <w:p w:rsidR="009E3290" w:rsidRPr="00042943" w:rsidRDefault="009E3290" w:rsidP="009E3290">
      <w:pPr>
        <w:pStyle w:val="Default"/>
        <w:ind w:left="58"/>
        <w:rPr>
          <w:sz w:val="22"/>
          <w:szCs w:val="22"/>
          <w:lang w:val="lt-LT"/>
        </w:rPr>
      </w:pPr>
    </w:p>
    <w:p w:rsidR="009E3290" w:rsidRPr="00042943" w:rsidRDefault="009E3290" w:rsidP="009E3290">
      <w:pPr>
        <w:pStyle w:val="Default"/>
        <w:ind w:right="-29"/>
        <w:rPr>
          <w:b/>
          <w:bCs/>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Kiti galimi šalutiniai poveikiai </w:t>
      </w:r>
    </w:p>
    <w:p w:rsidR="009E3290" w:rsidRPr="00042943" w:rsidRDefault="009E3290" w:rsidP="009E3290">
      <w:pPr>
        <w:pStyle w:val="Default"/>
        <w:ind w:right="-29"/>
        <w:rPr>
          <w:b/>
          <w:bCs/>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Dažni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 pacientų): </w:t>
      </w:r>
    </w:p>
    <w:p w:rsidR="009E3290" w:rsidRPr="00042943" w:rsidRDefault="009E3290" w:rsidP="009E3290">
      <w:pPr>
        <w:pStyle w:val="Default"/>
        <w:ind w:left="540" w:right="-29" w:hanging="540"/>
        <w:rPr>
          <w:sz w:val="22"/>
          <w:szCs w:val="22"/>
          <w:lang w:val="lt-LT"/>
        </w:rPr>
      </w:pPr>
      <w:r w:rsidRPr="00042943">
        <w:rPr>
          <w:sz w:val="22"/>
          <w:szCs w:val="22"/>
          <w:lang w:val="lt-LT"/>
        </w:rPr>
        <w:t>• galvos skausmas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hanging="540"/>
        <w:rPr>
          <w:sz w:val="22"/>
          <w:szCs w:val="22"/>
          <w:lang w:val="lt-LT"/>
        </w:rPr>
      </w:pPr>
      <w:r w:rsidRPr="00042943">
        <w:rPr>
          <w:sz w:val="22"/>
          <w:szCs w:val="22"/>
          <w:lang w:val="lt-LT"/>
        </w:rPr>
        <w:t xml:space="preserve">          • skrandžio ar pilvo skausmas (gali būti dėl skrandžio uždegimo), </w:t>
      </w:r>
      <w:proofErr w:type="spellStart"/>
      <w:r w:rsidRPr="00042943">
        <w:rPr>
          <w:sz w:val="22"/>
          <w:szCs w:val="22"/>
          <w:lang w:val="lt-LT"/>
        </w:rPr>
        <w:t>nevirškinimas</w:t>
      </w:r>
      <w:proofErr w:type="spellEnd"/>
      <w:r w:rsidRPr="00042943">
        <w:rPr>
          <w:sz w:val="22"/>
          <w:szCs w:val="22"/>
          <w:lang w:val="lt-LT"/>
        </w:rPr>
        <w:t>, pykinimas, viduriavimas (laisvi viduriai) ar vidurių užkietėjimas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540" w:right="-29" w:hanging="540"/>
        <w:rPr>
          <w:sz w:val="22"/>
          <w:szCs w:val="22"/>
          <w:lang w:val="lt-LT"/>
        </w:rPr>
      </w:pPr>
      <w:r w:rsidRPr="00042943">
        <w:rPr>
          <w:sz w:val="22"/>
          <w:szCs w:val="22"/>
          <w:lang w:val="lt-LT"/>
        </w:rPr>
        <w:t>• raumenų, sąnarių ar nugaros skausmas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right="-29"/>
        <w:rPr>
          <w:sz w:val="22"/>
          <w:szCs w:val="22"/>
          <w:lang w:val="lt-LT"/>
        </w:rPr>
      </w:pPr>
      <w:r w:rsidRPr="00042943">
        <w:rPr>
          <w:sz w:val="22"/>
          <w:szCs w:val="22"/>
          <w:lang w:val="lt-LT"/>
        </w:rPr>
        <w:t>• nuovargio ir išsekimo jausmas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rPr>
          <w:sz w:val="22"/>
          <w:szCs w:val="22"/>
          <w:lang w:val="lt-LT"/>
        </w:rPr>
      </w:pPr>
      <w:r w:rsidRPr="00042943">
        <w:rPr>
          <w:color w:val="auto"/>
          <w:sz w:val="22"/>
          <w:szCs w:val="22"/>
          <w:lang w:val="lt-LT"/>
        </w:rPr>
        <w:t>• į</w:t>
      </w:r>
      <w:r w:rsidRPr="00042943">
        <w:rPr>
          <w:sz w:val="22"/>
          <w:szCs w:val="22"/>
          <w:lang w:val="lt-LT"/>
        </w:rPr>
        <w:t xml:space="preserve"> gripą panašūs simptomai, tokie kaip karščiavimas, drebulys ir </w:t>
      </w:r>
      <w:proofErr w:type="spellStart"/>
      <w:r w:rsidRPr="00042943">
        <w:rPr>
          <w:sz w:val="22"/>
          <w:szCs w:val="22"/>
          <w:lang w:val="lt-LT"/>
        </w:rPr>
        <w:t>šaltkrėtis</w:t>
      </w:r>
      <w:proofErr w:type="spellEnd"/>
      <w:r w:rsidRPr="00042943">
        <w:rPr>
          <w:sz w:val="22"/>
          <w:szCs w:val="22"/>
          <w:lang w:val="lt-LT"/>
        </w:rPr>
        <w:t xml:space="preserve">, diskomforto jausmas, </w:t>
      </w:r>
    </w:p>
    <w:p w:rsidR="009E3290" w:rsidRPr="00042943" w:rsidRDefault="009E3290" w:rsidP="009E3290">
      <w:pPr>
        <w:pStyle w:val="Default"/>
        <w:ind w:left="538" w:hanging="480"/>
        <w:rPr>
          <w:sz w:val="22"/>
          <w:szCs w:val="22"/>
          <w:lang w:val="lt-LT"/>
        </w:rPr>
      </w:pPr>
      <w:r w:rsidRPr="00042943">
        <w:rPr>
          <w:sz w:val="22"/>
          <w:szCs w:val="22"/>
          <w:lang w:val="lt-LT"/>
        </w:rPr>
        <w:t xml:space="preserve">kaulų, raumenų ir sąnarių skausmas. Jeigu bet kuris iš poveikių tampa varginantis arba tęsiasi </w:t>
      </w:r>
    </w:p>
    <w:p w:rsidR="009E3290" w:rsidRPr="00042943" w:rsidRDefault="009E3290" w:rsidP="009E3290">
      <w:pPr>
        <w:pStyle w:val="Default"/>
        <w:ind w:left="538" w:hanging="480"/>
        <w:rPr>
          <w:sz w:val="22"/>
          <w:szCs w:val="22"/>
          <w:lang w:val="lt-LT"/>
        </w:rPr>
      </w:pPr>
      <w:r w:rsidRPr="00042943">
        <w:rPr>
          <w:sz w:val="22"/>
          <w:szCs w:val="22"/>
          <w:lang w:val="lt-LT"/>
        </w:rPr>
        <w:t xml:space="preserve">ilgiau negu keletą parų, </w:t>
      </w:r>
      <w:proofErr w:type="spellStart"/>
      <w:r w:rsidRPr="00042943">
        <w:rPr>
          <w:sz w:val="22"/>
          <w:szCs w:val="22"/>
          <w:lang w:val="lt-LT"/>
        </w:rPr>
        <w:t>pasitarite</w:t>
      </w:r>
      <w:proofErr w:type="spellEnd"/>
      <w:r w:rsidRPr="00042943">
        <w:rPr>
          <w:sz w:val="22"/>
          <w:szCs w:val="22"/>
          <w:lang w:val="lt-LT"/>
        </w:rPr>
        <w:t xml:space="preserve"> su slaugytoju ar gydytoju</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538" w:right="-28" w:hanging="539"/>
        <w:rPr>
          <w:b/>
          <w:bCs/>
          <w:sz w:val="22"/>
          <w:szCs w:val="22"/>
          <w:lang w:val="lt-LT"/>
        </w:rPr>
      </w:pPr>
      <w:r w:rsidRPr="00042943">
        <w:rPr>
          <w:sz w:val="22"/>
          <w:szCs w:val="22"/>
          <w:lang w:val="lt-LT"/>
        </w:rPr>
        <w:t>• išbėrimas.</w:t>
      </w:r>
    </w:p>
    <w:p w:rsidR="009E3290" w:rsidRPr="00042943" w:rsidRDefault="009E3290" w:rsidP="009E3290">
      <w:pPr>
        <w:pStyle w:val="Default"/>
        <w:ind w:left="538" w:right="-28" w:hanging="539"/>
        <w:rPr>
          <w:b/>
          <w:bCs/>
          <w:sz w:val="22"/>
          <w:szCs w:val="22"/>
          <w:lang w:val="lt-LT"/>
        </w:rPr>
      </w:pPr>
    </w:p>
    <w:p w:rsidR="009E3290" w:rsidRPr="00042943" w:rsidRDefault="009E3290" w:rsidP="009E3290">
      <w:pPr>
        <w:pStyle w:val="Default"/>
        <w:ind w:left="538" w:right="-28" w:hanging="539"/>
        <w:rPr>
          <w:sz w:val="22"/>
          <w:szCs w:val="22"/>
          <w:lang w:val="lt-LT"/>
        </w:rPr>
      </w:pPr>
      <w:r w:rsidRPr="00042943">
        <w:rPr>
          <w:b/>
          <w:bCs/>
          <w:sz w:val="22"/>
          <w:szCs w:val="22"/>
          <w:lang w:val="lt-LT"/>
        </w:rPr>
        <w:t xml:space="preserve">Nedažni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100 pacientų): </w:t>
      </w:r>
    </w:p>
    <w:p w:rsidR="009E3290" w:rsidRPr="00042943" w:rsidRDefault="009E3290" w:rsidP="009E3290">
      <w:pPr>
        <w:pStyle w:val="Default"/>
        <w:ind w:left="480" w:hanging="480"/>
        <w:rPr>
          <w:sz w:val="22"/>
          <w:szCs w:val="22"/>
          <w:lang w:val="lt-LT"/>
        </w:rPr>
      </w:pPr>
      <w:r w:rsidRPr="00042943">
        <w:rPr>
          <w:sz w:val="22"/>
          <w:szCs w:val="22"/>
          <w:lang w:val="lt-LT"/>
        </w:rPr>
        <w:t>• venos uždegimas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482" w:hanging="483"/>
        <w:rPr>
          <w:sz w:val="22"/>
          <w:szCs w:val="22"/>
          <w:lang w:val="lt-LT"/>
        </w:rPr>
      </w:pPr>
      <w:r w:rsidRPr="00042943">
        <w:rPr>
          <w:sz w:val="22"/>
          <w:szCs w:val="22"/>
          <w:lang w:val="lt-LT"/>
        </w:rPr>
        <w:lastRenderedPageBreak/>
        <w:t>• injekcijos vietos skausmas ar pažaida</w:t>
      </w:r>
      <w:r w:rsidR="008D1A91">
        <w:rPr>
          <w:sz w:val="22"/>
          <w:szCs w:val="22"/>
          <w:lang w:val="lt-LT"/>
        </w:rPr>
        <w:t>;</w:t>
      </w:r>
      <w:r w:rsidRPr="00042943">
        <w:rPr>
          <w:sz w:val="22"/>
          <w:szCs w:val="22"/>
          <w:lang w:val="lt-LT"/>
        </w:rPr>
        <w:t xml:space="preserve"> </w:t>
      </w:r>
    </w:p>
    <w:p w:rsidR="009E3290" w:rsidRPr="00042943" w:rsidRDefault="009E3290" w:rsidP="009E3290">
      <w:pPr>
        <w:pStyle w:val="Default"/>
        <w:rPr>
          <w:sz w:val="22"/>
          <w:szCs w:val="22"/>
          <w:lang w:val="lt-LT"/>
        </w:rPr>
      </w:pPr>
      <w:r w:rsidRPr="00042943">
        <w:rPr>
          <w:sz w:val="22"/>
          <w:szCs w:val="22"/>
          <w:lang w:val="lt-LT"/>
        </w:rPr>
        <w:t>• kaulų skausmas</w:t>
      </w:r>
      <w:r w:rsidR="008D1A91">
        <w:rPr>
          <w:sz w:val="22"/>
          <w:szCs w:val="22"/>
          <w:lang w:val="lt-LT"/>
        </w:rPr>
        <w:t>;</w:t>
      </w:r>
    </w:p>
    <w:p w:rsidR="009E3290" w:rsidRPr="00042943" w:rsidRDefault="009E3290" w:rsidP="009E3290">
      <w:pPr>
        <w:pStyle w:val="Default"/>
        <w:rPr>
          <w:sz w:val="22"/>
          <w:szCs w:val="22"/>
          <w:lang w:val="lt-LT"/>
        </w:rPr>
      </w:pPr>
      <w:r w:rsidRPr="00042943">
        <w:rPr>
          <w:sz w:val="22"/>
          <w:szCs w:val="22"/>
          <w:lang w:val="lt-LT"/>
        </w:rPr>
        <w:t>• silpnumo jausmas</w:t>
      </w:r>
      <w:r w:rsidR="008D1A91">
        <w:rPr>
          <w:sz w:val="22"/>
          <w:szCs w:val="22"/>
          <w:lang w:val="lt-LT"/>
        </w:rPr>
        <w:t>;</w:t>
      </w:r>
    </w:p>
    <w:p w:rsidR="009E3290" w:rsidRPr="00042943" w:rsidRDefault="009E3290" w:rsidP="009E3290">
      <w:pPr>
        <w:pStyle w:val="Default"/>
        <w:rPr>
          <w:color w:val="auto"/>
          <w:sz w:val="22"/>
          <w:szCs w:val="22"/>
          <w:lang w:val="lt-LT"/>
        </w:rPr>
      </w:pPr>
      <w:r w:rsidRPr="00042943">
        <w:rPr>
          <w:sz w:val="22"/>
          <w:szCs w:val="22"/>
          <w:lang w:val="lt-LT"/>
        </w:rPr>
        <w:t>• bronchų astmos priepuolis</w:t>
      </w:r>
      <w:r w:rsidR="008D1A91">
        <w:rPr>
          <w:sz w:val="22"/>
          <w:szCs w:val="22"/>
          <w:lang w:val="lt-LT"/>
        </w:rPr>
        <w:t>.</w:t>
      </w:r>
    </w:p>
    <w:p w:rsidR="009E3290" w:rsidRPr="00042943" w:rsidRDefault="009E3290" w:rsidP="009E3290">
      <w:pPr>
        <w:pStyle w:val="Default"/>
        <w:rPr>
          <w:color w:val="auto"/>
          <w:sz w:val="22"/>
          <w:szCs w:val="22"/>
          <w:lang w:val="lt-LT"/>
        </w:rPr>
      </w:pPr>
    </w:p>
    <w:p w:rsidR="009E3290" w:rsidRPr="00042943" w:rsidRDefault="009E3290" w:rsidP="009E3290">
      <w:pPr>
        <w:pStyle w:val="Default"/>
        <w:ind w:right="-29"/>
        <w:rPr>
          <w:color w:val="auto"/>
          <w:sz w:val="22"/>
          <w:szCs w:val="22"/>
          <w:lang w:val="lt-LT"/>
        </w:rPr>
      </w:pPr>
      <w:r w:rsidRPr="00042943">
        <w:rPr>
          <w:b/>
          <w:bCs/>
          <w:color w:val="auto"/>
          <w:sz w:val="22"/>
          <w:szCs w:val="22"/>
          <w:lang w:val="lt-LT"/>
        </w:rPr>
        <w:t xml:space="preserve">Reti </w:t>
      </w:r>
      <w:r w:rsidRPr="00042943">
        <w:rPr>
          <w:color w:val="auto"/>
          <w:sz w:val="22"/>
          <w:szCs w:val="22"/>
          <w:lang w:val="lt-LT"/>
        </w:rPr>
        <w:t xml:space="preserve">(gali pasireikšti </w:t>
      </w:r>
      <w:r w:rsidR="008D1A91">
        <w:rPr>
          <w:color w:val="auto"/>
          <w:sz w:val="22"/>
          <w:szCs w:val="22"/>
          <w:lang w:val="lt-LT"/>
        </w:rPr>
        <w:t>rečiau</w:t>
      </w:r>
      <w:r w:rsidRPr="00042943">
        <w:rPr>
          <w:color w:val="auto"/>
          <w:sz w:val="22"/>
          <w:szCs w:val="22"/>
          <w:lang w:val="lt-LT"/>
        </w:rPr>
        <w:t xml:space="preserve"> kaip 1 iš 1000 pacientų): </w:t>
      </w:r>
    </w:p>
    <w:p w:rsidR="009E3290" w:rsidRPr="0003312B" w:rsidRDefault="009E3290" w:rsidP="009E3290">
      <w:pPr>
        <w:pStyle w:val="Default"/>
        <w:rPr>
          <w:b/>
          <w:bCs/>
          <w:color w:val="auto"/>
          <w:sz w:val="22"/>
          <w:szCs w:val="22"/>
          <w:lang w:val="lt-LT"/>
        </w:rPr>
      </w:pPr>
      <w:r w:rsidRPr="00042943">
        <w:rPr>
          <w:color w:val="auto"/>
          <w:sz w:val="22"/>
          <w:szCs w:val="22"/>
          <w:lang w:val="lt-LT"/>
        </w:rPr>
        <w:t>• dilgėlinė</w:t>
      </w:r>
      <w:r w:rsidR="008D1A91">
        <w:rPr>
          <w:color w:val="auto"/>
          <w:sz w:val="22"/>
          <w:szCs w:val="22"/>
          <w:lang w:val="lt-LT"/>
        </w:rPr>
        <w:t>.</w:t>
      </w:r>
    </w:p>
    <w:p w:rsidR="009E3290" w:rsidRPr="0003312B" w:rsidRDefault="009E3290" w:rsidP="009E3290">
      <w:pPr>
        <w:pStyle w:val="Default"/>
        <w:rPr>
          <w:bCs/>
          <w:color w:val="auto"/>
          <w:sz w:val="22"/>
          <w:szCs w:val="22"/>
          <w:lang w:val="lt-LT"/>
        </w:rPr>
      </w:pPr>
    </w:p>
    <w:p w:rsidR="009E3290" w:rsidRPr="0003312B" w:rsidRDefault="009E3290" w:rsidP="009E3290">
      <w:pPr>
        <w:rPr>
          <w:rFonts w:ascii="Times New Roman" w:hAnsi="Times New Roman"/>
          <w:b/>
          <w:sz w:val="22"/>
          <w:szCs w:val="22"/>
          <w:lang w:val="lt-LT"/>
        </w:rPr>
      </w:pPr>
      <w:r w:rsidRPr="00042943">
        <w:rPr>
          <w:rFonts w:ascii="Times New Roman" w:hAnsi="Times New Roman"/>
          <w:b/>
          <w:sz w:val="22"/>
          <w:szCs w:val="22"/>
          <w:lang w:val="lt-LT"/>
        </w:rPr>
        <w:t>Pranešimas apie šalutinį poveikį</w:t>
      </w:r>
    </w:p>
    <w:p w:rsidR="009E3290" w:rsidRPr="00042943" w:rsidRDefault="009E3290" w:rsidP="009E3290">
      <w:pPr>
        <w:ind w:right="-449"/>
        <w:rPr>
          <w:rFonts w:ascii="Times New Roman" w:hAnsi="Times New Roman"/>
          <w:sz w:val="22"/>
          <w:szCs w:val="22"/>
          <w:lang w:val="lt-LT"/>
        </w:rPr>
      </w:pPr>
      <w:r w:rsidRPr="00042943">
        <w:rPr>
          <w:rFonts w:ascii="Times New Roman" w:hAnsi="Times New Roman"/>
          <w:sz w:val="22"/>
          <w:szCs w:val="22"/>
          <w:lang w:val="lt-LT"/>
        </w:rPr>
        <w:t>Jeigu pasireiškė šalutinis poveikis, įskaitant šiame lapelyje nenurodytą, pasakykite gydytojui arba vaistininkui.</w:t>
      </w:r>
      <w:r w:rsidRPr="00042943">
        <w:rPr>
          <w:lang w:val="lt-LT"/>
        </w:rPr>
        <w:t xml:space="preserve"> </w:t>
      </w:r>
      <w:r w:rsidRPr="0003312B">
        <w:rPr>
          <w:rFonts w:ascii="Times New Roman" w:hAnsi="Times New Roman"/>
          <w:sz w:val="22"/>
          <w:szCs w:val="22"/>
          <w:lang w:val="lt-LT"/>
        </w:rPr>
        <w:t xml:space="preserve">Apie šalutinį poveikį taip pat galite pranešti Valstybinei vaistų kontrolės tarnybai prie Lietuvos Respublikos sveikatos apsaugos ministerijos nemokamu telefonu 8 800 73568 arba užpildyti interneto svetainėje </w:t>
      </w:r>
      <w:r w:rsidR="0081226B">
        <w:fldChar w:fldCharType="begin"/>
      </w:r>
      <w:r w:rsidR="0081226B" w:rsidRPr="0081226B">
        <w:rPr>
          <w:lang w:val="lt-LT"/>
        </w:rPr>
        <w:instrText xml:space="preserve"> HYPERLINK "http://www.vvkt.lt" </w:instrText>
      </w:r>
      <w:r w:rsidR="0081226B">
        <w:fldChar w:fldCharType="separate"/>
      </w:r>
      <w:r w:rsidR="008D1A91" w:rsidRPr="00202FA6">
        <w:rPr>
          <w:rStyle w:val="Hipersaitas"/>
          <w:rFonts w:ascii="Times New Roman" w:hAnsi="Times New Roman"/>
          <w:sz w:val="22"/>
          <w:szCs w:val="22"/>
          <w:lang w:val="lt-LT"/>
        </w:rPr>
        <w:t>www.vvkt.lt</w:t>
      </w:r>
      <w:r w:rsidR="0081226B">
        <w:rPr>
          <w:rStyle w:val="Hipersaitas"/>
          <w:rFonts w:ascii="Times New Roman" w:hAnsi="Times New Roman"/>
          <w:sz w:val="22"/>
          <w:szCs w:val="22"/>
          <w:lang w:val="lt-LT"/>
        </w:rPr>
        <w:fldChar w:fldCharType="end"/>
      </w:r>
      <w:r w:rsidR="008D1A91">
        <w:rPr>
          <w:rFonts w:ascii="Times New Roman" w:hAnsi="Times New Roman"/>
          <w:sz w:val="22"/>
          <w:szCs w:val="22"/>
          <w:lang w:val="lt-LT"/>
        </w:rPr>
        <w:t xml:space="preserve"> </w:t>
      </w:r>
      <w:r w:rsidRPr="0003312B">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81226B">
        <w:fldChar w:fldCharType="begin"/>
      </w:r>
      <w:r w:rsidR="0081226B" w:rsidRPr="0081226B">
        <w:rPr>
          <w:lang w:val="lt-LT"/>
        </w:rPr>
        <w:instrText xml:space="preserve"> HYPERLINK "m</w:instrText>
      </w:r>
      <w:r w:rsidR="0081226B" w:rsidRPr="0081226B">
        <w:rPr>
          <w:lang w:val="lt-LT"/>
        </w:rPr>
        <w:instrText xml:space="preserve">ailto:NepageidaujamaR@vvkt.lt" </w:instrText>
      </w:r>
      <w:r w:rsidR="0081226B">
        <w:fldChar w:fldCharType="separate"/>
      </w:r>
      <w:r w:rsidR="008D1A91" w:rsidRPr="00202FA6">
        <w:rPr>
          <w:rStyle w:val="Hipersaitas"/>
          <w:rFonts w:ascii="Times New Roman" w:hAnsi="Times New Roman"/>
          <w:sz w:val="22"/>
          <w:szCs w:val="22"/>
          <w:lang w:val="lt-LT"/>
        </w:rPr>
        <w:t>NepageidaujamaR@vvkt.lt</w:t>
      </w:r>
      <w:r w:rsidR="0081226B">
        <w:rPr>
          <w:rStyle w:val="Hipersaitas"/>
          <w:rFonts w:ascii="Times New Roman" w:hAnsi="Times New Roman"/>
          <w:sz w:val="22"/>
          <w:szCs w:val="22"/>
          <w:lang w:val="lt-LT"/>
        </w:rPr>
        <w:fldChar w:fldCharType="end"/>
      </w:r>
      <w:r w:rsidR="008D1A91">
        <w:rPr>
          <w:rFonts w:ascii="Times New Roman" w:hAnsi="Times New Roman"/>
          <w:sz w:val="22"/>
          <w:szCs w:val="22"/>
          <w:lang w:val="lt-LT"/>
        </w:rPr>
        <w:t xml:space="preserve"> </w:t>
      </w:r>
      <w:r w:rsidRPr="0003312B">
        <w:rPr>
          <w:rFonts w:ascii="Times New Roman" w:hAnsi="Times New Roman"/>
          <w:sz w:val="22"/>
          <w:szCs w:val="22"/>
          <w:lang w:val="lt-LT"/>
        </w:rPr>
        <w:t xml:space="preserve">, taip pat per Valstybinės vaistų kontrolės tarnybos prie Lietuvos Respublikos sveikatos apsaugos ministerijos interneto svetainę (adresu </w:t>
      </w:r>
      <w:r w:rsidR="0081226B">
        <w:fldChar w:fldCharType="begin"/>
      </w:r>
      <w:r w:rsidR="0081226B" w:rsidRPr="0081226B">
        <w:rPr>
          <w:lang w:val="lt-LT"/>
        </w:rPr>
        <w:instrText xml:space="preserve"> HYPERLINK "http://www.vvkt.lt" </w:instrText>
      </w:r>
      <w:r w:rsidR="0081226B">
        <w:fldChar w:fldCharType="separate"/>
      </w:r>
      <w:r w:rsidR="008D1A91" w:rsidRPr="00202FA6">
        <w:rPr>
          <w:rStyle w:val="Hipersaitas"/>
          <w:rFonts w:ascii="Times New Roman" w:hAnsi="Times New Roman"/>
          <w:sz w:val="22"/>
          <w:szCs w:val="22"/>
          <w:lang w:val="lt-LT"/>
        </w:rPr>
        <w:t>http://www.vvkt.lt</w:t>
      </w:r>
      <w:r w:rsidR="0081226B">
        <w:rPr>
          <w:rStyle w:val="Hipersaitas"/>
          <w:rFonts w:ascii="Times New Roman" w:hAnsi="Times New Roman"/>
          <w:sz w:val="22"/>
          <w:szCs w:val="22"/>
          <w:lang w:val="lt-LT"/>
        </w:rPr>
        <w:fldChar w:fldCharType="end"/>
      </w:r>
      <w:r w:rsidR="008D1A91">
        <w:rPr>
          <w:rFonts w:ascii="Times New Roman" w:hAnsi="Times New Roman"/>
          <w:sz w:val="22"/>
          <w:szCs w:val="22"/>
          <w:lang w:val="lt-LT"/>
        </w:rPr>
        <w:t xml:space="preserve"> </w:t>
      </w:r>
      <w:r w:rsidRPr="0003312B">
        <w:rPr>
          <w:rFonts w:ascii="Times New Roman" w:hAnsi="Times New Roman"/>
          <w:sz w:val="22"/>
          <w:szCs w:val="22"/>
          <w:lang w:val="lt-LT"/>
        </w:rPr>
        <w:t xml:space="preserve">). Pranešdami apie šalutinį poveikį galite mums padėti gauti daugiau informacijos apie šio vaisto saugumą.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5.</w:t>
      </w:r>
      <w:r w:rsidRPr="0003312B">
        <w:rPr>
          <w:b/>
          <w:bCs/>
          <w:color w:val="auto"/>
          <w:sz w:val="22"/>
          <w:szCs w:val="22"/>
          <w:lang w:val="lt-LT"/>
        </w:rPr>
        <w:tab/>
      </w:r>
      <w:r w:rsidRPr="0003312B">
        <w:rPr>
          <w:b/>
          <w:bCs/>
          <w:color w:val="auto"/>
          <w:sz w:val="22"/>
          <w:szCs w:val="22"/>
          <w:lang w:val="lt-LT" w:eastAsia="lt-LT"/>
        </w:rPr>
        <w:t>Kaip laikyti OSSICA</w:t>
      </w:r>
      <w:r w:rsidRPr="0003312B">
        <w:rPr>
          <w:b/>
          <w:bCs/>
          <w:color w:val="auto"/>
          <w:sz w:val="22"/>
          <w:szCs w:val="22"/>
          <w:lang w:val="lt-LT"/>
        </w:rPr>
        <w:t xml:space="preserve"> </w:t>
      </w:r>
    </w:p>
    <w:p w:rsidR="009E3290" w:rsidRPr="0003312B" w:rsidRDefault="009E3290" w:rsidP="009E3290">
      <w:pPr>
        <w:pStyle w:val="Default"/>
        <w:rPr>
          <w:color w:val="auto"/>
          <w:sz w:val="22"/>
          <w:szCs w:val="22"/>
          <w:lang w:val="lt-LT"/>
        </w:rPr>
      </w:pPr>
    </w:p>
    <w:p w:rsidR="009E3290" w:rsidRPr="00042943" w:rsidRDefault="000F5514" w:rsidP="009E3290">
      <w:pPr>
        <w:autoSpaceDE w:val="0"/>
        <w:autoSpaceDN w:val="0"/>
        <w:adjustRightInd w:val="0"/>
        <w:outlineLvl w:val="0"/>
        <w:rPr>
          <w:rFonts w:ascii="Times New Roman" w:hAnsi="Times New Roman"/>
          <w:sz w:val="22"/>
          <w:lang w:val="lt-LT"/>
        </w:rPr>
      </w:pPr>
      <w:r>
        <w:rPr>
          <w:rFonts w:ascii="Times New Roman" w:hAnsi="Times New Roman"/>
          <w:sz w:val="22"/>
          <w:szCs w:val="22"/>
          <w:lang w:val="lt-LT"/>
        </w:rPr>
        <w:t>Šį vaistą laikykite</w:t>
      </w:r>
      <w:r w:rsidR="009E3290" w:rsidRPr="00042943">
        <w:rPr>
          <w:rFonts w:ascii="Times New Roman" w:hAnsi="Times New Roman"/>
          <w:sz w:val="22"/>
          <w:szCs w:val="22"/>
          <w:lang w:val="lt-LT"/>
        </w:rPr>
        <w:t xml:space="preserve"> vaikams nepastebimoje ir nepasiekiamoje vietoje.</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 xml:space="preserve">Laikyti gamintojo pakuotėje, kad </w:t>
      </w:r>
      <w:r w:rsidR="000F5514">
        <w:rPr>
          <w:rFonts w:ascii="Times New Roman" w:hAnsi="Times New Roman"/>
          <w:sz w:val="22"/>
          <w:szCs w:val="22"/>
          <w:lang w:val="lt-LT"/>
        </w:rPr>
        <w:t>vaistas</w:t>
      </w:r>
      <w:r w:rsidR="000F5514" w:rsidRPr="00042943">
        <w:rPr>
          <w:rFonts w:ascii="Times New Roman" w:hAnsi="Times New Roman"/>
          <w:sz w:val="22"/>
          <w:szCs w:val="22"/>
          <w:lang w:val="lt-LT"/>
        </w:rPr>
        <w:t xml:space="preserve"> </w:t>
      </w:r>
      <w:r w:rsidRPr="00042943">
        <w:rPr>
          <w:rFonts w:ascii="Times New Roman" w:hAnsi="Times New Roman"/>
          <w:sz w:val="22"/>
          <w:szCs w:val="22"/>
          <w:lang w:val="lt-LT"/>
        </w:rPr>
        <w:t xml:space="preserve">būtų apsaugotas nuo šviesos. </w:t>
      </w:r>
      <w:r w:rsidR="000F5514" w:rsidRPr="000F5514">
        <w:rPr>
          <w:rFonts w:ascii="Times New Roman" w:hAnsi="Times New Roman"/>
          <w:sz w:val="22"/>
          <w:szCs w:val="22"/>
          <w:lang w:val="lt-LT"/>
        </w:rPr>
        <w:t>Šio vaisto laikymui specialių temperatūros sąlygų nereikalaujama</w:t>
      </w:r>
      <w:r w:rsidRPr="00042943">
        <w:rPr>
          <w:rFonts w:ascii="Times New Roman" w:hAnsi="Times New Roman"/>
          <w:sz w:val="22"/>
          <w:szCs w:val="22"/>
          <w:lang w:val="lt-LT"/>
        </w:rPr>
        <w:t>.</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Ant dėžutės po „Tinka iki“ nurodytam tinkamumo laikui pasibaigus, šio vaisto vartoti negalima. Vaistas tinkamas vartoti iki paskutinės nurodyto mėnesio dienos.</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 xml:space="preserve">Injekciją atlikęs asmuo turi išmesti tirpalo likučius, o panaudotą švirkštą ir injekcinę adatą išmesti į tam skirtą atliekų </w:t>
      </w:r>
      <w:proofErr w:type="spellStart"/>
      <w:r w:rsidRPr="00042943">
        <w:rPr>
          <w:rFonts w:ascii="Times New Roman" w:hAnsi="Times New Roman"/>
          <w:sz w:val="22"/>
          <w:szCs w:val="22"/>
          <w:lang w:val="lt-LT"/>
        </w:rPr>
        <w:t>talpyklę</w:t>
      </w:r>
      <w:proofErr w:type="spellEnd"/>
      <w:r w:rsidRPr="00042943">
        <w:rPr>
          <w:rFonts w:ascii="Times New Roman" w:hAnsi="Times New Roman"/>
          <w:sz w:val="22"/>
          <w:szCs w:val="22"/>
          <w:lang w:val="lt-LT"/>
        </w:rPr>
        <w:t>.</w:t>
      </w:r>
    </w:p>
    <w:p w:rsidR="009E3290" w:rsidRPr="00042943" w:rsidRDefault="009E3290" w:rsidP="009E3290">
      <w:pPr>
        <w:numPr>
          <w:ilvl w:val="12"/>
          <w:numId w:val="0"/>
        </w:numPr>
        <w:tabs>
          <w:tab w:val="left" w:pos="708"/>
        </w:tabs>
        <w:ind w:right="-2"/>
        <w:rPr>
          <w:rFonts w:ascii="Times New Roman" w:hAnsi="Times New Roman"/>
          <w:sz w:val="22"/>
          <w:szCs w:val="22"/>
          <w:lang w:val="lt-LT"/>
        </w:rPr>
      </w:pPr>
    </w:p>
    <w:p w:rsidR="009E3290" w:rsidRPr="0003312B" w:rsidRDefault="009E3290" w:rsidP="009E3290">
      <w:pPr>
        <w:numPr>
          <w:ilvl w:val="12"/>
          <w:numId w:val="0"/>
        </w:numPr>
        <w:tabs>
          <w:tab w:val="left" w:pos="708"/>
        </w:tabs>
        <w:ind w:right="-2"/>
        <w:rPr>
          <w:rFonts w:ascii="Times New Roman" w:hAnsi="Times New Roman"/>
          <w:sz w:val="22"/>
          <w:szCs w:val="22"/>
          <w:lang w:val="lt-LT"/>
        </w:rPr>
      </w:pPr>
      <w:r w:rsidRPr="00042943">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6.</w:t>
      </w:r>
      <w:r w:rsidRPr="0003312B">
        <w:rPr>
          <w:b/>
          <w:bCs/>
          <w:color w:val="auto"/>
          <w:sz w:val="22"/>
          <w:szCs w:val="22"/>
          <w:lang w:val="lt-LT"/>
        </w:rPr>
        <w:tab/>
        <w:t xml:space="preserve">Pakuotės turinys ir kita informacija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OSSICA 3</w:t>
      </w:r>
      <w:r w:rsidR="000F5514">
        <w:rPr>
          <w:b/>
          <w:bCs/>
          <w:color w:val="auto"/>
          <w:sz w:val="22"/>
          <w:szCs w:val="22"/>
          <w:lang w:val="lt-LT"/>
        </w:rPr>
        <w:t> </w:t>
      </w:r>
      <w:r w:rsidRPr="0003312B">
        <w:rPr>
          <w:b/>
          <w:bCs/>
          <w:color w:val="auto"/>
          <w:sz w:val="22"/>
          <w:szCs w:val="22"/>
          <w:lang w:val="lt-LT"/>
        </w:rPr>
        <w:t xml:space="preserve">mg injekcinio tirpalo užpildytuose švirkštuose sudėtis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numPr>
          <w:ilvl w:val="0"/>
          <w:numId w:val="9"/>
        </w:numPr>
        <w:rPr>
          <w:bCs/>
          <w:color w:val="auto"/>
          <w:sz w:val="22"/>
          <w:szCs w:val="22"/>
          <w:lang w:val="lt-LT"/>
        </w:rPr>
      </w:pPr>
      <w:r w:rsidRPr="0003312B">
        <w:rPr>
          <w:color w:val="auto"/>
          <w:sz w:val="22"/>
          <w:szCs w:val="22"/>
          <w:lang w:val="lt-LT"/>
        </w:rPr>
        <w:t xml:space="preserve">Veiklioji medžiaga yra </w:t>
      </w:r>
      <w:proofErr w:type="spellStart"/>
      <w:r w:rsidRPr="0003312B">
        <w:rPr>
          <w:color w:val="auto"/>
          <w:sz w:val="22"/>
          <w:szCs w:val="22"/>
          <w:lang w:val="lt-LT"/>
        </w:rPr>
        <w:t>ibandrono</w:t>
      </w:r>
      <w:proofErr w:type="spellEnd"/>
      <w:r w:rsidRPr="0003312B">
        <w:rPr>
          <w:color w:val="auto"/>
          <w:sz w:val="22"/>
          <w:szCs w:val="22"/>
          <w:lang w:val="lt-LT"/>
        </w:rPr>
        <w:t xml:space="preserve"> rūgštis. Viename užpildytame švirkšte yra 3</w:t>
      </w:r>
      <w:r w:rsidR="000F5514">
        <w:rPr>
          <w:color w:val="auto"/>
          <w:sz w:val="22"/>
          <w:szCs w:val="22"/>
          <w:lang w:val="lt-LT"/>
        </w:rPr>
        <w:t> </w:t>
      </w:r>
      <w:r w:rsidRPr="0003312B">
        <w:rPr>
          <w:color w:val="auto"/>
          <w:sz w:val="22"/>
          <w:szCs w:val="22"/>
          <w:lang w:val="lt-LT"/>
        </w:rPr>
        <w:t xml:space="preserve">mg </w:t>
      </w:r>
      <w:proofErr w:type="spellStart"/>
      <w:r w:rsidRPr="0003312B">
        <w:rPr>
          <w:color w:val="auto"/>
          <w:sz w:val="22"/>
          <w:szCs w:val="22"/>
          <w:lang w:val="lt-LT"/>
        </w:rPr>
        <w:t>ibandrono</w:t>
      </w:r>
      <w:proofErr w:type="spellEnd"/>
      <w:r w:rsidRPr="0003312B">
        <w:rPr>
          <w:color w:val="auto"/>
          <w:sz w:val="22"/>
          <w:szCs w:val="22"/>
          <w:lang w:val="lt-LT"/>
        </w:rPr>
        <w:t xml:space="preserve"> rūgšties 3</w:t>
      </w:r>
      <w:r w:rsidR="000F5514">
        <w:rPr>
          <w:color w:val="auto"/>
          <w:sz w:val="22"/>
          <w:szCs w:val="22"/>
          <w:lang w:val="lt-LT"/>
        </w:rPr>
        <w:t> </w:t>
      </w:r>
      <w:r w:rsidRPr="0003312B">
        <w:rPr>
          <w:color w:val="auto"/>
          <w:sz w:val="22"/>
          <w:szCs w:val="22"/>
          <w:lang w:val="lt-LT"/>
        </w:rPr>
        <w:t>ml tirpalo (atitinka 3,375</w:t>
      </w:r>
      <w:r w:rsidR="000F5514">
        <w:rPr>
          <w:color w:val="auto"/>
          <w:sz w:val="22"/>
          <w:szCs w:val="22"/>
          <w:lang w:val="lt-LT"/>
        </w:rPr>
        <w:t> </w:t>
      </w:r>
      <w:r w:rsidRPr="0003312B">
        <w:rPr>
          <w:color w:val="auto"/>
          <w:sz w:val="22"/>
          <w:szCs w:val="22"/>
          <w:lang w:val="lt-LT"/>
        </w:rPr>
        <w:t xml:space="preserve">mg natrio </w:t>
      </w:r>
      <w:proofErr w:type="spellStart"/>
      <w:r w:rsidRPr="0003312B">
        <w:rPr>
          <w:color w:val="auto"/>
          <w:sz w:val="22"/>
          <w:szCs w:val="22"/>
          <w:lang w:val="lt-LT"/>
        </w:rPr>
        <w:t>ibandronato</w:t>
      </w:r>
      <w:proofErr w:type="spellEnd"/>
      <w:r w:rsidRPr="0003312B">
        <w:rPr>
          <w:color w:val="auto"/>
          <w:sz w:val="22"/>
          <w:szCs w:val="22"/>
          <w:lang w:val="lt-LT"/>
        </w:rPr>
        <w:t xml:space="preserve"> </w:t>
      </w:r>
      <w:proofErr w:type="spellStart"/>
      <w:r w:rsidRPr="0003312B">
        <w:rPr>
          <w:color w:val="auto"/>
          <w:sz w:val="22"/>
          <w:szCs w:val="22"/>
          <w:lang w:val="lt-LT"/>
        </w:rPr>
        <w:t>monohidrato</w:t>
      </w:r>
      <w:proofErr w:type="spellEnd"/>
      <w:r w:rsidRPr="0003312B">
        <w:rPr>
          <w:color w:val="auto"/>
          <w:sz w:val="22"/>
          <w:szCs w:val="22"/>
          <w:lang w:val="lt-LT"/>
        </w:rPr>
        <w:t>). 1</w:t>
      </w:r>
      <w:r w:rsidR="000F5514">
        <w:rPr>
          <w:color w:val="auto"/>
          <w:sz w:val="22"/>
          <w:szCs w:val="22"/>
          <w:lang w:val="lt-LT"/>
        </w:rPr>
        <w:t> </w:t>
      </w:r>
      <w:r w:rsidRPr="0003312B">
        <w:rPr>
          <w:color w:val="auto"/>
          <w:sz w:val="22"/>
          <w:szCs w:val="22"/>
          <w:lang w:val="lt-LT"/>
        </w:rPr>
        <w:t>ml injekcinio tirpalo yra 1</w:t>
      </w:r>
      <w:r w:rsidR="000F5514">
        <w:rPr>
          <w:color w:val="auto"/>
          <w:sz w:val="22"/>
          <w:szCs w:val="22"/>
          <w:lang w:val="lt-LT"/>
        </w:rPr>
        <w:t> </w:t>
      </w:r>
      <w:r w:rsidRPr="0003312B">
        <w:rPr>
          <w:color w:val="auto"/>
          <w:sz w:val="22"/>
          <w:szCs w:val="22"/>
          <w:lang w:val="lt-LT"/>
        </w:rPr>
        <w:t xml:space="preserve">mg </w:t>
      </w:r>
      <w:proofErr w:type="spellStart"/>
      <w:r w:rsidRPr="0003312B">
        <w:rPr>
          <w:color w:val="auto"/>
          <w:sz w:val="22"/>
          <w:szCs w:val="22"/>
          <w:lang w:val="lt-LT"/>
        </w:rPr>
        <w:t>ibandrono</w:t>
      </w:r>
      <w:proofErr w:type="spellEnd"/>
      <w:r w:rsidRPr="0003312B">
        <w:rPr>
          <w:color w:val="auto"/>
          <w:sz w:val="22"/>
          <w:szCs w:val="22"/>
          <w:lang w:val="lt-LT"/>
        </w:rPr>
        <w:t xml:space="preserve"> rūgšties. </w:t>
      </w:r>
    </w:p>
    <w:p w:rsidR="009E3290" w:rsidRPr="0003312B" w:rsidRDefault="009E3290" w:rsidP="000F5514">
      <w:pPr>
        <w:pStyle w:val="Default"/>
        <w:numPr>
          <w:ilvl w:val="0"/>
          <w:numId w:val="9"/>
        </w:numPr>
        <w:rPr>
          <w:color w:val="auto"/>
          <w:sz w:val="22"/>
          <w:szCs w:val="22"/>
          <w:lang w:val="lt-LT"/>
        </w:rPr>
      </w:pPr>
      <w:r w:rsidRPr="0003312B">
        <w:rPr>
          <w:color w:val="auto"/>
          <w:sz w:val="22"/>
          <w:szCs w:val="22"/>
          <w:lang w:val="lt-LT"/>
        </w:rPr>
        <w:t xml:space="preserve">Pagalbinės medžiagos yra natrio chloridas, ledinė acto rūgštis, natrio acetatas </w:t>
      </w:r>
      <w:proofErr w:type="spellStart"/>
      <w:r w:rsidRPr="0003312B">
        <w:rPr>
          <w:color w:val="auto"/>
          <w:sz w:val="22"/>
          <w:szCs w:val="22"/>
          <w:lang w:val="lt-LT"/>
        </w:rPr>
        <w:t>trihidratas</w:t>
      </w:r>
      <w:proofErr w:type="spellEnd"/>
      <w:r w:rsidR="000F5514">
        <w:rPr>
          <w:color w:val="auto"/>
          <w:sz w:val="22"/>
          <w:szCs w:val="22"/>
          <w:lang w:val="lt-LT"/>
        </w:rPr>
        <w:t>,</w:t>
      </w:r>
      <w:r w:rsidRPr="0003312B">
        <w:rPr>
          <w:color w:val="auto"/>
          <w:sz w:val="22"/>
          <w:szCs w:val="22"/>
          <w:lang w:val="lt-LT"/>
        </w:rPr>
        <w:t xml:space="preserve"> injekcinis vanduo</w:t>
      </w:r>
      <w:r w:rsidR="00B01E83">
        <w:rPr>
          <w:color w:val="auto"/>
          <w:sz w:val="22"/>
          <w:szCs w:val="22"/>
          <w:lang w:val="lt-LT"/>
        </w:rPr>
        <w:t>,</w:t>
      </w:r>
      <w:r w:rsidRPr="0003312B">
        <w:rPr>
          <w:color w:val="auto"/>
          <w:sz w:val="22"/>
          <w:szCs w:val="22"/>
          <w:lang w:val="lt-LT"/>
        </w:rPr>
        <w:t xml:space="preserve"> </w:t>
      </w:r>
      <w:r w:rsidR="00B01E83">
        <w:rPr>
          <w:color w:val="auto"/>
          <w:sz w:val="22"/>
          <w:szCs w:val="22"/>
          <w:lang w:val="lt-LT"/>
        </w:rPr>
        <w:t>n</w:t>
      </w:r>
      <w:r w:rsidRPr="0003312B">
        <w:rPr>
          <w:color w:val="auto"/>
          <w:sz w:val="22"/>
          <w:szCs w:val="22"/>
          <w:lang w:val="lt-LT"/>
        </w:rPr>
        <w:t xml:space="preserve">atrio </w:t>
      </w:r>
      <w:proofErr w:type="spellStart"/>
      <w:r w:rsidRPr="0003312B">
        <w:rPr>
          <w:color w:val="auto"/>
          <w:sz w:val="22"/>
          <w:szCs w:val="22"/>
          <w:lang w:val="lt-LT"/>
        </w:rPr>
        <w:t>hidroksidas</w:t>
      </w:r>
      <w:proofErr w:type="spellEnd"/>
      <w:r w:rsidRPr="0003312B">
        <w:rPr>
          <w:color w:val="auto"/>
          <w:sz w:val="22"/>
          <w:szCs w:val="22"/>
          <w:lang w:val="lt-LT"/>
        </w:rPr>
        <w:t xml:space="preserve"> </w:t>
      </w:r>
      <w:r w:rsidR="000F5514" w:rsidRPr="000F5514">
        <w:rPr>
          <w:color w:val="auto"/>
          <w:sz w:val="22"/>
          <w:szCs w:val="22"/>
          <w:lang w:val="lt-LT"/>
        </w:rPr>
        <w:t>(pH sureguliuoti)</w:t>
      </w:r>
      <w:r w:rsidR="000F5514">
        <w:rPr>
          <w:color w:val="auto"/>
          <w:sz w:val="22"/>
          <w:szCs w:val="22"/>
          <w:lang w:val="lt-LT"/>
        </w:rPr>
        <w:t xml:space="preserve"> </w:t>
      </w:r>
      <w:r w:rsidRPr="0003312B">
        <w:rPr>
          <w:color w:val="auto"/>
          <w:sz w:val="22"/>
          <w:szCs w:val="22"/>
          <w:lang w:val="lt-LT"/>
        </w:rPr>
        <w:t xml:space="preserve">ir </w:t>
      </w:r>
      <w:r w:rsidR="00A62880">
        <w:rPr>
          <w:color w:val="auto"/>
          <w:sz w:val="22"/>
          <w:szCs w:val="22"/>
          <w:lang w:val="lt-LT"/>
        </w:rPr>
        <w:t>praskiesta</w:t>
      </w:r>
      <w:r w:rsidR="00A62880" w:rsidRPr="0003312B">
        <w:rPr>
          <w:color w:val="auto"/>
          <w:sz w:val="22"/>
          <w:szCs w:val="22"/>
          <w:lang w:val="lt-LT"/>
        </w:rPr>
        <w:t xml:space="preserve"> </w:t>
      </w:r>
      <w:r w:rsidRPr="0003312B">
        <w:rPr>
          <w:color w:val="auto"/>
          <w:sz w:val="22"/>
          <w:szCs w:val="22"/>
          <w:lang w:val="lt-LT"/>
        </w:rPr>
        <w:t xml:space="preserve">vandenilio chlorido rūgštis (pH sureguliuoti). </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rPr>
        <w:t>OSSICA 3</w:t>
      </w:r>
      <w:r w:rsidR="000F5514">
        <w:rPr>
          <w:b/>
          <w:bCs/>
          <w:color w:val="auto"/>
          <w:sz w:val="22"/>
          <w:szCs w:val="22"/>
          <w:lang w:val="lt-LT"/>
        </w:rPr>
        <w:t> </w:t>
      </w:r>
      <w:r w:rsidRPr="0003312B">
        <w:rPr>
          <w:b/>
          <w:bCs/>
          <w:color w:val="auto"/>
          <w:sz w:val="22"/>
          <w:szCs w:val="22"/>
          <w:lang w:val="lt-LT"/>
        </w:rPr>
        <w:t xml:space="preserve">mg injekcinio tirpalo užpildytuose švirkštuose išvaizda ir kiekis pakuotėje </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rPr>
          <w:rFonts w:ascii="Times New Roman" w:hAnsi="Times New Roman"/>
          <w:sz w:val="22"/>
          <w:lang w:val="lt-LT"/>
        </w:rPr>
      </w:pPr>
      <w:r w:rsidRPr="00042943">
        <w:rPr>
          <w:rFonts w:ascii="Times New Roman" w:hAnsi="Times New Roman"/>
          <w:sz w:val="22"/>
          <w:szCs w:val="22"/>
          <w:lang w:val="lt-LT"/>
        </w:rPr>
        <w:lastRenderedPageBreak/>
        <w:t>OSSICA 3</w:t>
      </w:r>
      <w:r w:rsidR="000F5514">
        <w:rPr>
          <w:rFonts w:ascii="Times New Roman" w:hAnsi="Times New Roman"/>
          <w:sz w:val="22"/>
          <w:szCs w:val="22"/>
          <w:lang w:val="lt-LT"/>
        </w:rPr>
        <w:t> </w:t>
      </w:r>
      <w:r w:rsidRPr="00042943">
        <w:rPr>
          <w:rFonts w:ascii="Times New Roman" w:hAnsi="Times New Roman"/>
          <w:sz w:val="22"/>
          <w:szCs w:val="22"/>
          <w:lang w:val="lt-LT"/>
        </w:rPr>
        <w:t>mg injekcinis tirpalas užpildytuose švirkštuose – tai skaidrus, bespalvis tirpalas, praktiškai neturintis dalelių. Jo pH 3,5–4,5. Kiekviename užpildytame švirkšte yra 3</w:t>
      </w:r>
      <w:r w:rsidR="000F5514">
        <w:rPr>
          <w:rFonts w:ascii="Times New Roman" w:hAnsi="Times New Roman"/>
          <w:sz w:val="22"/>
          <w:szCs w:val="22"/>
          <w:lang w:val="lt-LT"/>
        </w:rPr>
        <w:t> </w:t>
      </w:r>
      <w:r w:rsidRPr="00042943">
        <w:rPr>
          <w:rFonts w:ascii="Times New Roman" w:hAnsi="Times New Roman"/>
          <w:sz w:val="22"/>
          <w:szCs w:val="22"/>
          <w:lang w:val="lt-LT"/>
        </w:rPr>
        <w:t>ml tirpalo. OSSICA tiekiamas pakuotėmis po 1 užpildytą švirkštą ir 1 injekcinę adatą arba po 4 užpildytus švirkštus ir 4 injekcines adatas.</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outlineLvl w:val="0"/>
        <w:rPr>
          <w:rFonts w:ascii="Times New Roman" w:hAnsi="Times New Roman"/>
          <w:sz w:val="22"/>
          <w:szCs w:val="22"/>
          <w:lang w:val="lt-LT"/>
        </w:rPr>
      </w:pPr>
      <w:r w:rsidRPr="00042943">
        <w:rPr>
          <w:rFonts w:ascii="Times New Roman" w:hAnsi="Times New Roman"/>
          <w:sz w:val="22"/>
          <w:szCs w:val="22"/>
          <w:lang w:val="lt-LT"/>
        </w:rPr>
        <w:t>Gali būti tiekiamos ne visų dydžių pakuotės.</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eastAsia="lt-LT"/>
        </w:rPr>
        <w:t>Registruotojas ir gamintojas</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roofErr w:type="spellStart"/>
      <w:r w:rsidRPr="0003312B">
        <w:rPr>
          <w:color w:val="auto"/>
          <w:sz w:val="22"/>
          <w:szCs w:val="22"/>
          <w:lang w:val="lt-LT"/>
        </w:rPr>
        <w:t>Gedeon</w:t>
      </w:r>
      <w:proofErr w:type="spellEnd"/>
      <w:r w:rsidRPr="0003312B">
        <w:rPr>
          <w:color w:val="auto"/>
          <w:sz w:val="22"/>
          <w:szCs w:val="22"/>
          <w:lang w:val="lt-LT"/>
        </w:rPr>
        <w:t xml:space="preserve"> </w:t>
      </w:r>
      <w:proofErr w:type="spellStart"/>
      <w:r w:rsidRPr="0003312B">
        <w:rPr>
          <w:color w:val="auto"/>
          <w:sz w:val="22"/>
          <w:szCs w:val="22"/>
          <w:lang w:val="lt-LT"/>
        </w:rPr>
        <w:t>Richter</w:t>
      </w:r>
      <w:proofErr w:type="spellEnd"/>
      <w:r w:rsidRPr="0003312B">
        <w:rPr>
          <w:color w:val="auto"/>
          <w:sz w:val="22"/>
          <w:szCs w:val="22"/>
          <w:lang w:val="lt-LT"/>
        </w:rPr>
        <w:t xml:space="preserve"> </w:t>
      </w:r>
      <w:proofErr w:type="spellStart"/>
      <w:r w:rsidRPr="0003312B">
        <w:rPr>
          <w:color w:val="auto"/>
          <w:sz w:val="22"/>
          <w:szCs w:val="22"/>
          <w:lang w:val="lt-LT"/>
        </w:rPr>
        <w:t>Plc</w:t>
      </w:r>
      <w:proofErr w:type="spellEnd"/>
      <w:r w:rsidRPr="0003312B">
        <w:rPr>
          <w:color w:val="auto"/>
          <w:sz w:val="22"/>
          <w:szCs w:val="22"/>
          <w:lang w:val="lt-LT"/>
        </w:rPr>
        <w:t>.</w:t>
      </w:r>
    </w:p>
    <w:p w:rsidR="009E3290" w:rsidRPr="0003312B" w:rsidRDefault="009E3290" w:rsidP="009E3290">
      <w:pPr>
        <w:pStyle w:val="Default"/>
        <w:rPr>
          <w:color w:val="auto"/>
          <w:sz w:val="22"/>
          <w:szCs w:val="22"/>
          <w:lang w:val="lt-LT"/>
        </w:rPr>
      </w:pPr>
      <w:proofErr w:type="spellStart"/>
      <w:r w:rsidRPr="0003312B">
        <w:rPr>
          <w:color w:val="auto"/>
          <w:sz w:val="22"/>
          <w:szCs w:val="22"/>
          <w:lang w:val="lt-LT"/>
        </w:rPr>
        <w:t>Gyömrői</w:t>
      </w:r>
      <w:proofErr w:type="spellEnd"/>
      <w:r w:rsidRPr="0003312B">
        <w:rPr>
          <w:color w:val="auto"/>
          <w:sz w:val="22"/>
          <w:szCs w:val="22"/>
          <w:lang w:val="lt-LT"/>
        </w:rPr>
        <w:t xml:space="preserve"> </w:t>
      </w:r>
      <w:proofErr w:type="spellStart"/>
      <w:r w:rsidRPr="0003312B">
        <w:rPr>
          <w:color w:val="auto"/>
          <w:sz w:val="22"/>
          <w:szCs w:val="22"/>
          <w:lang w:val="lt-LT"/>
        </w:rPr>
        <w:t>út</w:t>
      </w:r>
      <w:proofErr w:type="spellEnd"/>
      <w:r w:rsidRPr="0003312B">
        <w:rPr>
          <w:color w:val="auto"/>
          <w:sz w:val="22"/>
          <w:szCs w:val="22"/>
          <w:lang w:val="lt-LT"/>
        </w:rPr>
        <w:t xml:space="preserve"> 19</w:t>
      </w:r>
      <w:r w:rsidRPr="0003312B">
        <w:rPr>
          <w:color w:val="auto"/>
          <w:sz w:val="22"/>
          <w:szCs w:val="22"/>
          <w:lang w:val="lt-LT" w:eastAsia="lt-LT"/>
        </w:rPr>
        <w:t>–</w:t>
      </w:r>
      <w:r w:rsidRPr="0003312B">
        <w:rPr>
          <w:color w:val="auto"/>
          <w:sz w:val="22"/>
          <w:szCs w:val="22"/>
          <w:lang w:val="lt-LT"/>
        </w:rPr>
        <w:t>21.</w:t>
      </w: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1103 </w:t>
      </w:r>
      <w:proofErr w:type="spellStart"/>
      <w:r w:rsidRPr="0003312B">
        <w:rPr>
          <w:color w:val="auto"/>
          <w:sz w:val="22"/>
          <w:szCs w:val="22"/>
          <w:lang w:val="lt-LT"/>
        </w:rPr>
        <w:t>Budapest</w:t>
      </w:r>
      <w:proofErr w:type="spellEnd"/>
    </w:p>
    <w:p w:rsidR="009E3290" w:rsidRPr="0003312B" w:rsidRDefault="009E3290" w:rsidP="009E3290">
      <w:pPr>
        <w:pStyle w:val="Default"/>
        <w:outlineLvl w:val="0"/>
        <w:rPr>
          <w:color w:val="auto"/>
          <w:sz w:val="22"/>
          <w:szCs w:val="22"/>
          <w:lang w:val="lt-LT"/>
        </w:rPr>
      </w:pPr>
      <w:r w:rsidRPr="0003312B">
        <w:rPr>
          <w:color w:val="auto"/>
          <w:sz w:val="22"/>
          <w:szCs w:val="22"/>
          <w:lang w:val="lt-LT"/>
        </w:rPr>
        <w:t>Vengrija</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Jeigu apie šį vaistą norite sužinoti daugiau, kreipkitės į vietinį registruotojo atstovą.</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roofErr w:type="spellStart"/>
      <w:r w:rsidRPr="0003312B">
        <w:rPr>
          <w:color w:val="auto"/>
          <w:sz w:val="22"/>
          <w:szCs w:val="22"/>
          <w:lang w:val="lt-LT"/>
        </w:rPr>
        <w:t>Gedeon</w:t>
      </w:r>
      <w:proofErr w:type="spellEnd"/>
      <w:r w:rsidRPr="0003312B">
        <w:rPr>
          <w:color w:val="auto"/>
          <w:sz w:val="22"/>
          <w:szCs w:val="22"/>
          <w:lang w:val="lt-LT"/>
        </w:rPr>
        <w:t xml:space="preserve"> </w:t>
      </w:r>
      <w:proofErr w:type="spellStart"/>
      <w:r w:rsidRPr="0003312B">
        <w:rPr>
          <w:color w:val="auto"/>
          <w:sz w:val="22"/>
          <w:szCs w:val="22"/>
          <w:lang w:val="lt-LT"/>
        </w:rPr>
        <w:t>Richter</w:t>
      </w:r>
      <w:proofErr w:type="spellEnd"/>
      <w:r w:rsidRPr="0003312B">
        <w:rPr>
          <w:color w:val="auto"/>
          <w:sz w:val="22"/>
          <w:szCs w:val="22"/>
          <w:lang w:val="lt-LT"/>
        </w:rPr>
        <w:t xml:space="preserve"> </w:t>
      </w:r>
      <w:proofErr w:type="spellStart"/>
      <w:r w:rsidRPr="0003312B">
        <w:rPr>
          <w:color w:val="auto"/>
          <w:sz w:val="22"/>
          <w:szCs w:val="22"/>
          <w:lang w:val="lt-LT"/>
        </w:rPr>
        <w:t>Plc</w:t>
      </w:r>
      <w:proofErr w:type="spellEnd"/>
      <w:r w:rsidRPr="0003312B">
        <w:rPr>
          <w:color w:val="auto"/>
          <w:sz w:val="22"/>
          <w:szCs w:val="22"/>
          <w:lang w:val="lt-LT"/>
        </w:rPr>
        <w:t>. atstovybė Lietuvoje</w:t>
      </w:r>
    </w:p>
    <w:p w:rsidR="009E3290" w:rsidRPr="0003312B" w:rsidRDefault="009E3290" w:rsidP="009E3290">
      <w:pPr>
        <w:pStyle w:val="Default"/>
        <w:rPr>
          <w:color w:val="auto"/>
          <w:sz w:val="22"/>
          <w:szCs w:val="22"/>
          <w:lang w:val="lt-LT"/>
        </w:rPr>
      </w:pPr>
      <w:r w:rsidRPr="0003312B">
        <w:rPr>
          <w:color w:val="auto"/>
          <w:sz w:val="22"/>
          <w:szCs w:val="22"/>
          <w:lang w:val="lt-LT"/>
        </w:rPr>
        <w:t>Maironio 23-3,</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Vilnius </w:t>
      </w:r>
    </w:p>
    <w:p w:rsidR="009E3290" w:rsidRPr="0003312B" w:rsidRDefault="009E3290" w:rsidP="009E3290">
      <w:pPr>
        <w:pStyle w:val="Default"/>
        <w:rPr>
          <w:color w:val="auto"/>
          <w:sz w:val="22"/>
          <w:szCs w:val="22"/>
          <w:lang w:val="lt-LT"/>
        </w:rPr>
      </w:pPr>
      <w:r w:rsidRPr="0003312B">
        <w:rPr>
          <w:color w:val="auto"/>
          <w:sz w:val="22"/>
          <w:szCs w:val="22"/>
          <w:lang w:val="lt-LT"/>
        </w:rPr>
        <w:t>Tel. +370 5 268 53 92</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outlineLvl w:val="0"/>
        <w:rPr>
          <w:rFonts w:ascii="Times New Roman" w:hAnsi="Times New Roman"/>
          <w:sz w:val="22"/>
          <w:szCs w:val="22"/>
          <w:lang w:val="lt-LT"/>
        </w:rPr>
      </w:pPr>
      <w:r w:rsidRPr="0003312B">
        <w:rPr>
          <w:rFonts w:ascii="Times New Roman" w:hAnsi="Times New Roman"/>
          <w:b/>
          <w:bCs/>
          <w:sz w:val="22"/>
          <w:szCs w:val="22"/>
          <w:lang w:val="lt-LT"/>
        </w:rPr>
        <w:t xml:space="preserve">Šis vaistas EEE valstybėse narėse registruotas tokiais pavadinimais: </w:t>
      </w:r>
    </w:p>
    <w:p w:rsidR="009E3290" w:rsidRPr="00042943" w:rsidRDefault="009E3290" w:rsidP="009E3290">
      <w:pPr>
        <w:numPr>
          <w:ilvl w:val="12"/>
          <w:numId w:val="0"/>
        </w:numPr>
        <w:tabs>
          <w:tab w:val="left" w:pos="708"/>
        </w:tabs>
        <w:ind w:right="-2"/>
        <w:outlineLvl w:val="0"/>
        <w:rPr>
          <w:rFonts w:ascii="Times New Roman" w:hAnsi="Times New Roman"/>
          <w:sz w:val="22"/>
          <w:lang w:val="lt-LT"/>
        </w:rPr>
      </w:pPr>
      <w:r w:rsidRPr="00042943">
        <w:rPr>
          <w:rFonts w:ascii="Times New Roman" w:hAnsi="Times New Roman"/>
          <w:sz w:val="22"/>
          <w:szCs w:val="22"/>
          <w:lang w:val="lt-LT"/>
        </w:rPr>
        <w:t>Bulgarija:</w:t>
      </w:r>
      <w:r w:rsidRPr="00042943">
        <w:rPr>
          <w:rFonts w:ascii="Times New Roman" w:hAnsi="Times New Roman"/>
          <w:sz w:val="22"/>
          <w:szCs w:val="22"/>
          <w:lang w:val="lt-LT"/>
        </w:rPr>
        <w:tab/>
      </w:r>
      <w:proofErr w:type="spellStart"/>
      <w:r w:rsidRPr="00042943">
        <w:rPr>
          <w:rFonts w:ascii="Times New Roman" w:hAnsi="Times New Roman"/>
          <w:sz w:val="22"/>
          <w:szCs w:val="22"/>
          <w:lang w:val="lt-LT"/>
        </w:rPr>
        <w:t>Ossica</w:t>
      </w:r>
      <w:proofErr w:type="spellEnd"/>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Latvija: </w:t>
      </w:r>
      <w:r w:rsidRPr="00042943">
        <w:rPr>
          <w:rFonts w:ascii="Times New Roman" w:hAnsi="Times New Roman"/>
          <w:sz w:val="22"/>
          <w:szCs w:val="22"/>
          <w:lang w:val="lt-LT"/>
        </w:rPr>
        <w:tab/>
        <w:t>OSSICA</w:t>
      </w:r>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Lietuva: </w:t>
      </w:r>
      <w:r w:rsidRPr="00042943">
        <w:rPr>
          <w:rFonts w:ascii="Times New Roman" w:hAnsi="Times New Roman"/>
          <w:sz w:val="22"/>
          <w:szCs w:val="22"/>
          <w:lang w:val="lt-LT"/>
        </w:rPr>
        <w:tab/>
        <w:t>OSSICA</w:t>
      </w:r>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Vengrija: </w:t>
      </w:r>
      <w:r w:rsidRPr="00042943">
        <w:rPr>
          <w:rFonts w:ascii="Times New Roman" w:hAnsi="Times New Roman"/>
          <w:sz w:val="22"/>
          <w:szCs w:val="22"/>
          <w:lang w:val="lt-LT"/>
        </w:rPr>
        <w:tab/>
      </w:r>
      <w:proofErr w:type="spellStart"/>
      <w:r w:rsidRPr="00042943">
        <w:rPr>
          <w:rFonts w:ascii="Times New Roman" w:hAnsi="Times New Roman"/>
          <w:sz w:val="22"/>
          <w:szCs w:val="22"/>
          <w:lang w:val="lt-LT"/>
        </w:rPr>
        <w:t>Ossica</w:t>
      </w:r>
      <w:proofErr w:type="spellEnd"/>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Rumunija: </w:t>
      </w:r>
      <w:r w:rsidRPr="00042943">
        <w:rPr>
          <w:rFonts w:ascii="Times New Roman" w:hAnsi="Times New Roman"/>
          <w:sz w:val="22"/>
          <w:szCs w:val="22"/>
          <w:lang w:val="lt-LT"/>
        </w:rPr>
        <w:tab/>
      </w:r>
      <w:proofErr w:type="spellStart"/>
      <w:r w:rsidRPr="00042943">
        <w:rPr>
          <w:rFonts w:ascii="Times New Roman" w:hAnsi="Times New Roman"/>
          <w:sz w:val="22"/>
          <w:szCs w:val="22"/>
          <w:lang w:val="lt-LT"/>
        </w:rPr>
        <w:t>Ossica</w:t>
      </w:r>
      <w:proofErr w:type="spellEnd"/>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Slovakija: </w:t>
      </w:r>
      <w:r w:rsidRPr="00042943">
        <w:rPr>
          <w:rFonts w:ascii="Times New Roman" w:hAnsi="Times New Roman"/>
          <w:sz w:val="22"/>
          <w:szCs w:val="22"/>
          <w:lang w:val="lt-LT"/>
        </w:rPr>
        <w:tab/>
      </w:r>
      <w:proofErr w:type="spellStart"/>
      <w:r w:rsidRPr="00042943">
        <w:rPr>
          <w:rFonts w:ascii="Times New Roman" w:hAnsi="Times New Roman"/>
          <w:sz w:val="22"/>
          <w:szCs w:val="22"/>
          <w:lang w:val="lt-LT"/>
        </w:rPr>
        <w:t>Ossica</w:t>
      </w:r>
      <w:proofErr w:type="spellEnd"/>
    </w:p>
    <w:p w:rsidR="009E3290" w:rsidRDefault="009E3290" w:rsidP="009E3290">
      <w:pPr>
        <w:pStyle w:val="Default"/>
        <w:rPr>
          <w:color w:val="auto"/>
          <w:sz w:val="22"/>
          <w:szCs w:val="22"/>
          <w:lang w:val="lt-LT"/>
        </w:rPr>
      </w:pPr>
    </w:p>
    <w:p w:rsidR="00887FCE" w:rsidRPr="0003312B" w:rsidRDefault="00887FCE" w:rsidP="009E3290">
      <w:pPr>
        <w:pStyle w:val="Default"/>
        <w:rPr>
          <w:color w:val="auto"/>
          <w:sz w:val="22"/>
          <w:szCs w:val="22"/>
          <w:lang w:val="lt-LT"/>
        </w:rPr>
      </w:pP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eastAsia="lt-LT"/>
        </w:rPr>
        <w:t>Šis pakuotės lapelis paskutinį kartą peržiūrėtas</w:t>
      </w:r>
      <w:r w:rsidRPr="0003312B">
        <w:rPr>
          <w:b/>
          <w:bCs/>
          <w:color w:val="auto"/>
          <w:sz w:val="22"/>
          <w:szCs w:val="22"/>
          <w:lang w:val="lt-LT"/>
        </w:rPr>
        <w:t xml:space="preserve"> </w:t>
      </w:r>
      <w:r w:rsidR="00887FCE">
        <w:rPr>
          <w:b/>
          <w:bCs/>
          <w:color w:val="auto"/>
          <w:sz w:val="22"/>
          <w:szCs w:val="22"/>
          <w:lang w:val="lt-LT"/>
        </w:rPr>
        <w:t>2017-06-13</w:t>
      </w:r>
    </w:p>
    <w:p w:rsidR="009E3290" w:rsidRDefault="009E3290" w:rsidP="009E3290">
      <w:pPr>
        <w:pStyle w:val="Default"/>
        <w:outlineLvl w:val="0"/>
        <w:rPr>
          <w:color w:val="auto"/>
          <w:sz w:val="22"/>
          <w:szCs w:val="22"/>
          <w:lang w:val="lt-LT"/>
        </w:rPr>
      </w:pPr>
    </w:p>
    <w:p w:rsidR="00887FCE" w:rsidRPr="0003312B" w:rsidRDefault="00887FCE" w:rsidP="009E3290">
      <w:pPr>
        <w:pStyle w:val="Default"/>
        <w:outlineLvl w:val="0"/>
        <w:rPr>
          <w:color w:val="auto"/>
          <w:sz w:val="22"/>
          <w:szCs w:val="22"/>
          <w:lang w:val="lt-LT"/>
        </w:rPr>
      </w:pPr>
    </w:p>
    <w:p w:rsidR="009E3290" w:rsidRPr="00B01E83" w:rsidRDefault="009E3290" w:rsidP="009E3290">
      <w:pPr>
        <w:numPr>
          <w:ilvl w:val="12"/>
          <w:numId w:val="0"/>
        </w:numPr>
        <w:ind w:right="-2"/>
        <w:rPr>
          <w:rFonts w:ascii="Times New Roman" w:hAnsi="Times New Roman" w:cs="Times New Roman"/>
          <w:sz w:val="22"/>
          <w:szCs w:val="22"/>
          <w:lang w:val="lt-LT"/>
        </w:rPr>
      </w:pPr>
      <w:r w:rsidRPr="0003312B">
        <w:rPr>
          <w:rFonts w:ascii="Times New Roman" w:hAnsi="Times New Roman"/>
          <w:sz w:val="22"/>
          <w:szCs w:val="22"/>
          <w:lang w:val="lt-LT"/>
        </w:rPr>
        <w:t xml:space="preserve">Išsami informacija apie šį vaistą pateikiama Valstybinės vaistų kontrolės tarnybos prie Lietuvos Respublikos sveikatos apsaugos ministerijos </w:t>
      </w:r>
      <w:r w:rsidRPr="00B01E83">
        <w:rPr>
          <w:rFonts w:ascii="Times New Roman" w:hAnsi="Times New Roman" w:cs="Times New Roman"/>
          <w:sz w:val="22"/>
          <w:szCs w:val="22"/>
          <w:lang w:val="lt-LT"/>
        </w:rPr>
        <w:t>tinklalapyje</w:t>
      </w:r>
      <w:r w:rsidRPr="00B01E83">
        <w:rPr>
          <w:rFonts w:ascii="Times New Roman" w:hAnsi="Times New Roman" w:cs="Times New Roman"/>
          <w:i/>
          <w:sz w:val="22"/>
          <w:szCs w:val="22"/>
          <w:lang w:val="lt-LT"/>
        </w:rPr>
        <w:t xml:space="preserve"> </w:t>
      </w:r>
      <w:r w:rsidR="0081226B">
        <w:fldChar w:fldCharType="begin"/>
      </w:r>
      <w:r w:rsidR="0081226B" w:rsidRPr="0081226B">
        <w:rPr>
          <w:lang w:val="lt-LT"/>
        </w:rPr>
        <w:instrText xml:space="preserve"> HYPERLINK "http://www.ema.europa.eu" </w:instrText>
      </w:r>
      <w:r w:rsidR="0081226B">
        <w:fldChar w:fldCharType="separate"/>
      </w:r>
      <w:r w:rsidRPr="0081226B">
        <w:rPr>
          <w:rStyle w:val="Hipersaitas"/>
          <w:rFonts w:ascii="Times New Roman" w:eastAsia="SimSun" w:hAnsi="Times New Roman" w:cs="Times New Roman"/>
          <w:sz w:val="22"/>
          <w:szCs w:val="22"/>
          <w:lang w:val="lt-LT"/>
        </w:rPr>
        <w:t>http://www.vvkt.lt/</w:t>
      </w:r>
      <w:r w:rsidR="0081226B">
        <w:rPr>
          <w:rStyle w:val="Hipersaitas"/>
          <w:rFonts w:ascii="Times New Roman" w:eastAsia="SimSun" w:hAnsi="Times New Roman" w:cs="Times New Roman"/>
          <w:sz w:val="22"/>
          <w:szCs w:val="22"/>
        </w:rPr>
        <w:fldChar w:fldCharType="end"/>
      </w:r>
      <w:r w:rsidRPr="00B01E83">
        <w:rPr>
          <w:rFonts w:ascii="Times New Roman" w:hAnsi="Times New Roman" w:cs="Times New Roman"/>
          <w:sz w:val="22"/>
          <w:szCs w:val="22"/>
          <w:lang w:val="lt-LT"/>
        </w:rPr>
        <w:t>.</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right="-440"/>
        <w:rPr>
          <w:color w:val="auto"/>
          <w:sz w:val="22"/>
          <w:szCs w:val="22"/>
          <w:lang w:val="lt-LT"/>
        </w:rPr>
      </w:pPr>
      <w:r w:rsidRPr="0003312B">
        <w:rPr>
          <w:color w:val="auto"/>
          <w:sz w:val="22"/>
          <w:szCs w:val="22"/>
          <w:lang w:val="lt-LT"/>
        </w:rPr>
        <w:t xml:space="preserve">----------------------------------------------------------------------------------------------------------------------------- </w:t>
      </w:r>
    </w:p>
    <w:p w:rsidR="009E3290" w:rsidRPr="0003312B" w:rsidRDefault="009E3290" w:rsidP="009E3290">
      <w:pPr>
        <w:pStyle w:val="Default"/>
        <w:ind w:right="-440"/>
        <w:outlineLvl w:val="0"/>
        <w:rPr>
          <w:color w:val="auto"/>
          <w:sz w:val="22"/>
          <w:szCs w:val="22"/>
          <w:lang w:val="lt-LT"/>
        </w:rPr>
      </w:pPr>
      <w:r w:rsidRPr="0003312B">
        <w:rPr>
          <w:bCs/>
          <w:color w:val="auto"/>
          <w:sz w:val="22"/>
          <w:szCs w:val="22"/>
          <w:lang w:val="lt-LT" w:eastAsia="lt-LT"/>
        </w:rPr>
        <w:t>Toliau pateikta informacija skirta tik sveikatos priežiūros specialistams</w:t>
      </w:r>
      <w:r w:rsidRPr="0003312B">
        <w:rPr>
          <w:color w:val="auto"/>
          <w:sz w:val="22"/>
          <w:szCs w:val="22"/>
          <w:lang w:val="lt-LT"/>
        </w:rPr>
        <w:t>:</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rPr>
        <w:t xml:space="preserve">INFORMACIJA SVEIKATOS PRIEŽIŪROS SPECIALISTAMS </w:t>
      </w:r>
    </w:p>
    <w:p w:rsidR="009E3290" w:rsidRPr="0003312B" w:rsidRDefault="009E3290" w:rsidP="009E3290">
      <w:pPr>
        <w:pStyle w:val="Default"/>
        <w:rPr>
          <w:b/>
          <w:bCs/>
          <w:color w:val="auto"/>
          <w:sz w:val="22"/>
          <w:szCs w:val="22"/>
          <w:lang w:val="lt-LT"/>
        </w:rPr>
      </w:pPr>
      <w:r w:rsidRPr="0003312B">
        <w:rPr>
          <w:b/>
          <w:bCs/>
          <w:color w:val="auto"/>
          <w:sz w:val="22"/>
          <w:szCs w:val="22"/>
          <w:lang w:val="lt-LT"/>
        </w:rPr>
        <w:t xml:space="preserve"> </w:t>
      </w: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rPr>
        <w:t>Daugiau informacijos pateikta preparato charakteristikų santraukoje.</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color w:val="auto"/>
          <w:sz w:val="22"/>
          <w:szCs w:val="22"/>
          <w:lang w:val="lt-LT"/>
        </w:rPr>
        <w:t>OSSICA</w:t>
      </w:r>
      <w:r w:rsidRPr="0003312B">
        <w:rPr>
          <w:color w:val="auto"/>
          <w:sz w:val="22"/>
          <w:szCs w:val="22"/>
          <w:lang w:val="lt-LT"/>
        </w:rPr>
        <w:t xml:space="preserve"> </w:t>
      </w:r>
      <w:r w:rsidRPr="0003312B">
        <w:rPr>
          <w:b/>
          <w:bCs/>
          <w:color w:val="auto"/>
          <w:sz w:val="22"/>
          <w:szCs w:val="22"/>
          <w:lang w:val="lt-LT"/>
        </w:rPr>
        <w:t>3</w:t>
      </w:r>
      <w:r w:rsidR="00012BAC">
        <w:rPr>
          <w:b/>
          <w:bCs/>
          <w:color w:val="auto"/>
          <w:sz w:val="22"/>
          <w:szCs w:val="22"/>
          <w:lang w:val="lt-LT"/>
        </w:rPr>
        <w:t> </w:t>
      </w:r>
      <w:r w:rsidRPr="0003312B">
        <w:rPr>
          <w:b/>
          <w:bCs/>
          <w:color w:val="auto"/>
          <w:sz w:val="22"/>
          <w:szCs w:val="22"/>
          <w:lang w:val="lt-LT"/>
        </w:rPr>
        <w:t xml:space="preserve">mg injekcinio tirpalo užpildytame švirkšte vartojimas </w:t>
      </w:r>
    </w:p>
    <w:p w:rsidR="009E3290" w:rsidRPr="0003312B" w:rsidRDefault="009E3290" w:rsidP="009E3290">
      <w:pPr>
        <w:pStyle w:val="Default"/>
        <w:outlineLvl w:val="0"/>
        <w:rPr>
          <w:color w:val="auto"/>
          <w:sz w:val="22"/>
          <w:szCs w:val="22"/>
          <w:lang w:val="lt-LT"/>
        </w:rPr>
      </w:pPr>
      <w:r w:rsidRPr="0003312B">
        <w:rPr>
          <w:color w:val="auto"/>
          <w:sz w:val="22"/>
          <w:szCs w:val="22"/>
          <w:lang w:val="lt-LT"/>
        </w:rPr>
        <w:t>OSSICA 3</w:t>
      </w:r>
      <w:r w:rsidR="00012BAC">
        <w:rPr>
          <w:color w:val="auto"/>
          <w:sz w:val="22"/>
          <w:szCs w:val="22"/>
          <w:lang w:val="lt-LT"/>
        </w:rPr>
        <w:t> </w:t>
      </w:r>
      <w:r w:rsidRPr="0003312B">
        <w:rPr>
          <w:color w:val="auto"/>
          <w:sz w:val="22"/>
          <w:szCs w:val="22"/>
          <w:lang w:val="lt-LT"/>
        </w:rPr>
        <w:t>mg injekcinį tirpalą užpildytame švirkšte reikia sušvirkšti į veną per 15</w:t>
      </w:r>
      <w:r w:rsidRPr="0003312B">
        <w:rPr>
          <w:color w:val="auto"/>
          <w:sz w:val="22"/>
          <w:szCs w:val="22"/>
          <w:lang w:val="lt-LT" w:eastAsia="lt-LT"/>
        </w:rPr>
        <w:t>–</w:t>
      </w:r>
      <w:r w:rsidRPr="0003312B">
        <w:rPr>
          <w:color w:val="auto"/>
          <w:sz w:val="22"/>
          <w:szCs w:val="22"/>
          <w:lang w:val="lt-LT"/>
        </w:rPr>
        <w:t xml:space="preserve">30 sekundžių.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Tirpalas gali dirginti, todėl labai svarbu, kad jis būtų švirkščiamas tik į veną. Netyčia tirpalo sušvirkštus į audinius šalia venos, gali pasireikšti vietinis injekcijos vietos sudirgimas, skausmas ir uždegimas.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OSSICA 3</w:t>
      </w:r>
      <w:r w:rsidR="00012BAC">
        <w:rPr>
          <w:color w:val="auto"/>
          <w:sz w:val="22"/>
          <w:szCs w:val="22"/>
          <w:lang w:val="lt-LT"/>
        </w:rPr>
        <w:t> </w:t>
      </w:r>
      <w:r w:rsidRPr="0003312B">
        <w:rPr>
          <w:color w:val="auto"/>
          <w:sz w:val="22"/>
          <w:szCs w:val="22"/>
          <w:lang w:val="lt-LT"/>
        </w:rPr>
        <w:t xml:space="preserve">mg injekcinio tirpalo užpildytame švirkšte </w:t>
      </w:r>
      <w:r w:rsidRPr="009B4D79">
        <w:rPr>
          <w:b/>
          <w:color w:val="auto"/>
          <w:sz w:val="22"/>
          <w:szCs w:val="22"/>
          <w:lang w:val="lt-LT"/>
        </w:rPr>
        <w:t>negalima</w:t>
      </w:r>
      <w:r w:rsidRPr="0003312B">
        <w:rPr>
          <w:color w:val="auto"/>
          <w:sz w:val="22"/>
          <w:szCs w:val="22"/>
          <w:lang w:val="lt-LT"/>
        </w:rPr>
        <w:t xml:space="preserve"> maišyti su tirpalais, kuriuose yra kalcio (pvz., </w:t>
      </w:r>
      <w:proofErr w:type="spellStart"/>
      <w:r w:rsidRPr="0003312B">
        <w:rPr>
          <w:color w:val="auto"/>
          <w:sz w:val="22"/>
          <w:szCs w:val="22"/>
          <w:lang w:val="lt-LT"/>
        </w:rPr>
        <w:t>Ringerio</w:t>
      </w:r>
      <w:proofErr w:type="spellEnd"/>
      <w:r w:rsidRPr="0003312B">
        <w:rPr>
          <w:color w:val="auto"/>
          <w:sz w:val="22"/>
          <w:szCs w:val="22"/>
          <w:lang w:val="lt-LT"/>
        </w:rPr>
        <w:t xml:space="preserve"> laktato tirpalo, heparino kalcio druskos) ar kitais į veną vartojamais vaistiniais preparatais. Jeigu OSSICA lašinamas naudojant lašinę sistemą, galima vartoti tik </w:t>
      </w:r>
      <w:proofErr w:type="spellStart"/>
      <w:r w:rsidRPr="0003312B">
        <w:rPr>
          <w:color w:val="auto"/>
          <w:sz w:val="22"/>
          <w:szCs w:val="22"/>
          <w:lang w:val="lt-LT"/>
        </w:rPr>
        <w:t>izotoninį</w:t>
      </w:r>
      <w:proofErr w:type="spellEnd"/>
      <w:r w:rsidRPr="0003312B">
        <w:rPr>
          <w:color w:val="auto"/>
          <w:sz w:val="22"/>
          <w:szCs w:val="22"/>
          <w:lang w:val="lt-LT"/>
        </w:rPr>
        <w:t xml:space="preserve"> natrio chlorido ar 50</w:t>
      </w:r>
      <w:r w:rsidR="00012BAC">
        <w:rPr>
          <w:color w:val="auto"/>
          <w:sz w:val="22"/>
          <w:szCs w:val="22"/>
          <w:lang w:val="lt-LT"/>
        </w:rPr>
        <w:t> </w:t>
      </w:r>
      <w:r w:rsidRPr="0003312B">
        <w:rPr>
          <w:color w:val="auto"/>
          <w:sz w:val="22"/>
          <w:szCs w:val="22"/>
          <w:lang w:val="lt-LT"/>
        </w:rPr>
        <w:t>mg/ml (5</w:t>
      </w:r>
      <w:r w:rsidR="00012BAC">
        <w:rPr>
          <w:color w:val="auto"/>
          <w:sz w:val="22"/>
          <w:szCs w:val="22"/>
          <w:lang w:val="lt-LT"/>
        </w:rPr>
        <w:t> </w:t>
      </w:r>
      <w:r w:rsidRPr="0003312B">
        <w:rPr>
          <w:color w:val="auto"/>
          <w:sz w:val="22"/>
          <w:szCs w:val="22"/>
          <w:lang w:val="lt-LT"/>
        </w:rPr>
        <w:t xml:space="preserve">%) gliukozės infuzinius tirpalus. </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Praleidus dozę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Praleidus dozę, injekciją reikia sušvirkšti kiek įmanoma greičiau. Vėliau injekcijas kartoti kas 3 mėnesius, skaičiuojant nuo paskutinės injekcijos datos. </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Perdozavimas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Specifinės informacijos apie OSSICA perdozavimo gydymą nėra. </w:t>
      </w:r>
    </w:p>
    <w:p w:rsidR="00012BAC" w:rsidRDefault="00012BAC"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Remiantis žiniomis apie šios grupės preparatus, galima manyti, kad preparato perdozavimas į veną gali sukelti </w:t>
      </w:r>
      <w:proofErr w:type="spellStart"/>
      <w:r w:rsidRPr="0003312B">
        <w:rPr>
          <w:color w:val="auto"/>
          <w:sz w:val="22"/>
          <w:szCs w:val="22"/>
          <w:lang w:val="lt-LT"/>
        </w:rPr>
        <w:t>hipokalcemiją</w:t>
      </w:r>
      <w:proofErr w:type="spellEnd"/>
      <w:r w:rsidRPr="0003312B">
        <w:rPr>
          <w:color w:val="auto"/>
          <w:sz w:val="22"/>
          <w:szCs w:val="22"/>
          <w:lang w:val="lt-LT"/>
        </w:rPr>
        <w:t xml:space="preserve">, </w:t>
      </w:r>
      <w:proofErr w:type="spellStart"/>
      <w:r w:rsidRPr="0003312B">
        <w:rPr>
          <w:color w:val="auto"/>
          <w:sz w:val="22"/>
          <w:szCs w:val="22"/>
          <w:lang w:val="lt-LT"/>
        </w:rPr>
        <w:t>hipofosfatemiją</w:t>
      </w:r>
      <w:proofErr w:type="spellEnd"/>
      <w:r w:rsidRPr="0003312B">
        <w:rPr>
          <w:color w:val="auto"/>
          <w:sz w:val="22"/>
          <w:szCs w:val="22"/>
          <w:lang w:val="lt-LT"/>
        </w:rPr>
        <w:t xml:space="preserve"> ir </w:t>
      </w:r>
      <w:proofErr w:type="spellStart"/>
      <w:r w:rsidRPr="0003312B">
        <w:rPr>
          <w:color w:val="auto"/>
          <w:sz w:val="22"/>
          <w:szCs w:val="22"/>
          <w:lang w:val="lt-LT"/>
        </w:rPr>
        <w:t>hipomagnezemiją</w:t>
      </w:r>
      <w:proofErr w:type="spellEnd"/>
      <w:r w:rsidRPr="0003312B">
        <w:rPr>
          <w:color w:val="auto"/>
          <w:sz w:val="22"/>
          <w:szCs w:val="22"/>
          <w:lang w:val="lt-LT"/>
        </w:rPr>
        <w:t xml:space="preserve">, dėl ko gali pasireikšti </w:t>
      </w:r>
      <w:proofErr w:type="spellStart"/>
      <w:r w:rsidRPr="0003312B">
        <w:rPr>
          <w:color w:val="auto"/>
          <w:sz w:val="22"/>
          <w:szCs w:val="22"/>
          <w:lang w:val="lt-LT"/>
        </w:rPr>
        <w:t>parestezija</w:t>
      </w:r>
      <w:proofErr w:type="spellEnd"/>
      <w:r w:rsidRPr="0003312B">
        <w:rPr>
          <w:color w:val="auto"/>
          <w:sz w:val="22"/>
          <w:szCs w:val="22"/>
          <w:lang w:val="lt-LT"/>
        </w:rPr>
        <w:t xml:space="preserve">. Sunkiais atvejais gali prireikti atitinkamos dozės kalcio </w:t>
      </w:r>
      <w:proofErr w:type="spellStart"/>
      <w:r w:rsidRPr="0003312B">
        <w:rPr>
          <w:color w:val="auto"/>
          <w:sz w:val="22"/>
          <w:szCs w:val="22"/>
          <w:lang w:val="lt-LT"/>
        </w:rPr>
        <w:t>gliukonato</w:t>
      </w:r>
      <w:proofErr w:type="spellEnd"/>
      <w:r w:rsidRPr="0003312B">
        <w:rPr>
          <w:color w:val="auto"/>
          <w:sz w:val="22"/>
          <w:szCs w:val="22"/>
          <w:lang w:val="lt-LT"/>
        </w:rPr>
        <w:t xml:space="preserve">, kalio ar natrio fosfato ir  magnio sulfato infuzijos į veną.  </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Bendrieji patarimai </w:t>
      </w:r>
    </w:p>
    <w:p w:rsidR="009E3290" w:rsidRPr="0003312B" w:rsidRDefault="009E3290" w:rsidP="009E3290">
      <w:pPr>
        <w:pStyle w:val="Default"/>
        <w:rPr>
          <w:color w:val="auto"/>
          <w:sz w:val="22"/>
          <w:szCs w:val="22"/>
          <w:lang w:val="lt-LT"/>
        </w:rPr>
      </w:pPr>
      <w:r w:rsidRPr="0003312B">
        <w:rPr>
          <w:color w:val="auto"/>
          <w:sz w:val="22"/>
          <w:szCs w:val="22"/>
          <w:lang w:val="lt-LT"/>
        </w:rPr>
        <w:t>Vartojant OSSICA 3</w:t>
      </w:r>
      <w:r w:rsidR="00012BAC">
        <w:rPr>
          <w:color w:val="auto"/>
          <w:sz w:val="22"/>
          <w:szCs w:val="22"/>
          <w:lang w:val="lt-LT"/>
        </w:rPr>
        <w:t> </w:t>
      </w:r>
      <w:r w:rsidRPr="0003312B">
        <w:rPr>
          <w:color w:val="auto"/>
          <w:sz w:val="22"/>
          <w:szCs w:val="22"/>
          <w:lang w:val="lt-LT"/>
        </w:rPr>
        <w:t xml:space="preserve">mg injekcinį tirpalą užpildytame švirkšte, kaip ir kitus į veną švirkščiamus </w:t>
      </w:r>
      <w:proofErr w:type="spellStart"/>
      <w:r w:rsidRPr="0003312B">
        <w:rPr>
          <w:color w:val="auto"/>
          <w:sz w:val="22"/>
          <w:szCs w:val="22"/>
          <w:lang w:val="lt-LT"/>
        </w:rPr>
        <w:t>bisfosfonatus</w:t>
      </w:r>
      <w:proofErr w:type="spellEnd"/>
      <w:r w:rsidRPr="0003312B">
        <w:rPr>
          <w:color w:val="auto"/>
          <w:sz w:val="22"/>
          <w:szCs w:val="22"/>
          <w:lang w:val="lt-LT"/>
        </w:rPr>
        <w:t xml:space="preserve">, laikinai gali sumažėti kalcio koncentracija serume. </w:t>
      </w:r>
    </w:p>
    <w:p w:rsidR="00012BAC" w:rsidRDefault="00012BAC"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Prieš pradedant gydyti OSSICA injekcijomis, būtina įvertinti, ar pacientui nėra </w:t>
      </w:r>
      <w:proofErr w:type="spellStart"/>
      <w:r w:rsidRPr="0003312B">
        <w:rPr>
          <w:color w:val="auto"/>
          <w:sz w:val="22"/>
          <w:szCs w:val="22"/>
          <w:lang w:val="lt-LT"/>
        </w:rPr>
        <w:t>hipokalcemijos</w:t>
      </w:r>
      <w:proofErr w:type="spellEnd"/>
      <w:r w:rsidRPr="0003312B">
        <w:rPr>
          <w:color w:val="auto"/>
          <w:sz w:val="22"/>
          <w:szCs w:val="22"/>
          <w:lang w:val="lt-LT"/>
        </w:rPr>
        <w:t xml:space="preserve"> ir kitų kaulų ir mineralinių medžiagų apykaitos sutrikimų ir, esant reikalui, efektyviai juos koreguoti. Svarbu, kad visi pacientai gautų pakankamą kalcio ir vitamino D kiekį. Visi pacientai turi papildomai vartoti kalcio ir vitamino D. </w:t>
      </w:r>
    </w:p>
    <w:p w:rsidR="00012BAC" w:rsidRDefault="00012BAC"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Gydymo metu pacientus, sergančius kitomis ligomis ar vartojančius </w:t>
      </w:r>
      <w:r w:rsidR="00012BAC">
        <w:rPr>
          <w:color w:val="auto"/>
          <w:sz w:val="22"/>
          <w:szCs w:val="22"/>
          <w:lang w:val="lt-LT"/>
        </w:rPr>
        <w:t>vaistinių</w:t>
      </w:r>
      <w:r w:rsidR="00012BAC" w:rsidRPr="0003312B">
        <w:rPr>
          <w:color w:val="auto"/>
          <w:sz w:val="22"/>
          <w:szCs w:val="22"/>
          <w:lang w:val="lt-LT"/>
        </w:rPr>
        <w:t xml:space="preserve"> </w:t>
      </w:r>
      <w:r w:rsidRPr="0003312B">
        <w:rPr>
          <w:color w:val="auto"/>
          <w:sz w:val="22"/>
          <w:szCs w:val="22"/>
          <w:lang w:val="lt-LT"/>
        </w:rPr>
        <w:t xml:space="preserve">preparatų, kurie gali sukelti šalutinį poveikį inkstams, reikia reguliariai tikrinti pagal geros medicininės praktikos reikalavimus.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 </w:t>
      </w: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Bet kokius tirpalo likučius, švirkštą ir injekcinę adatą reikia išmesti laikantis vietinių reikalavimų.    </w:t>
      </w:r>
    </w:p>
    <w:p w:rsidR="009E3290" w:rsidRPr="00042943" w:rsidRDefault="009E3290" w:rsidP="009E3290">
      <w:pPr>
        <w:rPr>
          <w:rFonts w:ascii="Times New Roman" w:hAnsi="Times New Roman"/>
          <w:sz w:val="20"/>
          <w:lang w:val="lt-LT"/>
        </w:rPr>
      </w:pPr>
    </w:p>
    <w:p w:rsidR="009E3290" w:rsidRPr="00042943" w:rsidRDefault="009E3290" w:rsidP="009E3290">
      <w:pPr>
        <w:rPr>
          <w:rFonts w:ascii="Times New Roman" w:hAnsi="Times New Roman"/>
          <w:sz w:val="20"/>
          <w:lang w:val="lt-LT"/>
        </w:rPr>
      </w:pPr>
    </w:p>
    <w:p w:rsidR="009E3290" w:rsidRPr="00B14435" w:rsidRDefault="009E3290" w:rsidP="009E3290">
      <w:pPr>
        <w:rPr>
          <w:rFonts w:ascii="Times New Roman" w:hAnsi="Times New Roman"/>
          <w:sz w:val="22"/>
          <w:szCs w:val="22"/>
          <w:lang w:val="lt-LT"/>
        </w:rPr>
      </w:pPr>
    </w:p>
    <w:sectPr w:rsidR="009E3290" w:rsidRPr="00B14435" w:rsidSect="00DA32C5">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E3" w:rsidRDefault="006A04E3" w:rsidP="00887FCE">
      <w:r>
        <w:separator/>
      </w:r>
    </w:p>
  </w:endnote>
  <w:endnote w:type="continuationSeparator" w:id="0">
    <w:p w:rsidR="006A04E3" w:rsidRDefault="006A04E3" w:rsidP="0088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260226"/>
      <w:docPartObj>
        <w:docPartGallery w:val="Page Numbers (Bottom of Page)"/>
        <w:docPartUnique/>
      </w:docPartObj>
    </w:sdtPr>
    <w:sdtEndPr>
      <w:rPr>
        <w:rFonts w:ascii="Times New Roman" w:hAnsi="Times New Roman"/>
      </w:rPr>
    </w:sdtEndPr>
    <w:sdtContent>
      <w:p w:rsidR="00887FCE" w:rsidRPr="00887FCE" w:rsidRDefault="00887FCE" w:rsidP="00887FCE">
        <w:pPr>
          <w:pStyle w:val="Porat"/>
          <w:jc w:val="center"/>
          <w:rPr>
            <w:rFonts w:ascii="Times New Roman" w:hAnsi="Times New Roman"/>
          </w:rPr>
        </w:pPr>
        <w:r w:rsidRPr="00887FCE">
          <w:rPr>
            <w:rFonts w:ascii="Times New Roman" w:hAnsi="Times New Roman"/>
          </w:rPr>
          <w:fldChar w:fldCharType="begin"/>
        </w:r>
        <w:r w:rsidRPr="00887FCE">
          <w:rPr>
            <w:rFonts w:ascii="Times New Roman" w:hAnsi="Times New Roman"/>
          </w:rPr>
          <w:instrText>PAGE   \* MERGEFORMAT</w:instrText>
        </w:r>
        <w:r w:rsidRPr="00887FCE">
          <w:rPr>
            <w:rFonts w:ascii="Times New Roman" w:hAnsi="Times New Roman"/>
          </w:rPr>
          <w:fldChar w:fldCharType="separate"/>
        </w:r>
        <w:r w:rsidR="0081226B" w:rsidRPr="0081226B">
          <w:rPr>
            <w:rFonts w:ascii="Times New Roman" w:hAnsi="Times New Roman"/>
            <w:noProof/>
            <w:lang w:val="lt-LT"/>
          </w:rPr>
          <w:t>15</w:t>
        </w:r>
        <w:r w:rsidRPr="00887FCE">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E3" w:rsidRDefault="006A04E3" w:rsidP="00887FCE">
      <w:r>
        <w:separator/>
      </w:r>
    </w:p>
  </w:footnote>
  <w:footnote w:type="continuationSeparator" w:id="0">
    <w:p w:rsidR="006A04E3" w:rsidRDefault="006A04E3" w:rsidP="00887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14A2725"/>
    <w:multiLevelType w:val="hybridMultilevel"/>
    <w:tmpl w:val="C21E80F8"/>
    <w:lvl w:ilvl="0" w:tplc="D304D5D8">
      <w:start w:val="1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 w15:restartNumberingAfterBreak="0">
    <w:nsid w:val="03C12BD8"/>
    <w:multiLevelType w:val="hybridMultilevel"/>
    <w:tmpl w:val="A006AC0E"/>
    <w:lvl w:ilvl="0" w:tplc="6F105690">
      <w:start w:val="6"/>
      <w:numFmt w:val="bullet"/>
      <w:lvlText w:val="-"/>
      <w:lvlJc w:val="left"/>
      <w:pPr>
        <w:tabs>
          <w:tab w:val="num" w:pos="720"/>
        </w:tabs>
        <w:ind w:left="720" w:hanging="360"/>
      </w:pPr>
      <w:rPr>
        <w:rFonts w:ascii="Times New Roman" w:eastAsia="Times New Roman" w:hAnsi="Times New Roman" w:cs="Times New Roman" w:hint="default"/>
      </w:rPr>
    </w:lvl>
    <w:lvl w:ilvl="1" w:tplc="A0488C22">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A0D1D"/>
    <w:multiLevelType w:val="multilevel"/>
    <w:tmpl w:val="888CD16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5D6B8F"/>
    <w:multiLevelType w:val="hybridMultilevel"/>
    <w:tmpl w:val="3A761C88"/>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D1F7E"/>
    <w:multiLevelType w:val="hybridMultilevel"/>
    <w:tmpl w:val="0CDCC04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82400D"/>
    <w:multiLevelType w:val="multilevel"/>
    <w:tmpl w:val="EF2CF5B4"/>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992842"/>
    <w:multiLevelType w:val="hybridMultilevel"/>
    <w:tmpl w:val="CD8C1DDE"/>
    <w:lvl w:ilvl="0" w:tplc="8ADA63E6">
      <w:start w:val="5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A992147"/>
    <w:multiLevelType w:val="multilevel"/>
    <w:tmpl w:val="A5B47180"/>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1B3563F4"/>
    <w:multiLevelType w:val="multilevel"/>
    <w:tmpl w:val="B2086E4E"/>
    <w:lvl w:ilvl="0">
      <w:start w:val="6"/>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832F71"/>
    <w:multiLevelType w:val="hybridMultilevel"/>
    <w:tmpl w:val="C3E2548C"/>
    <w:lvl w:ilvl="0" w:tplc="655CFB9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E73C3"/>
    <w:multiLevelType w:val="hybridMultilevel"/>
    <w:tmpl w:val="BCB4E6A4"/>
    <w:lvl w:ilvl="0" w:tplc="A0488C22">
      <w:start w:val="4"/>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B5E85"/>
    <w:multiLevelType w:val="multilevel"/>
    <w:tmpl w:val="C8DE87F4"/>
    <w:lvl w:ilvl="0">
      <w:start w:val="6"/>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8E21C5"/>
    <w:multiLevelType w:val="multilevel"/>
    <w:tmpl w:val="6B6EE492"/>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29670AEB"/>
    <w:multiLevelType w:val="hybridMultilevel"/>
    <w:tmpl w:val="08EA498C"/>
    <w:lvl w:ilvl="0" w:tplc="A0488C22">
      <w:start w:val="4"/>
      <w:numFmt w:val="bullet"/>
      <w:lvlText w:val="–"/>
      <w:lvlJc w:val="left"/>
      <w:pPr>
        <w:tabs>
          <w:tab w:val="num" w:pos="360"/>
        </w:tabs>
        <w:ind w:left="36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82F0D"/>
    <w:multiLevelType w:val="hybridMultilevel"/>
    <w:tmpl w:val="C60AEAAA"/>
    <w:lvl w:ilvl="0" w:tplc="BAF02DE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9" w15:restartNumberingAfterBreak="0">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B4723"/>
    <w:multiLevelType w:val="hybridMultilevel"/>
    <w:tmpl w:val="EE189D98"/>
    <w:lvl w:ilvl="0" w:tplc="87320E38">
      <w:start w:val="7"/>
      <w:numFmt w:val="decimal"/>
      <w:lvlText w:val="%1."/>
      <w:lvlJc w:val="left"/>
      <w:pPr>
        <w:tabs>
          <w:tab w:val="num" w:pos="545"/>
        </w:tabs>
        <w:ind w:left="545" w:hanging="540"/>
      </w:pPr>
      <w:rPr>
        <w:rFonts w:cs="Times New Roman" w:hint="default"/>
      </w:rPr>
    </w:lvl>
    <w:lvl w:ilvl="1" w:tplc="040E0019" w:tentative="1">
      <w:start w:val="1"/>
      <w:numFmt w:val="lowerLetter"/>
      <w:lvlText w:val="%2."/>
      <w:lvlJc w:val="left"/>
      <w:pPr>
        <w:tabs>
          <w:tab w:val="num" w:pos="1085"/>
        </w:tabs>
        <w:ind w:left="1085" w:hanging="360"/>
      </w:pPr>
      <w:rPr>
        <w:rFonts w:cs="Times New Roman"/>
      </w:rPr>
    </w:lvl>
    <w:lvl w:ilvl="2" w:tplc="040E001B" w:tentative="1">
      <w:start w:val="1"/>
      <w:numFmt w:val="lowerRoman"/>
      <w:lvlText w:val="%3."/>
      <w:lvlJc w:val="right"/>
      <w:pPr>
        <w:tabs>
          <w:tab w:val="num" w:pos="1805"/>
        </w:tabs>
        <w:ind w:left="1805" w:hanging="180"/>
      </w:pPr>
      <w:rPr>
        <w:rFonts w:cs="Times New Roman"/>
      </w:rPr>
    </w:lvl>
    <w:lvl w:ilvl="3" w:tplc="040E000F" w:tentative="1">
      <w:start w:val="1"/>
      <w:numFmt w:val="decimal"/>
      <w:lvlText w:val="%4."/>
      <w:lvlJc w:val="left"/>
      <w:pPr>
        <w:tabs>
          <w:tab w:val="num" w:pos="2525"/>
        </w:tabs>
        <w:ind w:left="2525" w:hanging="360"/>
      </w:pPr>
      <w:rPr>
        <w:rFonts w:cs="Times New Roman"/>
      </w:rPr>
    </w:lvl>
    <w:lvl w:ilvl="4" w:tplc="040E0019" w:tentative="1">
      <w:start w:val="1"/>
      <w:numFmt w:val="lowerLetter"/>
      <w:lvlText w:val="%5."/>
      <w:lvlJc w:val="left"/>
      <w:pPr>
        <w:tabs>
          <w:tab w:val="num" w:pos="3245"/>
        </w:tabs>
        <w:ind w:left="3245" w:hanging="360"/>
      </w:pPr>
      <w:rPr>
        <w:rFonts w:cs="Times New Roman"/>
      </w:rPr>
    </w:lvl>
    <w:lvl w:ilvl="5" w:tplc="040E001B" w:tentative="1">
      <w:start w:val="1"/>
      <w:numFmt w:val="lowerRoman"/>
      <w:lvlText w:val="%6."/>
      <w:lvlJc w:val="right"/>
      <w:pPr>
        <w:tabs>
          <w:tab w:val="num" w:pos="3965"/>
        </w:tabs>
        <w:ind w:left="3965" w:hanging="180"/>
      </w:pPr>
      <w:rPr>
        <w:rFonts w:cs="Times New Roman"/>
      </w:rPr>
    </w:lvl>
    <w:lvl w:ilvl="6" w:tplc="040E000F" w:tentative="1">
      <w:start w:val="1"/>
      <w:numFmt w:val="decimal"/>
      <w:lvlText w:val="%7."/>
      <w:lvlJc w:val="left"/>
      <w:pPr>
        <w:tabs>
          <w:tab w:val="num" w:pos="4685"/>
        </w:tabs>
        <w:ind w:left="4685" w:hanging="360"/>
      </w:pPr>
      <w:rPr>
        <w:rFonts w:cs="Times New Roman"/>
      </w:rPr>
    </w:lvl>
    <w:lvl w:ilvl="7" w:tplc="040E0019" w:tentative="1">
      <w:start w:val="1"/>
      <w:numFmt w:val="lowerLetter"/>
      <w:lvlText w:val="%8."/>
      <w:lvlJc w:val="left"/>
      <w:pPr>
        <w:tabs>
          <w:tab w:val="num" w:pos="5405"/>
        </w:tabs>
        <w:ind w:left="5405" w:hanging="360"/>
      </w:pPr>
      <w:rPr>
        <w:rFonts w:cs="Times New Roman"/>
      </w:rPr>
    </w:lvl>
    <w:lvl w:ilvl="8" w:tplc="040E001B" w:tentative="1">
      <w:start w:val="1"/>
      <w:numFmt w:val="lowerRoman"/>
      <w:lvlText w:val="%9."/>
      <w:lvlJc w:val="right"/>
      <w:pPr>
        <w:tabs>
          <w:tab w:val="num" w:pos="6125"/>
        </w:tabs>
        <w:ind w:left="6125" w:hanging="180"/>
      </w:pPr>
      <w:rPr>
        <w:rFonts w:cs="Times New Roman"/>
      </w:rPr>
    </w:lvl>
  </w:abstractNum>
  <w:abstractNum w:abstractNumId="23" w15:restartNumberingAfterBreak="0">
    <w:nsid w:val="53AB1905"/>
    <w:multiLevelType w:val="hybridMultilevel"/>
    <w:tmpl w:val="D820F760"/>
    <w:lvl w:ilvl="0" w:tplc="4C302C90">
      <w:start w:val="4"/>
      <w:numFmt w:val="decimal"/>
      <w:lvlText w:val="%1."/>
      <w:lvlJc w:val="left"/>
      <w:pPr>
        <w:tabs>
          <w:tab w:val="num" w:pos="930"/>
        </w:tabs>
        <w:ind w:left="930" w:hanging="57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BD1493"/>
    <w:multiLevelType w:val="hybridMultilevel"/>
    <w:tmpl w:val="31525C4A"/>
    <w:lvl w:ilvl="0" w:tplc="3A8214B6">
      <w:start w:val="1"/>
      <w:numFmt w:val="bullet"/>
      <w:lvlText w:val=""/>
      <w:lvlJc w:val="left"/>
      <w:pPr>
        <w:ind w:left="1920" w:hanging="360"/>
      </w:pPr>
      <w:rPr>
        <w:rFonts w:ascii="Symbol" w:hAnsi="Symbol" w:hint="default"/>
      </w:rPr>
    </w:lvl>
    <w:lvl w:ilvl="1" w:tplc="CA32984E">
      <w:numFmt w:val="bullet"/>
      <w:lvlText w:val="•"/>
      <w:lvlJc w:val="left"/>
      <w:pPr>
        <w:ind w:left="2640" w:hanging="360"/>
      </w:pPr>
      <w:rPr>
        <w:rFonts w:ascii="Times New Roman" w:eastAsia="Times New Roman" w:hAnsi="Times New Roman" w:hint="default"/>
      </w:rPr>
    </w:lvl>
    <w:lvl w:ilvl="2" w:tplc="7BC249C6" w:tentative="1">
      <w:start w:val="1"/>
      <w:numFmt w:val="bullet"/>
      <w:lvlText w:val=""/>
      <w:lvlJc w:val="left"/>
      <w:pPr>
        <w:ind w:left="3360" w:hanging="360"/>
      </w:pPr>
      <w:rPr>
        <w:rFonts w:ascii="Wingdings" w:hAnsi="Wingdings" w:hint="default"/>
      </w:rPr>
    </w:lvl>
    <w:lvl w:ilvl="3" w:tplc="BD5026FA" w:tentative="1">
      <w:start w:val="1"/>
      <w:numFmt w:val="bullet"/>
      <w:lvlText w:val=""/>
      <w:lvlJc w:val="left"/>
      <w:pPr>
        <w:ind w:left="4080" w:hanging="360"/>
      </w:pPr>
      <w:rPr>
        <w:rFonts w:ascii="Symbol" w:hAnsi="Symbol" w:hint="default"/>
      </w:rPr>
    </w:lvl>
    <w:lvl w:ilvl="4" w:tplc="8764ACC0" w:tentative="1">
      <w:start w:val="1"/>
      <w:numFmt w:val="bullet"/>
      <w:lvlText w:val="o"/>
      <w:lvlJc w:val="left"/>
      <w:pPr>
        <w:ind w:left="4800" w:hanging="360"/>
      </w:pPr>
      <w:rPr>
        <w:rFonts w:ascii="Courier New" w:hAnsi="Courier New" w:hint="default"/>
      </w:rPr>
    </w:lvl>
    <w:lvl w:ilvl="5" w:tplc="DB32C36E" w:tentative="1">
      <w:start w:val="1"/>
      <w:numFmt w:val="bullet"/>
      <w:lvlText w:val=""/>
      <w:lvlJc w:val="left"/>
      <w:pPr>
        <w:ind w:left="5520" w:hanging="360"/>
      </w:pPr>
      <w:rPr>
        <w:rFonts w:ascii="Wingdings" w:hAnsi="Wingdings" w:hint="default"/>
      </w:rPr>
    </w:lvl>
    <w:lvl w:ilvl="6" w:tplc="03AC4596" w:tentative="1">
      <w:start w:val="1"/>
      <w:numFmt w:val="bullet"/>
      <w:lvlText w:val=""/>
      <w:lvlJc w:val="left"/>
      <w:pPr>
        <w:ind w:left="6240" w:hanging="360"/>
      </w:pPr>
      <w:rPr>
        <w:rFonts w:ascii="Symbol" w:hAnsi="Symbol" w:hint="default"/>
      </w:rPr>
    </w:lvl>
    <w:lvl w:ilvl="7" w:tplc="0BD2CFC2" w:tentative="1">
      <w:start w:val="1"/>
      <w:numFmt w:val="bullet"/>
      <w:lvlText w:val="o"/>
      <w:lvlJc w:val="left"/>
      <w:pPr>
        <w:ind w:left="6960" w:hanging="360"/>
      </w:pPr>
      <w:rPr>
        <w:rFonts w:ascii="Courier New" w:hAnsi="Courier New" w:hint="default"/>
      </w:rPr>
    </w:lvl>
    <w:lvl w:ilvl="8" w:tplc="DB525FE0" w:tentative="1">
      <w:start w:val="1"/>
      <w:numFmt w:val="bullet"/>
      <w:lvlText w:val=""/>
      <w:lvlJc w:val="left"/>
      <w:pPr>
        <w:ind w:left="7680" w:hanging="360"/>
      </w:pPr>
      <w:rPr>
        <w:rFonts w:ascii="Wingdings" w:hAnsi="Wingdings" w:hint="default"/>
      </w:rPr>
    </w:lvl>
  </w:abstractNum>
  <w:abstractNum w:abstractNumId="25"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F37680"/>
    <w:multiLevelType w:val="hybridMultilevel"/>
    <w:tmpl w:val="BBF89254"/>
    <w:lvl w:ilvl="0" w:tplc="D304D5D8">
      <w:start w:val="1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7"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5F254730"/>
    <w:multiLevelType w:val="hybridMultilevel"/>
    <w:tmpl w:val="771E4DDE"/>
    <w:lvl w:ilvl="0" w:tplc="A45E24A6">
      <w:start w:val="1"/>
      <w:numFmt w:val="bullet"/>
      <w:lvlText w:val="-"/>
      <w:lvlJc w:val="left"/>
      <w:pPr>
        <w:tabs>
          <w:tab w:val="num" w:pos="284"/>
        </w:tabs>
      </w:pPr>
      <w:rPr>
        <w:rFonts w:ascii="Times New Roman" w:hAnsi="Times New Roman"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B3BD1"/>
    <w:multiLevelType w:val="hybridMultilevel"/>
    <w:tmpl w:val="26FE3E28"/>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61147"/>
    <w:multiLevelType w:val="hybridMultilevel"/>
    <w:tmpl w:val="CD0CE8F0"/>
    <w:lvl w:ilvl="0" w:tplc="20A848DE">
      <w:start w:val="10"/>
      <w:numFmt w:val="decimal"/>
      <w:lvlText w:val="%1."/>
      <w:lvlJc w:val="left"/>
      <w:pPr>
        <w:tabs>
          <w:tab w:val="num" w:pos="545"/>
        </w:tabs>
        <w:ind w:left="545" w:hanging="540"/>
      </w:pPr>
      <w:rPr>
        <w:rFonts w:cs="Times New Roman" w:hint="default"/>
      </w:rPr>
    </w:lvl>
    <w:lvl w:ilvl="1" w:tplc="04150019" w:tentative="1">
      <w:start w:val="1"/>
      <w:numFmt w:val="lowerLetter"/>
      <w:lvlText w:val="%2."/>
      <w:lvlJc w:val="left"/>
      <w:pPr>
        <w:tabs>
          <w:tab w:val="num" w:pos="1085"/>
        </w:tabs>
        <w:ind w:left="1085" w:hanging="360"/>
      </w:pPr>
      <w:rPr>
        <w:rFonts w:cs="Times New Roman"/>
      </w:rPr>
    </w:lvl>
    <w:lvl w:ilvl="2" w:tplc="0415001B" w:tentative="1">
      <w:start w:val="1"/>
      <w:numFmt w:val="lowerRoman"/>
      <w:lvlText w:val="%3."/>
      <w:lvlJc w:val="right"/>
      <w:pPr>
        <w:tabs>
          <w:tab w:val="num" w:pos="1805"/>
        </w:tabs>
        <w:ind w:left="1805" w:hanging="180"/>
      </w:pPr>
      <w:rPr>
        <w:rFonts w:cs="Times New Roman"/>
      </w:rPr>
    </w:lvl>
    <w:lvl w:ilvl="3" w:tplc="0415000F" w:tentative="1">
      <w:start w:val="1"/>
      <w:numFmt w:val="decimal"/>
      <w:lvlText w:val="%4."/>
      <w:lvlJc w:val="left"/>
      <w:pPr>
        <w:tabs>
          <w:tab w:val="num" w:pos="2525"/>
        </w:tabs>
        <w:ind w:left="2525" w:hanging="360"/>
      </w:pPr>
      <w:rPr>
        <w:rFonts w:cs="Times New Roman"/>
      </w:rPr>
    </w:lvl>
    <w:lvl w:ilvl="4" w:tplc="04150019" w:tentative="1">
      <w:start w:val="1"/>
      <w:numFmt w:val="lowerLetter"/>
      <w:lvlText w:val="%5."/>
      <w:lvlJc w:val="left"/>
      <w:pPr>
        <w:tabs>
          <w:tab w:val="num" w:pos="3245"/>
        </w:tabs>
        <w:ind w:left="3245" w:hanging="360"/>
      </w:pPr>
      <w:rPr>
        <w:rFonts w:cs="Times New Roman"/>
      </w:rPr>
    </w:lvl>
    <w:lvl w:ilvl="5" w:tplc="0415001B" w:tentative="1">
      <w:start w:val="1"/>
      <w:numFmt w:val="lowerRoman"/>
      <w:lvlText w:val="%6."/>
      <w:lvlJc w:val="right"/>
      <w:pPr>
        <w:tabs>
          <w:tab w:val="num" w:pos="3965"/>
        </w:tabs>
        <w:ind w:left="3965" w:hanging="180"/>
      </w:pPr>
      <w:rPr>
        <w:rFonts w:cs="Times New Roman"/>
      </w:rPr>
    </w:lvl>
    <w:lvl w:ilvl="6" w:tplc="0415000F" w:tentative="1">
      <w:start w:val="1"/>
      <w:numFmt w:val="decimal"/>
      <w:lvlText w:val="%7."/>
      <w:lvlJc w:val="left"/>
      <w:pPr>
        <w:tabs>
          <w:tab w:val="num" w:pos="4685"/>
        </w:tabs>
        <w:ind w:left="4685" w:hanging="360"/>
      </w:pPr>
      <w:rPr>
        <w:rFonts w:cs="Times New Roman"/>
      </w:rPr>
    </w:lvl>
    <w:lvl w:ilvl="7" w:tplc="04150019" w:tentative="1">
      <w:start w:val="1"/>
      <w:numFmt w:val="lowerLetter"/>
      <w:lvlText w:val="%8."/>
      <w:lvlJc w:val="left"/>
      <w:pPr>
        <w:tabs>
          <w:tab w:val="num" w:pos="5405"/>
        </w:tabs>
        <w:ind w:left="5405" w:hanging="360"/>
      </w:pPr>
      <w:rPr>
        <w:rFonts w:cs="Times New Roman"/>
      </w:rPr>
    </w:lvl>
    <w:lvl w:ilvl="8" w:tplc="0415001B" w:tentative="1">
      <w:start w:val="1"/>
      <w:numFmt w:val="lowerRoman"/>
      <w:lvlText w:val="%9."/>
      <w:lvlJc w:val="right"/>
      <w:pPr>
        <w:tabs>
          <w:tab w:val="num" w:pos="6125"/>
        </w:tabs>
        <w:ind w:left="6125" w:hanging="180"/>
      </w:pPr>
      <w:rPr>
        <w:rFonts w:cs="Times New Roman"/>
      </w:rPr>
    </w:lvl>
  </w:abstractNum>
  <w:abstractNum w:abstractNumId="31" w15:restartNumberingAfterBreak="0">
    <w:nsid w:val="68695D06"/>
    <w:multiLevelType w:val="hybridMultilevel"/>
    <w:tmpl w:val="912004B8"/>
    <w:lvl w:ilvl="0" w:tplc="A0488C22">
      <w:start w:val="4"/>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A15B4"/>
    <w:multiLevelType w:val="hybridMultilevel"/>
    <w:tmpl w:val="784EA8AC"/>
    <w:lvl w:ilvl="0" w:tplc="A0488C22">
      <w:start w:val="4"/>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6BBE1F5C"/>
    <w:multiLevelType w:val="multilevel"/>
    <w:tmpl w:val="664E3F84"/>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6E882F41"/>
    <w:multiLevelType w:val="multilevel"/>
    <w:tmpl w:val="0562C4F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A320D"/>
    <w:multiLevelType w:val="multilevel"/>
    <w:tmpl w:val="8E0E202A"/>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2A203E3"/>
    <w:multiLevelType w:val="multilevel"/>
    <w:tmpl w:val="9CF00EAC"/>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76597364"/>
    <w:multiLevelType w:val="hybridMultilevel"/>
    <w:tmpl w:val="DB36555A"/>
    <w:lvl w:ilvl="0" w:tplc="040E0001">
      <w:start w:val="1"/>
      <w:numFmt w:val="decimal"/>
      <w:lvlText w:val="%1."/>
      <w:lvlJc w:val="left"/>
      <w:pPr>
        <w:ind w:left="927" w:hanging="360"/>
      </w:pPr>
      <w:rPr>
        <w:rFonts w:cs="Times New Roman" w:hint="default"/>
      </w:rPr>
    </w:lvl>
    <w:lvl w:ilvl="1" w:tplc="0F105AD6" w:tentative="1">
      <w:start w:val="1"/>
      <w:numFmt w:val="lowerLetter"/>
      <w:lvlText w:val="%2."/>
      <w:lvlJc w:val="left"/>
      <w:pPr>
        <w:ind w:left="1647" w:hanging="360"/>
      </w:pPr>
      <w:rPr>
        <w:rFonts w:cs="Times New Roman"/>
      </w:rPr>
    </w:lvl>
    <w:lvl w:ilvl="2" w:tplc="040E0005" w:tentative="1">
      <w:start w:val="1"/>
      <w:numFmt w:val="lowerRoman"/>
      <w:lvlText w:val="%3."/>
      <w:lvlJc w:val="right"/>
      <w:pPr>
        <w:ind w:left="2367" w:hanging="180"/>
      </w:pPr>
      <w:rPr>
        <w:rFonts w:cs="Times New Roman"/>
      </w:rPr>
    </w:lvl>
    <w:lvl w:ilvl="3" w:tplc="040E0001" w:tentative="1">
      <w:start w:val="1"/>
      <w:numFmt w:val="decimal"/>
      <w:lvlText w:val="%4."/>
      <w:lvlJc w:val="left"/>
      <w:pPr>
        <w:ind w:left="3087" w:hanging="360"/>
      </w:pPr>
      <w:rPr>
        <w:rFonts w:cs="Times New Roman"/>
      </w:rPr>
    </w:lvl>
    <w:lvl w:ilvl="4" w:tplc="040E0003" w:tentative="1">
      <w:start w:val="1"/>
      <w:numFmt w:val="lowerLetter"/>
      <w:lvlText w:val="%5."/>
      <w:lvlJc w:val="left"/>
      <w:pPr>
        <w:ind w:left="3807" w:hanging="360"/>
      </w:pPr>
      <w:rPr>
        <w:rFonts w:cs="Times New Roman"/>
      </w:rPr>
    </w:lvl>
    <w:lvl w:ilvl="5" w:tplc="040E0005" w:tentative="1">
      <w:start w:val="1"/>
      <w:numFmt w:val="lowerRoman"/>
      <w:lvlText w:val="%6."/>
      <w:lvlJc w:val="right"/>
      <w:pPr>
        <w:ind w:left="4527" w:hanging="180"/>
      </w:pPr>
      <w:rPr>
        <w:rFonts w:cs="Times New Roman"/>
      </w:rPr>
    </w:lvl>
    <w:lvl w:ilvl="6" w:tplc="040E0001" w:tentative="1">
      <w:start w:val="1"/>
      <w:numFmt w:val="decimal"/>
      <w:lvlText w:val="%7."/>
      <w:lvlJc w:val="left"/>
      <w:pPr>
        <w:ind w:left="5247" w:hanging="360"/>
      </w:pPr>
      <w:rPr>
        <w:rFonts w:cs="Times New Roman"/>
      </w:rPr>
    </w:lvl>
    <w:lvl w:ilvl="7" w:tplc="040E0003" w:tentative="1">
      <w:start w:val="1"/>
      <w:numFmt w:val="lowerLetter"/>
      <w:lvlText w:val="%8."/>
      <w:lvlJc w:val="left"/>
      <w:pPr>
        <w:ind w:left="5967" w:hanging="360"/>
      </w:pPr>
      <w:rPr>
        <w:rFonts w:cs="Times New Roman"/>
      </w:rPr>
    </w:lvl>
    <w:lvl w:ilvl="8" w:tplc="040E0005" w:tentative="1">
      <w:start w:val="1"/>
      <w:numFmt w:val="lowerRoman"/>
      <w:lvlText w:val="%9."/>
      <w:lvlJc w:val="right"/>
      <w:pPr>
        <w:ind w:left="6687" w:hanging="180"/>
      </w:pPr>
      <w:rPr>
        <w:rFonts w:cs="Times New Roman"/>
      </w:rPr>
    </w:lvl>
  </w:abstractNum>
  <w:abstractNum w:abstractNumId="40" w15:restartNumberingAfterBreak="0">
    <w:nsid w:val="7957443B"/>
    <w:multiLevelType w:val="multilevel"/>
    <w:tmpl w:val="78FCFB1A"/>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D445C87"/>
    <w:multiLevelType w:val="hybridMultilevel"/>
    <w:tmpl w:val="214A9B1C"/>
    <w:lvl w:ilvl="0" w:tplc="D304D5D8">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9"/>
  </w:num>
  <w:num w:numId="3">
    <w:abstractNumId w:val="18"/>
  </w:num>
  <w:num w:numId="4">
    <w:abstractNumId w:val="8"/>
  </w:num>
  <w:num w:numId="5">
    <w:abstractNumId w:val="0"/>
  </w:num>
  <w:num w:numId="6">
    <w:abstractNumId w:val="0"/>
    <w:lvlOverride w:ilvl="0">
      <w:lvl w:ilvl="0">
        <w:numFmt w:val="bullet"/>
        <w:lvlText w:val="-"/>
        <w:lvlJc w:val="left"/>
        <w:pPr>
          <w:ind w:left="360" w:hanging="360"/>
        </w:pPr>
      </w:lvl>
    </w:lvlOverride>
  </w:num>
  <w:num w:numId="7">
    <w:abstractNumId w:val="2"/>
  </w:num>
  <w:num w:numId="8">
    <w:abstractNumId w:val="41"/>
  </w:num>
  <w:num w:numId="9">
    <w:abstractNumId w:val="15"/>
  </w:num>
  <w:num w:numId="10">
    <w:abstractNumId w:val="0"/>
    <w:lvlOverride w:ilvl="0">
      <w:lvl w:ilvl="0">
        <w:start w:val="1"/>
        <w:numFmt w:val="bullet"/>
        <w:lvlText w:val="-"/>
        <w:legacy w:legacy="1" w:legacySpace="0" w:legacyIndent="360"/>
        <w:lvlJc w:val="left"/>
        <w:pPr>
          <w:ind w:left="360" w:hanging="360"/>
        </w:pPr>
      </w:lvl>
    </w:lvlOverride>
  </w:num>
  <w:num w:numId="11">
    <w:abstractNumId w:val="33"/>
  </w:num>
  <w:num w:numId="12">
    <w:abstractNumId w:val="42"/>
  </w:num>
  <w:num w:numId="13">
    <w:abstractNumId w:val="3"/>
  </w:num>
  <w:num w:numId="14">
    <w:abstractNumId w:val="25"/>
  </w:num>
  <w:num w:numId="15">
    <w:abstractNumId w:val="21"/>
  </w:num>
  <w:num w:numId="16">
    <w:abstractNumId w:val="39"/>
  </w:num>
  <w:num w:numId="17">
    <w:abstractNumId w:val="24"/>
  </w:num>
  <w:num w:numId="18">
    <w:abstractNumId w:val="11"/>
  </w:num>
  <w:num w:numId="19">
    <w:abstractNumId w:val="27"/>
  </w:num>
  <w:num w:numId="20">
    <w:abstractNumId w:val="16"/>
  </w:num>
  <w:num w:numId="21">
    <w:abstractNumId w:val="6"/>
  </w:num>
  <w:num w:numId="22">
    <w:abstractNumId w:val="29"/>
  </w:num>
  <w:num w:numId="23">
    <w:abstractNumId w:val="5"/>
  </w:num>
  <w:num w:numId="24">
    <w:abstractNumId w:val="36"/>
  </w:num>
  <w:num w:numId="25">
    <w:abstractNumId w:val="3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0"/>
  </w:num>
  <w:num w:numId="35">
    <w:abstractNumId w:val="35"/>
  </w:num>
  <w:num w:numId="36">
    <w:abstractNumId w:val="37"/>
  </w:num>
  <w:num w:numId="37">
    <w:abstractNumId w:val="7"/>
  </w:num>
  <w:num w:numId="38">
    <w:abstractNumId w:val="13"/>
  </w:num>
  <w:num w:numId="39">
    <w:abstractNumId w:val="4"/>
  </w:num>
  <w:num w:numId="40">
    <w:abstractNumId w:val="10"/>
  </w:num>
  <w:num w:numId="41">
    <w:abstractNumId w:val="22"/>
  </w:num>
  <w:num w:numId="42">
    <w:abstractNumId w:val="30"/>
  </w:num>
  <w:num w:numId="43">
    <w:abstractNumId w:val="28"/>
  </w:num>
  <w:num w:numId="44">
    <w:abstractNumId w:val="12"/>
  </w:num>
  <w:num w:numId="45">
    <w:abstractNumId w:val="3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3tAoTYZkuNWFrYdP+ImFhA0XeOQH4V7VrdwBny3y7jqZ4BX0qnPDJ7JsCMny4OqqfEamR9/xDOS3/EAnl2zYw==" w:salt="pvP1MG1anvquDnz59E3Z8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90"/>
    <w:rsid w:val="00012BAC"/>
    <w:rsid w:val="000730B8"/>
    <w:rsid w:val="000F5514"/>
    <w:rsid w:val="001818F4"/>
    <w:rsid w:val="001D596C"/>
    <w:rsid w:val="002042BC"/>
    <w:rsid w:val="00257A87"/>
    <w:rsid w:val="00390AA0"/>
    <w:rsid w:val="003A6561"/>
    <w:rsid w:val="004E24AC"/>
    <w:rsid w:val="005B5307"/>
    <w:rsid w:val="00655FB0"/>
    <w:rsid w:val="006A04E3"/>
    <w:rsid w:val="007229F1"/>
    <w:rsid w:val="0074412A"/>
    <w:rsid w:val="007449CB"/>
    <w:rsid w:val="0081226B"/>
    <w:rsid w:val="00887FCE"/>
    <w:rsid w:val="008D1A91"/>
    <w:rsid w:val="008F5879"/>
    <w:rsid w:val="009B4D79"/>
    <w:rsid w:val="009E3290"/>
    <w:rsid w:val="00A62880"/>
    <w:rsid w:val="00B01E83"/>
    <w:rsid w:val="00B87759"/>
    <w:rsid w:val="00BD343E"/>
    <w:rsid w:val="00DA32C5"/>
    <w:rsid w:val="00E313F5"/>
    <w:rsid w:val="00E3225E"/>
    <w:rsid w:val="00E51BDC"/>
    <w:rsid w:val="00F91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749C3611-EE90-4CE5-9306-1EAC0F27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3290"/>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uiPriority w:val="99"/>
    <w:qFormat/>
    <w:rsid w:val="009E3290"/>
    <w:pPr>
      <w:keepNext/>
      <w:outlineLvl w:val="0"/>
    </w:pPr>
    <w:rPr>
      <w:rFonts w:ascii="Times New Roman" w:hAnsi="Times New Roman" w:cs="Times New Roman"/>
      <w:sz w:val="28"/>
      <w:lang w:val="lt-LT" w:eastAsia="x-none"/>
    </w:rPr>
  </w:style>
  <w:style w:type="paragraph" w:styleId="Antrat2">
    <w:name w:val="heading 2"/>
    <w:basedOn w:val="prastasis"/>
    <w:next w:val="prastasis"/>
    <w:link w:val="Antrat2Diagrama"/>
    <w:uiPriority w:val="99"/>
    <w:qFormat/>
    <w:rsid w:val="009E3290"/>
    <w:pPr>
      <w:keepNext/>
      <w:jc w:val="center"/>
      <w:outlineLvl w:val="1"/>
    </w:pPr>
    <w:rPr>
      <w:rFonts w:ascii="Times New Roman" w:hAnsi="Times New Roman" w:cs="Times New Roman"/>
      <w:sz w:val="28"/>
      <w:lang w:val="lt-LT" w:eastAsia="x-none"/>
    </w:rPr>
  </w:style>
  <w:style w:type="paragraph" w:styleId="Antrat3">
    <w:name w:val="heading 3"/>
    <w:basedOn w:val="prastasis"/>
    <w:next w:val="prastasis"/>
    <w:link w:val="Antrat3Diagrama"/>
    <w:uiPriority w:val="99"/>
    <w:unhideWhenUsed/>
    <w:qFormat/>
    <w:rsid w:val="009E3290"/>
    <w:pPr>
      <w:keepNext/>
      <w:spacing w:before="240" w:after="60"/>
      <w:outlineLvl w:val="2"/>
    </w:pPr>
    <w:rPr>
      <w:rFonts w:ascii="Calibri Light" w:hAnsi="Calibri Light" w:cs="Times New Roman"/>
      <w:b/>
      <w:bCs/>
      <w:sz w:val="26"/>
      <w:szCs w:val="26"/>
      <w:lang w:val="x-none" w:eastAsia="x-none"/>
    </w:rPr>
  </w:style>
  <w:style w:type="paragraph" w:styleId="Antrat4">
    <w:name w:val="heading 4"/>
    <w:basedOn w:val="prastasis"/>
    <w:next w:val="prastasis"/>
    <w:link w:val="Antrat4Diagrama"/>
    <w:uiPriority w:val="99"/>
    <w:unhideWhenUsed/>
    <w:qFormat/>
    <w:rsid w:val="009E3290"/>
    <w:pPr>
      <w:keepNext/>
      <w:spacing w:before="240" w:after="60"/>
      <w:outlineLvl w:val="3"/>
    </w:pPr>
    <w:rPr>
      <w:rFonts w:ascii="Calibri" w:hAnsi="Calibri" w:cs="Times New Roman"/>
      <w:b/>
      <w:bCs/>
      <w:sz w:val="28"/>
      <w:szCs w:val="28"/>
      <w:lang w:val="x-none" w:eastAsia="x-none"/>
    </w:rPr>
  </w:style>
  <w:style w:type="paragraph" w:styleId="Antrat5">
    <w:name w:val="heading 5"/>
    <w:basedOn w:val="prastasis"/>
    <w:next w:val="prastasis"/>
    <w:link w:val="Antrat5Diagrama"/>
    <w:uiPriority w:val="99"/>
    <w:unhideWhenUsed/>
    <w:qFormat/>
    <w:rsid w:val="009E3290"/>
    <w:pPr>
      <w:keepNext/>
      <w:jc w:val="both"/>
      <w:outlineLvl w:val="4"/>
    </w:pPr>
    <w:rPr>
      <w:rFonts w:ascii="Times New Roman" w:hAnsi="Times New Roman" w:cs="Times New Roman"/>
      <w:b/>
      <w:bCs/>
      <w:sz w:val="22"/>
      <w:szCs w:val="24"/>
      <w:lang w:val="lt-LT" w:eastAsia="x-none"/>
    </w:rPr>
  </w:style>
  <w:style w:type="paragraph" w:styleId="Antrat6">
    <w:name w:val="heading 6"/>
    <w:basedOn w:val="prastasis"/>
    <w:next w:val="prastasis"/>
    <w:link w:val="Antrat6Diagrama"/>
    <w:uiPriority w:val="99"/>
    <w:unhideWhenUsed/>
    <w:qFormat/>
    <w:rsid w:val="009E3290"/>
    <w:pPr>
      <w:keepNext/>
      <w:jc w:val="both"/>
      <w:outlineLvl w:val="5"/>
    </w:pPr>
    <w:rPr>
      <w:rFonts w:ascii="Times New Roman" w:hAnsi="Times New Roman" w:cs="Times New Roman"/>
      <w:b/>
      <w:bCs/>
      <w:szCs w:val="22"/>
      <w:lang w:val="en-GB" w:eastAsia="x-none"/>
    </w:rPr>
  </w:style>
  <w:style w:type="paragraph" w:styleId="Antrat7">
    <w:name w:val="heading 7"/>
    <w:basedOn w:val="prastasis"/>
    <w:next w:val="prastasis"/>
    <w:link w:val="Antrat7Diagrama"/>
    <w:uiPriority w:val="99"/>
    <w:unhideWhenUsed/>
    <w:qFormat/>
    <w:rsid w:val="009E3290"/>
    <w:pPr>
      <w:spacing w:before="240" w:after="60"/>
      <w:outlineLvl w:val="6"/>
    </w:pPr>
    <w:rPr>
      <w:rFonts w:ascii="Times New Roman" w:hAnsi="Times New Roman" w:cs="Times New Roman"/>
      <w:szCs w:val="24"/>
      <w:lang w:val="en-GB" w:eastAsia="x-none"/>
    </w:rPr>
  </w:style>
  <w:style w:type="paragraph" w:styleId="Antrat8">
    <w:name w:val="heading 8"/>
    <w:basedOn w:val="prastasis"/>
    <w:next w:val="prastasis"/>
    <w:link w:val="Antrat8Diagrama"/>
    <w:uiPriority w:val="99"/>
    <w:unhideWhenUsed/>
    <w:qFormat/>
    <w:rsid w:val="009E3290"/>
    <w:pPr>
      <w:spacing w:before="240" w:after="60"/>
      <w:outlineLvl w:val="7"/>
    </w:pPr>
    <w:rPr>
      <w:rFonts w:ascii="Times New Roman" w:hAnsi="Times New Roman" w:cs="Times New Roman"/>
      <w:i/>
      <w:iCs/>
      <w:szCs w:val="24"/>
      <w:lang w:val="en-GB" w:eastAsia="x-none"/>
    </w:rPr>
  </w:style>
  <w:style w:type="paragraph" w:styleId="Antrat9">
    <w:name w:val="heading 9"/>
    <w:basedOn w:val="prastasis"/>
    <w:next w:val="prastasis"/>
    <w:link w:val="Antrat9Diagrama"/>
    <w:uiPriority w:val="99"/>
    <w:unhideWhenUsed/>
    <w:qFormat/>
    <w:rsid w:val="009E3290"/>
    <w:pPr>
      <w:spacing w:before="240" w:after="60"/>
      <w:outlineLvl w:val="8"/>
    </w:pPr>
    <w:rPr>
      <w:rFonts w:ascii="Arial" w:hAnsi="Arial" w:cs="Times New Roman"/>
      <w:sz w:val="22"/>
      <w:szCs w:val="22"/>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E3290"/>
    <w:rPr>
      <w:rFonts w:ascii="Times New Roman" w:eastAsia="Times New Roman" w:hAnsi="Times New Roman" w:cs="Times New Roman"/>
      <w:sz w:val="28"/>
      <w:szCs w:val="20"/>
      <w:lang w:val="lt-LT" w:eastAsia="x-none"/>
    </w:rPr>
  </w:style>
  <w:style w:type="character" w:customStyle="1" w:styleId="Antrat2Diagrama">
    <w:name w:val="Antraštė 2 Diagrama"/>
    <w:link w:val="Antrat2"/>
    <w:uiPriority w:val="99"/>
    <w:rsid w:val="009E3290"/>
    <w:rPr>
      <w:rFonts w:ascii="Times New Roman" w:eastAsia="Times New Roman" w:hAnsi="Times New Roman" w:cs="Times New Roman"/>
      <w:sz w:val="28"/>
      <w:szCs w:val="20"/>
      <w:lang w:val="lt-LT" w:eastAsia="x-none"/>
    </w:rPr>
  </w:style>
  <w:style w:type="character" w:customStyle="1" w:styleId="Antrat3Diagrama">
    <w:name w:val="Antraštė 3 Diagrama"/>
    <w:link w:val="Antrat3"/>
    <w:uiPriority w:val="99"/>
    <w:rsid w:val="009E3290"/>
    <w:rPr>
      <w:rFonts w:ascii="Calibri Light" w:eastAsia="Times New Roman" w:hAnsi="Calibri Light" w:cs="Times New Roman"/>
      <w:b/>
      <w:bCs/>
      <w:sz w:val="26"/>
      <w:szCs w:val="26"/>
      <w:lang w:val="x-none" w:eastAsia="x-none"/>
    </w:rPr>
  </w:style>
  <w:style w:type="character" w:customStyle="1" w:styleId="Antrat4Diagrama">
    <w:name w:val="Antraštė 4 Diagrama"/>
    <w:link w:val="Antrat4"/>
    <w:uiPriority w:val="99"/>
    <w:rsid w:val="009E3290"/>
    <w:rPr>
      <w:rFonts w:ascii="Calibri" w:eastAsia="Times New Roman" w:hAnsi="Calibri" w:cs="Times New Roman"/>
      <w:b/>
      <w:bCs/>
      <w:sz w:val="28"/>
      <w:szCs w:val="28"/>
      <w:lang w:val="x-none" w:eastAsia="x-none"/>
    </w:rPr>
  </w:style>
  <w:style w:type="character" w:customStyle="1" w:styleId="Antrat5Diagrama">
    <w:name w:val="Antraštė 5 Diagrama"/>
    <w:link w:val="Antrat5"/>
    <w:uiPriority w:val="99"/>
    <w:rsid w:val="009E3290"/>
    <w:rPr>
      <w:rFonts w:ascii="Times New Roman" w:eastAsia="Times New Roman" w:hAnsi="Times New Roman" w:cs="Times New Roman"/>
      <w:b/>
      <w:bCs/>
      <w:szCs w:val="24"/>
      <w:lang w:val="lt-LT" w:eastAsia="x-none"/>
    </w:rPr>
  </w:style>
  <w:style w:type="character" w:customStyle="1" w:styleId="Antrat6Diagrama">
    <w:name w:val="Antraštė 6 Diagrama"/>
    <w:link w:val="Antrat6"/>
    <w:uiPriority w:val="99"/>
    <w:rsid w:val="009E3290"/>
    <w:rPr>
      <w:rFonts w:ascii="Times New Roman" w:eastAsia="Times New Roman" w:hAnsi="Times New Roman" w:cs="Times New Roman"/>
      <w:b/>
      <w:bCs/>
      <w:sz w:val="24"/>
      <w:lang w:val="en-GB" w:eastAsia="x-none"/>
    </w:rPr>
  </w:style>
  <w:style w:type="character" w:customStyle="1" w:styleId="Antrat7Diagrama">
    <w:name w:val="Antraštė 7 Diagrama"/>
    <w:link w:val="Antrat7"/>
    <w:uiPriority w:val="99"/>
    <w:rsid w:val="009E3290"/>
    <w:rPr>
      <w:rFonts w:ascii="Times New Roman" w:eastAsia="Times New Roman" w:hAnsi="Times New Roman" w:cs="Times New Roman"/>
      <w:sz w:val="24"/>
      <w:szCs w:val="24"/>
      <w:lang w:val="en-GB" w:eastAsia="x-none"/>
    </w:rPr>
  </w:style>
  <w:style w:type="character" w:customStyle="1" w:styleId="Antrat8Diagrama">
    <w:name w:val="Antraštė 8 Diagrama"/>
    <w:link w:val="Antrat8"/>
    <w:uiPriority w:val="99"/>
    <w:rsid w:val="009E3290"/>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uiPriority w:val="99"/>
    <w:rsid w:val="009E3290"/>
    <w:rPr>
      <w:rFonts w:ascii="Arial" w:eastAsia="Times New Roman" w:hAnsi="Arial" w:cs="Times New Roman"/>
      <w:lang w:val="en-GB" w:eastAsia="x-none"/>
    </w:rPr>
  </w:style>
  <w:style w:type="paragraph" w:styleId="Pagrindinistekstas">
    <w:name w:val="Body Text"/>
    <w:aliases w:val="Body Text Char Char Char"/>
    <w:basedOn w:val="prastasis"/>
    <w:link w:val="PagrindinistekstasDiagrama"/>
    <w:rsid w:val="009E3290"/>
    <w:rPr>
      <w:rFonts w:ascii="Times New Roman" w:hAnsi="Times New Roman" w:cs="Times New Roman"/>
      <w:sz w:val="28"/>
      <w:lang w:val="lt-LT" w:eastAsia="x-none"/>
    </w:rPr>
  </w:style>
  <w:style w:type="character" w:customStyle="1" w:styleId="PagrindinistekstasDiagrama">
    <w:name w:val="Pagrindinis tekstas Diagrama"/>
    <w:aliases w:val="Body Text Char Char Char Diagrama"/>
    <w:link w:val="Pagrindinistekstas"/>
    <w:uiPriority w:val="99"/>
    <w:rsid w:val="009E3290"/>
    <w:rPr>
      <w:rFonts w:ascii="Times New Roman" w:eastAsia="Times New Roman" w:hAnsi="Times New Roman" w:cs="Times New Roman"/>
      <w:sz w:val="28"/>
      <w:szCs w:val="20"/>
      <w:lang w:val="lt-LT" w:eastAsia="x-none"/>
    </w:rPr>
  </w:style>
  <w:style w:type="character" w:styleId="Hipersaitas">
    <w:name w:val="Hyperlink"/>
    <w:uiPriority w:val="99"/>
    <w:unhideWhenUsed/>
    <w:rsid w:val="009E3290"/>
    <w:rPr>
      <w:color w:val="0000FF"/>
      <w:u w:val="single"/>
    </w:rPr>
  </w:style>
  <w:style w:type="character" w:styleId="Perirtashipersaitas">
    <w:name w:val="FollowedHyperlink"/>
    <w:uiPriority w:val="99"/>
    <w:semiHidden/>
    <w:unhideWhenUsed/>
    <w:rsid w:val="009E3290"/>
    <w:rPr>
      <w:color w:val="954F72"/>
      <w:u w:val="single"/>
    </w:rPr>
  </w:style>
  <w:style w:type="paragraph" w:styleId="Komentarotekstas">
    <w:name w:val="annotation text"/>
    <w:basedOn w:val="prastasis"/>
    <w:link w:val="KomentarotekstasDiagrama"/>
    <w:uiPriority w:val="99"/>
    <w:unhideWhenUsed/>
    <w:rsid w:val="009E3290"/>
    <w:rPr>
      <w:rFonts w:ascii="Times New Roman" w:hAnsi="Times New Roman" w:cs="Times New Roman"/>
      <w:sz w:val="20"/>
      <w:lang w:val="lt-LT" w:eastAsia="x-none"/>
    </w:rPr>
  </w:style>
  <w:style w:type="character" w:customStyle="1" w:styleId="KomentarotekstasDiagrama">
    <w:name w:val="Komentaro tekstas Diagrama"/>
    <w:link w:val="Komentarotekstas"/>
    <w:uiPriority w:val="99"/>
    <w:rsid w:val="009E3290"/>
    <w:rPr>
      <w:rFonts w:ascii="Times New Roman" w:eastAsia="Times New Roman" w:hAnsi="Times New Roman" w:cs="Times New Roman"/>
      <w:sz w:val="20"/>
      <w:szCs w:val="20"/>
      <w:lang w:val="lt-LT" w:eastAsia="x-none"/>
    </w:rPr>
  </w:style>
  <w:style w:type="paragraph" w:styleId="Antrats">
    <w:name w:val="header"/>
    <w:basedOn w:val="prastasis"/>
    <w:link w:val="AntratsDiagrama"/>
    <w:uiPriority w:val="99"/>
    <w:unhideWhenUsed/>
    <w:rsid w:val="009E3290"/>
    <w:pPr>
      <w:tabs>
        <w:tab w:val="center" w:pos="4819"/>
        <w:tab w:val="right" w:pos="9638"/>
      </w:tabs>
    </w:pPr>
    <w:rPr>
      <w:rFonts w:ascii="Verdana" w:hAnsi="Verdana" w:cs="Times New Roman"/>
      <w:sz w:val="20"/>
      <w:szCs w:val="24"/>
      <w:lang w:val="en-GB" w:eastAsia="x-none"/>
    </w:rPr>
  </w:style>
  <w:style w:type="character" w:customStyle="1" w:styleId="AntratsDiagrama">
    <w:name w:val="Antraštės Diagrama"/>
    <w:link w:val="Antrats"/>
    <w:uiPriority w:val="99"/>
    <w:rsid w:val="009E3290"/>
    <w:rPr>
      <w:rFonts w:ascii="Verdana" w:eastAsia="Times New Roman" w:hAnsi="Verdana" w:cs="Times New Roman"/>
      <w:sz w:val="20"/>
      <w:szCs w:val="24"/>
      <w:lang w:val="en-GB" w:eastAsia="x-none"/>
    </w:rPr>
  </w:style>
  <w:style w:type="paragraph" w:styleId="Porat">
    <w:name w:val="footer"/>
    <w:basedOn w:val="prastasis"/>
    <w:link w:val="PoratDiagrama"/>
    <w:uiPriority w:val="99"/>
    <w:unhideWhenUsed/>
    <w:rsid w:val="009E3290"/>
    <w:pPr>
      <w:tabs>
        <w:tab w:val="center" w:pos="4819"/>
        <w:tab w:val="right" w:pos="9638"/>
      </w:tabs>
    </w:pPr>
    <w:rPr>
      <w:rFonts w:ascii="Verdana" w:hAnsi="Verdana" w:cs="Times New Roman"/>
      <w:sz w:val="20"/>
      <w:szCs w:val="24"/>
      <w:lang w:val="en-GB" w:eastAsia="x-none"/>
    </w:rPr>
  </w:style>
  <w:style w:type="character" w:customStyle="1" w:styleId="PoratDiagrama">
    <w:name w:val="Poraštė Diagrama"/>
    <w:link w:val="Porat"/>
    <w:uiPriority w:val="99"/>
    <w:rsid w:val="009E3290"/>
    <w:rPr>
      <w:rFonts w:ascii="Verdana" w:eastAsia="Times New Roman" w:hAnsi="Verdana" w:cs="Times New Roman"/>
      <w:sz w:val="20"/>
      <w:szCs w:val="24"/>
      <w:lang w:val="en-GB" w:eastAsia="x-none"/>
    </w:rPr>
  </w:style>
  <w:style w:type="paragraph" w:styleId="Adresasantvoko">
    <w:name w:val="envelope address"/>
    <w:basedOn w:val="prastasis"/>
    <w:uiPriority w:val="99"/>
    <w:unhideWhenUsed/>
    <w:rsid w:val="009E3290"/>
    <w:pPr>
      <w:framePr w:w="7920" w:h="1980" w:hSpace="180" w:wrap="auto" w:hAnchor="page" w:xAlign="center" w:yAlign="bottom"/>
      <w:ind w:left="2880"/>
    </w:pPr>
    <w:rPr>
      <w:rFonts w:ascii="Arial" w:hAnsi="Arial" w:cs="Times New Roman"/>
      <w:b/>
      <w:sz w:val="28"/>
      <w:szCs w:val="24"/>
      <w:lang w:val="en-GB"/>
    </w:rPr>
  </w:style>
  <w:style w:type="paragraph" w:styleId="Vokoatgalinisadresas">
    <w:name w:val="envelope return"/>
    <w:basedOn w:val="prastasis"/>
    <w:uiPriority w:val="99"/>
    <w:unhideWhenUsed/>
    <w:rsid w:val="009E3290"/>
    <w:rPr>
      <w:rFonts w:ascii="Arial" w:hAnsi="Arial" w:cs="Times New Roman"/>
      <w:b/>
      <w:sz w:val="28"/>
      <w:szCs w:val="24"/>
      <w:lang w:val="en-GB"/>
    </w:rPr>
  </w:style>
  <w:style w:type="paragraph" w:styleId="Dokumentoinaostekstas">
    <w:name w:val="endnote text"/>
    <w:basedOn w:val="prastasis"/>
    <w:link w:val="DokumentoinaostekstasDiagrama"/>
    <w:uiPriority w:val="99"/>
    <w:unhideWhenUsed/>
    <w:rsid w:val="009E3290"/>
    <w:pPr>
      <w:tabs>
        <w:tab w:val="left" w:pos="567"/>
      </w:tabs>
    </w:pPr>
    <w:rPr>
      <w:rFonts w:ascii="Times New Roman" w:hAnsi="Times New Roman" w:cs="Times New Roman"/>
      <w:sz w:val="22"/>
      <w:lang w:val="en-GB" w:eastAsia="x-none"/>
    </w:rPr>
  </w:style>
  <w:style w:type="character" w:customStyle="1" w:styleId="DokumentoinaostekstasDiagrama">
    <w:name w:val="Dokumento išnašos tekstas Diagrama"/>
    <w:link w:val="Dokumentoinaostekstas"/>
    <w:uiPriority w:val="99"/>
    <w:rsid w:val="009E3290"/>
    <w:rPr>
      <w:rFonts w:ascii="Times New Roman" w:eastAsia="Times New Roman" w:hAnsi="Times New Roman" w:cs="Times New Roman"/>
      <w:szCs w:val="20"/>
      <w:lang w:val="en-GB" w:eastAsia="x-none"/>
    </w:rPr>
  </w:style>
  <w:style w:type="paragraph" w:styleId="Pavadinimas">
    <w:name w:val="Title"/>
    <w:basedOn w:val="prastasis"/>
    <w:link w:val="PavadinimasDiagrama"/>
    <w:uiPriority w:val="99"/>
    <w:qFormat/>
    <w:rsid w:val="009E3290"/>
    <w:pPr>
      <w:jc w:val="center"/>
    </w:pPr>
    <w:rPr>
      <w:rFonts w:ascii="Verdana" w:hAnsi="Verdana" w:cs="Times New Roman"/>
      <w:sz w:val="28"/>
      <w:lang w:val="en-GB" w:eastAsia="x-none"/>
    </w:rPr>
  </w:style>
  <w:style w:type="character" w:customStyle="1" w:styleId="PavadinimasDiagrama">
    <w:name w:val="Pavadinimas Diagrama"/>
    <w:link w:val="Pavadinimas"/>
    <w:uiPriority w:val="99"/>
    <w:rsid w:val="009E3290"/>
    <w:rPr>
      <w:rFonts w:ascii="Verdana" w:eastAsia="Times New Roman" w:hAnsi="Verdana" w:cs="Times New Roman"/>
      <w:sz w:val="28"/>
      <w:szCs w:val="20"/>
      <w:lang w:val="en-GB" w:eastAsia="x-none"/>
    </w:rPr>
  </w:style>
  <w:style w:type="character" w:customStyle="1" w:styleId="BodyTextChar">
    <w:name w:val="Body Text Char"/>
    <w:aliases w:val="Body Text Char Char Char Char1"/>
    <w:uiPriority w:val="99"/>
    <w:semiHidden/>
    <w:rsid w:val="009E3290"/>
    <w:rPr>
      <w:rFonts w:ascii="Verdana" w:hAnsi="Verdana"/>
      <w:szCs w:val="24"/>
      <w:lang w:val="en-GB"/>
    </w:rPr>
  </w:style>
  <w:style w:type="paragraph" w:styleId="Pagrindinistekstas2">
    <w:name w:val="Body Text 2"/>
    <w:basedOn w:val="prastasis"/>
    <w:link w:val="Pagrindinistekstas2Diagrama"/>
    <w:uiPriority w:val="99"/>
    <w:unhideWhenUsed/>
    <w:rsid w:val="009E3290"/>
    <w:pPr>
      <w:spacing w:after="120" w:line="480" w:lineRule="auto"/>
    </w:pPr>
    <w:rPr>
      <w:rFonts w:ascii="Verdana" w:hAnsi="Verdana" w:cs="Times New Roman"/>
      <w:sz w:val="20"/>
      <w:szCs w:val="24"/>
      <w:lang w:val="en-GB" w:eastAsia="x-none"/>
    </w:rPr>
  </w:style>
  <w:style w:type="character" w:customStyle="1" w:styleId="Pagrindinistekstas2Diagrama">
    <w:name w:val="Pagrindinis tekstas 2 Diagrama"/>
    <w:link w:val="Pagrindinistekstas2"/>
    <w:uiPriority w:val="99"/>
    <w:rsid w:val="009E3290"/>
    <w:rPr>
      <w:rFonts w:ascii="Verdana" w:eastAsia="Times New Roman" w:hAnsi="Verdana" w:cs="Times New Roman"/>
      <w:sz w:val="20"/>
      <w:szCs w:val="24"/>
      <w:lang w:val="en-GB" w:eastAsia="x-none"/>
    </w:rPr>
  </w:style>
  <w:style w:type="paragraph" w:styleId="Pagrindinistekstas3">
    <w:name w:val="Body Text 3"/>
    <w:basedOn w:val="prastasis"/>
    <w:link w:val="Pagrindinistekstas3Diagrama"/>
    <w:uiPriority w:val="99"/>
    <w:unhideWhenUsed/>
    <w:rsid w:val="009E3290"/>
    <w:pPr>
      <w:tabs>
        <w:tab w:val="left" w:pos="720"/>
      </w:tabs>
    </w:pPr>
    <w:rPr>
      <w:rFonts w:ascii="Times New Roman" w:hAnsi="Times New Roman" w:cs="Times New Roman"/>
      <w:b/>
      <w:bCs/>
      <w:i/>
      <w:iCs/>
      <w:szCs w:val="24"/>
      <w:lang w:val="en-GB" w:eastAsia="x-none"/>
    </w:rPr>
  </w:style>
  <w:style w:type="character" w:customStyle="1" w:styleId="Pagrindinistekstas3Diagrama">
    <w:name w:val="Pagrindinis tekstas 3 Diagrama"/>
    <w:link w:val="Pagrindinistekstas3"/>
    <w:uiPriority w:val="99"/>
    <w:rsid w:val="009E3290"/>
    <w:rPr>
      <w:rFonts w:ascii="Times New Roman" w:eastAsia="Times New Roman" w:hAnsi="Times New Roman" w:cs="Times New Roman"/>
      <w:b/>
      <w:bCs/>
      <w:i/>
      <w:iCs/>
      <w:sz w:val="24"/>
      <w:szCs w:val="24"/>
      <w:lang w:val="en-GB" w:eastAsia="x-none"/>
    </w:rPr>
  </w:style>
  <w:style w:type="paragraph" w:styleId="Tekstoblokas">
    <w:name w:val="Block Text"/>
    <w:basedOn w:val="prastasis"/>
    <w:uiPriority w:val="99"/>
    <w:unhideWhenUsed/>
    <w:rsid w:val="009E3290"/>
    <w:pPr>
      <w:numPr>
        <w:ilvl w:val="12"/>
      </w:numPr>
      <w:ind w:left="720" w:right="-2" w:hanging="360"/>
      <w:jc w:val="both"/>
    </w:pPr>
    <w:rPr>
      <w:rFonts w:ascii="Times New Roman" w:hAnsi="Times New Roman" w:cs="Times New Roman"/>
      <w:noProof/>
      <w:sz w:val="22"/>
      <w:szCs w:val="22"/>
      <w:lang w:val="en-GB"/>
    </w:rPr>
  </w:style>
  <w:style w:type="paragraph" w:styleId="Dokumentostruktra">
    <w:name w:val="Document Map"/>
    <w:basedOn w:val="prastasis"/>
    <w:link w:val="DokumentostruktraDiagrama"/>
    <w:uiPriority w:val="99"/>
    <w:unhideWhenUsed/>
    <w:rsid w:val="009E3290"/>
    <w:pPr>
      <w:shd w:val="clear" w:color="auto" w:fill="000080"/>
    </w:pPr>
    <w:rPr>
      <w:rFonts w:ascii="Tahoma" w:hAnsi="Tahoma" w:cs="Times New Roman"/>
      <w:sz w:val="20"/>
      <w:lang w:val="en-GB" w:eastAsia="x-none"/>
    </w:rPr>
  </w:style>
  <w:style w:type="character" w:customStyle="1" w:styleId="DokumentostruktraDiagrama">
    <w:name w:val="Dokumento struktūra Diagrama"/>
    <w:link w:val="Dokumentostruktra"/>
    <w:uiPriority w:val="99"/>
    <w:rsid w:val="009E3290"/>
    <w:rPr>
      <w:rFonts w:ascii="Tahoma" w:eastAsia="Times New Roman" w:hAnsi="Tahoma" w:cs="Times New Roman"/>
      <w:sz w:val="20"/>
      <w:szCs w:val="20"/>
      <w:shd w:val="clear" w:color="auto" w:fill="000080"/>
      <w:lang w:val="en-GB" w:eastAsia="x-none"/>
    </w:rPr>
  </w:style>
  <w:style w:type="paragraph" w:styleId="Paprastasistekstas">
    <w:name w:val="Plain Text"/>
    <w:basedOn w:val="prastasis"/>
    <w:link w:val="PaprastasistekstasDiagrama"/>
    <w:uiPriority w:val="99"/>
    <w:unhideWhenUsed/>
    <w:rsid w:val="009E3290"/>
    <w:rPr>
      <w:rFonts w:ascii="Courier New" w:hAnsi="Courier New" w:cs="Times New Roman"/>
      <w:sz w:val="20"/>
      <w:lang w:val="de-DE" w:eastAsia="de-DE"/>
    </w:rPr>
  </w:style>
  <w:style w:type="character" w:customStyle="1" w:styleId="PaprastasistekstasDiagrama">
    <w:name w:val="Paprastasis tekstas Diagrama"/>
    <w:link w:val="Paprastasistekstas"/>
    <w:uiPriority w:val="99"/>
    <w:rsid w:val="009E3290"/>
    <w:rPr>
      <w:rFonts w:ascii="Courier New" w:eastAsia="Times New Roman" w:hAnsi="Courier New" w:cs="Times New Roman"/>
      <w:sz w:val="20"/>
      <w:szCs w:val="20"/>
      <w:lang w:val="de-DE" w:eastAsia="de-DE"/>
    </w:rPr>
  </w:style>
  <w:style w:type="paragraph" w:styleId="Komentarotema">
    <w:name w:val="annotation subject"/>
    <w:basedOn w:val="Komentarotekstas"/>
    <w:next w:val="Komentarotekstas"/>
    <w:link w:val="KomentarotemaDiagrama"/>
    <w:uiPriority w:val="99"/>
    <w:unhideWhenUsed/>
    <w:rsid w:val="009E3290"/>
    <w:rPr>
      <w:b/>
      <w:bCs/>
    </w:rPr>
  </w:style>
  <w:style w:type="character" w:customStyle="1" w:styleId="KomentarotemaDiagrama">
    <w:name w:val="Komentaro tema Diagrama"/>
    <w:link w:val="Komentarotema"/>
    <w:uiPriority w:val="99"/>
    <w:rsid w:val="009E3290"/>
    <w:rPr>
      <w:rFonts w:ascii="Times New Roman" w:eastAsia="Times New Roman" w:hAnsi="Times New Roman" w:cs="Times New Roman"/>
      <w:b/>
      <w:bCs/>
      <w:sz w:val="20"/>
      <w:szCs w:val="20"/>
      <w:lang w:val="lt-LT" w:eastAsia="x-none"/>
    </w:rPr>
  </w:style>
  <w:style w:type="paragraph" w:styleId="Debesliotekstas">
    <w:name w:val="Balloon Text"/>
    <w:basedOn w:val="prastasis"/>
    <w:link w:val="DebesliotekstasDiagrama"/>
    <w:uiPriority w:val="99"/>
    <w:unhideWhenUsed/>
    <w:rsid w:val="009E3290"/>
    <w:rPr>
      <w:rFonts w:ascii="Tahoma" w:hAnsi="Tahoma" w:cs="Times New Roman"/>
      <w:sz w:val="16"/>
      <w:szCs w:val="16"/>
      <w:lang w:val="en-GB" w:eastAsia="x-none"/>
    </w:rPr>
  </w:style>
  <w:style w:type="character" w:customStyle="1" w:styleId="DebesliotekstasDiagrama">
    <w:name w:val="Debesėlio tekstas Diagrama"/>
    <w:link w:val="Debesliotekstas"/>
    <w:uiPriority w:val="99"/>
    <w:rsid w:val="009E3290"/>
    <w:rPr>
      <w:rFonts w:ascii="Tahoma" w:eastAsia="Times New Roman" w:hAnsi="Tahoma" w:cs="Times New Roman"/>
      <w:sz w:val="16"/>
      <w:szCs w:val="16"/>
      <w:lang w:val="en-GB" w:eastAsia="x-none"/>
    </w:rPr>
  </w:style>
  <w:style w:type="paragraph" w:customStyle="1" w:styleId="PI-1EMEASMCA">
    <w:name w:val="PI-1 EMEA_SMCA"/>
    <w:basedOn w:val="Antrat2"/>
    <w:autoRedefine/>
    <w:uiPriority w:val="99"/>
    <w:rsid w:val="009E3290"/>
    <w:pPr>
      <w:tabs>
        <w:tab w:val="left" w:pos="567"/>
      </w:tabs>
      <w:ind w:left="567" w:hanging="567"/>
      <w:jc w:val="left"/>
    </w:pPr>
    <w:rPr>
      <w:b/>
      <w:sz w:val="22"/>
      <w:szCs w:val="22"/>
      <w:lang w:val="en-GB"/>
    </w:rPr>
  </w:style>
  <w:style w:type="character" w:customStyle="1" w:styleId="PI-1labEMEASMCAChar">
    <w:name w:val="PI-1_lab EMEA_SMCA Char"/>
    <w:link w:val="PI-1labEMEASMCA"/>
    <w:uiPriority w:val="99"/>
    <w:locked/>
    <w:rsid w:val="009E3290"/>
    <w:rPr>
      <w:b/>
      <w:noProof/>
    </w:rPr>
  </w:style>
  <w:style w:type="paragraph" w:customStyle="1" w:styleId="PI-1labEMEASMCA">
    <w:name w:val="PI-1_lab EMEA_SMCA"/>
    <w:basedOn w:val="prastasis"/>
    <w:link w:val="PI-1labEMEASMCAChar"/>
    <w:autoRedefine/>
    <w:uiPriority w:val="99"/>
    <w:rsid w:val="009E3290"/>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cs="Times New Roman"/>
      <w:b/>
      <w:noProof/>
      <w:sz w:val="22"/>
      <w:szCs w:val="22"/>
      <w:lang w:val="hu-HU"/>
    </w:rPr>
  </w:style>
  <w:style w:type="paragraph" w:customStyle="1" w:styleId="PI-2EMEASMCA">
    <w:name w:val="PI-2 EMEA_SMCA"/>
    <w:basedOn w:val="Antrat3"/>
    <w:autoRedefine/>
    <w:uiPriority w:val="99"/>
    <w:rsid w:val="009E3290"/>
    <w:pPr>
      <w:keepLines/>
      <w:tabs>
        <w:tab w:val="left" w:pos="567"/>
      </w:tabs>
      <w:spacing w:before="0" w:after="0"/>
      <w:ind w:left="567" w:hanging="567"/>
    </w:pPr>
    <w:rPr>
      <w:rFonts w:ascii="Times New Roman" w:hAnsi="Times New Roman"/>
      <w:b w:val="0"/>
      <w:bCs w:val="0"/>
      <w:kern w:val="28"/>
      <w:sz w:val="22"/>
      <w:szCs w:val="22"/>
      <w:lang w:val="en-GB"/>
    </w:rPr>
  </w:style>
  <w:style w:type="character" w:customStyle="1" w:styleId="BTEMEASMCAChar">
    <w:name w:val="BT EMEA_SMCA Char"/>
    <w:link w:val="BTEMEASMCA"/>
    <w:uiPriority w:val="99"/>
    <w:locked/>
    <w:rsid w:val="009E3290"/>
  </w:style>
  <w:style w:type="paragraph" w:customStyle="1" w:styleId="BTEMEASMCA">
    <w:name w:val="BT EMEA_SMCA"/>
    <w:basedOn w:val="prastasis"/>
    <w:link w:val="BTEMEASMCAChar"/>
    <w:autoRedefine/>
    <w:uiPriority w:val="99"/>
    <w:rsid w:val="009E3290"/>
    <w:rPr>
      <w:rFonts w:ascii="Calibri" w:eastAsia="Calibri" w:hAnsi="Calibri" w:cs="Times New Roman"/>
      <w:sz w:val="22"/>
      <w:szCs w:val="22"/>
      <w:lang w:val="hu-HU"/>
    </w:rPr>
  </w:style>
  <w:style w:type="character" w:customStyle="1" w:styleId="TTEMEASMCAChar">
    <w:name w:val="TT EMEA_SMCA Char"/>
    <w:link w:val="TTEMEASMCA"/>
    <w:locked/>
    <w:rsid w:val="009E3290"/>
    <w:rPr>
      <w:b/>
      <w:caps/>
    </w:rPr>
  </w:style>
  <w:style w:type="paragraph" w:customStyle="1" w:styleId="TTEMEASMCA">
    <w:name w:val="TT EMEA_SMCA"/>
    <w:basedOn w:val="Antrat1"/>
    <w:link w:val="TTEMEASMCAChar"/>
    <w:autoRedefine/>
    <w:rsid w:val="009E3290"/>
    <w:pPr>
      <w:keepNext w:val="0"/>
      <w:tabs>
        <w:tab w:val="left" w:pos="567"/>
      </w:tabs>
      <w:ind w:left="567" w:hanging="567"/>
      <w:jc w:val="center"/>
    </w:pPr>
    <w:rPr>
      <w:rFonts w:ascii="Calibri" w:eastAsia="Calibri" w:hAnsi="Calibri"/>
      <w:b/>
      <w:caps/>
      <w:sz w:val="22"/>
      <w:szCs w:val="22"/>
      <w:lang w:val="hu-HU" w:eastAsia="en-US"/>
    </w:rPr>
  </w:style>
  <w:style w:type="paragraph" w:customStyle="1" w:styleId="BTAnIIEMEASMCA">
    <w:name w:val="BT(AnII) EMEA_SMCA"/>
    <w:basedOn w:val="Debesliotekstas"/>
    <w:autoRedefine/>
    <w:rsid w:val="009E3290"/>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uiPriority w:val="99"/>
    <w:rsid w:val="009E3290"/>
    <w:pPr>
      <w:numPr>
        <w:numId w:val="1"/>
      </w:numPr>
      <w:tabs>
        <w:tab w:val="clear" w:pos="720"/>
        <w:tab w:val="num" w:pos="360"/>
      </w:tabs>
      <w:ind w:left="0" w:firstLine="0"/>
    </w:pPr>
  </w:style>
  <w:style w:type="paragraph" w:customStyle="1" w:styleId="PI-3EMEASMCA">
    <w:name w:val="PI-3 EMEA_SMCA"/>
    <w:basedOn w:val="prastasis"/>
    <w:autoRedefine/>
    <w:rsid w:val="009E3290"/>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uiPriority w:val="99"/>
    <w:rsid w:val="009E3290"/>
    <w:rPr>
      <w:b/>
    </w:rPr>
  </w:style>
  <w:style w:type="paragraph" w:customStyle="1" w:styleId="BTbeEMEASMCA">
    <w:name w:val="BT(be) EMEA_SMCA"/>
    <w:basedOn w:val="BTEMEASMCA"/>
    <w:autoRedefine/>
    <w:uiPriority w:val="99"/>
    <w:rsid w:val="00B01E83"/>
    <w:pPr>
      <w:jc w:val="center"/>
    </w:pPr>
    <w:rPr>
      <w:rFonts w:ascii="Times New Roman" w:hAnsi="Times New Roman"/>
      <w:b/>
      <w:lang w:val="lt-LT"/>
    </w:rPr>
  </w:style>
  <w:style w:type="paragraph" w:customStyle="1" w:styleId="BTeEMEASMCA">
    <w:name w:val="BT(e) EMEA_SMCA"/>
    <w:basedOn w:val="BTEMEASMCA"/>
    <w:autoRedefine/>
    <w:rsid w:val="009E3290"/>
    <w:pPr>
      <w:jc w:val="center"/>
    </w:pPr>
  </w:style>
  <w:style w:type="character" w:customStyle="1" w:styleId="BTgEMEASMCAChar">
    <w:name w:val="BT(g) EMEA_SMCA Char"/>
    <w:link w:val="BTgEMEASMCA"/>
    <w:uiPriority w:val="99"/>
    <w:locked/>
    <w:rsid w:val="009E3290"/>
    <w:rPr>
      <w:i/>
      <w:color w:val="008000"/>
    </w:rPr>
  </w:style>
  <w:style w:type="paragraph" w:customStyle="1" w:styleId="BTgEMEASMCA">
    <w:name w:val="BT(g) EMEA_SMCA"/>
    <w:basedOn w:val="BTEMEASMCA"/>
    <w:link w:val="BTgEMEASMCAChar"/>
    <w:autoRedefine/>
    <w:uiPriority w:val="99"/>
    <w:rsid w:val="009E3290"/>
    <w:rPr>
      <w:i/>
      <w:color w:val="008000"/>
    </w:rPr>
  </w:style>
  <w:style w:type="paragraph" w:customStyle="1" w:styleId="BTuEMEASMCA">
    <w:name w:val="BT(u) EMEA_SMCA"/>
    <w:basedOn w:val="BTEMEASMCA"/>
    <w:autoRedefine/>
    <w:uiPriority w:val="99"/>
    <w:rsid w:val="008F5879"/>
    <w:pPr>
      <w:outlineLvl w:val="0"/>
    </w:pPr>
    <w:rPr>
      <w:rFonts w:ascii="Times New Roman" w:hAnsi="Times New Roman"/>
      <w:u w:val="single"/>
      <w:lang w:val="lt-LT"/>
    </w:rPr>
  </w:style>
  <w:style w:type="paragraph" w:customStyle="1" w:styleId="SPCNormal">
    <w:name w:val="SPC Normal"/>
    <w:basedOn w:val="prastasis"/>
    <w:uiPriority w:val="99"/>
    <w:rsid w:val="009E3290"/>
    <w:pPr>
      <w:tabs>
        <w:tab w:val="left" w:pos="562"/>
      </w:tabs>
    </w:pPr>
    <w:rPr>
      <w:rFonts w:ascii="Times New Roman" w:hAnsi="Times New Roman" w:cs="Times New Roman"/>
      <w:sz w:val="22"/>
      <w:lang w:val="en-GB"/>
    </w:rPr>
  </w:style>
  <w:style w:type="paragraph" w:customStyle="1" w:styleId="SPC1">
    <w:name w:val="SPC1"/>
    <w:basedOn w:val="SPCNormal"/>
    <w:next w:val="SPCNormal"/>
    <w:uiPriority w:val="99"/>
    <w:rsid w:val="009E3290"/>
    <w:pPr>
      <w:keepNext/>
      <w:tabs>
        <w:tab w:val="clear" w:pos="562"/>
      </w:tabs>
      <w:spacing w:before="480"/>
      <w:ind w:left="562" w:hanging="562"/>
    </w:pPr>
    <w:rPr>
      <w:b/>
      <w:caps/>
    </w:rPr>
  </w:style>
  <w:style w:type="paragraph" w:customStyle="1" w:styleId="SPC2">
    <w:name w:val="SPC2"/>
    <w:basedOn w:val="SPCNormal"/>
    <w:next w:val="SPCNormal"/>
    <w:uiPriority w:val="99"/>
    <w:rsid w:val="009E3290"/>
    <w:pPr>
      <w:keepNext/>
      <w:tabs>
        <w:tab w:val="clear" w:pos="562"/>
      </w:tabs>
      <w:ind w:left="562" w:hanging="562"/>
    </w:pPr>
    <w:rPr>
      <w:b/>
    </w:rPr>
  </w:style>
  <w:style w:type="paragraph" w:customStyle="1" w:styleId="EMEAEnBodyText">
    <w:name w:val="EMEA En Body Text"/>
    <w:basedOn w:val="prastasis"/>
    <w:uiPriority w:val="99"/>
    <w:rsid w:val="009E3290"/>
    <w:pPr>
      <w:spacing w:before="120" w:after="120"/>
      <w:jc w:val="both"/>
    </w:pPr>
    <w:rPr>
      <w:rFonts w:ascii="Times New Roman" w:hAnsi="Times New Roman" w:cs="Times New Roman"/>
      <w:sz w:val="22"/>
    </w:rPr>
  </w:style>
  <w:style w:type="character" w:customStyle="1" w:styleId="NoNumHead3Char">
    <w:name w:val="NoNum:Head3 Char"/>
    <w:link w:val="NoNumHead3"/>
    <w:locked/>
    <w:rsid w:val="009E3290"/>
    <w:rPr>
      <w:rFonts w:ascii="Arial" w:hAnsi="Arial" w:cs="Arial"/>
      <w:b/>
      <w:bCs/>
      <w:sz w:val="24"/>
      <w:szCs w:val="24"/>
      <w:lang w:val="en-GB"/>
    </w:rPr>
  </w:style>
  <w:style w:type="paragraph" w:customStyle="1" w:styleId="NoNumHead3">
    <w:name w:val="NoNum:Head3"/>
    <w:basedOn w:val="prastasis"/>
    <w:next w:val="prastasis"/>
    <w:link w:val="NoNumHead3Char"/>
    <w:rsid w:val="009E3290"/>
    <w:pPr>
      <w:keepNext/>
      <w:spacing w:before="120" w:after="240"/>
      <w:outlineLvl w:val="0"/>
    </w:pPr>
    <w:rPr>
      <w:rFonts w:ascii="Arial" w:eastAsia="Calibri" w:hAnsi="Arial" w:cs="Arial"/>
      <w:b/>
      <w:bCs/>
      <w:szCs w:val="24"/>
      <w:lang w:val="en-GB"/>
    </w:rPr>
  </w:style>
  <w:style w:type="paragraph" w:customStyle="1" w:styleId="ammlistepuces1">
    <w:name w:val="ammlistepuces1"/>
    <w:basedOn w:val="prastasis"/>
    <w:uiPriority w:val="99"/>
    <w:rsid w:val="009E3290"/>
    <w:pPr>
      <w:spacing w:before="100" w:beforeAutospacing="1" w:after="100" w:afterAutospacing="1"/>
    </w:pPr>
    <w:rPr>
      <w:rFonts w:ascii="Arial" w:hAnsi="Arial" w:cs="Arial"/>
      <w:szCs w:val="24"/>
      <w:lang w:val="en-GB" w:eastAsia="en-GB"/>
    </w:rPr>
  </w:style>
  <w:style w:type="paragraph" w:customStyle="1" w:styleId="Default">
    <w:name w:val="Default"/>
    <w:rsid w:val="009E3290"/>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Para0sZchn">
    <w:name w:val="Para:0:s Zchn"/>
    <w:link w:val="Para0s"/>
    <w:uiPriority w:val="99"/>
    <w:locked/>
    <w:rsid w:val="009E3290"/>
    <w:rPr>
      <w:lang w:val="x-none" w:eastAsia="de-DE"/>
    </w:rPr>
  </w:style>
  <w:style w:type="paragraph" w:customStyle="1" w:styleId="Para0s">
    <w:name w:val="Para:0:s"/>
    <w:basedOn w:val="prastasis"/>
    <w:link w:val="Para0sZchn"/>
    <w:uiPriority w:val="99"/>
    <w:rsid w:val="009E3290"/>
    <w:pPr>
      <w:spacing w:after="220"/>
    </w:pPr>
    <w:rPr>
      <w:rFonts w:ascii="Calibri" w:eastAsia="Calibri" w:hAnsi="Calibri" w:cs="Times New Roman"/>
      <w:sz w:val="22"/>
      <w:szCs w:val="22"/>
      <w:lang w:val="x-none" w:eastAsia="de-DE"/>
    </w:rPr>
  </w:style>
  <w:style w:type="paragraph" w:customStyle="1" w:styleId="Bullet0dKT">
    <w:name w:val="Bullet:0:d:KT"/>
    <w:basedOn w:val="prastasis"/>
    <w:uiPriority w:val="99"/>
    <w:rsid w:val="009E3290"/>
    <w:pPr>
      <w:keepNext/>
      <w:keepLines/>
      <w:numPr>
        <w:numId w:val="2"/>
      </w:numPr>
      <w:spacing w:before="40" w:after="220"/>
    </w:pPr>
    <w:rPr>
      <w:rFonts w:ascii="Times New Roman" w:hAnsi="Times New Roman" w:cs="Times New Roman"/>
      <w:szCs w:val="24"/>
      <w:lang w:eastAsia="de-DE"/>
    </w:rPr>
  </w:style>
  <w:style w:type="paragraph" w:customStyle="1" w:styleId="Bullet0s">
    <w:name w:val="Bullet:0:s"/>
    <w:basedOn w:val="prastasis"/>
    <w:uiPriority w:val="99"/>
    <w:rsid w:val="009E3290"/>
    <w:pPr>
      <w:numPr>
        <w:numId w:val="3"/>
      </w:numPr>
      <w:spacing w:before="40" w:after="40"/>
    </w:pPr>
    <w:rPr>
      <w:rFonts w:ascii="Times New Roman" w:hAnsi="Times New Roman" w:cs="Times New Roman"/>
      <w:lang w:eastAsia="de-DE"/>
    </w:rPr>
  </w:style>
  <w:style w:type="paragraph" w:customStyle="1" w:styleId="ParaKT0s">
    <w:name w:val="ParaKT:0:s"/>
    <w:basedOn w:val="prastasis"/>
    <w:next w:val="prastasis"/>
    <w:uiPriority w:val="99"/>
    <w:rsid w:val="009E3290"/>
    <w:pPr>
      <w:keepNext/>
      <w:keepLines/>
      <w:spacing w:after="220"/>
    </w:pPr>
    <w:rPr>
      <w:rFonts w:ascii="Times New Roman" w:hAnsi="Times New Roman" w:cs="Times New Roman"/>
      <w:sz w:val="20"/>
      <w:lang w:eastAsia="de-DE"/>
    </w:rPr>
  </w:style>
  <w:style w:type="paragraph" w:customStyle="1" w:styleId="ammcorpstexte">
    <w:name w:val="ammcorpstexte"/>
    <w:basedOn w:val="prastasis"/>
    <w:uiPriority w:val="99"/>
    <w:rsid w:val="009E3290"/>
    <w:rPr>
      <w:rFonts w:ascii="Arial" w:hAnsi="Arial" w:cs="Arial"/>
      <w:color w:val="000000"/>
      <w:szCs w:val="24"/>
      <w:lang w:val="en-GB" w:eastAsia="en-GB"/>
    </w:rPr>
  </w:style>
  <w:style w:type="character" w:customStyle="1" w:styleId="NormalAgencyChar">
    <w:name w:val="Normal (Agency) Char"/>
    <w:link w:val="NormalAgency"/>
    <w:uiPriority w:val="99"/>
    <w:locked/>
    <w:rsid w:val="009E3290"/>
    <w:rPr>
      <w:rFonts w:ascii="Verdana" w:hAnsi="Verdana"/>
      <w:sz w:val="18"/>
      <w:szCs w:val="18"/>
      <w:lang w:val="en-GB" w:eastAsia="en-GB"/>
    </w:rPr>
  </w:style>
  <w:style w:type="paragraph" w:customStyle="1" w:styleId="NormalAgency">
    <w:name w:val="Normal (Agency)"/>
    <w:link w:val="NormalAgencyChar"/>
    <w:uiPriority w:val="99"/>
    <w:rsid w:val="009E3290"/>
    <w:rPr>
      <w:rFonts w:ascii="Verdana" w:hAnsi="Verdana"/>
      <w:sz w:val="18"/>
      <w:szCs w:val="18"/>
      <w:lang w:val="en-GB" w:eastAsia="en-GB"/>
    </w:rPr>
  </w:style>
  <w:style w:type="paragraph" w:customStyle="1" w:styleId="BodytextAgency">
    <w:name w:val="Body text (Agency)"/>
    <w:basedOn w:val="Default"/>
    <w:next w:val="Default"/>
    <w:uiPriority w:val="99"/>
    <w:rsid w:val="009E3290"/>
    <w:rPr>
      <w:color w:val="auto"/>
      <w:lang w:val="hu-HU" w:eastAsia="hu-HU"/>
    </w:rPr>
  </w:style>
  <w:style w:type="character" w:styleId="Komentaronuoroda">
    <w:name w:val="annotation reference"/>
    <w:uiPriority w:val="99"/>
    <w:unhideWhenUsed/>
    <w:rsid w:val="009E3290"/>
    <w:rPr>
      <w:sz w:val="16"/>
      <w:szCs w:val="16"/>
    </w:rPr>
  </w:style>
  <w:style w:type="table" w:styleId="Lentelstinklelis">
    <w:name w:val="Table Grid"/>
    <w:basedOn w:val="prastojilentel"/>
    <w:uiPriority w:val="99"/>
    <w:rsid w:val="009E32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9E3290"/>
  </w:style>
  <w:style w:type="character" w:styleId="Grietas">
    <w:name w:val="Strong"/>
    <w:uiPriority w:val="99"/>
    <w:qFormat/>
    <w:rsid w:val="009E3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48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35036</Words>
  <Characters>19972</Characters>
  <Application>Microsoft Office Word</Application>
  <DocSecurity>8</DocSecurity>
  <Lines>166</Lines>
  <Paragraphs>109</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Richter Gedeon Nyrt.</Company>
  <LinksUpToDate>false</LinksUpToDate>
  <CharactersWithSpaces>54899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Lívia dr.</dc:creator>
  <cp:keywords/>
  <cp:lastModifiedBy>Birutė Valkauskaitė</cp:lastModifiedBy>
  <cp:revision>3</cp:revision>
  <dcterms:created xsi:type="dcterms:W3CDTF">2017-06-16T09:56:00Z</dcterms:created>
  <dcterms:modified xsi:type="dcterms:W3CDTF">2017-06-16T09:56:00Z</dcterms:modified>
</cp:coreProperties>
</file>