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D05" w:rsidRDefault="00633D05" w:rsidP="00633D05"/>
    <w:p w:rsidR="00B32AC9" w:rsidRDefault="00B32AC9" w:rsidP="00633D05"/>
    <w:p w:rsidR="00B32AC9" w:rsidRDefault="00B32AC9" w:rsidP="00633D05"/>
    <w:p w:rsidR="00B32AC9" w:rsidRDefault="00B32AC9" w:rsidP="00633D05"/>
    <w:p w:rsidR="00B32AC9" w:rsidRDefault="00B32AC9" w:rsidP="00633D05"/>
    <w:p w:rsidR="00B32AC9" w:rsidRPr="00DF4173" w:rsidRDefault="00B32AC9" w:rsidP="00633D05"/>
    <w:p w:rsidR="00633D05" w:rsidRPr="00DF4173" w:rsidRDefault="00633D05" w:rsidP="00633D05"/>
    <w:p w:rsidR="00633D05" w:rsidRPr="00DF4173" w:rsidRDefault="00633D05" w:rsidP="00633D05"/>
    <w:p w:rsidR="00633D05" w:rsidRPr="00DF4173" w:rsidRDefault="00633D05" w:rsidP="00633D05"/>
    <w:p w:rsidR="00633D05" w:rsidRPr="00DF4173" w:rsidRDefault="00633D05" w:rsidP="00633D05"/>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633D05">
      <w:pPr>
        <w:pStyle w:val="TTEMEASMCA"/>
        <w:rPr>
          <w:lang w:val="lt-LT"/>
        </w:rPr>
      </w:pPr>
      <w:bookmarkStart w:id="0" w:name="_Toc129243096"/>
      <w:bookmarkStart w:id="1" w:name="_Toc129243221"/>
      <w:r w:rsidRPr="00DF4173">
        <w:rPr>
          <w:lang w:val="lt-LT"/>
        </w:rPr>
        <w:t>I PRIEDAS</w:t>
      </w:r>
      <w:bookmarkEnd w:id="0"/>
      <w:bookmarkEnd w:id="1"/>
    </w:p>
    <w:p w:rsidR="00633D05" w:rsidRPr="00DF4173" w:rsidRDefault="00633D05" w:rsidP="00732C31">
      <w:pPr>
        <w:pStyle w:val="BTEMEASMCA"/>
      </w:pPr>
    </w:p>
    <w:p w:rsidR="00633D05" w:rsidRPr="00DF4173" w:rsidRDefault="00633D05" w:rsidP="00633D05">
      <w:pPr>
        <w:pStyle w:val="TTEMEASMCA"/>
        <w:rPr>
          <w:lang w:val="lt-LT"/>
        </w:rPr>
      </w:pPr>
      <w:bookmarkStart w:id="2" w:name="_Toc129243097"/>
      <w:bookmarkStart w:id="3" w:name="_Toc129243222"/>
      <w:r w:rsidRPr="00DF4173">
        <w:rPr>
          <w:lang w:val="lt-LT"/>
        </w:rPr>
        <w:t>PREPARATO CHARAKTERISTIKŲ SANTRAUKA</w:t>
      </w:r>
      <w:bookmarkEnd w:id="2"/>
      <w:bookmarkEnd w:id="3"/>
    </w:p>
    <w:p w:rsidR="00633D05" w:rsidRPr="00DF4173" w:rsidRDefault="00633D05" w:rsidP="00633D05">
      <w:pPr>
        <w:pStyle w:val="PI-1EMEASMCA"/>
      </w:pPr>
      <w:r w:rsidRPr="00DF4173">
        <w:rPr>
          <w:bCs/>
          <w:iCs/>
        </w:rPr>
        <w:br w:type="page"/>
      </w:r>
      <w:bookmarkStart w:id="4" w:name="_Toc129243098"/>
      <w:bookmarkStart w:id="5" w:name="_Toc129243223"/>
      <w:r w:rsidRPr="00DF4173">
        <w:lastRenderedPageBreak/>
        <w:t>1.</w:t>
      </w:r>
      <w:r w:rsidRPr="00DF4173">
        <w:tab/>
        <w:t>VAISTINIO PREPARATO PAVADINIMAS</w:t>
      </w:r>
      <w:bookmarkEnd w:id="4"/>
      <w:bookmarkEnd w:id="5"/>
    </w:p>
    <w:p w:rsidR="00633D05" w:rsidRPr="00DF4173" w:rsidRDefault="00633D05" w:rsidP="00732C31">
      <w:pPr>
        <w:pStyle w:val="BTEMEASMCA"/>
      </w:pPr>
    </w:p>
    <w:p w:rsidR="00A64DF5" w:rsidRPr="00A64DF5" w:rsidRDefault="00DE749D" w:rsidP="00732C31">
      <w:pPr>
        <w:pStyle w:val="BTEMEASMCA"/>
      </w:pPr>
      <w:r w:rsidRPr="00DE749D">
        <w:t>Docetaxel Mylan</w:t>
      </w:r>
      <w:r>
        <w:rPr>
          <w:lang w:val="lt-LT"/>
        </w:rPr>
        <w:t xml:space="preserve"> </w:t>
      </w:r>
      <w:r w:rsidR="00A64DF5" w:rsidRPr="00A64DF5">
        <w:t xml:space="preserve">40 mg/ml koncentratas ir tirpiklis infuziniam tirpalui </w:t>
      </w:r>
    </w:p>
    <w:p w:rsidR="00633D05" w:rsidRDefault="00633D05" w:rsidP="00732C31">
      <w:pPr>
        <w:pStyle w:val="BTEMEASMCA"/>
      </w:pPr>
    </w:p>
    <w:p w:rsidR="00014208" w:rsidRPr="00DF4173" w:rsidRDefault="00014208" w:rsidP="00732C31">
      <w:pPr>
        <w:pStyle w:val="BTEMEASMCA"/>
      </w:pPr>
    </w:p>
    <w:p w:rsidR="00633D05" w:rsidRPr="00DF4173" w:rsidRDefault="00633D05" w:rsidP="00633D05">
      <w:pPr>
        <w:pStyle w:val="PI-1EMEASMCA"/>
      </w:pPr>
      <w:bookmarkStart w:id="6" w:name="_Toc129243099"/>
      <w:bookmarkStart w:id="7" w:name="_Toc129243224"/>
      <w:r w:rsidRPr="00DF4173">
        <w:t>2.</w:t>
      </w:r>
      <w:r w:rsidRPr="00DF4173">
        <w:tab/>
        <w:t>KOKYBINĖ IR KIEKYBINĖ SUDĖTIS</w:t>
      </w:r>
      <w:bookmarkEnd w:id="6"/>
      <w:bookmarkEnd w:id="7"/>
    </w:p>
    <w:p w:rsidR="00633D05" w:rsidRPr="00DF4173" w:rsidRDefault="00633D05" w:rsidP="00732C31">
      <w:pPr>
        <w:pStyle w:val="BTEMEASMCA"/>
      </w:pPr>
    </w:p>
    <w:p w:rsidR="00A64DF5" w:rsidRPr="00A64DF5" w:rsidRDefault="00A64DF5" w:rsidP="00732C31">
      <w:pPr>
        <w:pStyle w:val="BTEMEASMCA"/>
      </w:pPr>
      <w:r w:rsidRPr="00A64DF5">
        <w:t>Kiekviename vien</w:t>
      </w:r>
      <w:r w:rsidR="00732C31">
        <w:t>a</w:t>
      </w:r>
      <w:r w:rsidRPr="00A64DF5">
        <w:t xml:space="preserve">doziame </w:t>
      </w:r>
      <w:r w:rsidR="00DE749D" w:rsidRPr="00DE749D">
        <w:t>Docetaxel Mylan</w:t>
      </w:r>
      <w:r w:rsidR="00DE749D">
        <w:rPr>
          <w:lang w:val="lt-LT"/>
        </w:rPr>
        <w:t xml:space="preserve"> </w:t>
      </w:r>
      <w:r w:rsidRPr="00A64DF5">
        <w:t xml:space="preserve">koncentrato buteliuke yra 40mg/ml </w:t>
      </w:r>
      <w:r w:rsidR="00230CCF">
        <w:t xml:space="preserve">bevandenio </w:t>
      </w:r>
      <w:r w:rsidRPr="00A64DF5">
        <w:t xml:space="preserve">docetakselio. </w:t>
      </w:r>
    </w:p>
    <w:p w:rsidR="00A64DF5" w:rsidRPr="00A64DF5" w:rsidRDefault="00A64DF5" w:rsidP="00732C31">
      <w:pPr>
        <w:pStyle w:val="BTEMEASMCA"/>
      </w:pPr>
    </w:p>
    <w:p w:rsidR="00A64DF5" w:rsidRPr="00A64DF5" w:rsidRDefault="00A64DF5" w:rsidP="00732C31">
      <w:pPr>
        <w:pStyle w:val="BTEMEASMCA"/>
      </w:pPr>
      <w:r w:rsidRPr="00A64DF5">
        <w:t xml:space="preserve">Buteliuke esantį koncentratą praskiedus kitame buteliuke esančiu tirpikliu, gaunama 10 mg/ml </w:t>
      </w:r>
      <w:r w:rsidR="00230CCF">
        <w:t>bevandenio</w:t>
      </w:r>
      <w:r w:rsidR="00230CCF" w:rsidRPr="00A64DF5">
        <w:t xml:space="preserve"> </w:t>
      </w:r>
      <w:r w:rsidRPr="00A64DF5">
        <w:t xml:space="preserve">docetakselio koncentracija. </w:t>
      </w:r>
    </w:p>
    <w:p w:rsidR="00A64DF5" w:rsidRPr="00A64DF5" w:rsidRDefault="00A64DF5" w:rsidP="00732C31">
      <w:pPr>
        <w:pStyle w:val="BTEMEASMCA"/>
      </w:pPr>
    </w:p>
    <w:p w:rsidR="00A64DF5" w:rsidRPr="00A64DF5" w:rsidRDefault="00A64DF5" w:rsidP="00732C31">
      <w:pPr>
        <w:pStyle w:val="BTEMEASMCA"/>
      </w:pPr>
      <w:r w:rsidRPr="00A64DF5">
        <w:t>Pagalbinė medžiaga: kiekviename vienadoziame tirpiklio buteliuke yra 13 % (m/</w:t>
      </w:r>
      <w:r w:rsidR="00014208">
        <w:t>m</w:t>
      </w:r>
      <w:r w:rsidRPr="00A64DF5">
        <w:t xml:space="preserve">) bevandenio etanolio injekciniame vandenyje. </w:t>
      </w:r>
    </w:p>
    <w:p w:rsidR="00A64DF5" w:rsidRPr="00A64DF5" w:rsidRDefault="00A64DF5" w:rsidP="00732C31">
      <w:pPr>
        <w:pStyle w:val="BTEMEASMCA"/>
      </w:pPr>
    </w:p>
    <w:p w:rsidR="00A64DF5" w:rsidRPr="00A64DF5" w:rsidRDefault="00A64DF5" w:rsidP="00732C31">
      <w:pPr>
        <w:pStyle w:val="BTEMEASMCA"/>
      </w:pPr>
      <w:r w:rsidRPr="00A64DF5">
        <w:t xml:space="preserve">Visos pagalbinės medžiagos išvardytos 6.1 skyriuje. </w:t>
      </w: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633D05">
      <w:pPr>
        <w:pStyle w:val="PI-1EMEASMCA"/>
      </w:pPr>
      <w:bookmarkStart w:id="8" w:name="_Toc129243100"/>
      <w:bookmarkStart w:id="9" w:name="_Toc129243225"/>
      <w:r w:rsidRPr="00DF4173">
        <w:t>3.</w:t>
      </w:r>
      <w:r w:rsidRPr="00DF4173">
        <w:tab/>
        <w:t>FARMACINĖ FORMA</w:t>
      </w:r>
      <w:bookmarkEnd w:id="8"/>
      <w:bookmarkEnd w:id="9"/>
    </w:p>
    <w:p w:rsidR="00633D05" w:rsidRPr="00DF4173" w:rsidRDefault="00633D05" w:rsidP="00732C31">
      <w:pPr>
        <w:pStyle w:val="BTEMEASMCA"/>
      </w:pPr>
    </w:p>
    <w:p w:rsidR="00A64DF5" w:rsidRPr="00A64DF5" w:rsidRDefault="00A64DF5" w:rsidP="00732C31">
      <w:pPr>
        <w:pStyle w:val="BTEMEASMCA"/>
      </w:pPr>
      <w:r w:rsidRPr="00A64DF5">
        <w:t xml:space="preserve">Koncentratas ir tirpiklis infuziniam tirpalui. </w:t>
      </w:r>
    </w:p>
    <w:p w:rsidR="00A64DF5" w:rsidRPr="00A64DF5" w:rsidRDefault="00A64DF5" w:rsidP="00732C31">
      <w:pPr>
        <w:pStyle w:val="BTEMEASMCA"/>
      </w:pPr>
      <w:r w:rsidRPr="00A64DF5">
        <w:t xml:space="preserve">Koncentratas yra skaidrus bespalvis arba blyškiai gelsvas klampus tirpalas. </w:t>
      </w:r>
    </w:p>
    <w:p w:rsidR="00A64DF5" w:rsidRPr="00A64DF5" w:rsidRDefault="00A64DF5" w:rsidP="00732C31">
      <w:pPr>
        <w:pStyle w:val="BTEMEASMCA"/>
      </w:pPr>
      <w:r w:rsidRPr="00A64DF5">
        <w:t xml:space="preserve">Tirpiklis yra bespalvis tirpalas. </w:t>
      </w:r>
    </w:p>
    <w:p w:rsidR="00633D05" w:rsidRPr="00DF4173" w:rsidRDefault="00633D05" w:rsidP="00732C31">
      <w:pPr>
        <w:pStyle w:val="BTEMEASMCA"/>
      </w:pPr>
    </w:p>
    <w:p w:rsidR="00633D05" w:rsidRPr="00DF4173" w:rsidRDefault="00633D05" w:rsidP="00732C31">
      <w:pPr>
        <w:pStyle w:val="BTEMEASMCA"/>
      </w:pPr>
    </w:p>
    <w:p w:rsidR="00633D05" w:rsidRPr="0084041E" w:rsidRDefault="00633D05" w:rsidP="00633D05">
      <w:pPr>
        <w:pStyle w:val="PI-1EMEASMCA"/>
      </w:pPr>
      <w:bookmarkStart w:id="10" w:name="_Toc129243101"/>
      <w:bookmarkStart w:id="11" w:name="_Toc129243226"/>
      <w:r w:rsidRPr="0084041E">
        <w:t>4.</w:t>
      </w:r>
      <w:r w:rsidRPr="0084041E">
        <w:tab/>
        <w:t>KLINIKINĖ INFORMACIJA</w:t>
      </w:r>
      <w:bookmarkEnd w:id="10"/>
      <w:bookmarkEnd w:id="11"/>
    </w:p>
    <w:p w:rsidR="00633D05" w:rsidRPr="0084041E" w:rsidRDefault="00633D05" w:rsidP="00732C31">
      <w:pPr>
        <w:pStyle w:val="BTEMEASMCA"/>
      </w:pPr>
    </w:p>
    <w:p w:rsidR="00633D05" w:rsidRPr="0084041E" w:rsidRDefault="00633D05" w:rsidP="00633D05">
      <w:pPr>
        <w:pStyle w:val="PI-2EMEASMCA"/>
      </w:pPr>
      <w:bookmarkStart w:id="12" w:name="_Toc129243102"/>
      <w:bookmarkStart w:id="13" w:name="_Toc129243227"/>
      <w:r w:rsidRPr="0084041E">
        <w:t>4.1</w:t>
      </w:r>
      <w:r w:rsidRPr="0084041E">
        <w:tab/>
        <w:t>Terapinės indikacijos</w:t>
      </w:r>
      <w:bookmarkEnd w:id="12"/>
      <w:bookmarkEnd w:id="13"/>
    </w:p>
    <w:p w:rsidR="00633D05" w:rsidRPr="0084041E" w:rsidRDefault="00633D05" w:rsidP="00732C31">
      <w:pPr>
        <w:pStyle w:val="BTEMEASMCA"/>
      </w:pPr>
    </w:p>
    <w:p w:rsidR="00A64DF5" w:rsidRPr="00C93814" w:rsidRDefault="00A64DF5" w:rsidP="00732C31">
      <w:pPr>
        <w:pStyle w:val="BTEMEASMCA"/>
        <w:rPr>
          <w:u w:val="single"/>
        </w:rPr>
      </w:pPr>
      <w:r w:rsidRPr="00C93814">
        <w:rPr>
          <w:u w:val="single"/>
        </w:rPr>
        <w:t xml:space="preserve">Krūties vėžys </w:t>
      </w:r>
    </w:p>
    <w:p w:rsidR="00A64DF5" w:rsidRPr="00A64DF5" w:rsidRDefault="00A64DF5" w:rsidP="00732C31">
      <w:pPr>
        <w:pStyle w:val="BTEMEASMCA"/>
      </w:pPr>
    </w:p>
    <w:p w:rsidR="00A64DF5" w:rsidRPr="00A64DF5" w:rsidRDefault="00A64DF5" w:rsidP="00732C31">
      <w:pPr>
        <w:pStyle w:val="BTEMEASMCA"/>
      </w:pPr>
      <w:r w:rsidRPr="00A64DF5">
        <w:t>Docetakselis vartojamas kartu su doksorubicinu ir ciklofosfamidu adjuvantiniam gydymui pacient</w:t>
      </w:r>
      <w:r w:rsidR="00D40130">
        <w:t>a</w:t>
      </w:r>
      <w:r w:rsidRPr="00A64DF5">
        <w:t>ms, sergan</w:t>
      </w:r>
      <w:r w:rsidR="00D40130">
        <w:t>tiems</w:t>
      </w:r>
      <w:r w:rsidRPr="00A64DF5">
        <w:t xml:space="preserve">: </w:t>
      </w:r>
    </w:p>
    <w:p w:rsidR="00F848FC" w:rsidRPr="00A64DF5" w:rsidRDefault="00F848FC" w:rsidP="00F848FC">
      <w:pPr>
        <w:pStyle w:val="BTEMEASMCA"/>
        <w:numPr>
          <w:ilvl w:val="0"/>
          <w:numId w:val="2"/>
        </w:numPr>
        <w:jc w:val="both"/>
      </w:pPr>
      <w:r w:rsidRPr="00A64DF5">
        <w:t xml:space="preserve">tinkamu operuoti krūties vėžiu, metastazavusiu į limfmazgius. </w:t>
      </w:r>
    </w:p>
    <w:p w:rsidR="00F848FC" w:rsidRPr="00A64DF5" w:rsidRDefault="00F848FC" w:rsidP="00F848FC">
      <w:pPr>
        <w:pStyle w:val="BTEMEASMCA"/>
        <w:numPr>
          <w:ilvl w:val="0"/>
          <w:numId w:val="2"/>
        </w:numPr>
        <w:jc w:val="both"/>
      </w:pPr>
      <w:r w:rsidRPr="00A64DF5">
        <w:t xml:space="preserve">tinkamu operuoti krūties vėžiu, nemetastazavusiu į limfmazgius </w:t>
      </w:r>
    </w:p>
    <w:p w:rsidR="00A64DF5" w:rsidRPr="00A64DF5" w:rsidRDefault="00A64DF5" w:rsidP="00732C31">
      <w:pPr>
        <w:pStyle w:val="BTEMEASMCA"/>
      </w:pPr>
    </w:p>
    <w:p w:rsidR="00A64DF5" w:rsidRPr="00A64DF5" w:rsidRDefault="00A64DF5" w:rsidP="00732C31">
      <w:pPr>
        <w:pStyle w:val="BTEMEASMCA"/>
      </w:pPr>
      <w:r w:rsidRPr="00A64DF5">
        <w:t>Pacient</w:t>
      </w:r>
      <w:r w:rsidR="00D40130">
        <w:t>a</w:t>
      </w:r>
      <w:r w:rsidRPr="00A64DF5">
        <w:t>ms, sergan</w:t>
      </w:r>
      <w:r w:rsidR="00D40130">
        <w:t>tiems</w:t>
      </w:r>
      <w:r w:rsidRPr="00A64DF5">
        <w:t xml:space="preserve"> tinkamu operuoti į limfmazgius nemetastazavusiu krūties vėžiu, adjuvantinis gydymas gali būti taikomas tik tuo atveju, jei pagal pripažintus tarptautinius ankstyvo krūties vėžio pirmaeilio gydymo kriterijus, ši</w:t>
      </w:r>
      <w:r w:rsidR="00D40130">
        <w:t>e</w:t>
      </w:r>
      <w:r w:rsidRPr="00A64DF5">
        <w:t>ms pacient</w:t>
      </w:r>
      <w:r w:rsidR="00D40130">
        <w:t>a</w:t>
      </w:r>
      <w:r w:rsidRPr="00A64DF5">
        <w:t xml:space="preserve">ms galima chemoterapija (žr. 5.1 skyrių). </w:t>
      </w:r>
    </w:p>
    <w:p w:rsidR="00A64DF5" w:rsidRPr="00A64DF5" w:rsidRDefault="00A64DF5" w:rsidP="00732C31">
      <w:pPr>
        <w:pStyle w:val="BTEMEASMCA"/>
      </w:pPr>
    </w:p>
    <w:p w:rsidR="00A64DF5" w:rsidRPr="00A64DF5" w:rsidRDefault="00A64DF5" w:rsidP="00732C31">
      <w:pPr>
        <w:pStyle w:val="BTEMEASMCA"/>
      </w:pPr>
      <w:r w:rsidRPr="00A64DF5">
        <w:t xml:space="preserve">Docetakselis vartojamas kartu su doksorubicinu lokaliai </w:t>
      </w:r>
      <w:r w:rsidR="00D40130">
        <w:t>progresavusiam</w:t>
      </w:r>
      <w:r w:rsidR="00D40130" w:rsidRPr="00A64DF5">
        <w:t xml:space="preserve"> </w:t>
      </w:r>
      <w:r w:rsidRPr="00A64DF5">
        <w:t>ar metastazavusiam krūties vėžiui gydyti pacient</w:t>
      </w:r>
      <w:r w:rsidR="00D40130">
        <w:t>a</w:t>
      </w:r>
      <w:r w:rsidRPr="00A64DF5">
        <w:t>ms, kuri</w:t>
      </w:r>
      <w:r w:rsidR="00D40130">
        <w:t>e</w:t>
      </w:r>
      <w:r w:rsidRPr="00A64DF5">
        <w:t xml:space="preserve"> anksčiau nebuvo gydyt</w:t>
      </w:r>
      <w:r w:rsidR="00D40130">
        <w:t>i</w:t>
      </w:r>
      <w:r w:rsidRPr="00A64DF5">
        <w:t xml:space="preserve"> nuo šios ligos citotoksiniais vaistais. </w:t>
      </w:r>
    </w:p>
    <w:p w:rsidR="00A64DF5" w:rsidRPr="00A64DF5" w:rsidRDefault="00A64DF5" w:rsidP="00732C31">
      <w:pPr>
        <w:pStyle w:val="BTEMEASMCA"/>
      </w:pPr>
    </w:p>
    <w:p w:rsidR="00A64DF5" w:rsidRPr="00A64DF5" w:rsidRDefault="00A64DF5" w:rsidP="00732C31">
      <w:pPr>
        <w:pStyle w:val="BTEMEASMCA"/>
      </w:pPr>
      <w:r w:rsidRPr="00A64DF5">
        <w:t xml:space="preserve">Docetakselis vartojamas lokaliai progresavusio ar metastazavusio krūties vėžio monoterapijai, jei citotoksinė terapija buvo neveiksminga. Ankstesnei chemoterapijai turėjo būti vartotas antraciklinas arba alkilinantis vaistas. </w:t>
      </w:r>
    </w:p>
    <w:p w:rsidR="00A64DF5" w:rsidRPr="00A64DF5" w:rsidRDefault="00A64DF5" w:rsidP="00732C31">
      <w:pPr>
        <w:pStyle w:val="BTEMEASMCA"/>
      </w:pPr>
    </w:p>
    <w:p w:rsidR="00A64DF5" w:rsidRPr="00A64DF5" w:rsidRDefault="00A64DF5" w:rsidP="00732C31">
      <w:pPr>
        <w:pStyle w:val="BTEMEASMCA"/>
      </w:pPr>
      <w:r w:rsidRPr="00A64DF5">
        <w:t>Docetakselis vartojamas kartu su trastuzumabu metastazavusiam krūties vėžiui gydyti, jei nustatyta naviko HER2 hiperekspresija, o metastazavusio vėžio chemoterapija anksčiau netaikyta.</w:t>
      </w:r>
    </w:p>
    <w:p w:rsidR="00A64DF5" w:rsidRPr="00A64DF5" w:rsidRDefault="00A64DF5" w:rsidP="00732C31">
      <w:pPr>
        <w:pStyle w:val="BTEMEASMCA"/>
      </w:pPr>
    </w:p>
    <w:p w:rsidR="00A64DF5" w:rsidRPr="00A64DF5" w:rsidRDefault="00A64DF5" w:rsidP="00732C31">
      <w:pPr>
        <w:pStyle w:val="BTEMEASMCA"/>
      </w:pPr>
      <w:r w:rsidRPr="00A64DF5">
        <w:t xml:space="preserve">Docetakselis vartojamas kartu su kapecitabinu lokaliai progresavusiam ar metastazavusiam krūties vėžiui gydyti, jei citotoksinė chemoterapija buvo neveiksminga. Ankstesnio gydymo metu turėjo būti vartotas antraciklinas. </w:t>
      </w:r>
    </w:p>
    <w:p w:rsidR="00A64DF5" w:rsidRPr="00A64DF5" w:rsidRDefault="00A64DF5" w:rsidP="00732C31">
      <w:pPr>
        <w:pStyle w:val="BTEMEASMCA"/>
      </w:pPr>
    </w:p>
    <w:p w:rsidR="00A64DF5" w:rsidRPr="00C93814" w:rsidRDefault="00A64DF5" w:rsidP="00732C31">
      <w:pPr>
        <w:pStyle w:val="BTEMEASMCA"/>
        <w:rPr>
          <w:u w:val="single"/>
        </w:rPr>
      </w:pPr>
      <w:r w:rsidRPr="00C93814">
        <w:rPr>
          <w:u w:val="single"/>
        </w:rPr>
        <w:t>Nesmulkialąstelinis plaučių vėžys</w:t>
      </w:r>
    </w:p>
    <w:p w:rsidR="00A64DF5" w:rsidRPr="00A64DF5" w:rsidRDefault="00A64DF5" w:rsidP="00732C31">
      <w:pPr>
        <w:pStyle w:val="BTEMEASMCA"/>
      </w:pPr>
    </w:p>
    <w:p w:rsidR="00A64DF5" w:rsidRPr="00A64DF5" w:rsidRDefault="00A64DF5" w:rsidP="00732C31">
      <w:pPr>
        <w:pStyle w:val="BTEMEASMCA"/>
      </w:pPr>
      <w:r w:rsidRPr="00A64DF5">
        <w:lastRenderedPageBreak/>
        <w:t xml:space="preserve">Docetakselis vartojamas lokaliai progresavusiam ar metastazavusiam nesmulkialąsteliniam plaučių vėžiui gydyti, jei ankstesnė chemoterapija buvo neveiksminga. </w:t>
      </w:r>
    </w:p>
    <w:p w:rsidR="00A64DF5" w:rsidRPr="00A64DF5" w:rsidRDefault="00A64DF5" w:rsidP="00732C31">
      <w:pPr>
        <w:pStyle w:val="BTEMEASMCA"/>
      </w:pPr>
    </w:p>
    <w:p w:rsidR="00A64DF5" w:rsidRPr="00A64DF5" w:rsidRDefault="00A64DF5" w:rsidP="00732C31">
      <w:pPr>
        <w:pStyle w:val="BTEMEASMCA"/>
      </w:pPr>
      <w:r w:rsidRPr="00A64DF5">
        <w:t xml:space="preserve">Docetakselis vartojamas kartu su cisplatina neoperuojamam lokaliai progresavusiam ar metastazavusiam nesmulkialąsteliniam plaučių vėžiui gydyti pacientams, kuriems šios ligos chemoterapija anksčiau netaikyta. </w:t>
      </w:r>
    </w:p>
    <w:p w:rsidR="00A64DF5" w:rsidRPr="00A64DF5" w:rsidRDefault="00A64DF5" w:rsidP="00732C31">
      <w:pPr>
        <w:pStyle w:val="BTEMEASMCA"/>
      </w:pPr>
    </w:p>
    <w:p w:rsidR="00A64DF5" w:rsidRPr="00C93814" w:rsidRDefault="00A64DF5" w:rsidP="00732C31">
      <w:pPr>
        <w:pStyle w:val="BTEMEASMCA"/>
        <w:rPr>
          <w:u w:val="single"/>
        </w:rPr>
      </w:pPr>
      <w:r w:rsidRPr="00C93814">
        <w:rPr>
          <w:u w:val="single"/>
        </w:rPr>
        <w:t>Prostatos vėžys</w:t>
      </w:r>
    </w:p>
    <w:p w:rsidR="00A64DF5" w:rsidRPr="00A64DF5" w:rsidRDefault="00A64DF5" w:rsidP="00732C31">
      <w:pPr>
        <w:pStyle w:val="BTEMEASMCA"/>
      </w:pPr>
    </w:p>
    <w:p w:rsidR="00A64DF5" w:rsidRPr="00A64DF5" w:rsidRDefault="00A64DF5" w:rsidP="00732C31">
      <w:pPr>
        <w:pStyle w:val="BTEMEASMCA"/>
      </w:pPr>
      <w:r w:rsidRPr="00A64DF5">
        <w:t xml:space="preserve">Docetakselis vartojamas kartu su prednizonu ar prednizolonu hormonams atspariam metastazavusiam prostatos vėžiui gydyti. </w:t>
      </w:r>
    </w:p>
    <w:p w:rsidR="00A64DF5" w:rsidRPr="00A64DF5" w:rsidRDefault="00A64DF5" w:rsidP="00732C31">
      <w:pPr>
        <w:pStyle w:val="BTEMEASMCA"/>
      </w:pPr>
    </w:p>
    <w:p w:rsidR="00A64DF5" w:rsidRPr="00C93814" w:rsidRDefault="00A64DF5" w:rsidP="00732C31">
      <w:pPr>
        <w:pStyle w:val="BTEMEASMCA"/>
        <w:rPr>
          <w:u w:val="single"/>
        </w:rPr>
      </w:pPr>
      <w:r w:rsidRPr="00C93814">
        <w:rPr>
          <w:u w:val="single"/>
        </w:rPr>
        <w:t>Skrandžio adenokarcinoma</w:t>
      </w:r>
    </w:p>
    <w:p w:rsidR="00A64DF5" w:rsidRPr="00A64DF5" w:rsidRDefault="00A64DF5" w:rsidP="00732C31">
      <w:pPr>
        <w:pStyle w:val="BTEMEASMCA"/>
      </w:pPr>
    </w:p>
    <w:p w:rsidR="00A64DF5" w:rsidRPr="00A64DF5" w:rsidRDefault="00A64DF5" w:rsidP="00732C31">
      <w:pPr>
        <w:pStyle w:val="BTEMEASMCA"/>
      </w:pPr>
      <w:r w:rsidRPr="00A64DF5">
        <w:t xml:space="preserve">Docetakselis vartojamas kartu su cisplatina ir 5-fluorouracilu metastazavusiai skrandžio adenokarcinomai, įskaitant skrandžio ir stemplės jungties adenokarcinomą, gydyti pacientams, kuriems metastazavusios ligos chemoterapija anksčiau netaikyta. </w:t>
      </w:r>
    </w:p>
    <w:p w:rsidR="00A64DF5" w:rsidRPr="00A64DF5" w:rsidRDefault="00A64DF5" w:rsidP="00732C31">
      <w:pPr>
        <w:pStyle w:val="BTEMEASMCA"/>
      </w:pPr>
    </w:p>
    <w:p w:rsidR="00A64DF5" w:rsidRPr="00C93814" w:rsidRDefault="00A64DF5" w:rsidP="00732C31">
      <w:pPr>
        <w:pStyle w:val="BTEMEASMCA"/>
        <w:rPr>
          <w:u w:val="single"/>
        </w:rPr>
      </w:pPr>
      <w:r w:rsidRPr="00C93814">
        <w:rPr>
          <w:u w:val="single"/>
        </w:rPr>
        <w:t>Galvos ir kaklo vėžys</w:t>
      </w:r>
    </w:p>
    <w:p w:rsidR="00A64DF5" w:rsidRPr="00A64DF5" w:rsidRDefault="00A64DF5" w:rsidP="00732C31">
      <w:pPr>
        <w:pStyle w:val="BTEMEASMCA"/>
      </w:pPr>
    </w:p>
    <w:p w:rsidR="00A64DF5" w:rsidRPr="00A64DF5" w:rsidRDefault="00A64DF5" w:rsidP="00732C31">
      <w:pPr>
        <w:pStyle w:val="BTEMEASMCA"/>
      </w:pPr>
      <w:r w:rsidRPr="00A64DF5">
        <w:t xml:space="preserve">Docetakselis vartojamas kartu su cisplatina ir 5-fluorouracilu lokaliai progresavusio galvos ir kaklo plokščialąstelinio vėžio įvadiniam gydymui. </w:t>
      </w:r>
    </w:p>
    <w:p w:rsidR="00633D05" w:rsidRPr="0084041E" w:rsidRDefault="00633D05" w:rsidP="00732C31">
      <w:pPr>
        <w:pStyle w:val="BTEMEASMCA"/>
      </w:pPr>
    </w:p>
    <w:p w:rsidR="00633D05" w:rsidRPr="0084041E" w:rsidRDefault="00633D05" w:rsidP="00633D05">
      <w:pPr>
        <w:pStyle w:val="PI-2EMEASMCA"/>
      </w:pPr>
      <w:bookmarkStart w:id="14" w:name="_Toc129243103"/>
      <w:bookmarkStart w:id="15" w:name="_Toc129243228"/>
      <w:r w:rsidRPr="0084041E">
        <w:t>4.2</w:t>
      </w:r>
      <w:r w:rsidRPr="0084041E">
        <w:tab/>
        <w:t>Dozavimas ir vartojimo metodas</w:t>
      </w:r>
      <w:bookmarkEnd w:id="14"/>
      <w:bookmarkEnd w:id="15"/>
    </w:p>
    <w:p w:rsidR="00633D05" w:rsidRPr="0084041E" w:rsidRDefault="00633D05" w:rsidP="00732C31">
      <w:pPr>
        <w:pStyle w:val="BTEMEASMCA"/>
      </w:pPr>
    </w:p>
    <w:p w:rsidR="00A64DF5" w:rsidRPr="00A64DF5" w:rsidRDefault="00A64DF5" w:rsidP="00732C31">
      <w:pPr>
        <w:pStyle w:val="BTEMEASMCA"/>
      </w:pPr>
      <w:r w:rsidRPr="00A64DF5">
        <w:t xml:space="preserve">Docetakselį galima vartoti tik specializuotuose citotoksinės chemoterapijos skyriuose, prižiūrint gydytojui – kvalifikuotam priešvėžinės chemoterapijos specialistui (žr. 6.6 skyrių). </w:t>
      </w:r>
    </w:p>
    <w:p w:rsidR="00A64DF5" w:rsidRPr="00A64DF5" w:rsidRDefault="00A64DF5" w:rsidP="00732C31">
      <w:pPr>
        <w:pStyle w:val="BTEMEASMCA"/>
      </w:pPr>
    </w:p>
    <w:p w:rsidR="00A64DF5" w:rsidRPr="00A64DF5" w:rsidRDefault="00A64DF5" w:rsidP="00732C31">
      <w:pPr>
        <w:pStyle w:val="BTEMEASMCA"/>
      </w:pPr>
      <w:r w:rsidRPr="00A64DF5">
        <w:t>Rekomenduojama dozė</w:t>
      </w:r>
    </w:p>
    <w:p w:rsidR="00A64DF5" w:rsidRPr="00A64DF5" w:rsidRDefault="00A64DF5" w:rsidP="00732C31">
      <w:pPr>
        <w:pStyle w:val="BTEMEASMCA"/>
      </w:pPr>
    </w:p>
    <w:p w:rsidR="00A64DF5" w:rsidRPr="00A64DF5" w:rsidRDefault="00A64DF5" w:rsidP="00732C31">
      <w:pPr>
        <w:pStyle w:val="BTEMEASMCA"/>
      </w:pPr>
      <w:r w:rsidRPr="00A64DF5">
        <w:t xml:space="preserve">Jeigu nėra kontraindikacijų, tai, gydant krūties, nesmulkialąstelinį plaučių, skrandžio, galvos ar kaklo vėžį, galima atlikti premedikaciją: 3 dienas duodama gerti kortikosteroido, pvz., deksametazono 16 mg per parą (pvz., 2 kartus po 8 mg). Deksametazonas pradedamas vartoti likus dienai iki docetakselio (žr. 4.4 skyrių). Hematotoksinio poveikio pavojui sumažinti profilaktiškai galima vartoti </w:t>
      </w:r>
      <w:r w:rsidR="009238F8">
        <w:t>granulocitų kolonijas stimuliuojantį faktorių (</w:t>
      </w:r>
      <w:r w:rsidRPr="00A64DF5">
        <w:t>G-KSF</w:t>
      </w:r>
      <w:r w:rsidR="009238F8">
        <w:t>)</w:t>
      </w:r>
      <w:r w:rsidRPr="00A64DF5">
        <w:t xml:space="preserve">. </w:t>
      </w:r>
    </w:p>
    <w:p w:rsidR="00A64DF5" w:rsidRPr="00A64DF5" w:rsidRDefault="00A64DF5" w:rsidP="00732C31">
      <w:pPr>
        <w:pStyle w:val="BTEMEASMCA"/>
      </w:pPr>
    </w:p>
    <w:p w:rsidR="00A64DF5" w:rsidRPr="00A64DF5" w:rsidRDefault="00A64DF5" w:rsidP="00732C31">
      <w:pPr>
        <w:pStyle w:val="BTEMEASMCA"/>
      </w:pPr>
      <w:r w:rsidRPr="00A64DF5">
        <w:t>Gydant prostatos vėžį, premedikacijai rekomenduojama duoti gerti 8 mg deksametazono likus 12 val., 3 val. ir 1 val. iki docetakselio infuzijos, atsižvelgiant į tai, kad kartu vartojamas prednizonas arba prednizolonas (žr. 4.4 skyrių).</w:t>
      </w:r>
    </w:p>
    <w:p w:rsidR="00A64DF5" w:rsidRPr="00A64DF5" w:rsidRDefault="00A64DF5" w:rsidP="00732C31">
      <w:pPr>
        <w:pStyle w:val="BTEMEASMCA"/>
      </w:pPr>
    </w:p>
    <w:p w:rsidR="00A64DF5" w:rsidRPr="00A64DF5" w:rsidRDefault="00A64DF5" w:rsidP="00732C31">
      <w:pPr>
        <w:pStyle w:val="BTEMEASMCA"/>
      </w:pPr>
      <w:r w:rsidRPr="00A64DF5">
        <w:t xml:space="preserve">Docetakselio infuzuojama per 1 val., kas tris savaites. </w:t>
      </w:r>
    </w:p>
    <w:p w:rsidR="00A64DF5" w:rsidRPr="00A64DF5" w:rsidRDefault="00A64DF5" w:rsidP="00732C31">
      <w:pPr>
        <w:pStyle w:val="BTEMEASMCA"/>
      </w:pPr>
    </w:p>
    <w:p w:rsidR="00A64DF5" w:rsidRPr="00A64DF5" w:rsidRDefault="00A64DF5" w:rsidP="00732C31">
      <w:pPr>
        <w:pStyle w:val="BTEMEASMCA"/>
      </w:pPr>
      <w:r w:rsidRPr="00A64DF5">
        <w:t>Krūties vėžys</w:t>
      </w:r>
    </w:p>
    <w:p w:rsidR="00A64DF5" w:rsidRPr="00A64DF5" w:rsidRDefault="00A64DF5" w:rsidP="00732C31">
      <w:pPr>
        <w:pStyle w:val="BTEMEASMCA"/>
      </w:pPr>
      <w:r w:rsidRPr="00A64DF5">
        <w:t xml:space="preserve">Rekomenduojama docetakselio dozė tinkamo operuoti krūties vėžio, metastazavusio į limfmazgius ir nemetastazavusio į limfmazgius, </w:t>
      </w:r>
      <w:r w:rsidR="00080239">
        <w:t>adjuvantiniam</w:t>
      </w:r>
      <w:r w:rsidR="00080239" w:rsidRPr="00A64DF5">
        <w:t xml:space="preserve"> </w:t>
      </w:r>
      <w:r w:rsidRPr="00A64DF5">
        <w:t>gydymui – 75 mg/m</w:t>
      </w:r>
      <w:r w:rsidRPr="00C93814">
        <w:rPr>
          <w:vertAlign w:val="superscript"/>
        </w:rPr>
        <w:t>2</w:t>
      </w:r>
      <w:r w:rsidRPr="00A64DF5">
        <w:t>. Ji infuzuojama 1 val. po 50 mg/m² doksorubicino ir 500 mg/m² ciklofosfamido, kas 3 savaites, iš viso 6 kursus (TAC schema) (taip pat žr. „Dozės keitimas gydymo metu“). Lokaliai progresavusiam ar metastazavusiam krūties vėžiui gydyti rekomenduojama docetakselio dozė monoterapijai – 100 mg/m</w:t>
      </w:r>
      <w:r w:rsidRPr="00C93814">
        <w:rPr>
          <w:vertAlign w:val="superscript"/>
        </w:rPr>
        <w:t>2</w:t>
      </w:r>
      <w:r w:rsidRPr="00A64DF5">
        <w:t xml:space="preserve">. Pirmaeilio gydymo metu 75 mg/m² docetakselio derinama su 50 mg/m² doksorubicino. </w:t>
      </w:r>
    </w:p>
    <w:p w:rsidR="00A64DF5" w:rsidRPr="00A64DF5" w:rsidRDefault="00A64DF5" w:rsidP="00732C31">
      <w:pPr>
        <w:pStyle w:val="BTEMEASMCA"/>
      </w:pPr>
    </w:p>
    <w:p w:rsidR="00A64DF5" w:rsidRPr="00A64DF5" w:rsidRDefault="00A64DF5" w:rsidP="00732C31">
      <w:pPr>
        <w:pStyle w:val="BTEMEASMCA"/>
      </w:pPr>
      <w:r w:rsidRPr="00A64DF5">
        <w:t xml:space="preserve">Rekomenduojama docetakselio dozė kartu vartojant trastuzumabą – 100 mg/m² kas tris savaites (trastuzumabo vartojama kas savaitę). Pagrindinio tyrimo metu pirmoji docetakselio infuzija pradėta kitą dieną po pirmosios trastuzumabo dozės. Kitos docetakselio dozės infuzuotos tuoj pat po trastuzumabo infuzijos, jei ankstesnę trastuzumabo dozę pacientas toleravo gerai. Kaip dozuoti ir vartoti trastuzumabą, nurodyta pastarojo preparato charakteristikų santraukoje. </w:t>
      </w:r>
    </w:p>
    <w:p w:rsidR="00A64DF5" w:rsidRPr="00A64DF5" w:rsidRDefault="00A64DF5" w:rsidP="00732C31">
      <w:pPr>
        <w:pStyle w:val="BTEMEASMCA"/>
      </w:pPr>
    </w:p>
    <w:p w:rsidR="00A64DF5" w:rsidRPr="00A64DF5" w:rsidRDefault="00A64DF5" w:rsidP="00732C31">
      <w:pPr>
        <w:pStyle w:val="BTEMEASMCA"/>
      </w:pPr>
      <w:r w:rsidRPr="00A64DF5">
        <w:lastRenderedPageBreak/>
        <w:t>Rekomenduojama docetakselio dozė kartu vartojant kapecitabiną – 75 mg/m</w:t>
      </w:r>
      <w:r w:rsidRPr="00C93814">
        <w:rPr>
          <w:vertAlign w:val="superscript"/>
        </w:rPr>
        <w:t>2</w:t>
      </w:r>
      <w:r w:rsidRPr="00A64DF5">
        <w:t xml:space="preserve"> kas 3 savaites. Kapecitabino vartojama po 1250 mg/m² du kartus per parą (per 30 min. po valgio) 2 savaites, po kurių daroma savaitės pertrauka. Kaip apskaičiuoti kapecitabino dozę pagal kūno paviršiaus plotą, nurodyta pastarojo </w:t>
      </w:r>
      <w:r w:rsidR="006878FE">
        <w:t xml:space="preserve">preparato </w:t>
      </w:r>
      <w:r w:rsidRPr="00A64DF5">
        <w:t xml:space="preserve">charakteristikų santraukoje. </w:t>
      </w:r>
    </w:p>
    <w:p w:rsidR="00A64DF5" w:rsidRPr="00A64DF5" w:rsidRDefault="00A64DF5" w:rsidP="00732C31">
      <w:pPr>
        <w:pStyle w:val="BTEMEASMCA"/>
      </w:pPr>
    </w:p>
    <w:p w:rsidR="00A64DF5" w:rsidRPr="00A64DF5" w:rsidRDefault="00A64DF5" w:rsidP="00732C31">
      <w:pPr>
        <w:pStyle w:val="BTEMEASMCA"/>
      </w:pPr>
      <w:r w:rsidRPr="00A64DF5">
        <w:t>Nesmulkialąstelinis plaučių vėžys</w:t>
      </w:r>
    </w:p>
    <w:p w:rsidR="00A64DF5" w:rsidRPr="00A64DF5" w:rsidRDefault="00A64DF5" w:rsidP="00732C31">
      <w:pPr>
        <w:pStyle w:val="BTEMEASMCA"/>
      </w:pPr>
      <w:r w:rsidRPr="00A64DF5">
        <w:t xml:space="preserve">Nesmulkialąsteliniam plaučių vėžiui gydyti pacientams, kuriems anksčiau chemoterapija netaikyta, rekomenduojama infuzuoti 75 mg/m² docetakselio, o paskui tuoj pat 75 mg/m² cisplatinos (pastarosios infuzijos trukmė – 30–60 min.). Jei ankstesnė chemoterapija, kurios pagrindinis vaistas – platinos junginys, buvo neveiksminga, tai rekomenduojama vartoti 75 mg/m² docetakselio monoterapiją. </w:t>
      </w:r>
    </w:p>
    <w:p w:rsidR="00A64DF5" w:rsidRPr="00A64DF5" w:rsidRDefault="00A64DF5" w:rsidP="00732C31">
      <w:pPr>
        <w:pStyle w:val="BTEMEASMCA"/>
      </w:pPr>
    </w:p>
    <w:p w:rsidR="00A64DF5" w:rsidRPr="00A64DF5" w:rsidRDefault="00A64DF5" w:rsidP="00732C31">
      <w:pPr>
        <w:pStyle w:val="BTEMEASMCA"/>
      </w:pPr>
      <w:r w:rsidRPr="00A64DF5">
        <w:t>Prostatos vėžys</w:t>
      </w:r>
    </w:p>
    <w:p w:rsidR="00A64DF5" w:rsidRPr="00A64DF5" w:rsidRDefault="00A64DF5" w:rsidP="00732C31">
      <w:pPr>
        <w:pStyle w:val="BTEMEASMCA"/>
      </w:pPr>
      <w:r w:rsidRPr="00A64DF5">
        <w:t xml:space="preserve">Rekomenduojama docetakselio dozė – 75 mg/m². Taip pat duodama gerti 2 kartus per parą po 5 mg prednizono arba prednizolono be pertraukų (žr. 5.1 skyrių). </w:t>
      </w:r>
    </w:p>
    <w:p w:rsidR="00A64DF5" w:rsidRPr="00A64DF5" w:rsidRDefault="00A64DF5" w:rsidP="00732C31">
      <w:pPr>
        <w:pStyle w:val="BTEMEASMCA"/>
      </w:pPr>
    </w:p>
    <w:p w:rsidR="00A64DF5" w:rsidRPr="00A64DF5" w:rsidRDefault="00A64DF5" w:rsidP="00732C31">
      <w:pPr>
        <w:pStyle w:val="BTEMEASMCA"/>
      </w:pPr>
      <w:r w:rsidRPr="00A64DF5">
        <w:t>Skrandžio adenokarcinoma</w:t>
      </w:r>
    </w:p>
    <w:p w:rsidR="00A64DF5" w:rsidRPr="00A64DF5" w:rsidRDefault="00A64DF5" w:rsidP="00732C31">
      <w:pPr>
        <w:pStyle w:val="BTEMEASMCA"/>
      </w:pPr>
      <w:r w:rsidRPr="00A64DF5">
        <w:t xml:space="preserve">Rekomenduojama docetakselio dozė yra 75 mg/m², ji infuzuojama per vieną valandą, po to sulašinama 75 mg/m² cisplatinos dozė (infuzijos trukmė – 1–3 val.); abiejų vaistinių preparatų infuzuojama tik pirmąją dieną. Po to 5 dienas infuzuojama 750 mg/m² 5-fluorouracilo dozė (nepertraukiamos infuzijos trukmė 24 valandos, pirmoji infuzija pradedama iš karto po cisplatinos infuzijos pabaigos). Toks gydymo kursas kartojamas kas tris savaites. Prieš cisplatinos infuziją pacientams būtina skirti vaistinių preparatų nuo vėmimo bei sulašinti reikiamą kiekį skysčių. Hematologinio toksinio poveikio komplikacijų rizikai sumažinti turėtų būti taikoma profilaktika G-KSF (žr. poskyrį „Dozės keitimas gydymo metu“). </w:t>
      </w:r>
    </w:p>
    <w:p w:rsidR="00A64DF5" w:rsidRPr="00A64DF5" w:rsidRDefault="00A64DF5" w:rsidP="00732C31">
      <w:pPr>
        <w:pStyle w:val="BTEMEASMCA"/>
      </w:pPr>
    </w:p>
    <w:p w:rsidR="00A64DF5" w:rsidRPr="00A64DF5" w:rsidRDefault="00A64DF5" w:rsidP="00732C31">
      <w:pPr>
        <w:pStyle w:val="BTEMEASMCA"/>
      </w:pPr>
      <w:r w:rsidRPr="00A64DF5">
        <w:t>Galvos ir kaklo vėžys</w:t>
      </w:r>
    </w:p>
    <w:p w:rsidR="00A64DF5" w:rsidRPr="00A64DF5" w:rsidRDefault="00A64DF5" w:rsidP="00732C31">
      <w:pPr>
        <w:pStyle w:val="BTEMEASMCA"/>
      </w:pPr>
    </w:p>
    <w:p w:rsidR="00A64DF5" w:rsidRPr="00A64DF5" w:rsidRDefault="00A64DF5" w:rsidP="00732C31">
      <w:pPr>
        <w:pStyle w:val="BTEMEASMCA"/>
      </w:pPr>
      <w:r w:rsidRPr="00A64DF5">
        <w:t xml:space="preserve">Prieš cisplatinos infuziją ir po jos pacientams būtina skirti vaistinių preparatų nuo vėmimo bei sulašinti reikiamą kiekį skysčių. Hematotoksinio poveikio pavojui sumažinti profilaktiškai galima vartoti G-KSF. TAX 323 bei TAX 324 tyrimų metu visi docetakseliu gydyti pacientai profilaktiškai vartojo antibiotikų. </w:t>
      </w:r>
    </w:p>
    <w:p w:rsidR="00A64DF5" w:rsidRPr="00A64DF5" w:rsidRDefault="00A64DF5" w:rsidP="00732C31">
      <w:pPr>
        <w:pStyle w:val="BTEMEASMCA"/>
      </w:pPr>
    </w:p>
    <w:p w:rsidR="00A64DF5" w:rsidRPr="00A64DF5" w:rsidRDefault="00FD7D24" w:rsidP="00732C31">
      <w:pPr>
        <w:pStyle w:val="BTEMEASMCA"/>
        <w:numPr>
          <w:ilvl w:val="0"/>
          <w:numId w:val="3"/>
        </w:numPr>
      </w:pPr>
      <w:r w:rsidRPr="00A64DF5">
        <w:t>Įvadinė chemoterapija, po kurios taikoma radioterapija (TAX 323)</w:t>
      </w:r>
      <w:r>
        <w:t>.</w:t>
      </w:r>
      <w:r w:rsidRPr="00A64DF5">
        <w:t xml:space="preserve"> </w:t>
      </w:r>
      <w:r w:rsidR="00A64DF5" w:rsidRPr="00A64DF5">
        <w:t xml:space="preserve">Įvadiniam neoperuotinos lokalios progresavusios plokščialąstelinės galvos ir kaklo karcinomos (PGKK) gydymui rekomenduojama docetakselio dozė yra 75 mg/m² kūno paviršiaus. Ji infuzuojama į veną per valandą. Po jos pirmąją gydymo ciklo parą į veną per valandą infuzuojama 75 mg/m² kūno paviršiaus cisplatinos dozė, o po jos penkias paras iš eilės nepertraukiamai infuzuojama po 750 mg/m² kūno paviršiaus 5-fluorouracilo per parą. Toks gydymo ciklas kartojamas kas 3 savaites. Iš viso taikomi 4 gydymo ciklai. Baigus chemoterapiją, pacientui reikia taikyti radioterapiją. </w:t>
      </w:r>
    </w:p>
    <w:p w:rsidR="00A64DF5" w:rsidRPr="00A64DF5" w:rsidRDefault="00A64DF5" w:rsidP="00732C31">
      <w:pPr>
        <w:pStyle w:val="BTEMEASMCA"/>
      </w:pPr>
    </w:p>
    <w:p w:rsidR="00A64DF5" w:rsidRPr="00A64DF5" w:rsidRDefault="00A64DF5" w:rsidP="00732C31">
      <w:pPr>
        <w:pStyle w:val="BTEMEASMCA"/>
        <w:numPr>
          <w:ilvl w:val="0"/>
          <w:numId w:val="3"/>
        </w:numPr>
      </w:pPr>
      <w:r w:rsidRPr="00A64DF5">
        <w:t>Įvadinei chemoterapijai, po kurios taikoma chemoradioterapija (TAX 324)</w:t>
      </w:r>
      <w:r w:rsidR="001E26A9">
        <w:t>.</w:t>
      </w:r>
      <w:r w:rsidRPr="00A64DF5">
        <w:t xml:space="preserve"> Įvadiniam lokalios progresavusios plokščialąstelinės galvos ir kaklo karcinomos (PGKK) gydymui (jeigu rezekcija techniškai yra neįmanoma, išgydymo chirurginiu būdu tikimybė yra maža arba siekiama išsaugoti organą) rekomenduojama docetakselio dozė yra 75 mg/m² kūno paviršiaus. Ji infuzuojama į veną per valandą pirmąją gydymo ciklo parą. Po jos per 30 min. – 3 val. infuzuojama 100 mg/m² kūno paviršiaus cisplatinos dozė, o po to nuo pirmosios iki ketvirtosios gydymo ciklo paros nepertraukiamai infuzuojama po 1000 mg/m² kūno paviršiaus 5-fluorouracilo per parą. Toks gydymo ciklas kartojamas kas 3 savaites. Iš viso taikomi 3 gydymo ciklai. Baigus chemoterapiją, pacientui reikia taikyti chemoradioterapiją. </w:t>
      </w:r>
    </w:p>
    <w:p w:rsidR="00A64DF5" w:rsidRPr="00A64DF5" w:rsidRDefault="00A64DF5" w:rsidP="00732C31">
      <w:pPr>
        <w:pStyle w:val="BTEMEASMCA"/>
      </w:pPr>
    </w:p>
    <w:p w:rsidR="00A64DF5" w:rsidRPr="00A64DF5" w:rsidRDefault="00A64DF5" w:rsidP="00732C31">
      <w:pPr>
        <w:pStyle w:val="BTEMEASMCA"/>
      </w:pPr>
      <w:r w:rsidRPr="00A64DF5">
        <w:t>Informacij</w:t>
      </w:r>
      <w:r w:rsidR="00785A6B">
        <w:t>a</w:t>
      </w:r>
      <w:r w:rsidRPr="00A64DF5">
        <w:t xml:space="preserve"> apie cisplatinos ir 5-fluorouracilo dozės keitimą pateikta šių preparatų charakteristikų santraukose. </w:t>
      </w:r>
    </w:p>
    <w:p w:rsidR="00A64DF5" w:rsidRPr="00A64DF5" w:rsidRDefault="00A64DF5" w:rsidP="00732C31">
      <w:pPr>
        <w:pStyle w:val="BTEMEASMCA"/>
      </w:pPr>
    </w:p>
    <w:p w:rsidR="00A64DF5" w:rsidRPr="00A64DF5" w:rsidRDefault="00A64DF5" w:rsidP="00732C31">
      <w:pPr>
        <w:pStyle w:val="BTEMEASMCA"/>
      </w:pPr>
      <w:r w:rsidRPr="00A64DF5">
        <w:t>Dozės keitimas gydymo metu</w:t>
      </w:r>
    </w:p>
    <w:p w:rsidR="00A64DF5" w:rsidRPr="00A64DF5" w:rsidRDefault="00A64DF5" w:rsidP="00732C31">
      <w:pPr>
        <w:pStyle w:val="BTEMEASMCA"/>
      </w:pPr>
    </w:p>
    <w:p w:rsidR="00A64DF5" w:rsidRPr="00A64DF5" w:rsidRDefault="00A64DF5" w:rsidP="00732C31">
      <w:pPr>
        <w:pStyle w:val="BTEMEASMCA"/>
      </w:pPr>
      <w:r w:rsidRPr="00A64DF5">
        <w:t>Bendrosios pastabos</w:t>
      </w:r>
    </w:p>
    <w:p w:rsidR="00A64DF5" w:rsidRPr="00A64DF5" w:rsidRDefault="00A64DF5" w:rsidP="00732C31">
      <w:pPr>
        <w:pStyle w:val="BTEMEASMCA"/>
      </w:pPr>
      <w:r w:rsidRPr="00A64DF5">
        <w:lastRenderedPageBreak/>
        <w:t>Docetakselio galima infuzuoti tada, kai neutrofilų skaičius yra ≥ 1500 ląstelių/mm</w:t>
      </w:r>
      <w:r w:rsidRPr="00C93814">
        <w:rPr>
          <w:vertAlign w:val="superscript"/>
        </w:rPr>
        <w:t>3</w:t>
      </w:r>
      <w:r w:rsidRPr="00A64DF5">
        <w:t>. Jei gydymo docetakseliu metu pasireiškė febrilinė neutropenija, neutrofilų skaičius ilgiau kaip savaitę yra &lt; 500 ląstelių/mm</w:t>
      </w:r>
      <w:r w:rsidRPr="00C93814">
        <w:rPr>
          <w:vertAlign w:val="superscript"/>
        </w:rPr>
        <w:t>3</w:t>
      </w:r>
      <w:r w:rsidRPr="00A64DF5">
        <w:t xml:space="preserve">, pasireiškė sunki ar kumuliacinė odos reakcija arba sunki periferinė neuropatija, reikia mažinti docetakselio dozę: 100 mg/m² kūno paviršiaus dozę mažinti iki 75 mg/m² kūno paviršiaus, 75 mg/m² kūno paviršiaus dozę iki 60 mg/m² kūno paviršiaus. Jei minėtąją reakciją sukelia ir 60 mg/m² kūno paviršiaus dozė, gydymą šiuo vaistiniu preparatu reikia nutraukti. </w:t>
      </w:r>
    </w:p>
    <w:p w:rsidR="00A64DF5" w:rsidRPr="00A64DF5" w:rsidRDefault="00A64DF5" w:rsidP="00732C31">
      <w:pPr>
        <w:pStyle w:val="BTEMEASMCA"/>
      </w:pPr>
    </w:p>
    <w:p w:rsidR="00A64DF5" w:rsidRPr="00A64DF5" w:rsidRDefault="00A64DF5" w:rsidP="00732C31">
      <w:pPr>
        <w:pStyle w:val="BTEMEASMCA"/>
      </w:pPr>
      <w:r w:rsidRPr="00A64DF5">
        <w:t>Adjuvantinis krūties vėžio gydymas</w:t>
      </w:r>
    </w:p>
    <w:p w:rsidR="00A64DF5" w:rsidRPr="00A64DF5" w:rsidRDefault="00271A35" w:rsidP="00732C31">
      <w:pPr>
        <w:pStyle w:val="BTEMEASMCA"/>
      </w:pPr>
      <w:r w:rsidRPr="00A64DF5">
        <w:t>Pacient</w:t>
      </w:r>
      <w:r>
        <w:t>a</w:t>
      </w:r>
      <w:r w:rsidRPr="00A64DF5">
        <w:t>ms</w:t>
      </w:r>
      <w:r w:rsidR="00A64DF5" w:rsidRPr="00A64DF5">
        <w:t xml:space="preserve">, </w:t>
      </w:r>
      <w:r w:rsidRPr="00A64DF5">
        <w:t>kuri</w:t>
      </w:r>
      <w:r>
        <w:t>e</w:t>
      </w:r>
      <w:r w:rsidRPr="00A64DF5">
        <w:t xml:space="preserve">ms </w:t>
      </w:r>
      <w:r w:rsidR="00A64DF5" w:rsidRPr="00A64DF5">
        <w:t xml:space="preserve">taikomas docetakselio, doksorubicino ir ciklofosfamido (TAC) adjuvantinis gydymas krūties vėžiui gydyti, rekomenduojama taikyti pirminį profilaktinį gydymą G-KSF. </w:t>
      </w:r>
      <w:r w:rsidRPr="00A64DF5">
        <w:t>Pacient</w:t>
      </w:r>
      <w:r>
        <w:t>a</w:t>
      </w:r>
      <w:r w:rsidRPr="00A64DF5">
        <w:t>ms</w:t>
      </w:r>
      <w:r w:rsidR="00A64DF5" w:rsidRPr="00A64DF5">
        <w:t xml:space="preserve">, </w:t>
      </w:r>
      <w:r w:rsidRPr="00A64DF5">
        <w:t>kuri</w:t>
      </w:r>
      <w:r>
        <w:t>e</w:t>
      </w:r>
      <w:r w:rsidRPr="00A64DF5">
        <w:t xml:space="preserve">ms </w:t>
      </w:r>
      <w:r w:rsidR="00A64DF5" w:rsidRPr="00A64DF5">
        <w:t xml:space="preserve">pasireiškia febrilinė neutropenija ir (arba) neutropeninė infekcija, reikia docetakselio dozę sumažinti iki 60 mg/m² kūno paviršiaus visuose vėlesniuose cikluose (žr. 4.4 ir 4.8 skyrių). Jeigu pasireiškia 3-iojo arba 4-ojo laipsnio stomatitas, docetakselio dozę reikia mažinti iki 60 mg/m² kūno paviršiaus. </w:t>
      </w:r>
    </w:p>
    <w:p w:rsidR="00A64DF5" w:rsidRPr="00A64DF5" w:rsidRDefault="00A64DF5" w:rsidP="00732C31">
      <w:pPr>
        <w:pStyle w:val="BTEMEASMCA"/>
      </w:pPr>
    </w:p>
    <w:p w:rsidR="00A64DF5" w:rsidRPr="00A64DF5" w:rsidRDefault="00A64DF5" w:rsidP="00732C31">
      <w:pPr>
        <w:pStyle w:val="BTEMEASMCA"/>
      </w:pPr>
      <w:r w:rsidRPr="00A64DF5">
        <w:t>Derinant su cisplatina</w:t>
      </w:r>
    </w:p>
    <w:p w:rsidR="00A64DF5" w:rsidRPr="00A64DF5" w:rsidRDefault="00A64DF5" w:rsidP="00732C31">
      <w:pPr>
        <w:pStyle w:val="BTEMEASMCA"/>
      </w:pPr>
      <w:r w:rsidRPr="00A64DF5">
        <w:t>Pacientams, kurie pradedami gydyti 75 mg/m² kūno paviršiaus docetakselio dozės ir cisplatinos deriniu ir kuriems ankstesnio gydymo ciklo metu mažiausias trombocitų skaičius buvo &lt; 25 000 ląstelių/mm</w:t>
      </w:r>
      <w:r w:rsidRPr="00C93814">
        <w:rPr>
          <w:vertAlign w:val="superscript"/>
        </w:rPr>
        <w:t>3</w:t>
      </w:r>
      <w:r w:rsidRPr="00A64DF5">
        <w:t xml:space="preserve"> arba kuriems pasireiškė febrilinė neutropenija ar sunkus toksinis poveikis ne kraujui, kitų gydymo ciklų docetakselio dozę reikia mažinti iki 65 mg/m² kūno paviršiaus. Kaip keisti cisplatinos dozę, nurodyta cisplatinos charakteristikų santraukoje. </w:t>
      </w:r>
    </w:p>
    <w:p w:rsidR="00A64DF5" w:rsidRPr="00A64DF5" w:rsidRDefault="00A64DF5" w:rsidP="00732C31">
      <w:pPr>
        <w:pStyle w:val="BTEMEASMCA"/>
      </w:pPr>
    </w:p>
    <w:p w:rsidR="00A64DF5" w:rsidRPr="00A64DF5" w:rsidRDefault="00A64DF5" w:rsidP="00732C31">
      <w:pPr>
        <w:pStyle w:val="BTEMEASMCA"/>
      </w:pPr>
      <w:r w:rsidRPr="00A64DF5">
        <w:t>Derinant su kapecitabin</w:t>
      </w:r>
      <w:r w:rsidR="00C360FB">
        <w:t>u</w:t>
      </w:r>
    </w:p>
    <w:p w:rsidR="00A64DF5" w:rsidRPr="00A64DF5" w:rsidRDefault="00A64DF5" w:rsidP="00732C31">
      <w:pPr>
        <w:pStyle w:val="BTEMEASMCA"/>
      </w:pPr>
    </w:p>
    <w:p w:rsidR="00F848FC" w:rsidRPr="00A64DF5" w:rsidRDefault="00F848FC" w:rsidP="00F848FC">
      <w:pPr>
        <w:pStyle w:val="BTEMEASMCA"/>
        <w:numPr>
          <w:ilvl w:val="0"/>
          <w:numId w:val="3"/>
        </w:numPr>
        <w:jc w:val="both"/>
      </w:pPr>
      <w:r w:rsidRPr="00A64DF5">
        <w:t xml:space="preserve">Kaip keisti kapecitabino dozę, nurodyta kapecitabino charakteristikų santraukoje. </w:t>
      </w:r>
    </w:p>
    <w:p w:rsidR="00F848FC" w:rsidRPr="00A64DF5" w:rsidRDefault="00F848FC" w:rsidP="00F848FC">
      <w:pPr>
        <w:pStyle w:val="BTEMEASMCA"/>
        <w:numPr>
          <w:ilvl w:val="0"/>
          <w:numId w:val="3"/>
        </w:numPr>
        <w:jc w:val="both"/>
      </w:pPr>
      <w:r w:rsidRPr="00A64DF5">
        <w:t xml:space="preserve">Pacientams, kuriems pirmą kartą pasireiškia 2-ojo laipsnio toksinis poveikis, kuris išsilaiko iki kito gydymo docetakselio ir kapecitabino deriniu ciklo pradžios, gydymą reikia atidėti tol, kol toksinis poveikis susilpnės iki 0–1 laipsnio, o po to gydyti visa (100%) įprastine docetakselio doze. </w:t>
      </w:r>
    </w:p>
    <w:p w:rsidR="00F848FC" w:rsidRPr="00A64DF5" w:rsidRDefault="00F848FC" w:rsidP="00F848FC">
      <w:pPr>
        <w:pStyle w:val="BTEMEASMCA"/>
        <w:numPr>
          <w:ilvl w:val="0"/>
          <w:numId w:val="3"/>
        </w:numPr>
        <w:jc w:val="both"/>
      </w:pPr>
      <w:r w:rsidRPr="00A64DF5">
        <w:t xml:space="preserve">Pacientams, kuriems bet kuriuo gydymo ciklo laikotarpiu antrą kartą pasireiškė 2-ojo laipsnio toksinis poveikis arba pirmą kartą pasireiškė 3-iojo laipsnio toksinis poveikis, gydymą reikia atidėti tol, kol toksinis poveikis susilpnės iki 0–1 laipsnio, o po to gydyti 55 mg/m² kūno paviršiaus docetakselio doze. </w:t>
      </w:r>
    </w:p>
    <w:p w:rsidR="00F848FC" w:rsidRPr="00A64DF5" w:rsidRDefault="00F848FC" w:rsidP="00F848FC">
      <w:pPr>
        <w:pStyle w:val="BTEMEASMCA"/>
        <w:numPr>
          <w:ilvl w:val="0"/>
          <w:numId w:val="3"/>
        </w:numPr>
        <w:jc w:val="both"/>
      </w:pPr>
      <w:r w:rsidRPr="00A64DF5">
        <w:t xml:space="preserve">Jeigu ir po to vėl pasireiškia minėtasis toksinis poveikis arba bet koks 4-ojo laipsnio toksinis poveikis, gydymą docetakseliu reikia nutraukti. </w:t>
      </w:r>
    </w:p>
    <w:p w:rsidR="00F848FC" w:rsidRPr="00A64DF5" w:rsidRDefault="00F848FC" w:rsidP="00F848FC">
      <w:pPr>
        <w:pStyle w:val="BTEMEASMCA"/>
      </w:pPr>
    </w:p>
    <w:p w:rsidR="00A64DF5" w:rsidRPr="00A64DF5" w:rsidRDefault="00A64DF5" w:rsidP="00732C31">
      <w:pPr>
        <w:pStyle w:val="BTEMEASMCA"/>
      </w:pPr>
      <w:r w:rsidRPr="00A64DF5">
        <w:t xml:space="preserve">Kaip keisti trastuzumabo dozę, nurodyta trastuzumabo charakteristikų santraukoje. </w:t>
      </w:r>
    </w:p>
    <w:p w:rsidR="00A64DF5" w:rsidRPr="00A64DF5" w:rsidRDefault="00A64DF5" w:rsidP="00732C31">
      <w:pPr>
        <w:pStyle w:val="BTEMEASMCA"/>
      </w:pPr>
    </w:p>
    <w:p w:rsidR="00A64DF5" w:rsidRPr="00A64DF5" w:rsidRDefault="00A64DF5" w:rsidP="00732C31">
      <w:pPr>
        <w:pStyle w:val="BTEMEASMCA"/>
      </w:pPr>
      <w:r w:rsidRPr="00A64DF5">
        <w:t>Derinant su cisplatina ir 5-fluorouracilu</w:t>
      </w:r>
    </w:p>
    <w:p w:rsidR="00A64DF5" w:rsidRPr="00A64DF5" w:rsidRDefault="00A64DF5" w:rsidP="00732C31">
      <w:pPr>
        <w:pStyle w:val="BTEMEASMCA"/>
      </w:pPr>
      <w:r w:rsidRPr="00A64DF5">
        <w:t>Jeigu, nepaisant G-KSF vartojimo, pasireiškia febrilinės neutropenijos epizodas, ilgalaikė neutropenija ar su neutropenija susijusi infekcija, 75 mg/m² kūno paviršiaus docetakselio dozę reikia mažinti iki 60 mg/m² kūno paviršiaus. Jeigu ir po to pasireiškia komplikuotos neutropenijos epizodų, 60 mg/m² kūno paviršiaus docetakselio dozę reikia mažinti iki 45 mg/m² kūno paviršiaus dozės. Jeigu pasireiškia 4-ojo laipsnio trombocitopenija, 75 mg/m² kūno paviršiaus docetakselio dozę reikia mažinti iki 60 mg/m² kūno paviršiaus. Kitų gydymo docetakseliu ciklų negalima taikyti tol, kol neutrofilų skaičius netaps &gt; 1500 ląstelių/mm</w:t>
      </w:r>
      <w:r w:rsidRPr="00C93814">
        <w:rPr>
          <w:vertAlign w:val="superscript"/>
        </w:rPr>
        <w:t>3</w:t>
      </w:r>
      <w:r w:rsidRPr="00A64DF5">
        <w:t>, trombocitų &gt; 100 000 ląstelių/mm</w:t>
      </w:r>
      <w:r w:rsidRPr="00C93814">
        <w:rPr>
          <w:vertAlign w:val="superscript"/>
        </w:rPr>
        <w:t>3</w:t>
      </w:r>
      <w:r w:rsidRPr="00A64DF5">
        <w:t xml:space="preserve">. Jeigu minėtasis toksinis poveikis išsilaiko, gydymą docetakseliu reikia nutraukti (žr. 4.4 skyrių). Rekomenduojamas dozės keitimas dėl toksinio poveikio pacientams, gydomiems docetakselio, cisplatinos ir 5-fluorouracilo (5-FU) deriniu: </w:t>
      </w:r>
    </w:p>
    <w:p w:rsidR="00A64DF5" w:rsidRPr="00A64DF5" w:rsidRDefault="00A64DF5" w:rsidP="00732C31">
      <w:pPr>
        <w:pStyle w:val="BTEMEASMCA"/>
      </w:pPr>
    </w:p>
    <w:tbl>
      <w:tblPr>
        <w:tblW w:w="0" w:type="auto"/>
        <w:tblLayout w:type="fixed"/>
        <w:tblLook w:val="0000" w:firstRow="0" w:lastRow="0" w:firstColumn="0" w:lastColumn="0" w:noHBand="0" w:noVBand="0"/>
      </w:tblPr>
      <w:tblGrid>
        <w:gridCol w:w="2820"/>
        <w:gridCol w:w="6378"/>
      </w:tblGrid>
      <w:tr w:rsidR="00A64DF5" w:rsidRPr="00A64DF5" w:rsidTr="00A64DF5">
        <w:trPr>
          <w:trHeight w:val="148"/>
        </w:trPr>
        <w:tc>
          <w:tcPr>
            <w:tcW w:w="2820" w:type="dxa"/>
            <w:tcBorders>
              <w:top w:val="single" w:sz="6" w:space="0" w:color="000000"/>
              <w:left w:val="single" w:sz="4" w:space="0" w:color="000000"/>
              <w:bottom w:val="single" w:sz="4" w:space="0" w:color="000000"/>
              <w:right w:val="single" w:sz="4" w:space="0" w:color="000000"/>
            </w:tcBorders>
            <w:vAlign w:val="center"/>
          </w:tcPr>
          <w:p w:rsidR="00A64DF5" w:rsidRPr="00DC16A2" w:rsidRDefault="00A64DF5" w:rsidP="00732C31">
            <w:pPr>
              <w:pStyle w:val="BTEMEASMCA"/>
              <w:rPr>
                <w:lang w:val="lt-LT"/>
              </w:rPr>
            </w:pPr>
            <w:r w:rsidRPr="00DC16A2">
              <w:rPr>
                <w:lang w:val="lt-LT"/>
              </w:rPr>
              <w:t xml:space="preserve">Toksinis poveikis </w:t>
            </w:r>
          </w:p>
        </w:tc>
        <w:tc>
          <w:tcPr>
            <w:tcW w:w="6378" w:type="dxa"/>
            <w:tcBorders>
              <w:top w:val="single" w:sz="6" w:space="0" w:color="000000"/>
              <w:left w:val="single" w:sz="4" w:space="0" w:color="000000"/>
              <w:bottom w:val="single" w:sz="4" w:space="0" w:color="000000"/>
              <w:right w:val="single" w:sz="4" w:space="0" w:color="000000"/>
            </w:tcBorders>
            <w:vAlign w:val="center"/>
          </w:tcPr>
          <w:p w:rsidR="00A64DF5" w:rsidRPr="00DC16A2" w:rsidRDefault="00A64DF5" w:rsidP="00732C31">
            <w:pPr>
              <w:pStyle w:val="BTEMEASMCA"/>
              <w:rPr>
                <w:lang w:val="lt-LT"/>
              </w:rPr>
            </w:pPr>
            <w:r w:rsidRPr="00DC16A2">
              <w:rPr>
                <w:lang w:val="lt-LT"/>
              </w:rPr>
              <w:t xml:space="preserve">Dozės keitimas </w:t>
            </w:r>
          </w:p>
        </w:tc>
      </w:tr>
      <w:tr w:rsidR="00A64DF5" w:rsidRPr="00A64DF5" w:rsidTr="00A64DF5">
        <w:trPr>
          <w:trHeight w:val="281"/>
        </w:trPr>
        <w:tc>
          <w:tcPr>
            <w:tcW w:w="2820" w:type="dxa"/>
            <w:tcBorders>
              <w:top w:val="single" w:sz="4" w:space="0" w:color="000000"/>
              <w:left w:val="single" w:sz="4" w:space="0" w:color="000000"/>
              <w:bottom w:val="single" w:sz="4" w:space="0" w:color="000000"/>
              <w:right w:val="single" w:sz="4" w:space="0" w:color="000000"/>
            </w:tcBorders>
          </w:tcPr>
          <w:p w:rsidR="00A64DF5" w:rsidRPr="00DC16A2" w:rsidRDefault="00A64DF5" w:rsidP="00732C31">
            <w:pPr>
              <w:pStyle w:val="BTEMEASMCA"/>
              <w:rPr>
                <w:lang w:val="lt-LT"/>
              </w:rPr>
            </w:pPr>
            <w:r w:rsidRPr="00DC16A2">
              <w:rPr>
                <w:lang w:val="lt-LT"/>
              </w:rPr>
              <w:t xml:space="preserve">3-ojo laipsnio viduriavimas </w:t>
            </w:r>
          </w:p>
        </w:tc>
        <w:tc>
          <w:tcPr>
            <w:tcW w:w="6378" w:type="dxa"/>
            <w:tcBorders>
              <w:top w:val="single" w:sz="4" w:space="0" w:color="000000"/>
              <w:left w:val="single" w:sz="4" w:space="0" w:color="000000"/>
              <w:bottom w:val="single" w:sz="4" w:space="0" w:color="000000"/>
              <w:right w:val="single" w:sz="4" w:space="0" w:color="000000"/>
            </w:tcBorders>
          </w:tcPr>
          <w:p w:rsidR="00CD66EA" w:rsidRPr="00DC16A2" w:rsidRDefault="00A64DF5" w:rsidP="00732C31">
            <w:pPr>
              <w:pStyle w:val="BTEMEASMCA"/>
              <w:rPr>
                <w:lang w:val="lt-LT"/>
              </w:rPr>
            </w:pPr>
            <w:r w:rsidRPr="00DC16A2">
              <w:rPr>
                <w:lang w:val="lt-LT"/>
              </w:rPr>
              <w:t>Pirmasis epizodas: mažinti 5-FU dozę 20 %.</w:t>
            </w:r>
          </w:p>
          <w:p w:rsidR="00A64DF5" w:rsidRPr="00DC16A2" w:rsidRDefault="00A64DF5" w:rsidP="00732C31">
            <w:pPr>
              <w:pStyle w:val="BTEMEASMCA"/>
              <w:rPr>
                <w:lang w:val="lt-LT"/>
              </w:rPr>
            </w:pPr>
            <w:r w:rsidRPr="00DC16A2">
              <w:rPr>
                <w:lang w:val="lt-LT"/>
              </w:rPr>
              <w:t xml:space="preserve">Antrasis epizodas: mažinti docetakselio dozę 20 %. </w:t>
            </w:r>
          </w:p>
        </w:tc>
      </w:tr>
      <w:tr w:rsidR="00A64DF5" w:rsidRPr="00A64DF5" w:rsidTr="00A64DF5">
        <w:trPr>
          <w:trHeight w:val="282"/>
        </w:trPr>
        <w:tc>
          <w:tcPr>
            <w:tcW w:w="2820" w:type="dxa"/>
            <w:tcBorders>
              <w:top w:val="single" w:sz="4" w:space="0" w:color="000000"/>
              <w:left w:val="single" w:sz="4" w:space="0" w:color="000000"/>
              <w:bottom w:val="single" w:sz="4" w:space="0" w:color="000000"/>
              <w:right w:val="single" w:sz="4" w:space="0" w:color="000000"/>
            </w:tcBorders>
          </w:tcPr>
          <w:p w:rsidR="00A64DF5" w:rsidRPr="00DC16A2" w:rsidRDefault="00A64DF5" w:rsidP="00732C31">
            <w:pPr>
              <w:pStyle w:val="BTEMEASMCA"/>
              <w:rPr>
                <w:lang w:val="lt-LT"/>
              </w:rPr>
            </w:pPr>
            <w:r w:rsidRPr="00DC16A2">
              <w:rPr>
                <w:lang w:val="lt-LT"/>
              </w:rPr>
              <w:t xml:space="preserve">4-ojo laipsnio viduriavimas </w:t>
            </w:r>
          </w:p>
        </w:tc>
        <w:tc>
          <w:tcPr>
            <w:tcW w:w="6378" w:type="dxa"/>
            <w:tcBorders>
              <w:top w:val="single" w:sz="4" w:space="0" w:color="000000"/>
              <w:left w:val="single" w:sz="4" w:space="0" w:color="000000"/>
              <w:bottom w:val="single" w:sz="4" w:space="0" w:color="000000"/>
              <w:right w:val="single" w:sz="4" w:space="0" w:color="000000"/>
            </w:tcBorders>
          </w:tcPr>
          <w:p w:rsidR="00CD66EA" w:rsidRPr="00DC16A2" w:rsidRDefault="00A64DF5" w:rsidP="00732C31">
            <w:pPr>
              <w:pStyle w:val="BTEMEASMCA"/>
              <w:rPr>
                <w:lang w:val="lt-LT"/>
              </w:rPr>
            </w:pPr>
            <w:r w:rsidRPr="00DC16A2">
              <w:rPr>
                <w:lang w:val="lt-LT"/>
              </w:rPr>
              <w:t>Pirmasis epizodas: mažinti docetakselio ir 5-FU dozę 20 %.</w:t>
            </w:r>
          </w:p>
          <w:p w:rsidR="00A64DF5" w:rsidRPr="00DC16A2" w:rsidRDefault="00A64DF5" w:rsidP="00732C31">
            <w:pPr>
              <w:pStyle w:val="BTEMEASMCA"/>
              <w:rPr>
                <w:lang w:val="lt-LT"/>
              </w:rPr>
            </w:pPr>
            <w:r w:rsidRPr="00DC16A2">
              <w:rPr>
                <w:lang w:val="lt-LT"/>
              </w:rPr>
              <w:t xml:space="preserve">Antrasis epizodas: gydymą nutraukti. </w:t>
            </w:r>
          </w:p>
        </w:tc>
      </w:tr>
      <w:tr w:rsidR="00A64DF5" w:rsidRPr="00A64DF5" w:rsidTr="00A64DF5">
        <w:trPr>
          <w:trHeight w:val="556"/>
        </w:trPr>
        <w:tc>
          <w:tcPr>
            <w:tcW w:w="2820" w:type="dxa"/>
            <w:tcBorders>
              <w:top w:val="single" w:sz="4" w:space="0" w:color="000000"/>
              <w:left w:val="single" w:sz="4" w:space="0" w:color="000000"/>
              <w:bottom w:val="single" w:sz="4" w:space="0" w:color="000000"/>
              <w:right w:val="single" w:sz="4" w:space="0" w:color="000000"/>
            </w:tcBorders>
          </w:tcPr>
          <w:p w:rsidR="00A64DF5" w:rsidRPr="00DC16A2" w:rsidRDefault="00A64DF5" w:rsidP="00732C31">
            <w:pPr>
              <w:pStyle w:val="BTEMEASMCA"/>
              <w:rPr>
                <w:lang w:val="lt-LT"/>
              </w:rPr>
            </w:pPr>
            <w:r w:rsidRPr="00DC16A2">
              <w:rPr>
                <w:lang w:val="lt-LT"/>
              </w:rPr>
              <w:t xml:space="preserve">3-ojo laipsnio stomatitas / mukozitas </w:t>
            </w:r>
          </w:p>
        </w:tc>
        <w:tc>
          <w:tcPr>
            <w:tcW w:w="6378" w:type="dxa"/>
            <w:tcBorders>
              <w:top w:val="single" w:sz="4" w:space="0" w:color="000000"/>
              <w:left w:val="single" w:sz="4" w:space="0" w:color="000000"/>
              <w:bottom w:val="single" w:sz="4" w:space="0" w:color="000000"/>
              <w:right w:val="single" w:sz="4" w:space="0" w:color="000000"/>
            </w:tcBorders>
          </w:tcPr>
          <w:p w:rsidR="00CD66EA" w:rsidRPr="00DC16A2" w:rsidRDefault="00A64DF5" w:rsidP="00732C31">
            <w:pPr>
              <w:pStyle w:val="BTEMEASMCA"/>
              <w:rPr>
                <w:lang w:val="lt-LT"/>
              </w:rPr>
            </w:pPr>
            <w:r w:rsidRPr="00DC16A2">
              <w:rPr>
                <w:lang w:val="lt-LT"/>
              </w:rPr>
              <w:t>Pirmasis epizodas: mažinti 5-FU dozę 20 %.</w:t>
            </w:r>
          </w:p>
          <w:p w:rsidR="00CD66EA" w:rsidRPr="00DC16A2" w:rsidRDefault="00A64DF5" w:rsidP="00CD66EA">
            <w:pPr>
              <w:pStyle w:val="BTEMEASMCA"/>
              <w:rPr>
                <w:lang w:val="lt-LT"/>
              </w:rPr>
            </w:pPr>
            <w:r w:rsidRPr="00DC16A2">
              <w:rPr>
                <w:lang w:val="lt-LT"/>
              </w:rPr>
              <w:t>Antrasis epizodas: nutraukti tik gydymą 5-FU ir visų kitų ciklų metu juo nebegydyti.</w:t>
            </w:r>
          </w:p>
          <w:p w:rsidR="00A64DF5" w:rsidRPr="00DC16A2" w:rsidRDefault="00A64DF5" w:rsidP="00CD66EA">
            <w:pPr>
              <w:pStyle w:val="BTEMEASMCA"/>
              <w:rPr>
                <w:lang w:val="lt-LT"/>
              </w:rPr>
            </w:pPr>
            <w:r w:rsidRPr="00DC16A2">
              <w:rPr>
                <w:lang w:val="lt-LT"/>
              </w:rPr>
              <w:lastRenderedPageBreak/>
              <w:t xml:space="preserve">Trečiasis epizodas: mažinti docetakselio dozę 20 %. </w:t>
            </w:r>
          </w:p>
        </w:tc>
      </w:tr>
      <w:tr w:rsidR="00A64DF5" w:rsidRPr="00A64DF5" w:rsidTr="00A64DF5">
        <w:trPr>
          <w:trHeight w:val="282"/>
        </w:trPr>
        <w:tc>
          <w:tcPr>
            <w:tcW w:w="2820" w:type="dxa"/>
            <w:tcBorders>
              <w:top w:val="single" w:sz="4" w:space="0" w:color="000000"/>
              <w:left w:val="single" w:sz="4" w:space="0" w:color="000000"/>
              <w:bottom w:val="single" w:sz="4" w:space="0" w:color="000000"/>
              <w:right w:val="single" w:sz="4" w:space="0" w:color="000000"/>
            </w:tcBorders>
          </w:tcPr>
          <w:p w:rsidR="00A64DF5" w:rsidRPr="00DC16A2" w:rsidRDefault="00A64DF5" w:rsidP="00732C31">
            <w:pPr>
              <w:pStyle w:val="BTEMEASMCA"/>
              <w:rPr>
                <w:lang w:val="lt-LT"/>
              </w:rPr>
            </w:pPr>
            <w:r w:rsidRPr="00DC16A2">
              <w:rPr>
                <w:lang w:val="lt-LT"/>
              </w:rPr>
              <w:lastRenderedPageBreak/>
              <w:t xml:space="preserve">4-ojo laipsnio stomatitas / mukozitas </w:t>
            </w:r>
          </w:p>
        </w:tc>
        <w:tc>
          <w:tcPr>
            <w:tcW w:w="6378" w:type="dxa"/>
            <w:tcBorders>
              <w:top w:val="single" w:sz="4" w:space="0" w:color="000000"/>
              <w:left w:val="single" w:sz="4" w:space="0" w:color="000000"/>
              <w:bottom w:val="single" w:sz="4" w:space="0" w:color="000000"/>
              <w:right w:val="single" w:sz="4" w:space="0" w:color="000000"/>
            </w:tcBorders>
          </w:tcPr>
          <w:p w:rsidR="00AD0E14" w:rsidRPr="00DC16A2" w:rsidRDefault="00A64DF5" w:rsidP="00732C31">
            <w:pPr>
              <w:pStyle w:val="BTEMEASMCA"/>
              <w:rPr>
                <w:lang w:val="lt-LT"/>
              </w:rPr>
            </w:pPr>
            <w:r w:rsidRPr="00DC16A2">
              <w:rPr>
                <w:lang w:val="lt-LT"/>
              </w:rPr>
              <w:t>Pirmasis epizodas: nutraukti tik gydymą 5-FU ir visų kitų ciklų metu juo nebegydyti.</w:t>
            </w:r>
          </w:p>
          <w:p w:rsidR="00A64DF5" w:rsidRPr="00DC16A2" w:rsidRDefault="00A64DF5" w:rsidP="00732C31">
            <w:pPr>
              <w:pStyle w:val="BTEMEASMCA"/>
              <w:rPr>
                <w:lang w:val="lt-LT"/>
              </w:rPr>
            </w:pPr>
            <w:r w:rsidRPr="00DC16A2">
              <w:rPr>
                <w:lang w:val="lt-LT"/>
              </w:rPr>
              <w:t xml:space="preserve">Antrasis epizodas: mažinti docetakselio dozę 20 %. </w:t>
            </w:r>
          </w:p>
        </w:tc>
      </w:tr>
    </w:tbl>
    <w:p w:rsidR="00A64DF5" w:rsidRPr="00A64DF5" w:rsidRDefault="00A64DF5" w:rsidP="00732C31">
      <w:pPr>
        <w:pStyle w:val="BTEMEASMCA"/>
      </w:pPr>
    </w:p>
    <w:p w:rsidR="00A64DF5" w:rsidRPr="00A64DF5" w:rsidRDefault="00A64DF5" w:rsidP="00732C31">
      <w:pPr>
        <w:pStyle w:val="BTEMEASMCA"/>
      </w:pPr>
      <w:r w:rsidRPr="00A64DF5">
        <w:t>Informacijos apie cisplatinos ir 5-fluorouracilo dozės keitimą pateikta šių preparatų charakteristikų santraukose.</w:t>
      </w:r>
    </w:p>
    <w:p w:rsidR="00A64DF5" w:rsidRPr="00A64DF5" w:rsidRDefault="00A64DF5" w:rsidP="00732C31">
      <w:pPr>
        <w:pStyle w:val="BTEMEASMCA"/>
      </w:pPr>
    </w:p>
    <w:p w:rsidR="00A64DF5" w:rsidRPr="00A64DF5" w:rsidRDefault="00A64DF5" w:rsidP="00732C31">
      <w:pPr>
        <w:pStyle w:val="BTEMEASMCA"/>
      </w:pPr>
      <w:r w:rsidRPr="00A64DF5">
        <w:t xml:space="preserve">Pagrindžiamojo tyrimų metu PGKK pacientams, kuriems pasireiškė komplikuota neutropenija (įskaitant ilgalaikę neutropeniją, febrilinę neutropeniją ar infekciją), šios komplikacijos profilaktikai visų tolesnių gydymo ciklų metu buvo rekomenduota vartoti G-KSF (pvz., 6–15 gydymo ciklo paras). </w:t>
      </w:r>
    </w:p>
    <w:p w:rsidR="00A64DF5" w:rsidRPr="00A64DF5" w:rsidRDefault="00A64DF5" w:rsidP="00732C31">
      <w:pPr>
        <w:pStyle w:val="BTEMEASMCA"/>
      </w:pPr>
    </w:p>
    <w:p w:rsidR="00A64DF5" w:rsidRPr="00A64DF5" w:rsidRDefault="00A64DF5" w:rsidP="00732C31">
      <w:pPr>
        <w:pStyle w:val="BTEMEASMCA"/>
      </w:pPr>
      <w:r w:rsidRPr="00A64DF5">
        <w:t>Ypatingos pacientų grupės</w:t>
      </w:r>
    </w:p>
    <w:p w:rsidR="00A64DF5" w:rsidRPr="00A64DF5" w:rsidRDefault="00A64DF5" w:rsidP="00732C31">
      <w:pPr>
        <w:pStyle w:val="BTEMEASMCA"/>
      </w:pPr>
    </w:p>
    <w:p w:rsidR="00A64DF5" w:rsidRPr="00A64DF5" w:rsidRDefault="00A64DF5" w:rsidP="00732C31">
      <w:pPr>
        <w:pStyle w:val="BTEMEASMCA"/>
      </w:pPr>
      <w:r w:rsidRPr="00A64DF5">
        <w:t>Pacientai, kurių kepenų funkcija sutrikusi</w:t>
      </w:r>
    </w:p>
    <w:p w:rsidR="00A64DF5" w:rsidRPr="00A64DF5" w:rsidRDefault="00A64DF5" w:rsidP="00732C31">
      <w:pPr>
        <w:pStyle w:val="BTEMEASMCA"/>
      </w:pPr>
      <w:r w:rsidRPr="00A64DF5">
        <w:t xml:space="preserve">Remiantis docetakselio farmakokinetikos duomenimis, gautais gydymo vien 100 mg/m² kūno paviršiaus docetakselio doze metu, pacientams, kurių transaminazės (ALT ir (arba) AST) kiekis yra daugiau negu 1,5 karto didesnis už didžiausią leistiną normos reikšmę (DLNR) ar šarminės fosfatazės kiekis daugiau negu 2,5 karto didesnis už DLNR, rekomenduojama docetakselio dozė yra 75 mg/m² kūno paviršiaus (žr. 4.4 ir 5.2 skyrius). Pacientams, kurių bilirubino kiekis kraujo serume didesnis už DLNR ir (arba) ALT ir AST kiekis daugiau negu 3,5 karto didesnis už DLNR ir kartu šarminės fosfatazės kiekis daugiau negu 6 kartus didesnis už DLNR, dozės mažinimo rekomendacijų pateikti galimybės nėra, todėl tokių ligonių docetakseliu gydyti negalima, išskyrus neabejotinai būtinus atvejus. Pacientai, kurių ALT ir (arba) AST kiekis buvo daugiau kaip 1,5 karto didesnis už DLNR ir kartu šarminės fosfatazės kiekis daugiau negu 2,5 karto didesnis už DLNR ir bilirubino kiekis daugiau negu vieną kartą didesnis už DLNR, į pagrindžiamąjį tyrimą, kurio metu skrandžio adenokarcinoma sergantys pacientai buvo gydomi docetakselio, cisplatinos ir 5 fluorouracilo deriniu, nebuvo įtraukti. Tokiems pacientams dozės mažinimo rekomendacijų pateikti nėra galimybės, todėl tokių ligonių docetakseliu gydyti negalima, išskyrus neabejotinai būtinus atvejus. Apie kitų būklių gydymą docetakselio deriniu su kitais preparatais pacientams, kurių kepenų funkcija sutrikusi, duomenų nėra. </w:t>
      </w:r>
    </w:p>
    <w:p w:rsidR="00A64DF5" w:rsidRPr="00A64DF5" w:rsidRDefault="00A64DF5" w:rsidP="00732C31">
      <w:pPr>
        <w:pStyle w:val="BTEMEASMCA"/>
      </w:pPr>
    </w:p>
    <w:p w:rsidR="00A64DF5" w:rsidRPr="00A64DF5" w:rsidRDefault="00A64DF5" w:rsidP="00732C31">
      <w:pPr>
        <w:pStyle w:val="BTEMEASMCA"/>
      </w:pPr>
      <w:r w:rsidRPr="00A64DF5">
        <w:t xml:space="preserve">Vaikų populiacija </w:t>
      </w:r>
    </w:p>
    <w:p w:rsidR="00A64DF5" w:rsidRPr="00A64DF5" w:rsidRDefault="00A64DF5" w:rsidP="00732C31">
      <w:pPr>
        <w:pStyle w:val="BTEMEASMCA"/>
      </w:pPr>
      <w:r w:rsidRPr="00A64DF5">
        <w:t xml:space="preserve">Nosiaryklės vėžiu sergantiems vaikams nuo 1 mėnesio iki &lt; 18 metų amžiaus docetakselio saugumas ir veiksmingumas nėra nustatyti. Krūties vėžio, nesmulkialąstelinio plaučių vėžio, prostatos vėžio, skrandžio vėžio ir galvos ir kaklo vėžio, išskyrus II ir III tipo mažai diferencijuotą nosiaryklės vėžį, atvejais vaikų populiacijoje docetakselio vartojimas nėra svarbus. </w:t>
      </w:r>
    </w:p>
    <w:p w:rsidR="00A64DF5" w:rsidRPr="00A64DF5" w:rsidRDefault="00A64DF5" w:rsidP="00732C31">
      <w:pPr>
        <w:pStyle w:val="BTEMEASMCA"/>
      </w:pPr>
    </w:p>
    <w:p w:rsidR="00A64DF5" w:rsidRPr="00A64DF5" w:rsidRDefault="00A64DF5" w:rsidP="00732C31">
      <w:pPr>
        <w:pStyle w:val="BTEMEASMCA"/>
      </w:pPr>
      <w:r w:rsidRPr="00A64DF5">
        <w:t xml:space="preserve">Senyvi žmonės </w:t>
      </w:r>
    </w:p>
    <w:p w:rsidR="00A64DF5" w:rsidRPr="00A64DF5" w:rsidRDefault="00A64DF5" w:rsidP="00732C31">
      <w:pPr>
        <w:pStyle w:val="BTEMEASMCA"/>
      </w:pPr>
      <w:r w:rsidRPr="00A64DF5">
        <w:t xml:space="preserve">Remiantis populiacijos farmakokinetikos analize, nėra specialių nurodymų, kaip vaistinį preparatą vartoti senyviems žmonėms. Docetakselį derinant su kapecitabinu, 60 metų ir vyresniems žmonėms rekomenduojama pradinė kapecitabino dozė yra 75 % rekomenduojamosios (žr. kapecitabino charakteristikų santrauką). </w:t>
      </w:r>
    </w:p>
    <w:p w:rsidR="00633D05" w:rsidRPr="0084041E" w:rsidRDefault="00633D05" w:rsidP="00732C31">
      <w:pPr>
        <w:pStyle w:val="BTEMEASMCA"/>
      </w:pPr>
    </w:p>
    <w:p w:rsidR="00633D05" w:rsidRPr="0084041E" w:rsidRDefault="00633D05" w:rsidP="00633D05">
      <w:pPr>
        <w:pStyle w:val="PI-2EMEASMCA"/>
      </w:pPr>
      <w:bookmarkStart w:id="16" w:name="_Toc129243104"/>
      <w:bookmarkStart w:id="17" w:name="_Toc129243229"/>
      <w:r w:rsidRPr="0084041E">
        <w:t>4.3</w:t>
      </w:r>
      <w:r w:rsidRPr="0084041E">
        <w:tab/>
        <w:t>Kontraindikacijos</w:t>
      </w:r>
      <w:bookmarkEnd w:id="16"/>
      <w:bookmarkEnd w:id="17"/>
    </w:p>
    <w:p w:rsidR="00633D05" w:rsidRPr="0084041E" w:rsidRDefault="00633D05" w:rsidP="00732C31">
      <w:pPr>
        <w:pStyle w:val="BTEMEASMCA"/>
      </w:pPr>
    </w:p>
    <w:p w:rsidR="00A64DF5" w:rsidRPr="00A64DF5" w:rsidRDefault="00A64DF5" w:rsidP="00732C31">
      <w:pPr>
        <w:pStyle w:val="BTEMEASMCA"/>
      </w:pPr>
      <w:r w:rsidRPr="00A64DF5">
        <w:t xml:space="preserve">Padidėjęs jautrumas veikliajai arba bet kuriai 6.1 skyriuje nurodytai pagalbinei medžiagai. </w:t>
      </w:r>
    </w:p>
    <w:p w:rsidR="00A64DF5" w:rsidRPr="00A64DF5" w:rsidRDefault="00A64DF5" w:rsidP="00732C31">
      <w:pPr>
        <w:pStyle w:val="BTEMEASMCA"/>
      </w:pPr>
    </w:p>
    <w:p w:rsidR="00A64DF5" w:rsidRPr="00A64DF5" w:rsidRDefault="00A64DF5" w:rsidP="00732C31">
      <w:pPr>
        <w:pStyle w:val="BTEMEASMCA"/>
      </w:pPr>
      <w:r w:rsidRPr="00A64DF5">
        <w:t>Docetakselio negalima vartoti pacientams, kuriems prieš pradedant gydymą neutrofilų skaičius yra &lt; 1500 ląstelių/mm</w:t>
      </w:r>
      <w:r w:rsidRPr="00C93814">
        <w:rPr>
          <w:vertAlign w:val="superscript"/>
        </w:rPr>
        <w:t>3</w:t>
      </w:r>
      <w:r w:rsidRPr="00A64DF5">
        <w:t xml:space="preserve">. </w:t>
      </w:r>
    </w:p>
    <w:p w:rsidR="00A64DF5" w:rsidRPr="00A64DF5" w:rsidRDefault="00A64DF5" w:rsidP="00732C31">
      <w:pPr>
        <w:pStyle w:val="BTEMEASMCA"/>
      </w:pPr>
    </w:p>
    <w:p w:rsidR="00A64DF5" w:rsidRPr="00A64DF5" w:rsidRDefault="00A64DF5" w:rsidP="00732C31">
      <w:pPr>
        <w:pStyle w:val="BTEMEASMCA"/>
      </w:pPr>
      <w:r w:rsidRPr="00A64DF5">
        <w:t xml:space="preserve">Docetakselio negalima vartoti pacientams, kuriems nustatytas sunkus kepenų funkcijos sutrikimas, nes nėra duomenų apie tokių pacientų gydymą (žr. 4.2 ir 4.4 skyrius). </w:t>
      </w:r>
    </w:p>
    <w:p w:rsidR="00A64DF5" w:rsidRPr="00A64DF5" w:rsidRDefault="00A64DF5" w:rsidP="00732C31">
      <w:pPr>
        <w:pStyle w:val="BTEMEASMCA"/>
      </w:pPr>
    </w:p>
    <w:p w:rsidR="00A64DF5" w:rsidRPr="00A64DF5" w:rsidRDefault="00A64DF5" w:rsidP="00732C31">
      <w:pPr>
        <w:pStyle w:val="BTEMEASMCA"/>
      </w:pPr>
      <w:r w:rsidRPr="00A64DF5">
        <w:t>Gydant docetakselio deriniu su kitais vaistiniais preparatais, taikomos ir jų vartojimui nustatytos kontraindikacijos.</w:t>
      </w:r>
    </w:p>
    <w:p w:rsidR="00633D05" w:rsidRPr="0084041E" w:rsidRDefault="00633D05" w:rsidP="00732C31">
      <w:pPr>
        <w:pStyle w:val="BTEMEASMCA"/>
      </w:pPr>
    </w:p>
    <w:p w:rsidR="00633D05" w:rsidRDefault="00633D05" w:rsidP="00633D05">
      <w:pPr>
        <w:pStyle w:val="PI-2EMEASMCA"/>
      </w:pPr>
      <w:bookmarkStart w:id="18" w:name="_Toc129243105"/>
      <w:bookmarkStart w:id="19" w:name="_Toc129243230"/>
      <w:r w:rsidRPr="0084041E">
        <w:lastRenderedPageBreak/>
        <w:t>4.4</w:t>
      </w:r>
      <w:r w:rsidRPr="0084041E">
        <w:tab/>
        <w:t>Specialūs įspėjimai ir atsargumo priemonės</w:t>
      </w:r>
      <w:bookmarkEnd w:id="18"/>
      <w:bookmarkEnd w:id="19"/>
    </w:p>
    <w:p w:rsidR="00A64DF5" w:rsidRDefault="00A64DF5" w:rsidP="00A64DF5">
      <w:pPr>
        <w:pStyle w:val="PI-2EMEASMCA"/>
        <w:jc w:val="both"/>
      </w:pPr>
    </w:p>
    <w:p w:rsidR="00A64DF5" w:rsidRPr="009B5347" w:rsidRDefault="00A64DF5" w:rsidP="00A64DF5">
      <w:pPr>
        <w:pStyle w:val="CM20"/>
        <w:jc w:val="both"/>
        <w:rPr>
          <w:rFonts w:cs="Times New Roman"/>
          <w:sz w:val="22"/>
          <w:szCs w:val="22"/>
          <w:lang w:val="lt-LT"/>
        </w:rPr>
      </w:pPr>
      <w:r w:rsidRPr="009B5347">
        <w:rPr>
          <w:rFonts w:cs="Times New Roman"/>
          <w:sz w:val="22"/>
          <w:szCs w:val="22"/>
          <w:lang w:val="lt-LT"/>
        </w:rPr>
        <w:t>Gydant krūties vėžį arba nesmulkialąstelinį plaučių vėžį, skysčių susilaikymo dažnį ir sunkumą bei padidėjusio jautrumo reakcijos sunkumą gali sumažinti trijų parų premedikacija geriamaisiais kortikosteroidais, pvz., 16 mg deksametazono paros doze (t. y. po 8 mg 2 kartus per parą), kurių reikia pradėti gerti, jeigu nėra kontraindikacijų, likus parai iki docetakselio infuzijos.</w:t>
      </w:r>
      <w:r>
        <w:rPr>
          <w:rFonts w:cs="Times New Roman"/>
          <w:sz w:val="22"/>
          <w:szCs w:val="22"/>
          <w:lang w:val="lt-LT"/>
        </w:rPr>
        <w:t xml:space="preserve"> </w:t>
      </w:r>
      <w:r w:rsidRPr="009B5347">
        <w:rPr>
          <w:rFonts w:cs="Times New Roman"/>
          <w:sz w:val="22"/>
          <w:szCs w:val="22"/>
          <w:lang w:val="lt-LT"/>
        </w:rPr>
        <w:t xml:space="preserve">Gydant prostatos vėžį, premedikacijai reikia vartoti po 8 mg deksametazono, likus 12 val., 3 val. ir 1 val. iki docetakselio infuzijos (žr. 4.2 skyrių). </w:t>
      </w:r>
    </w:p>
    <w:p w:rsidR="00A64DF5" w:rsidRDefault="00A64DF5" w:rsidP="00A64DF5">
      <w:pPr>
        <w:pStyle w:val="CM20"/>
        <w:jc w:val="both"/>
        <w:rPr>
          <w:rFonts w:cs="Times New Roman"/>
          <w:sz w:val="22"/>
          <w:szCs w:val="22"/>
          <w:u w:val="single"/>
          <w:lang w:val="lt-LT"/>
        </w:rPr>
      </w:pPr>
    </w:p>
    <w:p w:rsidR="00A64DF5" w:rsidRPr="009B5347" w:rsidRDefault="00A64DF5" w:rsidP="00A64DF5">
      <w:pPr>
        <w:pStyle w:val="CM20"/>
        <w:jc w:val="both"/>
        <w:rPr>
          <w:rFonts w:cs="Times New Roman"/>
          <w:sz w:val="22"/>
          <w:szCs w:val="22"/>
          <w:lang w:val="lt-LT"/>
        </w:rPr>
      </w:pPr>
      <w:r w:rsidRPr="009B5347">
        <w:rPr>
          <w:rFonts w:cs="Times New Roman"/>
          <w:sz w:val="22"/>
          <w:szCs w:val="22"/>
          <w:u w:val="single"/>
          <w:lang w:val="lt-LT"/>
        </w:rPr>
        <w:t>Hematologija</w:t>
      </w:r>
    </w:p>
    <w:p w:rsidR="00A64DF5" w:rsidRDefault="00A64DF5" w:rsidP="00A64DF5">
      <w:pPr>
        <w:pStyle w:val="CM20"/>
        <w:ind w:right="135"/>
        <w:jc w:val="both"/>
        <w:rPr>
          <w:rFonts w:cs="Times New Roman"/>
          <w:sz w:val="22"/>
          <w:szCs w:val="22"/>
          <w:lang w:val="lt-LT"/>
        </w:rPr>
      </w:pPr>
    </w:p>
    <w:p w:rsidR="00A64DF5" w:rsidRPr="009B5347" w:rsidRDefault="00A64DF5" w:rsidP="00A64DF5">
      <w:pPr>
        <w:pStyle w:val="CM20"/>
        <w:ind w:right="135"/>
        <w:jc w:val="both"/>
        <w:rPr>
          <w:rFonts w:cs="Times New Roman"/>
          <w:sz w:val="22"/>
          <w:szCs w:val="22"/>
          <w:lang w:val="lt-LT"/>
        </w:rPr>
      </w:pPr>
      <w:r w:rsidRPr="009B5347">
        <w:rPr>
          <w:rFonts w:cs="Times New Roman"/>
          <w:sz w:val="22"/>
          <w:szCs w:val="22"/>
          <w:lang w:val="lt-LT"/>
        </w:rPr>
        <w:t>Dažniausias docetakselio šalutinis poveikis yra neutropenija. Daugiausiai neutrofilų kiekis sumažėja praėjus vidutiniškai 7 paroms po vaistinio preparato infuzijos, tačiau jeigu iki tol buvo taikytas stiprus gydymas, šis intervalas gali būti trumpesnis. Visiems docetakseliu gydomiems ligoniams reikia dažnai tirti visų kraujo ląstelių kiekį. Kitą docetakselio dozę galima infuzuoti tik tada, kai neutrofilų skaičius tampa ≥ 1500 ląstelių/mm</w:t>
      </w:r>
      <w:r w:rsidRPr="00C93814">
        <w:rPr>
          <w:rFonts w:cs="Times New Roman"/>
          <w:sz w:val="22"/>
          <w:szCs w:val="22"/>
          <w:vertAlign w:val="superscript"/>
          <w:lang w:val="lt-LT"/>
        </w:rPr>
        <w:t>3</w:t>
      </w:r>
      <w:r w:rsidRPr="009B5347">
        <w:rPr>
          <w:rFonts w:cs="Times New Roman"/>
          <w:sz w:val="22"/>
          <w:szCs w:val="22"/>
          <w:lang w:val="lt-LT"/>
        </w:rPr>
        <w:t xml:space="preserve"> (žr. 4.2 skyrių). </w:t>
      </w:r>
    </w:p>
    <w:p w:rsidR="00A64DF5" w:rsidRDefault="00A64DF5" w:rsidP="00A64DF5">
      <w:pPr>
        <w:pStyle w:val="CM20"/>
        <w:ind w:right="135"/>
        <w:jc w:val="both"/>
        <w:rPr>
          <w:rFonts w:cs="Times New Roman"/>
          <w:sz w:val="22"/>
          <w:szCs w:val="22"/>
          <w:lang w:val="lt-LT"/>
        </w:rPr>
      </w:pPr>
    </w:p>
    <w:p w:rsidR="00A64DF5" w:rsidRPr="009B5347" w:rsidRDefault="00A64DF5" w:rsidP="00A64DF5">
      <w:pPr>
        <w:pStyle w:val="CM20"/>
        <w:ind w:right="135"/>
        <w:jc w:val="both"/>
        <w:rPr>
          <w:rFonts w:cs="Times New Roman"/>
          <w:sz w:val="22"/>
          <w:szCs w:val="22"/>
          <w:lang w:val="lt-LT"/>
        </w:rPr>
      </w:pPr>
      <w:r w:rsidRPr="009B5347">
        <w:rPr>
          <w:rFonts w:cs="Times New Roman"/>
          <w:sz w:val="22"/>
          <w:szCs w:val="22"/>
          <w:lang w:val="lt-LT"/>
        </w:rPr>
        <w:t>Jei gydymo docetakseliu metu pasireiškia sunki neutropenija (7 paras arba ilgiau neutrofilų skaičius yra &lt; 500 ląstelių/mm</w:t>
      </w:r>
      <w:r w:rsidRPr="00C93814">
        <w:rPr>
          <w:rFonts w:cs="Times New Roman"/>
          <w:sz w:val="22"/>
          <w:szCs w:val="22"/>
          <w:vertAlign w:val="superscript"/>
          <w:lang w:val="lt-LT"/>
        </w:rPr>
        <w:t>3</w:t>
      </w:r>
      <w:r w:rsidRPr="009B5347">
        <w:rPr>
          <w:rFonts w:cs="Times New Roman"/>
          <w:sz w:val="22"/>
          <w:szCs w:val="22"/>
          <w:lang w:val="lt-LT"/>
        </w:rPr>
        <w:t xml:space="preserve">), tolesniems gydymo ciklams rekomenduojama mažinti dozę arba imtis tinkamų simptominių gydymo priemonių (žr. 4.2 skyrių). </w:t>
      </w:r>
    </w:p>
    <w:p w:rsidR="00A64DF5" w:rsidRDefault="00A64DF5" w:rsidP="00A64DF5">
      <w:pPr>
        <w:pStyle w:val="CM20"/>
        <w:jc w:val="both"/>
        <w:rPr>
          <w:rFonts w:cs="Times New Roman"/>
          <w:sz w:val="22"/>
          <w:szCs w:val="22"/>
          <w:lang w:val="lt-LT"/>
        </w:rPr>
      </w:pPr>
    </w:p>
    <w:p w:rsidR="00A64DF5" w:rsidRPr="009B5347" w:rsidRDefault="00A64DF5" w:rsidP="00A64DF5">
      <w:pPr>
        <w:pStyle w:val="CM20"/>
        <w:jc w:val="both"/>
        <w:rPr>
          <w:rFonts w:cs="Times New Roman"/>
          <w:sz w:val="22"/>
          <w:szCs w:val="22"/>
          <w:lang w:val="lt-LT"/>
        </w:rPr>
      </w:pPr>
      <w:r w:rsidRPr="009B5347">
        <w:rPr>
          <w:rFonts w:cs="Times New Roman"/>
          <w:sz w:val="22"/>
          <w:szCs w:val="22"/>
          <w:lang w:val="lt-LT"/>
        </w:rPr>
        <w:t>Docetakselio, cisplatinos ir 5-fluorouracilo deriniu (TCF) gydomiems pacientams, kuriems buvo taikytas profilaktinis gydymas G-KSF, febrilinės neutropenijos ir su neutropenija susijusios infekcijos dažnis buvo mažesnis.</w:t>
      </w:r>
      <w:r>
        <w:rPr>
          <w:rFonts w:cs="Times New Roman"/>
          <w:sz w:val="22"/>
          <w:szCs w:val="22"/>
          <w:lang w:val="lt-LT"/>
        </w:rPr>
        <w:t xml:space="preserve"> </w:t>
      </w:r>
      <w:r w:rsidRPr="009B5347">
        <w:rPr>
          <w:rFonts w:cs="Times New Roman"/>
          <w:sz w:val="22"/>
          <w:szCs w:val="22"/>
          <w:lang w:val="lt-LT"/>
        </w:rPr>
        <w:t>Minėtuoju deriniu gydomiems pacientams reikia taikyti profilaktinį gydymą G-KSF, kad sumažėtų komplikuotos neutropenijos (febrilinės neutropenijos, ilgalaikės neutropenijos ar su neutropenija susijusios infekcijos) rizika. Minėtuoju deriniu gydomus ligonius reikia atidžiai stebėti (žr. 4.2 ir 4.8 skyrius).</w:t>
      </w:r>
      <w:r>
        <w:rPr>
          <w:rFonts w:cs="Times New Roman"/>
          <w:sz w:val="22"/>
          <w:szCs w:val="22"/>
          <w:lang w:val="lt-LT"/>
        </w:rPr>
        <w:t xml:space="preserve"> </w:t>
      </w:r>
    </w:p>
    <w:p w:rsidR="00A64DF5" w:rsidRDefault="00A64DF5" w:rsidP="00A64DF5">
      <w:pPr>
        <w:pStyle w:val="CM20"/>
        <w:ind w:right="80"/>
        <w:jc w:val="both"/>
        <w:rPr>
          <w:rFonts w:cs="Times New Roman"/>
          <w:sz w:val="22"/>
          <w:szCs w:val="22"/>
          <w:lang w:val="lt-LT"/>
        </w:rPr>
      </w:pPr>
    </w:p>
    <w:p w:rsidR="00A64DF5" w:rsidRPr="009B5347" w:rsidRDefault="00A64DF5" w:rsidP="00A64DF5">
      <w:pPr>
        <w:pStyle w:val="CM20"/>
        <w:ind w:right="80"/>
        <w:jc w:val="both"/>
        <w:rPr>
          <w:rFonts w:cs="Times New Roman"/>
          <w:sz w:val="22"/>
          <w:szCs w:val="22"/>
          <w:lang w:val="lt-LT"/>
        </w:rPr>
      </w:pPr>
      <w:r w:rsidRPr="009B5347">
        <w:rPr>
          <w:rFonts w:cs="Times New Roman"/>
          <w:sz w:val="22"/>
          <w:szCs w:val="22"/>
          <w:lang w:val="lt-LT"/>
        </w:rPr>
        <w:t>Docetakselio, doksorubicino ir ciklofosfamido deriniu (TAC) gydomiems pacientams, kuriems buvo taikytas profilaktinis gydymas G-KSF, febrilinės neutropenijos ir (arba) su neutropenija susijusios infekcijos dažnis buvo mažesnis.</w:t>
      </w:r>
      <w:r>
        <w:rPr>
          <w:rFonts w:cs="Times New Roman"/>
          <w:sz w:val="22"/>
          <w:szCs w:val="22"/>
          <w:lang w:val="lt-LT"/>
        </w:rPr>
        <w:t xml:space="preserve"> </w:t>
      </w:r>
      <w:r w:rsidRPr="009B5347">
        <w:rPr>
          <w:rFonts w:cs="Times New Roman"/>
          <w:sz w:val="22"/>
          <w:szCs w:val="22"/>
          <w:lang w:val="lt-LT"/>
        </w:rPr>
        <w:t>Kad sumažėtų komplikuotos neutropenijos (febrilinės neutropenijos, ilgalaikės neutropenijos ar su neutropenija susijusios infekcijos) pavojus, pacientėms, kurios gydom</w:t>
      </w:r>
      <w:r w:rsidR="00BF2C93">
        <w:rPr>
          <w:rFonts w:cs="Times New Roman"/>
          <w:sz w:val="22"/>
          <w:szCs w:val="22"/>
          <w:lang w:val="lt-LT"/>
        </w:rPr>
        <w:t>os</w:t>
      </w:r>
      <w:r w:rsidRPr="009B5347">
        <w:rPr>
          <w:rFonts w:cs="Times New Roman"/>
          <w:sz w:val="22"/>
          <w:szCs w:val="22"/>
          <w:lang w:val="lt-LT"/>
        </w:rPr>
        <w:t xml:space="preserve"> naudojant TAC schemą krūties vėžio gydymui, būtina profilaktika G-KSF. Minėtuoju deriniu gydomus ligonius reikia atidžiai stebėti (žr. 4.2 ir 4.8 skyrius).</w:t>
      </w:r>
      <w:r>
        <w:rPr>
          <w:rFonts w:cs="Times New Roman"/>
          <w:sz w:val="22"/>
          <w:szCs w:val="22"/>
          <w:lang w:val="lt-LT"/>
        </w:rPr>
        <w:t xml:space="preserve"> </w:t>
      </w:r>
    </w:p>
    <w:p w:rsidR="00A64DF5" w:rsidRDefault="00A64DF5" w:rsidP="00A64DF5">
      <w:pPr>
        <w:pStyle w:val="CM20"/>
        <w:jc w:val="both"/>
        <w:rPr>
          <w:rFonts w:cs="Times New Roman"/>
          <w:sz w:val="22"/>
          <w:szCs w:val="22"/>
          <w:u w:val="single"/>
          <w:lang w:val="lt-LT"/>
        </w:rPr>
      </w:pPr>
    </w:p>
    <w:p w:rsidR="00A64DF5" w:rsidRPr="009B5347" w:rsidRDefault="00A64DF5" w:rsidP="00A64DF5">
      <w:pPr>
        <w:pStyle w:val="CM20"/>
        <w:jc w:val="both"/>
        <w:rPr>
          <w:rFonts w:cs="Times New Roman"/>
          <w:sz w:val="22"/>
          <w:szCs w:val="22"/>
          <w:lang w:val="lt-LT"/>
        </w:rPr>
      </w:pPr>
      <w:r w:rsidRPr="009B5347">
        <w:rPr>
          <w:rFonts w:cs="Times New Roman"/>
          <w:sz w:val="22"/>
          <w:szCs w:val="22"/>
          <w:u w:val="single"/>
          <w:lang w:val="lt-LT"/>
        </w:rPr>
        <w:t>Padidėjusio jautrumo reakcijos</w:t>
      </w:r>
    </w:p>
    <w:p w:rsidR="00A64DF5" w:rsidRDefault="00A64DF5" w:rsidP="00A64DF5">
      <w:pPr>
        <w:pStyle w:val="CM20"/>
        <w:jc w:val="both"/>
        <w:rPr>
          <w:rFonts w:cs="Times New Roman"/>
          <w:sz w:val="22"/>
          <w:szCs w:val="22"/>
          <w:lang w:val="lt-LT"/>
        </w:rPr>
      </w:pPr>
    </w:p>
    <w:p w:rsidR="00A64DF5" w:rsidRDefault="00A64DF5" w:rsidP="00A64DF5">
      <w:pPr>
        <w:pStyle w:val="CM20"/>
        <w:jc w:val="both"/>
        <w:rPr>
          <w:rFonts w:cs="Times New Roman"/>
          <w:sz w:val="22"/>
          <w:szCs w:val="22"/>
          <w:lang w:val="lt-LT"/>
        </w:rPr>
      </w:pPr>
      <w:r w:rsidRPr="009B5347">
        <w:rPr>
          <w:rFonts w:cs="Times New Roman"/>
          <w:sz w:val="22"/>
          <w:szCs w:val="22"/>
          <w:lang w:val="lt-LT"/>
        </w:rPr>
        <w:t>Būtina atidžiai stebėti, ar nepasireiškė padidėjusio jautrumo reakcija, ypač pirmosios ir antrosios infuzijų metu. Pradėjus infuzuoti docetakselį, padidėjusio jautrumo reakcija gali pasireikšti per kelias minutes, todėl būtina turėti priemonių hipotenzijai ir bronchų spazm</w:t>
      </w:r>
      <w:r w:rsidR="002332EC">
        <w:rPr>
          <w:rFonts w:cs="Times New Roman"/>
          <w:sz w:val="22"/>
          <w:szCs w:val="22"/>
          <w:lang w:val="lt-LT"/>
        </w:rPr>
        <w:t>ui</w:t>
      </w:r>
      <w:r w:rsidRPr="009B5347">
        <w:rPr>
          <w:rFonts w:cs="Times New Roman"/>
          <w:sz w:val="22"/>
          <w:szCs w:val="22"/>
          <w:lang w:val="lt-LT"/>
        </w:rPr>
        <w:t xml:space="preserve"> gydyti.</w:t>
      </w:r>
      <w:r>
        <w:rPr>
          <w:rFonts w:cs="Times New Roman"/>
          <w:sz w:val="22"/>
          <w:szCs w:val="22"/>
          <w:lang w:val="lt-LT"/>
        </w:rPr>
        <w:t xml:space="preserve"> </w:t>
      </w:r>
      <w:r w:rsidRPr="009B5347">
        <w:rPr>
          <w:rFonts w:cs="Times New Roman"/>
          <w:sz w:val="22"/>
          <w:szCs w:val="22"/>
          <w:lang w:val="lt-LT"/>
        </w:rPr>
        <w:t>Dėl lengvų padidėjusio jautrumo reakcijos simptomų, pvz., veido ir kaklo paraudimo ar lokalizuotos odos reakcijos, gydymo nutraukti nereikia.</w:t>
      </w:r>
      <w:r>
        <w:rPr>
          <w:rFonts w:cs="Times New Roman"/>
          <w:sz w:val="22"/>
          <w:szCs w:val="22"/>
          <w:lang w:val="lt-LT"/>
        </w:rPr>
        <w:t xml:space="preserve"> </w:t>
      </w:r>
      <w:r w:rsidRPr="009B5347">
        <w:rPr>
          <w:rFonts w:cs="Times New Roman"/>
          <w:sz w:val="22"/>
          <w:szCs w:val="22"/>
          <w:lang w:val="lt-LT"/>
        </w:rPr>
        <w:t>Jei pasireiškia sunki reakcija, pvz., sunki hipotenzija, bronchų spazmas arba generalizuotas išbėrimas (eritema), docetakselio infuziją būtina nedelsiant nutraukti ir pradėti pacientą tinkamai gydyti. Pacientams, kuriems pasireiškė sunki padidėjusio jautrumo reakcija, gydymo docetakseliu atnaujinti negalima.</w:t>
      </w:r>
      <w:r>
        <w:rPr>
          <w:rFonts w:cs="Times New Roman"/>
          <w:sz w:val="22"/>
          <w:szCs w:val="22"/>
          <w:lang w:val="lt-LT"/>
        </w:rPr>
        <w:t xml:space="preserve"> </w:t>
      </w:r>
    </w:p>
    <w:p w:rsidR="00A64DF5" w:rsidRDefault="00A64DF5" w:rsidP="00A64DF5">
      <w:pPr>
        <w:pStyle w:val="Default"/>
        <w:jc w:val="both"/>
        <w:rPr>
          <w:lang w:val="lt-LT"/>
        </w:rPr>
      </w:pPr>
    </w:p>
    <w:p w:rsidR="00A64DF5" w:rsidRPr="009B5347" w:rsidRDefault="00A64DF5" w:rsidP="00A64DF5">
      <w:pPr>
        <w:pStyle w:val="Default"/>
        <w:jc w:val="both"/>
        <w:rPr>
          <w:sz w:val="22"/>
          <w:szCs w:val="22"/>
          <w:lang w:val="lt-LT"/>
        </w:rPr>
      </w:pPr>
      <w:r w:rsidRPr="009B5347">
        <w:rPr>
          <w:sz w:val="22"/>
          <w:szCs w:val="22"/>
          <w:u w:val="single"/>
          <w:lang w:val="lt-LT"/>
        </w:rPr>
        <w:t>Odos reakcijos</w:t>
      </w:r>
    </w:p>
    <w:p w:rsidR="00A64DF5" w:rsidRDefault="00A64DF5" w:rsidP="00A64DF5">
      <w:pPr>
        <w:pStyle w:val="CM20"/>
        <w:jc w:val="both"/>
        <w:rPr>
          <w:rFonts w:cs="Times New Roman"/>
          <w:sz w:val="22"/>
          <w:szCs w:val="22"/>
          <w:lang w:val="lt-LT"/>
        </w:rPr>
      </w:pPr>
    </w:p>
    <w:p w:rsidR="00A64DF5" w:rsidRPr="009B5347" w:rsidRDefault="00A64DF5" w:rsidP="00A64DF5">
      <w:pPr>
        <w:pStyle w:val="CM20"/>
        <w:jc w:val="both"/>
        <w:rPr>
          <w:rFonts w:cs="Times New Roman"/>
          <w:sz w:val="22"/>
          <w:szCs w:val="22"/>
          <w:lang w:val="lt-LT"/>
        </w:rPr>
      </w:pPr>
      <w:r w:rsidRPr="009B5347">
        <w:rPr>
          <w:rFonts w:cs="Times New Roman"/>
          <w:sz w:val="22"/>
          <w:szCs w:val="22"/>
          <w:lang w:val="lt-LT"/>
        </w:rPr>
        <w:t xml:space="preserve">Buvo stebima lokalizuota galūnių odos (delnų ir padų) eritema, susijusi su edema ir vėlesne deskvamacija. Buvo pranešimų apie sunkius simptomus, pvz., išbėrimą, po kurio prasidėjo deskvamacija ir gydymą docetakseliu reikėjo pertraukti arba nutraukti (žr. 4.2 skyrių). </w:t>
      </w:r>
    </w:p>
    <w:p w:rsidR="00A64DF5" w:rsidRDefault="00A64DF5" w:rsidP="00A64DF5">
      <w:pPr>
        <w:pStyle w:val="CM20"/>
        <w:jc w:val="both"/>
        <w:rPr>
          <w:rFonts w:cs="Times New Roman"/>
          <w:sz w:val="22"/>
          <w:szCs w:val="22"/>
          <w:u w:val="single"/>
          <w:lang w:val="lt-LT"/>
        </w:rPr>
      </w:pPr>
    </w:p>
    <w:p w:rsidR="00A64DF5" w:rsidRPr="009B5347" w:rsidRDefault="00A64DF5" w:rsidP="00A64DF5">
      <w:pPr>
        <w:pStyle w:val="CM20"/>
        <w:jc w:val="both"/>
        <w:rPr>
          <w:rFonts w:cs="Times New Roman"/>
          <w:sz w:val="22"/>
          <w:szCs w:val="22"/>
          <w:lang w:val="lt-LT"/>
        </w:rPr>
      </w:pPr>
      <w:r w:rsidRPr="009B5347">
        <w:rPr>
          <w:rFonts w:cs="Times New Roman"/>
          <w:sz w:val="22"/>
          <w:szCs w:val="22"/>
          <w:u w:val="single"/>
          <w:lang w:val="lt-LT"/>
        </w:rPr>
        <w:t>Skysčių susilaikymas</w:t>
      </w:r>
    </w:p>
    <w:p w:rsidR="00A64DF5" w:rsidRDefault="00A64DF5" w:rsidP="00A64DF5">
      <w:pPr>
        <w:pStyle w:val="CM20"/>
        <w:ind w:right="135"/>
        <w:jc w:val="both"/>
        <w:rPr>
          <w:rFonts w:cs="Times New Roman"/>
          <w:sz w:val="22"/>
          <w:szCs w:val="22"/>
          <w:lang w:val="lt-LT"/>
        </w:rPr>
      </w:pPr>
    </w:p>
    <w:p w:rsidR="00A64DF5" w:rsidRPr="009B5347" w:rsidRDefault="00A64DF5" w:rsidP="00A64DF5">
      <w:pPr>
        <w:pStyle w:val="CM20"/>
        <w:ind w:right="135"/>
        <w:jc w:val="both"/>
        <w:rPr>
          <w:rFonts w:cs="Times New Roman"/>
          <w:sz w:val="22"/>
          <w:szCs w:val="22"/>
          <w:lang w:val="lt-LT"/>
        </w:rPr>
      </w:pPr>
      <w:r w:rsidRPr="009B5347">
        <w:rPr>
          <w:rFonts w:cs="Times New Roman"/>
          <w:sz w:val="22"/>
          <w:szCs w:val="22"/>
          <w:lang w:val="lt-LT"/>
        </w:rPr>
        <w:t xml:space="preserve">Pacientus, kuriems atsiranda sunkus skysčių susilaikymas (pvz., krūtinplėvės eksudacija, širdiplėvės eksudacija arba ascitas), reikia atidžiai stebėti. </w:t>
      </w:r>
    </w:p>
    <w:p w:rsidR="00A64DF5" w:rsidRDefault="00A64DF5" w:rsidP="00A64DF5">
      <w:pPr>
        <w:pStyle w:val="CM20"/>
        <w:jc w:val="both"/>
        <w:rPr>
          <w:rFonts w:cs="Times New Roman"/>
          <w:sz w:val="22"/>
          <w:szCs w:val="22"/>
          <w:u w:val="single"/>
          <w:lang w:val="lt-LT"/>
        </w:rPr>
      </w:pPr>
    </w:p>
    <w:p w:rsidR="00A64DF5" w:rsidRPr="009B5347" w:rsidRDefault="00A64DF5" w:rsidP="00A64DF5">
      <w:pPr>
        <w:pStyle w:val="CM20"/>
        <w:jc w:val="both"/>
        <w:rPr>
          <w:rFonts w:cs="Times New Roman"/>
          <w:sz w:val="22"/>
          <w:szCs w:val="22"/>
          <w:lang w:val="lt-LT"/>
        </w:rPr>
      </w:pPr>
      <w:r w:rsidRPr="009B5347">
        <w:rPr>
          <w:rFonts w:cs="Times New Roman"/>
          <w:sz w:val="22"/>
          <w:szCs w:val="22"/>
          <w:u w:val="single"/>
          <w:lang w:val="lt-LT"/>
        </w:rPr>
        <w:lastRenderedPageBreak/>
        <w:t>Pacientai, kurių kepenų funkcija sutrikusi</w:t>
      </w:r>
    </w:p>
    <w:p w:rsidR="00A64DF5" w:rsidRDefault="00A64DF5" w:rsidP="00A64DF5">
      <w:pPr>
        <w:pStyle w:val="CM20"/>
        <w:jc w:val="both"/>
        <w:rPr>
          <w:rFonts w:cs="Times New Roman"/>
          <w:sz w:val="22"/>
          <w:szCs w:val="22"/>
          <w:lang w:val="lt-LT"/>
        </w:rPr>
      </w:pPr>
    </w:p>
    <w:p w:rsidR="00A64DF5" w:rsidRPr="009B5347" w:rsidRDefault="00A64DF5" w:rsidP="00A64DF5">
      <w:pPr>
        <w:pStyle w:val="CM20"/>
        <w:jc w:val="both"/>
        <w:rPr>
          <w:rFonts w:cs="Times New Roman"/>
          <w:sz w:val="22"/>
          <w:szCs w:val="22"/>
          <w:lang w:val="lt-LT"/>
        </w:rPr>
      </w:pPr>
      <w:r w:rsidRPr="009B5347">
        <w:rPr>
          <w:rFonts w:cs="Times New Roman"/>
          <w:sz w:val="22"/>
          <w:szCs w:val="22"/>
          <w:lang w:val="lt-LT"/>
        </w:rPr>
        <w:t>Vien 100 mg/m² kūno paviršiaus docetakselio doze gydomiems pacientams, kurių kraujo serume transaminazių (ALT ir / arba AST) kiekis yra daugiau kaip 1,5 karto didesnis už DLNR ir kartu šarminės fosfatazės kiekis daugiau kaip 2,5 karto didesnis už DLNR, yra didesnė sunkaus šalutinio poveikio, pvz., mirties nuo toksinio poveikio (įskaitant sepsį), virškinimo trakto hemoragijos, kuri gali būti mirtina, febrilinės neutropenijos, infekcijų, trombocitopenijos, stomatito ir astenijos, rizika. Dėl to pacientus, kurių kepenų funkcijos tyrimų duomenys (KFTD) padidėję, rekomenduojama gydyti 75 mg/m² kūno paviršiaus docetakselio doze ir prieš pradedant gydyti bei prieš kiekvieną gydymo ciklą ištirti kepenų funkciją (žr. 4.2 skyrių). Pacientams, kurių kraujo serume bilirubino kiekis &gt; DLNR ir (arba) ALT ir AST kiekis &gt; 3,5 karto didesnis už DLNR ir kartu šarminės fosfatazės kiekis &gt; 6 kartus didesnis už DLNR, dozės mažinimo rekomendacijų pateikti nėra galimybių. Tokių pacientų docetakseliu gydyti negalima, išskyrus neabejotinai būtinus atvejus. Pacientai, kurių ALT ir (arba) AST kiekis buvo daugiau kaip 1,5 karto didesnis už DLNR ir kartu šarminės fosfatazės kiekis daugiau negu 2,5 karto didesnis už DLNR ir bilirubino kiekis daugiau negu vieną kartą didesnis už DLNR, į pagrindžiamąjį tyrimą, kurio metu skrandžio adenokarcinoma sergantys pacientai buvo gydomi docetakselio, cisplatinos ir 5 fluorouracilo deriniu, nebuvo įtraukti. Tokiems pacientams dozės mažinimo rekomendacijų pateikti nėra galimybės, todėl tokių ligonių docetakseliu gydyti negalima, išskyrus neabejotinai būtinus atvejus. Apie kitų būklių gydymą docetakselio deriniu su kitais preparatais pacientams, kurių kepenų funkcija sutrikusi, duomenų nėra.</w:t>
      </w:r>
      <w:r>
        <w:rPr>
          <w:rFonts w:cs="Times New Roman"/>
          <w:sz w:val="22"/>
          <w:szCs w:val="22"/>
          <w:lang w:val="lt-LT"/>
        </w:rPr>
        <w:t xml:space="preserve"> </w:t>
      </w:r>
    </w:p>
    <w:p w:rsidR="00A64DF5" w:rsidRDefault="00A64DF5" w:rsidP="00A64DF5">
      <w:pPr>
        <w:pStyle w:val="CM20"/>
        <w:jc w:val="both"/>
        <w:rPr>
          <w:rFonts w:cs="Times New Roman"/>
          <w:sz w:val="22"/>
          <w:szCs w:val="22"/>
          <w:u w:val="single"/>
          <w:lang w:val="lt-LT"/>
        </w:rPr>
      </w:pPr>
    </w:p>
    <w:p w:rsidR="00A64DF5" w:rsidRPr="009B5347" w:rsidRDefault="00A64DF5" w:rsidP="00A64DF5">
      <w:pPr>
        <w:pStyle w:val="CM20"/>
        <w:jc w:val="both"/>
        <w:rPr>
          <w:rFonts w:cs="Times New Roman"/>
          <w:sz w:val="22"/>
          <w:szCs w:val="22"/>
          <w:lang w:val="lt-LT"/>
        </w:rPr>
      </w:pPr>
      <w:r w:rsidRPr="009B5347">
        <w:rPr>
          <w:rFonts w:cs="Times New Roman"/>
          <w:sz w:val="22"/>
          <w:szCs w:val="22"/>
          <w:u w:val="single"/>
          <w:lang w:val="lt-LT"/>
        </w:rPr>
        <w:t>Pacientai, kurių inkstų funkcija sutrikusi</w:t>
      </w:r>
    </w:p>
    <w:p w:rsidR="00A64DF5" w:rsidRDefault="00A64DF5" w:rsidP="00A64DF5">
      <w:pPr>
        <w:pStyle w:val="CM20"/>
        <w:ind w:right="217"/>
        <w:jc w:val="both"/>
        <w:rPr>
          <w:rFonts w:cs="Times New Roman"/>
          <w:sz w:val="22"/>
          <w:szCs w:val="22"/>
          <w:lang w:val="lt-LT"/>
        </w:rPr>
      </w:pPr>
    </w:p>
    <w:p w:rsidR="00A64DF5" w:rsidRPr="009B5347" w:rsidRDefault="00A64DF5" w:rsidP="00A64DF5">
      <w:pPr>
        <w:pStyle w:val="CM20"/>
        <w:ind w:right="217"/>
        <w:jc w:val="both"/>
        <w:rPr>
          <w:rFonts w:cs="Times New Roman"/>
          <w:sz w:val="22"/>
          <w:szCs w:val="22"/>
          <w:lang w:val="lt-LT"/>
        </w:rPr>
      </w:pPr>
      <w:r w:rsidRPr="009B5347">
        <w:rPr>
          <w:rFonts w:cs="Times New Roman"/>
          <w:sz w:val="22"/>
          <w:szCs w:val="22"/>
          <w:lang w:val="lt-LT"/>
        </w:rPr>
        <w:t xml:space="preserve">Apie pacientų, kuriems nustatytas sunkus inkstų funkcijos sutrikimas, gydymą docetakseliu duomenų nėra. </w:t>
      </w:r>
    </w:p>
    <w:p w:rsidR="00A64DF5" w:rsidRDefault="00A64DF5" w:rsidP="00A64DF5">
      <w:pPr>
        <w:pStyle w:val="CM20"/>
        <w:jc w:val="both"/>
        <w:rPr>
          <w:rFonts w:cs="Times New Roman"/>
          <w:sz w:val="22"/>
          <w:szCs w:val="22"/>
          <w:u w:val="single"/>
          <w:lang w:val="lt-LT"/>
        </w:rPr>
      </w:pPr>
    </w:p>
    <w:p w:rsidR="00A64DF5" w:rsidRPr="009B5347" w:rsidRDefault="00A64DF5" w:rsidP="00A64DF5">
      <w:pPr>
        <w:pStyle w:val="CM20"/>
        <w:jc w:val="both"/>
        <w:rPr>
          <w:rFonts w:cs="Times New Roman"/>
          <w:sz w:val="22"/>
          <w:szCs w:val="22"/>
          <w:lang w:val="lt-LT"/>
        </w:rPr>
      </w:pPr>
      <w:r w:rsidRPr="009B5347">
        <w:rPr>
          <w:rFonts w:cs="Times New Roman"/>
          <w:sz w:val="22"/>
          <w:szCs w:val="22"/>
          <w:u w:val="single"/>
          <w:lang w:val="lt-LT"/>
        </w:rPr>
        <w:t>Nervų sistema</w:t>
      </w:r>
    </w:p>
    <w:p w:rsidR="00A64DF5" w:rsidRDefault="00A64DF5" w:rsidP="00A64DF5">
      <w:pPr>
        <w:pStyle w:val="CM7"/>
        <w:spacing w:line="240" w:lineRule="auto"/>
        <w:ind w:right="80"/>
        <w:jc w:val="both"/>
        <w:rPr>
          <w:rFonts w:cs="Times New Roman"/>
          <w:sz w:val="22"/>
          <w:szCs w:val="22"/>
          <w:lang w:val="lt-LT"/>
        </w:rPr>
      </w:pPr>
    </w:p>
    <w:p w:rsidR="00A64DF5" w:rsidRDefault="00A64DF5" w:rsidP="00A64DF5">
      <w:pPr>
        <w:pStyle w:val="CM7"/>
        <w:spacing w:line="240" w:lineRule="auto"/>
        <w:ind w:right="80"/>
        <w:jc w:val="both"/>
        <w:rPr>
          <w:rFonts w:cs="Times New Roman"/>
          <w:sz w:val="22"/>
          <w:szCs w:val="22"/>
          <w:lang w:val="lt-LT"/>
        </w:rPr>
      </w:pPr>
      <w:r w:rsidRPr="009B5347">
        <w:rPr>
          <w:rFonts w:cs="Times New Roman"/>
          <w:sz w:val="22"/>
          <w:szCs w:val="22"/>
          <w:lang w:val="lt-LT"/>
        </w:rPr>
        <w:t xml:space="preserve">Pasireiškus sunkiam periferiniam neurotoksiniam poveikiui, dozę reikia mažinti (žr. 4.2 skyrių). </w:t>
      </w:r>
    </w:p>
    <w:p w:rsidR="00A64DF5" w:rsidRDefault="00A64DF5" w:rsidP="00A64DF5">
      <w:pPr>
        <w:pStyle w:val="Default"/>
        <w:jc w:val="both"/>
        <w:rPr>
          <w:lang w:val="lt-LT"/>
        </w:rPr>
      </w:pPr>
    </w:p>
    <w:p w:rsidR="00A64DF5" w:rsidRPr="009B5347" w:rsidRDefault="00A64DF5" w:rsidP="00A64DF5">
      <w:pPr>
        <w:pStyle w:val="Default"/>
        <w:jc w:val="both"/>
        <w:rPr>
          <w:sz w:val="22"/>
          <w:szCs w:val="22"/>
          <w:lang w:val="lt-LT"/>
        </w:rPr>
      </w:pPr>
      <w:r w:rsidRPr="009B5347">
        <w:rPr>
          <w:sz w:val="22"/>
          <w:szCs w:val="22"/>
          <w:u w:val="single"/>
          <w:lang w:val="lt-LT"/>
        </w:rPr>
        <w:t>Toksinis poveikis širdžiai</w:t>
      </w:r>
    </w:p>
    <w:p w:rsidR="00A64DF5" w:rsidRDefault="00A64DF5" w:rsidP="00A64DF5">
      <w:pPr>
        <w:pStyle w:val="CM20"/>
        <w:ind w:right="280"/>
        <w:jc w:val="both"/>
        <w:rPr>
          <w:rFonts w:cs="Times New Roman"/>
          <w:sz w:val="22"/>
          <w:szCs w:val="22"/>
          <w:lang w:val="lt-LT"/>
        </w:rPr>
      </w:pPr>
    </w:p>
    <w:p w:rsidR="00A64DF5" w:rsidRPr="009B5347" w:rsidRDefault="00A64DF5" w:rsidP="00A64DF5">
      <w:pPr>
        <w:pStyle w:val="CM20"/>
        <w:ind w:right="280"/>
        <w:jc w:val="both"/>
        <w:rPr>
          <w:rFonts w:cs="Times New Roman"/>
          <w:sz w:val="22"/>
          <w:szCs w:val="22"/>
          <w:lang w:val="lt-LT"/>
        </w:rPr>
      </w:pPr>
      <w:r w:rsidRPr="009B5347">
        <w:rPr>
          <w:rFonts w:cs="Times New Roman"/>
          <w:sz w:val="22"/>
          <w:szCs w:val="22"/>
          <w:lang w:val="lt-LT"/>
        </w:rPr>
        <w:t>Kai kuriems pacientams, gydomiems docetakselio ir trastuzumabo deriniu, ypač po chemoterapijos, kurios sudedamoji dalis buvo antraciklinas (doksorubicinas arba epirubicinas), pasireiškė širdies nepakankamumas. Jis gali būti vidutinio sunkumo arba sunkus ir buvo susijęs su mirtimi (žr. 4.8 skyrių).</w:t>
      </w:r>
      <w:r>
        <w:rPr>
          <w:rFonts w:cs="Times New Roman"/>
          <w:sz w:val="22"/>
          <w:szCs w:val="22"/>
          <w:lang w:val="lt-LT"/>
        </w:rPr>
        <w:t xml:space="preserve"> </w:t>
      </w:r>
    </w:p>
    <w:p w:rsidR="00A64DF5" w:rsidRDefault="00A64DF5" w:rsidP="00A64DF5">
      <w:pPr>
        <w:pStyle w:val="CM20"/>
        <w:jc w:val="both"/>
        <w:rPr>
          <w:rFonts w:cs="Times New Roman"/>
          <w:sz w:val="22"/>
          <w:szCs w:val="22"/>
          <w:lang w:val="lt-LT"/>
        </w:rPr>
      </w:pPr>
    </w:p>
    <w:p w:rsidR="00A64DF5" w:rsidRPr="009B5347" w:rsidRDefault="00A64DF5" w:rsidP="00A64DF5">
      <w:pPr>
        <w:pStyle w:val="CM20"/>
        <w:jc w:val="both"/>
        <w:rPr>
          <w:rFonts w:cs="Times New Roman"/>
          <w:sz w:val="22"/>
          <w:szCs w:val="22"/>
          <w:lang w:val="lt-LT"/>
        </w:rPr>
      </w:pPr>
      <w:r w:rsidRPr="009B5347">
        <w:rPr>
          <w:rFonts w:cs="Times New Roman"/>
          <w:sz w:val="22"/>
          <w:szCs w:val="22"/>
          <w:lang w:val="lt-LT"/>
        </w:rPr>
        <w:t>Pacientams, kuriuos numatoma gydyti docetakselio ir trastuzumabo deriniu, prieš pradedant gydyti reikia ištirti širdies funkciją.</w:t>
      </w:r>
      <w:r>
        <w:rPr>
          <w:rFonts w:cs="Times New Roman"/>
          <w:sz w:val="22"/>
          <w:szCs w:val="22"/>
          <w:lang w:val="lt-LT"/>
        </w:rPr>
        <w:t xml:space="preserve"> </w:t>
      </w:r>
      <w:r w:rsidRPr="009B5347">
        <w:rPr>
          <w:rFonts w:cs="Times New Roman"/>
          <w:sz w:val="22"/>
          <w:szCs w:val="22"/>
          <w:lang w:val="lt-LT"/>
        </w:rPr>
        <w:t xml:space="preserve">Širdies funkciją reikia sekti ir gydymo metu (pvz., kas 3 mėn.), kad būtų galima nustatyti, ar jos funkcija nesutriko. Daugiau informacijos pateikta trastuzumabo charakteristikų santraukoje. </w:t>
      </w:r>
    </w:p>
    <w:p w:rsidR="00A64DF5" w:rsidRDefault="00A64DF5" w:rsidP="00A64DF5">
      <w:pPr>
        <w:pStyle w:val="CM20"/>
        <w:jc w:val="both"/>
        <w:rPr>
          <w:rFonts w:cs="Times New Roman"/>
          <w:sz w:val="22"/>
          <w:szCs w:val="22"/>
          <w:u w:val="single"/>
          <w:lang w:val="lt-LT"/>
        </w:rPr>
      </w:pPr>
    </w:p>
    <w:p w:rsidR="00A64DF5" w:rsidRDefault="00A64DF5" w:rsidP="00A64DF5">
      <w:pPr>
        <w:pStyle w:val="CM20"/>
        <w:jc w:val="both"/>
        <w:rPr>
          <w:rFonts w:cs="Times New Roman"/>
          <w:sz w:val="22"/>
          <w:szCs w:val="22"/>
          <w:u w:val="single"/>
          <w:lang w:val="lt-LT"/>
        </w:rPr>
      </w:pPr>
      <w:r w:rsidRPr="009B5347">
        <w:rPr>
          <w:rFonts w:cs="Times New Roman"/>
          <w:sz w:val="22"/>
          <w:szCs w:val="22"/>
          <w:u w:val="single"/>
          <w:lang w:val="lt-LT"/>
        </w:rPr>
        <w:t>Kitoks poveikis</w:t>
      </w:r>
    </w:p>
    <w:p w:rsidR="00A64DF5" w:rsidRPr="009B5347" w:rsidRDefault="00A64DF5" w:rsidP="00A64DF5">
      <w:pPr>
        <w:pStyle w:val="CM20"/>
        <w:jc w:val="both"/>
        <w:rPr>
          <w:rFonts w:cs="Times New Roman"/>
          <w:sz w:val="22"/>
          <w:szCs w:val="22"/>
          <w:lang w:val="lt-LT"/>
        </w:rPr>
      </w:pPr>
      <w:r w:rsidRPr="009B5347">
        <w:rPr>
          <w:rFonts w:cs="Times New Roman"/>
          <w:sz w:val="22"/>
          <w:szCs w:val="22"/>
          <w:lang w:val="lt-LT"/>
        </w:rPr>
        <w:t xml:space="preserve">Gydymo laikotarpiu kontracepcijos priemones turi naudoti ir moterys, ir vyrai, o pastarieji turi saugotis dar bent 6 mėn. pasibaigus gydymui. </w:t>
      </w:r>
    </w:p>
    <w:p w:rsidR="00A64DF5" w:rsidRDefault="00A64DF5" w:rsidP="00A64DF5">
      <w:pPr>
        <w:pStyle w:val="CM20"/>
        <w:jc w:val="both"/>
        <w:rPr>
          <w:rFonts w:cs="Times New Roman"/>
          <w:sz w:val="22"/>
          <w:szCs w:val="22"/>
          <w:u w:val="single"/>
          <w:lang w:val="lt-LT"/>
        </w:rPr>
      </w:pPr>
    </w:p>
    <w:p w:rsidR="00A64DF5" w:rsidRPr="009B5347" w:rsidRDefault="00A64DF5" w:rsidP="00A64DF5">
      <w:pPr>
        <w:pStyle w:val="CM20"/>
        <w:jc w:val="both"/>
        <w:rPr>
          <w:rFonts w:cs="Times New Roman"/>
          <w:sz w:val="22"/>
          <w:szCs w:val="22"/>
          <w:lang w:val="lt-LT"/>
        </w:rPr>
      </w:pPr>
      <w:r w:rsidRPr="009B5347">
        <w:rPr>
          <w:rFonts w:cs="Times New Roman"/>
          <w:sz w:val="22"/>
          <w:szCs w:val="22"/>
          <w:u w:val="single"/>
          <w:lang w:val="lt-LT"/>
        </w:rPr>
        <w:t>Papildomos atsargumo priemonės adjuvantinio krūties vėžio gydymo metu</w:t>
      </w:r>
    </w:p>
    <w:p w:rsidR="00A64DF5" w:rsidRDefault="00A64DF5" w:rsidP="00A64DF5">
      <w:pPr>
        <w:pStyle w:val="CM2"/>
        <w:spacing w:line="240" w:lineRule="auto"/>
        <w:jc w:val="both"/>
        <w:rPr>
          <w:rFonts w:cs="Times New Roman"/>
          <w:i/>
          <w:iCs/>
          <w:sz w:val="22"/>
          <w:szCs w:val="22"/>
          <w:u w:val="single"/>
          <w:lang w:val="lt-LT"/>
        </w:rPr>
      </w:pPr>
    </w:p>
    <w:p w:rsidR="00A64DF5" w:rsidRPr="009B5347" w:rsidRDefault="00A64DF5" w:rsidP="00A64DF5">
      <w:pPr>
        <w:pStyle w:val="CM2"/>
        <w:spacing w:line="240" w:lineRule="auto"/>
        <w:jc w:val="both"/>
        <w:rPr>
          <w:rFonts w:cs="Times New Roman"/>
          <w:sz w:val="22"/>
          <w:szCs w:val="22"/>
          <w:lang w:val="lt-LT"/>
        </w:rPr>
      </w:pPr>
      <w:r w:rsidRPr="009B5347">
        <w:rPr>
          <w:rFonts w:cs="Times New Roman"/>
          <w:i/>
          <w:iCs/>
          <w:sz w:val="22"/>
          <w:szCs w:val="22"/>
          <w:u w:val="single"/>
          <w:lang w:val="lt-LT"/>
        </w:rPr>
        <w:t>Komplikuota neutropenija</w:t>
      </w:r>
    </w:p>
    <w:p w:rsidR="00A64DF5" w:rsidRPr="009B5347" w:rsidRDefault="00A64DF5" w:rsidP="00A64DF5">
      <w:pPr>
        <w:pStyle w:val="CM20"/>
        <w:ind w:right="80"/>
        <w:jc w:val="both"/>
        <w:rPr>
          <w:rFonts w:cs="Times New Roman"/>
          <w:sz w:val="22"/>
          <w:szCs w:val="22"/>
          <w:lang w:val="lt-LT"/>
        </w:rPr>
      </w:pPr>
      <w:r w:rsidRPr="009B5347">
        <w:rPr>
          <w:rFonts w:cs="Times New Roman"/>
          <w:sz w:val="22"/>
          <w:szCs w:val="22"/>
          <w:lang w:val="lt-LT"/>
        </w:rPr>
        <w:t xml:space="preserve">Pacientams, kuriems pasireiškė komplikuota neutropenija (ilgalaikė neutropenija, febrilinė neutropenija ar infekcija), reikia taikyti profilaktinį gydymą G-KSF ir mažinti dozę (žr. 4.2 skyrių). </w:t>
      </w:r>
    </w:p>
    <w:p w:rsidR="00A64DF5" w:rsidRDefault="00A64DF5" w:rsidP="00A64DF5">
      <w:pPr>
        <w:pStyle w:val="CM2"/>
        <w:spacing w:line="240" w:lineRule="auto"/>
        <w:jc w:val="both"/>
        <w:rPr>
          <w:rFonts w:cs="Times New Roman"/>
          <w:i/>
          <w:iCs/>
          <w:sz w:val="22"/>
          <w:szCs w:val="22"/>
          <w:u w:val="single"/>
          <w:lang w:val="lt-LT"/>
        </w:rPr>
      </w:pPr>
    </w:p>
    <w:p w:rsidR="00A64DF5" w:rsidRPr="009B5347" w:rsidRDefault="00A64DF5" w:rsidP="00A64DF5">
      <w:pPr>
        <w:pStyle w:val="CM2"/>
        <w:spacing w:line="240" w:lineRule="auto"/>
        <w:jc w:val="both"/>
        <w:rPr>
          <w:rFonts w:cs="Times New Roman"/>
          <w:sz w:val="22"/>
          <w:szCs w:val="22"/>
          <w:lang w:val="lt-LT"/>
        </w:rPr>
      </w:pPr>
      <w:r w:rsidRPr="009B5347">
        <w:rPr>
          <w:rFonts w:cs="Times New Roman"/>
          <w:i/>
          <w:iCs/>
          <w:sz w:val="22"/>
          <w:szCs w:val="22"/>
          <w:u w:val="single"/>
          <w:lang w:val="lt-LT"/>
        </w:rPr>
        <w:t>Virškinimo trakto reakcijos</w:t>
      </w:r>
    </w:p>
    <w:p w:rsidR="00A64DF5" w:rsidRPr="009B5347" w:rsidRDefault="00A64DF5" w:rsidP="00A64DF5">
      <w:pPr>
        <w:pStyle w:val="CM20"/>
        <w:ind w:right="217"/>
        <w:jc w:val="both"/>
        <w:rPr>
          <w:rFonts w:cs="Times New Roman"/>
          <w:sz w:val="22"/>
          <w:szCs w:val="22"/>
          <w:lang w:val="lt-LT"/>
        </w:rPr>
      </w:pPr>
      <w:r w:rsidRPr="009B5347">
        <w:rPr>
          <w:rFonts w:cs="Times New Roman"/>
          <w:sz w:val="22"/>
          <w:szCs w:val="22"/>
          <w:lang w:val="lt-LT"/>
        </w:rPr>
        <w:t xml:space="preserve">Ankstyvas pilvo skausmas ir jautrumas, karščiavimas bei viduriavimas, tiek susiję, tiek nesusiję su neutropenija, gali būti ankstyvieji sunkaus toksinio poveikio virškinimo traktui požymiai. Juos reikia nustatyti ir nedelsiant gydyti. </w:t>
      </w:r>
    </w:p>
    <w:p w:rsidR="00A64DF5" w:rsidRDefault="00A64DF5" w:rsidP="00A64DF5">
      <w:pPr>
        <w:pStyle w:val="CM2"/>
        <w:spacing w:line="240" w:lineRule="auto"/>
        <w:jc w:val="both"/>
        <w:rPr>
          <w:rFonts w:cs="Times New Roman"/>
          <w:i/>
          <w:iCs/>
          <w:sz w:val="22"/>
          <w:szCs w:val="22"/>
          <w:u w:val="single"/>
          <w:lang w:val="lt-LT"/>
        </w:rPr>
      </w:pPr>
    </w:p>
    <w:p w:rsidR="00A64DF5" w:rsidRPr="009B5347" w:rsidRDefault="00A64DF5" w:rsidP="00A64DF5">
      <w:pPr>
        <w:pStyle w:val="CM2"/>
        <w:spacing w:line="240" w:lineRule="auto"/>
        <w:jc w:val="both"/>
        <w:rPr>
          <w:rFonts w:cs="Times New Roman"/>
          <w:sz w:val="22"/>
          <w:szCs w:val="22"/>
          <w:lang w:val="lt-LT"/>
        </w:rPr>
      </w:pPr>
      <w:r w:rsidRPr="009B5347">
        <w:rPr>
          <w:rFonts w:cs="Times New Roman"/>
          <w:i/>
          <w:iCs/>
          <w:sz w:val="22"/>
          <w:szCs w:val="22"/>
          <w:u w:val="single"/>
          <w:lang w:val="lt-LT"/>
        </w:rPr>
        <w:lastRenderedPageBreak/>
        <w:t>Stazinis širdies nepakankamumas</w:t>
      </w:r>
    </w:p>
    <w:p w:rsidR="00A64DF5" w:rsidRPr="009B5347" w:rsidRDefault="00A64DF5" w:rsidP="00A64DF5">
      <w:pPr>
        <w:pStyle w:val="CM20"/>
        <w:jc w:val="both"/>
        <w:rPr>
          <w:rFonts w:cs="Times New Roman"/>
          <w:sz w:val="22"/>
          <w:szCs w:val="22"/>
          <w:lang w:val="lt-LT"/>
        </w:rPr>
      </w:pPr>
      <w:r w:rsidRPr="009B5347">
        <w:rPr>
          <w:rFonts w:cs="Times New Roman"/>
          <w:sz w:val="22"/>
          <w:szCs w:val="22"/>
          <w:lang w:val="lt-LT"/>
        </w:rPr>
        <w:t>Gydymo ir stebėsenos laikotarpiu reikia stebėti, ar pacientui nepasireiškė stazinio širdies nepakankamumo simptomų.</w:t>
      </w:r>
      <w:r>
        <w:rPr>
          <w:rFonts w:cs="Times New Roman"/>
          <w:sz w:val="22"/>
          <w:szCs w:val="22"/>
          <w:lang w:val="lt-LT"/>
        </w:rPr>
        <w:t xml:space="preserve"> </w:t>
      </w:r>
    </w:p>
    <w:p w:rsidR="00A64DF5" w:rsidRDefault="00A64DF5" w:rsidP="00A64DF5">
      <w:pPr>
        <w:pStyle w:val="CM2"/>
        <w:spacing w:line="240" w:lineRule="auto"/>
        <w:jc w:val="both"/>
        <w:rPr>
          <w:rFonts w:cs="Times New Roman"/>
          <w:i/>
          <w:iCs/>
          <w:sz w:val="22"/>
          <w:szCs w:val="22"/>
          <w:u w:val="single"/>
          <w:lang w:val="lt-LT"/>
        </w:rPr>
      </w:pPr>
    </w:p>
    <w:p w:rsidR="00A64DF5" w:rsidRPr="009B5347" w:rsidRDefault="00A64DF5" w:rsidP="00A64DF5">
      <w:pPr>
        <w:pStyle w:val="CM2"/>
        <w:spacing w:line="240" w:lineRule="auto"/>
        <w:jc w:val="both"/>
        <w:rPr>
          <w:rFonts w:cs="Times New Roman"/>
          <w:sz w:val="22"/>
          <w:szCs w:val="22"/>
          <w:lang w:val="lt-LT"/>
        </w:rPr>
      </w:pPr>
      <w:r w:rsidRPr="009B5347">
        <w:rPr>
          <w:rFonts w:cs="Times New Roman"/>
          <w:i/>
          <w:iCs/>
          <w:sz w:val="22"/>
          <w:szCs w:val="22"/>
          <w:u w:val="single"/>
          <w:lang w:val="lt-LT"/>
        </w:rPr>
        <w:t>Leukemija</w:t>
      </w:r>
    </w:p>
    <w:p w:rsidR="00A64DF5" w:rsidRPr="009B5347" w:rsidRDefault="00A64DF5" w:rsidP="00A64DF5">
      <w:pPr>
        <w:pStyle w:val="CM20"/>
        <w:ind w:right="135"/>
        <w:jc w:val="both"/>
        <w:rPr>
          <w:rFonts w:cs="Times New Roman"/>
          <w:sz w:val="22"/>
          <w:szCs w:val="22"/>
          <w:lang w:val="lt-LT"/>
        </w:rPr>
      </w:pPr>
      <w:r w:rsidRPr="009B5347">
        <w:rPr>
          <w:rFonts w:cs="Times New Roman"/>
          <w:sz w:val="22"/>
          <w:szCs w:val="22"/>
          <w:lang w:val="lt-LT"/>
        </w:rPr>
        <w:t>Gydant docetakselio, doksorubicino ir ciklofosfamido deriniu</w:t>
      </w:r>
      <w:r w:rsidR="00BD54B4">
        <w:rPr>
          <w:rFonts w:cs="Times New Roman"/>
          <w:sz w:val="22"/>
          <w:szCs w:val="22"/>
          <w:lang w:val="lt-LT"/>
        </w:rPr>
        <w:t xml:space="preserve"> (TAC)</w:t>
      </w:r>
      <w:r w:rsidRPr="009B5347">
        <w:rPr>
          <w:rFonts w:cs="Times New Roman"/>
          <w:sz w:val="22"/>
          <w:szCs w:val="22"/>
          <w:lang w:val="lt-LT"/>
        </w:rPr>
        <w:t xml:space="preserve">, būtina sekti kraujo pokyčius, nes galima vėlyvosios mielodisplazijos arba mieloidinės leukemijos rizika. </w:t>
      </w:r>
    </w:p>
    <w:p w:rsidR="00A64DF5" w:rsidRDefault="00A64DF5" w:rsidP="00A64DF5">
      <w:pPr>
        <w:pStyle w:val="CM2"/>
        <w:spacing w:line="240" w:lineRule="auto"/>
        <w:jc w:val="both"/>
        <w:rPr>
          <w:rFonts w:cs="Times New Roman"/>
          <w:i/>
          <w:iCs/>
          <w:sz w:val="22"/>
          <w:szCs w:val="22"/>
          <w:u w:val="single"/>
          <w:lang w:val="lt-LT"/>
        </w:rPr>
      </w:pPr>
    </w:p>
    <w:p w:rsidR="00A64DF5" w:rsidRPr="009B5347" w:rsidRDefault="00A64DF5" w:rsidP="00A64DF5">
      <w:pPr>
        <w:pStyle w:val="CM2"/>
        <w:spacing w:line="240" w:lineRule="auto"/>
        <w:jc w:val="both"/>
        <w:rPr>
          <w:rFonts w:cs="Times New Roman"/>
          <w:sz w:val="22"/>
          <w:szCs w:val="22"/>
          <w:lang w:val="lt-LT"/>
        </w:rPr>
      </w:pPr>
      <w:r w:rsidRPr="009B5347">
        <w:rPr>
          <w:rFonts w:cs="Times New Roman"/>
          <w:i/>
          <w:iCs/>
          <w:sz w:val="22"/>
          <w:szCs w:val="22"/>
          <w:u w:val="single"/>
          <w:lang w:val="lt-LT"/>
        </w:rPr>
        <w:t>Pacientai, kuriems metastazių yra 4 limfmazgiuose (4+)</w:t>
      </w:r>
    </w:p>
    <w:p w:rsidR="00A64DF5" w:rsidRPr="009B5347" w:rsidRDefault="00A64DF5" w:rsidP="00A64DF5">
      <w:pPr>
        <w:pStyle w:val="CM20"/>
        <w:ind w:right="217"/>
        <w:jc w:val="both"/>
        <w:rPr>
          <w:rFonts w:cs="Times New Roman"/>
          <w:sz w:val="22"/>
          <w:szCs w:val="22"/>
          <w:lang w:val="lt-LT"/>
        </w:rPr>
      </w:pPr>
      <w:r w:rsidRPr="009B5347">
        <w:rPr>
          <w:rFonts w:cs="Times New Roman"/>
          <w:sz w:val="22"/>
          <w:szCs w:val="22"/>
          <w:lang w:val="lt-LT"/>
        </w:rPr>
        <w:t xml:space="preserve">Pacientams, kuriems metastazių yra 4 limfmazgiuose, gydymo </w:t>
      </w:r>
      <w:r w:rsidR="00611DD9">
        <w:rPr>
          <w:rFonts w:cs="Times New Roman"/>
          <w:sz w:val="22"/>
          <w:szCs w:val="22"/>
          <w:lang w:val="lt-LT"/>
        </w:rPr>
        <w:t>TAC</w:t>
      </w:r>
      <w:r w:rsidRPr="009B5347">
        <w:rPr>
          <w:rFonts w:cs="Times New Roman"/>
          <w:sz w:val="22"/>
          <w:szCs w:val="22"/>
          <w:lang w:val="lt-LT"/>
        </w:rPr>
        <w:t xml:space="preserve"> deriniu naudos ir rizikos santykis tarpinės analizės metu galutinai nenustatytas (žr. 5.1 skyrių). </w:t>
      </w:r>
    </w:p>
    <w:p w:rsidR="00A64DF5" w:rsidRDefault="00A64DF5" w:rsidP="00A64DF5">
      <w:pPr>
        <w:pStyle w:val="CM2"/>
        <w:spacing w:line="240" w:lineRule="auto"/>
        <w:jc w:val="both"/>
        <w:rPr>
          <w:rFonts w:cs="Times New Roman"/>
          <w:i/>
          <w:iCs/>
          <w:sz w:val="22"/>
          <w:szCs w:val="22"/>
          <w:u w:val="single"/>
          <w:lang w:val="lt-LT"/>
        </w:rPr>
      </w:pPr>
    </w:p>
    <w:p w:rsidR="00A64DF5" w:rsidRPr="009B5347" w:rsidRDefault="00A64DF5" w:rsidP="00A64DF5">
      <w:pPr>
        <w:pStyle w:val="CM2"/>
        <w:spacing w:line="240" w:lineRule="auto"/>
        <w:jc w:val="both"/>
        <w:rPr>
          <w:rFonts w:cs="Times New Roman"/>
          <w:sz w:val="22"/>
          <w:szCs w:val="22"/>
          <w:lang w:val="lt-LT"/>
        </w:rPr>
      </w:pPr>
      <w:r w:rsidRPr="009B5347">
        <w:rPr>
          <w:rFonts w:cs="Times New Roman"/>
          <w:i/>
          <w:iCs/>
          <w:sz w:val="22"/>
          <w:szCs w:val="22"/>
          <w:u w:val="single"/>
          <w:lang w:val="lt-LT"/>
        </w:rPr>
        <w:t>Senyvi žmonės</w:t>
      </w:r>
    </w:p>
    <w:p w:rsidR="00A64DF5" w:rsidRPr="009B5347" w:rsidRDefault="00A64DF5" w:rsidP="00A64DF5">
      <w:pPr>
        <w:pStyle w:val="CM20"/>
        <w:ind w:right="1015"/>
        <w:jc w:val="both"/>
        <w:rPr>
          <w:rFonts w:cs="Times New Roman"/>
          <w:sz w:val="22"/>
          <w:szCs w:val="22"/>
          <w:lang w:val="lt-LT"/>
        </w:rPr>
      </w:pPr>
      <w:r w:rsidRPr="009B5347">
        <w:rPr>
          <w:rFonts w:cs="Times New Roman"/>
          <w:sz w:val="22"/>
          <w:szCs w:val="22"/>
          <w:lang w:val="lt-LT"/>
        </w:rPr>
        <w:t xml:space="preserve">Apie vyresnių nei 70 metų pacientų gydymą docetakselio, doksorubicino ir ciklofosfamido deriniu duomenų nėra. </w:t>
      </w:r>
    </w:p>
    <w:p w:rsidR="00A64DF5" w:rsidRDefault="00A64DF5" w:rsidP="00A64DF5">
      <w:pPr>
        <w:pStyle w:val="CM20"/>
        <w:ind w:right="80"/>
        <w:jc w:val="both"/>
        <w:rPr>
          <w:rFonts w:cs="Times New Roman"/>
          <w:sz w:val="22"/>
          <w:szCs w:val="22"/>
          <w:lang w:val="lt-LT"/>
        </w:rPr>
      </w:pPr>
    </w:p>
    <w:p w:rsidR="00A64DF5" w:rsidRDefault="00A64DF5" w:rsidP="00A64DF5">
      <w:pPr>
        <w:pStyle w:val="CM20"/>
        <w:ind w:right="80"/>
        <w:jc w:val="both"/>
        <w:rPr>
          <w:rFonts w:cs="Times New Roman"/>
          <w:sz w:val="22"/>
          <w:szCs w:val="22"/>
          <w:lang w:val="lt-LT"/>
        </w:rPr>
      </w:pPr>
      <w:r w:rsidRPr="009B5347">
        <w:rPr>
          <w:rFonts w:cs="Times New Roman"/>
          <w:sz w:val="22"/>
          <w:szCs w:val="22"/>
          <w:lang w:val="lt-LT"/>
        </w:rPr>
        <w:t xml:space="preserve">Iš prostatos vėžio tyrime dalyvavusių 333 pacientų, gydomų docetakseliu kas tris savaites, 209 buvo 65 metų arba vyresni, 68 </w:t>
      </w:r>
      <w:r w:rsidR="004C6BA3">
        <w:rPr>
          <w:rFonts w:cs="Times New Roman"/>
          <w:sz w:val="22"/>
          <w:szCs w:val="22"/>
          <w:lang w:val="lt-LT"/>
        </w:rPr>
        <w:t>-</w:t>
      </w:r>
      <w:r w:rsidRPr="009B5347">
        <w:rPr>
          <w:rFonts w:cs="Times New Roman"/>
          <w:sz w:val="22"/>
          <w:szCs w:val="22"/>
          <w:lang w:val="lt-LT"/>
        </w:rPr>
        <w:t xml:space="preserve"> vyresni nei 75 metų. Kas 3 savaites infuzuojamu docetakseliu gydomiems</w:t>
      </w:r>
      <w:r>
        <w:rPr>
          <w:rFonts w:cs="Times New Roman"/>
          <w:sz w:val="22"/>
          <w:szCs w:val="22"/>
          <w:lang w:val="lt-LT"/>
        </w:rPr>
        <w:t xml:space="preserve"> </w:t>
      </w:r>
      <w:r w:rsidRPr="009B5347">
        <w:rPr>
          <w:rFonts w:cs="Times New Roman"/>
          <w:sz w:val="22"/>
          <w:szCs w:val="22"/>
          <w:lang w:val="lt-LT"/>
        </w:rPr>
        <w:t xml:space="preserve">65 metų arba vyresniems pacientams nagų pokyčių atsirado ≥ </w:t>
      </w:r>
      <w:r>
        <w:rPr>
          <w:rFonts w:cs="Times New Roman"/>
          <w:sz w:val="22"/>
          <w:szCs w:val="22"/>
          <w:lang w:val="lt-LT"/>
        </w:rPr>
        <w:t xml:space="preserve">10 % dažniau nei jaunesniems. </w:t>
      </w:r>
      <w:r w:rsidRPr="009B5347">
        <w:rPr>
          <w:rFonts w:cs="Times New Roman"/>
          <w:sz w:val="22"/>
          <w:szCs w:val="22"/>
          <w:lang w:val="lt-LT"/>
        </w:rPr>
        <w:t>Nuo gydymo priklausomo karščiavimo, viduriavimo, anoreksijos ir periferinės edemos dažnis 75 metų arba vyresniems pacientams buvo ≥ 10 % didesnis nei jaunesniems kaip 65 metų.</w:t>
      </w:r>
      <w:r>
        <w:rPr>
          <w:rFonts w:cs="Times New Roman"/>
          <w:sz w:val="22"/>
          <w:szCs w:val="22"/>
          <w:lang w:val="lt-LT"/>
        </w:rPr>
        <w:t xml:space="preserve"> </w:t>
      </w:r>
    </w:p>
    <w:p w:rsidR="00A64DF5" w:rsidRDefault="00A64DF5" w:rsidP="00A64DF5">
      <w:pPr>
        <w:pStyle w:val="Default"/>
        <w:jc w:val="both"/>
        <w:rPr>
          <w:lang w:val="lt-LT"/>
        </w:rPr>
      </w:pPr>
    </w:p>
    <w:p w:rsidR="00A64DF5" w:rsidRPr="009B5347" w:rsidRDefault="00A64DF5" w:rsidP="00A64DF5">
      <w:pPr>
        <w:pStyle w:val="Default"/>
        <w:jc w:val="both"/>
        <w:rPr>
          <w:sz w:val="22"/>
          <w:szCs w:val="22"/>
          <w:lang w:val="lt-LT"/>
        </w:rPr>
      </w:pPr>
      <w:r w:rsidRPr="009B5347">
        <w:rPr>
          <w:sz w:val="22"/>
          <w:szCs w:val="22"/>
          <w:lang w:val="lt-LT"/>
        </w:rPr>
        <w:t xml:space="preserve">Iš skrandžio vėžio tyrime dalyvavusių 300 pacientų (221 iš jų dalyvavo III fazės tyrime, 79 </w:t>
      </w:r>
      <w:r w:rsidR="008E6B44">
        <w:rPr>
          <w:sz w:val="22"/>
          <w:szCs w:val="22"/>
          <w:lang w:val="lt-LT"/>
        </w:rPr>
        <w:t>-</w:t>
      </w:r>
      <w:r w:rsidRPr="009B5347">
        <w:rPr>
          <w:sz w:val="22"/>
          <w:szCs w:val="22"/>
          <w:lang w:val="lt-LT"/>
        </w:rPr>
        <w:t xml:space="preserve"> II fazės tyrime), gydytų docetakselio, cisplatinos ir 5-fluorouracilo deriniu, 74 buvo 65 metų arba vyresni, 4 – 75 metų arba vyresni. Vyresniems pacientams sunkaus šalutinio poveikio dažnis buvo didesnis nei jaunesniems. Šių nepageidaujamų reiškinių (visų laipsnių</w:t>
      </w:r>
      <w:r w:rsidR="00E916AD">
        <w:rPr>
          <w:sz w:val="22"/>
          <w:szCs w:val="22"/>
          <w:lang w:val="lt-LT"/>
        </w:rPr>
        <w:t>)</w:t>
      </w:r>
      <w:r w:rsidRPr="009B5347">
        <w:rPr>
          <w:sz w:val="22"/>
          <w:szCs w:val="22"/>
          <w:lang w:val="lt-LT"/>
        </w:rPr>
        <w:t xml:space="preserve">: </w:t>
      </w:r>
      <w:r w:rsidR="00E916AD" w:rsidRPr="009B5347">
        <w:rPr>
          <w:sz w:val="22"/>
          <w:szCs w:val="22"/>
          <w:lang w:val="lt-LT"/>
        </w:rPr>
        <w:t xml:space="preserve">letargijos, stomatito bei su neuropenija susijusios infekcijos </w:t>
      </w:r>
      <w:r w:rsidRPr="009B5347">
        <w:rPr>
          <w:sz w:val="22"/>
          <w:szCs w:val="22"/>
          <w:lang w:val="lt-LT"/>
        </w:rPr>
        <w:t>65 metų arba vyresniems pacientams dažnis buvo ≥ 10 % didesnis nei jaunesniems. Docetakselio, cisplatinos ir 5-fluorouracilo deriniu gydomus senyvus pacientus reikia atidžiai stebėti.</w:t>
      </w:r>
    </w:p>
    <w:p w:rsidR="00A64DF5" w:rsidRDefault="00A64DF5" w:rsidP="00A64DF5">
      <w:pPr>
        <w:pStyle w:val="CM2"/>
        <w:spacing w:line="240" w:lineRule="auto"/>
        <w:jc w:val="both"/>
        <w:rPr>
          <w:rFonts w:cs="Times New Roman"/>
          <w:sz w:val="22"/>
          <w:szCs w:val="22"/>
          <w:lang w:val="lt-LT"/>
        </w:rPr>
      </w:pPr>
    </w:p>
    <w:p w:rsidR="00A64DF5" w:rsidRDefault="00A64DF5" w:rsidP="00A64DF5">
      <w:pPr>
        <w:pStyle w:val="CM2"/>
        <w:spacing w:line="240" w:lineRule="auto"/>
        <w:jc w:val="both"/>
        <w:rPr>
          <w:rFonts w:cs="Times New Roman"/>
          <w:sz w:val="22"/>
          <w:szCs w:val="22"/>
          <w:lang w:val="lt-LT"/>
        </w:rPr>
      </w:pPr>
      <w:r w:rsidRPr="009B5347">
        <w:rPr>
          <w:rFonts w:cs="Times New Roman"/>
          <w:sz w:val="22"/>
          <w:szCs w:val="22"/>
          <w:lang w:val="lt-LT"/>
        </w:rPr>
        <w:t xml:space="preserve">Šiame vaistiniame preparate yra nedidelis kiekis etanolio (alkoholio), mažiau nei 100 mg vienoje dozėje. </w:t>
      </w:r>
    </w:p>
    <w:p w:rsidR="00A64DF5" w:rsidRPr="00A30AA9" w:rsidRDefault="00A64DF5" w:rsidP="00A64DF5">
      <w:pPr>
        <w:pStyle w:val="CM20"/>
        <w:jc w:val="both"/>
        <w:rPr>
          <w:rFonts w:cs="Times New Roman"/>
          <w:sz w:val="22"/>
          <w:szCs w:val="22"/>
          <w:highlight w:val="lightGray"/>
          <w:lang w:val="lt-LT"/>
        </w:rPr>
      </w:pPr>
      <w:r w:rsidRPr="00A30AA9">
        <w:rPr>
          <w:rFonts w:cs="Times New Roman"/>
          <w:sz w:val="22"/>
          <w:szCs w:val="22"/>
          <w:highlight w:val="lightGray"/>
          <w:lang w:val="lt-LT"/>
        </w:rPr>
        <w:t xml:space="preserve">Šiame vaistiniame preparate yra 13 tūr. % etanolio (alkoholio), t. y. iki 152,1 mg vienoje dozėje, kas prilygsta 3 ml alaus, 1,3 ml vyno. </w:t>
      </w:r>
    </w:p>
    <w:p w:rsidR="00A64DF5" w:rsidRPr="00A30AA9" w:rsidRDefault="00A64DF5" w:rsidP="00A64DF5">
      <w:pPr>
        <w:pStyle w:val="CM20"/>
        <w:jc w:val="both"/>
        <w:rPr>
          <w:rFonts w:cs="Times New Roman"/>
          <w:sz w:val="22"/>
          <w:szCs w:val="22"/>
          <w:highlight w:val="lightGray"/>
          <w:lang w:val="lt-LT"/>
        </w:rPr>
      </w:pPr>
      <w:r w:rsidRPr="00A30AA9">
        <w:rPr>
          <w:rFonts w:cs="Times New Roman"/>
          <w:sz w:val="22"/>
          <w:szCs w:val="22"/>
          <w:highlight w:val="lightGray"/>
          <w:lang w:val="lt-LT"/>
        </w:rPr>
        <w:t xml:space="preserve">Kenksmingas sergantiems alkoholizmu. </w:t>
      </w:r>
    </w:p>
    <w:p w:rsidR="00A64DF5" w:rsidRPr="009B5347" w:rsidRDefault="00A64DF5" w:rsidP="00A64DF5">
      <w:pPr>
        <w:pStyle w:val="CM20"/>
        <w:jc w:val="both"/>
        <w:rPr>
          <w:rFonts w:cs="Times New Roman"/>
          <w:sz w:val="22"/>
          <w:szCs w:val="22"/>
          <w:lang w:val="lt-LT"/>
        </w:rPr>
      </w:pPr>
      <w:r w:rsidRPr="00A30AA9">
        <w:rPr>
          <w:rFonts w:cs="Times New Roman"/>
          <w:sz w:val="22"/>
          <w:szCs w:val="22"/>
          <w:highlight w:val="lightGray"/>
          <w:lang w:val="lt-LT"/>
        </w:rPr>
        <w:t>Reikia atsižvelgti skiriant nėščioms ar žindančioms moterims, vaikams ir didelės rizikos grupės pacientams, pavyzdžiui, sergantiems kepenų liga ar epilepsija.</w:t>
      </w:r>
      <w:r w:rsidRPr="009B5347">
        <w:rPr>
          <w:rFonts w:cs="Times New Roman"/>
          <w:sz w:val="22"/>
          <w:szCs w:val="22"/>
          <w:lang w:val="lt-LT"/>
        </w:rPr>
        <w:t xml:space="preserve"> </w:t>
      </w:r>
    </w:p>
    <w:p w:rsidR="00A64DF5" w:rsidRPr="0084041E" w:rsidRDefault="00A64DF5" w:rsidP="00633D05">
      <w:pPr>
        <w:pStyle w:val="PI-2EMEASMCA"/>
      </w:pPr>
    </w:p>
    <w:p w:rsidR="00633D05" w:rsidRPr="0084041E" w:rsidRDefault="00633D05" w:rsidP="00732C31">
      <w:pPr>
        <w:pStyle w:val="BTEMEASMCA"/>
      </w:pPr>
    </w:p>
    <w:p w:rsidR="00633D05" w:rsidRPr="0084041E" w:rsidRDefault="00633D05" w:rsidP="00633D05">
      <w:pPr>
        <w:pStyle w:val="PI-2EMEASMCA"/>
      </w:pPr>
      <w:bookmarkStart w:id="20" w:name="_Toc129243106"/>
      <w:bookmarkStart w:id="21" w:name="_Toc129243231"/>
      <w:r w:rsidRPr="0084041E">
        <w:t>4.5</w:t>
      </w:r>
      <w:r w:rsidRPr="0084041E">
        <w:tab/>
        <w:t>Sąveika su kitais vaistiniais preparatais ir kitokia sąveika</w:t>
      </w:r>
      <w:bookmarkEnd w:id="20"/>
      <w:bookmarkEnd w:id="21"/>
    </w:p>
    <w:p w:rsidR="00633D05" w:rsidRPr="0084041E" w:rsidRDefault="00633D05" w:rsidP="00732C31">
      <w:pPr>
        <w:pStyle w:val="BTEMEASMCA"/>
      </w:pPr>
    </w:p>
    <w:p w:rsidR="00A64DF5" w:rsidRPr="00A64DF5" w:rsidRDefault="00A64DF5" w:rsidP="00732C31">
      <w:pPr>
        <w:pStyle w:val="BTEMEASMCA"/>
      </w:pPr>
      <w:r w:rsidRPr="00A64DF5">
        <w:t xml:space="preserve">Tyrimai </w:t>
      </w:r>
      <w:r w:rsidRPr="00A64DF5">
        <w:rPr>
          <w:i/>
          <w:iCs/>
        </w:rPr>
        <w:t>in vitro</w:t>
      </w:r>
      <w:r w:rsidRPr="00A64DF5">
        <w:t xml:space="preserve"> parodė, kad docetakselio metabolizmui įtakos gali turėti kartu vartojamos medžiagos, kurios stimuliuoja ar slopina citochromą P450-3A, arba yra jo metabolizuojamos (pastarosios gali slopinti šį fermentą konkurenciniu būdu), pvz., ciklosporinas, terfenadinas, ketokonazolas, eritromicinas, troleandomicinas. Galima sąveika yra reikšminga, todėl kartu su minėtais vaistiniais preparatais docetakselis vartojamas atsargiai. </w:t>
      </w:r>
    </w:p>
    <w:p w:rsidR="00A64DF5" w:rsidRPr="00A64DF5" w:rsidRDefault="00A64DF5" w:rsidP="00732C31">
      <w:pPr>
        <w:pStyle w:val="BTEMEASMCA"/>
      </w:pPr>
    </w:p>
    <w:p w:rsidR="00A64DF5" w:rsidRPr="00A64DF5" w:rsidRDefault="00A64DF5" w:rsidP="00732C31">
      <w:pPr>
        <w:pStyle w:val="BTEMEASMCA"/>
      </w:pPr>
      <w:r w:rsidRPr="00A64DF5">
        <w:t xml:space="preserve">Didelė docetakselio dalis (daugiau kaip 95 %) būna prisijungusi prie baltymų. Galima docetakselio sąveika su kartu vartojamais vaistais </w:t>
      </w:r>
      <w:r w:rsidRPr="00A64DF5">
        <w:rPr>
          <w:i/>
          <w:iCs/>
        </w:rPr>
        <w:t xml:space="preserve">in vivo </w:t>
      </w:r>
      <w:r w:rsidRPr="00A64DF5">
        <w:t xml:space="preserve">oficialiai netirta, tačiau medžiagos, kurios stipriai jungiasi prie plazmos baltymų (pvz., eritromicinas, difenhidraminas, propranololis, propafenonas, fenitoinas, salicilatai, sulfametoksazolis ir natrio valproatas) įtakos docetakselio jungimuisi su baltymais </w:t>
      </w:r>
      <w:r w:rsidRPr="00A64DF5">
        <w:rPr>
          <w:i/>
          <w:iCs/>
        </w:rPr>
        <w:t xml:space="preserve">in vitro </w:t>
      </w:r>
      <w:r w:rsidRPr="00A64DF5">
        <w:t xml:space="preserve">neturi. Docetakselio jungimosi su baltymais neveikia ir deksametasonas. Docetakselis neturi įtakos digitoksino jungimuisi su baltymais. </w:t>
      </w:r>
    </w:p>
    <w:p w:rsidR="00A64DF5" w:rsidRPr="00A64DF5" w:rsidRDefault="00A64DF5" w:rsidP="00732C31">
      <w:pPr>
        <w:pStyle w:val="BTEMEASMCA"/>
      </w:pPr>
    </w:p>
    <w:p w:rsidR="00A64DF5" w:rsidRPr="00A64DF5" w:rsidRDefault="00A64DF5" w:rsidP="00732C31">
      <w:pPr>
        <w:pStyle w:val="BTEMEASMCA"/>
      </w:pPr>
      <w:r w:rsidRPr="00A64DF5">
        <w:t xml:space="preserve">Kartu vartojami docetakselis, doksorubicinas ir ciklofosfamidas vienas kito farmakokinetikos nekeičia. Ribotas kiekis duomenų, gautų vieno nekontroliuojamo tyrimo metu, rodo sąveiką tarp docetakselio ir </w:t>
      </w:r>
      <w:r w:rsidRPr="00A64DF5">
        <w:lastRenderedPageBreak/>
        <w:t xml:space="preserve">karboplatinos. Kartu su docetakseliu vartojamos karboplatinos klirensas buvo maždaug 50 % didesnis už anksčiau nustatytą monoterapijos karboplatina metu. </w:t>
      </w:r>
    </w:p>
    <w:p w:rsidR="00A64DF5" w:rsidRPr="00A64DF5" w:rsidRDefault="00A64DF5" w:rsidP="00732C31">
      <w:pPr>
        <w:pStyle w:val="BTEMEASMCA"/>
      </w:pPr>
    </w:p>
    <w:p w:rsidR="00A64DF5" w:rsidRPr="00A64DF5" w:rsidRDefault="00A64DF5" w:rsidP="00732C31">
      <w:pPr>
        <w:pStyle w:val="BTEMEASMCA"/>
      </w:pPr>
      <w:r w:rsidRPr="00A64DF5">
        <w:t xml:space="preserve">Tirta docetakselio farmakokinetika metastazavusiu prostatos vėžiu sergančių pacientų, kartu vartojančių prednizoną, organizme. CYP3A4 metabolizuoja docetakselį, o prednizonas indukuoja CYP3A4. </w:t>
      </w:r>
    </w:p>
    <w:p w:rsidR="00A64DF5" w:rsidRPr="00A64DF5" w:rsidRDefault="00A64DF5" w:rsidP="00732C31">
      <w:pPr>
        <w:pStyle w:val="BTEMEASMCA"/>
      </w:pPr>
    </w:p>
    <w:p w:rsidR="00A64DF5" w:rsidRPr="00A64DF5" w:rsidRDefault="00A64DF5" w:rsidP="00732C31">
      <w:pPr>
        <w:pStyle w:val="BTEMEASMCA"/>
      </w:pPr>
      <w:r w:rsidRPr="00A64DF5">
        <w:t>Statistiškai reikšmingos prednizono įtakos docetakselio farmakokinetikai nenustatyta.</w:t>
      </w:r>
    </w:p>
    <w:p w:rsidR="00A64DF5" w:rsidRPr="00A64DF5" w:rsidRDefault="00A64DF5" w:rsidP="00732C31">
      <w:pPr>
        <w:pStyle w:val="BTEMEASMCA"/>
      </w:pPr>
    </w:p>
    <w:p w:rsidR="00A64DF5" w:rsidRPr="00A64DF5" w:rsidRDefault="00A64DF5" w:rsidP="00732C31">
      <w:pPr>
        <w:pStyle w:val="BTEMEASMCA"/>
      </w:pPr>
      <w:r w:rsidRPr="00A64DF5">
        <w:t xml:space="preserve">Docetakselio būtina atsargiai skirti pacientams, kurie vartoja stiprių CYP3A4 inhibitorių (pvz., proteazės inhibitorių (ritonaviro), azolo grupės vaistinių preparatų </w:t>
      </w:r>
      <w:r w:rsidR="005701B1">
        <w:t xml:space="preserve">nuo grybelių </w:t>
      </w:r>
      <w:r w:rsidRPr="00A64DF5">
        <w:t xml:space="preserve">(pvz., ketokonazolo ar itrakonazolo). Sąveikos tyrimų, kuriuose dalyvavo ketokonazolo ir docetakselio vartoję pacientai, metu nustatyta, kad ketokonazolas docetakselio klirensą sumažina dvigubai, tikriausiai dėl to, kad svarbiausias (vienintelis) docetakselio metabolizmo būdas yra susijęs su CYP3A4. Gali sumažėti docetakselio toleravimas, net jei vartojama mažesnė dozė. </w:t>
      </w:r>
    </w:p>
    <w:p w:rsidR="00633D05" w:rsidRPr="0084041E" w:rsidRDefault="00633D05" w:rsidP="00732C31">
      <w:pPr>
        <w:pStyle w:val="BTEMEASMCA"/>
      </w:pPr>
    </w:p>
    <w:p w:rsidR="00633D05" w:rsidRDefault="00633D05" w:rsidP="00633D05">
      <w:pPr>
        <w:pStyle w:val="PI-2EMEASMCA"/>
      </w:pPr>
      <w:bookmarkStart w:id="22" w:name="_Toc129243107"/>
      <w:bookmarkStart w:id="23" w:name="_Toc129243232"/>
      <w:r w:rsidRPr="0084041E">
        <w:t>4.6</w:t>
      </w:r>
      <w:r w:rsidRPr="0084041E">
        <w:tab/>
        <w:t>Nėštumo ir žindymo laikotarpis</w:t>
      </w:r>
      <w:bookmarkEnd w:id="22"/>
      <w:bookmarkEnd w:id="23"/>
    </w:p>
    <w:p w:rsidR="00A64DF5" w:rsidRDefault="00A64DF5" w:rsidP="00633D05">
      <w:pPr>
        <w:pStyle w:val="PI-2EMEASMCA"/>
      </w:pPr>
    </w:p>
    <w:p w:rsidR="00A64DF5" w:rsidRDefault="00A64DF5" w:rsidP="00A64DF5">
      <w:pPr>
        <w:pStyle w:val="CM20"/>
        <w:rPr>
          <w:rFonts w:cs="Times New Roman"/>
          <w:sz w:val="22"/>
          <w:szCs w:val="22"/>
          <w:u w:val="single"/>
          <w:lang w:val="lt-LT"/>
        </w:rPr>
      </w:pPr>
      <w:r w:rsidRPr="009B5347">
        <w:rPr>
          <w:rFonts w:cs="Times New Roman"/>
          <w:sz w:val="22"/>
          <w:szCs w:val="22"/>
          <w:u w:val="single"/>
          <w:lang w:val="lt-LT"/>
        </w:rPr>
        <w:t xml:space="preserve">Vyrų ir </w:t>
      </w:r>
      <w:r>
        <w:rPr>
          <w:rFonts w:cs="Times New Roman"/>
          <w:sz w:val="22"/>
          <w:szCs w:val="22"/>
          <w:u w:val="single"/>
          <w:lang w:val="lt-LT"/>
        </w:rPr>
        <w:t>moterų kontraceptinės priemonės</w:t>
      </w:r>
    </w:p>
    <w:p w:rsidR="00A64DF5" w:rsidRPr="009B5347" w:rsidRDefault="00A64DF5" w:rsidP="00A64DF5">
      <w:pPr>
        <w:pStyle w:val="CM20"/>
        <w:rPr>
          <w:rFonts w:cs="Times New Roman"/>
          <w:sz w:val="22"/>
          <w:szCs w:val="22"/>
          <w:lang w:val="lt-LT"/>
        </w:rPr>
      </w:pPr>
      <w:r w:rsidRPr="009B5347">
        <w:rPr>
          <w:rFonts w:cs="Times New Roman"/>
          <w:sz w:val="22"/>
          <w:szCs w:val="22"/>
          <w:lang w:val="lt-LT"/>
        </w:rPr>
        <w:t xml:space="preserve">Tiek vyrai, tiek moterys turi naudoti kontraceptines priemones gydymo docetakseliu metu ir iki 6 mėnesių po gydymo (žr. 4.4 skyrių). Jeigu pacientė pastoja vartodama </w:t>
      </w:r>
      <w:proofErr w:type="spellStart"/>
      <w:r w:rsidR="00DE749D" w:rsidRPr="00DE749D">
        <w:rPr>
          <w:sz w:val="22"/>
          <w:szCs w:val="22"/>
          <w:lang w:val="lt-LT"/>
        </w:rPr>
        <w:t>Docetaxel</w:t>
      </w:r>
      <w:proofErr w:type="spellEnd"/>
      <w:r w:rsidR="00DE749D" w:rsidRPr="00DE749D">
        <w:rPr>
          <w:sz w:val="22"/>
          <w:szCs w:val="22"/>
          <w:lang w:val="lt-LT"/>
        </w:rPr>
        <w:t xml:space="preserve"> </w:t>
      </w:r>
      <w:proofErr w:type="spellStart"/>
      <w:r w:rsidR="00DE749D" w:rsidRPr="00DE749D">
        <w:rPr>
          <w:sz w:val="22"/>
          <w:szCs w:val="22"/>
          <w:lang w:val="lt-LT"/>
        </w:rPr>
        <w:t>Mylan</w:t>
      </w:r>
      <w:proofErr w:type="spellEnd"/>
      <w:r w:rsidRPr="009B5347">
        <w:rPr>
          <w:rFonts w:cs="Times New Roman"/>
          <w:sz w:val="22"/>
          <w:szCs w:val="22"/>
          <w:lang w:val="lt-LT"/>
        </w:rPr>
        <w:t xml:space="preserve">, reikia paaiškinti galimą pavojų vaisiui. </w:t>
      </w:r>
    </w:p>
    <w:p w:rsidR="00A64DF5" w:rsidRDefault="00A64DF5" w:rsidP="00A64DF5">
      <w:pPr>
        <w:pStyle w:val="CM20"/>
        <w:rPr>
          <w:rFonts w:cs="Times New Roman"/>
          <w:sz w:val="22"/>
          <w:szCs w:val="22"/>
          <w:u w:val="single"/>
          <w:lang w:val="lt-LT"/>
        </w:rPr>
      </w:pPr>
    </w:p>
    <w:p w:rsidR="00A64DF5" w:rsidRDefault="00A64DF5" w:rsidP="00A64DF5">
      <w:pPr>
        <w:pStyle w:val="CM20"/>
        <w:rPr>
          <w:rFonts w:cs="Times New Roman"/>
          <w:sz w:val="22"/>
          <w:szCs w:val="22"/>
          <w:u w:val="single"/>
          <w:lang w:val="lt-LT"/>
        </w:rPr>
      </w:pPr>
      <w:r>
        <w:rPr>
          <w:rFonts w:cs="Times New Roman"/>
          <w:sz w:val="22"/>
          <w:szCs w:val="22"/>
          <w:u w:val="single"/>
          <w:lang w:val="lt-LT"/>
        </w:rPr>
        <w:t>Nėštumas</w:t>
      </w:r>
    </w:p>
    <w:p w:rsidR="00A64DF5" w:rsidRPr="009B5347" w:rsidRDefault="00A64DF5" w:rsidP="00A64DF5">
      <w:pPr>
        <w:pStyle w:val="CM20"/>
        <w:rPr>
          <w:rFonts w:cs="Times New Roman"/>
          <w:sz w:val="22"/>
          <w:szCs w:val="22"/>
          <w:lang w:val="lt-LT"/>
        </w:rPr>
      </w:pPr>
      <w:r w:rsidRPr="009B5347">
        <w:rPr>
          <w:rFonts w:cs="Times New Roman"/>
          <w:sz w:val="22"/>
          <w:szCs w:val="22"/>
          <w:lang w:val="lt-LT"/>
        </w:rPr>
        <w:t xml:space="preserve">Informacijos apie docetakselio vartojimą nėštumo metu yra nepakankamai. Įtariama, kad doksetakselis vartojamas nėštumo metu gali sukelti sunkius apsigimimus. Tyrimų su gyvūnais rezultatai rodo reprodukcinį toksiškumą (žr. 5.3 skyrių). </w:t>
      </w:r>
      <w:proofErr w:type="spellStart"/>
      <w:r w:rsidR="00DE749D" w:rsidRPr="00DE749D">
        <w:rPr>
          <w:sz w:val="22"/>
          <w:szCs w:val="22"/>
          <w:lang w:val="lt-LT"/>
        </w:rPr>
        <w:t>Docetaxel</w:t>
      </w:r>
      <w:proofErr w:type="spellEnd"/>
      <w:r w:rsidR="00DE749D" w:rsidRPr="00DE749D">
        <w:rPr>
          <w:sz w:val="22"/>
          <w:szCs w:val="22"/>
          <w:lang w:val="lt-LT"/>
        </w:rPr>
        <w:t xml:space="preserve"> </w:t>
      </w:r>
      <w:proofErr w:type="spellStart"/>
      <w:r w:rsidR="00DE749D" w:rsidRPr="00DE749D">
        <w:rPr>
          <w:sz w:val="22"/>
          <w:szCs w:val="22"/>
          <w:lang w:val="lt-LT"/>
        </w:rPr>
        <w:t>Mylan</w:t>
      </w:r>
      <w:proofErr w:type="spellEnd"/>
      <w:r w:rsidR="00DE749D">
        <w:rPr>
          <w:lang w:val="lt-LT"/>
        </w:rPr>
        <w:t xml:space="preserve"> </w:t>
      </w:r>
      <w:r w:rsidRPr="009B5347">
        <w:rPr>
          <w:rFonts w:cs="Times New Roman"/>
          <w:sz w:val="22"/>
          <w:szCs w:val="22"/>
          <w:lang w:val="lt-LT"/>
        </w:rPr>
        <w:t xml:space="preserve">neturi būti vartojamas nėštumo metu, nebent dėl motinos klinikinės būklės būtinas gydymas </w:t>
      </w:r>
      <w:proofErr w:type="spellStart"/>
      <w:r w:rsidRPr="009B5347">
        <w:rPr>
          <w:rFonts w:cs="Times New Roman"/>
          <w:sz w:val="22"/>
          <w:szCs w:val="22"/>
          <w:lang w:val="lt-LT"/>
        </w:rPr>
        <w:t>docetakseliu</w:t>
      </w:r>
      <w:proofErr w:type="spellEnd"/>
      <w:r w:rsidRPr="009B5347">
        <w:rPr>
          <w:rFonts w:cs="Times New Roman"/>
          <w:sz w:val="22"/>
          <w:szCs w:val="22"/>
          <w:lang w:val="lt-LT"/>
        </w:rPr>
        <w:t xml:space="preserve">. </w:t>
      </w:r>
    </w:p>
    <w:p w:rsidR="00A64DF5" w:rsidRDefault="00A64DF5" w:rsidP="00A64DF5">
      <w:pPr>
        <w:pStyle w:val="CM20"/>
        <w:rPr>
          <w:rFonts w:cs="Times New Roman"/>
          <w:sz w:val="22"/>
          <w:szCs w:val="22"/>
          <w:u w:val="single"/>
          <w:lang w:val="lt-LT"/>
        </w:rPr>
      </w:pPr>
    </w:p>
    <w:p w:rsidR="00A64DF5" w:rsidRDefault="00A64DF5" w:rsidP="00A64DF5">
      <w:pPr>
        <w:pStyle w:val="CM20"/>
        <w:rPr>
          <w:rFonts w:cs="Times New Roman"/>
          <w:sz w:val="22"/>
          <w:szCs w:val="22"/>
          <w:u w:val="single"/>
          <w:lang w:val="lt-LT"/>
        </w:rPr>
      </w:pPr>
      <w:r>
        <w:rPr>
          <w:rFonts w:cs="Times New Roman"/>
          <w:sz w:val="22"/>
          <w:szCs w:val="22"/>
          <w:u w:val="single"/>
          <w:lang w:val="lt-LT"/>
        </w:rPr>
        <w:t>Žindymas</w:t>
      </w:r>
    </w:p>
    <w:p w:rsidR="00A64DF5" w:rsidRPr="009B5347" w:rsidRDefault="00A64DF5" w:rsidP="00A64DF5">
      <w:pPr>
        <w:pStyle w:val="CM20"/>
        <w:rPr>
          <w:rFonts w:cs="Times New Roman"/>
          <w:sz w:val="22"/>
          <w:szCs w:val="22"/>
          <w:lang w:val="lt-LT"/>
        </w:rPr>
      </w:pPr>
      <w:r w:rsidRPr="009B5347">
        <w:rPr>
          <w:rFonts w:cs="Times New Roman"/>
          <w:sz w:val="22"/>
          <w:szCs w:val="22"/>
          <w:lang w:val="lt-LT"/>
        </w:rPr>
        <w:t xml:space="preserve">Ar docetakselis išsiskiria su žindyvės pienu, nežinoma. Dėl galimų sunkių nepageidaujamų reakcijų krūtimi maitinamo kūdikio žindymą gydymo docetakseliu metu būtina nutraukti. </w:t>
      </w:r>
    </w:p>
    <w:p w:rsidR="00A64DF5" w:rsidRDefault="00A64DF5" w:rsidP="00A64DF5">
      <w:pPr>
        <w:pStyle w:val="CM20"/>
        <w:rPr>
          <w:rFonts w:cs="Times New Roman"/>
          <w:sz w:val="22"/>
          <w:szCs w:val="22"/>
          <w:u w:val="single"/>
          <w:lang w:val="lt-LT"/>
        </w:rPr>
      </w:pPr>
    </w:p>
    <w:p w:rsidR="00A64DF5" w:rsidRDefault="00A64DF5" w:rsidP="00A64DF5">
      <w:pPr>
        <w:pStyle w:val="CM20"/>
        <w:rPr>
          <w:rFonts w:cs="Times New Roman"/>
          <w:sz w:val="22"/>
          <w:szCs w:val="22"/>
          <w:u w:val="single"/>
          <w:lang w:val="lt-LT"/>
        </w:rPr>
      </w:pPr>
      <w:r w:rsidRPr="009B5347">
        <w:rPr>
          <w:rFonts w:cs="Times New Roman"/>
          <w:sz w:val="22"/>
          <w:szCs w:val="22"/>
          <w:u w:val="single"/>
          <w:lang w:val="lt-LT"/>
        </w:rPr>
        <w:t>Vaisingumas</w:t>
      </w:r>
    </w:p>
    <w:p w:rsidR="00A64DF5" w:rsidRPr="009B5347" w:rsidRDefault="00A64DF5" w:rsidP="00A64DF5">
      <w:pPr>
        <w:pStyle w:val="CM20"/>
        <w:rPr>
          <w:rFonts w:cs="Times New Roman"/>
          <w:sz w:val="22"/>
          <w:szCs w:val="22"/>
          <w:lang w:val="lt-LT"/>
        </w:rPr>
      </w:pPr>
      <w:r w:rsidRPr="009B5347">
        <w:rPr>
          <w:rFonts w:cs="Times New Roman"/>
          <w:sz w:val="22"/>
          <w:szCs w:val="22"/>
          <w:lang w:val="lt-LT"/>
        </w:rPr>
        <w:t xml:space="preserve">Ikiklinikinių </w:t>
      </w:r>
      <w:r>
        <w:rPr>
          <w:rFonts w:cs="Times New Roman"/>
          <w:sz w:val="22"/>
          <w:szCs w:val="22"/>
          <w:lang w:val="lt-LT"/>
        </w:rPr>
        <w:t>tyrim</w:t>
      </w:r>
      <w:r w:rsidRPr="009B5347">
        <w:rPr>
          <w:rFonts w:cs="Times New Roman"/>
          <w:sz w:val="22"/>
          <w:szCs w:val="22"/>
          <w:lang w:val="lt-LT"/>
        </w:rPr>
        <w:t xml:space="preserve">ų metu nustatyti docetakselio genotoksinis poveikis ir įtaka vyrų vaisingumui (žr. 5.3 skyrių). Aktualumas žmonėms yra nežinomas. </w:t>
      </w:r>
    </w:p>
    <w:p w:rsidR="00A64DF5" w:rsidRPr="0084041E" w:rsidRDefault="00A64DF5" w:rsidP="00633D05">
      <w:pPr>
        <w:pStyle w:val="PI-2EMEASMCA"/>
      </w:pPr>
    </w:p>
    <w:p w:rsidR="00633D05" w:rsidRPr="0084041E" w:rsidRDefault="00633D05" w:rsidP="00732C31">
      <w:pPr>
        <w:pStyle w:val="BTEMEASMCA"/>
      </w:pPr>
    </w:p>
    <w:p w:rsidR="00633D05" w:rsidRPr="0084041E" w:rsidRDefault="00633D05" w:rsidP="00633D05">
      <w:pPr>
        <w:pStyle w:val="PI-2EMEASMCA"/>
      </w:pPr>
      <w:bookmarkStart w:id="24" w:name="_Toc129243108"/>
      <w:bookmarkStart w:id="25" w:name="_Toc129243233"/>
      <w:r w:rsidRPr="0084041E">
        <w:t>4.7</w:t>
      </w:r>
      <w:r w:rsidRPr="0084041E">
        <w:tab/>
        <w:t>Poveikis gebėjimui vairuoti ir valdyti mechanizmus</w:t>
      </w:r>
      <w:bookmarkEnd w:id="24"/>
      <w:bookmarkEnd w:id="25"/>
    </w:p>
    <w:p w:rsidR="00633D05" w:rsidRPr="0084041E" w:rsidRDefault="00633D05" w:rsidP="00732C31">
      <w:pPr>
        <w:pStyle w:val="BTEMEASMCA"/>
      </w:pPr>
    </w:p>
    <w:p w:rsidR="00633D05" w:rsidRDefault="00A64DF5" w:rsidP="00732C31">
      <w:pPr>
        <w:pStyle w:val="BTEMEASMCA"/>
      </w:pPr>
      <w:r w:rsidRPr="00A64DF5">
        <w:t>Poveikio gebėjimui vairuoti ir valdyti mechanizmus tyrimų neatlikta.</w:t>
      </w:r>
    </w:p>
    <w:p w:rsidR="00A64DF5" w:rsidRPr="0084041E" w:rsidRDefault="00A64DF5" w:rsidP="00732C31">
      <w:pPr>
        <w:pStyle w:val="BTEMEASMCA"/>
      </w:pPr>
    </w:p>
    <w:p w:rsidR="00633D05" w:rsidRPr="0084041E" w:rsidRDefault="00633D05" w:rsidP="00633D05">
      <w:pPr>
        <w:pStyle w:val="PI-2EMEASMCA"/>
      </w:pPr>
      <w:bookmarkStart w:id="26" w:name="_Toc129243109"/>
      <w:bookmarkStart w:id="27" w:name="_Toc129243234"/>
      <w:r w:rsidRPr="0084041E">
        <w:t>4.8</w:t>
      </w:r>
      <w:r w:rsidRPr="0084041E">
        <w:tab/>
        <w:t>Nepageidaujamas poveikis</w:t>
      </w:r>
      <w:bookmarkEnd w:id="26"/>
      <w:bookmarkEnd w:id="27"/>
    </w:p>
    <w:p w:rsidR="00633D05" w:rsidRPr="0084041E" w:rsidRDefault="00633D05" w:rsidP="00732C31">
      <w:pPr>
        <w:pStyle w:val="BTEMEASMCA"/>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bookmarkStart w:id="28" w:name="_Toc129243110"/>
      <w:bookmarkStart w:id="29" w:name="_Toc129243235"/>
      <w:r w:rsidRPr="00A64DF5">
        <w:rPr>
          <w:rFonts w:eastAsia="MS Mincho"/>
          <w:color w:val="000000"/>
          <w:sz w:val="22"/>
          <w:szCs w:val="22"/>
          <w:lang w:eastAsia="ja-JP" w:bidi="lo-LA"/>
        </w:rPr>
        <w:t xml:space="preserve">Šalutinis poveikis, kuris galbūt arba tikriausiai priklauso nuo docetakselio, buvo pastebėtas toliau išvardytais atvejais: </w:t>
      </w:r>
    </w:p>
    <w:p w:rsidR="00A64DF5" w:rsidRPr="00A64DF5" w:rsidRDefault="00A64DF5" w:rsidP="00A64DF5">
      <w:pPr>
        <w:widowControl w:val="0"/>
        <w:numPr>
          <w:ilvl w:val="0"/>
          <w:numId w:val="7"/>
        </w:numPr>
        <w:autoSpaceDE w:val="0"/>
        <w:autoSpaceDN w:val="0"/>
        <w:adjustRightInd w:val="0"/>
        <w:spacing w:after="200" w:line="276" w:lineRule="auto"/>
        <w:ind w:hanging="720"/>
        <w:jc w:val="both"/>
        <w:rPr>
          <w:rFonts w:eastAsia="MS Mincho"/>
          <w:color w:val="000000"/>
          <w:sz w:val="22"/>
          <w:szCs w:val="22"/>
          <w:lang w:eastAsia="ja-JP" w:bidi="lo-LA"/>
        </w:rPr>
      </w:pPr>
      <w:r w:rsidRPr="00A64DF5">
        <w:rPr>
          <w:rFonts w:eastAsia="MS Mincho"/>
          <w:color w:val="000000"/>
          <w:sz w:val="22"/>
          <w:szCs w:val="22"/>
          <w:lang w:eastAsia="ja-JP" w:bidi="lo-LA"/>
        </w:rPr>
        <w:t xml:space="preserve">Taikant monoterapiją 100 mg/m² kūno paviršiaus arba 75 mg/m² kūno paviršiaus docetakselio doze atitinkamai 1312 ir 121 pacientui. </w:t>
      </w:r>
    </w:p>
    <w:p w:rsidR="00A64DF5" w:rsidRPr="00A64DF5" w:rsidRDefault="00A64DF5" w:rsidP="00A64DF5">
      <w:pPr>
        <w:widowControl w:val="0"/>
        <w:numPr>
          <w:ilvl w:val="0"/>
          <w:numId w:val="7"/>
        </w:numPr>
        <w:autoSpaceDE w:val="0"/>
        <w:autoSpaceDN w:val="0"/>
        <w:adjustRightInd w:val="0"/>
        <w:spacing w:after="200" w:line="276" w:lineRule="auto"/>
        <w:ind w:hanging="720"/>
        <w:jc w:val="both"/>
        <w:rPr>
          <w:rFonts w:eastAsia="MS Mincho"/>
          <w:color w:val="000000"/>
          <w:sz w:val="22"/>
          <w:szCs w:val="22"/>
          <w:lang w:eastAsia="ja-JP" w:bidi="lo-LA"/>
        </w:rPr>
      </w:pPr>
      <w:r w:rsidRPr="00A64DF5">
        <w:rPr>
          <w:rFonts w:eastAsia="MS Mincho"/>
          <w:color w:val="000000"/>
          <w:sz w:val="22"/>
          <w:szCs w:val="22"/>
          <w:lang w:eastAsia="ja-JP" w:bidi="lo-LA"/>
        </w:rPr>
        <w:t xml:space="preserve">Docetakselio ir doksorubicino deriniu gydant 258 pacientus. </w:t>
      </w:r>
    </w:p>
    <w:p w:rsidR="00A64DF5" w:rsidRPr="00A64DF5" w:rsidRDefault="00A64DF5" w:rsidP="00A64DF5">
      <w:pPr>
        <w:widowControl w:val="0"/>
        <w:numPr>
          <w:ilvl w:val="0"/>
          <w:numId w:val="7"/>
        </w:numPr>
        <w:autoSpaceDE w:val="0"/>
        <w:autoSpaceDN w:val="0"/>
        <w:adjustRightInd w:val="0"/>
        <w:spacing w:after="200" w:line="276" w:lineRule="auto"/>
        <w:ind w:hanging="720"/>
        <w:jc w:val="both"/>
        <w:rPr>
          <w:rFonts w:eastAsia="MS Mincho"/>
          <w:color w:val="000000"/>
          <w:sz w:val="22"/>
          <w:szCs w:val="22"/>
          <w:lang w:eastAsia="ja-JP" w:bidi="lo-LA"/>
        </w:rPr>
      </w:pPr>
      <w:r w:rsidRPr="00A64DF5">
        <w:rPr>
          <w:rFonts w:eastAsia="MS Mincho"/>
          <w:color w:val="000000"/>
          <w:sz w:val="22"/>
          <w:szCs w:val="22"/>
          <w:lang w:eastAsia="ja-JP" w:bidi="lo-LA"/>
        </w:rPr>
        <w:t>Docetakselio ir cisplatinos deriniu gydant 406 pacientus.</w:t>
      </w:r>
    </w:p>
    <w:p w:rsidR="00A64DF5" w:rsidRPr="00A64DF5" w:rsidRDefault="00A64DF5" w:rsidP="00A64DF5">
      <w:pPr>
        <w:widowControl w:val="0"/>
        <w:numPr>
          <w:ilvl w:val="0"/>
          <w:numId w:val="7"/>
        </w:numPr>
        <w:autoSpaceDE w:val="0"/>
        <w:autoSpaceDN w:val="0"/>
        <w:adjustRightInd w:val="0"/>
        <w:spacing w:after="200" w:line="276" w:lineRule="auto"/>
        <w:ind w:hanging="720"/>
        <w:jc w:val="both"/>
        <w:rPr>
          <w:rFonts w:eastAsia="MS Mincho"/>
          <w:color w:val="000000"/>
          <w:sz w:val="22"/>
          <w:szCs w:val="22"/>
          <w:lang w:eastAsia="ja-JP" w:bidi="lo-LA"/>
        </w:rPr>
      </w:pPr>
      <w:r w:rsidRPr="00A64DF5">
        <w:rPr>
          <w:rFonts w:eastAsia="MS Mincho"/>
          <w:color w:val="000000"/>
          <w:sz w:val="22"/>
          <w:szCs w:val="22"/>
          <w:lang w:eastAsia="ja-JP" w:bidi="lo-LA"/>
        </w:rPr>
        <w:t xml:space="preserve">Docetakselio ir trastuzumabo deriniu gydant 92 pacientus. </w:t>
      </w:r>
    </w:p>
    <w:p w:rsidR="00A64DF5" w:rsidRPr="00A64DF5" w:rsidRDefault="00A64DF5" w:rsidP="00A64DF5">
      <w:pPr>
        <w:widowControl w:val="0"/>
        <w:numPr>
          <w:ilvl w:val="0"/>
          <w:numId w:val="7"/>
        </w:numPr>
        <w:autoSpaceDE w:val="0"/>
        <w:autoSpaceDN w:val="0"/>
        <w:adjustRightInd w:val="0"/>
        <w:spacing w:after="200" w:line="276" w:lineRule="auto"/>
        <w:ind w:hanging="720"/>
        <w:jc w:val="both"/>
        <w:rPr>
          <w:rFonts w:eastAsia="MS Mincho" w:cs="Arial Unicode MS"/>
          <w:color w:val="000000"/>
          <w:lang w:eastAsia="ja-JP" w:bidi="lo-LA"/>
        </w:rPr>
      </w:pPr>
      <w:r w:rsidRPr="00A64DF5">
        <w:rPr>
          <w:rFonts w:eastAsia="MS Mincho"/>
          <w:color w:val="000000"/>
          <w:sz w:val="22"/>
          <w:szCs w:val="22"/>
          <w:lang w:eastAsia="ja-JP" w:bidi="lo-LA"/>
        </w:rPr>
        <w:t>Docetakselio ir kapecitabino deriniu gydant 255 pacientus.</w:t>
      </w:r>
    </w:p>
    <w:p w:rsidR="00A64DF5" w:rsidRPr="00A64DF5" w:rsidRDefault="00A64DF5" w:rsidP="00A64DF5">
      <w:pPr>
        <w:widowControl w:val="0"/>
        <w:numPr>
          <w:ilvl w:val="0"/>
          <w:numId w:val="7"/>
        </w:numPr>
        <w:autoSpaceDE w:val="0"/>
        <w:autoSpaceDN w:val="0"/>
        <w:adjustRightInd w:val="0"/>
        <w:spacing w:after="200" w:line="276" w:lineRule="auto"/>
        <w:ind w:right="907" w:hanging="720"/>
        <w:jc w:val="both"/>
        <w:rPr>
          <w:rFonts w:eastAsia="MS Mincho"/>
          <w:color w:val="000000"/>
          <w:sz w:val="22"/>
          <w:szCs w:val="22"/>
          <w:lang w:eastAsia="ja-JP" w:bidi="lo-LA"/>
        </w:rPr>
      </w:pPr>
      <w:r w:rsidRPr="00A64DF5">
        <w:rPr>
          <w:rFonts w:eastAsia="MS Mincho"/>
          <w:color w:val="000000"/>
          <w:sz w:val="22"/>
          <w:szCs w:val="22"/>
          <w:lang w:eastAsia="ja-JP" w:bidi="lo-LA"/>
        </w:rPr>
        <w:lastRenderedPageBreak/>
        <w:t xml:space="preserve">Docetakselio ir prednizono arba prednizolono deriniu gydant 332 pacientus (su gydymu susijęs kliniškai svarbus šalutinis poveikis nurodytas toliau). </w:t>
      </w:r>
    </w:p>
    <w:p w:rsidR="00A64DF5" w:rsidRPr="00A64DF5" w:rsidRDefault="00A64DF5" w:rsidP="00A64DF5">
      <w:pPr>
        <w:widowControl w:val="0"/>
        <w:numPr>
          <w:ilvl w:val="0"/>
          <w:numId w:val="7"/>
        </w:numPr>
        <w:autoSpaceDE w:val="0"/>
        <w:autoSpaceDN w:val="0"/>
        <w:adjustRightInd w:val="0"/>
        <w:spacing w:after="200" w:line="276" w:lineRule="auto"/>
        <w:ind w:right="202" w:hanging="720"/>
        <w:jc w:val="both"/>
        <w:rPr>
          <w:rFonts w:eastAsia="MS Mincho"/>
          <w:color w:val="000000"/>
          <w:sz w:val="22"/>
          <w:szCs w:val="22"/>
          <w:lang w:eastAsia="ja-JP" w:bidi="lo-LA"/>
        </w:rPr>
      </w:pPr>
      <w:r w:rsidRPr="00A64DF5">
        <w:rPr>
          <w:rFonts w:eastAsia="MS Mincho"/>
          <w:color w:val="000000"/>
          <w:sz w:val="22"/>
          <w:szCs w:val="22"/>
          <w:lang w:eastAsia="ja-JP" w:bidi="lo-LA"/>
        </w:rPr>
        <w:t xml:space="preserve">Docetakselio, doksorubicino ir ciklofosfamido deriniu gydant 1276 pacientus (atitinkamai 744 ir 532 pacientus TAX 316 ir GEICAM 9805) (su gydymu susijęs kliniškai svarbus šalutinis poveikis nurodytas toliau). </w:t>
      </w:r>
    </w:p>
    <w:p w:rsidR="00A64DF5" w:rsidRPr="00A64DF5" w:rsidRDefault="00A64DF5" w:rsidP="00A64DF5">
      <w:pPr>
        <w:widowControl w:val="0"/>
        <w:numPr>
          <w:ilvl w:val="0"/>
          <w:numId w:val="7"/>
        </w:numPr>
        <w:autoSpaceDE w:val="0"/>
        <w:autoSpaceDN w:val="0"/>
        <w:adjustRightInd w:val="0"/>
        <w:spacing w:after="200" w:line="276" w:lineRule="auto"/>
        <w:ind w:right="405" w:hanging="720"/>
        <w:jc w:val="both"/>
        <w:rPr>
          <w:rFonts w:eastAsia="MS Mincho"/>
          <w:color w:val="000000"/>
          <w:sz w:val="22"/>
          <w:szCs w:val="22"/>
          <w:lang w:eastAsia="ja-JP" w:bidi="lo-LA"/>
        </w:rPr>
      </w:pPr>
      <w:r w:rsidRPr="00A64DF5">
        <w:rPr>
          <w:rFonts w:eastAsia="MS Mincho"/>
          <w:color w:val="000000"/>
          <w:sz w:val="22"/>
          <w:szCs w:val="22"/>
          <w:lang w:eastAsia="ja-JP" w:bidi="lo-LA"/>
        </w:rPr>
        <w:t xml:space="preserve">Docetakselio, cisplatinos ir 5-fluorouracilo deriniu gydant skrandžio adenokarcinomą 300 pacientų (221 pacientui III fazės tyrimų metu ir 79 pacientams II fazės tyrimų metu) (su gydymu susijęs kliniškai svarbus šalutinis poveikis nurodytas toliau). </w:t>
      </w:r>
    </w:p>
    <w:p w:rsidR="00A64DF5" w:rsidRPr="00A64DF5" w:rsidRDefault="00A64DF5" w:rsidP="00A64DF5">
      <w:pPr>
        <w:widowControl w:val="0"/>
        <w:numPr>
          <w:ilvl w:val="0"/>
          <w:numId w:val="7"/>
        </w:numPr>
        <w:autoSpaceDE w:val="0"/>
        <w:autoSpaceDN w:val="0"/>
        <w:adjustRightInd w:val="0"/>
        <w:spacing w:after="200" w:line="276" w:lineRule="auto"/>
        <w:ind w:right="405" w:hanging="720"/>
        <w:jc w:val="both"/>
        <w:rPr>
          <w:rFonts w:eastAsia="MS Mincho"/>
          <w:color w:val="000000"/>
          <w:sz w:val="22"/>
          <w:szCs w:val="22"/>
          <w:lang w:eastAsia="ja-JP" w:bidi="lo-LA"/>
        </w:rPr>
      </w:pPr>
      <w:r w:rsidRPr="00A64DF5">
        <w:rPr>
          <w:rFonts w:eastAsia="MS Mincho"/>
          <w:color w:val="000000"/>
          <w:sz w:val="22"/>
          <w:szCs w:val="22"/>
          <w:lang w:eastAsia="ja-JP" w:bidi="lo-LA"/>
        </w:rPr>
        <w:t xml:space="preserve">Docetakselio, cisplatinos ir 5-fluorouracilo deriniu gydant 174 bei 251 pacientą, sergantį galvos ir kaklo vėžiu (su gydymu susijęs kliniškai svarbus šalutinis poveikis nurodytas toliau).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Šalutinis poveikis apibūdinamas pagal Nacionalinio vėžio instituto (NVI, ang. </w:t>
      </w:r>
      <w:r w:rsidRPr="00C93814">
        <w:rPr>
          <w:rFonts w:eastAsia="MS Mincho"/>
          <w:i/>
          <w:color w:val="000000"/>
          <w:sz w:val="22"/>
          <w:szCs w:val="22"/>
          <w:lang w:eastAsia="ja-JP" w:bidi="lo-LA"/>
        </w:rPr>
        <w:t>National cancer institute - NCI</w:t>
      </w:r>
      <w:r w:rsidRPr="00A64DF5">
        <w:rPr>
          <w:rFonts w:eastAsia="MS Mincho"/>
          <w:color w:val="000000"/>
          <w:sz w:val="22"/>
          <w:szCs w:val="22"/>
          <w:lang w:eastAsia="ja-JP" w:bidi="lo-LA"/>
        </w:rPr>
        <w:t xml:space="preserve">) nustatytus bendruosius toksiškumo kriterijus (3-iojo laipsnio – L3, 3–4 laipsnio – L3/4, 4-ojo laipsnio – L4) ir COSTART ir MedDRA terminus. Dažnis apibūdinamas taip: labai dažnas (≥ 1/10), dažnas (nuo ≥ 1/100 iki &lt; 1/10), nedažnas (nuo ≥ 1/1000 iki &lt; 1/100), retas (nuo ≥ 1/10 000 iki &lt; 1/1000), labai retas (&lt; 1/10 000), dažnis nežinomas (negali būti įvertintas pagal turimus duomenis). Kiekvienoje dažnio grupėje nepageidaujamas poveikis pateikiamas mažėjančio sunkumo tvarka. </w:t>
      </w: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Dažniausios nepageidaujamos reakcijos, pasireiškiančios vartojant vien tik docetakselį yra</w:t>
      </w:r>
      <w:r w:rsidR="00770FE7">
        <w:rPr>
          <w:rFonts w:eastAsia="MS Mincho"/>
          <w:color w:val="000000"/>
          <w:sz w:val="22"/>
          <w:szCs w:val="22"/>
          <w:lang w:eastAsia="ja-JP" w:bidi="lo-LA"/>
        </w:rPr>
        <w:t>:</w:t>
      </w:r>
      <w:r w:rsidRPr="00A64DF5">
        <w:rPr>
          <w:rFonts w:eastAsia="MS Mincho"/>
          <w:color w:val="000000"/>
          <w:sz w:val="22"/>
          <w:szCs w:val="22"/>
          <w:lang w:eastAsia="ja-JP" w:bidi="lo-LA"/>
        </w:rPr>
        <w:t xml:space="preserve"> neutropenija (ji buvo laikina, nekumuliacinė, daugiausiai neutrofilų sumažėjo vidutiniškai po 7 parų po infuzijos, vidutinė sunkios neutropenijos [neutrofilų skaičius &lt; 500 ląstelių/mm</w:t>
      </w:r>
      <w:r w:rsidRPr="00C93814">
        <w:rPr>
          <w:rFonts w:eastAsia="MS Mincho"/>
          <w:color w:val="000000"/>
          <w:sz w:val="22"/>
          <w:szCs w:val="22"/>
          <w:vertAlign w:val="superscript"/>
          <w:lang w:eastAsia="ja-JP" w:bidi="lo-LA"/>
        </w:rPr>
        <w:t>3</w:t>
      </w:r>
      <w:r w:rsidRPr="00A64DF5">
        <w:rPr>
          <w:rFonts w:eastAsia="MS Mincho"/>
          <w:color w:val="000000"/>
          <w:sz w:val="22"/>
          <w:szCs w:val="22"/>
          <w:lang w:eastAsia="ja-JP" w:bidi="lo-LA"/>
        </w:rPr>
        <w:t xml:space="preserve">] trukmė </w:t>
      </w:r>
      <w:r w:rsidR="00770FE7">
        <w:rPr>
          <w:rFonts w:eastAsia="MS Mincho"/>
          <w:color w:val="000000"/>
          <w:sz w:val="22"/>
          <w:szCs w:val="22"/>
          <w:lang w:eastAsia="ja-JP" w:bidi="lo-LA"/>
        </w:rPr>
        <w:t>-</w:t>
      </w:r>
      <w:r w:rsidRPr="00A64DF5">
        <w:rPr>
          <w:rFonts w:eastAsia="MS Mincho"/>
          <w:color w:val="000000"/>
          <w:sz w:val="22"/>
          <w:szCs w:val="22"/>
          <w:lang w:eastAsia="ja-JP" w:bidi="lo-LA"/>
        </w:rPr>
        <w:t xml:space="preserve"> 7 paros), anemija, alopecija, pykinimas, vėmimas, stomatitas, viduriavimas ir astenija. Nepageidaujamų docetakselio sukeltų reakcijų sunkumas gali padidėti, jei kartu vartojama kitokių chemoterapinių vaistų. </w:t>
      </w:r>
    </w:p>
    <w:p w:rsidR="00A64DF5" w:rsidRPr="00A64DF5" w:rsidRDefault="00A64DF5" w:rsidP="00A64DF5">
      <w:pPr>
        <w:widowControl w:val="0"/>
        <w:autoSpaceDE w:val="0"/>
        <w:autoSpaceDN w:val="0"/>
        <w:adjustRightInd w:val="0"/>
        <w:ind w:right="135"/>
        <w:jc w:val="both"/>
        <w:rPr>
          <w:rFonts w:eastAsia="MS Mincho"/>
          <w:color w:val="000000"/>
          <w:sz w:val="22"/>
          <w:szCs w:val="22"/>
          <w:lang w:eastAsia="ja-JP" w:bidi="lo-LA"/>
        </w:rPr>
      </w:pPr>
    </w:p>
    <w:p w:rsidR="00A64DF5" w:rsidRPr="00A64DF5" w:rsidRDefault="00A64DF5" w:rsidP="00A64DF5">
      <w:pPr>
        <w:widowControl w:val="0"/>
        <w:autoSpaceDE w:val="0"/>
        <w:autoSpaceDN w:val="0"/>
        <w:adjustRightInd w:val="0"/>
        <w:ind w:right="135"/>
        <w:jc w:val="both"/>
        <w:rPr>
          <w:rFonts w:eastAsia="MS Mincho"/>
          <w:color w:val="000000"/>
          <w:sz w:val="22"/>
          <w:szCs w:val="22"/>
          <w:lang w:eastAsia="ja-JP" w:bidi="lo-LA"/>
        </w:rPr>
      </w:pPr>
      <w:r w:rsidRPr="00A64DF5">
        <w:rPr>
          <w:rFonts w:eastAsia="MS Mincho"/>
          <w:color w:val="000000"/>
          <w:sz w:val="22"/>
          <w:szCs w:val="22"/>
          <w:lang w:eastAsia="ja-JP" w:bidi="lo-LA"/>
        </w:rPr>
        <w:t xml:space="preserve">Gydymo docetakselio ir trastuzumabo deriniu metu stebėtas visų laipsnių šalutinis poveikis, kurio dažnis buvo ≥ 10 %, nurodytas toliau. Docetakselio ir trastuzumabo deriniu gydomiems pacientams, palyginti su gydomais vien docetakseliu, padidėjo šalutinio poveikio dažnis (atitinkamai 40 % ir 31 %) ir 4-ojo laipsnio šalutinio poveikio dažnis (atitinkamai 34 % ir 23 %). </w:t>
      </w:r>
    </w:p>
    <w:p w:rsidR="00A64DF5" w:rsidRPr="00A64DF5" w:rsidRDefault="00A64DF5" w:rsidP="00A64DF5">
      <w:pPr>
        <w:widowControl w:val="0"/>
        <w:autoSpaceDE w:val="0"/>
        <w:autoSpaceDN w:val="0"/>
        <w:adjustRightInd w:val="0"/>
        <w:ind w:right="280"/>
        <w:jc w:val="both"/>
        <w:rPr>
          <w:rFonts w:eastAsia="MS Mincho"/>
          <w:color w:val="000000"/>
          <w:sz w:val="22"/>
          <w:szCs w:val="22"/>
          <w:lang w:eastAsia="ja-JP" w:bidi="lo-LA"/>
        </w:rPr>
      </w:pPr>
    </w:p>
    <w:p w:rsidR="00A64DF5" w:rsidRPr="00A64DF5" w:rsidRDefault="00A64DF5" w:rsidP="00A64DF5">
      <w:pPr>
        <w:widowControl w:val="0"/>
        <w:autoSpaceDE w:val="0"/>
        <w:autoSpaceDN w:val="0"/>
        <w:adjustRightInd w:val="0"/>
        <w:ind w:right="280"/>
        <w:jc w:val="both"/>
        <w:rPr>
          <w:rFonts w:eastAsia="MS Mincho"/>
          <w:color w:val="000000"/>
          <w:sz w:val="22"/>
          <w:szCs w:val="22"/>
          <w:lang w:eastAsia="ja-JP" w:bidi="lo-LA"/>
        </w:rPr>
      </w:pPr>
      <w:r w:rsidRPr="00A64DF5">
        <w:rPr>
          <w:rFonts w:eastAsia="MS Mincho"/>
          <w:color w:val="000000"/>
          <w:sz w:val="22"/>
          <w:szCs w:val="22"/>
          <w:lang w:eastAsia="ja-JP" w:bidi="lo-LA"/>
        </w:rPr>
        <w:t xml:space="preserve">Dažniausias (≥ 5 %) nuo gydymo priklausomas šalutinis poveikis, pasireiškęs III fazės tyrimų metu docetakselio ir kapecitabino deriniu gydomiems krūties vėžiu sergantiems pacientams, kuriems ankstesnis gydymas antraciklinais buvo neveiksmingas, nurodytas kapecitabino charakteristikų santraukoje. </w:t>
      </w: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Šalutinis poveikis, kuris gydymo docetakseliu metu pasireiškia dažnai, nurodytas toliau. </w:t>
      </w:r>
    </w:p>
    <w:p w:rsidR="00A64DF5" w:rsidRPr="00A64DF5" w:rsidRDefault="00A64DF5" w:rsidP="00A64DF5">
      <w:pPr>
        <w:widowControl w:val="0"/>
        <w:autoSpaceDE w:val="0"/>
        <w:autoSpaceDN w:val="0"/>
        <w:adjustRightInd w:val="0"/>
        <w:jc w:val="both"/>
        <w:rPr>
          <w:rFonts w:eastAsia="MS Mincho"/>
          <w:color w:val="000000"/>
          <w:sz w:val="22"/>
          <w:szCs w:val="22"/>
          <w:u w:val="single"/>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u w:val="single"/>
          <w:lang w:eastAsia="ja-JP" w:bidi="lo-LA"/>
        </w:rPr>
        <w:t xml:space="preserve">Imuninės sistemos sutrikimai </w:t>
      </w: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Padidėjusio jautrumo reakcija paprastai pasireiškė per kelias minutes nuo docetakselio infuzijos pradžios ir dažniausiai būdavo lengva arba vidutinio sunkumo. Dažniausi simptomai buvo veido ir kaklo paraudimas, su niežuliu susijęs arba nesusijęs išbėrimas, krūtinės spaudimas, nugaros skausmas, dispnėja ir karščiavimas arba šalčio krėtimas. </w:t>
      </w:r>
    </w:p>
    <w:p w:rsidR="00A64DF5" w:rsidRPr="00A64DF5" w:rsidRDefault="00A64DF5" w:rsidP="00A64DF5">
      <w:pPr>
        <w:widowControl w:val="0"/>
        <w:autoSpaceDE w:val="0"/>
        <w:autoSpaceDN w:val="0"/>
        <w:adjustRightInd w:val="0"/>
        <w:jc w:val="both"/>
        <w:rPr>
          <w:rFonts w:eastAsia="MS Mincho"/>
          <w:color w:val="000000"/>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Sunkios reakcijos pasireiškė hipotenzija ir (arba) bronchų spazmu arba generalizuotu išbėrimu (eritema) (žr. 4.4 skyrių).</w:t>
      </w:r>
    </w:p>
    <w:p w:rsidR="00A64DF5" w:rsidRPr="00A64DF5" w:rsidRDefault="00A64DF5" w:rsidP="00A64DF5">
      <w:pPr>
        <w:widowControl w:val="0"/>
        <w:autoSpaceDE w:val="0"/>
        <w:autoSpaceDN w:val="0"/>
        <w:adjustRightInd w:val="0"/>
        <w:jc w:val="both"/>
        <w:rPr>
          <w:rFonts w:eastAsia="MS Mincho"/>
          <w:color w:val="000000"/>
          <w:sz w:val="22"/>
          <w:szCs w:val="22"/>
          <w:u w:val="single"/>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u w:val="single"/>
          <w:lang w:eastAsia="ja-JP" w:bidi="lo-LA"/>
        </w:rPr>
        <w:t xml:space="preserve">Nervų sistemos sutrikimai </w:t>
      </w:r>
    </w:p>
    <w:p w:rsidR="00A64DF5" w:rsidRPr="00A64DF5" w:rsidRDefault="00A64DF5" w:rsidP="00A64DF5">
      <w:pPr>
        <w:widowControl w:val="0"/>
        <w:autoSpaceDE w:val="0"/>
        <w:autoSpaceDN w:val="0"/>
        <w:adjustRightInd w:val="0"/>
        <w:ind w:right="135"/>
        <w:jc w:val="both"/>
        <w:rPr>
          <w:rFonts w:eastAsia="MS Mincho"/>
          <w:color w:val="000000"/>
          <w:sz w:val="22"/>
          <w:szCs w:val="22"/>
          <w:lang w:eastAsia="ja-JP" w:bidi="lo-LA"/>
        </w:rPr>
      </w:pPr>
    </w:p>
    <w:p w:rsidR="00A64DF5" w:rsidRPr="00A64DF5" w:rsidRDefault="00A64DF5" w:rsidP="00A64DF5">
      <w:pPr>
        <w:widowControl w:val="0"/>
        <w:autoSpaceDE w:val="0"/>
        <w:autoSpaceDN w:val="0"/>
        <w:adjustRightInd w:val="0"/>
        <w:ind w:right="135"/>
        <w:jc w:val="both"/>
        <w:rPr>
          <w:rFonts w:eastAsia="MS Mincho"/>
          <w:color w:val="000000"/>
          <w:sz w:val="22"/>
          <w:szCs w:val="22"/>
          <w:lang w:eastAsia="ja-JP" w:bidi="lo-LA"/>
        </w:rPr>
      </w:pPr>
      <w:r w:rsidRPr="00A64DF5">
        <w:rPr>
          <w:rFonts w:eastAsia="MS Mincho"/>
          <w:color w:val="000000"/>
          <w:sz w:val="22"/>
          <w:szCs w:val="22"/>
          <w:lang w:eastAsia="ja-JP" w:bidi="lo-LA"/>
        </w:rPr>
        <w:t xml:space="preserve">Pasireiškus sunkiam periferiniam neurotoksiniam poveikiui, dozę reikia mažinti (žr. 4.2 ir 4.4 skyrių). Lengvos arba vidutinio sunkumo sensorinių nervų pažaidos požymiai yra parestezija, </w:t>
      </w:r>
      <w:r w:rsidRPr="00A64DF5">
        <w:rPr>
          <w:rFonts w:eastAsia="MS Mincho"/>
          <w:color w:val="000000"/>
          <w:sz w:val="22"/>
          <w:szCs w:val="22"/>
          <w:lang w:eastAsia="ja-JP" w:bidi="lo-LA"/>
        </w:rPr>
        <w:lastRenderedPageBreak/>
        <w:t xml:space="preserve">disestezija arba skausmas, įskaitant deginantį. Motorinių nervų pažaidai daugiausiai būdingas silpnumas. </w:t>
      </w:r>
    </w:p>
    <w:p w:rsidR="00A64DF5" w:rsidRPr="00A64DF5" w:rsidRDefault="00A64DF5" w:rsidP="00A64DF5">
      <w:pPr>
        <w:widowControl w:val="0"/>
        <w:autoSpaceDE w:val="0"/>
        <w:autoSpaceDN w:val="0"/>
        <w:adjustRightInd w:val="0"/>
        <w:rPr>
          <w:rFonts w:eastAsia="MS Mincho"/>
          <w:color w:val="000000"/>
          <w:sz w:val="22"/>
          <w:szCs w:val="22"/>
          <w:u w:val="single"/>
          <w:lang w:eastAsia="ja-JP" w:bidi="lo-LA"/>
        </w:rPr>
      </w:pP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u w:val="single"/>
          <w:lang w:eastAsia="ja-JP" w:bidi="lo-LA"/>
        </w:rPr>
        <w:t xml:space="preserve">Odos ir poodinio audinio sutrikimai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Stebėta laikina odos reakcija, kuri paprastai buvo laikoma lengva arba vidutinio sunkumo. Reakcija pasireiškė išbėrimu, įskaitant lokalizuotą išbėrimą, daugiausiai plaštakų ir pėdų (įskaitant sunkų plaštakų ir pėdų sindromą), tačiau ir rankų, veido ar krūtinės, kuris dažnai buvo susijęs su niežuliu. Išbėrimas paprastai atsiranda per savaitę po docetakselio infuzijos. Rečiau stebėti sunkūs simptomai, pvz., išbėrimas, po kurio prasidėjo deskvamacija, dėl kurios retais atvejais gydymą docetakseliu reikėjo pertraukti arba nutraukti (žr. 4.2 ir 4.4 skyrius). Sunkus nagų sutrikimas pasireiškė hipopigmentacija arba hiperpigmentacija, kartais </w:t>
      </w:r>
      <w:r w:rsidR="00D4384C">
        <w:rPr>
          <w:rFonts w:eastAsia="MS Mincho"/>
          <w:color w:val="000000"/>
          <w:sz w:val="22"/>
          <w:szCs w:val="22"/>
          <w:lang w:eastAsia="ja-JP" w:bidi="lo-LA"/>
        </w:rPr>
        <w:t>-</w:t>
      </w:r>
      <w:r w:rsidRPr="00A64DF5">
        <w:rPr>
          <w:rFonts w:eastAsia="MS Mincho"/>
          <w:color w:val="000000"/>
          <w:sz w:val="22"/>
          <w:szCs w:val="22"/>
          <w:lang w:eastAsia="ja-JP" w:bidi="lo-LA"/>
        </w:rPr>
        <w:t xml:space="preserve"> skausmu ir onicholize. </w:t>
      </w:r>
    </w:p>
    <w:p w:rsidR="00A64DF5" w:rsidRPr="00A64DF5" w:rsidRDefault="00A64DF5" w:rsidP="00A64DF5">
      <w:pPr>
        <w:widowControl w:val="0"/>
        <w:autoSpaceDE w:val="0"/>
        <w:autoSpaceDN w:val="0"/>
        <w:adjustRightInd w:val="0"/>
        <w:jc w:val="both"/>
        <w:rPr>
          <w:rFonts w:eastAsia="MS Mincho"/>
          <w:color w:val="000000"/>
          <w:sz w:val="22"/>
          <w:szCs w:val="22"/>
          <w:u w:val="single"/>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u w:val="single"/>
          <w:lang w:eastAsia="ja-JP" w:bidi="lo-LA"/>
        </w:rPr>
        <w:t xml:space="preserve">Bendrieji sutrikimai ir vartojimo vietos pažeidimai </w:t>
      </w: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Infuzijos vietos reakcija – odos hiperpigmentacija, uždegimas, paraudimas ar sausmė, flebitas, ekstravazacija ir venų patinimas – paprastai būdavo lengva. Skysčių susilaikymas reiškiasi tokiais reiškiniais kaip periferinė edema, rečiau – krūtinplėvės eksudacija, širdiplėvės eksudacija, ascitas bei kūno svorio padidėjimas. Periferinė edema paprastai prasideda nuo kojų ir gali tapti generalizuota, susijusi su kūno svorio padidėjimu 3 kg arba daugiau. Atsižvelgiant į dažnį ir sunkumą, skysčių kaupimasis yra kumuliacinis (žr. 4.4 skyrių). </w:t>
      </w: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p>
    <w:p w:rsidR="00A64DF5" w:rsidRPr="00A64DF5" w:rsidRDefault="00A64DF5" w:rsidP="00A64DF5">
      <w:pPr>
        <w:widowControl w:val="0"/>
        <w:autoSpaceDE w:val="0"/>
        <w:autoSpaceDN w:val="0"/>
        <w:adjustRightInd w:val="0"/>
        <w:jc w:val="both"/>
        <w:rPr>
          <w:rFonts w:eastAsia="MS Mincho"/>
          <w:sz w:val="22"/>
          <w:szCs w:val="22"/>
          <w:u w:val="single"/>
          <w:lang w:eastAsia="ja-JP" w:bidi="lo-LA"/>
        </w:rPr>
      </w:pPr>
      <w:r w:rsidRPr="00A64DF5">
        <w:rPr>
          <w:rFonts w:eastAsia="MS Mincho"/>
          <w:sz w:val="22"/>
          <w:szCs w:val="22"/>
          <w:u w:val="single"/>
          <w:lang w:eastAsia="ja-JP" w:bidi="lo-LA"/>
        </w:rPr>
        <w:t xml:space="preserve">Docetakselio 100 mg/m² monoterapija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p>
    <w:tbl>
      <w:tblPr>
        <w:tblW w:w="9288" w:type="dxa"/>
        <w:tblLayout w:type="fixed"/>
        <w:tblLook w:val="0000" w:firstRow="0" w:lastRow="0" w:firstColumn="0" w:lastColumn="0" w:noHBand="0" w:noVBand="0"/>
      </w:tblPr>
      <w:tblGrid>
        <w:gridCol w:w="2142"/>
        <w:gridCol w:w="2130"/>
        <w:gridCol w:w="2406"/>
        <w:gridCol w:w="2610"/>
      </w:tblGrid>
      <w:tr w:rsidR="00A64DF5" w:rsidRPr="00A64DF5" w:rsidTr="00A64DF5">
        <w:trPr>
          <w:trHeight w:val="287"/>
        </w:trPr>
        <w:tc>
          <w:tcPr>
            <w:tcW w:w="2142"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Organų sistemų klasė pagal MedDRA </w:t>
            </w:r>
          </w:p>
        </w:tc>
        <w:tc>
          <w:tcPr>
            <w:tcW w:w="2130"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Labai dažnos nepageidaujamos reakcijos </w:t>
            </w:r>
          </w:p>
        </w:tc>
        <w:tc>
          <w:tcPr>
            <w:tcW w:w="2406"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Dažnos nepageidaujamos reakcijos </w:t>
            </w:r>
          </w:p>
        </w:tc>
        <w:tc>
          <w:tcPr>
            <w:tcW w:w="2610"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Nedažnos nepageidaujamos reakcijos </w:t>
            </w:r>
          </w:p>
        </w:tc>
      </w:tr>
      <w:tr w:rsidR="00A64DF5" w:rsidRPr="00A64DF5" w:rsidTr="00A64DF5">
        <w:trPr>
          <w:trHeight w:val="695"/>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Infekcijos ir infestacijos </w:t>
            </w:r>
          </w:p>
        </w:tc>
        <w:tc>
          <w:tcPr>
            <w:tcW w:w="21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Infekcijos (3–4 laipsnio: 5,7 %, įskaitant sepsį ir pneumoniją, mirtina 1,7 %) </w:t>
            </w:r>
          </w:p>
        </w:tc>
        <w:tc>
          <w:tcPr>
            <w:tcW w:w="240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Infekcija, susijusi su 4 laipsnio neutropenija (3–4 laipsnio: 4,6 %)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695"/>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Kraujo ir limfinės sistemos sutrikimai </w:t>
            </w:r>
          </w:p>
        </w:tc>
        <w:tc>
          <w:tcPr>
            <w:tcW w:w="21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Neutropenija (4 laipsnio: 76,4 %); anemija (3–4 laipsnio: 8,9 %); febrilinė neutropenija </w:t>
            </w:r>
          </w:p>
        </w:tc>
        <w:tc>
          <w:tcPr>
            <w:tcW w:w="240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Trombocitopenija (4 laipsnio: 0,2 %)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2"/>
        </w:trPr>
        <w:tc>
          <w:tcPr>
            <w:tcW w:w="2142"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Imuninės sistemos sutrikimai </w:t>
            </w:r>
          </w:p>
        </w:tc>
        <w:tc>
          <w:tcPr>
            <w:tcW w:w="213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Padidėjęs jautrumas (3–4 laipsnio: 5,3 %) </w:t>
            </w:r>
          </w:p>
        </w:tc>
        <w:tc>
          <w:tcPr>
            <w:tcW w:w="2406"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6"/>
        </w:trPr>
        <w:tc>
          <w:tcPr>
            <w:tcW w:w="2142"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Metabolizmo ir mitybos sutrikimai </w:t>
            </w:r>
          </w:p>
        </w:tc>
        <w:tc>
          <w:tcPr>
            <w:tcW w:w="2130"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Anoreksija </w:t>
            </w:r>
          </w:p>
        </w:tc>
        <w:tc>
          <w:tcPr>
            <w:tcW w:w="2406"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3"/>
        </w:trPr>
        <w:tc>
          <w:tcPr>
            <w:tcW w:w="2142"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Nervų sistemos </w:t>
            </w:r>
          </w:p>
        </w:tc>
        <w:tc>
          <w:tcPr>
            <w:tcW w:w="2130"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Periferinė sensorinė </w:t>
            </w:r>
          </w:p>
        </w:tc>
        <w:tc>
          <w:tcPr>
            <w:tcW w:w="2406"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975"/>
        </w:trPr>
        <w:tc>
          <w:tcPr>
            <w:tcW w:w="2142"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sutrikimai </w:t>
            </w:r>
          </w:p>
        </w:tc>
        <w:tc>
          <w:tcPr>
            <w:tcW w:w="213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neuropatija (3 laipsnio: 4,1 %); periferinė motorinė neuropatija (3–4 laipsnio: 4 %); disgeuzija (sunki: 0,07 %) </w:t>
            </w:r>
          </w:p>
        </w:tc>
        <w:tc>
          <w:tcPr>
            <w:tcW w:w="2406"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1"/>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Širdies sutrikimai </w:t>
            </w:r>
          </w:p>
        </w:tc>
        <w:tc>
          <w:tcPr>
            <w:tcW w:w="21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0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Aritmija (3–4 laipsnio: 0,7 %)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Širdies nepakankamumas </w:t>
            </w:r>
          </w:p>
        </w:tc>
      </w:tr>
      <w:tr w:rsidR="00A64DF5" w:rsidRPr="00A64DF5" w:rsidTr="00A64DF5">
        <w:trPr>
          <w:trHeight w:val="418"/>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Kraujagyslių sutrikimai </w:t>
            </w:r>
          </w:p>
        </w:tc>
        <w:tc>
          <w:tcPr>
            <w:tcW w:w="21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0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Hipotenzija; hipertenzija; hemoragija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556"/>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Kvėpavimo sistemos, krūtinės ląstos ir tarpuplaučio sutrikimai </w:t>
            </w:r>
          </w:p>
        </w:tc>
        <w:tc>
          <w:tcPr>
            <w:tcW w:w="21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Dispnėja (sunki: 2,7</w:t>
            </w:r>
            <w:r w:rsidR="00911238">
              <w:rPr>
                <w:rFonts w:eastAsia="MS Mincho"/>
                <w:color w:val="000000"/>
                <w:sz w:val="22"/>
                <w:szCs w:val="22"/>
                <w:lang w:eastAsia="ja-JP" w:bidi="lo-LA"/>
              </w:rPr>
              <w:t> </w:t>
            </w:r>
            <w:r w:rsidRPr="00A64DF5">
              <w:rPr>
                <w:rFonts w:eastAsia="MS Mincho"/>
                <w:color w:val="000000"/>
                <w:sz w:val="22"/>
                <w:szCs w:val="22"/>
                <w:lang w:eastAsia="ja-JP" w:bidi="lo-LA"/>
              </w:rPr>
              <w:t xml:space="preserve">%) </w:t>
            </w:r>
          </w:p>
        </w:tc>
        <w:tc>
          <w:tcPr>
            <w:tcW w:w="240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5"/>
        </w:trPr>
        <w:tc>
          <w:tcPr>
            <w:tcW w:w="2142"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lastRenderedPageBreak/>
              <w:t xml:space="preserve">Virškinimo trakto </w:t>
            </w:r>
          </w:p>
        </w:tc>
        <w:tc>
          <w:tcPr>
            <w:tcW w:w="2130"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Stomatitas (3–4 laipsnio: </w:t>
            </w:r>
          </w:p>
        </w:tc>
        <w:tc>
          <w:tcPr>
            <w:tcW w:w="2406"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Vidurių užkietėjimas </w:t>
            </w:r>
          </w:p>
        </w:tc>
        <w:tc>
          <w:tcPr>
            <w:tcW w:w="2610"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Ezofagitas </w:t>
            </w:r>
          </w:p>
        </w:tc>
      </w:tr>
      <w:tr w:rsidR="00A64DF5" w:rsidRPr="00A64DF5" w:rsidTr="00A64DF5">
        <w:trPr>
          <w:trHeight w:val="137"/>
        </w:trPr>
        <w:tc>
          <w:tcPr>
            <w:tcW w:w="2142"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sutrikimai </w:t>
            </w:r>
          </w:p>
        </w:tc>
        <w:tc>
          <w:tcPr>
            <w:tcW w:w="2130"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5,3 %); </w:t>
            </w:r>
          </w:p>
        </w:tc>
        <w:tc>
          <w:tcPr>
            <w:tcW w:w="2406"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(sunkus: 0,2 %); </w:t>
            </w:r>
          </w:p>
        </w:tc>
        <w:tc>
          <w:tcPr>
            <w:tcW w:w="2610"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(sunkus: 0,4 %) </w:t>
            </w:r>
          </w:p>
        </w:tc>
      </w:tr>
      <w:tr w:rsidR="00A64DF5" w:rsidRPr="00A64DF5" w:rsidTr="00A64DF5">
        <w:trPr>
          <w:trHeight w:val="137"/>
        </w:trPr>
        <w:tc>
          <w:tcPr>
            <w:tcW w:w="2142"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30"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Viduriavimas (3–4 laipsnio: </w:t>
            </w:r>
          </w:p>
        </w:tc>
        <w:tc>
          <w:tcPr>
            <w:tcW w:w="2406"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Pilvo skausmas </w:t>
            </w: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142"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30"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4 %); </w:t>
            </w:r>
          </w:p>
        </w:tc>
        <w:tc>
          <w:tcPr>
            <w:tcW w:w="2406"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(sunkus: 1 %); </w:t>
            </w: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142"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30"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Pykinimas (3–4 laipsnio: </w:t>
            </w:r>
          </w:p>
        </w:tc>
        <w:tc>
          <w:tcPr>
            <w:tcW w:w="2406"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Virškinimo trakto </w:t>
            </w: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142"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30"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4 %); </w:t>
            </w:r>
          </w:p>
        </w:tc>
        <w:tc>
          <w:tcPr>
            <w:tcW w:w="2406"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kraujavimas </w:t>
            </w: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142"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30"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Vėmimas (3–4 laipsnio: </w:t>
            </w:r>
          </w:p>
        </w:tc>
        <w:tc>
          <w:tcPr>
            <w:tcW w:w="2406"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(sunkus: 0,3 %) </w:t>
            </w: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47"/>
        </w:trPr>
        <w:tc>
          <w:tcPr>
            <w:tcW w:w="2142"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30" w:type="dxa"/>
            <w:tcBorders>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3 %) </w:t>
            </w:r>
          </w:p>
        </w:tc>
        <w:tc>
          <w:tcPr>
            <w:tcW w:w="2406"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695"/>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Odos ir poodinio audinio sutrikimai </w:t>
            </w:r>
          </w:p>
        </w:tc>
        <w:tc>
          <w:tcPr>
            <w:tcW w:w="21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Alopecija; odos reakcija (G3/4: 5,9</w:t>
            </w:r>
            <w:r w:rsidR="00911238">
              <w:rPr>
                <w:rFonts w:eastAsia="MS Mincho"/>
                <w:color w:val="000000"/>
                <w:sz w:val="22"/>
                <w:szCs w:val="22"/>
                <w:lang w:eastAsia="ja-JP" w:bidi="lo-LA"/>
              </w:rPr>
              <w:t> </w:t>
            </w:r>
            <w:r w:rsidRPr="00A64DF5">
              <w:rPr>
                <w:rFonts w:eastAsia="MS Mincho"/>
                <w:color w:val="000000"/>
                <w:sz w:val="22"/>
                <w:szCs w:val="22"/>
                <w:lang w:eastAsia="ja-JP" w:bidi="lo-LA"/>
              </w:rPr>
              <w:t xml:space="preserve">%); nagų sutrikimai (sunkūs: 2,6 %) </w:t>
            </w:r>
          </w:p>
        </w:tc>
        <w:tc>
          <w:tcPr>
            <w:tcW w:w="240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418"/>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Raumenų, kaulų ir jungiamojo audinio sutrikimai </w:t>
            </w:r>
          </w:p>
        </w:tc>
        <w:tc>
          <w:tcPr>
            <w:tcW w:w="21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Mialgija (sunki: 1,4</w:t>
            </w:r>
            <w:r w:rsidR="00911238">
              <w:rPr>
                <w:rFonts w:eastAsia="MS Mincho"/>
                <w:color w:val="000000"/>
                <w:sz w:val="22"/>
                <w:szCs w:val="22"/>
                <w:lang w:eastAsia="ja-JP" w:bidi="lo-LA"/>
              </w:rPr>
              <w:t> </w:t>
            </w:r>
            <w:r w:rsidRPr="00A64DF5">
              <w:rPr>
                <w:rFonts w:eastAsia="MS Mincho"/>
                <w:color w:val="000000"/>
                <w:sz w:val="22"/>
                <w:szCs w:val="22"/>
                <w:lang w:eastAsia="ja-JP" w:bidi="lo-LA"/>
              </w:rPr>
              <w:t xml:space="preserve">%) </w:t>
            </w:r>
          </w:p>
        </w:tc>
        <w:tc>
          <w:tcPr>
            <w:tcW w:w="240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Artralgija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3"/>
        </w:trPr>
        <w:tc>
          <w:tcPr>
            <w:tcW w:w="2142"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Bendrieji sutrikimai </w:t>
            </w:r>
          </w:p>
        </w:tc>
        <w:tc>
          <w:tcPr>
            <w:tcW w:w="2130"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Skysčių susilaikymas </w:t>
            </w:r>
          </w:p>
        </w:tc>
        <w:tc>
          <w:tcPr>
            <w:tcW w:w="2406"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Infuzijos vietos </w:t>
            </w:r>
          </w:p>
        </w:tc>
        <w:tc>
          <w:tcPr>
            <w:tcW w:w="2610"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142"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ir vartojimo </w:t>
            </w:r>
          </w:p>
        </w:tc>
        <w:tc>
          <w:tcPr>
            <w:tcW w:w="2130"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(sunki: 6,5 %); </w:t>
            </w:r>
          </w:p>
        </w:tc>
        <w:tc>
          <w:tcPr>
            <w:tcW w:w="2406"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reakcija; </w:t>
            </w: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425"/>
        </w:trPr>
        <w:tc>
          <w:tcPr>
            <w:tcW w:w="2142"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vietos pažeidimai </w:t>
            </w:r>
          </w:p>
        </w:tc>
        <w:tc>
          <w:tcPr>
            <w:tcW w:w="2130"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Astenija (sunki: 11,2</w:t>
            </w:r>
            <w:r w:rsidR="00911238">
              <w:rPr>
                <w:rFonts w:eastAsia="MS Mincho"/>
                <w:color w:val="000000"/>
                <w:sz w:val="22"/>
                <w:szCs w:val="22"/>
                <w:lang w:eastAsia="ja-JP" w:bidi="lo-LA"/>
              </w:rPr>
              <w:t> </w:t>
            </w:r>
            <w:r w:rsidRPr="00A64DF5">
              <w:rPr>
                <w:rFonts w:eastAsia="MS Mincho"/>
                <w:color w:val="000000"/>
                <w:sz w:val="22"/>
                <w:szCs w:val="22"/>
                <w:lang w:eastAsia="ja-JP" w:bidi="lo-LA"/>
              </w:rPr>
              <w:t xml:space="preserve">%); skausmas </w:t>
            </w:r>
          </w:p>
        </w:tc>
        <w:tc>
          <w:tcPr>
            <w:tcW w:w="2406"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Krūtinės skausmas (ne širdies) (stiprus: 0,4 %) </w:t>
            </w:r>
          </w:p>
        </w:tc>
        <w:tc>
          <w:tcPr>
            <w:tcW w:w="2610"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77"/>
        </w:trPr>
        <w:tc>
          <w:tcPr>
            <w:tcW w:w="2142" w:type="dxa"/>
            <w:tcBorders>
              <w:top w:val="single" w:sz="6"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Tyrimai </w:t>
            </w:r>
          </w:p>
        </w:tc>
        <w:tc>
          <w:tcPr>
            <w:tcW w:w="2130" w:type="dxa"/>
            <w:tcBorders>
              <w:top w:val="single" w:sz="6"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06" w:type="dxa"/>
            <w:tcBorders>
              <w:top w:val="single" w:sz="6"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3–4 laipsnio padidėjęs bilirubino kiekis kraujyje </w:t>
            </w:r>
          </w:p>
        </w:tc>
        <w:tc>
          <w:tcPr>
            <w:tcW w:w="2610" w:type="dxa"/>
            <w:tcBorders>
              <w:top w:val="single" w:sz="6"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413"/>
        </w:trPr>
        <w:tc>
          <w:tcPr>
            <w:tcW w:w="2142"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3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06"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(&lt; 5 %); 3–4 laipsnio padidėjęs šarminės </w:t>
            </w: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838"/>
        </w:trPr>
        <w:tc>
          <w:tcPr>
            <w:tcW w:w="2142"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30"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06"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fosfotazės kiekis kraujyje (&lt; 4 %); 3–4 laipsnio padidėjęs AST kiekis (&lt; 3 %); 3–4 laipsnio padidėjęs ALT kiekis (&lt; 2 %) </w:t>
            </w:r>
          </w:p>
        </w:tc>
        <w:tc>
          <w:tcPr>
            <w:tcW w:w="2610"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bl>
    <w:p w:rsidR="00A64DF5" w:rsidRPr="00A64DF5" w:rsidRDefault="00A64DF5" w:rsidP="00A64DF5">
      <w:pPr>
        <w:widowControl w:val="0"/>
        <w:autoSpaceDE w:val="0"/>
        <w:autoSpaceDN w:val="0"/>
        <w:adjustRightInd w:val="0"/>
        <w:rPr>
          <w:rFonts w:eastAsia="MS Mincho"/>
          <w:color w:val="000000"/>
          <w:sz w:val="22"/>
          <w:szCs w:val="22"/>
          <w:lang w:eastAsia="ja-JP" w:bidi="lo-LA"/>
        </w:rPr>
      </w:pPr>
    </w:p>
    <w:p w:rsidR="00A64DF5" w:rsidRPr="00A64DF5" w:rsidRDefault="00A64DF5" w:rsidP="00A64DF5">
      <w:pPr>
        <w:widowControl w:val="0"/>
        <w:autoSpaceDE w:val="0"/>
        <w:autoSpaceDN w:val="0"/>
        <w:adjustRightInd w:val="0"/>
        <w:rPr>
          <w:rFonts w:eastAsia="MS Mincho"/>
          <w:color w:val="000000"/>
          <w:sz w:val="22"/>
          <w:szCs w:val="22"/>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Kraujo ir limfinės sistemos sutrikimai</w:t>
      </w: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Reti: kraujavimo epizodai, susiję su 3–4 laipsnio trombocitopenija. </w:t>
      </w:r>
    </w:p>
    <w:p w:rsidR="00A64DF5" w:rsidRPr="00A64DF5" w:rsidRDefault="00A64DF5" w:rsidP="00A64DF5">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Nervų sistemos sutrikimai</w:t>
      </w: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Yra duomenų apie 100 mg/m² dozėmis monoterapijai vartojamo docetakselio neurotoksinio poveikio grįžtamumą 35,3 % pacientų. Šis poveikis savaime praėjo per 3 mėnesius. </w:t>
      </w:r>
    </w:p>
    <w:p w:rsidR="00A64DF5" w:rsidRPr="00A64DF5" w:rsidRDefault="00A64DF5" w:rsidP="00A64DF5">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Odos ir poodinio audinio sutrikimai</w:t>
      </w:r>
    </w:p>
    <w:p w:rsidR="00A64DF5" w:rsidRPr="00A64DF5" w:rsidRDefault="00A64DF5" w:rsidP="00A64DF5">
      <w:pPr>
        <w:widowControl w:val="0"/>
        <w:autoSpaceDE w:val="0"/>
        <w:autoSpaceDN w:val="0"/>
        <w:adjustRightInd w:val="0"/>
        <w:ind w:right="522"/>
        <w:jc w:val="both"/>
        <w:rPr>
          <w:rFonts w:eastAsia="MS Mincho"/>
          <w:color w:val="000000"/>
          <w:sz w:val="22"/>
          <w:szCs w:val="22"/>
          <w:lang w:eastAsia="ja-JP" w:bidi="lo-LA"/>
        </w:rPr>
      </w:pPr>
      <w:r w:rsidRPr="00A64DF5">
        <w:rPr>
          <w:rFonts w:eastAsia="MS Mincho"/>
          <w:color w:val="000000"/>
          <w:sz w:val="22"/>
          <w:szCs w:val="22"/>
          <w:lang w:eastAsia="ja-JP" w:bidi="lo-LA"/>
        </w:rPr>
        <w:t xml:space="preserve">Labai reti: vienu atveju pasireiškusi alopecija nepraėjo iki tyrimo pabaigos. 73 % odos reakcijų praėjo per 21 dieną. </w:t>
      </w:r>
    </w:p>
    <w:p w:rsidR="00A64DF5" w:rsidRPr="00A64DF5" w:rsidRDefault="00A64DF5" w:rsidP="00A64DF5">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Bendrieji sutrikimai ir vartojimo vietos pažeidimai</w:t>
      </w: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Kumuliacinės dozės, kurią pasiekus tekdavo nutraukti gydymą, mediana buvo didesnė kaip 1000 mg/m² , skysčių susilaikymo trukmės mediana – 16,4 savaitės (nuo 0 iki 42 savaičių). Atlikus premedikaciją, vidutinio sunkumo ir sunkus skysčių susilaikymas pasireikšdavo vėliau (kumuliacinės dozės mediana – 818,9 mg/m²) negu jos neatlikus (kumuliacinės dozės mediana – 489,7 mg/m²). Vis dėlto kai kuriems pacientams ši komplikacija pasireiškė pirmųjų gydymo kursų metu. </w:t>
      </w:r>
    </w:p>
    <w:p w:rsidR="00A64DF5" w:rsidRPr="00A64DF5" w:rsidRDefault="00A64DF5" w:rsidP="00A64DF5">
      <w:pPr>
        <w:widowControl w:val="0"/>
        <w:autoSpaceDE w:val="0"/>
        <w:autoSpaceDN w:val="0"/>
        <w:adjustRightInd w:val="0"/>
        <w:rPr>
          <w:rFonts w:eastAsia="MS Mincho"/>
          <w:sz w:val="22"/>
          <w:szCs w:val="22"/>
          <w:u w:val="single"/>
          <w:lang w:eastAsia="ja-JP" w:bidi="lo-LA"/>
        </w:rPr>
      </w:pPr>
    </w:p>
    <w:p w:rsidR="00A64DF5" w:rsidRPr="00A64DF5" w:rsidRDefault="00A64DF5" w:rsidP="00A64DF5">
      <w:pPr>
        <w:widowControl w:val="0"/>
        <w:autoSpaceDE w:val="0"/>
        <w:autoSpaceDN w:val="0"/>
        <w:adjustRightInd w:val="0"/>
        <w:rPr>
          <w:rFonts w:eastAsia="MS Mincho"/>
          <w:sz w:val="22"/>
          <w:szCs w:val="22"/>
          <w:u w:val="single"/>
          <w:lang w:eastAsia="ja-JP" w:bidi="lo-LA"/>
        </w:rPr>
      </w:pPr>
      <w:r w:rsidRPr="00A64DF5">
        <w:rPr>
          <w:rFonts w:eastAsia="MS Mincho"/>
          <w:sz w:val="22"/>
          <w:szCs w:val="22"/>
          <w:u w:val="single"/>
          <w:lang w:eastAsia="ja-JP" w:bidi="lo-LA"/>
        </w:rPr>
        <w:t>Docetakselio 75 mg/m² monoterapija</w:t>
      </w:r>
    </w:p>
    <w:p w:rsidR="00A64DF5" w:rsidRPr="00A64DF5" w:rsidRDefault="00A64DF5" w:rsidP="00A64DF5">
      <w:pPr>
        <w:widowControl w:val="0"/>
        <w:autoSpaceDE w:val="0"/>
        <w:autoSpaceDN w:val="0"/>
        <w:adjustRightInd w:val="0"/>
        <w:rPr>
          <w:rFonts w:eastAsia="MS Mincho"/>
          <w:sz w:val="22"/>
          <w:szCs w:val="22"/>
          <w:u w:val="single"/>
          <w:lang w:eastAsia="ja-JP" w:bidi="lo-LA"/>
        </w:rPr>
      </w:pPr>
    </w:p>
    <w:tbl>
      <w:tblPr>
        <w:tblW w:w="0" w:type="auto"/>
        <w:tblLayout w:type="fixed"/>
        <w:tblLook w:val="0000" w:firstRow="0" w:lastRow="0" w:firstColumn="0" w:lastColumn="0" w:noHBand="0" w:noVBand="0"/>
      </w:tblPr>
      <w:tblGrid>
        <w:gridCol w:w="2867"/>
        <w:gridCol w:w="3721"/>
        <w:gridCol w:w="2610"/>
      </w:tblGrid>
      <w:tr w:rsidR="00A64DF5" w:rsidRPr="00A64DF5" w:rsidTr="00A64DF5">
        <w:trPr>
          <w:trHeight w:val="286"/>
        </w:trPr>
        <w:tc>
          <w:tcPr>
            <w:tcW w:w="2867"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Organų sistemų klasė pagal MedDRA </w:t>
            </w:r>
          </w:p>
        </w:tc>
        <w:tc>
          <w:tcPr>
            <w:tcW w:w="3721"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Labai dažnos nepageidaujamos reakcijos </w:t>
            </w:r>
          </w:p>
        </w:tc>
        <w:tc>
          <w:tcPr>
            <w:tcW w:w="2610"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Dažnos nepageidaujamos reakcijos </w:t>
            </w:r>
          </w:p>
        </w:tc>
      </w:tr>
      <w:tr w:rsidR="00A64DF5" w:rsidRPr="00A64DF5" w:rsidTr="00A64DF5">
        <w:trPr>
          <w:trHeight w:val="142"/>
        </w:trPr>
        <w:tc>
          <w:tcPr>
            <w:tcW w:w="2867"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Infekcijos ir infestacijos</w:t>
            </w:r>
          </w:p>
        </w:tc>
        <w:tc>
          <w:tcPr>
            <w:tcW w:w="3721"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Infekcijos (3–4 laipsnio: 5 %)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556"/>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Kraujo ir limfinės sistemos sutrikimai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Neutropenija (4 laipsnio: 54,2 %); anemija (3–4 laipsnio: 10,8 %); trombocitopenija (4 laipsnio: 1,7 %)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Febrilinė neutropenija </w:t>
            </w:r>
          </w:p>
        </w:tc>
      </w:tr>
      <w:tr w:rsidR="00A64DF5" w:rsidRPr="00A64DF5" w:rsidTr="00A64DF5">
        <w:trPr>
          <w:trHeight w:val="281"/>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Imuninės sistemos sutrikimai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Padidėjęs jautrumas (nesunkus) </w:t>
            </w:r>
          </w:p>
        </w:tc>
      </w:tr>
      <w:tr w:rsidR="00A64DF5" w:rsidRPr="00A64DF5" w:rsidTr="00A64DF5">
        <w:trPr>
          <w:trHeight w:val="282"/>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Metabolizmo ir mitybos sutrikimai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Anoreksija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1"/>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Nervų sistemos sutrikimai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0B186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Periferinė </w:t>
            </w:r>
            <w:r w:rsidR="000B1865">
              <w:rPr>
                <w:rFonts w:eastAsia="MS Mincho"/>
                <w:color w:val="000000"/>
                <w:sz w:val="22"/>
                <w:szCs w:val="22"/>
                <w:lang w:eastAsia="ja-JP" w:bidi="lo-LA"/>
              </w:rPr>
              <w:t>sensorinė</w:t>
            </w:r>
            <w:r w:rsidR="000B1865" w:rsidRPr="00A64DF5">
              <w:rPr>
                <w:rFonts w:eastAsia="MS Mincho"/>
                <w:color w:val="000000"/>
                <w:sz w:val="22"/>
                <w:szCs w:val="22"/>
                <w:lang w:eastAsia="ja-JP" w:bidi="lo-LA"/>
              </w:rPr>
              <w:t xml:space="preserve"> </w:t>
            </w:r>
            <w:r w:rsidRPr="00A64DF5">
              <w:rPr>
                <w:rFonts w:eastAsia="MS Mincho"/>
                <w:color w:val="000000"/>
                <w:sz w:val="22"/>
                <w:szCs w:val="22"/>
                <w:lang w:eastAsia="ja-JP" w:bidi="lo-LA"/>
              </w:rPr>
              <w:t xml:space="preserve">neuropatija (3–4 laipsnio: 0,8 %)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Periferinė motorinė neuropatija (3–4 laipsnio: 2,5 %) </w:t>
            </w:r>
          </w:p>
        </w:tc>
      </w:tr>
      <w:tr w:rsidR="00A64DF5" w:rsidRPr="00A64DF5" w:rsidTr="00A64DF5">
        <w:trPr>
          <w:trHeight w:val="143"/>
        </w:trPr>
        <w:tc>
          <w:tcPr>
            <w:tcW w:w="2867"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Širdies sutrikimai </w:t>
            </w:r>
          </w:p>
        </w:tc>
        <w:tc>
          <w:tcPr>
            <w:tcW w:w="3721"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Aritmija (nesunki) </w:t>
            </w:r>
          </w:p>
        </w:tc>
      </w:tr>
      <w:tr w:rsidR="00A64DF5" w:rsidRPr="00A64DF5" w:rsidTr="00A64DF5">
        <w:trPr>
          <w:trHeight w:val="148"/>
        </w:trPr>
        <w:tc>
          <w:tcPr>
            <w:tcW w:w="2867"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Kraujagyslių sutrikimai </w:t>
            </w:r>
          </w:p>
        </w:tc>
        <w:tc>
          <w:tcPr>
            <w:tcW w:w="3721"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Hipotenzija </w:t>
            </w:r>
          </w:p>
        </w:tc>
      </w:tr>
      <w:tr w:rsidR="00A64DF5" w:rsidRPr="00A64DF5" w:rsidTr="00A64DF5">
        <w:trPr>
          <w:trHeight w:val="556"/>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Virškinimo trakto sutrikimai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Pykinimas (3–4 laipsnio: 3,3 %); stomatitas (3–4 laipsnio: 1,7 %); vėmimas (3–4 laipsnio: 0,8 %); viduriavimas (3–4 laipsnio: 1,7 %)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Vidurių užkietėjimas </w:t>
            </w:r>
          </w:p>
        </w:tc>
      </w:tr>
      <w:tr w:rsidR="00A64DF5" w:rsidRPr="00A64DF5" w:rsidTr="00A64DF5">
        <w:trPr>
          <w:trHeight w:val="281"/>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Odos ir poodinio audinio sutrikimai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Alopecija; odos reakcija (3–4 laipsnio: 0,8 %)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Nagų sutrikimai (sunkūs: 0,8 %) </w:t>
            </w:r>
          </w:p>
        </w:tc>
      </w:tr>
      <w:tr w:rsidR="00A64DF5" w:rsidRPr="00A64DF5" w:rsidTr="00A64DF5">
        <w:trPr>
          <w:trHeight w:val="281"/>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Raumenų, kaulų ir jungiamojo audinio sutrikimai</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Mialgija </w:t>
            </w:r>
          </w:p>
        </w:tc>
      </w:tr>
      <w:tr w:rsidR="00A64DF5" w:rsidRPr="00A64DF5" w:rsidTr="00A64DF5">
        <w:trPr>
          <w:trHeight w:val="557"/>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Bendrieji sutrikimai ir vartojimo vietos pažeidimai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Astenija (sunki: 12,4 %); skysčių susilaikymas (sunkus: 0,8 %); skausmas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2"/>
        </w:trPr>
        <w:tc>
          <w:tcPr>
            <w:tcW w:w="2867"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Tyrimai </w:t>
            </w:r>
          </w:p>
        </w:tc>
        <w:tc>
          <w:tcPr>
            <w:tcW w:w="3721"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3–4 laipsnio padidėjęs bilirubino kiekis kraujyje (&lt; 2 %) </w:t>
            </w:r>
          </w:p>
        </w:tc>
      </w:tr>
    </w:tbl>
    <w:p w:rsidR="003F5142" w:rsidRDefault="003F5142" w:rsidP="00A64DF5">
      <w:pPr>
        <w:widowControl w:val="0"/>
        <w:autoSpaceDE w:val="0"/>
        <w:autoSpaceDN w:val="0"/>
        <w:adjustRightInd w:val="0"/>
        <w:rPr>
          <w:rFonts w:eastAsia="MS Mincho"/>
          <w:color w:val="000000"/>
          <w:sz w:val="22"/>
          <w:szCs w:val="22"/>
          <w:u w:val="single"/>
          <w:lang w:eastAsia="ja-JP" w:bidi="lo-LA"/>
        </w:rPr>
      </w:pPr>
    </w:p>
    <w:p w:rsidR="00A64DF5" w:rsidRPr="00A64DF5" w:rsidRDefault="00A64DF5" w:rsidP="00A64DF5">
      <w:pPr>
        <w:widowControl w:val="0"/>
        <w:autoSpaceDE w:val="0"/>
        <w:autoSpaceDN w:val="0"/>
        <w:adjustRightInd w:val="0"/>
        <w:rPr>
          <w:rFonts w:eastAsia="MS Mincho"/>
          <w:color w:val="000000"/>
          <w:sz w:val="22"/>
          <w:szCs w:val="22"/>
          <w:u w:val="single"/>
          <w:lang w:eastAsia="ja-JP" w:bidi="lo-LA"/>
        </w:rPr>
      </w:pPr>
      <w:r w:rsidRPr="00A64DF5">
        <w:rPr>
          <w:rFonts w:eastAsia="MS Mincho"/>
          <w:color w:val="000000"/>
          <w:sz w:val="22"/>
          <w:szCs w:val="22"/>
          <w:u w:val="single"/>
          <w:lang w:eastAsia="ja-JP" w:bidi="lo-LA"/>
        </w:rPr>
        <w:t>Docetakselis 75 mg/m² su doksorubicinu</w:t>
      </w:r>
    </w:p>
    <w:p w:rsidR="00A64DF5" w:rsidRPr="00A64DF5" w:rsidRDefault="00A64DF5" w:rsidP="00A64DF5">
      <w:pPr>
        <w:widowControl w:val="0"/>
        <w:autoSpaceDE w:val="0"/>
        <w:autoSpaceDN w:val="0"/>
        <w:adjustRightInd w:val="0"/>
        <w:rPr>
          <w:rFonts w:eastAsia="MS Mincho"/>
          <w:color w:val="000000"/>
          <w:sz w:val="22"/>
          <w:szCs w:val="22"/>
          <w:u w:val="single"/>
          <w:lang w:eastAsia="ja-JP" w:bidi="lo-LA"/>
        </w:rPr>
      </w:pPr>
    </w:p>
    <w:tbl>
      <w:tblPr>
        <w:tblW w:w="0" w:type="auto"/>
        <w:tblLayout w:type="fixed"/>
        <w:tblLook w:val="0000" w:firstRow="0" w:lastRow="0" w:firstColumn="0" w:lastColumn="0" w:noHBand="0" w:noVBand="0"/>
      </w:tblPr>
      <w:tblGrid>
        <w:gridCol w:w="2142"/>
        <w:gridCol w:w="2286"/>
        <w:gridCol w:w="2160"/>
        <w:gridCol w:w="2610"/>
      </w:tblGrid>
      <w:tr w:rsidR="00A64DF5" w:rsidRPr="00A64DF5" w:rsidTr="00A64DF5">
        <w:trPr>
          <w:trHeight w:val="286"/>
        </w:trPr>
        <w:tc>
          <w:tcPr>
            <w:tcW w:w="2142"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Organų sistemų klasė pagal MedDRA </w:t>
            </w:r>
          </w:p>
        </w:tc>
        <w:tc>
          <w:tcPr>
            <w:tcW w:w="2286"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Labai dažnos nepageidaujamos reakcijos </w:t>
            </w:r>
          </w:p>
        </w:tc>
        <w:tc>
          <w:tcPr>
            <w:tcW w:w="2160"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Dažnos nepageidaujamos reakcijos </w:t>
            </w:r>
          </w:p>
        </w:tc>
        <w:tc>
          <w:tcPr>
            <w:tcW w:w="2610"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Nedažnos nepageidaujamos reakcijos </w:t>
            </w:r>
          </w:p>
        </w:tc>
      </w:tr>
      <w:tr w:rsidR="00A64DF5" w:rsidRPr="00A64DF5" w:rsidTr="00A64DF5">
        <w:trPr>
          <w:trHeight w:val="281"/>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Infekcijos ir infestacijos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Infekcija (3–4 laipsnio: 7,8 %) </w:t>
            </w: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108"/>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Kraujo ir limfinės sistemos sutrikimai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Neutropenija (4 laipsnio: 91,7 %); anemija (3–4 laipsnio: 9,4 %); febrilinė neutropenija; trombocitopenija (4 laipsnio: 0,8 %) </w:t>
            </w: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1"/>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Imuninės sistemos sutrikimai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Padidėjęs jautrumas (3–4 laipsnio: 1,2 %)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1"/>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Metabolizmo ir mitybos sutrikimai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Anoreksija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420"/>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Nervų sistemos sutrikimai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Periferinė sensorinė neuropatija (3 laipsnio: 0,4 %) </w:t>
            </w: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Periferinė motorinė neuropatija (3–4 laipsnio: 0,4 %)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418"/>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Širdies sutrikimai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Širdies nepakankamumas; aritmija (nesunki)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43"/>
        </w:trPr>
        <w:tc>
          <w:tcPr>
            <w:tcW w:w="2142"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lastRenderedPageBreak/>
              <w:t xml:space="preserve">Kraujagyslių sutrikimai </w:t>
            </w:r>
          </w:p>
        </w:tc>
        <w:tc>
          <w:tcPr>
            <w:tcW w:w="2286"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6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Hipotenzija </w:t>
            </w:r>
          </w:p>
        </w:tc>
      </w:tr>
      <w:tr w:rsidR="00A64DF5" w:rsidRPr="00A64DF5" w:rsidTr="00A64DF5">
        <w:trPr>
          <w:trHeight w:val="138"/>
        </w:trPr>
        <w:tc>
          <w:tcPr>
            <w:tcW w:w="2142" w:type="dxa"/>
            <w:tcBorders>
              <w:top w:val="single" w:sz="6"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Virškinimo trakto </w:t>
            </w:r>
          </w:p>
        </w:tc>
        <w:tc>
          <w:tcPr>
            <w:tcW w:w="2286" w:type="dxa"/>
            <w:tcBorders>
              <w:top w:val="single" w:sz="6"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Pykinimas (3–4 laipsnio: </w:t>
            </w:r>
          </w:p>
        </w:tc>
        <w:tc>
          <w:tcPr>
            <w:tcW w:w="2160" w:type="dxa"/>
            <w:tcBorders>
              <w:top w:val="single" w:sz="6"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6"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113"/>
        </w:trPr>
        <w:tc>
          <w:tcPr>
            <w:tcW w:w="2142"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sutrikimai </w:t>
            </w:r>
          </w:p>
        </w:tc>
        <w:tc>
          <w:tcPr>
            <w:tcW w:w="2286"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5 %); stomatitas (3–4 laipsnio: 7,8 %); viduriavimas (3–4 laipsnio: 6,2 %); vėmimas (3–4 laipsnio: 5 %); vidurių užkietėjimas </w:t>
            </w:r>
          </w:p>
        </w:tc>
        <w:tc>
          <w:tcPr>
            <w:tcW w:w="216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695"/>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Odos ir poodinio audinio sutrikimai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Alopecija; nagų sutrikimai (sunkūs: 0,4</w:t>
            </w:r>
            <w:r w:rsidR="00911238">
              <w:rPr>
                <w:rFonts w:eastAsia="MS Mincho"/>
              </w:rPr>
              <w:t> </w:t>
            </w:r>
            <w:r w:rsidRPr="00A64DF5">
              <w:rPr>
                <w:rFonts w:eastAsia="MS Mincho"/>
                <w:color w:val="000000"/>
                <w:sz w:val="22"/>
                <w:szCs w:val="22"/>
                <w:lang w:eastAsia="ja-JP" w:bidi="lo-LA"/>
              </w:rPr>
              <w:t xml:space="preserve">%); odos reakcija (nesunki) </w:t>
            </w: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418"/>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Raumenų, kaulų ir jungiamojo audinio sutrikimai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Mialgija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3"/>
        </w:trPr>
        <w:tc>
          <w:tcPr>
            <w:tcW w:w="2142"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Bendrieji sutrikimai </w:t>
            </w:r>
          </w:p>
        </w:tc>
        <w:tc>
          <w:tcPr>
            <w:tcW w:w="2286"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Astenija (sunki: </w:t>
            </w:r>
          </w:p>
        </w:tc>
        <w:tc>
          <w:tcPr>
            <w:tcW w:w="2160"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Infuzijos vietos </w:t>
            </w:r>
          </w:p>
        </w:tc>
        <w:tc>
          <w:tcPr>
            <w:tcW w:w="2610"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142"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ir vartojimo </w:t>
            </w:r>
          </w:p>
        </w:tc>
        <w:tc>
          <w:tcPr>
            <w:tcW w:w="2286"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8,1 %); </w:t>
            </w:r>
          </w:p>
        </w:tc>
        <w:tc>
          <w:tcPr>
            <w:tcW w:w="2160"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reakcija </w:t>
            </w: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423"/>
        </w:trPr>
        <w:tc>
          <w:tcPr>
            <w:tcW w:w="2142"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vietos pažeidimai </w:t>
            </w:r>
          </w:p>
        </w:tc>
        <w:tc>
          <w:tcPr>
            <w:tcW w:w="2286"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Skysčių susilaikymas (sunkus: 1,2 %); skausmas </w:t>
            </w:r>
          </w:p>
        </w:tc>
        <w:tc>
          <w:tcPr>
            <w:tcW w:w="216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911238" w:rsidRPr="00A64DF5" w:rsidTr="00911238">
        <w:trPr>
          <w:trHeight w:val="133"/>
        </w:trPr>
        <w:tc>
          <w:tcPr>
            <w:tcW w:w="2142" w:type="dxa"/>
            <w:vMerge w:val="restart"/>
            <w:tcBorders>
              <w:top w:val="single" w:sz="4" w:space="0" w:color="000000"/>
              <w:left w:val="single" w:sz="4" w:space="0" w:color="000000"/>
              <w:right w:val="single" w:sz="4" w:space="0" w:color="000000"/>
            </w:tcBorders>
          </w:tcPr>
          <w:p w:rsidR="00911238" w:rsidRPr="00A64DF5" w:rsidRDefault="00911238"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Tyrimai </w:t>
            </w:r>
          </w:p>
        </w:tc>
        <w:tc>
          <w:tcPr>
            <w:tcW w:w="2286" w:type="dxa"/>
            <w:tcBorders>
              <w:top w:val="single" w:sz="4" w:space="0" w:color="000000"/>
              <w:left w:val="single" w:sz="4" w:space="0" w:color="000000"/>
              <w:right w:val="single" w:sz="4" w:space="0" w:color="000000"/>
            </w:tcBorders>
          </w:tcPr>
          <w:p w:rsidR="00911238" w:rsidRPr="00A64DF5" w:rsidRDefault="00911238" w:rsidP="00A64DF5">
            <w:pPr>
              <w:widowControl w:val="0"/>
              <w:autoSpaceDE w:val="0"/>
              <w:autoSpaceDN w:val="0"/>
              <w:adjustRightInd w:val="0"/>
              <w:rPr>
                <w:rFonts w:eastAsia="MS Mincho"/>
                <w:color w:val="000000"/>
                <w:sz w:val="22"/>
                <w:szCs w:val="22"/>
                <w:lang w:eastAsia="ja-JP" w:bidi="lo-LA"/>
              </w:rPr>
            </w:pPr>
          </w:p>
        </w:tc>
        <w:tc>
          <w:tcPr>
            <w:tcW w:w="2160" w:type="dxa"/>
            <w:tcBorders>
              <w:top w:val="single" w:sz="4" w:space="0" w:color="000000"/>
              <w:left w:val="single" w:sz="4" w:space="0" w:color="000000"/>
              <w:right w:val="single" w:sz="4" w:space="0" w:color="000000"/>
            </w:tcBorders>
            <w:vAlign w:val="center"/>
          </w:tcPr>
          <w:p w:rsidR="00911238" w:rsidRPr="00A64DF5" w:rsidRDefault="00911238"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3–4 laipsnio padidėjęs </w:t>
            </w:r>
          </w:p>
        </w:tc>
        <w:tc>
          <w:tcPr>
            <w:tcW w:w="2610" w:type="dxa"/>
            <w:vMerge w:val="restart"/>
            <w:tcBorders>
              <w:top w:val="single" w:sz="4" w:space="0" w:color="000000"/>
              <w:left w:val="single" w:sz="4" w:space="0" w:color="000000"/>
              <w:right w:val="single" w:sz="4" w:space="0" w:color="000000"/>
            </w:tcBorders>
          </w:tcPr>
          <w:p w:rsidR="00911238" w:rsidRPr="00A64DF5" w:rsidRDefault="00911238"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3–4 laipsnio padidėjęs </w:t>
            </w:r>
          </w:p>
          <w:p w:rsidR="00911238" w:rsidRPr="00A64DF5" w:rsidRDefault="00911238"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AST kiekis (&lt; 1 %); </w:t>
            </w:r>
          </w:p>
          <w:p w:rsidR="00911238" w:rsidRDefault="00911238" w:rsidP="00A64DF5">
            <w:pPr>
              <w:widowControl w:val="0"/>
              <w:autoSpaceDE w:val="0"/>
              <w:autoSpaceDN w:val="0"/>
              <w:adjustRightInd w:val="0"/>
              <w:rPr>
                <w:rFonts w:eastAsia="MS Mincho"/>
                <w:color w:val="000000"/>
                <w:sz w:val="22"/>
                <w:szCs w:val="22"/>
                <w:lang w:eastAsia="ja-JP" w:bidi="lo-LA"/>
              </w:rPr>
            </w:pPr>
          </w:p>
          <w:p w:rsidR="00911238" w:rsidRDefault="00911238" w:rsidP="00A64DF5">
            <w:pPr>
              <w:widowControl w:val="0"/>
              <w:autoSpaceDE w:val="0"/>
              <w:autoSpaceDN w:val="0"/>
              <w:adjustRightInd w:val="0"/>
              <w:rPr>
                <w:rFonts w:eastAsia="MS Mincho"/>
                <w:color w:val="000000"/>
                <w:sz w:val="22"/>
                <w:szCs w:val="22"/>
                <w:lang w:eastAsia="ja-JP" w:bidi="lo-LA"/>
              </w:rPr>
            </w:pPr>
          </w:p>
          <w:p w:rsidR="00911238" w:rsidRPr="00A64DF5" w:rsidRDefault="00911238"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3–4 laipsnio padidėjęs </w:t>
            </w:r>
          </w:p>
          <w:p w:rsidR="00911238" w:rsidRPr="00A64DF5" w:rsidRDefault="00911238"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ALT kiekis (&lt; 1 %) </w:t>
            </w:r>
          </w:p>
        </w:tc>
      </w:tr>
      <w:tr w:rsidR="00911238" w:rsidRPr="00A64DF5" w:rsidTr="0002179F">
        <w:trPr>
          <w:trHeight w:val="1518"/>
        </w:trPr>
        <w:tc>
          <w:tcPr>
            <w:tcW w:w="2142" w:type="dxa"/>
            <w:vMerge/>
            <w:tcBorders>
              <w:left w:val="single" w:sz="4" w:space="0" w:color="000000"/>
              <w:bottom w:val="nil"/>
              <w:right w:val="single" w:sz="4" w:space="0" w:color="000000"/>
            </w:tcBorders>
          </w:tcPr>
          <w:p w:rsidR="00911238" w:rsidRPr="00A64DF5" w:rsidRDefault="00911238" w:rsidP="00A64DF5">
            <w:pPr>
              <w:widowControl w:val="0"/>
              <w:autoSpaceDE w:val="0"/>
              <w:autoSpaceDN w:val="0"/>
              <w:adjustRightInd w:val="0"/>
              <w:rPr>
                <w:rFonts w:eastAsia="MS Mincho"/>
                <w:color w:val="000000"/>
                <w:sz w:val="22"/>
                <w:szCs w:val="22"/>
                <w:lang w:eastAsia="ja-JP" w:bidi="lo-LA"/>
              </w:rPr>
            </w:pPr>
          </w:p>
        </w:tc>
        <w:tc>
          <w:tcPr>
            <w:tcW w:w="2286" w:type="dxa"/>
            <w:tcBorders>
              <w:left w:val="single" w:sz="4" w:space="0" w:color="000000"/>
              <w:bottom w:val="nil"/>
              <w:right w:val="single" w:sz="4" w:space="0" w:color="000000"/>
            </w:tcBorders>
          </w:tcPr>
          <w:p w:rsidR="00911238" w:rsidRPr="00A64DF5" w:rsidRDefault="00911238" w:rsidP="00A64DF5">
            <w:pPr>
              <w:widowControl w:val="0"/>
              <w:autoSpaceDE w:val="0"/>
              <w:autoSpaceDN w:val="0"/>
              <w:adjustRightInd w:val="0"/>
              <w:rPr>
                <w:rFonts w:eastAsia="MS Mincho"/>
                <w:color w:val="000000"/>
                <w:sz w:val="22"/>
                <w:szCs w:val="22"/>
                <w:lang w:eastAsia="ja-JP" w:bidi="lo-LA"/>
              </w:rPr>
            </w:pPr>
          </w:p>
        </w:tc>
        <w:tc>
          <w:tcPr>
            <w:tcW w:w="2160" w:type="dxa"/>
            <w:tcBorders>
              <w:left w:val="single" w:sz="4" w:space="0" w:color="000000"/>
              <w:bottom w:val="nil"/>
              <w:right w:val="single" w:sz="4" w:space="0" w:color="000000"/>
            </w:tcBorders>
            <w:vAlign w:val="center"/>
          </w:tcPr>
          <w:p w:rsidR="00911238" w:rsidRPr="00A64DF5" w:rsidRDefault="00911238"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bilirubino kiekis kraujyje (&lt; 2,5 %); </w:t>
            </w:r>
          </w:p>
          <w:p w:rsidR="00911238" w:rsidRPr="00A64DF5" w:rsidRDefault="00911238"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3–4 laipsnio padidėjęs šarminės fosfotazės kiekis kraujyje (&lt; 2,5 %) </w:t>
            </w:r>
          </w:p>
        </w:tc>
        <w:tc>
          <w:tcPr>
            <w:tcW w:w="2610" w:type="dxa"/>
            <w:vMerge/>
            <w:tcBorders>
              <w:left w:val="single" w:sz="4" w:space="0" w:color="000000"/>
              <w:bottom w:val="nil"/>
              <w:right w:val="single" w:sz="4" w:space="0" w:color="000000"/>
            </w:tcBorders>
            <w:vAlign w:val="center"/>
          </w:tcPr>
          <w:p w:rsidR="00911238" w:rsidRPr="00A64DF5" w:rsidRDefault="00911238" w:rsidP="00A64DF5">
            <w:pPr>
              <w:widowControl w:val="0"/>
              <w:autoSpaceDE w:val="0"/>
              <w:autoSpaceDN w:val="0"/>
              <w:adjustRightInd w:val="0"/>
              <w:rPr>
                <w:rFonts w:eastAsia="MS Mincho"/>
                <w:color w:val="000000"/>
                <w:sz w:val="22"/>
                <w:szCs w:val="22"/>
                <w:lang w:eastAsia="ja-JP" w:bidi="lo-LA"/>
              </w:rPr>
            </w:pPr>
          </w:p>
        </w:tc>
      </w:tr>
    </w:tbl>
    <w:p w:rsidR="00A64DF5" w:rsidRPr="00A64DF5" w:rsidRDefault="00A64DF5" w:rsidP="00A64DF5">
      <w:pPr>
        <w:rPr>
          <w:rFonts w:eastAsia="MS Mincho"/>
          <w:sz w:val="22"/>
          <w:szCs w:val="22"/>
          <w:lang w:eastAsia="ja-JP" w:bidi="lo-LA"/>
        </w:rPr>
      </w:pPr>
    </w:p>
    <w:p w:rsidR="00A64DF5" w:rsidRPr="00A64DF5" w:rsidRDefault="00A64DF5" w:rsidP="00A64DF5">
      <w:pPr>
        <w:rPr>
          <w:rFonts w:eastAsia="MS Mincho"/>
          <w:sz w:val="22"/>
          <w:szCs w:val="22"/>
          <w:u w:val="single"/>
          <w:lang w:eastAsia="ja-JP" w:bidi="lo-LA"/>
        </w:rPr>
      </w:pPr>
      <w:r w:rsidRPr="00A64DF5">
        <w:rPr>
          <w:rFonts w:eastAsia="MS Mincho"/>
          <w:sz w:val="22"/>
          <w:szCs w:val="22"/>
          <w:u w:val="single"/>
          <w:lang w:eastAsia="ja-JP" w:bidi="lo-LA"/>
        </w:rPr>
        <w:t>Docetakselis 75 mg/m² su cisplatina</w:t>
      </w:r>
    </w:p>
    <w:p w:rsidR="00A64DF5" w:rsidRPr="00A64DF5" w:rsidRDefault="00A64DF5" w:rsidP="00A64DF5">
      <w:pPr>
        <w:rPr>
          <w:rFonts w:eastAsia="MS Mincho"/>
          <w:sz w:val="22"/>
          <w:szCs w:val="22"/>
          <w:u w:val="single"/>
          <w:lang w:eastAsia="ja-JP" w:bidi="lo-LA"/>
        </w:rPr>
      </w:pPr>
    </w:p>
    <w:tbl>
      <w:tblPr>
        <w:tblW w:w="0" w:type="auto"/>
        <w:tblLayout w:type="fixed"/>
        <w:tblLook w:val="0000" w:firstRow="0" w:lastRow="0" w:firstColumn="0" w:lastColumn="0" w:noHBand="0" w:noVBand="0"/>
      </w:tblPr>
      <w:tblGrid>
        <w:gridCol w:w="2142"/>
        <w:gridCol w:w="2286"/>
        <w:gridCol w:w="2160"/>
        <w:gridCol w:w="2610"/>
      </w:tblGrid>
      <w:tr w:rsidR="00A64DF5" w:rsidRPr="00A64DF5" w:rsidTr="00A64DF5">
        <w:trPr>
          <w:trHeight w:val="287"/>
        </w:trPr>
        <w:tc>
          <w:tcPr>
            <w:tcW w:w="2142"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Organų sistemų klasė pagal MedDRA </w:t>
            </w:r>
          </w:p>
        </w:tc>
        <w:tc>
          <w:tcPr>
            <w:tcW w:w="2286"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Labai dažnos nepageidaujamos reakcijos </w:t>
            </w:r>
          </w:p>
        </w:tc>
        <w:tc>
          <w:tcPr>
            <w:tcW w:w="2160"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Dažnos nepageidaujamos reakcijos </w:t>
            </w:r>
          </w:p>
        </w:tc>
        <w:tc>
          <w:tcPr>
            <w:tcW w:w="2610"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Nedažnos nepageidaujamos reakcijos </w:t>
            </w:r>
          </w:p>
        </w:tc>
      </w:tr>
      <w:tr w:rsidR="00A64DF5" w:rsidRPr="00A64DF5" w:rsidTr="00A64DF5">
        <w:trPr>
          <w:trHeight w:val="281"/>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Infekcijos ir infestacijos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Infekcija (3–4 laipsnio: 5,7 %) </w:t>
            </w: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832"/>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Kraujo ir limfinės sistemos sutrikimai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Neutropenija (4 laipsnio: 51,5 %); anemija (3–4 laipsnio: 6,9 %); trombocitopenija (4 laipsnio: 0,5 %) </w:t>
            </w: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Febrilinė neutropenija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1"/>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Imuninės sistemos sutrikimai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Padidėjęs jautrumas (3–4 laipsnio: 2,5 %) </w:t>
            </w: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2"/>
        </w:trPr>
        <w:tc>
          <w:tcPr>
            <w:tcW w:w="2142"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Metabolizmo ir mitybos sutrikimai </w:t>
            </w:r>
          </w:p>
        </w:tc>
        <w:tc>
          <w:tcPr>
            <w:tcW w:w="2286"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Anoreksija </w:t>
            </w:r>
          </w:p>
        </w:tc>
        <w:tc>
          <w:tcPr>
            <w:tcW w:w="216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8"/>
        </w:trPr>
        <w:tc>
          <w:tcPr>
            <w:tcW w:w="2142" w:type="dxa"/>
            <w:tcBorders>
              <w:top w:val="single" w:sz="6"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Nervų sistemos </w:t>
            </w:r>
          </w:p>
        </w:tc>
        <w:tc>
          <w:tcPr>
            <w:tcW w:w="2286" w:type="dxa"/>
            <w:tcBorders>
              <w:top w:val="single" w:sz="6"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Periferinė sensorinė </w:t>
            </w:r>
          </w:p>
        </w:tc>
        <w:tc>
          <w:tcPr>
            <w:tcW w:w="2160" w:type="dxa"/>
            <w:tcBorders>
              <w:top w:val="single" w:sz="6"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6"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700"/>
        </w:trPr>
        <w:tc>
          <w:tcPr>
            <w:tcW w:w="2142"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sutrikimai </w:t>
            </w:r>
          </w:p>
        </w:tc>
        <w:tc>
          <w:tcPr>
            <w:tcW w:w="2286"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neuropatija (3 laipsnio: 3,7 %); periferinė motorinė neuropatija (3–4 laipsnio: 2 %) </w:t>
            </w:r>
          </w:p>
        </w:tc>
        <w:tc>
          <w:tcPr>
            <w:tcW w:w="216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1"/>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Širdies sutrikimai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Aritmija (3–4 laipsnio: 0,7 %)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Širdies nepakankamumas </w:t>
            </w:r>
          </w:p>
        </w:tc>
      </w:tr>
      <w:tr w:rsidR="00A64DF5" w:rsidRPr="00A64DF5" w:rsidTr="00A64DF5">
        <w:trPr>
          <w:trHeight w:val="281"/>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lastRenderedPageBreak/>
              <w:t xml:space="preserve">Kraujagyslių sutrikimai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Hipotenzija (3–4 laipsnio: 0,7 %)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3"/>
        </w:trPr>
        <w:tc>
          <w:tcPr>
            <w:tcW w:w="2142"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Virškinimo trakto </w:t>
            </w:r>
          </w:p>
        </w:tc>
        <w:tc>
          <w:tcPr>
            <w:tcW w:w="2286"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Pykinimas (3–4 laipsnio: </w:t>
            </w:r>
          </w:p>
        </w:tc>
        <w:tc>
          <w:tcPr>
            <w:tcW w:w="2160"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142"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sutrikimai </w:t>
            </w:r>
          </w:p>
        </w:tc>
        <w:tc>
          <w:tcPr>
            <w:tcW w:w="2286"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9,6 %); </w:t>
            </w:r>
          </w:p>
        </w:tc>
        <w:tc>
          <w:tcPr>
            <w:tcW w:w="216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142"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286"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Vėmimas (3–4 laipsnio: </w:t>
            </w:r>
          </w:p>
        </w:tc>
        <w:tc>
          <w:tcPr>
            <w:tcW w:w="216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142"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286"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7,6 %); </w:t>
            </w:r>
          </w:p>
        </w:tc>
        <w:tc>
          <w:tcPr>
            <w:tcW w:w="216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142"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286"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Viduriavimas (3–4 laipsnio: </w:t>
            </w:r>
          </w:p>
        </w:tc>
        <w:tc>
          <w:tcPr>
            <w:tcW w:w="216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142"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286"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6,4 %); </w:t>
            </w:r>
          </w:p>
        </w:tc>
        <w:tc>
          <w:tcPr>
            <w:tcW w:w="216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142"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286"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Stomatitas (3–4 laipsnio: </w:t>
            </w:r>
          </w:p>
        </w:tc>
        <w:tc>
          <w:tcPr>
            <w:tcW w:w="216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47"/>
        </w:trPr>
        <w:tc>
          <w:tcPr>
            <w:tcW w:w="2142"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286" w:type="dxa"/>
            <w:tcBorders>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2 %) </w:t>
            </w:r>
          </w:p>
        </w:tc>
        <w:tc>
          <w:tcPr>
            <w:tcW w:w="216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695"/>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Odos ir poodinio audinio sutrikimai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Alopecija; nagų sutrikimai (sunkūs: 0,7</w:t>
            </w:r>
            <w:r w:rsidR="00911238">
              <w:rPr>
                <w:rFonts w:eastAsia="MS Mincho"/>
                <w:color w:val="000000"/>
                <w:sz w:val="22"/>
                <w:szCs w:val="22"/>
                <w:lang w:eastAsia="ja-JP" w:bidi="lo-LA"/>
              </w:rPr>
              <w:t> </w:t>
            </w:r>
            <w:r w:rsidRPr="00A64DF5">
              <w:rPr>
                <w:rFonts w:eastAsia="MS Mincho"/>
                <w:color w:val="000000"/>
                <w:sz w:val="22"/>
                <w:szCs w:val="22"/>
                <w:lang w:eastAsia="ja-JP" w:bidi="lo-LA"/>
              </w:rPr>
              <w:t xml:space="preserve">%; odos reakcija (3–4 laipsnio: 0,2 %) </w:t>
            </w: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420"/>
        </w:trPr>
        <w:tc>
          <w:tcPr>
            <w:tcW w:w="21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Raumenų, kaulų ir jungiamojo audinio sutrikimai </w:t>
            </w:r>
          </w:p>
        </w:tc>
        <w:tc>
          <w:tcPr>
            <w:tcW w:w="228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Mialgija (sunki: 0,5</w:t>
            </w:r>
            <w:r w:rsidR="00911238">
              <w:rPr>
                <w:rFonts w:eastAsia="MS Mincho"/>
                <w:color w:val="000000"/>
                <w:sz w:val="22"/>
                <w:szCs w:val="22"/>
                <w:lang w:eastAsia="ja-JP" w:bidi="lo-LA"/>
              </w:rPr>
              <w:t> </w:t>
            </w:r>
            <w:r w:rsidRPr="00A64DF5">
              <w:rPr>
                <w:rFonts w:eastAsia="MS Mincho"/>
                <w:color w:val="000000"/>
                <w:sz w:val="22"/>
                <w:szCs w:val="22"/>
                <w:lang w:eastAsia="ja-JP" w:bidi="lo-LA"/>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911238" w:rsidRPr="00A64DF5" w:rsidTr="00911238">
        <w:trPr>
          <w:trHeight w:val="1518"/>
        </w:trPr>
        <w:tc>
          <w:tcPr>
            <w:tcW w:w="2142" w:type="dxa"/>
            <w:tcBorders>
              <w:top w:val="single" w:sz="4" w:space="0" w:color="000000"/>
              <w:left w:val="single" w:sz="4" w:space="0" w:color="000000"/>
              <w:right w:val="single" w:sz="4" w:space="0" w:color="000000"/>
            </w:tcBorders>
          </w:tcPr>
          <w:p w:rsidR="00911238" w:rsidRPr="00A64DF5" w:rsidRDefault="00911238"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Bendrieji sutrikimai </w:t>
            </w:r>
          </w:p>
          <w:p w:rsidR="00911238" w:rsidRPr="00A64DF5" w:rsidRDefault="00911238"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ir vartojimo vietos pažeidimai </w:t>
            </w:r>
          </w:p>
        </w:tc>
        <w:tc>
          <w:tcPr>
            <w:tcW w:w="2286" w:type="dxa"/>
            <w:tcBorders>
              <w:top w:val="single" w:sz="4" w:space="0" w:color="000000"/>
              <w:left w:val="single" w:sz="4" w:space="0" w:color="000000"/>
              <w:right w:val="single" w:sz="4" w:space="0" w:color="000000"/>
            </w:tcBorders>
          </w:tcPr>
          <w:p w:rsidR="00911238" w:rsidRPr="00A64DF5" w:rsidRDefault="00911238"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Astenija (sunki: 9,9</w:t>
            </w:r>
            <w:r>
              <w:rPr>
                <w:rFonts w:eastAsia="MS Mincho"/>
                <w:color w:val="000000"/>
                <w:sz w:val="22"/>
                <w:szCs w:val="22"/>
                <w:lang w:eastAsia="ja-JP" w:bidi="lo-LA"/>
              </w:rPr>
              <w:t> </w:t>
            </w:r>
            <w:r w:rsidRPr="00A64DF5">
              <w:rPr>
                <w:rFonts w:eastAsia="MS Mincho"/>
                <w:color w:val="000000"/>
                <w:sz w:val="22"/>
                <w:szCs w:val="22"/>
                <w:lang w:eastAsia="ja-JP" w:bidi="lo-LA"/>
              </w:rPr>
              <w:t xml:space="preserve">%); </w:t>
            </w:r>
          </w:p>
          <w:p w:rsidR="00911238" w:rsidRPr="00A64DF5" w:rsidRDefault="00911238"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Skysčių susilaikymas (sunkus: 0,7 %); karščiavimas (3–4 laipsnio: 1,2 %) </w:t>
            </w:r>
          </w:p>
        </w:tc>
        <w:tc>
          <w:tcPr>
            <w:tcW w:w="2160" w:type="dxa"/>
            <w:tcBorders>
              <w:top w:val="single" w:sz="4" w:space="0" w:color="000000"/>
              <w:left w:val="single" w:sz="4" w:space="0" w:color="000000"/>
              <w:right w:val="single" w:sz="4" w:space="0" w:color="000000"/>
            </w:tcBorders>
          </w:tcPr>
          <w:p w:rsidR="00911238" w:rsidRPr="00A64DF5" w:rsidRDefault="00911238"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Infuzijos vietos reakcija; </w:t>
            </w:r>
          </w:p>
          <w:p w:rsidR="00911238" w:rsidRPr="00A64DF5" w:rsidRDefault="00911238"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Skausmas </w:t>
            </w:r>
          </w:p>
        </w:tc>
        <w:tc>
          <w:tcPr>
            <w:tcW w:w="2610" w:type="dxa"/>
            <w:tcBorders>
              <w:top w:val="single" w:sz="4" w:space="0" w:color="000000"/>
              <w:left w:val="single" w:sz="4" w:space="0" w:color="000000"/>
              <w:right w:val="single" w:sz="4" w:space="0" w:color="000000"/>
            </w:tcBorders>
          </w:tcPr>
          <w:p w:rsidR="00911238" w:rsidRPr="00A64DF5" w:rsidRDefault="00911238"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833"/>
        </w:trPr>
        <w:tc>
          <w:tcPr>
            <w:tcW w:w="2142"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Tyrimai </w:t>
            </w:r>
          </w:p>
        </w:tc>
        <w:tc>
          <w:tcPr>
            <w:tcW w:w="2286"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6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3–4 laipsnio padidėjęs bilirubino kiekis (2,1 %); 3–4 laipsnio padidėjęs ALT kiekis (1,3 %) </w:t>
            </w:r>
          </w:p>
        </w:tc>
        <w:tc>
          <w:tcPr>
            <w:tcW w:w="261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3–4 laipsnio padidėjęs ALT kiekis (0,5 %); 3–4 laipsnio padidėjęs šarminės fosfotazės kiekis kraujyje (0,3 %) </w:t>
            </w:r>
          </w:p>
        </w:tc>
      </w:tr>
    </w:tbl>
    <w:p w:rsidR="00A64DF5" w:rsidRPr="00A64DF5" w:rsidRDefault="00A64DF5" w:rsidP="00A64DF5">
      <w:pPr>
        <w:widowControl w:val="0"/>
        <w:autoSpaceDE w:val="0"/>
        <w:autoSpaceDN w:val="0"/>
        <w:adjustRightInd w:val="0"/>
        <w:rPr>
          <w:rFonts w:eastAsia="MS Mincho"/>
          <w:color w:val="000000"/>
          <w:sz w:val="22"/>
          <w:szCs w:val="22"/>
          <w:lang w:eastAsia="ja-JP" w:bidi="lo-LA"/>
        </w:rPr>
      </w:pPr>
    </w:p>
    <w:p w:rsidR="00A64DF5" w:rsidRPr="00A64DF5" w:rsidRDefault="00A64DF5" w:rsidP="00A64DF5">
      <w:pPr>
        <w:widowControl w:val="0"/>
        <w:autoSpaceDE w:val="0"/>
        <w:autoSpaceDN w:val="0"/>
        <w:adjustRightInd w:val="0"/>
        <w:rPr>
          <w:rFonts w:eastAsia="MS Mincho"/>
          <w:color w:val="000000"/>
          <w:sz w:val="22"/>
          <w:szCs w:val="22"/>
          <w:u w:val="single"/>
          <w:lang w:eastAsia="ja-JP" w:bidi="lo-LA"/>
        </w:rPr>
      </w:pPr>
      <w:r w:rsidRPr="00A64DF5">
        <w:rPr>
          <w:rFonts w:eastAsia="MS Mincho"/>
          <w:color w:val="000000"/>
          <w:sz w:val="22"/>
          <w:szCs w:val="22"/>
          <w:u w:val="single"/>
          <w:lang w:eastAsia="ja-JP" w:bidi="lo-LA"/>
        </w:rPr>
        <w:t xml:space="preserve">Docetakselis 100 mg/m² su trastuzumabu </w:t>
      </w:r>
    </w:p>
    <w:p w:rsidR="00A64DF5" w:rsidRPr="00A64DF5" w:rsidRDefault="00A64DF5" w:rsidP="00A64DF5">
      <w:pPr>
        <w:widowControl w:val="0"/>
        <w:autoSpaceDE w:val="0"/>
        <w:autoSpaceDN w:val="0"/>
        <w:adjustRightInd w:val="0"/>
        <w:rPr>
          <w:rFonts w:eastAsia="MS Mincho"/>
          <w:color w:val="000000"/>
          <w:lang w:eastAsia="ja-JP" w:bidi="lo-LA"/>
        </w:rPr>
      </w:pPr>
    </w:p>
    <w:tbl>
      <w:tblPr>
        <w:tblW w:w="0" w:type="auto"/>
        <w:tblLayout w:type="fixed"/>
        <w:tblLook w:val="0000" w:firstRow="0" w:lastRow="0" w:firstColumn="0" w:lastColumn="0" w:noHBand="0" w:noVBand="0"/>
      </w:tblPr>
      <w:tblGrid>
        <w:gridCol w:w="2867"/>
        <w:gridCol w:w="3721"/>
        <w:gridCol w:w="2610"/>
      </w:tblGrid>
      <w:tr w:rsidR="00A64DF5" w:rsidRPr="00A64DF5" w:rsidTr="00A64DF5">
        <w:trPr>
          <w:trHeight w:val="286"/>
        </w:trPr>
        <w:tc>
          <w:tcPr>
            <w:tcW w:w="2867"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Organų sistemų klasė pagal MedDRA </w:t>
            </w:r>
          </w:p>
        </w:tc>
        <w:tc>
          <w:tcPr>
            <w:tcW w:w="3721"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Labai dažnos nepageidaujamos reakcijos </w:t>
            </w:r>
          </w:p>
        </w:tc>
        <w:tc>
          <w:tcPr>
            <w:tcW w:w="2610"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Dažnos nepageidaujamos reakcijos </w:t>
            </w:r>
          </w:p>
        </w:tc>
      </w:tr>
      <w:tr w:rsidR="00A64DF5" w:rsidRPr="00A64DF5" w:rsidTr="00A64DF5">
        <w:trPr>
          <w:trHeight w:val="833"/>
        </w:trPr>
        <w:tc>
          <w:tcPr>
            <w:tcW w:w="2867"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Kraujo ir limfinės sistemos sutrikimai </w:t>
            </w:r>
          </w:p>
        </w:tc>
        <w:tc>
          <w:tcPr>
            <w:tcW w:w="3721"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Neutropenija (3–4 laipsnio: 32 %);</w:t>
            </w:r>
            <w:r w:rsidR="00DD1E61">
              <w:rPr>
                <w:rFonts w:eastAsia="MS Mincho"/>
                <w:color w:val="000000"/>
                <w:sz w:val="22"/>
                <w:szCs w:val="22"/>
                <w:lang w:eastAsia="ja-JP" w:bidi="lo-LA"/>
              </w:rPr>
              <w:t xml:space="preserve"> </w:t>
            </w:r>
            <w:r w:rsidRPr="00A64DF5">
              <w:rPr>
                <w:rFonts w:eastAsia="MS Mincho"/>
                <w:color w:val="000000"/>
                <w:sz w:val="22"/>
                <w:szCs w:val="22"/>
                <w:lang w:eastAsia="ja-JP" w:bidi="lo-LA"/>
              </w:rPr>
              <w:t xml:space="preserve">febrilinė neutropenija (įskaitant neutropeniją karščiuojant ir vartojant antibiotikų) arba neutropeninis sepsis </w:t>
            </w:r>
          </w:p>
        </w:tc>
        <w:tc>
          <w:tcPr>
            <w:tcW w:w="261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6"/>
        </w:trPr>
        <w:tc>
          <w:tcPr>
            <w:tcW w:w="2867"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Metabolizmo ir mitybos sutrikimai </w:t>
            </w:r>
          </w:p>
        </w:tc>
        <w:tc>
          <w:tcPr>
            <w:tcW w:w="3721"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Anoreksija </w:t>
            </w:r>
          </w:p>
        </w:tc>
        <w:tc>
          <w:tcPr>
            <w:tcW w:w="2610"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42"/>
        </w:trPr>
        <w:tc>
          <w:tcPr>
            <w:tcW w:w="2867"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Psichikos sutrikimai </w:t>
            </w:r>
          </w:p>
        </w:tc>
        <w:tc>
          <w:tcPr>
            <w:tcW w:w="3721"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Nemiga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1"/>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Nervų sistemos sutrikimai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Parestezija; galvos skausmas; disgeuzija; hipoestezija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1"/>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Akių sutrikimai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Ašarojimo sustiprėjimas; konjunktyvitas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43"/>
        </w:trPr>
        <w:tc>
          <w:tcPr>
            <w:tcW w:w="2867"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Širdies sutrikimai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Širdies nepakankamumas </w:t>
            </w:r>
          </w:p>
        </w:tc>
      </w:tr>
      <w:tr w:rsidR="00A64DF5" w:rsidRPr="00A64DF5" w:rsidTr="00A64DF5">
        <w:trPr>
          <w:trHeight w:val="142"/>
        </w:trPr>
        <w:tc>
          <w:tcPr>
            <w:tcW w:w="2867"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Kraujagyslių sutrikimai </w:t>
            </w:r>
          </w:p>
        </w:tc>
        <w:tc>
          <w:tcPr>
            <w:tcW w:w="3721"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Limfedema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695"/>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Kvėpavimo sistemos, krūtinės ląstos ir tarpuplaučio sutrikimai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Kraujavimas iš nosies; ryklės ir gerklų skausmas; nazofaringitas; dusulys; kosulys; sloga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556"/>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Virškinimo trakto sutrikimai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Pykinimas; viduriavimas; vėmimas; vidurių užkietėjimas; stomatitas; dispepsija; pilvo skausmas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1"/>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lastRenderedPageBreak/>
              <w:t xml:space="preserve">Odos ir poodinio audinio sutrikimai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Alopecija; eritema; išbėrimas; nagų pažeidimai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418"/>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Raumenų, kaulų ir jungiamojo audinio sutrikimai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Mialgija; artralgija; galūnių skausmas; kaulų skausmas; nugaros skausmas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832"/>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Bendrieji sutrikimai ir vartojimo vietos pažeidimai </w:t>
            </w:r>
          </w:p>
        </w:tc>
        <w:tc>
          <w:tcPr>
            <w:tcW w:w="372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Astenija; periferinė edema; pireksija; nuovargis; gleivinės uždegimas; skausmas; į gripą panašus sindromas; krūtinės skausmas; šaltkrėtis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Mieguistumas </w:t>
            </w:r>
          </w:p>
        </w:tc>
      </w:tr>
      <w:tr w:rsidR="00A64DF5" w:rsidRPr="00A64DF5" w:rsidTr="00A64DF5">
        <w:trPr>
          <w:trHeight w:val="145"/>
        </w:trPr>
        <w:tc>
          <w:tcPr>
            <w:tcW w:w="2867"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Tyrimai </w:t>
            </w:r>
          </w:p>
        </w:tc>
        <w:tc>
          <w:tcPr>
            <w:tcW w:w="3721"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Svorio padidėjimas </w:t>
            </w:r>
          </w:p>
        </w:tc>
        <w:tc>
          <w:tcPr>
            <w:tcW w:w="261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bl>
    <w:p w:rsidR="00A64DF5" w:rsidRPr="00A64DF5" w:rsidRDefault="00A64DF5" w:rsidP="00A64DF5">
      <w:pPr>
        <w:widowControl w:val="0"/>
        <w:autoSpaceDE w:val="0"/>
        <w:autoSpaceDN w:val="0"/>
        <w:adjustRightInd w:val="0"/>
        <w:rPr>
          <w:rFonts w:eastAsia="MS Mincho"/>
          <w:color w:val="000000"/>
          <w:sz w:val="22"/>
          <w:szCs w:val="22"/>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Širdies sutrikimai</w:t>
      </w: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Simptominis širdies nepakankamumas pasireiškė 2,2 % pacientų, kartu vartojusių docetakselį ir trastuzumabą bei 0 % pacientų, vartojusių vien docetakselį. Iš pacientų, kartu vartojusių docetakselį ir trastuzumabą, 64 % anksčiau vartojo antracikliną adjuvantiniam gydymui, iš vartojusių vien docetakselio – 55 %. </w:t>
      </w:r>
    </w:p>
    <w:p w:rsidR="00A64DF5" w:rsidRPr="00A64DF5" w:rsidRDefault="00A64DF5" w:rsidP="00A64DF5">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Kraujo ir limfinės sistemos sutrikimai</w:t>
      </w:r>
    </w:p>
    <w:p w:rsidR="00A64DF5" w:rsidRPr="00A64DF5" w:rsidRDefault="00A64DF5" w:rsidP="00A64DF5">
      <w:pPr>
        <w:widowControl w:val="0"/>
        <w:autoSpaceDE w:val="0"/>
        <w:autoSpaceDN w:val="0"/>
        <w:adjustRightInd w:val="0"/>
        <w:ind w:right="280"/>
        <w:jc w:val="both"/>
        <w:rPr>
          <w:rFonts w:eastAsia="MS Mincho"/>
          <w:color w:val="000000"/>
          <w:sz w:val="22"/>
          <w:szCs w:val="22"/>
          <w:lang w:eastAsia="ja-JP" w:bidi="lo-LA"/>
        </w:rPr>
      </w:pPr>
      <w:r w:rsidRPr="00A64DF5">
        <w:rPr>
          <w:rFonts w:eastAsia="MS Mincho"/>
          <w:color w:val="000000"/>
          <w:sz w:val="22"/>
          <w:szCs w:val="22"/>
          <w:lang w:eastAsia="ja-JP" w:bidi="lo-LA"/>
        </w:rPr>
        <w:t xml:space="preserve">Labai dažni: vartojant trastuzumabą ir docetakselį, nustatytas stipresnis hematotoksinis poveikis negu docetakselį vartojant atskirai (3–4 laipsnio neutropenijos dažnis, remiantis NCI bendraisiais toksinio poveikio kriterijais, buvo atitinkamai 32 % ir 22 %). Būtina atkreipti dėmesį, jog toks poveikis tikriausiai yra nepakankamai įvertintas, kadangi vartojant vien tik docetakselį (dozė – 100 mg/ m²), neutropenija pasireiškia 97 % pacientų, iš jų 76 % – 4 laipsnio (vertinant mažiausią kraujo ląstelių skaičių). Vartojant Herceptin ir docetakselio derinį, taip pat dažniau pasireiškė febrilinė neutropenija ar su neutropenija susijęs sepsis negu docetakselį vartojant atskirai (atitinkamai 23 % ir 17 % pacientų). </w:t>
      </w:r>
    </w:p>
    <w:p w:rsidR="00A64DF5" w:rsidRPr="00A64DF5" w:rsidRDefault="00A64DF5" w:rsidP="00A64DF5">
      <w:pPr>
        <w:widowControl w:val="0"/>
        <w:autoSpaceDE w:val="0"/>
        <w:autoSpaceDN w:val="0"/>
        <w:adjustRightInd w:val="0"/>
        <w:rPr>
          <w:rFonts w:eastAsia="MS Mincho"/>
          <w:color w:val="000000"/>
          <w:lang w:eastAsia="ja-JP" w:bidi="lo-LA"/>
        </w:rPr>
      </w:pPr>
    </w:p>
    <w:p w:rsidR="00A64DF5" w:rsidRPr="00A64DF5" w:rsidRDefault="00A64DF5" w:rsidP="00A64DF5">
      <w:pPr>
        <w:widowControl w:val="0"/>
        <w:autoSpaceDE w:val="0"/>
        <w:autoSpaceDN w:val="0"/>
        <w:adjustRightInd w:val="0"/>
        <w:rPr>
          <w:rFonts w:eastAsia="MS Mincho"/>
          <w:sz w:val="22"/>
          <w:szCs w:val="22"/>
          <w:u w:val="single"/>
          <w:lang w:eastAsia="ja-JP" w:bidi="lo-LA"/>
        </w:rPr>
      </w:pPr>
      <w:r w:rsidRPr="00A64DF5">
        <w:rPr>
          <w:rFonts w:eastAsia="MS Mincho"/>
          <w:sz w:val="22"/>
          <w:szCs w:val="22"/>
          <w:u w:val="single"/>
          <w:lang w:eastAsia="ja-JP" w:bidi="lo-LA"/>
        </w:rPr>
        <w:t>Docetakselis 75 mg/m² su kapecitabinu</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p>
    <w:tbl>
      <w:tblPr>
        <w:tblW w:w="0" w:type="auto"/>
        <w:tblLayout w:type="fixed"/>
        <w:tblLook w:val="0000" w:firstRow="0" w:lastRow="0" w:firstColumn="0" w:lastColumn="0" w:noHBand="0" w:noVBand="0"/>
      </w:tblPr>
      <w:tblGrid>
        <w:gridCol w:w="2867"/>
        <w:gridCol w:w="3181"/>
        <w:gridCol w:w="3150"/>
      </w:tblGrid>
      <w:tr w:rsidR="00A64DF5" w:rsidRPr="00A64DF5" w:rsidTr="00A64DF5">
        <w:trPr>
          <w:trHeight w:val="286"/>
        </w:trPr>
        <w:tc>
          <w:tcPr>
            <w:tcW w:w="2867"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Organų sistemų klasė pagal MedDRA </w:t>
            </w:r>
          </w:p>
        </w:tc>
        <w:tc>
          <w:tcPr>
            <w:tcW w:w="3181"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Labai dažnos nepageidaujamos reakcijos </w:t>
            </w:r>
          </w:p>
        </w:tc>
        <w:tc>
          <w:tcPr>
            <w:tcW w:w="3150"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Dažnos nepageidaujamos reakcijos </w:t>
            </w:r>
          </w:p>
        </w:tc>
      </w:tr>
      <w:tr w:rsidR="00A64DF5" w:rsidRPr="00A64DF5" w:rsidTr="00A64DF5">
        <w:trPr>
          <w:trHeight w:val="281"/>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Infekcijos ir infestacijos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Burnos kandidozė (3–4 laipsnio: &lt; 1 %) </w:t>
            </w:r>
          </w:p>
        </w:tc>
      </w:tr>
      <w:tr w:rsidR="00A64DF5" w:rsidRPr="00A64DF5" w:rsidTr="00A64DF5">
        <w:trPr>
          <w:trHeight w:val="281"/>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Kraujo ir limfinės sistemos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Neutropenija (3–4 laipsnio: 63</w:t>
            </w:r>
            <w:r w:rsidR="0002179F">
              <w:rPr>
                <w:rFonts w:eastAsia="MS Mincho"/>
                <w:color w:val="000000"/>
                <w:sz w:val="22"/>
                <w:szCs w:val="22"/>
                <w:lang w:eastAsia="ja-JP" w:bidi="lo-LA"/>
              </w:rPr>
              <w:t> </w:t>
            </w:r>
            <w:r w:rsidRPr="00A64DF5">
              <w:rPr>
                <w:rFonts w:eastAsia="MS Mincho"/>
                <w:color w:val="000000"/>
                <w:sz w:val="22"/>
                <w:szCs w:val="22"/>
                <w:lang w:eastAsia="ja-JP" w:bidi="lo-LA"/>
              </w:rPr>
              <w:t>%); anemija (3–4 laipsnio: 10</w:t>
            </w:r>
            <w:r w:rsidR="0002179F">
              <w:rPr>
                <w:rFonts w:eastAsia="MS Mincho"/>
                <w:color w:val="000000"/>
                <w:sz w:val="22"/>
                <w:szCs w:val="22"/>
                <w:lang w:eastAsia="ja-JP" w:bidi="lo-LA"/>
              </w:rPr>
              <w:t> </w:t>
            </w:r>
            <w:r w:rsidRPr="00A64DF5">
              <w:rPr>
                <w:rFonts w:eastAsia="MS Mincho"/>
                <w:color w:val="000000"/>
                <w:sz w:val="22"/>
                <w:szCs w:val="22"/>
                <w:lang w:eastAsia="ja-JP" w:bidi="lo-LA"/>
              </w:rPr>
              <w:t xml:space="preserve">%)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Trombocitopenija (3–4 laipsnio: 3 %) </w:t>
            </w:r>
          </w:p>
        </w:tc>
      </w:tr>
      <w:tr w:rsidR="00A64DF5" w:rsidRPr="00A64DF5" w:rsidTr="00A64DF5">
        <w:trPr>
          <w:trHeight w:val="281"/>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Metabolizmo ir mitybos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Anoreksija (3–4 laipsnio: 1 %); sumažėjęs apetitas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Dehidratacija (3–4 laipsnio: 2 %) </w:t>
            </w:r>
          </w:p>
        </w:tc>
      </w:tr>
      <w:tr w:rsidR="00A64DF5" w:rsidRPr="00A64DF5" w:rsidTr="00A64DF5">
        <w:trPr>
          <w:trHeight w:val="420"/>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Nervų sistemos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Dizgeuzija (3–4 laipsnio: &lt; 1 %); parestezija (3–4 laipsnio: &lt; 1 %)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Svaigulys; galvos skausmas (3–4 laipsnio: &lt; 1 %); periferinė neuropatija </w:t>
            </w:r>
          </w:p>
        </w:tc>
      </w:tr>
      <w:tr w:rsidR="00A64DF5" w:rsidRPr="00A64DF5" w:rsidTr="00A64DF5">
        <w:trPr>
          <w:trHeight w:val="142"/>
        </w:trPr>
        <w:tc>
          <w:tcPr>
            <w:tcW w:w="2867"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Akių sutrikimai </w:t>
            </w:r>
          </w:p>
        </w:tc>
        <w:tc>
          <w:tcPr>
            <w:tcW w:w="3181"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Ašarojimo sustiprėjimas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418"/>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Kvėpavimo sistemos, krūtinės ląstos ir tarpuplaučio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Ryklės ir gerklų skausmas (3–4 laipsnio: 2 %)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Dispnėja (3–4 laipsnio: 1 %); kosulys (3–4 laipsnio: &lt; 1 %); kraujavimas iš nosies (3–4 laipsnio: &lt; 1 %) </w:t>
            </w:r>
          </w:p>
        </w:tc>
      </w:tr>
      <w:tr w:rsidR="00A64DF5" w:rsidRPr="00A64DF5" w:rsidTr="00A64DF5">
        <w:trPr>
          <w:trHeight w:val="1108"/>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Virškinimo trakto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Stomatitas (3–4 laipsnio: 18 %); viduriavimas (3–4 laipsnio: 14</w:t>
            </w:r>
            <w:r w:rsidR="0002179F">
              <w:rPr>
                <w:rFonts w:eastAsia="MS Mincho"/>
                <w:color w:val="000000"/>
                <w:sz w:val="22"/>
                <w:szCs w:val="22"/>
                <w:lang w:eastAsia="ja-JP" w:bidi="lo-LA"/>
              </w:rPr>
              <w:t> </w:t>
            </w:r>
            <w:r w:rsidRPr="00A64DF5">
              <w:rPr>
                <w:rFonts w:eastAsia="MS Mincho"/>
                <w:color w:val="000000"/>
                <w:sz w:val="22"/>
                <w:szCs w:val="22"/>
                <w:lang w:eastAsia="ja-JP" w:bidi="lo-LA"/>
              </w:rPr>
              <w:t>%); pykinimas (3–4 laipsnio: 6</w:t>
            </w:r>
            <w:r w:rsidR="0002179F">
              <w:rPr>
                <w:rFonts w:eastAsia="MS Mincho"/>
                <w:color w:val="000000"/>
                <w:sz w:val="22"/>
                <w:szCs w:val="22"/>
                <w:lang w:eastAsia="ja-JP" w:bidi="lo-LA"/>
              </w:rPr>
              <w:t xml:space="preserve"> </w:t>
            </w:r>
            <w:r w:rsidRPr="00A64DF5">
              <w:rPr>
                <w:rFonts w:eastAsia="MS Mincho"/>
                <w:color w:val="000000"/>
                <w:sz w:val="22"/>
                <w:szCs w:val="22"/>
                <w:lang w:eastAsia="ja-JP" w:bidi="lo-LA"/>
              </w:rPr>
              <w:t>%); vėmimas (3–4 laipsnio: 4</w:t>
            </w:r>
            <w:r w:rsidR="0002179F">
              <w:rPr>
                <w:rFonts w:eastAsia="MS Mincho"/>
                <w:color w:val="000000"/>
                <w:sz w:val="22"/>
                <w:szCs w:val="22"/>
                <w:lang w:eastAsia="ja-JP" w:bidi="lo-LA"/>
              </w:rPr>
              <w:t> </w:t>
            </w:r>
            <w:r w:rsidRPr="00A64DF5">
              <w:rPr>
                <w:rFonts w:eastAsia="MS Mincho"/>
                <w:color w:val="000000"/>
                <w:sz w:val="22"/>
                <w:szCs w:val="22"/>
                <w:lang w:eastAsia="ja-JP" w:bidi="lo-LA"/>
              </w:rPr>
              <w:t xml:space="preserve">%); vidurių užkietėjimas (3–4 laipsnio: 1 %); pilvo skausmas (3–4 laipsnio: 2 %); dispepsija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Viršutinio pilvo aukšto skausmas; burnos džiūvimas </w:t>
            </w:r>
          </w:p>
        </w:tc>
      </w:tr>
      <w:tr w:rsidR="00A64DF5" w:rsidRPr="00A64DF5" w:rsidTr="00A64DF5">
        <w:trPr>
          <w:trHeight w:val="695"/>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Odos ir poodinio audinio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Rankų ir pėdų sindromas (3–4 laipsnio: 24 %); alopecija (3–4 laipsnio: 6 %); nagų pažeidimai </w:t>
            </w:r>
            <w:r w:rsidRPr="00A64DF5">
              <w:rPr>
                <w:rFonts w:eastAsia="MS Mincho"/>
                <w:color w:val="000000"/>
                <w:sz w:val="22"/>
                <w:szCs w:val="22"/>
                <w:lang w:eastAsia="ja-JP" w:bidi="lo-LA"/>
              </w:rPr>
              <w:lastRenderedPageBreak/>
              <w:t xml:space="preserve">(3–4 laipsnio: 2 %)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lastRenderedPageBreak/>
              <w:t xml:space="preserve">Dermatitas; eriteminis išbėrimas (3–4 laipsnio: &lt; 1 %); nagų spalvos pokytis; onicholizė (3–4 </w:t>
            </w:r>
            <w:r w:rsidRPr="00A64DF5">
              <w:rPr>
                <w:rFonts w:eastAsia="MS Mincho"/>
                <w:color w:val="000000"/>
                <w:sz w:val="22"/>
                <w:szCs w:val="22"/>
                <w:lang w:eastAsia="ja-JP" w:bidi="lo-LA"/>
              </w:rPr>
              <w:lastRenderedPageBreak/>
              <w:t xml:space="preserve">laipsnio: 1 %) </w:t>
            </w:r>
          </w:p>
        </w:tc>
      </w:tr>
      <w:tr w:rsidR="00A64DF5" w:rsidRPr="00A64DF5" w:rsidTr="00A64DF5">
        <w:trPr>
          <w:trHeight w:val="418"/>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lastRenderedPageBreak/>
              <w:t xml:space="preserve">Raumenų, kaulų ir jungiamojo audinio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Mialgija (3–4 laipsnio: 2 %); artralgija (3–4 laipsnio: 1 %)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Galūnių skausmas (3–4 laipsnio: &lt; 1 %); nugaros skausmas (3–4 laipsnio: 1 %) </w:t>
            </w:r>
          </w:p>
        </w:tc>
      </w:tr>
      <w:tr w:rsidR="00A64DF5" w:rsidRPr="00A64DF5" w:rsidTr="00A64DF5">
        <w:trPr>
          <w:trHeight w:val="832"/>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Bendrieji sutrikimai ir vartojimo vietos pažeidimai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Astenija (3–4 laipsnio: 3 %); pireksija (3–4 laipsnio: 1 %); nuovargis arba silpnumas (3–4 laipsnio: 5 %); periferinė edema (3–4 laipsnio: 1 %)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Mieguistumas; skausmas </w:t>
            </w:r>
          </w:p>
        </w:tc>
      </w:tr>
      <w:tr w:rsidR="00A64DF5" w:rsidRPr="00A64DF5" w:rsidTr="00A64DF5">
        <w:trPr>
          <w:trHeight w:val="421"/>
        </w:trPr>
        <w:tc>
          <w:tcPr>
            <w:tcW w:w="2867"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Tyrimai </w:t>
            </w:r>
          </w:p>
        </w:tc>
        <w:tc>
          <w:tcPr>
            <w:tcW w:w="3181"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315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Sumažėjęs svoris; 3–4 laipsnio padidėjęs bilirubino kiekis kraujyje (9 %) </w:t>
            </w:r>
          </w:p>
        </w:tc>
      </w:tr>
    </w:tbl>
    <w:p w:rsidR="00A64DF5" w:rsidRPr="00A64DF5" w:rsidRDefault="00A64DF5" w:rsidP="00A64DF5">
      <w:pPr>
        <w:widowControl w:val="0"/>
        <w:autoSpaceDE w:val="0"/>
        <w:autoSpaceDN w:val="0"/>
        <w:adjustRightInd w:val="0"/>
        <w:rPr>
          <w:rFonts w:eastAsia="MS Mincho"/>
          <w:color w:val="000000"/>
          <w:sz w:val="22"/>
          <w:szCs w:val="22"/>
          <w:lang w:eastAsia="ja-JP" w:bidi="lo-LA"/>
        </w:rPr>
      </w:pPr>
    </w:p>
    <w:p w:rsidR="00A64DF5" w:rsidRPr="00A64DF5" w:rsidRDefault="00A64DF5" w:rsidP="00A64DF5">
      <w:pPr>
        <w:widowControl w:val="0"/>
        <w:autoSpaceDE w:val="0"/>
        <w:autoSpaceDN w:val="0"/>
        <w:adjustRightInd w:val="0"/>
        <w:rPr>
          <w:rFonts w:eastAsia="MS Mincho"/>
          <w:color w:val="000000"/>
          <w:sz w:val="22"/>
          <w:szCs w:val="22"/>
          <w:u w:val="single"/>
          <w:lang w:eastAsia="ja-JP" w:bidi="lo-LA"/>
        </w:rPr>
      </w:pPr>
      <w:r w:rsidRPr="00A64DF5">
        <w:rPr>
          <w:rFonts w:eastAsia="MS Mincho"/>
          <w:color w:val="000000"/>
          <w:sz w:val="22"/>
          <w:szCs w:val="22"/>
          <w:u w:val="single"/>
          <w:lang w:eastAsia="ja-JP" w:bidi="lo-LA"/>
        </w:rPr>
        <w:t xml:space="preserve">Docetakselis 75 mg/m² su prednizonu arba prednizolonu </w:t>
      </w:r>
    </w:p>
    <w:p w:rsidR="00A64DF5" w:rsidRPr="00A64DF5" w:rsidRDefault="00A64DF5" w:rsidP="00A64DF5">
      <w:pPr>
        <w:widowControl w:val="0"/>
        <w:autoSpaceDE w:val="0"/>
        <w:autoSpaceDN w:val="0"/>
        <w:adjustRightInd w:val="0"/>
        <w:rPr>
          <w:rFonts w:eastAsia="MS Mincho"/>
          <w:color w:val="000000"/>
          <w:lang w:eastAsia="ja-JP" w:bidi="lo-LA"/>
        </w:rPr>
      </w:pPr>
    </w:p>
    <w:tbl>
      <w:tblPr>
        <w:tblW w:w="0" w:type="auto"/>
        <w:tblLayout w:type="fixed"/>
        <w:tblLook w:val="0000" w:firstRow="0" w:lastRow="0" w:firstColumn="0" w:lastColumn="0" w:noHBand="0" w:noVBand="0"/>
      </w:tblPr>
      <w:tblGrid>
        <w:gridCol w:w="2867"/>
        <w:gridCol w:w="3181"/>
        <w:gridCol w:w="3150"/>
      </w:tblGrid>
      <w:tr w:rsidR="00A64DF5" w:rsidRPr="00A64DF5" w:rsidTr="00A64DF5">
        <w:trPr>
          <w:trHeight w:val="286"/>
        </w:trPr>
        <w:tc>
          <w:tcPr>
            <w:tcW w:w="2867"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Organų sistemų klasė pagal MedDRA </w:t>
            </w:r>
          </w:p>
        </w:tc>
        <w:tc>
          <w:tcPr>
            <w:tcW w:w="3181"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Labai dažnos nepageidaujamos reakcijos </w:t>
            </w:r>
          </w:p>
        </w:tc>
        <w:tc>
          <w:tcPr>
            <w:tcW w:w="3150"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Dažnos nepageidaujamos reakcijos </w:t>
            </w:r>
          </w:p>
        </w:tc>
      </w:tr>
      <w:tr w:rsidR="00A64DF5" w:rsidRPr="00A64DF5" w:rsidTr="00A64DF5">
        <w:trPr>
          <w:trHeight w:val="143"/>
        </w:trPr>
        <w:tc>
          <w:tcPr>
            <w:tcW w:w="2867"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Infekcijos ir infestacijos</w:t>
            </w:r>
          </w:p>
        </w:tc>
        <w:tc>
          <w:tcPr>
            <w:tcW w:w="3181"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Infekcija (3–4 laipsnio: 3,3 %) </w:t>
            </w:r>
          </w:p>
        </w:tc>
        <w:tc>
          <w:tcPr>
            <w:tcW w:w="315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425"/>
        </w:trPr>
        <w:tc>
          <w:tcPr>
            <w:tcW w:w="2867"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Kraujo ir limfinės sistemos sutrikimai </w:t>
            </w:r>
          </w:p>
        </w:tc>
        <w:tc>
          <w:tcPr>
            <w:tcW w:w="3181"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Neutropenija (3–4 laipsnio: 32</w:t>
            </w:r>
            <w:r w:rsidR="0002179F">
              <w:rPr>
                <w:rFonts w:eastAsia="MS Mincho"/>
                <w:color w:val="000000"/>
                <w:sz w:val="22"/>
                <w:szCs w:val="22"/>
                <w:lang w:eastAsia="ja-JP" w:bidi="lo-LA"/>
              </w:rPr>
              <w:t> </w:t>
            </w:r>
            <w:r w:rsidRPr="00A64DF5">
              <w:rPr>
                <w:rFonts w:eastAsia="MS Mincho"/>
                <w:color w:val="000000"/>
                <w:sz w:val="22"/>
                <w:szCs w:val="22"/>
                <w:lang w:eastAsia="ja-JP" w:bidi="lo-LA"/>
              </w:rPr>
              <w:t>%); anemija (3–4 laipsnio: 4,9</w:t>
            </w:r>
            <w:r w:rsidR="0002179F">
              <w:rPr>
                <w:rFonts w:eastAsia="MS Mincho"/>
                <w:color w:val="000000"/>
                <w:sz w:val="22"/>
                <w:szCs w:val="22"/>
                <w:lang w:eastAsia="ja-JP" w:bidi="lo-LA"/>
              </w:rPr>
              <w:t> </w:t>
            </w:r>
            <w:r w:rsidRPr="00A64DF5">
              <w:rPr>
                <w:rFonts w:eastAsia="MS Mincho"/>
                <w:color w:val="000000"/>
                <w:sz w:val="22"/>
                <w:szCs w:val="22"/>
                <w:lang w:eastAsia="ja-JP" w:bidi="lo-LA"/>
              </w:rPr>
              <w:t xml:space="preserve">%) </w:t>
            </w:r>
          </w:p>
        </w:tc>
        <w:tc>
          <w:tcPr>
            <w:tcW w:w="3150"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Trombocitopenija (3–4 laipsnio: 0,6 %); febrilinė neutropenija </w:t>
            </w:r>
          </w:p>
        </w:tc>
      </w:tr>
      <w:tr w:rsidR="00A64DF5" w:rsidRPr="00A64DF5" w:rsidTr="00A64DF5">
        <w:trPr>
          <w:trHeight w:val="281"/>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Imuninės sistemos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Padidėjęs jautrumas (3–4 laipsnio: 0,6 %) </w:t>
            </w:r>
          </w:p>
        </w:tc>
      </w:tr>
      <w:tr w:rsidR="00A64DF5" w:rsidRPr="00A64DF5" w:rsidTr="00A64DF5">
        <w:trPr>
          <w:trHeight w:val="281"/>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Metabolizmo ir mitybos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Anoreksija (3–4 laipsnio: 0,6 %)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418"/>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Nervų sistemos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D51B4F">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Periferinė </w:t>
            </w:r>
            <w:r w:rsidR="00D51B4F">
              <w:rPr>
                <w:rFonts w:eastAsia="MS Mincho"/>
                <w:color w:val="000000"/>
                <w:sz w:val="22"/>
                <w:szCs w:val="22"/>
                <w:lang w:eastAsia="ja-JP" w:bidi="lo-LA"/>
              </w:rPr>
              <w:t>sensorinė</w:t>
            </w:r>
            <w:r w:rsidR="00D51B4F" w:rsidRPr="00A64DF5">
              <w:rPr>
                <w:rFonts w:eastAsia="MS Mincho"/>
                <w:color w:val="000000"/>
                <w:sz w:val="22"/>
                <w:szCs w:val="22"/>
                <w:lang w:eastAsia="ja-JP" w:bidi="lo-LA"/>
              </w:rPr>
              <w:t xml:space="preserve"> </w:t>
            </w:r>
            <w:r w:rsidRPr="00A64DF5">
              <w:rPr>
                <w:rFonts w:eastAsia="MS Mincho"/>
                <w:color w:val="000000"/>
                <w:sz w:val="22"/>
                <w:szCs w:val="22"/>
                <w:lang w:eastAsia="ja-JP" w:bidi="lo-LA"/>
              </w:rPr>
              <w:t xml:space="preserve">neuropatija (3–4 laipsnio: 1,2 %); dizgeuzija (3–4 laipsnio: 0 %)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Periferinė motorinė neuropatija (3–4 laipsnio: 0 %) </w:t>
            </w:r>
          </w:p>
        </w:tc>
      </w:tr>
      <w:tr w:rsidR="00A64DF5" w:rsidRPr="00A64DF5" w:rsidTr="00A64DF5">
        <w:trPr>
          <w:trHeight w:val="282"/>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Akių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Ašarojimo sustiprėjimas (3–4 laipsnio: 0,6 %) </w:t>
            </w:r>
          </w:p>
        </w:tc>
      </w:tr>
      <w:tr w:rsidR="00A64DF5" w:rsidRPr="00A64DF5" w:rsidTr="00A64DF5">
        <w:trPr>
          <w:trHeight w:val="418"/>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Širdies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Kairiojo širdies skilvelio funkcijos susilpnėjimas (3–4 laipsnio: 0,3 %) </w:t>
            </w:r>
          </w:p>
        </w:tc>
      </w:tr>
      <w:tr w:rsidR="00A64DF5" w:rsidRPr="00A64DF5" w:rsidTr="00A64DF5">
        <w:trPr>
          <w:trHeight w:val="418"/>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Kvėpavimo sistemos, krūtinės ląstos ir tarpuplaučio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Kraujavimas iš nosies (3–4 laipsnio: 0 %); dispnėja (3–4 laipsnio: 0,6 %); kosulys (3–4 laipsnio: 0 %) </w:t>
            </w:r>
          </w:p>
        </w:tc>
      </w:tr>
      <w:tr w:rsidR="00A64DF5" w:rsidRPr="00A64DF5" w:rsidTr="00A64DF5">
        <w:trPr>
          <w:trHeight w:val="832"/>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Virškinimo trakto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Pykinimas (3–4 laipsnio: 2,4 %); viduriavimas (3–4 laipsnio: 1,2</w:t>
            </w:r>
            <w:r w:rsidR="0002179F">
              <w:rPr>
                <w:rFonts w:eastAsia="MS Mincho"/>
                <w:color w:val="000000"/>
                <w:sz w:val="22"/>
                <w:szCs w:val="22"/>
                <w:lang w:eastAsia="ja-JP" w:bidi="lo-LA"/>
              </w:rPr>
              <w:t> </w:t>
            </w:r>
            <w:r w:rsidRPr="00A64DF5">
              <w:rPr>
                <w:rFonts w:eastAsia="MS Mincho"/>
                <w:color w:val="000000"/>
                <w:sz w:val="22"/>
                <w:szCs w:val="22"/>
                <w:lang w:eastAsia="ja-JP" w:bidi="lo-LA"/>
              </w:rPr>
              <w:t xml:space="preserve">%); stomatitas / faringitas (3–4 laipsnio: 0,9 %); vėmimas (3–4 laipsnio: 1,2 %)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1"/>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Odos ir poodinio audinio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Alopecija; nagų sutrikimai (nesunkūs)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Eksfoliacinis bėrimas (3–4 laipsnio: 0,3 %) </w:t>
            </w:r>
          </w:p>
        </w:tc>
      </w:tr>
      <w:tr w:rsidR="00A64DF5" w:rsidRPr="00A64DF5" w:rsidTr="00A64DF5">
        <w:trPr>
          <w:trHeight w:val="281"/>
        </w:trPr>
        <w:tc>
          <w:tcPr>
            <w:tcW w:w="286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Raumenų, kaulų ir jungiamojo audinio sutrikimai </w:t>
            </w:r>
          </w:p>
        </w:tc>
        <w:tc>
          <w:tcPr>
            <w:tcW w:w="318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Artralgija (3–4 laipsnio: 0,3 %); mialgija (3–4 laipsnio: 0,3 %) </w:t>
            </w:r>
          </w:p>
        </w:tc>
      </w:tr>
      <w:tr w:rsidR="00A64DF5" w:rsidRPr="00A64DF5" w:rsidTr="00A64DF5">
        <w:trPr>
          <w:trHeight w:val="420"/>
        </w:trPr>
        <w:tc>
          <w:tcPr>
            <w:tcW w:w="2867"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Bendrieji sutrikimai ir vartojimo vietos pažeidimai </w:t>
            </w:r>
          </w:p>
        </w:tc>
        <w:tc>
          <w:tcPr>
            <w:tcW w:w="3181"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Nuovargis (3–4 laipsnio: 3,9 %); skysčių susilaikymas (sunkus: 0,6 %) </w:t>
            </w:r>
          </w:p>
        </w:tc>
        <w:tc>
          <w:tcPr>
            <w:tcW w:w="315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bl>
    <w:p w:rsidR="00A64DF5" w:rsidRPr="00A64DF5" w:rsidRDefault="00A64DF5" w:rsidP="00A64DF5">
      <w:pPr>
        <w:widowControl w:val="0"/>
        <w:autoSpaceDE w:val="0"/>
        <w:autoSpaceDN w:val="0"/>
        <w:adjustRightInd w:val="0"/>
        <w:rPr>
          <w:rFonts w:eastAsia="MS Mincho"/>
          <w:color w:val="000000"/>
          <w:sz w:val="22"/>
          <w:szCs w:val="22"/>
          <w:u w:val="single"/>
          <w:lang w:eastAsia="ja-JP" w:bidi="lo-LA"/>
        </w:rPr>
      </w:pPr>
    </w:p>
    <w:p w:rsidR="00A64DF5" w:rsidRPr="00A64DF5" w:rsidRDefault="00A64DF5" w:rsidP="00A64DF5">
      <w:pPr>
        <w:widowControl w:val="0"/>
        <w:autoSpaceDE w:val="0"/>
        <w:autoSpaceDN w:val="0"/>
        <w:adjustRightInd w:val="0"/>
        <w:rPr>
          <w:rFonts w:eastAsia="MS Mincho"/>
          <w:color w:val="000000"/>
          <w:sz w:val="22"/>
          <w:szCs w:val="22"/>
          <w:u w:val="single"/>
          <w:lang w:eastAsia="ja-JP" w:bidi="lo-LA"/>
        </w:rPr>
      </w:pPr>
      <w:r w:rsidRPr="00A64DF5">
        <w:rPr>
          <w:rFonts w:eastAsia="MS Mincho"/>
          <w:color w:val="000000"/>
          <w:sz w:val="22"/>
          <w:szCs w:val="22"/>
          <w:u w:val="single"/>
          <w:lang w:eastAsia="ja-JP" w:bidi="lo-LA"/>
        </w:rPr>
        <w:t xml:space="preserve">Docetakselis 75 mg/m² su doksorubicinu ir ciklofosfamidu, vartotas krūties vėžiui metastazavusiam į limfmazgius (TAX 316) ir nemetastazavusiam į limfmazgius (GEICAM 9805) gydyti (bendri duomenys) </w:t>
      </w:r>
    </w:p>
    <w:p w:rsidR="00A64DF5" w:rsidRPr="00A64DF5" w:rsidRDefault="00A64DF5" w:rsidP="00A64DF5">
      <w:pPr>
        <w:widowControl w:val="0"/>
        <w:autoSpaceDE w:val="0"/>
        <w:autoSpaceDN w:val="0"/>
        <w:adjustRightInd w:val="0"/>
        <w:rPr>
          <w:rFonts w:eastAsia="MS Mincho"/>
          <w:color w:val="000000"/>
          <w:lang w:eastAsia="ja-JP" w:bidi="lo-LA"/>
        </w:rPr>
      </w:pPr>
    </w:p>
    <w:tbl>
      <w:tblPr>
        <w:tblW w:w="0" w:type="auto"/>
        <w:tblLayout w:type="fixed"/>
        <w:tblLook w:val="0000" w:firstRow="0" w:lastRow="0" w:firstColumn="0" w:lastColumn="0" w:noHBand="0" w:noVBand="0"/>
      </w:tblPr>
      <w:tblGrid>
        <w:gridCol w:w="2097"/>
        <w:gridCol w:w="2511"/>
        <w:gridCol w:w="1980"/>
        <w:gridCol w:w="2610"/>
      </w:tblGrid>
      <w:tr w:rsidR="00A64DF5" w:rsidRPr="00A64DF5" w:rsidTr="00A64DF5">
        <w:trPr>
          <w:trHeight w:val="287"/>
        </w:trPr>
        <w:tc>
          <w:tcPr>
            <w:tcW w:w="2097"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Organų sistemų klasė pagal MedDRA </w:t>
            </w:r>
          </w:p>
        </w:tc>
        <w:tc>
          <w:tcPr>
            <w:tcW w:w="2511"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Labai dažnos nepageidaujamos reakcijos </w:t>
            </w:r>
          </w:p>
        </w:tc>
        <w:tc>
          <w:tcPr>
            <w:tcW w:w="1980"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Dažnos nepageidaujamos reakcijos </w:t>
            </w:r>
          </w:p>
        </w:tc>
        <w:tc>
          <w:tcPr>
            <w:tcW w:w="2610"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Nedažnos nepageidaujamos reakcijos </w:t>
            </w:r>
          </w:p>
        </w:tc>
      </w:tr>
      <w:tr w:rsidR="00A64DF5" w:rsidRPr="00A64DF5" w:rsidTr="00A64DF5">
        <w:trPr>
          <w:trHeight w:val="150"/>
        </w:trPr>
        <w:tc>
          <w:tcPr>
            <w:tcW w:w="2097"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Infekcijos ir infestacijos</w:t>
            </w:r>
          </w:p>
        </w:tc>
        <w:tc>
          <w:tcPr>
            <w:tcW w:w="2511" w:type="dxa"/>
            <w:vMerge w:val="restart"/>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Infekcija (3–4 laipsnio: 2,4 %); </w:t>
            </w:r>
          </w:p>
        </w:tc>
        <w:tc>
          <w:tcPr>
            <w:tcW w:w="1980"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097"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vMerge/>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198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097"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vMerge w:val="restart"/>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Su neutropenija susijusi infekcija (3–4 laipsnio: 2,7 %) </w:t>
            </w:r>
          </w:p>
        </w:tc>
        <w:tc>
          <w:tcPr>
            <w:tcW w:w="198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097"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vMerge/>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198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2"/>
        </w:trPr>
        <w:tc>
          <w:tcPr>
            <w:tcW w:w="2097"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vMerge/>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1980"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8"/>
        </w:trPr>
        <w:tc>
          <w:tcPr>
            <w:tcW w:w="2097" w:type="dxa"/>
            <w:tcBorders>
              <w:top w:val="single" w:sz="6"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Kraujo ir limfinės sistemos sutrikimai</w:t>
            </w:r>
          </w:p>
        </w:tc>
        <w:tc>
          <w:tcPr>
            <w:tcW w:w="2511" w:type="dxa"/>
            <w:vMerge w:val="restart"/>
            <w:tcBorders>
              <w:top w:val="single" w:sz="6"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Anemija (3–4 laipsnio: 3%); </w:t>
            </w:r>
          </w:p>
        </w:tc>
        <w:tc>
          <w:tcPr>
            <w:tcW w:w="1980" w:type="dxa"/>
            <w:tcBorders>
              <w:top w:val="single" w:sz="6"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6"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097"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vMerge/>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198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837"/>
        </w:trPr>
        <w:tc>
          <w:tcPr>
            <w:tcW w:w="2097"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Neutropenija (3–4 laipsnio: 59,2 %); trombocitopenija (3–4 laipsnio: 1,6 %);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febrilinė neutropenija (3–4 laipsnio: NA) </w:t>
            </w:r>
          </w:p>
        </w:tc>
        <w:tc>
          <w:tcPr>
            <w:tcW w:w="198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1"/>
        </w:trPr>
        <w:tc>
          <w:tcPr>
            <w:tcW w:w="209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Imuninės sistemos sutrikimai </w:t>
            </w:r>
          </w:p>
        </w:tc>
        <w:tc>
          <w:tcPr>
            <w:tcW w:w="251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198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Padidėjęs jautrumas (3–4 laipsnio: 0,6 %)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1"/>
        </w:trPr>
        <w:tc>
          <w:tcPr>
            <w:tcW w:w="209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Metabolizmo ir mitybos sutrikimai </w:t>
            </w:r>
          </w:p>
        </w:tc>
        <w:tc>
          <w:tcPr>
            <w:tcW w:w="251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Anoreksija (3–4 laipsnio: 1,5 %) </w:t>
            </w:r>
          </w:p>
        </w:tc>
        <w:tc>
          <w:tcPr>
            <w:tcW w:w="198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3"/>
        </w:trPr>
        <w:tc>
          <w:tcPr>
            <w:tcW w:w="2097"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Nervų sistemos </w:t>
            </w:r>
          </w:p>
        </w:tc>
        <w:tc>
          <w:tcPr>
            <w:tcW w:w="2511" w:type="dxa"/>
            <w:vMerge w:val="restart"/>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Dizgeuzija (3–4 laipsnio: 0,6 %); </w:t>
            </w:r>
          </w:p>
        </w:tc>
        <w:tc>
          <w:tcPr>
            <w:tcW w:w="1980" w:type="dxa"/>
            <w:vMerge w:val="restart"/>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Periferinė motorinė neuropatija (3–4 laipsnio: 0 %) </w:t>
            </w:r>
          </w:p>
        </w:tc>
        <w:tc>
          <w:tcPr>
            <w:tcW w:w="2610" w:type="dxa"/>
            <w:vMerge w:val="restart"/>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Apalpimas (3–4 laipsnio: 0</w:t>
            </w:r>
            <w:r w:rsidR="00FD663C">
              <w:rPr>
                <w:rFonts w:eastAsia="MS Mincho"/>
                <w:color w:val="000000"/>
                <w:sz w:val="22"/>
                <w:szCs w:val="22"/>
                <w:lang w:eastAsia="ja-JP" w:bidi="lo-LA"/>
              </w:rPr>
              <w:t> </w:t>
            </w:r>
            <w:r w:rsidRPr="00A64DF5">
              <w:rPr>
                <w:rFonts w:eastAsia="MS Mincho"/>
                <w:color w:val="000000"/>
                <w:sz w:val="22"/>
                <w:szCs w:val="22"/>
                <w:lang w:eastAsia="ja-JP" w:bidi="lo-LA"/>
              </w:rPr>
              <w:t xml:space="preserve">%); </w:t>
            </w:r>
          </w:p>
        </w:tc>
      </w:tr>
      <w:tr w:rsidR="00A64DF5" w:rsidRPr="00A64DF5" w:rsidTr="00A64DF5">
        <w:trPr>
          <w:trHeight w:val="137"/>
        </w:trPr>
        <w:tc>
          <w:tcPr>
            <w:tcW w:w="2097"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sutrikimai </w:t>
            </w:r>
          </w:p>
        </w:tc>
        <w:tc>
          <w:tcPr>
            <w:tcW w:w="2511" w:type="dxa"/>
            <w:vMerge/>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1980" w:type="dxa"/>
            <w:vMerge/>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vMerge/>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097"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vMerge w:val="restart"/>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Periferinė sensorinė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neuropatija (3–4 laipsnio: &lt;0,1 %) </w:t>
            </w:r>
          </w:p>
        </w:tc>
        <w:tc>
          <w:tcPr>
            <w:tcW w:w="1980" w:type="dxa"/>
            <w:vMerge/>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vMerge w:val="restart"/>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Neurotoksiškumas (3–4 laipsnio: 0 %); </w:t>
            </w:r>
          </w:p>
        </w:tc>
      </w:tr>
      <w:tr w:rsidR="00A64DF5" w:rsidRPr="00A64DF5" w:rsidTr="00A64DF5">
        <w:trPr>
          <w:trHeight w:val="137"/>
        </w:trPr>
        <w:tc>
          <w:tcPr>
            <w:tcW w:w="2097"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vMerge/>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198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vMerge/>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097"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vMerge/>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198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vMerge w:val="restart"/>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Mieguistumas (3–4 laipsnio: 0 %) </w:t>
            </w:r>
          </w:p>
        </w:tc>
      </w:tr>
      <w:tr w:rsidR="00A64DF5" w:rsidRPr="00A64DF5" w:rsidTr="00A64DF5">
        <w:trPr>
          <w:trHeight w:val="147"/>
        </w:trPr>
        <w:tc>
          <w:tcPr>
            <w:tcW w:w="2097"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198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vMerge/>
            <w:tcBorders>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418"/>
        </w:trPr>
        <w:tc>
          <w:tcPr>
            <w:tcW w:w="209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Akių sutrikimai </w:t>
            </w:r>
          </w:p>
        </w:tc>
        <w:tc>
          <w:tcPr>
            <w:tcW w:w="251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Konjunktyvitas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(3–4 laipsnio: &lt;0,1 %) </w:t>
            </w:r>
          </w:p>
        </w:tc>
        <w:tc>
          <w:tcPr>
            <w:tcW w:w="198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Ašarojimo sustiprėjimas (3–4 laipsnio: &lt;0,1 %)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282"/>
        </w:trPr>
        <w:tc>
          <w:tcPr>
            <w:tcW w:w="209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Širdies sutrikimai </w:t>
            </w:r>
          </w:p>
        </w:tc>
        <w:tc>
          <w:tcPr>
            <w:tcW w:w="251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198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Aritmija (3–4 laipsnio: 0,2 %)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3"/>
        </w:trPr>
        <w:tc>
          <w:tcPr>
            <w:tcW w:w="2097"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Kraujagyslių sutrikimai </w:t>
            </w:r>
          </w:p>
        </w:tc>
        <w:tc>
          <w:tcPr>
            <w:tcW w:w="2511"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Karščio pylimas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(3–4 laipsnio: </w:t>
            </w:r>
          </w:p>
        </w:tc>
        <w:tc>
          <w:tcPr>
            <w:tcW w:w="1980" w:type="dxa"/>
            <w:vMerge w:val="restart"/>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Hipotenzija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(3–4 laipsnio: 0 %); flebitas (3–4 laipsnio: 0 %) </w:t>
            </w:r>
          </w:p>
        </w:tc>
        <w:tc>
          <w:tcPr>
            <w:tcW w:w="2610" w:type="dxa"/>
            <w:vMerge w:val="restart"/>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Limfedema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(3–4 laipsnio: 0 %) </w:t>
            </w:r>
          </w:p>
        </w:tc>
      </w:tr>
      <w:tr w:rsidR="00A64DF5" w:rsidRPr="00A64DF5" w:rsidTr="00A64DF5">
        <w:trPr>
          <w:trHeight w:val="423"/>
        </w:trPr>
        <w:tc>
          <w:tcPr>
            <w:tcW w:w="2097"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0,5 %) </w:t>
            </w:r>
          </w:p>
        </w:tc>
        <w:tc>
          <w:tcPr>
            <w:tcW w:w="1980" w:type="dxa"/>
            <w:vMerge/>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vMerge/>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556"/>
        </w:trPr>
        <w:tc>
          <w:tcPr>
            <w:tcW w:w="209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Kvėpavimo sistemos, krūtinės ląstos ir tarpuplaučio sutrikimai </w:t>
            </w:r>
          </w:p>
        </w:tc>
        <w:tc>
          <w:tcPr>
            <w:tcW w:w="251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198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Kosulys (3–4 laipsnio: 0 %) </w:t>
            </w: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FD663C">
        <w:trPr>
          <w:trHeight w:val="133"/>
        </w:trPr>
        <w:tc>
          <w:tcPr>
            <w:tcW w:w="2097" w:type="dxa"/>
            <w:vMerge w:val="restart"/>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Virškinimo trakto sutrikimai </w:t>
            </w:r>
          </w:p>
        </w:tc>
        <w:tc>
          <w:tcPr>
            <w:tcW w:w="2511"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Pykinimas (3–4 laipsnio: </w:t>
            </w:r>
          </w:p>
        </w:tc>
        <w:tc>
          <w:tcPr>
            <w:tcW w:w="1980" w:type="dxa"/>
            <w:vMerge w:val="restart"/>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Pilvo skausmas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(3–4 laipsnio: 0,4</w:t>
            </w:r>
            <w:r w:rsidR="00FD663C">
              <w:rPr>
                <w:rFonts w:eastAsia="MS Mincho"/>
                <w:color w:val="000000"/>
                <w:sz w:val="22"/>
                <w:szCs w:val="22"/>
                <w:lang w:eastAsia="ja-JP" w:bidi="lo-LA"/>
              </w:rPr>
              <w:t> </w:t>
            </w:r>
            <w:r w:rsidRPr="00A64DF5">
              <w:rPr>
                <w:rFonts w:eastAsia="MS Mincho"/>
                <w:color w:val="000000"/>
                <w:sz w:val="22"/>
                <w:szCs w:val="22"/>
                <w:lang w:eastAsia="ja-JP" w:bidi="lo-LA"/>
              </w:rPr>
              <w:t xml:space="preserve">%) </w:t>
            </w:r>
          </w:p>
        </w:tc>
        <w:tc>
          <w:tcPr>
            <w:tcW w:w="2610"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251"/>
        </w:trPr>
        <w:tc>
          <w:tcPr>
            <w:tcW w:w="2097" w:type="dxa"/>
            <w:vMerge/>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5,0 %);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stomatitas (3–4 laipsnio: 6,0 %);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vėmimas (3–4 laipsnio: 4,2 %); viduriavimas (3–4 laipsnio: 3,4 %); vidurių užkietėjimas (3–4 laipsnio: 0,5 %) </w:t>
            </w:r>
          </w:p>
        </w:tc>
        <w:tc>
          <w:tcPr>
            <w:tcW w:w="1980" w:type="dxa"/>
            <w:vMerge/>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3"/>
        </w:trPr>
        <w:tc>
          <w:tcPr>
            <w:tcW w:w="2097" w:type="dxa"/>
            <w:vMerge w:val="restart"/>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Odos ir poodinio audinio sutrikimai </w:t>
            </w:r>
          </w:p>
        </w:tc>
        <w:tc>
          <w:tcPr>
            <w:tcW w:w="2511" w:type="dxa"/>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Alopecija (3–4 laipsnio: </w:t>
            </w:r>
          </w:p>
        </w:tc>
        <w:tc>
          <w:tcPr>
            <w:tcW w:w="1980"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097" w:type="dxa"/>
            <w:vMerge/>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&lt;0,1 %); </w:t>
            </w:r>
          </w:p>
        </w:tc>
        <w:tc>
          <w:tcPr>
            <w:tcW w:w="198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562"/>
        </w:trPr>
        <w:tc>
          <w:tcPr>
            <w:tcW w:w="2097" w:type="dxa"/>
            <w:vMerge/>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odos sutrikimas (3–4 laipsnio: 0,6 %); nagų </w:t>
            </w:r>
            <w:r w:rsidRPr="00A64DF5">
              <w:rPr>
                <w:rFonts w:eastAsia="MS Mincho"/>
                <w:color w:val="000000"/>
                <w:sz w:val="22"/>
                <w:szCs w:val="22"/>
                <w:lang w:eastAsia="ja-JP" w:bidi="lo-LA"/>
              </w:rPr>
              <w:lastRenderedPageBreak/>
              <w:t xml:space="preserve">pažeidimai (3–4 laipsnio: 0,4 %) </w:t>
            </w:r>
          </w:p>
        </w:tc>
        <w:tc>
          <w:tcPr>
            <w:tcW w:w="1980"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8"/>
        </w:trPr>
        <w:tc>
          <w:tcPr>
            <w:tcW w:w="2097" w:type="dxa"/>
            <w:vMerge w:val="restart"/>
            <w:tcBorders>
              <w:top w:val="single" w:sz="6"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lastRenderedPageBreak/>
              <w:t xml:space="preserve">Raumenų, kaulų ir jungiamojo audinio sutrikimai </w:t>
            </w:r>
          </w:p>
        </w:tc>
        <w:tc>
          <w:tcPr>
            <w:tcW w:w="2511" w:type="dxa"/>
            <w:tcBorders>
              <w:top w:val="single" w:sz="6"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Mialgija (3–4 laipsnio: </w:t>
            </w:r>
          </w:p>
        </w:tc>
        <w:tc>
          <w:tcPr>
            <w:tcW w:w="1980" w:type="dxa"/>
            <w:tcBorders>
              <w:top w:val="single" w:sz="6"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6"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097" w:type="dxa"/>
            <w:vMerge/>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0,7 %); </w:t>
            </w:r>
          </w:p>
        </w:tc>
        <w:tc>
          <w:tcPr>
            <w:tcW w:w="198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097" w:type="dxa"/>
            <w:vMerge/>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artralgija (3–4 laipsnio: </w:t>
            </w:r>
          </w:p>
        </w:tc>
        <w:tc>
          <w:tcPr>
            <w:tcW w:w="198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47"/>
        </w:trPr>
        <w:tc>
          <w:tcPr>
            <w:tcW w:w="2097"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tcBorders>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0,2 %) </w:t>
            </w:r>
          </w:p>
        </w:tc>
        <w:tc>
          <w:tcPr>
            <w:tcW w:w="198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418"/>
        </w:trPr>
        <w:tc>
          <w:tcPr>
            <w:tcW w:w="209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Lytinės sistemos ir krūties sutrikimai </w:t>
            </w:r>
          </w:p>
        </w:tc>
        <w:tc>
          <w:tcPr>
            <w:tcW w:w="2511"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Amenorėja (3–4 laipsnio: NA) </w:t>
            </w:r>
          </w:p>
        </w:tc>
        <w:tc>
          <w:tcPr>
            <w:tcW w:w="198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3"/>
        </w:trPr>
        <w:tc>
          <w:tcPr>
            <w:tcW w:w="2097" w:type="dxa"/>
            <w:vMerge w:val="restart"/>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Bendrieji sutrikimai ir vartojimo vietos pažeidimai </w:t>
            </w:r>
          </w:p>
        </w:tc>
        <w:tc>
          <w:tcPr>
            <w:tcW w:w="2511" w:type="dxa"/>
            <w:vMerge w:val="restart"/>
            <w:tcBorders>
              <w:top w:val="single" w:sz="4" w:space="0" w:color="000000"/>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Astenija (3–4 laipsnio: 10,0 %);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pireksija (3–4 laipsnio: NA); periferinė edema (3–4 laipsnio: 0,2 %) </w:t>
            </w:r>
          </w:p>
        </w:tc>
        <w:tc>
          <w:tcPr>
            <w:tcW w:w="1980"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137"/>
        </w:trPr>
        <w:tc>
          <w:tcPr>
            <w:tcW w:w="2097" w:type="dxa"/>
            <w:vMerge/>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vMerge/>
            <w:tcBorders>
              <w:left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198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561"/>
        </w:trPr>
        <w:tc>
          <w:tcPr>
            <w:tcW w:w="2097" w:type="dxa"/>
            <w:vMerge/>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511" w:type="dxa"/>
            <w:vMerge/>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198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610" w:type="dxa"/>
            <w:tcBorders>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A64DF5">
        <w:trPr>
          <w:trHeight w:val="557"/>
        </w:trPr>
        <w:tc>
          <w:tcPr>
            <w:tcW w:w="2097"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Tyrimai </w:t>
            </w:r>
          </w:p>
        </w:tc>
        <w:tc>
          <w:tcPr>
            <w:tcW w:w="2511"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198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Svorio padidėjimas (3–4 laipsnio: 0 %); svorio sumažėjimas (3–4 laipsnio: 0,2</w:t>
            </w:r>
            <w:r w:rsidR="00FD663C">
              <w:rPr>
                <w:rFonts w:eastAsia="MS Mincho"/>
                <w:color w:val="000000"/>
                <w:sz w:val="22"/>
                <w:szCs w:val="22"/>
                <w:lang w:eastAsia="ja-JP" w:bidi="lo-LA"/>
              </w:rPr>
              <w:t> </w:t>
            </w:r>
            <w:r w:rsidRPr="00A64DF5">
              <w:rPr>
                <w:rFonts w:eastAsia="MS Mincho"/>
                <w:color w:val="000000"/>
                <w:sz w:val="22"/>
                <w:szCs w:val="22"/>
                <w:lang w:eastAsia="ja-JP" w:bidi="lo-LA"/>
              </w:rPr>
              <w:t xml:space="preserve">%) </w:t>
            </w:r>
          </w:p>
        </w:tc>
        <w:tc>
          <w:tcPr>
            <w:tcW w:w="261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bl>
    <w:p w:rsidR="00A64DF5" w:rsidRPr="00A64DF5" w:rsidRDefault="00A64DF5" w:rsidP="00A64DF5">
      <w:pPr>
        <w:widowControl w:val="0"/>
        <w:autoSpaceDE w:val="0"/>
        <w:autoSpaceDN w:val="0"/>
        <w:adjustRightInd w:val="0"/>
        <w:rPr>
          <w:rFonts w:eastAsia="MS Mincho"/>
          <w:i/>
          <w:iCs/>
          <w:color w:val="000000"/>
          <w:sz w:val="22"/>
          <w:szCs w:val="22"/>
          <w:u w:val="single"/>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 xml:space="preserve">Nervų sistemos sutrikimai </w:t>
      </w:r>
    </w:p>
    <w:p w:rsidR="00A64DF5" w:rsidRPr="00A64DF5" w:rsidRDefault="00A64DF5" w:rsidP="00A64DF5">
      <w:pPr>
        <w:widowControl w:val="0"/>
        <w:autoSpaceDE w:val="0"/>
        <w:autoSpaceDN w:val="0"/>
        <w:adjustRightInd w:val="0"/>
        <w:ind w:right="280"/>
        <w:jc w:val="both"/>
        <w:rPr>
          <w:rFonts w:eastAsia="MS Mincho"/>
          <w:color w:val="000000"/>
          <w:sz w:val="22"/>
          <w:szCs w:val="22"/>
          <w:lang w:eastAsia="ja-JP" w:bidi="lo-LA"/>
        </w:rPr>
      </w:pPr>
      <w:r w:rsidRPr="00A64DF5">
        <w:rPr>
          <w:rFonts w:eastAsia="MS Mincho"/>
          <w:color w:val="000000"/>
          <w:sz w:val="22"/>
          <w:szCs w:val="22"/>
          <w:lang w:eastAsia="ja-JP" w:bidi="lo-LA"/>
        </w:rPr>
        <w:t xml:space="preserve">Nustatyta, kad periferinė sensorinė neuropatija stebėjimo laikotarpiu išliko 12 iš 83 pacientų, kuriems periferinė sensorine neuropatija buvo chemoterapijos pabaigoje. </w:t>
      </w:r>
    </w:p>
    <w:p w:rsidR="00A64DF5" w:rsidRPr="00A64DF5" w:rsidRDefault="00A64DF5" w:rsidP="00A64DF5">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 xml:space="preserve">Širdies sutrikimai </w:t>
      </w:r>
    </w:p>
    <w:p w:rsidR="00A64DF5" w:rsidRPr="00A64DF5" w:rsidRDefault="00A64DF5" w:rsidP="00A64DF5">
      <w:pPr>
        <w:widowControl w:val="0"/>
        <w:autoSpaceDE w:val="0"/>
        <w:autoSpaceDN w:val="0"/>
        <w:adjustRightInd w:val="0"/>
        <w:ind w:right="80"/>
        <w:jc w:val="both"/>
        <w:rPr>
          <w:rFonts w:eastAsia="MS Mincho"/>
          <w:color w:val="000000"/>
          <w:sz w:val="22"/>
          <w:szCs w:val="22"/>
          <w:lang w:eastAsia="ja-JP" w:bidi="lo-LA"/>
        </w:rPr>
      </w:pPr>
      <w:r w:rsidRPr="00A64DF5">
        <w:rPr>
          <w:rFonts w:eastAsia="MS Mincho"/>
          <w:color w:val="000000"/>
          <w:sz w:val="22"/>
          <w:szCs w:val="22"/>
          <w:lang w:eastAsia="ja-JP" w:bidi="lo-LA"/>
        </w:rPr>
        <w:t xml:space="preserve">Taip pat stebėtas stazinis širdies nepakankamumas (SŠN) (18 iš 1276 pacientų stebėjimo laikotarpiu). Po vieną pacientą kiekvienoje krūties vėžio, metastazavusio į limfmazgius, gydymo grupėje (TAX316) mirė dėl širdies nepakankamumo. </w:t>
      </w:r>
    </w:p>
    <w:p w:rsidR="00A64DF5" w:rsidRPr="00A64DF5" w:rsidRDefault="00A64DF5" w:rsidP="00A64DF5">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A64DF5">
      <w:pPr>
        <w:widowControl w:val="0"/>
        <w:autoSpaceDE w:val="0"/>
        <w:autoSpaceDN w:val="0"/>
        <w:adjustRightInd w:val="0"/>
        <w:jc w:val="both"/>
        <w:rPr>
          <w:rFonts w:eastAsia="MS Mincho"/>
          <w:color w:val="000000"/>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 xml:space="preserve">Odos ir poodinio audinio sutrikimai </w:t>
      </w:r>
    </w:p>
    <w:p w:rsidR="00A64DF5" w:rsidRPr="00A64DF5" w:rsidRDefault="00A64DF5" w:rsidP="00A64DF5">
      <w:pPr>
        <w:widowControl w:val="0"/>
        <w:autoSpaceDE w:val="0"/>
        <w:autoSpaceDN w:val="0"/>
        <w:adjustRightInd w:val="0"/>
        <w:ind w:right="135"/>
        <w:jc w:val="both"/>
        <w:rPr>
          <w:rFonts w:eastAsia="MS Mincho"/>
          <w:color w:val="000000"/>
          <w:sz w:val="22"/>
          <w:szCs w:val="22"/>
          <w:lang w:eastAsia="ja-JP" w:bidi="lo-LA"/>
        </w:rPr>
      </w:pPr>
      <w:r w:rsidRPr="00A64DF5">
        <w:rPr>
          <w:rFonts w:eastAsia="MS Mincho"/>
          <w:color w:val="000000"/>
          <w:sz w:val="22"/>
          <w:szCs w:val="22"/>
          <w:lang w:eastAsia="ja-JP" w:bidi="lo-LA"/>
        </w:rPr>
        <w:t xml:space="preserve">Nustatyta, kad alopecija stebėjimo laikotarpiu išliko 25 iš 736 pacientų, kuriems ji buvo chemoterapijos pabaigoje. </w:t>
      </w:r>
    </w:p>
    <w:p w:rsidR="00A64DF5" w:rsidRPr="00A64DF5" w:rsidRDefault="00A64DF5" w:rsidP="00A64DF5">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 xml:space="preserve">Lytinės sistemos ir krūties sutrikimai </w:t>
      </w: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Nustatyta, kad amenorėja stebėjimo laikotarpiu išliko 140 iš 251 pacienčių, kurioms ji buvo chemoterapijos pabaigoje. </w:t>
      </w:r>
    </w:p>
    <w:p w:rsidR="00A64DF5" w:rsidRPr="00A64DF5" w:rsidRDefault="00A64DF5" w:rsidP="00A64DF5">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 xml:space="preserve">Bendrieji sutrikimai ir vartojimo vietos pažeidimai </w:t>
      </w:r>
    </w:p>
    <w:p w:rsidR="00A64DF5" w:rsidRPr="00A64DF5" w:rsidRDefault="00A64DF5" w:rsidP="00A64DF5">
      <w:pPr>
        <w:widowControl w:val="0"/>
        <w:autoSpaceDE w:val="0"/>
        <w:autoSpaceDN w:val="0"/>
        <w:adjustRightInd w:val="0"/>
        <w:ind w:right="135"/>
        <w:jc w:val="both"/>
        <w:rPr>
          <w:rFonts w:eastAsia="MS Mincho"/>
          <w:color w:val="000000"/>
          <w:sz w:val="22"/>
          <w:szCs w:val="22"/>
          <w:lang w:eastAsia="ja-JP" w:bidi="lo-LA"/>
        </w:rPr>
      </w:pPr>
      <w:r w:rsidRPr="00A64DF5">
        <w:rPr>
          <w:rFonts w:eastAsia="MS Mincho"/>
          <w:color w:val="000000"/>
          <w:sz w:val="22"/>
          <w:szCs w:val="22"/>
          <w:lang w:eastAsia="ja-JP" w:bidi="lo-LA"/>
        </w:rPr>
        <w:t xml:space="preserve">Nustatyta, kad periferinė edema stebėjimo laikotarpiu išliko 18 iš 112 pacientų, kuriems ji buvo chemoterapijos pabaigoje TAX 316 tyrime, o limfedema išliko 4 iš 5 pacientų, kuriems ji buvo chemoterapijos pabaigoje GEICAM 9805 tyrime. </w:t>
      </w:r>
    </w:p>
    <w:p w:rsidR="00A64DF5" w:rsidRPr="00A64DF5" w:rsidRDefault="00A64DF5" w:rsidP="00A64DF5">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 xml:space="preserve">Ūmi leukemija / mielodisplazinis sindromas </w:t>
      </w:r>
    </w:p>
    <w:p w:rsidR="00A64DF5" w:rsidRDefault="00A64DF5" w:rsidP="00A64DF5">
      <w:pPr>
        <w:widowControl w:val="0"/>
        <w:autoSpaceDE w:val="0"/>
        <w:autoSpaceDN w:val="0"/>
        <w:adjustRightInd w:val="0"/>
        <w:ind w:right="135"/>
        <w:jc w:val="both"/>
        <w:rPr>
          <w:rFonts w:eastAsia="MS Mincho"/>
          <w:color w:val="000000"/>
          <w:sz w:val="22"/>
          <w:szCs w:val="22"/>
          <w:lang w:eastAsia="ja-JP" w:bidi="lo-LA"/>
        </w:rPr>
      </w:pPr>
      <w:r w:rsidRPr="00A64DF5">
        <w:rPr>
          <w:rFonts w:eastAsia="MS Mincho"/>
          <w:color w:val="000000"/>
          <w:sz w:val="22"/>
          <w:szCs w:val="22"/>
          <w:lang w:eastAsia="ja-JP" w:bidi="lo-LA"/>
        </w:rPr>
        <w:t xml:space="preserve">GEICAM 9805 tyrimo metu stebėjimo laikotarpiu, kurio mediana – 77 mėnesiai, ūminė leukemija pasireiškė 1 iš 532 (0,2 %) pacientų, vartojusių docetakselį, doksorubiciną ir ciklofosfamidą. Tokių atvejų neregistruota pacientų, vartojusių fluorouracilą, doksorubiciną ir ciklofosamidą, grupėje. Nei vienam pacientui nebuvo diagnozuotas mielodisplazinis sindromas nei vienoje gydytų pacientų grupėje. Toliau pateiktoje lentelėje parodyta, kad 4 laipsnio neutropenijos, febrilinės neutropenijos ar su neutropenija susijusios infekcijos dažnis buvo mažesnis pacientams, kurie gydymo pradžioje profilaktikai vartojo G-KSF, kai jo vartojimas tapo privalomas TAC gydytų pacientų grupėje – GEICAM tyrimas. </w:t>
      </w:r>
    </w:p>
    <w:p w:rsidR="00A64DF5" w:rsidRPr="00A64DF5" w:rsidRDefault="00A64DF5" w:rsidP="00A64DF5">
      <w:pPr>
        <w:widowControl w:val="0"/>
        <w:autoSpaceDE w:val="0"/>
        <w:autoSpaceDN w:val="0"/>
        <w:adjustRightInd w:val="0"/>
        <w:ind w:right="135"/>
        <w:jc w:val="both"/>
        <w:rPr>
          <w:rFonts w:eastAsia="MS Mincho"/>
          <w:color w:val="000000"/>
          <w:sz w:val="22"/>
          <w:szCs w:val="22"/>
          <w:lang w:eastAsia="ja-JP" w:bidi="lo-LA"/>
        </w:rPr>
      </w:pPr>
    </w:p>
    <w:p w:rsidR="00A64DF5" w:rsidRPr="00A64DF5" w:rsidRDefault="00A64DF5" w:rsidP="00A64DF5">
      <w:pPr>
        <w:widowControl w:val="0"/>
        <w:autoSpaceDE w:val="0"/>
        <w:autoSpaceDN w:val="0"/>
        <w:adjustRightInd w:val="0"/>
        <w:ind w:right="135"/>
        <w:jc w:val="center"/>
        <w:rPr>
          <w:rFonts w:eastAsia="MS Mincho"/>
          <w:color w:val="000000"/>
          <w:sz w:val="22"/>
          <w:szCs w:val="22"/>
          <w:u w:val="single"/>
          <w:lang w:eastAsia="ja-JP" w:bidi="lo-LA"/>
        </w:rPr>
      </w:pPr>
      <w:r w:rsidRPr="00A64DF5">
        <w:rPr>
          <w:rFonts w:eastAsia="MS Mincho"/>
          <w:color w:val="000000"/>
          <w:sz w:val="22"/>
          <w:szCs w:val="22"/>
          <w:u w:val="single"/>
          <w:lang w:eastAsia="ja-JP" w:bidi="lo-LA"/>
        </w:rPr>
        <w:t>Neutropeninės komplikacijos, pasireiškusios pacientams, gydytiems pagal TAC schemą, kuriems taikyta arba netaikyta pirminė profilaktika G-KSF (GEICAM 9805 tyrimas)</w:t>
      </w:r>
    </w:p>
    <w:p w:rsidR="00A64DF5" w:rsidRPr="00A64DF5" w:rsidRDefault="00A64DF5" w:rsidP="00A64DF5">
      <w:pPr>
        <w:widowControl w:val="0"/>
        <w:autoSpaceDE w:val="0"/>
        <w:autoSpaceDN w:val="0"/>
        <w:adjustRightInd w:val="0"/>
        <w:rPr>
          <w:rFonts w:eastAsia="MS Mincho"/>
          <w:color w:val="000000"/>
          <w:lang w:eastAsia="ja-JP" w:bidi="lo-LA"/>
        </w:rPr>
      </w:pPr>
    </w:p>
    <w:tbl>
      <w:tblPr>
        <w:tblW w:w="0" w:type="auto"/>
        <w:tblLayout w:type="fixed"/>
        <w:tblLook w:val="0000" w:firstRow="0" w:lastRow="0" w:firstColumn="0" w:lastColumn="0" w:noHBand="0" w:noVBand="0"/>
      </w:tblPr>
      <w:tblGrid>
        <w:gridCol w:w="2448"/>
        <w:gridCol w:w="3600"/>
        <w:gridCol w:w="3060"/>
      </w:tblGrid>
      <w:tr w:rsidR="00A64DF5" w:rsidRPr="00A64DF5" w:rsidTr="00A64DF5">
        <w:trPr>
          <w:trHeight w:val="562"/>
        </w:trPr>
        <w:tc>
          <w:tcPr>
            <w:tcW w:w="2448"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3600"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jc w:val="center"/>
              <w:rPr>
                <w:rFonts w:eastAsia="MS Mincho"/>
                <w:b/>
                <w:bCs/>
                <w:color w:val="000000"/>
                <w:sz w:val="22"/>
                <w:szCs w:val="22"/>
                <w:lang w:eastAsia="ja-JP" w:bidi="lo-LA"/>
              </w:rPr>
            </w:pPr>
            <w:r w:rsidRPr="00A64DF5">
              <w:rPr>
                <w:rFonts w:eastAsia="MS Mincho"/>
                <w:b/>
                <w:bCs/>
                <w:color w:val="000000"/>
                <w:sz w:val="22"/>
                <w:szCs w:val="22"/>
                <w:lang w:eastAsia="ja-JP" w:bidi="lo-LA"/>
              </w:rPr>
              <w:t xml:space="preserve">Netaikyta pirminė </w:t>
            </w:r>
          </w:p>
          <w:p w:rsidR="00A64DF5" w:rsidRPr="00A64DF5" w:rsidRDefault="00A64DF5" w:rsidP="00A64DF5">
            <w:pPr>
              <w:widowControl w:val="0"/>
              <w:autoSpaceDE w:val="0"/>
              <w:autoSpaceDN w:val="0"/>
              <w:adjustRightInd w:val="0"/>
              <w:jc w:val="center"/>
              <w:rPr>
                <w:rFonts w:eastAsia="MS Mincho"/>
                <w:b/>
                <w:bCs/>
                <w:color w:val="000000"/>
                <w:sz w:val="22"/>
                <w:szCs w:val="22"/>
                <w:lang w:eastAsia="ja-JP" w:bidi="lo-LA"/>
              </w:rPr>
            </w:pPr>
            <w:r w:rsidRPr="00A64DF5">
              <w:rPr>
                <w:rFonts w:eastAsia="MS Mincho"/>
                <w:b/>
                <w:bCs/>
                <w:color w:val="000000"/>
                <w:sz w:val="22"/>
                <w:szCs w:val="22"/>
                <w:lang w:eastAsia="ja-JP" w:bidi="lo-LA"/>
              </w:rPr>
              <w:t xml:space="preserve">profilaktika G-KSF </w:t>
            </w:r>
          </w:p>
          <w:p w:rsidR="00A64DF5" w:rsidRPr="00A64DF5" w:rsidRDefault="00A64DF5" w:rsidP="00A64DF5">
            <w:pPr>
              <w:widowControl w:val="0"/>
              <w:autoSpaceDE w:val="0"/>
              <w:autoSpaceDN w:val="0"/>
              <w:adjustRightInd w:val="0"/>
              <w:jc w:val="center"/>
              <w:rPr>
                <w:rFonts w:eastAsia="MS Mincho"/>
                <w:b/>
                <w:bCs/>
                <w:color w:val="000000"/>
                <w:sz w:val="22"/>
                <w:szCs w:val="22"/>
                <w:lang w:eastAsia="ja-JP" w:bidi="lo-LA"/>
              </w:rPr>
            </w:pPr>
            <w:r w:rsidRPr="00A64DF5">
              <w:rPr>
                <w:rFonts w:eastAsia="MS Mincho"/>
                <w:b/>
                <w:bCs/>
                <w:color w:val="000000"/>
                <w:sz w:val="22"/>
                <w:szCs w:val="22"/>
                <w:lang w:eastAsia="ja-JP" w:bidi="lo-LA"/>
              </w:rPr>
              <w:t xml:space="preserve">(n = 111) </w:t>
            </w:r>
          </w:p>
          <w:p w:rsidR="00A64DF5" w:rsidRPr="00A64DF5" w:rsidRDefault="00A64DF5" w:rsidP="00A64DF5">
            <w:pPr>
              <w:widowControl w:val="0"/>
              <w:autoSpaceDE w:val="0"/>
              <w:autoSpaceDN w:val="0"/>
              <w:adjustRightInd w:val="0"/>
              <w:jc w:val="center"/>
              <w:rPr>
                <w:rFonts w:eastAsia="MS Mincho"/>
                <w:color w:val="000000"/>
                <w:sz w:val="22"/>
                <w:szCs w:val="22"/>
                <w:lang w:eastAsia="ja-JP" w:bidi="lo-LA"/>
              </w:rPr>
            </w:pPr>
            <w:r w:rsidRPr="00A64DF5">
              <w:rPr>
                <w:rFonts w:eastAsia="MS Mincho"/>
                <w:b/>
                <w:bCs/>
                <w:color w:val="000000"/>
                <w:sz w:val="22"/>
                <w:szCs w:val="22"/>
                <w:lang w:eastAsia="ja-JP" w:bidi="lo-LA"/>
              </w:rPr>
              <w:t xml:space="preserve">n (%) </w:t>
            </w:r>
          </w:p>
        </w:tc>
        <w:tc>
          <w:tcPr>
            <w:tcW w:w="3060"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jc w:val="center"/>
              <w:rPr>
                <w:rFonts w:eastAsia="MS Mincho"/>
                <w:b/>
                <w:bCs/>
                <w:color w:val="000000"/>
                <w:sz w:val="22"/>
                <w:szCs w:val="22"/>
                <w:lang w:eastAsia="ja-JP" w:bidi="lo-LA"/>
              </w:rPr>
            </w:pPr>
            <w:r w:rsidRPr="00A64DF5">
              <w:rPr>
                <w:rFonts w:eastAsia="MS Mincho"/>
                <w:b/>
                <w:bCs/>
                <w:color w:val="000000"/>
                <w:sz w:val="22"/>
                <w:szCs w:val="22"/>
                <w:lang w:eastAsia="ja-JP" w:bidi="lo-LA"/>
              </w:rPr>
              <w:t xml:space="preserve">Taikyta pirminė </w:t>
            </w:r>
          </w:p>
          <w:p w:rsidR="00A64DF5" w:rsidRPr="00A64DF5" w:rsidRDefault="00A64DF5" w:rsidP="00A64DF5">
            <w:pPr>
              <w:widowControl w:val="0"/>
              <w:autoSpaceDE w:val="0"/>
              <w:autoSpaceDN w:val="0"/>
              <w:adjustRightInd w:val="0"/>
              <w:jc w:val="center"/>
              <w:rPr>
                <w:rFonts w:eastAsia="MS Mincho"/>
                <w:b/>
                <w:bCs/>
                <w:color w:val="000000"/>
                <w:sz w:val="22"/>
                <w:szCs w:val="22"/>
                <w:lang w:eastAsia="ja-JP" w:bidi="lo-LA"/>
              </w:rPr>
            </w:pPr>
            <w:r w:rsidRPr="00A64DF5">
              <w:rPr>
                <w:rFonts w:eastAsia="MS Mincho"/>
                <w:b/>
                <w:bCs/>
                <w:color w:val="000000"/>
                <w:sz w:val="22"/>
                <w:szCs w:val="22"/>
                <w:lang w:eastAsia="ja-JP" w:bidi="lo-LA"/>
              </w:rPr>
              <w:t>profilaktika G-KSF</w:t>
            </w:r>
          </w:p>
          <w:p w:rsidR="00A64DF5" w:rsidRPr="00A64DF5" w:rsidRDefault="00A64DF5" w:rsidP="00A64DF5">
            <w:pPr>
              <w:widowControl w:val="0"/>
              <w:autoSpaceDE w:val="0"/>
              <w:autoSpaceDN w:val="0"/>
              <w:adjustRightInd w:val="0"/>
              <w:jc w:val="center"/>
              <w:rPr>
                <w:rFonts w:eastAsia="MS Mincho"/>
                <w:b/>
                <w:bCs/>
                <w:color w:val="000000"/>
                <w:sz w:val="22"/>
                <w:szCs w:val="22"/>
                <w:lang w:eastAsia="ja-JP" w:bidi="lo-LA"/>
              </w:rPr>
            </w:pPr>
            <w:r w:rsidRPr="00A64DF5">
              <w:rPr>
                <w:rFonts w:eastAsia="MS Mincho"/>
                <w:b/>
                <w:bCs/>
                <w:color w:val="000000"/>
                <w:sz w:val="22"/>
                <w:szCs w:val="22"/>
                <w:lang w:eastAsia="ja-JP" w:bidi="lo-LA"/>
              </w:rPr>
              <w:t xml:space="preserve"> (n = 421) </w:t>
            </w:r>
          </w:p>
          <w:p w:rsidR="00A64DF5" w:rsidRPr="00A64DF5" w:rsidRDefault="00A64DF5" w:rsidP="00A64DF5">
            <w:pPr>
              <w:widowControl w:val="0"/>
              <w:autoSpaceDE w:val="0"/>
              <w:autoSpaceDN w:val="0"/>
              <w:adjustRightInd w:val="0"/>
              <w:jc w:val="center"/>
              <w:rPr>
                <w:rFonts w:eastAsia="MS Mincho"/>
                <w:color w:val="000000"/>
                <w:sz w:val="22"/>
                <w:szCs w:val="22"/>
                <w:lang w:eastAsia="ja-JP" w:bidi="lo-LA"/>
              </w:rPr>
            </w:pPr>
            <w:r w:rsidRPr="00A64DF5">
              <w:rPr>
                <w:rFonts w:eastAsia="MS Mincho"/>
                <w:b/>
                <w:bCs/>
                <w:color w:val="000000"/>
                <w:sz w:val="22"/>
                <w:szCs w:val="22"/>
                <w:lang w:eastAsia="ja-JP" w:bidi="lo-LA"/>
              </w:rPr>
              <w:t xml:space="preserve">n (%) </w:t>
            </w:r>
          </w:p>
        </w:tc>
      </w:tr>
      <w:tr w:rsidR="00A64DF5" w:rsidRPr="00A64DF5" w:rsidTr="00A64DF5">
        <w:trPr>
          <w:trHeight w:val="142"/>
        </w:trPr>
        <w:tc>
          <w:tcPr>
            <w:tcW w:w="2448"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Neutropenja (4 laipsnio) </w:t>
            </w:r>
          </w:p>
        </w:tc>
        <w:tc>
          <w:tcPr>
            <w:tcW w:w="3600"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jc w:val="center"/>
              <w:rPr>
                <w:rFonts w:eastAsia="MS Mincho"/>
                <w:color w:val="000000"/>
                <w:sz w:val="22"/>
                <w:szCs w:val="22"/>
                <w:lang w:eastAsia="ja-JP" w:bidi="lo-LA"/>
              </w:rPr>
            </w:pPr>
            <w:r w:rsidRPr="00A64DF5">
              <w:rPr>
                <w:rFonts w:eastAsia="MS Mincho"/>
                <w:color w:val="000000"/>
                <w:sz w:val="22"/>
                <w:szCs w:val="22"/>
                <w:lang w:eastAsia="ja-JP" w:bidi="lo-LA"/>
              </w:rPr>
              <w:t xml:space="preserve">104 (93,7) </w:t>
            </w:r>
          </w:p>
        </w:tc>
        <w:tc>
          <w:tcPr>
            <w:tcW w:w="3060"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jc w:val="center"/>
              <w:rPr>
                <w:rFonts w:eastAsia="MS Mincho"/>
                <w:color w:val="000000"/>
                <w:sz w:val="22"/>
                <w:szCs w:val="22"/>
                <w:lang w:eastAsia="ja-JP" w:bidi="lo-LA"/>
              </w:rPr>
            </w:pPr>
            <w:r w:rsidRPr="00A64DF5">
              <w:rPr>
                <w:rFonts w:eastAsia="MS Mincho"/>
                <w:color w:val="000000"/>
                <w:sz w:val="22"/>
                <w:szCs w:val="22"/>
                <w:lang w:eastAsia="ja-JP" w:bidi="lo-LA"/>
              </w:rPr>
              <w:t xml:space="preserve">135 (32,1) </w:t>
            </w:r>
          </w:p>
        </w:tc>
      </w:tr>
      <w:tr w:rsidR="00A64DF5" w:rsidRPr="00A64DF5" w:rsidTr="00A64DF5">
        <w:trPr>
          <w:trHeight w:val="142"/>
        </w:trPr>
        <w:tc>
          <w:tcPr>
            <w:tcW w:w="2448"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Febrilinė neutropenija </w:t>
            </w:r>
          </w:p>
        </w:tc>
        <w:tc>
          <w:tcPr>
            <w:tcW w:w="3600"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jc w:val="center"/>
              <w:rPr>
                <w:rFonts w:eastAsia="MS Mincho"/>
                <w:color w:val="000000"/>
                <w:sz w:val="22"/>
                <w:szCs w:val="22"/>
                <w:lang w:eastAsia="ja-JP" w:bidi="lo-LA"/>
              </w:rPr>
            </w:pPr>
            <w:r w:rsidRPr="00A64DF5">
              <w:rPr>
                <w:rFonts w:eastAsia="MS Mincho"/>
                <w:color w:val="000000"/>
                <w:sz w:val="22"/>
                <w:szCs w:val="22"/>
                <w:lang w:eastAsia="ja-JP" w:bidi="lo-LA"/>
              </w:rPr>
              <w:t xml:space="preserve">28 (25,2) </w:t>
            </w:r>
          </w:p>
        </w:tc>
        <w:tc>
          <w:tcPr>
            <w:tcW w:w="3060"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jc w:val="center"/>
              <w:rPr>
                <w:rFonts w:eastAsia="MS Mincho"/>
                <w:color w:val="000000"/>
                <w:sz w:val="22"/>
                <w:szCs w:val="22"/>
                <w:lang w:eastAsia="ja-JP" w:bidi="lo-LA"/>
              </w:rPr>
            </w:pPr>
            <w:r w:rsidRPr="00A64DF5">
              <w:rPr>
                <w:rFonts w:eastAsia="MS Mincho"/>
                <w:color w:val="000000"/>
                <w:sz w:val="22"/>
                <w:szCs w:val="22"/>
                <w:lang w:eastAsia="ja-JP" w:bidi="lo-LA"/>
              </w:rPr>
              <w:t xml:space="preserve">23 (5,5) </w:t>
            </w:r>
          </w:p>
        </w:tc>
      </w:tr>
      <w:tr w:rsidR="00A64DF5" w:rsidRPr="00A64DF5" w:rsidTr="00A64DF5">
        <w:trPr>
          <w:trHeight w:val="142"/>
        </w:trPr>
        <w:tc>
          <w:tcPr>
            <w:tcW w:w="2448"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Neutropeninė infekcija </w:t>
            </w:r>
          </w:p>
        </w:tc>
        <w:tc>
          <w:tcPr>
            <w:tcW w:w="3600"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jc w:val="center"/>
              <w:rPr>
                <w:rFonts w:eastAsia="MS Mincho"/>
                <w:color w:val="000000"/>
                <w:sz w:val="22"/>
                <w:szCs w:val="22"/>
                <w:lang w:eastAsia="ja-JP" w:bidi="lo-LA"/>
              </w:rPr>
            </w:pPr>
            <w:r w:rsidRPr="00A64DF5">
              <w:rPr>
                <w:rFonts w:eastAsia="MS Mincho"/>
                <w:color w:val="000000"/>
                <w:sz w:val="22"/>
                <w:szCs w:val="22"/>
                <w:lang w:eastAsia="ja-JP" w:bidi="lo-LA"/>
              </w:rPr>
              <w:t xml:space="preserve">14 (12,6) </w:t>
            </w:r>
          </w:p>
        </w:tc>
        <w:tc>
          <w:tcPr>
            <w:tcW w:w="3060"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jc w:val="center"/>
              <w:rPr>
                <w:rFonts w:eastAsia="MS Mincho"/>
                <w:color w:val="000000"/>
                <w:sz w:val="22"/>
                <w:szCs w:val="22"/>
                <w:lang w:eastAsia="ja-JP" w:bidi="lo-LA"/>
              </w:rPr>
            </w:pPr>
            <w:r w:rsidRPr="00A64DF5">
              <w:rPr>
                <w:rFonts w:eastAsia="MS Mincho"/>
                <w:color w:val="000000"/>
                <w:sz w:val="22"/>
                <w:szCs w:val="22"/>
                <w:lang w:eastAsia="ja-JP" w:bidi="lo-LA"/>
              </w:rPr>
              <w:t xml:space="preserve">21 (5,0) </w:t>
            </w:r>
          </w:p>
        </w:tc>
      </w:tr>
      <w:tr w:rsidR="00A64DF5" w:rsidRPr="00A64DF5" w:rsidTr="00A64DF5">
        <w:trPr>
          <w:trHeight w:val="150"/>
        </w:trPr>
        <w:tc>
          <w:tcPr>
            <w:tcW w:w="2448"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Neutropeninė infekcija </w:t>
            </w:r>
          </w:p>
        </w:tc>
        <w:tc>
          <w:tcPr>
            <w:tcW w:w="3600"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jc w:val="center"/>
              <w:rPr>
                <w:rFonts w:eastAsia="MS Mincho"/>
                <w:color w:val="000000"/>
                <w:sz w:val="22"/>
                <w:szCs w:val="22"/>
                <w:lang w:eastAsia="ja-JP" w:bidi="lo-LA"/>
              </w:rPr>
            </w:pPr>
            <w:r w:rsidRPr="00A64DF5">
              <w:rPr>
                <w:rFonts w:eastAsia="MS Mincho"/>
                <w:color w:val="000000"/>
                <w:sz w:val="22"/>
                <w:szCs w:val="22"/>
                <w:lang w:eastAsia="ja-JP" w:bidi="lo-LA"/>
              </w:rPr>
              <w:t xml:space="preserve">2 (1,8) </w:t>
            </w:r>
          </w:p>
        </w:tc>
        <w:tc>
          <w:tcPr>
            <w:tcW w:w="3060" w:type="dxa"/>
            <w:tcBorders>
              <w:top w:val="single" w:sz="4" w:space="0" w:color="000000"/>
              <w:left w:val="single" w:sz="4" w:space="0" w:color="000000"/>
              <w:right w:val="single" w:sz="4" w:space="0" w:color="000000"/>
            </w:tcBorders>
          </w:tcPr>
          <w:p w:rsidR="00A64DF5" w:rsidRPr="00A64DF5" w:rsidRDefault="00A64DF5" w:rsidP="00A64DF5">
            <w:pPr>
              <w:widowControl w:val="0"/>
              <w:autoSpaceDE w:val="0"/>
              <w:autoSpaceDN w:val="0"/>
              <w:adjustRightInd w:val="0"/>
              <w:jc w:val="center"/>
              <w:rPr>
                <w:rFonts w:eastAsia="MS Mincho"/>
                <w:color w:val="000000"/>
                <w:sz w:val="22"/>
                <w:szCs w:val="22"/>
                <w:lang w:eastAsia="ja-JP" w:bidi="lo-LA"/>
              </w:rPr>
            </w:pPr>
            <w:r w:rsidRPr="00A64DF5">
              <w:rPr>
                <w:rFonts w:eastAsia="MS Mincho"/>
                <w:color w:val="000000"/>
                <w:sz w:val="22"/>
                <w:szCs w:val="22"/>
                <w:lang w:eastAsia="ja-JP" w:bidi="lo-LA"/>
              </w:rPr>
              <w:t xml:space="preserve">5 (1,2) </w:t>
            </w:r>
          </w:p>
        </w:tc>
      </w:tr>
      <w:tr w:rsidR="00A64DF5" w:rsidRPr="00A64DF5" w:rsidTr="00A64DF5">
        <w:trPr>
          <w:trHeight w:val="133"/>
        </w:trPr>
        <w:tc>
          <w:tcPr>
            <w:tcW w:w="2448"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(3–4 laipsnio) </w:t>
            </w:r>
          </w:p>
        </w:tc>
        <w:tc>
          <w:tcPr>
            <w:tcW w:w="3600"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jc w:val="center"/>
              <w:rPr>
                <w:rFonts w:eastAsia="MS Mincho"/>
                <w:color w:val="000000"/>
                <w:sz w:val="22"/>
                <w:szCs w:val="22"/>
                <w:lang w:eastAsia="ja-JP" w:bidi="lo-LA"/>
              </w:rPr>
            </w:pPr>
          </w:p>
        </w:tc>
        <w:tc>
          <w:tcPr>
            <w:tcW w:w="3060" w:type="dxa"/>
            <w:tcBorders>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jc w:val="center"/>
              <w:rPr>
                <w:rFonts w:eastAsia="MS Mincho"/>
                <w:color w:val="000000"/>
                <w:sz w:val="22"/>
                <w:szCs w:val="22"/>
                <w:lang w:eastAsia="ja-JP" w:bidi="lo-LA"/>
              </w:rPr>
            </w:pPr>
          </w:p>
        </w:tc>
      </w:tr>
    </w:tbl>
    <w:p w:rsidR="00A64DF5" w:rsidRPr="00A64DF5" w:rsidRDefault="00A64DF5" w:rsidP="00A64DF5">
      <w:pPr>
        <w:widowControl w:val="0"/>
        <w:autoSpaceDE w:val="0"/>
        <w:autoSpaceDN w:val="0"/>
        <w:adjustRightInd w:val="0"/>
        <w:rPr>
          <w:rFonts w:eastAsia="MS Mincho"/>
          <w:color w:val="000000"/>
          <w:sz w:val="22"/>
          <w:szCs w:val="22"/>
          <w:lang w:eastAsia="ja-JP" w:bidi="lo-LA"/>
        </w:rPr>
      </w:pPr>
    </w:p>
    <w:p w:rsidR="00A64DF5" w:rsidRPr="00A64DF5" w:rsidRDefault="00A64DF5" w:rsidP="00A64DF5">
      <w:pPr>
        <w:widowControl w:val="0"/>
        <w:autoSpaceDE w:val="0"/>
        <w:autoSpaceDN w:val="0"/>
        <w:adjustRightInd w:val="0"/>
        <w:rPr>
          <w:rFonts w:eastAsia="MS Mincho"/>
          <w:color w:val="000000"/>
          <w:sz w:val="22"/>
          <w:szCs w:val="22"/>
          <w:lang w:eastAsia="ja-JP" w:bidi="lo-LA"/>
        </w:rPr>
      </w:pPr>
    </w:p>
    <w:p w:rsidR="00A64DF5" w:rsidRPr="00A64DF5" w:rsidRDefault="00A64DF5" w:rsidP="00A64DF5">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u w:val="single"/>
          <w:lang w:eastAsia="ja-JP" w:bidi="lo-LA"/>
        </w:rPr>
        <w:t xml:space="preserve">75 mg/m² docetakselio su cisplatina ir 5-fluorouracilu (skrandžio adenokarcinomai gydyti) </w:t>
      </w:r>
    </w:p>
    <w:p w:rsidR="00A64DF5" w:rsidRPr="00A64DF5" w:rsidRDefault="00A64DF5" w:rsidP="00A64DF5">
      <w:pPr>
        <w:rPr>
          <w:rFonts w:eastAsia="MS Mincho"/>
          <w:sz w:val="22"/>
          <w:szCs w:val="22"/>
          <w:lang w:eastAsia="ja-JP" w:bidi="lo-LA"/>
        </w:rPr>
      </w:pPr>
    </w:p>
    <w:tbl>
      <w:tblPr>
        <w:tblW w:w="0" w:type="auto"/>
        <w:tblLayout w:type="fixed"/>
        <w:tblLook w:val="0000" w:firstRow="0" w:lastRow="0" w:firstColumn="0" w:lastColumn="0" w:noHBand="0" w:noVBand="0"/>
      </w:tblPr>
      <w:tblGrid>
        <w:gridCol w:w="2612"/>
        <w:gridCol w:w="3346"/>
        <w:gridCol w:w="3150"/>
      </w:tblGrid>
      <w:tr w:rsidR="00A64DF5" w:rsidRPr="00A64DF5" w:rsidTr="00D3044D">
        <w:trPr>
          <w:trHeight w:val="286"/>
        </w:trPr>
        <w:tc>
          <w:tcPr>
            <w:tcW w:w="2612"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Organų sistemų klasė pagal MedDRA </w:t>
            </w:r>
          </w:p>
        </w:tc>
        <w:tc>
          <w:tcPr>
            <w:tcW w:w="3346"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Labai dažnos nepageidaujamos reakcijos </w:t>
            </w:r>
          </w:p>
        </w:tc>
        <w:tc>
          <w:tcPr>
            <w:tcW w:w="3150"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Dažnos nepageidaujamos reakcijos </w:t>
            </w:r>
          </w:p>
        </w:tc>
      </w:tr>
      <w:tr w:rsidR="00A64DF5" w:rsidRPr="00A64DF5" w:rsidTr="00D3044D">
        <w:trPr>
          <w:trHeight w:val="281"/>
        </w:trPr>
        <w:tc>
          <w:tcPr>
            <w:tcW w:w="261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Infekcijos ir infestacijos </w:t>
            </w:r>
          </w:p>
        </w:tc>
        <w:tc>
          <w:tcPr>
            <w:tcW w:w="334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Su neutropenija susijusi infekcija;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infekcija (3–4 laipsnio: 11,7 %)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832"/>
        </w:trPr>
        <w:tc>
          <w:tcPr>
            <w:tcW w:w="261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Kraujo ir limfinės sistemos sutrikimai </w:t>
            </w:r>
          </w:p>
        </w:tc>
        <w:tc>
          <w:tcPr>
            <w:tcW w:w="334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Anemija (3–4 laipsnio: 20,9 %);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neutropenija (3–4 laipsnio: 83,2</w:t>
            </w:r>
            <w:r w:rsidR="00FD663C">
              <w:rPr>
                <w:rFonts w:eastAsia="MS Mincho"/>
                <w:color w:val="000000"/>
                <w:sz w:val="22"/>
                <w:szCs w:val="22"/>
                <w:lang w:eastAsia="ja-JP" w:bidi="lo-LA"/>
              </w:rPr>
              <w:t> </w:t>
            </w:r>
            <w:r w:rsidRPr="00A64DF5">
              <w:rPr>
                <w:rFonts w:eastAsia="MS Mincho"/>
                <w:color w:val="000000"/>
                <w:sz w:val="22"/>
                <w:szCs w:val="22"/>
                <w:lang w:eastAsia="ja-JP" w:bidi="lo-LA"/>
              </w:rPr>
              <w:t xml:space="preserve">%);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trombocitopenija (3–4 laipsnio: 8,8</w:t>
            </w:r>
            <w:r w:rsidR="00FD663C">
              <w:rPr>
                <w:rFonts w:eastAsia="MS Mincho"/>
                <w:color w:val="000000"/>
                <w:sz w:val="22"/>
                <w:szCs w:val="22"/>
                <w:lang w:eastAsia="ja-JP" w:bidi="lo-LA"/>
              </w:rPr>
              <w:t> </w:t>
            </w:r>
            <w:r w:rsidRPr="00A64DF5">
              <w:rPr>
                <w:rFonts w:eastAsia="MS Mincho"/>
                <w:color w:val="000000"/>
                <w:sz w:val="22"/>
                <w:szCs w:val="22"/>
                <w:lang w:eastAsia="ja-JP" w:bidi="lo-LA"/>
              </w:rPr>
              <w:t xml:space="preserve">%);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febrilinė neutropenija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281"/>
        </w:trPr>
        <w:tc>
          <w:tcPr>
            <w:tcW w:w="261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Imuninės sistemos sutrikimai </w:t>
            </w:r>
          </w:p>
        </w:tc>
        <w:tc>
          <w:tcPr>
            <w:tcW w:w="334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Padidėjęs jautrumas (3–4 laipsnio: 1,7 %)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281"/>
        </w:trPr>
        <w:tc>
          <w:tcPr>
            <w:tcW w:w="261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Metabolizmo ir mitybos sutrikimai </w:t>
            </w:r>
          </w:p>
        </w:tc>
        <w:tc>
          <w:tcPr>
            <w:tcW w:w="334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Anoreksija (3–4 laipsnio: 11,7 %)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418"/>
        </w:trPr>
        <w:tc>
          <w:tcPr>
            <w:tcW w:w="261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Nervų sistemos sutrikimai </w:t>
            </w:r>
          </w:p>
        </w:tc>
        <w:tc>
          <w:tcPr>
            <w:tcW w:w="3346" w:type="dxa"/>
            <w:tcBorders>
              <w:top w:val="single" w:sz="4" w:space="0" w:color="000000"/>
              <w:left w:val="single" w:sz="4" w:space="0" w:color="000000"/>
              <w:bottom w:val="single" w:sz="4" w:space="0" w:color="000000"/>
              <w:right w:val="single" w:sz="4" w:space="0" w:color="000000"/>
            </w:tcBorders>
          </w:tcPr>
          <w:p w:rsidR="00A64DF5" w:rsidRPr="00A64DF5" w:rsidRDefault="00A64DF5" w:rsidP="007E509D">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Periferinė </w:t>
            </w:r>
            <w:r w:rsidR="007E509D">
              <w:rPr>
                <w:rFonts w:eastAsia="MS Mincho"/>
                <w:color w:val="000000"/>
                <w:sz w:val="22"/>
                <w:szCs w:val="22"/>
                <w:lang w:eastAsia="ja-JP" w:bidi="lo-LA"/>
              </w:rPr>
              <w:t>sensorinė</w:t>
            </w:r>
            <w:r w:rsidR="007E509D" w:rsidRPr="00A64DF5">
              <w:rPr>
                <w:rFonts w:eastAsia="MS Mincho"/>
                <w:color w:val="000000"/>
                <w:sz w:val="22"/>
                <w:szCs w:val="22"/>
                <w:lang w:eastAsia="ja-JP" w:bidi="lo-LA"/>
              </w:rPr>
              <w:t xml:space="preserve"> </w:t>
            </w:r>
            <w:r w:rsidRPr="00A64DF5">
              <w:rPr>
                <w:rFonts w:eastAsia="MS Mincho"/>
                <w:color w:val="000000"/>
                <w:sz w:val="22"/>
                <w:szCs w:val="22"/>
                <w:lang w:eastAsia="ja-JP" w:bidi="lo-LA"/>
              </w:rPr>
              <w:t xml:space="preserve">neuropatija (3–4 laipsnio: 8,7 %)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Svaigulys (3–4 laipsnio: 2,3 %); periferinė motorinė neuropatija (3–4 laipsnio: 1,3 %) </w:t>
            </w:r>
          </w:p>
        </w:tc>
      </w:tr>
      <w:tr w:rsidR="00A64DF5" w:rsidRPr="00A64DF5" w:rsidTr="00D3044D">
        <w:trPr>
          <w:trHeight w:val="282"/>
        </w:trPr>
        <w:tc>
          <w:tcPr>
            <w:tcW w:w="261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Akių sutrikimai </w:t>
            </w:r>
          </w:p>
        </w:tc>
        <w:tc>
          <w:tcPr>
            <w:tcW w:w="334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Ašarojimo sustiprėjimas (3–4 laipsnio: 0 %) </w:t>
            </w:r>
          </w:p>
        </w:tc>
      </w:tr>
      <w:tr w:rsidR="00A64DF5" w:rsidRPr="00A64DF5" w:rsidTr="00D3044D">
        <w:trPr>
          <w:trHeight w:val="281"/>
        </w:trPr>
        <w:tc>
          <w:tcPr>
            <w:tcW w:w="261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Aus</w:t>
            </w:r>
            <w:r w:rsidR="004C4423">
              <w:rPr>
                <w:rFonts w:eastAsia="MS Mincho"/>
                <w:color w:val="000000"/>
                <w:sz w:val="22"/>
                <w:szCs w:val="22"/>
                <w:lang w:eastAsia="ja-JP" w:bidi="lo-LA"/>
              </w:rPr>
              <w:t>ų</w:t>
            </w:r>
            <w:r w:rsidRPr="00A64DF5">
              <w:rPr>
                <w:rFonts w:eastAsia="MS Mincho"/>
                <w:color w:val="000000"/>
                <w:sz w:val="22"/>
                <w:szCs w:val="22"/>
                <w:lang w:eastAsia="ja-JP" w:bidi="lo-LA"/>
              </w:rPr>
              <w:t xml:space="preserve"> ir labirint</w:t>
            </w:r>
            <w:r w:rsidR="004C4423">
              <w:rPr>
                <w:rFonts w:eastAsia="MS Mincho"/>
                <w:color w:val="000000"/>
                <w:sz w:val="22"/>
                <w:szCs w:val="22"/>
                <w:lang w:eastAsia="ja-JP" w:bidi="lo-LA"/>
              </w:rPr>
              <w:t>ų</w:t>
            </w:r>
            <w:r w:rsidRPr="00A64DF5">
              <w:rPr>
                <w:rFonts w:eastAsia="MS Mincho"/>
                <w:color w:val="000000"/>
                <w:sz w:val="22"/>
                <w:szCs w:val="22"/>
                <w:lang w:eastAsia="ja-JP" w:bidi="lo-LA"/>
              </w:rPr>
              <w:t xml:space="preserve"> sutrikimai </w:t>
            </w:r>
          </w:p>
        </w:tc>
        <w:tc>
          <w:tcPr>
            <w:tcW w:w="334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Klausos sutrikimas (3–4 laipsnio: 0 %) </w:t>
            </w:r>
          </w:p>
        </w:tc>
      </w:tr>
      <w:tr w:rsidR="00A64DF5" w:rsidRPr="00A64DF5" w:rsidTr="00D3044D">
        <w:trPr>
          <w:trHeight w:val="143"/>
        </w:trPr>
        <w:tc>
          <w:tcPr>
            <w:tcW w:w="2612"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Širdies sutrikimai </w:t>
            </w:r>
          </w:p>
        </w:tc>
        <w:tc>
          <w:tcPr>
            <w:tcW w:w="3346"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3150"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Aritmija (3–4 laipsnio: 1,0 %) </w:t>
            </w:r>
          </w:p>
        </w:tc>
      </w:tr>
      <w:tr w:rsidR="00A64DF5" w:rsidRPr="00A64DF5" w:rsidTr="00D3044D">
        <w:trPr>
          <w:trHeight w:val="838"/>
        </w:trPr>
        <w:tc>
          <w:tcPr>
            <w:tcW w:w="2612"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Virškinimo trakto sutrikimai </w:t>
            </w:r>
          </w:p>
        </w:tc>
        <w:tc>
          <w:tcPr>
            <w:tcW w:w="3346"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Viduriavimas (3–4 laipsnio: 19,7</w:t>
            </w:r>
            <w:r w:rsidR="00FD663C">
              <w:rPr>
                <w:rFonts w:eastAsia="MS Mincho"/>
                <w:color w:val="000000"/>
                <w:sz w:val="22"/>
                <w:szCs w:val="22"/>
                <w:lang w:eastAsia="ja-JP" w:bidi="lo-LA"/>
              </w:rPr>
              <w:t> </w:t>
            </w:r>
            <w:r w:rsidRPr="00A64DF5">
              <w:rPr>
                <w:rFonts w:eastAsia="MS Mincho"/>
                <w:color w:val="000000"/>
                <w:sz w:val="22"/>
                <w:szCs w:val="22"/>
                <w:lang w:eastAsia="ja-JP" w:bidi="lo-LA"/>
              </w:rPr>
              <w:t xml:space="preserve">%); pykinimas (3–4 laipsnio: 16%); stomatitas (3–4 laipsnio: 23,7 %); vėmimas (3–4 laipsnio: 14,3%) </w:t>
            </w:r>
          </w:p>
        </w:tc>
        <w:tc>
          <w:tcPr>
            <w:tcW w:w="3150"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Vidurių užkietėjimas (3–4 laipsnio: 1,0 %);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virškinimo trakto skausmas (3–4 laipsnio: 1,0 %);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ezofagitas / disfagija / odinofagija (3–4 laipsnio 0,7%) </w:t>
            </w:r>
          </w:p>
        </w:tc>
      </w:tr>
      <w:tr w:rsidR="00A64DF5" w:rsidRPr="00A64DF5" w:rsidTr="00D3044D">
        <w:trPr>
          <w:trHeight w:val="418"/>
        </w:trPr>
        <w:tc>
          <w:tcPr>
            <w:tcW w:w="261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Odos ir poodinio audinio sutrikimai </w:t>
            </w:r>
          </w:p>
        </w:tc>
        <w:tc>
          <w:tcPr>
            <w:tcW w:w="3346"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Alopecija (3–4 laipsnio: 4,0 %) </w:t>
            </w:r>
          </w:p>
        </w:tc>
        <w:tc>
          <w:tcPr>
            <w:tcW w:w="315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Niežtintis bėrimas (3–4 laipsnio: 0,7 %);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nagų pažeidimai (3–4 laipsnio: 0,7 %);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odos eksfoliacija (3–4 laipsnio: 0</w:t>
            </w:r>
            <w:r w:rsidR="00FD663C">
              <w:rPr>
                <w:rFonts w:eastAsia="MS Mincho"/>
                <w:color w:val="000000"/>
                <w:sz w:val="22"/>
                <w:szCs w:val="22"/>
                <w:lang w:eastAsia="ja-JP" w:bidi="lo-LA"/>
              </w:rPr>
              <w:t> </w:t>
            </w:r>
            <w:r w:rsidRPr="00A64DF5">
              <w:rPr>
                <w:rFonts w:eastAsia="MS Mincho"/>
                <w:color w:val="000000"/>
                <w:sz w:val="22"/>
                <w:szCs w:val="22"/>
                <w:lang w:eastAsia="ja-JP" w:bidi="lo-LA"/>
              </w:rPr>
              <w:t xml:space="preserve">%) </w:t>
            </w:r>
          </w:p>
        </w:tc>
      </w:tr>
      <w:tr w:rsidR="00A64DF5" w:rsidRPr="00A64DF5" w:rsidTr="00D3044D">
        <w:trPr>
          <w:trHeight w:val="696"/>
        </w:trPr>
        <w:tc>
          <w:tcPr>
            <w:tcW w:w="2612"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Bendrieji sutrikimai ir vartojimo vietos pažeidimai </w:t>
            </w:r>
          </w:p>
        </w:tc>
        <w:tc>
          <w:tcPr>
            <w:tcW w:w="3346"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Mieguistumas (3–4 laipsnio: 19,0</w:t>
            </w:r>
            <w:r w:rsidR="00FD663C">
              <w:rPr>
                <w:rFonts w:eastAsia="MS Mincho"/>
                <w:color w:val="000000"/>
                <w:sz w:val="22"/>
                <w:szCs w:val="22"/>
                <w:lang w:eastAsia="ja-JP" w:bidi="lo-LA"/>
              </w:rPr>
              <w:t> </w:t>
            </w:r>
            <w:r w:rsidRPr="00A64DF5">
              <w:rPr>
                <w:rFonts w:eastAsia="MS Mincho"/>
                <w:color w:val="000000"/>
                <w:sz w:val="22"/>
                <w:szCs w:val="22"/>
                <w:lang w:eastAsia="ja-JP" w:bidi="lo-LA"/>
              </w:rPr>
              <w:t>%); karščiavimas (3–4 laipsnio: 2,3</w:t>
            </w:r>
            <w:r w:rsidR="00FD663C">
              <w:rPr>
                <w:rFonts w:eastAsia="MS Mincho"/>
                <w:color w:val="000000"/>
                <w:sz w:val="22"/>
                <w:szCs w:val="22"/>
                <w:lang w:eastAsia="ja-JP" w:bidi="lo-LA"/>
              </w:rPr>
              <w:t> </w:t>
            </w:r>
            <w:r w:rsidRPr="00A64DF5">
              <w:rPr>
                <w:rFonts w:eastAsia="MS Mincho"/>
                <w:color w:val="000000"/>
                <w:sz w:val="22"/>
                <w:szCs w:val="22"/>
                <w:lang w:eastAsia="ja-JP" w:bidi="lo-LA"/>
              </w:rPr>
              <w:t xml:space="preserve">%);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skysčių susilaikymas (sunkus / pavojingas gyvybei: 1 %) </w:t>
            </w:r>
          </w:p>
        </w:tc>
        <w:tc>
          <w:tcPr>
            <w:tcW w:w="315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bl>
    <w:p w:rsidR="00A64DF5" w:rsidRPr="00A64DF5" w:rsidRDefault="00A64DF5" w:rsidP="00A64DF5">
      <w:pPr>
        <w:widowControl w:val="0"/>
        <w:autoSpaceDE w:val="0"/>
        <w:autoSpaceDN w:val="0"/>
        <w:adjustRightInd w:val="0"/>
        <w:rPr>
          <w:rFonts w:eastAsia="MS Mincho"/>
          <w:color w:val="000000"/>
          <w:sz w:val="22"/>
          <w:szCs w:val="22"/>
          <w:lang w:eastAsia="ja-JP" w:bidi="lo-LA"/>
        </w:rPr>
      </w:pPr>
    </w:p>
    <w:p w:rsidR="00A64DF5" w:rsidRPr="00A64DF5" w:rsidRDefault="00A64DF5" w:rsidP="00A64DF5">
      <w:pPr>
        <w:widowControl w:val="0"/>
        <w:autoSpaceDE w:val="0"/>
        <w:autoSpaceDN w:val="0"/>
        <w:adjustRightInd w:val="0"/>
        <w:rPr>
          <w:rFonts w:eastAsia="MS Mincho"/>
          <w:color w:val="000000"/>
          <w:sz w:val="22"/>
          <w:szCs w:val="22"/>
          <w:lang w:eastAsia="ja-JP" w:bidi="lo-LA"/>
        </w:rPr>
      </w:pP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i/>
          <w:iCs/>
          <w:color w:val="000000"/>
          <w:sz w:val="22"/>
          <w:szCs w:val="22"/>
          <w:u w:val="single"/>
          <w:lang w:eastAsia="ja-JP" w:bidi="lo-LA"/>
        </w:rPr>
        <w:t xml:space="preserve">Kraujo ir limfinės sistemos sutrikimai </w:t>
      </w:r>
    </w:p>
    <w:p w:rsidR="00A64DF5" w:rsidRPr="00A64DF5" w:rsidRDefault="00A64DF5" w:rsidP="00D3044D">
      <w:pPr>
        <w:widowControl w:val="0"/>
        <w:autoSpaceDE w:val="0"/>
        <w:autoSpaceDN w:val="0"/>
        <w:adjustRightInd w:val="0"/>
        <w:ind w:right="280"/>
        <w:jc w:val="both"/>
        <w:rPr>
          <w:rFonts w:eastAsia="MS Mincho"/>
          <w:color w:val="000000"/>
          <w:sz w:val="22"/>
          <w:szCs w:val="22"/>
          <w:lang w:eastAsia="ja-JP" w:bidi="lo-LA"/>
        </w:rPr>
      </w:pPr>
      <w:r w:rsidRPr="00A64DF5">
        <w:rPr>
          <w:rFonts w:eastAsia="MS Mincho"/>
          <w:color w:val="000000"/>
          <w:sz w:val="22"/>
          <w:szCs w:val="22"/>
          <w:lang w:eastAsia="ja-JP" w:bidi="lo-LA"/>
        </w:rPr>
        <w:t xml:space="preserve">Febrilinė neutropenija pasireiškė 17,2 %, o su neutropenija susijusi infekcija – 13,5 % pacientų </w:t>
      </w:r>
      <w:r w:rsidRPr="00A64DF5">
        <w:rPr>
          <w:rFonts w:eastAsia="MS Mincho"/>
          <w:color w:val="000000"/>
          <w:sz w:val="22"/>
          <w:szCs w:val="22"/>
          <w:lang w:eastAsia="ja-JP" w:bidi="lo-LA"/>
        </w:rPr>
        <w:lastRenderedPageBreak/>
        <w:t xml:space="preserve">(neatsižvelgiant, ar buvo vartojama G-KSF, ar ne). Antrinė profilaktika G-KSF taikyta 19,3 % pacientų (10,7 % ciklų). Febrilinė neutropenija ir su neutropenija susijusi infekcija pasireiškė atitinkamai 12,1 % ir 3,4 % pacientų, profilaktikai vartojusių G-KSF, ir 15,6 % bei 12,9 % ligonių, kuriems profilaktinis gydymas G-KSF netaikytas (žr. 4.2 skyrių). </w:t>
      </w:r>
    </w:p>
    <w:p w:rsidR="00A64DF5" w:rsidRPr="00A64DF5" w:rsidRDefault="00A64DF5" w:rsidP="00D3044D">
      <w:pPr>
        <w:widowControl w:val="0"/>
        <w:autoSpaceDE w:val="0"/>
        <w:autoSpaceDN w:val="0"/>
        <w:adjustRightInd w:val="0"/>
        <w:jc w:val="both"/>
        <w:rPr>
          <w:rFonts w:eastAsia="MS Mincho"/>
          <w:sz w:val="22"/>
          <w:szCs w:val="22"/>
          <w:u w:val="single"/>
          <w:lang w:eastAsia="ja-JP" w:bidi="lo-LA"/>
        </w:rPr>
      </w:pPr>
    </w:p>
    <w:p w:rsidR="00A64DF5" w:rsidRPr="00A64DF5" w:rsidRDefault="00A64DF5" w:rsidP="00D3044D">
      <w:pPr>
        <w:widowControl w:val="0"/>
        <w:autoSpaceDE w:val="0"/>
        <w:autoSpaceDN w:val="0"/>
        <w:adjustRightInd w:val="0"/>
        <w:jc w:val="both"/>
        <w:rPr>
          <w:rFonts w:eastAsia="MS Mincho"/>
          <w:sz w:val="22"/>
          <w:szCs w:val="22"/>
          <w:u w:val="single"/>
          <w:lang w:eastAsia="ja-JP" w:bidi="lo-LA"/>
        </w:rPr>
      </w:pPr>
      <w:r w:rsidRPr="00A64DF5">
        <w:rPr>
          <w:rFonts w:eastAsia="MS Mincho"/>
          <w:sz w:val="22"/>
          <w:szCs w:val="22"/>
          <w:u w:val="single"/>
          <w:lang w:eastAsia="ja-JP" w:bidi="lo-LA"/>
        </w:rPr>
        <w:t xml:space="preserve">75 mg/m² docetakselio su cisplatina ir 5-fluorouracilu (galvos ir kaklo vėžiui gydyti) </w:t>
      </w: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p>
    <w:p w:rsidR="00A64DF5" w:rsidRPr="00A64DF5" w:rsidRDefault="00A64DF5" w:rsidP="00D3044D">
      <w:pPr>
        <w:widowControl w:val="0"/>
        <w:numPr>
          <w:ilvl w:val="0"/>
          <w:numId w:val="7"/>
        </w:numPr>
        <w:autoSpaceDE w:val="0"/>
        <w:autoSpaceDN w:val="0"/>
        <w:adjustRightInd w:val="0"/>
        <w:spacing w:after="200" w:line="276" w:lineRule="auto"/>
        <w:ind w:hanging="720"/>
        <w:jc w:val="both"/>
        <w:rPr>
          <w:rFonts w:eastAsia="MS Mincho"/>
          <w:color w:val="000000"/>
          <w:sz w:val="22"/>
          <w:szCs w:val="22"/>
          <w:lang w:eastAsia="ja-JP" w:bidi="lo-LA"/>
        </w:rPr>
      </w:pPr>
      <w:r w:rsidRPr="00A64DF5">
        <w:rPr>
          <w:rFonts w:eastAsia="MS Mincho"/>
          <w:color w:val="000000"/>
          <w:sz w:val="22"/>
          <w:szCs w:val="22"/>
          <w:lang w:eastAsia="ja-JP" w:bidi="lo-LA"/>
        </w:rPr>
        <w:t xml:space="preserve">Įvadinė chemoterapija, po kurios taikoma radioterapija (TAX 323) </w:t>
      </w:r>
    </w:p>
    <w:p w:rsidR="00A64DF5" w:rsidRPr="00A64DF5" w:rsidRDefault="00A64DF5" w:rsidP="00A64DF5">
      <w:pPr>
        <w:widowControl w:val="0"/>
        <w:autoSpaceDE w:val="0"/>
        <w:autoSpaceDN w:val="0"/>
        <w:adjustRightInd w:val="0"/>
        <w:rPr>
          <w:rFonts w:eastAsia="MS Mincho"/>
          <w:color w:val="000000"/>
          <w:lang w:eastAsia="ja-JP" w:bidi="lo-LA"/>
        </w:rPr>
      </w:pPr>
    </w:p>
    <w:tbl>
      <w:tblPr>
        <w:tblW w:w="0" w:type="auto"/>
        <w:tblLayout w:type="fixed"/>
        <w:tblLook w:val="0000" w:firstRow="0" w:lastRow="0" w:firstColumn="0" w:lastColumn="0" w:noHBand="0" w:noVBand="0"/>
      </w:tblPr>
      <w:tblGrid>
        <w:gridCol w:w="2007"/>
        <w:gridCol w:w="2242"/>
        <w:gridCol w:w="2442"/>
        <w:gridCol w:w="2417"/>
      </w:tblGrid>
      <w:tr w:rsidR="00A64DF5" w:rsidRPr="00A64DF5" w:rsidTr="00D3044D">
        <w:trPr>
          <w:trHeight w:val="425"/>
        </w:trPr>
        <w:tc>
          <w:tcPr>
            <w:tcW w:w="2007"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Organų sistemų klasė pagal MedDRA </w:t>
            </w:r>
          </w:p>
        </w:tc>
        <w:tc>
          <w:tcPr>
            <w:tcW w:w="2242"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Labai dažnos nepageidaujamos reakcijos </w:t>
            </w:r>
          </w:p>
        </w:tc>
        <w:tc>
          <w:tcPr>
            <w:tcW w:w="2442"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Dažnos nepageidaujamos reakcijos </w:t>
            </w:r>
          </w:p>
        </w:tc>
        <w:tc>
          <w:tcPr>
            <w:tcW w:w="2417"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Nedažnos nepageidaujamos reakcijos </w:t>
            </w:r>
          </w:p>
        </w:tc>
      </w:tr>
      <w:tr w:rsidR="00A64DF5" w:rsidRPr="00A64DF5" w:rsidTr="00D3044D">
        <w:trPr>
          <w:trHeight w:val="557"/>
        </w:trPr>
        <w:tc>
          <w:tcPr>
            <w:tcW w:w="200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Infekcijos ir infestacijos </w:t>
            </w:r>
          </w:p>
        </w:tc>
        <w:tc>
          <w:tcPr>
            <w:tcW w:w="22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Infekcija (3–4 laipsnio: 6,3 %); su neutropenija susijusi infekcija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1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695"/>
        </w:trPr>
        <w:tc>
          <w:tcPr>
            <w:tcW w:w="200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Gerybiniai, piktybiniai ir nepatikslinti navikai (tarp jų cistos ir polipai) </w:t>
            </w:r>
          </w:p>
        </w:tc>
        <w:tc>
          <w:tcPr>
            <w:tcW w:w="22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Vėžio sukeltas skausmas (3–4 laipsnio: 0,6 %) </w:t>
            </w:r>
          </w:p>
        </w:tc>
        <w:tc>
          <w:tcPr>
            <w:tcW w:w="241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832"/>
        </w:trPr>
        <w:tc>
          <w:tcPr>
            <w:tcW w:w="200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Kraujo ir limfinės sistemos sutrikimai </w:t>
            </w:r>
          </w:p>
        </w:tc>
        <w:tc>
          <w:tcPr>
            <w:tcW w:w="22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Neutropenija (3–4 laipsnio: 76,3 %); anemija (3–4 laipsnio: 9,2%); trombocitopenija (3–4 laipsnio: 5,2 %)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Febrilinė neutropenija </w:t>
            </w:r>
          </w:p>
        </w:tc>
        <w:tc>
          <w:tcPr>
            <w:tcW w:w="241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282"/>
        </w:trPr>
        <w:tc>
          <w:tcPr>
            <w:tcW w:w="2007"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Imuninės sistemos sutrikimai </w:t>
            </w:r>
          </w:p>
        </w:tc>
        <w:tc>
          <w:tcPr>
            <w:tcW w:w="2242"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42"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Padidėjęs jautrumas (nesunkus) </w:t>
            </w:r>
          </w:p>
        </w:tc>
        <w:tc>
          <w:tcPr>
            <w:tcW w:w="2417"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286"/>
        </w:trPr>
        <w:tc>
          <w:tcPr>
            <w:tcW w:w="2007"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Metabolizmo ir mitybos sutrikimai </w:t>
            </w:r>
          </w:p>
        </w:tc>
        <w:tc>
          <w:tcPr>
            <w:tcW w:w="2242"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Anoreksija (3–4 laipsnio: 0,6 %) </w:t>
            </w:r>
          </w:p>
        </w:tc>
        <w:tc>
          <w:tcPr>
            <w:tcW w:w="2442"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17"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556"/>
        </w:trPr>
        <w:tc>
          <w:tcPr>
            <w:tcW w:w="200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Nervų sistemos sutrikimai </w:t>
            </w:r>
          </w:p>
        </w:tc>
        <w:tc>
          <w:tcPr>
            <w:tcW w:w="22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Dizgeuzija / parosmija; periferinė sensorinė neuropatija (3–4 laipsnio: 0,6 %)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Svaigulys </w:t>
            </w:r>
          </w:p>
        </w:tc>
        <w:tc>
          <w:tcPr>
            <w:tcW w:w="241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281"/>
        </w:trPr>
        <w:tc>
          <w:tcPr>
            <w:tcW w:w="200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Akių sutrikimai </w:t>
            </w:r>
          </w:p>
        </w:tc>
        <w:tc>
          <w:tcPr>
            <w:tcW w:w="22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Ašarojimo sustiprėjimas; konjunktyvitas </w:t>
            </w:r>
          </w:p>
        </w:tc>
        <w:tc>
          <w:tcPr>
            <w:tcW w:w="241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281"/>
        </w:trPr>
        <w:tc>
          <w:tcPr>
            <w:tcW w:w="200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Aus</w:t>
            </w:r>
            <w:r w:rsidR="00487BDD">
              <w:rPr>
                <w:rFonts w:eastAsia="MS Mincho"/>
                <w:color w:val="000000"/>
                <w:sz w:val="22"/>
                <w:szCs w:val="22"/>
                <w:lang w:eastAsia="ja-JP" w:bidi="lo-LA"/>
              </w:rPr>
              <w:t>ų</w:t>
            </w:r>
            <w:r w:rsidRPr="00A64DF5">
              <w:rPr>
                <w:rFonts w:eastAsia="MS Mincho"/>
                <w:color w:val="000000"/>
                <w:sz w:val="22"/>
                <w:szCs w:val="22"/>
                <w:lang w:eastAsia="ja-JP" w:bidi="lo-LA"/>
              </w:rPr>
              <w:t xml:space="preserve"> ir labirint</w:t>
            </w:r>
            <w:r w:rsidR="00487BDD">
              <w:rPr>
                <w:rFonts w:eastAsia="MS Mincho"/>
                <w:color w:val="000000"/>
                <w:sz w:val="22"/>
                <w:szCs w:val="22"/>
                <w:lang w:eastAsia="ja-JP" w:bidi="lo-LA"/>
              </w:rPr>
              <w:t>ų</w:t>
            </w:r>
            <w:r w:rsidRPr="00A64DF5">
              <w:rPr>
                <w:rFonts w:eastAsia="MS Mincho"/>
                <w:color w:val="000000"/>
                <w:sz w:val="22"/>
                <w:szCs w:val="22"/>
                <w:lang w:eastAsia="ja-JP" w:bidi="lo-LA"/>
              </w:rPr>
              <w:t xml:space="preserve"> sutrikimai </w:t>
            </w:r>
          </w:p>
        </w:tc>
        <w:tc>
          <w:tcPr>
            <w:tcW w:w="22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Klausos sutrikimas </w:t>
            </w:r>
          </w:p>
        </w:tc>
        <w:tc>
          <w:tcPr>
            <w:tcW w:w="241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282"/>
        </w:trPr>
        <w:tc>
          <w:tcPr>
            <w:tcW w:w="200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Širdies sutrikimai </w:t>
            </w:r>
          </w:p>
        </w:tc>
        <w:tc>
          <w:tcPr>
            <w:tcW w:w="22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Miokardo išemija (3–4 laipsnio: 1,7 %) </w:t>
            </w:r>
          </w:p>
        </w:tc>
        <w:tc>
          <w:tcPr>
            <w:tcW w:w="241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Aritmija (3–4 laipsnio: 0,6 %) </w:t>
            </w:r>
          </w:p>
        </w:tc>
      </w:tr>
      <w:tr w:rsidR="00A64DF5" w:rsidRPr="00A64DF5" w:rsidTr="00D3044D">
        <w:trPr>
          <w:trHeight w:val="281"/>
        </w:trPr>
        <w:tc>
          <w:tcPr>
            <w:tcW w:w="200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Kraujagyslių sutrikimai </w:t>
            </w:r>
          </w:p>
        </w:tc>
        <w:tc>
          <w:tcPr>
            <w:tcW w:w="22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Venų sutrikimai (3–4 laipsnio: 0,6 %) </w:t>
            </w:r>
          </w:p>
        </w:tc>
        <w:tc>
          <w:tcPr>
            <w:tcW w:w="241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1246"/>
        </w:trPr>
        <w:tc>
          <w:tcPr>
            <w:tcW w:w="200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Virškinimo trakto sutrikimai </w:t>
            </w:r>
          </w:p>
        </w:tc>
        <w:tc>
          <w:tcPr>
            <w:tcW w:w="22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Pykinimas (3–4 laipsnio: 0,6 %); stomatitas (3–4 laipsnio: 4,0 %); viduriavimas (3–4 laipsnio: 2,9 %); vėmimas (3–4 laipsnio: 0,6 %)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Vidurių užkietėjimas; ezofagitas / disfagija / odinofagija (3–4 laipsnio: 0,6 %);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pilvo skausmas; dispepsija;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kraujavimas iš virškinimo trakto (3–4 laipsnio: 0,6 %) </w:t>
            </w:r>
          </w:p>
        </w:tc>
        <w:tc>
          <w:tcPr>
            <w:tcW w:w="241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556"/>
        </w:trPr>
        <w:tc>
          <w:tcPr>
            <w:tcW w:w="200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Odos ir poodinio audinio sutrikimai </w:t>
            </w:r>
          </w:p>
        </w:tc>
        <w:tc>
          <w:tcPr>
            <w:tcW w:w="22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Alopecija (3–4 laipsnio: 10,9 %)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Niežtintis bėrimas; odos sausumas; odos eksfoliacija (3–4 </w:t>
            </w:r>
            <w:r w:rsidRPr="00A64DF5">
              <w:rPr>
                <w:rFonts w:eastAsia="MS Mincho"/>
                <w:color w:val="000000"/>
                <w:sz w:val="22"/>
                <w:szCs w:val="22"/>
                <w:lang w:eastAsia="ja-JP" w:bidi="lo-LA"/>
              </w:rPr>
              <w:lastRenderedPageBreak/>
              <w:t xml:space="preserve">laipsnio: 0,6 %) </w:t>
            </w:r>
          </w:p>
        </w:tc>
        <w:tc>
          <w:tcPr>
            <w:tcW w:w="241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418"/>
        </w:trPr>
        <w:tc>
          <w:tcPr>
            <w:tcW w:w="200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lastRenderedPageBreak/>
              <w:t xml:space="preserve">Raumenų, kaulų ir jungiamojo audinio sutrikimai </w:t>
            </w:r>
          </w:p>
        </w:tc>
        <w:tc>
          <w:tcPr>
            <w:tcW w:w="22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Mialgija (3–4 laipsnio: 0,6%) </w:t>
            </w:r>
          </w:p>
        </w:tc>
        <w:tc>
          <w:tcPr>
            <w:tcW w:w="241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832"/>
        </w:trPr>
        <w:tc>
          <w:tcPr>
            <w:tcW w:w="200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Bendrieji sutrikimai ir vartojimo vietos pažeidimai </w:t>
            </w:r>
          </w:p>
        </w:tc>
        <w:tc>
          <w:tcPr>
            <w:tcW w:w="22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Mieguistumas (3–4 laipsnio: 3,4 %); pireksija (3–4 laipsnio: 0,6 %); skysčių susilaikymas; edema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1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143"/>
        </w:trPr>
        <w:tc>
          <w:tcPr>
            <w:tcW w:w="2007"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Tyrimai </w:t>
            </w:r>
          </w:p>
        </w:tc>
        <w:tc>
          <w:tcPr>
            <w:tcW w:w="2242"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42"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Svorio padidėjimas </w:t>
            </w:r>
          </w:p>
        </w:tc>
        <w:tc>
          <w:tcPr>
            <w:tcW w:w="2417"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bl>
    <w:p w:rsidR="00A64DF5" w:rsidRPr="00A64DF5" w:rsidRDefault="00A64DF5" w:rsidP="00A64DF5">
      <w:pPr>
        <w:rPr>
          <w:rFonts w:eastAsia="MS Mincho"/>
          <w:sz w:val="22"/>
          <w:szCs w:val="22"/>
          <w:lang w:eastAsia="ja-JP" w:bidi="lo-LA"/>
        </w:rPr>
      </w:pPr>
    </w:p>
    <w:p w:rsidR="00A64DF5" w:rsidRPr="00A64DF5" w:rsidRDefault="00A64DF5" w:rsidP="00A64DF5">
      <w:pPr>
        <w:widowControl w:val="0"/>
        <w:numPr>
          <w:ilvl w:val="0"/>
          <w:numId w:val="7"/>
        </w:numPr>
        <w:autoSpaceDE w:val="0"/>
        <w:autoSpaceDN w:val="0"/>
        <w:adjustRightInd w:val="0"/>
        <w:spacing w:after="200" w:line="276" w:lineRule="auto"/>
        <w:ind w:hanging="720"/>
        <w:rPr>
          <w:rFonts w:eastAsia="MS Mincho"/>
          <w:color w:val="000000"/>
          <w:sz w:val="22"/>
          <w:szCs w:val="22"/>
          <w:lang w:eastAsia="ja-JP" w:bidi="lo-LA"/>
        </w:rPr>
      </w:pPr>
      <w:r w:rsidRPr="00A64DF5">
        <w:rPr>
          <w:rFonts w:eastAsia="MS Mincho"/>
          <w:color w:val="000000"/>
          <w:sz w:val="22"/>
          <w:szCs w:val="22"/>
          <w:lang w:eastAsia="ja-JP" w:bidi="lo-LA"/>
        </w:rPr>
        <w:t xml:space="preserve">Įvadinė chemoterapija, po kurios taikoma chemoradioterapija (TAX 324) </w:t>
      </w:r>
    </w:p>
    <w:tbl>
      <w:tblPr>
        <w:tblW w:w="0" w:type="auto"/>
        <w:tblLayout w:type="fixed"/>
        <w:tblLook w:val="0000" w:firstRow="0" w:lastRow="0" w:firstColumn="0" w:lastColumn="0" w:noHBand="0" w:noVBand="0"/>
      </w:tblPr>
      <w:tblGrid>
        <w:gridCol w:w="2057"/>
        <w:gridCol w:w="2442"/>
        <w:gridCol w:w="2179"/>
        <w:gridCol w:w="2430"/>
      </w:tblGrid>
      <w:tr w:rsidR="00A64DF5" w:rsidRPr="00A64DF5" w:rsidTr="00D3044D">
        <w:trPr>
          <w:trHeight w:val="286"/>
        </w:trPr>
        <w:tc>
          <w:tcPr>
            <w:tcW w:w="2057"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Organų sistemų klasė pagal MedDRA </w:t>
            </w:r>
          </w:p>
        </w:tc>
        <w:tc>
          <w:tcPr>
            <w:tcW w:w="2442"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Labai dažnos nepageidaujamos reakcijos </w:t>
            </w:r>
          </w:p>
        </w:tc>
        <w:tc>
          <w:tcPr>
            <w:tcW w:w="2179"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Dažnos nepageidaujamos reakcijos </w:t>
            </w:r>
          </w:p>
        </w:tc>
        <w:tc>
          <w:tcPr>
            <w:tcW w:w="2430" w:type="dxa"/>
            <w:tcBorders>
              <w:top w:val="single" w:sz="6"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b/>
                <w:bCs/>
                <w:color w:val="000000"/>
                <w:sz w:val="22"/>
                <w:szCs w:val="22"/>
                <w:lang w:eastAsia="ja-JP" w:bidi="lo-LA"/>
              </w:rPr>
              <w:t xml:space="preserve">Nedažnos nepageidaujamos reakcijos </w:t>
            </w:r>
          </w:p>
        </w:tc>
      </w:tr>
      <w:tr w:rsidR="00A64DF5" w:rsidRPr="00A64DF5" w:rsidTr="00D3044D">
        <w:trPr>
          <w:trHeight w:val="281"/>
        </w:trPr>
        <w:tc>
          <w:tcPr>
            <w:tcW w:w="205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Infekcijos ir infestacijos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Infekcija (3–4 laipsnio: 3,6 %) </w:t>
            </w:r>
          </w:p>
        </w:tc>
        <w:tc>
          <w:tcPr>
            <w:tcW w:w="2179"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Neutropeninė infekcija </w:t>
            </w:r>
          </w:p>
        </w:tc>
        <w:tc>
          <w:tcPr>
            <w:tcW w:w="24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696"/>
        </w:trPr>
        <w:tc>
          <w:tcPr>
            <w:tcW w:w="2057"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Gerybiniai, piktybiniai ir nepatikslinti navikai (tarp jų cistos ir polipai) </w:t>
            </w:r>
          </w:p>
        </w:tc>
        <w:tc>
          <w:tcPr>
            <w:tcW w:w="2442"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79"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Vėžio sukeltas skausmas (3–4 laipsnio: 1,2 %) </w:t>
            </w:r>
          </w:p>
        </w:tc>
        <w:tc>
          <w:tcPr>
            <w:tcW w:w="2430"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976"/>
        </w:trPr>
        <w:tc>
          <w:tcPr>
            <w:tcW w:w="2057"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Kraujo ir limfinės sistemos sutrikimai </w:t>
            </w:r>
          </w:p>
        </w:tc>
        <w:tc>
          <w:tcPr>
            <w:tcW w:w="2442"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Neutropenija (3–4 laipsnio: 83,5 %); anemija (3–4 laipsnio: 12,4 %); trombocitopenija (3–4 laipsnio: 4,0 %); febrilinė neutropenija </w:t>
            </w:r>
          </w:p>
        </w:tc>
        <w:tc>
          <w:tcPr>
            <w:tcW w:w="2179"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30" w:type="dxa"/>
            <w:tcBorders>
              <w:top w:val="single" w:sz="6"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281"/>
        </w:trPr>
        <w:tc>
          <w:tcPr>
            <w:tcW w:w="205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Imuninės sistemos sutrikimai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79"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Padidėjęs jautrumas </w:t>
            </w:r>
          </w:p>
        </w:tc>
      </w:tr>
      <w:tr w:rsidR="00A64DF5" w:rsidRPr="00A64DF5" w:rsidTr="00D3044D">
        <w:trPr>
          <w:trHeight w:val="281"/>
        </w:trPr>
        <w:tc>
          <w:tcPr>
            <w:tcW w:w="205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Metabolizmo ir mitybos sutrikimai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Anoreksija (3–4 laipsnio: 12,0 %) </w:t>
            </w:r>
          </w:p>
        </w:tc>
        <w:tc>
          <w:tcPr>
            <w:tcW w:w="2179"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695"/>
        </w:trPr>
        <w:tc>
          <w:tcPr>
            <w:tcW w:w="205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Nervų sistemos sutrikimai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Dizgeuzija / parosmija (3–4 laipsnio: 0,4 %); periferinė sensorinė neuropatija (3–4 laipsnio: 1,2 %) </w:t>
            </w:r>
          </w:p>
        </w:tc>
        <w:tc>
          <w:tcPr>
            <w:tcW w:w="2179"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Svaigulys (3–4 laipsnio: 2,0 %); periferinė motorinė neuropatija (3–4 laipsnio: 0,4 %) </w:t>
            </w:r>
          </w:p>
        </w:tc>
        <w:tc>
          <w:tcPr>
            <w:tcW w:w="24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281"/>
        </w:trPr>
        <w:tc>
          <w:tcPr>
            <w:tcW w:w="205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Akių sutrikimai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79"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Ašarojimo sustiprėjimas </w:t>
            </w:r>
          </w:p>
        </w:tc>
        <w:tc>
          <w:tcPr>
            <w:tcW w:w="24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Konjunktyvitas </w:t>
            </w:r>
          </w:p>
        </w:tc>
      </w:tr>
      <w:tr w:rsidR="00A64DF5" w:rsidRPr="00A64DF5" w:rsidTr="00D3044D">
        <w:trPr>
          <w:trHeight w:val="282"/>
        </w:trPr>
        <w:tc>
          <w:tcPr>
            <w:tcW w:w="205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Aus</w:t>
            </w:r>
            <w:r w:rsidR="00131DD4">
              <w:rPr>
                <w:rFonts w:eastAsia="MS Mincho"/>
                <w:color w:val="000000"/>
                <w:sz w:val="22"/>
                <w:szCs w:val="22"/>
                <w:lang w:eastAsia="ja-JP" w:bidi="lo-LA"/>
              </w:rPr>
              <w:t>ų</w:t>
            </w:r>
            <w:r w:rsidRPr="00A64DF5">
              <w:rPr>
                <w:rFonts w:eastAsia="MS Mincho"/>
                <w:color w:val="000000"/>
                <w:sz w:val="22"/>
                <w:szCs w:val="22"/>
                <w:lang w:eastAsia="ja-JP" w:bidi="lo-LA"/>
              </w:rPr>
              <w:t xml:space="preserve"> ir labirint</w:t>
            </w:r>
            <w:r w:rsidR="00131DD4">
              <w:rPr>
                <w:rFonts w:eastAsia="MS Mincho"/>
                <w:color w:val="000000"/>
                <w:sz w:val="22"/>
                <w:szCs w:val="22"/>
                <w:lang w:eastAsia="ja-JP" w:bidi="lo-LA"/>
              </w:rPr>
              <w:t>ų</w:t>
            </w:r>
            <w:r w:rsidRPr="00A64DF5">
              <w:rPr>
                <w:rFonts w:eastAsia="MS Mincho"/>
                <w:color w:val="000000"/>
                <w:sz w:val="22"/>
                <w:szCs w:val="22"/>
                <w:lang w:eastAsia="ja-JP" w:bidi="lo-LA"/>
              </w:rPr>
              <w:t xml:space="preserve"> sutrikimai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Klausos sutrikimas (3–4 laipsnio: 1,2 %) </w:t>
            </w:r>
          </w:p>
        </w:tc>
        <w:tc>
          <w:tcPr>
            <w:tcW w:w="2179"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281"/>
        </w:trPr>
        <w:tc>
          <w:tcPr>
            <w:tcW w:w="205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Širdies sutrikimai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79"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Aritmija (3–4 laipsnio: 2,0 %) </w:t>
            </w:r>
          </w:p>
        </w:tc>
        <w:tc>
          <w:tcPr>
            <w:tcW w:w="24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Miokardo išemija </w:t>
            </w:r>
          </w:p>
        </w:tc>
      </w:tr>
      <w:tr w:rsidR="00A64DF5" w:rsidRPr="00A64DF5" w:rsidTr="00D3044D">
        <w:trPr>
          <w:trHeight w:val="142"/>
        </w:trPr>
        <w:tc>
          <w:tcPr>
            <w:tcW w:w="2057"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Kraujagyslių sutrikimai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79"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30" w:type="dxa"/>
            <w:tcBorders>
              <w:top w:val="single" w:sz="4" w:space="0" w:color="000000"/>
              <w:left w:val="single" w:sz="4" w:space="0" w:color="000000"/>
              <w:bottom w:val="single" w:sz="4"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Venų sutrikimas </w:t>
            </w:r>
          </w:p>
        </w:tc>
      </w:tr>
      <w:tr w:rsidR="00A64DF5" w:rsidRPr="00A64DF5" w:rsidTr="00D3044D">
        <w:trPr>
          <w:trHeight w:val="1661"/>
        </w:trPr>
        <w:tc>
          <w:tcPr>
            <w:tcW w:w="205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Virškinimo trakto sutrikimai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Pykinimas (3–4 laipsnio: 13,9 %); stomatitas (3–4 laipsnio: 20,7 %); vėmimas (3–4 laipsnio: 8,4 %);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viduriavimas (3–4 laipsnio: 6,8 %); </w:t>
            </w:r>
            <w:r w:rsidRPr="00A64DF5">
              <w:rPr>
                <w:rFonts w:eastAsia="MS Mincho"/>
                <w:color w:val="000000"/>
                <w:sz w:val="22"/>
                <w:szCs w:val="22"/>
                <w:lang w:eastAsia="ja-JP" w:bidi="lo-LA"/>
              </w:rPr>
              <w:lastRenderedPageBreak/>
              <w:t xml:space="preserve">ezofagitas / disfagija / odinofagija (3–4 laipsnio: 12,0 %); vidurių užkietėjimas (3–4 laipsnio: 0,4 %) </w:t>
            </w:r>
          </w:p>
        </w:tc>
        <w:tc>
          <w:tcPr>
            <w:tcW w:w="2179"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lastRenderedPageBreak/>
              <w:t>Dispepsija (3–4 laipsnio: 0,8 %); virškinimo trakto skausmas (3–4 laipsnio: 1,2 %); kraujavimas iš virškinimo trakto (3–</w:t>
            </w:r>
            <w:r w:rsidRPr="00A64DF5">
              <w:rPr>
                <w:rFonts w:eastAsia="MS Mincho"/>
                <w:color w:val="000000"/>
                <w:sz w:val="22"/>
                <w:szCs w:val="22"/>
                <w:lang w:eastAsia="ja-JP" w:bidi="lo-LA"/>
              </w:rPr>
              <w:lastRenderedPageBreak/>
              <w:t xml:space="preserve">4 laipsnio: 0,4 %) </w:t>
            </w:r>
          </w:p>
        </w:tc>
        <w:tc>
          <w:tcPr>
            <w:tcW w:w="24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418"/>
        </w:trPr>
        <w:tc>
          <w:tcPr>
            <w:tcW w:w="205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lastRenderedPageBreak/>
              <w:t xml:space="preserve">Odos ir poodinio audinio sutrikimai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Alopecija (3–4 laipsnio: 4,0 %); niežtintis bėrimas </w:t>
            </w:r>
          </w:p>
        </w:tc>
        <w:tc>
          <w:tcPr>
            <w:tcW w:w="2179"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Odos sausumas; deskvamacija </w:t>
            </w:r>
          </w:p>
        </w:tc>
        <w:tc>
          <w:tcPr>
            <w:tcW w:w="24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418"/>
        </w:trPr>
        <w:tc>
          <w:tcPr>
            <w:tcW w:w="205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Raumenų, kaulų ir jungiamojo audinio sutrikimai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179"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Mialgija (3–4 laipsnio: 0,4 %) </w:t>
            </w:r>
          </w:p>
        </w:tc>
        <w:tc>
          <w:tcPr>
            <w:tcW w:w="24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832"/>
        </w:trPr>
        <w:tc>
          <w:tcPr>
            <w:tcW w:w="2057"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Bendrieji sutrikimai ir vartojimo vietos pažeidimai </w:t>
            </w:r>
          </w:p>
        </w:tc>
        <w:tc>
          <w:tcPr>
            <w:tcW w:w="2442"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Mieguistumas (3–4 laipsnio: 4,0 %); pireksija (3–4 laipsnio: 3,6 %);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skysčių susilaikymas (3–4 laipsnio: 1,2 %); edema (3–4 laipsnio: 1,2</w:t>
            </w:r>
            <w:r w:rsidR="00FD663C">
              <w:rPr>
                <w:rFonts w:eastAsia="MS Mincho"/>
                <w:color w:val="000000"/>
                <w:sz w:val="22"/>
                <w:szCs w:val="22"/>
                <w:lang w:eastAsia="ja-JP" w:bidi="lo-LA"/>
              </w:rPr>
              <w:t> </w:t>
            </w:r>
            <w:r w:rsidRPr="00A64DF5">
              <w:rPr>
                <w:rFonts w:eastAsia="MS Mincho"/>
                <w:color w:val="000000"/>
                <w:sz w:val="22"/>
                <w:szCs w:val="22"/>
                <w:lang w:eastAsia="ja-JP" w:bidi="lo-LA"/>
              </w:rPr>
              <w:t xml:space="preserve">%) </w:t>
            </w:r>
          </w:p>
        </w:tc>
        <w:tc>
          <w:tcPr>
            <w:tcW w:w="2179"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30" w:type="dxa"/>
            <w:tcBorders>
              <w:top w:val="single" w:sz="4" w:space="0" w:color="000000"/>
              <w:left w:val="single" w:sz="4" w:space="0" w:color="000000"/>
              <w:bottom w:val="single" w:sz="4"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r>
      <w:tr w:rsidR="00A64DF5" w:rsidRPr="00A64DF5" w:rsidTr="00D3044D">
        <w:trPr>
          <w:trHeight w:val="145"/>
        </w:trPr>
        <w:tc>
          <w:tcPr>
            <w:tcW w:w="2057"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Tyrimai </w:t>
            </w:r>
          </w:p>
        </w:tc>
        <w:tc>
          <w:tcPr>
            <w:tcW w:w="2442"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Svorio sumažėjimas </w:t>
            </w:r>
          </w:p>
        </w:tc>
        <w:tc>
          <w:tcPr>
            <w:tcW w:w="2179" w:type="dxa"/>
            <w:tcBorders>
              <w:top w:val="single" w:sz="4" w:space="0" w:color="000000"/>
              <w:left w:val="single" w:sz="4" w:space="0" w:color="000000"/>
              <w:bottom w:val="single" w:sz="6" w:space="0" w:color="000000"/>
              <w:right w:val="single" w:sz="4" w:space="0" w:color="000000"/>
            </w:tcBorders>
          </w:tcPr>
          <w:p w:rsidR="00A64DF5" w:rsidRPr="00A64DF5" w:rsidRDefault="00A64DF5" w:rsidP="00A64DF5">
            <w:pPr>
              <w:widowControl w:val="0"/>
              <w:autoSpaceDE w:val="0"/>
              <w:autoSpaceDN w:val="0"/>
              <w:adjustRightInd w:val="0"/>
              <w:rPr>
                <w:rFonts w:eastAsia="MS Mincho"/>
                <w:color w:val="000000"/>
                <w:sz w:val="22"/>
                <w:szCs w:val="22"/>
                <w:lang w:eastAsia="ja-JP" w:bidi="lo-LA"/>
              </w:rPr>
            </w:pPr>
          </w:p>
        </w:tc>
        <w:tc>
          <w:tcPr>
            <w:tcW w:w="2430" w:type="dxa"/>
            <w:tcBorders>
              <w:top w:val="single" w:sz="4" w:space="0" w:color="000000"/>
              <w:left w:val="single" w:sz="4" w:space="0" w:color="000000"/>
              <w:bottom w:val="single" w:sz="6" w:space="0" w:color="000000"/>
              <w:right w:val="single" w:sz="4" w:space="0" w:color="000000"/>
            </w:tcBorders>
            <w:vAlign w:val="center"/>
          </w:tcPr>
          <w:p w:rsidR="00A64DF5" w:rsidRPr="00A64DF5" w:rsidRDefault="00A64DF5" w:rsidP="00A64DF5">
            <w:pPr>
              <w:widowControl w:val="0"/>
              <w:autoSpaceDE w:val="0"/>
              <w:autoSpaceDN w:val="0"/>
              <w:adjustRightInd w:val="0"/>
              <w:rPr>
                <w:rFonts w:eastAsia="MS Mincho"/>
                <w:color w:val="000000"/>
                <w:sz w:val="22"/>
                <w:szCs w:val="22"/>
                <w:lang w:eastAsia="ja-JP" w:bidi="lo-LA"/>
              </w:rPr>
            </w:pPr>
            <w:r w:rsidRPr="00A64DF5">
              <w:rPr>
                <w:rFonts w:eastAsia="MS Mincho"/>
                <w:color w:val="000000"/>
                <w:sz w:val="22"/>
                <w:szCs w:val="22"/>
                <w:lang w:eastAsia="ja-JP" w:bidi="lo-LA"/>
              </w:rPr>
              <w:t xml:space="preserve">Svorio padidėjimas </w:t>
            </w:r>
          </w:p>
        </w:tc>
      </w:tr>
    </w:tbl>
    <w:p w:rsidR="00A64DF5" w:rsidRPr="00A64DF5" w:rsidRDefault="00A64DF5" w:rsidP="00A64DF5">
      <w:pPr>
        <w:rPr>
          <w:rFonts w:ascii="Calibri" w:eastAsia="MS Mincho" w:hAnsi="Calibri"/>
          <w:sz w:val="22"/>
          <w:szCs w:val="22"/>
          <w:u w:val="single"/>
          <w:lang w:eastAsia="ja-JP" w:bidi="lo-LA"/>
        </w:rPr>
      </w:pPr>
    </w:p>
    <w:p w:rsidR="00A64DF5" w:rsidRPr="00A64DF5" w:rsidRDefault="00A64DF5" w:rsidP="00A64DF5">
      <w:pPr>
        <w:rPr>
          <w:rFonts w:eastAsia="MS Mincho"/>
          <w:sz w:val="22"/>
          <w:szCs w:val="22"/>
          <w:u w:val="single"/>
          <w:lang w:eastAsia="ja-JP" w:bidi="lo-LA"/>
        </w:rPr>
      </w:pPr>
      <w:r w:rsidRPr="00A64DF5">
        <w:rPr>
          <w:rFonts w:eastAsia="MS Mincho"/>
          <w:sz w:val="22"/>
          <w:szCs w:val="22"/>
          <w:u w:val="single"/>
          <w:lang w:eastAsia="ja-JP" w:bidi="lo-LA"/>
        </w:rPr>
        <w:t>Po vaistinio preparato pasirodymo rinkoje pastebėtas nepageidaujamas poveikis</w:t>
      </w:r>
    </w:p>
    <w:p w:rsidR="00A64DF5" w:rsidRPr="00A64DF5" w:rsidRDefault="00A64DF5" w:rsidP="00A64DF5">
      <w:pPr>
        <w:rPr>
          <w:rFonts w:ascii="Calibri" w:eastAsia="MS Mincho" w:hAnsi="Calibri"/>
          <w:sz w:val="22"/>
          <w:szCs w:val="22"/>
          <w:lang w:eastAsia="ja-JP" w:bidi="lo-LA"/>
        </w:rPr>
      </w:pP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Gerybiniai, piktybiniai ir nepatikslinti navikai (tarp jų cistos ir polipai)</w:t>
      </w: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Labai retais atvejais registruota ūmi mieloidinė leukemija bei mielodisplazijos sindromas pacientams, kurie vartojo docetakselį kartu su kitais chemoterapijai skirtais preparatais ir (arba) kuriems buvo taikytas spindulinis gydymas. </w:t>
      </w:r>
    </w:p>
    <w:p w:rsidR="00A64DF5" w:rsidRPr="00A64DF5" w:rsidRDefault="00A64DF5" w:rsidP="00D3044D">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Kraujo ir limfinės sistemos sutrikimai</w:t>
      </w:r>
    </w:p>
    <w:p w:rsidR="00A64DF5" w:rsidRPr="00A64DF5" w:rsidRDefault="00A64DF5" w:rsidP="00D3044D">
      <w:pPr>
        <w:widowControl w:val="0"/>
        <w:autoSpaceDE w:val="0"/>
        <w:autoSpaceDN w:val="0"/>
        <w:adjustRightInd w:val="0"/>
        <w:ind w:right="442"/>
        <w:jc w:val="both"/>
        <w:rPr>
          <w:rFonts w:eastAsia="MS Mincho"/>
          <w:color w:val="000000"/>
          <w:sz w:val="22"/>
          <w:szCs w:val="22"/>
          <w:lang w:eastAsia="ja-JP" w:bidi="lo-LA"/>
        </w:rPr>
      </w:pPr>
      <w:r w:rsidRPr="00A64DF5">
        <w:rPr>
          <w:rFonts w:eastAsia="MS Mincho"/>
          <w:color w:val="000000"/>
          <w:sz w:val="22"/>
          <w:szCs w:val="22"/>
          <w:lang w:eastAsia="ja-JP" w:bidi="lo-LA"/>
        </w:rPr>
        <w:t xml:space="preserve">Pastebėtas kaulų čiulpų slopinimas ir kitokių hematologinių nepageidaujamų reakcijų. Taip pat buvo pranešimų apie diseminuotą intravaskulinę koaguliaciją (DIK), dažnai kartu su sepsiu ir dauginiu organų nepakankamumu. </w:t>
      </w:r>
    </w:p>
    <w:p w:rsidR="00A64DF5" w:rsidRPr="00A64DF5" w:rsidRDefault="00A64DF5" w:rsidP="00D3044D">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Imuninės sistemos sutrikimai</w:t>
      </w: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Buvo anafilaksinio šoko (kartais mirtino) atvejų. </w:t>
      </w:r>
    </w:p>
    <w:p w:rsidR="00A64DF5" w:rsidRPr="00A64DF5" w:rsidRDefault="00A64DF5" w:rsidP="00D3044D">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Nervų sistemos sutrikimai</w:t>
      </w: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Vartojant docetakselį, retais atvejais ištiko traukuliai arba trumpam buvo prarasta sąmonė. Kartais šių reakcijų pasireiškia vaistinio preparato infuzijos metu. </w:t>
      </w:r>
    </w:p>
    <w:p w:rsidR="00A64DF5" w:rsidRPr="00A64DF5" w:rsidRDefault="00A64DF5" w:rsidP="00D3044D">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D3044D">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Akių sutrikimai</w:t>
      </w: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Gauta labai retų pranešimų apie trumpalaikius regos sutrikimus (blykčiojimas, žaibai akyse, skotomos), kurie paprastai atsirasdavo infuzijos metu ir būdavo susiję su padidėjusio jautrumo reakcijomis. Baigus infuziją, šie sutrikimai praeidavo. Aprašyta retų ašarojimo (su konjunktyvitu ar be jo) dėl ašarų latakų užsikimšimo, sukėlusio per didelį ašarojimą, atvejų. </w:t>
      </w:r>
    </w:p>
    <w:p w:rsidR="00A64DF5" w:rsidRPr="00A64DF5" w:rsidRDefault="00A64DF5" w:rsidP="00D3044D">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Aus</w:t>
      </w:r>
      <w:r w:rsidR="00BD5F5D">
        <w:rPr>
          <w:rFonts w:eastAsia="MS Mincho"/>
          <w:i/>
          <w:iCs/>
          <w:color w:val="000000"/>
          <w:sz w:val="22"/>
          <w:szCs w:val="22"/>
          <w:u w:val="single"/>
          <w:lang w:eastAsia="ja-JP" w:bidi="lo-LA"/>
        </w:rPr>
        <w:t>ų</w:t>
      </w:r>
      <w:r w:rsidRPr="00A64DF5">
        <w:rPr>
          <w:rFonts w:eastAsia="MS Mincho"/>
          <w:i/>
          <w:iCs/>
          <w:color w:val="000000"/>
          <w:sz w:val="22"/>
          <w:szCs w:val="22"/>
          <w:u w:val="single"/>
          <w:lang w:eastAsia="ja-JP" w:bidi="lo-LA"/>
        </w:rPr>
        <w:t xml:space="preserve"> ir labirint</w:t>
      </w:r>
      <w:r w:rsidR="00BD5F5D">
        <w:rPr>
          <w:rFonts w:eastAsia="MS Mincho"/>
          <w:i/>
          <w:iCs/>
          <w:color w:val="000000"/>
          <w:sz w:val="22"/>
          <w:szCs w:val="22"/>
          <w:u w:val="single"/>
          <w:lang w:eastAsia="ja-JP" w:bidi="lo-LA"/>
        </w:rPr>
        <w:t>ų</w:t>
      </w:r>
      <w:r w:rsidRPr="00A64DF5">
        <w:rPr>
          <w:rFonts w:eastAsia="MS Mincho"/>
          <w:i/>
          <w:iCs/>
          <w:color w:val="000000"/>
          <w:sz w:val="22"/>
          <w:szCs w:val="22"/>
          <w:u w:val="single"/>
          <w:lang w:eastAsia="ja-JP" w:bidi="lo-LA"/>
        </w:rPr>
        <w:t xml:space="preserve"> sutrikimai</w:t>
      </w: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Buvo retų ototoksinio poveikio, klausos sutrikimo ir (arba) netekimo atvejų. </w:t>
      </w:r>
    </w:p>
    <w:p w:rsidR="00A64DF5" w:rsidRPr="00A64DF5" w:rsidRDefault="00A64DF5" w:rsidP="00D3044D">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Širdies sutrikimai</w:t>
      </w: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Aprašyta retų miokardo infarkto atvejų. </w:t>
      </w:r>
    </w:p>
    <w:p w:rsidR="00A64DF5" w:rsidRPr="00A64DF5" w:rsidRDefault="00A64DF5" w:rsidP="00D3044D">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Kraujagyslių sutrikimai</w:t>
      </w: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Aprašyta retų venų tromboembolijos atvejų. </w:t>
      </w:r>
    </w:p>
    <w:p w:rsidR="00A64DF5" w:rsidRPr="00A64DF5" w:rsidRDefault="00A64DF5" w:rsidP="00D3044D">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Kvėpavimo sistemos, krūtinės ląstos ir tarpuplaučio sutrikimai</w:t>
      </w:r>
    </w:p>
    <w:p w:rsidR="00A64DF5" w:rsidRPr="00A64DF5" w:rsidRDefault="00A64DF5" w:rsidP="00D3044D">
      <w:pPr>
        <w:widowControl w:val="0"/>
        <w:autoSpaceDE w:val="0"/>
        <w:autoSpaceDN w:val="0"/>
        <w:adjustRightInd w:val="0"/>
        <w:ind w:right="135"/>
        <w:jc w:val="both"/>
        <w:rPr>
          <w:rFonts w:eastAsia="MS Mincho"/>
          <w:color w:val="000000"/>
          <w:sz w:val="22"/>
          <w:szCs w:val="22"/>
          <w:lang w:eastAsia="ja-JP" w:bidi="lo-LA"/>
        </w:rPr>
      </w:pPr>
      <w:r w:rsidRPr="00A64DF5">
        <w:rPr>
          <w:rFonts w:eastAsia="MS Mincho"/>
          <w:color w:val="000000"/>
          <w:sz w:val="22"/>
          <w:szCs w:val="22"/>
          <w:lang w:eastAsia="ja-JP" w:bidi="lo-LA"/>
        </w:rPr>
        <w:t xml:space="preserve">Aprašyta retų ūminio kvėpavimo distreso sindromo, intersticinės pneumonijos ir plaučių fibrozės atvejų. Retai pacientams, kuriems tuo pačiu metu buvo taikomas spindulinis gydymas, pasireiškė radiacinis pneumonitas. </w:t>
      </w:r>
    </w:p>
    <w:p w:rsidR="00A64DF5" w:rsidRPr="00A64DF5" w:rsidRDefault="00A64DF5" w:rsidP="00D3044D">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Virškinimo trakto sutrikimai</w:t>
      </w:r>
    </w:p>
    <w:p w:rsidR="00A64DF5" w:rsidRPr="00A64DF5" w:rsidRDefault="00A64DF5" w:rsidP="00D3044D">
      <w:pPr>
        <w:widowControl w:val="0"/>
        <w:autoSpaceDE w:val="0"/>
        <w:autoSpaceDN w:val="0"/>
        <w:adjustRightInd w:val="0"/>
        <w:ind w:right="135"/>
        <w:jc w:val="both"/>
        <w:rPr>
          <w:rFonts w:eastAsia="MS Mincho"/>
          <w:color w:val="000000"/>
          <w:sz w:val="22"/>
          <w:szCs w:val="22"/>
          <w:lang w:eastAsia="ja-JP" w:bidi="lo-LA"/>
        </w:rPr>
      </w:pPr>
      <w:r w:rsidRPr="00A64DF5">
        <w:rPr>
          <w:rFonts w:eastAsia="MS Mincho"/>
          <w:color w:val="000000"/>
          <w:sz w:val="22"/>
          <w:szCs w:val="22"/>
          <w:lang w:eastAsia="ja-JP" w:bidi="lo-LA"/>
        </w:rPr>
        <w:t xml:space="preserve">Retais atvejais pasireiškė dehidratacija dėl poveikio virškinimo traktui, virškinimo trakto perforacija, išeminis kolitas, kolitas ir neutropeninis enterokolitas. Retais atvejais pasireiškė žarnų nepraeinamumas ir žarnų obstrukcija. </w:t>
      </w:r>
    </w:p>
    <w:p w:rsidR="00A64DF5" w:rsidRPr="00A64DF5" w:rsidRDefault="00A64DF5" w:rsidP="00D3044D">
      <w:pPr>
        <w:widowControl w:val="0"/>
        <w:autoSpaceDE w:val="0"/>
        <w:autoSpaceDN w:val="0"/>
        <w:adjustRightInd w:val="0"/>
        <w:jc w:val="both"/>
        <w:rPr>
          <w:rFonts w:eastAsia="MS Mincho"/>
          <w:color w:val="000000"/>
          <w:lang w:eastAsia="ja-JP" w:bidi="lo-LA"/>
        </w:rPr>
      </w:pP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Kepenų, tulžies pūslės ir latakų sutrikimai</w:t>
      </w:r>
    </w:p>
    <w:p w:rsidR="00A64DF5" w:rsidRPr="00A64DF5" w:rsidRDefault="00A64DF5" w:rsidP="00D3044D">
      <w:pPr>
        <w:widowControl w:val="0"/>
        <w:autoSpaceDE w:val="0"/>
        <w:autoSpaceDN w:val="0"/>
        <w:adjustRightInd w:val="0"/>
        <w:ind w:right="357"/>
        <w:jc w:val="both"/>
        <w:rPr>
          <w:rFonts w:eastAsia="MS Mincho"/>
          <w:color w:val="000000"/>
          <w:sz w:val="22"/>
          <w:szCs w:val="22"/>
          <w:lang w:eastAsia="ja-JP" w:bidi="lo-LA"/>
        </w:rPr>
      </w:pPr>
      <w:r w:rsidRPr="00A64DF5">
        <w:rPr>
          <w:rFonts w:eastAsia="MS Mincho"/>
          <w:color w:val="000000"/>
          <w:sz w:val="22"/>
          <w:szCs w:val="22"/>
          <w:lang w:eastAsia="ja-JP" w:bidi="lo-LA"/>
        </w:rPr>
        <w:t xml:space="preserve">Aprašyta labai retų hepatito atvejų, kai kuriais jis buvo mirtinas, ypač jeigu pacientas jau anksčiau sirgo kepenų liga. </w:t>
      </w:r>
    </w:p>
    <w:p w:rsidR="00A64DF5" w:rsidRPr="00A64DF5" w:rsidRDefault="00A64DF5" w:rsidP="00D3044D">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Odos ir poodinio audinio sutrikimai</w:t>
      </w:r>
    </w:p>
    <w:p w:rsidR="00A64DF5" w:rsidRPr="00A64DF5" w:rsidRDefault="00A64DF5" w:rsidP="00D3044D">
      <w:pPr>
        <w:widowControl w:val="0"/>
        <w:autoSpaceDE w:val="0"/>
        <w:autoSpaceDN w:val="0"/>
        <w:adjustRightInd w:val="0"/>
        <w:ind w:right="280"/>
        <w:jc w:val="both"/>
        <w:rPr>
          <w:rFonts w:eastAsia="MS Mincho"/>
          <w:color w:val="000000"/>
          <w:sz w:val="22"/>
          <w:szCs w:val="22"/>
          <w:lang w:eastAsia="ja-JP" w:bidi="lo-LA"/>
        </w:rPr>
      </w:pPr>
      <w:r w:rsidRPr="00A64DF5">
        <w:rPr>
          <w:rFonts w:eastAsia="MS Mincho"/>
          <w:color w:val="000000"/>
          <w:sz w:val="22"/>
          <w:szCs w:val="22"/>
          <w:lang w:eastAsia="ja-JP" w:bidi="lo-LA"/>
        </w:rPr>
        <w:t xml:space="preserve">Labai retais atvejais docetakselį vartojantiems pacientams atsirado sisteminės raudonosios vilkligės odos forma arba pūslinis išbėrimas (pvz., pasireiškė daugiaformė eritema, Stevens – Johnson sindromas, toksinė epidermolizė). Kai kada tam įtakos galėjo turėti ir kiti veiksniai. Gauta pranešimų, kad docetakselis sukėlė į sklerodermiją panašių pokyčių (paprastai prieš tai pasireikšdavo periferinė limfedema). </w:t>
      </w:r>
    </w:p>
    <w:p w:rsidR="00A64DF5" w:rsidRPr="00A64DF5" w:rsidRDefault="00A64DF5" w:rsidP="00D3044D">
      <w:pPr>
        <w:widowControl w:val="0"/>
        <w:autoSpaceDE w:val="0"/>
        <w:autoSpaceDN w:val="0"/>
        <w:adjustRightInd w:val="0"/>
        <w:jc w:val="both"/>
        <w:rPr>
          <w:rFonts w:eastAsia="MS Mincho"/>
          <w:i/>
          <w:iCs/>
          <w:color w:val="000000"/>
          <w:sz w:val="22"/>
          <w:szCs w:val="22"/>
          <w:u w:val="single"/>
          <w:lang w:eastAsia="ja-JP" w:bidi="lo-LA"/>
        </w:rPr>
      </w:pPr>
    </w:p>
    <w:p w:rsidR="00A64DF5" w:rsidRP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i/>
          <w:iCs/>
          <w:color w:val="000000"/>
          <w:sz w:val="22"/>
          <w:szCs w:val="22"/>
          <w:u w:val="single"/>
          <w:lang w:eastAsia="ja-JP" w:bidi="lo-LA"/>
        </w:rPr>
        <w:t>Bendrieji sutrikimai ir vartojimo vietos pažeidimai</w:t>
      </w:r>
    </w:p>
    <w:p w:rsidR="00A64DF5" w:rsidRDefault="00A64DF5" w:rsidP="00D3044D">
      <w:pPr>
        <w:widowControl w:val="0"/>
        <w:autoSpaceDE w:val="0"/>
        <w:autoSpaceDN w:val="0"/>
        <w:adjustRightInd w:val="0"/>
        <w:jc w:val="both"/>
        <w:rPr>
          <w:rFonts w:eastAsia="MS Mincho"/>
          <w:color w:val="000000"/>
          <w:sz w:val="22"/>
          <w:szCs w:val="22"/>
          <w:lang w:eastAsia="ja-JP" w:bidi="lo-LA"/>
        </w:rPr>
      </w:pPr>
      <w:r w:rsidRPr="00A64DF5">
        <w:rPr>
          <w:rFonts w:eastAsia="MS Mincho"/>
          <w:color w:val="000000"/>
          <w:sz w:val="22"/>
          <w:szCs w:val="22"/>
          <w:lang w:eastAsia="ja-JP" w:bidi="lo-LA"/>
        </w:rPr>
        <w:t xml:space="preserve">Aprašyta retų spindulinio gydymo sukeltų reakcijų atsinaujinimo fenomeno atvejų. Kartu su skysčių susilaikymu ūminių oligurijos ar hipotenzijos epizodų nebuvo. Aprašyta retų dehidratacijos ir plaučių edemos atvejų. </w:t>
      </w:r>
    </w:p>
    <w:p w:rsidR="00A64DF5" w:rsidRPr="00A64DF5" w:rsidRDefault="00A64DF5" w:rsidP="00A64DF5">
      <w:pPr>
        <w:widowControl w:val="0"/>
        <w:autoSpaceDE w:val="0"/>
        <w:autoSpaceDN w:val="0"/>
        <w:adjustRightInd w:val="0"/>
        <w:rPr>
          <w:rFonts w:eastAsia="MS Mincho"/>
          <w:color w:val="000000"/>
          <w:sz w:val="22"/>
          <w:szCs w:val="22"/>
          <w:lang w:eastAsia="ja-JP" w:bidi="lo-LA"/>
        </w:rPr>
      </w:pPr>
    </w:p>
    <w:p w:rsidR="00633D05" w:rsidRPr="0084041E" w:rsidRDefault="00633D05" w:rsidP="00633D05">
      <w:pPr>
        <w:pStyle w:val="PI-2EMEASMCA"/>
      </w:pPr>
      <w:r w:rsidRPr="0084041E">
        <w:t>4.9</w:t>
      </w:r>
      <w:r w:rsidRPr="0084041E">
        <w:tab/>
        <w:t>Perdozavimas</w:t>
      </w:r>
      <w:bookmarkEnd w:id="28"/>
      <w:bookmarkEnd w:id="29"/>
    </w:p>
    <w:p w:rsidR="00633D05" w:rsidRPr="0084041E" w:rsidRDefault="00633D05" w:rsidP="00732C31">
      <w:pPr>
        <w:pStyle w:val="BTEMEASMCA"/>
      </w:pPr>
    </w:p>
    <w:p w:rsidR="00D3044D" w:rsidRPr="00D3044D" w:rsidRDefault="00D3044D" w:rsidP="00732C31">
      <w:pPr>
        <w:pStyle w:val="BTEMEASMCA"/>
      </w:pPr>
      <w:r w:rsidRPr="00D3044D">
        <w:t xml:space="preserve">Aprašyti keli perdozavimo atvejai. Priešnuodžio perdozuotam docetakseliui nežinoma. Perdozavus, pacientą reikia gydyti specializuotame skyriuje ir atidžiai stebėti gyvybines funkcijas. Perdozavus tikėtinas nepageidaujamų reiškinių paūmėjimas. Labiausiai tikėtinos perdozavimo komplikacijos – kaulų čiulpų slopinimas, periferinis neurotoksinis poveikis ir mukozitas. Nustačius apie perdozavimą, pacientui reikia nedelsiant skirti G-KSF. Prireikus, taikomos kitos simptominės priemonės. </w:t>
      </w:r>
    </w:p>
    <w:p w:rsidR="00633D05" w:rsidRPr="0084041E" w:rsidRDefault="00633D05" w:rsidP="00732C31">
      <w:pPr>
        <w:pStyle w:val="BTEMEASMCA"/>
      </w:pPr>
    </w:p>
    <w:p w:rsidR="00633D05" w:rsidRPr="0084041E" w:rsidRDefault="00633D05" w:rsidP="00732C31">
      <w:pPr>
        <w:pStyle w:val="BTEMEASMCA"/>
      </w:pPr>
    </w:p>
    <w:p w:rsidR="00633D05" w:rsidRPr="0084041E" w:rsidRDefault="00633D05" w:rsidP="00633D05">
      <w:pPr>
        <w:pStyle w:val="PI-1EMEASMCA"/>
      </w:pPr>
      <w:bookmarkStart w:id="30" w:name="_Toc129243111"/>
      <w:bookmarkStart w:id="31" w:name="_Toc129243236"/>
      <w:r w:rsidRPr="0084041E">
        <w:t>5.</w:t>
      </w:r>
      <w:r w:rsidRPr="0084041E">
        <w:tab/>
        <w:t>FARMAKOLOGINĖS SAVYBĖS</w:t>
      </w:r>
      <w:bookmarkEnd w:id="30"/>
      <w:bookmarkEnd w:id="31"/>
    </w:p>
    <w:p w:rsidR="00633D05" w:rsidRPr="0084041E" w:rsidRDefault="00633D05" w:rsidP="00732C31">
      <w:pPr>
        <w:pStyle w:val="BTEMEASMCA"/>
      </w:pPr>
    </w:p>
    <w:p w:rsidR="00633D05" w:rsidRPr="0084041E" w:rsidRDefault="00633D05" w:rsidP="00633D05">
      <w:pPr>
        <w:pStyle w:val="PI-2EMEASMCA"/>
      </w:pPr>
      <w:bookmarkStart w:id="32" w:name="_Toc129243112"/>
      <w:bookmarkStart w:id="33" w:name="_Toc129243237"/>
      <w:r>
        <w:t>5.1</w:t>
      </w:r>
      <w:r w:rsidRPr="0084041E">
        <w:tab/>
        <w:t>Farmakodinaminės savybės</w:t>
      </w:r>
      <w:bookmarkEnd w:id="32"/>
      <w:bookmarkEnd w:id="33"/>
    </w:p>
    <w:p w:rsidR="00633D05" w:rsidRPr="0084041E" w:rsidRDefault="00633D05" w:rsidP="00732C31">
      <w:pPr>
        <w:pStyle w:val="BTEMEASMCA"/>
      </w:pPr>
    </w:p>
    <w:p w:rsidR="00D3044D" w:rsidRPr="00D3044D" w:rsidRDefault="00D3044D" w:rsidP="00732C31">
      <w:pPr>
        <w:pStyle w:val="BTEMEASMCA"/>
      </w:pPr>
      <w:r w:rsidRPr="00D3044D">
        <w:t xml:space="preserve">Farmakoterapinė grupė – antinavikiniai vaistai, ATC kodas – L01CD 02 </w:t>
      </w:r>
    </w:p>
    <w:p w:rsidR="00D3044D" w:rsidRPr="00D3044D" w:rsidRDefault="00D3044D" w:rsidP="00732C31">
      <w:pPr>
        <w:pStyle w:val="BTEMEASMCA"/>
      </w:pPr>
    </w:p>
    <w:p w:rsidR="00D3044D" w:rsidRPr="00D3044D" w:rsidRDefault="00D3044D" w:rsidP="00732C31">
      <w:pPr>
        <w:pStyle w:val="BTEMEASMCA"/>
      </w:pPr>
      <w:r w:rsidRPr="00D3044D">
        <w:t>Ikiklinikinių tyrimų duomenys</w:t>
      </w:r>
    </w:p>
    <w:p w:rsidR="00D3044D" w:rsidRPr="00D3044D" w:rsidRDefault="00D3044D" w:rsidP="00732C31">
      <w:pPr>
        <w:pStyle w:val="BTEMEASMCA"/>
      </w:pPr>
    </w:p>
    <w:p w:rsidR="00D3044D" w:rsidRPr="00D3044D" w:rsidRDefault="00D3044D" w:rsidP="00732C31">
      <w:pPr>
        <w:pStyle w:val="BTEMEASMCA"/>
      </w:pPr>
      <w:r w:rsidRPr="00D3044D">
        <w:t xml:space="preserve">Docetakselis yra vaistas nuo vėžio, skatinantis tubulino jungimąsi į stabilius mikrovamzdelius ir neleidžiantis jiems atsiskirti. Dėl tokio poveikio gerokai sumažėja laisvojo tubulino. Įtakos protofilamenų skaičiui docetakselio prisijungimas prie mikrovamzdelių neturi. </w:t>
      </w:r>
    </w:p>
    <w:p w:rsidR="00D3044D" w:rsidRPr="00D3044D" w:rsidRDefault="00D3044D" w:rsidP="00732C31">
      <w:pPr>
        <w:pStyle w:val="BTEMEASMCA"/>
      </w:pPr>
    </w:p>
    <w:p w:rsidR="00D3044D" w:rsidRPr="00D3044D" w:rsidRDefault="00D3044D" w:rsidP="00732C31">
      <w:pPr>
        <w:pStyle w:val="BTEMEASMCA"/>
      </w:pPr>
      <w:r w:rsidRPr="00D3044D">
        <w:t xml:space="preserve">Nustatyta, kad </w:t>
      </w:r>
      <w:r w:rsidRPr="00D3044D">
        <w:rPr>
          <w:i/>
          <w:iCs/>
        </w:rPr>
        <w:t xml:space="preserve">in vitro </w:t>
      </w:r>
      <w:r w:rsidRPr="00D3044D">
        <w:t xml:space="preserve">docetakselis suardo mikrovamzdelių tinklą, būtiną gyvybinėms ląstelės funkcijoms mitozės ir interfazės metu. Klonogeniniais tyrimais nustatyta, kad </w:t>
      </w:r>
      <w:r w:rsidRPr="00D3044D">
        <w:rPr>
          <w:i/>
          <w:iCs/>
        </w:rPr>
        <w:t xml:space="preserve">in vitro </w:t>
      </w:r>
      <w:r w:rsidRPr="00D3044D">
        <w:t xml:space="preserve">docetakselis yra citotoksiškas įvairioms graužikų ir žmonių navikinių ląstelių linijoms bei ką tik pašalintoms žmogaus navikų ląstelėms. Ląstelėse susidaro didelė docetakselio koncentracija, šis vaistas jose išlieka ilgai. Be to, nustatyta, kad docetakselis veikia kai kurias (bet ne visas) ląstelių linijas, kuriose labai stipriai išreikšta p-glikoproteino ekspresija (pastarąjį koduoja naviko atsparumą daugeliui vaistų lemiantis genas). </w:t>
      </w:r>
      <w:r w:rsidRPr="00D3044D">
        <w:rPr>
          <w:i/>
          <w:iCs/>
        </w:rPr>
        <w:t>In vivo</w:t>
      </w:r>
      <w:r w:rsidRPr="00D3044D">
        <w:t xml:space="preserve"> docetakselio poveikis nepriklauso nuo jo vartojimo tvarkos, eksperimentais nustatytas platus šio vaisto veikimo prieš progresavusius graužikų navikus ir persodintus žmogaus navikus spektras. </w:t>
      </w:r>
    </w:p>
    <w:p w:rsidR="00D3044D" w:rsidRPr="00D3044D" w:rsidRDefault="00D3044D" w:rsidP="00732C31">
      <w:pPr>
        <w:pStyle w:val="BTEMEASMCA"/>
      </w:pPr>
    </w:p>
    <w:p w:rsidR="00D3044D" w:rsidRPr="00D3044D" w:rsidRDefault="00D3044D" w:rsidP="00732C31">
      <w:pPr>
        <w:pStyle w:val="BTEMEASMCA"/>
      </w:pPr>
      <w:r w:rsidRPr="00D3044D">
        <w:t>Klinikinių tyrimų duomenys</w:t>
      </w:r>
    </w:p>
    <w:p w:rsidR="00D3044D" w:rsidRPr="00D3044D" w:rsidRDefault="00D3044D" w:rsidP="00732C31">
      <w:pPr>
        <w:pStyle w:val="BTEMEASMCA"/>
      </w:pPr>
    </w:p>
    <w:p w:rsidR="00D3044D" w:rsidRPr="00D3044D" w:rsidRDefault="00D3044D" w:rsidP="00732C31">
      <w:pPr>
        <w:pStyle w:val="BTEMEASMCA"/>
      </w:pPr>
      <w:r w:rsidRPr="00D3044D">
        <w:t xml:space="preserve">Krūties vėžys </w:t>
      </w:r>
    </w:p>
    <w:p w:rsidR="00D3044D" w:rsidRPr="00D3044D" w:rsidRDefault="00D3044D" w:rsidP="00732C31">
      <w:pPr>
        <w:pStyle w:val="BTEMEASMCA"/>
      </w:pPr>
    </w:p>
    <w:p w:rsidR="00D3044D" w:rsidRPr="00D3044D" w:rsidRDefault="00D3044D" w:rsidP="00732C31">
      <w:pPr>
        <w:pStyle w:val="BTEMEASMCA"/>
      </w:pPr>
      <w:r w:rsidRPr="00D3044D">
        <w:t>Docetakselio derinys su doksorubicinu ir ciklofosfamidu (</w:t>
      </w:r>
      <w:r w:rsidR="00506757">
        <w:t>adjuvantinis</w:t>
      </w:r>
      <w:r w:rsidR="00506757" w:rsidRPr="00D3044D">
        <w:t xml:space="preserve"> </w:t>
      </w:r>
      <w:r w:rsidRPr="00D3044D">
        <w:t xml:space="preserve">gydymas) </w:t>
      </w:r>
    </w:p>
    <w:p w:rsidR="00D3044D" w:rsidRPr="00D3044D" w:rsidRDefault="00D3044D" w:rsidP="00732C31">
      <w:pPr>
        <w:pStyle w:val="BTEMEASMCA"/>
      </w:pPr>
    </w:p>
    <w:p w:rsidR="00D3044D" w:rsidRPr="00D3044D" w:rsidRDefault="00D3044D" w:rsidP="00732C31">
      <w:pPr>
        <w:pStyle w:val="BTEMEASMCA"/>
      </w:pPr>
      <w:r w:rsidRPr="00D3044D">
        <w:t xml:space="preserve">Pacientės sergančios tinkamu operuoti į limfmazgius metastazavusiu krūties vėžiu (TAX 316) </w:t>
      </w:r>
    </w:p>
    <w:p w:rsidR="00D3044D" w:rsidRPr="00D3044D" w:rsidRDefault="00D3044D" w:rsidP="00732C31">
      <w:pPr>
        <w:pStyle w:val="BTEMEASMCA"/>
      </w:pPr>
    </w:p>
    <w:p w:rsidR="00D3044D" w:rsidRPr="00D3044D" w:rsidRDefault="00D3044D" w:rsidP="00732C31">
      <w:pPr>
        <w:pStyle w:val="BTEMEASMCA"/>
      </w:pPr>
      <w:r w:rsidRPr="00D3044D">
        <w:t xml:space="preserve">Docetakselio vartojimas į limfmazgius metastazavusio tinkamo operuoti krūties vėžio </w:t>
      </w:r>
      <w:r w:rsidR="00804B4A">
        <w:t>adjuvantiniam</w:t>
      </w:r>
      <w:r w:rsidR="00804B4A" w:rsidRPr="00D3044D">
        <w:t xml:space="preserve"> </w:t>
      </w:r>
      <w:r w:rsidRPr="00D3044D">
        <w:t xml:space="preserve">gydymui 18–70 metų pacientėms, kurių KPS (būklė pagal Karnofsky skalę) vertinama ≥ 80%, pagrįstas daugiacentrio, atviro, atsitiktinės atrankos tyrimo duomenimis. Atlikus stratifikavimą pagal limfmazgių, kuriuose rasta metastazių, skaičių (1-3, 4+), 1491 pacientės atsitiktinai parinktos vartoti 75 mg/m2 docetakselio 1 val. po 50 mg/m2 doksorubicino ir 500 mg/m2 ciklofosfamido (TAC grupė) arba 50 mg/m2 doksorubicino, o paskui 500 mg/m2 fluorouracilo ir 500 mg/m2 ciklofosfamido (FAC grupė). Abi gydymo schemos buvo taikomos kartą kas 3 savaites 6 gydymo kursus. Docetakselis infuzuotas per 1 val., visi kiti vaistiniai preparatai vartoti intraveninio boliuso būdu pirmąją kurso dieną. </w:t>
      </w:r>
      <w:r w:rsidR="00480417">
        <w:t>pacientams, kuriems</w:t>
      </w:r>
      <w:r w:rsidRPr="00D3044D">
        <w:t xml:space="preserve"> pasireiškė neutropenija su komplikacijomis (febriline neutropenija, ilgalaike neutropenija ar infekcija), antrinei profilaktikai skirta G-KSF. TAC grupės pacientės infekcijos profilaktikai gėrė po 500 mg ciprofloksacino 2 kartus per parą 10 dienų nuo 5-os kiekvieno kurso dienos arba atitinkamai kitą antibiotiką. Po paskutinio chemoterapijos kurso abiejų grupių </w:t>
      </w:r>
      <w:r w:rsidR="00480417">
        <w:t>pacientams, kuriems</w:t>
      </w:r>
      <w:r w:rsidRPr="00D3044D">
        <w:t xml:space="preserve"> rasta teigiamų estrogenų ir (ar) progesterono receptorių, skirta 20 mg tamoksifeno per parą iki 5 metų. Pagalbinis spindulinis gydymas skirtas 69 % TAC grupės ir 72 % FAC grupės pacienčių, remiantis tyrime dalyvavusiose institucijose priimta praktika. </w:t>
      </w:r>
    </w:p>
    <w:p w:rsidR="00D3044D" w:rsidRPr="00D3044D" w:rsidRDefault="00D3044D" w:rsidP="00732C31">
      <w:pPr>
        <w:pStyle w:val="BTEMEASMCA"/>
      </w:pPr>
    </w:p>
    <w:p w:rsidR="00D3044D" w:rsidRPr="00D3044D" w:rsidRDefault="00D3044D" w:rsidP="00732C31">
      <w:pPr>
        <w:pStyle w:val="BTEMEASMCA"/>
      </w:pPr>
      <w:r w:rsidRPr="00D3044D">
        <w:t>Atlikta tarpinė 55 mėnesių trukmės stebėjimo laikotarpio analizė. Nustatyta, kad TAC grupės pacient</w:t>
      </w:r>
      <w:r w:rsidR="00480417">
        <w:t>ai</w:t>
      </w:r>
      <w:r w:rsidRPr="00D3044D">
        <w:t xml:space="preserve"> be ligos reiškinių išgyveno reikšmingai ilgiau negu FAC. Sumažėjo atkryčių po 5 metų skaičius pacientams, gydytiems TAC, palyginus su gydytaisiais FAC (25 % su 32 %, atitinkamai), t.y. absoliuti rizika sumažėjo 7 % (p = 0,001). Bendras 5 metų išgyvenamumas taip pat reikšmingai padidėjo TAC grupėje, palyginus su FAC (87 % su 81 %, atitinkamai), t.y. absoliuti mirties rizika sumažėjo 6 % (p = 0,008). Išanalizuoti TAC gydytų pacienčių poaibiai, sudaryti pagal prospektyviniu būdu nustatytus pagrindinius prognozės kriterijus: </w:t>
      </w:r>
    </w:p>
    <w:p w:rsidR="00D3044D" w:rsidRPr="00D3044D" w:rsidRDefault="00D3044D" w:rsidP="00732C31">
      <w:pPr>
        <w:pStyle w:val="BTEMEASMCA"/>
      </w:pPr>
    </w:p>
    <w:tbl>
      <w:tblPr>
        <w:tblW w:w="0" w:type="auto"/>
        <w:tblLayout w:type="fixed"/>
        <w:tblLook w:val="0000" w:firstRow="0" w:lastRow="0" w:firstColumn="0" w:lastColumn="0" w:noHBand="0" w:noVBand="0"/>
      </w:tblPr>
      <w:tblGrid>
        <w:gridCol w:w="1160"/>
        <w:gridCol w:w="1150"/>
        <w:gridCol w:w="1147"/>
        <w:gridCol w:w="1314"/>
        <w:gridCol w:w="976"/>
        <w:gridCol w:w="1147"/>
        <w:gridCol w:w="1363"/>
        <w:gridCol w:w="945"/>
      </w:tblGrid>
      <w:tr w:rsidR="00D3044D" w:rsidRPr="00D3044D" w:rsidTr="00D3044D">
        <w:trPr>
          <w:trHeight w:val="148"/>
        </w:trPr>
        <w:tc>
          <w:tcPr>
            <w:tcW w:w="1160" w:type="dxa"/>
            <w:tcBorders>
              <w:bottom w:val="single" w:sz="6" w:space="0" w:color="000000"/>
            </w:tcBorders>
          </w:tcPr>
          <w:p w:rsidR="00D3044D" w:rsidRPr="00DC16A2" w:rsidRDefault="00D3044D" w:rsidP="00732C31">
            <w:pPr>
              <w:pStyle w:val="BTEMEASMCA"/>
              <w:rPr>
                <w:lang w:val="lt-LT"/>
              </w:rPr>
            </w:pPr>
          </w:p>
        </w:tc>
        <w:tc>
          <w:tcPr>
            <w:tcW w:w="1150" w:type="dxa"/>
            <w:tcBorders>
              <w:bottom w:val="single" w:sz="6" w:space="0" w:color="000000"/>
              <w:right w:val="single" w:sz="4" w:space="0" w:color="auto"/>
            </w:tcBorders>
          </w:tcPr>
          <w:p w:rsidR="00D3044D" w:rsidRPr="00DC16A2" w:rsidRDefault="00D3044D" w:rsidP="00732C31">
            <w:pPr>
              <w:pStyle w:val="BTEMEASMCA"/>
              <w:rPr>
                <w:lang w:val="lt-LT"/>
              </w:rPr>
            </w:pPr>
          </w:p>
        </w:tc>
        <w:tc>
          <w:tcPr>
            <w:tcW w:w="3437" w:type="dxa"/>
            <w:gridSpan w:val="3"/>
            <w:tcBorders>
              <w:top w:val="single" w:sz="6" w:space="0" w:color="000000"/>
              <w:left w:val="single" w:sz="4" w:space="0" w:color="auto"/>
              <w:bottom w:val="single" w:sz="6"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Išgyvenamumas be ligos reiškinių </w:t>
            </w:r>
          </w:p>
        </w:tc>
        <w:tc>
          <w:tcPr>
            <w:tcW w:w="2510" w:type="dxa"/>
            <w:gridSpan w:val="2"/>
            <w:tcBorders>
              <w:top w:val="single" w:sz="6" w:space="0" w:color="000000"/>
              <w:left w:val="single" w:sz="4" w:space="0" w:color="000000"/>
              <w:bottom w:val="single" w:sz="6" w:space="0" w:color="000000"/>
            </w:tcBorders>
            <w:vAlign w:val="center"/>
          </w:tcPr>
          <w:p w:rsidR="00D3044D" w:rsidRPr="00DC16A2" w:rsidRDefault="00D3044D" w:rsidP="00732C31">
            <w:pPr>
              <w:pStyle w:val="BTEMEASMCA"/>
              <w:rPr>
                <w:lang w:val="lt-LT"/>
              </w:rPr>
            </w:pPr>
            <w:r w:rsidRPr="00DC16A2">
              <w:rPr>
                <w:lang w:val="lt-LT"/>
              </w:rPr>
              <w:t xml:space="preserve">Bendras išgyvenamumas </w:t>
            </w:r>
          </w:p>
        </w:tc>
        <w:tc>
          <w:tcPr>
            <w:tcW w:w="945" w:type="dxa"/>
            <w:tcBorders>
              <w:top w:val="single" w:sz="6" w:space="0" w:color="000000"/>
              <w:bottom w:val="single" w:sz="6" w:space="0" w:color="000000"/>
              <w:right w:val="single" w:sz="4" w:space="0" w:color="000000"/>
            </w:tcBorders>
          </w:tcPr>
          <w:p w:rsidR="00D3044D" w:rsidRPr="00DC16A2" w:rsidRDefault="00D3044D" w:rsidP="00732C31">
            <w:pPr>
              <w:pStyle w:val="BTEMEASMCA"/>
              <w:rPr>
                <w:lang w:val="lt-LT"/>
              </w:rPr>
            </w:pPr>
          </w:p>
        </w:tc>
      </w:tr>
      <w:tr w:rsidR="00D3044D" w:rsidRPr="00D3044D" w:rsidTr="00D3044D">
        <w:trPr>
          <w:trHeight w:val="409"/>
        </w:trPr>
        <w:tc>
          <w:tcPr>
            <w:tcW w:w="1160"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Pacientų poaibis </w:t>
            </w:r>
          </w:p>
        </w:tc>
        <w:tc>
          <w:tcPr>
            <w:tcW w:w="1150"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Pacientų skaičius </w:t>
            </w:r>
          </w:p>
        </w:tc>
        <w:tc>
          <w:tcPr>
            <w:tcW w:w="1147"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Rizikos koeficientas * </w:t>
            </w:r>
          </w:p>
        </w:tc>
        <w:tc>
          <w:tcPr>
            <w:tcW w:w="1314"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95 % PI </w:t>
            </w:r>
          </w:p>
        </w:tc>
        <w:tc>
          <w:tcPr>
            <w:tcW w:w="975"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p = </w:t>
            </w:r>
          </w:p>
        </w:tc>
        <w:tc>
          <w:tcPr>
            <w:tcW w:w="1147"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Rizikos koeficientas * </w:t>
            </w:r>
          </w:p>
        </w:tc>
        <w:tc>
          <w:tcPr>
            <w:tcW w:w="1363"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95 % PI </w:t>
            </w:r>
          </w:p>
        </w:tc>
        <w:tc>
          <w:tcPr>
            <w:tcW w:w="945"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p = </w:t>
            </w:r>
          </w:p>
        </w:tc>
      </w:tr>
      <w:tr w:rsidR="00D3044D" w:rsidRPr="00D3044D" w:rsidTr="00D3044D">
        <w:trPr>
          <w:trHeight w:val="817"/>
        </w:trPr>
        <w:tc>
          <w:tcPr>
            <w:tcW w:w="1160" w:type="dxa"/>
            <w:tcBorders>
              <w:top w:val="single" w:sz="4" w:space="0" w:color="000000"/>
              <w:left w:val="single" w:sz="4"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Limfmazgių su metastazėmis skaičius</w:t>
            </w:r>
          </w:p>
          <w:p w:rsidR="00D3044D" w:rsidRPr="00DC16A2" w:rsidRDefault="00D3044D" w:rsidP="00732C31">
            <w:pPr>
              <w:pStyle w:val="BTEMEASMCA"/>
              <w:rPr>
                <w:lang w:val="lt-LT"/>
              </w:rPr>
            </w:pPr>
            <w:r w:rsidRPr="00DC16A2">
              <w:rPr>
                <w:lang w:val="lt-LT"/>
              </w:rPr>
              <w:t xml:space="preserve">Iš viso 1-3 4+ </w:t>
            </w:r>
          </w:p>
        </w:tc>
        <w:tc>
          <w:tcPr>
            <w:tcW w:w="1150" w:type="dxa"/>
            <w:tcBorders>
              <w:top w:val="single" w:sz="4" w:space="0" w:color="000000"/>
              <w:left w:val="single" w:sz="4" w:space="0" w:color="000000"/>
              <w:bottom w:val="single" w:sz="6" w:space="0" w:color="000000"/>
              <w:right w:val="single" w:sz="4" w:space="0" w:color="000000"/>
            </w:tcBorders>
            <w:vAlign w:val="bottom"/>
          </w:tcPr>
          <w:p w:rsidR="00D3044D" w:rsidRPr="00DC16A2" w:rsidRDefault="00D3044D" w:rsidP="00732C31">
            <w:pPr>
              <w:pStyle w:val="BTEMEASMCA"/>
              <w:rPr>
                <w:lang w:val="lt-LT"/>
              </w:rPr>
            </w:pPr>
            <w:r w:rsidRPr="00DC16A2">
              <w:rPr>
                <w:lang w:val="lt-LT"/>
              </w:rPr>
              <w:t xml:space="preserve">745 </w:t>
            </w:r>
          </w:p>
          <w:p w:rsidR="00D3044D" w:rsidRPr="00DC16A2" w:rsidRDefault="00D3044D" w:rsidP="00732C31">
            <w:pPr>
              <w:pStyle w:val="BTEMEASMCA"/>
              <w:rPr>
                <w:lang w:val="lt-LT"/>
              </w:rPr>
            </w:pPr>
            <w:r w:rsidRPr="00DC16A2">
              <w:rPr>
                <w:lang w:val="lt-LT"/>
              </w:rPr>
              <w:t xml:space="preserve">467 </w:t>
            </w:r>
          </w:p>
          <w:p w:rsidR="00D3044D" w:rsidRPr="00DC16A2" w:rsidRDefault="00D3044D" w:rsidP="00732C31">
            <w:pPr>
              <w:pStyle w:val="BTEMEASMCA"/>
              <w:rPr>
                <w:lang w:val="lt-LT"/>
              </w:rPr>
            </w:pPr>
            <w:r w:rsidRPr="00DC16A2">
              <w:rPr>
                <w:lang w:val="lt-LT"/>
              </w:rPr>
              <w:t xml:space="preserve">278 </w:t>
            </w:r>
          </w:p>
        </w:tc>
        <w:tc>
          <w:tcPr>
            <w:tcW w:w="1147" w:type="dxa"/>
            <w:tcBorders>
              <w:top w:val="single" w:sz="4" w:space="0" w:color="000000"/>
              <w:left w:val="single" w:sz="4" w:space="0" w:color="000000"/>
              <w:bottom w:val="single" w:sz="6" w:space="0" w:color="000000"/>
              <w:right w:val="single" w:sz="4" w:space="0" w:color="000000"/>
            </w:tcBorders>
            <w:vAlign w:val="bottom"/>
          </w:tcPr>
          <w:p w:rsidR="00D3044D" w:rsidRPr="00DC16A2" w:rsidRDefault="00D3044D" w:rsidP="00732C31">
            <w:pPr>
              <w:pStyle w:val="BTEMEASMCA"/>
              <w:rPr>
                <w:lang w:val="lt-LT"/>
              </w:rPr>
            </w:pPr>
            <w:r w:rsidRPr="00DC16A2">
              <w:rPr>
                <w:lang w:val="lt-LT"/>
              </w:rPr>
              <w:t xml:space="preserve">0,72 </w:t>
            </w:r>
          </w:p>
          <w:p w:rsidR="00D3044D" w:rsidRPr="00DC16A2" w:rsidRDefault="00D3044D" w:rsidP="00732C31">
            <w:pPr>
              <w:pStyle w:val="BTEMEASMCA"/>
              <w:rPr>
                <w:lang w:val="lt-LT"/>
              </w:rPr>
            </w:pPr>
            <w:r w:rsidRPr="00DC16A2">
              <w:rPr>
                <w:lang w:val="lt-LT"/>
              </w:rPr>
              <w:t xml:space="preserve">0,61 </w:t>
            </w:r>
          </w:p>
          <w:p w:rsidR="00D3044D" w:rsidRPr="00DC16A2" w:rsidRDefault="00D3044D" w:rsidP="00732C31">
            <w:pPr>
              <w:pStyle w:val="BTEMEASMCA"/>
              <w:rPr>
                <w:lang w:val="lt-LT"/>
              </w:rPr>
            </w:pPr>
            <w:r w:rsidRPr="00DC16A2">
              <w:rPr>
                <w:lang w:val="lt-LT"/>
              </w:rPr>
              <w:t xml:space="preserve">0,83 </w:t>
            </w:r>
          </w:p>
        </w:tc>
        <w:tc>
          <w:tcPr>
            <w:tcW w:w="1314" w:type="dxa"/>
            <w:tcBorders>
              <w:top w:val="single" w:sz="4" w:space="0" w:color="000000"/>
              <w:left w:val="single" w:sz="4" w:space="0" w:color="000000"/>
              <w:bottom w:val="single" w:sz="6" w:space="0" w:color="000000"/>
              <w:right w:val="single" w:sz="4" w:space="0" w:color="000000"/>
            </w:tcBorders>
            <w:vAlign w:val="bottom"/>
          </w:tcPr>
          <w:p w:rsidR="00D3044D" w:rsidRPr="00DC16A2" w:rsidRDefault="00D3044D" w:rsidP="00732C31">
            <w:pPr>
              <w:pStyle w:val="BTEMEASMCA"/>
              <w:rPr>
                <w:lang w:val="lt-LT"/>
              </w:rPr>
            </w:pPr>
            <w:r w:rsidRPr="00DC16A2">
              <w:rPr>
                <w:lang w:val="lt-LT"/>
              </w:rPr>
              <w:t xml:space="preserve">0,59-0,88 0,46-0,82 0,63-1,08 </w:t>
            </w:r>
          </w:p>
        </w:tc>
        <w:tc>
          <w:tcPr>
            <w:tcW w:w="975" w:type="dxa"/>
            <w:tcBorders>
              <w:top w:val="single" w:sz="4" w:space="0" w:color="000000"/>
              <w:left w:val="single" w:sz="4" w:space="0" w:color="000000"/>
              <w:bottom w:val="single" w:sz="6" w:space="0" w:color="000000"/>
              <w:right w:val="single" w:sz="4" w:space="0" w:color="000000"/>
            </w:tcBorders>
            <w:vAlign w:val="bottom"/>
          </w:tcPr>
          <w:p w:rsidR="00D3044D" w:rsidRPr="00DC16A2" w:rsidRDefault="00D3044D" w:rsidP="00732C31">
            <w:pPr>
              <w:pStyle w:val="BTEMEASMCA"/>
              <w:rPr>
                <w:lang w:val="lt-LT"/>
              </w:rPr>
            </w:pPr>
            <w:r w:rsidRPr="00DC16A2">
              <w:rPr>
                <w:lang w:val="lt-LT"/>
              </w:rPr>
              <w:t xml:space="preserve">0,001 0,0009 0,17 </w:t>
            </w:r>
          </w:p>
        </w:tc>
        <w:tc>
          <w:tcPr>
            <w:tcW w:w="1147" w:type="dxa"/>
            <w:tcBorders>
              <w:top w:val="single" w:sz="4" w:space="0" w:color="000000"/>
              <w:left w:val="single" w:sz="4" w:space="0" w:color="000000"/>
              <w:bottom w:val="single" w:sz="6" w:space="0" w:color="000000"/>
              <w:right w:val="single" w:sz="4" w:space="0" w:color="000000"/>
            </w:tcBorders>
            <w:vAlign w:val="bottom"/>
          </w:tcPr>
          <w:p w:rsidR="00D3044D" w:rsidRPr="00DC16A2" w:rsidRDefault="00D3044D" w:rsidP="00732C31">
            <w:pPr>
              <w:pStyle w:val="BTEMEASMCA"/>
              <w:rPr>
                <w:lang w:val="lt-LT"/>
              </w:rPr>
            </w:pPr>
            <w:r w:rsidRPr="00DC16A2">
              <w:rPr>
                <w:lang w:val="lt-LT"/>
              </w:rPr>
              <w:t xml:space="preserve">0,70 </w:t>
            </w:r>
          </w:p>
          <w:p w:rsidR="00D3044D" w:rsidRPr="00DC16A2" w:rsidRDefault="00D3044D" w:rsidP="00732C31">
            <w:pPr>
              <w:pStyle w:val="BTEMEASMCA"/>
              <w:rPr>
                <w:lang w:val="lt-LT"/>
              </w:rPr>
            </w:pPr>
            <w:r w:rsidRPr="00DC16A2">
              <w:rPr>
                <w:lang w:val="lt-LT"/>
              </w:rPr>
              <w:t xml:space="preserve">0,45 </w:t>
            </w:r>
          </w:p>
          <w:p w:rsidR="00D3044D" w:rsidRPr="00DC16A2" w:rsidRDefault="00D3044D" w:rsidP="00732C31">
            <w:pPr>
              <w:pStyle w:val="BTEMEASMCA"/>
              <w:rPr>
                <w:lang w:val="lt-LT"/>
              </w:rPr>
            </w:pPr>
            <w:r w:rsidRPr="00DC16A2">
              <w:rPr>
                <w:lang w:val="lt-LT"/>
              </w:rPr>
              <w:t xml:space="preserve">0,94 </w:t>
            </w:r>
          </w:p>
        </w:tc>
        <w:tc>
          <w:tcPr>
            <w:tcW w:w="1363" w:type="dxa"/>
            <w:tcBorders>
              <w:top w:val="single" w:sz="4" w:space="0" w:color="000000"/>
              <w:left w:val="single" w:sz="4" w:space="0" w:color="000000"/>
              <w:bottom w:val="single" w:sz="6" w:space="0" w:color="000000"/>
              <w:right w:val="single" w:sz="4" w:space="0" w:color="000000"/>
            </w:tcBorders>
            <w:vAlign w:val="bottom"/>
          </w:tcPr>
          <w:p w:rsidR="00D3044D" w:rsidRPr="00DC16A2" w:rsidRDefault="00D3044D" w:rsidP="00732C31">
            <w:pPr>
              <w:pStyle w:val="BTEMEASMCA"/>
              <w:rPr>
                <w:lang w:val="lt-LT"/>
              </w:rPr>
            </w:pPr>
            <w:r w:rsidRPr="00DC16A2">
              <w:rPr>
                <w:lang w:val="lt-LT"/>
              </w:rPr>
              <w:t xml:space="preserve">0,53–0,91 0,29–0,70 0,66–1,33 </w:t>
            </w:r>
          </w:p>
        </w:tc>
        <w:tc>
          <w:tcPr>
            <w:tcW w:w="945" w:type="dxa"/>
            <w:tcBorders>
              <w:top w:val="single" w:sz="4" w:space="0" w:color="000000"/>
              <w:left w:val="single" w:sz="4" w:space="0" w:color="000000"/>
              <w:bottom w:val="single" w:sz="6" w:space="0" w:color="000000"/>
              <w:right w:val="single" w:sz="4" w:space="0" w:color="000000"/>
            </w:tcBorders>
            <w:vAlign w:val="bottom"/>
          </w:tcPr>
          <w:p w:rsidR="00D3044D" w:rsidRPr="00DC16A2" w:rsidRDefault="00D3044D" w:rsidP="00732C31">
            <w:pPr>
              <w:pStyle w:val="BTEMEASMCA"/>
              <w:rPr>
                <w:lang w:val="lt-LT"/>
              </w:rPr>
            </w:pPr>
            <w:r w:rsidRPr="00DC16A2">
              <w:rPr>
                <w:lang w:val="lt-LT"/>
              </w:rPr>
              <w:t xml:space="preserve">0,008 0,0002 0,72 </w:t>
            </w:r>
          </w:p>
        </w:tc>
      </w:tr>
    </w:tbl>
    <w:p w:rsidR="00D3044D" w:rsidRPr="00D3044D" w:rsidRDefault="00D3044D" w:rsidP="00732C31">
      <w:pPr>
        <w:pStyle w:val="BTEMEASMCA"/>
      </w:pPr>
      <w:r w:rsidRPr="00D3044D">
        <w:t xml:space="preserve">* Mažesnis už 1 rizikos koeficientas rodo, kad vartojant TAC be ligos reiškinių išgyventas laikotarpis ir bendras išgyventas laikotarpis buvo ilgesni negu vartojant FAC. </w:t>
      </w:r>
    </w:p>
    <w:p w:rsidR="00D3044D" w:rsidRPr="00D3044D" w:rsidRDefault="00D3044D" w:rsidP="00732C31">
      <w:pPr>
        <w:pStyle w:val="BTEMEASMCA"/>
      </w:pPr>
    </w:p>
    <w:p w:rsidR="00D3044D" w:rsidRPr="00D3044D" w:rsidRDefault="00D3044D" w:rsidP="00732C31">
      <w:pPr>
        <w:pStyle w:val="BTEMEASMCA"/>
      </w:pPr>
      <w:r w:rsidRPr="00D3044D">
        <w:t xml:space="preserve">Tarpinių duomenų analizė neįrodė palankaus TAC poveikio </w:t>
      </w:r>
      <w:r w:rsidR="00480417">
        <w:t>pacientams, kuriems</w:t>
      </w:r>
      <w:r w:rsidRPr="00D3044D">
        <w:t xml:space="preserve"> 4 ar daugiau limfmazgiuose rasta metastazių (37% stebėtos populiacijos). Poveikis yra silpnesnis negu toms, kurioms rasti 1–3 limfmazgiai su metastazėmis. Naudos ir rizikos santykio </w:t>
      </w:r>
      <w:r w:rsidR="00480417">
        <w:t>Pacientams, kuriems</w:t>
      </w:r>
      <w:r w:rsidRPr="00D3044D">
        <w:t xml:space="preserve"> rasti 4 ar daugiau limfmazgių su metastazėmis, šios pakopos analizė visiškai neapibrėžė. </w:t>
      </w:r>
    </w:p>
    <w:p w:rsidR="00D3044D" w:rsidRPr="00D3044D" w:rsidRDefault="00D3044D" w:rsidP="00732C31">
      <w:pPr>
        <w:pStyle w:val="BTEMEASMCA"/>
      </w:pPr>
    </w:p>
    <w:p w:rsidR="00D3044D" w:rsidRPr="00D3044D" w:rsidRDefault="00271A35" w:rsidP="00732C31">
      <w:pPr>
        <w:pStyle w:val="BTEMEASMCA"/>
      </w:pPr>
      <w:r w:rsidRPr="00D3044D">
        <w:t>Pacient</w:t>
      </w:r>
      <w:r>
        <w:t>am</w:t>
      </w:r>
      <w:r w:rsidRPr="00D3044D">
        <w:t>s</w:t>
      </w:r>
      <w:r w:rsidR="00D3044D" w:rsidRPr="00D3044D">
        <w:t>, sergan</w:t>
      </w:r>
      <w:r>
        <w:t>tiems</w:t>
      </w:r>
      <w:r w:rsidR="00D3044D" w:rsidRPr="00D3044D">
        <w:t xml:space="preserve"> tinkamu operuoti į limfmazgius nemetastazavusiu krūties vėžiu, </w:t>
      </w:r>
      <w:r w:rsidRPr="00D3044D">
        <w:t>kuri</w:t>
      </w:r>
      <w:r>
        <w:t>e</w:t>
      </w:r>
      <w:r w:rsidRPr="00D3044D">
        <w:t xml:space="preserve">ms </w:t>
      </w:r>
      <w:r w:rsidR="00D3044D" w:rsidRPr="00D3044D">
        <w:t>galima chemoterapija (GEICAM 9805)</w:t>
      </w:r>
    </w:p>
    <w:p w:rsidR="00D3044D" w:rsidRPr="00D3044D" w:rsidRDefault="00D3044D" w:rsidP="00732C31">
      <w:pPr>
        <w:pStyle w:val="BTEMEASMCA"/>
      </w:pPr>
    </w:p>
    <w:p w:rsidR="00D3044D" w:rsidRPr="00D3044D" w:rsidRDefault="00D3044D" w:rsidP="00732C31">
      <w:pPr>
        <w:pStyle w:val="BTEMEASMCA"/>
      </w:pPr>
      <w:r w:rsidRPr="00D3044D">
        <w:t xml:space="preserve">Daugiacentrio, atvirojo, atsitiktinės atrankos tyrimo duomenys patvirtina docetakselio vartojimą </w:t>
      </w:r>
      <w:r w:rsidR="00C45109">
        <w:t>adjuvantiniam</w:t>
      </w:r>
      <w:r w:rsidR="00C45109" w:rsidRPr="00D3044D">
        <w:t xml:space="preserve"> </w:t>
      </w:r>
      <w:r w:rsidRPr="00D3044D">
        <w:t xml:space="preserve">gydymui </w:t>
      </w:r>
      <w:r w:rsidR="00271A35" w:rsidRPr="00D3044D">
        <w:t>pacien</w:t>
      </w:r>
      <w:r w:rsidR="00271A35">
        <w:t>t</w:t>
      </w:r>
      <w:r w:rsidR="00271A35" w:rsidRPr="00D3044D">
        <w:t>ų</w:t>
      </w:r>
      <w:r w:rsidRPr="00D3044D">
        <w:t xml:space="preserve">, sergančių tinkamu operuoti į limfmazgius nemetastazavusiu krūties </w:t>
      </w:r>
      <w:r w:rsidRPr="00D3044D">
        <w:lastRenderedPageBreak/>
        <w:t xml:space="preserve">vėžiu, kurioms gali būti taikoma chemoterapija. 1060 </w:t>
      </w:r>
      <w:r w:rsidR="00271A35" w:rsidRPr="00D3044D">
        <w:t>pacient</w:t>
      </w:r>
      <w:r w:rsidR="00271A35">
        <w:t>ų</w:t>
      </w:r>
      <w:r w:rsidRPr="00D3044D">
        <w:t xml:space="preserve">, </w:t>
      </w:r>
      <w:r w:rsidR="00271A35" w:rsidRPr="00D3044D">
        <w:t>serganči</w:t>
      </w:r>
      <w:r w:rsidR="00271A35">
        <w:t>ų</w:t>
      </w:r>
      <w:r w:rsidR="00271A35" w:rsidRPr="00D3044D">
        <w:t xml:space="preserve"> </w:t>
      </w:r>
      <w:r w:rsidRPr="00D3044D">
        <w:t xml:space="preserve">tinkamu operuoti į limfmazgius nemetastazavusiu krūties vėžiu su didele atkryčio rizika pagal 1998 St.Gallen kriterijus (naviko dydis &gt;2 cm ir (arba) neigiamas ER ir PR ir (arba) didelis histologinis branduolių diferenciacijos laipsnis (2 arba 3 laipsnis) ir (arba) amžius &lt;35 metai) buvo atsitiktinai suskirstytos ir vartojo arba docetakselio 75 mg/m², skiriamo praėjus 1 valandai po doksorubicino 50 mg/m² ir ciklofosamido 500 mg/m² vartojimo (539 </w:t>
      </w:r>
      <w:r w:rsidR="00271A35" w:rsidRPr="00D3044D">
        <w:t>pacient</w:t>
      </w:r>
      <w:r w:rsidR="00271A35">
        <w:t>ai</w:t>
      </w:r>
      <w:r w:rsidR="00271A35" w:rsidRPr="00D3044D">
        <w:t xml:space="preserve"> </w:t>
      </w:r>
      <w:r w:rsidRPr="00D3044D">
        <w:t xml:space="preserve">TAC grupėje), arba doksorubicino 50 mg/m² skiriamo po fluorouracilo 500 mg/m² ir ciklofosfamido 500 mg/m² (521 </w:t>
      </w:r>
      <w:r w:rsidR="00271A35" w:rsidRPr="00D3044D">
        <w:t>pacient</w:t>
      </w:r>
      <w:r w:rsidR="00271A35">
        <w:t>as</w:t>
      </w:r>
      <w:r w:rsidR="00271A35" w:rsidRPr="00D3044D">
        <w:t xml:space="preserve"> </w:t>
      </w:r>
      <w:r w:rsidRPr="00D3044D">
        <w:t>FAC grupėje). Abi gydymo schemos buvo taikomos kartą kas 3 savaites 6 gydymo kursus. Docetakseli</w:t>
      </w:r>
      <w:r w:rsidR="006A68C6">
        <w:t>s</w:t>
      </w:r>
      <w:r w:rsidRPr="00D3044D">
        <w:t xml:space="preserve"> buvo suleidžiamas 1 valandos trukmės infuzijos metu, visi kiti vaistai buvo vartojami į veną pirmąją dieną kas tris savaites. Kai buvo atrinkta 230 pacienčių, TAC grupėje pradžioje buvo privaloma profilaktiškai vartoti G-KSF. 4 laipsnio neutropenijos, febrilinės neutropenijos ir su neutropenija susijusios infekcijos dažnis buvo mažesnis pacientėms, kurios pradžioje profilaktikai vartojo G-KSF (žr. 4.8 skyrių). Po paskutinio chemoterapijos kurso, abiejų grupių pacientės, kurioms nustatyti ER+ ir (arba) PgR+ navikai, vartojo tamoksifeną 20 mg kartą per parą 5 metus. Pagalbinis spindulinis gydymas buvo taikomas pagal dalyvaujančiose institucijose esančias gaires. Jis buvo pritaikytas 57,3% pacienčių, kurios buvo gydytos taikant TAC schemą ir 51,2% gydytoms taikant FAC schemą. </w:t>
      </w:r>
    </w:p>
    <w:p w:rsidR="00D3044D" w:rsidRPr="00D3044D" w:rsidRDefault="00D3044D" w:rsidP="00732C31">
      <w:pPr>
        <w:pStyle w:val="BTEMEASMCA"/>
      </w:pPr>
    </w:p>
    <w:p w:rsidR="00D3044D" w:rsidRPr="00D3044D" w:rsidRDefault="00D3044D" w:rsidP="00732C31">
      <w:pPr>
        <w:pStyle w:val="BTEMEASMCA"/>
      </w:pPr>
      <w:r w:rsidRPr="00D3044D">
        <w:t xml:space="preserve">Vidutinė stebėjimo trukmė buvo 77 mėnesiai. Nustatyta, kad TAC grupės pacientės be ligos reiškinių išgyveno reikšmingai ilgiau negu FAC. TAC </w:t>
      </w:r>
      <w:r w:rsidR="00271A35" w:rsidRPr="00D3044D">
        <w:t>gydyt</w:t>
      </w:r>
      <w:r w:rsidR="00271A35">
        <w:t>ie</w:t>
      </w:r>
      <w:r w:rsidR="00271A35" w:rsidRPr="00D3044D">
        <w:t>ms pacient</w:t>
      </w:r>
      <w:r w:rsidR="00271A35">
        <w:t>a</w:t>
      </w:r>
      <w:r w:rsidR="00271A35" w:rsidRPr="00D3044D">
        <w:t xml:space="preserve">ms </w:t>
      </w:r>
      <w:r w:rsidRPr="00D3044D">
        <w:t xml:space="preserve">atkryčio rizika buvo 32 % mažesnė nei FAC gydytųjų grupėje (rizikos koeficientas = 0,68, 95 % PI (0,49–0,93), p = 0,01). Bendras išgyventas laikotarpis (BIL) taip pat buvo ilgesnis TAC grupėje, nes TAC </w:t>
      </w:r>
      <w:r w:rsidR="00271A35" w:rsidRPr="00D3044D">
        <w:t>gydyt</w:t>
      </w:r>
      <w:r w:rsidR="00271A35">
        <w:t>ie</w:t>
      </w:r>
      <w:r w:rsidR="00271A35" w:rsidRPr="00D3044D">
        <w:t>ms pacient</w:t>
      </w:r>
      <w:r w:rsidR="00271A35">
        <w:t>a</w:t>
      </w:r>
      <w:r w:rsidR="00271A35" w:rsidRPr="00D3044D">
        <w:t xml:space="preserve">ms </w:t>
      </w:r>
      <w:r w:rsidRPr="00D3044D">
        <w:t xml:space="preserve">mirties rizika buvo 24 % mažesnė lyginant su FAC grupe (rizikos koeficientas = 0,76, 95 % PI (0,46–1,26, p = 0,29). Tačiau BIL abiejose grupėse reikšmingai nesiskyrė. </w:t>
      </w:r>
    </w:p>
    <w:p w:rsidR="00D3044D" w:rsidRPr="00D3044D" w:rsidRDefault="00D3044D" w:rsidP="00732C31">
      <w:pPr>
        <w:pStyle w:val="BTEMEASMCA"/>
      </w:pPr>
    </w:p>
    <w:p w:rsidR="00D3044D" w:rsidRPr="00D3044D" w:rsidRDefault="00D3044D" w:rsidP="00732C31">
      <w:pPr>
        <w:pStyle w:val="BTEMEASMCA"/>
      </w:pPr>
      <w:r w:rsidRPr="00D3044D">
        <w:t xml:space="preserve">Išanalizuoti TAC gydytų pacienčių poaibiai, sudaryti pagal prospektyviniu būdu nustatytus pagrindinius prognozės kriterijus (žr. toliau pateiktą lentelę): </w:t>
      </w:r>
    </w:p>
    <w:p w:rsidR="00D3044D" w:rsidRPr="00D3044D" w:rsidRDefault="00D3044D" w:rsidP="00732C31">
      <w:pPr>
        <w:pStyle w:val="BTEMEASMCA"/>
      </w:pPr>
    </w:p>
    <w:p w:rsidR="00D3044D" w:rsidRPr="00D3044D" w:rsidRDefault="00480417" w:rsidP="00732C31">
      <w:pPr>
        <w:pStyle w:val="BTEMEASMCA"/>
      </w:pPr>
      <w:r w:rsidRPr="00D3044D">
        <w:t>Pacien</w:t>
      </w:r>
      <w:r>
        <w:t>t</w:t>
      </w:r>
      <w:r w:rsidRPr="00D3044D">
        <w:t>ų</w:t>
      </w:r>
      <w:r w:rsidR="00D3044D" w:rsidRPr="00D3044D">
        <w:t xml:space="preserve">, sergančių į limfmazgius nemetastazavusiu krūties vėžiu, </w:t>
      </w:r>
      <w:r w:rsidR="00B808A3">
        <w:t>adjuvantinio</w:t>
      </w:r>
      <w:r w:rsidR="00B808A3" w:rsidRPr="00D3044D">
        <w:t xml:space="preserve"> </w:t>
      </w:r>
      <w:r w:rsidR="00D3044D" w:rsidRPr="00D3044D">
        <w:t xml:space="preserve">gydymo tyrimo pogrupių analizė (visų tyrime dalyvavusių pacienčių duomenų analizė) </w:t>
      </w:r>
    </w:p>
    <w:p w:rsidR="00D3044D" w:rsidRPr="00D3044D" w:rsidRDefault="00D3044D" w:rsidP="00732C31">
      <w:pPr>
        <w:pStyle w:val="BTEMEASMCA"/>
      </w:pPr>
    </w:p>
    <w:tbl>
      <w:tblPr>
        <w:tblW w:w="0" w:type="auto"/>
        <w:tblLayout w:type="fixed"/>
        <w:tblLook w:val="0000" w:firstRow="0" w:lastRow="0" w:firstColumn="0" w:lastColumn="0" w:noHBand="0" w:noVBand="0"/>
      </w:tblPr>
      <w:tblGrid>
        <w:gridCol w:w="2311"/>
        <w:gridCol w:w="2295"/>
        <w:gridCol w:w="2297"/>
        <w:gridCol w:w="2304"/>
      </w:tblGrid>
      <w:tr w:rsidR="00D3044D" w:rsidRPr="00D3044D" w:rsidTr="00D3044D">
        <w:trPr>
          <w:trHeight w:val="149"/>
        </w:trPr>
        <w:tc>
          <w:tcPr>
            <w:tcW w:w="2311" w:type="dxa"/>
            <w:vMerge w:val="restart"/>
            <w:tcBorders>
              <w:top w:val="single" w:sz="6" w:space="0" w:color="000000"/>
              <w:left w:val="single" w:sz="6" w:space="0" w:color="000000"/>
              <w:right w:val="single" w:sz="6" w:space="0" w:color="000000"/>
            </w:tcBorders>
            <w:vAlign w:val="center"/>
          </w:tcPr>
          <w:p w:rsidR="00D3044D" w:rsidRPr="00DC16A2" w:rsidRDefault="00D3044D" w:rsidP="00732C31">
            <w:pPr>
              <w:pStyle w:val="BTEMEASMCA"/>
              <w:rPr>
                <w:lang w:val="lt-LT"/>
              </w:rPr>
            </w:pPr>
            <w:r w:rsidRPr="00DC16A2">
              <w:rPr>
                <w:lang w:val="lt-LT"/>
              </w:rPr>
              <w:t xml:space="preserve">Pacientų poaibis </w:t>
            </w:r>
          </w:p>
        </w:tc>
        <w:tc>
          <w:tcPr>
            <w:tcW w:w="2295" w:type="dxa"/>
            <w:vMerge w:val="restart"/>
            <w:tcBorders>
              <w:top w:val="single" w:sz="6" w:space="0" w:color="000000"/>
              <w:left w:val="single" w:sz="6"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Pacientų skaičius </w:t>
            </w:r>
          </w:p>
          <w:p w:rsidR="00D3044D" w:rsidRPr="00DC16A2" w:rsidRDefault="00D3044D" w:rsidP="00732C31">
            <w:pPr>
              <w:pStyle w:val="BTEMEASMCA"/>
              <w:rPr>
                <w:lang w:val="lt-LT"/>
              </w:rPr>
            </w:pPr>
            <w:r w:rsidRPr="00DC16A2">
              <w:rPr>
                <w:lang w:val="lt-LT"/>
              </w:rPr>
              <w:t xml:space="preserve">TAC grupėje </w:t>
            </w:r>
          </w:p>
        </w:tc>
        <w:tc>
          <w:tcPr>
            <w:tcW w:w="4601" w:type="dxa"/>
            <w:gridSpan w:val="2"/>
            <w:tcBorders>
              <w:top w:val="single" w:sz="6" w:space="0" w:color="000000"/>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Išgyvenamumas be ligos reiškinių </w:t>
            </w:r>
          </w:p>
        </w:tc>
      </w:tr>
      <w:tr w:rsidR="00D3044D" w:rsidRPr="00D3044D" w:rsidTr="00D3044D">
        <w:trPr>
          <w:trHeight w:val="275"/>
        </w:trPr>
        <w:tc>
          <w:tcPr>
            <w:tcW w:w="2311" w:type="dxa"/>
            <w:vMerge/>
            <w:tcBorders>
              <w:left w:val="single" w:sz="6" w:space="0" w:color="000000"/>
              <w:bottom w:val="single" w:sz="4" w:space="0" w:color="000000"/>
              <w:right w:val="single" w:sz="6" w:space="0" w:color="000000"/>
            </w:tcBorders>
          </w:tcPr>
          <w:p w:rsidR="00D3044D" w:rsidRPr="00DC16A2" w:rsidRDefault="00D3044D">
            <w:pPr>
              <w:pStyle w:val="BTEMEASMCA"/>
              <w:rPr>
                <w:lang w:val="lt-LT"/>
              </w:rPr>
            </w:pPr>
          </w:p>
        </w:tc>
        <w:tc>
          <w:tcPr>
            <w:tcW w:w="2295" w:type="dxa"/>
            <w:vMerge/>
            <w:tcBorders>
              <w:left w:val="single" w:sz="6" w:space="0" w:color="000000"/>
              <w:bottom w:val="single" w:sz="4" w:space="0" w:color="000000"/>
              <w:right w:val="single" w:sz="4" w:space="0" w:color="000000"/>
            </w:tcBorders>
          </w:tcPr>
          <w:p w:rsidR="00D3044D" w:rsidRPr="00DC16A2" w:rsidRDefault="00D3044D">
            <w:pPr>
              <w:pStyle w:val="BTEMEASMCA"/>
              <w:rPr>
                <w:lang w:val="lt-LT"/>
              </w:rPr>
            </w:pPr>
          </w:p>
        </w:tc>
        <w:tc>
          <w:tcPr>
            <w:tcW w:w="2297" w:type="dxa"/>
            <w:tcBorders>
              <w:top w:val="single" w:sz="4" w:space="0" w:color="000000"/>
              <w:left w:val="single" w:sz="4" w:space="0" w:color="000000"/>
              <w:bottom w:val="single" w:sz="4" w:space="0" w:color="000000"/>
              <w:right w:val="single" w:sz="4" w:space="0" w:color="000000"/>
            </w:tcBorders>
          </w:tcPr>
          <w:p w:rsidR="00D3044D" w:rsidRPr="00DC16A2" w:rsidRDefault="00D3044D">
            <w:pPr>
              <w:pStyle w:val="BTEMEASMCA"/>
              <w:rPr>
                <w:lang w:val="lt-LT"/>
              </w:rPr>
            </w:pPr>
            <w:r w:rsidRPr="00DC16A2">
              <w:rPr>
                <w:lang w:val="lt-LT"/>
              </w:rPr>
              <w:t xml:space="preserve">Rizikos koeficientas * </w:t>
            </w:r>
          </w:p>
        </w:tc>
        <w:tc>
          <w:tcPr>
            <w:tcW w:w="2304" w:type="dxa"/>
            <w:tcBorders>
              <w:top w:val="single" w:sz="4" w:space="0" w:color="000000"/>
              <w:left w:val="single" w:sz="4" w:space="0" w:color="000000"/>
              <w:bottom w:val="single" w:sz="4" w:space="0" w:color="000000"/>
              <w:right w:val="single" w:sz="4" w:space="0" w:color="000000"/>
            </w:tcBorders>
          </w:tcPr>
          <w:p w:rsidR="00D3044D" w:rsidRPr="00DC16A2" w:rsidRDefault="00D3044D">
            <w:pPr>
              <w:pStyle w:val="BTEMEASMCA"/>
              <w:rPr>
                <w:lang w:val="lt-LT"/>
              </w:rPr>
            </w:pPr>
            <w:r w:rsidRPr="00DC16A2">
              <w:rPr>
                <w:lang w:val="lt-LT"/>
              </w:rPr>
              <w:t xml:space="preserve">95 % PI </w:t>
            </w:r>
          </w:p>
        </w:tc>
      </w:tr>
      <w:tr w:rsidR="00D3044D" w:rsidRPr="00D3044D" w:rsidTr="00D3044D">
        <w:trPr>
          <w:trHeight w:val="142"/>
        </w:trPr>
        <w:tc>
          <w:tcPr>
            <w:tcW w:w="2311" w:type="dxa"/>
            <w:tcBorders>
              <w:top w:val="single" w:sz="4" w:space="0" w:color="000000"/>
              <w:left w:val="single" w:sz="6" w:space="0" w:color="000000"/>
              <w:bottom w:val="single" w:sz="6" w:space="0" w:color="000000"/>
              <w:right w:val="single" w:sz="6" w:space="0" w:color="000000"/>
            </w:tcBorders>
            <w:vAlign w:val="center"/>
          </w:tcPr>
          <w:p w:rsidR="00D3044D" w:rsidRPr="00DC16A2" w:rsidRDefault="00D3044D" w:rsidP="00732C31">
            <w:pPr>
              <w:pStyle w:val="BTEMEASMCA"/>
              <w:rPr>
                <w:lang w:val="lt-LT"/>
              </w:rPr>
            </w:pPr>
            <w:r w:rsidRPr="00DC16A2">
              <w:rPr>
                <w:lang w:val="lt-LT"/>
              </w:rPr>
              <w:t xml:space="preserve">Bendras </w:t>
            </w:r>
          </w:p>
        </w:tc>
        <w:tc>
          <w:tcPr>
            <w:tcW w:w="2295" w:type="dxa"/>
            <w:tcBorders>
              <w:top w:val="single" w:sz="4" w:space="0" w:color="000000"/>
              <w:left w:val="single" w:sz="6" w:space="0" w:color="000000"/>
              <w:bottom w:val="single" w:sz="6" w:space="0" w:color="000000"/>
              <w:right w:val="single" w:sz="4" w:space="0" w:color="000000"/>
            </w:tcBorders>
            <w:vAlign w:val="center"/>
          </w:tcPr>
          <w:p w:rsidR="00D3044D" w:rsidRPr="00DC16A2" w:rsidRDefault="00D3044D" w:rsidP="00732C31">
            <w:pPr>
              <w:pStyle w:val="BTEMEASMCA"/>
              <w:rPr>
                <w:lang w:val="lt-LT"/>
              </w:rPr>
            </w:pPr>
            <w:r w:rsidRPr="00DC16A2">
              <w:rPr>
                <w:lang w:val="lt-LT"/>
              </w:rPr>
              <w:t>539</w:t>
            </w:r>
          </w:p>
        </w:tc>
        <w:tc>
          <w:tcPr>
            <w:tcW w:w="2297" w:type="dxa"/>
            <w:tcBorders>
              <w:top w:val="single" w:sz="4" w:space="0" w:color="000000"/>
              <w:left w:val="single" w:sz="4" w:space="0" w:color="000000"/>
              <w:bottom w:val="single" w:sz="6" w:space="0" w:color="000000"/>
              <w:right w:val="single" w:sz="4" w:space="0" w:color="000000"/>
            </w:tcBorders>
            <w:vAlign w:val="center"/>
          </w:tcPr>
          <w:p w:rsidR="00D3044D" w:rsidRPr="00DC16A2" w:rsidRDefault="00D3044D" w:rsidP="00732C31">
            <w:pPr>
              <w:pStyle w:val="BTEMEASMCA"/>
              <w:rPr>
                <w:lang w:val="lt-LT"/>
              </w:rPr>
            </w:pPr>
            <w:r w:rsidRPr="00DC16A2">
              <w:rPr>
                <w:lang w:val="lt-LT"/>
              </w:rPr>
              <w:t>0,68</w:t>
            </w:r>
          </w:p>
        </w:tc>
        <w:tc>
          <w:tcPr>
            <w:tcW w:w="2304" w:type="dxa"/>
            <w:tcBorders>
              <w:top w:val="single" w:sz="4" w:space="0" w:color="000000"/>
              <w:left w:val="single" w:sz="4" w:space="0" w:color="000000"/>
              <w:bottom w:val="single" w:sz="6" w:space="0" w:color="000000"/>
              <w:right w:val="single" w:sz="4" w:space="0" w:color="000000"/>
            </w:tcBorders>
            <w:vAlign w:val="center"/>
          </w:tcPr>
          <w:p w:rsidR="00D3044D" w:rsidRPr="00DC16A2" w:rsidRDefault="00D3044D" w:rsidP="00732C31">
            <w:pPr>
              <w:pStyle w:val="BTEMEASMCA"/>
              <w:rPr>
                <w:lang w:val="lt-LT"/>
              </w:rPr>
            </w:pPr>
            <w:r w:rsidRPr="00DC16A2">
              <w:rPr>
                <w:lang w:val="lt-LT"/>
              </w:rPr>
              <w:t>0,49–0,93</w:t>
            </w:r>
          </w:p>
        </w:tc>
      </w:tr>
      <w:tr w:rsidR="00D3044D" w:rsidRPr="00D3044D" w:rsidTr="00D3044D">
        <w:trPr>
          <w:trHeight w:val="423"/>
        </w:trPr>
        <w:tc>
          <w:tcPr>
            <w:tcW w:w="2311"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1 amžiaus kategorija &lt; 50 metų</w:t>
            </w:r>
          </w:p>
          <w:p w:rsidR="00D3044D" w:rsidRPr="00DC16A2" w:rsidRDefault="00D3044D" w:rsidP="00732C31">
            <w:pPr>
              <w:pStyle w:val="BTEMEASMCA"/>
              <w:rPr>
                <w:lang w:val="lt-LT"/>
              </w:rPr>
            </w:pPr>
            <w:r w:rsidRPr="00DC16A2">
              <w:rPr>
                <w:lang w:val="lt-LT"/>
              </w:rPr>
              <w:t xml:space="preserve">≥ 50 metų </w:t>
            </w:r>
          </w:p>
        </w:tc>
        <w:tc>
          <w:tcPr>
            <w:tcW w:w="2295" w:type="dxa"/>
            <w:tcBorders>
              <w:top w:val="single" w:sz="6" w:space="0" w:color="000000"/>
              <w:left w:val="single" w:sz="4" w:space="0" w:color="000000"/>
              <w:bottom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260</w:t>
            </w:r>
          </w:p>
          <w:p w:rsidR="00D3044D" w:rsidRPr="00DC16A2" w:rsidRDefault="00D3044D" w:rsidP="00732C31">
            <w:pPr>
              <w:pStyle w:val="BTEMEASMCA"/>
              <w:rPr>
                <w:lang w:val="lt-LT"/>
              </w:rPr>
            </w:pPr>
            <w:r w:rsidRPr="00DC16A2">
              <w:rPr>
                <w:lang w:val="lt-LT"/>
              </w:rPr>
              <w:t>279</w:t>
            </w:r>
          </w:p>
        </w:tc>
        <w:tc>
          <w:tcPr>
            <w:tcW w:w="2297" w:type="dxa"/>
            <w:tcBorders>
              <w:top w:val="single" w:sz="6" w:space="0" w:color="000000"/>
              <w:left w:val="single" w:sz="4" w:space="0" w:color="000000"/>
              <w:bottom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0,67</w:t>
            </w:r>
          </w:p>
          <w:p w:rsidR="00D3044D" w:rsidRPr="00DC16A2" w:rsidRDefault="00D3044D" w:rsidP="00732C31">
            <w:pPr>
              <w:pStyle w:val="BTEMEASMCA"/>
              <w:rPr>
                <w:lang w:val="lt-LT"/>
              </w:rPr>
            </w:pPr>
            <w:r w:rsidRPr="00DC16A2">
              <w:rPr>
                <w:lang w:val="lt-LT"/>
              </w:rPr>
              <w:t>0,67</w:t>
            </w:r>
          </w:p>
        </w:tc>
        <w:tc>
          <w:tcPr>
            <w:tcW w:w="2304" w:type="dxa"/>
            <w:tcBorders>
              <w:top w:val="single" w:sz="6" w:space="0" w:color="000000"/>
              <w:left w:val="single" w:sz="4" w:space="0" w:color="000000"/>
              <w:bottom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0,43–1,05</w:t>
            </w:r>
          </w:p>
          <w:p w:rsidR="00D3044D" w:rsidRPr="00DC16A2" w:rsidRDefault="00D3044D" w:rsidP="00732C31">
            <w:pPr>
              <w:pStyle w:val="BTEMEASMCA"/>
              <w:rPr>
                <w:lang w:val="lt-LT"/>
              </w:rPr>
            </w:pPr>
            <w:r w:rsidRPr="00DC16A2">
              <w:rPr>
                <w:lang w:val="lt-LT"/>
              </w:rPr>
              <w:t>0,43–1,05</w:t>
            </w:r>
          </w:p>
        </w:tc>
      </w:tr>
      <w:tr w:rsidR="00D3044D" w:rsidRPr="00D3044D" w:rsidTr="00D3044D">
        <w:trPr>
          <w:trHeight w:val="416"/>
        </w:trPr>
        <w:tc>
          <w:tcPr>
            <w:tcW w:w="2311"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2 amžiaus kategorija</w:t>
            </w:r>
          </w:p>
          <w:p w:rsidR="00D3044D" w:rsidRPr="00DC16A2" w:rsidRDefault="00D3044D" w:rsidP="00732C31">
            <w:pPr>
              <w:pStyle w:val="BTEMEASMCA"/>
              <w:rPr>
                <w:lang w:val="lt-LT"/>
              </w:rPr>
            </w:pPr>
            <w:r w:rsidRPr="00DC16A2">
              <w:rPr>
                <w:lang w:val="lt-LT"/>
              </w:rPr>
              <w:t xml:space="preserve">&lt; 35 metų </w:t>
            </w:r>
          </w:p>
          <w:p w:rsidR="00D3044D" w:rsidRPr="00DC16A2" w:rsidRDefault="00D3044D" w:rsidP="00732C31">
            <w:pPr>
              <w:pStyle w:val="BTEMEASMCA"/>
              <w:rPr>
                <w:lang w:val="lt-LT"/>
              </w:rPr>
            </w:pPr>
            <w:r w:rsidRPr="00DC16A2">
              <w:rPr>
                <w:lang w:val="lt-LT"/>
              </w:rPr>
              <w:t xml:space="preserve">≥ 35 metų </w:t>
            </w:r>
          </w:p>
        </w:tc>
        <w:tc>
          <w:tcPr>
            <w:tcW w:w="2295" w:type="dxa"/>
            <w:tcBorders>
              <w:top w:val="single" w:sz="4" w:space="0" w:color="000000"/>
              <w:left w:val="single" w:sz="4" w:space="0" w:color="000000"/>
              <w:bottom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42</w:t>
            </w:r>
          </w:p>
          <w:p w:rsidR="00D3044D" w:rsidRPr="00DC16A2" w:rsidRDefault="00D3044D" w:rsidP="00732C31">
            <w:pPr>
              <w:pStyle w:val="BTEMEASMCA"/>
              <w:rPr>
                <w:lang w:val="lt-LT"/>
              </w:rPr>
            </w:pPr>
            <w:r w:rsidRPr="00DC16A2">
              <w:rPr>
                <w:lang w:val="lt-LT"/>
              </w:rPr>
              <w:t>497</w:t>
            </w:r>
          </w:p>
        </w:tc>
        <w:tc>
          <w:tcPr>
            <w:tcW w:w="2297" w:type="dxa"/>
            <w:tcBorders>
              <w:top w:val="single" w:sz="4" w:space="0" w:color="000000"/>
              <w:left w:val="single" w:sz="4" w:space="0" w:color="000000"/>
              <w:bottom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0,31</w:t>
            </w:r>
          </w:p>
          <w:p w:rsidR="00D3044D" w:rsidRPr="00DC16A2" w:rsidRDefault="00D3044D" w:rsidP="00732C31">
            <w:pPr>
              <w:pStyle w:val="BTEMEASMCA"/>
              <w:rPr>
                <w:lang w:val="lt-LT"/>
              </w:rPr>
            </w:pPr>
            <w:r w:rsidRPr="00DC16A2">
              <w:rPr>
                <w:lang w:val="lt-LT"/>
              </w:rPr>
              <w:t>0,73</w:t>
            </w:r>
          </w:p>
        </w:tc>
        <w:tc>
          <w:tcPr>
            <w:tcW w:w="2304" w:type="dxa"/>
            <w:tcBorders>
              <w:top w:val="single" w:sz="4" w:space="0" w:color="000000"/>
              <w:left w:val="single" w:sz="4" w:space="0" w:color="000000"/>
              <w:bottom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0,11–0,89</w:t>
            </w:r>
          </w:p>
          <w:p w:rsidR="00D3044D" w:rsidRPr="00DC16A2" w:rsidRDefault="00D3044D" w:rsidP="00732C31">
            <w:pPr>
              <w:pStyle w:val="BTEMEASMCA"/>
              <w:rPr>
                <w:lang w:val="lt-LT"/>
              </w:rPr>
            </w:pPr>
            <w:r w:rsidRPr="00DC16A2">
              <w:rPr>
                <w:lang w:val="lt-LT"/>
              </w:rPr>
              <w:t>0,52–1,01</w:t>
            </w:r>
          </w:p>
        </w:tc>
      </w:tr>
      <w:tr w:rsidR="00D3044D" w:rsidRPr="00D3044D" w:rsidTr="00D3044D">
        <w:trPr>
          <w:trHeight w:val="554"/>
        </w:trPr>
        <w:tc>
          <w:tcPr>
            <w:tcW w:w="2311"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Būklė hormonų receptorių atžvilgiu </w:t>
            </w:r>
          </w:p>
          <w:p w:rsidR="00D3044D" w:rsidRPr="00DC16A2" w:rsidRDefault="00D3044D" w:rsidP="00732C31">
            <w:pPr>
              <w:pStyle w:val="BTEMEASMCA"/>
              <w:rPr>
                <w:lang w:val="lt-LT"/>
              </w:rPr>
            </w:pPr>
            <w:r w:rsidRPr="00DC16A2">
              <w:rPr>
                <w:lang w:val="lt-LT"/>
              </w:rPr>
              <w:t xml:space="preserve">Neigiama </w:t>
            </w:r>
          </w:p>
          <w:p w:rsidR="00D3044D" w:rsidRPr="00DC16A2" w:rsidRDefault="00D3044D" w:rsidP="00732C31">
            <w:pPr>
              <w:pStyle w:val="BTEMEASMCA"/>
              <w:rPr>
                <w:lang w:val="lt-LT"/>
              </w:rPr>
            </w:pPr>
            <w:r w:rsidRPr="00DC16A2">
              <w:rPr>
                <w:lang w:val="lt-LT"/>
              </w:rPr>
              <w:t xml:space="preserve">Teigiama </w:t>
            </w:r>
          </w:p>
        </w:tc>
        <w:tc>
          <w:tcPr>
            <w:tcW w:w="2295" w:type="dxa"/>
            <w:tcBorders>
              <w:top w:val="single" w:sz="4" w:space="0" w:color="000000"/>
              <w:left w:val="single" w:sz="4" w:space="0" w:color="000000"/>
              <w:bottom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195</w:t>
            </w:r>
          </w:p>
          <w:p w:rsidR="00D3044D" w:rsidRPr="00DC16A2" w:rsidRDefault="00D3044D" w:rsidP="00732C31">
            <w:pPr>
              <w:pStyle w:val="BTEMEASMCA"/>
              <w:rPr>
                <w:lang w:val="lt-LT"/>
              </w:rPr>
            </w:pPr>
            <w:r w:rsidRPr="00DC16A2">
              <w:rPr>
                <w:lang w:val="lt-LT"/>
              </w:rPr>
              <w:t>344</w:t>
            </w:r>
          </w:p>
        </w:tc>
        <w:tc>
          <w:tcPr>
            <w:tcW w:w="2297" w:type="dxa"/>
            <w:tcBorders>
              <w:top w:val="single" w:sz="4" w:space="0" w:color="000000"/>
              <w:left w:val="single" w:sz="4" w:space="0" w:color="000000"/>
              <w:bottom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0,7</w:t>
            </w:r>
          </w:p>
          <w:p w:rsidR="00D3044D" w:rsidRPr="00DC16A2" w:rsidRDefault="00D3044D" w:rsidP="00732C31">
            <w:pPr>
              <w:pStyle w:val="BTEMEASMCA"/>
              <w:rPr>
                <w:lang w:val="lt-LT"/>
              </w:rPr>
            </w:pPr>
            <w:r w:rsidRPr="00DC16A2">
              <w:rPr>
                <w:lang w:val="lt-LT"/>
              </w:rPr>
              <w:t>0,62</w:t>
            </w:r>
          </w:p>
        </w:tc>
        <w:tc>
          <w:tcPr>
            <w:tcW w:w="2304" w:type="dxa"/>
            <w:tcBorders>
              <w:top w:val="single" w:sz="4" w:space="0" w:color="000000"/>
              <w:left w:val="single" w:sz="4" w:space="0" w:color="000000"/>
              <w:bottom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0,45–1,1</w:t>
            </w:r>
          </w:p>
          <w:p w:rsidR="00D3044D" w:rsidRPr="00DC16A2" w:rsidRDefault="00D3044D" w:rsidP="00732C31">
            <w:pPr>
              <w:pStyle w:val="BTEMEASMCA"/>
              <w:rPr>
                <w:lang w:val="lt-LT"/>
              </w:rPr>
            </w:pPr>
            <w:r w:rsidRPr="00DC16A2">
              <w:rPr>
                <w:lang w:val="lt-LT"/>
              </w:rPr>
              <w:t>0,4–0,97</w:t>
            </w:r>
          </w:p>
        </w:tc>
      </w:tr>
      <w:tr w:rsidR="00D3044D" w:rsidRPr="00D3044D" w:rsidTr="00D3044D">
        <w:trPr>
          <w:trHeight w:val="416"/>
        </w:trPr>
        <w:tc>
          <w:tcPr>
            <w:tcW w:w="2311"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Naviko dydis </w:t>
            </w:r>
          </w:p>
          <w:p w:rsidR="00D3044D" w:rsidRPr="00DC16A2" w:rsidRDefault="00D3044D" w:rsidP="00732C31">
            <w:pPr>
              <w:pStyle w:val="BTEMEASMCA"/>
              <w:rPr>
                <w:lang w:val="lt-LT"/>
              </w:rPr>
            </w:pPr>
            <w:r w:rsidRPr="00DC16A2">
              <w:rPr>
                <w:lang w:val="lt-LT"/>
              </w:rPr>
              <w:t xml:space="preserve">≤ 2 cm </w:t>
            </w:r>
          </w:p>
          <w:p w:rsidR="00D3044D" w:rsidRPr="00DC16A2" w:rsidRDefault="00D3044D" w:rsidP="00732C31">
            <w:pPr>
              <w:pStyle w:val="BTEMEASMCA"/>
              <w:rPr>
                <w:lang w:val="lt-LT"/>
              </w:rPr>
            </w:pPr>
            <w:r w:rsidRPr="00DC16A2">
              <w:rPr>
                <w:lang w:val="lt-LT"/>
              </w:rPr>
              <w:t xml:space="preserve">&gt;2 cm </w:t>
            </w:r>
          </w:p>
        </w:tc>
        <w:tc>
          <w:tcPr>
            <w:tcW w:w="2295" w:type="dxa"/>
            <w:tcBorders>
              <w:top w:val="single" w:sz="4" w:space="0" w:color="000000"/>
              <w:left w:val="single" w:sz="4" w:space="0" w:color="000000"/>
              <w:bottom w:val="single" w:sz="4" w:space="0" w:color="000000"/>
              <w:right w:val="single" w:sz="4" w:space="0" w:color="000000"/>
            </w:tcBorders>
            <w:vAlign w:val="bottom"/>
          </w:tcPr>
          <w:p w:rsidR="004544C2" w:rsidRPr="00DC16A2" w:rsidRDefault="00D3044D" w:rsidP="00732C31">
            <w:pPr>
              <w:pStyle w:val="BTEMEASMCA"/>
              <w:rPr>
                <w:lang w:val="lt-LT"/>
              </w:rPr>
            </w:pPr>
            <w:r w:rsidRPr="00DC16A2">
              <w:rPr>
                <w:lang w:val="lt-LT"/>
              </w:rPr>
              <w:t>285</w:t>
            </w:r>
          </w:p>
          <w:p w:rsidR="00D3044D" w:rsidRPr="00DC16A2" w:rsidRDefault="00D3044D" w:rsidP="00732C31">
            <w:pPr>
              <w:pStyle w:val="BTEMEASMCA"/>
              <w:rPr>
                <w:lang w:val="lt-LT"/>
              </w:rPr>
            </w:pPr>
            <w:r w:rsidRPr="00DC16A2">
              <w:rPr>
                <w:lang w:val="lt-LT"/>
              </w:rPr>
              <w:t>254</w:t>
            </w:r>
          </w:p>
        </w:tc>
        <w:tc>
          <w:tcPr>
            <w:tcW w:w="2297" w:type="dxa"/>
            <w:tcBorders>
              <w:top w:val="single" w:sz="4" w:space="0" w:color="000000"/>
              <w:left w:val="single" w:sz="4" w:space="0" w:color="000000"/>
              <w:bottom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0,69</w:t>
            </w:r>
          </w:p>
          <w:p w:rsidR="00D3044D" w:rsidRPr="00DC16A2" w:rsidRDefault="00D3044D" w:rsidP="00732C31">
            <w:pPr>
              <w:pStyle w:val="BTEMEASMCA"/>
              <w:rPr>
                <w:lang w:val="lt-LT"/>
              </w:rPr>
            </w:pPr>
            <w:r w:rsidRPr="00DC16A2">
              <w:rPr>
                <w:lang w:val="lt-LT"/>
              </w:rPr>
              <w:t>0,68</w:t>
            </w:r>
          </w:p>
        </w:tc>
        <w:tc>
          <w:tcPr>
            <w:tcW w:w="2304" w:type="dxa"/>
            <w:tcBorders>
              <w:top w:val="single" w:sz="4" w:space="0" w:color="000000"/>
              <w:left w:val="single" w:sz="4" w:space="0" w:color="000000"/>
              <w:bottom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0,43–1,1</w:t>
            </w:r>
          </w:p>
          <w:p w:rsidR="00D3044D" w:rsidRPr="00DC16A2" w:rsidRDefault="00D3044D" w:rsidP="00732C31">
            <w:pPr>
              <w:pStyle w:val="BTEMEASMCA"/>
              <w:rPr>
                <w:lang w:val="lt-LT"/>
              </w:rPr>
            </w:pPr>
            <w:r w:rsidRPr="00DC16A2">
              <w:rPr>
                <w:lang w:val="lt-LT"/>
              </w:rPr>
              <w:t>0,45–1,04</w:t>
            </w:r>
          </w:p>
        </w:tc>
      </w:tr>
      <w:tr w:rsidR="00D3044D" w:rsidRPr="00D3044D" w:rsidTr="00D3044D">
        <w:trPr>
          <w:trHeight w:val="692"/>
        </w:trPr>
        <w:tc>
          <w:tcPr>
            <w:tcW w:w="2311" w:type="dxa"/>
            <w:tcBorders>
              <w:top w:val="single" w:sz="4" w:space="0" w:color="000000"/>
              <w:left w:val="single" w:sz="4" w:space="0" w:color="000000"/>
              <w:bottom w:val="single" w:sz="4" w:space="0" w:color="000000"/>
              <w:right w:val="single" w:sz="4" w:space="0" w:color="000000"/>
            </w:tcBorders>
          </w:tcPr>
          <w:p w:rsidR="0061613D" w:rsidRPr="00DC16A2" w:rsidRDefault="00D3044D" w:rsidP="00732C31">
            <w:pPr>
              <w:pStyle w:val="BTEMEASMCA"/>
              <w:rPr>
                <w:b/>
                <w:bCs/>
                <w:lang w:val="lt-LT"/>
              </w:rPr>
            </w:pPr>
            <w:r w:rsidRPr="00DC16A2">
              <w:rPr>
                <w:b/>
                <w:bCs/>
                <w:lang w:val="lt-LT"/>
              </w:rPr>
              <w:t>Histologinis laipsnis</w:t>
            </w:r>
          </w:p>
          <w:p w:rsidR="00D3044D" w:rsidRPr="00DC16A2" w:rsidRDefault="00D3044D" w:rsidP="00732C31">
            <w:pPr>
              <w:pStyle w:val="BTEMEASMCA"/>
              <w:rPr>
                <w:lang w:val="lt-LT"/>
              </w:rPr>
            </w:pPr>
            <w:r w:rsidRPr="00DC16A2">
              <w:rPr>
                <w:lang w:val="lt-LT"/>
              </w:rPr>
              <w:t xml:space="preserve">1 laipsnis (įskaitant neįvertintą laipsnį) </w:t>
            </w:r>
          </w:p>
          <w:p w:rsidR="00D3044D" w:rsidRPr="00DC16A2" w:rsidRDefault="00D3044D" w:rsidP="00732C31">
            <w:pPr>
              <w:pStyle w:val="BTEMEASMCA"/>
              <w:rPr>
                <w:lang w:val="lt-LT"/>
              </w:rPr>
            </w:pPr>
            <w:r w:rsidRPr="00DC16A2">
              <w:rPr>
                <w:lang w:val="lt-LT"/>
              </w:rPr>
              <w:t xml:space="preserve">2 laipsnis </w:t>
            </w:r>
          </w:p>
          <w:p w:rsidR="00D3044D" w:rsidRPr="00DC16A2" w:rsidRDefault="00D3044D" w:rsidP="00732C31">
            <w:pPr>
              <w:pStyle w:val="BTEMEASMCA"/>
              <w:rPr>
                <w:lang w:val="lt-LT"/>
              </w:rPr>
            </w:pPr>
            <w:r w:rsidRPr="00DC16A2">
              <w:rPr>
                <w:lang w:val="lt-LT"/>
              </w:rPr>
              <w:t xml:space="preserve">3 laipsnis </w:t>
            </w:r>
          </w:p>
        </w:tc>
        <w:tc>
          <w:tcPr>
            <w:tcW w:w="2295" w:type="dxa"/>
            <w:tcBorders>
              <w:top w:val="single" w:sz="4" w:space="0" w:color="000000"/>
              <w:left w:val="single" w:sz="4" w:space="0" w:color="000000"/>
              <w:bottom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64</w:t>
            </w:r>
          </w:p>
          <w:p w:rsidR="00D3044D" w:rsidRPr="00DC16A2" w:rsidRDefault="00D3044D" w:rsidP="00732C31">
            <w:pPr>
              <w:pStyle w:val="BTEMEASMCA"/>
              <w:rPr>
                <w:lang w:val="lt-LT"/>
              </w:rPr>
            </w:pPr>
            <w:r w:rsidRPr="00DC16A2">
              <w:rPr>
                <w:lang w:val="lt-LT"/>
              </w:rPr>
              <w:t>216</w:t>
            </w:r>
          </w:p>
          <w:p w:rsidR="00D3044D" w:rsidRPr="00DC16A2" w:rsidRDefault="00D3044D" w:rsidP="00732C31">
            <w:pPr>
              <w:pStyle w:val="BTEMEASMCA"/>
              <w:rPr>
                <w:lang w:val="lt-LT"/>
              </w:rPr>
            </w:pPr>
            <w:r w:rsidRPr="00DC16A2">
              <w:rPr>
                <w:lang w:val="lt-LT"/>
              </w:rPr>
              <w:t>259</w:t>
            </w:r>
          </w:p>
        </w:tc>
        <w:tc>
          <w:tcPr>
            <w:tcW w:w="2297" w:type="dxa"/>
            <w:tcBorders>
              <w:top w:val="single" w:sz="4" w:space="0" w:color="000000"/>
              <w:left w:val="single" w:sz="4" w:space="0" w:color="000000"/>
              <w:bottom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0,79</w:t>
            </w:r>
          </w:p>
          <w:p w:rsidR="00D3044D" w:rsidRPr="00DC16A2" w:rsidRDefault="00D3044D" w:rsidP="00732C31">
            <w:pPr>
              <w:pStyle w:val="BTEMEASMCA"/>
              <w:rPr>
                <w:lang w:val="lt-LT"/>
              </w:rPr>
            </w:pPr>
            <w:r w:rsidRPr="00DC16A2">
              <w:rPr>
                <w:lang w:val="lt-LT"/>
              </w:rPr>
              <w:t>0,77</w:t>
            </w:r>
          </w:p>
          <w:p w:rsidR="00D3044D" w:rsidRPr="00DC16A2" w:rsidRDefault="00D3044D" w:rsidP="00732C31">
            <w:pPr>
              <w:pStyle w:val="BTEMEASMCA"/>
              <w:rPr>
                <w:lang w:val="lt-LT"/>
              </w:rPr>
            </w:pPr>
            <w:r w:rsidRPr="00DC16A2">
              <w:rPr>
                <w:lang w:val="lt-LT"/>
              </w:rPr>
              <w:t>0,59</w:t>
            </w:r>
          </w:p>
        </w:tc>
        <w:tc>
          <w:tcPr>
            <w:tcW w:w="2304" w:type="dxa"/>
            <w:tcBorders>
              <w:top w:val="single" w:sz="4" w:space="0" w:color="000000"/>
              <w:left w:val="single" w:sz="4" w:space="0" w:color="000000"/>
              <w:bottom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0,24–2,6</w:t>
            </w:r>
          </w:p>
          <w:p w:rsidR="00D3044D" w:rsidRPr="00DC16A2" w:rsidRDefault="00D3044D" w:rsidP="00732C31">
            <w:pPr>
              <w:pStyle w:val="BTEMEASMCA"/>
              <w:rPr>
                <w:lang w:val="lt-LT"/>
              </w:rPr>
            </w:pPr>
            <w:r w:rsidRPr="00DC16A2">
              <w:rPr>
                <w:lang w:val="lt-LT"/>
              </w:rPr>
              <w:t>0,46–1,3</w:t>
            </w:r>
          </w:p>
          <w:p w:rsidR="00D3044D" w:rsidRPr="00DC16A2" w:rsidRDefault="00D3044D" w:rsidP="00732C31">
            <w:pPr>
              <w:pStyle w:val="BTEMEASMCA"/>
              <w:rPr>
                <w:lang w:val="lt-LT"/>
              </w:rPr>
            </w:pPr>
            <w:r w:rsidRPr="00DC16A2">
              <w:rPr>
                <w:lang w:val="lt-LT"/>
              </w:rPr>
              <w:t>0,39–0,9</w:t>
            </w:r>
          </w:p>
        </w:tc>
      </w:tr>
      <w:tr w:rsidR="00D3044D" w:rsidRPr="00D3044D" w:rsidTr="00D3044D">
        <w:trPr>
          <w:trHeight w:val="419"/>
        </w:trPr>
        <w:tc>
          <w:tcPr>
            <w:tcW w:w="2311" w:type="dxa"/>
            <w:tcBorders>
              <w:top w:val="single" w:sz="4" w:space="0" w:color="000000"/>
              <w:left w:val="single" w:sz="4"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 xml:space="preserve">Būklė menopauzės atžvilgiu Premenopauzė Pomenopauzė </w:t>
            </w:r>
          </w:p>
        </w:tc>
        <w:tc>
          <w:tcPr>
            <w:tcW w:w="2295" w:type="dxa"/>
            <w:tcBorders>
              <w:top w:val="single" w:sz="4" w:space="0" w:color="000000"/>
              <w:left w:val="single" w:sz="4" w:space="0" w:color="000000"/>
              <w:bottom w:val="single" w:sz="6" w:space="0" w:color="000000"/>
              <w:right w:val="single" w:sz="4" w:space="0" w:color="000000"/>
            </w:tcBorders>
            <w:vAlign w:val="bottom"/>
          </w:tcPr>
          <w:p w:rsidR="00D3044D" w:rsidRPr="00DC16A2" w:rsidRDefault="00D3044D" w:rsidP="00732C31">
            <w:pPr>
              <w:pStyle w:val="BTEMEASMCA"/>
              <w:rPr>
                <w:lang w:val="lt-LT"/>
              </w:rPr>
            </w:pPr>
            <w:r w:rsidRPr="00DC16A2">
              <w:rPr>
                <w:lang w:val="lt-LT"/>
              </w:rPr>
              <w:t>285</w:t>
            </w:r>
          </w:p>
          <w:p w:rsidR="00D3044D" w:rsidRPr="00DC16A2" w:rsidRDefault="00D3044D" w:rsidP="00732C31">
            <w:pPr>
              <w:pStyle w:val="BTEMEASMCA"/>
              <w:rPr>
                <w:lang w:val="lt-LT"/>
              </w:rPr>
            </w:pPr>
            <w:r w:rsidRPr="00DC16A2">
              <w:rPr>
                <w:lang w:val="lt-LT"/>
              </w:rPr>
              <w:t>254</w:t>
            </w:r>
          </w:p>
        </w:tc>
        <w:tc>
          <w:tcPr>
            <w:tcW w:w="2297" w:type="dxa"/>
            <w:tcBorders>
              <w:top w:val="single" w:sz="4" w:space="0" w:color="000000"/>
              <w:left w:val="single" w:sz="4" w:space="0" w:color="000000"/>
              <w:bottom w:val="single" w:sz="6" w:space="0" w:color="000000"/>
              <w:right w:val="single" w:sz="4" w:space="0" w:color="000000"/>
            </w:tcBorders>
            <w:vAlign w:val="bottom"/>
          </w:tcPr>
          <w:p w:rsidR="00D3044D" w:rsidRPr="00DC16A2" w:rsidRDefault="00D3044D" w:rsidP="00732C31">
            <w:pPr>
              <w:pStyle w:val="BTEMEASMCA"/>
              <w:rPr>
                <w:lang w:val="lt-LT"/>
              </w:rPr>
            </w:pPr>
            <w:r w:rsidRPr="00DC16A2">
              <w:rPr>
                <w:lang w:val="lt-LT"/>
              </w:rPr>
              <w:t>0,64</w:t>
            </w:r>
          </w:p>
          <w:p w:rsidR="00D3044D" w:rsidRPr="00DC16A2" w:rsidRDefault="00D3044D" w:rsidP="00732C31">
            <w:pPr>
              <w:pStyle w:val="BTEMEASMCA"/>
              <w:rPr>
                <w:lang w:val="lt-LT"/>
              </w:rPr>
            </w:pPr>
            <w:r w:rsidRPr="00DC16A2">
              <w:rPr>
                <w:lang w:val="lt-LT"/>
              </w:rPr>
              <w:t>0,72</w:t>
            </w:r>
          </w:p>
        </w:tc>
        <w:tc>
          <w:tcPr>
            <w:tcW w:w="2304" w:type="dxa"/>
            <w:tcBorders>
              <w:top w:val="single" w:sz="4" w:space="0" w:color="000000"/>
              <w:left w:val="single" w:sz="4" w:space="0" w:color="000000"/>
              <w:bottom w:val="single" w:sz="6" w:space="0" w:color="000000"/>
              <w:right w:val="single" w:sz="4" w:space="0" w:color="000000"/>
            </w:tcBorders>
            <w:vAlign w:val="bottom"/>
          </w:tcPr>
          <w:p w:rsidR="00D3044D" w:rsidRPr="00DC16A2" w:rsidRDefault="00D3044D" w:rsidP="00732C31">
            <w:pPr>
              <w:pStyle w:val="BTEMEASMCA"/>
              <w:rPr>
                <w:lang w:val="lt-LT"/>
              </w:rPr>
            </w:pPr>
            <w:r w:rsidRPr="00DC16A2">
              <w:rPr>
                <w:lang w:val="lt-LT"/>
              </w:rPr>
              <w:t>0,40–1</w:t>
            </w:r>
          </w:p>
          <w:p w:rsidR="00D3044D" w:rsidRPr="00DC16A2" w:rsidRDefault="00D3044D" w:rsidP="00732C31">
            <w:pPr>
              <w:pStyle w:val="BTEMEASMCA"/>
              <w:rPr>
                <w:lang w:val="lt-LT"/>
              </w:rPr>
            </w:pPr>
            <w:r w:rsidRPr="00DC16A2">
              <w:rPr>
                <w:lang w:val="lt-LT"/>
              </w:rPr>
              <w:t>0,47–1,12</w:t>
            </w:r>
          </w:p>
        </w:tc>
      </w:tr>
    </w:tbl>
    <w:p w:rsidR="00D3044D" w:rsidRPr="00D3044D" w:rsidRDefault="00D3044D" w:rsidP="00732C31">
      <w:pPr>
        <w:pStyle w:val="BTEMEASMCA"/>
      </w:pPr>
      <w:r w:rsidRPr="00D3044D">
        <w:t xml:space="preserve">* Mažesnis už 1 rizikos koeficientas (TAC/FAC) rodo, kad vartojant TAC be ligos reiškinių išgyventas laikotarpis buvo ilgesnis negu vartojant FAC. </w:t>
      </w:r>
    </w:p>
    <w:p w:rsidR="00D3044D" w:rsidRPr="00D3044D" w:rsidRDefault="00D3044D" w:rsidP="00732C31">
      <w:pPr>
        <w:pStyle w:val="BTEMEASMCA"/>
      </w:pPr>
    </w:p>
    <w:p w:rsidR="00D3044D" w:rsidRPr="00D3044D" w:rsidRDefault="00D3044D" w:rsidP="00732C31">
      <w:pPr>
        <w:pStyle w:val="BTEMEASMCA"/>
      </w:pPr>
      <w:r w:rsidRPr="00D3044D">
        <w:t xml:space="preserve">Atlikta </w:t>
      </w:r>
      <w:r w:rsidR="00480417" w:rsidRPr="00D3044D">
        <w:t>pacien</w:t>
      </w:r>
      <w:r w:rsidR="00480417">
        <w:t>tų</w:t>
      </w:r>
      <w:r w:rsidRPr="00D3044D">
        <w:t xml:space="preserve">, </w:t>
      </w:r>
      <w:r w:rsidR="00480417" w:rsidRPr="00D3044D">
        <w:t>kuri</w:t>
      </w:r>
      <w:r w:rsidR="00480417">
        <w:t>e</w:t>
      </w:r>
      <w:r w:rsidR="00480417" w:rsidRPr="00D3044D">
        <w:t xml:space="preserve"> </w:t>
      </w:r>
      <w:r w:rsidRPr="00D3044D">
        <w:t>atitiko 2009 St. Gallen chemoterapijos kriterijus išplėstinė pogrupių analizė (tyrim</w:t>
      </w:r>
      <w:r w:rsidR="00651713">
        <w:t>e</w:t>
      </w:r>
      <w:r w:rsidRPr="00D3044D">
        <w:t xml:space="preserve"> </w:t>
      </w:r>
      <w:r w:rsidR="00651713">
        <w:t>dalyvavusių</w:t>
      </w:r>
      <w:r w:rsidR="00651713" w:rsidRPr="00D3044D">
        <w:t xml:space="preserve"> </w:t>
      </w:r>
      <w:r w:rsidRPr="00D3044D">
        <w:t xml:space="preserve">pacienčių duomenų analizė) pateikta toliau </w:t>
      </w:r>
    </w:p>
    <w:p w:rsidR="00D3044D" w:rsidRPr="00D3044D" w:rsidRDefault="00D3044D" w:rsidP="00732C31">
      <w:pPr>
        <w:pStyle w:val="BTEMEASMCA"/>
      </w:pPr>
    </w:p>
    <w:tbl>
      <w:tblPr>
        <w:tblW w:w="9349" w:type="dxa"/>
        <w:tblLayout w:type="fixed"/>
        <w:tblLook w:val="0000" w:firstRow="0" w:lastRow="0" w:firstColumn="0" w:lastColumn="0" w:noHBand="0" w:noVBand="0"/>
      </w:tblPr>
      <w:tblGrid>
        <w:gridCol w:w="2661"/>
        <w:gridCol w:w="1475"/>
        <w:gridCol w:w="1475"/>
        <w:gridCol w:w="1869"/>
        <w:gridCol w:w="1869"/>
      </w:tblGrid>
      <w:tr w:rsidR="00D3044D" w:rsidRPr="00D3044D" w:rsidTr="00D3044D">
        <w:trPr>
          <w:trHeight w:val="291"/>
        </w:trPr>
        <w:tc>
          <w:tcPr>
            <w:tcW w:w="2661" w:type="dxa"/>
            <w:tcBorders>
              <w:top w:val="single" w:sz="6" w:space="0" w:color="000000"/>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p>
        </w:tc>
        <w:tc>
          <w:tcPr>
            <w:tcW w:w="1475" w:type="dxa"/>
            <w:tcBorders>
              <w:top w:val="single" w:sz="6" w:space="0" w:color="000000"/>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TAC </w:t>
            </w:r>
          </w:p>
        </w:tc>
        <w:tc>
          <w:tcPr>
            <w:tcW w:w="1475" w:type="dxa"/>
            <w:tcBorders>
              <w:top w:val="single" w:sz="6" w:space="0" w:color="000000"/>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FAC </w:t>
            </w:r>
          </w:p>
        </w:tc>
        <w:tc>
          <w:tcPr>
            <w:tcW w:w="1869" w:type="dxa"/>
            <w:tcBorders>
              <w:top w:val="single" w:sz="6" w:space="0" w:color="000000"/>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Santykinė rizika (TAC/FAC) </w:t>
            </w:r>
          </w:p>
        </w:tc>
        <w:tc>
          <w:tcPr>
            <w:tcW w:w="1869" w:type="dxa"/>
            <w:tcBorders>
              <w:top w:val="single" w:sz="6" w:space="0" w:color="000000"/>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p>
        </w:tc>
      </w:tr>
      <w:tr w:rsidR="00D3044D" w:rsidRPr="00D3044D" w:rsidTr="00D3044D">
        <w:trPr>
          <w:trHeight w:val="145"/>
        </w:trPr>
        <w:tc>
          <w:tcPr>
            <w:tcW w:w="2661" w:type="dxa"/>
            <w:tcBorders>
              <w:top w:val="single" w:sz="4" w:space="0" w:color="000000"/>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Pogrupiai </w:t>
            </w:r>
          </w:p>
        </w:tc>
        <w:tc>
          <w:tcPr>
            <w:tcW w:w="1475" w:type="dxa"/>
            <w:tcBorders>
              <w:top w:val="single" w:sz="4" w:space="0" w:color="000000"/>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(n=539) </w:t>
            </w:r>
          </w:p>
        </w:tc>
        <w:tc>
          <w:tcPr>
            <w:tcW w:w="1475" w:type="dxa"/>
            <w:tcBorders>
              <w:top w:val="single" w:sz="4" w:space="0" w:color="000000"/>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(n=521) </w:t>
            </w:r>
          </w:p>
        </w:tc>
        <w:tc>
          <w:tcPr>
            <w:tcW w:w="1869" w:type="dxa"/>
            <w:tcBorders>
              <w:top w:val="single" w:sz="4" w:space="0" w:color="000000"/>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(95 % PI) </w:t>
            </w:r>
          </w:p>
        </w:tc>
        <w:tc>
          <w:tcPr>
            <w:tcW w:w="1869" w:type="dxa"/>
            <w:tcBorders>
              <w:top w:val="single" w:sz="4" w:space="0" w:color="000000"/>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p reikšmė </w:t>
            </w:r>
          </w:p>
        </w:tc>
      </w:tr>
      <w:tr w:rsidR="00D3044D" w:rsidRPr="00D3044D" w:rsidTr="00D3044D">
        <w:trPr>
          <w:trHeight w:val="428"/>
        </w:trPr>
        <w:tc>
          <w:tcPr>
            <w:tcW w:w="2661"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Santykinis indikacijos chemoterapijai atitikimas</w:t>
            </w:r>
            <w:r w:rsidR="00CA197C" w:rsidRPr="00DC16A2">
              <w:rPr>
                <w:vertAlign w:val="superscript"/>
                <w:lang w:val="lt-LT"/>
              </w:rPr>
              <w:t>a</w:t>
            </w:r>
          </w:p>
        </w:tc>
        <w:tc>
          <w:tcPr>
            <w:tcW w:w="1475"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p>
        </w:tc>
        <w:tc>
          <w:tcPr>
            <w:tcW w:w="1475"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p>
        </w:tc>
        <w:tc>
          <w:tcPr>
            <w:tcW w:w="1869"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p>
        </w:tc>
        <w:tc>
          <w:tcPr>
            <w:tcW w:w="1869"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p>
        </w:tc>
      </w:tr>
      <w:tr w:rsidR="00D3044D" w:rsidRPr="00D3044D" w:rsidTr="00D3044D">
        <w:trPr>
          <w:trHeight w:val="286"/>
        </w:trPr>
        <w:tc>
          <w:tcPr>
            <w:tcW w:w="2661"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Ne </w:t>
            </w:r>
          </w:p>
        </w:tc>
        <w:tc>
          <w:tcPr>
            <w:tcW w:w="1475"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18/214 (8,4</w:t>
            </w:r>
            <w:r w:rsidR="00FD663C" w:rsidRPr="00DC16A2">
              <w:rPr>
                <w:lang w:val="lt-LT"/>
              </w:rPr>
              <w:t> </w:t>
            </w:r>
            <w:r w:rsidRPr="00DC16A2">
              <w:rPr>
                <w:lang w:val="lt-LT"/>
              </w:rPr>
              <w:t xml:space="preserve">%) </w:t>
            </w:r>
          </w:p>
        </w:tc>
        <w:tc>
          <w:tcPr>
            <w:tcW w:w="1475"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26/227 (11,5</w:t>
            </w:r>
            <w:r w:rsidR="00FD663C" w:rsidRPr="00DC16A2">
              <w:rPr>
                <w:lang w:val="lt-LT"/>
              </w:rPr>
              <w:t> </w:t>
            </w:r>
            <w:r w:rsidRPr="00DC16A2">
              <w:rPr>
                <w:lang w:val="lt-LT"/>
              </w:rPr>
              <w:t xml:space="preserve">%) </w:t>
            </w:r>
          </w:p>
        </w:tc>
        <w:tc>
          <w:tcPr>
            <w:tcW w:w="1869"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0,796 (0,434 – 1,459) </w:t>
            </w:r>
          </w:p>
        </w:tc>
        <w:tc>
          <w:tcPr>
            <w:tcW w:w="1869"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0,4593 </w:t>
            </w:r>
          </w:p>
        </w:tc>
      </w:tr>
      <w:tr w:rsidR="00D3044D" w:rsidRPr="00D3044D" w:rsidTr="00D3044D">
        <w:trPr>
          <w:trHeight w:val="287"/>
        </w:trPr>
        <w:tc>
          <w:tcPr>
            <w:tcW w:w="2661" w:type="dxa"/>
            <w:tcBorders>
              <w:top w:val="single" w:sz="4" w:space="0" w:color="000000"/>
              <w:left w:val="single" w:sz="4"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 xml:space="preserve">Taip </w:t>
            </w:r>
          </w:p>
        </w:tc>
        <w:tc>
          <w:tcPr>
            <w:tcW w:w="1475" w:type="dxa"/>
            <w:tcBorders>
              <w:top w:val="single" w:sz="4" w:space="0" w:color="000000"/>
              <w:left w:val="single" w:sz="4"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48/325 (14,8</w:t>
            </w:r>
            <w:r w:rsidR="00FD663C" w:rsidRPr="00DC16A2">
              <w:rPr>
                <w:lang w:val="lt-LT"/>
              </w:rPr>
              <w:t> </w:t>
            </w:r>
            <w:r w:rsidRPr="00DC16A2">
              <w:rPr>
                <w:lang w:val="lt-LT"/>
              </w:rPr>
              <w:t xml:space="preserve">%) </w:t>
            </w:r>
          </w:p>
        </w:tc>
        <w:tc>
          <w:tcPr>
            <w:tcW w:w="1475" w:type="dxa"/>
            <w:tcBorders>
              <w:top w:val="single" w:sz="4" w:space="0" w:color="000000"/>
              <w:left w:val="single" w:sz="4"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69/294 (23,5</w:t>
            </w:r>
            <w:r w:rsidR="00FD663C" w:rsidRPr="00DC16A2">
              <w:rPr>
                <w:lang w:val="lt-LT"/>
              </w:rPr>
              <w:t> </w:t>
            </w:r>
            <w:r w:rsidRPr="00DC16A2">
              <w:rPr>
                <w:lang w:val="lt-LT"/>
              </w:rPr>
              <w:t xml:space="preserve">%) </w:t>
            </w:r>
          </w:p>
        </w:tc>
        <w:tc>
          <w:tcPr>
            <w:tcW w:w="1869" w:type="dxa"/>
            <w:tcBorders>
              <w:top w:val="single" w:sz="4" w:space="0" w:color="000000"/>
              <w:left w:val="single" w:sz="4"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 xml:space="preserve">0,606 (0,42 – 0,877) </w:t>
            </w:r>
          </w:p>
        </w:tc>
        <w:tc>
          <w:tcPr>
            <w:tcW w:w="1869" w:type="dxa"/>
            <w:tcBorders>
              <w:top w:val="single" w:sz="4" w:space="0" w:color="000000"/>
              <w:left w:val="single" w:sz="4"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 xml:space="preserve">0,0072 </w:t>
            </w:r>
          </w:p>
        </w:tc>
      </w:tr>
    </w:tbl>
    <w:p w:rsidR="00D3044D" w:rsidRPr="00D3044D" w:rsidRDefault="00D3044D" w:rsidP="00732C31">
      <w:pPr>
        <w:pStyle w:val="BTEMEASMCA"/>
      </w:pPr>
      <w:r w:rsidRPr="00D3044D">
        <w:t xml:space="preserve">TAC = docetakselis, doksorubicinas ir ciklofosfamidas; </w:t>
      </w:r>
    </w:p>
    <w:p w:rsidR="00D3044D" w:rsidRPr="00D3044D" w:rsidRDefault="00D3044D" w:rsidP="00732C31">
      <w:pPr>
        <w:pStyle w:val="BTEMEASMCA"/>
      </w:pPr>
      <w:r w:rsidRPr="00D3044D">
        <w:t xml:space="preserve">FAC = 5-fluorouracilas, doksorubicinas ir ciklofosfamidas; </w:t>
      </w:r>
    </w:p>
    <w:p w:rsidR="00D3044D" w:rsidRPr="00D3044D" w:rsidRDefault="00D3044D" w:rsidP="00732C31">
      <w:pPr>
        <w:pStyle w:val="BTEMEASMCA"/>
      </w:pPr>
      <w:r w:rsidRPr="00D3044D">
        <w:t xml:space="preserve">PI = pasikliautinas intervalas; </w:t>
      </w:r>
    </w:p>
    <w:p w:rsidR="00D3044D" w:rsidRPr="00D3044D" w:rsidRDefault="00D3044D" w:rsidP="00732C31">
      <w:pPr>
        <w:pStyle w:val="BTEMEASMCA"/>
      </w:pPr>
      <w:r w:rsidRPr="00D3044D">
        <w:t xml:space="preserve">ER = estrogenų receptorius; </w:t>
      </w:r>
    </w:p>
    <w:p w:rsidR="00D3044D" w:rsidRPr="00D3044D" w:rsidRDefault="00D3044D" w:rsidP="00732C31">
      <w:pPr>
        <w:pStyle w:val="BTEMEASMCA"/>
      </w:pPr>
      <w:r w:rsidRPr="00D3044D">
        <w:t>PR = progesterono receptorius;</w:t>
      </w:r>
    </w:p>
    <w:p w:rsidR="00D3044D" w:rsidRPr="00D3044D" w:rsidRDefault="00D3044D" w:rsidP="00732C31">
      <w:pPr>
        <w:pStyle w:val="BTEMEASMCA"/>
      </w:pPr>
      <w:r w:rsidRPr="00D3044D">
        <w:rPr>
          <w:vertAlign w:val="superscript"/>
        </w:rPr>
        <w:t>a</w:t>
      </w:r>
      <w:r w:rsidRPr="00D3044D">
        <w:t xml:space="preserve">ER/PR-neigiami arba 3 </w:t>
      </w:r>
      <w:r w:rsidR="00E0213F">
        <w:t xml:space="preserve">histologinio </w:t>
      </w:r>
      <w:r w:rsidRPr="00D3044D">
        <w:t xml:space="preserve">laipsnio ar naviko dydis &gt;5 cm </w:t>
      </w:r>
    </w:p>
    <w:p w:rsidR="00D3044D" w:rsidRPr="00D3044D" w:rsidRDefault="00D3044D" w:rsidP="00732C31">
      <w:pPr>
        <w:pStyle w:val="BTEMEASMCA"/>
      </w:pPr>
    </w:p>
    <w:p w:rsidR="00D3044D" w:rsidRPr="00D3044D" w:rsidRDefault="00D3044D" w:rsidP="00732C31">
      <w:pPr>
        <w:pStyle w:val="BTEMEASMCA"/>
      </w:pPr>
      <w:r w:rsidRPr="00D3044D">
        <w:t xml:space="preserve">Santykinė rizika buvo apskaičiuota taikant Cox proporcinės rizikos modelį gydymo grupėms kaip faktorių. </w:t>
      </w:r>
    </w:p>
    <w:p w:rsidR="00D3044D" w:rsidRPr="00D3044D" w:rsidRDefault="00D3044D" w:rsidP="00732C31">
      <w:pPr>
        <w:pStyle w:val="BTEMEASMCA"/>
      </w:pPr>
    </w:p>
    <w:p w:rsidR="00D3044D" w:rsidRPr="00D3044D" w:rsidRDefault="00D3044D" w:rsidP="00732C31">
      <w:pPr>
        <w:pStyle w:val="BTEMEASMCA"/>
      </w:pPr>
      <w:r w:rsidRPr="00D3044D">
        <w:t>Docetakselio monoterapija</w:t>
      </w:r>
    </w:p>
    <w:p w:rsidR="00D3044D" w:rsidRPr="00D3044D" w:rsidRDefault="00D3044D" w:rsidP="00732C31">
      <w:pPr>
        <w:pStyle w:val="BTEMEASMCA"/>
      </w:pPr>
      <w:r w:rsidRPr="00D3044D">
        <w:t xml:space="preserve">Atlikti du atsitiktiniai III fazės palyginamieji tyrimai, į kuriuos </w:t>
      </w:r>
      <w:r w:rsidR="00480417" w:rsidRPr="00D3044D">
        <w:t>įtraukt</w:t>
      </w:r>
      <w:r w:rsidR="00480417">
        <w:t>i</w:t>
      </w:r>
      <w:r w:rsidR="00480417" w:rsidRPr="00D3044D">
        <w:t xml:space="preserve"> </w:t>
      </w:r>
      <w:r w:rsidRPr="00D3044D">
        <w:t>metastazavusiu krūties vėžiu sergan</w:t>
      </w:r>
      <w:r w:rsidR="00480417">
        <w:t>tys</w:t>
      </w:r>
      <w:r w:rsidRPr="00D3044D">
        <w:t>, 326 alkilinančiais vaistais ir 392 antraciklinais anksčiau nesėkmingai gydyt</w:t>
      </w:r>
      <w:r w:rsidR="00480417">
        <w:t>i</w:t>
      </w:r>
      <w:r w:rsidRPr="00D3044D">
        <w:t xml:space="preserve"> pacient</w:t>
      </w:r>
      <w:r w:rsidR="00480417">
        <w:t>ai</w:t>
      </w:r>
      <w:r w:rsidRPr="00D3044D">
        <w:t>, gydyt</w:t>
      </w:r>
      <w:r w:rsidR="00480417">
        <w:t>i</w:t>
      </w:r>
      <w:r w:rsidRPr="00D3044D">
        <w:t xml:space="preserve"> docetakselio rekomenduojamomis dozėmis ir tvarka (100 mg/m² kas 3 savaites). </w:t>
      </w:r>
    </w:p>
    <w:p w:rsidR="00D3044D" w:rsidRPr="00D3044D" w:rsidRDefault="00D3044D" w:rsidP="00732C31">
      <w:pPr>
        <w:pStyle w:val="BTEMEASMCA"/>
      </w:pPr>
    </w:p>
    <w:p w:rsidR="00D3044D" w:rsidRPr="00D3044D" w:rsidRDefault="00480417" w:rsidP="00732C31">
      <w:pPr>
        <w:pStyle w:val="BTEMEASMCA"/>
      </w:pPr>
      <w:r>
        <w:t>Pacientams, kuriems</w:t>
      </w:r>
      <w:r w:rsidR="00D3044D" w:rsidRPr="00D3044D">
        <w:t xml:space="preserve"> gydymas alkilinančiais vaistais buvo neveiksmingas, palygintas docetakselio ir doksorubicino (75 mg/m² kas 3 savaites) poveikis. </w:t>
      </w:r>
    </w:p>
    <w:p w:rsidR="00D3044D" w:rsidRPr="00D3044D" w:rsidRDefault="00D3044D" w:rsidP="00732C31">
      <w:pPr>
        <w:pStyle w:val="BTEMEASMCA"/>
      </w:pPr>
      <w:r w:rsidRPr="00D3044D">
        <w:t xml:space="preserve">Neturėdamas poveikio bendrai išgyvenamumo trukmei (docetakselis 15 mėn., palyginus su doksorubicinu – 14 mėn., p = 0,38) ar laiko iki progresavimo (docetakselis 27 savaitės, palyginus su doksorubicinu – 23 savaitės, p = 0,54), docetakselio atsakas padidėjo (52% palyginus su 37 %, p = 0,01) ir sutrumpėjo laikas iki atsako (12 savaičių, palyginus su 23 savaitėmis, p = 0,007). Trys docetakseliu gydytos pacientės (2 %) nutraukė vaisto vartojimą dėl skysčių susilaikymo, 15 (9 %) doksorubicinu gydytų pacienčių – dėl kardiotoksinio poveikio (3 pacientės mirė nuo stazinio širdies nepakankamumo). </w:t>
      </w:r>
    </w:p>
    <w:p w:rsidR="00D3044D" w:rsidRPr="00D3044D" w:rsidRDefault="00D3044D" w:rsidP="00732C31">
      <w:pPr>
        <w:pStyle w:val="BTEMEASMCA"/>
      </w:pPr>
    </w:p>
    <w:p w:rsidR="00D3044D" w:rsidRPr="00D3044D" w:rsidRDefault="00480417" w:rsidP="00732C31">
      <w:pPr>
        <w:pStyle w:val="BTEMEASMCA"/>
      </w:pPr>
      <w:r>
        <w:t>Pacientams, kuriems</w:t>
      </w:r>
      <w:r w:rsidR="00D3044D" w:rsidRPr="00D3044D">
        <w:t xml:space="preserve"> gydymas antraciklinais buvo neveiksmingas, docetakselio poveikis palygintas su mitomicino C (12 mg/m² kas 6 savaites) ir vinblastino (6 mg/m² kas 3 savaites) derinio poveikiu. Padidėjo docetakselio atsako dažnis (33 % palyginus su 12 %, p &lt; 0,0001), pailgėjo laikotarpis iki ligos progresavimo (19 savaičių palyginus su 11 savaičių, p = 0,0004) ir bendroji išgyvenimo trukmė (11 mėn. palyginus su 9 mėn., p = 0,01). </w:t>
      </w:r>
    </w:p>
    <w:p w:rsidR="00D3044D" w:rsidRPr="00D3044D" w:rsidRDefault="00D3044D" w:rsidP="00732C31">
      <w:pPr>
        <w:pStyle w:val="BTEMEASMCA"/>
      </w:pPr>
    </w:p>
    <w:p w:rsidR="00D3044D" w:rsidRPr="00D3044D" w:rsidRDefault="00D3044D" w:rsidP="00732C31">
      <w:pPr>
        <w:pStyle w:val="BTEMEASMCA"/>
      </w:pPr>
      <w:r w:rsidRPr="00D3044D">
        <w:t xml:space="preserve">Šių dvejų III fazės klinikinių tyrimų metu nustatytas docetakselio saugumo pobūdis buvo panašus į nustatytą II fazės tyrimų metu (žr. 4.8 skyrių). </w:t>
      </w:r>
    </w:p>
    <w:p w:rsidR="00D3044D" w:rsidRPr="00D3044D" w:rsidRDefault="00D3044D" w:rsidP="00732C31">
      <w:pPr>
        <w:pStyle w:val="BTEMEASMCA"/>
      </w:pPr>
    </w:p>
    <w:p w:rsidR="00D3044D" w:rsidRPr="00D3044D" w:rsidRDefault="00D3044D" w:rsidP="00732C31">
      <w:pPr>
        <w:pStyle w:val="BTEMEASMCA"/>
      </w:pPr>
      <w:r w:rsidRPr="00D3044D">
        <w:t xml:space="preserve">Atviro, daugelyje centrų vykusio, atsitiktinių imčių III fazės tyrimo metu lygintas docetakselio monoterapijos bei paklitakselio veiksmingumas progresavusiu krūties vėžiu sergantiems pacientams, kurie ankstesnio gydymo metu vartojo antraciklino. Iš viso 449 pacientams atsitiktiniu būdu buvo parinktas gydymas arba vien tik docetakseliu (100 mg/m² dozę leidžiant infuzija per 1 valandą), arba vien tik paklitakseliu (175 mg/m² dozę leidžiant infuzija per 3 valandas). Abiejų gydymų kursai kartoti kas 3 savaites. Nors pirminis vertinimo kriterijus (bendras atsako dažnis) nesiskyrė (32 % ir 25 %, p = 0,10), docetakselis pailgino vidutinę trukmę iki ligos progresavimo (24,6 savaitės ir 15,6 savaitės; p &lt; 0,01) bei vidutinį išgyvenamumą (15,3 mėnesio ir 12,7 mėnesio; p = 0,03). Pacientams, kuriems taikyta monoterapija docetakseliu, dažniau pasireiškė 3 arba 4 laipsnio nepageidaujamų reiškinių (55,4 %), palyginti su vartojusiais paklitakselį (23,0 %). </w:t>
      </w:r>
    </w:p>
    <w:p w:rsidR="00D3044D" w:rsidRPr="00D3044D" w:rsidRDefault="00D3044D" w:rsidP="00732C31">
      <w:pPr>
        <w:pStyle w:val="BTEMEASMCA"/>
      </w:pPr>
    </w:p>
    <w:p w:rsidR="00D3044D" w:rsidRPr="00D3044D" w:rsidRDefault="00D3044D" w:rsidP="00732C31">
      <w:pPr>
        <w:pStyle w:val="BTEMEASMCA"/>
      </w:pPr>
      <w:r w:rsidRPr="00D3044D">
        <w:t xml:space="preserve">Docetakselis su doksorubicinu </w:t>
      </w:r>
    </w:p>
    <w:p w:rsidR="00D3044D" w:rsidRPr="00D3044D" w:rsidRDefault="00D3044D" w:rsidP="00732C31">
      <w:pPr>
        <w:pStyle w:val="BTEMEASMCA"/>
      </w:pPr>
    </w:p>
    <w:p w:rsidR="00D3044D" w:rsidRPr="00D3044D" w:rsidRDefault="00D3044D" w:rsidP="00732C31">
      <w:pPr>
        <w:pStyle w:val="BTEMEASMCA"/>
      </w:pPr>
      <w:r w:rsidRPr="00D3044D">
        <w:t xml:space="preserve">Atliktas didelės apimties atsitiktinių imčių III fazės tyrimas, kuriame dalyvavo 429 pacientės, sergančios iki tol negydytu metastazavusiu krūties vėžiu. Viena tiriamųjų grupė (AT) gydyta doksorubicinu (50 mg/m²) ir docetakseliu (75 mg/m²), kita (AC) – doksorubicinu (60 mg/m²) ir ciklofosfamidu (600 mg/m²). Abiejų gydymų kursai skirti pirmą 3 savaičių kurso dieną. </w:t>
      </w:r>
    </w:p>
    <w:p w:rsidR="00D3044D" w:rsidRPr="00D3044D" w:rsidRDefault="00D3044D" w:rsidP="00732C31">
      <w:pPr>
        <w:pStyle w:val="BTEMEASMCA"/>
      </w:pPr>
    </w:p>
    <w:p w:rsidR="00D3044D" w:rsidRPr="00D3044D" w:rsidRDefault="00D3044D" w:rsidP="00C93814">
      <w:pPr>
        <w:pStyle w:val="BTEMEASMCA"/>
        <w:numPr>
          <w:ilvl w:val="0"/>
          <w:numId w:val="7"/>
        </w:numPr>
      </w:pPr>
      <w:r w:rsidRPr="00D3044D">
        <w:t>AT grupės tiriamųjų laikotarpis iki ligos progresavimo buvo reikšmingai ilgesnis negu AC (p = 0,0138). Vidutinis laikotarpis iki ligos progresavimo AT grupėje buvo 37,3 savaitės (95% PI – 33,4–42,1 savaitės), AC grupėje – 31,9 savaitės (95% PI – 27,4–36,0 savaitės).</w:t>
      </w:r>
    </w:p>
    <w:p w:rsidR="00D3044D" w:rsidRPr="00D3044D" w:rsidRDefault="00D3044D" w:rsidP="00C93814">
      <w:pPr>
        <w:pStyle w:val="BTEMEASMCA"/>
        <w:numPr>
          <w:ilvl w:val="0"/>
          <w:numId w:val="13"/>
        </w:numPr>
        <w:tabs>
          <w:tab w:val="left" w:pos="810"/>
        </w:tabs>
        <w:ind w:left="720"/>
      </w:pPr>
      <w:r w:rsidRPr="00D3044D">
        <w:t xml:space="preserve">Bendras atsako dažnis AT grupėje buvo patikimai didesnis negu AC, (p = 0,009). Bendras atsako dažnis AT grupėje buvo 59,3% (95% PI – 52,8–65,9), AC grupėje – 46,5 % (95 % PI – 39,8–53,2). </w:t>
      </w:r>
    </w:p>
    <w:p w:rsidR="00D3044D" w:rsidRPr="00D3044D" w:rsidRDefault="00D3044D" w:rsidP="00732C31">
      <w:pPr>
        <w:pStyle w:val="BTEMEASMCA"/>
      </w:pPr>
    </w:p>
    <w:p w:rsidR="00D3044D" w:rsidRPr="00D3044D" w:rsidRDefault="00D3044D" w:rsidP="00732C31">
      <w:pPr>
        <w:pStyle w:val="BTEMEASMCA"/>
      </w:pPr>
      <w:r w:rsidRPr="00D3044D">
        <w:t xml:space="preserve">Šio tyrimo metu AT grupės tiriamosioms dažniau negu AC grupės pasireiškė sunki neutropenija (90 % ir 68,6 %), febrilinė neutropenija (33,3 % ir 10 %), infekcija (8 % ir 2,4 %), viduriavimas (7,5 % ir 1,4 %), astenija (8,5 % ir 2,4 %), skausmas (2,8 % ir 0 %). Kita vertus, AC grupės tiriamosioms dažnesnė buvo sunki anemija (atitinkamai 15,8 % ir 8,5 %) bei sunkus kardiotoksinis poveikis: stazinis širdies nepakankamumas (atitinkamai 3,8 % ir 2,8 %), absoliučios kairiojo skilvelio išstūmimo frakcijos sumažėjimas 20 % ar daugiau (13,1 % ir 6,1 %), absoliučios kairiojo skilvelio išstūmimo frakcijos sumažėjimas 30 % ar daugiau (6,2 % ir 1,1 %). Mirė 1 AT grupės pacientė (stazinis širdies nepakankamumas) ir 4 AC grupės pacientės (1 dėl sepsinio šoko ir 3 – stazinio širdies nepakankamumo). Abiejų grupių tiriamųjų gyvenimo kokybė (remiantis EORTC klausimų rinkiniu) gydymo bei vėlesnio stebėjimo laikotarpiu buvo panaši ir stabili. </w:t>
      </w:r>
    </w:p>
    <w:p w:rsidR="00D3044D" w:rsidRPr="00D3044D" w:rsidRDefault="00D3044D" w:rsidP="00732C31">
      <w:pPr>
        <w:pStyle w:val="BTEMEASMCA"/>
      </w:pPr>
    </w:p>
    <w:p w:rsidR="00D3044D" w:rsidRPr="00D3044D" w:rsidRDefault="00D3044D" w:rsidP="00732C31">
      <w:pPr>
        <w:pStyle w:val="BTEMEASMCA"/>
      </w:pPr>
      <w:r w:rsidRPr="00D3044D">
        <w:t xml:space="preserve">Docetakselis su trastuzumabu </w:t>
      </w:r>
    </w:p>
    <w:p w:rsidR="00D3044D" w:rsidRPr="00D3044D" w:rsidRDefault="00D3044D" w:rsidP="00732C31">
      <w:pPr>
        <w:pStyle w:val="BTEMEASMCA"/>
      </w:pPr>
    </w:p>
    <w:p w:rsidR="00D3044D" w:rsidRPr="00D3044D" w:rsidRDefault="00D3044D" w:rsidP="00732C31">
      <w:pPr>
        <w:pStyle w:val="BTEMEASMCA"/>
      </w:pPr>
      <w:r w:rsidRPr="00D3044D">
        <w:t xml:space="preserve">Tirtas docetakselio ir trastuzumabo derinio poveikis pacientėms, sergančioms metastaziniu krūties vėžiu su HER2 hiperekspresija, kurioms chemoterapija dėl metastazinės ligos anksčiau netaikyta. 186 pacientės atsitiktinai atrinktos vartoti 100 mg/m² docetakselio su trastuzumabu ar be jo; 60 % pacienčių prieš tai taikyta adjuvantinė chemoterapija antraciklinu. Docetakselio ir trastuzumabo derinys buvo veiksmingas nepriklausomai nuo to, ar anksčiau taikyta adjuvantinė chemoterapija antraciklinais. Pagrindinis tyrimas, šio labai svarbaus tyrimo metu naudotas nustatymui, ar navikas HER2 teigiamas, buvo imunohistocheminis (IHC). Nedaugelis pacienčių tirtos fluorescencijos būdu </w:t>
      </w:r>
      <w:r w:rsidRPr="00D3044D">
        <w:rPr>
          <w:i/>
        </w:rPr>
        <w:t>in situ</w:t>
      </w:r>
      <w:r w:rsidRPr="00D3044D">
        <w:t xml:space="preserve"> atlikus hibridizaciją (FISH). 87 % į tyrimą įtrauktų pacienčių sirgo IHC 3+ naviku, 95 % – IHC 3+ ir (arba) FISH teigiamu naviku. Gydymo veiksmingumo duomenys apibendrinami lentelėje: </w:t>
      </w:r>
    </w:p>
    <w:p w:rsidR="00D3044D" w:rsidRPr="00D3044D" w:rsidRDefault="00D3044D" w:rsidP="00732C31">
      <w:pPr>
        <w:pStyle w:val="BTEMEASMCA"/>
      </w:pPr>
    </w:p>
    <w:tbl>
      <w:tblPr>
        <w:tblW w:w="0" w:type="auto"/>
        <w:tblLayout w:type="fixed"/>
        <w:tblLook w:val="0000" w:firstRow="0" w:lastRow="0" w:firstColumn="0" w:lastColumn="0" w:noHBand="0" w:noVBand="0"/>
      </w:tblPr>
      <w:tblGrid>
        <w:gridCol w:w="3053"/>
        <w:gridCol w:w="3045"/>
        <w:gridCol w:w="3047"/>
      </w:tblGrid>
      <w:tr w:rsidR="00D3044D" w:rsidRPr="00D3044D" w:rsidTr="00D3044D">
        <w:trPr>
          <w:trHeight w:val="412"/>
        </w:trPr>
        <w:tc>
          <w:tcPr>
            <w:tcW w:w="3053"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Rodiklis </w:t>
            </w:r>
          </w:p>
        </w:tc>
        <w:tc>
          <w:tcPr>
            <w:tcW w:w="3045"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Docetakselis ir </w:t>
            </w:r>
          </w:p>
          <w:p w:rsidR="00D3044D" w:rsidRPr="00DC16A2" w:rsidRDefault="00D3044D" w:rsidP="00732C31">
            <w:pPr>
              <w:pStyle w:val="BTEMEASMCA"/>
              <w:rPr>
                <w:lang w:val="lt-LT"/>
              </w:rPr>
            </w:pPr>
            <w:r w:rsidRPr="00DC16A2">
              <w:rPr>
                <w:lang w:val="lt-LT"/>
              </w:rPr>
              <w:t>trastuzumabas</w:t>
            </w:r>
            <w:r w:rsidRPr="00DC16A2">
              <w:rPr>
                <w:vertAlign w:val="superscript"/>
                <w:lang w:val="lt-LT"/>
              </w:rPr>
              <w:t>1</w:t>
            </w:r>
            <w:r w:rsidRPr="00DC16A2">
              <w:rPr>
                <w:lang w:val="lt-LT"/>
              </w:rPr>
              <w:t xml:space="preserve"> </w:t>
            </w:r>
          </w:p>
          <w:p w:rsidR="00D3044D" w:rsidRPr="00DC16A2" w:rsidRDefault="00D3044D" w:rsidP="00732C31">
            <w:pPr>
              <w:pStyle w:val="BTEMEASMCA"/>
              <w:rPr>
                <w:lang w:val="lt-LT"/>
              </w:rPr>
            </w:pPr>
            <w:r w:rsidRPr="00DC16A2">
              <w:rPr>
                <w:lang w:val="lt-LT"/>
              </w:rPr>
              <w:t xml:space="preserve">n = 92 </w:t>
            </w:r>
          </w:p>
        </w:tc>
        <w:tc>
          <w:tcPr>
            <w:tcW w:w="3047"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Docetakselis</w:t>
            </w:r>
            <w:r w:rsidRPr="00DC16A2">
              <w:rPr>
                <w:vertAlign w:val="superscript"/>
                <w:lang w:val="lt-LT"/>
              </w:rPr>
              <w:t>1</w:t>
            </w:r>
            <w:r w:rsidRPr="00DC16A2">
              <w:rPr>
                <w:lang w:val="lt-LT"/>
              </w:rPr>
              <w:t xml:space="preserve"> </w:t>
            </w:r>
          </w:p>
          <w:p w:rsidR="00D3044D" w:rsidRPr="00DC16A2" w:rsidRDefault="00D3044D" w:rsidP="00732C31">
            <w:pPr>
              <w:pStyle w:val="BTEMEASMCA"/>
              <w:rPr>
                <w:lang w:val="lt-LT"/>
              </w:rPr>
            </w:pPr>
            <w:r w:rsidRPr="00DC16A2">
              <w:rPr>
                <w:lang w:val="lt-LT"/>
              </w:rPr>
              <w:t xml:space="preserve">n = 94 </w:t>
            </w:r>
          </w:p>
        </w:tc>
      </w:tr>
      <w:tr w:rsidR="00D3044D" w:rsidRPr="00D3044D" w:rsidTr="00D3044D">
        <w:trPr>
          <w:trHeight w:val="272"/>
        </w:trPr>
        <w:tc>
          <w:tcPr>
            <w:tcW w:w="3053"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Atsako dažnis </w:t>
            </w:r>
          </w:p>
          <w:p w:rsidR="00D3044D" w:rsidRPr="00DC16A2" w:rsidRDefault="00D3044D" w:rsidP="00732C31">
            <w:pPr>
              <w:pStyle w:val="BTEMEASMCA"/>
              <w:rPr>
                <w:lang w:val="lt-LT"/>
              </w:rPr>
            </w:pPr>
            <w:r w:rsidRPr="00DC16A2">
              <w:rPr>
                <w:lang w:val="lt-LT"/>
              </w:rPr>
              <w:t xml:space="preserve">(95 % PI) </w:t>
            </w:r>
          </w:p>
        </w:tc>
        <w:tc>
          <w:tcPr>
            <w:tcW w:w="3045"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61 % </w:t>
            </w:r>
          </w:p>
          <w:p w:rsidR="00D3044D" w:rsidRPr="00DC16A2" w:rsidRDefault="00D3044D" w:rsidP="00732C31">
            <w:pPr>
              <w:pStyle w:val="BTEMEASMCA"/>
              <w:rPr>
                <w:lang w:val="lt-LT"/>
              </w:rPr>
            </w:pPr>
            <w:r w:rsidRPr="00DC16A2">
              <w:rPr>
                <w:lang w:val="lt-LT"/>
              </w:rPr>
              <w:t xml:space="preserve">(50–71) </w:t>
            </w:r>
          </w:p>
        </w:tc>
        <w:tc>
          <w:tcPr>
            <w:tcW w:w="3047"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34 % </w:t>
            </w:r>
          </w:p>
          <w:p w:rsidR="00D3044D" w:rsidRPr="00DC16A2" w:rsidRDefault="00D3044D" w:rsidP="00732C31">
            <w:pPr>
              <w:pStyle w:val="BTEMEASMCA"/>
              <w:rPr>
                <w:lang w:val="lt-LT"/>
              </w:rPr>
            </w:pPr>
            <w:r w:rsidRPr="00DC16A2">
              <w:rPr>
                <w:lang w:val="lt-LT"/>
              </w:rPr>
              <w:t xml:space="preserve">(25–45) </w:t>
            </w:r>
          </w:p>
        </w:tc>
      </w:tr>
      <w:tr w:rsidR="00D3044D" w:rsidRPr="00D3044D" w:rsidTr="00D3044D">
        <w:trPr>
          <w:trHeight w:val="405"/>
        </w:trPr>
        <w:tc>
          <w:tcPr>
            <w:tcW w:w="3053"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Atsako trukmės vidurkis (mėn,) (95 % PI) </w:t>
            </w:r>
          </w:p>
        </w:tc>
        <w:tc>
          <w:tcPr>
            <w:tcW w:w="3045"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11,4 </w:t>
            </w:r>
          </w:p>
          <w:p w:rsidR="00D3044D" w:rsidRPr="00DC16A2" w:rsidRDefault="00D3044D" w:rsidP="00732C31">
            <w:pPr>
              <w:pStyle w:val="BTEMEASMCA"/>
              <w:rPr>
                <w:lang w:val="lt-LT"/>
              </w:rPr>
            </w:pPr>
            <w:r w:rsidRPr="00DC16A2">
              <w:rPr>
                <w:lang w:val="lt-LT"/>
              </w:rPr>
              <w:t xml:space="preserve">(9,2–15,0) </w:t>
            </w:r>
          </w:p>
        </w:tc>
        <w:tc>
          <w:tcPr>
            <w:tcW w:w="3047"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5,1 </w:t>
            </w:r>
          </w:p>
          <w:p w:rsidR="00D3044D" w:rsidRPr="00DC16A2" w:rsidRDefault="00D3044D" w:rsidP="00732C31">
            <w:pPr>
              <w:pStyle w:val="BTEMEASMCA"/>
              <w:rPr>
                <w:lang w:val="lt-LT"/>
              </w:rPr>
            </w:pPr>
            <w:r w:rsidRPr="00DC16A2">
              <w:rPr>
                <w:lang w:val="lt-LT"/>
              </w:rPr>
              <w:t xml:space="preserve">(4,4–6,2) </w:t>
            </w:r>
          </w:p>
        </w:tc>
      </w:tr>
      <w:tr w:rsidR="00D3044D" w:rsidRPr="00D3044D" w:rsidTr="00D3044D">
        <w:trPr>
          <w:trHeight w:val="272"/>
        </w:trPr>
        <w:tc>
          <w:tcPr>
            <w:tcW w:w="3053"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LLP vidurkis (mėn,) </w:t>
            </w:r>
          </w:p>
          <w:p w:rsidR="00D3044D" w:rsidRPr="00DC16A2" w:rsidRDefault="00D3044D" w:rsidP="00732C31">
            <w:pPr>
              <w:pStyle w:val="BTEMEASMCA"/>
              <w:rPr>
                <w:lang w:val="lt-LT"/>
              </w:rPr>
            </w:pPr>
            <w:r w:rsidRPr="00DC16A2">
              <w:rPr>
                <w:lang w:val="lt-LT"/>
              </w:rPr>
              <w:t xml:space="preserve">(95 % PI) </w:t>
            </w:r>
          </w:p>
        </w:tc>
        <w:tc>
          <w:tcPr>
            <w:tcW w:w="3045"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10,6 </w:t>
            </w:r>
          </w:p>
          <w:p w:rsidR="00D3044D" w:rsidRPr="00DC16A2" w:rsidRDefault="00D3044D" w:rsidP="00732C31">
            <w:pPr>
              <w:pStyle w:val="BTEMEASMCA"/>
              <w:rPr>
                <w:lang w:val="lt-LT"/>
              </w:rPr>
            </w:pPr>
            <w:r w:rsidRPr="00DC16A2">
              <w:rPr>
                <w:lang w:val="lt-LT"/>
              </w:rPr>
              <w:t xml:space="preserve">(7,6–12,9) </w:t>
            </w:r>
          </w:p>
        </w:tc>
        <w:tc>
          <w:tcPr>
            <w:tcW w:w="3047"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5,7 </w:t>
            </w:r>
          </w:p>
          <w:p w:rsidR="00D3044D" w:rsidRPr="00DC16A2" w:rsidRDefault="00D3044D" w:rsidP="00732C31">
            <w:pPr>
              <w:pStyle w:val="BTEMEASMCA"/>
              <w:rPr>
                <w:lang w:val="lt-LT"/>
              </w:rPr>
            </w:pPr>
            <w:r w:rsidRPr="00DC16A2">
              <w:rPr>
                <w:lang w:val="lt-LT"/>
              </w:rPr>
              <w:t xml:space="preserve">(5,0–6,5) </w:t>
            </w:r>
          </w:p>
        </w:tc>
      </w:tr>
      <w:tr w:rsidR="00D3044D" w:rsidRPr="00D3044D" w:rsidTr="00D3044D">
        <w:trPr>
          <w:trHeight w:val="274"/>
        </w:trPr>
        <w:tc>
          <w:tcPr>
            <w:tcW w:w="3053" w:type="dxa"/>
            <w:tcBorders>
              <w:top w:val="single" w:sz="4" w:space="0" w:color="000000"/>
              <w:left w:val="single" w:sz="4"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 xml:space="preserve">Išgyvenamumo vidurkis (mėn,) (95 % PI) </w:t>
            </w:r>
          </w:p>
        </w:tc>
        <w:tc>
          <w:tcPr>
            <w:tcW w:w="3045" w:type="dxa"/>
            <w:tcBorders>
              <w:top w:val="single" w:sz="4" w:space="0" w:color="000000"/>
              <w:left w:val="single" w:sz="4"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30,5</w:t>
            </w:r>
            <w:r w:rsidRPr="00DC16A2">
              <w:rPr>
                <w:vertAlign w:val="superscript"/>
                <w:lang w:val="lt-LT"/>
              </w:rPr>
              <w:t xml:space="preserve">2 </w:t>
            </w:r>
          </w:p>
          <w:p w:rsidR="00D3044D" w:rsidRPr="00DC16A2" w:rsidRDefault="00D3044D" w:rsidP="00732C31">
            <w:pPr>
              <w:pStyle w:val="BTEMEASMCA"/>
              <w:rPr>
                <w:lang w:val="lt-LT"/>
              </w:rPr>
            </w:pPr>
            <w:r w:rsidRPr="00DC16A2">
              <w:rPr>
                <w:lang w:val="lt-LT"/>
              </w:rPr>
              <w:t xml:space="preserve">(26,8–nį) </w:t>
            </w:r>
          </w:p>
        </w:tc>
        <w:tc>
          <w:tcPr>
            <w:tcW w:w="3047" w:type="dxa"/>
            <w:tcBorders>
              <w:top w:val="single" w:sz="4" w:space="0" w:color="000000"/>
              <w:left w:val="single" w:sz="4"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22,1</w:t>
            </w:r>
            <w:r w:rsidRPr="00DC16A2">
              <w:rPr>
                <w:vertAlign w:val="superscript"/>
                <w:lang w:val="lt-LT"/>
              </w:rPr>
              <w:t>2</w:t>
            </w:r>
            <w:r w:rsidRPr="00DC16A2">
              <w:rPr>
                <w:lang w:val="lt-LT"/>
              </w:rPr>
              <w:t xml:space="preserve"> </w:t>
            </w:r>
          </w:p>
          <w:p w:rsidR="00D3044D" w:rsidRPr="00DC16A2" w:rsidRDefault="00D3044D" w:rsidP="00732C31">
            <w:pPr>
              <w:pStyle w:val="BTEMEASMCA"/>
              <w:rPr>
                <w:lang w:val="lt-LT"/>
              </w:rPr>
            </w:pPr>
            <w:r w:rsidRPr="00DC16A2">
              <w:rPr>
                <w:lang w:val="lt-LT"/>
              </w:rPr>
              <w:t xml:space="preserve">(17,6–28,9) </w:t>
            </w:r>
          </w:p>
        </w:tc>
      </w:tr>
    </w:tbl>
    <w:p w:rsidR="00D3044D" w:rsidRPr="00D3044D" w:rsidRDefault="00D3044D" w:rsidP="00732C31">
      <w:pPr>
        <w:pStyle w:val="BTEMEASMCA"/>
      </w:pPr>
      <w:r w:rsidRPr="00D3044D">
        <w:t>LLP – laikas iki ligos progresavimo; „nį“ rodo, kad jo trukmės negalima įvertinti arba kad ne laikas vertinti.</w:t>
      </w:r>
    </w:p>
    <w:p w:rsidR="00D3044D" w:rsidRPr="00D3044D" w:rsidRDefault="00D3044D" w:rsidP="00732C31">
      <w:pPr>
        <w:pStyle w:val="BTEMEASMCA"/>
      </w:pPr>
      <w:r w:rsidRPr="00D3044D">
        <w:rPr>
          <w:vertAlign w:val="superscript"/>
        </w:rPr>
        <w:t>1</w:t>
      </w:r>
      <w:r w:rsidRPr="00D3044D">
        <w:t>Skaičiuojant visas į tyrimą įtrauktas (planuotas gydyti) pacientes</w:t>
      </w:r>
    </w:p>
    <w:p w:rsidR="00D3044D" w:rsidRPr="00D3044D" w:rsidRDefault="00D3044D" w:rsidP="00732C31">
      <w:pPr>
        <w:pStyle w:val="BTEMEASMCA"/>
      </w:pPr>
      <w:r w:rsidRPr="00D3044D">
        <w:rPr>
          <w:vertAlign w:val="superscript"/>
        </w:rPr>
        <w:t>2</w:t>
      </w:r>
      <w:r w:rsidRPr="00D3044D">
        <w:t xml:space="preserve">Apskaičiuotas išgyvenamumo vidurkis </w:t>
      </w:r>
    </w:p>
    <w:p w:rsidR="00D3044D" w:rsidRPr="00D3044D" w:rsidRDefault="00D3044D" w:rsidP="00732C31">
      <w:pPr>
        <w:pStyle w:val="BTEMEASMCA"/>
      </w:pPr>
    </w:p>
    <w:p w:rsidR="00D3044D" w:rsidRPr="00D3044D" w:rsidRDefault="00D3044D" w:rsidP="00732C31">
      <w:pPr>
        <w:pStyle w:val="BTEMEASMCA"/>
      </w:pPr>
      <w:r w:rsidRPr="00D3044D">
        <w:t>Docetakselis su kapecitabin</w:t>
      </w:r>
      <w:r w:rsidR="00E56D89">
        <w:t>u</w:t>
      </w:r>
    </w:p>
    <w:p w:rsidR="00D3044D" w:rsidRPr="00D3044D" w:rsidRDefault="00D3044D" w:rsidP="00732C31">
      <w:pPr>
        <w:pStyle w:val="BTEMEASMCA"/>
      </w:pPr>
    </w:p>
    <w:p w:rsidR="00D3044D" w:rsidRPr="00D3044D" w:rsidRDefault="00D3044D" w:rsidP="00732C31">
      <w:pPr>
        <w:pStyle w:val="BTEMEASMCA"/>
      </w:pPr>
      <w:r w:rsidRPr="00D3044D">
        <w:lastRenderedPageBreak/>
        <w:t xml:space="preserve">Daugiacentrio, atsitiktinių imčių, kontroliuojamo, III fazės klinikinio tyrimo duomenys pagrindžia docetakselio derinimą su kapecitabinu lokaliai progresavusiam ar metastazavusiam krūties vėžiui gydyti po neveiksmingos citotoksinės chemoterapijos, kurios sudėtyje buvo antraciklinas. Šio tyrimo metu 255 pacientės buvo atsitiktinai atrinktos vartoti docetakselį (suleista 75 mg/m² per 1 val. intravenine infuzija kas 3 savaites) ir kapecitabiną (po 1250 mg/m² 2 kartus per parą 2 savaites paskui darant savaitės pertrauką). 256 pacientės buvo atsitiktinai atrinktos gydymui tik docetakseliu (leista 100 mg/m² per 1 val. intravenine infuzija kas 3 savaites). Docetakselio ir kapecitabino grupės bendras išgyvenamumas buvo didesnis (p = 0,0126). Vidutinis išgyvenamumas buvo 442 dienos (docetakselis </w:t>
      </w:r>
    </w:p>
    <w:p w:rsidR="00D3044D" w:rsidRPr="00D3044D" w:rsidRDefault="00D3044D" w:rsidP="00732C31">
      <w:pPr>
        <w:pStyle w:val="BTEMEASMCA"/>
      </w:pPr>
      <w:r w:rsidRPr="00D3044D">
        <w:t xml:space="preserve">ir kapecitabinas) palyginus su 352 dienomis (tik docetakselis). Bendras objektyvaus atsako dažnis visoje atsitiktinai atrinktoje populiacijoje (tyrėjo vertinimu) buvo 41,6 % (docetakselis ir kapecitabinas), palyginus su 29,7 % (tik docetakselis); (p = 0,0058). Docetakselio ir kapecitabino derinio grupės laikas iki ligos progresavimo buvo didesnis (p &lt; 0,0001). Vidutinis laikas iki ligos progresavimo buvo 186 dienos (docetakselis ir kapecitabinas) palyginus su 128 dienomis (tik docetakselis). </w:t>
      </w:r>
    </w:p>
    <w:p w:rsidR="00D3044D" w:rsidRPr="00D3044D" w:rsidRDefault="00D3044D" w:rsidP="00732C31">
      <w:pPr>
        <w:pStyle w:val="BTEMEASMCA"/>
      </w:pPr>
    </w:p>
    <w:p w:rsidR="00D3044D" w:rsidRPr="00D3044D" w:rsidRDefault="00D3044D" w:rsidP="00732C31">
      <w:pPr>
        <w:pStyle w:val="BTEMEASMCA"/>
      </w:pPr>
      <w:r w:rsidRPr="00D3044D">
        <w:t>Nesmulkialąstelinis plaučių vėžys</w:t>
      </w:r>
    </w:p>
    <w:p w:rsidR="00D3044D" w:rsidRPr="00D3044D" w:rsidRDefault="00D3044D" w:rsidP="00732C31">
      <w:pPr>
        <w:pStyle w:val="BTEMEASMCA"/>
      </w:pPr>
    </w:p>
    <w:p w:rsidR="00D3044D" w:rsidRPr="00D3044D" w:rsidRDefault="00D3044D" w:rsidP="00732C31">
      <w:pPr>
        <w:pStyle w:val="BTEMEASMCA"/>
      </w:pPr>
      <w:r w:rsidRPr="00D3044D">
        <w:t xml:space="preserve">Pacientai, kuriems anksčiau taikyta chemoterapija su radioterapija arba be jos </w:t>
      </w:r>
    </w:p>
    <w:p w:rsidR="00D3044D" w:rsidRPr="00D3044D" w:rsidRDefault="00D3044D" w:rsidP="00732C31">
      <w:pPr>
        <w:pStyle w:val="BTEMEASMCA"/>
      </w:pPr>
    </w:p>
    <w:p w:rsidR="00D3044D" w:rsidRPr="00D3044D" w:rsidRDefault="00D3044D" w:rsidP="00732C31">
      <w:pPr>
        <w:pStyle w:val="BTEMEASMCA"/>
      </w:pPr>
      <w:r w:rsidRPr="00D3044D">
        <w:t xml:space="preserve">Su jau gydytais pacientais atliktas III fazės tyrimas parodė, kad, vartojant docetakselį 75 mg/m² dozėmis, laikas iki ligos progresavimo yra patikimai ilgesnis, negu apsiribojus geriausiu palaikomuoju gydymu (12,3 ir 7 savaitės). Vienerių metų išgyvenamumo dažnis taip pat buvo patikimai didesnis docetakselio grupėje (40 %) palyginus su geriausiu palaikomuoju gydymu (16 %). Vartojant docetakselį 75 mg/m² doze, reikėjo mažiau morfino grupės analgetikų (p &lt; 0,01), nemorfininių analgetikų (p &lt; 0,01), kitų su liga susijusių vaistų (p = 0,06) ir radioterapijos (p &lt; 0,01), palyginus su gavusiais tik geriausią palaikomąjį gydymą. Bendras vertinamų pacientų atsako dažnis buvo 6,8 %, vidutinė atsako trukmė – 26,1 savaitės. </w:t>
      </w:r>
    </w:p>
    <w:p w:rsidR="00D3044D" w:rsidRPr="00D3044D" w:rsidRDefault="00D3044D" w:rsidP="00732C31">
      <w:pPr>
        <w:pStyle w:val="BTEMEASMCA"/>
      </w:pPr>
    </w:p>
    <w:p w:rsidR="00D3044D" w:rsidRPr="00D3044D" w:rsidRDefault="00D3044D" w:rsidP="00732C31">
      <w:pPr>
        <w:pStyle w:val="BTEMEASMCA"/>
      </w:pPr>
      <w:r w:rsidRPr="00D3044D">
        <w:t xml:space="preserve">Docetakselio derinys su platinos preparatais pacientams, kuriems anksčiau chemoterapija netaikyta </w:t>
      </w:r>
    </w:p>
    <w:p w:rsidR="00D3044D" w:rsidRPr="00D3044D" w:rsidRDefault="00D3044D" w:rsidP="00732C31">
      <w:pPr>
        <w:pStyle w:val="BTEMEASMCA"/>
      </w:pPr>
    </w:p>
    <w:p w:rsidR="00D3044D" w:rsidRPr="00D3044D" w:rsidRDefault="00D3044D" w:rsidP="00732C31">
      <w:pPr>
        <w:pStyle w:val="BTEMEASMCA"/>
      </w:pPr>
      <w:r w:rsidRPr="00D3044D">
        <w:t xml:space="preserve">III fazės tyrime 1218 pacientų, sirgusių neoperuojamu IIIB ar IV stadijos nesmulkialąstelinių plaučių vėžiu, kurie pagal KPS (būklė pagal Karnofsky skalę) įvertinti 70 % arba geriau, ir kurie anksčiau negavo chemoterapijos dėl šios ligos, buvo atsitiktinai atrinkta arba į 75 mg/m² docetakselio (T) 1 val. trukmės infuzija, po kurios paskui tuoj pat leidžiama 75 mg/m² cisplatinos (Cis) 30–60 min. trukmės infuzija kas 3 savaites (TCis) grupę, 75 mg/m² docetakselio 1 val. trukmės infuzija kartu su karboplatina (plotas po kreive (AUC) – 6 mg/ml/min.) 30–60 min. trukmės infuzija kas 3 savaites grupę arba 25 mg/m² vinorelbino (V), skiriamo per 6–10 min. (1, 8, 15 ir 22 kurso dienomis), o paskui 100 mg/m² cisplatinos, skiriamos 1 kurso dieną kas 4 savaites grupę (VCis). </w:t>
      </w:r>
    </w:p>
    <w:p w:rsidR="00D3044D" w:rsidRPr="00D3044D" w:rsidRDefault="00D3044D" w:rsidP="00732C31">
      <w:pPr>
        <w:pStyle w:val="BTEMEASMCA"/>
      </w:pPr>
    </w:p>
    <w:p w:rsidR="00D3044D" w:rsidRPr="00D3044D" w:rsidRDefault="00D3044D" w:rsidP="00732C31">
      <w:pPr>
        <w:pStyle w:val="BTEMEASMCA"/>
      </w:pPr>
      <w:r w:rsidRPr="00D3044D">
        <w:t xml:space="preserve">Išgyvenamumo duomenys, laiko iki ligos progresavimo vidurkis ir atsako dažnis dvejose tyrimo grupėse pateikti lentelėje: </w:t>
      </w:r>
    </w:p>
    <w:p w:rsidR="00D3044D" w:rsidRPr="00D3044D" w:rsidRDefault="00D3044D" w:rsidP="00732C31">
      <w:pPr>
        <w:pStyle w:val="BTEMEASMCA"/>
      </w:pPr>
    </w:p>
    <w:tbl>
      <w:tblPr>
        <w:tblW w:w="0" w:type="auto"/>
        <w:tblLayout w:type="fixed"/>
        <w:tblLook w:val="0000" w:firstRow="0" w:lastRow="0" w:firstColumn="0" w:lastColumn="0" w:noHBand="0" w:noVBand="0"/>
      </w:tblPr>
      <w:tblGrid>
        <w:gridCol w:w="2142"/>
        <w:gridCol w:w="2130"/>
        <w:gridCol w:w="1785"/>
        <w:gridCol w:w="2485"/>
      </w:tblGrid>
      <w:tr w:rsidR="00D3044D" w:rsidRPr="00D3044D" w:rsidTr="00D3044D">
        <w:trPr>
          <w:trHeight w:val="286"/>
        </w:trPr>
        <w:tc>
          <w:tcPr>
            <w:tcW w:w="2142"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p>
        </w:tc>
        <w:tc>
          <w:tcPr>
            <w:tcW w:w="2130"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TCis </w:t>
            </w:r>
          </w:p>
          <w:p w:rsidR="00D3044D" w:rsidRPr="00DC16A2" w:rsidRDefault="00D3044D" w:rsidP="00732C31">
            <w:pPr>
              <w:pStyle w:val="BTEMEASMCA"/>
              <w:rPr>
                <w:lang w:val="lt-LT"/>
              </w:rPr>
            </w:pPr>
            <w:r w:rsidRPr="00DC16A2">
              <w:rPr>
                <w:lang w:val="lt-LT"/>
              </w:rPr>
              <w:t xml:space="preserve">n = 408 </w:t>
            </w:r>
          </w:p>
        </w:tc>
        <w:tc>
          <w:tcPr>
            <w:tcW w:w="1785"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VCis </w:t>
            </w:r>
          </w:p>
          <w:p w:rsidR="00D3044D" w:rsidRPr="00DC16A2" w:rsidRDefault="00D3044D" w:rsidP="00732C31">
            <w:pPr>
              <w:pStyle w:val="BTEMEASMCA"/>
              <w:rPr>
                <w:lang w:val="lt-LT"/>
              </w:rPr>
            </w:pPr>
            <w:r w:rsidRPr="00DC16A2">
              <w:rPr>
                <w:lang w:val="lt-LT"/>
              </w:rPr>
              <w:t xml:space="preserve">n = 404 </w:t>
            </w:r>
          </w:p>
        </w:tc>
        <w:tc>
          <w:tcPr>
            <w:tcW w:w="2485"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Statistinė analizė </w:t>
            </w:r>
          </w:p>
        </w:tc>
      </w:tr>
      <w:tr w:rsidR="00D3044D" w:rsidRPr="00D3044D" w:rsidTr="00D3044D">
        <w:trPr>
          <w:trHeight w:val="2402"/>
        </w:trPr>
        <w:tc>
          <w:tcPr>
            <w:tcW w:w="2142" w:type="dxa"/>
            <w:tcBorders>
              <w:top w:val="single" w:sz="4" w:space="0" w:color="000000"/>
              <w:left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Bendras išgyvenamumas (pirminis vertinimo </w:t>
            </w:r>
          </w:p>
          <w:p w:rsidR="00D3044D" w:rsidRPr="00DC16A2" w:rsidRDefault="00D3044D" w:rsidP="00732C31">
            <w:pPr>
              <w:pStyle w:val="BTEMEASMCA"/>
              <w:rPr>
                <w:lang w:val="lt-LT"/>
              </w:rPr>
            </w:pPr>
            <w:r w:rsidRPr="00DC16A2">
              <w:rPr>
                <w:lang w:val="lt-LT"/>
              </w:rPr>
              <w:t xml:space="preserve">kriterijus): </w:t>
            </w:r>
          </w:p>
          <w:p w:rsidR="00D3044D" w:rsidRPr="00DC16A2" w:rsidRDefault="00D3044D" w:rsidP="00732C31">
            <w:pPr>
              <w:pStyle w:val="BTEMEASMCA"/>
              <w:rPr>
                <w:lang w:val="lt-LT"/>
              </w:rPr>
            </w:pPr>
            <w:r w:rsidRPr="00DC16A2">
              <w:rPr>
                <w:lang w:val="lt-LT"/>
              </w:rPr>
              <w:t xml:space="preserve">Išgyvenamumo </w:t>
            </w:r>
          </w:p>
          <w:p w:rsidR="00D3044D" w:rsidRPr="00DC16A2" w:rsidRDefault="004E2530" w:rsidP="00732C31">
            <w:pPr>
              <w:pStyle w:val="BTEMEASMCA"/>
              <w:rPr>
                <w:lang w:val="lt-LT"/>
              </w:rPr>
            </w:pPr>
            <w:r w:rsidRPr="00DC16A2">
              <w:rPr>
                <w:lang w:val="lt-LT"/>
              </w:rPr>
              <w:t>vidurkis</w:t>
            </w:r>
            <w:r w:rsidR="004614D8" w:rsidRPr="00DC16A2">
              <w:rPr>
                <w:lang w:val="lt-LT"/>
              </w:rPr>
              <w:t xml:space="preserve"> </w:t>
            </w:r>
            <w:r w:rsidR="00D3044D" w:rsidRPr="00DC16A2">
              <w:rPr>
                <w:lang w:val="lt-LT"/>
              </w:rPr>
              <w:t>(mėn</w:t>
            </w:r>
            <w:r w:rsidR="0034604B" w:rsidRPr="00DC16A2">
              <w:rPr>
                <w:lang w:val="lt-LT"/>
              </w:rPr>
              <w:t>.</w:t>
            </w:r>
            <w:r w:rsidR="00D3044D" w:rsidRPr="00DC16A2">
              <w:rPr>
                <w:lang w:val="lt-LT"/>
              </w:rPr>
              <w:t xml:space="preserve">) </w:t>
            </w:r>
          </w:p>
          <w:p w:rsidR="00D3044D" w:rsidRPr="00DC16A2" w:rsidRDefault="00D3044D" w:rsidP="00732C31">
            <w:pPr>
              <w:pStyle w:val="BTEMEASMCA"/>
              <w:rPr>
                <w:lang w:val="lt-LT"/>
              </w:rPr>
            </w:pPr>
            <w:r w:rsidRPr="00DC16A2">
              <w:rPr>
                <w:lang w:val="lt-LT"/>
              </w:rPr>
              <w:t xml:space="preserve">1 metų </w:t>
            </w:r>
          </w:p>
          <w:p w:rsidR="00D3044D" w:rsidRPr="00DC16A2" w:rsidRDefault="00D3044D" w:rsidP="00732C31">
            <w:pPr>
              <w:pStyle w:val="BTEMEASMCA"/>
              <w:rPr>
                <w:lang w:val="lt-LT"/>
              </w:rPr>
            </w:pPr>
            <w:r w:rsidRPr="00DC16A2">
              <w:rPr>
                <w:lang w:val="lt-LT"/>
              </w:rPr>
              <w:t xml:space="preserve">išgyvenamumas </w:t>
            </w:r>
          </w:p>
          <w:p w:rsidR="00D3044D" w:rsidRPr="00DC16A2" w:rsidRDefault="00D3044D" w:rsidP="00732C31">
            <w:pPr>
              <w:pStyle w:val="BTEMEASMCA"/>
              <w:rPr>
                <w:lang w:val="lt-LT"/>
              </w:rPr>
            </w:pPr>
            <w:r w:rsidRPr="00DC16A2">
              <w:rPr>
                <w:lang w:val="lt-LT"/>
              </w:rPr>
              <w:t xml:space="preserve">(%) </w:t>
            </w:r>
          </w:p>
          <w:p w:rsidR="00D3044D" w:rsidRPr="00DC16A2" w:rsidRDefault="00D3044D" w:rsidP="00732C31">
            <w:pPr>
              <w:pStyle w:val="BTEMEASMCA"/>
              <w:rPr>
                <w:lang w:val="lt-LT"/>
              </w:rPr>
            </w:pPr>
          </w:p>
          <w:p w:rsidR="00D3044D" w:rsidRPr="00DC16A2" w:rsidRDefault="00D3044D" w:rsidP="00732C31">
            <w:pPr>
              <w:pStyle w:val="BTEMEASMCA"/>
              <w:rPr>
                <w:lang w:val="lt-LT"/>
              </w:rPr>
            </w:pPr>
            <w:r w:rsidRPr="00DC16A2">
              <w:rPr>
                <w:lang w:val="lt-LT"/>
              </w:rPr>
              <w:t xml:space="preserve">2 metų </w:t>
            </w:r>
          </w:p>
          <w:p w:rsidR="00D3044D" w:rsidRPr="00DC16A2" w:rsidRDefault="00D3044D" w:rsidP="00732C31">
            <w:pPr>
              <w:pStyle w:val="BTEMEASMCA"/>
              <w:rPr>
                <w:lang w:val="lt-LT"/>
              </w:rPr>
            </w:pPr>
            <w:r w:rsidRPr="00DC16A2">
              <w:rPr>
                <w:lang w:val="lt-LT"/>
              </w:rPr>
              <w:t xml:space="preserve">išgyvenamumas </w:t>
            </w:r>
          </w:p>
          <w:p w:rsidR="00D3044D" w:rsidRPr="00DC16A2" w:rsidRDefault="00D3044D" w:rsidP="00732C31">
            <w:pPr>
              <w:pStyle w:val="BTEMEASMCA"/>
              <w:rPr>
                <w:lang w:val="lt-LT"/>
              </w:rPr>
            </w:pPr>
            <w:r w:rsidRPr="00DC16A2">
              <w:rPr>
                <w:lang w:val="lt-LT"/>
              </w:rPr>
              <w:t xml:space="preserve">(%) </w:t>
            </w:r>
          </w:p>
        </w:tc>
        <w:tc>
          <w:tcPr>
            <w:tcW w:w="2130" w:type="dxa"/>
            <w:tcBorders>
              <w:top w:val="single" w:sz="4" w:space="0" w:color="000000"/>
              <w:left w:val="single" w:sz="4" w:space="0" w:color="000000"/>
              <w:right w:val="single" w:sz="4" w:space="0" w:color="000000"/>
            </w:tcBorders>
          </w:tcPr>
          <w:p w:rsidR="00D3044D" w:rsidRPr="00DC16A2" w:rsidRDefault="00D3044D" w:rsidP="00732C31">
            <w:pPr>
              <w:pStyle w:val="BTEMEASMCA"/>
              <w:rPr>
                <w:lang w:val="lt-LT"/>
              </w:rPr>
            </w:pPr>
          </w:p>
          <w:p w:rsidR="00D3044D" w:rsidRPr="00DC16A2" w:rsidRDefault="00D3044D" w:rsidP="00732C31">
            <w:pPr>
              <w:pStyle w:val="BTEMEASMCA"/>
              <w:rPr>
                <w:lang w:val="lt-LT"/>
              </w:rPr>
            </w:pPr>
          </w:p>
          <w:p w:rsidR="00D3044D" w:rsidRPr="00DC16A2" w:rsidRDefault="00D3044D" w:rsidP="00732C31">
            <w:pPr>
              <w:pStyle w:val="BTEMEASMCA"/>
              <w:rPr>
                <w:lang w:val="lt-LT"/>
              </w:rPr>
            </w:pPr>
          </w:p>
          <w:p w:rsidR="00B25088" w:rsidRPr="00DC16A2" w:rsidRDefault="00B25088" w:rsidP="00732C31">
            <w:pPr>
              <w:pStyle w:val="BTEMEASMCA"/>
              <w:rPr>
                <w:lang w:val="lt-LT"/>
              </w:rPr>
            </w:pPr>
          </w:p>
          <w:p w:rsidR="00D3044D" w:rsidRPr="00DC16A2" w:rsidRDefault="00D3044D" w:rsidP="00732C31">
            <w:pPr>
              <w:pStyle w:val="BTEMEASMCA"/>
              <w:rPr>
                <w:lang w:val="lt-LT"/>
              </w:rPr>
            </w:pPr>
            <w:r w:rsidRPr="00DC16A2">
              <w:rPr>
                <w:lang w:val="lt-LT"/>
              </w:rPr>
              <w:t xml:space="preserve">11,3 </w:t>
            </w:r>
          </w:p>
          <w:p w:rsidR="00D3044D" w:rsidRPr="00DC16A2" w:rsidRDefault="00D3044D" w:rsidP="00732C31">
            <w:pPr>
              <w:pStyle w:val="BTEMEASMCA"/>
              <w:rPr>
                <w:lang w:val="lt-LT"/>
              </w:rPr>
            </w:pPr>
          </w:p>
          <w:p w:rsidR="003B6E50" w:rsidRPr="00DC16A2" w:rsidRDefault="003B6E50" w:rsidP="00732C31">
            <w:pPr>
              <w:pStyle w:val="BTEMEASMCA"/>
              <w:rPr>
                <w:lang w:val="lt-LT"/>
              </w:rPr>
            </w:pPr>
          </w:p>
          <w:p w:rsidR="00D3044D" w:rsidRPr="00DC16A2" w:rsidRDefault="00D3044D" w:rsidP="00732C31">
            <w:pPr>
              <w:pStyle w:val="BTEMEASMCA"/>
              <w:rPr>
                <w:lang w:val="lt-LT"/>
              </w:rPr>
            </w:pPr>
            <w:r w:rsidRPr="00DC16A2">
              <w:rPr>
                <w:lang w:val="lt-LT"/>
              </w:rPr>
              <w:t xml:space="preserve">46 </w:t>
            </w:r>
          </w:p>
          <w:p w:rsidR="00D3044D" w:rsidRPr="00DC16A2" w:rsidRDefault="00D3044D" w:rsidP="00732C31">
            <w:pPr>
              <w:pStyle w:val="BTEMEASMCA"/>
              <w:rPr>
                <w:lang w:val="lt-LT"/>
              </w:rPr>
            </w:pPr>
          </w:p>
          <w:p w:rsidR="003B6E50" w:rsidRPr="00DC16A2" w:rsidRDefault="003B6E50" w:rsidP="00732C31">
            <w:pPr>
              <w:pStyle w:val="BTEMEASMCA"/>
              <w:rPr>
                <w:lang w:val="lt-LT"/>
              </w:rPr>
            </w:pPr>
          </w:p>
          <w:p w:rsidR="003B6E50" w:rsidRPr="00DC16A2" w:rsidRDefault="003B6E50" w:rsidP="00732C31">
            <w:pPr>
              <w:pStyle w:val="BTEMEASMCA"/>
              <w:rPr>
                <w:lang w:val="lt-LT"/>
              </w:rPr>
            </w:pPr>
          </w:p>
          <w:p w:rsidR="00D3044D" w:rsidRPr="00DC16A2" w:rsidRDefault="00D3044D" w:rsidP="00732C31">
            <w:pPr>
              <w:pStyle w:val="BTEMEASMCA"/>
              <w:rPr>
                <w:lang w:val="lt-LT"/>
              </w:rPr>
            </w:pPr>
            <w:r w:rsidRPr="00DC16A2">
              <w:rPr>
                <w:lang w:val="lt-LT"/>
              </w:rPr>
              <w:t xml:space="preserve">21 </w:t>
            </w:r>
          </w:p>
        </w:tc>
        <w:tc>
          <w:tcPr>
            <w:tcW w:w="1785" w:type="dxa"/>
            <w:tcBorders>
              <w:top w:val="single" w:sz="4" w:space="0" w:color="000000"/>
              <w:left w:val="single" w:sz="4" w:space="0" w:color="000000"/>
              <w:right w:val="single" w:sz="4" w:space="0" w:color="000000"/>
            </w:tcBorders>
          </w:tcPr>
          <w:p w:rsidR="00D3044D" w:rsidRPr="00DC16A2" w:rsidRDefault="00D3044D" w:rsidP="00732C31">
            <w:pPr>
              <w:pStyle w:val="BTEMEASMCA"/>
              <w:rPr>
                <w:lang w:val="lt-LT"/>
              </w:rPr>
            </w:pPr>
          </w:p>
          <w:p w:rsidR="00D3044D" w:rsidRPr="00DC16A2" w:rsidRDefault="00D3044D" w:rsidP="00732C31">
            <w:pPr>
              <w:pStyle w:val="BTEMEASMCA"/>
              <w:rPr>
                <w:lang w:val="lt-LT"/>
              </w:rPr>
            </w:pPr>
          </w:p>
          <w:p w:rsidR="00D3044D" w:rsidRPr="00DC16A2" w:rsidRDefault="00D3044D" w:rsidP="00732C31">
            <w:pPr>
              <w:pStyle w:val="BTEMEASMCA"/>
              <w:rPr>
                <w:lang w:val="lt-LT"/>
              </w:rPr>
            </w:pPr>
          </w:p>
          <w:p w:rsidR="00B25088" w:rsidRPr="00DC16A2" w:rsidRDefault="00B25088" w:rsidP="00732C31">
            <w:pPr>
              <w:pStyle w:val="BTEMEASMCA"/>
              <w:rPr>
                <w:lang w:val="lt-LT"/>
              </w:rPr>
            </w:pPr>
          </w:p>
          <w:p w:rsidR="00D3044D" w:rsidRPr="00DC16A2" w:rsidRDefault="00D3044D" w:rsidP="00732C31">
            <w:pPr>
              <w:pStyle w:val="BTEMEASMCA"/>
              <w:rPr>
                <w:lang w:val="lt-LT"/>
              </w:rPr>
            </w:pPr>
            <w:r w:rsidRPr="00DC16A2">
              <w:rPr>
                <w:lang w:val="lt-LT"/>
              </w:rPr>
              <w:t xml:space="preserve">10,1 </w:t>
            </w:r>
          </w:p>
          <w:p w:rsidR="00D3044D" w:rsidRPr="00DC16A2" w:rsidRDefault="00D3044D" w:rsidP="00732C31">
            <w:pPr>
              <w:pStyle w:val="BTEMEASMCA"/>
              <w:rPr>
                <w:lang w:val="lt-LT"/>
              </w:rPr>
            </w:pPr>
          </w:p>
          <w:p w:rsidR="003B6E50" w:rsidRPr="00DC16A2" w:rsidRDefault="003B6E50" w:rsidP="00732C31">
            <w:pPr>
              <w:pStyle w:val="BTEMEASMCA"/>
              <w:rPr>
                <w:lang w:val="lt-LT"/>
              </w:rPr>
            </w:pPr>
          </w:p>
          <w:p w:rsidR="00D3044D" w:rsidRPr="00DC16A2" w:rsidRDefault="00D3044D" w:rsidP="00732C31">
            <w:pPr>
              <w:pStyle w:val="BTEMEASMCA"/>
              <w:rPr>
                <w:lang w:val="lt-LT"/>
              </w:rPr>
            </w:pPr>
            <w:r w:rsidRPr="00DC16A2">
              <w:rPr>
                <w:lang w:val="lt-LT"/>
              </w:rPr>
              <w:t xml:space="preserve">41 </w:t>
            </w:r>
          </w:p>
          <w:p w:rsidR="00D3044D" w:rsidRPr="00DC16A2" w:rsidRDefault="00D3044D" w:rsidP="00732C31">
            <w:pPr>
              <w:pStyle w:val="BTEMEASMCA"/>
              <w:rPr>
                <w:lang w:val="lt-LT"/>
              </w:rPr>
            </w:pPr>
          </w:p>
          <w:p w:rsidR="003B6E50" w:rsidRPr="00DC16A2" w:rsidRDefault="003B6E50" w:rsidP="00732C31">
            <w:pPr>
              <w:pStyle w:val="BTEMEASMCA"/>
              <w:rPr>
                <w:lang w:val="lt-LT"/>
              </w:rPr>
            </w:pPr>
          </w:p>
          <w:p w:rsidR="003B6E50" w:rsidRPr="00DC16A2" w:rsidRDefault="003B6E50" w:rsidP="00732C31">
            <w:pPr>
              <w:pStyle w:val="BTEMEASMCA"/>
              <w:rPr>
                <w:lang w:val="lt-LT"/>
              </w:rPr>
            </w:pPr>
          </w:p>
          <w:p w:rsidR="00D3044D" w:rsidRPr="00DC16A2" w:rsidRDefault="00D3044D" w:rsidP="00732C31">
            <w:pPr>
              <w:pStyle w:val="BTEMEASMCA"/>
              <w:rPr>
                <w:lang w:val="lt-LT"/>
              </w:rPr>
            </w:pPr>
            <w:r w:rsidRPr="00DC16A2">
              <w:rPr>
                <w:lang w:val="lt-LT"/>
              </w:rPr>
              <w:t xml:space="preserve">14 </w:t>
            </w:r>
          </w:p>
        </w:tc>
        <w:tc>
          <w:tcPr>
            <w:tcW w:w="2485" w:type="dxa"/>
            <w:tcBorders>
              <w:top w:val="single" w:sz="4" w:space="0" w:color="000000"/>
              <w:left w:val="single" w:sz="4" w:space="0" w:color="000000"/>
              <w:right w:val="single" w:sz="4" w:space="0" w:color="000000"/>
            </w:tcBorders>
          </w:tcPr>
          <w:p w:rsidR="00D3044D" w:rsidRPr="00DC16A2" w:rsidRDefault="00D3044D" w:rsidP="00732C31">
            <w:pPr>
              <w:pStyle w:val="BTEMEASMCA"/>
              <w:rPr>
                <w:lang w:val="lt-LT"/>
              </w:rPr>
            </w:pPr>
          </w:p>
          <w:p w:rsidR="00D3044D" w:rsidRPr="00DC16A2" w:rsidRDefault="00D3044D" w:rsidP="00732C31">
            <w:pPr>
              <w:pStyle w:val="BTEMEASMCA"/>
              <w:rPr>
                <w:lang w:val="lt-LT"/>
              </w:rPr>
            </w:pPr>
          </w:p>
          <w:p w:rsidR="00D3044D" w:rsidRPr="00DC16A2" w:rsidRDefault="00D3044D" w:rsidP="00732C31">
            <w:pPr>
              <w:pStyle w:val="BTEMEASMCA"/>
              <w:rPr>
                <w:lang w:val="lt-LT"/>
              </w:rPr>
            </w:pPr>
          </w:p>
          <w:p w:rsidR="00B25088" w:rsidRPr="00DC16A2" w:rsidRDefault="00B25088" w:rsidP="00732C31">
            <w:pPr>
              <w:pStyle w:val="BTEMEASMCA"/>
              <w:rPr>
                <w:lang w:val="lt-LT"/>
              </w:rPr>
            </w:pPr>
          </w:p>
          <w:p w:rsidR="00D3044D" w:rsidRPr="00DC16A2" w:rsidRDefault="00D3044D" w:rsidP="00732C31">
            <w:pPr>
              <w:pStyle w:val="BTEMEASMCA"/>
              <w:rPr>
                <w:lang w:val="lt-LT"/>
              </w:rPr>
            </w:pPr>
            <w:r w:rsidRPr="00DC16A2">
              <w:rPr>
                <w:lang w:val="lt-LT"/>
              </w:rPr>
              <w:t xml:space="preserve">Santykinė rizika: 1,122 [97,2 % PI: 0,937; </w:t>
            </w:r>
          </w:p>
          <w:p w:rsidR="00D3044D" w:rsidRPr="00DC16A2" w:rsidRDefault="00D3044D" w:rsidP="00732C31">
            <w:pPr>
              <w:pStyle w:val="BTEMEASMCA"/>
              <w:rPr>
                <w:lang w:val="lt-LT"/>
              </w:rPr>
            </w:pPr>
            <w:r w:rsidRPr="00DC16A2">
              <w:rPr>
                <w:lang w:val="lt-LT"/>
              </w:rPr>
              <w:t xml:space="preserve">1,342]* </w:t>
            </w:r>
          </w:p>
          <w:p w:rsidR="00D3044D" w:rsidRPr="00DC16A2" w:rsidRDefault="00D3044D" w:rsidP="00732C31">
            <w:pPr>
              <w:pStyle w:val="BTEMEASMCA"/>
              <w:rPr>
                <w:lang w:val="lt-LT"/>
              </w:rPr>
            </w:pPr>
            <w:r w:rsidRPr="00DC16A2">
              <w:rPr>
                <w:lang w:val="lt-LT"/>
              </w:rPr>
              <w:t xml:space="preserve">Gydymo skirtumas: 5,4 % [95 % PI: -1,1; 12,0] </w:t>
            </w:r>
          </w:p>
          <w:p w:rsidR="00D3044D" w:rsidRPr="00DC16A2" w:rsidRDefault="00D3044D" w:rsidP="00732C31">
            <w:pPr>
              <w:pStyle w:val="BTEMEASMCA"/>
              <w:rPr>
                <w:lang w:val="lt-LT"/>
              </w:rPr>
            </w:pPr>
          </w:p>
          <w:p w:rsidR="002E105B" w:rsidRPr="00DC16A2" w:rsidRDefault="002E105B" w:rsidP="00732C31">
            <w:pPr>
              <w:pStyle w:val="BTEMEASMCA"/>
              <w:rPr>
                <w:lang w:val="lt-LT"/>
              </w:rPr>
            </w:pPr>
          </w:p>
          <w:p w:rsidR="00D3044D" w:rsidRPr="00DC16A2" w:rsidRDefault="00D3044D" w:rsidP="00732C31">
            <w:pPr>
              <w:pStyle w:val="BTEMEASMCA"/>
              <w:rPr>
                <w:lang w:val="lt-LT"/>
              </w:rPr>
            </w:pPr>
            <w:r w:rsidRPr="00DC16A2">
              <w:rPr>
                <w:lang w:val="lt-LT"/>
              </w:rPr>
              <w:t xml:space="preserve">Gydymo skirtumas: 6,2 % [95 % PI: 0,2; 12,3] </w:t>
            </w:r>
          </w:p>
        </w:tc>
      </w:tr>
      <w:tr w:rsidR="00D3044D" w:rsidRPr="00D3044D" w:rsidTr="00D3044D">
        <w:trPr>
          <w:trHeight w:val="418"/>
        </w:trPr>
        <w:tc>
          <w:tcPr>
            <w:tcW w:w="2142"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lastRenderedPageBreak/>
              <w:t xml:space="preserve">Laiko iki ligos progresavimo vidurkis (savaitės): </w:t>
            </w:r>
          </w:p>
        </w:tc>
        <w:tc>
          <w:tcPr>
            <w:tcW w:w="2130"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22,0 </w:t>
            </w:r>
          </w:p>
        </w:tc>
        <w:tc>
          <w:tcPr>
            <w:tcW w:w="1785"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23,0 </w:t>
            </w:r>
          </w:p>
        </w:tc>
        <w:tc>
          <w:tcPr>
            <w:tcW w:w="2485" w:type="dxa"/>
            <w:tcBorders>
              <w:top w:val="single" w:sz="4"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Santykinė rizika: 1,032 [95 % PI: 0,876; 1,216] </w:t>
            </w:r>
          </w:p>
        </w:tc>
      </w:tr>
      <w:tr w:rsidR="00D3044D" w:rsidRPr="00D3044D" w:rsidTr="00D3044D">
        <w:trPr>
          <w:trHeight w:val="420"/>
        </w:trPr>
        <w:tc>
          <w:tcPr>
            <w:tcW w:w="2142" w:type="dxa"/>
            <w:tcBorders>
              <w:top w:val="single" w:sz="4" w:space="0" w:color="000000"/>
              <w:left w:val="single" w:sz="4"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 xml:space="preserve">Bendras atsako dažnis (%): </w:t>
            </w:r>
          </w:p>
        </w:tc>
        <w:tc>
          <w:tcPr>
            <w:tcW w:w="2130" w:type="dxa"/>
            <w:tcBorders>
              <w:top w:val="single" w:sz="4" w:space="0" w:color="000000"/>
              <w:left w:val="single" w:sz="4"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 xml:space="preserve">31,6 </w:t>
            </w:r>
          </w:p>
        </w:tc>
        <w:tc>
          <w:tcPr>
            <w:tcW w:w="1785" w:type="dxa"/>
            <w:tcBorders>
              <w:top w:val="single" w:sz="4" w:space="0" w:color="000000"/>
              <w:left w:val="single" w:sz="4"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 xml:space="preserve">24,5 </w:t>
            </w:r>
          </w:p>
        </w:tc>
        <w:tc>
          <w:tcPr>
            <w:tcW w:w="2485" w:type="dxa"/>
            <w:tcBorders>
              <w:top w:val="single" w:sz="4" w:space="0" w:color="000000"/>
              <w:left w:val="single" w:sz="4"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 xml:space="preserve">Gydymo skirtumas: 7,1 % [95 % PI: 0,7; 13,5] </w:t>
            </w:r>
          </w:p>
        </w:tc>
      </w:tr>
    </w:tbl>
    <w:p w:rsidR="00D3044D" w:rsidRPr="00D3044D" w:rsidRDefault="00D3044D" w:rsidP="00732C31">
      <w:pPr>
        <w:pStyle w:val="BTEMEASMCA"/>
      </w:pPr>
      <w:r w:rsidRPr="00D3044D">
        <w:t xml:space="preserve">*: koreguota daugeliui lyginimų ir pritaikyta stratifikavimo veiksniams (ligos stadijai, gydymo regionui), remiantis pacientų populiacijos, kurios stebėjimo duomenis galima įvertinti, duomenimis. </w:t>
      </w:r>
    </w:p>
    <w:p w:rsidR="00D3044D" w:rsidRPr="00D3044D" w:rsidRDefault="00D3044D" w:rsidP="00732C31">
      <w:pPr>
        <w:pStyle w:val="BTEMEASMCA"/>
      </w:pPr>
    </w:p>
    <w:p w:rsidR="00D3044D" w:rsidRPr="00D3044D" w:rsidRDefault="00D3044D" w:rsidP="00732C31">
      <w:pPr>
        <w:pStyle w:val="BTEMEASMCA"/>
      </w:pPr>
      <w:r w:rsidRPr="00D3044D">
        <w:t xml:space="preserve">Antriniai vertinimo kriterijai buvo skausmo, bendros gyvenimo kokybės (EuroQoL-5D), įvertinimo pagal plaučių vėžio simptomų skalę ir būklės pagal Karnofsky skalę pokyčiai. Šių vertinimo kriterijų rezultatai patvirtino pirminių vertinimo kriterijų rezultatus. </w:t>
      </w:r>
    </w:p>
    <w:p w:rsidR="00D3044D" w:rsidRPr="00D3044D" w:rsidRDefault="00D3044D" w:rsidP="00732C31">
      <w:pPr>
        <w:pStyle w:val="BTEMEASMCA"/>
      </w:pPr>
    </w:p>
    <w:p w:rsidR="00D3044D" w:rsidRPr="00D3044D" w:rsidRDefault="00D3044D" w:rsidP="00732C31">
      <w:pPr>
        <w:pStyle w:val="BTEMEASMCA"/>
      </w:pPr>
      <w:r w:rsidRPr="00D3044D">
        <w:t xml:space="preserve">Nepavyko įrodyti nei ekvivalentiško, nei ne mažesnio docetakselio ir karboplatinos derinio veiksmingumo palyginus su vinorelbino ir cisplatinos deriniu. </w:t>
      </w:r>
    </w:p>
    <w:p w:rsidR="00D3044D" w:rsidRPr="00D3044D" w:rsidRDefault="00D3044D" w:rsidP="00732C31">
      <w:pPr>
        <w:pStyle w:val="BTEMEASMCA"/>
      </w:pPr>
    </w:p>
    <w:p w:rsidR="00D3044D" w:rsidRPr="00D3044D" w:rsidRDefault="00D3044D" w:rsidP="00732C31">
      <w:pPr>
        <w:pStyle w:val="BTEMEASMCA"/>
      </w:pPr>
      <w:r w:rsidRPr="00D3044D">
        <w:t xml:space="preserve">Prostatos vėžys </w:t>
      </w:r>
    </w:p>
    <w:p w:rsidR="00D3044D" w:rsidRPr="00D3044D" w:rsidRDefault="00D3044D" w:rsidP="00732C31">
      <w:pPr>
        <w:pStyle w:val="BTEMEASMCA"/>
      </w:pPr>
    </w:p>
    <w:p w:rsidR="00D3044D" w:rsidRPr="00D3044D" w:rsidRDefault="00D3044D" w:rsidP="00732C31">
      <w:pPr>
        <w:pStyle w:val="BTEMEASMCA"/>
      </w:pPr>
      <w:r w:rsidRPr="00D3044D">
        <w:t xml:space="preserve">Docetakselio, vartojamo kartu su prednizonu ar prednizolonu, saugumas ir veiksmingumas hormonams atspariu metastazavusiu prostatos vėžiu sergantiems pacientams vertintas atsitiktinės atrankos, daugiacentriame, III fazės tyrime. Iš viso 1006 pacientai, kurių KPS ≥ 60, buvo atsitiktinai atrinkti į šias gydymo grupes: </w:t>
      </w:r>
    </w:p>
    <w:p w:rsidR="00D3044D" w:rsidRPr="00D3044D" w:rsidRDefault="00D3044D" w:rsidP="00732C31">
      <w:pPr>
        <w:pStyle w:val="BTEMEASMCA"/>
        <w:numPr>
          <w:ilvl w:val="0"/>
          <w:numId w:val="7"/>
        </w:numPr>
      </w:pPr>
      <w:r w:rsidRPr="00D3044D">
        <w:t xml:space="preserve">docetakselio 75 mg/m² kas 3 savaites, 10 ciklų; </w:t>
      </w:r>
    </w:p>
    <w:p w:rsidR="00D3044D" w:rsidRPr="00D3044D" w:rsidRDefault="00D3044D" w:rsidP="00C04A3A">
      <w:pPr>
        <w:pStyle w:val="BTEMEASMCA"/>
        <w:numPr>
          <w:ilvl w:val="0"/>
          <w:numId w:val="7"/>
        </w:numPr>
      </w:pPr>
      <w:r w:rsidRPr="00D3044D">
        <w:t xml:space="preserve">docetakselio 30 mg/m² kas savaitę pirmas penkias 6 savaičių ciklo savaites, 5 ciklus; </w:t>
      </w:r>
    </w:p>
    <w:p w:rsidR="00D3044D" w:rsidRPr="00D3044D" w:rsidRDefault="00D3044D" w:rsidP="00732C31">
      <w:pPr>
        <w:pStyle w:val="BTEMEASMCA"/>
        <w:numPr>
          <w:ilvl w:val="0"/>
          <w:numId w:val="7"/>
        </w:numPr>
      </w:pPr>
      <w:r w:rsidRPr="00D3044D">
        <w:t xml:space="preserve">mitoksantrono 12 mg/m² kas 3 savaites, 10 ciklų. </w:t>
      </w:r>
    </w:p>
    <w:p w:rsidR="00D3044D" w:rsidRPr="00D3044D" w:rsidRDefault="00D3044D" w:rsidP="00732C31">
      <w:pPr>
        <w:pStyle w:val="BTEMEASMCA"/>
      </w:pPr>
      <w:r w:rsidRPr="00D3044D">
        <w:t xml:space="preserve">Visų 3 grupių pacientai kartu vartojo po 5 mg prednizono ar prednizolono 2 kartus per parą be pertraukų. </w:t>
      </w:r>
    </w:p>
    <w:p w:rsidR="00D3044D" w:rsidRPr="00D3044D" w:rsidRDefault="00D3044D" w:rsidP="00732C31">
      <w:pPr>
        <w:pStyle w:val="BTEMEASMCA"/>
      </w:pPr>
    </w:p>
    <w:p w:rsidR="00D3044D" w:rsidRPr="00D3044D" w:rsidRDefault="00D3044D" w:rsidP="00732C31">
      <w:pPr>
        <w:pStyle w:val="BTEMEASMCA"/>
      </w:pPr>
      <w:r w:rsidRPr="00D3044D">
        <w:t>Docetakselį kas tris savaites vartojusių pacientų bendras išgyvenamumas buvo reikšmingai ilgesnis, negu vartojusių mitoksantroną. Docetakselį kas savaitę vartojusių pacientų grupės bendras išgyvenamumas nebuvo patikimai ilgesnis, negu vartojusių mitoksantroną. Docetakselio grupių veiksmingumo vertinimo kriterijų palyginimas su kontroline grupe apibendrintas šioje lentelėje:</w:t>
      </w:r>
    </w:p>
    <w:p w:rsidR="00D3044D" w:rsidRPr="00D3044D" w:rsidRDefault="00D3044D" w:rsidP="00732C31">
      <w:pPr>
        <w:pStyle w:val="BTEMEASMCA"/>
      </w:pPr>
    </w:p>
    <w:tbl>
      <w:tblPr>
        <w:tblW w:w="0" w:type="auto"/>
        <w:tblLayout w:type="fixed"/>
        <w:tblLook w:val="0000" w:firstRow="0" w:lastRow="0" w:firstColumn="0" w:lastColumn="0" w:noHBand="0" w:noVBand="0"/>
      </w:tblPr>
      <w:tblGrid>
        <w:gridCol w:w="2820"/>
        <w:gridCol w:w="1968"/>
        <w:gridCol w:w="1619"/>
        <w:gridCol w:w="2135"/>
      </w:tblGrid>
      <w:tr w:rsidR="00D3044D" w:rsidRPr="00D3044D" w:rsidTr="00B270C1">
        <w:trPr>
          <w:trHeight w:val="425"/>
        </w:trPr>
        <w:tc>
          <w:tcPr>
            <w:tcW w:w="2820"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Vertinimo kriterijus </w:t>
            </w:r>
          </w:p>
        </w:tc>
        <w:tc>
          <w:tcPr>
            <w:tcW w:w="1968"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Docetakselis kas 3 savaites </w:t>
            </w:r>
          </w:p>
        </w:tc>
        <w:tc>
          <w:tcPr>
            <w:tcW w:w="1619"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Docetakselis kas savaitę </w:t>
            </w:r>
          </w:p>
        </w:tc>
        <w:tc>
          <w:tcPr>
            <w:tcW w:w="2135" w:type="dxa"/>
            <w:tcBorders>
              <w:top w:val="single" w:sz="6" w:space="0" w:color="000000"/>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Mitoksantronas kas 3 savaites </w:t>
            </w:r>
          </w:p>
        </w:tc>
      </w:tr>
      <w:tr w:rsidR="00D3044D" w:rsidRPr="00D3044D" w:rsidTr="00B270C1">
        <w:trPr>
          <w:trHeight w:val="133"/>
        </w:trPr>
        <w:tc>
          <w:tcPr>
            <w:tcW w:w="2820"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Pacientų skaičius </w:t>
            </w:r>
          </w:p>
        </w:tc>
        <w:tc>
          <w:tcPr>
            <w:tcW w:w="1968"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335 </w:t>
            </w:r>
          </w:p>
        </w:tc>
        <w:tc>
          <w:tcPr>
            <w:tcW w:w="1619"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334 </w:t>
            </w:r>
          </w:p>
        </w:tc>
        <w:tc>
          <w:tcPr>
            <w:tcW w:w="2135"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337 </w:t>
            </w:r>
          </w:p>
        </w:tc>
      </w:tr>
      <w:tr w:rsidR="00D3044D" w:rsidRPr="00D3044D" w:rsidTr="00B270C1">
        <w:trPr>
          <w:trHeight w:val="137"/>
        </w:trPr>
        <w:tc>
          <w:tcPr>
            <w:tcW w:w="2820"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Išgyvenamumo vidurkis (mėn</w:t>
            </w:r>
            <w:r w:rsidR="00F34159" w:rsidRPr="00DC16A2">
              <w:rPr>
                <w:lang w:val="lt-LT"/>
              </w:rPr>
              <w:t>.</w:t>
            </w:r>
            <w:r w:rsidRPr="00DC16A2">
              <w:rPr>
                <w:lang w:val="lt-LT"/>
              </w:rPr>
              <w:t xml:space="preserve">) </w:t>
            </w:r>
          </w:p>
        </w:tc>
        <w:tc>
          <w:tcPr>
            <w:tcW w:w="1968"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18,9 </w:t>
            </w:r>
          </w:p>
        </w:tc>
        <w:tc>
          <w:tcPr>
            <w:tcW w:w="1619"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17,4 </w:t>
            </w:r>
          </w:p>
        </w:tc>
        <w:tc>
          <w:tcPr>
            <w:tcW w:w="2135"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16,5 </w:t>
            </w:r>
          </w:p>
        </w:tc>
      </w:tr>
      <w:tr w:rsidR="00D3044D" w:rsidRPr="00D3044D" w:rsidTr="00B270C1">
        <w:trPr>
          <w:trHeight w:val="137"/>
        </w:trPr>
        <w:tc>
          <w:tcPr>
            <w:tcW w:w="2820"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95 % PI </w:t>
            </w:r>
          </w:p>
        </w:tc>
        <w:tc>
          <w:tcPr>
            <w:tcW w:w="1968"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(17,0–21,2) </w:t>
            </w:r>
          </w:p>
        </w:tc>
        <w:tc>
          <w:tcPr>
            <w:tcW w:w="1619"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(15,7–19,0) </w:t>
            </w:r>
          </w:p>
        </w:tc>
        <w:tc>
          <w:tcPr>
            <w:tcW w:w="2135"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(14,4–18,6) </w:t>
            </w:r>
          </w:p>
        </w:tc>
      </w:tr>
      <w:tr w:rsidR="00D3044D" w:rsidRPr="00D3044D" w:rsidTr="00B270C1">
        <w:trPr>
          <w:trHeight w:val="137"/>
        </w:trPr>
        <w:tc>
          <w:tcPr>
            <w:tcW w:w="2820"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Santykinė rizika </w:t>
            </w:r>
          </w:p>
        </w:tc>
        <w:tc>
          <w:tcPr>
            <w:tcW w:w="1968"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0,761 </w:t>
            </w:r>
          </w:p>
        </w:tc>
        <w:tc>
          <w:tcPr>
            <w:tcW w:w="1619"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0,912 </w:t>
            </w:r>
          </w:p>
        </w:tc>
        <w:tc>
          <w:tcPr>
            <w:tcW w:w="2135" w:type="dxa"/>
            <w:tcBorders>
              <w:left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w:t>
            </w:r>
          </w:p>
        </w:tc>
      </w:tr>
      <w:tr w:rsidR="00D3044D" w:rsidRPr="00D3044D" w:rsidTr="00B270C1">
        <w:trPr>
          <w:trHeight w:val="137"/>
        </w:trPr>
        <w:tc>
          <w:tcPr>
            <w:tcW w:w="2820"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95 % PI </w:t>
            </w:r>
          </w:p>
        </w:tc>
        <w:tc>
          <w:tcPr>
            <w:tcW w:w="1968"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(0,619</w:t>
            </w:r>
            <w:r w:rsidRPr="00DC16A2">
              <w:rPr>
                <w:lang w:val="lt-LT"/>
              </w:rPr>
              <w:softHyphen/>
            </w:r>
            <w:r w:rsidR="00B270C1" w:rsidRPr="00DC16A2">
              <w:rPr>
                <w:lang w:val="lt-LT"/>
              </w:rPr>
              <w:t>-0,936)</w:t>
            </w:r>
          </w:p>
        </w:tc>
        <w:tc>
          <w:tcPr>
            <w:tcW w:w="1619"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(0,747–1,113) </w:t>
            </w:r>
          </w:p>
        </w:tc>
        <w:tc>
          <w:tcPr>
            <w:tcW w:w="2135" w:type="dxa"/>
            <w:tcBorders>
              <w:left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w:t>
            </w:r>
          </w:p>
        </w:tc>
      </w:tr>
      <w:tr w:rsidR="00D3044D" w:rsidRPr="00D3044D" w:rsidTr="00B270C1">
        <w:trPr>
          <w:trHeight w:val="137"/>
        </w:trPr>
        <w:tc>
          <w:tcPr>
            <w:tcW w:w="2820"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p reikšmė</w:t>
            </w:r>
            <w:r w:rsidR="00D13A2B" w:rsidRPr="00DC16A2">
              <w:rPr>
                <w:vertAlign w:val="superscript"/>
                <w:lang w:val="lt-LT"/>
              </w:rPr>
              <w:t>†</w:t>
            </w:r>
            <w:r w:rsidRPr="00DC16A2">
              <w:rPr>
                <w:lang w:val="lt-LT"/>
              </w:rPr>
              <w:t xml:space="preserve">* </w:t>
            </w:r>
          </w:p>
        </w:tc>
        <w:tc>
          <w:tcPr>
            <w:tcW w:w="1968" w:type="dxa"/>
            <w:tcBorders>
              <w:left w:val="single" w:sz="4" w:space="0" w:color="000000"/>
              <w:right w:val="single" w:sz="4" w:space="0" w:color="000000"/>
            </w:tcBorders>
            <w:vAlign w:val="center"/>
          </w:tcPr>
          <w:p w:rsidR="00D3044D" w:rsidRPr="00DC16A2" w:rsidRDefault="00B270C1" w:rsidP="00732C31">
            <w:pPr>
              <w:pStyle w:val="BTEMEASMCA"/>
              <w:rPr>
                <w:lang w:val="lt-LT"/>
              </w:rPr>
            </w:pPr>
            <w:r w:rsidRPr="00DC16A2">
              <w:rPr>
                <w:lang w:val="lt-LT"/>
              </w:rPr>
              <w:t>0,0094</w:t>
            </w:r>
          </w:p>
        </w:tc>
        <w:tc>
          <w:tcPr>
            <w:tcW w:w="1619"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0,3624 </w:t>
            </w:r>
          </w:p>
        </w:tc>
        <w:tc>
          <w:tcPr>
            <w:tcW w:w="2135" w:type="dxa"/>
            <w:tcBorders>
              <w:left w:val="single" w:sz="4" w:space="0" w:color="000000"/>
              <w:right w:val="single" w:sz="4" w:space="0" w:color="000000"/>
            </w:tcBorders>
            <w:vAlign w:val="bottom"/>
          </w:tcPr>
          <w:p w:rsidR="00D3044D" w:rsidRPr="00DC16A2" w:rsidRDefault="00D3044D" w:rsidP="00732C31">
            <w:pPr>
              <w:pStyle w:val="BTEMEASMCA"/>
              <w:rPr>
                <w:lang w:val="lt-LT"/>
              </w:rPr>
            </w:pPr>
            <w:r w:rsidRPr="00DC16A2">
              <w:rPr>
                <w:lang w:val="lt-LT"/>
              </w:rPr>
              <w:t>--</w:t>
            </w:r>
          </w:p>
        </w:tc>
      </w:tr>
      <w:tr w:rsidR="00D3044D" w:rsidRPr="00D3044D" w:rsidTr="00B270C1">
        <w:trPr>
          <w:trHeight w:val="86"/>
        </w:trPr>
        <w:tc>
          <w:tcPr>
            <w:tcW w:w="2820" w:type="dxa"/>
            <w:tcBorders>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p>
        </w:tc>
        <w:tc>
          <w:tcPr>
            <w:tcW w:w="1968" w:type="dxa"/>
            <w:tcBorders>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p>
        </w:tc>
        <w:tc>
          <w:tcPr>
            <w:tcW w:w="1619" w:type="dxa"/>
            <w:tcBorders>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p>
        </w:tc>
        <w:tc>
          <w:tcPr>
            <w:tcW w:w="2135" w:type="dxa"/>
            <w:tcBorders>
              <w:left w:val="single" w:sz="4" w:space="0" w:color="000000"/>
              <w:bottom w:val="single" w:sz="4" w:space="0" w:color="000000"/>
              <w:right w:val="single" w:sz="4" w:space="0" w:color="000000"/>
            </w:tcBorders>
          </w:tcPr>
          <w:p w:rsidR="00D3044D" w:rsidRPr="00DC16A2" w:rsidRDefault="00D3044D" w:rsidP="00732C31">
            <w:pPr>
              <w:pStyle w:val="BTEMEASMCA"/>
              <w:rPr>
                <w:lang w:val="lt-LT"/>
              </w:rPr>
            </w:pPr>
          </w:p>
        </w:tc>
      </w:tr>
      <w:tr w:rsidR="00D3044D" w:rsidRPr="00D3044D" w:rsidTr="00B270C1">
        <w:trPr>
          <w:trHeight w:val="133"/>
        </w:trPr>
        <w:tc>
          <w:tcPr>
            <w:tcW w:w="2820"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Pacientų skaičius </w:t>
            </w:r>
          </w:p>
        </w:tc>
        <w:tc>
          <w:tcPr>
            <w:tcW w:w="1968"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291 </w:t>
            </w:r>
          </w:p>
        </w:tc>
        <w:tc>
          <w:tcPr>
            <w:tcW w:w="1619"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282 </w:t>
            </w:r>
          </w:p>
        </w:tc>
        <w:tc>
          <w:tcPr>
            <w:tcW w:w="2135"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300 </w:t>
            </w:r>
          </w:p>
        </w:tc>
      </w:tr>
      <w:tr w:rsidR="00D3044D" w:rsidRPr="00D3044D" w:rsidTr="00B270C1">
        <w:trPr>
          <w:trHeight w:val="137"/>
        </w:trPr>
        <w:tc>
          <w:tcPr>
            <w:tcW w:w="2820"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PSA** atsako dažnis (%) </w:t>
            </w:r>
          </w:p>
        </w:tc>
        <w:tc>
          <w:tcPr>
            <w:tcW w:w="1968"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45,4 </w:t>
            </w:r>
          </w:p>
        </w:tc>
        <w:tc>
          <w:tcPr>
            <w:tcW w:w="1619"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47,9 </w:t>
            </w:r>
          </w:p>
        </w:tc>
        <w:tc>
          <w:tcPr>
            <w:tcW w:w="2135"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31,7 </w:t>
            </w:r>
          </w:p>
        </w:tc>
      </w:tr>
      <w:tr w:rsidR="00D3044D" w:rsidRPr="00D3044D" w:rsidTr="00B270C1">
        <w:trPr>
          <w:trHeight w:val="137"/>
        </w:trPr>
        <w:tc>
          <w:tcPr>
            <w:tcW w:w="2820"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95 % PI </w:t>
            </w:r>
          </w:p>
        </w:tc>
        <w:tc>
          <w:tcPr>
            <w:tcW w:w="1968"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(39,5–51,3) </w:t>
            </w:r>
          </w:p>
        </w:tc>
        <w:tc>
          <w:tcPr>
            <w:tcW w:w="1619"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(41,9–53,9) </w:t>
            </w:r>
          </w:p>
        </w:tc>
        <w:tc>
          <w:tcPr>
            <w:tcW w:w="2135"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(26,4–37,3) </w:t>
            </w:r>
          </w:p>
        </w:tc>
      </w:tr>
      <w:tr w:rsidR="00D3044D" w:rsidRPr="00D3044D" w:rsidTr="00B270C1">
        <w:trPr>
          <w:trHeight w:val="147"/>
        </w:trPr>
        <w:tc>
          <w:tcPr>
            <w:tcW w:w="2820" w:type="dxa"/>
            <w:tcBorders>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p reikšmė* </w:t>
            </w:r>
          </w:p>
        </w:tc>
        <w:tc>
          <w:tcPr>
            <w:tcW w:w="1968" w:type="dxa"/>
            <w:tcBorders>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0,0005 </w:t>
            </w:r>
          </w:p>
        </w:tc>
        <w:tc>
          <w:tcPr>
            <w:tcW w:w="1619" w:type="dxa"/>
            <w:tcBorders>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&lt;0,0001 </w:t>
            </w:r>
          </w:p>
        </w:tc>
        <w:tc>
          <w:tcPr>
            <w:tcW w:w="2135" w:type="dxa"/>
            <w:tcBorders>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w:t>
            </w:r>
          </w:p>
        </w:tc>
      </w:tr>
      <w:tr w:rsidR="00D3044D" w:rsidRPr="00D3044D" w:rsidTr="00B270C1">
        <w:trPr>
          <w:trHeight w:val="133"/>
        </w:trPr>
        <w:tc>
          <w:tcPr>
            <w:tcW w:w="2820"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Pacientų skaičius </w:t>
            </w:r>
          </w:p>
        </w:tc>
        <w:tc>
          <w:tcPr>
            <w:tcW w:w="1968"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153 </w:t>
            </w:r>
          </w:p>
        </w:tc>
        <w:tc>
          <w:tcPr>
            <w:tcW w:w="1619"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154 </w:t>
            </w:r>
          </w:p>
        </w:tc>
        <w:tc>
          <w:tcPr>
            <w:tcW w:w="2135"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157 </w:t>
            </w:r>
          </w:p>
        </w:tc>
      </w:tr>
      <w:tr w:rsidR="00D3044D" w:rsidRPr="00D3044D" w:rsidTr="00B270C1">
        <w:trPr>
          <w:trHeight w:val="137"/>
        </w:trPr>
        <w:tc>
          <w:tcPr>
            <w:tcW w:w="2820"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Skausmo atsako dažnis (%) </w:t>
            </w:r>
          </w:p>
        </w:tc>
        <w:tc>
          <w:tcPr>
            <w:tcW w:w="1968"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34,6 </w:t>
            </w:r>
          </w:p>
        </w:tc>
        <w:tc>
          <w:tcPr>
            <w:tcW w:w="1619"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31,2 </w:t>
            </w:r>
          </w:p>
        </w:tc>
        <w:tc>
          <w:tcPr>
            <w:tcW w:w="2135"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21,7 </w:t>
            </w:r>
          </w:p>
        </w:tc>
      </w:tr>
      <w:tr w:rsidR="00D3044D" w:rsidRPr="00D3044D" w:rsidTr="00B270C1">
        <w:trPr>
          <w:trHeight w:val="137"/>
        </w:trPr>
        <w:tc>
          <w:tcPr>
            <w:tcW w:w="2820"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95 % PI </w:t>
            </w:r>
          </w:p>
        </w:tc>
        <w:tc>
          <w:tcPr>
            <w:tcW w:w="1968"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(27,1–42,7) </w:t>
            </w:r>
          </w:p>
        </w:tc>
        <w:tc>
          <w:tcPr>
            <w:tcW w:w="1619"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(24,0–39,1) </w:t>
            </w:r>
          </w:p>
        </w:tc>
        <w:tc>
          <w:tcPr>
            <w:tcW w:w="2135"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(15,5–28,9) </w:t>
            </w:r>
          </w:p>
        </w:tc>
      </w:tr>
      <w:tr w:rsidR="00D3044D" w:rsidRPr="00D3044D" w:rsidTr="00B270C1">
        <w:trPr>
          <w:trHeight w:val="147"/>
        </w:trPr>
        <w:tc>
          <w:tcPr>
            <w:tcW w:w="2820" w:type="dxa"/>
            <w:tcBorders>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p reikšmė* </w:t>
            </w:r>
          </w:p>
        </w:tc>
        <w:tc>
          <w:tcPr>
            <w:tcW w:w="1968" w:type="dxa"/>
            <w:tcBorders>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0,0107 </w:t>
            </w:r>
          </w:p>
        </w:tc>
        <w:tc>
          <w:tcPr>
            <w:tcW w:w="1619" w:type="dxa"/>
            <w:tcBorders>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0,0798 </w:t>
            </w:r>
          </w:p>
        </w:tc>
        <w:tc>
          <w:tcPr>
            <w:tcW w:w="2135" w:type="dxa"/>
            <w:tcBorders>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w:t>
            </w:r>
          </w:p>
        </w:tc>
      </w:tr>
      <w:tr w:rsidR="00D3044D" w:rsidRPr="00D3044D" w:rsidTr="00B270C1">
        <w:trPr>
          <w:trHeight w:val="133"/>
        </w:trPr>
        <w:tc>
          <w:tcPr>
            <w:tcW w:w="2820"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Pacientų skaičius </w:t>
            </w:r>
          </w:p>
        </w:tc>
        <w:tc>
          <w:tcPr>
            <w:tcW w:w="1968"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141 </w:t>
            </w:r>
          </w:p>
        </w:tc>
        <w:tc>
          <w:tcPr>
            <w:tcW w:w="1619"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134 </w:t>
            </w:r>
          </w:p>
        </w:tc>
        <w:tc>
          <w:tcPr>
            <w:tcW w:w="2135" w:type="dxa"/>
            <w:tcBorders>
              <w:top w:val="single" w:sz="4" w:space="0" w:color="000000"/>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137 </w:t>
            </w:r>
          </w:p>
        </w:tc>
      </w:tr>
      <w:tr w:rsidR="00D3044D" w:rsidRPr="00D3044D" w:rsidTr="00B270C1">
        <w:trPr>
          <w:trHeight w:val="137"/>
        </w:trPr>
        <w:tc>
          <w:tcPr>
            <w:tcW w:w="2820"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Naviko atsako dažnis (%) </w:t>
            </w:r>
          </w:p>
        </w:tc>
        <w:tc>
          <w:tcPr>
            <w:tcW w:w="1968"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12,1 </w:t>
            </w:r>
          </w:p>
        </w:tc>
        <w:tc>
          <w:tcPr>
            <w:tcW w:w="1619"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8,2 </w:t>
            </w:r>
          </w:p>
        </w:tc>
        <w:tc>
          <w:tcPr>
            <w:tcW w:w="2135"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6,6 </w:t>
            </w:r>
          </w:p>
        </w:tc>
      </w:tr>
      <w:tr w:rsidR="00D3044D" w:rsidRPr="00D3044D" w:rsidTr="00B270C1">
        <w:trPr>
          <w:trHeight w:val="137"/>
        </w:trPr>
        <w:tc>
          <w:tcPr>
            <w:tcW w:w="2820"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95 % PI </w:t>
            </w:r>
          </w:p>
        </w:tc>
        <w:tc>
          <w:tcPr>
            <w:tcW w:w="1968"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(7,2–18,6) </w:t>
            </w:r>
          </w:p>
        </w:tc>
        <w:tc>
          <w:tcPr>
            <w:tcW w:w="1619"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(4,2–14,2) </w:t>
            </w:r>
          </w:p>
        </w:tc>
        <w:tc>
          <w:tcPr>
            <w:tcW w:w="2135" w:type="dxa"/>
            <w:tcBorders>
              <w:left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(3,0–12,1) </w:t>
            </w:r>
          </w:p>
        </w:tc>
      </w:tr>
      <w:tr w:rsidR="00D3044D" w:rsidRPr="00D3044D" w:rsidTr="00B270C1">
        <w:trPr>
          <w:trHeight w:val="150"/>
        </w:trPr>
        <w:tc>
          <w:tcPr>
            <w:tcW w:w="2820" w:type="dxa"/>
            <w:tcBorders>
              <w:left w:val="single" w:sz="4" w:space="0" w:color="000000"/>
              <w:bottom w:val="single" w:sz="6"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p reikšmė* </w:t>
            </w:r>
          </w:p>
        </w:tc>
        <w:tc>
          <w:tcPr>
            <w:tcW w:w="1968" w:type="dxa"/>
            <w:tcBorders>
              <w:left w:val="single" w:sz="4" w:space="0" w:color="000000"/>
              <w:bottom w:val="single" w:sz="6"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0,1112 </w:t>
            </w:r>
          </w:p>
        </w:tc>
        <w:tc>
          <w:tcPr>
            <w:tcW w:w="1619" w:type="dxa"/>
            <w:tcBorders>
              <w:left w:val="single" w:sz="4" w:space="0" w:color="000000"/>
              <w:bottom w:val="single" w:sz="6"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0,5853 </w:t>
            </w:r>
          </w:p>
        </w:tc>
        <w:tc>
          <w:tcPr>
            <w:tcW w:w="2135" w:type="dxa"/>
            <w:tcBorders>
              <w:left w:val="single" w:sz="4" w:space="0" w:color="000000"/>
              <w:bottom w:val="single" w:sz="6" w:space="0" w:color="000000"/>
              <w:right w:val="single" w:sz="4" w:space="0" w:color="000000"/>
            </w:tcBorders>
            <w:vAlign w:val="center"/>
          </w:tcPr>
          <w:p w:rsidR="00D3044D" w:rsidRPr="00DC16A2" w:rsidRDefault="00D3044D" w:rsidP="00732C31">
            <w:pPr>
              <w:pStyle w:val="BTEMEASMCA"/>
              <w:rPr>
                <w:lang w:val="lt-LT"/>
              </w:rPr>
            </w:pPr>
            <w:r w:rsidRPr="00DC16A2">
              <w:rPr>
                <w:lang w:val="lt-LT"/>
              </w:rPr>
              <w:t>--</w:t>
            </w:r>
          </w:p>
        </w:tc>
      </w:tr>
    </w:tbl>
    <w:p w:rsidR="00D3044D" w:rsidRPr="00D3044D" w:rsidRDefault="00D3044D" w:rsidP="00732C31">
      <w:pPr>
        <w:pStyle w:val="BTEMEASMCA"/>
      </w:pPr>
      <w:r w:rsidRPr="00C93814">
        <w:rPr>
          <w:vertAlign w:val="superscript"/>
        </w:rPr>
        <w:t>†</w:t>
      </w:r>
      <w:r w:rsidRPr="00D3044D">
        <w:t xml:space="preserve">Stratifikuotas logaritminio rango testas </w:t>
      </w:r>
    </w:p>
    <w:p w:rsidR="00D3044D" w:rsidRPr="00D3044D" w:rsidRDefault="00D3044D" w:rsidP="00732C31">
      <w:pPr>
        <w:pStyle w:val="BTEMEASMCA"/>
      </w:pPr>
      <w:r w:rsidRPr="00D3044D">
        <w:t xml:space="preserve">*Statistinio reikšmingumo lygmuo = 0,0175 </w:t>
      </w:r>
    </w:p>
    <w:p w:rsidR="00D3044D" w:rsidRPr="00D3044D" w:rsidRDefault="00D3044D" w:rsidP="00732C31">
      <w:pPr>
        <w:pStyle w:val="BTEMEASMCA"/>
      </w:pPr>
      <w:r w:rsidRPr="00D3044D">
        <w:lastRenderedPageBreak/>
        <w:t xml:space="preserve">**PSA: prostatos specifinis antigenas </w:t>
      </w:r>
    </w:p>
    <w:p w:rsidR="00D3044D" w:rsidRPr="00D3044D" w:rsidRDefault="00D3044D" w:rsidP="00732C31">
      <w:pPr>
        <w:pStyle w:val="BTEMEASMCA"/>
      </w:pPr>
    </w:p>
    <w:p w:rsidR="00D3044D" w:rsidRPr="00D3044D" w:rsidRDefault="00D3044D" w:rsidP="00732C31">
      <w:pPr>
        <w:pStyle w:val="BTEMEASMCA"/>
      </w:pPr>
      <w:r w:rsidRPr="00D3044D">
        <w:t xml:space="preserve">Atsižvelgiant į tai, kad kas savaitę vartojamo docetakselio saugumas buvo šiek kiek geresnis, nei docetakselio leidžiant kas 3 savaites, tikėtina, kad kai kuriems pacientams gali būti naudinga docetakselio vartoti kas savaitę. </w:t>
      </w:r>
    </w:p>
    <w:p w:rsidR="00D3044D" w:rsidRPr="00D3044D" w:rsidRDefault="00D3044D" w:rsidP="00732C31">
      <w:pPr>
        <w:pStyle w:val="BTEMEASMCA"/>
      </w:pPr>
    </w:p>
    <w:p w:rsidR="00D3044D" w:rsidRPr="00D3044D" w:rsidRDefault="00D3044D" w:rsidP="00732C31">
      <w:pPr>
        <w:pStyle w:val="BTEMEASMCA"/>
      </w:pPr>
      <w:r w:rsidRPr="00D3044D">
        <w:t xml:space="preserve">Statistinių bendros gyvenimo kokybės skirtumų tarp gydymo grupių nenustatyta. </w:t>
      </w:r>
    </w:p>
    <w:p w:rsidR="00D3044D" w:rsidRPr="00D3044D" w:rsidRDefault="00D3044D" w:rsidP="00732C31">
      <w:pPr>
        <w:pStyle w:val="BTEMEASMCA"/>
      </w:pPr>
    </w:p>
    <w:p w:rsidR="00D3044D" w:rsidRPr="00D3044D" w:rsidRDefault="00D3044D" w:rsidP="00732C31">
      <w:pPr>
        <w:pStyle w:val="BTEMEASMCA"/>
      </w:pPr>
      <w:r w:rsidRPr="00D3044D">
        <w:t xml:space="preserve">Skrandžio adenokarcinoma </w:t>
      </w:r>
    </w:p>
    <w:p w:rsidR="00D3044D" w:rsidRPr="00D3044D" w:rsidRDefault="00D3044D" w:rsidP="00732C31">
      <w:pPr>
        <w:pStyle w:val="BTEMEASMCA"/>
      </w:pPr>
    </w:p>
    <w:p w:rsidR="00D3044D" w:rsidRPr="00D3044D" w:rsidRDefault="00D3044D" w:rsidP="00732C31">
      <w:pPr>
        <w:pStyle w:val="BTEMEASMCA"/>
      </w:pPr>
      <w:r w:rsidRPr="00D3044D">
        <w:t xml:space="preserve">Buvo atliktas daugiacentris, atviras, atsitiktinių imčių tyrimas, kurio metu vertintas pacientų, sirgusių metastazavusia skrandžio adenokarcinoma, įskaitant skrandžio ir stemplės jungties adenokarcinomą, ir kuriems metastazavusios ligos chemoterapija anksčiau netaikyta, gydymo docetakseliu veiksmingumas bei saugumas. Iš viso 445 pacientai, kurių KPS buvo &gt; 70, gydyti arba docetakseliu (T) (75 mg/m² pirmą parą) kartu su cisplatina (C) (75 mg/m² pirmą parą) ir 5-fluorouracilu (F) (750 mg/m² per parą 5 dienas), arba cisplatina (100 mg/m² pirmą parą) ir 5-fluorouracilu (1000 mg/m² per parą 5 dienas). Gydymo ciklo trukmė TCF grupėje buvo 3 savaitės, o CF grupėje – 4 savaitės. TCF grupėje pacientui skirtų gydymo ciklų vidurkis buvo 6 (1–16), o CF grupėje 4 (1–12). Laikas iki ligos progresavimo (LLP) buvo pagrindinis vertinimo kriterijus. Progresavimo rizika sumažėjo 32,1 % ir mažėjimas buvo susijęs su patikimai ilgesniu LLP (p = 0,0004) TCF grupės naudai. Bendras išgyvenamumas TCF grupėje taip pat buvo patikimai ilgesnis (p = 0,0201), mirties rizika sumažėjo 22,7 %. Gydymo veiksmingumo duomenys apibendrinami lentelėje: </w:t>
      </w:r>
    </w:p>
    <w:p w:rsidR="00D3044D" w:rsidRPr="00D3044D" w:rsidRDefault="00D3044D" w:rsidP="00732C31">
      <w:pPr>
        <w:pStyle w:val="BTEMEASMCA"/>
      </w:pPr>
    </w:p>
    <w:p w:rsidR="00D3044D" w:rsidRPr="00D3044D" w:rsidRDefault="00D3044D" w:rsidP="00732C31">
      <w:pPr>
        <w:pStyle w:val="BTEMEASMCA"/>
      </w:pPr>
      <w:r w:rsidRPr="00D3044D">
        <w:t xml:space="preserve">Docetakselio veiksmingumas gydant skrandžio adenokarcinoma sergančius pacientus </w:t>
      </w:r>
    </w:p>
    <w:p w:rsidR="00D3044D" w:rsidRPr="00D3044D" w:rsidRDefault="00D3044D" w:rsidP="00732C31">
      <w:pPr>
        <w:pStyle w:val="BTEMEASMCA"/>
      </w:pPr>
    </w:p>
    <w:tbl>
      <w:tblPr>
        <w:tblW w:w="0" w:type="auto"/>
        <w:tblLayout w:type="fixed"/>
        <w:tblLook w:val="0000" w:firstRow="0" w:lastRow="0" w:firstColumn="0" w:lastColumn="0" w:noHBand="0" w:noVBand="0"/>
      </w:tblPr>
      <w:tblGrid>
        <w:gridCol w:w="2988"/>
        <w:gridCol w:w="1964"/>
        <w:gridCol w:w="745"/>
        <w:gridCol w:w="765"/>
        <w:gridCol w:w="2080"/>
      </w:tblGrid>
      <w:tr w:rsidR="00D3044D" w:rsidRPr="00D3044D" w:rsidTr="00E204ED">
        <w:trPr>
          <w:trHeight w:val="286"/>
        </w:trPr>
        <w:tc>
          <w:tcPr>
            <w:tcW w:w="2988" w:type="dxa"/>
            <w:tcBorders>
              <w:top w:val="single" w:sz="6" w:space="0" w:color="000000"/>
              <w:left w:val="single" w:sz="6"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Vertinimo kriterijus </w:t>
            </w:r>
          </w:p>
        </w:tc>
        <w:tc>
          <w:tcPr>
            <w:tcW w:w="1964" w:type="dxa"/>
            <w:tcBorders>
              <w:top w:val="single" w:sz="6" w:space="0" w:color="000000"/>
              <w:left w:val="single" w:sz="4" w:space="0" w:color="000000"/>
              <w:bottom w:val="single" w:sz="4" w:space="0" w:color="000000"/>
            </w:tcBorders>
            <w:vAlign w:val="center"/>
          </w:tcPr>
          <w:p w:rsidR="00D3044D" w:rsidRPr="00DC16A2" w:rsidRDefault="00D3044D" w:rsidP="00732C31">
            <w:pPr>
              <w:pStyle w:val="BTEMEASMCA"/>
              <w:rPr>
                <w:lang w:val="lt-LT"/>
              </w:rPr>
            </w:pPr>
            <w:r w:rsidRPr="00DC16A2">
              <w:rPr>
                <w:lang w:val="lt-LT"/>
              </w:rPr>
              <w:t xml:space="preserve">TCF </w:t>
            </w:r>
          </w:p>
          <w:p w:rsidR="00D3044D" w:rsidRPr="00DC16A2" w:rsidRDefault="00D3044D" w:rsidP="00732C31">
            <w:pPr>
              <w:pStyle w:val="BTEMEASMCA"/>
              <w:rPr>
                <w:lang w:val="lt-LT"/>
              </w:rPr>
            </w:pPr>
            <w:r w:rsidRPr="00DC16A2">
              <w:rPr>
                <w:lang w:val="lt-LT"/>
              </w:rPr>
              <w:t>n = 221</w:t>
            </w:r>
          </w:p>
        </w:tc>
        <w:tc>
          <w:tcPr>
            <w:tcW w:w="745" w:type="dxa"/>
            <w:tcBorders>
              <w:top w:val="single" w:sz="6" w:space="0" w:color="000000"/>
              <w:bottom w:val="single" w:sz="4" w:space="0" w:color="000000"/>
              <w:right w:val="single" w:sz="4" w:space="0" w:color="000000"/>
            </w:tcBorders>
            <w:vAlign w:val="center"/>
          </w:tcPr>
          <w:p w:rsidR="00D3044D" w:rsidRPr="00DC16A2" w:rsidRDefault="00D3044D" w:rsidP="00732C31">
            <w:pPr>
              <w:pStyle w:val="BTEMEASMCA"/>
              <w:rPr>
                <w:lang w:val="lt-LT"/>
              </w:rPr>
            </w:pPr>
          </w:p>
        </w:tc>
        <w:tc>
          <w:tcPr>
            <w:tcW w:w="765" w:type="dxa"/>
            <w:tcBorders>
              <w:top w:val="single" w:sz="6" w:space="0" w:color="000000"/>
              <w:left w:val="single" w:sz="4" w:space="0" w:color="000000"/>
              <w:bottom w:val="single" w:sz="4" w:space="0" w:color="000000"/>
            </w:tcBorders>
            <w:vAlign w:val="center"/>
          </w:tcPr>
          <w:p w:rsidR="00D3044D" w:rsidRPr="00DC16A2" w:rsidRDefault="00D3044D" w:rsidP="00732C31">
            <w:pPr>
              <w:pStyle w:val="BTEMEASMCA"/>
              <w:rPr>
                <w:lang w:val="lt-LT"/>
              </w:rPr>
            </w:pPr>
          </w:p>
        </w:tc>
        <w:tc>
          <w:tcPr>
            <w:tcW w:w="2080" w:type="dxa"/>
            <w:tcBorders>
              <w:top w:val="single" w:sz="6"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CF </w:t>
            </w:r>
          </w:p>
          <w:p w:rsidR="00D3044D" w:rsidRPr="00DC16A2" w:rsidRDefault="00D3044D" w:rsidP="00732C31">
            <w:pPr>
              <w:pStyle w:val="BTEMEASMCA"/>
              <w:rPr>
                <w:lang w:val="lt-LT"/>
              </w:rPr>
            </w:pPr>
            <w:r w:rsidRPr="00DC16A2">
              <w:rPr>
                <w:lang w:val="lt-LT"/>
              </w:rPr>
              <w:t>n = 224</w:t>
            </w:r>
          </w:p>
        </w:tc>
      </w:tr>
      <w:tr w:rsidR="00D3044D" w:rsidRPr="00D3044D" w:rsidTr="00E204ED">
        <w:trPr>
          <w:trHeight w:val="281"/>
        </w:trPr>
        <w:tc>
          <w:tcPr>
            <w:tcW w:w="2988" w:type="dxa"/>
            <w:vMerge w:val="restart"/>
            <w:tcBorders>
              <w:top w:val="single" w:sz="4" w:space="0" w:color="000000"/>
              <w:left w:val="single" w:sz="6" w:space="0" w:color="000000"/>
              <w:right w:val="single" w:sz="4" w:space="0" w:color="000000"/>
            </w:tcBorders>
          </w:tcPr>
          <w:p w:rsidR="006832C1" w:rsidRPr="00DC16A2" w:rsidRDefault="00D3044D" w:rsidP="00732C31">
            <w:pPr>
              <w:pStyle w:val="BTEMEASMCA"/>
              <w:rPr>
                <w:lang w:val="lt-LT"/>
              </w:rPr>
            </w:pPr>
            <w:r w:rsidRPr="00DC16A2">
              <w:rPr>
                <w:lang w:val="lt-LT"/>
              </w:rPr>
              <w:t>LLP vidurkis (mėn</w:t>
            </w:r>
            <w:r w:rsidR="006832C1" w:rsidRPr="00DC16A2">
              <w:rPr>
                <w:lang w:val="lt-LT"/>
              </w:rPr>
              <w:t>.</w:t>
            </w:r>
            <w:r w:rsidRPr="00DC16A2">
              <w:rPr>
                <w:lang w:val="lt-LT"/>
              </w:rPr>
              <w:t>)</w:t>
            </w:r>
          </w:p>
          <w:p w:rsidR="00D3044D" w:rsidRPr="00DC16A2" w:rsidRDefault="00D3044D" w:rsidP="00732C31">
            <w:pPr>
              <w:pStyle w:val="BTEMEASMCA"/>
              <w:rPr>
                <w:lang w:val="lt-LT"/>
              </w:rPr>
            </w:pPr>
            <w:r w:rsidRPr="00DC16A2">
              <w:rPr>
                <w:lang w:val="lt-LT"/>
              </w:rPr>
              <w:t xml:space="preserve">(95 % PI) </w:t>
            </w:r>
          </w:p>
          <w:p w:rsidR="006832C1" w:rsidRPr="00DC16A2" w:rsidRDefault="00D3044D" w:rsidP="00732C31">
            <w:pPr>
              <w:pStyle w:val="BTEMEASMCA"/>
              <w:rPr>
                <w:lang w:val="lt-LT"/>
              </w:rPr>
            </w:pPr>
            <w:r w:rsidRPr="00DC16A2">
              <w:rPr>
                <w:lang w:val="lt-LT"/>
              </w:rPr>
              <w:t>Santykinė rizika</w:t>
            </w:r>
          </w:p>
          <w:p w:rsidR="006832C1" w:rsidRPr="00DC16A2" w:rsidRDefault="00D3044D" w:rsidP="00732C31">
            <w:pPr>
              <w:pStyle w:val="BTEMEASMCA"/>
              <w:rPr>
                <w:lang w:val="lt-LT"/>
              </w:rPr>
            </w:pPr>
            <w:r w:rsidRPr="00DC16A2">
              <w:rPr>
                <w:lang w:val="lt-LT"/>
              </w:rPr>
              <w:t>(95 % PI)</w:t>
            </w:r>
          </w:p>
          <w:p w:rsidR="00D3044D" w:rsidRPr="00DC16A2" w:rsidRDefault="00D3044D" w:rsidP="00732C31">
            <w:pPr>
              <w:pStyle w:val="BTEMEASMCA"/>
              <w:rPr>
                <w:lang w:val="lt-LT"/>
              </w:rPr>
            </w:pPr>
            <w:r w:rsidRPr="00DC16A2">
              <w:rPr>
                <w:lang w:val="lt-LT"/>
              </w:rPr>
              <w:t xml:space="preserve">*p reikšmė </w:t>
            </w:r>
          </w:p>
        </w:tc>
        <w:tc>
          <w:tcPr>
            <w:tcW w:w="1964" w:type="dxa"/>
            <w:tcBorders>
              <w:top w:val="single" w:sz="4" w:space="0" w:color="000000"/>
              <w:left w:val="single" w:sz="4" w:space="0" w:color="000000"/>
              <w:bottom w:val="single" w:sz="4" w:space="0" w:color="000000"/>
            </w:tcBorders>
            <w:vAlign w:val="center"/>
          </w:tcPr>
          <w:p w:rsidR="00D3044D" w:rsidRPr="00DC16A2" w:rsidRDefault="00D3044D" w:rsidP="00732C31">
            <w:pPr>
              <w:pStyle w:val="BTEMEASMCA"/>
              <w:rPr>
                <w:lang w:val="lt-LT"/>
              </w:rPr>
            </w:pPr>
            <w:r w:rsidRPr="00DC16A2">
              <w:rPr>
                <w:lang w:val="lt-LT"/>
              </w:rPr>
              <w:t xml:space="preserve">5,6 </w:t>
            </w:r>
          </w:p>
          <w:p w:rsidR="00D3044D" w:rsidRPr="00DC16A2" w:rsidRDefault="00D3044D" w:rsidP="00732C31">
            <w:pPr>
              <w:pStyle w:val="BTEMEASMCA"/>
              <w:rPr>
                <w:lang w:val="lt-LT"/>
              </w:rPr>
            </w:pPr>
            <w:r w:rsidRPr="00DC16A2">
              <w:rPr>
                <w:lang w:val="lt-LT"/>
              </w:rPr>
              <w:t>(4,86–5,91)</w:t>
            </w:r>
          </w:p>
        </w:tc>
        <w:tc>
          <w:tcPr>
            <w:tcW w:w="745" w:type="dxa"/>
            <w:tcBorders>
              <w:top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p>
        </w:tc>
        <w:tc>
          <w:tcPr>
            <w:tcW w:w="765" w:type="dxa"/>
            <w:tcBorders>
              <w:top w:val="single" w:sz="4" w:space="0" w:color="000000"/>
              <w:left w:val="single" w:sz="4" w:space="0" w:color="000000"/>
              <w:bottom w:val="single" w:sz="4" w:space="0" w:color="000000"/>
            </w:tcBorders>
            <w:vAlign w:val="center"/>
          </w:tcPr>
          <w:p w:rsidR="00D3044D" w:rsidRPr="00DC16A2" w:rsidRDefault="00D3044D" w:rsidP="00732C31">
            <w:pPr>
              <w:pStyle w:val="BTEMEASMCA"/>
              <w:rPr>
                <w:lang w:val="lt-LT"/>
              </w:rPr>
            </w:pPr>
          </w:p>
        </w:tc>
        <w:tc>
          <w:tcPr>
            <w:tcW w:w="2080" w:type="dxa"/>
            <w:tcBorders>
              <w:top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3,7 </w:t>
            </w:r>
          </w:p>
          <w:p w:rsidR="00D3044D" w:rsidRPr="00DC16A2" w:rsidRDefault="00D3044D" w:rsidP="00732C31">
            <w:pPr>
              <w:pStyle w:val="BTEMEASMCA"/>
              <w:rPr>
                <w:lang w:val="lt-LT"/>
              </w:rPr>
            </w:pPr>
            <w:r w:rsidRPr="00DC16A2">
              <w:rPr>
                <w:lang w:val="lt-LT"/>
              </w:rPr>
              <w:t>(3,45–4,47)</w:t>
            </w:r>
          </w:p>
        </w:tc>
      </w:tr>
      <w:tr w:rsidR="00D3044D" w:rsidRPr="00D3044D" w:rsidTr="00E204ED">
        <w:trPr>
          <w:trHeight w:val="418"/>
        </w:trPr>
        <w:tc>
          <w:tcPr>
            <w:tcW w:w="2988" w:type="dxa"/>
            <w:vMerge/>
            <w:tcBorders>
              <w:left w:val="single" w:sz="6" w:space="0" w:color="000000"/>
              <w:bottom w:val="single" w:sz="4" w:space="0" w:color="000000"/>
              <w:right w:val="single" w:sz="4" w:space="0" w:color="000000"/>
            </w:tcBorders>
          </w:tcPr>
          <w:p w:rsidR="00D3044D" w:rsidRPr="00DC16A2" w:rsidRDefault="00D3044D">
            <w:pPr>
              <w:pStyle w:val="BTEMEASMCA"/>
              <w:rPr>
                <w:lang w:val="lt-LT"/>
              </w:rPr>
            </w:pPr>
          </w:p>
        </w:tc>
        <w:tc>
          <w:tcPr>
            <w:tcW w:w="1964" w:type="dxa"/>
            <w:tcBorders>
              <w:top w:val="single" w:sz="4" w:space="0" w:color="000000"/>
              <w:left w:val="single" w:sz="4" w:space="0" w:color="000000"/>
              <w:bottom w:val="single" w:sz="4" w:space="0" w:color="000000"/>
            </w:tcBorders>
            <w:vAlign w:val="center"/>
          </w:tcPr>
          <w:p w:rsidR="00D3044D" w:rsidRPr="00DC16A2" w:rsidRDefault="00D3044D">
            <w:pPr>
              <w:pStyle w:val="BTEMEASMCA"/>
              <w:rPr>
                <w:lang w:val="lt-LT"/>
              </w:rPr>
            </w:pPr>
          </w:p>
        </w:tc>
        <w:tc>
          <w:tcPr>
            <w:tcW w:w="1510" w:type="dxa"/>
            <w:gridSpan w:val="2"/>
            <w:tcBorders>
              <w:top w:val="single" w:sz="4" w:space="0" w:color="000000"/>
              <w:bottom w:val="single" w:sz="4" w:space="0" w:color="000000"/>
            </w:tcBorders>
            <w:vAlign w:val="center"/>
          </w:tcPr>
          <w:p w:rsidR="006832C1" w:rsidRPr="00DC16A2" w:rsidRDefault="00D3044D">
            <w:pPr>
              <w:pStyle w:val="BTEMEASMCA"/>
              <w:rPr>
                <w:lang w:val="lt-LT"/>
              </w:rPr>
            </w:pPr>
            <w:r w:rsidRPr="00DC16A2">
              <w:rPr>
                <w:lang w:val="lt-LT"/>
              </w:rPr>
              <w:t>1,473</w:t>
            </w:r>
          </w:p>
          <w:p w:rsidR="00D3044D" w:rsidRPr="00DC16A2" w:rsidRDefault="00D3044D">
            <w:pPr>
              <w:pStyle w:val="BTEMEASMCA"/>
              <w:rPr>
                <w:lang w:val="lt-LT"/>
              </w:rPr>
            </w:pPr>
            <w:r w:rsidRPr="00DC16A2">
              <w:rPr>
                <w:lang w:val="lt-LT"/>
              </w:rPr>
              <w:t>(1,189–1,825) 0,0004</w:t>
            </w:r>
          </w:p>
        </w:tc>
        <w:tc>
          <w:tcPr>
            <w:tcW w:w="2080" w:type="dxa"/>
            <w:tcBorders>
              <w:top w:val="single" w:sz="4" w:space="0" w:color="000000"/>
              <w:bottom w:val="single" w:sz="4" w:space="0" w:color="000000"/>
              <w:right w:val="single" w:sz="4" w:space="0" w:color="000000"/>
            </w:tcBorders>
            <w:vAlign w:val="center"/>
          </w:tcPr>
          <w:p w:rsidR="00D3044D" w:rsidRPr="00DC16A2" w:rsidRDefault="00D3044D">
            <w:pPr>
              <w:pStyle w:val="BTEMEASMCA"/>
              <w:rPr>
                <w:lang w:val="lt-LT"/>
              </w:rPr>
            </w:pPr>
          </w:p>
        </w:tc>
      </w:tr>
      <w:tr w:rsidR="00D3044D" w:rsidRPr="00D3044D" w:rsidTr="00E204ED">
        <w:trPr>
          <w:trHeight w:val="418"/>
        </w:trPr>
        <w:tc>
          <w:tcPr>
            <w:tcW w:w="2988" w:type="dxa"/>
            <w:tcBorders>
              <w:top w:val="single" w:sz="4" w:space="0" w:color="000000"/>
              <w:left w:val="single" w:sz="4" w:space="0" w:color="000000"/>
              <w:bottom w:val="single" w:sz="4" w:space="0" w:color="000000"/>
              <w:right w:val="single" w:sz="4" w:space="0" w:color="000000"/>
            </w:tcBorders>
          </w:tcPr>
          <w:p w:rsidR="00D3044D" w:rsidRPr="00DC16A2" w:rsidRDefault="00D3044D" w:rsidP="00E204ED">
            <w:pPr>
              <w:pStyle w:val="BTEMEASMCA"/>
              <w:rPr>
                <w:lang w:val="lt-LT"/>
              </w:rPr>
            </w:pPr>
            <w:r w:rsidRPr="00DC16A2">
              <w:rPr>
                <w:lang w:val="lt-LT"/>
              </w:rPr>
              <w:t>Išgyvenamumo vidurkis (mėn</w:t>
            </w:r>
            <w:r w:rsidR="006832C1" w:rsidRPr="00DC16A2">
              <w:rPr>
                <w:lang w:val="lt-LT"/>
              </w:rPr>
              <w:t>.</w:t>
            </w:r>
            <w:r w:rsidRPr="00DC16A2">
              <w:rPr>
                <w:lang w:val="lt-LT"/>
              </w:rPr>
              <w:t xml:space="preserve">) (95 % PI) </w:t>
            </w:r>
          </w:p>
          <w:p w:rsidR="00D3044D" w:rsidRPr="00DC16A2" w:rsidRDefault="00D3044D" w:rsidP="00E204ED">
            <w:pPr>
              <w:pStyle w:val="BTEMEASMCA"/>
              <w:rPr>
                <w:lang w:val="lt-LT"/>
              </w:rPr>
            </w:pPr>
            <w:r w:rsidRPr="00DC16A2">
              <w:rPr>
                <w:lang w:val="lt-LT"/>
              </w:rPr>
              <w:t>2 metų vertinimas (%)</w:t>
            </w:r>
          </w:p>
        </w:tc>
        <w:tc>
          <w:tcPr>
            <w:tcW w:w="1964" w:type="dxa"/>
            <w:tcBorders>
              <w:top w:val="single" w:sz="4" w:space="0" w:color="000000"/>
              <w:left w:val="single" w:sz="4" w:space="0" w:color="000000"/>
              <w:bottom w:val="single" w:sz="4" w:space="0" w:color="000000"/>
            </w:tcBorders>
          </w:tcPr>
          <w:p w:rsidR="00D3044D" w:rsidRPr="00DC16A2" w:rsidRDefault="00D3044D" w:rsidP="00E204ED">
            <w:pPr>
              <w:pStyle w:val="BTEMEASMCA"/>
              <w:rPr>
                <w:lang w:val="lt-LT"/>
              </w:rPr>
            </w:pPr>
            <w:r w:rsidRPr="00DC16A2">
              <w:rPr>
                <w:lang w:val="lt-LT"/>
              </w:rPr>
              <w:t xml:space="preserve">9,2 </w:t>
            </w:r>
          </w:p>
          <w:p w:rsidR="00D3044D" w:rsidRPr="00DC16A2" w:rsidRDefault="00D3044D" w:rsidP="00E204ED">
            <w:pPr>
              <w:pStyle w:val="BTEMEASMCA"/>
              <w:rPr>
                <w:lang w:val="lt-LT"/>
              </w:rPr>
            </w:pPr>
            <w:r w:rsidRPr="00DC16A2">
              <w:rPr>
                <w:lang w:val="lt-LT"/>
              </w:rPr>
              <w:t xml:space="preserve">(8,38–10,58) </w:t>
            </w:r>
          </w:p>
          <w:p w:rsidR="00D3044D" w:rsidRPr="00DC16A2" w:rsidRDefault="00D3044D" w:rsidP="00E204ED">
            <w:pPr>
              <w:pStyle w:val="BTEMEASMCA"/>
              <w:rPr>
                <w:lang w:val="lt-LT"/>
              </w:rPr>
            </w:pPr>
            <w:r w:rsidRPr="00DC16A2">
              <w:rPr>
                <w:lang w:val="lt-LT"/>
              </w:rPr>
              <w:t>18,4</w:t>
            </w:r>
          </w:p>
        </w:tc>
        <w:tc>
          <w:tcPr>
            <w:tcW w:w="745" w:type="dxa"/>
            <w:tcBorders>
              <w:top w:val="single" w:sz="4" w:space="0" w:color="000000"/>
              <w:bottom w:val="single" w:sz="4" w:space="0" w:color="000000"/>
              <w:right w:val="single" w:sz="4" w:space="0" w:color="000000"/>
            </w:tcBorders>
          </w:tcPr>
          <w:p w:rsidR="00D3044D" w:rsidRPr="00DC16A2" w:rsidRDefault="00D3044D" w:rsidP="00E204ED">
            <w:pPr>
              <w:pStyle w:val="BTEMEASMCA"/>
              <w:rPr>
                <w:lang w:val="lt-LT"/>
              </w:rPr>
            </w:pPr>
          </w:p>
        </w:tc>
        <w:tc>
          <w:tcPr>
            <w:tcW w:w="765" w:type="dxa"/>
            <w:tcBorders>
              <w:top w:val="single" w:sz="4" w:space="0" w:color="000000"/>
              <w:left w:val="single" w:sz="4" w:space="0" w:color="000000"/>
              <w:bottom w:val="single" w:sz="4" w:space="0" w:color="000000"/>
            </w:tcBorders>
          </w:tcPr>
          <w:p w:rsidR="00D3044D" w:rsidRPr="00DC16A2" w:rsidRDefault="00D3044D" w:rsidP="00E204ED">
            <w:pPr>
              <w:pStyle w:val="BTEMEASMCA"/>
              <w:rPr>
                <w:lang w:val="lt-LT"/>
              </w:rPr>
            </w:pPr>
          </w:p>
        </w:tc>
        <w:tc>
          <w:tcPr>
            <w:tcW w:w="2080" w:type="dxa"/>
            <w:tcBorders>
              <w:top w:val="single" w:sz="4" w:space="0" w:color="000000"/>
              <w:bottom w:val="single" w:sz="4" w:space="0" w:color="000000"/>
              <w:right w:val="single" w:sz="4" w:space="0" w:color="000000"/>
            </w:tcBorders>
          </w:tcPr>
          <w:p w:rsidR="00D3044D" w:rsidRPr="00DC16A2" w:rsidRDefault="00D3044D" w:rsidP="00E204ED">
            <w:pPr>
              <w:pStyle w:val="BTEMEASMCA"/>
              <w:rPr>
                <w:lang w:val="lt-LT"/>
              </w:rPr>
            </w:pPr>
            <w:r w:rsidRPr="00DC16A2">
              <w:rPr>
                <w:lang w:val="lt-LT"/>
              </w:rPr>
              <w:t xml:space="preserve">8,6 </w:t>
            </w:r>
          </w:p>
          <w:p w:rsidR="00D3044D" w:rsidRPr="00DC16A2" w:rsidRDefault="00D3044D" w:rsidP="00E204ED">
            <w:pPr>
              <w:pStyle w:val="BTEMEASMCA"/>
              <w:rPr>
                <w:lang w:val="lt-LT"/>
              </w:rPr>
            </w:pPr>
            <w:r w:rsidRPr="00DC16A2">
              <w:rPr>
                <w:lang w:val="lt-LT"/>
              </w:rPr>
              <w:t xml:space="preserve">(7,16–9,46) </w:t>
            </w:r>
          </w:p>
          <w:p w:rsidR="00D3044D" w:rsidRPr="00DC16A2" w:rsidRDefault="00D3044D" w:rsidP="00E204ED">
            <w:pPr>
              <w:pStyle w:val="BTEMEASMCA"/>
              <w:rPr>
                <w:lang w:val="lt-LT"/>
              </w:rPr>
            </w:pPr>
            <w:r w:rsidRPr="00DC16A2">
              <w:rPr>
                <w:lang w:val="lt-LT"/>
              </w:rPr>
              <w:t>8,8</w:t>
            </w:r>
          </w:p>
        </w:tc>
      </w:tr>
      <w:tr w:rsidR="00D3044D" w:rsidRPr="00D3044D" w:rsidTr="00E204ED">
        <w:trPr>
          <w:trHeight w:val="418"/>
        </w:trPr>
        <w:tc>
          <w:tcPr>
            <w:tcW w:w="2988" w:type="dxa"/>
            <w:tcBorders>
              <w:top w:val="single" w:sz="4" w:space="0" w:color="000000"/>
              <w:left w:val="single" w:sz="4" w:space="0" w:color="000000"/>
              <w:bottom w:val="single" w:sz="4" w:space="0" w:color="000000"/>
              <w:right w:val="single" w:sz="4" w:space="0" w:color="000000"/>
            </w:tcBorders>
          </w:tcPr>
          <w:p w:rsidR="00E204ED" w:rsidRPr="00DC16A2" w:rsidRDefault="00E204ED" w:rsidP="00E204ED">
            <w:pPr>
              <w:pStyle w:val="BTEMEASMCA"/>
              <w:rPr>
                <w:lang w:val="lt-LT"/>
              </w:rPr>
            </w:pPr>
            <w:r w:rsidRPr="00DC16A2">
              <w:rPr>
                <w:lang w:val="lt-LT"/>
              </w:rPr>
              <w:t xml:space="preserve">Santykinė rizika </w:t>
            </w:r>
          </w:p>
          <w:p w:rsidR="00E204ED" w:rsidRPr="00DC16A2" w:rsidRDefault="00E204ED" w:rsidP="00E204ED">
            <w:pPr>
              <w:pStyle w:val="BTEMEASMCA"/>
              <w:rPr>
                <w:lang w:val="lt-LT"/>
              </w:rPr>
            </w:pPr>
            <w:r w:rsidRPr="00DC16A2">
              <w:rPr>
                <w:lang w:val="lt-LT"/>
              </w:rPr>
              <w:t xml:space="preserve">(95 % PI) </w:t>
            </w:r>
          </w:p>
          <w:p w:rsidR="00D3044D" w:rsidRPr="00DC16A2" w:rsidRDefault="00E204ED" w:rsidP="00E204ED">
            <w:pPr>
              <w:pStyle w:val="BTEMEASMCA"/>
              <w:rPr>
                <w:lang w:val="lt-LT"/>
              </w:rPr>
            </w:pPr>
            <w:r w:rsidRPr="00DC16A2">
              <w:rPr>
                <w:lang w:val="lt-LT"/>
              </w:rPr>
              <w:t>*p reikšmė</w:t>
            </w:r>
          </w:p>
        </w:tc>
        <w:tc>
          <w:tcPr>
            <w:tcW w:w="1964" w:type="dxa"/>
            <w:tcBorders>
              <w:top w:val="single" w:sz="4" w:space="0" w:color="000000"/>
              <w:left w:val="single" w:sz="4" w:space="0" w:color="000000"/>
              <w:bottom w:val="single" w:sz="4" w:space="0" w:color="000000"/>
            </w:tcBorders>
            <w:vAlign w:val="center"/>
          </w:tcPr>
          <w:p w:rsidR="00D3044D" w:rsidRPr="00DC16A2" w:rsidRDefault="00D3044D">
            <w:pPr>
              <w:pStyle w:val="BTEMEASMCA"/>
              <w:rPr>
                <w:lang w:val="lt-LT"/>
              </w:rPr>
            </w:pPr>
          </w:p>
        </w:tc>
        <w:tc>
          <w:tcPr>
            <w:tcW w:w="1510" w:type="dxa"/>
            <w:gridSpan w:val="2"/>
            <w:tcBorders>
              <w:top w:val="single" w:sz="4" w:space="0" w:color="000000"/>
              <w:bottom w:val="single" w:sz="4" w:space="0" w:color="000000"/>
            </w:tcBorders>
            <w:vAlign w:val="center"/>
          </w:tcPr>
          <w:p w:rsidR="00E204ED" w:rsidRPr="00DC16A2" w:rsidRDefault="00D3044D" w:rsidP="00E204ED">
            <w:pPr>
              <w:pStyle w:val="BTEMEASMCA"/>
              <w:rPr>
                <w:lang w:val="lt-LT"/>
              </w:rPr>
            </w:pPr>
            <w:r w:rsidRPr="00DC16A2">
              <w:rPr>
                <w:lang w:val="lt-LT"/>
              </w:rPr>
              <w:t>1,</w:t>
            </w:r>
            <w:r w:rsidR="00E204ED" w:rsidRPr="00DC16A2">
              <w:rPr>
                <w:lang w:val="lt-LT"/>
              </w:rPr>
              <w:t>293</w:t>
            </w:r>
          </w:p>
          <w:p w:rsidR="00D3044D" w:rsidRPr="00DC16A2" w:rsidRDefault="00D3044D" w:rsidP="00E204ED">
            <w:pPr>
              <w:pStyle w:val="BTEMEASMCA"/>
              <w:rPr>
                <w:lang w:val="lt-LT"/>
              </w:rPr>
            </w:pPr>
            <w:r w:rsidRPr="00DC16A2">
              <w:rPr>
                <w:lang w:val="lt-LT"/>
              </w:rPr>
              <w:t>(1,041–1,606) 0,0201</w:t>
            </w:r>
          </w:p>
        </w:tc>
        <w:tc>
          <w:tcPr>
            <w:tcW w:w="2080" w:type="dxa"/>
            <w:tcBorders>
              <w:top w:val="single" w:sz="4" w:space="0" w:color="000000"/>
              <w:bottom w:val="single" w:sz="4" w:space="0" w:color="000000"/>
              <w:right w:val="single" w:sz="4" w:space="0" w:color="000000"/>
            </w:tcBorders>
            <w:vAlign w:val="center"/>
          </w:tcPr>
          <w:p w:rsidR="00D3044D" w:rsidRPr="00DC16A2" w:rsidRDefault="00D3044D">
            <w:pPr>
              <w:pStyle w:val="BTEMEASMCA"/>
              <w:rPr>
                <w:lang w:val="lt-LT"/>
              </w:rPr>
            </w:pPr>
          </w:p>
        </w:tc>
      </w:tr>
      <w:tr w:rsidR="00D3044D" w:rsidRPr="00D3044D" w:rsidTr="00E204ED">
        <w:trPr>
          <w:trHeight w:val="143"/>
        </w:trPr>
        <w:tc>
          <w:tcPr>
            <w:tcW w:w="2988" w:type="dxa"/>
            <w:vMerge w:val="restart"/>
            <w:tcBorders>
              <w:top w:val="single" w:sz="4" w:space="0" w:color="000000"/>
              <w:left w:val="single" w:sz="6" w:space="0" w:color="000000"/>
              <w:right w:val="single" w:sz="4" w:space="0" w:color="000000"/>
            </w:tcBorders>
            <w:vAlign w:val="center"/>
          </w:tcPr>
          <w:p w:rsidR="00D3044D" w:rsidRPr="00DC16A2" w:rsidRDefault="00D3044D" w:rsidP="00732C31">
            <w:pPr>
              <w:pStyle w:val="BTEMEASMCA"/>
              <w:rPr>
                <w:lang w:val="lt-LT"/>
              </w:rPr>
            </w:pPr>
            <w:r w:rsidRPr="00DC16A2">
              <w:rPr>
                <w:lang w:val="lt-LT"/>
              </w:rPr>
              <w:t xml:space="preserve">Bendras atsako dažnis </w:t>
            </w:r>
          </w:p>
          <w:p w:rsidR="00D3044D" w:rsidRPr="00DC16A2" w:rsidRDefault="00D3044D" w:rsidP="00732C31">
            <w:pPr>
              <w:pStyle w:val="BTEMEASMCA"/>
              <w:rPr>
                <w:lang w:val="lt-LT"/>
              </w:rPr>
            </w:pPr>
            <w:r w:rsidRPr="00DC16A2">
              <w:rPr>
                <w:lang w:val="lt-LT"/>
              </w:rPr>
              <w:t xml:space="preserve">(CR+PR) (%) </w:t>
            </w:r>
          </w:p>
          <w:p w:rsidR="00D3044D" w:rsidRPr="00DC16A2" w:rsidRDefault="00D3044D" w:rsidP="00732C31">
            <w:pPr>
              <w:pStyle w:val="BTEMEASMCA"/>
              <w:rPr>
                <w:lang w:val="lt-LT"/>
              </w:rPr>
            </w:pPr>
            <w:r w:rsidRPr="00DC16A2">
              <w:rPr>
                <w:lang w:val="lt-LT"/>
              </w:rPr>
              <w:t xml:space="preserve">p reikšmė </w:t>
            </w:r>
          </w:p>
        </w:tc>
        <w:tc>
          <w:tcPr>
            <w:tcW w:w="1964" w:type="dxa"/>
            <w:tcBorders>
              <w:top w:val="single" w:sz="4" w:space="0" w:color="000000"/>
              <w:left w:val="single" w:sz="4" w:space="0" w:color="000000"/>
              <w:bottom w:val="single" w:sz="4" w:space="0" w:color="000000"/>
            </w:tcBorders>
            <w:vAlign w:val="center"/>
          </w:tcPr>
          <w:p w:rsidR="00D3044D" w:rsidRPr="00DC16A2" w:rsidRDefault="00D3044D" w:rsidP="00732C31">
            <w:pPr>
              <w:pStyle w:val="BTEMEASMCA"/>
              <w:rPr>
                <w:lang w:val="lt-LT"/>
              </w:rPr>
            </w:pPr>
            <w:r w:rsidRPr="00DC16A2">
              <w:rPr>
                <w:lang w:val="lt-LT"/>
              </w:rPr>
              <w:t>36,7</w:t>
            </w:r>
          </w:p>
        </w:tc>
        <w:tc>
          <w:tcPr>
            <w:tcW w:w="745" w:type="dxa"/>
            <w:tcBorders>
              <w:top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p>
        </w:tc>
        <w:tc>
          <w:tcPr>
            <w:tcW w:w="765" w:type="dxa"/>
            <w:tcBorders>
              <w:top w:val="single" w:sz="4" w:space="0" w:color="000000"/>
              <w:left w:val="single" w:sz="4" w:space="0" w:color="000000"/>
              <w:bottom w:val="single" w:sz="4" w:space="0" w:color="000000"/>
            </w:tcBorders>
            <w:vAlign w:val="center"/>
          </w:tcPr>
          <w:p w:rsidR="00D3044D" w:rsidRPr="00DC16A2" w:rsidRDefault="00D3044D" w:rsidP="00732C31">
            <w:pPr>
              <w:pStyle w:val="BTEMEASMCA"/>
              <w:rPr>
                <w:lang w:val="lt-LT"/>
              </w:rPr>
            </w:pPr>
          </w:p>
        </w:tc>
        <w:tc>
          <w:tcPr>
            <w:tcW w:w="2080" w:type="dxa"/>
            <w:tcBorders>
              <w:top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25,4</w:t>
            </w:r>
          </w:p>
        </w:tc>
      </w:tr>
      <w:tr w:rsidR="00D3044D" w:rsidRPr="00D3044D" w:rsidTr="00E204ED">
        <w:trPr>
          <w:trHeight w:val="276"/>
        </w:trPr>
        <w:tc>
          <w:tcPr>
            <w:tcW w:w="2988" w:type="dxa"/>
            <w:vMerge/>
            <w:tcBorders>
              <w:left w:val="single" w:sz="6" w:space="0" w:color="000000"/>
              <w:bottom w:val="single" w:sz="4" w:space="0" w:color="000000"/>
              <w:right w:val="single" w:sz="4" w:space="0" w:color="000000"/>
            </w:tcBorders>
          </w:tcPr>
          <w:p w:rsidR="00D3044D" w:rsidRPr="00DC16A2" w:rsidRDefault="00D3044D">
            <w:pPr>
              <w:pStyle w:val="BTEMEASMCA"/>
              <w:rPr>
                <w:lang w:val="lt-LT"/>
              </w:rPr>
            </w:pPr>
          </w:p>
        </w:tc>
        <w:tc>
          <w:tcPr>
            <w:tcW w:w="1964" w:type="dxa"/>
            <w:tcBorders>
              <w:top w:val="single" w:sz="4" w:space="0" w:color="000000"/>
              <w:left w:val="single" w:sz="4" w:space="0" w:color="000000"/>
              <w:bottom w:val="single" w:sz="4" w:space="0" w:color="000000"/>
            </w:tcBorders>
            <w:vAlign w:val="center"/>
          </w:tcPr>
          <w:p w:rsidR="00D3044D" w:rsidRPr="00DC16A2" w:rsidRDefault="00D3044D">
            <w:pPr>
              <w:pStyle w:val="BTEMEASMCA"/>
              <w:rPr>
                <w:lang w:val="lt-LT"/>
              </w:rPr>
            </w:pPr>
          </w:p>
        </w:tc>
        <w:tc>
          <w:tcPr>
            <w:tcW w:w="1510" w:type="dxa"/>
            <w:gridSpan w:val="2"/>
            <w:tcBorders>
              <w:top w:val="single" w:sz="4" w:space="0" w:color="000000"/>
              <w:bottom w:val="single" w:sz="4" w:space="0" w:color="000000"/>
            </w:tcBorders>
            <w:vAlign w:val="center"/>
          </w:tcPr>
          <w:p w:rsidR="00D3044D" w:rsidRPr="00DC16A2" w:rsidRDefault="00D3044D">
            <w:pPr>
              <w:pStyle w:val="BTEMEASMCA"/>
              <w:rPr>
                <w:lang w:val="lt-LT"/>
              </w:rPr>
            </w:pPr>
            <w:r w:rsidRPr="00DC16A2">
              <w:rPr>
                <w:lang w:val="lt-LT"/>
              </w:rPr>
              <w:t>0,0106</w:t>
            </w:r>
          </w:p>
        </w:tc>
        <w:tc>
          <w:tcPr>
            <w:tcW w:w="2080" w:type="dxa"/>
            <w:tcBorders>
              <w:top w:val="single" w:sz="4" w:space="0" w:color="000000"/>
              <w:bottom w:val="single" w:sz="4" w:space="0" w:color="000000"/>
              <w:right w:val="single" w:sz="4" w:space="0" w:color="000000"/>
            </w:tcBorders>
            <w:vAlign w:val="center"/>
          </w:tcPr>
          <w:p w:rsidR="00D3044D" w:rsidRPr="00DC16A2" w:rsidRDefault="00D3044D">
            <w:pPr>
              <w:pStyle w:val="BTEMEASMCA"/>
              <w:rPr>
                <w:lang w:val="lt-LT"/>
              </w:rPr>
            </w:pPr>
          </w:p>
        </w:tc>
      </w:tr>
      <w:tr w:rsidR="00D3044D" w:rsidRPr="00D3044D" w:rsidTr="00E204ED">
        <w:trPr>
          <w:trHeight w:val="420"/>
        </w:trPr>
        <w:tc>
          <w:tcPr>
            <w:tcW w:w="2988" w:type="dxa"/>
            <w:tcBorders>
              <w:top w:val="single" w:sz="4" w:space="0" w:color="000000"/>
              <w:left w:val="single" w:sz="6" w:space="0" w:color="000000"/>
              <w:bottom w:val="single" w:sz="6" w:space="0" w:color="000000"/>
              <w:right w:val="single" w:sz="4" w:space="0" w:color="000000"/>
            </w:tcBorders>
          </w:tcPr>
          <w:p w:rsidR="00D3044D" w:rsidRPr="00DC16A2" w:rsidRDefault="00D3044D" w:rsidP="00732C31">
            <w:pPr>
              <w:pStyle w:val="BTEMEASMCA"/>
              <w:rPr>
                <w:lang w:val="lt-LT"/>
              </w:rPr>
            </w:pPr>
            <w:r w:rsidRPr="00DC16A2">
              <w:rPr>
                <w:lang w:val="lt-LT"/>
              </w:rPr>
              <w:t xml:space="preserve">Ligos progresavimas kaip geriausias bendras atsako dažnis (%) </w:t>
            </w:r>
          </w:p>
        </w:tc>
        <w:tc>
          <w:tcPr>
            <w:tcW w:w="1964" w:type="dxa"/>
            <w:tcBorders>
              <w:top w:val="single" w:sz="4" w:space="0" w:color="000000"/>
              <w:left w:val="single" w:sz="4" w:space="0" w:color="000000"/>
              <w:bottom w:val="single" w:sz="6" w:space="0" w:color="000000"/>
            </w:tcBorders>
            <w:vAlign w:val="center"/>
          </w:tcPr>
          <w:p w:rsidR="00D3044D" w:rsidRPr="00DC16A2" w:rsidRDefault="00D3044D" w:rsidP="00732C31">
            <w:pPr>
              <w:pStyle w:val="BTEMEASMCA"/>
              <w:rPr>
                <w:lang w:val="lt-LT"/>
              </w:rPr>
            </w:pPr>
            <w:r w:rsidRPr="00DC16A2">
              <w:rPr>
                <w:lang w:val="lt-LT"/>
              </w:rPr>
              <w:t>16,7</w:t>
            </w:r>
          </w:p>
        </w:tc>
        <w:tc>
          <w:tcPr>
            <w:tcW w:w="745" w:type="dxa"/>
            <w:tcBorders>
              <w:top w:val="single" w:sz="4" w:space="0" w:color="000000"/>
              <w:bottom w:val="single" w:sz="6" w:space="0" w:color="000000"/>
              <w:right w:val="single" w:sz="4" w:space="0" w:color="000000"/>
            </w:tcBorders>
            <w:vAlign w:val="center"/>
          </w:tcPr>
          <w:p w:rsidR="00D3044D" w:rsidRPr="00DC16A2" w:rsidRDefault="00D3044D" w:rsidP="00732C31">
            <w:pPr>
              <w:pStyle w:val="BTEMEASMCA"/>
              <w:rPr>
                <w:lang w:val="lt-LT"/>
              </w:rPr>
            </w:pPr>
          </w:p>
        </w:tc>
        <w:tc>
          <w:tcPr>
            <w:tcW w:w="765" w:type="dxa"/>
            <w:tcBorders>
              <w:top w:val="single" w:sz="4" w:space="0" w:color="000000"/>
              <w:left w:val="single" w:sz="4" w:space="0" w:color="000000"/>
              <w:bottom w:val="single" w:sz="6" w:space="0" w:color="000000"/>
            </w:tcBorders>
            <w:vAlign w:val="center"/>
          </w:tcPr>
          <w:p w:rsidR="00D3044D" w:rsidRPr="00DC16A2" w:rsidRDefault="00D3044D" w:rsidP="00732C31">
            <w:pPr>
              <w:pStyle w:val="BTEMEASMCA"/>
              <w:rPr>
                <w:lang w:val="lt-LT"/>
              </w:rPr>
            </w:pPr>
          </w:p>
        </w:tc>
        <w:tc>
          <w:tcPr>
            <w:tcW w:w="2080" w:type="dxa"/>
            <w:tcBorders>
              <w:top w:val="single" w:sz="4" w:space="0" w:color="000000"/>
              <w:bottom w:val="single" w:sz="6" w:space="0" w:color="000000"/>
              <w:right w:val="single" w:sz="4" w:space="0" w:color="000000"/>
            </w:tcBorders>
            <w:vAlign w:val="center"/>
          </w:tcPr>
          <w:p w:rsidR="00D3044D" w:rsidRPr="00DC16A2" w:rsidRDefault="00D3044D" w:rsidP="00732C31">
            <w:pPr>
              <w:pStyle w:val="BTEMEASMCA"/>
              <w:rPr>
                <w:lang w:val="lt-LT"/>
              </w:rPr>
            </w:pPr>
            <w:r w:rsidRPr="00DC16A2">
              <w:rPr>
                <w:lang w:val="lt-LT"/>
              </w:rPr>
              <w:t>25,9</w:t>
            </w:r>
          </w:p>
        </w:tc>
      </w:tr>
    </w:tbl>
    <w:p w:rsidR="00D3044D" w:rsidRPr="00D3044D" w:rsidRDefault="00D3044D" w:rsidP="00732C31">
      <w:pPr>
        <w:pStyle w:val="BTEMEASMCA"/>
      </w:pPr>
      <w:r w:rsidRPr="00D3044D">
        <w:t xml:space="preserve">*Nestratifikuotas logaritminio rango testas </w:t>
      </w:r>
    </w:p>
    <w:p w:rsidR="00D3044D" w:rsidRPr="00D3044D" w:rsidRDefault="00D3044D" w:rsidP="00732C31">
      <w:pPr>
        <w:pStyle w:val="BTEMEASMCA"/>
      </w:pPr>
    </w:p>
    <w:p w:rsidR="00D3044D" w:rsidRPr="00D3044D" w:rsidRDefault="00D3044D" w:rsidP="00732C31">
      <w:pPr>
        <w:pStyle w:val="BTEMEASMCA"/>
      </w:pPr>
      <w:r w:rsidRPr="00D3044D">
        <w:t xml:space="preserve">Pogrupių analizė pagal amžių, lytį ar rasę patvirtino pastovų TCF pranašumą prieš CF. </w:t>
      </w:r>
    </w:p>
    <w:p w:rsidR="00D3044D" w:rsidRPr="00D3044D" w:rsidRDefault="00D3044D" w:rsidP="00732C31">
      <w:pPr>
        <w:pStyle w:val="BTEMEASMCA"/>
      </w:pPr>
    </w:p>
    <w:p w:rsidR="00D3044D" w:rsidRPr="00D3044D" w:rsidRDefault="00D3044D" w:rsidP="00732C31">
      <w:pPr>
        <w:pStyle w:val="BTEMEASMCA"/>
      </w:pPr>
      <w:r w:rsidRPr="00D3044D">
        <w:t xml:space="preserve">Papildomos išgyvenamumo analizės (stebėjimo vidurkis – 41,6 mėnesio) metu tolesnio statistiškai reikšmingo skirtumo nenustatyta, tačiau visada TCF grupės gydymo rezultatai buvo palankesni, o 18–30 stebėjimo mėnesiais TCF pranašumas prieš CF buvo akivaizdus. </w:t>
      </w:r>
    </w:p>
    <w:p w:rsidR="00D3044D" w:rsidRPr="00D3044D" w:rsidRDefault="00D3044D" w:rsidP="00732C31">
      <w:pPr>
        <w:pStyle w:val="BTEMEASMCA"/>
      </w:pPr>
    </w:p>
    <w:p w:rsidR="00D3044D" w:rsidRPr="00D3044D" w:rsidRDefault="00D3044D" w:rsidP="00732C31">
      <w:pPr>
        <w:pStyle w:val="BTEMEASMCA"/>
      </w:pPr>
      <w:r w:rsidRPr="00D3044D">
        <w:t xml:space="preserve">Gyvenimo kokybės bei klinikinio poveikio analizė parodė pastovų TCF pranašumą. TCF grupės pacientams laikotarpis iki bendros sveikatos būklės pablogėjimo (vertinant remtasi QLQ-C30 klausimynu) buvo 5 % ilgesnis (p = 0,0121), o laikotarpis iki būklės pablogėjimo, vertinant pagal Karnofsky skalę, irgi buvo ilgesnis (p = 0,0088), lyginant su CF grupės pacientais. </w:t>
      </w:r>
    </w:p>
    <w:p w:rsidR="00D3044D" w:rsidRPr="00D3044D" w:rsidRDefault="00D3044D" w:rsidP="00732C31">
      <w:pPr>
        <w:pStyle w:val="BTEMEASMCA"/>
      </w:pPr>
    </w:p>
    <w:p w:rsidR="00D3044D" w:rsidRPr="00D3044D" w:rsidRDefault="00D3044D" w:rsidP="00732C31">
      <w:pPr>
        <w:pStyle w:val="BTEMEASMCA"/>
      </w:pPr>
      <w:r w:rsidRPr="00D3044D">
        <w:lastRenderedPageBreak/>
        <w:t xml:space="preserve">Galvos ir kaklo vėžys </w:t>
      </w:r>
    </w:p>
    <w:p w:rsidR="00D3044D" w:rsidRPr="00D3044D" w:rsidRDefault="00D3044D" w:rsidP="00732C31">
      <w:pPr>
        <w:pStyle w:val="BTEMEASMCA"/>
        <w:numPr>
          <w:ilvl w:val="0"/>
          <w:numId w:val="7"/>
        </w:numPr>
      </w:pPr>
      <w:r w:rsidRPr="00D3044D">
        <w:t xml:space="preserve">Įvadinė chemoterapija, po kurios taikoma radioterapija (TAX323) </w:t>
      </w:r>
    </w:p>
    <w:p w:rsidR="00D3044D" w:rsidRPr="00D3044D" w:rsidRDefault="00D3044D" w:rsidP="00732C31">
      <w:pPr>
        <w:pStyle w:val="BTEMEASMCA"/>
      </w:pPr>
      <w:r w:rsidRPr="00D3044D">
        <w:t xml:space="preserve">Docetakselio veiksmingumas bei saugumas vartojant įvadiniam plokščialąsteliniu galvos ir kaklo vėžiu (PGKV) sergančių pacientų gydymui tirtas III fazės daugiacentriame, atvirame, atsitiktinių imčių tyrime (TAX323). Šio tyrimo metu 358 neoperuojamu lokaliai progresavusiu PGKV sirgę pacientai, kurių aktyvumo būklė pagal PSO vertinimą buvo 0 arba 1, buvo atsitiktinai atrinkti į vieną iš dviejų gydymo grupių. Docetakselio grupės pacientams skirta 75 mg/m² docetakselio (T), po to 75 mg/m² cisplatinos (P), po to 5 dienas nuolatine infuzija leistas 5-fluorouracilas (F) (paros dozė 750 mg/m²). Jei po 2 kursų pasireikšdavo bent minimali reakcija (dviem kryptimis išmatuoto naviko dydis sumažėdavo ≥ 25%), tokie gydymo kursai buvo kartojami kas 3 savaites 4 kartus. Baigus chemoterapiją, mažiausiai po 4 savaičių, bet daugiausiai po 7 savaičių pacientams, kuriems liga neprogresavo, 7 savaites taikytas gydymas spinduliais (RT), atsižvelgiant į įstaigoje patvirtintas gaires (TPF/RT). Palyginamosios grupės pacientams skirta 100 mg/m² cisplatinos (P) ir po to 5 dienas 5-fluorouracilo (F) po 1000 mg/m² per parą. Jei po 2 kursų pasireikšdavo bent minimali reakcija (dviem kryptimis išmatuoto naviko dydis sumažėdavo ≥ 25%), tokie gydymo kursai buvo kartojami kas 3 savaites 4 kartus. Baigus chemoterapiją, mažiausiai po 4 savaičių, bet daugiausiai po 7 savaičių pacientams, kuriems liga neprogresavo, 7 savaites taikytas gydymas spinduliais (RT), atsižvelgiant į įstaigoje patvirtintas gaires (TPF/RT). Vietinė-regioninė spindulinė terapija skirta arba įprastinėmis frakcijomis (1,8–2,0 Gy kartą per parą 5 dienas per savaitę, suminė dozė 66–70 Gy), arba taikyta pagreitintos ar hiperfrakcionuotos spindulinės terapijos schema (du kartus per parą, 5 dienas per savaitę, minimali pertrauka tarp seansų – 6 valandos). Taikant pagreitintą schemą, rekomenduojama bendra dozė buvo 70 Gy, o taikant hiperfrakcionuotą schemą – 74 Gy. Baigus chemoterapiją, navikas galėjo būti pašalintas chirurgiškai, prieš spindulinę terapiją arba po jos. TPF grupės pacientai profilaktiškai gavo gerti po 500 mg ciprofloksacino 2 kartus per parą 10 dienų nuo 5-os kiekvieno kurso dienos arba atitinkamai kitą antibiotiką. Pagrindinis šio tyrimo vertinimo kriterijus, išgyvenamumas be ligos progresavimo (IBLP), buvo patikimai ilgesnis TPF grupėje, nei PF grupėje, p = 0,0042 (IBLP vidurkis, atitinkamai, 11,4 ir 8,3 mėnesio), bendra pacientų vidutinė stebėjimo trukmė 33,7 mėnesio). Bendro išgyvenamumo vidurkis taip pat buvo patikimai didesnis TPF grupėje, nei PF grupėje (atitinkamai 18,6 ir 14,5 mėnesio). Mirties rizika sumažėjo 28 % (p = 0,0128). Gydymo veiksmingumo duomenys apibendrinami toliau pateiktoje lentelėje: </w:t>
      </w:r>
    </w:p>
    <w:p w:rsidR="00D3044D" w:rsidRPr="00D3044D" w:rsidRDefault="00D3044D" w:rsidP="00732C31">
      <w:pPr>
        <w:pStyle w:val="BTEMEASMCA"/>
      </w:pPr>
    </w:p>
    <w:p w:rsidR="00D3044D" w:rsidRPr="00D3044D" w:rsidRDefault="00D3044D" w:rsidP="00732C31">
      <w:pPr>
        <w:pStyle w:val="BTEMEASMCA"/>
      </w:pPr>
      <w:r w:rsidRPr="00D3044D">
        <w:t>Docetakselio veiksmingumas skiriant įvadiniam neoperuojamo, lokaliai progresavusio PGKV gydymui (visų gydytų pacientų analizė)</w:t>
      </w:r>
    </w:p>
    <w:p w:rsidR="00D3044D" w:rsidRPr="00D3044D" w:rsidRDefault="00D3044D" w:rsidP="00732C31">
      <w:pPr>
        <w:pStyle w:val="BTEMEASMCA"/>
      </w:pPr>
    </w:p>
    <w:tbl>
      <w:tblPr>
        <w:tblW w:w="0" w:type="auto"/>
        <w:tblLayout w:type="fixed"/>
        <w:tblLook w:val="0000" w:firstRow="0" w:lastRow="0" w:firstColumn="0" w:lastColumn="0" w:noHBand="0" w:noVBand="0"/>
      </w:tblPr>
      <w:tblGrid>
        <w:gridCol w:w="3000"/>
        <w:gridCol w:w="2058"/>
        <w:gridCol w:w="639"/>
        <w:gridCol w:w="738"/>
        <w:gridCol w:w="7"/>
        <w:gridCol w:w="2103"/>
      </w:tblGrid>
      <w:tr w:rsidR="00D3044D" w:rsidRPr="00D3044D" w:rsidTr="00D3044D">
        <w:trPr>
          <w:trHeight w:val="287"/>
        </w:trPr>
        <w:tc>
          <w:tcPr>
            <w:tcW w:w="3000" w:type="dxa"/>
            <w:tcBorders>
              <w:top w:val="single" w:sz="6" w:space="0" w:color="000000"/>
              <w:left w:val="single" w:sz="6"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 xml:space="preserve">Vertinimo kriterijus </w:t>
            </w:r>
          </w:p>
        </w:tc>
        <w:tc>
          <w:tcPr>
            <w:tcW w:w="2697" w:type="dxa"/>
            <w:gridSpan w:val="2"/>
            <w:tcBorders>
              <w:top w:val="single" w:sz="6" w:space="0" w:color="000000"/>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Docetakselis + Cis + 5-FU</w:t>
            </w:r>
          </w:p>
          <w:p w:rsidR="00D3044D" w:rsidRPr="00DC16A2" w:rsidRDefault="00D3044D" w:rsidP="00732C31">
            <w:pPr>
              <w:pStyle w:val="BTEMEASMCA"/>
              <w:rPr>
                <w:lang w:val="lt-LT"/>
              </w:rPr>
            </w:pPr>
            <w:r w:rsidRPr="00DC16A2">
              <w:rPr>
                <w:lang w:val="lt-LT"/>
              </w:rPr>
              <w:t>n = 177</w:t>
            </w:r>
          </w:p>
        </w:tc>
        <w:tc>
          <w:tcPr>
            <w:tcW w:w="2848" w:type="dxa"/>
            <w:gridSpan w:val="3"/>
            <w:tcBorders>
              <w:top w:val="single" w:sz="6" w:space="0" w:color="000000"/>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Cis + 5-FU</w:t>
            </w:r>
          </w:p>
          <w:p w:rsidR="00D3044D" w:rsidRPr="00DC16A2" w:rsidRDefault="00D3044D" w:rsidP="00732C31">
            <w:pPr>
              <w:pStyle w:val="BTEMEASMCA"/>
              <w:rPr>
                <w:lang w:val="lt-LT"/>
              </w:rPr>
            </w:pPr>
            <w:r w:rsidRPr="00DC16A2">
              <w:rPr>
                <w:lang w:val="lt-LT"/>
              </w:rPr>
              <w:t>n = 181</w:t>
            </w:r>
          </w:p>
        </w:tc>
      </w:tr>
      <w:tr w:rsidR="00D3044D" w:rsidRPr="00D3044D" w:rsidTr="00E378C3">
        <w:trPr>
          <w:trHeight w:val="751"/>
        </w:trPr>
        <w:tc>
          <w:tcPr>
            <w:tcW w:w="3000" w:type="dxa"/>
            <w:vMerge w:val="restart"/>
            <w:tcBorders>
              <w:top w:val="single" w:sz="4" w:space="0" w:color="000000"/>
              <w:left w:val="single" w:sz="6" w:space="0" w:color="000000"/>
              <w:right w:val="single" w:sz="4" w:space="0" w:color="000000"/>
            </w:tcBorders>
          </w:tcPr>
          <w:p w:rsidR="00D3044D" w:rsidRPr="00DC16A2" w:rsidRDefault="00D3044D" w:rsidP="00732C31">
            <w:pPr>
              <w:pStyle w:val="BTEMEASMCA"/>
              <w:rPr>
                <w:lang w:val="lt-LT"/>
              </w:rPr>
            </w:pPr>
            <w:r w:rsidRPr="00DC16A2">
              <w:rPr>
                <w:lang w:val="lt-LT"/>
              </w:rPr>
              <w:t>Išgyvenamumo be ligos progresavimo vidurkis (mėn</w:t>
            </w:r>
            <w:r w:rsidR="001379A7" w:rsidRPr="00DC16A2">
              <w:rPr>
                <w:lang w:val="lt-LT"/>
              </w:rPr>
              <w:t>.</w:t>
            </w:r>
            <w:r w:rsidRPr="00DC16A2">
              <w:rPr>
                <w:lang w:val="lt-LT"/>
              </w:rPr>
              <w:t xml:space="preserve">) </w:t>
            </w:r>
          </w:p>
          <w:p w:rsidR="00D3044D" w:rsidRPr="00DC16A2" w:rsidRDefault="00D3044D" w:rsidP="00732C31">
            <w:pPr>
              <w:pStyle w:val="BTEMEASMCA"/>
              <w:rPr>
                <w:lang w:val="lt-LT"/>
              </w:rPr>
            </w:pPr>
            <w:r w:rsidRPr="00DC16A2">
              <w:rPr>
                <w:lang w:val="lt-LT"/>
              </w:rPr>
              <w:t xml:space="preserve">(95 % PI) </w:t>
            </w:r>
          </w:p>
          <w:p w:rsidR="00D3044D" w:rsidRPr="00DC16A2" w:rsidRDefault="00D3044D" w:rsidP="00732C31">
            <w:pPr>
              <w:pStyle w:val="BTEMEASMCA"/>
              <w:rPr>
                <w:lang w:val="lt-LT"/>
              </w:rPr>
            </w:pPr>
            <w:r w:rsidRPr="00DC16A2">
              <w:rPr>
                <w:lang w:val="lt-LT"/>
              </w:rPr>
              <w:t xml:space="preserve">Koreguota santykinė rizika </w:t>
            </w:r>
          </w:p>
          <w:p w:rsidR="00E378C3" w:rsidRPr="00DC16A2" w:rsidRDefault="00D3044D" w:rsidP="00732C31">
            <w:pPr>
              <w:pStyle w:val="BTEMEASMCA"/>
              <w:rPr>
                <w:lang w:val="lt-LT"/>
              </w:rPr>
            </w:pPr>
            <w:r w:rsidRPr="00DC16A2">
              <w:rPr>
                <w:lang w:val="lt-LT"/>
              </w:rPr>
              <w:t xml:space="preserve">(95 % PI) </w:t>
            </w:r>
          </w:p>
          <w:p w:rsidR="00D3044D" w:rsidRPr="00DC16A2" w:rsidRDefault="00D3044D" w:rsidP="00732C31">
            <w:pPr>
              <w:pStyle w:val="BTEMEASMCA"/>
              <w:rPr>
                <w:lang w:val="lt-LT"/>
              </w:rPr>
            </w:pPr>
            <w:r w:rsidRPr="00DC16A2">
              <w:rPr>
                <w:lang w:val="lt-LT"/>
              </w:rPr>
              <w:t xml:space="preserve">*p reikšmė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rsidR="00D3044D" w:rsidRPr="00DC16A2" w:rsidRDefault="00D3044D" w:rsidP="00E204ED">
            <w:pPr>
              <w:pStyle w:val="BTEMEASMCA"/>
              <w:rPr>
                <w:lang w:val="lt-LT"/>
              </w:rPr>
            </w:pPr>
            <w:r w:rsidRPr="00DC16A2">
              <w:rPr>
                <w:lang w:val="lt-LT"/>
              </w:rPr>
              <w:t>11,4</w:t>
            </w:r>
          </w:p>
          <w:p w:rsidR="00D3044D" w:rsidRPr="00DC16A2" w:rsidRDefault="00D3044D" w:rsidP="00E378C3">
            <w:pPr>
              <w:pStyle w:val="BTEMEASMCA"/>
              <w:rPr>
                <w:lang w:val="lt-LT"/>
              </w:rPr>
            </w:pPr>
            <w:r w:rsidRPr="00DC16A2">
              <w:rPr>
                <w:lang w:val="lt-LT"/>
              </w:rPr>
              <w:t>(10,1–14,0)</w:t>
            </w:r>
          </w:p>
        </w:tc>
        <w:tc>
          <w:tcPr>
            <w:tcW w:w="2848" w:type="dxa"/>
            <w:gridSpan w:val="3"/>
            <w:tcBorders>
              <w:top w:val="single" w:sz="4" w:space="0" w:color="000000"/>
              <w:left w:val="single" w:sz="4" w:space="0" w:color="000000"/>
              <w:bottom w:val="single" w:sz="4" w:space="0" w:color="000000"/>
              <w:right w:val="single" w:sz="4" w:space="0" w:color="000000"/>
            </w:tcBorders>
            <w:vAlign w:val="bottom"/>
          </w:tcPr>
          <w:p w:rsidR="00D3044D" w:rsidRPr="00DC16A2" w:rsidRDefault="00D3044D" w:rsidP="00E378C3">
            <w:pPr>
              <w:pStyle w:val="BTEMEASMCA"/>
              <w:rPr>
                <w:lang w:val="lt-LT"/>
              </w:rPr>
            </w:pPr>
            <w:r w:rsidRPr="00DC16A2">
              <w:rPr>
                <w:lang w:val="lt-LT"/>
              </w:rPr>
              <w:t>8,3</w:t>
            </w:r>
          </w:p>
          <w:p w:rsidR="00D3044D" w:rsidRPr="00DC16A2" w:rsidRDefault="00D3044D" w:rsidP="00E378C3">
            <w:pPr>
              <w:pStyle w:val="BTEMEASMCA"/>
              <w:rPr>
                <w:lang w:val="lt-LT"/>
              </w:rPr>
            </w:pPr>
            <w:r w:rsidRPr="00DC16A2">
              <w:rPr>
                <w:lang w:val="lt-LT"/>
              </w:rPr>
              <w:t>(7,4–9,1)</w:t>
            </w:r>
          </w:p>
        </w:tc>
      </w:tr>
      <w:tr w:rsidR="00D3044D" w:rsidRPr="00D3044D" w:rsidTr="00D3044D">
        <w:trPr>
          <w:trHeight w:val="552"/>
        </w:trPr>
        <w:tc>
          <w:tcPr>
            <w:tcW w:w="3000" w:type="dxa"/>
            <w:vMerge/>
            <w:tcBorders>
              <w:left w:val="single" w:sz="6" w:space="0" w:color="000000"/>
              <w:bottom w:val="single" w:sz="4" w:space="0" w:color="000000"/>
              <w:right w:val="single" w:sz="4" w:space="0" w:color="000000"/>
            </w:tcBorders>
          </w:tcPr>
          <w:p w:rsidR="00D3044D" w:rsidRPr="00DC16A2" w:rsidRDefault="00D3044D">
            <w:pPr>
              <w:pStyle w:val="BTEMEASMCA"/>
              <w:rPr>
                <w:lang w:val="lt-LT"/>
              </w:rPr>
            </w:pPr>
          </w:p>
        </w:tc>
        <w:tc>
          <w:tcPr>
            <w:tcW w:w="5545" w:type="dxa"/>
            <w:gridSpan w:val="5"/>
            <w:tcBorders>
              <w:top w:val="single" w:sz="4" w:space="0" w:color="000000"/>
              <w:left w:val="single" w:sz="4" w:space="0" w:color="000000"/>
              <w:bottom w:val="single" w:sz="4" w:space="0" w:color="000000"/>
              <w:right w:val="single" w:sz="4" w:space="0" w:color="000000"/>
            </w:tcBorders>
            <w:vAlign w:val="center"/>
          </w:tcPr>
          <w:p w:rsidR="00D3044D" w:rsidRPr="00DC16A2" w:rsidRDefault="00D3044D">
            <w:pPr>
              <w:pStyle w:val="BTEMEASMCA"/>
              <w:rPr>
                <w:lang w:val="lt-LT"/>
              </w:rPr>
            </w:pPr>
            <w:r w:rsidRPr="00DC16A2">
              <w:rPr>
                <w:lang w:val="lt-LT"/>
              </w:rPr>
              <w:t>0,70</w:t>
            </w:r>
          </w:p>
          <w:p w:rsidR="00D3044D" w:rsidRPr="00DC16A2" w:rsidRDefault="00D3044D">
            <w:pPr>
              <w:pStyle w:val="BTEMEASMCA"/>
              <w:rPr>
                <w:lang w:val="lt-LT"/>
              </w:rPr>
            </w:pPr>
            <w:r w:rsidRPr="00DC16A2">
              <w:rPr>
                <w:lang w:val="lt-LT"/>
              </w:rPr>
              <w:t>(0,55–0,89)</w:t>
            </w:r>
          </w:p>
          <w:p w:rsidR="00D3044D" w:rsidRPr="00DC16A2" w:rsidRDefault="00D3044D">
            <w:pPr>
              <w:pStyle w:val="BTEMEASMCA"/>
              <w:rPr>
                <w:lang w:val="lt-LT"/>
              </w:rPr>
            </w:pPr>
            <w:r w:rsidRPr="00DC16A2">
              <w:rPr>
                <w:lang w:val="lt-LT"/>
              </w:rPr>
              <w:t>0,0042</w:t>
            </w:r>
          </w:p>
        </w:tc>
      </w:tr>
      <w:tr w:rsidR="00D3044D" w:rsidRPr="00D3044D" w:rsidTr="00D3044D">
        <w:trPr>
          <w:trHeight w:val="281"/>
        </w:trPr>
        <w:tc>
          <w:tcPr>
            <w:tcW w:w="3000" w:type="dxa"/>
            <w:vMerge w:val="restart"/>
            <w:tcBorders>
              <w:top w:val="single" w:sz="4" w:space="0" w:color="000000"/>
              <w:left w:val="single" w:sz="6" w:space="0" w:color="000000"/>
              <w:right w:val="single" w:sz="4" w:space="0" w:color="000000"/>
            </w:tcBorders>
          </w:tcPr>
          <w:p w:rsidR="00D3044D" w:rsidRPr="00DC16A2" w:rsidRDefault="00D3044D" w:rsidP="00732C31">
            <w:pPr>
              <w:pStyle w:val="BTEMEASMCA"/>
              <w:rPr>
                <w:lang w:val="lt-LT"/>
              </w:rPr>
            </w:pPr>
            <w:r w:rsidRPr="00DC16A2">
              <w:rPr>
                <w:lang w:val="lt-LT"/>
              </w:rPr>
              <w:t>Išgyvenamumo vidurkis (mėn</w:t>
            </w:r>
            <w:r w:rsidR="00411B70" w:rsidRPr="00DC16A2">
              <w:rPr>
                <w:lang w:val="lt-LT"/>
              </w:rPr>
              <w:t>.</w:t>
            </w:r>
            <w:r w:rsidRPr="00DC16A2">
              <w:rPr>
                <w:lang w:val="lt-LT"/>
              </w:rPr>
              <w:t xml:space="preserve">) (95 % PI) </w:t>
            </w:r>
          </w:p>
          <w:p w:rsidR="00D3044D" w:rsidRPr="00DC16A2" w:rsidRDefault="00D3044D" w:rsidP="00732C31">
            <w:pPr>
              <w:pStyle w:val="BTEMEASMCA"/>
              <w:rPr>
                <w:lang w:val="lt-LT"/>
              </w:rPr>
            </w:pPr>
            <w:r w:rsidRPr="00DC16A2">
              <w:rPr>
                <w:lang w:val="lt-LT"/>
              </w:rPr>
              <w:t xml:space="preserve">Santykinė rizika </w:t>
            </w:r>
          </w:p>
          <w:p w:rsidR="00D3044D" w:rsidRPr="00DC16A2" w:rsidRDefault="00D3044D" w:rsidP="00732C31">
            <w:pPr>
              <w:pStyle w:val="BTEMEASMCA"/>
              <w:rPr>
                <w:lang w:val="lt-LT"/>
              </w:rPr>
            </w:pPr>
            <w:r w:rsidRPr="00DC16A2">
              <w:rPr>
                <w:lang w:val="lt-LT"/>
              </w:rPr>
              <w:t xml:space="preserve">(95 % PI) </w:t>
            </w:r>
          </w:p>
          <w:p w:rsidR="00D3044D" w:rsidRPr="00DC16A2" w:rsidRDefault="00D3044D" w:rsidP="00732C31">
            <w:pPr>
              <w:pStyle w:val="BTEMEASMCA"/>
              <w:rPr>
                <w:lang w:val="lt-LT"/>
              </w:rPr>
            </w:pPr>
            <w:r w:rsidRPr="00DC16A2">
              <w:rPr>
                <w:lang w:val="lt-LT"/>
              </w:rPr>
              <w:t xml:space="preserve">**p reikšmė </w:t>
            </w:r>
          </w:p>
        </w:tc>
        <w:tc>
          <w:tcPr>
            <w:tcW w:w="2697" w:type="dxa"/>
            <w:gridSpan w:val="2"/>
            <w:tcBorders>
              <w:top w:val="single" w:sz="4" w:space="0" w:color="000000"/>
              <w:left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18,6</w:t>
            </w:r>
          </w:p>
          <w:p w:rsidR="00D3044D" w:rsidRPr="00DC16A2" w:rsidRDefault="00D3044D" w:rsidP="00732C31">
            <w:pPr>
              <w:pStyle w:val="BTEMEASMCA"/>
              <w:rPr>
                <w:lang w:val="lt-LT"/>
              </w:rPr>
            </w:pPr>
            <w:r w:rsidRPr="00DC16A2">
              <w:rPr>
                <w:lang w:val="lt-LT"/>
              </w:rPr>
              <w:t>(15,7–24,0)</w:t>
            </w:r>
          </w:p>
        </w:tc>
        <w:tc>
          <w:tcPr>
            <w:tcW w:w="738" w:type="dxa"/>
            <w:tcBorders>
              <w:top w:val="single" w:sz="4" w:space="0" w:color="000000"/>
              <w:left w:val="single" w:sz="4" w:space="0" w:color="000000"/>
              <w:bottom w:val="single" w:sz="4" w:space="0" w:color="000000"/>
            </w:tcBorders>
            <w:vAlign w:val="center"/>
          </w:tcPr>
          <w:p w:rsidR="00D3044D" w:rsidRPr="00DC16A2" w:rsidRDefault="00D3044D" w:rsidP="00732C31">
            <w:pPr>
              <w:pStyle w:val="BTEMEASMCA"/>
              <w:rPr>
                <w:lang w:val="lt-LT"/>
              </w:rPr>
            </w:pPr>
          </w:p>
        </w:tc>
        <w:tc>
          <w:tcPr>
            <w:tcW w:w="2110" w:type="dxa"/>
            <w:gridSpan w:val="2"/>
            <w:tcBorders>
              <w:top w:val="single" w:sz="4" w:space="0" w:color="000000"/>
              <w:bottom w:val="single" w:sz="4" w:space="0" w:color="000000"/>
              <w:right w:val="single" w:sz="4" w:space="0" w:color="000000"/>
            </w:tcBorders>
          </w:tcPr>
          <w:p w:rsidR="00D3044D" w:rsidRPr="00DC16A2" w:rsidRDefault="00D3044D" w:rsidP="00732C31">
            <w:pPr>
              <w:pStyle w:val="BTEMEASMCA"/>
              <w:rPr>
                <w:lang w:val="lt-LT"/>
              </w:rPr>
            </w:pPr>
            <w:r w:rsidRPr="00DC16A2">
              <w:rPr>
                <w:lang w:val="lt-LT"/>
              </w:rPr>
              <w:t>14,5</w:t>
            </w:r>
          </w:p>
          <w:p w:rsidR="00D3044D" w:rsidRPr="00DC16A2" w:rsidRDefault="00D3044D" w:rsidP="00732C31">
            <w:pPr>
              <w:pStyle w:val="BTEMEASMCA"/>
              <w:rPr>
                <w:lang w:val="lt-LT"/>
              </w:rPr>
            </w:pPr>
            <w:r w:rsidRPr="00DC16A2">
              <w:rPr>
                <w:lang w:val="lt-LT"/>
              </w:rPr>
              <w:t xml:space="preserve">(11,6–18,7) </w:t>
            </w:r>
          </w:p>
        </w:tc>
      </w:tr>
      <w:tr w:rsidR="00D3044D" w:rsidRPr="00D3044D" w:rsidTr="00D3044D">
        <w:trPr>
          <w:trHeight w:val="650"/>
        </w:trPr>
        <w:tc>
          <w:tcPr>
            <w:tcW w:w="3000" w:type="dxa"/>
            <w:vMerge/>
            <w:tcBorders>
              <w:left w:val="single" w:sz="6" w:space="0" w:color="000000"/>
              <w:bottom w:val="single" w:sz="6" w:space="0" w:color="000000"/>
              <w:right w:val="single" w:sz="4" w:space="0" w:color="000000"/>
            </w:tcBorders>
          </w:tcPr>
          <w:p w:rsidR="00D3044D" w:rsidRPr="00DC16A2" w:rsidRDefault="00D3044D">
            <w:pPr>
              <w:pStyle w:val="BTEMEASMCA"/>
              <w:rPr>
                <w:lang w:val="lt-LT"/>
              </w:rPr>
            </w:pPr>
          </w:p>
        </w:tc>
        <w:tc>
          <w:tcPr>
            <w:tcW w:w="5545" w:type="dxa"/>
            <w:gridSpan w:val="5"/>
            <w:tcBorders>
              <w:top w:val="single" w:sz="4" w:space="0" w:color="000000"/>
              <w:left w:val="single" w:sz="4" w:space="0" w:color="000000"/>
              <w:bottom w:val="single" w:sz="6" w:space="0" w:color="000000"/>
              <w:right w:val="single" w:sz="4" w:space="0" w:color="000000"/>
            </w:tcBorders>
            <w:vAlign w:val="center"/>
          </w:tcPr>
          <w:p w:rsidR="00D3044D" w:rsidRPr="00DC16A2" w:rsidRDefault="00D3044D">
            <w:pPr>
              <w:pStyle w:val="BTEMEASMCA"/>
              <w:rPr>
                <w:lang w:val="lt-LT"/>
              </w:rPr>
            </w:pPr>
            <w:r w:rsidRPr="00DC16A2">
              <w:rPr>
                <w:lang w:val="lt-LT"/>
              </w:rPr>
              <w:t>0,72</w:t>
            </w:r>
          </w:p>
          <w:p w:rsidR="00D3044D" w:rsidRPr="00DC16A2" w:rsidRDefault="00D3044D">
            <w:pPr>
              <w:pStyle w:val="BTEMEASMCA"/>
              <w:rPr>
                <w:lang w:val="lt-LT"/>
              </w:rPr>
            </w:pPr>
            <w:r w:rsidRPr="00DC16A2">
              <w:rPr>
                <w:lang w:val="lt-LT"/>
              </w:rPr>
              <w:t>(0,56–0,93)</w:t>
            </w:r>
          </w:p>
          <w:p w:rsidR="00D3044D" w:rsidRPr="00DC16A2" w:rsidRDefault="00D3044D">
            <w:pPr>
              <w:pStyle w:val="BTEMEASMCA"/>
              <w:rPr>
                <w:lang w:val="lt-LT"/>
              </w:rPr>
            </w:pPr>
            <w:r w:rsidRPr="00DC16A2">
              <w:rPr>
                <w:lang w:val="lt-LT"/>
              </w:rPr>
              <w:t>0,0128</w:t>
            </w:r>
          </w:p>
        </w:tc>
      </w:tr>
      <w:tr w:rsidR="00D3044D" w:rsidRPr="00D3044D" w:rsidTr="00E378C3">
        <w:trPr>
          <w:trHeight w:val="737"/>
        </w:trPr>
        <w:tc>
          <w:tcPr>
            <w:tcW w:w="3000" w:type="dxa"/>
            <w:vMerge w:val="restart"/>
            <w:tcBorders>
              <w:top w:val="single" w:sz="6" w:space="0" w:color="000000"/>
              <w:left w:val="single" w:sz="6" w:space="0" w:color="000000"/>
              <w:right w:val="single" w:sz="4" w:space="0" w:color="000000"/>
            </w:tcBorders>
          </w:tcPr>
          <w:p w:rsidR="00D3044D" w:rsidRPr="00DC16A2" w:rsidRDefault="00D3044D" w:rsidP="00732C31">
            <w:pPr>
              <w:pStyle w:val="BTEMEASMCA"/>
              <w:rPr>
                <w:lang w:val="lt-LT"/>
              </w:rPr>
            </w:pPr>
            <w:r w:rsidRPr="00DC16A2">
              <w:rPr>
                <w:lang w:val="lt-LT"/>
              </w:rPr>
              <w:t xml:space="preserve">Geriausias bendras atsako į chemoterapiją dažnis (%) </w:t>
            </w:r>
          </w:p>
          <w:p w:rsidR="00D3044D" w:rsidRPr="00DC16A2" w:rsidRDefault="00D3044D" w:rsidP="00732C31">
            <w:pPr>
              <w:pStyle w:val="BTEMEASMCA"/>
              <w:rPr>
                <w:lang w:val="lt-LT"/>
              </w:rPr>
            </w:pPr>
            <w:r w:rsidRPr="00DC16A2">
              <w:rPr>
                <w:lang w:val="lt-LT"/>
              </w:rPr>
              <w:t xml:space="preserve">(95 % PI) </w:t>
            </w:r>
          </w:p>
          <w:p w:rsidR="00D3044D" w:rsidRPr="00DC16A2" w:rsidRDefault="00D3044D" w:rsidP="00732C31">
            <w:pPr>
              <w:pStyle w:val="BTEMEASMCA"/>
              <w:rPr>
                <w:lang w:val="lt-LT"/>
              </w:rPr>
            </w:pPr>
            <w:r w:rsidRPr="00DC16A2">
              <w:rPr>
                <w:lang w:val="lt-LT"/>
              </w:rPr>
              <w:t xml:space="preserve">***p reikšmė </w:t>
            </w:r>
          </w:p>
        </w:tc>
        <w:tc>
          <w:tcPr>
            <w:tcW w:w="2058" w:type="dxa"/>
            <w:tcBorders>
              <w:top w:val="single" w:sz="6" w:space="0" w:color="000000"/>
              <w:left w:val="single" w:sz="4" w:space="0" w:color="000000"/>
              <w:bottom w:val="single" w:sz="4" w:space="0" w:color="000000"/>
            </w:tcBorders>
            <w:vAlign w:val="bottom"/>
          </w:tcPr>
          <w:p w:rsidR="00D3044D" w:rsidRPr="00DC16A2" w:rsidRDefault="00D3044D" w:rsidP="00E378C3">
            <w:pPr>
              <w:pStyle w:val="BTEMEASMCA"/>
              <w:rPr>
                <w:lang w:val="lt-LT"/>
              </w:rPr>
            </w:pPr>
            <w:r w:rsidRPr="00DC16A2">
              <w:rPr>
                <w:lang w:val="lt-LT"/>
              </w:rPr>
              <w:t>67,8</w:t>
            </w:r>
          </w:p>
          <w:p w:rsidR="00D3044D" w:rsidRPr="00DC16A2" w:rsidRDefault="00D3044D" w:rsidP="00E378C3">
            <w:pPr>
              <w:pStyle w:val="BTEMEASMCA"/>
              <w:rPr>
                <w:lang w:val="lt-LT"/>
              </w:rPr>
            </w:pPr>
            <w:r w:rsidRPr="00DC16A2">
              <w:rPr>
                <w:lang w:val="lt-LT"/>
              </w:rPr>
              <w:t>(60,4–74,6)</w:t>
            </w:r>
          </w:p>
        </w:tc>
        <w:tc>
          <w:tcPr>
            <w:tcW w:w="639" w:type="dxa"/>
            <w:tcBorders>
              <w:top w:val="single" w:sz="6" w:space="0" w:color="000000"/>
              <w:bottom w:val="single" w:sz="4" w:space="0" w:color="000000"/>
              <w:right w:val="single" w:sz="4" w:space="0" w:color="000000"/>
            </w:tcBorders>
            <w:vAlign w:val="bottom"/>
          </w:tcPr>
          <w:p w:rsidR="00D3044D" w:rsidRPr="00DC16A2" w:rsidRDefault="00D3044D" w:rsidP="00E378C3">
            <w:pPr>
              <w:pStyle w:val="BTEMEASMCA"/>
              <w:rPr>
                <w:lang w:val="lt-LT"/>
              </w:rPr>
            </w:pPr>
          </w:p>
        </w:tc>
        <w:tc>
          <w:tcPr>
            <w:tcW w:w="745" w:type="dxa"/>
            <w:gridSpan w:val="2"/>
            <w:tcBorders>
              <w:top w:val="single" w:sz="6" w:space="0" w:color="000000"/>
              <w:left w:val="single" w:sz="4" w:space="0" w:color="000000"/>
              <w:bottom w:val="single" w:sz="4" w:space="0" w:color="000000"/>
            </w:tcBorders>
            <w:vAlign w:val="bottom"/>
          </w:tcPr>
          <w:p w:rsidR="00D3044D" w:rsidRPr="00DC16A2" w:rsidRDefault="00D3044D" w:rsidP="00E378C3">
            <w:pPr>
              <w:pStyle w:val="BTEMEASMCA"/>
              <w:rPr>
                <w:lang w:val="lt-LT"/>
              </w:rPr>
            </w:pPr>
          </w:p>
        </w:tc>
        <w:tc>
          <w:tcPr>
            <w:tcW w:w="2103" w:type="dxa"/>
            <w:tcBorders>
              <w:top w:val="single" w:sz="6" w:space="0" w:color="000000"/>
              <w:bottom w:val="single" w:sz="4" w:space="0" w:color="000000"/>
              <w:right w:val="single" w:sz="4" w:space="0" w:color="000000"/>
            </w:tcBorders>
            <w:vAlign w:val="bottom"/>
          </w:tcPr>
          <w:p w:rsidR="00D3044D" w:rsidRPr="00DC16A2" w:rsidRDefault="00D3044D" w:rsidP="00E378C3">
            <w:pPr>
              <w:pStyle w:val="BTEMEASMCA"/>
              <w:rPr>
                <w:lang w:val="lt-LT"/>
              </w:rPr>
            </w:pPr>
            <w:r w:rsidRPr="00DC16A2">
              <w:rPr>
                <w:lang w:val="lt-LT"/>
              </w:rPr>
              <w:t>53.6</w:t>
            </w:r>
          </w:p>
          <w:p w:rsidR="00D3044D" w:rsidRPr="00DC16A2" w:rsidRDefault="00D3044D" w:rsidP="00E378C3">
            <w:pPr>
              <w:pStyle w:val="BTEMEASMCA"/>
              <w:rPr>
                <w:lang w:val="lt-LT"/>
              </w:rPr>
            </w:pPr>
            <w:r w:rsidRPr="00DC16A2">
              <w:rPr>
                <w:lang w:val="lt-LT"/>
              </w:rPr>
              <w:t>(46,0–61,0)</w:t>
            </w:r>
          </w:p>
        </w:tc>
      </w:tr>
      <w:tr w:rsidR="00D3044D" w:rsidRPr="00D3044D" w:rsidTr="00E378C3">
        <w:trPr>
          <w:trHeight w:val="276"/>
        </w:trPr>
        <w:tc>
          <w:tcPr>
            <w:tcW w:w="3000" w:type="dxa"/>
            <w:vMerge/>
            <w:tcBorders>
              <w:left w:val="single" w:sz="6" w:space="0" w:color="000000"/>
              <w:bottom w:val="single" w:sz="4" w:space="0" w:color="000000"/>
              <w:right w:val="single" w:sz="4" w:space="0" w:color="000000"/>
            </w:tcBorders>
          </w:tcPr>
          <w:p w:rsidR="00D3044D" w:rsidRPr="00DC16A2" w:rsidRDefault="00D3044D">
            <w:pPr>
              <w:pStyle w:val="BTEMEASMCA"/>
              <w:rPr>
                <w:lang w:val="lt-LT"/>
              </w:rPr>
            </w:pPr>
          </w:p>
        </w:tc>
        <w:tc>
          <w:tcPr>
            <w:tcW w:w="2058" w:type="dxa"/>
            <w:tcBorders>
              <w:top w:val="single" w:sz="4" w:space="0" w:color="000000"/>
              <w:left w:val="single" w:sz="4" w:space="0" w:color="000000"/>
              <w:bottom w:val="single" w:sz="4" w:space="0" w:color="000000"/>
            </w:tcBorders>
            <w:vAlign w:val="center"/>
          </w:tcPr>
          <w:p w:rsidR="00D3044D" w:rsidRPr="00DC16A2" w:rsidRDefault="00D3044D">
            <w:pPr>
              <w:pStyle w:val="BTEMEASMCA"/>
              <w:rPr>
                <w:lang w:val="lt-LT"/>
              </w:rPr>
            </w:pPr>
          </w:p>
        </w:tc>
        <w:tc>
          <w:tcPr>
            <w:tcW w:w="1384" w:type="dxa"/>
            <w:gridSpan w:val="3"/>
            <w:tcBorders>
              <w:top w:val="single" w:sz="4" w:space="0" w:color="000000"/>
              <w:bottom w:val="single" w:sz="4" w:space="0" w:color="000000"/>
            </w:tcBorders>
            <w:vAlign w:val="center"/>
          </w:tcPr>
          <w:p w:rsidR="00D3044D" w:rsidRPr="00DC16A2" w:rsidRDefault="00D3044D">
            <w:pPr>
              <w:pStyle w:val="BTEMEASMCA"/>
              <w:rPr>
                <w:lang w:val="lt-LT"/>
              </w:rPr>
            </w:pPr>
            <w:r w:rsidRPr="00DC16A2">
              <w:rPr>
                <w:lang w:val="lt-LT"/>
              </w:rPr>
              <w:t>0,006</w:t>
            </w:r>
          </w:p>
        </w:tc>
        <w:tc>
          <w:tcPr>
            <w:tcW w:w="2103" w:type="dxa"/>
            <w:tcBorders>
              <w:top w:val="single" w:sz="4" w:space="0" w:color="000000"/>
              <w:bottom w:val="single" w:sz="4" w:space="0" w:color="000000"/>
              <w:right w:val="single" w:sz="4" w:space="0" w:color="000000"/>
            </w:tcBorders>
            <w:vAlign w:val="center"/>
          </w:tcPr>
          <w:p w:rsidR="00D3044D" w:rsidRPr="00DC16A2" w:rsidRDefault="00D3044D">
            <w:pPr>
              <w:pStyle w:val="BTEMEASMCA"/>
              <w:rPr>
                <w:lang w:val="lt-LT"/>
              </w:rPr>
            </w:pPr>
          </w:p>
        </w:tc>
      </w:tr>
      <w:tr w:rsidR="00D3044D" w:rsidRPr="00D3044D" w:rsidTr="00E378C3">
        <w:trPr>
          <w:trHeight w:val="1219"/>
        </w:trPr>
        <w:tc>
          <w:tcPr>
            <w:tcW w:w="3000" w:type="dxa"/>
            <w:vMerge w:val="restart"/>
            <w:tcBorders>
              <w:top w:val="single" w:sz="4" w:space="0" w:color="000000"/>
              <w:left w:val="single" w:sz="6" w:space="0" w:color="000000"/>
              <w:right w:val="single" w:sz="4" w:space="0" w:color="000000"/>
            </w:tcBorders>
          </w:tcPr>
          <w:p w:rsidR="00D3044D" w:rsidRPr="00DC16A2" w:rsidRDefault="00D3044D" w:rsidP="00732C31">
            <w:pPr>
              <w:pStyle w:val="BTEMEASMCA"/>
              <w:rPr>
                <w:lang w:val="lt-LT"/>
              </w:rPr>
            </w:pPr>
            <w:r w:rsidRPr="00DC16A2">
              <w:rPr>
                <w:lang w:val="lt-LT"/>
              </w:rPr>
              <w:t xml:space="preserve">Geriausias bendras atsakas į tyrimo metu taikytą gydymą </w:t>
            </w:r>
          </w:p>
          <w:p w:rsidR="00E378C3" w:rsidRPr="00DC16A2" w:rsidRDefault="00D3044D" w:rsidP="00732C31">
            <w:pPr>
              <w:pStyle w:val="BTEMEASMCA"/>
              <w:rPr>
                <w:lang w:val="lt-LT"/>
              </w:rPr>
            </w:pPr>
            <w:r w:rsidRPr="00DC16A2">
              <w:rPr>
                <w:lang w:val="lt-LT"/>
              </w:rPr>
              <w:t>(chemoterapija +/- radioterapija) (%)</w:t>
            </w:r>
          </w:p>
          <w:p w:rsidR="00E378C3" w:rsidRPr="00DC16A2" w:rsidRDefault="00D3044D" w:rsidP="00732C31">
            <w:pPr>
              <w:pStyle w:val="BTEMEASMCA"/>
              <w:rPr>
                <w:lang w:val="lt-LT"/>
              </w:rPr>
            </w:pPr>
            <w:r w:rsidRPr="00DC16A2">
              <w:rPr>
                <w:lang w:val="lt-LT"/>
              </w:rPr>
              <w:lastRenderedPageBreak/>
              <w:t xml:space="preserve">(95 % PI) </w:t>
            </w:r>
          </w:p>
          <w:p w:rsidR="00D3044D" w:rsidRPr="00DC16A2" w:rsidRDefault="00D3044D" w:rsidP="00732C31">
            <w:pPr>
              <w:pStyle w:val="BTEMEASMCA"/>
              <w:rPr>
                <w:lang w:val="lt-LT"/>
              </w:rPr>
            </w:pPr>
            <w:r w:rsidRPr="00DC16A2">
              <w:rPr>
                <w:lang w:val="lt-LT"/>
              </w:rPr>
              <w:t xml:space="preserve">***p reikšmė </w:t>
            </w:r>
          </w:p>
        </w:tc>
        <w:tc>
          <w:tcPr>
            <w:tcW w:w="2058" w:type="dxa"/>
            <w:tcBorders>
              <w:top w:val="single" w:sz="4" w:space="0" w:color="000000"/>
              <w:left w:val="single" w:sz="4" w:space="0" w:color="000000"/>
              <w:bottom w:val="single" w:sz="4" w:space="0" w:color="000000"/>
            </w:tcBorders>
            <w:vAlign w:val="bottom"/>
          </w:tcPr>
          <w:p w:rsidR="00D3044D" w:rsidRPr="00DC16A2" w:rsidRDefault="00D3044D" w:rsidP="00E378C3">
            <w:pPr>
              <w:pStyle w:val="BTEMEASMCA"/>
              <w:rPr>
                <w:lang w:val="lt-LT"/>
              </w:rPr>
            </w:pPr>
            <w:r w:rsidRPr="00DC16A2">
              <w:rPr>
                <w:lang w:val="lt-LT"/>
              </w:rPr>
              <w:lastRenderedPageBreak/>
              <w:t>72,3</w:t>
            </w:r>
          </w:p>
          <w:p w:rsidR="00D3044D" w:rsidRPr="00DC16A2" w:rsidRDefault="00D3044D" w:rsidP="00E378C3">
            <w:pPr>
              <w:pStyle w:val="BTEMEASMCA"/>
              <w:rPr>
                <w:lang w:val="lt-LT"/>
              </w:rPr>
            </w:pPr>
            <w:r w:rsidRPr="00DC16A2">
              <w:rPr>
                <w:lang w:val="lt-LT"/>
              </w:rPr>
              <w:t>(65,1–78,8)</w:t>
            </w:r>
          </w:p>
        </w:tc>
        <w:tc>
          <w:tcPr>
            <w:tcW w:w="639" w:type="dxa"/>
            <w:tcBorders>
              <w:top w:val="single" w:sz="4" w:space="0" w:color="000000"/>
              <w:bottom w:val="single" w:sz="4" w:space="0" w:color="000000"/>
              <w:right w:val="single" w:sz="4" w:space="0" w:color="000000"/>
            </w:tcBorders>
            <w:vAlign w:val="bottom"/>
          </w:tcPr>
          <w:p w:rsidR="00D3044D" w:rsidRPr="00DC16A2" w:rsidRDefault="00D3044D" w:rsidP="00E378C3">
            <w:pPr>
              <w:pStyle w:val="BTEMEASMCA"/>
              <w:rPr>
                <w:lang w:val="lt-LT"/>
              </w:rPr>
            </w:pPr>
          </w:p>
        </w:tc>
        <w:tc>
          <w:tcPr>
            <w:tcW w:w="745" w:type="dxa"/>
            <w:gridSpan w:val="2"/>
            <w:tcBorders>
              <w:top w:val="single" w:sz="4" w:space="0" w:color="000000"/>
              <w:left w:val="single" w:sz="4" w:space="0" w:color="000000"/>
              <w:bottom w:val="single" w:sz="4" w:space="0" w:color="000000"/>
            </w:tcBorders>
            <w:vAlign w:val="bottom"/>
          </w:tcPr>
          <w:p w:rsidR="00D3044D" w:rsidRPr="00DC16A2" w:rsidRDefault="00D3044D" w:rsidP="00E378C3">
            <w:pPr>
              <w:pStyle w:val="BTEMEASMCA"/>
              <w:rPr>
                <w:lang w:val="lt-LT"/>
              </w:rPr>
            </w:pPr>
          </w:p>
        </w:tc>
        <w:tc>
          <w:tcPr>
            <w:tcW w:w="2103" w:type="dxa"/>
            <w:tcBorders>
              <w:top w:val="single" w:sz="4" w:space="0" w:color="000000"/>
              <w:bottom w:val="single" w:sz="4" w:space="0" w:color="000000"/>
              <w:right w:val="single" w:sz="4" w:space="0" w:color="000000"/>
            </w:tcBorders>
            <w:vAlign w:val="bottom"/>
          </w:tcPr>
          <w:p w:rsidR="00D3044D" w:rsidRPr="00DC16A2" w:rsidRDefault="00D3044D" w:rsidP="00E378C3">
            <w:pPr>
              <w:pStyle w:val="BTEMEASMCA"/>
              <w:rPr>
                <w:lang w:val="lt-LT"/>
              </w:rPr>
            </w:pPr>
            <w:r w:rsidRPr="00DC16A2">
              <w:rPr>
                <w:lang w:val="lt-LT"/>
              </w:rPr>
              <w:t>58.6</w:t>
            </w:r>
          </w:p>
          <w:p w:rsidR="00D3044D" w:rsidRPr="00DC16A2" w:rsidRDefault="00D3044D" w:rsidP="00E378C3">
            <w:pPr>
              <w:pStyle w:val="BTEMEASMCA"/>
              <w:rPr>
                <w:lang w:val="lt-LT"/>
              </w:rPr>
            </w:pPr>
            <w:r w:rsidRPr="00DC16A2">
              <w:rPr>
                <w:lang w:val="lt-LT"/>
              </w:rPr>
              <w:t>(51,0–65,8)</w:t>
            </w:r>
          </w:p>
        </w:tc>
      </w:tr>
      <w:tr w:rsidR="00D3044D" w:rsidRPr="00D3044D" w:rsidTr="00E378C3">
        <w:trPr>
          <w:trHeight w:val="346"/>
        </w:trPr>
        <w:tc>
          <w:tcPr>
            <w:tcW w:w="3000" w:type="dxa"/>
            <w:vMerge/>
            <w:tcBorders>
              <w:left w:val="single" w:sz="6" w:space="0" w:color="000000"/>
              <w:bottom w:val="single" w:sz="4" w:space="0" w:color="000000"/>
              <w:right w:val="single" w:sz="4" w:space="0" w:color="000000"/>
            </w:tcBorders>
          </w:tcPr>
          <w:p w:rsidR="00D3044D" w:rsidRPr="00DC16A2" w:rsidRDefault="00D3044D">
            <w:pPr>
              <w:pStyle w:val="BTEMEASMCA"/>
              <w:rPr>
                <w:lang w:val="lt-LT"/>
              </w:rPr>
            </w:pPr>
          </w:p>
        </w:tc>
        <w:tc>
          <w:tcPr>
            <w:tcW w:w="2058" w:type="dxa"/>
            <w:tcBorders>
              <w:top w:val="single" w:sz="4" w:space="0" w:color="000000"/>
              <w:left w:val="single" w:sz="4" w:space="0" w:color="000000"/>
              <w:bottom w:val="single" w:sz="4" w:space="0" w:color="000000"/>
            </w:tcBorders>
            <w:vAlign w:val="center"/>
          </w:tcPr>
          <w:p w:rsidR="00D3044D" w:rsidRPr="00DC16A2" w:rsidRDefault="00D3044D">
            <w:pPr>
              <w:pStyle w:val="BTEMEASMCA"/>
              <w:rPr>
                <w:lang w:val="lt-LT"/>
              </w:rPr>
            </w:pPr>
          </w:p>
        </w:tc>
        <w:tc>
          <w:tcPr>
            <w:tcW w:w="1384" w:type="dxa"/>
            <w:gridSpan w:val="3"/>
            <w:tcBorders>
              <w:top w:val="single" w:sz="4" w:space="0" w:color="000000"/>
              <w:bottom w:val="single" w:sz="4" w:space="0" w:color="000000"/>
            </w:tcBorders>
            <w:vAlign w:val="center"/>
          </w:tcPr>
          <w:p w:rsidR="00D3044D" w:rsidRPr="00DC16A2" w:rsidRDefault="00D3044D">
            <w:pPr>
              <w:pStyle w:val="BTEMEASMCA"/>
              <w:rPr>
                <w:lang w:val="lt-LT"/>
              </w:rPr>
            </w:pPr>
            <w:r w:rsidRPr="00DC16A2">
              <w:rPr>
                <w:lang w:val="lt-LT"/>
              </w:rPr>
              <w:t>0,006</w:t>
            </w:r>
          </w:p>
        </w:tc>
        <w:tc>
          <w:tcPr>
            <w:tcW w:w="2103" w:type="dxa"/>
            <w:tcBorders>
              <w:top w:val="single" w:sz="4" w:space="0" w:color="000000"/>
              <w:bottom w:val="single" w:sz="4" w:space="0" w:color="000000"/>
              <w:right w:val="single" w:sz="4" w:space="0" w:color="000000"/>
            </w:tcBorders>
            <w:vAlign w:val="center"/>
          </w:tcPr>
          <w:p w:rsidR="00D3044D" w:rsidRPr="00DC16A2" w:rsidRDefault="00D3044D">
            <w:pPr>
              <w:pStyle w:val="BTEMEASMCA"/>
              <w:rPr>
                <w:lang w:val="lt-LT"/>
              </w:rPr>
            </w:pPr>
          </w:p>
        </w:tc>
      </w:tr>
      <w:tr w:rsidR="00D3044D" w:rsidRPr="00D3044D" w:rsidTr="00E378C3">
        <w:trPr>
          <w:trHeight w:val="1174"/>
        </w:trPr>
        <w:tc>
          <w:tcPr>
            <w:tcW w:w="3000" w:type="dxa"/>
            <w:vMerge w:val="restart"/>
            <w:tcBorders>
              <w:top w:val="single" w:sz="4" w:space="0" w:color="000000"/>
              <w:left w:val="single" w:sz="6" w:space="0" w:color="000000"/>
              <w:right w:val="single" w:sz="4" w:space="0" w:color="000000"/>
            </w:tcBorders>
          </w:tcPr>
          <w:p w:rsidR="00D3044D" w:rsidRPr="00DC16A2" w:rsidRDefault="00D3044D" w:rsidP="00732C31">
            <w:pPr>
              <w:pStyle w:val="BTEMEASMCA"/>
              <w:rPr>
                <w:lang w:val="lt-LT"/>
              </w:rPr>
            </w:pPr>
            <w:r w:rsidRPr="00DC16A2">
              <w:rPr>
                <w:lang w:val="lt-LT"/>
              </w:rPr>
              <w:lastRenderedPageBreak/>
              <w:t>Atsako į chemoterapiją ± radioterapiją trukmės vidurkis (mėn</w:t>
            </w:r>
            <w:r w:rsidR="004D695A" w:rsidRPr="00DC16A2">
              <w:rPr>
                <w:lang w:val="lt-LT"/>
              </w:rPr>
              <w:t>.</w:t>
            </w:r>
            <w:r w:rsidRPr="00DC16A2">
              <w:rPr>
                <w:lang w:val="lt-LT"/>
              </w:rPr>
              <w:t xml:space="preserve">) </w:t>
            </w:r>
          </w:p>
          <w:p w:rsidR="00D3044D" w:rsidRPr="00DC16A2" w:rsidRDefault="00D3044D" w:rsidP="00732C31">
            <w:pPr>
              <w:pStyle w:val="BTEMEASMCA"/>
              <w:rPr>
                <w:lang w:val="lt-LT"/>
              </w:rPr>
            </w:pPr>
            <w:r w:rsidRPr="00DC16A2">
              <w:rPr>
                <w:lang w:val="lt-LT"/>
              </w:rPr>
              <w:t xml:space="preserve">(95 % PI) </w:t>
            </w:r>
          </w:p>
          <w:p w:rsidR="00E378C3" w:rsidRPr="00DC16A2" w:rsidRDefault="00E378C3" w:rsidP="00732C31">
            <w:pPr>
              <w:pStyle w:val="BTEMEASMCA"/>
              <w:rPr>
                <w:lang w:val="lt-LT"/>
              </w:rPr>
            </w:pPr>
          </w:p>
          <w:p w:rsidR="00D3044D" w:rsidRPr="00DC16A2" w:rsidRDefault="00D3044D" w:rsidP="00732C31">
            <w:pPr>
              <w:pStyle w:val="BTEMEASMCA"/>
              <w:rPr>
                <w:lang w:val="lt-LT"/>
              </w:rPr>
            </w:pPr>
            <w:r w:rsidRPr="00DC16A2">
              <w:rPr>
                <w:lang w:val="lt-LT"/>
              </w:rPr>
              <w:t xml:space="preserve">Santykinė rizika </w:t>
            </w:r>
          </w:p>
          <w:p w:rsidR="00D3044D" w:rsidRPr="00DC16A2" w:rsidRDefault="00D3044D" w:rsidP="00732C31">
            <w:pPr>
              <w:pStyle w:val="BTEMEASMCA"/>
              <w:rPr>
                <w:lang w:val="lt-LT"/>
              </w:rPr>
            </w:pPr>
            <w:r w:rsidRPr="00DC16A2">
              <w:rPr>
                <w:lang w:val="lt-LT"/>
              </w:rPr>
              <w:t xml:space="preserve">(95 % PI) </w:t>
            </w:r>
          </w:p>
          <w:p w:rsidR="00D3044D" w:rsidRPr="00DC16A2" w:rsidRDefault="00D3044D" w:rsidP="00732C31">
            <w:pPr>
              <w:pStyle w:val="BTEMEASMCA"/>
              <w:rPr>
                <w:lang w:val="lt-LT"/>
              </w:rPr>
            </w:pPr>
            <w:r w:rsidRPr="00DC16A2">
              <w:rPr>
                <w:lang w:val="lt-LT"/>
              </w:rPr>
              <w:t xml:space="preserve">**p reikšmė </w:t>
            </w:r>
          </w:p>
        </w:tc>
        <w:tc>
          <w:tcPr>
            <w:tcW w:w="2058" w:type="dxa"/>
            <w:tcBorders>
              <w:top w:val="single" w:sz="4" w:space="0" w:color="000000"/>
              <w:left w:val="single" w:sz="4" w:space="0" w:color="000000"/>
              <w:bottom w:val="single" w:sz="4" w:space="0" w:color="000000"/>
            </w:tcBorders>
            <w:vAlign w:val="center"/>
          </w:tcPr>
          <w:p w:rsidR="00D3044D" w:rsidRPr="00DC16A2" w:rsidRDefault="00D3044D" w:rsidP="00732C31">
            <w:pPr>
              <w:pStyle w:val="BTEMEASMCA"/>
              <w:rPr>
                <w:lang w:val="lt-LT"/>
              </w:rPr>
            </w:pPr>
            <w:r w:rsidRPr="00DC16A2">
              <w:rPr>
                <w:lang w:val="lt-LT"/>
              </w:rPr>
              <w:t>n = 128</w:t>
            </w:r>
          </w:p>
          <w:p w:rsidR="00D3044D" w:rsidRPr="00DC16A2" w:rsidRDefault="00D3044D" w:rsidP="00732C31">
            <w:pPr>
              <w:pStyle w:val="BTEMEASMCA"/>
              <w:rPr>
                <w:lang w:val="lt-LT"/>
              </w:rPr>
            </w:pPr>
            <w:r w:rsidRPr="00DC16A2">
              <w:rPr>
                <w:lang w:val="lt-LT"/>
              </w:rPr>
              <w:t>15,7</w:t>
            </w:r>
          </w:p>
          <w:p w:rsidR="00D3044D" w:rsidRPr="00DC16A2" w:rsidRDefault="00D3044D" w:rsidP="00732C31">
            <w:pPr>
              <w:pStyle w:val="BTEMEASMCA"/>
              <w:rPr>
                <w:lang w:val="lt-LT"/>
              </w:rPr>
            </w:pPr>
            <w:r w:rsidRPr="00DC16A2">
              <w:rPr>
                <w:lang w:val="lt-LT"/>
              </w:rPr>
              <w:t>(13,4–24,6)</w:t>
            </w:r>
          </w:p>
        </w:tc>
        <w:tc>
          <w:tcPr>
            <w:tcW w:w="639" w:type="dxa"/>
            <w:tcBorders>
              <w:top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p>
        </w:tc>
        <w:tc>
          <w:tcPr>
            <w:tcW w:w="745" w:type="dxa"/>
            <w:gridSpan w:val="2"/>
            <w:tcBorders>
              <w:top w:val="single" w:sz="4" w:space="0" w:color="000000"/>
              <w:left w:val="single" w:sz="4" w:space="0" w:color="000000"/>
              <w:bottom w:val="single" w:sz="4" w:space="0" w:color="000000"/>
            </w:tcBorders>
            <w:vAlign w:val="center"/>
          </w:tcPr>
          <w:p w:rsidR="00D3044D" w:rsidRPr="00DC16A2" w:rsidRDefault="00D3044D" w:rsidP="00732C31">
            <w:pPr>
              <w:pStyle w:val="BTEMEASMCA"/>
              <w:rPr>
                <w:lang w:val="lt-LT"/>
              </w:rPr>
            </w:pPr>
          </w:p>
        </w:tc>
        <w:tc>
          <w:tcPr>
            <w:tcW w:w="2103" w:type="dxa"/>
            <w:tcBorders>
              <w:top w:val="single" w:sz="4" w:space="0" w:color="000000"/>
              <w:bottom w:val="single" w:sz="4" w:space="0" w:color="000000"/>
              <w:right w:val="single" w:sz="4" w:space="0" w:color="000000"/>
            </w:tcBorders>
            <w:vAlign w:val="center"/>
          </w:tcPr>
          <w:p w:rsidR="00D3044D" w:rsidRPr="00DC16A2" w:rsidRDefault="00D3044D" w:rsidP="00732C31">
            <w:pPr>
              <w:pStyle w:val="BTEMEASMCA"/>
              <w:rPr>
                <w:lang w:val="lt-LT"/>
              </w:rPr>
            </w:pPr>
            <w:r w:rsidRPr="00DC16A2">
              <w:rPr>
                <w:lang w:val="lt-LT"/>
              </w:rPr>
              <w:t>n = 106</w:t>
            </w:r>
          </w:p>
          <w:p w:rsidR="00D3044D" w:rsidRPr="00DC16A2" w:rsidRDefault="00D3044D" w:rsidP="00732C31">
            <w:pPr>
              <w:pStyle w:val="BTEMEASMCA"/>
              <w:rPr>
                <w:lang w:val="lt-LT"/>
              </w:rPr>
            </w:pPr>
            <w:r w:rsidRPr="00DC16A2">
              <w:rPr>
                <w:lang w:val="lt-LT"/>
              </w:rPr>
              <w:t>11,7</w:t>
            </w:r>
          </w:p>
          <w:p w:rsidR="00D3044D" w:rsidRPr="00DC16A2" w:rsidRDefault="00D3044D" w:rsidP="00732C31">
            <w:pPr>
              <w:pStyle w:val="BTEMEASMCA"/>
              <w:rPr>
                <w:lang w:val="lt-LT"/>
              </w:rPr>
            </w:pPr>
            <w:r w:rsidRPr="00DC16A2">
              <w:rPr>
                <w:lang w:val="lt-LT"/>
              </w:rPr>
              <w:t>(10,2–17,4)</w:t>
            </w:r>
          </w:p>
        </w:tc>
      </w:tr>
      <w:tr w:rsidR="00D3044D" w:rsidRPr="00D3044D" w:rsidTr="00E378C3">
        <w:trPr>
          <w:trHeight w:val="131"/>
        </w:trPr>
        <w:tc>
          <w:tcPr>
            <w:tcW w:w="3000" w:type="dxa"/>
            <w:vMerge/>
            <w:tcBorders>
              <w:left w:val="single" w:sz="6" w:space="0" w:color="000000"/>
              <w:right w:val="single" w:sz="4" w:space="0" w:color="000000"/>
            </w:tcBorders>
          </w:tcPr>
          <w:p w:rsidR="00D3044D" w:rsidRPr="00DC16A2" w:rsidRDefault="00D3044D">
            <w:pPr>
              <w:pStyle w:val="BTEMEASMCA"/>
              <w:rPr>
                <w:lang w:val="lt-LT"/>
              </w:rPr>
            </w:pPr>
          </w:p>
        </w:tc>
        <w:tc>
          <w:tcPr>
            <w:tcW w:w="2058" w:type="dxa"/>
            <w:tcBorders>
              <w:top w:val="single" w:sz="4" w:space="0" w:color="000000"/>
              <w:left w:val="single" w:sz="4" w:space="0" w:color="000000"/>
            </w:tcBorders>
            <w:vAlign w:val="center"/>
          </w:tcPr>
          <w:p w:rsidR="00D3044D" w:rsidRPr="00DC16A2" w:rsidRDefault="00D3044D">
            <w:pPr>
              <w:pStyle w:val="BTEMEASMCA"/>
              <w:rPr>
                <w:lang w:val="lt-LT"/>
              </w:rPr>
            </w:pPr>
          </w:p>
        </w:tc>
        <w:tc>
          <w:tcPr>
            <w:tcW w:w="1384" w:type="dxa"/>
            <w:gridSpan w:val="3"/>
            <w:tcBorders>
              <w:top w:val="single" w:sz="4" w:space="0" w:color="000000"/>
            </w:tcBorders>
            <w:vAlign w:val="center"/>
          </w:tcPr>
          <w:p w:rsidR="00D3044D" w:rsidRPr="00DC16A2" w:rsidRDefault="00D3044D">
            <w:pPr>
              <w:pStyle w:val="BTEMEASMCA"/>
              <w:rPr>
                <w:lang w:val="lt-LT"/>
              </w:rPr>
            </w:pPr>
          </w:p>
        </w:tc>
        <w:tc>
          <w:tcPr>
            <w:tcW w:w="2103" w:type="dxa"/>
            <w:tcBorders>
              <w:top w:val="single" w:sz="4" w:space="0" w:color="000000"/>
              <w:right w:val="single" w:sz="4" w:space="0" w:color="000000"/>
            </w:tcBorders>
            <w:vAlign w:val="center"/>
          </w:tcPr>
          <w:p w:rsidR="00D3044D" w:rsidRPr="00DC16A2" w:rsidRDefault="00D3044D">
            <w:pPr>
              <w:pStyle w:val="BTEMEASMCA"/>
              <w:rPr>
                <w:lang w:val="lt-LT"/>
              </w:rPr>
            </w:pPr>
          </w:p>
        </w:tc>
      </w:tr>
      <w:tr w:rsidR="00D3044D" w:rsidRPr="00D3044D" w:rsidTr="00E378C3">
        <w:trPr>
          <w:trHeight w:val="137"/>
        </w:trPr>
        <w:tc>
          <w:tcPr>
            <w:tcW w:w="3000" w:type="dxa"/>
            <w:vMerge/>
            <w:tcBorders>
              <w:left w:val="single" w:sz="6" w:space="0" w:color="000000"/>
              <w:right w:val="single" w:sz="4" w:space="0" w:color="000000"/>
            </w:tcBorders>
            <w:vAlign w:val="center"/>
          </w:tcPr>
          <w:p w:rsidR="00D3044D" w:rsidRPr="00DC16A2" w:rsidRDefault="00D3044D">
            <w:pPr>
              <w:pStyle w:val="BTEMEASMCA"/>
              <w:rPr>
                <w:lang w:val="lt-LT"/>
              </w:rPr>
            </w:pPr>
          </w:p>
        </w:tc>
        <w:tc>
          <w:tcPr>
            <w:tcW w:w="2058" w:type="dxa"/>
            <w:tcBorders>
              <w:left w:val="single" w:sz="4" w:space="0" w:color="000000"/>
            </w:tcBorders>
            <w:vAlign w:val="center"/>
          </w:tcPr>
          <w:p w:rsidR="00D3044D" w:rsidRPr="00DC16A2" w:rsidRDefault="00D3044D">
            <w:pPr>
              <w:pStyle w:val="BTEMEASMCA"/>
              <w:rPr>
                <w:lang w:val="lt-LT"/>
              </w:rPr>
            </w:pPr>
          </w:p>
        </w:tc>
        <w:tc>
          <w:tcPr>
            <w:tcW w:w="1384" w:type="dxa"/>
            <w:gridSpan w:val="3"/>
            <w:vAlign w:val="center"/>
          </w:tcPr>
          <w:p w:rsidR="00E378C3" w:rsidRPr="00DC16A2" w:rsidRDefault="00E378C3">
            <w:pPr>
              <w:pStyle w:val="BTEMEASMCA"/>
              <w:rPr>
                <w:lang w:val="lt-LT"/>
              </w:rPr>
            </w:pPr>
            <w:r w:rsidRPr="00DC16A2">
              <w:rPr>
                <w:lang w:val="lt-LT"/>
              </w:rPr>
              <w:t xml:space="preserve">0,72 </w:t>
            </w:r>
          </w:p>
          <w:p w:rsidR="00D3044D" w:rsidRPr="00DC16A2" w:rsidRDefault="00D3044D">
            <w:pPr>
              <w:pStyle w:val="BTEMEASMCA"/>
              <w:rPr>
                <w:lang w:val="lt-LT"/>
              </w:rPr>
            </w:pPr>
            <w:r w:rsidRPr="00DC16A2">
              <w:rPr>
                <w:lang w:val="lt-LT"/>
              </w:rPr>
              <w:t>(0,52–0,99)</w:t>
            </w:r>
          </w:p>
        </w:tc>
        <w:tc>
          <w:tcPr>
            <w:tcW w:w="2103" w:type="dxa"/>
            <w:tcBorders>
              <w:right w:val="single" w:sz="4" w:space="0" w:color="000000"/>
            </w:tcBorders>
            <w:vAlign w:val="center"/>
          </w:tcPr>
          <w:p w:rsidR="00D3044D" w:rsidRPr="00DC16A2" w:rsidRDefault="00D3044D">
            <w:pPr>
              <w:pStyle w:val="BTEMEASMCA"/>
              <w:rPr>
                <w:lang w:val="lt-LT"/>
              </w:rPr>
            </w:pPr>
          </w:p>
        </w:tc>
      </w:tr>
      <w:tr w:rsidR="00D3044D" w:rsidRPr="00D3044D" w:rsidTr="00E378C3">
        <w:trPr>
          <w:trHeight w:val="285"/>
        </w:trPr>
        <w:tc>
          <w:tcPr>
            <w:tcW w:w="3000" w:type="dxa"/>
            <w:vMerge/>
            <w:tcBorders>
              <w:left w:val="single" w:sz="6" w:space="0" w:color="000000"/>
              <w:bottom w:val="single" w:sz="6" w:space="0" w:color="000000"/>
              <w:right w:val="single" w:sz="4" w:space="0" w:color="000000"/>
            </w:tcBorders>
          </w:tcPr>
          <w:p w:rsidR="00D3044D" w:rsidRPr="00DC16A2" w:rsidRDefault="00D3044D">
            <w:pPr>
              <w:pStyle w:val="BTEMEASMCA"/>
              <w:rPr>
                <w:lang w:val="lt-LT"/>
              </w:rPr>
            </w:pPr>
          </w:p>
        </w:tc>
        <w:tc>
          <w:tcPr>
            <w:tcW w:w="2058" w:type="dxa"/>
            <w:tcBorders>
              <w:left w:val="single" w:sz="4" w:space="0" w:color="000000"/>
              <w:bottom w:val="single" w:sz="6" w:space="0" w:color="000000"/>
            </w:tcBorders>
            <w:vAlign w:val="center"/>
          </w:tcPr>
          <w:p w:rsidR="00D3044D" w:rsidRPr="00DC16A2" w:rsidRDefault="00D3044D">
            <w:pPr>
              <w:pStyle w:val="BTEMEASMCA"/>
              <w:rPr>
                <w:lang w:val="lt-LT"/>
              </w:rPr>
            </w:pPr>
          </w:p>
        </w:tc>
        <w:tc>
          <w:tcPr>
            <w:tcW w:w="1384" w:type="dxa"/>
            <w:gridSpan w:val="3"/>
            <w:tcBorders>
              <w:bottom w:val="single" w:sz="6" w:space="0" w:color="000000"/>
            </w:tcBorders>
            <w:vAlign w:val="center"/>
          </w:tcPr>
          <w:p w:rsidR="00D3044D" w:rsidRPr="00DC16A2" w:rsidRDefault="00D3044D">
            <w:pPr>
              <w:pStyle w:val="BTEMEASMCA"/>
              <w:rPr>
                <w:lang w:val="lt-LT"/>
              </w:rPr>
            </w:pPr>
            <w:r w:rsidRPr="00DC16A2">
              <w:rPr>
                <w:lang w:val="lt-LT"/>
              </w:rPr>
              <w:t>0,0457</w:t>
            </w:r>
          </w:p>
        </w:tc>
        <w:tc>
          <w:tcPr>
            <w:tcW w:w="2103" w:type="dxa"/>
            <w:tcBorders>
              <w:bottom w:val="single" w:sz="6" w:space="0" w:color="000000"/>
              <w:right w:val="single" w:sz="4" w:space="0" w:color="000000"/>
            </w:tcBorders>
            <w:vAlign w:val="center"/>
          </w:tcPr>
          <w:p w:rsidR="00D3044D" w:rsidRPr="00DC16A2" w:rsidRDefault="00D3044D">
            <w:pPr>
              <w:pStyle w:val="BTEMEASMCA"/>
              <w:rPr>
                <w:lang w:val="lt-LT"/>
              </w:rPr>
            </w:pPr>
          </w:p>
        </w:tc>
      </w:tr>
    </w:tbl>
    <w:p w:rsidR="00D3044D" w:rsidRPr="00D3044D" w:rsidRDefault="00D3044D" w:rsidP="00732C31">
      <w:pPr>
        <w:pStyle w:val="BTEMEASMCA"/>
      </w:pPr>
      <w:r w:rsidRPr="00D3044D">
        <w:t xml:space="preserve">Docetakselis + cisplatina + 5-FU pranašumo rizikos santykis yra mažesnis nei 1 </w:t>
      </w:r>
    </w:p>
    <w:p w:rsidR="00D3044D" w:rsidRPr="00D3044D" w:rsidRDefault="00D3044D" w:rsidP="00732C31">
      <w:pPr>
        <w:pStyle w:val="BTEMEASMCA"/>
      </w:pPr>
      <w:r w:rsidRPr="00D3044D">
        <w:t xml:space="preserve">* Cox modelis (koreguojama atsižvelgiant į pirminio auglio vietą, T ir N klinikines stadijas ir PSWHO) </w:t>
      </w:r>
    </w:p>
    <w:p w:rsidR="00D3044D" w:rsidRPr="00D3044D" w:rsidRDefault="00D3044D" w:rsidP="00732C31">
      <w:pPr>
        <w:pStyle w:val="BTEMEASMCA"/>
      </w:pPr>
      <w:r w:rsidRPr="00D3044D">
        <w:t xml:space="preserve">** Logaritminio rango testas </w:t>
      </w:r>
    </w:p>
    <w:p w:rsidR="00D3044D" w:rsidRPr="00D3044D" w:rsidRDefault="00D3044D" w:rsidP="00732C31">
      <w:pPr>
        <w:pStyle w:val="BTEMEASMCA"/>
      </w:pPr>
      <w:r w:rsidRPr="00D3044D">
        <w:t xml:space="preserve">*** Chi kvadrato kriterijus </w:t>
      </w:r>
    </w:p>
    <w:p w:rsidR="00D3044D" w:rsidRPr="00D3044D" w:rsidRDefault="00D3044D" w:rsidP="00732C31">
      <w:pPr>
        <w:pStyle w:val="BTEMEASMCA"/>
      </w:pPr>
    </w:p>
    <w:p w:rsidR="00D3044D" w:rsidRPr="00D3044D" w:rsidRDefault="00D3044D" w:rsidP="00732C31">
      <w:pPr>
        <w:pStyle w:val="BTEMEASMCA"/>
      </w:pPr>
      <w:r w:rsidRPr="00D3044D">
        <w:t xml:space="preserve">Gyvenimo kokybės parametrai </w:t>
      </w:r>
    </w:p>
    <w:p w:rsidR="00D3044D" w:rsidRPr="00D3044D" w:rsidRDefault="00D3044D" w:rsidP="00732C31">
      <w:pPr>
        <w:pStyle w:val="BTEMEASMCA"/>
      </w:pPr>
      <w:r w:rsidRPr="00D3044D">
        <w:t xml:space="preserve">TPF grupės pacientams patikimai mažiau nei PF grupės ligoniams sumažėjo bendros sveikatos būklės įvertinimas (p = 0,01, naudota EORTC QLQ-C30 skalė). </w:t>
      </w:r>
    </w:p>
    <w:p w:rsidR="00D3044D" w:rsidRPr="00D3044D" w:rsidRDefault="00D3044D" w:rsidP="00732C31">
      <w:pPr>
        <w:pStyle w:val="BTEMEASMCA"/>
      </w:pPr>
    </w:p>
    <w:p w:rsidR="00D3044D" w:rsidRPr="00D3044D" w:rsidRDefault="00D3044D" w:rsidP="00732C31">
      <w:pPr>
        <w:pStyle w:val="BTEMEASMCA"/>
      </w:pPr>
      <w:r w:rsidRPr="00D3044D">
        <w:t xml:space="preserve">Klinikinio poveikio parametrai </w:t>
      </w:r>
    </w:p>
    <w:p w:rsidR="00D3044D" w:rsidRPr="00D3044D" w:rsidRDefault="00D3044D" w:rsidP="00732C31">
      <w:pPr>
        <w:pStyle w:val="BTEMEASMCA"/>
      </w:pPr>
      <w:r w:rsidRPr="00D3044D">
        <w:t xml:space="preserve">TPF grupės pacientų aktyvumo vertinimo skalės galvos ir kaklo būklę (kalbos suprantamumą, gebėjimą valgyti viešoje vietoje ir dietos normalumą) analizuojančios dalies (AVS-GK) įvertinimas buvo patikimai geresnis nei PF grupės ligoniams. Vidutinis laikas iki pirmojo aktyvumo būklės pagal PSO pablogėjimo buvo patikimai ilgesnis TPF grupėje, nei PF grupėje. Skausmo intensyvumas sumažėjo abejose gydymo grupėse, tai rodė gerą skausmo kontrolę. </w:t>
      </w:r>
    </w:p>
    <w:p w:rsidR="00D3044D" w:rsidRPr="00D3044D" w:rsidRDefault="00D3044D" w:rsidP="00732C31">
      <w:pPr>
        <w:pStyle w:val="BTEMEASMCA"/>
      </w:pPr>
    </w:p>
    <w:p w:rsidR="00D3044D" w:rsidRPr="00D3044D" w:rsidRDefault="00D3044D" w:rsidP="003171CB">
      <w:pPr>
        <w:pStyle w:val="BTEMEASMCA"/>
        <w:numPr>
          <w:ilvl w:val="0"/>
          <w:numId w:val="13"/>
        </w:numPr>
        <w:ind w:left="360"/>
      </w:pPr>
      <w:r w:rsidRPr="00D3044D">
        <w:t xml:space="preserve">Įvadinė chemoterapija, kai vėliau taikoma chemoterapija - spindulinė terapija (TAX 324) Docetakselio veiksmingumas bei saugumas vartojant įvadiniam vietiškai progresavusiu plokščialąsteliniu galvos ir kaklo vėžiu (PGKV) sergančių pacientų gydymui tirtas atsitiktinių imčių, daugiacentriame, atvirame, III fazės tyrime (TAX323). Šio tyrimo metu 501 lokaliai progresavusiu PGKV sirgęs pacientas, kurio aktyvumo būklė pagal PSO buvo 0 arba 1, buvo atsitiktinai atrinkti į vieną iš dviejų gydymo grupių. Tyrime dalyvavusiems pacientams naviko rezekcija buvo techniškai neįmanoma, chirurginio gydymo sėkmės tikimybė buvo labai maža, siekta išsaugoti organus. Veiksmingumas ir saugumas vertinti atsižvelgiant tik į išgyvenamumo vertinimo kriterijus, o organų išsaugojimas oficialiai nevertintas. Docetakselio grupės pacientams 1 dieną į veną buvo infuzija leidžiama 75 mg/m² docetakselio (T), po to 100 mg/m² cisplatinos (P) (intraveninės infuzijos trukmė 30 min. – 3 val.), po to 1–4 dieną nuolatine intravenine infuzija leista 5-fluorouracilo (F) (paros dozė 1 000 mg/m²). Tokie gydymo kursai kartoti kas tris savaites 3 kartus. Po to visiems pacientams, kuriems liga neprogresavo, skirta protokole numatyta chemoterapija bei gydymas spinduliais (TPF/CRT). Palyginamosios grupės pacientams 1 dieną į veną buvo infuzija leidžiama 100 mg/m² cisplatinos (P) (intraveninės infuzijos trukmė 30 min. – 3 val.), po to 1–5 dieną nuolat intravenine infuzija leista 5-fluorouracilo (F) (paros dozė 1 000 mg/m²). Tokie gydymo kursai kartoti kas tris savaites 3 kartus. Po to visiems pacientams, kuriems liga neprogresavo, skirta protokole numatyta chemoterapija bei gydymas spinduliais (PF/CRT). Baigus įvadinę chemoterapiją, mažiausiai po 3 savaičių, bet daugiausiai po 8 savaičių po paskutinio kurso pradžios (t. y. laikotarpiu nuo 22 iki 56 paskutinio kurso dienos) abiejų gydymo grupių pacientams 7 savaites taikytas gydymas pagal CRT schemą. Spindulinės terapijos metu kas savaitę per vieną valandą į veną būdavo sulašinama karboplatinos (AUC 1,5) (sulašinama daugiausiai 7 dozės). Radioterapijai buvo naudojama megavoltinė įranga, spinduliuota frakcijomis kartą per parą (2 Gy per parą, 5 dienas per savaitę, 7 savaites, suminė dozė 70–72 Gy). Baigus CRT, pirminė ligos vieta ir (arba) kaklas bet kuriuo metu galėjo būti operuojami. Visi docetakselio grupės pacientai profilaktiškai vartojo antibiotikų. Pagrindinis šio tyrimo veiksmingumo vertinimo kriterijus, bendras išgyvenamumas (BI), buvo patikimai ilgesnis docetakselio vartojusių pacientų grupėje (log-rank testas, p = 0,0058) nei PF grupėje (BI vidurkis atitinkamai 70,6 ir 30,1 mėnesio), o mirties rizika, palyginti su PF grupės pacientais, sumažėjo 30 % (rizikos koeficientas (RK) = </w:t>
      </w:r>
      <w:r w:rsidRPr="00D3044D">
        <w:lastRenderedPageBreak/>
        <w:t xml:space="preserve">0,70, 95 % pasitikėjimo intervalai (PI) = 0,54–0,90) (stebėjimo vidurkis buvo 41,9 mėnesio). Vertinant antrinį vertinimo kriterijų (IBLP) nustatyta, kad 29 % sumažėjo ligos progresavimo ir mirties rizika, o IBLP vidurkis pailgėjo 22 mėnesiais </w:t>
      </w:r>
    </w:p>
    <w:p w:rsidR="00D3044D" w:rsidRPr="00D3044D" w:rsidRDefault="00D3044D" w:rsidP="00732C31">
      <w:pPr>
        <w:pStyle w:val="BTEMEASMCA"/>
      </w:pPr>
      <w:r w:rsidRPr="00D3044D">
        <w:t xml:space="preserve">(35,5 mėnesio TPF grupėje ir 13,1 mėnesio PF grupėje). Skirtumas buvo statistiškai reikšmingas (RK 0,71; 95 % PI 0,56–0,90; log-rank testo p = 0,004). Gydymo veiksmingumo duomenys apibendrinami toliau pateiktoje lentelėje: </w:t>
      </w:r>
    </w:p>
    <w:p w:rsidR="00D3044D" w:rsidRPr="00D3044D" w:rsidRDefault="00D3044D" w:rsidP="00732C31">
      <w:pPr>
        <w:pStyle w:val="BTEMEASMCA"/>
      </w:pPr>
    </w:p>
    <w:p w:rsidR="00D3044D" w:rsidRPr="00D3044D" w:rsidRDefault="00D3044D" w:rsidP="00732C31">
      <w:pPr>
        <w:pStyle w:val="BTEMEASMCA"/>
      </w:pPr>
      <w:r w:rsidRPr="00D3044D">
        <w:t xml:space="preserve">Docetakselio veiksmingumas skiriant įvadiniam lokaliai progresavusio PGKV gydymui (visų gydytų pacientų analizė) </w:t>
      </w:r>
    </w:p>
    <w:p w:rsidR="00D3044D" w:rsidRPr="00D3044D" w:rsidRDefault="00D3044D" w:rsidP="00732C31">
      <w:pPr>
        <w:pStyle w:val="BTEMEASMCA"/>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2"/>
        <w:gridCol w:w="2845"/>
        <w:gridCol w:w="705"/>
        <w:gridCol w:w="6"/>
        <w:gridCol w:w="2790"/>
      </w:tblGrid>
      <w:tr w:rsidR="00D3044D" w:rsidRPr="00D3044D" w:rsidTr="00D86DE5">
        <w:trPr>
          <w:trHeight w:val="286"/>
        </w:trPr>
        <w:tc>
          <w:tcPr>
            <w:tcW w:w="2852" w:type="dxa"/>
          </w:tcPr>
          <w:p w:rsidR="00D3044D" w:rsidRPr="00DC16A2" w:rsidRDefault="00D3044D" w:rsidP="00732C31">
            <w:pPr>
              <w:pStyle w:val="BTEMEASMCA"/>
              <w:rPr>
                <w:lang w:val="lt-LT"/>
              </w:rPr>
            </w:pPr>
            <w:r w:rsidRPr="00DC16A2">
              <w:rPr>
                <w:lang w:val="lt-LT"/>
              </w:rPr>
              <w:t xml:space="preserve">Vertinimo kriterijus </w:t>
            </w:r>
          </w:p>
        </w:tc>
        <w:tc>
          <w:tcPr>
            <w:tcW w:w="2845" w:type="dxa"/>
            <w:vAlign w:val="center"/>
          </w:tcPr>
          <w:p w:rsidR="00D3044D" w:rsidRPr="00DC16A2" w:rsidRDefault="00D3044D" w:rsidP="00732C31">
            <w:pPr>
              <w:pStyle w:val="BTEMEASMCA"/>
              <w:rPr>
                <w:lang w:val="lt-LT"/>
              </w:rPr>
            </w:pPr>
            <w:r w:rsidRPr="00DC16A2">
              <w:rPr>
                <w:lang w:val="lt-LT"/>
              </w:rPr>
              <w:t>Docetakselis + Cis + 5-FU</w:t>
            </w:r>
          </w:p>
          <w:p w:rsidR="00D3044D" w:rsidRPr="00DC16A2" w:rsidRDefault="00D3044D" w:rsidP="00732C31">
            <w:pPr>
              <w:pStyle w:val="BTEMEASMCA"/>
              <w:rPr>
                <w:lang w:val="lt-LT"/>
              </w:rPr>
            </w:pPr>
            <w:r w:rsidRPr="00DC16A2">
              <w:rPr>
                <w:lang w:val="lt-LT"/>
              </w:rPr>
              <w:t>n = 255</w:t>
            </w:r>
          </w:p>
        </w:tc>
        <w:tc>
          <w:tcPr>
            <w:tcW w:w="705" w:type="dxa"/>
            <w:vAlign w:val="center"/>
          </w:tcPr>
          <w:p w:rsidR="00D3044D" w:rsidRPr="00DC16A2" w:rsidRDefault="00D3044D" w:rsidP="00732C31">
            <w:pPr>
              <w:pStyle w:val="BTEMEASMCA"/>
              <w:rPr>
                <w:lang w:val="lt-LT"/>
              </w:rPr>
            </w:pPr>
          </w:p>
        </w:tc>
        <w:tc>
          <w:tcPr>
            <w:tcW w:w="2796" w:type="dxa"/>
            <w:gridSpan w:val="2"/>
            <w:vAlign w:val="center"/>
          </w:tcPr>
          <w:p w:rsidR="00D3044D" w:rsidRPr="00DC16A2" w:rsidRDefault="00D3044D" w:rsidP="00732C31">
            <w:pPr>
              <w:pStyle w:val="BTEMEASMCA"/>
              <w:rPr>
                <w:lang w:val="lt-LT"/>
              </w:rPr>
            </w:pPr>
            <w:r w:rsidRPr="00DC16A2">
              <w:rPr>
                <w:lang w:val="lt-LT"/>
              </w:rPr>
              <w:t>Cis + 5-FU</w:t>
            </w:r>
          </w:p>
          <w:p w:rsidR="00D3044D" w:rsidRPr="00DC16A2" w:rsidRDefault="00D3044D" w:rsidP="00732C31">
            <w:pPr>
              <w:pStyle w:val="BTEMEASMCA"/>
              <w:rPr>
                <w:lang w:val="lt-LT"/>
              </w:rPr>
            </w:pPr>
            <w:r w:rsidRPr="00DC16A2">
              <w:rPr>
                <w:lang w:val="lt-LT"/>
              </w:rPr>
              <w:t>n = 246</w:t>
            </w:r>
          </w:p>
        </w:tc>
      </w:tr>
      <w:tr w:rsidR="00D3044D" w:rsidRPr="00D3044D" w:rsidTr="00D86DE5">
        <w:trPr>
          <w:trHeight w:val="787"/>
        </w:trPr>
        <w:tc>
          <w:tcPr>
            <w:tcW w:w="2852" w:type="dxa"/>
            <w:vMerge w:val="restart"/>
          </w:tcPr>
          <w:p w:rsidR="00D3044D" w:rsidRPr="00DC16A2" w:rsidRDefault="00D3044D" w:rsidP="00732C31">
            <w:pPr>
              <w:pStyle w:val="BTEMEASMCA"/>
              <w:rPr>
                <w:lang w:val="lt-LT"/>
              </w:rPr>
            </w:pPr>
            <w:r w:rsidRPr="00DC16A2">
              <w:rPr>
                <w:lang w:val="lt-LT"/>
              </w:rPr>
              <w:t>Bendro išgyvenamumo vidurkis (mėn</w:t>
            </w:r>
            <w:r w:rsidR="00887A48" w:rsidRPr="00DC16A2">
              <w:rPr>
                <w:lang w:val="lt-LT"/>
              </w:rPr>
              <w:t>.</w:t>
            </w:r>
            <w:r w:rsidRPr="00DC16A2">
              <w:rPr>
                <w:lang w:val="lt-LT"/>
              </w:rPr>
              <w:t xml:space="preserve">) </w:t>
            </w:r>
          </w:p>
          <w:p w:rsidR="00D3044D" w:rsidRPr="00DC16A2" w:rsidRDefault="00D3044D" w:rsidP="00732C31">
            <w:pPr>
              <w:pStyle w:val="BTEMEASMCA"/>
              <w:rPr>
                <w:lang w:val="lt-LT"/>
              </w:rPr>
            </w:pPr>
            <w:r w:rsidRPr="00DC16A2">
              <w:rPr>
                <w:lang w:val="lt-LT"/>
              </w:rPr>
              <w:t xml:space="preserve">(95 % PI) </w:t>
            </w:r>
          </w:p>
          <w:p w:rsidR="00D3044D" w:rsidRPr="00DC16A2" w:rsidRDefault="00D3044D" w:rsidP="00732C31">
            <w:pPr>
              <w:pStyle w:val="BTEMEASMCA"/>
              <w:rPr>
                <w:lang w:val="lt-LT"/>
              </w:rPr>
            </w:pPr>
            <w:r w:rsidRPr="00DC16A2">
              <w:rPr>
                <w:lang w:val="lt-LT"/>
              </w:rPr>
              <w:t xml:space="preserve">Santykinė rizika: </w:t>
            </w:r>
          </w:p>
          <w:p w:rsidR="00D3044D" w:rsidRPr="00DC16A2" w:rsidRDefault="00D3044D" w:rsidP="00732C31">
            <w:pPr>
              <w:pStyle w:val="BTEMEASMCA"/>
              <w:rPr>
                <w:lang w:val="lt-LT"/>
              </w:rPr>
            </w:pPr>
            <w:r w:rsidRPr="00DC16A2">
              <w:rPr>
                <w:lang w:val="lt-LT"/>
              </w:rPr>
              <w:t xml:space="preserve">(95 % PI) </w:t>
            </w:r>
          </w:p>
          <w:p w:rsidR="00D3044D" w:rsidRPr="00DC16A2" w:rsidRDefault="00D3044D" w:rsidP="00732C31">
            <w:pPr>
              <w:pStyle w:val="BTEMEASMCA"/>
              <w:rPr>
                <w:lang w:val="lt-LT"/>
              </w:rPr>
            </w:pPr>
            <w:r w:rsidRPr="00DC16A2">
              <w:rPr>
                <w:lang w:val="lt-LT"/>
              </w:rPr>
              <w:t xml:space="preserve">*p reikšmė </w:t>
            </w:r>
          </w:p>
        </w:tc>
        <w:tc>
          <w:tcPr>
            <w:tcW w:w="2845" w:type="dxa"/>
            <w:vAlign w:val="bottom"/>
          </w:tcPr>
          <w:p w:rsidR="00D3044D" w:rsidRPr="00DC16A2" w:rsidRDefault="00D3044D" w:rsidP="00E378C3">
            <w:pPr>
              <w:pStyle w:val="BTEMEASMCA"/>
              <w:rPr>
                <w:lang w:val="lt-LT"/>
              </w:rPr>
            </w:pPr>
            <w:r w:rsidRPr="00DC16A2">
              <w:rPr>
                <w:lang w:val="lt-LT"/>
              </w:rPr>
              <w:t>70,6</w:t>
            </w:r>
          </w:p>
          <w:p w:rsidR="00D3044D" w:rsidRPr="00DC16A2" w:rsidRDefault="00D3044D" w:rsidP="00E378C3">
            <w:pPr>
              <w:pStyle w:val="BTEMEASMCA"/>
              <w:rPr>
                <w:lang w:val="lt-LT"/>
              </w:rPr>
            </w:pPr>
            <w:r w:rsidRPr="00DC16A2">
              <w:rPr>
                <w:lang w:val="lt-LT"/>
              </w:rPr>
              <w:t>(49,0–DN)</w:t>
            </w:r>
          </w:p>
        </w:tc>
        <w:tc>
          <w:tcPr>
            <w:tcW w:w="705" w:type="dxa"/>
            <w:vAlign w:val="bottom"/>
          </w:tcPr>
          <w:p w:rsidR="00D3044D" w:rsidRPr="00DC16A2" w:rsidRDefault="00D3044D" w:rsidP="00E378C3">
            <w:pPr>
              <w:pStyle w:val="BTEMEASMCA"/>
              <w:rPr>
                <w:lang w:val="lt-LT"/>
              </w:rPr>
            </w:pPr>
          </w:p>
        </w:tc>
        <w:tc>
          <w:tcPr>
            <w:tcW w:w="2796" w:type="dxa"/>
            <w:gridSpan w:val="2"/>
            <w:vAlign w:val="bottom"/>
          </w:tcPr>
          <w:p w:rsidR="00D3044D" w:rsidRPr="00DC16A2" w:rsidRDefault="00D3044D" w:rsidP="00E378C3">
            <w:pPr>
              <w:pStyle w:val="BTEMEASMCA"/>
              <w:rPr>
                <w:lang w:val="lt-LT"/>
              </w:rPr>
            </w:pPr>
            <w:r w:rsidRPr="00DC16A2">
              <w:rPr>
                <w:lang w:val="lt-LT"/>
              </w:rPr>
              <w:t>30,1</w:t>
            </w:r>
          </w:p>
          <w:p w:rsidR="00D3044D" w:rsidRPr="00DC16A2" w:rsidRDefault="00D3044D" w:rsidP="00E378C3">
            <w:pPr>
              <w:pStyle w:val="BTEMEASMCA"/>
              <w:rPr>
                <w:lang w:val="lt-LT"/>
              </w:rPr>
            </w:pPr>
            <w:r w:rsidRPr="00DC16A2">
              <w:rPr>
                <w:lang w:val="lt-LT"/>
              </w:rPr>
              <w:t>(20,9–51,5)</w:t>
            </w:r>
          </w:p>
        </w:tc>
      </w:tr>
      <w:tr w:rsidR="00D3044D" w:rsidRPr="00D3044D" w:rsidTr="00D86DE5">
        <w:trPr>
          <w:trHeight w:val="552"/>
        </w:trPr>
        <w:tc>
          <w:tcPr>
            <w:tcW w:w="2852" w:type="dxa"/>
            <w:vMerge/>
          </w:tcPr>
          <w:p w:rsidR="00D3044D" w:rsidRPr="00DC16A2" w:rsidRDefault="00D3044D">
            <w:pPr>
              <w:pStyle w:val="BTEMEASMCA"/>
              <w:rPr>
                <w:lang w:val="lt-LT"/>
              </w:rPr>
            </w:pPr>
          </w:p>
        </w:tc>
        <w:tc>
          <w:tcPr>
            <w:tcW w:w="6346" w:type="dxa"/>
            <w:gridSpan w:val="4"/>
            <w:vAlign w:val="center"/>
          </w:tcPr>
          <w:p w:rsidR="00D3044D" w:rsidRPr="00DC16A2" w:rsidRDefault="00D3044D">
            <w:pPr>
              <w:pStyle w:val="BTEMEASMCA"/>
              <w:rPr>
                <w:lang w:val="lt-LT"/>
              </w:rPr>
            </w:pPr>
            <w:r w:rsidRPr="00DC16A2">
              <w:rPr>
                <w:lang w:val="lt-LT"/>
              </w:rPr>
              <w:t>0,70</w:t>
            </w:r>
          </w:p>
          <w:p w:rsidR="00D3044D" w:rsidRPr="00DC16A2" w:rsidRDefault="00D3044D">
            <w:pPr>
              <w:pStyle w:val="BTEMEASMCA"/>
              <w:rPr>
                <w:lang w:val="lt-LT"/>
              </w:rPr>
            </w:pPr>
            <w:r w:rsidRPr="00DC16A2">
              <w:rPr>
                <w:lang w:val="lt-LT"/>
              </w:rPr>
              <w:t>(0,54–0,90)</w:t>
            </w:r>
          </w:p>
          <w:p w:rsidR="00D3044D" w:rsidRPr="00DC16A2" w:rsidRDefault="00D3044D">
            <w:pPr>
              <w:pStyle w:val="BTEMEASMCA"/>
              <w:rPr>
                <w:lang w:val="lt-LT"/>
              </w:rPr>
            </w:pPr>
            <w:r w:rsidRPr="00DC16A2">
              <w:rPr>
                <w:lang w:val="lt-LT"/>
              </w:rPr>
              <w:t>0,0058</w:t>
            </w:r>
          </w:p>
        </w:tc>
      </w:tr>
      <w:tr w:rsidR="00D3044D" w:rsidRPr="00D3044D" w:rsidTr="00D86DE5">
        <w:trPr>
          <w:trHeight w:val="281"/>
        </w:trPr>
        <w:tc>
          <w:tcPr>
            <w:tcW w:w="2852" w:type="dxa"/>
            <w:vMerge w:val="restart"/>
          </w:tcPr>
          <w:p w:rsidR="00544FB9" w:rsidRPr="00DC16A2" w:rsidRDefault="00D3044D" w:rsidP="00732C31">
            <w:pPr>
              <w:pStyle w:val="BTEMEASMCA"/>
              <w:rPr>
                <w:lang w:val="lt-LT"/>
              </w:rPr>
            </w:pPr>
            <w:r w:rsidRPr="00DC16A2">
              <w:rPr>
                <w:lang w:val="lt-LT"/>
              </w:rPr>
              <w:t>IBLP vidurkis (mėn</w:t>
            </w:r>
            <w:r w:rsidR="00544FB9" w:rsidRPr="00DC16A2">
              <w:rPr>
                <w:lang w:val="lt-LT"/>
              </w:rPr>
              <w:t>.</w:t>
            </w:r>
            <w:r w:rsidRPr="00DC16A2">
              <w:rPr>
                <w:lang w:val="lt-LT"/>
              </w:rPr>
              <w:t>)</w:t>
            </w:r>
          </w:p>
          <w:p w:rsidR="00D3044D" w:rsidRPr="00DC16A2" w:rsidRDefault="00D3044D" w:rsidP="00732C31">
            <w:pPr>
              <w:pStyle w:val="BTEMEASMCA"/>
              <w:rPr>
                <w:lang w:val="lt-LT"/>
              </w:rPr>
            </w:pPr>
            <w:r w:rsidRPr="00DC16A2">
              <w:rPr>
                <w:lang w:val="lt-LT"/>
              </w:rPr>
              <w:t xml:space="preserve">(95 % PI) </w:t>
            </w:r>
          </w:p>
          <w:p w:rsidR="00D3044D" w:rsidRPr="00DC16A2" w:rsidRDefault="00D3044D" w:rsidP="00732C31">
            <w:pPr>
              <w:pStyle w:val="BTEMEASMCA"/>
              <w:rPr>
                <w:lang w:val="lt-LT"/>
              </w:rPr>
            </w:pPr>
            <w:r w:rsidRPr="00DC16A2">
              <w:rPr>
                <w:lang w:val="lt-LT"/>
              </w:rPr>
              <w:t xml:space="preserve">Santykinė rizika: </w:t>
            </w:r>
          </w:p>
          <w:p w:rsidR="00D3044D" w:rsidRPr="00DC16A2" w:rsidRDefault="00D3044D" w:rsidP="00732C31">
            <w:pPr>
              <w:pStyle w:val="BTEMEASMCA"/>
              <w:rPr>
                <w:lang w:val="lt-LT"/>
              </w:rPr>
            </w:pPr>
            <w:r w:rsidRPr="00DC16A2">
              <w:rPr>
                <w:lang w:val="lt-LT"/>
              </w:rPr>
              <w:t xml:space="preserve">(95 % PI) </w:t>
            </w:r>
          </w:p>
          <w:p w:rsidR="00D3044D" w:rsidRPr="00DC16A2" w:rsidRDefault="00D3044D" w:rsidP="00732C31">
            <w:pPr>
              <w:pStyle w:val="BTEMEASMCA"/>
              <w:rPr>
                <w:lang w:val="lt-LT"/>
              </w:rPr>
            </w:pPr>
            <w:r w:rsidRPr="00DC16A2">
              <w:rPr>
                <w:lang w:val="lt-LT"/>
              </w:rPr>
              <w:t xml:space="preserve">**p reikšmė </w:t>
            </w:r>
          </w:p>
        </w:tc>
        <w:tc>
          <w:tcPr>
            <w:tcW w:w="2845" w:type="dxa"/>
            <w:vAlign w:val="center"/>
          </w:tcPr>
          <w:p w:rsidR="00D3044D" w:rsidRPr="00DC16A2" w:rsidRDefault="00D3044D" w:rsidP="00732C31">
            <w:pPr>
              <w:pStyle w:val="BTEMEASMCA"/>
              <w:rPr>
                <w:lang w:val="lt-LT"/>
              </w:rPr>
            </w:pPr>
            <w:r w:rsidRPr="00DC16A2">
              <w:rPr>
                <w:lang w:val="lt-LT"/>
              </w:rPr>
              <w:t>35,5</w:t>
            </w:r>
          </w:p>
          <w:p w:rsidR="00D3044D" w:rsidRPr="00DC16A2" w:rsidRDefault="00D3044D" w:rsidP="00732C31">
            <w:pPr>
              <w:pStyle w:val="BTEMEASMCA"/>
              <w:rPr>
                <w:lang w:val="lt-LT"/>
              </w:rPr>
            </w:pPr>
            <w:r w:rsidRPr="00DC16A2">
              <w:rPr>
                <w:lang w:val="lt-LT"/>
              </w:rPr>
              <w:t>(19,3–DN)</w:t>
            </w:r>
          </w:p>
        </w:tc>
        <w:tc>
          <w:tcPr>
            <w:tcW w:w="705" w:type="dxa"/>
            <w:vAlign w:val="center"/>
          </w:tcPr>
          <w:p w:rsidR="00D3044D" w:rsidRPr="00DC16A2" w:rsidRDefault="00D3044D" w:rsidP="00732C31">
            <w:pPr>
              <w:pStyle w:val="BTEMEASMCA"/>
              <w:rPr>
                <w:lang w:val="lt-LT"/>
              </w:rPr>
            </w:pPr>
          </w:p>
        </w:tc>
        <w:tc>
          <w:tcPr>
            <w:tcW w:w="2796" w:type="dxa"/>
            <w:gridSpan w:val="2"/>
            <w:vAlign w:val="center"/>
          </w:tcPr>
          <w:p w:rsidR="00D3044D" w:rsidRPr="00DC16A2" w:rsidRDefault="00D3044D" w:rsidP="00732C31">
            <w:pPr>
              <w:pStyle w:val="BTEMEASMCA"/>
              <w:rPr>
                <w:lang w:val="lt-LT"/>
              </w:rPr>
            </w:pPr>
            <w:r w:rsidRPr="00DC16A2">
              <w:rPr>
                <w:lang w:val="lt-LT"/>
              </w:rPr>
              <w:t>13,1</w:t>
            </w:r>
          </w:p>
          <w:p w:rsidR="00D3044D" w:rsidRPr="00DC16A2" w:rsidRDefault="00D3044D" w:rsidP="00732C31">
            <w:pPr>
              <w:pStyle w:val="BTEMEASMCA"/>
              <w:rPr>
                <w:lang w:val="lt-LT"/>
              </w:rPr>
            </w:pPr>
            <w:r w:rsidRPr="00DC16A2">
              <w:rPr>
                <w:lang w:val="lt-LT"/>
              </w:rPr>
              <w:t>(10,6–20,2)</w:t>
            </w:r>
          </w:p>
        </w:tc>
      </w:tr>
      <w:tr w:rsidR="00D3044D" w:rsidRPr="00D3044D" w:rsidTr="00D86DE5">
        <w:trPr>
          <w:trHeight w:val="418"/>
        </w:trPr>
        <w:tc>
          <w:tcPr>
            <w:tcW w:w="2852" w:type="dxa"/>
            <w:vMerge/>
          </w:tcPr>
          <w:p w:rsidR="00D3044D" w:rsidRPr="00DC16A2" w:rsidRDefault="00D3044D">
            <w:pPr>
              <w:pStyle w:val="BTEMEASMCA"/>
              <w:rPr>
                <w:lang w:val="lt-LT"/>
              </w:rPr>
            </w:pPr>
          </w:p>
        </w:tc>
        <w:tc>
          <w:tcPr>
            <w:tcW w:w="6346" w:type="dxa"/>
            <w:gridSpan w:val="4"/>
            <w:vAlign w:val="center"/>
          </w:tcPr>
          <w:p w:rsidR="00D3044D" w:rsidRPr="00DC16A2" w:rsidRDefault="00D3044D">
            <w:pPr>
              <w:pStyle w:val="BTEMEASMCA"/>
              <w:rPr>
                <w:lang w:val="lt-LT"/>
              </w:rPr>
            </w:pPr>
            <w:r w:rsidRPr="00DC16A2">
              <w:rPr>
                <w:lang w:val="lt-LT"/>
              </w:rPr>
              <w:t>0,71</w:t>
            </w:r>
          </w:p>
          <w:p w:rsidR="00D3044D" w:rsidRPr="00DC16A2" w:rsidRDefault="00D3044D">
            <w:pPr>
              <w:pStyle w:val="BTEMEASMCA"/>
              <w:rPr>
                <w:lang w:val="lt-LT"/>
              </w:rPr>
            </w:pPr>
            <w:r w:rsidRPr="00DC16A2">
              <w:rPr>
                <w:lang w:val="lt-LT"/>
              </w:rPr>
              <w:t>(0,56–0,90)</w:t>
            </w:r>
          </w:p>
          <w:p w:rsidR="00D3044D" w:rsidRPr="00DC16A2" w:rsidRDefault="00D3044D">
            <w:pPr>
              <w:pStyle w:val="BTEMEASMCA"/>
              <w:rPr>
                <w:lang w:val="lt-LT"/>
              </w:rPr>
            </w:pPr>
            <w:r w:rsidRPr="00DC16A2">
              <w:rPr>
                <w:lang w:val="lt-LT"/>
              </w:rPr>
              <w:t>0,004</w:t>
            </w:r>
          </w:p>
        </w:tc>
      </w:tr>
      <w:tr w:rsidR="00D3044D" w:rsidRPr="00D3044D" w:rsidTr="00D86DE5">
        <w:trPr>
          <w:trHeight w:val="1012"/>
        </w:trPr>
        <w:tc>
          <w:tcPr>
            <w:tcW w:w="2852" w:type="dxa"/>
            <w:vMerge w:val="restart"/>
          </w:tcPr>
          <w:p w:rsidR="00D3044D" w:rsidRPr="00DC16A2" w:rsidRDefault="00D3044D" w:rsidP="00732C31">
            <w:pPr>
              <w:pStyle w:val="BTEMEASMCA"/>
              <w:rPr>
                <w:lang w:val="lt-LT"/>
              </w:rPr>
            </w:pPr>
            <w:r w:rsidRPr="00DC16A2">
              <w:rPr>
                <w:lang w:val="lt-LT"/>
              </w:rPr>
              <w:t xml:space="preserve">Geriausias bendras atsakas (CR + PR) į chemoterapiją (%) </w:t>
            </w:r>
          </w:p>
          <w:p w:rsidR="00D3044D" w:rsidRPr="00DC16A2" w:rsidRDefault="00D3044D" w:rsidP="00732C31">
            <w:pPr>
              <w:pStyle w:val="BTEMEASMCA"/>
              <w:rPr>
                <w:lang w:val="lt-LT"/>
              </w:rPr>
            </w:pPr>
            <w:r w:rsidRPr="00DC16A2">
              <w:rPr>
                <w:lang w:val="lt-LT"/>
              </w:rPr>
              <w:t xml:space="preserve">(95 % PI) </w:t>
            </w:r>
          </w:p>
          <w:p w:rsidR="00D3044D" w:rsidRPr="00DC16A2" w:rsidRDefault="00D3044D" w:rsidP="00732C31">
            <w:pPr>
              <w:pStyle w:val="BTEMEASMCA"/>
              <w:rPr>
                <w:lang w:val="lt-LT"/>
              </w:rPr>
            </w:pPr>
            <w:r w:rsidRPr="00DC16A2">
              <w:rPr>
                <w:lang w:val="lt-LT"/>
              </w:rPr>
              <w:t xml:space="preserve">***p reikšmė </w:t>
            </w:r>
          </w:p>
        </w:tc>
        <w:tc>
          <w:tcPr>
            <w:tcW w:w="2845" w:type="dxa"/>
            <w:vAlign w:val="bottom"/>
          </w:tcPr>
          <w:p w:rsidR="0031564D" w:rsidRPr="00DC16A2" w:rsidRDefault="00D3044D" w:rsidP="00E378C3">
            <w:pPr>
              <w:pStyle w:val="BTEMEASMCA"/>
              <w:rPr>
                <w:lang w:val="lt-LT"/>
              </w:rPr>
            </w:pPr>
            <w:r w:rsidRPr="00DC16A2">
              <w:rPr>
                <w:lang w:val="lt-LT"/>
              </w:rPr>
              <w:t>71,8</w:t>
            </w:r>
          </w:p>
          <w:p w:rsidR="00D3044D" w:rsidRPr="00DC16A2" w:rsidRDefault="00D3044D" w:rsidP="00E378C3">
            <w:pPr>
              <w:pStyle w:val="BTEMEASMCA"/>
              <w:rPr>
                <w:lang w:val="lt-LT"/>
              </w:rPr>
            </w:pPr>
            <w:r w:rsidRPr="00DC16A2">
              <w:rPr>
                <w:lang w:val="lt-LT"/>
              </w:rPr>
              <w:t>(65,8–77,2)</w:t>
            </w:r>
          </w:p>
        </w:tc>
        <w:tc>
          <w:tcPr>
            <w:tcW w:w="705" w:type="dxa"/>
            <w:vAlign w:val="bottom"/>
          </w:tcPr>
          <w:p w:rsidR="00D3044D" w:rsidRPr="00DC16A2" w:rsidRDefault="00D3044D" w:rsidP="008F4387">
            <w:pPr>
              <w:pStyle w:val="BTEMEASMCA"/>
              <w:rPr>
                <w:lang w:val="lt-LT"/>
              </w:rPr>
            </w:pPr>
          </w:p>
        </w:tc>
        <w:tc>
          <w:tcPr>
            <w:tcW w:w="2796" w:type="dxa"/>
            <w:gridSpan w:val="2"/>
            <w:vAlign w:val="bottom"/>
          </w:tcPr>
          <w:p w:rsidR="0031564D" w:rsidRPr="00DC16A2" w:rsidRDefault="00D3044D" w:rsidP="008F4387">
            <w:pPr>
              <w:pStyle w:val="BTEMEASMCA"/>
              <w:rPr>
                <w:lang w:val="lt-LT"/>
              </w:rPr>
            </w:pPr>
            <w:r w:rsidRPr="00DC16A2">
              <w:rPr>
                <w:lang w:val="lt-LT"/>
              </w:rPr>
              <w:t>64,2</w:t>
            </w:r>
          </w:p>
          <w:p w:rsidR="00D3044D" w:rsidRPr="00DC16A2" w:rsidRDefault="00D3044D" w:rsidP="008F4387">
            <w:pPr>
              <w:pStyle w:val="BTEMEASMCA"/>
              <w:rPr>
                <w:lang w:val="lt-LT"/>
              </w:rPr>
            </w:pPr>
            <w:r w:rsidRPr="00DC16A2">
              <w:rPr>
                <w:lang w:val="lt-LT"/>
              </w:rPr>
              <w:t>(57,9–70,2)</w:t>
            </w:r>
          </w:p>
        </w:tc>
      </w:tr>
      <w:tr w:rsidR="00D3044D" w:rsidRPr="00D3044D" w:rsidTr="00D86DE5">
        <w:trPr>
          <w:trHeight w:val="346"/>
        </w:trPr>
        <w:tc>
          <w:tcPr>
            <w:tcW w:w="2852" w:type="dxa"/>
            <w:vMerge/>
          </w:tcPr>
          <w:p w:rsidR="00D3044D" w:rsidRPr="00DC16A2" w:rsidRDefault="00D3044D">
            <w:pPr>
              <w:pStyle w:val="BTEMEASMCA"/>
              <w:rPr>
                <w:lang w:val="lt-LT"/>
              </w:rPr>
            </w:pPr>
          </w:p>
        </w:tc>
        <w:tc>
          <w:tcPr>
            <w:tcW w:w="6346" w:type="dxa"/>
            <w:gridSpan w:val="4"/>
            <w:vAlign w:val="center"/>
          </w:tcPr>
          <w:p w:rsidR="00D3044D" w:rsidRPr="00DC16A2" w:rsidRDefault="00D3044D">
            <w:pPr>
              <w:pStyle w:val="BTEMEASMCA"/>
              <w:rPr>
                <w:lang w:val="lt-LT"/>
              </w:rPr>
            </w:pPr>
            <w:r w:rsidRPr="00DC16A2">
              <w:rPr>
                <w:lang w:val="lt-LT"/>
              </w:rPr>
              <w:t>0,070</w:t>
            </w:r>
          </w:p>
        </w:tc>
      </w:tr>
      <w:tr w:rsidR="00D86DE5" w:rsidRPr="00D3044D" w:rsidTr="00D86DE5">
        <w:trPr>
          <w:trHeight w:val="1527"/>
        </w:trPr>
        <w:tc>
          <w:tcPr>
            <w:tcW w:w="2852" w:type="dxa"/>
            <w:vMerge w:val="restart"/>
          </w:tcPr>
          <w:p w:rsidR="00D86DE5" w:rsidRPr="00DC16A2" w:rsidRDefault="00D86DE5" w:rsidP="00732C31">
            <w:pPr>
              <w:pStyle w:val="BTEMEASMCA"/>
              <w:rPr>
                <w:lang w:val="lt-LT"/>
              </w:rPr>
            </w:pPr>
            <w:r w:rsidRPr="00DC16A2">
              <w:rPr>
                <w:lang w:val="lt-LT"/>
              </w:rPr>
              <w:t xml:space="preserve">Geriausias bendras atsakas (CR </w:t>
            </w:r>
          </w:p>
          <w:p w:rsidR="00D86DE5" w:rsidRPr="00DC16A2" w:rsidRDefault="00D86DE5" w:rsidP="00732C31">
            <w:pPr>
              <w:pStyle w:val="BTEMEASMCA"/>
              <w:rPr>
                <w:lang w:val="lt-LT"/>
              </w:rPr>
            </w:pPr>
            <w:r w:rsidRPr="00DC16A2">
              <w:rPr>
                <w:lang w:val="lt-LT"/>
              </w:rPr>
              <w:t xml:space="preserve">+ PR) į tyrimo gydymą </w:t>
            </w:r>
          </w:p>
          <w:p w:rsidR="00D86DE5" w:rsidRPr="00DC16A2" w:rsidRDefault="00D86DE5" w:rsidP="00732C31">
            <w:pPr>
              <w:pStyle w:val="BTEMEASMCA"/>
              <w:rPr>
                <w:lang w:val="lt-LT"/>
              </w:rPr>
            </w:pPr>
            <w:r w:rsidRPr="00DC16A2">
              <w:rPr>
                <w:lang w:val="lt-LT"/>
              </w:rPr>
              <w:t xml:space="preserve">[chemoterapija +/- </w:t>
            </w:r>
          </w:p>
          <w:p w:rsidR="00D86DE5" w:rsidRPr="00DC16A2" w:rsidRDefault="00D86DE5" w:rsidP="00732C31">
            <w:pPr>
              <w:pStyle w:val="BTEMEASMCA"/>
              <w:rPr>
                <w:lang w:val="lt-LT"/>
              </w:rPr>
            </w:pPr>
            <w:r w:rsidRPr="00DC16A2">
              <w:rPr>
                <w:lang w:val="lt-LT"/>
              </w:rPr>
              <w:t xml:space="preserve">chemoradioterapija] (%) </w:t>
            </w:r>
          </w:p>
          <w:p w:rsidR="00D86DE5" w:rsidRPr="00D3044D" w:rsidRDefault="00D86DE5" w:rsidP="008F4387">
            <w:r w:rsidRPr="00D3044D">
              <w:t>(95 % PI)</w:t>
            </w:r>
          </w:p>
          <w:p w:rsidR="00D86DE5" w:rsidRPr="00DC16A2" w:rsidRDefault="00D86DE5" w:rsidP="00732C31">
            <w:pPr>
              <w:pStyle w:val="BTEMEASMCA"/>
              <w:rPr>
                <w:lang w:val="lt-LT"/>
              </w:rPr>
            </w:pPr>
            <w:r w:rsidRPr="00DC16A2">
              <w:rPr>
                <w:lang w:val="lt-LT"/>
              </w:rPr>
              <w:t xml:space="preserve">***p reikšmė </w:t>
            </w:r>
          </w:p>
        </w:tc>
        <w:tc>
          <w:tcPr>
            <w:tcW w:w="2845" w:type="dxa"/>
            <w:vAlign w:val="bottom"/>
          </w:tcPr>
          <w:p w:rsidR="00D86DE5" w:rsidRPr="00DC16A2" w:rsidRDefault="00D86DE5" w:rsidP="00D86DE5">
            <w:pPr>
              <w:pStyle w:val="BTEMEASMCA"/>
              <w:rPr>
                <w:lang w:val="lt-LT"/>
              </w:rPr>
            </w:pPr>
            <w:r w:rsidRPr="00DC16A2">
              <w:rPr>
                <w:lang w:val="lt-LT"/>
              </w:rPr>
              <w:t xml:space="preserve">76,5 </w:t>
            </w:r>
          </w:p>
          <w:p w:rsidR="00D86DE5" w:rsidRPr="00DC16A2" w:rsidRDefault="00D86DE5" w:rsidP="00D86DE5">
            <w:pPr>
              <w:pStyle w:val="BTEMEASMCA"/>
              <w:rPr>
                <w:lang w:val="lt-LT"/>
              </w:rPr>
            </w:pPr>
            <w:r w:rsidRPr="00DC16A2">
              <w:rPr>
                <w:lang w:val="lt-LT"/>
              </w:rPr>
              <w:t xml:space="preserve">(70,8–81,5) </w:t>
            </w:r>
          </w:p>
        </w:tc>
        <w:tc>
          <w:tcPr>
            <w:tcW w:w="711" w:type="dxa"/>
            <w:gridSpan w:val="2"/>
            <w:vAlign w:val="bottom"/>
          </w:tcPr>
          <w:p w:rsidR="00D86DE5" w:rsidRPr="00DC16A2" w:rsidRDefault="00D86DE5" w:rsidP="00D86DE5">
            <w:pPr>
              <w:pStyle w:val="BTEMEASMCA"/>
              <w:rPr>
                <w:lang w:val="lt-LT"/>
              </w:rPr>
            </w:pPr>
          </w:p>
        </w:tc>
        <w:tc>
          <w:tcPr>
            <w:tcW w:w="2790" w:type="dxa"/>
            <w:vAlign w:val="bottom"/>
          </w:tcPr>
          <w:p w:rsidR="00D86DE5" w:rsidRPr="00DC16A2" w:rsidRDefault="00D86DE5" w:rsidP="00D86DE5">
            <w:pPr>
              <w:pStyle w:val="BTEMEASMCA"/>
              <w:rPr>
                <w:lang w:val="lt-LT"/>
              </w:rPr>
            </w:pPr>
            <w:r w:rsidRPr="00DC16A2">
              <w:rPr>
                <w:lang w:val="lt-LT"/>
              </w:rPr>
              <w:t xml:space="preserve">71,5 </w:t>
            </w:r>
          </w:p>
          <w:p w:rsidR="00D86DE5" w:rsidRPr="00DC16A2" w:rsidRDefault="00D86DE5" w:rsidP="00D86DE5">
            <w:pPr>
              <w:pStyle w:val="BTEMEASMCA"/>
              <w:rPr>
                <w:lang w:val="lt-LT"/>
              </w:rPr>
            </w:pPr>
            <w:r w:rsidRPr="00DC16A2">
              <w:rPr>
                <w:lang w:val="lt-LT"/>
              </w:rPr>
              <w:t xml:space="preserve">(65,5–77,1) </w:t>
            </w:r>
          </w:p>
        </w:tc>
      </w:tr>
      <w:tr w:rsidR="00D86DE5" w:rsidRPr="00D3044D" w:rsidTr="00D86DE5">
        <w:trPr>
          <w:trHeight w:val="166"/>
        </w:trPr>
        <w:tc>
          <w:tcPr>
            <w:tcW w:w="2852" w:type="dxa"/>
            <w:vMerge/>
            <w:tcBorders>
              <w:bottom w:val="single" w:sz="4" w:space="0" w:color="000000"/>
            </w:tcBorders>
          </w:tcPr>
          <w:p w:rsidR="00D86DE5" w:rsidRPr="00DC16A2" w:rsidRDefault="00D86DE5" w:rsidP="00732C31">
            <w:pPr>
              <w:pStyle w:val="BTEMEASMCA"/>
              <w:rPr>
                <w:lang w:val="lt-LT"/>
              </w:rPr>
            </w:pPr>
          </w:p>
        </w:tc>
        <w:tc>
          <w:tcPr>
            <w:tcW w:w="6346" w:type="dxa"/>
            <w:gridSpan w:val="4"/>
            <w:tcBorders>
              <w:bottom w:val="single" w:sz="4" w:space="0" w:color="000000"/>
            </w:tcBorders>
            <w:vAlign w:val="bottom"/>
          </w:tcPr>
          <w:p w:rsidR="00D86DE5" w:rsidRPr="00DC16A2" w:rsidRDefault="00D86DE5" w:rsidP="00D86DE5">
            <w:pPr>
              <w:pStyle w:val="BTEMEASMCA"/>
              <w:rPr>
                <w:lang w:val="lt-LT"/>
              </w:rPr>
            </w:pPr>
            <w:r w:rsidRPr="00DC16A2">
              <w:rPr>
                <w:lang w:val="lt-LT"/>
              </w:rPr>
              <w:t>0,209</w:t>
            </w:r>
          </w:p>
        </w:tc>
      </w:tr>
    </w:tbl>
    <w:p w:rsidR="00D3044D" w:rsidRPr="00D3044D" w:rsidRDefault="00D3044D" w:rsidP="00732C31">
      <w:pPr>
        <w:pStyle w:val="BTEMEASMCA"/>
      </w:pPr>
      <w:r w:rsidRPr="00D3044D">
        <w:t xml:space="preserve">Docetakselis + cisplatina + fluorouracilo pranašumo rizikos santykis yra mažesnis nei 1 </w:t>
      </w:r>
    </w:p>
    <w:p w:rsidR="00D3044D" w:rsidRPr="00D3044D" w:rsidRDefault="00D3044D" w:rsidP="00732C31">
      <w:pPr>
        <w:pStyle w:val="BTEMEASMCA"/>
      </w:pPr>
      <w:r w:rsidRPr="00D3044D">
        <w:t xml:space="preserve">* Nekoreguotas logaritminio rango testas </w:t>
      </w:r>
    </w:p>
    <w:p w:rsidR="00D3044D" w:rsidRPr="00D3044D" w:rsidRDefault="00D3044D" w:rsidP="00732C31">
      <w:pPr>
        <w:pStyle w:val="BTEMEASMCA"/>
      </w:pPr>
      <w:r w:rsidRPr="00D3044D">
        <w:t xml:space="preserve">** Nekoreguotas logaritminio rango testas, nepritaikytas daugybiniams palyginimams </w:t>
      </w:r>
    </w:p>
    <w:p w:rsidR="008E2243" w:rsidRDefault="00D3044D" w:rsidP="00732C31">
      <w:pPr>
        <w:pStyle w:val="BTEMEASMCA"/>
      </w:pPr>
      <w:r w:rsidRPr="00D3044D">
        <w:t>*** Chi kvadrato kriterijus, nepritaikytas daugybiniams palyginimams</w:t>
      </w:r>
    </w:p>
    <w:p w:rsidR="00D3044D" w:rsidRPr="00D3044D" w:rsidRDefault="00D3044D" w:rsidP="00732C31">
      <w:pPr>
        <w:pStyle w:val="BTEMEASMCA"/>
      </w:pPr>
      <w:r w:rsidRPr="00D3044D">
        <w:t xml:space="preserve">DN – duomenys neaktualūs </w:t>
      </w:r>
    </w:p>
    <w:p w:rsidR="00D3044D" w:rsidRPr="00D3044D" w:rsidRDefault="00D3044D" w:rsidP="00732C31">
      <w:pPr>
        <w:pStyle w:val="BTEMEASMCA"/>
      </w:pPr>
    </w:p>
    <w:p w:rsidR="00D3044D" w:rsidRPr="00D3044D" w:rsidRDefault="00D3044D" w:rsidP="00732C31">
      <w:pPr>
        <w:pStyle w:val="BTEMEASMCA"/>
      </w:pPr>
      <w:r w:rsidRPr="00D3044D">
        <w:t xml:space="preserve">Europos vaistų agentūra </w:t>
      </w:r>
      <w:r w:rsidR="00E73E4B">
        <w:t xml:space="preserve">(angl. </w:t>
      </w:r>
      <w:r w:rsidR="00E73E4B" w:rsidRPr="00C93814">
        <w:rPr>
          <w:rFonts w:ascii="TimesNewRomanPSMT" w:hAnsi="TimesNewRomanPSMT" w:cs="TimesNewRomanPSMT"/>
          <w:i/>
          <w:lang w:eastAsia="lt-LT"/>
        </w:rPr>
        <w:t>The European Medicines Agency</w:t>
      </w:r>
      <w:r w:rsidR="00E73E4B">
        <w:rPr>
          <w:rFonts w:ascii="TimesNewRomanPSMT" w:hAnsi="TimesNewRomanPSMT" w:cs="TimesNewRomanPSMT"/>
          <w:lang w:eastAsia="lt-LT"/>
        </w:rPr>
        <w:t>)</w:t>
      </w:r>
      <w:r w:rsidR="00E73E4B" w:rsidRPr="00D3044D">
        <w:t xml:space="preserve"> </w:t>
      </w:r>
      <w:r w:rsidRPr="00D3044D">
        <w:t xml:space="preserve">nereikalauja įsipareigoti pateikti visų amžiaus grupių vaikų populiacijos docetakselio tyrimų rezultatų krūties vėžio, plaučių nesmulkialąstelinio vėžio, prostatos vėžio, skrandžio vėžio ir galvos ir kaklo vėžio atvejais, išskyrus II ir III tipo mažiau diferencijuotos nosiaryklės karcinomą (žr. 4.2 skyriuje informaciją apie vartojimą vaikams). </w:t>
      </w:r>
    </w:p>
    <w:p w:rsidR="00633D05" w:rsidRPr="0084041E" w:rsidRDefault="00633D05" w:rsidP="00732C31">
      <w:pPr>
        <w:pStyle w:val="BTEMEASMCA"/>
      </w:pPr>
    </w:p>
    <w:p w:rsidR="00633D05" w:rsidRDefault="00633D05" w:rsidP="00633D05">
      <w:pPr>
        <w:pStyle w:val="PI-2EMEASMCA"/>
      </w:pPr>
      <w:bookmarkStart w:id="34" w:name="_Toc129243113"/>
      <w:bookmarkStart w:id="35" w:name="_Toc129243238"/>
      <w:r w:rsidRPr="0084041E">
        <w:t>5.2</w:t>
      </w:r>
      <w:r w:rsidRPr="0084041E">
        <w:tab/>
        <w:t>Farmakokinetinės savybės</w:t>
      </w:r>
      <w:bookmarkEnd w:id="34"/>
      <w:bookmarkEnd w:id="35"/>
    </w:p>
    <w:p w:rsidR="00D3044D" w:rsidRDefault="00D3044D" w:rsidP="00633D05">
      <w:pPr>
        <w:pStyle w:val="PI-2EMEASMCA"/>
      </w:pPr>
    </w:p>
    <w:p w:rsidR="00D3044D" w:rsidRPr="009B5347" w:rsidRDefault="00D3044D" w:rsidP="00D3044D">
      <w:pPr>
        <w:pStyle w:val="CM20"/>
        <w:jc w:val="both"/>
        <w:rPr>
          <w:rFonts w:cs="Times New Roman"/>
          <w:sz w:val="22"/>
          <w:szCs w:val="22"/>
          <w:lang w:val="lt-LT"/>
        </w:rPr>
      </w:pPr>
      <w:r w:rsidRPr="009B5347">
        <w:rPr>
          <w:rFonts w:cs="Times New Roman"/>
          <w:sz w:val="22"/>
          <w:szCs w:val="22"/>
          <w:lang w:val="lt-LT"/>
        </w:rPr>
        <w:t>Docetakselio farmakokinetika vėžiu sergančių pacientų organizme tirta I fazės tyrimų metu šio vaisto infuzija leidžiant 20–115 mg/ m² dozėmis.</w:t>
      </w:r>
      <w:r>
        <w:rPr>
          <w:rFonts w:cs="Times New Roman"/>
          <w:sz w:val="22"/>
          <w:szCs w:val="22"/>
          <w:lang w:val="lt-LT"/>
        </w:rPr>
        <w:t xml:space="preserve"> </w:t>
      </w:r>
      <w:r w:rsidRPr="009B5347">
        <w:rPr>
          <w:rFonts w:cs="Times New Roman"/>
          <w:sz w:val="22"/>
          <w:szCs w:val="22"/>
          <w:lang w:val="lt-LT"/>
        </w:rPr>
        <w:t>Docetakselio farmakokinetikos pobūdis nepriklauso nuo dozės ir atitinka trijų kompartamentų modelį. Pusinis laikas α, β ir γ fazėse yra atitinkamai 4 min., 36 min. ir 11,1 val.</w:t>
      </w:r>
      <w:r>
        <w:rPr>
          <w:rFonts w:cs="Times New Roman"/>
          <w:sz w:val="22"/>
          <w:szCs w:val="22"/>
          <w:lang w:val="lt-LT"/>
        </w:rPr>
        <w:t xml:space="preserve"> </w:t>
      </w:r>
      <w:r w:rsidRPr="009B5347">
        <w:rPr>
          <w:rFonts w:cs="Times New Roman"/>
          <w:sz w:val="22"/>
          <w:szCs w:val="22"/>
          <w:lang w:val="lt-LT"/>
        </w:rPr>
        <w:t>Paskutinė fazė iš dalies priklauso nuo palyginus lėto docetakselio patekimo iš periferinio kompartamento į kraują.</w:t>
      </w:r>
      <w:r>
        <w:rPr>
          <w:rFonts w:cs="Times New Roman"/>
          <w:sz w:val="22"/>
          <w:szCs w:val="22"/>
          <w:lang w:val="lt-LT"/>
        </w:rPr>
        <w:t xml:space="preserve"> </w:t>
      </w:r>
      <w:r w:rsidRPr="009B5347">
        <w:rPr>
          <w:rFonts w:cs="Times New Roman"/>
          <w:sz w:val="22"/>
          <w:szCs w:val="22"/>
          <w:lang w:val="lt-LT"/>
        </w:rPr>
        <w:t xml:space="preserve">Per 1 val. infuzija suleidus 100 mg/m² docetakselio, didžiausia jo koncentracija plazmoje būna vidutiniškai 3,7 μg/ml, AUC – 4,6 val./μg/ml. Vidutinis suminis organizmo klirensas – 21 l/val./m², vidutinis pusiausvyrinis pasiskirstymo tūris – 113 litrų. Suminis </w:t>
      </w:r>
      <w:r w:rsidRPr="009B5347">
        <w:rPr>
          <w:rFonts w:cs="Times New Roman"/>
          <w:sz w:val="22"/>
          <w:szCs w:val="22"/>
          <w:lang w:val="lt-LT"/>
        </w:rPr>
        <w:lastRenderedPageBreak/>
        <w:t>skirtingų asmenų organizmo klir</w:t>
      </w:r>
      <w:r>
        <w:rPr>
          <w:rFonts w:cs="Times New Roman"/>
          <w:sz w:val="22"/>
          <w:szCs w:val="22"/>
          <w:lang w:val="lt-LT"/>
        </w:rPr>
        <w:t xml:space="preserve">ensas įvairuoja maždaug 50 %. </w:t>
      </w:r>
      <w:r w:rsidRPr="009B5347">
        <w:rPr>
          <w:rFonts w:cs="Times New Roman"/>
          <w:sz w:val="22"/>
          <w:szCs w:val="22"/>
          <w:lang w:val="lt-LT"/>
        </w:rPr>
        <w:t xml:space="preserve">Daugiau kaip 95 % docetakselio būna prisijungusio prie plazmos baltymų. </w:t>
      </w:r>
    </w:p>
    <w:p w:rsidR="00D3044D" w:rsidRPr="009B5347" w:rsidRDefault="00D3044D" w:rsidP="00D3044D">
      <w:pPr>
        <w:pStyle w:val="CM20"/>
        <w:jc w:val="both"/>
        <w:rPr>
          <w:rFonts w:cs="Times New Roman"/>
          <w:sz w:val="22"/>
          <w:szCs w:val="22"/>
          <w:lang w:val="lt-LT"/>
        </w:rPr>
      </w:pPr>
      <w:r w:rsidRPr="009B5347">
        <w:rPr>
          <w:rFonts w:cs="Times New Roman"/>
          <w:sz w:val="22"/>
          <w:szCs w:val="22"/>
          <w:lang w:val="lt-LT"/>
        </w:rPr>
        <w:t xml:space="preserve">Su trimis vėžiu sergančiais pacientais atliktas </w:t>
      </w:r>
      <w:r w:rsidRPr="009B5347">
        <w:rPr>
          <w:rFonts w:cs="Times New Roman"/>
          <w:position w:val="11"/>
          <w:sz w:val="22"/>
          <w:szCs w:val="22"/>
          <w:vertAlign w:val="superscript"/>
          <w:lang w:val="lt-LT"/>
        </w:rPr>
        <w:t>14</w:t>
      </w:r>
      <w:r>
        <w:rPr>
          <w:rFonts w:cs="Times New Roman"/>
          <w:sz w:val="22"/>
          <w:szCs w:val="22"/>
          <w:lang w:val="lt-LT"/>
        </w:rPr>
        <w:t xml:space="preserve">C-docetakselio tyrimas. </w:t>
      </w:r>
      <w:r w:rsidRPr="009B5347">
        <w:rPr>
          <w:rFonts w:cs="Times New Roman"/>
          <w:sz w:val="22"/>
          <w:szCs w:val="22"/>
          <w:lang w:val="lt-LT"/>
        </w:rPr>
        <w:t>Docetakselis per 7 dienas pasišalino su šlapimu ir išmatomis po citochromo P450 katalizuojamo tretinės butilo esterio grupės oksidacinio metabolizmo (šlapime ir išmatose rasta atitinkamai 6 % ir 75 % infuzuoto radioaktyvumo).</w:t>
      </w:r>
      <w:r>
        <w:rPr>
          <w:rFonts w:cs="Times New Roman"/>
          <w:sz w:val="22"/>
          <w:szCs w:val="22"/>
          <w:lang w:val="lt-LT"/>
        </w:rPr>
        <w:t xml:space="preserve"> </w:t>
      </w:r>
      <w:r w:rsidRPr="009B5347">
        <w:rPr>
          <w:rFonts w:cs="Times New Roman"/>
          <w:sz w:val="22"/>
          <w:szCs w:val="22"/>
          <w:lang w:val="lt-LT"/>
        </w:rPr>
        <w:t>Maždaug 80 % išmatose rasto radioaktyvumo pasišalino per pirmąsias 48 val. (tai buvo vienas pagrindinis neaktyvus metabolitas, trys mažiau svarbūs neaktyvūs metabolitai ir labai nedidelis nepakitusio vaistinio preparato kiekis).</w:t>
      </w:r>
      <w:r>
        <w:rPr>
          <w:rFonts w:cs="Times New Roman"/>
          <w:sz w:val="22"/>
          <w:szCs w:val="22"/>
          <w:lang w:val="lt-LT"/>
        </w:rPr>
        <w:t xml:space="preserve"> </w:t>
      </w:r>
    </w:p>
    <w:p w:rsidR="00D3044D" w:rsidRDefault="00D3044D" w:rsidP="00D3044D">
      <w:pPr>
        <w:pStyle w:val="CM20"/>
        <w:jc w:val="both"/>
        <w:rPr>
          <w:rFonts w:cs="Times New Roman"/>
          <w:sz w:val="22"/>
          <w:szCs w:val="22"/>
          <w:lang w:val="lt-LT"/>
        </w:rPr>
      </w:pPr>
    </w:p>
    <w:p w:rsidR="00D3044D" w:rsidRDefault="00D3044D" w:rsidP="00D3044D">
      <w:pPr>
        <w:pStyle w:val="CM20"/>
        <w:jc w:val="both"/>
        <w:rPr>
          <w:rFonts w:cs="Times New Roman"/>
          <w:sz w:val="22"/>
          <w:szCs w:val="22"/>
          <w:lang w:val="lt-LT"/>
        </w:rPr>
      </w:pPr>
      <w:r w:rsidRPr="009B5347">
        <w:rPr>
          <w:rFonts w:cs="Times New Roman"/>
          <w:sz w:val="22"/>
          <w:szCs w:val="22"/>
          <w:lang w:val="lt-LT"/>
        </w:rPr>
        <w:t>Populiacinė docetakselio farmakokinetikos analizė atlikta su 577 pacientais.</w:t>
      </w:r>
      <w:r>
        <w:rPr>
          <w:rFonts w:cs="Times New Roman"/>
          <w:sz w:val="22"/>
          <w:szCs w:val="22"/>
          <w:lang w:val="lt-LT"/>
        </w:rPr>
        <w:t xml:space="preserve"> </w:t>
      </w:r>
    </w:p>
    <w:p w:rsidR="00D3044D" w:rsidRDefault="00D3044D" w:rsidP="00D3044D">
      <w:pPr>
        <w:pStyle w:val="CM20"/>
        <w:jc w:val="both"/>
        <w:rPr>
          <w:rFonts w:cs="Times New Roman"/>
          <w:sz w:val="22"/>
          <w:szCs w:val="22"/>
          <w:lang w:val="lt-LT"/>
        </w:rPr>
      </w:pPr>
      <w:r w:rsidRPr="009B5347">
        <w:rPr>
          <w:rFonts w:cs="Times New Roman"/>
          <w:sz w:val="22"/>
          <w:szCs w:val="22"/>
          <w:lang w:val="lt-LT"/>
        </w:rPr>
        <w:t>Modeliu nustatyti labai panašūs farmakokinetikos param</w:t>
      </w:r>
      <w:r>
        <w:rPr>
          <w:rFonts w:cs="Times New Roman"/>
          <w:sz w:val="22"/>
          <w:szCs w:val="22"/>
          <w:lang w:val="lt-LT"/>
        </w:rPr>
        <w:t>etrai kaip I fazės tyrimų metu.</w:t>
      </w:r>
      <w:r w:rsidRPr="009B5347">
        <w:rPr>
          <w:rFonts w:cs="Times New Roman"/>
          <w:sz w:val="22"/>
          <w:szCs w:val="22"/>
          <w:lang w:val="lt-LT"/>
        </w:rPr>
        <w:t xml:space="preserve"> Docetakselio farmakokinetika nepriklausė n</w:t>
      </w:r>
      <w:r>
        <w:rPr>
          <w:rFonts w:cs="Times New Roman"/>
          <w:sz w:val="22"/>
          <w:szCs w:val="22"/>
          <w:lang w:val="lt-LT"/>
        </w:rPr>
        <w:t xml:space="preserve">uo paciento amžiaus ir lyties. </w:t>
      </w:r>
      <w:r w:rsidRPr="009B5347">
        <w:rPr>
          <w:rFonts w:cs="Times New Roman"/>
          <w:sz w:val="22"/>
          <w:szCs w:val="22"/>
          <w:lang w:val="lt-LT"/>
        </w:rPr>
        <w:t>Nedideliam skaičiui pacientų (n = 23) kepenų funkcija, sprendžiant pagal klinikinius cheminius rodmenis, buvo lengvai arba vidutiniškai sutrikusi (ALT, AST koncentracija viršijo viršutinę normos ribą 1,5 karto arba daugiau, šarminės fosfatazės – 2,5 karto arba daugiau), bendras klirensas buvo vidutiniškai 27 % mažesnis (žr. 4.2 skyrių). Lengvas ar vidutinio laipsnio skysčių susilaikymas įtakos docetakselio klirensui neturėjo, o duomenų apie sunkaus laipsnio skysčių susilaikymo įtaką nėra.</w:t>
      </w:r>
      <w:r>
        <w:rPr>
          <w:rFonts w:cs="Times New Roman"/>
          <w:sz w:val="22"/>
          <w:szCs w:val="22"/>
          <w:lang w:val="lt-LT"/>
        </w:rPr>
        <w:t xml:space="preserve"> </w:t>
      </w:r>
    </w:p>
    <w:p w:rsidR="00D3044D" w:rsidRPr="00054BFA" w:rsidRDefault="00D3044D" w:rsidP="00D3044D">
      <w:pPr>
        <w:pStyle w:val="Default"/>
        <w:jc w:val="both"/>
        <w:rPr>
          <w:lang w:val="lt-LT"/>
        </w:rPr>
      </w:pPr>
    </w:p>
    <w:p w:rsidR="00D3044D" w:rsidRPr="009B5347" w:rsidRDefault="00D3044D" w:rsidP="00D3044D">
      <w:pPr>
        <w:pStyle w:val="CM20"/>
        <w:jc w:val="both"/>
        <w:rPr>
          <w:rFonts w:cs="Times New Roman"/>
          <w:sz w:val="22"/>
          <w:szCs w:val="22"/>
          <w:lang w:val="lt-LT"/>
        </w:rPr>
      </w:pPr>
      <w:r w:rsidRPr="009B5347">
        <w:rPr>
          <w:rFonts w:cs="Times New Roman"/>
          <w:sz w:val="22"/>
          <w:szCs w:val="22"/>
          <w:lang w:val="lt-LT"/>
        </w:rPr>
        <w:t>Kartu vartojamas docetakselis neveikia doksorubicino klirenso ir doksorubicino metabolito – doksorubici</w:t>
      </w:r>
      <w:r>
        <w:rPr>
          <w:rFonts w:cs="Times New Roman"/>
          <w:sz w:val="22"/>
          <w:szCs w:val="22"/>
          <w:lang w:val="lt-LT"/>
        </w:rPr>
        <w:t xml:space="preserve">nolio koncentracijos plazmoje. </w:t>
      </w:r>
      <w:r w:rsidRPr="009B5347">
        <w:rPr>
          <w:rFonts w:cs="Times New Roman"/>
          <w:sz w:val="22"/>
          <w:szCs w:val="22"/>
          <w:lang w:val="lt-LT"/>
        </w:rPr>
        <w:t>Docetakselio, doksorubicino ir ciklofosfamido vartojimas kartu poveikio farmakokinetikai nedaro.</w:t>
      </w:r>
      <w:r>
        <w:rPr>
          <w:rFonts w:cs="Times New Roman"/>
          <w:sz w:val="22"/>
          <w:szCs w:val="22"/>
          <w:lang w:val="lt-LT"/>
        </w:rPr>
        <w:t xml:space="preserve"> </w:t>
      </w:r>
    </w:p>
    <w:p w:rsidR="00D3044D" w:rsidRDefault="00D3044D" w:rsidP="00D3044D">
      <w:pPr>
        <w:pStyle w:val="CM20"/>
        <w:jc w:val="both"/>
        <w:rPr>
          <w:rFonts w:cs="Times New Roman"/>
          <w:sz w:val="22"/>
          <w:szCs w:val="22"/>
          <w:lang w:val="lt-LT"/>
        </w:rPr>
      </w:pPr>
    </w:p>
    <w:p w:rsidR="00D3044D" w:rsidRPr="009B5347" w:rsidRDefault="00D3044D" w:rsidP="00D3044D">
      <w:pPr>
        <w:pStyle w:val="CM20"/>
        <w:jc w:val="both"/>
        <w:rPr>
          <w:rFonts w:cs="Times New Roman"/>
          <w:sz w:val="22"/>
          <w:szCs w:val="22"/>
          <w:lang w:val="lt-LT"/>
        </w:rPr>
      </w:pPr>
      <w:r w:rsidRPr="009B5347">
        <w:rPr>
          <w:rFonts w:cs="Times New Roman"/>
          <w:sz w:val="22"/>
          <w:szCs w:val="22"/>
          <w:lang w:val="lt-LT"/>
        </w:rPr>
        <w:t>I fazės metu tirtas kapecitabino ir docetakselio poveikis vienas kito farmakokinetikai. Kapecitabino įtakos docetakselio farmakokinetikai (didžiausiai koncentracijai ir AUC) nenustatyta. Taip pat nenustatyta docetakselio įtakos pagrindinio kapecitabino metabolito (5’-DFUR) farmakokinetikai.</w:t>
      </w:r>
      <w:r>
        <w:rPr>
          <w:rFonts w:cs="Times New Roman"/>
          <w:sz w:val="22"/>
          <w:szCs w:val="22"/>
          <w:lang w:val="lt-LT"/>
        </w:rPr>
        <w:t xml:space="preserve"> </w:t>
      </w:r>
    </w:p>
    <w:p w:rsidR="00D3044D" w:rsidRDefault="00D3044D" w:rsidP="00D3044D">
      <w:pPr>
        <w:pStyle w:val="CM20"/>
        <w:ind w:right="80"/>
        <w:jc w:val="both"/>
        <w:rPr>
          <w:rFonts w:cs="Times New Roman"/>
          <w:sz w:val="22"/>
          <w:szCs w:val="22"/>
          <w:lang w:val="lt-LT"/>
        </w:rPr>
      </w:pPr>
    </w:p>
    <w:p w:rsidR="00D3044D" w:rsidRPr="009B5347" w:rsidRDefault="00D3044D" w:rsidP="00D3044D">
      <w:pPr>
        <w:pStyle w:val="CM20"/>
        <w:ind w:right="80"/>
        <w:jc w:val="both"/>
        <w:rPr>
          <w:rFonts w:cs="Times New Roman"/>
          <w:sz w:val="22"/>
          <w:szCs w:val="22"/>
          <w:lang w:val="lt-LT"/>
        </w:rPr>
      </w:pPr>
      <w:r w:rsidRPr="009B5347">
        <w:rPr>
          <w:rFonts w:cs="Times New Roman"/>
          <w:sz w:val="22"/>
          <w:szCs w:val="22"/>
          <w:lang w:val="lt-LT"/>
        </w:rPr>
        <w:t>Kartu su cisplatina vartojamo docetakselio klirensas buvo panašus į nustatytą jį vartojant atskirai.</w:t>
      </w:r>
      <w:r>
        <w:rPr>
          <w:rFonts w:cs="Times New Roman"/>
          <w:sz w:val="22"/>
          <w:szCs w:val="22"/>
          <w:lang w:val="lt-LT"/>
        </w:rPr>
        <w:t xml:space="preserve"> </w:t>
      </w:r>
      <w:r w:rsidRPr="009B5347">
        <w:rPr>
          <w:rFonts w:cs="Times New Roman"/>
          <w:sz w:val="22"/>
          <w:szCs w:val="22"/>
          <w:lang w:val="lt-LT"/>
        </w:rPr>
        <w:t>Cisplatinos, pavartotos tuoj po docetakselio infuzijos, farmakokinetikos pobūdis yra panašus kaip vartojamos atskirai.</w:t>
      </w:r>
      <w:r>
        <w:rPr>
          <w:rFonts w:cs="Times New Roman"/>
          <w:sz w:val="22"/>
          <w:szCs w:val="22"/>
          <w:lang w:val="lt-LT"/>
        </w:rPr>
        <w:t xml:space="preserve"> </w:t>
      </w:r>
    </w:p>
    <w:p w:rsidR="00D3044D" w:rsidRDefault="00D3044D" w:rsidP="00D3044D">
      <w:pPr>
        <w:pStyle w:val="CM20"/>
        <w:ind w:right="135"/>
        <w:jc w:val="both"/>
        <w:rPr>
          <w:rFonts w:cs="Times New Roman"/>
          <w:sz w:val="22"/>
          <w:szCs w:val="22"/>
          <w:lang w:val="lt-LT"/>
        </w:rPr>
      </w:pPr>
    </w:p>
    <w:p w:rsidR="00D3044D" w:rsidRPr="009B5347" w:rsidRDefault="00D3044D" w:rsidP="00D3044D">
      <w:pPr>
        <w:pStyle w:val="CM20"/>
        <w:ind w:right="135"/>
        <w:jc w:val="both"/>
        <w:rPr>
          <w:rFonts w:cs="Times New Roman"/>
          <w:sz w:val="22"/>
          <w:szCs w:val="22"/>
          <w:lang w:val="lt-LT"/>
        </w:rPr>
      </w:pPr>
      <w:r w:rsidRPr="009B5347">
        <w:rPr>
          <w:rFonts w:cs="Times New Roman"/>
          <w:sz w:val="22"/>
          <w:szCs w:val="22"/>
          <w:lang w:val="lt-LT"/>
        </w:rPr>
        <w:t>12 pacientų solidinių navikų gydymui kartu vartoti docetakselis, cisplatina ir 5-fluorouracilas poveikio vienas kito farmakokinetikai nedarė.</w:t>
      </w:r>
      <w:r>
        <w:rPr>
          <w:rFonts w:cs="Times New Roman"/>
          <w:sz w:val="22"/>
          <w:szCs w:val="22"/>
          <w:lang w:val="lt-LT"/>
        </w:rPr>
        <w:t xml:space="preserve"> </w:t>
      </w:r>
    </w:p>
    <w:p w:rsidR="00D3044D" w:rsidRDefault="00D3044D" w:rsidP="00D3044D">
      <w:pPr>
        <w:pStyle w:val="CM20"/>
        <w:ind w:right="217"/>
        <w:jc w:val="both"/>
        <w:rPr>
          <w:rFonts w:cs="Times New Roman"/>
          <w:sz w:val="22"/>
          <w:szCs w:val="22"/>
          <w:lang w:val="lt-LT"/>
        </w:rPr>
      </w:pPr>
    </w:p>
    <w:p w:rsidR="00D3044D" w:rsidRPr="009B5347" w:rsidRDefault="00D3044D" w:rsidP="00D3044D">
      <w:pPr>
        <w:pStyle w:val="CM20"/>
        <w:ind w:right="217"/>
        <w:jc w:val="both"/>
        <w:rPr>
          <w:rFonts w:cs="Times New Roman"/>
          <w:sz w:val="22"/>
          <w:szCs w:val="22"/>
          <w:lang w:val="lt-LT"/>
        </w:rPr>
      </w:pPr>
      <w:r w:rsidRPr="009B5347">
        <w:rPr>
          <w:rFonts w:cs="Times New Roman"/>
          <w:sz w:val="22"/>
          <w:szCs w:val="22"/>
          <w:lang w:val="lt-LT"/>
        </w:rPr>
        <w:t>Tirta prednizono, vartojamo kartu su įprastinei premedikacijai skiriamu deksametazonu, įtaka docetakselio farmakokinetikai 42 pacientų organizme.</w:t>
      </w:r>
      <w:r>
        <w:rPr>
          <w:rFonts w:cs="Times New Roman"/>
          <w:sz w:val="22"/>
          <w:szCs w:val="22"/>
          <w:lang w:val="lt-LT"/>
        </w:rPr>
        <w:t xml:space="preserve"> </w:t>
      </w:r>
      <w:r w:rsidRPr="009B5347">
        <w:rPr>
          <w:rFonts w:cs="Times New Roman"/>
          <w:sz w:val="22"/>
          <w:szCs w:val="22"/>
          <w:lang w:val="lt-LT"/>
        </w:rPr>
        <w:t>Prednizono įtakos docetakselio farmakokinetikai nenustatyta.</w:t>
      </w:r>
      <w:r>
        <w:rPr>
          <w:rFonts w:cs="Times New Roman"/>
          <w:sz w:val="22"/>
          <w:szCs w:val="22"/>
          <w:lang w:val="lt-LT"/>
        </w:rPr>
        <w:t xml:space="preserve"> </w:t>
      </w:r>
    </w:p>
    <w:p w:rsidR="00D3044D" w:rsidRPr="0084041E" w:rsidRDefault="00D3044D" w:rsidP="00633D05">
      <w:pPr>
        <w:pStyle w:val="PI-2EMEASMCA"/>
      </w:pPr>
    </w:p>
    <w:p w:rsidR="00633D05" w:rsidRPr="0084041E" w:rsidRDefault="00633D05" w:rsidP="00633D05">
      <w:pPr>
        <w:pStyle w:val="PI-2EMEASMCA"/>
      </w:pPr>
      <w:bookmarkStart w:id="36" w:name="_Toc129243114"/>
      <w:bookmarkStart w:id="37" w:name="_Toc129243239"/>
      <w:r w:rsidRPr="0084041E">
        <w:t>5.3</w:t>
      </w:r>
      <w:r w:rsidRPr="0084041E">
        <w:tab/>
        <w:t>Ikiklinikinių saugumo tyrimų duomenys</w:t>
      </w:r>
      <w:bookmarkEnd w:id="36"/>
      <w:bookmarkEnd w:id="37"/>
    </w:p>
    <w:p w:rsidR="00633D05" w:rsidRPr="0084041E" w:rsidRDefault="00633D05" w:rsidP="00732C31">
      <w:pPr>
        <w:pStyle w:val="BTEMEASMCA"/>
      </w:pPr>
    </w:p>
    <w:p w:rsidR="00D3044D" w:rsidRPr="00D3044D" w:rsidRDefault="00D3044D" w:rsidP="00732C31">
      <w:pPr>
        <w:pStyle w:val="BTEMEASMCA"/>
      </w:pPr>
      <w:r w:rsidRPr="00D3044D">
        <w:t xml:space="preserve">Docetakselio potencialus kancerogeninis poveikis netirtas. </w:t>
      </w:r>
    </w:p>
    <w:p w:rsidR="00D3044D" w:rsidRPr="00D3044D" w:rsidRDefault="00D3044D" w:rsidP="00732C31">
      <w:pPr>
        <w:pStyle w:val="BTEMEASMCA"/>
      </w:pPr>
    </w:p>
    <w:p w:rsidR="00D3044D" w:rsidRPr="00D3044D" w:rsidRDefault="00D3044D" w:rsidP="00732C31">
      <w:pPr>
        <w:pStyle w:val="BTEMEASMCA"/>
      </w:pPr>
      <w:r w:rsidRPr="00D3044D">
        <w:t xml:space="preserve">Mikrobranduolių ir chromosomų aberacijos testai su CHO-K1 (kiniškojo žiurkėno kiaušidžių K1) ląstelėmis </w:t>
      </w:r>
      <w:r w:rsidRPr="00D3044D">
        <w:rPr>
          <w:i/>
          <w:iCs/>
        </w:rPr>
        <w:t xml:space="preserve">in vitro </w:t>
      </w:r>
      <w:r w:rsidRPr="00D3044D">
        <w:t xml:space="preserve">bei mikrobranduolių testas su pelėmis </w:t>
      </w:r>
      <w:r w:rsidRPr="00D3044D">
        <w:rPr>
          <w:i/>
          <w:iCs/>
        </w:rPr>
        <w:t xml:space="preserve">in vivo </w:t>
      </w:r>
      <w:r w:rsidRPr="00D3044D">
        <w:t xml:space="preserve">parodė docetakselio mutageninį poveikį. Tačiau Ames testas ir kiniškojo žiurkėno kiaušidžių ląstelių CHO/HGPRT geno mutacijos testas mutageninio poveikio neparodė. Gauti rezultatai atitinka turimą informaciją apie docetakselio farmakologinį poveikį. </w:t>
      </w:r>
    </w:p>
    <w:p w:rsidR="00D3044D" w:rsidRPr="00D3044D" w:rsidRDefault="00D3044D" w:rsidP="00732C31">
      <w:pPr>
        <w:pStyle w:val="BTEMEASMCA"/>
      </w:pPr>
    </w:p>
    <w:p w:rsidR="00D3044D" w:rsidRPr="00D3044D" w:rsidRDefault="00D3044D" w:rsidP="00732C31">
      <w:pPr>
        <w:pStyle w:val="BTEMEASMCA"/>
      </w:pPr>
      <w:r w:rsidRPr="00D3044D">
        <w:t xml:space="preserve">Docetakselis buvo toksiškas triušių ir žiurkių embrionams ir vaisiui bei dėl jo vartojimo sumažėjo žiurkių vaisingumas. Aktualumas žmonėms yra nežinomas. </w:t>
      </w:r>
    </w:p>
    <w:p w:rsidR="00633D05" w:rsidRPr="0084041E" w:rsidRDefault="00633D05" w:rsidP="00732C31">
      <w:pPr>
        <w:pStyle w:val="BTEMEASMCA"/>
      </w:pPr>
    </w:p>
    <w:p w:rsidR="00633D05" w:rsidRPr="0084041E" w:rsidRDefault="00633D05" w:rsidP="00633D05">
      <w:pPr>
        <w:pStyle w:val="PI-1EMEASMCA"/>
      </w:pPr>
      <w:bookmarkStart w:id="38" w:name="_Toc129243115"/>
      <w:bookmarkStart w:id="39" w:name="_Toc129243240"/>
      <w:r w:rsidRPr="0084041E">
        <w:t>6.</w:t>
      </w:r>
      <w:r w:rsidRPr="0084041E">
        <w:tab/>
        <w:t>FARMACINĖ INFORMACIJA</w:t>
      </w:r>
      <w:bookmarkEnd w:id="38"/>
      <w:bookmarkEnd w:id="39"/>
    </w:p>
    <w:p w:rsidR="00633D05" w:rsidRPr="0084041E" w:rsidRDefault="00633D05" w:rsidP="00732C31">
      <w:pPr>
        <w:pStyle w:val="BTEMEASMCA"/>
      </w:pPr>
    </w:p>
    <w:p w:rsidR="00633D05" w:rsidRDefault="00633D05" w:rsidP="00633D05">
      <w:pPr>
        <w:pStyle w:val="PI-2EMEASMCA"/>
      </w:pPr>
      <w:bookmarkStart w:id="40" w:name="_Toc129243116"/>
      <w:bookmarkStart w:id="41" w:name="_Toc129243241"/>
      <w:r w:rsidRPr="0084041E">
        <w:t>6.1</w:t>
      </w:r>
      <w:r w:rsidRPr="0084041E">
        <w:tab/>
        <w:t>Pagalbinių medžiagų sąrašas</w:t>
      </w:r>
      <w:bookmarkEnd w:id="40"/>
      <w:bookmarkEnd w:id="41"/>
    </w:p>
    <w:p w:rsidR="00014208" w:rsidRDefault="00014208" w:rsidP="00D3044D">
      <w:pPr>
        <w:widowControl w:val="0"/>
        <w:autoSpaceDE w:val="0"/>
        <w:autoSpaceDN w:val="0"/>
        <w:adjustRightInd w:val="0"/>
        <w:ind w:right="5477"/>
        <w:rPr>
          <w:rFonts w:eastAsia="MS Mincho"/>
          <w:color w:val="000000"/>
          <w:sz w:val="22"/>
          <w:szCs w:val="22"/>
          <w:lang w:eastAsia="ja-JP" w:bidi="lo-LA"/>
        </w:rPr>
      </w:pPr>
    </w:p>
    <w:p w:rsidR="00D3044D" w:rsidRPr="00D3044D" w:rsidRDefault="00D3044D" w:rsidP="00D3044D">
      <w:pPr>
        <w:widowControl w:val="0"/>
        <w:autoSpaceDE w:val="0"/>
        <w:autoSpaceDN w:val="0"/>
        <w:adjustRightInd w:val="0"/>
        <w:ind w:right="5477"/>
        <w:rPr>
          <w:rFonts w:eastAsia="MS Mincho"/>
          <w:color w:val="000000"/>
          <w:sz w:val="22"/>
          <w:szCs w:val="22"/>
          <w:lang w:eastAsia="ja-JP" w:bidi="lo-LA"/>
        </w:rPr>
      </w:pPr>
      <w:r w:rsidRPr="00D3044D">
        <w:rPr>
          <w:rFonts w:eastAsia="MS Mincho"/>
          <w:color w:val="000000"/>
          <w:sz w:val="22"/>
          <w:szCs w:val="22"/>
          <w:lang w:eastAsia="ja-JP" w:bidi="lo-LA"/>
        </w:rPr>
        <w:t xml:space="preserve">Koncentrato buteliukas: </w:t>
      </w:r>
    </w:p>
    <w:p w:rsidR="00D3044D" w:rsidRPr="00D3044D" w:rsidRDefault="00014208" w:rsidP="00D3044D">
      <w:pPr>
        <w:widowControl w:val="0"/>
        <w:autoSpaceDE w:val="0"/>
        <w:autoSpaceDN w:val="0"/>
        <w:adjustRightInd w:val="0"/>
        <w:ind w:right="5477"/>
        <w:rPr>
          <w:rFonts w:eastAsia="MS Mincho"/>
          <w:color w:val="000000"/>
          <w:sz w:val="22"/>
          <w:szCs w:val="22"/>
          <w:lang w:eastAsia="ja-JP" w:bidi="lo-LA"/>
        </w:rPr>
      </w:pPr>
      <w:r>
        <w:rPr>
          <w:rFonts w:eastAsia="MS Mincho"/>
          <w:color w:val="000000"/>
          <w:sz w:val="22"/>
          <w:szCs w:val="22"/>
          <w:lang w:eastAsia="ja-JP" w:bidi="lo-LA"/>
        </w:rPr>
        <w:t>P</w:t>
      </w:r>
      <w:r w:rsidR="00D3044D" w:rsidRPr="00D3044D">
        <w:rPr>
          <w:rFonts w:eastAsia="MS Mincho"/>
          <w:color w:val="000000"/>
          <w:sz w:val="22"/>
          <w:szCs w:val="22"/>
          <w:lang w:eastAsia="ja-JP" w:bidi="lo-LA"/>
        </w:rPr>
        <w:t>olisorbatas 80 (E433)</w:t>
      </w:r>
    </w:p>
    <w:p w:rsidR="00D3044D" w:rsidRPr="00D3044D" w:rsidRDefault="00014208" w:rsidP="00D3044D">
      <w:pPr>
        <w:widowControl w:val="0"/>
        <w:autoSpaceDE w:val="0"/>
        <w:autoSpaceDN w:val="0"/>
        <w:adjustRightInd w:val="0"/>
        <w:ind w:right="5477"/>
        <w:rPr>
          <w:rFonts w:eastAsia="MS Mincho"/>
          <w:color w:val="000000"/>
          <w:lang w:eastAsia="ja-JP" w:bidi="lo-LA"/>
        </w:rPr>
      </w:pPr>
      <w:r>
        <w:rPr>
          <w:rFonts w:eastAsia="MS Mincho"/>
          <w:color w:val="000000"/>
          <w:sz w:val="22"/>
          <w:szCs w:val="22"/>
          <w:lang w:eastAsia="ja-JP" w:bidi="lo-LA"/>
        </w:rPr>
        <w:t>B</w:t>
      </w:r>
      <w:r w:rsidRPr="00D3044D">
        <w:rPr>
          <w:rFonts w:eastAsia="MS Mincho"/>
          <w:color w:val="000000"/>
          <w:sz w:val="22"/>
          <w:szCs w:val="22"/>
          <w:lang w:eastAsia="ja-JP" w:bidi="lo-LA"/>
        </w:rPr>
        <w:t xml:space="preserve">evandenė </w:t>
      </w:r>
      <w:r w:rsidR="00D3044D" w:rsidRPr="00D3044D">
        <w:rPr>
          <w:rFonts w:eastAsia="MS Mincho"/>
          <w:color w:val="000000"/>
          <w:sz w:val="22"/>
          <w:szCs w:val="22"/>
          <w:lang w:eastAsia="ja-JP" w:bidi="lo-LA"/>
        </w:rPr>
        <w:t>citrin</w:t>
      </w:r>
      <w:r>
        <w:rPr>
          <w:rFonts w:eastAsia="MS Mincho"/>
          <w:color w:val="000000"/>
          <w:sz w:val="22"/>
          <w:szCs w:val="22"/>
          <w:lang w:eastAsia="ja-JP" w:bidi="lo-LA"/>
        </w:rPr>
        <w:t>ų</w:t>
      </w:r>
      <w:r w:rsidR="00D3044D" w:rsidRPr="00D3044D">
        <w:rPr>
          <w:rFonts w:eastAsia="MS Mincho"/>
          <w:color w:val="000000"/>
          <w:sz w:val="22"/>
          <w:szCs w:val="22"/>
          <w:lang w:eastAsia="ja-JP" w:bidi="lo-LA"/>
        </w:rPr>
        <w:t xml:space="preserve"> rūgštis (E330) </w:t>
      </w:r>
    </w:p>
    <w:p w:rsidR="00D3044D" w:rsidRPr="00D3044D" w:rsidRDefault="00D3044D" w:rsidP="00D3044D">
      <w:pPr>
        <w:rPr>
          <w:rFonts w:eastAsia="MS Mincho"/>
          <w:sz w:val="22"/>
          <w:szCs w:val="22"/>
          <w:lang w:eastAsia="ja-JP" w:bidi="lo-LA"/>
        </w:rPr>
      </w:pPr>
    </w:p>
    <w:p w:rsidR="00D3044D" w:rsidRPr="00D3044D" w:rsidRDefault="00D3044D" w:rsidP="00D3044D">
      <w:pPr>
        <w:widowControl w:val="0"/>
        <w:autoSpaceDE w:val="0"/>
        <w:autoSpaceDN w:val="0"/>
        <w:adjustRightInd w:val="0"/>
        <w:ind w:right="5477"/>
        <w:rPr>
          <w:rFonts w:eastAsia="MS Mincho"/>
          <w:color w:val="000000"/>
          <w:sz w:val="22"/>
          <w:szCs w:val="22"/>
          <w:lang w:eastAsia="ja-JP" w:bidi="lo-LA"/>
        </w:rPr>
      </w:pPr>
      <w:r w:rsidRPr="00D3044D">
        <w:rPr>
          <w:rFonts w:eastAsia="MS Mincho"/>
          <w:color w:val="000000"/>
          <w:sz w:val="22"/>
          <w:szCs w:val="22"/>
          <w:lang w:eastAsia="ja-JP" w:bidi="lo-LA"/>
        </w:rPr>
        <w:t xml:space="preserve">Tirpiklio buteliukas: </w:t>
      </w:r>
    </w:p>
    <w:p w:rsidR="00D3044D" w:rsidRPr="00D3044D" w:rsidRDefault="00732C31" w:rsidP="00D3044D">
      <w:pPr>
        <w:widowControl w:val="0"/>
        <w:autoSpaceDE w:val="0"/>
        <w:autoSpaceDN w:val="0"/>
        <w:adjustRightInd w:val="0"/>
        <w:ind w:right="5477"/>
        <w:rPr>
          <w:rFonts w:eastAsia="MS Mincho"/>
          <w:color w:val="000000"/>
          <w:sz w:val="22"/>
          <w:szCs w:val="22"/>
          <w:lang w:eastAsia="ja-JP" w:bidi="lo-LA"/>
        </w:rPr>
      </w:pPr>
      <w:r>
        <w:rPr>
          <w:rFonts w:eastAsia="MS Mincho"/>
          <w:color w:val="000000"/>
          <w:sz w:val="22"/>
          <w:szCs w:val="22"/>
          <w:lang w:eastAsia="ja-JP" w:bidi="lo-LA"/>
        </w:rPr>
        <w:t>B</w:t>
      </w:r>
      <w:r w:rsidRPr="00D3044D">
        <w:rPr>
          <w:rFonts w:eastAsia="MS Mincho"/>
          <w:color w:val="000000"/>
          <w:sz w:val="22"/>
          <w:szCs w:val="22"/>
          <w:lang w:eastAsia="ja-JP" w:bidi="lo-LA"/>
        </w:rPr>
        <w:t xml:space="preserve">evandenis </w:t>
      </w:r>
      <w:r w:rsidR="00D3044D" w:rsidRPr="00D3044D">
        <w:rPr>
          <w:rFonts w:eastAsia="MS Mincho"/>
          <w:color w:val="000000"/>
          <w:sz w:val="22"/>
          <w:szCs w:val="22"/>
          <w:lang w:eastAsia="ja-JP" w:bidi="lo-LA"/>
        </w:rPr>
        <w:t xml:space="preserve">etanolis (E1510) </w:t>
      </w:r>
      <w:r w:rsidR="00D3044D" w:rsidRPr="00D3044D">
        <w:rPr>
          <w:rFonts w:eastAsia="MS Mincho"/>
          <w:color w:val="000000"/>
          <w:sz w:val="22"/>
          <w:szCs w:val="22"/>
          <w:lang w:eastAsia="ja-JP" w:bidi="lo-LA"/>
        </w:rPr>
        <w:br/>
      </w:r>
      <w:r w:rsidR="00014208">
        <w:rPr>
          <w:rFonts w:eastAsia="MS Mincho"/>
          <w:color w:val="000000"/>
          <w:sz w:val="22"/>
          <w:szCs w:val="22"/>
          <w:lang w:eastAsia="ja-JP" w:bidi="lo-LA"/>
        </w:rPr>
        <w:t>I</w:t>
      </w:r>
      <w:r w:rsidR="00D3044D" w:rsidRPr="00D3044D">
        <w:rPr>
          <w:rFonts w:eastAsia="MS Mincho"/>
          <w:color w:val="000000"/>
          <w:sz w:val="22"/>
          <w:szCs w:val="22"/>
          <w:lang w:eastAsia="ja-JP" w:bidi="lo-LA"/>
        </w:rPr>
        <w:t xml:space="preserve">njekcinis vanduo </w:t>
      </w:r>
    </w:p>
    <w:p w:rsidR="00D3044D" w:rsidRPr="0084041E" w:rsidRDefault="00D3044D" w:rsidP="00633D05">
      <w:pPr>
        <w:pStyle w:val="PI-2EMEASMCA"/>
      </w:pPr>
    </w:p>
    <w:p w:rsidR="00633D05" w:rsidRPr="0084041E" w:rsidRDefault="00633D05" w:rsidP="00633D05">
      <w:pPr>
        <w:pStyle w:val="PI-2EMEASMCA"/>
      </w:pPr>
      <w:bookmarkStart w:id="42" w:name="_Toc129243117"/>
      <w:bookmarkStart w:id="43" w:name="_Toc129243242"/>
      <w:r w:rsidRPr="0084041E">
        <w:t>6.2</w:t>
      </w:r>
      <w:r w:rsidRPr="0084041E">
        <w:tab/>
        <w:t>Nesuderinamumas</w:t>
      </w:r>
      <w:bookmarkEnd w:id="42"/>
      <w:bookmarkEnd w:id="43"/>
    </w:p>
    <w:p w:rsidR="00813F6D" w:rsidRDefault="00813F6D" w:rsidP="00732C31">
      <w:pPr>
        <w:pStyle w:val="BTEMEASMCA"/>
      </w:pPr>
    </w:p>
    <w:p w:rsidR="00D3044D" w:rsidRPr="00D3044D" w:rsidRDefault="00D3044D" w:rsidP="00732C31">
      <w:pPr>
        <w:pStyle w:val="BTEMEASMCA"/>
      </w:pPr>
      <w:r w:rsidRPr="00D3044D">
        <w:t xml:space="preserve">Šio vaistinio preparato negalima maišyti su kitais, išskyrus </w:t>
      </w:r>
      <w:r w:rsidR="00813F6D">
        <w:t>nurodytus</w:t>
      </w:r>
      <w:r w:rsidRPr="00D3044D">
        <w:t xml:space="preserve"> 6.6 skyriuje. </w:t>
      </w:r>
    </w:p>
    <w:p w:rsidR="00633D05" w:rsidRPr="0084041E" w:rsidRDefault="00633D05" w:rsidP="00732C31">
      <w:pPr>
        <w:pStyle w:val="BTEMEASMCA"/>
      </w:pPr>
    </w:p>
    <w:p w:rsidR="00633D05" w:rsidRPr="0084041E" w:rsidRDefault="00633D05" w:rsidP="00633D05">
      <w:pPr>
        <w:pStyle w:val="PI-2EMEASMCA"/>
      </w:pPr>
      <w:bookmarkStart w:id="44" w:name="_Toc129243118"/>
      <w:bookmarkStart w:id="45" w:name="_Toc129243243"/>
      <w:r w:rsidRPr="0084041E">
        <w:t>6.3</w:t>
      </w:r>
      <w:r w:rsidRPr="0084041E">
        <w:tab/>
        <w:t>Tinkamumo laikas</w:t>
      </w:r>
      <w:bookmarkEnd w:id="44"/>
      <w:bookmarkEnd w:id="45"/>
    </w:p>
    <w:p w:rsidR="00633D05" w:rsidRPr="0084041E" w:rsidRDefault="00633D05" w:rsidP="00732C31">
      <w:pPr>
        <w:pStyle w:val="BTEMEASMCA"/>
      </w:pPr>
    </w:p>
    <w:p w:rsidR="00D3044D" w:rsidRPr="00D3044D" w:rsidRDefault="00D3044D" w:rsidP="00C93814">
      <w:pPr>
        <w:pStyle w:val="BTEMEASMCA"/>
      </w:pPr>
      <w:r w:rsidRPr="00D3044D">
        <w:t xml:space="preserve">2 metai. </w:t>
      </w:r>
    </w:p>
    <w:p w:rsidR="00D3044D" w:rsidRPr="00D3044D" w:rsidRDefault="00D3044D" w:rsidP="00C93814">
      <w:pPr>
        <w:pStyle w:val="BTEMEASMCA"/>
      </w:pPr>
      <w:r w:rsidRPr="00D3044D">
        <w:t>Paruoštas tirpalas: paruoštame tirpale yra 10 mg/ml docetakselio ir jį reikia suvartoti nedelsiant po paruošimo. Paruošto tirpalo cheminės ir fizinės savybės išlieka stabilios 8 valandas laikant 2</w:t>
      </w:r>
      <w:r w:rsidR="00813F6D" w:rsidRPr="00D3044D">
        <w:t xml:space="preserve">°C </w:t>
      </w:r>
      <w:r w:rsidRPr="00D3044D">
        <w:t>–8 °C arba kambario temperatūroje (</w:t>
      </w:r>
      <w:r w:rsidR="00813F6D">
        <w:t>žemesnėje</w:t>
      </w:r>
      <w:r w:rsidRPr="00D3044D">
        <w:t xml:space="preserve"> kaip 25 °C). </w:t>
      </w:r>
    </w:p>
    <w:p w:rsidR="00D3044D" w:rsidRPr="00D3044D" w:rsidRDefault="00D3044D" w:rsidP="00C93814">
      <w:pPr>
        <w:pStyle w:val="BTEMEASMCA"/>
      </w:pPr>
      <w:r w:rsidRPr="00D3044D">
        <w:t>Infuzinis tirpalas: infuzinio tirpalo cheminės ir fizinės savybės išlieka stabilios 4 valandas laikant 2</w:t>
      </w:r>
      <w:r w:rsidR="00813F6D" w:rsidRPr="00D3044D">
        <w:t xml:space="preserve">°C </w:t>
      </w:r>
      <w:r w:rsidRPr="00D3044D">
        <w:t>–8 °C arba kambario temperatūroje (</w:t>
      </w:r>
      <w:r w:rsidR="00813F6D">
        <w:t>žemesnėje</w:t>
      </w:r>
      <w:r w:rsidRPr="00D3044D">
        <w:t xml:space="preserve"> kaip 25 °C) </w:t>
      </w:r>
    </w:p>
    <w:p w:rsidR="00D3044D" w:rsidRPr="00D3044D" w:rsidRDefault="00D3044D" w:rsidP="00C93814">
      <w:pPr>
        <w:pStyle w:val="BTEMEASMCA"/>
      </w:pPr>
      <w:r w:rsidRPr="00D3044D">
        <w:t>Mikrobiologiniu požiūriu</w:t>
      </w:r>
      <w:r w:rsidR="00813F6D">
        <w:t>,</w:t>
      </w:r>
      <w:r w:rsidRPr="00D3044D">
        <w:t xml:space="preserve"> šis preparatas turi būti vartojamas nedelsiant. Jeigu iš karto nevartojamas, už laikymo laiką ir sąlygas atsako vartotojas ir paprastai laikymo trukmė bus ne daugiau nei 24 valandos laikant 2</w:t>
      </w:r>
      <w:r w:rsidR="00813F6D" w:rsidRPr="00D3044D">
        <w:t xml:space="preserve">°C </w:t>
      </w:r>
      <w:r w:rsidRPr="00D3044D">
        <w:t xml:space="preserve">–8 °C temperatūroje, jeigu tirpalas nebuvo ruošiamas / skiedžiamas kontroliuojamomis ir patvirtintomis </w:t>
      </w:r>
      <w:r w:rsidR="00813F6D">
        <w:t>aseptinėmis</w:t>
      </w:r>
      <w:r w:rsidR="00813F6D" w:rsidRPr="00D3044D">
        <w:t xml:space="preserve"> </w:t>
      </w:r>
      <w:r w:rsidRPr="00D3044D">
        <w:t xml:space="preserve">sąlygomis. Tačiau ši laikymo trukmė niekada negali viršyti preparato cheminių ir fizinių savybių išlikimo stabiliomis trukmės. </w:t>
      </w:r>
    </w:p>
    <w:p w:rsidR="00633D05" w:rsidRPr="0084041E" w:rsidRDefault="00633D05" w:rsidP="00732C31">
      <w:pPr>
        <w:pStyle w:val="BTEMEASMCA"/>
      </w:pPr>
    </w:p>
    <w:p w:rsidR="00633D05" w:rsidRPr="0084041E" w:rsidRDefault="00633D05" w:rsidP="00C10295">
      <w:pPr>
        <w:pStyle w:val="PI-2EMEASMCA"/>
      </w:pPr>
      <w:bookmarkStart w:id="46" w:name="_Toc129243119"/>
      <w:bookmarkStart w:id="47" w:name="_Toc129243244"/>
      <w:r w:rsidRPr="0084041E">
        <w:t>6.4</w:t>
      </w:r>
      <w:r w:rsidRPr="0084041E">
        <w:tab/>
        <w:t>Specialios laikymo sąlygos</w:t>
      </w:r>
      <w:bookmarkEnd w:id="46"/>
      <w:bookmarkEnd w:id="47"/>
    </w:p>
    <w:p w:rsidR="00633D05" w:rsidRPr="0084041E" w:rsidRDefault="00633D05" w:rsidP="00732C31">
      <w:pPr>
        <w:pStyle w:val="BTEMEASMCA"/>
      </w:pPr>
    </w:p>
    <w:p w:rsidR="00D3044D" w:rsidRPr="00D3044D" w:rsidRDefault="00D3044D" w:rsidP="00732C31">
      <w:pPr>
        <w:pStyle w:val="BTEMEASMCA"/>
      </w:pPr>
      <w:r w:rsidRPr="00D3044D">
        <w:t xml:space="preserve">Laikyti </w:t>
      </w:r>
      <w:r w:rsidR="00D74CDB">
        <w:t xml:space="preserve">ne </w:t>
      </w:r>
      <w:r w:rsidR="00D74CDB" w:rsidRPr="00D3044D">
        <w:t>aukštesnėje</w:t>
      </w:r>
      <w:r w:rsidR="00D74CDB" w:rsidRPr="00D3044D" w:rsidDel="00D74CDB">
        <w:t xml:space="preserve"> </w:t>
      </w:r>
      <w:r w:rsidRPr="00D3044D">
        <w:t xml:space="preserve">kaip 25°C arba </w:t>
      </w:r>
      <w:r w:rsidR="00D74CDB" w:rsidRPr="00D3044D">
        <w:t xml:space="preserve">žemesnėje </w:t>
      </w:r>
      <w:r w:rsidRPr="00D3044D">
        <w:t xml:space="preserve">kaip 2 °C temperatūroje. </w:t>
      </w:r>
    </w:p>
    <w:p w:rsidR="00D3044D" w:rsidRPr="00D3044D" w:rsidRDefault="00D3044D" w:rsidP="00732C31">
      <w:pPr>
        <w:pStyle w:val="BTEMEASMCA"/>
      </w:pPr>
      <w:r w:rsidRPr="00D3044D">
        <w:t xml:space="preserve">Buteliuką laikyti išorinėje dėžutėje, kad preparatas būtų apsaugotas nuo šviesos. </w:t>
      </w:r>
    </w:p>
    <w:p w:rsidR="00D3044D" w:rsidRPr="00D3044D" w:rsidRDefault="00D3044D" w:rsidP="00732C31">
      <w:pPr>
        <w:pStyle w:val="BTEMEASMCA"/>
      </w:pPr>
      <w:r w:rsidRPr="00D3044D">
        <w:t xml:space="preserve">Praskiesto vaistinio preparato laikymo sąlygos </w:t>
      </w:r>
      <w:r w:rsidR="00D74CDB">
        <w:t>pateikiamos</w:t>
      </w:r>
      <w:r w:rsidR="00D74CDB" w:rsidRPr="00D3044D">
        <w:t xml:space="preserve"> </w:t>
      </w:r>
      <w:r w:rsidRPr="00D3044D">
        <w:t xml:space="preserve">6.3 skyriuje. </w:t>
      </w:r>
    </w:p>
    <w:p w:rsidR="00633D05" w:rsidRPr="0084041E" w:rsidRDefault="00633D05" w:rsidP="00732C31">
      <w:pPr>
        <w:pStyle w:val="BTEMEASMCA"/>
      </w:pPr>
    </w:p>
    <w:p w:rsidR="00633D05" w:rsidRPr="0084041E" w:rsidRDefault="00633D05" w:rsidP="00633D05">
      <w:pPr>
        <w:pStyle w:val="PI-2EMEASMCA"/>
      </w:pPr>
      <w:bookmarkStart w:id="48" w:name="_Toc129243120"/>
      <w:bookmarkStart w:id="49" w:name="_Toc129243245"/>
      <w:r w:rsidRPr="0084041E">
        <w:t>6.5</w:t>
      </w:r>
      <w:r w:rsidRPr="0084041E">
        <w:tab/>
      </w:r>
      <w:r w:rsidR="00D74CDB">
        <w:t>Talpyklės pobūdis</w:t>
      </w:r>
      <w:r w:rsidR="00D74CDB" w:rsidRPr="0084041E">
        <w:t xml:space="preserve"> </w:t>
      </w:r>
      <w:r w:rsidRPr="0084041E">
        <w:t>ir jos turinys</w:t>
      </w:r>
      <w:bookmarkEnd w:id="48"/>
      <w:bookmarkEnd w:id="49"/>
    </w:p>
    <w:p w:rsidR="00633D05" w:rsidRPr="0084041E" w:rsidRDefault="00633D05" w:rsidP="00732C31">
      <w:pPr>
        <w:pStyle w:val="BTEMEASMCA"/>
      </w:pPr>
    </w:p>
    <w:p w:rsidR="00D3044D" w:rsidRPr="00D3044D" w:rsidRDefault="00D3044D" w:rsidP="00732C31">
      <w:pPr>
        <w:pStyle w:val="BTEMEASMCA"/>
      </w:pPr>
      <w:r w:rsidRPr="00D3044D">
        <w:t xml:space="preserve">Kiekvienoje kartoninėje dėžutėje yra: </w:t>
      </w:r>
    </w:p>
    <w:p w:rsidR="00D3044D" w:rsidRPr="00D3044D" w:rsidRDefault="00D3044D" w:rsidP="00732C31">
      <w:pPr>
        <w:pStyle w:val="BTEMEASMCA"/>
        <w:numPr>
          <w:ilvl w:val="0"/>
          <w:numId w:val="7"/>
        </w:numPr>
      </w:pPr>
      <w:r w:rsidRPr="00D3044D">
        <w:t xml:space="preserve">vienas vienadozis koncentrato buteliukas; </w:t>
      </w:r>
    </w:p>
    <w:p w:rsidR="00D3044D" w:rsidRPr="00D3044D" w:rsidRDefault="00D3044D" w:rsidP="00732C31">
      <w:pPr>
        <w:pStyle w:val="BTEMEASMCA"/>
        <w:numPr>
          <w:ilvl w:val="0"/>
          <w:numId w:val="7"/>
        </w:numPr>
      </w:pPr>
      <w:r w:rsidRPr="00D3044D">
        <w:t xml:space="preserve">vienas vienadozis tirpiklio buteliukas. </w:t>
      </w:r>
    </w:p>
    <w:p w:rsidR="00D3044D" w:rsidRPr="00D3044D" w:rsidRDefault="00D3044D" w:rsidP="00732C31">
      <w:pPr>
        <w:pStyle w:val="BTEMEASMCA"/>
      </w:pPr>
    </w:p>
    <w:p w:rsidR="00D3044D" w:rsidRPr="00D3044D" w:rsidRDefault="00D3044D" w:rsidP="00732C31">
      <w:pPr>
        <w:pStyle w:val="BTEMEASMCA"/>
      </w:pPr>
      <w:r w:rsidRPr="00D3044D">
        <w:t xml:space="preserve">Galima įsigyti dviejų dydžių pakuotes: </w:t>
      </w:r>
    </w:p>
    <w:p w:rsidR="00D3044D" w:rsidRPr="00D3044D" w:rsidRDefault="00D3044D" w:rsidP="00732C31">
      <w:pPr>
        <w:pStyle w:val="BTEMEASMCA"/>
        <w:numPr>
          <w:ilvl w:val="0"/>
          <w:numId w:val="7"/>
        </w:numPr>
      </w:pPr>
      <w:r w:rsidRPr="00D3044D">
        <w:t xml:space="preserve">dėžutę, kurioje yra 20 mg/0,5 ml koncentrato infuziniam tirpalui buteliukas ir 1,8 ml tirpiklio buteliukas. </w:t>
      </w:r>
    </w:p>
    <w:p w:rsidR="00D3044D" w:rsidRPr="00D3044D" w:rsidRDefault="00D3044D" w:rsidP="00732C31">
      <w:pPr>
        <w:pStyle w:val="BTEMEASMCA"/>
        <w:numPr>
          <w:ilvl w:val="0"/>
          <w:numId w:val="7"/>
        </w:numPr>
      </w:pPr>
      <w:r w:rsidRPr="00D3044D">
        <w:t xml:space="preserve">dėžutę, kurioje yra 80 mg/2 ml koncentrato infuziniam tirpalui buteliukas ir 7,1 ml tirpiklio buteliukas. </w:t>
      </w:r>
    </w:p>
    <w:p w:rsidR="00D3044D" w:rsidRPr="00D3044D" w:rsidRDefault="00D3044D" w:rsidP="00732C31">
      <w:pPr>
        <w:pStyle w:val="BTEMEASMCA"/>
      </w:pPr>
    </w:p>
    <w:p w:rsidR="00D3044D" w:rsidRPr="003718ED" w:rsidRDefault="00BB492C" w:rsidP="00732C31">
      <w:pPr>
        <w:pStyle w:val="BTEMEASMCA"/>
        <w:rPr>
          <w:u w:val="single"/>
        </w:rPr>
      </w:pPr>
      <w:r w:rsidRPr="003718ED">
        <w:rPr>
          <w:u w:val="single"/>
        </w:rPr>
        <w:t>D</w:t>
      </w:r>
      <w:r w:rsidR="00D3044D" w:rsidRPr="003718ED">
        <w:rPr>
          <w:u w:val="single"/>
        </w:rPr>
        <w:t>ėžut</w:t>
      </w:r>
      <w:r w:rsidRPr="003718ED">
        <w:rPr>
          <w:u w:val="single"/>
        </w:rPr>
        <w:t>ė</w:t>
      </w:r>
      <w:r w:rsidR="00D3044D" w:rsidRPr="003718ED">
        <w:rPr>
          <w:u w:val="single"/>
        </w:rPr>
        <w:t xml:space="preserve">, kurioje yra 20 mg/0,5 ml koncentrato infuziniam tirpalui buteliukas ir 1,8 ml tirpiklio buteliukas. </w:t>
      </w:r>
    </w:p>
    <w:p w:rsidR="00D3044D" w:rsidRPr="00D3044D" w:rsidRDefault="00D3044D" w:rsidP="00732C31">
      <w:pPr>
        <w:pStyle w:val="BTEMEASMCA"/>
      </w:pPr>
    </w:p>
    <w:p w:rsidR="00D3044D" w:rsidRPr="00D3044D" w:rsidRDefault="00D3044D" w:rsidP="00732C31">
      <w:pPr>
        <w:pStyle w:val="BTEMEASMCA"/>
      </w:pPr>
      <w:r w:rsidRPr="00D3044D">
        <w:t xml:space="preserve">Koncentrato infuziniam tirpalui buteliukas – tai 5 ml tūrio skaidraus I tipo stiklo buteliukas su violetiniu nuplėšiamuoju aliuminio dangteliu. </w:t>
      </w:r>
    </w:p>
    <w:p w:rsidR="00D3044D" w:rsidRPr="00D3044D" w:rsidRDefault="00D3044D" w:rsidP="00732C31">
      <w:pPr>
        <w:pStyle w:val="BTEMEASMCA"/>
      </w:pPr>
    </w:p>
    <w:p w:rsidR="00D3044D" w:rsidRPr="00D3044D" w:rsidRDefault="00D3044D" w:rsidP="00732C31">
      <w:pPr>
        <w:pStyle w:val="BTEMEASMCA"/>
      </w:pPr>
      <w:r w:rsidRPr="00D3044D">
        <w:t>Šiame buteliuke yra 0,5 ml docetakselio 40 mg/ml tirpalo polisorbate 80 (užpildomasis tūris: 26,8</w:t>
      </w:r>
      <w:r w:rsidR="00BB492C">
        <w:t> </w:t>
      </w:r>
      <w:r w:rsidRPr="00D3044D">
        <w:t xml:space="preserve">mg/0,67 ml). Šis užpildomasis buteliuko tūris buvo nustatytas preparato kūrimo metu, kad ruošiant tirpalą, būtų kompensuota skysčio netektis dėl putojimo, adhezijos prie buteliuko sienelių ir nenaudingo tūrio. Šis perviršis užtikrina, kad buteliuke esantį koncentratą sumaišius su visu tirpiklio kiekiu, mažiausias ištraukiamas </w:t>
      </w:r>
      <w:r w:rsidR="00D225BB">
        <w:t>paruošto</w:t>
      </w:r>
      <w:r w:rsidR="00D225BB" w:rsidRPr="00D3044D">
        <w:t xml:space="preserve"> </w:t>
      </w:r>
      <w:r w:rsidRPr="00D3044D">
        <w:t xml:space="preserve">tirpalo, kuriame docetakselio yra 10 mg/ml, kiekis bus 2 ml. Tai atitinka 20 mg buteliuke kiekį. </w:t>
      </w:r>
    </w:p>
    <w:p w:rsidR="00D3044D" w:rsidRPr="00D3044D" w:rsidRDefault="00D3044D" w:rsidP="00732C31">
      <w:pPr>
        <w:pStyle w:val="BTEMEASMCA"/>
      </w:pPr>
    </w:p>
    <w:p w:rsidR="00D3044D" w:rsidRPr="00D3044D" w:rsidRDefault="00D3044D" w:rsidP="00732C31">
      <w:pPr>
        <w:pStyle w:val="BTEMEASMCA"/>
      </w:pPr>
      <w:r w:rsidRPr="00D3044D">
        <w:t xml:space="preserve">Tirpiklio buteliukas yra 5 ml skaidraus I tipo stiklo buteliukas su žaliu nuplėšiamuoju aliuminio dangteliu. </w:t>
      </w:r>
    </w:p>
    <w:p w:rsidR="00D3044D" w:rsidRPr="00D3044D" w:rsidRDefault="00D3044D" w:rsidP="00732C31">
      <w:pPr>
        <w:pStyle w:val="BTEMEASMCA"/>
      </w:pPr>
    </w:p>
    <w:p w:rsidR="00D3044D" w:rsidRPr="00D3044D" w:rsidRDefault="00D3044D" w:rsidP="00732C31">
      <w:pPr>
        <w:pStyle w:val="BTEMEASMCA"/>
      </w:pPr>
      <w:r w:rsidRPr="00D3044D">
        <w:lastRenderedPageBreak/>
        <w:t>Tirpiklio buteliuke yra 1,8 ml 13 % m/</w:t>
      </w:r>
      <w:r w:rsidR="00BB492C">
        <w:t>m</w:t>
      </w:r>
      <w:r w:rsidRPr="00D3044D">
        <w:t xml:space="preserve"> etanolio tirpalo injekciniame vandenyje (užpild</w:t>
      </w:r>
      <w:r w:rsidR="00D225BB">
        <w:t>omasis</w:t>
      </w:r>
      <w:r w:rsidRPr="00D3044D">
        <w:t xml:space="preserve"> tūris: 2,0</w:t>
      </w:r>
      <w:r w:rsidR="00BB492C">
        <w:t> </w:t>
      </w:r>
      <w:r w:rsidRPr="00D3044D">
        <w:t xml:space="preserve">ml). Visą tirpiklio buteliuko turinį suleidus į koncentrato infuziniam tirpalui buteliuką, </w:t>
      </w:r>
      <w:r w:rsidR="00D225BB">
        <w:t>paruoštame</w:t>
      </w:r>
      <w:r w:rsidR="00D225BB" w:rsidRPr="00D3044D">
        <w:t xml:space="preserve"> </w:t>
      </w:r>
      <w:r w:rsidRPr="00D3044D">
        <w:t xml:space="preserve">tirpale docetakselio bus 10 mg/ml. </w:t>
      </w:r>
    </w:p>
    <w:p w:rsidR="00D3044D" w:rsidRPr="00D3044D" w:rsidRDefault="00D3044D" w:rsidP="00732C31">
      <w:pPr>
        <w:pStyle w:val="BTEMEASMCA"/>
      </w:pPr>
    </w:p>
    <w:p w:rsidR="00D3044D" w:rsidRPr="007662F1" w:rsidRDefault="00BB492C" w:rsidP="00732C31">
      <w:pPr>
        <w:pStyle w:val="BTEMEASMCA"/>
        <w:rPr>
          <w:u w:val="single"/>
        </w:rPr>
      </w:pPr>
      <w:r w:rsidRPr="007662F1">
        <w:rPr>
          <w:u w:val="single"/>
        </w:rPr>
        <w:t>D</w:t>
      </w:r>
      <w:r w:rsidR="00D3044D" w:rsidRPr="007662F1">
        <w:rPr>
          <w:u w:val="single"/>
        </w:rPr>
        <w:t>ėžut</w:t>
      </w:r>
      <w:r w:rsidRPr="007662F1">
        <w:rPr>
          <w:u w:val="single"/>
        </w:rPr>
        <w:t>ė</w:t>
      </w:r>
      <w:r w:rsidR="00D3044D" w:rsidRPr="007662F1">
        <w:rPr>
          <w:u w:val="single"/>
        </w:rPr>
        <w:t xml:space="preserve">, kurioje yra 80 mg/2ml koncentrato infuziniam tirpalui buteliukas ir 7,1 ml tirpiklio buteliukas. </w:t>
      </w:r>
    </w:p>
    <w:p w:rsidR="00D3044D" w:rsidRPr="00D3044D" w:rsidRDefault="00D3044D" w:rsidP="00732C31">
      <w:pPr>
        <w:pStyle w:val="BTEMEASMCA"/>
      </w:pPr>
    </w:p>
    <w:p w:rsidR="00D3044D" w:rsidRPr="00D3044D" w:rsidRDefault="00D3044D" w:rsidP="00732C31">
      <w:pPr>
        <w:pStyle w:val="BTEMEASMCA"/>
      </w:pPr>
      <w:r w:rsidRPr="00D3044D">
        <w:t xml:space="preserve">Koncentrato infuziniam tirpalui buteliukas – tai 10 ml tūrio skaidraus I tipo stiklo buteliukas su violetiniu nuplėšiamuoju aliuminio dangteliu. </w:t>
      </w:r>
    </w:p>
    <w:p w:rsidR="00D3044D" w:rsidRPr="00D3044D" w:rsidRDefault="00D3044D" w:rsidP="00732C31">
      <w:pPr>
        <w:pStyle w:val="BTEMEASMCA"/>
      </w:pPr>
    </w:p>
    <w:p w:rsidR="00D3044D" w:rsidRPr="00D3044D" w:rsidRDefault="00D3044D" w:rsidP="00732C31">
      <w:pPr>
        <w:pStyle w:val="BTEMEASMCA"/>
      </w:pPr>
      <w:r w:rsidRPr="00D3044D">
        <w:t>Šiame buteliuke yra 2 ml docetakselio 40 mg/ml tirpalo polisorbate 80 (užpildomasis tūris: 96</w:t>
      </w:r>
      <w:r w:rsidR="00C10295">
        <w:t> </w:t>
      </w:r>
      <w:r w:rsidRPr="00D3044D">
        <w:t>mg/2,4</w:t>
      </w:r>
      <w:r w:rsidR="00C10295">
        <w:t> </w:t>
      </w:r>
      <w:r w:rsidRPr="00D3044D">
        <w:t xml:space="preserve">ml). Šis užpildomasis buteliuko tūris buvo nustatytas preparato kūrimo metu, kad ruošiant tirpalą, būtų kompensuota skysčio netektis dėl putojimo, adhezijos prie buteliuko sienelių ir nenaudingo tūrio. Šis perviršis užtikrina, kad buteliuke esantį koncentratą sumaišius su visu tirpiklio kiekiu, mažiausias ištraukiamas </w:t>
      </w:r>
      <w:r w:rsidR="00D225BB">
        <w:t>paruošto</w:t>
      </w:r>
      <w:r w:rsidR="00D225BB" w:rsidRPr="00D3044D">
        <w:t xml:space="preserve"> </w:t>
      </w:r>
      <w:r w:rsidRPr="00D3044D">
        <w:t>tirpalo, kuriame docetakselio yra 10 mg/ml, kiekis bus 8</w:t>
      </w:r>
      <w:r w:rsidR="00C10295">
        <w:t> </w:t>
      </w:r>
      <w:r w:rsidRPr="00D3044D">
        <w:t xml:space="preserve">ml. Tai atitinka 80 mg buteliuke kiekį. </w:t>
      </w:r>
    </w:p>
    <w:p w:rsidR="00D3044D" w:rsidRPr="00D3044D" w:rsidRDefault="00D3044D" w:rsidP="00732C31">
      <w:pPr>
        <w:pStyle w:val="BTEMEASMCA"/>
      </w:pPr>
    </w:p>
    <w:p w:rsidR="00D3044D" w:rsidRPr="00D3044D" w:rsidRDefault="00D3044D" w:rsidP="00732C31">
      <w:pPr>
        <w:pStyle w:val="BTEMEASMCA"/>
      </w:pPr>
      <w:r w:rsidRPr="00D3044D">
        <w:t xml:space="preserve">Tirpiklio buteliukas yra 10 ml skaidraus I tipo stiklo buteliukas su žaliu nuplėšiamuoju aliuminio dangteliu. </w:t>
      </w:r>
    </w:p>
    <w:p w:rsidR="00D3044D" w:rsidRPr="00D3044D" w:rsidRDefault="00D3044D" w:rsidP="00732C31">
      <w:pPr>
        <w:pStyle w:val="BTEMEASMCA"/>
      </w:pPr>
    </w:p>
    <w:p w:rsidR="00D3044D" w:rsidRPr="00D3044D" w:rsidRDefault="00D3044D" w:rsidP="00732C31">
      <w:pPr>
        <w:pStyle w:val="BTEMEASMCA"/>
      </w:pPr>
      <w:r w:rsidRPr="00D3044D">
        <w:t>Tirpiklio buteliuke yra 7,1 ml 13 % m/</w:t>
      </w:r>
      <w:r w:rsidR="00C10295">
        <w:t>m</w:t>
      </w:r>
      <w:r w:rsidRPr="00D3044D">
        <w:t xml:space="preserve"> etanolio tirpalo injekciniame vandenyje (užpild</w:t>
      </w:r>
      <w:r w:rsidR="00D225BB">
        <w:t>omasis</w:t>
      </w:r>
      <w:r w:rsidRPr="00D3044D">
        <w:t xml:space="preserve"> tūris: 7,</w:t>
      </w:r>
      <w:r w:rsidRPr="00C10295">
        <w:t>5</w:t>
      </w:r>
      <w:r w:rsidR="00C10295">
        <w:t> </w:t>
      </w:r>
      <w:r w:rsidRPr="00C10295">
        <w:t>ml</w:t>
      </w:r>
      <w:r w:rsidRPr="00D3044D">
        <w:t xml:space="preserve">). Visą tirpiklio buteliuko turinį suleidus į koncentrato infuziniam tirpalui buteliuką, </w:t>
      </w:r>
      <w:r w:rsidR="00D225BB">
        <w:t>paruoštame</w:t>
      </w:r>
      <w:r w:rsidR="00D225BB" w:rsidRPr="00D3044D">
        <w:t xml:space="preserve"> </w:t>
      </w:r>
      <w:r w:rsidRPr="00D3044D">
        <w:t xml:space="preserve">tirpale docetakselio bus 10 mg/ml. </w:t>
      </w:r>
    </w:p>
    <w:p w:rsidR="00D3044D" w:rsidRPr="00D3044D" w:rsidRDefault="00D3044D" w:rsidP="00732C31">
      <w:pPr>
        <w:pStyle w:val="BTEMEASMCA"/>
      </w:pPr>
    </w:p>
    <w:p w:rsidR="00D3044D" w:rsidRPr="00D3044D" w:rsidRDefault="00D3044D" w:rsidP="00732C31">
      <w:pPr>
        <w:pStyle w:val="BTEMEASMCA"/>
      </w:pPr>
      <w:r w:rsidRPr="00D3044D">
        <w:t xml:space="preserve">Gali būti tiekiamos ne visų dydžių pakuotės. </w:t>
      </w:r>
    </w:p>
    <w:p w:rsidR="00633D05" w:rsidRPr="0084041E" w:rsidRDefault="00633D05" w:rsidP="00732C31">
      <w:pPr>
        <w:pStyle w:val="BTEMEASMCA"/>
      </w:pPr>
    </w:p>
    <w:p w:rsidR="00633D05" w:rsidRPr="0084041E" w:rsidRDefault="00633D05" w:rsidP="00633D05">
      <w:pPr>
        <w:pStyle w:val="PI-2EMEASMCA"/>
      </w:pPr>
      <w:bookmarkStart w:id="50" w:name="_Toc129243121"/>
      <w:bookmarkStart w:id="51" w:name="_Toc129243246"/>
      <w:r w:rsidRPr="0084041E">
        <w:t>6.6</w:t>
      </w:r>
      <w:r w:rsidRPr="0084041E">
        <w:tab/>
        <w:t xml:space="preserve">Specialūs </w:t>
      </w:r>
      <w:r w:rsidR="001120C8">
        <w:t xml:space="preserve">reikalavimai </w:t>
      </w:r>
      <w:r w:rsidRPr="0084041E">
        <w:t>atliek</w:t>
      </w:r>
      <w:r w:rsidR="001120C8">
        <w:t>oms</w:t>
      </w:r>
      <w:r w:rsidRPr="0084041E">
        <w:t xml:space="preserve"> tvarky</w:t>
      </w:r>
      <w:r w:rsidR="001120C8">
        <w:t>ti ir vaistiniam preparatui ruošti</w:t>
      </w:r>
      <w:bookmarkEnd w:id="50"/>
      <w:bookmarkEnd w:id="51"/>
    </w:p>
    <w:p w:rsidR="00633D05" w:rsidRPr="0084041E" w:rsidRDefault="00633D05" w:rsidP="00732C31">
      <w:pPr>
        <w:pStyle w:val="BTEMEASMCA"/>
      </w:pPr>
    </w:p>
    <w:p w:rsidR="00D3044D" w:rsidRPr="00D3044D" w:rsidRDefault="00D3044D" w:rsidP="00732C31">
      <w:pPr>
        <w:pStyle w:val="BTEMEASMCA"/>
      </w:pPr>
      <w:r w:rsidRPr="00D3044D">
        <w:t xml:space="preserve">Docetakselis yra antinavikinis preparatas, todėl su juo, kaip ir kitais galimai toksiškais preparatais, dirbti ir jo tirpalą ruošti reikia atsargiai. Rekomenduojama mūvėti pirštines. </w:t>
      </w:r>
    </w:p>
    <w:p w:rsidR="00D3044D" w:rsidRPr="00D3044D" w:rsidRDefault="00D3044D" w:rsidP="00732C31">
      <w:pPr>
        <w:pStyle w:val="BTEMEASMCA"/>
      </w:pPr>
    </w:p>
    <w:p w:rsidR="00D3044D" w:rsidRPr="00D3044D" w:rsidRDefault="00D3044D" w:rsidP="00732C31">
      <w:pPr>
        <w:pStyle w:val="BTEMEASMCA"/>
      </w:pPr>
      <w:r w:rsidRPr="00D3044D">
        <w:t xml:space="preserve">Jeigu docetakselio koncentrato, praskiesto arba infuzinio tirpalo patenka ant odos, ją būtina nedelsiant kruopščiai nuplauti muilu ir vandeniu. Jeigu docetakselio koncentrato, praskiesto arba infuzinio tirpalo patenka ant gleivinės, ją būtina nedelsiant kruopščiai nuplauti vandeniu. </w:t>
      </w:r>
    </w:p>
    <w:p w:rsidR="00D3044D" w:rsidRPr="00D3044D" w:rsidRDefault="00D3044D" w:rsidP="00732C31">
      <w:pPr>
        <w:pStyle w:val="BTEMEASMCA"/>
      </w:pPr>
    </w:p>
    <w:p w:rsidR="00D3044D" w:rsidRPr="00D3044D" w:rsidRDefault="00D3044D" w:rsidP="00732C31">
      <w:pPr>
        <w:pStyle w:val="BTEMEASMCA"/>
      </w:pPr>
      <w:r w:rsidRPr="00D3044D">
        <w:t xml:space="preserve">Ruošimas vartojimui į veną </w:t>
      </w:r>
    </w:p>
    <w:p w:rsidR="00D3044D" w:rsidRPr="00D3044D" w:rsidRDefault="00D3044D" w:rsidP="00732C31">
      <w:pPr>
        <w:pStyle w:val="BTEMEASMCA"/>
      </w:pPr>
    </w:p>
    <w:p w:rsidR="00D3044D" w:rsidRPr="001A6CD7" w:rsidRDefault="00D3044D" w:rsidP="00732C31">
      <w:pPr>
        <w:pStyle w:val="BTEMEASMCA"/>
        <w:rPr>
          <w:u w:val="single"/>
        </w:rPr>
      </w:pPr>
      <w:r w:rsidRPr="001A6CD7">
        <w:rPr>
          <w:u w:val="single"/>
        </w:rPr>
        <w:t xml:space="preserve">a) </w:t>
      </w:r>
      <w:r w:rsidR="00572CB3" w:rsidRPr="001A6CD7">
        <w:rPr>
          <w:u w:val="single"/>
        </w:rPr>
        <w:t xml:space="preserve">Docetakselio </w:t>
      </w:r>
      <w:r w:rsidRPr="001A6CD7">
        <w:rPr>
          <w:u w:val="single"/>
        </w:rPr>
        <w:t xml:space="preserve">tirpalo (docetakselio 10 mg/ml) ruošimas </w:t>
      </w:r>
    </w:p>
    <w:p w:rsidR="00D3044D" w:rsidRPr="00D3044D" w:rsidRDefault="00D3044D" w:rsidP="00732C31">
      <w:pPr>
        <w:pStyle w:val="BTEMEASMCA"/>
      </w:pPr>
    </w:p>
    <w:p w:rsidR="00D3044D" w:rsidRPr="00D3044D" w:rsidRDefault="00D3044D" w:rsidP="00732C31">
      <w:pPr>
        <w:pStyle w:val="BTEMEASMCA"/>
      </w:pPr>
      <w:r w:rsidRPr="00D3044D">
        <w:t xml:space="preserve">Jeigu buteliukai laikomi šaldytuve, iš jo paimtą reikiamą </w:t>
      </w:r>
      <w:r w:rsidR="00DE749D" w:rsidRPr="00DE749D">
        <w:t>Docetaxel Mylan</w:t>
      </w:r>
      <w:r w:rsidR="00DE749D">
        <w:rPr>
          <w:lang w:val="lt-LT"/>
        </w:rPr>
        <w:t xml:space="preserve"> </w:t>
      </w:r>
      <w:r w:rsidRPr="00D3044D">
        <w:t>40 mg/ml koncentrato ir tirpiklio infuziniam tirpalui dėžučių skaičių reikia 5 min. palaikyti kambario temperatūroje (</w:t>
      </w:r>
      <w:r w:rsidR="007D1A9D">
        <w:t>žemesnėje</w:t>
      </w:r>
      <w:r w:rsidRPr="00D3044D">
        <w:t xml:space="preserve"> kaip 25 °C). </w:t>
      </w:r>
    </w:p>
    <w:p w:rsidR="00D3044D" w:rsidRPr="00D3044D" w:rsidRDefault="00D3044D" w:rsidP="00732C31">
      <w:pPr>
        <w:pStyle w:val="BTEMEASMCA"/>
      </w:pPr>
    </w:p>
    <w:p w:rsidR="00D3044D" w:rsidRPr="00D3044D" w:rsidRDefault="00D3044D" w:rsidP="00732C31">
      <w:pPr>
        <w:pStyle w:val="BTEMEASMCA"/>
      </w:pPr>
      <w:r w:rsidRPr="00D3044D">
        <w:t xml:space="preserve">Švirkštu su prie jo pritvirtinta adata reikia steriliomis sąlygomis iš tirpiklio buteliuko, jį nevisiškai apvertus, ištraukti visą kiekį. </w:t>
      </w:r>
    </w:p>
    <w:p w:rsidR="00D3044D" w:rsidRPr="00D3044D" w:rsidRDefault="00D3044D" w:rsidP="00732C31">
      <w:pPr>
        <w:pStyle w:val="BTEMEASMCA"/>
      </w:pPr>
    </w:p>
    <w:p w:rsidR="00D3044D" w:rsidRPr="00D3044D" w:rsidRDefault="00D3044D" w:rsidP="00732C31">
      <w:pPr>
        <w:pStyle w:val="BTEMEASMCA"/>
      </w:pPr>
      <w:r w:rsidRPr="00D3044D">
        <w:t xml:space="preserve">Visą švirkšte esantį tirpiklio kiekį reikia suleisti į atitinkamą </w:t>
      </w:r>
      <w:r w:rsidR="00DE749D" w:rsidRPr="00DE749D">
        <w:t>Docetaxel Mylan</w:t>
      </w:r>
      <w:r w:rsidR="00DE749D">
        <w:rPr>
          <w:lang w:val="lt-LT"/>
        </w:rPr>
        <w:t xml:space="preserve"> </w:t>
      </w:r>
      <w:r w:rsidRPr="00D3044D">
        <w:t xml:space="preserve">koncentrato buteliuką. </w:t>
      </w:r>
    </w:p>
    <w:p w:rsidR="00D3044D" w:rsidRPr="00D3044D" w:rsidRDefault="00D3044D" w:rsidP="00732C31">
      <w:pPr>
        <w:pStyle w:val="BTEMEASMCA"/>
      </w:pPr>
    </w:p>
    <w:p w:rsidR="00D3044D" w:rsidRPr="00D3044D" w:rsidRDefault="00D3044D" w:rsidP="00732C31">
      <w:pPr>
        <w:pStyle w:val="BTEMEASMCA"/>
      </w:pPr>
      <w:r w:rsidRPr="00D3044D">
        <w:t xml:space="preserve">Adatą su švirkštu ištraukus, buteliuko, kartotinai jį apverčiant mažiausiai 45 sekundes, turinį sumaišyti. Buteliuko nekratyti. </w:t>
      </w:r>
    </w:p>
    <w:p w:rsidR="00D3044D" w:rsidRPr="00D3044D" w:rsidRDefault="00D3044D" w:rsidP="00732C31">
      <w:pPr>
        <w:pStyle w:val="BTEMEASMCA"/>
      </w:pPr>
    </w:p>
    <w:p w:rsidR="00D3044D" w:rsidRPr="00D3044D" w:rsidRDefault="00D3044D" w:rsidP="00732C31">
      <w:pPr>
        <w:pStyle w:val="BTEMEASMCA"/>
      </w:pPr>
      <w:r w:rsidRPr="00D3044D">
        <w:t xml:space="preserve">Buteliuką su </w:t>
      </w:r>
      <w:r w:rsidR="00572CB3">
        <w:t>paruoštu</w:t>
      </w:r>
      <w:r w:rsidR="00572CB3" w:rsidRPr="00D3044D">
        <w:t xml:space="preserve"> </w:t>
      </w:r>
      <w:r w:rsidRPr="00D3044D">
        <w:t>tirpalu 5 minutes palaikyti kambario temperatūroje (</w:t>
      </w:r>
      <w:r w:rsidR="00572CB3">
        <w:t>žemesnėje</w:t>
      </w:r>
      <w:r w:rsidRPr="00D3044D">
        <w:t xml:space="preserve"> kaip 25 °C), po to patikrinti, ar tirpalas homogeninis ir skaidrus (putojimas net po 5 min. yra normalu, kadangi sudėtyje yra polisorbato 80). </w:t>
      </w:r>
    </w:p>
    <w:p w:rsidR="00D3044D" w:rsidRPr="00D3044D" w:rsidRDefault="00D3044D" w:rsidP="00732C31">
      <w:pPr>
        <w:pStyle w:val="BTEMEASMCA"/>
      </w:pPr>
    </w:p>
    <w:p w:rsidR="00D3044D" w:rsidRPr="00D3044D" w:rsidRDefault="00D3044D" w:rsidP="00732C31">
      <w:pPr>
        <w:pStyle w:val="BTEMEASMCA"/>
      </w:pPr>
      <w:r w:rsidRPr="00D3044D">
        <w:t>Paruoštame tirpale yra 10 mg/ml docetakselio ir jį reikia suvartoti nedelsiant po paruošimo. Paruošto tirpalo cheminės ir fizinės savybės išlieka stabilios 8 valandas laikant 2</w:t>
      </w:r>
      <w:r w:rsidR="00572CB3" w:rsidRPr="00D3044D">
        <w:t xml:space="preserve">°C </w:t>
      </w:r>
      <w:r w:rsidRPr="00D3044D">
        <w:t>–8 °C arba kambario temperatūroje (</w:t>
      </w:r>
      <w:r w:rsidR="00572CB3">
        <w:t>žemesnėje</w:t>
      </w:r>
      <w:r w:rsidRPr="00D3044D">
        <w:t xml:space="preserve"> kaip 25 °C). </w:t>
      </w:r>
    </w:p>
    <w:p w:rsidR="00D3044D" w:rsidRPr="00D3044D" w:rsidRDefault="00D3044D" w:rsidP="00732C31">
      <w:pPr>
        <w:pStyle w:val="BTEMEASMCA"/>
      </w:pPr>
    </w:p>
    <w:p w:rsidR="00D3044D" w:rsidRPr="001A6CD7" w:rsidRDefault="00D3044D" w:rsidP="00732C31">
      <w:pPr>
        <w:pStyle w:val="BTEMEASMCA"/>
        <w:rPr>
          <w:u w:val="single"/>
        </w:rPr>
      </w:pPr>
      <w:r w:rsidRPr="001A6CD7">
        <w:rPr>
          <w:u w:val="single"/>
        </w:rPr>
        <w:t xml:space="preserve">b) Infuzinio tirpalo ruošimas </w:t>
      </w:r>
    </w:p>
    <w:p w:rsidR="00D3044D" w:rsidRPr="00D3044D" w:rsidRDefault="00D3044D" w:rsidP="00732C31">
      <w:pPr>
        <w:pStyle w:val="BTEMEASMCA"/>
      </w:pPr>
    </w:p>
    <w:p w:rsidR="00D3044D" w:rsidRPr="00D3044D" w:rsidRDefault="00D3044D" w:rsidP="00732C31">
      <w:pPr>
        <w:pStyle w:val="BTEMEASMCA"/>
      </w:pPr>
      <w:r w:rsidRPr="00D3044D">
        <w:t xml:space="preserve">Kad dozė pacientui būtų reikiama, gali prireikti daugiau negu vieno buteliuko </w:t>
      </w:r>
      <w:r w:rsidR="00572CB3">
        <w:t>paruošto</w:t>
      </w:r>
      <w:r w:rsidR="00572CB3" w:rsidRPr="00D3044D">
        <w:t xml:space="preserve"> </w:t>
      </w:r>
      <w:r w:rsidRPr="00D3044D">
        <w:t xml:space="preserve">tirpalo. Atsižvelgiant į pacientui reikiamą dozę, išreikštą miligramais, reikia steriliomis sąlygomis graduotu švirkštu su prie jo pritvirtinta adata išsiurbti atitinkamą </w:t>
      </w:r>
      <w:r w:rsidR="00572CB3">
        <w:t>paruošto</w:t>
      </w:r>
      <w:r w:rsidR="00572CB3" w:rsidRPr="00D3044D">
        <w:t xml:space="preserve"> </w:t>
      </w:r>
      <w:r w:rsidRPr="00D3044D">
        <w:t xml:space="preserve">tirpalo, kuriame yra 10 mg/ml docetakselio, kiekį. Pavyzdžiui, jeigu reikiama docetakselio dozė yra 140 mg, </w:t>
      </w:r>
      <w:r w:rsidR="00572CB3">
        <w:t>paruošto</w:t>
      </w:r>
      <w:r w:rsidR="00572CB3" w:rsidRPr="00D3044D">
        <w:t xml:space="preserve"> </w:t>
      </w:r>
      <w:r w:rsidRPr="00D3044D">
        <w:t xml:space="preserve">tirpalo reikia išsiurbti 14 ml. </w:t>
      </w:r>
    </w:p>
    <w:p w:rsidR="00D3044D" w:rsidRPr="00D3044D" w:rsidRDefault="00D3044D" w:rsidP="00732C31">
      <w:pPr>
        <w:pStyle w:val="BTEMEASMCA"/>
      </w:pPr>
    </w:p>
    <w:p w:rsidR="00D3044D" w:rsidRPr="00D3044D" w:rsidRDefault="00D3044D" w:rsidP="00732C31">
      <w:pPr>
        <w:pStyle w:val="BTEMEASMCA"/>
      </w:pPr>
      <w:r w:rsidRPr="00D3044D">
        <w:t xml:space="preserve">Išsiurbtą </w:t>
      </w:r>
      <w:r w:rsidR="00572CB3">
        <w:t>paruoštą</w:t>
      </w:r>
      <w:r w:rsidR="00572CB3" w:rsidRPr="00D3044D">
        <w:t xml:space="preserve"> </w:t>
      </w:r>
      <w:r w:rsidRPr="00D3044D">
        <w:t>tirpalo kiekį reikia suleisti į 250 ml infuzinį maišelį arba buteliuką, kuriame yra 5</w:t>
      </w:r>
      <w:r w:rsidRPr="00D3044D">
        <w:t> % (50 mg/ml) gliukozės arba 0,9</w:t>
      </w:r>
      <w:r w:rsidRPr="00D3044D">
        <w:t xml:space="preserve"> % (9 mg/ml) natrio chlorido tirpalo. </w:t>
      </w:r>
    </w:p>
    <w:p w:rsidR="00D3044D" w:rsidRPr="00D3044D" w:rsidRDefault="00D3044D" w:rsidP="00732C31">
      <w:pPr>
        <w:pStyle w:val="BTEMEASMCA"/>
      </w:pPr>
    </w:p>
    <w:p w:rsidR="00D3044D" w:rsidRPr="00D3044D" w:rsidRDefault="00D3044D" w:rsidP="00732C31">
      <w:pPr>
        <w:pStyle w:val="BTEMEASMCA"/>
      </w:pPr>
      <w:r w:rsidRPr="00D3044D">
        <w:t xml:space="preserve">Jeigu reikia didesnės negu 200 mg docetakselio dozės, reikia didesnio infuzinio tirpalo kiekio, kad docetakselio koncentracija neviršytų 0,74 mg/ml. </w:t>
      </w:r>
    </w:p>
    <w:p w:rsidR="00D3044D" w:rsidRPr="00D3044D" w:rsidRDefault="00D3044D" w:rsidP="00732C31">
      <w:pPr>
        <w:pStyle w:val="BTEMEASMCA"/>
      </w:pPr>
    </w:p>
    <w:p w:rsidR="00D3044D" w:rsidRPr="00D3044D" w:rsidRDefault="00D3044D" w:rsidP="00732C31">
      <w:pPr>
        <w:pStyle w:val="BTEMEASMCA"/>
      </w:pPr>
      <w:r w:rsidRPr="00D3044D">
        <w:t>Tirpalą reikia sumaišyti, infuzinį maišelį ar buteliuką sukiojant rankomis. Paruoštas docetakselio infuzinis tirpalas tinka vartoti 4 val. Jį steriliomis sąlygomis reikia sulašinti per valandą, esant kambario temperatūrai (</w:t>
      </w:r>
      <w:r w:rsidR="00572CB3">
        <w:t>žemesnei</w:t>
      </w:r>
      <w:r w:rsidRPr="00D3044D">
        <w:t xml:space="preserve"> kaip 25 °C) ir normaliam apšvietimui. </w:t>
      </w:r>
    </w:p>
    <w:p w:rsidR="00D3044D" w:rsidRPr="00D3044D" w:rsidRDefault="00D3044D" w:rsidP="00732C31">
      <w:pPr>
        <w:pStyle w:val="BTEMEASMCA"/>
      </w:pPr>
    </w:p>
    <w:p w:rsidR="00D3044D" w:rsidRPr="00D3044D" w:rsidRDefault="00572CB3" w:rsidP="00732C31">
      <w:pPr>
        <w:pStyle w:val="BTEMEASMCA"/>
      </w:pPr>
      <w:r>
        <w:t>Paruoštą</w:t>
      </w:r>
      <w:r w:rsidRPr="00D3044D">
        <w:t xml:space="preserve"> </w:t>
      </w:r>
      <w:r w:rsidR="00D3044D" w:rsidRPr="00D3044D">
        <w:t xml:space="preserve">ir infuzinį docetakselio tirpalą, kaip ir kitus parenteraliniu būdu vartojamus preparatus, prieš vartojimą reikia apžiūrėti. Jeigu tirpale yra nuosėdų, jį reikia sunaikinti. </w:t>
      </w:r>
    </w:p>
    <w:p w:rsidR="00D3044D" w:rsidRPr="00D3044D" w:rsidRDefault="00D3044D" w:rsidP="00732C31">
      <w:pPr>
        <w:pStyle w:val="BTEMEASMCA"/>
      </w:pPr>
    </w:p>
    <w:p w:rsidR="00D3044D" w:rsidRPr="00D3044D" w:rsidRDefault="00D3044D" w:rsidP="00732C31">
      <w:pPr>
        <w:pStyle w:val="BTEMEASMCA"/>
      </w:pPr>
      <w:r w:rsidRPr="00D3044D">
        <w:t>Tik vienkartini</w:t>
      </w:r>
      <w:r w:rsidR="00572CB3">
        <w:t>am vartojimui</w:t>
      </w:r>
      <w:r w:rsidRPr="00D3044D">
        <w:t xml:space="preserve">. Nesuvartotą preparatą ar atliekas reikia tvarkyti laikantis vietinių reikalavimų. </w:t>
      </w:r>
    </w:p>
    <w:p w:rsidR="00633D05" w:rsidRPr="0084041E" w:rsidRDefault="00633D05" w:rsidP="00732C31">
      <w:pPr>
        <w:pStyle w:val="BTEMEASMCA"/>
      </w:pPr>
    </w:p>
    <w:p w:rsidR="00633D05" w:rsidRPr="0084041E" w:rsidRDefault="00633D05" w:rsidP="00732C31">
      <w:pPr>
        <w:pStyle w:val="BTEMEASMCA"/>
      </w:pPr>
    </w:p>
    <w:p w:rsidR="00633D05" w:rsidRPr="0084041E" w:rsidRDefault="00633D05" w:rsidP="00633D05">
      <w:pPr>
        <w:pStyle w:val="PI-1EMEASMCA"/>
      </w:pPr>
      <w:bookmarkStart w:id="52" w:name="_Toc129243122"/>
      <w:bookmarkStart w:id="53" w:name="_Toc129243247"/>
      <w:r w:rsidRPr="0084041E">
        <w:t>7.</w:t>
      </w:r>
      <w:r w:rsidRPr="0084041E">
        <w:tab/>
        <w:t>RINKODAROS TEISĖS TURĖTOJAS</w:t>
      </w:r>
      <w:bookmarkEnd w:id="52"/>
      <w:bookmarkEnd w:id="53"/>
    </w:p>
    <w:p w:rsidR="00633D05" w:rsidRPr="0084041E" w:rsidRDefault="00633D05" w:rsidP="00732C31">
      <w:pPr>
        <w:pStyle w:val="BTEMEASMCA"/>
      </w:pPr>
    </w:p>
    <w:p w:rsidR="00D119E8" w:rsidRPr="00D119E8" w:rsidRDefault="00D119E8" w:rsidP="00D119E8">
      <w:pPr>
        <w:rPr>
          <w:sz w:val="22"/>
          <w:szCs w:val="22"/>
        </w:rPr>
      </w:pPr>
      <w:r w:rsidRPr="00D119E8">
        <w:rPr>
          <w:sz w:val="22"/>
          <w:szCs w:val="22"/>
        </w:rPr>
        <w:t>MYLAN S.A.S.</w:t>
      </w:r>
    </w:p>
    <w:p w:rsidR="00D119E8" w:rsidRDefault="00D119E8" w:rsidP="00D119E8">
      <w:pPr>
        <w:rPr>
          <w:sz w:val="22"/>
          <w:szCs w:val="22"/>
        </w:rPr>
      </w:pPr>
      <w:r w:rsidRPr="00D119E8">
        <w:rPr>
          <w:sz w:val="22"/>
          <w:szCs w:val="22"/>
        </w:rPr>
        <w:t xml:space="preserve">117 </w:t>
      </w:r>
      <w:proofErr w:type="spellStart"/>
      <w:r w:rsidRPr="00D119E8">
        <w:rPr>
          <w:sz w:val="22"/>
          <w:szCs w:val="22"/>
        </w:rPr>
        <w:t>Allée</w:t>
      </w:r>
      <w:proofErr w:type="spellEnd"/>
      <w:r w:rsidRPr="00D119E8">
        <w:rPr>
          <w:sz w:val="22"/>
          <w:szCs w:val="22"/>
        </w:rPr>
        <w:t xml:space="preserve"> </w:t>
      </w:r>
      <w:proofErr w:type="spellStart"/>
      <w:r w:rsidRPr="00D119E8">
        <w:rPr>
          <w:sz w:val="22"/>
          <w:szCs w:val="22"/>
        </w:rPr>
        <w:t>des</w:t>
      </w:r>
      <w:proofErr w:type="spellEnd"/>
      <w:r w:rsidRPr="00D119E8">
        <w:rPr>
          <w:sz w:val="22"/>
          <w:szCs w:val="22"/>
        </w:rPr>
        <w:t xml:space="preserve"> </w:t>
      </w:r>
      <w:proofErr w:type="spellStart"/>
      <w:r w:rsidRPr="00D119E8">
        <w:rPr>
          <w:sz w:val="22"/>
          <w:szCs w:val="22"/>
        </w:rPr>
        <w:t>Parcs</w:t>
      </w:r>
      <w:proofErr w:type="spellEnd"/>
      <w:r w:rsidRPr="00D119E8">
        <w:rPr>
          <w:sz w:val="22"/>
          <w:szCs w:val="22"/>
        </w:rPr>
        <w:t xml:space="preserve"> </w:t>
      </w:r>
    </w:p>
    <w:p w:rsidR="00D119E8" w:rsidRDefault="00D119E8" w:rsidP="00D119E8">
      <w:pPr>
        <w:rPr>
          <w:sz w:val="22"/>
          <w:szCs w:val="22"/>
        </w:rPr>
      </w:pPr>
      <w:r w:rsidRPr="00D119E8">
        <w:rPr>
          <w:sz w:val="22"/>
          <w:szCs w:val="22"/>
        </w:rPr>
        <w:t xml:space="preserve">69800 SAINT-PRIEST </w:t>
      </w:r>
    </w:p>
    <w:p w:rsidR="00D119E8" w:rsidRPr="00D119E8" w:rsidRDefault="00D119E8" w:rsidP="00D119E8">
      <w:pPr>
        <w:rPr>
          <w:sz w:val="22"/>
          <w:szCs w:val="22"/>
        </w:rPr>
      </w:pPr>
      <w:r w:rsidRPr="00D119E8">
        <w:rPr>
          <w:sz w:val="22"/>
          <w:szCs w:val="22"/>
        </w:rPr>
        <w:t>Prancūzija</w:t>
      </w:r>
    </w:p>
    <w:p w:rsidR="00D3044D" w:rsidRPr="00D119E8" w:rsidRDefault="00D3044D" w:rsidP="00732C31">
      <w:pPr>
        <w:pStyle w:val="BTEMEASMCA"/>
        <w:rPr>
          <w:lang w:val="lt-LT"/>
        </w:rPr>
      </w:pPr>
    </w:p>
    <w:p w:rsidR="00572CB3" w:rsidRPr="0084041E" w:rsidRDefault="00572CB3" w:rsidP="00732C31">
      <w:pPr>
        <w:pStyle w:val="BTEMEASMCA"/>
      </w:pPr>
    </w:p>
    <w:p w:rsidR="00633D05" w:rsidRPr="0084041E" w:rsidRDefault="00633D05" w:rsidP="00633D05">
      <w:pPr>
        <w:pStyle w:val="PI-1EMEASMCA"/>
      </w:pPr>
      <w:bookmarkStart w:id="54" w:name="_Toc129243123"/>
      <w:bookmarkStart w:id="55" w:name="_Toc129243248"/>
      <w:r w:rsidRPr="0084041E">
        <w:t>8.</w:t>
      </w:r>
      <w:r w:rsidRPr="0084041E">
        <w:tab/>
        <w:t>RINKODAROS TEISĖS NUMERIS</w:t>
      </w:r>
      <w:bookmarkEnd w:id="54"/>
      <w:bookmarkEnd w:id="55"/>
      <w:r w:rsidRPr="0084041E">
        <w:t xml:space="preserve"> </w:t>
      </w:r>
      <w:r>
        <w:t>(-IAI)</w:t>
      </w:r>
    </w:p>
    <w:p w:rsidR="00633D05" w:rsidRPr="0084041E" w:rsidRDefault="00633D05" w:rsidP="00732C31">
      <w:pPr>
        <w:pStyle w:val="BTEMEASMCA"/>
      </w:pPr>
    </w:p>
    <w:p w:rsidR="00875C4B" w:rsidRPr="007F431A" w:rsidRDefault="00875C4B" w:rsidP="00875C4B">
      <w:pPr>
        <w:rPr>
          <w:bCs/>
          <w:sz w:val="22"/>
          <w:szCs w:val="22"/>
        </w:rPr>
      </w:pPr>
      <w:r>
        <w:rPr>
          <w:bCs/>
          <w:sz w:val="22"/>
          <w:szCs w:val="22"/>
        </w:rPr>
        <w:t>LT/1/12/3017/001 –</w:t>
      </w:r>
      <w:r w:rsidRPr="000F524B">
        <w:rPr>
          <w:bCs/>
          <w:sz w:val="22"/>
          <w:szCs w:val="22"/>
        </w:rPr>
        <w:t xml:space="preserve"> </w:t>
      </w:r>
      <w:r>
        <w:rPr>
          <w:bCs/>
          <w:sz w:val="22"/>
          <w:szCs w:val="22"/>
        </w:rPr>
        <w:t>buteliukas koncentrato (0,5 ml) ir buteliukas tirpiklio (1,8 ml), N1</w:t>
      </w:r>
    </w:p>
    <w:p w:rsidR="00875C4B" w:rsidRDefault="00875C4B" w:rsidP="00875C4B">
      <w:pPr>
        <w:rPr>
          <w:bCs/>
          <w:sz w:val="22"/>
          <w:szCs w:val="22"/>
        </w:rPr>
      </w:pPr>
      <w:r>
        <w:rPr>
          <w:bCs/>
          <w:sz w:val="22"/>
          <w:szCs w:val="22"/>
        </w:rPr>
        <w:t>LT/1/12/3017/002 –</w:t>
      </w:r>
      <w:r w:rsidRPr="000F524B">
        <w:rPr>
          <w:bCs/>
          <w:sz w:val="22"/>
          <w:szCs w:val="22"/>
        </w:rPr>
        <w:t xml:space="preserve"> </w:t>
      </w:r>
      <w:r>
        <w:rPr>
          <w:bCs/>
          <w:sz w:val="22"/>
          <w:szCs w:val="22"/>
        </w:rPr>
        <w:t>buteliukas koncentrato (2 ml) ir buteliukas tirpiklio (7,1 ml), N1</w:t>
      </w:r>
    </w:p>
    <w:p w:rsidR="00875C4B" w:rsidRPr="007F431A" w:rsidRDefault="00875C4B" w:rsidP="00875C4B">
      <w:pPr>
        <w:rPr>
          <w:bCs/>
          <w:sz w:val="22"/>
          <w:szCs w:val="22"/>
        </w:rPr>
      </w:pPr>
    </w:p>
    <w:p w:rsidR="00633D05" w:rsidRPr="0084041E" w:rsidRDefault="00633D05" w:rsidP="00732C31">
      <w:pPr>
        <w:pStyle w:val="BTEMEASMCA"/>
      </w:pPr>
    </w:p>
    <w:p w:rsidR="00633D05" w:rsidRPr="0084041E" w:rsidRDefault="00633D05" w:rsidP="00633D05">
      <w:pPr>
        <w:pStyle w:val="PI-1EMEASMCA"/>
      </w:pPr>
      <w:bookmarkStart w:id="56" w:name="_Toc129243124"/>
      <w:bookmarkStart w:id="57" w:name="_Toc129243249"/>
      <w:r w:rsidRPr="0084041E">
        <w:t>9.</w:t>
      </w:r>
      <w:r w:rsidRPr="0084041E">
        <w:tab/>
        <w:t>RINKODAROS TEISĖS SUTEIKIMO / ATNAUJINIMO DATA</w:t>
      </w:r>
      <w:bookmarkEnd w:id="56"/>
      <w:bookmarkEnd w:id="57"/>
    </w:p>
    <w:p w:rsidR="00633D05" w:rsidRDefault="00633D05" w:rsidP="00732C31">
      <w:pPr>
        <w:pStyle w:val="BTEMEASMCA"/>
      </w:pPr>
    </w:p>
    <w:p w:rsidR="00875C4B" w:rsidRDefault="00875C4B" w:rsidP="00732C31">
      <w:pPr>
        <w:pStyle w:val="BTEMEASMCA"/>
      </w:pPr>
      <w:r>
        <w:t>2012-07-19</w:t>
      </w:r>
    </w:p>
    <w:p w:rsidR="00875C4B" w:rsidRPr="0084041E" w:rsidRDefault="00875C4B" w:rsidP="00732C31">
      <w:pPr>
        <w:pStyle w:val="BTEMEASMCA"/>
      </w:pPr>
    </w:p>
    <w:p w:rsidR="00633D05" w:rsidRPr="0084041E" w:rsidRDefault="00633D05" w:rsidP="00732C31">
      <w:pPr>
        <w:pStyle w:val="BTEMEASMCA"/>
      </w:pPr>
    </w:p>
    <w:p w:rsidR="00633D05" w:rsidRPr="0084041E" w:rsidRDefault="00633D05" w:rsidP="00633D05">
      <w:pPr>
        <w:pStyle w:val="PI-1EMEASMCA"/>
      </w:pPr>
      <w:bookmarkStart w:id="58" w:name="_Toc129243125"/>
      <w:bookmarkStart w:id="59" w:name="_Toc129243250"/>
      <w:r w:rsidRPr="0084041E">
        <w:t>10.</w:t>
      </w:r>
      <w:r w:rsidRPr="0084041E">
        <w:tab/>
        <w:t>TEKSTO PERŽIŪROS DATA</w:t>
      </w:r>
      <w:bookmarkEnd w:id="58"/>
      <w:bookmarkEnd w:id="59"/>
    </w:p>
    <w:p w:rsidR="00633D05" w:rsidRPr="0084041E" w:rsidRDefault="00633D05" w:rsidP="00732C31">
      <w:pPr>
        <w:pStyle w:val="BTEMEASMCA"/>
      </w:pPr>
    </w:p>
    <w:p w:rsidR="00633D05" w:rsidRPr="00D119E8" w:rsidRDefault="00D119E8" w:rsidP="00732C31">
      <w:pPr>
        <w:pStyle w:val="BTEMEASMCA"/>
        <w:rPr>
          <w:lang w:val="lt-LT"/>
        </w:rPr>
      </w:pPr>
      <w:r>
        <w:rPr>
          <w:lang w:val="lt-LT"/>
        </w:rPr>
        <w:t>2015-07-23</w:t>
      </w:r>
    </w:p>
    <w:p w:rsidR="00875C4B" w:rsidRPr="0084041E" w:rsidRDefault="00875C4B" w:rsidP="00732C31">
      <w:pPr>
        <w:pStyle w:val="BTEMEASMCA"/>
      </w:pPr>
    </w:p>
    <w:p w:rsidR="00633D05" w:rsidRPr="0084041E" w:rsidRDefault="00633D05" w:rsidP="00732C31">
      <w:pPr>
        <w:pStyle w:val="BTEMEASMCA"/>
      </w:pPr>
    </w:p>
    <w:p w:rsidR="00B20CC0" w:rsidRDefault="001B3024" w:rsidP="00732C31">
      <w:pPr>
        <w:pStyle w:val="BTEMEASMCA"/>
      </w:pPr>
      <w:r>
        <w:t xml:space="preserve">Naujausia </w:t>
      </w:r>
      <w:r w:rsidR="00633D05">
        <w:t xml:space="preserve">vaistinio preparato charakteristikų santraukos redakcija </w:t>
      </w:r>
      <w:r w:rsidR="00633D05" w:rsidRPr="0084041E">
        <w:t xml:space="preserve">pateikiama </w:t>
      </w:r>
      <w:r w:rsidR="00633D05">
        <w:t xml:space="preserve">Valstybinės vaistų kontrolės tarnybos prie Lietuvos Respublikos sveikatos apsaugos ministerijos </w:t>
      </w:r>
      <w:r w:rsidR="00633D05" w:rsidRPr="0084041E">
        <w:t>(</w:t>
      </w:r>
      <w:r w:rsidR="00633D05">
        <w:t>VVKT</w:t>
      </w:r>
      <w:r w:rsidR="00633D05" w:rsidRPr="0084041E">
        <w:t xml:space="preserve">) </w:t>
      </w:r>
      <w:r>
        <w:t>interneto svetainėje</w:t>
      </w:r>
      <w:hyperlink r:id="rId7" w:history="1">
        <w:r w:rsidR="00633D05" w:rsidRPr="007B498C">
          <w:rPr>
            <w:rStyle w:val="Hipersaitas"/>
          </w:rPr>
          <w:t>http://www.vvkt.lt/</w:t>
        </w:r>
      </w:hyperlink>
      <w:r w:rsidR="00633D05" w:rsidRPr="00DF4173">
        <w:br w:type="page"/>
      </w:r>
    </w:p>
    <w:p w:rsidR="00633D05" w:rsidRDefault="00633D05" w:rsidP="00732C31">
      <w:pPr>
        <w:pStyle w:val="BTEMEASMCA"/>
      </w:pPr>
    </w:p>
    <w:p w:rsidR="00673194" w:rsidRDefault="00673194" w:rsidP="00732C31">
      <w:pPr>
        <w:pStyle w:val="BTEMEASMCA"/>
      </w:pPr>
    </w:p>
    <w:p w:rsidR="00673194" w:rsidRDefault="00673194" w:rsidP="00732C31">
      <w:pPr>
        <w:pStyle w:val="BTEMEASMCA"/>
      </w:pPr>
    </w:p>
    <w:p w:rsidR="00673194" w:rsidRDefault="00673194" w:rsidP="00732C31">
      <w:pPr>
        <w:pStyle w:val="BTEMEASMCA"/>
      </w:pPr>
    </w:p>
    <w:p w:rsidR="00673194" w:rsidRDefault="00673194" w:rsidP="00732C31">
      <w:pPr>
        <w:pStyle w:val="BTEMEASMCA"/>
      </w:pPr>
    </w:p>
    <w:p w:rsidR="00673194" w:rsidRPr="00DF4173" w:rsidRDefault="00673194"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572CB3" w:rsidRPr="00572CB3" w:rsidRDefault="00572CB3" w:rsidP="00572CB3">
      <w:pPr>
        <w:pStyle w:val="Antrat2"/>
        <w:spacing w:before="0" w:after="0"/>
        <w:jc w:val="center"/>
        <w:rPr>
          <w:rFonts w:ascii="Times New Roman" w:hAnsi="Times New Roman"/>
          <w:i w:val="0"/>
          <w:iCs w:val="0"/>
          <w:sz w:val="22"/>
          <w:szCs w:val="22"/>
        </w:rPr>
      </w:pPr>
      <w:bookmarkStart w:id="60" w:name="_Toc129243128"/>
      <w:bookmarkStart w:id="61" w:name="_Toc129243253"/>
      <w:r w:rsidRPr="00572CB3">
        <w:rPr>
          <w:rFonts w:ascii="Times New Roman" w:hAnsi="Times New Roman"/>
          <w:i w:val="0"/>
          <w:iCs w:val="0"/>
          <w:sz w:val="22"/>
          <w:szCs w:val="22"/>
        </w:rPr>
        <w:t>II PRIEDAS</w:t>
      </w:r>
    </w:p>
    <w:p w:rsidR="00572CB3" w:rsidRPr="00572CB3" w:rsidRDefault="00572CB3" w:rsidP="00572CB3">
      <w:pPr>
        <w:spacing w:line="260" w:lineRule="exact"/>
        <w:rPr>
          <w:sz w:val="22"/>
          <w:szCs w:val="22"/>
        </w:rPr>
      </w:pPr>
    </w:p>
    <w:p w:rsidR="00572CB3" w:rsidRPr="00572CB3" w:rsidRDefault="00572CB3" w:rsidP="00572CB3">
      <w:pPr>
        <w:ind w:left="1701" w:right="1416" w:hanging="708"/>
        <w:rPr>
          <w:b/>
          <w:sz w:val="22"/>
          <w:szCs w:val="22"/>
        </w:rPr>
      </w:pPr>
      <w:r w:rsidRPr="00572CB3">
        <w:rPr>
          <w:b/>
          <w:sz w:val="22"/>
          <w:szCs w:val="22"/>
        </w:rPr>
        <w:t>A.</w:t>
      </w:r>
      <w:r w:rsidRPr="00572CB3">
        <w:rPr>
          <w:b/>
          <w:sz w:val="22"/>
          <w:szCs w:val="22"/>
        </w:rPr>
        <w:tab/>
        <w:t>GAMINTOJAS (-AI), ATSAKINGAS (-I) UŽ SERIJŲ IŠLEIDIMĄ</w:t>
      </w:r>
    </w:p>
    <w:p w:rsidR="00572CB3" w:rsidRPr="00572CB3" w:rsidRDefault="00572CB3" w:rsidP="00572CB3">
      <w:pPr>
        <w:spacing w:line="260" w:lineRule="exact"/>
        <w:rPr>
          <w:sz w:val="22"/>
          <w:szCs w:val="22"/>
        </w:rPr>
      </w:pPr>
    </w:p>
    <w:p w:rsidR="00572CB3" w:rsidRPr="00572CB3" w:rsidRDefault="00572CB3" w:rsidP="00572CB3">
      <w:pPr>
        <w:suppressLineNumbers/>
        <w:ind w:left="1701" w:right="1416" w:hanging="708"/>
        <w:rPr>
          <w:sz w:val="22"/>
          <w:szCs w:val="22"/>
        </w:rPr>
      </w:pPr>
      <w:r w:rsidRPr="00572CB3">
        <w:rPr>
          <w:b/>
          <w:sz w:val="22"/>
          <w:szCs w:val="22"/>
        </w:rPr>
        <w:t>B.</w:t>
      </w:r>
      <w:r w:rsidRPr="00572CB3">
        <w:rPr>
          <w:b/>
          <w:sz w:val="22"/>
          <w:szCs w:val="22"/>
        </w:rPr>
        <w:tab/>
        <w:t>TIEKIMO IR VARTOJIMO SĄLYGOS AR APRIBOJIMAI</w:t>
      </w:r>
    </w:p>
    <w:p w:rsidR="00572CB3" w:rsidRPr="00572CB3" w:rsidRDefault="00572CB3" w:rsidP="00572CB3">
      <w:pPr>
        <w:spacing w:line="260" w:lineRule="exact"/>
        <w:rPr>
          <w:sz w:val="22"/>
          <w:szCs w:val="22"/>
        </w:rPr>
      </w:pPr>
    </w:p>
    <w:p w:rsidR="00572CB3" w:rsidRPr="00572CB3" w:rsidRDefault="00572CB3" w:rsidP="00572CB3">
      <w:pPr>
        <w:suppressLineNumbers/>
        <w:ind w:left="1701" w:right="1558" w:hanging="850"/>
        <w:rPr>
          <w:sz w:val="22"/>
          <w:szCs w:val="22"/>
        </w:rPr>
      </w:pPr>
      <w:r w:rsidRPr="00572CB3">
        <w:rPr>
          <w:b/>
          <w:sz w:val="22"/>
          <w:szCs w:val="22"/>
        </w:rPr>
        <w:t>C.</w:t>
      </w:r>
      <w:r w:rsidRPr="00572CB3">
        <w:rPr>
          <w:b/>
          <w:sz w:val="22"/>
          <w:szCs w:val="22"/>
        </w:rPr>
        <w:tab/>
        <w:t>KITOS SĄLYGOS IR REIKALAVIMAI RINKODAROS TEISĖS TURĖTOJUI</w:t>
      </w:r>
    </w:p>
    <w:bookmarkEnd w:id="60"/>
    <w:bookmarkEnd w:id="61"/>
    <w:p w:rsidR="00B435E9" w:rsidRPr="00572CB3" w:rsidRDefault="00B435E9" w:rsidP="00B435E9">
      <w:pPr>
        <w:tabs>
          <w:tab w:val="left" w:pos="1701"/>
        </w:tabs>
        <w:ind w:left="1701" w:hanging="567"/>
        <w:rPr>
          <w:rFonts w:cs="Tahoma"/>
          <w:b/>
          <w:sz w:val="22"/>
          <w:szCs w:val="22"/>
        </w:rPr>
      </w:pPr>
    </w:p>
    <w:p w:rsidR="00B435E9" w:rsidRPr="00572CB3" w:rsidRDefault="00B435E9" w:rsidP="00B435E9">
      <w:pPr>
        <w:tabs>
          <w:tab w:val="left" w:pos="0"/>
        </w:tabs>
        <w:jc w:val="both"/>
        <w:rPr>
          <w:noProof/>
          <w:sz w:val="22"/>
          <w:szCs w:val="22"/>
          <w:highlight w:val="yellow"/>
        </w:rPr>
      </w:pPr>
    </w:p>
    <w:p w:rsidR="00B435E9" w:rsidRPr="00572CB3" w:rsidRDefault="00B435E9" w:rsidP="00572CB3">
      <w:pPr>
        <w:keepNext/>
        <w:tabs>
          <w:tab w:val="left" w:pos="567"/>
        </w:tabs>
        <w:ind w:left="567" w:hanging="567"/>
        <w:outlineLvl w:val="1"/>
        <w:rPr>
          <w:noProof/>
          <w:sz w:val="22"/>
          <w:szCs w:val="22"/>
          <w:highlight w:val="yellow"/>
        </w:rPr>
      </w:pPr>
      <w:r w:rsidRPr="00B435E9">
        <w:rPr>
          <w:b/>
          <w:sz w:val="22"/>
          <w:szCs w:val="22"/>
        </w:rPr>
        <w:br w:type="page"/>
      </w:r>
      <w:r w:rsidRPr="00572CB3">
        <w:rPr>
          <w:b/>
          <w:sz w:val="22"/>
          <w:szCs w:val="22"/>
        </w:rPr>
        <w:lastRenderedPageBreak/>
        <w:t>A.</w:t>
      </w:r>
      <w:r w:rsidRPr="00572CB3">
        <w:rPr>
          <w:b/>
          <w:sz w:val="22"/>
          <w:szCs w:val="22"/>
        </w:rPr>
        <w:tab/>
      </w:r>
      <w:r w:rsidR="00572CB3" w:rsidRPr="00572CB3">
        <w:rPr>
          <w:b/>
          <w:sz w:val="22"/>
          <w:szCs w:val="22"/>
        </w:rPr>
        <w:t>GAMINTOJAS (-AI), ATSAKINGAS (-I) UŽ SERIJŲ IŠLEIDIMĄ</w:t>
      </w:r>
    </w:p>
    <w:p w:rsidR="00B435E9" w:rsidRPr="00572CB3" w:rsidRDefault="00B435E9" w:rsidP="00B435E9">
      <w:pPr>
        <w:tabs>
          <w:tab w:val="left" w:pos="0"/>
        </w:tabs>
        <w:jc w:val="both"/>
        <w:rPr>
          <w:snapToGrid w:val="0"/>
          <w:sz w:val="22"/>
          <w:szCs w:val="22"/>
          <w:lang w:eastAsia="lt-LT"/>
        </w:rPr>
      </w:pPr>
    </w:p>
    <w:p w:rsidR="00572CB3" w:rsidRPr="00572CB3" w:rsidRDefault="00572CB3" w:rsidP="00572CB3">
      <w:pPr>
        <w:jc w:val="both"/>
        <w:rPr>
          <w:sz w:val="22"/>
          <w:szCs w:val="22"/>
        </w:rPr>
      </w:pPr>
      <w:r w:rsidRPr="00572CB3">
        <w:rPr>
          <w:sz w:val="22"/>
          <w:szCs w:val="22"/>
          <w:u w:val="single"/>
        </w:rPr>
        <w:t>Gamintojo (-ų), atsakingo (-ų) už serijų išleidimą, pavadinimas (-ai) ir adresas (-ai)</w:t>
      </w:r>
    </w:p>
    <w:p w:rsidR="00B435E9" w:rsidRPr="00572CB3" w:rsidRDefault="00B435E9" w:rsidP="00B435E9">
      <w:pPr>
        <w:tabs>
          <w:tab w:val="left" w:pos="0"/>
        </w:tabs>
        <w:jc w:val="both"/>
        <w:rPr>
          <w:b/>
          <w:snapToGrid w:val="0"/>
          <w:sz w:val="22"/>
          <w:szCs w:val="22"/>
          <w:lang w:eastAsia="lt-LT"/>
        </w:rPr>
      </w:pPr>
    </w:p>
    <w:p w:rsidR="00BD35C3" w:rsidRPr="00BD35C3" w:rsidRDefault="00BD35C3" w:rsidP="00B435E9">
      <w:pPr>
        <w:tabs>
          <w:tab w:val="left" w:pos="0"/>
        </w:tabs>
        <w:jc w:val="both"/>
        <w:rPr>
          <w:sz w:val="22"/>
          <w:szCs w:val="22"/>
          <w:lang w:eastAsia="lt-LT"/>
        </w:rPr>
      </w:pPr>
      <w:r w:rsidRPr="00BD35C3">
        <w:rPr>
          <w:sz w:val="22"/>
          <w:szCs w:val="22"/>
          <w:lang w:eastAsia="lt-LT"/>
        </w:rPr>
        <w:t>Agila Specialties Polska Sp. z o.o.</w:t>
      </w:r>
    </w:p>
    <w:p w:rsidR="00B435E9" w:rsidRPr="00B435E9" w:rsidRDefault="00B435E9" w:rsidP="00B435E9">
      <w:pPr>
        <w:tabs>
          <w:tab w:val="left" w:pos="0"/>
        </w:tabs>
        <w:jc w:val="both"/>
        <w:rPr>
          <w:snapToGrid w:val="0"/>
          <w:sz w:val="22"/>
          <w:szCs w:val="22"/>
          <w:lang w:eastAsia="lt-LT"/>
        </w:rPr>
      </w:pPr>
      <w:r w:rsidRPr="00B435E9">
        <w:rPr>
          <w:snapToGrid w:val="0"/>
          <w:sz w:val="22"/>
          <w:szCs w:val="22"/>
          <w:lang w:eastAsia="lt-LT"/>
        </w:rPr>
        <w:t xml:space="preserve">10, Daniszewska Str </w:t>
      </w:r>
    </w:p>
    <w:p w:rsidR="00B435E9" w:rsidRPr="00B435E9" w:rsidRDefault="00B435E9" w:rsidP="00B435E9">
      <w:pPr>
        <w:tabs>
          <w:tab w:val="left" w:pos="0"/>
        </w:tabs>
        <w:jc w:val="both"/>
        <w:rPr>
          <w:snapToGrid w:val="0"/>
          <w:sz w:val="22"/>
          <w:szCs w:val="22"/>
          <w:lang w:eastAsia="lt-LT"/>
        </w:rPr>
      </w:pPr>
      <w:r w:rsidRPr="00B435E9">
        <w:rPr>
          <w:snapToGrid w:val="0"/>
          <w:sz w:val="22"/>
          <w:szCs w:val="22"/>
          <w:lang w:eastAsia="lt-LT"/>
        </w:rPr>
        <w:t>03-230 Warsaw</w:t>
      </w:r>
    </w:p>
    <w:p w:rsidR="00B435E9" w:rsidRPr="00B435E9" w:rsidRDefault="00B435E9" w:rsidP="00B435E9">
      <w:pPr>
        <w:tabs>
          <w:tab w:val="left" w:pos="0"/>
        </w:tabs>
        <w:jc w:val="both"/>
        <w:rPr>
          <w:noProof/>
          <w:sz w:val="22"/>
          <w:szCs w:val="22"/>
          <w:highlight w:val="yellow"/>
        </w:rPr>
      </w:pPr>
      <w:r w:rsidRPr="00B435E9">
        <w:rPr>
          <w:snapToGrid w:val="0"/>
          <w:sz w:val="22"/>
          <w:szCs w:val="22"/>
          <w:lang w:eastAsia="lt-LT"/>
        </w:rPr>
        <w:t>Lenkija</w:t>
      </w:r>
    </w:p>
    <w:p w:rsidR="00B435E9" w:rsidRPr="00B435E9" w:rsidRDefault="00B435E9" w:rsidP="00B435E9">
      <w:pPr>
        <w:tabs>
          <w:tab w:val="left" w:pos="0"/>
        </w:tabs>
        <w:jc w:val="both"/>
        <w:rPr>
          <w:noProof/>
          <w:sz w:val="22"/>
          <w:szCs w:val="22"/>
          <w:highlight w:val="yellow"/>
        </w:rPr>
      </w:pPr>
    </w:p>
    <w:p w:rsidR="00B435E9" w:rsidRPr="00B435E9" w:rsidRDefault="00B435E9" w:rsidP="00B435E9">
      <w:pPr>
        <w:tabs>
          <w:tab w:val="left" w:pos="0"/>
        </w:tabs>
        <w:jc w:val="both"/>
        <w:rPr>
          <w:noProof/>
          <w:sz w:val="22"/>
          <w:szCs w:val="22"/>
        </w:rPr>
      </w:pPr>
    </w:p>
    <w:p w:rsidR="00572CB3" w:rsidRPr="00572CB3" w:rsidRDefault="00572CB3" w:rsidP="00572CB3">
      <w:pPr>
        <w:suppressLineNumbers/>
        <w:ind w:left="567" w:hanging="567"/>
        <w:rPr>
          <w:sz w:val="22"/>
          <w:szCs w:val="22"/>
        </w:rPr>
      </w:pPr>
      <w:bookmarkStart w:id="62" w:name="_Toc129243130"/>
      <w:bookmarkStart w:id="63" w:name="_Toc129243255"/>
      <w:r w:rsidRPr="00572CB3">
        <w:rPr>
          <w:b/>
          <w:sz w:val="22"/>
          <w:szCs w:val="22"/>
        </w:rPr>
        <w:t>B.</w:t>
      </w:r>
      <w:r w:rsidRPr="00572CB3">
        <w:rPr>
          <w:b/>
          <w:sz w:val="22"/>
          <w:szCs w:val="22"/>
        </w:rPr>
        <w:tab/>
        <w:t>TIEKIMO IR VARTOJIMO SĄLYGOS AR APRIBOJIMAI</w:t>
      </w:r>
    </w:p>
    <w:bookmarkEnd w:id="62"/>
    <w:bookmarkEnd w:id="63"/>
    <w:p w:rsidR="00B435E9" w:rsidRPr="00B435E9" w:rsidRDefault="00B435E9" w:rsidP="00B435E9">
      <w:pPr>
        <w:tabs>
          <w:tab w:val="left" w:pos="0"/>
        </w:tabs>
        <w:jc w:val="both"/>
        <w:rPr>
          <w:noProof/>
          <w:sz w:val="22"/>
          <w:szCs w:val="22"/>
        </w:rPr>
      </w:pPr>
    </w:p>
    <w:p w:rsidR="00B435E9" w:rsidRPr="00B435E9" w:rsidRDefault="00B435E9" w:rsidP="00B435E9">
      <w:pPr>
        <w:tabs>
          <w:tab w:val="left" w:pos="0"/>
        </w:tabs>
        <w:jc w:val="both"/>
        <w:rPr>
          <w:noProof/>
          <w:sz w:val="22"/>
          <w:szCs w:val="22"/>
        </w:rPr>
      </w:pPr>
      <w:r w:rsidRPr="00B435E9">
        <w:rPr>
          <w:noProof/>
          <w:sz w:val="22"/>
          <w:szCs w:val="22"/>
        </w:rPr>
        <w:t>Receptinis vaistinis preparatas</w:t>
      </w:r>
    </w:p>
    <w:p w:rsidR="00B435E9" w:rsidRPr="00B435E9" w:rsidRDefault="00B435E9" w:rsidP="00B435E9">
      <w:pPr>
        <w:tabs>
          <w:tab w:val="left" w:pos="0"/>
        </w:tabs>
        <w:jc w:val="both"/>
        <w:rPr>
          <w:noProof/>
          <w:sz w:val="22"/>
          <w:szCs w:val="22"/>
          <w:highlight w:val="yellow"/>
        </w:rPr>
      </w:pPr>
    </w:p>
    <w:p w:rsidR="00B435E9" w:rsidRPr="00B435E9" w:rsidRDefault="00B435E9" w:rsidP="00B435E9">
      <w:pPr>
        <w:suppressLineNumbers/>
        <w:ind w:left="567" w:hanging="567"/>
        <w:jc w:val="both"/>
        <w:rPr>
          <w:b/>
          <w:sz w:val="22"/>
          <w:szCs w:val="22"/>
        </w:rPr>
      </w:pPr>
      <w:r w:rsidRPr="00B435E9">
        <w:rPr>
          <w:b/>
          <w:sz w:val="22"/>
          <w:szCs w:val="22"/>
        </w:rPr>
        <w:t>C.</w:t>
      </w:r>
      <w:r w:rsidRPr="00B435E9">
        <w:rPr>
          <w:b/>
          <w:sz w:val="22"/>
          <w:szCs w:val="22"/>
        </w:rPr>
        <w:tab/>
        <w:t>KITOS SĄLYGOS IR REIKALAVIMAI RINKODAROS TEISĖS TURĖTOJUI</w:t>
      </w:r>
    </w:p>
    <w:p w:rsidR="00B435E9" w:rsidRPr="00B435E9" w:rsidRDefault="00B435E9" w:rsidP="00B435E9">
      <w:pPr>
        <w:tabs>
          <w:tab w:val="left" w:pos="567"/>
        </w:tabs>
        <w:spacing w:line="260" w:lineRule="exact"/>
        <w:jc w:val="both"/>
        <w:rPr>
          <w:sz w:val="22"/>
          <w:szCs w:val="22"/>
        </w:rPr>
      </w:pPr>
    </w:p>
    <w:p w:rsidR="00B435E9" w:rsidRPr="00B435E9" w:rsidRDefault="00B435E9" w:rsidP="00B435E9">
      <w:pPr>
        <w:tabs>
          <w:tab w:val="left" w:pos="567"/>
        </w:tabs>
        <w:spacing w:line="260" w:lineRule="exact"/>
        <w:jc w:val="both"/>
        <w:rPr>
          <w:sz w:val="22"/>
          <w:szCs w:val="22"/>
        </w:rPr>
      </w:pPr>
      <w:r w:rsidRPr="00B435E9">
        <w:rPr>
          <w:sz w:val="22"/>
          <w:szCs w:val="22"/>
        </w:rPr>
        <w:t>Nereikia.</w:t>
      </w:r>
    </w:p>
    <w:p w:rsidR="00B435E9" w:rsidRPr="00B435E9" w:rsidRDefault="00B435E9" w:rsidP="00B435E9">
      <w:pPr>
        <w:tabs>
          <w:tab w:val="left" w:pos="567"/>
        </w:tabs>
        <w:spacing w:line="260" w:lineRule="exact"/>
        <w:jc w:val="both"/>
        <w:rPr>
          <w:sz w:val="22"/>
          <w:szCs w:val="22"/>
        </w:rPr>
      </w:pPr>
    </w:p>
    <w:p w:rsidR="00B435E9" w:rsidRPr="00B435E9" w:rsidRDefault="00B435E9" w:rsidP="00BD35C3">
      <w:pPr>
        <w:numPr>
          <w:ilvl w:val="0"/>
          <w:numId w:val="21"/>
        </w:numPr>
        <w:suppressLineNumbers/>
        <w:tabs>
          <w:tab w:val="num" w:pos="567"/>
        </w:tabs>
        <w:spacing w:line="260" w:lineRule="exact"/>
        <w:ind w:left="567" w:right="-1" w:hanging="567"/>
        <w:rPr>
          <w:b/>
          <w:bCs/>
          <w:sz w:val="22"/>
          <w:szCs w:val="22"/>
        </w:rPr>
      </w:pPr>
      <w:r w:rsidRPr="00B435E9">
        <w:rPr>
          <w:b/>
          <w:bCs/>
          <w:sz w:val="22"/>
          <w:szCs w:val="22"/>
        </w:rPr>
        <w:t>SĄLYGOS AR APRIBOJIMAI SAUGIAM IR VEIKSMINGAM VAISTINIO PREPARATO VARTOJIMUI UŽTIKRINTI</w:t>
      </w:r>
    </w:p>
    <w:p w:rsidR="00B435E9" w:rsidRPr="00B435E9" w:rsidRDefault="00B435E9" w:rsidP="00B435E9">
      <w:pPr>
        <w:suppressLineNumbers/>
        <w:ind w:right="-1"/>
        <w:jc w:val="both"/>
        <w:rPr>
          <w:b/>
          <w:sz w:val="22"/>
          <w:szCs w:val="22"/>
        </w:rPr>
      </w:pPr>
    </w:p>
    <w:p w:rsidR="00B435E9" w:rsidRPr="00B435E9" w:rsidRDefault="00B435E9" w:rsidP="00B435E9">
      <w:pPr>
        <w:jc w:val="both"/>
        <w:rPr>
          <w:sz w:val="22"/>
          <w:szCs w:val="22"/>
        </w:rPr>
      </w:pPr>
      <w:r w:rsidRPr="00B435E9">
        <w:rPr>
          <w:sz w:val="22"/>
          <w:szCs w:val="22"/>
        </w:rPr>
        <w:t>Nereikia.</w:t>
      </w:r>
    </w:p>
    <w:p w:rsidR="00B435E9" w:rsidRPr="00B435E9" w:rsidRDefault="00B435E9" w:rsidP="00B435E9">
      <w:pPr>
        <w:tabs>
          <w:tab w:val="left" w:pos="0"/>
        </w:tabs>
        <w:jc w:val="both"/>
        <w:rPr>
          <w:noProof/>
          <w:sz w:val="22"/>
          <w:szCs w:val="22"/>
        </w:rPr>
      </w:pPr>
    </w:p>
    <w:p w:rsidR="00633D05" w:rsidRPr="00DF4173" w:rsidRDefault="00633D05" w:rsidP="00732C31">
      <w:pPr>
        <w:pStyle w:val="BTEMEASMCA"/>
      </w:pPr>
    </w:p>
    <w:p w:rsidR="00633D05" w:rsidRPr="00DF4173" w:rsidRDefault="00633D05" w:rsidP="00732C31">
      <w:pPr>
        <w:pStyle w:val="BTEMEASMCA"/>
      </w:pPr>
      <w:r w:rsidRPr="00DF4173">
        <w:br w:type="page"/>
      </w:r>
    </w:p>
    <w:p w:rsidR="00633D05" w:rsidRDefault="00633D05" w:rsidP="00732C31">
      <w:pPr>
        <w:pStyle w:val="BTEMEASMCA"/>
      </w:pPr>
    </w:p>
    <w:p w:rsidR="00D17C76" w:rsidRDefault="00D17C76" w:rsidP="00732C31">
      <w:pPr>
        <w:pStyle w:val="BTEMEASMCA"/>
      </w:pPr>
    </w:p>
    <w:p w:rsidR="00D17C76" w:rsidRDefault="00D17C76" w:rsidP="00732C31">
      <w:pPr>
        <w:pStyle w:val="BTEMEASMCA"/>
      </w:pPr>
    </w:p>
    <w:p w:rsidR="00D17C76" w:rsidRDefault="00D17C76" w:rsidP="00732C31">
      <w:pPr>
        <w:pStyle w:val="BTEMEASMCA"/>
      </w:pPr>
    </w:p>
    <w:p w:rsidR="00D17C76" w:rsidRDefault="00D17C76" w:rsidP="00732C31">
      <w:pPr>
        <w:pStyle w:val="BTEMEASMCA"/>
      </w:pPr>
    </w:p>
    <w:p w:rsidR="00D17C76" w:rsidRPr="00DF4173" w:rsidRDefault="00D17C76"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633D05">
      <w:pPr>
        <w:pStyle w:val="TTEMEASMCA"/>
        <w:rPr>
          <w:lang w:val="lt-LT"/>
        </w:rPr>
      </w:pPr>
      <w:bookmarkStart w:id="64" w:name="_Toc129243134"/>
      <w:bookmarkStart w:id="65" w:name="_Toc129243259"/>
      <w:r w:rsidRPr="00DF4173">
        <w:rPr>
          <w:lang w:val="lt-LT"/>
        </w:rPr>
        <w:t>III PRIEDAS</w:t>
      </w:r>
      <w:bookmarkEnd w:id="64"/>
      <w:bookmarkEnd w:id="65"/>
    </w:p>
    <w:p w:rsidR="00633D05" w:rsidRPr="00DF4173" w:rsidRDefault="00633D05" w:rsidP="00732C31">
      <w:pPr>
        <w:pStyle w:val="BTEMEASMCA"/>
      </w:pPr>
    </w:p>
    <w:p w:rsidR="00633D05" w:rsidRPr="00DF4173" w:rsidRDefault="00633D05" w:rsidP="00633D05">
      <w:pPr>
        <w:pStyle w:val="TTEMEASMCA"/>
        <w:rPr>
          <w:lang w:val="lt-LT"/>
        </w:rPr>
      </w:pPr>
      <w:bookmarkStart w:id="66" w:name="_Toc129243135"/>
      <w:bookmarkStart w:id="67" w:name="_Toc129243260"/>
      <w:r w:rsidRPr="00DF4173">
        <w:rPr>
          <w:lang w:val="lt-LT"/>
        </w:rPr>
        <w:t>ŽENKLINIMAS IR PAKUOTĖS LAPELIS</w:t>
      </w:r>
      <w:bookmarkEnd w:id="66"/>
      <w:bookmarkEnd w:id="67"/>
    </w:p>
    <w:p w:rsidR="00633D05" w:rsidRPr="00DF4173" w:rsidRDefault="00633D05" w:rsidP="00732C31">
      <w:pPr>
        <w:pStyle w:val="BTEMEASMCA"/>
      </w:pPr>
      <w:r w:rsidRPr="00DF4173">
        <w:br w:type="page"/>
      </w: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633D05">
      <w:pPr>
        <w:pStyle w:val="TTEMEASMCA"/>
        <w:rPr>
          <w:lang w:val="lt-LT"/>
        </w:rPr>
      </w:pPr>
      <w:bookmarkStart w:id="68" w:name="_Toc129243136"/>
      <w:bookmarkStart w:id="69" w:name="_Toc129243261"/>
      <w:r w:rsidRPr="00DF4173">
        <w:rPr>
          <w:lang w:val="lt-LT"/>
        </w:rPr>
        <w:t>A. ŽENKLINIMAS</w:t>
      </w:r>
      <w:bookmarkEnd w:id="68"/>
      <w:bookmarkEnd w:id="69"/>
    </w:p>
    <w:p w:rsidR="00633D05" w:rsidRPr="00DF4173" w:rsidRDefault="00633D05" w:rsidP="00732C31">
      <w:pPr>
        <w:pStyle w:val="BTEMEASMCA"/>
      </w:pPr>
      <w:r w:rsidRPr="00DF4173">
        <w:br w:type="page"/>
      </w:r>
    </w:p>
    <w:p w:rsidR="00633D05" w:rsidRPr="00EA5FEC" w:rsidRDefault="00EA5FEC" w:rsidP="001120C8">
      <w:pPr>
        <w:pStyle w:val="PI-1labEMEASMCA"/>
      </w:pPr>
      <w:r>
        <w:lastRenderedPageBreak/>
        <w:t xml:space="preserve">INFORMACIJA ANT </w:t>
      </w:r>
      <w:r w:rsidR="00633D05" w:rsidRPr="00EA5FEC">
        <w:t>IŠORINĖS</w:t>
      </w:r>
      <w:r>
        <w:t xml:space="preserve"> </w:t>
      </w:r>
      <w:r w:rsidR="00633D05" w:rsidRPr="00EA5FEC">
        <w:t>PAKUOTĖS</w:t>
      </w:r>
    </w:p>
    <w:p w:rsidR="00633D05" w:rsidRPr="00EA5FEC" w:rsidRDefault="00633D05" w:rsidP="001120C8">
      <w:pPr>
        <w:pStyle w:val="PI-1labEMEASMCA"/>
      </w:pPr>
    </w:p>
    <w:p w:rsidR="00EA5FEC" w:rsidRPr="00EA5FEC" w:rsidRDefault="00EA5FEC" w:rsidP="00EA5FEC">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SimSun"/>
          <w:color w:val="000000"/>
          <w:sz w:val="22"/>
          <w:szCs w:val="22"/>
          <w:lang w:eastAsia="ja-JP" w:bidi="lo-LA"/>
        </w:rPr>
      </w:pPr>
      <w:r w:rsidRPr="00EA5FEC">
        <w:rPr>
          <w:rFonts w:eastAsia="SimSun"/>
          <w:b/>
          <w:bCs/>
          <w:color w:val="000000"/>
          <w:sz w:val="22"/>
          <w:szCs w:val="22"/>
          <w:lang w:eastAsia="ja-JP" w:bidi="lo-LA"/>
        </w:rPr>
        <w:t xml:space="preserve">DĖŽUTĖ / </w:t>
      </w:r>
      <w:proofErr w:type="spellStart"/>
      <w:r w:rsidR="00DE749D" w:rsidRPr="00DE749D">
        <w:rPr>
          <w:b/>
          <w:sz w:val="22"/>
          <w:szCs w:val="22"/>
        </w:rPr>
        <w:t>Docetaxel</w:t>
      </w:r>
      <w:proofErr w:type="spellEnd"/>
      <w:r w:rsidR="00DE749D" w:rsidRPr="00DE749D">
        <w:rPr>
          <w:b/>
          <w:sz w:val="22"/>
          <w:szCs w:val="22"/>
        </w:rPr>
        <w:t xml:space="preserve"> </w:t>
      </w:r>
      <w:proofErr w:type="spellStart"/>
      <w:r w:rsidR="00DE749D" w:rsidRPr="00DE749D">
        <w:rPr>
          <w:b/>
          <w:sz w:val="22"/>
          <w:szCs w:val="22"/>
        </w:rPr>
        <w:t>Mylan</w:t>
      </w:r>
      <w:proofErr w:type="spellEnd"/>
      <w:r w:rsidR="00DE749D">
        <w:t xml:space="preserve"> </w:t>
      </w:r>
      <w:r w:rsidRPr="00EA5FEC">
        <w:rPr>
          <w:rFonts w:eastAsia="SimSun"/>
          <w:b/>
          <w:bCs/>
          <w:color w:val="000000"/>
          <w:sz w:val="22"/>
          <w:szCs w:val="22"/>
          <w:lang w:eastAsia="ja-JP" w:bidi="lo-LA"/>
        </w:rPr>
        <w:t xml:space="preserve">40 mg/ml koncentratas ir tirpiklis infuziniam tirpalui </w:t>
      </w:r>
    </w:p>
    <w:p w:rsidR="00633D05" w:rsidRPr="00DF4173" w:rsidRDefault="00633D05" w:rsidP="00732C31">
      <w:pPr>
        <w:pStyle w:val="BTEMEASMCA"/>
      </w:pPr>
    </w:p>
    <w:p w:rsidR="00633D05" w:rsidRPr="00DF4173" w:rsidRDefault="00633D05" w:rsidP="001120C8">
      <w:pPr>
        <w:pStyle w:val="PI-1labEMEASMCA"/>
      </w:pPr>
      <w:r w:rsidRPr="00DF4173">
        <w:t>1.</w:t>
      </w:r>
      <w:r w:rsidRPr="00DF4173">
        <w:tab/>
        <w:t>VAISTINIO PREPARATO PAVADINIMAS</w:t>
      </w:r>
    </w:p>
    <w:p w:rsidR="00633D05" w:rsidRPr="00DF4173" w:rsidRDefault="00633D05" w:rsidP="00732C31">
      <w:pPr>
        <w:pStyle w:val="BTEMEASMCA"/>
      </w:pPr>
    </w:p>
    <w:p w:rsidR="00EA5FEC" w:rsidRPr="00EA5FEC" w:rsidRDefault="00DE749D" w:rsidP="00732C31">
      <w:pPr>
        <w:pStyle w:val="BTEMEASMCA"/>
      </w:pPr>
      <w:r w:rsidRPr="00DE749D">
        <w:t>Docetaxel Mylan</w:t>
      </w:r>
      <w:r>
        <w:rPr>
          <w:lang w:val="lt-LT"/>
        </w:rPr>
        <w:t xml:space="preserve"> </w:t>
      </w:r>
      <w:r w:rsidR="00EA5FEC" w:rsidRPr="00EA5FEC">
        <w:t xml:space="preserve">40 mg/ml koncentratas ir tirpiklis infuziniam tirpalui </w:t>
      </w:r>
    </w:p>
    <w:p w:rsidR="00EA5FEC" w:rsidRPr="00EA5FEC" w:rsidRDefault="00A92CE5" w:rsidP="00732C31">
      <w:pPr>
        <w:pStyle w:val="BTEMEASMCA"/>
      </w:pPr>
      <w:r>
        <w:t>D</w:t>
      </w:r>
      <w:r w:rsidR="00EA5FEC" w:rsidRPr="00EA5FEC">
        <w:t xml:space="preserve">ocetakselis </w:t>
      </w:r>
    </w:p>
    <w:p w:rsidR="00633D05" w:rsidRDefault="00633D05" w:rsidP="00732C31">
      <w:pPr>
        <w:pStyle w:val="BTEMEASMCA"/>
      </w:pPr>
    </w:p>
    <w:p w:rsidR="00A92CE5" w:rsidRPr="00DF4173" w:rsidRDefault="00A92CE5" w:rsidP="00732C31">
      <w:pPr>
        <w:pStyle w:val="BTEMEASMCA"/>
      </w:pPr>
    </w:p>
    <w:p w:rsidR="00633D05" w:rsidRPr="00DF4173" w:rsidRDefault="00633D05" w:rsidP="001120C8">
      <w:pPr>
        <w:pStyle w:val="PI-1labEMEASMCA"/>
      </w:pPr>
      <w:r w:rsidRPr="00DF4173">
        <w:t>2.</w:t>
      </w:r>
      <w:r w:rsidRPr="00DF4173">
        <w:tab/>
        <w:t>VEIKLIOJI MEDŽIAGA IR JOS KIEKIS</w:t>
      </w:r>
    </w:p>
    <w:p w:rsidR="00633D05" w:rsidRDefault="00633D05" w:rsidP="00732C31">
      <w:pPr>
        <w:pStyle w:val="BTEMEASMCA"/>
      </w:pPr>
    </w:p>
    <w:p w:rsidR="00EA5FEC" w:rsidRPr="00EA5FEC" w:rsidRDefault="00EA5FEC" w:rsidP="00732C31">
      <w:pPr>
        <w:pStyle w:val="BTEMEASMCA"/>
      </w:pPr>
      <w:r w:rsidRPr="001A6CD7">
        <w:rPr>
          <w:b/>
        </w:rPr>
        <w:t xml:space="preserve">1 buteliuke (0,5 ml) </w:t>
      </w:r>
      <w:r w:rsidR="00DE749D" w:rsidRPr="00DE749D">
        <w:rPr>
          <w:b/>
        </w:rPr>
        <w:t>Docetaxel Mylan</w:t>
      </w:r>
      <w:r w:rsidR="00DE749D">
        <w:rPr>
          <w:lang w:val="lt-LT"/>
        </w:rPr>
        <w:t xml:space="preserve"> </w:t>
      </w:r>
      <w:r w:rsidRPr="001A6CD7">
        <w:rPr>
          <w:b/>
        </w:rPr>
        <w:t xml:space="preserve">40 mg/ml koncentrato infuziniam tirpalui </w:t>
      </w:r>
      <w:r w:rsidRPr="00EA5FEC">
        <w:t xml:space="preserve">yra 20 mg </w:t>
      </w:r>
      <w:r w:rsidR="00230CCF">
        <w:t>bevandenio</w:t>
      </w:r>
      <w:r w:rsidR="00230CCF" w:rsidRPr="00EA5FEC">
        <w:t xml:space="preserve"> </w:t>
      </w:r>
      <w:r w:rsidRPr="00EA5FEC">
        <w:t>docetakselio</w:t>
      </w:r>
      <w:r w:rsidR="00230CCF">
        <w:t>.</w:t>
      </w:r>
    </w:p>
    <w:p w:rsidR="00EA5FEC" w:rsidRPr="00EA5FEC" w:rsidRDefault="00EA5FEC" w:rsidP="00732C31">
      <w:pPr>
        <w:pStyle w:val="BTEMEASMCA"/>
      </w:pPr>
      <w:r w:rsidRPr="00EA5FEC">
        <w:rPr>
          <w:b/>
          <w:bCs/>
        </w:rPr>
        <w:t xml:space="preserve">1 buteliuke </w:t>
      </w:r>
      <w:r w:rsidR="00DE749D" w:rsidRPr="00DE749D">
        <w:rPr>
          <w:b/>
        </w:rPr>
        <w:t>Docetaxel Mylan</w:t>
      </w:r>
      <w:r w:rsidR="00DE749D">
        <w:rPr>
          <w:lang w:val="lt-LT"/>
        </w:rPr>
        <w:t xml:space="preserve"> </w:t>
      </w:r>
      <w:r w:rsidRPr="00EA5FEC">
        <w:rPr>
          <w:b/>
          <w:bCs/>
        </w:rPr>
        <w:t>40 mg/ml tirpiklio</w:t>
      </w:r>
      <w:r w:rsidRPr="00EA5FEC">
        <w:t xml:space="preserve"> yra 13 % (m/</w:t>
      </w:r>
      <w:r w:rsidR="00A92CE5">
        <w:t>m</w:t>
      </w:r>
      <w:r w:rsidRPr="00EA5FEC">
        <w:t>) bevandenio etanolio injekciniame vandenyje</w:t>
      </w:r>
      <w:r w:rsidR="00230CCF">
        <w:t>.</w:t>
      </w:r>
      <w:r w:rsidRPr="00EA5FEC">
        <w:t xml:space="preserve"> </w:t>
      </w:r>
    </w:p>
    <w:p w:rsidR="00EA5FEC" w:rsidRPr="00EA5FEC" w:rsidRDefault="00EA5FEC" w:rsidP="00732C31">
      <w:pPr>
        <w:pStyle w:val="BTEMEASMCA"/>
      </w:pPr>
    </w:p>
    <w:p w:rsidR="00EA5FEC" w:rsidRPr="00EA5FEC" w:rsidRDefault="00EA5FEC" w:rsidP="00732C31">
      <w:pPr>
        <w:pStyle w:val="BTEMEASMCA"/>
        <w:rPr>
          <w:highlight w:val="lightGray"/>
        </w:rPr>
      </w:pPr>
      <w:r w:rsidRPr="00DE749D">
        <w:rPr>
          <w:b/>
          <w:highlight w:val="lightGray"/>
        </w:rPr>
        <w:t xml:space="preserve">1 buteliuke (2 ml) </w:t>
      </w:r>
      <w:r w:rsidR="00DE749D" w:rsidRPr="00DE749D">
        <w:rPr>
          <w:b/>
          <w:highlight w:val="lightGray"/>
        </w:rPr>
        <w:t>Docetaxel Mylan</w:t>
      </w:r>
      <w:r w:rsidR="00DE749D" w:rsidRPr="00DE749D">
        <w:rPr>
          <w:b/>
          <w:highlight w:val="lightGray"/>
          <w:lang w:val="lt-LT"/>
        </w:rPr>
        <w:t xml:space="preserve"> </w:t>
      </w:r>
      <w:r w:rsidRPr="00DE749D">
        <w:rPr>
          <w:b/>
          <w:highlight w:val="lightGray"/>
        </w:rPr>
        <w:t>40 mg/ml koncentrato infuziniam tirpalui yra 80 mg</w:t>
      </w:r>
      <w:r w:rsidRPr="00DE749D">
        <w:rPr>
          <w:highlight w:val="lightGray"/>
        </w:rPr>
        <w:t xml:space="preserve"> </w:t>
      </w:r>
      <w:r w:rsidR="00230CCF" w:rsidRPr="00EA5FEC">
        <w:rPr>
          <w:highlight w:val="lightGray"/>
        </w:rPr>
        <w:t xml:space="preserve">bevandenio </w:t>
      </w:r>
      <w:r w:rsidRPr="00EA5FEC">
        <w:rPr>
          <w:highlight w:val="lightGray"/>
        </w:rPr>
        <w:t>docetakselio</w:t>
      </w:r>
      <w:r w:rsidR="00230CCF">
        <w:rPr>
          <w:highlight w:val="lightGray"/>
        </w:rPr>
        <w:t>.</w:t>
      </w:r>
    </w:p>
    <w:p w:rsidR="00EA5FEC" w:rsidRPr="00EA5FEC" w:rsidRDefault="00EA5FEC" w:rsidP="00732C31">
      <w:pPr>
        <w:pStyle w:val="BTEMEASMCA"/>
      </w:pPr>
      <w:r w:rsidRPr="00DE749D">
        <w:rPr>
          <w:b/>
          <w:bCs/>
          <w:highlight w:val="lightGray"/>
        </w:rPr>
        <w:t xml:space="preserve">1 buteliuke </w:t>
      </w:r>
      <w:r w:rsidR="00DE749D" w:rsidRPr="00DE749D">
        <w:rPr>
          <w:b/>
          <w:highlight w:val="lightGray"/>
        </w:rPr>
        <w:t>Docetaxel Mylan</w:t>
      </w:r>
      <w:r w:rsidR="00DE749D" w:rsidRPr="00DE749D">
        <w:rPr>
          <w:b/>
          <w:highlight w:val="lightGray"/>
          <w:lang w:val="lt-LT"/>
        </w:rPr>
        <w:t xml:space="preserve"> </w:t>
      </w:r>
      <w:r w:rsidRPr="00DE749D">
        <w:rPr>
          <w:b/>
          <w:bCs/>
          <w:highlight w:val="lightGray"/>
        </w:rPr>
        <w:t>40 mg/ml tirpiklio</w:t>
      </w:r>
      <w:r w:rsidRPr="00DE749D">
        <w:rPr>
          <w:b/>
          <w:highlight w:val="lightGray"/>
        </w:rPr>
        <w:t xml:space="preserve"> yra 13 % (m/</w:t>
      </w:r>
      <w:r w:rsidR="00A92CE5" w:rsidRPr="00DE749D">
        <w:rPr>
          <w:b/>
          <w:highlight w:val="lightGray"/>
        </w:rPr>
        <w:t>m</w:t>
      </w:r>
      <w:r w:rsidRPr="00DE749D">
        <w:rPr>
          <w:b/>
          <w:highlight w:val="lightGray"/>
        </w:rPr>
        <w:t xml:space="preserve">) bevandenio etanolio </w:t>
      </w:r>
      <w:r w:rsidRPr="00DE749D">
        <w:rPr>
          <w:b/>
          <w:highlight w:val="lightGray"/>
        </w:rPr>
        <w:t>injekciniame</w:t>
      </w:r>
      <w:r w:rsidRPr="00EA5FEC">
        <w:rPr>
          <w:highlight w:val="lightGray"/>
        </w:rPr>
        <w:t xml:space="preserve"> vandenyje</w:t>
      </w:r>
      <w:r w:rsidR="00230CCF">
        <w:t>.</w:t>
      </w:r>
      <w:r w:rsidRPr="00EA5FEC">
        <w:t xml:space="preserve"> </w:t>
      </w:r>
    </w:p>
    <w:p w:rsidR="00EA5FEC" w:rsidRPr="00DF4173" w:rsidRDefault="00EA5FEC" w:rsidP="00732C31">
      <w:pPr>
        <w:pStyle w:val="BTEMEASMCA"/>
      </w:pPr>
    </w:p>
    <w:p w:rsidR="00633D05" w:rsidRPr="00DF4173" w:rsidRDefault="00633D05" w:rsidP="00732C31">
      <w:pPr>
        <w:pStyle w:val="BTEMEASMCA"/>
      </w:pPr>
    </w:p>
    <w:p w:rsidR="00633D05" w:rsidRPr="00DF4173" w:rsidRDefault="00633D05" w:rsidP="001120C8">
      <w:pPr>
        <w:pStyle w:val="PI-1labEMEASMCA"/>
        <w:rPr>
          <w:highlight w:val="lightGray"/>
        </w:rPr>
      </w:pPr>
      <w:r w:rsidRPr="00DF4173">
        <w:t>3.</w:t>
      </w:r>
      <w:r w:rsidRPr="00DF4173">
        <w:tab/>
        <w:t>PAGALBINIŲ MEDŽIAGŲ SĄRAŠAS</w:t>
      </w:r>
    </w:p>
    <w:p w:rsidR="00633D05" w:rsidRDefault="00633D05" w:rsidP="00732C31">
      <w:pPr>
        <w:pStyle w:val="BTEMEASMCA"/>
      </w:pPr>
    </w:p>
    <w:p w:rsidR="00EA5FEC" w:rsidRPr="00EA5FEC" w:rsidRDefault="00DE749D" w:rsidP="00732C31">
      <w:pPr>
        <w:pStyle w:val="BTEMEASMCA"/>
      </w:pPr>
      <w:r w:rsidRPr="00DE749D">
        <w:t>Docetaxel Mylan</w:t>
      </w:r>
      <w:r>
        <w:rPr>
          <w:lang w:val="lt-LT"/>
        </w:rPr>
        <w:t xml:space="preserve"> </w:t>
      </w:r>
      <w:r w:rsidR="00EA5FEC" w:rsidRPr="00EA5FEC">
        <w:t>koncentrato buteliukas: polisorbatas 80, bevandenė citrin</w:t>
      </w:r>
      <w:r w:rsidR="00A92CE5">
        <w:t>ų</w:t>
      </w:r>
      <w:r w:rsidR="00EA5FEC" w:rsidRPr="00EA5FEC">
        <w:t xml:space="preserve"> rūgštis. </w:t>
      </w:r>
    </w:p>
    <w:p w:rsidR="00EA5FEC" w:rsidRPr="00EA5FEC" w:rsidRDefault="00DE749D" w:rsidP="00732C31">
      <w:pPr>
        <w:pStyle w:val="BTEMEASMCA"/>
      </w:pPr>
      <w:r w:rsidRPr="00DE749D">
        <w:t>Docetaxel Mylan</w:t>
      </w:r>
      <w:r>
        <w:rPr>
          <w:lang w:val="lt-LT"/>
        </w:rPr>
        <w:t xml:space="preserve"> </w:t>
      </w:r>
      <w:r w:rsidR="00EA5FEC" w:rsidRPr="00EA5FEC">
        <w:t>tirpiklio buteliukas: 13 % (m/</w:t>
      </w:r>
      <w:r w:rsidR="00A92CE5">
        <w:t>m</w:t>
      </w:r>
      <w:r w:rsidR="00EA5FEC" w:rsidRPr="00EA5FEC">
        <w:t>) bevandeni</w:t>
      </w:r>
      <w:r w:rsidR="001A6CD7">
        <w:t>s</w:t>
      </w:r>
      <w:r w:rsidR="00EA5FEC" w:rsidRPr="00EA5FEC">
        <w:t xml:space="preserve"> etanoli</w:t>
      </w:r>
      <w:r w:rsidR="001A6CD7">
        <w:t>s</w:t>
      </w:r>
      <w:r w:rsidR="00EA5FEC" w:rsidRPr="00EA5FEC">
        <w:t xml:space="preserve"> injekciniame vandenyje. </w:t>
      </w:r>
      <w:r w:rsidR="00A92CE5">
        <w:t>Daugiau informacijos pateikta pakuotės lapelyje.</w:t>
      </w:r>
    </w:p>
    <w:p w:rsidR="00EA5FEC" w:rsidRPr="00DF4173" w:rsidRDefault="00EA5FEC" w:rsidP="00732C31">
      <w:pPr>
        <w:pStyle w:val="BTEMEASMCA"/>
      </w:pPr>
    </w:p>
    <w:p w:rsidR="00633D05" w:rsidRPr="00DF4173" w:rsidRDefault="00633D05" w:rsidP="00732C31">
      <w:pPr>
        <w:pStyle w:val="BTEMEASMCA"/>
      </w:pPr>
    </w:p>
    <w:p w:rsidR="00633D05" w:rsidRPr="00DF4173" w:rsidRDefault="00633D05" w:rsidP="001120C8">
      <w:pPr>
        <w:pStyle w:val="PI-1labEMEASMCA"/>
      </w:pPr>
      <w:r w:rsidRPr="00DF4173">
        <w:t>4.</w:t>
      </w:r>
      <w:r w:rsidRPr="00DF4173">
        <w:tab/>
        <w:t>FARMACINĖ FORMA IR KIEKIS PAKUOTĖJE</w:t>
      </w:r>
    </w:p>
    <w:p w:rsidR="00633D05" w:rsidRPr="00DF4173" w:rsidRDefault="00633D05" w:rsidP="00732C31">
      <w:pPr>
        <w:pStyle w:val="BTEMEASMCA"/>
      </w:pPr>
    </w:p>
    <w:p w:rsidR="00EA5FEC" w:rsidRPr="00EA5FEC" w:rsidRDefault="00EA5FEC" w:rsidP="00EA5FEC">
      <w:pPr>
        <w:pStyle w:val="CM3"/>
        <w:spacing w:line="240" w:lineRule="auto"/>
        <w:rPr>
          <w:rFonts w:cs="Times New Roman"/>
          <w:sz w:val="22"/>
          <w:szCs w:val="23"/>
          <w:lang w:val="lt-LT"/>
        </w:rPr>
      </w:pPr>
      <w:r w:rsidRPr="00EA5FEC">
        <w:rPr>
          <w:rFonts w:cs="Times New Roman"/>
          <w:sz w:val="22"/>
          <w:szCs w:val="22"/>
          <w:lang w:val="lt-LT"/>
        </w:rPr>
        <w:t xml:space="preserve">Kiekvienoje </w:t>
      </w:r>
      <w:r w:rsidR="00DE749D" w:rsidRPr="00DE749D">
        <w:rPr>
          <w:sz w:val="22"/>
          <w:szCs w:val="22"/>
        </w:rPr>
        <w:t>Docetaxel Mylan</w:t>
      </w:r>
      <w:r w:rsidR="00DE749D">
        <w:rPr>
          <w:lang w:val="lt-LT"/>
        </w:rPr>
        <w:t xml:space="preserve"> </w:t>
      </w:r>
      <w:r w:rsidRPr="00EA5FEC">
        <w:rPr>
          <w:rFonts w:cs="Times New Roman"/>
          <w:sz w:val="22"/>
          <w:szCs w:val="22"/>
          <w:lang w:val="lt-LT"/>
        </w:rPr>
        <w:t xml:space="preserve">40 mg/ml koncentrato ir tirpiklio infuziniam tirpalui pakuotėje yra: </w:t>
      </w:r>
    </w:p>
    <w:p w:rsidR="00EA5FEC" w:rsidRPr="00EA5FEC" w:rsidRDefault="00EA5FEC" w:rsidP="00EA5FEC">
      <w:pPr>
        <w:pStyle w:val="CM3"/>
        <w:numPr>
          <w:ilvl w:val="0"/>
          <w:numId w:val="22"/>
        </w:numPr>
        <w:spacing w:line="240" w:lineRule="auto"/>
        <w:ind w:hanging="720"/>
        <w:rPr>
          <w:rFonts w:cs="Times New Roman"/>
          <w:sz w:val="22"/>
          <w:szCs w:val="23"/>
          <w:lang w:val="lt-LT"/>
        </w:rPr>
      </w:pPr>
      <w:r w:rsidRPr="00EA5FEC">
        <w:rPr>
          <w:rFonts w:cs="Times New Roman"/>
          <w:sz w:val="22"/>
          <w:szCs w:val="22"/>
          <w:lang w:val="lt-LT"/>
        </w:rPr>
        <w:t>1 vienadozis 0,5 ml koncentrato buteliukas</w:t>
      </w:r>
      <w:r w:rsidRPr="00EA5FEC">
        <w:rPr>
          <w:rFonts w:cs="Times New Roman"/>
          <w:sz w:val="22"/>
          <w:szCs w:val="23"/>
          <w:lang w:val="lt-LT"/>
        </w:rPr>
        <w:br/>
      </w:r>
      <w:r w:rsidR="009F0759">
        <w:rPr>
          <w:rFonts w:cs="Times New Roman"/>
          <w:sz w:val="22"/>
          <w:szCs w:val="22"/>
          <w:lang w:val="lt-LT"/>
        </w:rPr>
        <w:t>20 mg/0,5 ml</w:t>
      </w:r>
      <w:r w:rsidRPr="00EA5FEC">
        <w:rPr>
          <w:rFonts w:cs="Times New Roman"/>
          <w:sz w:val="22"/>
          <w:szCs w:val="22"/>
          <w:lang w:val="lt-LT"/>
        </w:rPr>
        <w:t xml:space="preserve"> </w:t>
      </w:r>
    </w:p>
    <w:p w:rsidR="00EA5FEC" w:rsidRPr="00EA5FEC" w:rsidRDefault="00EA5FEC" w:rsidP="00EA5FEC">
      <w:pPr>
        <w:pStyle w:val="CM3"/>
        <w:numPr>
          <w:ilvl w:val="0"/>
          <w:numId w:val="22"/>
        </w:numPr>
        <w:spacing w:line="240" w:lineRule="auto"/>
        <w:ind w:hanging="720"/>
        <w:rPr>
          <w:rFonts w:cs="Times New Roman"/>
          <w:sz w:val="22"/>
          <w:szCs w:val="23"/>
          <w:lang w:val="lt-LT"/>
        </w:rPr>
      </w:pPr>
      <w:r w:rsidRPr="00EA5FEC">
        <w:rPr>
          <w:rFonts w:cs="Times New Roman"/>
          <w:sz w:val="22"/>
          <w:szCs w:val="22"/>
          <w:lang w:val="lt-LT"/>
        </w:rPr>
        <w:t xml:space="preserve">1 vienadozis 1,8 ml tirpiklio buteliukas </w:t>
      </w:r>
    </w:p>
    <w:p w:rsidR="00EA5FEC" w:rsidRPr="00EA5FEC" w:rsidRDefault="00EA5FEC" w:rsidP="00EA5FEC">
      <w:pPr>
        <w:pStyle w:val="CM3"/>
        <w:spacing w:line="240" w:lineRule="auto"/>
        <w:rPr>
          <w:rFonts w:cs="Times New Roman"/>
          <w:sz w:val="22"/>
          <w:szCs w:val="23"/>
          <w:lang w:val="lt-LT"/>
        </w:rPr>
      </w:pPr>
    </w:p>
    <w:p w:rsidR="00EA5FEC" w:rsidRPr="00DE749D" w:rsidRDefault="00EA5FEC" w:rsidP="00EA5FEC">
      <w:pPr>
        <w:pStyle w:val="CM3"/>
        <w:spacing w:line="240" w:lineRule="auto"/>
        <w:rPr>
          <w:rFonts w:cs="Times New Roman"/>
          <w:sz w:val="22"/>
          <w:szCs w:val="23"/>
          <w:highlight w:val="lightGray"/>
          <w:lang w:val="lt-LT"/>
        </w:rPr>
      </w:pPr>
      <w:r w:rsidRPr="00DE749D">
        <w:rPr>
          <w:rFonts w:cs="Times New Roman"/>
          <w:sz w:val="22"/>
          <w:szCs w:val="22"/>
          <w:highlight w:val="lightGray"/>
          <w:lang w:val="lt-LT"/>
        </w:rPr>
        <w:t xml:space="preserve">Kiekvienoje </w:t>
      </w:r>
      <w:r w:rsidR="00DE749D" w:rsidRPr="00DE749D">
        <w:rPr>
          <w:sz w:val="22"/>
          <w:szCs w:val="22"/>
          <w:highlight w:val="lightGray"/>
        </w:rPr>
        <w:t>Docetaxel Mylan</w:t>
      </w:r>
      <w:r w:rsidR="00DE749D" w:rsidRPr="00DE749D">
        <w:rPr>
          <w:highlight w:val="lightGray"/>
          <w:lang w:val="lt-LT"/>
        </w:rPr>
        <w:t xml:space="preserve"> </w:t>
      </w:r>
      <w:r w:rsidRPr="00DE749D">
        <w:rPr>
          <w:rFonts w:cs="Times New Roman"/>
          <w:sz w:val="22"/>
          <w:szCs w:val="22"/>
          <w:highlight w:val="lightGray"/>
          <w:lang w:val="lt-LT"/>
        </w:rPr>
        <w:t xml:space="preserve">40 mg/ml koncentrato ir tirpiklio infuziniam tirpalui pakuotėje yra: </w:t>
      </w:r>
    </w:p>
    <w:p w:rsidR="00EA5FEC" w:rsidRPr="00EA5FEC" w:rsidRDefault="00EA5FEC" w:rsidP="00EA5FEC">
      <w:pPr>
        <w:pStyle w:val="CM3"/>
        <w:numPr>
          <w:ilvl w:val="0"/>
          <w:numId w:val="23"/>
        </w:numPr>
        <w:spacing w:line="240" w:lineRule="auto"/>
        <w:ind w:hanging="720"/>
        <w:rPr>
          <w:rFonts w:cs="Times New Roman"/>
          <w:sz w:val="22"/>
          <w:szCs w:val="23"/>
          <w:highlight w:val="lightGray"/>
          <w:lang w:val="lt-LT"/>
        </w:rPr>
      </w:pPr>
      <w:r w:rsidRPr="00EA5FEC">
        <w:rPr>
          <w:rFonts w:cs="Times New Roman"/>
          <w:sz w:val="22"/>
          <w:szCs w:val="22"/>
          <w:highlight w:val="lightGray"/>
          <w:lang w:val="lt-LT"/>
        </w:rPr>
        <w:t>1 vienadozis 2 ml koncentrato buteliukas</w:t>
      </w:r>
      <w:r w:rsidRPr="00EA5FEC">
        <w:rPr>
          <w:rFonts w:cs="Times New Roman"/>
          <w:sz w:val="22"/>
          <w:szCs w:val="23"/>
          <w:highlight w:val="lightGray"/>
          <w:lang w:val="lt-LT"/>
        </w:rPr>
        <w:br/>
      </w:r>
      <w:r w:rsidR="009F0759">
        <w:rPr>
          <w:rFonts w:cs="Times New Roman"/>
          <w:sz w:val="22"/>
          <w:szCs w:val="22"/>
          <w:highlight w:val="lightGray"/>
          <w:lang w:val="lt-LT"/>
        </w:rPr>
        <w:t>80 mg/2 ml</w:t>
      </w:r>
      <w:r w:rsidRPr="00EA5FEC">
        <w:rPr>
          <w:rFonts w:cs="Times New Roman"/>
          <w:sz w:val="22"/>
          <w:szCs w:val="22"/>
          <w:highlight w:val="lightGray"/>
          <w:lang w:val="lt-LT"/>
        </w:rPr>
        <w:t xml:space="preserve"> </w:t>
      </w:r>
    </w:p>
    <w:p w:rsidR="00EA5FEC" w:rsidRPr="00EA5FEC" w:rsidRDefault="00EA5FEC" w:rsidP="00EA5FEC">
      <w:pPr>
        <w:pStyle w:val="CM3"/>
        <w:numPr>
          <w:ilvl w:val="0"/>
          <w:numId w:val="23"/>
        </w:numPr>
        <w:spacing w:line="240" w:lineRule="auto"/>
        <w:ind w:hanging="720"/>
        <w:rPr>
          <w:rFonts w:cs="Times New Roman"/>
          <w:sz w:val="22"/>
          <w:szCs w:val="23"/>
          <w:highlight w:val="lightGray"/>
          <w:lang w:val="lt-LT"/>
        </w:rPr>
      </w:pPr>
      <w:r w:rsidRPr="00EA5FEC">
        <w:rPr>
          <w:rFonts w:cs="Times New Roman"/>
          <w:sz w:val="22"/>
          <w:szCs w:val="22"/>
          <w:highlight w:val="lightGray"/>
          <w:lang w:val="lt-LT"/>
        </w:rPr>
        <w:t xml:space="preserve">1 vienadozis 7,1 ml tirpiklio buteliukas </w:t>
      </w:r>
    </w:p>
    <w:p w:rsidR="00633D05" w:rsidRDefault="00633D05" w:rsidP="00732C31">
      <w:pPr>
        <w:pStyle w:val="BTEMEASMCA"/>
      </w:pPr>
    </w:p>
    <w:p w:rsidR="00EA5FEC" w:rsidRPr="00DF4173" w:rsidRDefault="00EA5FEC" w:rsidP="00732C31">
      <w:pPr>
        <w:pStyle w:val="BTEMEASMCA"/>
      </w:pPr>
    </w:p>
    <w:p w:rsidR="00633D05" w:rsidRPr="00DF4173" w:rsidRDefault="00633D05" w:rsidP="001120C8">
      <w:pPr>
        <w:pStyle w:val="PI-1labEMEASMCA"/>
        <w:rPr>
          <w:highlight w:val="lightGray"/>
        </w:rPr>
      </w:pPr>
      <w:r w:rsidRPr="00DF4173">
        <w:t>5.</w:t>
      </w:r>
      <w:r w:rsidRPr="00DF4173">
        <w:tab/>
        <w:t>VARTOJIMO METODAS IR BŪDAS</w:t>
      </w:r>
      <w:r>
        <w:t xml:space="preserve"> (-AI)</w:t>
      </w:r>
    </w:p>
    <w:p w:rsidR="00633D05" w:rsidRPr="00DF4173" w:rsidRDefault="00633D05" w:rsidP="00732C31">
      <w:pPr>
        <w:pStyle w:val="BTEMEASMCA"/>
      </w:pPr>
    </w:p>
    <w:p w:rsidR="00EA5FEC" w:rsidRPr="00EA5FEC" w:rsidRDefault="00EA5FEC" w:rsidP="00732C31">
      <w:pPr>
        <w:pStyle w:val="BTEMEASMCA"/>
      </w:pPr>
      <w:r w:rsidRPr="00EA5FEC">
        <w:t>DĖMĖSIO! Praskiedimui reikia sunaudoti visą tirpiklio buteliuko turinį. Žr. kartu pateikiamą paruošimo instrukciją.</w:t>
      </w:r>
    </w:p>
    <w:p w:rsidR="00E95006" w:rsidRDefault="00E95006" w:rsidP="00732C31">
      <w:pPr>
        <w:pStyle w:val="BTEMEASMCA"/>
      </w:pPr>
    </w:p>
    <w:p w:rsidR="00EA5FEC" w:rsidRPr="00EA5FEC" w:rsidRDefault="00E95006" w:rsidP="00732C31">
      <w:pPr>
        <w:pStyle w:val="BTEMEASMCA"/>
      </w:pPr>
      <w:r>
        <w:t>Leisti</w:t>
      </w:r>
      <w:r w:rsidRPr="00EA5FEC">
        <w:t xml:space="preserve"> </w:t>
      </w:r>
      <w:r w:rsidR="00EA5FEC" w:rsidRPr="00EA5FEC">
        <w:t xml:space="preserve">į veną </w:t>
      </w:r>
    </w:p>
    <w:p w:rsidR="00EA5FEC" w:rsidRPr="00EA5FEC" w:rsidRDefault="00EA5FEC" w:rsidP="00732C31">
      <w:pPr>
        <w:pStyle w:val="BTEMEASMCA"/>
      </w:pPr>
    </w:p>
    <w:p w:rsidR="00EA5FEC" w:rsidRPr="00EA5FEC" w:rsidRDefault="00EA5FEC" w:rsidP="00732C31">
      <w:pPr>
        <w:pStyle w:val="BTEMEASMCA"/>
      </w:pPr>
      <w:r w:rsidRPr="00EA5FEC">
        <w:t xml:space="preserve">Prieš vartojimą perskaitykite pakuotės lapelį. </w:t>
      </w:r>
    </w:p>
    <w:p w:rsidR="00633D05" w:rsidRDefault="00633D05" w:rsidP="00732C31">
      <w:pPr>
        <w:pStyle w:val="BTEMEASMCA"/>
      </w:pPr>
    </w:p>
    <w:p w:rsidR="00E95006" w:rsidRPr="00DF4173" w:rsidRDefault="00E95006" w:rsidP="00732C31">
      <w:pPr>
        <w:pStyle w:val="BTEMEASMCA"/>
      </w:pPr>
    </w:p>
    <w:p w:rsidR="00633D05" w:rsidRPr="00DF4173" w:rsidRDefault="00633D05" w:rsidP="001120C8">
      <w:pPr>
        <w:pStyle w:val="PI-1labEMEASMCA"/>
      </w:pPr>
      <w:r w:rsidRPr="00DF4173">
        <w:t>6.</w:t>
      </w:r>
      <w:r w:rsidRPr="00DF4173">
        <w:tab/>
        <w:t xml:space="preserve">SPECIALUS ĮSPĖJIMAS, </w:t>
      </w:r>
      <w:r>
        <w:t>KAD</w:t>
      </w:r>
      <w:r w:rsidRPr="00DF4173">
        <w:t xml:space="preserve"> VAISTINĮ PREPARATĄ BŪTINA LAIKYTI VAIKAMS NEPASIEKIAMOJE IR NEPASTEBIMOJE VIETOJE</w:t>
      </w:r>
    </w:p>
    <w:p w:rsidR="00633D05" w:rsidRPr="00DF4173" w:rsidRDefault="00633D05" w:rsidP="00732C31">
      <w:pPr>
        <w:pStyle w:val="BTEMEASMCA"/>
      </w:pPr>
    </w:p>
    <w:p w:rsidR="00E95006" w:rsidRDefault="00EA5FEC" w:rsidP="00732C31">
      <w:pPr>
        <w:pStyle w:val="BTEMEASMCA"/>
      </w:pPr>
      <w:r w:rsidRPr="00EA5FEC">
        <w:t>Laikyti vaikams nepasiekiamoje ir nepastebimoje vietoje</w:t>
      </w:r>
      <w:r w:rsidR="00E95006">
        <w:t>.</w:t>
      </w:r>
    </w:p>
    <w:p w:rsidR="00E95006" w:rsidRDefault="00E95006" w:rsidP="00732C31">
      <w:pPr>
        <w:pStyle w:val="BTEMEASMCA"/>
      </w:pPr>
    </w:p>
    <w:p w:rsidR="00EA5FEC" w:rsidRPr="00EA5FEC" w:rsidRDefault="00EA5FEC" w:rsidP="00732C31">
      <w:pPr>
        <w:pStyle w:val="BTEMEASMCA"/>
      </w:pPr>
      <w:r w:rsidRPr="00EA5FEC">
        <w:t xml:space="preserve"> </w:t>
      </w:r>
    </w:p>
    <w:p w:rsidR="00633D05" w:rsidRPr="00DF4173" w:rsidRDefault="00633D05" w:rsidP="001120C8">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rsidR="00633D05" w:rsidRDefault="00633D05" w:rsidP="00732C31">
      <w:pPr>
        <w:pStyle w:val="BTEMEASMCA"/>
      </w:pPr>
    </w:p>
    <w:p w:rsidR="00EA5FEC" w:rsidRPr="001A6CD7" w:rsidRDefault="00EA5FEC" w:rsidP="00732C31">
      <w:pPr>
        <w:pStyle w:val="BTEMEASMCA"/>
        <w:rPr>
          <w:b/>
        </w:rPr>
      </w:pPr>
      <w:r w:rsidRPr="001A6CD7">
        <w:rPr>
          <w:b/>
        </w:rPr>
        <w:t xml:space="preserve">Citotoksinė medžiaga </w:t>
      </w:r>
    </w:p>
    <w:p w:rsidR="00633D05" w:rsidRDefault="00633D05" w:rsidP="00732C31">
      <w:pPr>
        <w:pStyle w:val="BTEMEASMCA"/>
      </w:pPr>
    </w:p>
    <w:p w:rsidR="00E95006" w:rsidRPr="00DF4173" w:rsidRDefault="00E95006" w:rsidP="00732C31">
      <w:pPr>
        <w:pStyle w:val="BTEMEASMCA"/>
      </w:pPr>
    </w:p>
    <w:p w:rsidR="00633D05" w:rsidRPr="00DF4173" w:rsidRDefault="00633D05" w:rsidP="001120C8">
      <w:pPr>
        <w:pStyle w:val="PI-1labEMEASMCA"/>
        <w:rPr>
          <w:highlight w:val="lightGray"/>
        </w:rPr>
      </w:pPr>
      <w:r w:rsidRPr="00DF4173">
        <w:t>8.</w:t>
      </w:r>
      <w:r w:rsidRPr="00DF4173">
        <w:tab/>
        <w:t>TINKAMUMO LAIKAS</w:t>
      </w:r>
    </w:p>
    <w:p w:rsidR="00633D05" w:rsidRPr="00DF4173" w:rsidRDefault="00633D05" w:rsidP="00732C31">
      <w:pPr>
        <w:pStyle w:val="BTEMEASMCA"/>
      </w:pPr>
    </w:p>
    <w:p w:rsidR="00EA5FEC" w:rsidRPr="00EA5FEC" w:rsidRDefault="00EA5FEC" w:rsidP="00732C31">
      <w:pPr>
        <w:pStyle w:val="BTEMEASMCA"/>
      </w:pPr>
      <w:r w:rsidRPr="00EA5FEC">
        <w:t>Tinka iki:</w:t>
      </w:r>
      <w:r w:rsidR="0034323F">
        <w:t xml:space="preserve"> mm/MMMM</w:t>
      </w:r>
    </w:p>
    <w:p w:rsidR="00EA5FEC" w:rsidRDefault="00EA5FEC" w:rsidP="00732C31">
      <w:pPr>
        <w:pStyle w:val="BTEMEASMCA"/>
      </w:pPr>
    </w:p>
    <w:p w:rsidR="00E95006" w:rsidRPr="00DF4173" w:rsidRDefault="00E95006" w:rsidP="00732C31">
      <w:pPr>
        <w:pStyle w:val="BTEMEASMCA"/>
      </w:pPr>
    </w:p>
    <w:p w:rsidR="00633D05" w:rsidRPr="00DF4173" w:rsidRDefault="00633D05" w:rsidP="001120C8">
      <w:pPr>
        <w:pStyle w:val="PI-1labEMEASMCA"/>
      </w:pPr>
      <w:r w:rsidRPr="00DF4173">
        <w:t>9.</w:t>
      </w:r>
      <w:r w:rsidRPr="00DF4173">
        <w:tab/>
        <w:t>SPECIALIOS LAIKYMO SĄLYGOS</w:t>
      </w:r>
    </w:p>
    <w:p w:rsidR="00633D05" w:rsidRDefault="00633D05" w:rsidP="00732C31">
      <w:pPr>
        <w:pStyle w:val="BTEMEASMCA"/>
      </w:pPr>
    </w:p>
    <w:p w:rsidR="00EA5FEC" w:rsidRPr="00EA5FEC" w:rsidRDefault="00EA5FEC" w:rsidP="00732C31">
      <w:pPr>
        <w:pStyle w:val="BTEMEASMCA"/>
      </w:pPr>
      <w:r w:rsidRPr="00EA5FEC">
        <w:t xml:space="preserve">Laikyti </w:t>
      </w:r>
      <w:r w:rsidR="00E95006">
        <w:t xml:space="preserve">ne </w:t>
      </w:r>
      <w:r w:rsidR="00E95006" w:rsidRPr="00EA5FEC">
        <w:t>aukštesnėje</w:t>
      </w:r>
      <w:r w:rsidR="00E95006" w:rsidRPr="00EA5FEC" w:rsidDel="00E95006">
        <w:t xml:space="preserve"> </w:t>
      </w:r>
      <w:r w:rsidRPr="00EA5FEC">
        <w:t xml:space="preserve">kaip 25°C arba </w:t>
      </w:r>
      <w:r w:rsidR="00E95006" w:rsidRPr="00EA5FEC">
        <w:t xml:space="preserve">žemesnėje </w:t>
      </w:r>
      <w:r w:rsidRPr="00EA5FEC">
        <w:t xml:space="preserve">kaip 2 °C temperatūroje. </w:t>
      </w:r>
    </w:p>
    <w:p w:rsidR="00EA5FEC" w:rsidRPr="00EA5FEC" w:rsidRDefault="00EA5FEC" w:rsidP="00732C31">
      <w:pPr>
        <w:pStyle w:val="BTEMEASMCA"/>
      </w:pPr>
      <w:r w:rsidRPr="00EA5FEC">
        <w:t xml:space="preserve">Laikyti gamintojo pakuotėje, kad preparatas būtų apsaugotas nuo šviesos. </w:t>
      </w:r>
    </w:p>
    <w:p w:rsidR="00EA5FEC" w:rsidRPr="00DF4173" w:rsidRDefault="00EA5FEC" w:rsidP="00732C31">
      <w:pPr>
        <w:pStyle w:val="BTEMEASMCA"/>
      </w:pPr>
      <w:r w:rsidRPr="00EA5FEC">
        <w:t>Praskiesto vaistinio preparato laikymo sąlygos nurodytos pakuotės lapelyje</w:t>
      </w:r>
      <w:r w:rsidR="001A6CD7">
        <w:t>.</w:t>
      </w:r>
    </w:p>
    <w:p w:rsidR="00633D05" w:rsidRDefault="00633D05" w:rsidP="00732C31">
      <w:pPr>
        <w:pStyle w:val="BTEMEASMCA"/>
      </w:pPr>
    </w:p>
    <w:p w:rsidR="00E95006" w:rsidRPr="00DF4173" w:rsidRDefault="00E95006" w:rsidP="00732C31">
      <w:pPr>
        <w:pStyle w:val="BTEMEASMCA"/>
      </w:pPr>
    </w:p>
    <w:p w:rsidR="00633D05" w:rsidRPr="00DF4173" w:rsidRDefault="00633D05" w:rsidP="001120C8">
      <w:pPr>
        <w:pStyle w:val="PI-1labEMEASMCA"/>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rsidR="00633D05" w:rsidRDefault="00633D05" w:rsidP="00732C31">
      <w:pPr>
        <w:pStyle w:val="BTEMEASMCA"/>
      </w:pPr>
    </w:p>
    <w:p w:rsidR="00EA5FEC" w:rsidRPr="00995E92" w:rsidRDefault="00EA5FEC" w:rsidP="00EA5FEC">
      <w:pPr>
        <w:pStyle w:val="CM9"/>
        <w:rPr>
          <w:rFonts w:cs="Times New Roman"/>
          <w:sz w:val="22"/>
          <w:szCs w:val="23"/>
          <w:lang w:val="lt-LT"/>
        </w:rPr>
      </w:pPr>
      <w:r w:rsidRPr="00995E92">
        <w:rPr>
          <w:rFonts w:cs="Times New Roman"/>
          <w:sz w:val="22"/>
          <w:szCs w:val="22"/>
          <w:lang w:val="lt-LT"/>
        </w:rPr>
        <w:t xml:space="preserve">Buteliukai vienkartiniam vartojimui – likučius reikia tinkamai sunaikinti. </w:t>
      </w:r>
    </w:p>
    <w:p w:rsidR="00EA5FEC" w:rsidRDefault="00EA5FEC" w:rsidP="00EA5FEC">
      <w:pPr>
        <w:pStyle w:val="CM10"/>
        <w:rPr>
          <w:rFonts w:cs="Times New Roman"/>
          <w:b/>
          <w:bCs/>
          <w:sz w:val="23"/>
          <w:szCs w:val="23"/>
          <w:lang w:val="lt-LT"/>
        </w:rPr>
      </w:pPr>
    </w:p>
    <w:p w:rsidR="00E95006" w:rsidRPr="00C93814" w:rsidRDefault="00E95006" w:rsidP="00C93814">
      <w:pPr>
        <w:pStyle w:val="Default"/>
        <w:rPr>
          <w:lang w:val="lt-LT"/>
        </w:rPr>
      </w:pPr>
    </w:p>
    <w:p w:rsidR="00633D05" w:rsidRPr="00DF4173" w:rsidRDefault="00633D05" w:rsidP="001120C8">
      <w:pPr>
        <w:pStyle w:val="PI-1labEMEASMCA"/>
      </w:pPr>
      <w:r w:rsidRPr="00DF4173">
        <w:t>11.</w:t>
      </w:r>
      <w:r w:rsidRPr="00DF4173">
        <w:tab/>
        <w:t>RINKODAROS TEISĖS TURĖTOJO PAVADINIMAS IR ADRESAS</w:t>
      </w:r>
    </w:p>
    <w:p w:rsidR="00633D05" w:rsidRPr="00DF4173" w:rsidRDefault="00633D05" w:rsidP="00732C31">
      <w:pPr>
        <w:pStyle w:val="BTEMEASMCA"/>
      </w:pPr>
    </w:p>
    <w:p w:rsidR="00D119E8" w:rsidRPr="00D119E8" w:rsidRDefault="00D119E8" w:rsidP="00D119E8">
      <w:pPr>
        <w:rPr>
          <w:sz w:val="22"/>
          <w:szCs w:val="22"/>
        </w:rPr>
      </w:pPr>
      <w:r w:rsidRPr="00D119E8">
        <w:rPr>
          <w:sz w:val="22"/>
          <w:szCs w:val="22"/>
        </w:rPr>
        <w:t>MYLAN S.A.S.</w:t>
      </w:r>
    </w:p>
    <w:p w:rsidR="00D119E8" w:rsidRDefault="00D119E8" w:rsidP="00D119E8">
      <w:pPr>
        <w:rPr>
          <w:sz w:val="22"/>
          <w:szCs w:val="22"/>
        </w:rPr>
      </w:pPr>
      <w:r w:rsidRPr="00D119E8">
        <w:rPr>
          <w:sz w:val="22"/>
          <w:szCs w:val="22"/>
        </w:rPr>
        <w:t xml:space="preserve">117 </w:t>
      </w:r>
      <w:proofErr w:type="spellStart"/>
      <w:r w:rsidRPr="00D119E8">
        <w:rPr>
          <w:sz w:val="22"/>
          <w:szCs w:val="22"/>
        </w:rPr>
        <w:t>Allée</w:t>
      </w:r>
      <w:proofErr w:type="spellEnd"/>
      <w:r w:rsidRPr="00D119E8">
        <w:rPr>
          <w:sz w:val="22"/>
          <w:szCs w:val="22"/>
        </w:rPr>
        <w:t xml:space="preserve"> </w:t>
      </w:r>
      <w:proofErr w:type="spellStart"/>
      <w:r w:rsidRPr="00D119E8">
        <w:rPr>
          <w:sz w:val="22"/>
          <w:szCs w:val="22"/>
        </w:rPr>
        <w:t>des</w:t>
      </w:r>
      <w:proofErr w:type="spellEnd"/>
      <w:r w:rsidRPr="00D119E8">
        <w:rPr>
          <w:sz w:val="22"/>
          <w:szCs w:val="22"/>
        </w:rPr>
        <w:t xml:space="preserve"> </w:t>
      </w:r>
      <w:proofErr w:type="spellStart"/>
      <w:r w:rsidRPr="00D119E8">
        <w:rPr>
          <w:sz w:val="22"/>
          <w:szCs w:val="22"/>
        </w:rPr>
        <w:t>Parcs</w:t>
      </w:r>
      <w:proofErr w:type="spellEnd"/>
      <w:r w:rsidRPr="00D119E8">
        <w:rPr>
          <w:sz w:val="22"/>
          <w:szCs w:val="22"/>
        </w:rPr>
        <w:t xml:space="preserve"> </w:t>
      </w:r>
    </w:p>
    <w:p w:rsidR="00D119E8" w:rsidRDefault="00D119E8" w:rsidP="00D119E8">
      <w:pPr>
        <w:rPr>
          <w:sz w:val="22"/>
          <w:szCs w:val="22"/>
        </w:rPr>
      </w:pPr>
      <w:r w:rsidRPr="00D119E8">
        <w:rPr>
          <w:sz w:val="22"/>
          <w:szCs w:val="22"/>
        </w:rPr>
        <w:t xml:space="preserve">69800 SAINT-PRIEST </w:t>
      </w:r>
    </w:p>
    <w:p w:rsidR="00995E92" w:rsidRPr="00995E92" w:rsidRDefault="00D119E8" w:rsidP="00D119E8">
      <w:pPr>
        <w:pStyle w:val="BTEMEASMCA"/>
      </w:pPr>
      <w:r w:rsidRPr="00D119E8">
        <w:t>Prancūzija</w:t>
      </w: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1120C8">
      <w:pPr>
        <w:pStyle w:val="PI-1labEMEASMCA"/>
      </w:pPr>
      <w:r w:rsidRPr="00DF4173">
        <w:t>12.</w:t>
      </w:r>
      <w:r w:rsidRPr="00DF4173">
        <w:tab/>
        <w:t xml:space="preserve">RINKODAROS TEISĖS NUMERIS </w:t>
      </w:r>
    </w:p>
    <w:p w:rsidR="00633D05" w:rsidRDefault="00633D05" w:rsidP="00732C31">
      <w:pPr>
        <w:pStyle w:val="BTEMEASMCA"/>
      </w:pPr>
    </w:p>
    <w:p w:rsidR="00875C4B" w:rsidRPr="007F431A" w:rsidRDefault="00875C4B" w:rsidP="00875C4B">
      <w:pPr>
        <w:rPr>
          <w:bCs/>
          <w:sz w:val="22"/>
          <w:szCs w:val="22"/>
        </w:rPr>
      </w:pPr>
      <w:r>
        <w:rPr>
          <w:bCs/>
          <w:sz w:val="22"/>
          <w:szCs w:val="22"/>
        </w:rPr>
        <w:t>LT/1/12/3017/001 –</w:t>
      </w:r>
      <w:r w:rsidRPr="000F524B">
        <w:rPr>
          <w:bCs/>
          <w:sz w:val="22"/>
          <w:szCs w:val="22"/>
        </w:rPr>
        <w:t xml:space="preserve"> </w:t>
      </w:r>
      <w:r>
        <w:rPr>
          <w:bCs/>
          <w:sz w:val="22"/>
          <w:szCs w:val="22"/>
        </w:rPr>
        <w:t>buteliukas koncentrato (0,5 ml) ir buteliukas tirpiklio (1,8 ml), N1</w:t>
      </w:r>
    </w:p>
    <w:p w:rsidR="00875C4B" w:rsidRDefault="00875C4B" w:rsidP="00875C4B">
      <w:pPr>
        <w:rPr>
          <w:bCs/>
          <w:sz w:val="22"/>
          <w:szCs w:val="22"/>
        </w:rPr>
      </w:pPr>
      <w:r>
        <w:rPr>
          <w:bCs/>
          <w:sz w:val="22"/>
          <w:szCs w:val="22"/>
        </w:rPr>
        <w:t>LT/1/12/3017/002 –</w:t>
      </w:r>
      <w:r w:rsidRPr="000F524B">
        <w:rPr>
          <w:bCs/>
          <w:sz w:val="22"/>
          <w:szCs w:val="22"/>
        </w:rPr>
        <w:t xml:space="preserve"> </w:t>
      </w:r>
      <w:r>
        <w:rPr>
          <w:bCs/>
          <w:sz w:val="22"/>
          <w:szCs w:val="22"/>
        </w:rPr>
        <w:t>buteliukas koncentrato (2 ml) ir buteliukas tirpiklio (7,1 ml), N1</w:t>
      </w:r>
    </w:p>
    <w:p w:rsidR="00875C4B" w:rsidRPr="00DF4173" w:rsidRDefault="00875C4B" w:rsidP="00732C31">
      <w:pPr>
        <w:pStyle w:val="BTEMEASMCA"/>
      </w:pPr>
    </w:p>
    <w:p w:rsidR="00633D05" w:rsidRPr="00DF4173" w:rsidRDefault="00633D05" w:rsidP="00732C31">
      <w:pPr>
        <w:pStyle w:val="BTEMEASMCA"/>
      </w:pPr>
    </w:p>
    <w:p w:rsidR="00633D05" w:rsidRPr="00DF4173" w:rsidRDefault="00633D05" w:rsidP="001120C8">
      <w:pPr>
        <w:pStyle w:val="PI-1labEMEASMCA"/>
      </w:pPr>
      <w:r w:rsidRPr="00DF4173">
        <w:t>13.</w:t>
      </w:r>
      <w:r w:rsidRPr="00DF4173">
        <w:tab/>
        <w:t>SERIJOS NUMERIS</w:t>
      </w:r>
    </w:p>
    <w:p w:rsidR="00633D05" w:rsidRPr="00DF4173" w:rsidRDefault="00633D05" w:rsidP="00732C31">
      <w:pPr>
        <w:pStyle w:val="BTEMEASMCA"/>
      </w:pPr>
    </w:p>
    <w:p w:rsidR="00995E92" w:rsidRPr="00995E92" w:rsidRDefault="00995E92" w:rsidP="00732C31">
      <w:pPr>
        <w:pStyle w:val="BTEMEASMCA"/>
      </w:pPr>
      <w:r w:rsidRPr="00995E92">
        <w:t xml:space="preserve">Serija: </w:t>
      </w:r>
    </w:p>
    <w:p w:rsidR="00995E92" w:rsidRDefault="00995E92" w:rsidP="00732C31">
      <w:pPr>
        <w:pStyle w:val="BTEMEASMCA"/>
      </w:pPr>
    </w:p>
    <w:p w:rsidR="00E95006" w:rsidRPr="00DF4173" w:rsidRDefault="00E95006" w:rsidP="00732C31">
      <w:pPr>
        <w:pStyle w:val="BTEMEASMCA"/>
      </w:pPr>
    </w:p>
    <w:p w:rsidR="00633D05" w:rsidRPr="00DF4173" w:rsidRDefault="00633D05" w:rsidP="001120C8">
      <w:pPr>
        <w:pStyle w:val="PI-1labEMEASMCA"/>
      </w:pPr>
      <w:r w:rsidRPr="00DF4173">
        <w:t>14.</w:t>
      </w:r>
      <w:r w:rsidRPr="00DF4173">
        <w:tab/>
      </w:r>
      <w:r>
        <w:t xml:space="preserve">PARDAVIMO (IŠDAVIMO) </w:t>
      </w:r>
      <w:r w:rsidRPr="00DF4173">
        <w:t>TVARKA</w:t>
      </w:r>
    </w:p>
    <w:p w:rsidR="00633D05" w:rsidRPr="00DF4173" w:rsidRDefault="00633D05" w:rsidP="00732C31">
      <w:pPr>
        <w:pStyle w:val="BTEMEASMCA"/>
      </w:pPr>
    </w:p>
    <w:p w:rsidR="00633D05" w:rsidRPr="00DF4173" w:rsidRDefault="00995E92" w:rsidP="00732C31">
      <w:pPr>
        <w:pStyle w:val="BTEMEASMCA"/>
      </w:pPr>
      <w:r w:rsidRPr="00995E92">
        <w:t>Receptinis vaistinis preparatas</w:t>
      </w:r>
    </w:p>
    <w:p w:rsidR="00633D05" w:rsidRPr="00DF4173" w:rsidRDefault="00633D05" w:rsidP="00732C31">
      <w:pPr>
        <w:pStyle w:val="BTEMEASMCA"/>
      </w:pPr>
    </w:p>
    <w:p w:rsidR="00633D05" w:rsidRPr="00DF4173" w:rsidRDefault="00633D05" w:rsidP="001120C8">
      <w:pPr>
        <w:pStyle w:val="PI-1labEMEASMCA"/>
      </w:pPr>
      <w:r w:rsidRPr="00DF4173">
        <w:t>15.</w:t>
      </w:r>
      <w:r w:rsidRPr="00DF4173">
        <w:tab/>
        <w:t>VARTOJIMO INSTRUKCIJA</w:t>
      </w: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1120C8">
      <w:pPr>
        <w:pStyle w:val="PI-1labEMEASMCA"/>
      </w:pPr>
      <w:r w:rsidRPr="00DF4173">
        <w:t>16.</w:t>
      </w:r>
      <w:r w:rsidRPr="00DF4173">
        <w:tab/>
        <w:t>INFORMACIJA BRAILIO RAŠTU</w:t>
      </w:r>
    </w:p>
    <w:p w:rsidR="00633D05" w:rsidRDefault="00633D05" w:rsidP="00732C31">
      <w:pPr>
        <w:pStyle w:val="BTEMEASMCA"/>
      </w:pPr>
    </w:p>
    <w:p w:rsidR="0051569F" w:rsidRDefault="00E95006" w:rsidP="00732C31">
      <w:pPr>
        <w:pStyle w:val="BTEMEASMCA"/>
      </w:pPr>
      <w:r w:rsidRPr="00E95006">
        <w:rPr>
          <w:highlight w:val="lightGray"/>
          <w:lang w:val="bg-BG"/>
        </w:rPr>
        <w:t>Priimtas pa</w:t>
      </w:r>
      <w:r w:rsidRPr="00E95006">
        <w:rPr>
          <w:highlight w:val="lightGray"/>
        </w:rPr>
        <w:t>grindimas</w:t>
      </w:r>
      <w:r w:rsidRPr="00E95006">
        <w:rPr>
          <w:highlight w:val="lightGray"/>
          <w:lang w:val="bg-BG"/>
        </w:rPr>
        <w:t xml:space="preserve"> informacijos Brailio raštu</w:t>
      </w:r>
      <w:r w:rsidRPr="00E95006">
        <w:rPr>
          <w:highlight w:val="lightGray"/>
        </w:rPr>
        <w:t xml:space="preserve"> nepateikti.</w:t>
      </w:r>
    </w:p>
    <w:p w:rsidR="00633D05" w:rsidRDefault="00E95006" w:rsidP="001120C8">
      <w:pPr>
        <w:pStyle w:val="PI-1labEMEASMCA"/>
      </w:pPr>
      <w:r>
        <w:br w:type="page"/>
      </w:r>
      <w:r w:rsidR="00633D05" w:rsidRPr="00DF4173">
        <w:lastRenderedPageBreak/>
        <w:t>MINIMALI INFORMACIJA ANT MAŽŲ VIDINIŲ</w:t>
      </w:r>
      <w:r w:rsidR="00633D05" w:rsidRPr="00DF4173">
        <w:rPr>
          <w:bCs/>
        </w:rPr>
        <w:t xml:space="preserve"> </w:t>
      </w:r>
      <w:r w:rsidR="00633D05" w:rsidRPr="00DF4173">
        <w:t>PAKUOČIŲ</w:t>
      </w:r>
    </w:p>
    <w:p w:rsidR="00633D05" w:rsidRPr="00DF4173" w:rsidRDefault="00633D05" w:rsidP="001120C8">
      <w:pPr>
        <w:pStyle w:val="PI-1labEMEASMCA"/>
      </w:pPr>
    </w:p>
    <w:p w:rsidR="0051569F" w:rsidRPr="0051569F" w:rsidRDefault="0051569F" w:rsidP="0051569F">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eastAsia="SimSun"/>
          <w:b/>
          <w:bCs/>
          <w:color w:val="000000"/>
          <w:sz w:val="23"/>
          <w:szCs w:val="23"/>
          <w:lang w:eastAsia="ja-JP"/>
        </w:rPr>
      </w:pPr>
      <w:r w:rsidRPr="0051569F">
        <w:rPr>
          <w:rFonts w:eastAsia="SimSun"/>
          <w:b/>
          <w:bCs/>
          <w:color w:val="000000"/>
          <w:sz w:val="23"/>
          <w:szCs w:val="22"/>
          <w:lang w:eastAsia="ja-JP"/>
        </w:rPr>
        <w:t xml:space="preserve">BUTELIUKAS / </w:t>
      </w:r>
      <w:proofErr w:type="spellStart"/>
      <w:r w:rsidR="00DE749D" w:rsidRPr="00DE749D">
        <w:rPr>
          <w:b/>
          <w:sz w:val="22"/>
          <w:szCs w:val="22"/>
        </w:rPr>
        <w:t>Docetaxel</w:t>
      </w:r>
      <w:proofErr w:type="spellEnd"/>
      <w:r w:rsidR="00DE749D" w:rsidRPr="00DE749D">
        <w:rPr>
          <w:b/>
          <w:sz w:val="22"/>
          <w:szCs w:val="22"/>
        </w:rPr>
        <w:t xml:space="preserve"> </w:t>
      </w:r>
      <w:proofErr w:type="spellStart"/>
      <w:r w:rsidR="00DE749D" w:rsidRPr="00DE749D">
        <w:rPr>
          <w:b/>
          <w:sz w:val="22"/>
          <w:szCs w:val="22"/>
        </w:rPr>
        <w:t>Mylan</w:t>
      </w:r>
      <w:proofErr w:type="spellEnd"/>
      <w:r w:rsidR="00DE749D">
        <w:t xml:space="preserve"> </w:t>
      </w:r>
      <w:r w:rsidRPr="0051569F">
        <w:rPr>
          <w:rFonts w:eastAsia="SimSun"/>
          <w:b/>
          <w:bCs/>
          <w:color w:val="000000"/>
          <w:sz w:val="23"/>
          <w:szCs w:val="22"/>
          <w:lang w:eastAsia="ja-JP"/>
        </w:rPr>
        <w:t xml:space="preserve">40 mg/ml koncentratas </w:t>
      </w: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1120C8">
      <w:pPr>
        <w:pStyle w:val="PI-1labEMEASMCA"/>
      </w:pPr>
      <w:r w:rsidRPr="00DF4173">
        <w:t>1.</w:t>
      </w:r>
      <w:r w:rsidRPr="00DF4173">
        <w:tab/>
        <w:t>VAISTINIO PREPARATO PAVADINIMAS IR VARTOJIMO BŪDAS</w:t>
      </w:r>
      <w:r>
        <w:t xml:space="preserve"> (-AI)</w:t>
      </w:r>
    </w:p>
    <w:p w:rsidR="00633D05" w:rsidRPr="00DF4173" w:rsidRDefault="00633D05" w:rsidP="00732C31">
      <w:pPr>
        <w:pStyle w:val="BTEMEASMCA"/>
      </w:pPr>
    </w:p>
    <w:p w:rsidR="0051569F" w:rsidRPr="0051569F" w:rsidRDefault="00DE749D" w:rsidP="00732C31">
      <w:pPr>
        <w:pStyle w:val="BTEMEASMCA"/>
      </w:pPr>
      <w:r w:rsidRPr="00DE749D">
        <w:t>Docetaxel Mylan</w:t>
      </w:r>
      <w:r>
        <w:rPr>
          <w:lang w:val="lt-LT"/>
        </w:rPr>
        <w:t xml:space="preserve"> </w:t>
      </w:r>
      <w:r w:rsidR="0051569F" w:rsidRPr="0051569F">
        <w:t xml:space="preserve">40 mg/ml koncentratas infuziniam tirpalui </w:t>
      </w:r>
    </w:p>
    <w:p w:rsidR="0051569F" w:rsidRPr="0051569F" w:rsidRDefault="009F0759" w:rsidP="00732C31">
      <w:pPr>
        <w:pStyle w:val="BTEMEASMCA"/>
      </w:pPr>
      <w:r>
        <w:t>D</w:t>
      </w:r>
      <w:r w:rsidR="0051569F" w:rsidRPr="0051569F">
        <w:t xml:space="preserve">ocetakselis </w:t>
      </w:r>
    </w:p>
    <w:p w:rsidR="0051569F" w:rsidRPr="0051569F" w:rsidRDefault="009F0759" w:rsidP="00732C31">
      <w:pPr>
        <w:pStyle w:val="BTEMEASMCA"/>
      </w:pPr>
      <w:r>
        <w:t>Leisti</w:t>
      </w:r>
      <w:r w:rsidR="0051569F" w:rsidRPr="0051569F">
        <w:t xml:space="preserve"> į veną</w:t>
      </w:r>
      <w:r>
        <w:t>.</w:t>
      </w:r>
      <w:r w:rsidR="0051569F" w:rsidRPr="0051569F">
        <w:t xml:space="preserve"> </w:t>
      </w: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1120C8">
      <w:pPr>
        <w:pStyle w:val="PI-1labEMEASMCA"/>
      </w:pPr>
      <w:r w:rsidRPr="00DF4173">
        <w:t>2.</w:t>
      </w:r>
      <w:r w:rsidRPr="00DF4173">
        <w:tab/>
        <w:t>VARTOJIMO METODAS</w:t>
      </w:r>
    </w:p>
    <w:p w:rsidR="00633D05" w:rsidRPr="00DF4173" w:rsidRDefault="00633D05" w:rsidP="00732C31">
      <w:pPr>
        <w:pStyle w:val="BTEMEASMCA"/>
      </w:pPr>
    </w:p>
    <w:p w:rsidR="0051569F" w:rsidRPr="0051569F" w:rsidRDefault="0051569F" w:rsidP="00732C31">
      <w:pPr>
        <w:pStyle w:val="BTEMEASMCA"/>
      </w:pPr>
      <w:r w:rsidRPr="0051569F">
        <w:t xml:space="preserve">Prieš vartojimą perskaitykite pakuotės lapelį. </w:t>
      </w:r>
    </w:p>
    <w:p w:rsidR="009F0759" w:rsidRDefault="009F0759" w:rsidP="00732C31">
      <w:pPr>
        <w:pStyle w:val="BTEMEASMCA"/>
      </w:pPr>
    </w:p>
    <w:p w:rsidR="0051569F" w:rsidRPr="00DF4173" w:rsidRDefault="0051569F" w:rsidP="00732C31">
      <w:pPr>
        <w:pStyle w:val="BTEMEASMCA"/>
      </w:pPr>
      <w:r>
        <w:tab/>
      </w:r>
    </w:p>
    <w:p w:rsidR="00633D05" w:rsidRPr="00DF4173" w:rsidRDefault="00633D05" w:rsidP="001120C8">
      <w:pPr>
        <w:pStyle w:val="PI-1labEMEASMCA"/>
      </w:pPr>
      <w:r w:rsidRPr="00DF4173">
        <w:t>3.</w:t>
      </w:r>
      <w:r w:rsidRPr="00DF4173">
        <w:tab/>
        <w:t>TINKAMUMO LAIKAS</w:t>
      </w:r>
    </w:p>
    <w:p w:rsidR="00633D05" w:rsidRDefault="00633D05" w:rsidP="00732C31">
      <w:pPr>
        <w:pStyle w:val="BTEMEASMCA"/>
      </w:pPr>
    </w:p>
    <w:p w:rsidR="0051569F" w:rsidRDefault="0051569F" w:rsidP="00732C31">
      <w:pPr>
        <w:pStyle w:val="BTEMEASMCA"/>
      </w:pPr>
      <w:r w:rsidRPr="0051569F">
        <w:t xml:space="preserve">Tinka iki: </w:t>
      </w:r>
      <w:r w:rsidR="0034323F">
        <w:t>mm/MMMM</w:t>
      </w:r>
    </w:p>
    <w:p w:rsidR="0051569F" w:rsidRDefault="0051569F" w:rsidP="00732C31">
      <w:pPr>
        <w:pStyle w:val="BTEMEASMCA"/>
      </w:pPr>
    </w:p>
    <w:p w:rsidR="009F0759" w:rsidRPr="0051569F" w:rsidRDefault="009F0759" w:rsidP="00732C31">
      <w:pPr>
        <w:pStyle w:val="BTEMEASMCA"/>
      </w:pPr>
    </w:p>
    <w:p w:rsidR="00633D05" w:rsidRPr="00DF4173" w:rsidRDefault="00633D05" w:rsidP="001120C8">
      <w:pPr>
        <w:pStyle w:val="PI-1labEMEASMCA"/>
        <w:rPr>
          <w:highlight w:val="lightGray"/>
        </w:rPr>
      </w:pPr>
      <w:r w:rsidRPr="00DF4173">
        <w:t>4.</w:t>
      </w:r>
      <w:r w:rsidRPr="00DF4173">
        <w:tab/>
        <w:t>SERIJOS NUMERIS</w:t>
      </w:r>
    </w:p>
    <w:p w:rsidR="00633D05" w:rsidRPr="00DF4173" w:rsidRDefault="00633D05" w:rsidP="00732C31">
      <w:pPr>
        <w:pStyle w:val="BTEMEASMCA"/>
      </w:pPr>
    </w:p>
    <w:p w:rsidR="0051569F" w:rsidRPr="0051569F" w:rsidRDefault="0051569F" w:rsidP="00732C31">
      <w:pPr>
        <w:pStyle w:val="BTEMEASMCA"/>
      </w:pPr>
      <w:r w:rsidRPr="0051569F">
        <w:t xml:space="preserve">Serija: </w:t>
      </w:r>
    </w:p>
    <w:p w:rsidR="00633D05" w:rsidRDefault="00633D05" w:rsidP="00732C31">
      <w:pPr>
        <w:pStyle w:val="BTEMEASMCA"/>
      </w:pPr>
    </w:p>
    <w:p w:rsidR="009F0759" w:rsidRPr="00DF4173" w:rsidRDefault="009F0759" w:rsidP="00732C31">
      <w:pPr>
        <w:pStyle w:val="BTEMEASMCA"/>
      </w:pPr>
    </w:p>
    <w:p w:rsidR="00633D05" w:rsidRPr="00DF4173" w:rsidRDefault="00633D05" w:rsidP="001120C8">
      <w:pPr>
        <w:pStyle w:val="PI-1labEMEASMCA"/>
        <w:rPr>
          <w:highlight w:val="lightGray"/>
        </w:rPr>
      </w:pPr>
      <w:r w:rsidRPr="00DF4173">
        <w:t>5.</w:t>
      </w:r>
      <w:r w:rsidRPr="00DF4173">
        <w:tab/>
        <w:t>KIEKIS (MASĖ, TŪRIS ARBA VIENETAI)</w:t>
      </w:r>
    </w:p>
    <w:p w:rsidR="00633D05" w:rsidRDefault="00633D05" w:rsidP="00732C31">
      <w:pPr>
        <w:pStyle w:val="BTEMEASMCA"/>
      </w:pPr>
    </w:p>
    <w:p w:rsidR="0051569F" w:rsidRPr="00F045DD" w:rsidRDefault="009F0759" w:rsidP="0051569F">
      <w:pPr>
        <w:pStyle w:val="CM2"/>
        <w:rPr>
          <w:sz w:val="23"/>
          <w:szCs w:val="23"/>
          <w:lang w:val="lt-LT"/>
        </w:rPr>
      </w:pPr>
      <w:r>
        <w:rPr>
          <w:sz w:val="23"/>
          <w:szCs w:val="22"/>
          <w:lang w:val="lt-LT"/>
        </w:rPr>
        <w:t>20 mg/0,5 ml</w:t>
      </w:r>
      <w:r w:rsidR="0051569F" w:rsidRPr="00F045DD">
        <w:rPr>
          <w:sz w:val="23"/>
          <w:szCs w:val="22"/>
          <w:lang w:val="lt-LT"/>
        </w:rPr>
        <w:t xml:space="preserve"> </w:t>
      </w:r>
    </w:p>
    <w:p w:rsidR="0051569F" w:rsidRPr="00F045DD" w:rsidRDefault="009F0759" w:rsidP="0051569F">
      <w:pPr>
        <w:pStyle w:val="CM3"/>
        <w:rPr>
          <w:sz w:val="23"/>
          <w:szCs w:val="23"/>
          <w:lang w:val="lt-LT"/>
        </w:rPr>
      </w:pPr>
      <w:r w:rsidRPr="00C93814">
        <w:rPr>
          <w:sz w:val="23"/>
          <w:szCs w:val="22"/>
          <w:highlight w:val="lightGray"/>
          <w:lang w:val="lt-LT"/>
        </w:rPr>
        <w:t>80 mg/2 ml</w:t>
      </w:r>
    </w:p>
    <w:p w:rsidR="0051569F" w:rsidRDefault="0051569F" w:rsidP="00732C31">
      <w:pPr>
        <w:pStyle w:val="BTEMEASMCA"/>
      </w:pPr>
    </w:p>
    <w:p w:rsidR="009F0759" w:rsidRPr="00DF4173" w:rsidRDefault="009F0759" w:rsidP="00732C31">
      <w:pPr>
        <w:pStyle w:val="BTEMEASMCA"/>
      </w:pPr>
    </w:p>
    <w:p w:rsidR="00633D05" w:rsidRPr="00DF4173" w:rsidRDefault="00633D05" w:rsidP="001120C8">
      <w:pPr>
        <w:pStyle w:val="PI-1labEMEASMCA"/>
        <w:rPr>
          <w:highlight w:val="lightGray"/>
        </w:rPr>
      </w:pPr>
      <w:r w:rsidRPr="00DF4173">
        <w:t>6.</w:t>
      </w:r>
      <w:r w:rsidRPr="00DF4173">
        <w:tab/>
        <w:t>KITA</w:t>
      </w:r>
    </w:p>
    <w:p w:rsidR="00633D05" w:rsidRPr="00DF4173" w:rsidRDefault="00633D05" w:rsidP="00732C31">
      <w:pPr>
        <w:pStyle w:val="BTEMEASMCA"/>
      </w:pPr>
    </w:p>
    <w:p w:rsidR="0051569F" w:rsidRPr="0051569F" w:rsidRDefault="0051569F" w:rsidP="00732C31">
      <w:pPr>
        <w:pStyle w:val="BTEMEASMCA"/>
      </w:pPr>
      <w:r w:rsidRPr="0051569F">
        <w:t xml:space="preserve">Citotoksinė medžiaga </w:t>
      </w:r>
    </w:p>
    <w:p w:rsidR="0051569F" w:rsidRPr="0051569F" w:rsidRDefault="0051569F" w:rsidP="00732C31">
      <w:pPr>
        <w:pStyle w:val="BTEMEASMCA"/>
      </w:pPr>
    </w:p>
    <w:p w:rsidR="00D119E8" w:rsidRPr="00D119E8" w:rsidRDefault="00D119E8" w:rsidP="00D119E8">
      <w:pPr>
        <w:rPr>
          <w:sz w:val="22"/>
          <w:szCs w:val="22"/>
        </w:rPr>
      </w:pPr>
      <w:r w:rsidRPr="00D119E8">
        <w:rPr>
          <w:sz w:val="22"/>
          <w:szCs w:val="22"/>
        </w:rPr>
        <w:t>MYLAN S.A.S.</w:t>
      </w:r>
    </w:p>
    <w:p w:rsidR="0051569F" w:rsidRDefault="0051569F" w:rsidP="00732C31">
      <w:pPr>
        <w:pStyle w:val="BTEMEASMCA"/>
      </w:pPr>
    </w:p>
    <w:p w:rsidR="0051569F" w:rsidRPr="0051569F" w:rsidRDefault="009F0759" w:rsidP="00732C31">
      <w:pPr>
        <w:pStyle w:val="BTEMEASMCA"/>
      </w:pPr>
      <w:r>
        <w:br w:type="page"/>
      </w:r>
    </w:p>
    <w:p w:rsidR="0051569F" w:rsidRPr="0051569F" w:rsidRDefault="0051569F" w:rsidP="0051569F">
      <w:pPr>
        <w:pStyle w:val="CM6"/>
        <w:pBdr>
          <w:top w:val="single" w:sz="4" w:space="1" w:color="auto"/>
          <w:left w:val="single" w:sz="4" w:space="0" w:color="auto"/>
          <w:bottom w:val="single" w:sz="4" w:space="1" w:color="auto"/>
          <w:right w:val="single" w:sz="4" w:space="4" w:color="auto"/>
        </w:pBdr>
        <w:rPr>
          <w:rFonts w:cs="Times New Roman"/>
          <w:sz w:val="22"/>
          <w:szCs w:val="23"/>
          <w:lang w:val="lt-LT"/>
        </w:rPr>
      </w:pPr>
      <w:r w:rsidRPr="0051569F">
        <w:rPr>
          <w:rFonts w:cs="Times New Roman"/>
          <w:b/>
          <w:bCs/>
          <w:sz w:val="22"/>
          <w:szCs w:val="22"/>
          <w:lang w:val="lt-LT"/>
        </w:rPr>
        <w:lastRenderedPageBreak/>
        <w:t xml:space="preserve">MINIMALI INFORMACIJA ANT MAŽŲ VIDINIŲ PAKUOČIŲ </w:t>
      </w:r>
      <w:r w:rsidRPr="0051569F">
        <w:rPr>
          <w:rFonts w:cs="Times New Roman"/>
          <w:b/>
          <w:bCs/>
          <w:sz w:val="22"/>
          <w:szCs w:val="23"/>
          <w:lang w:val="lt-LT"/>
        </w:rPr>
        <w:br/>
      </w:r>
    </w:p>
    <w:p w:rsidR="0051569F" w:rsidRPr="0051569F" w:rsidRDefault="0051569F" w:rsidP="0051569F">
      <w:pPr>
        <w:pStyle w:val="CM5"/>
        <w:pBdr>
          <w:top w:val="single" w:sz="4" w:space="1" w:color="auto"/>
          <w:left w:val="single" w:sz="4" w:space="0" w:color="auto"/>
          <w:bottom w:val="single" w:sz="4" w:space="1" w:color="auto"/>
          <w:right w:val="single" w:sz="4" w:space="4" w:color="auto"/>
        </w:pBdr>
        <w:rPr>
          <w:rFonts w:cs="Times New Roman"/>
          <w:sz w:val="22"/>
          <w:szCs w:val="23"/>
          <w:lang w:val="lt-LT"/>
        </w:rPr>
      </w:pPr>
      <w:r w:rsidRPr="0051569F">
        <w:rPr>
          <w:rFonts w:cs="Times New Roman"/>
          <w:b/>
          <w:bCs/>
          <w:sz w:val="22"/>
          <w:szCs w:val="22"/>
          <w:lang w:val="lt-LT"/>
        </w:rPr>
        <w:t xml:space="preserve">BUTELIUKAS / TIRPIKLIS </w:t>
      </w:r>
    </w:p>
    <w:p w:rsidR="0051569F" w:rsidRPr="00515C32" w:rsidRDefault="0051569F" w:rsidP="00C93814">
      <w:pPr>
        <w:pStyle w:val="CM6"/>
        <w:tabs>
          <w:tab w:val="left" w:pos="567"/>
        </w:tabs>
        <w:rPr>
          <w:rFonts w:cs="Times New Roman"/>
          <w:b/>
          <w:bCs/>
          <w:sz w:val="22"/>
          <w:szCs w:val="22"/>
          <w:lang w:val="lt-LT"/>
        </w:rPr>
      </w:pPr>
    </w:p>
    <w:p w:rsidR="0051569F" w:rsidRPr="00515C32" w:rsidRDefault="0051569F" w:rsidP="00C93814">
      <w:pPr>
        <w:pStyle w:val="CM4"/>
        <w:pBdr>
          <w:top w:val="single" w:sz="4" w:space="1" w:color="auto"/>
          <w:left w:val="single" w:sz="4" w:space="0" w:color="auto"/>
          <w:bottom w:val="single" w:sz="4" w:space="1" w:color="auto"/>
          <w:right w:val="single" w:sz="4" w:space="4" w:color="auto"/>
          <w:between w:val="single" w:sz="4" w:space="1" w:color="auto"/>
        </w:pBdr>
        <w:tabs>
          <w:tab w:val="left" w:pos="567"/>
        </w:tabs>
        <w:jc w:val="both"/>
        <w:rPr>
          <w:sz w:val="22"/>
          <w:szCs w:val="22"/>
          <w:lang w:val="lt-LT"/>
        </w:rPr>
      </w:pPr>
      <w:r w:rsidRPr="00515C32">
        <w:rPr>
          <w:b/>
          <w:bCs/>
          <w:sz w:val="22"/>
          <w:szCs w:val="22"/>
          <w:lang w:val="lt-LT"/>
        </w:rPr>
        <w:t xml:space="preserve">1. </w:t>
      </w:r>
      <w:r w:rsidR="00515C32" w:rsidRPr="00515C32">
        <w:rPr>
          <w:b/>
          <w:bCs/>
          <w:sz w:val="22"/>
          <w:szCs w:val="22"/>
          <w:lang w:val="lt-LT"/>
        </w:rPr>
        <w:tab/>
      </w:r>
      <w:r w:rsidRPr="00515C32">
        <w:rPr>
          <w:b/>
          <w:bCs/>
          <w:sz w:val="22"/>
          <w:szCs w:val="22"/>
          <w:lang w:val="lt-LT"/>
        </w:rPr>
        <w:t xml:space="preserve">VAISTINIO PREPARATO PAVADINIMAS IR VARTOJIMO BŪDAS (-AI) </w:t>
      </w:r>
    </w:p>
    <w:p w:rsidR="0051569F" w:rsidRPr="00515C32" w:rsidRDefault="0051569F" w:rsidP="00C93814">
      <w:pPr>
        <w:pStyle w:val="CM5"/>
        <w:tabs>
          <w:tab w:val="left" w:pos="567"/>
        </w:tabs>
        <w:rPr>
          <w:rFonts w:cs="Times New Roman"/>
          <w:sz w:val="22"/>
          <w:szCs w:val="22"/>
          <w:lang w:val="lt-LT"/>
        </w:rPr>
      </w:pPr>
    </w:p>
    <w:p w:rsidR="0051569F" w:rsidRPr="00515C32" w:rsidRDefault="00DE749D" w:rsidP="00C93814">
      <w:pPr>
        <w:pStyle w:val="CM5"/>
        <w:tabs>
          <w:tab w:val="left" w:pos="567"/>
        </w:tabs>
        <w:rPr>
          <w:rFonts w:cs="Times New Roman"/>
          <w:sz w:val="22"/>
          <w:szCs w:val="22"/>
          <w:lang w:val="lt-LT"/>
        </w:rPr>
      </w:pPr>
      <w:r w:rsidRPr="00DE749D">
        <w:rPr>
          <w:sz w:val="22"/>
          <w:szCs w:val="22"/>
        </w:rPr>
        <w:t>Docetaxel Mylan</w:t>
      </w:r>
      <w:r>
        <w:rPr>
          <w:lang w:val="lt-LT"/>
        </w:rPr>
        <w:t xml:space="preserve"> </w:t>
      </w:r>
      <w:r w:rsidR="0051569F" w:rsidRPr="00515C32">
        <w:rPr>
          <w:rFonts w:cs="Times New Roman"/>
          <w:sz w:val="22"/>
          <w:szCs w:val="22"/>
          <w:lang w:val="lt-LT"/>
        </w:rPr>
        <w:t xml:space="preserve">40 mg/ml tirpiklis </w:t>
      </w:r>
    </w:p>
    <w:p w:rsidR="0051569F" w:rsidRPr="00515C32" w:rsidRDefault="0051569F" w:rsidP="00C93814">
      <w:pPr>
        <w:pStyle w:val="Default"/>
        <w:tabs>
          <w:tab w:val="left" w:pos="567"/>
        </w:tabs>
        <w:rPr>
          <w:sz w:val="22"/>
          <w:szCs w:val="22"/>
          <w:lang w:val="lt-LT"/>
        </w:rPr>
      </w:pPr>
    </w:p>
    <w:p w:rsidR="009F0759" w:rsidRPr="00515C32" w:rsidRDefault="009F0759" w:rsidP="00C93814">
      <w:pPr>
        <w:pStyle w:val="Default"/>
        <w:tabs>
          <w:tab w:val="left" w:pos="567"/>
        </w:tabs>
        <w:rPr>
          <w:sz w:val="22"/>
          <w:szCs w:val="22"/>
          <w:lang w:val="lt-LT"/>
        </w:rPr>
      </w:pPr>
    </w:p>
    <w:p w:rsidR="0051569F" w:rsidRPr="00515C32" w:rsidRDefault="0051569F" w:rsidP="00C93814">
      <w:pPr>
        <w:pStyle w:val="Default"/>
        <w:pBdr>
          <w:top w:val="single" w:sz="4" w:space="1" w:color="auto"/>
          <w:left w:val="single" w:sz="4" w:space="4" w:color="auto"/>
          <w:bottom w:val="single" w:sz="4" w:space="1" w:color="auto"/>
          <w:right w:val="single" w:sz="4" w:space="4" w:color="auto"/>
        </w:pBdr>
        <w:tabs>
          <w:tab w:val="left" w:pos="567"/>
        </w:tabs>
        <w:rPr>
          <w:b/>
          <w:bCs/>
          <w:sz w:val="22"/>
          <w:szCs w:val="22"/>
          <w:lang w:val="lt-LT"/>
        </w:rPr>
      </w:pPr>
      <w:r w:rsidRPr="00515C32">
        <w:rPr>
          <w:b/>
          <w:bCs/>
          <w:sz w:val="22"/>
          <w:szCs w:val="22"/>
          <w:lang w:val="lt-LT"/>
        </w:rPr>
        <w:t xml:space="preserve">2. </w:t>
      </w:r>
      <w:r w:rsidR="00515C32" w:rsidRPr="00515C32">
        <w:rPr>
          <w:b/>
          <w:bCs/>
          <w:sz w:val="22"/>
          <w:szCs w:val="22"/>
          <w:lang w:val="lt-LT"/>
        </w:rPr>
        <w:tab/>
      </w:r>
      <w:r w:rsidRPr="00515C32">
        <w:rPr>
          <w:b/>
          <w:bCs/>
          <w:sz w:val="22"/>
          <w:szCs w:val="22"/>
          <w:lang w:val="lt-LT"/>
        </w:rPr>
        <w:t xml:space="preserve">VARTOJIMO METODAS </w:t>
      </w:r>
    </w:p>
    <w:p w:rsidR="0051569F" w:rsidRPr="00515C32" w:rsidRDefault="0051569F" w:rsidP="00C93814">
      <w:pPr>
        <w:pStyle w:val="Default"/>
        <w:tabs>
          <w:tab w:val="left" w:pos="567"/>
        </w:tabs>
        <w:rPr>
          <w:sz w:val="22"/>
          <w:szCs w:val="22"/>
          <w:lang w:val="lt-LT"/>
        </w:rPr>
      </w:pPr>
    </w:p>
    <w:p w:rsidR="009F0759" w:rsidRPr="00515C32" w:rsidRDefault="009F0759" w:rsidP="00C93814">
      <w:pPr>
        <w:pStyle w:val="Default"/>
        <w:tabs>
          <w:tab w:val="left" w:pos="567"/>
        </w:tabs>
        <w:rPr>
          <w:sz w:val="22"/>
          <w:szCs w:val="22"/>
          <w:lang w:val="lt-LT"/>
        </w:rPr>
      </w:pPr>
    </w:p>
    <w:p w:rsidR="0051569F" w:rsidRPr="00515C32" w:rsidRDefault="0051569F" w:rsidP="00C93814">
      <w:pPr>
        <w:pStyle w:val="CM4"/>
        <w:pBdr>
          <w:top w:val="single" w:sz="4" w:space="1" w:color="auto"/>
          <w:left w:val="single" w:sz="4" w:space="0" w:color="auto"/>
          <w:bottom w:val="single" w:sz="4" w:space="1" w:color="auto"/>
          <w:right w:val="single" w:sz="4" w:space="4" w:color="auto"/>
          <w:between w:val="single" w:sz="4" w:space="1" w:color="auto"/>
        </w:pBdr>
        <w:tabs>
          <w:tab w:val="left" w:pos="567"/>
        </w:tabs>
        <w:rPr>
          <w:sz w:val="22"/>
          <w:szCs w:val="22"/>
          <w:lang w:val="lt-LT"/>
        </w:rPr>
      </w:pPr>
      <w:r w:rsidRPr="00515C32">
        <w:rPr>
          <w:b/>
          <w:bCs/>
          <w:sz w:val="22"/>
          <w:szCs w:val="22"/>
          <w:lang w:val="lt-LT"/>
        </w:rPr>
        <w:t xml:space="preserve">3. </w:t>
      </w:r>
      <w:r w:rsidR="00515C32" w:rsidRPr="00515C32">
        <w:rPr>
          <w:b/>
          <w:bCs/>
          <w:sz w:val="22"/>
          <w:szCs w:val="22"/>
          <w:lang w:val="lt-LT"/>
        </w:rPr>
        <w:tab/>
      </w:r>
      <w:r w:rsidRPr="00515C32">
        <w:rPr>
          <w:b/>
          <w:bCs/>
          <w:sz w:val="22"/>
          <w:szCs w:val="22"/>
          <w:lang w:val="lt-LT"/>
        </w:rPr>
        <w:t xml:space="preserve">TINKAMUMO LAIKAS </w:t>
      </w:r>
    </w:p>
    <w:p w:rsidR="0051569F" w:rsidRPr="00515C32" w:rsidRDefault="0051569F" w:rsidP="00C93814">
      <w:pPr>
        <w:pStyle w:val="CM3"/>
        <w:tabs>
          <w:tab w:val="left" w:pos="567"/>
        </w:tabs>
        <w:rPr>
          <w:sz w:val="22"/>
          <w:szCs w:val="22"/>
          <w:lang w:val="lt-LT"/>
        </w:rPr>
      </w:pPr>
    </w:p>
    <w:p w:rsidR="0051569F" w:rsidRPr="00515C32" w:rsidRDefault="0051569F" w:rsidP="00C93814">
      <w:pPr>
        <w:pStyle w:val="CM3"/>
        <w:tabs>
          <w:tab w:val="left" w:pos="567"/>
        </w:tabs>
        <w:rPr>
          <w:sz w:val="22"/>
          <w:szCs w:val="22"/>
          <w:lang w:val="lt-LT"/>
        </w:rPr>
      </w:pPr>
      <w:r w:rsidRPr="00515C32">
        <w:rPr>
          <w:sz w:val="22"/>
          <w:szCs w:val="22"/>
          <w:lang w:val="lt-LT"/>
        </w:rPr>
        <w:t xml:space="preserve">Tinka iki: </w:t>
      </w:r>
      <w:r w:rsidR="0034323F">
        <w:t>mm/MMMM</w:t>
      </w:r>
    </w:p>
    <w:p w:rsidR="0051569F" w:rsidRPr="00515C32" w:rsidRDefault="0051569F" w:rsidP="00C93814">
      <w:pPr>
        <w:pStyle w:val="CM4"/>
        <w:tabs>
          <w:tab w:val="left" w:pos="567"/>
        </w:tabs>
        <w:rPr>
          <w:b/>
          <w:bCs/>
          <w:sz w:val="22"/>
          <w:szCs w:val="22"/>
          <w:lang w:val="lt-LT"/>
        </w:rPr>
      </w:pPr>
    </w:p>
    <w:p w:rsidR="009F0759" w:rsidRPr="00C93814" w:rsidRDefault="009F0759" w:rsidP="00C93814">
      <w:pPr>
        <w:pStyle w:val="Default"/>
        <w:tabs>
          <w:tab w:val="left" w:pos="567"/>
        </w:tabs>
        <w:rPr>
          <w:sz w:val="22"/>
          <w:szCs w:val="22"/>
          <w:lang w:val="lt-LT"/>
        </w:rPr>
      </w:pPr>
    </w:p>
    <w:p w:rsidR="0051569F" w:rsidRPr="00515C32" w:rsidRDefault="0051569F" w:rsidP="00C93814">
      <w:pPr>
        <w:pStyle w:val="CM4"/>
        <w:pBdr>
          <w:top w:val="single" w:sz="4" w:space="1" w:color="auto"/>
          <w:left w:val="single" w:sz="4" w:space="0" w:color="auto"/>
          <w:bottom w:val="single" w:sz="4" w:space="1" w:color="auto"/>
          <w:right w:val="single" w:sz="4" w:space="4" w:color="auto"/>
          <w:between w:val="single" w:sz="4" w:space="1" w:color="auto"/>
        </w:pBdr>
        <w:tabs>
          <w:tab w:val="left" w:pos="567"/>
        </w:tabs>
        <w:rPr>
          <w:sz w:val="22"/>
          <w:szCs w:val="22"/>
          <w:lang w:val="lt-LT"/>
        </w:rPr>
      </w:pPr>
      <w:r w:rsidRPr="00515C32">
        <w:rPr>
          <w:b/>
          <w:bCs/>
          <w:sz w:val="22"/>
          <w:szCs w:val="22"/>
          <w:lang w:val="lt-LT"/>
        </w:rPr>
        <w:t xml:space="preserve">4. </w:t>
      </w:r>
      <w:r w:rsidR="00515C32" w:rsidRPr="00515C32">
        <w:rPr>
          <w:b/>
          <w:bCs/>
          <w:sz w:val="22"/>
          <w:szCs w:val="22"/>
          <w:lang w:val="lt-LT"/>
        </w:rPr>
        <w:tab/>
      </w:r>
      <w:r w:rsidRPr="00515C32">
        <w:rPr>
          <w:b/>
          <w:bCs/>
          <w:sz w:val="22"/>
          <w:szCs w:val="22"/>
          <w:lang w:val="lt-LT"/>
        </w:rPr>
        <w:t xml:space="preserve">SERIJOS NUMERIS </w:t>
      </w:r>
    </w:p>
    <w:p w:rsidR="0051569F" w:rsidRPr="00515C32" w:rsidRDefault="0051569F" w:rsidP="00C93814">
      <w:pPr>
        <w:pStyle w:val="CM3"/>
        <w:tabs>
          <w:tab w:val="left" w:pos="567"/>
        </w:tabs>
        <w:rPr>
          <w:sz w:val="22"/>
          <w:szCs w:val="22"/>
          <w:lang w:val="lt-LT"/>
        </w:rPr>
      </w:pPr>
    </w:p>
    <w:p w:rsidR="0051569F" w:rsidRPr="00515C32" w:rsidRDefault="0051569F" w:rsidP="00C93814">
      <w:pPr>
        <w:pStyle w:val="CM3"/>
        <w:tabs>
          <w:tab w:val="left" w:pos="567"/>
        </w:tabs>
        <w:rPr>
          <w:sz w:val="22"/>
          <w:szCs w:val="22"/>
          <w:lang w:val="lt-LT"/>
        </w:rPr>
      </w:pPr>
      <w:r w:rsidRPr="00515C32">
        <w:rPr>
          <w:sz w:val="22"/>
          <w:szCs w:val="22"/>
          <w:lang w:val="lt-LT"/>
        </w:rPr>
        <w:t xml:space="preserve">Serija: </w:t>
      </w:r>
    </w:p>
    <w:p w:rsidR="0051569F" w:rsidRPr="00515C32" w:rsidRDefault="0051569F" w:rsidP="00C93814">
      <w:pPr>
        <w:pStyle w:val="CM4"/>
        <w:tabs>
          <w:tab w:val="left" w:pos="567"/>
        </w:tabs>
        <w:rPr>
          <w:b/>
          <w:bCs/>
          <w:sz w:val="22"/>
          <w:szCs w:val="22"/>
          <w:lang w:val="lt-LT"/>
        </w:rPr>
      </w:pPr>
    </w:p>
    <w:p w:rsidR="009F0759" w:rsidRPr="00C93814" w:rsidRDefault="009F0759" w:rsidP="00C93814">
      <w:pPr>
        <w:pStyle w:val="Default"/>
        <w:tabs>
          <w:tab w:val="left" w:pos="567"/>
        </w:tabs>
        <w:rPr>
          <w:sz w:val="22"/>
          <w:szCs w:val="22"/>
          <w:lang w:val="lt-LT"/>
        </w:rPr>
      </w:pPr>
    </w:p>
    <w:p w:rsidR="0051569F" w:rsidRPr="00515C32" w:rsidRDefault="0051569F" w:rsidP="00C93814">
      <w:pPr>
        <w:pStyle w:val="CM4"/>
        <w:pBdr>
          <w:top w:val="single" w:sz="4" w:space="1" w:color="auto"/>
          <w:left w:val="single" w:sz="4" w:space="0" w:color="auto"/>
          <w:bottom w:val="single" w:sz="4" w:space="1" w:color="auto"/>
          <w:right w:val="single" w:sz="4" w:space="4" w:color="auto"/>
          <w:between w:val="single" w:sz="4" w:space="1" w:color="auto"/>
        </w:pBdr>
        <w:tabs>
          <w:tab w:val="left" w:pos="567"/>
        </w:tabs>
        <w:rPr>
          <w:sz w:val="22"/>
          <w:szCs w:val="22"/>
          <w:lang w:val="lt-LT"/>
        </w:rPr>
      </w:pPr>
      <w:r w:rsidRPr="00515C32">
        <w:rPr>
          <w:b/>
          <w:bCs/>
          <w:sz w:val="22"/>
          <w:szCs w:val="22"/>
          <w:lang w:val="lt-LT"/>
        </w:rPr>
        <w:t xml:space="preserve">5. </w:t>
      </w:r>
      <w:r w:rsidR="00515C32" w:rsidRPr="00515C32">
        <w:rPr>
          <w:b/>
          <w:bCs/>
          <w:sz w:val="22"/>
          <w:szCs w:val="22"/>
          <w:lang w:val="lt-LT"/>
        </w:rPr>
        <w:tab/>
      </w:r>
      <w:r w:rsidRPr="00515C32">
        <w:rPr>
          <w:b/>
          <w:bCs/>
          <w:sz w:val="22"/>
          <w:szCs w:val="22"/>
          <w:lang w:val="lt-LT"/>
        </w:rPr>
        <w:t xml:space="preserve">KIEKIS (MASĖ, TŪRIS ARBA VIENETAI) </w:t>
      </w:r>
    </w:p>
    <w:p w:rsidR="0051569F" w:rsidRPr="00515C32" w:rsidRDefault="0051569F" w:rsidP="00C93814">
      <w:pPr>
        <w:pStyle w:val="Default"/>
        <w:tabs>
          <w:tab w:val="left" w:pos="567"/>
        </w:tabs>
        <w:rPr>
          <w:sz w:val="22"/>
          <w:szCs w:val="22"/>
          <w:lang w:val="lt-LT"/>
        </w:rPr>
      </w:pPr>
      <w:r w:rsidRPr="00515C32">
        <w:rPr>
          <w:sz w:val="22"/>
          <w:szCs w:val="22"/>
          <w:lang w:val="lt-LT"/>
        </w:rPr>
        <w:t xml:space="preserve"> </w:t>
      </w:r>
    </w:p>
    <w:p w:rsidR="0051569F" w:rsidRPr="00515C32" w:rsidRDefault="0051569F" w:rsidP="00C93814">
      <w:pPr>
        <w:pStyle w:val="CM6"/>
        <w:tabs>
          <w:tab w:val="left" w:pos="567"/>
        </w:tabs>
        <w:rPr>
          <w:rFonts w:cs="Times New Roman"/>
          <w:sz w:val="22"/>
          <w:szCs w:val="22"/>
          <w:lang w:val="lt-LT"/>
        </w:rPr>
      </w:pPr>
      <w:r w:rsidRPr="00515C32">
        <w:rPr>
          <w:rFonts w:cs="Times New Roman"/>
          <w:sz w:val="22"/>
          <w:szCs w:val="22"/>
          <w:lang w:val="lt-LT"/>
        </w:rPr>
        <w:t>13 % (m/</w:t>
      </w:r>
      <w:r w:rsidR="009F0759" w:rsidRPr="00515C32">
        <w:rPr>
          <w:rFonts w:cs="Times New Roman"/>
          <w:sz w:val="22"/>
          <w:szCs w:val="22"/>
          <w:lang w:val="lt-LT"/>
        </w:rPr>
        <w:t>m</w:t>
      </w:r>
      <w:r w:rsidRPr="00515C32">
        <w:rPr>
          <w:rFonts w:cs="Times New Roman"/>
          <w:sz w:val="22"/>
          <w:szCs w:val="22"/>
          <w:lang w:val="lt-LT"/>
        </w:rPr>
        <w:t>) bevandeni</w:t>
      </w:r>
      <w:r w:rsidR="001A6CD7">
        <w:rPr>
          <w:rFonts w:cs="Times New Roman"/>
          <w:sz w:val="22"/>
          <w:szCs w:val="22"/>
          <w:lang w:val="lt-LT"/>
        </w:rPr>
        <w:t>s</w:t>
      </w:r>
      <w:r w:rsidRPr="00515C32">
        <w:rPr>
          <w:rFonts w:cs="Times New Roman"/>
          <w:sz w:val="22"/>
          <w:szCs w:val="22"/>
          <w:lang w:val="lt-LT"/>
        </w:rPr>
        <w:t xml:space="preserve"> etanoli</w:t>
      </w:r>
      <w:r w:rsidR="001A6CD7">
        <w:rPr>
          <w:rFonts w:cs="Times New Roman"/>
          <w:sz w:val="22"/>
          <w:szCs w:val="22"/>
          <w:lang w:val="lt-LT"/>
        </w:rPr>
        <w:t>s</w:t>
      </w:r>
      <w:r w:rsidRPr="00515C32">
        <w:rPr>
          <w:rFonts w:cs="Times New Roman"/>
          <w:sz w:val="22"/>
          <w:szCs w:val="22"/>
          <w:lang w:val="lt-LT"/>
        </w:rPr>
        <w:t xml:space="preserve"> injekciniame vandenyje</w:t>
      </w:r>
      <w:r w:rsidR="001A6CD7">
        <w:rPr>
          <w:rFonts w:cs="Times New Roman"/>
          <w:sz w:val="22"/>
          <w:szCs w:val="22"/>
          <w:lang w:val="lt-LT"/>
        </w:rPr>
        <w:t>.</w:t>
      </w:r>
      <w:r w:rsidRPr="00515C32">
        <w:rPr>
          <w:rFonts w:cs="Times New Roman"/>
          <w:sz w:val="22"/>
          <w:szCs w:val="22"/>
          <w:lang w:val="lt-LT"/>
        </w:rPr>
        <w:t xml:space="preserve"> </w:t>
      </w:r>
    </w:p>
    <w:p w:rsidR="0051569F" w:rsidRPr="00515C32" w:rsidRDefault="0051569F" w:rsidP="00C93814">
      <w:pPr>
        <w:pStyle w:val="Default"/>
        <w:tabs>
          <w:tab w:val="left" w:pos="567"/>
        </w:tabs>
        <w:rPr>
          <w:sz w:val="22"/>
          <w:szCs w:val="22"/>
          <w:lang w:val="lt-LT"/>
        </w:rPr>
      </w:pPr>
      <w:r w:rsidRPr="00515C32">
        <w:rPr>
          <w:sz w:val="22"/>
          <w:szCs w:val="22"/>
          <w:lang w:val="lt-LT"/>
        </w:rPr>
        <w:t xml:space="preserve"> </w:t>
      </w:r>
    </w:p>
    <w:p w:rsidR="0051569F" w:rsidRPr="00515C32" w:rsidRDefault="0051569F" w:rsidP="00C93814">
      <w:pPr>
        <w:pStyle w:val="CM4"/>
        <w:tabs>
          <w:tab w:val="left" w:pos="567"/>
        </w:tabs>
        <w:rPr>
          <w:rFonts w:cs="Times New Roman"/>
          <w:sz w:val="22"/>
          <w:szCs w:val="22"/>
          <w:lang w:val="lt-LT"/>
        </w:rPr>
      </w:pPr>
      <w:r w:rsidRPr="00515C32">
        <w:rPr>
          <w:rFonts w:cs="Times New Roman"/>
          <w:sz w:val="22"/>
          <w:szCs w:val="22"/>
          <w:lang w:val="lt-LT"/>
        </w:rPr>
        <w:t xml:space="preserve">1,8 ml </w:t>
      </w:r>
    </w:p>
    <w:p w:rsidR="0051569F" w:rsidRPr="00515C32" w:rsidRDefault="0051569F" w:rsidP="00C93814">
      <w:pPr>
        <w:pStyle w:val="CM5"/>
        <w:tabs>
          <w:tab w:val="left" w:pos="567"/>
        </w:tabs>
        <w:rPr>
          <w:rFonts w:cs="Times New Roman"/>
          <w:sz w:val="22"/>
          <w:szCs w:val="22"/>
          <w:lang w:val="lt-LT"/>
        </w:rPr>
      </w:pPr>
      <w:r w:rsidRPr="00515C32">
        <w:rPr>
          <w:rFonts w:cs="Times New Roman"/>
          <w:sz w:val="22"/>
          <w:szCs w:val="22"/>
          <w:highlight w:val="lightGray"/>
          <w:lang w:val="lt-LT"/>
        </w:rPr>
        <w:t>7,1 ml</w:t>
      </w:r>
      <w:r w:rsidRPr="00515C32">
        <w:rPr>
          <w:rFonts w:cs="Times New Roman"/>
          <w:sz w:val="22"/>
          <w:szCs w:val="22"/>
          <w:lang w:val="lt-LT"/>
        </w:rPr>
        <w:t xml:space="preserve"> </w:t>
      </w:r>
    </w:p>
    <w:p w:rsidR="0051569F" w:rsidRPr="00515C32" w:rsidRDefault="0051569F" w:rsidP="00C93814">
      <w:pPr>
        <w:pStyle w:val="Default"/>
        <w:tabs>
          <w:tab w:val="left" w:pos="567"/>
        </w:tabs>
        <w:rPr>
          <w:sz w:val="22"/>
          <w:szCs w:val="22"/>
          <w:lang w:val="lt-LT"/>
        </w:rPr>
      </w:pPr>
    </w:p>
    <w:p w:rsidR="009F0759" w:rsidRPr="00515C32" w:rsidRDefault="009F0759" w:rsidP="00C93814">
      <w:pPr>
        <w:pStyle w:val="Default"/>
        <w:tabs>
          <w:tab w:val="left" w:pos="567"/>
        </w:tabs>
        <w:rPr>
          <w:sz w:val="22"/>
          <w:szCs w:val="22"/>
          <w:lang w:val="lt-LT"/>
        </w:rPr>
      </w:pPr>
    </w:p>
    <w:p w:rsidR="0051569F" w:rsidRPr="00515C32" w:rsidRDefault="0051569F" w:rsidP="00C93814">
      <w:pPr>
        <w:pStyle w:val="CM2"/>
        <w:pBdr>
          <w:top w:val="single" w:sz="4" w:space="1" w:color="auto"/>
          <w:left w:val="single" w:sz="4" w:space="0" w:color="auto"/>
          <w:bottom w:val="single" w:sz="4" w:space="1" w:color="auto"/>
          <w:right w:val="single" w:sz="4" w:space="4" w:color="auto"/>
          <w:between w:val="single" w:sz="4" w:space="1" w:color="auto"/>
        </w:pBdr>
        <w:tabs>
          <w:tab w:val="left" w:pos="567"/>
        </w:tabs>
        <w:rPr>
          <w:sz w:val="22"/>
          <w:szCs w:val="22"/>
          <w:lang w:val="lt-LT"/>
        </w:rPr>
      </w:pPr>
      <w:r w:rsidRPr="00515C32">
        <w:rPr>
          <w:b/>
          <w:bCs/>
          <w:sz w:val="22"/>
          <w:szCs w:val="22"/>
          <w:lang w:val="lt-LT"/>
        </w:rPr>
        <w:t xml:space="preserve">6. </w:t>
      </w:r>
      <w:r w:rsidR="00515C32" w:rsidRPr="00515C32">
        <w:rPr>
          <w:b/>
          <w:bCs/>
          <w:sz w:val="22"/>
          <w:szCs w:val="22"/>
          <w:lang w:val="lt-LT"/>
        </w:rPr>
        <w:tab/>
      </w:r>
      <w:r w:rsidRPr="00515C32">
        <w:rPr>
          <w:b/>
          <w:bCs/>
          <w:sz w:val="22"/>
          <w:szCs w:val="22"/>
          <w:lang w:val="lt-LT"/>
        </w:rPr>
        <w:t xml:space="preserve">KITA </w:t>
      </w:r>
    </w:p>
    <w:p w:rsidR="0051569F" w:rsidRPr="0051569F" w:rsidRDefault="0051569F" w:rsidP="0051569F">
      <w:pPr>
        <w:pStyle w:val="Default"/>
        <w:rPr>
          <w:sz w:val="22"/>
          <w:szCs w:val="23"/>
          <w:lang w:val="lt-LT"/>
        </w:rPr>
      </w:pPr>
    </w:p>
    <w:p w:rsidR="00D119E8" w:rsidRPr="00D119E8" w:rsidRDefault="00D119E8" w:rsidP="00D119E8">
      <w:pPr>
        <w:rPr>
          <w:sz w:val="22"/>
          <w:szCs w:val="22"/>
        </w:rPr>
      </w:pPr>
      <w:r w:rsidRPr="00D119E8">
        <w:rPr>
          <w:sz w:val="22"/>
          <w:szCs w:val="22"/>
        </w:rPr>
        <w:t>MYLAN S.A.S.</w:t>
      </w:r>
    </w:p>
    <w:p w:rsidR="00633D05" w:rsidRPr="00DF4173" w:rsidRDefault="00633D05" w:rsidP="00732C31">
      <w:pPr>
        <w:pStyle w:val="BTEMEASMCA"/>
      </w:pPr>
      <w:r w:rsidRPr="00DF4173">
        <w:br w:type="page"/>
      </w: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732C31">
      <w:pPr>
        <w:pStyle w:val="BTEMEASMCA"/>
      </w:pPr>
    </w:p>
    <w:p w:rsidR="00633D05" w:rsidRPr="00DF4173" w:rsidRDefault="00633D05" w:rsidP="00633D05">
      <w:pPr>
        <w:pStyle w:val="TTEMEASMCA"/>
        <w:rPr>
          <w:lang w:val="lt-LT"/>
        </w:rPr>
      </w:pPr>
      <w:bookmarkStart w:id="70" w:name="_Toc129243137"/>
      <w:bookmarkStart w:id="71" w:name="_Toc129243262"/>
      <w:r w:rsidRPr="00DF4173">
        <w:rPr>
          <w:lang w:val="lt-LT"/>
        </w:rPr>
        <w:t>B. PAKUOTĖS LAPELIS</w:t>
      </w:r>
      <w:bookmarkEnd w:id="70"/>
      <w:bookmarkEnd w:id="71"/>
    </w:p>
    <w:p w:rsidR="00633D05" w:rsidRPr="00DF4173" w:rsidRDefault="00633D05" w:rsidP="00633D05">
      <w:pPr>
        <w:pStyle w:val="TTEMEASMCA"/>
        <w:rPr>
          <w:lang w:val="lt-LT"/>
        </w:rPr>
      </w:pPr>
      <w:r w:rsidRPr="00DF4173">
        <w:rPr>
          <w:lang w:val="lt-LT"/>
        </w:rPr>
        <w:br w:type="page"/>
      </w:r>
      <w:bookmarkStart w:id="72" w:name="_Toc129243138"/>
      <w:bookmarkStart w:id="73" w:name="_Toc129243263"/>
      <w:r w:rsidRPr="00DF4173">
        <w:rPr>
          <w:lang w:val="lt-LT"/>
        </w:rPr>
        <w:lastRenderedPageBreak/>
        <w:t>PAKUOTĖS LAPELIS: INFORMACIJA VARTOTOJUI</w:t>
      </w:r>
      <w:bookmarkEnd w:id="72"/>
      <w:bookmarkEnd w:id="73"/>
    </w:p>
    <w:p w:rsidR="00633D05" w:rsidRPr="00DF4173" w:rsidRDefault="00633D05" w:rsidP="00732C31">
      <w:pPr>
        <w:pStyle w:val="BTEMEASMCA"/>
      </w:pPr>
    </w:p>
    <w:p w:rsidR="00F54B58" w:rsidRPr="00C93814" w:rsidRDefault="00DE749D" w:rsidP="00C93814">
      <w:pPr>
        <w:pStyle w:val="BTeEMEASMCA"/>
        <w:rPr>
          <w:b/>
        </w:rPr>
      </w:pPr>
      <w:r w:rsidRPr="00DE749D">
        <w:rPr>
          <w:b/>
        </w:rPr>
        <w:t>Docetaxel Mylan</w:t>
      </w:r>
      <w:r>
        <w:rPr>
          <w:lang w:val="lt-LT"/>
        </w:rPr>
        <w:t xml:space="preserve"> </w:t>
      </w:r>
      <w:r w:rsidR="00F54B58" w:rsidRPr="00C93814">
        <w:rPr>
          <w:b/>
        </w:rPr>
        <w:t xml:space="preserve">40 mg/ml koncentratas ir tirpiklis infuziniam tirpalui </w:t>
      </w:r>
    </w:p>
    <w:p w:rsidR="00D4355B" w:rsidRPr="00D4355B" w:rsidRDefault="00D4355B" w:rsidP="00732C31">
      <w:pPr>
        <w:pStyle w:val="BTeEMEASMCA"/>
      </w:pPr>
      <w:r w:rsidRPr="00D4355B">
        <w:t>Docetakselis</w:t>
      </w:r>
    </w:p>
    <w:p w:rsidR="00633D05" w:rsidRPr="00DF4173" w:rsidRDefault="00633D05" w:rsidP="00732C31">
      <w:pPr>
        <w:pStyle w:val="BTEMEASMCA"/>
      </w:pPr>
    </w:p>
    <w:p w:rsidR="00F54B58" w:rsidRPr="00F54B58" w:rsidRDefault="00F54B58" w:rsidP="00A766C3">
      <w:pPr>
        <w:widowControl w:val="0"/>
        <w:autoSpaceDE w:val="0"/>
        <w:autoSpaceDN w:val="0"/>
        <w:adjustRightInd w:val="0"/>
        <w:rPr>
          <w:rFonts w:eastAsia="MS Mincho"/>
          <w:color w:val="000000"/>
          <w:sz w:val="22"/>
          <w:szCs w:val="23"/>
          <w:lang w:eastAsia="ja-JP"/>
        </w:rPr>
      </w:pPr>
      <w:r w:rsidRPr="00F54B58">
        <w:rPr>
          <w:rFonts w:eastAsia="MS Mincho"/>
          <w:b/>
          <w:bCs/>
          <w:color w:val="000000"/>
          <w:sz w:val="22"/>
          <w:szCs w:val="22"/>
          <w:lang w:eastAsia="ja-JP"/>
        </w:rPr>
        <w:t xml:space="preserve">Atidžiai perskaitykite visą šį lapelį, prieš pradėdami vartoti vaistą, nes jame pateikiama Jums svarbi informacija </w:t>
      </w:r>
    </w:p>
    <w:p w:rsidR="00F54B58" w:rsidRPr="00F54B58" w:rsidRDefault="00F54B58" w:rsidP="00A766C3">
      <w:pPr>
        <w:widowControl w:val="0"/>
        <w:autoSpaceDE w:val="0"/>
        <w:autoSpaceDN w:val="0"/>
        <w:adjustRightInd w:val="0"/>
        <w:rPr>
          <w:rFonts w:eastAsia="MS Mincho"/>
          <w:color w:val="000000"/>
          <w:sz w:val="22"/>
          <w:szCs w:val="23"/>
          <w:lang w:eastAsia="ja-JP"/>
        </w:rPr>
      </w:pPr>
      <w:r w:rsidRPr="00F54B58">
        <w:rPr>
          <w:rFonts w:eastAsia="MS Mincho"/>
          <w:color w:val="000000"/>
          <w:sz w:val="22"/>
          <w:szCs w:val="22"/>
          <w:lang w:eastAsia="ja-JP"/>
        </w:rPr>
        <w:t>-</w:t>
      </w:r>
      <w:r w:rsidRPr="00F54B58">
        <w:rPr>
          <w:rFonts w:eastAsia="MS Mincho"/>
          <w:color w:val="000000"/>
          <w:sz w:val="22"/>
          <w:szCs w:val="22"/>
          <w:lang w:eastAsia="ja-JP"/>
        </w:rPr>
        <w:tab/>
        <w:t xml:space="preserve">Neišmeskite šio lapelio, nes vėl gali prireikti jį perskaityti. </w:t>
      </w:r>
    </w:p>
    <w:p w:rsidR="00F54B58" w:rsidRPr="00F54B58" w:rsidRDefault="00F54B58" w:rsidP="00A766C3">
      <w:pPr>
        <w:widowControl w:val="0"/>
        <w:autoSpaceDE w:val="0"/>
        <w:autoSpaceDN w:val="0"/>
        <w:adjustRightInd w:val="0"/>
        <w:rPr>
          <w:rFonts w:eastAsia="MS Mincho"/>
          <w:color w:val="000000"/>
          <w:sz w:val="22"/>
          <w:szCs w:val="23"/>
          <w:lang w:eastAsia="ja-JP"/>
        </w:rPr>
      </w:pPr>
      <w:r w:rsidRPr="00F54B58">
        <w:rPr>
          <w:rFonts w:eastAsia="MS Mincho"/>
          <w:color w:val="000000"/>
          <w:sz w:val="22"/>
          <w:szCs w:val="22"/>
          <w:lang w:eastAsia="ja-JP"/>
        </w:rPr>
        <w:t>-</w:t>
      </w:r>
      <w:r w:rsidRPr="00F54B58">
        <w:rPr>
          <w:rFonts w:eastAsia="MS Mincho"/>
          <w:color w:val="000000"/>
          <w:sz w:val="22"/>
          <w:szCs w:val="22"/>
          <w:lang w:eastAsia="ja-JP"/>
        </w:rPr>
        <w:tab/>
        <w:t xml:space="preserve">Jeigu kiltų daugiau klausimų, kreipkitės į gydytoją arba ligoninės vaistininką. </w:t>
      </w:r>
    </w:p>
    <w:p w:rsidR="00F54B58" w:rsidRPr="00F54B58" w:rsidRDefault="00F54B58" w:rsidP="00A766C3">
      <w:pPr>
        <w:widowControl w:val="0"/>
        <w:autoSpaceDE w:val="0"/>
        <w:autoSpaceDN w:val="0"/>
        <w:adjustRightInd w:val="0"/>
        <w:ind w:left="540" w:right="222" w:hanging="540"/>
        <w:rPr>
          <w:rFonts w:eastAsia="MS Mincho"/>
          <w:color w:val="000000"/>
          <w:sz w:val="22"/>
          <w:szCs w:val="22"/>
          <w:lang w:eastAsia="ja-JP"/>
        </w:rPr>
      </w:pPr>
      <w:r w:rsidRPr="00F54B58">
        <w:rPr>
          <w:rFonts w:eastAsia="MS Mincho"/>
          <w:color w:val="000000"/>
          <w:sz w:val="22"/>
          <w:szCs w:val="22"/>
          <w:lang w:eastAsia="ja-JP"/>
        </w:rPr>
        <w:t>-</w:t>
      </w:r>
      <w:r w:rsidRPr="00F54B58">
        <w:rPr>
          <w:rFonts w:eastAsia="MS Mincho"/>
          <w:color w:val="000000"/>
          <w:sz w:val="22"/>
          <w:szCs w:val="22"/>
          <w:lang w:eastAsia="ja-JP"/>
        </w:rPr>
        <w:tab/>
      </w:r>
      <w:r w:rsidRPr="00F54B58">
        <w:rPr>
          <w:rFonts w:eastAsia="MS Mincho"/>
          <w:color w:val="000000"/>
          <w:sz w:val="22"/>
          <w:szCs w:val="22"/>
          <w:lang w:eastAsia="ja-JP"/>
        </w:rPr>
        <w:tab/>
        <w:t xml:space="preserve">Jeigu pasireiškė šalutinis poveikis, įskaitant šiame lapelyje nenurodytą, pasakykite </w:t>
      </w:r>
      <w:r w:rsidRPr="00F54B58">
        <w:rPr>
          <w:rFonts w:eastAsia="MS Mincho"/>
          <w:color w:val="000000"/>
          <w:sz w:val="22"/>
          <w:szCs w:val="22"/>
          <w:lang w:eastAsia="ja-JP"/>
        </w:rPr>
        <w:tab/>
        <w:t xml:space="preserve">gydytojui arba ligoninės vaistininkui. </w:t>
      </w:r>
    </w:p>
    <w:p w:rsidR="00F54B58" w:rsidRPr="00F54B58" w:rsidRDefault="00F54B58" w:rsidP="00A766C3">
      <w:pPr>
        <w:widowControl w:val="0"/>
        <w:autoSpaceDE w:val="0"/>
        <w:autoSpaceDN w:val="0"/>
        <w:adjustRightInd w:val="0"/>
        <w:ind w:left="540" w:right="222" w:hanging="540"/>
        <w:rPr>
          <w:rFonts w:eastAsia="MS Mincho"/>
          <w:color w:val="000000"/>
          <w:sz w:val="22"/>
          <w:szCs w:val="23"/>
          <w:lang w:eastAsia="ja-JP"/>
        </w:rPr>
      </w:pPr>
    </w:p>
    <w:p w:rsidR="00F54B58" w:rsidRPr="00F54B58" w:rsidRDefault="00F54B58" w:rsidP="006813DA">
      <w:pPr>
        <w:widowControl w:val="0"/>
        <w:autoSpaceDE w:val="0"/>
        <w:autoSpaceDN w:val="0"/>
        <w:adjustRightInd w:val="0"/>
        <w:rPr>
          <w:rFonts w:eastAsia="MS Mincho"/>
          <w:color w:val="000000"/>
          <w:sz w:val="22"/>
          <w:szCs w:val="23"/>
          <w:lang w:eastAsia="ja-JP"/>
        </w:rPr>
      </w:pPr>
      <w:r w:rsidRPr="00F54B58">
        <w:rPr>
          <w:rFonts w:eastAsia="MS Mincho"/>
          <w:b/>
          <w:bCs/>
          <w:color w:val="000000"/>
          <w:sz w:val="22"/>
          <w:szCs w:val="22"/>
          <w:lang w:eastAsia="ja-JP"/>
        </w:rPr>
        <w:t>Apie ką rašoma šiame lapelyje</w:t>
      </w:r>
      <w:r w:rsidRPr="00F54B58">
        <w:rPr>
          <w:rFonts w:eastAsia="MS Mincho"/>
          <w:color w:val="000000"/>
          <w:sz w:val="22"/>
          <w:szCs w:val="22"/>
          <w:lang w:eastAsia="ja-JP"/>
        </w:rPr>
        <w:t xml:space="preserve">? </w:t>
      </w:r>
    </w:p>
    <w:p w:rsidR="00F54B58" w:rsidRPr="00F54B58" w:rsidRDefault="00F54B58" w:rsidP="00C93814">
      <w:pPr>
        <w:widowControl w:val="0"/>
        <w:numPr>
          <w:ilvl w:val="0"/>
          <w:numId w:val="14"/>
        </w:numPr>
        <w:tabs>
          <w:tab w:val="left" w:pos="270"/>
          <w:tab w:val="left" w:pos="567"/>
        </w:tabs>
        <w:autoSpaceDE w:val="0"/>
        <w:autoSpaceDN w:val="0"/>
        <w:adjustRightInd w:val="0"/>
        <w:ind w:left="357" w:hanging="357"/>
        <w:rPr>
          <w:rFonts w:eastAsia="MS Mincho"/>
          <w:color w:val="000000"/>
          <w:sz w:val="22"/>
          <w:szCs w:val="23"/>
          <w:lang w:eastAsia="ja-JP"/>
        </w:rPr>
      </w:pPr>
      <w:r w:rsidRPr="00F54B58">
        <w:rPr>
          <w:rFonts w:eastAsia="MS Mincho"/>
          <w:color w:val="000000"/>
          <w:sz w:val="22"/>
          <w:szCs w:val="22"/>
          <w:lang w:eastAsia="ja-JP"/>
        </w:rPr>
        <w:tab/>
        <w:t xml:space="preserve">Kas yra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ir kam jis vartojamas </w:t>
      </w:r>
    </w:p>
    <w:p w:rsidR="00F54B58" w:rsidRPr="00F54B58" w:rsidRDefault="00F54B58" w:rsidP="00C93814">
      <w:pPr>
        <w:widowControl w:val="0"/>
        <w:numPr>
          <w:ilvl w:val="0"/>
          <w:numId w:val="14"/>
        </w:numPr>
        <w:tabs>
          <w:tab w:val="left" w:pos="270"/>
          <w:tab w:val="left" w:pos="567"/>
        </w:tabs>
        <w:autoSpaceDE w:val="0"/>
        <w:autoSpaceDN w:val="0"/>
        <w:adjustRightInd w:val="0"/>
        <w:ind w:left="357" w:hanging="357"/>
        <w:rPr>
          <w:rFonts w:eastAsia="MS Mincho"/>
          <w:color w:val="000000"/>
          <w:sz w:val="22"/>
          <w:szCs w:val="23"/>
          <w:lang w:eastAsia="ja-JP"/>
        </w:rPr>
      </w:pPr>
      <w:r w:rsidRPr="00F54B58">
        <w:rPr>
          <w:rFonts w:eastAsia="MS Mincho"/>
          <w:color w:val="000000"/>
          <w:sz w:val="22"/>
          <w:szCs w:val="22"/>
          <w:lang w:eastAsia="ja-JP"/>
        </w:rPr>
        <w:tab/>
        <w:t xml:space="preserve">Kas žinotina prieš vartojant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p>
    <w:p w:rsidR="00F54B58" w:rsidRPr="00F54B58" w:rsidRDefault="00F54B58" w:rsidP="00C93814">
      <w:pPr>
        <w:widowControl w:val="0"/>
        <w:numPr>
          <w:ilvl w:val="0"/>
          <w:numId w:val="14"/>
        </w:numPr>
        <w:tabs>
          <w:tab w:val="left" w:pos="270"/>
          <w:tab w:val="left" w:pos="567"/>
        </w:tabs>
        <w:autoSpaceDE w:val="0"/>
        <w:autoSpaceDN w:val="0"/>
        <w:adjustRightInd w:val="0"/>
        <w:ind w:left="357" w:hanging="357"/>
        <w:rPr>
          <w:rFonts w:eastAsia="MS Mincho"/>
          <w:color w:val="000000"/>
          <w:sz w:val="22"/>
          <w:szCs w:val="23"/>
          <w:lang w:eastAsia="ja-JP"/>
        </w:rPr>
      </w:pPr>
      <w:r w:rsidRPr="00F54B58">
        <w:rPr>
          <w:rFonts w:eastAsia="MS Mincho"/>
          <w:color w:val="000000"/>
          <w:sz w:val="22"/>
          <w:szCs w:val="22"/>
          <w:lang w:eastAsia="ja-JP"/>
        </w:rPr>
        <w:tab/>
        <w:t xml:space="preserve">Kaip vartoti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p>
    <w:p w:rsidR="00F54B58" w:rsidRPr="00F54B58" w:rsidRDefault="00F54B58" w:rsidP="00C93814">
      <w:pPr>
        <w:widowControl w:val="0"/>
        <w:numPr>
          <w:ilvl w:val="0"/>
          <w:numId w:val="14"/>
        </w:numPr>
        <w:tabs>
          <w:tab w:val="left" w:pos="270"/>
          <w:tab w:val="left" w:pos="567"/>
        </w:tabs>
        <w:autoSpaceDE w:val="0"/>
        <w:autoSpaceDN w:val="0"/>
        <w:adjustRightInd w:val="0"/>
        <w:ind w:left="357" w:hanging="357"/>
        <w:rPr>
          <w:rFonts w:eastAsia="MS Mincho"/>
          <w:color w:val="000000"/>
          <w:sz w:val="22"/>
          <w:szCs w:val="23"/>
          <w:lang w:eastAsia="ja-JP"/>
        </w:rPr>
      </w:pPr>
      <w:r w:rsidRPr="00F54B58">
        <w:rPr>
          <w:rFonts w:eastAsia="MS Mincho"/>
          <w:color w:val="000000"/>
          <w:sz w:val="22"/>
          <w:szCs w:val="22"/>
          <w:lang w:eastAsia="ja-JP"/>
        </w:rPr>
        <w:tab/>
        <w:t xml:space="preserve">Galimas šalutinis poveikis </w:t>
      </w:r>
    </w:p>
    <w:p w:rsidR="00F54B58" w:rsidRPr="00F54B58" w:rsidRDefault="00F54B58" w:rsidP="00C93814">
      <w:pPr>
        <w:widowControl w:val="0"/>
        <w:numPr>
          <w:ilvl w:val="0"/>
          <w:numId w:val="14"/>
        </w:numPr>
        <w:tabs>
          <w:tab w:val="left" w:pos="270"/>
          <w:tab w:val="left" w:pos="567"/>
        </w:tabs>
        <w:autoSpaceDE w:val="0"/>
        <w:autoSpaceDN w:val="0"/>
        <w:adjustRightInd w:val="0"/>
        <w:ind w:left="357" w:hanging="357"/>
        <w:rPr>
          <w:rFonts w:eastAsia="MS Mincho"/>
          <w:color w:val="000000"/>
          <w:sz w:val="22"/>
          <w:szCs w:val="23"/>
          <w:lang w:eastAsia="ja-JP"/>
        </w:rPr>
      </w:pPr>
      <w:r w:rsidRPr="00F54B58">
        <w:rPr>
          <w:rFonts w:eastAsia="MS Mincho"/>
          <w:color w:val="000000"/>
          <w:sz w:val="22"/>
          <w:szCs w:val="22"/>
          <w:lang w:eastAsia="ja-JP"/>
        </w:rPr>
        <w:tab/>
        <w:t xml:space="preserve">Kaip laikyti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p>
    <w:p w:rsidR="00F54B58" w:rsidRPr="006813DA" w:rsidRDefault="00F54B58" w:rsidP="00C93814">
      <w:pPr>
        <w:widowControl w:val="0"/>
        <w:numPr>
          <w:ilvl w:val="0"/>
          <w:numId w:val="14"/>
        </w:numPr>
        <w:tabs>
          <w:tab w:val="left" w:pos="270"/>
          <w:tab w:val="left" w:pos="567"/>
        </w:tabs>
        <w:autoSpaceDE w:val="0"/>
        <w:autoSpaceDN w:val="0"/>
        <w:adjustRightInd w:val="0"/>
        <w:ind w:left="357" w:hanging="357"/>
        <w:rPr>
          <w:rFonts w:eastAsia="MS Mincho"/>
          <w:color w:val="000000"/>
          <w:sz w:val="22"/>
          <w:szCs w:val="23"/>
          <w:lang w:eastAsia="ja-JP"/>
        </w:rPr>
      </w:pPr>
      <w:r w:rsidRPr="00F54B58">
        <w:rPr>
          <w:rFonts w:eastAsia="MS Mincho"/>
          <w:color w:val="000000"/>
          <w:sz w:val="22"/>
          <w:szCs w:val="22"/>
          <w:lang w:eastAsia="ja-JP"/>
        </w:rPr>
        <w:tab/>
        <w:t xml:space="preserve">Pakuotės turinys ir kita informacija </w:t>
      </w:r>
    </w:p>
    <w:p w:rsidR="006813DA" w:rsidRDefault="006813DA" w:rsidP="00C93814">
      <w:pPr>
        <w:widowControl w:val="0"/>
        <w:tabs>
          <w:tab w:val="left" w:pos="270"/>
        </w:tabs>
        <w:autoSpaceDE w:val="0"/>
        <w:autoSpaceDN w:val="0"/>
        <w:adjustRightInd w:val="0"/>
        <w:rPr>
          <w:rFonts w:eastAsia="MS Mincho"/>
          <w:color w:val="000000"/>
          <w:sz w:val="22"/>
          <w:szCs w:val="22"/>
          <w:lang w:eastAsia="ja-JP"/>
        </w:rPr>
      </w:pPr>
    </w:p>
    <w:p w:rsidR="006813DA" w:rsidRPr="00F54B58" w:rsidRDefault="006813DA" w:rsidP="00C93814">
      <w:pPr>
        <w:widowControl w:val="0"/>
        <w:tabs>
          <w:tab w:val="left" w:pos="270"/>
        </w:tabs>
        <w:autoSpaceDE w:val="0"/>
        <w:autoSpaceDN w:val="0"/>
        <w:adjustRightInd w:val="0"/>
        <w:rPr>
          <w:rFonts w:eastAsia="MS Mincho"/>
          <w:color w:val="000000"/>
          <w:sz w:val="22"/>
          <w:szCs w:val="23"/>
          <w:lang w:eastAsia="ja-JP"/>
        </w:rPr>
      </w:pP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b/>
          <w:bCs/>
          <w:color w:val="000000"/>
          <w:sz w:val="22"/>
          <w:szCs w:val="22"/>
          <w:lang w:eastAsia="ja-JP"/>
        </w:rPr>
        <w:t>1</w:t>
      </w:r>
      <w:r w:rsidRPr="00F54B58">
        <w:rPr>
          <w:rFonts w:eastAsia="MS Mincho"/>
          <w:b/>
          <w:bCs/>
          <w:color w:val="000000"/>
          <w:sz w:val="23"/>
          <w:szCs w:val="22"/>
          <w:lang w:eastAsia="ja-JP"/>
        </w:rPr>
        <w:t xml:space="preserve">. </w:t>
      </w:r>
      <w:r w:rsidRPr="00F54B58">
        <w:rPr>
          <w:rFonts w:eastAsia="MS Mincho"/>
          <w:b/>
          <w:bCs/>
          <w:color w:val="000000"/>
          <w:sz w:val="22"/>
          <w:szCs w:val="22"/>
          <w:lang w:eastAsia="ja-JP"/>
        </w:rPr>
        <w:t xml:space="preserve">KAS YRA </w:t>
      </w:r>
      <w:r w:rsidR="00DE749D" w:rsidRPr="00DE749D">
        <w:rPr>
          <w:b/>
          <w:sz w:val="22"/>
          <w:szCs w:val="22"/>
        </w:rPr>
        <w:t>DOCETAXEL MYLAN</w:t>
      </w:r>
      <w:r w:rsidR="00DE749D">
        <w:t xml:space="preserve"> </w:t>
      </w:r>
      <w:r w:rsidRPr="00F54B58">
        <w:rPr>
          <w:rFonts w:eastAsia="MS Mincho"/>
          <w:b/>
          <w:bCs/>
          <w:color w:val="000000"/>
          <w:sz w:val="22"/>
          <w:szCs w:val="22"/>
          <w:lang w:eastAsia="ja-JP"/>
        </w:rPr>
        <w:t xml:space="preserve">IR KAM JIS VARTOJAMAS </w:t>
      </w:r>
      <w:r w:rsidRPr="00F54B58">
        <w:rPr>
          <w:rFonts w:eastAsia="MS Mincho"/>
          <w:b/>
          <w:bCs/>
          <w:color w:val="000000"/>
          <w:sz w:val="22"/>
          <w:szCs w:val="22"/>
          <w:lang w:eastAsia="ja-JP"/>
        </w:rPr>
        <w:br/>
      </w: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Šio vaisto pavadinimas –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Pr="00F54B58">
        <w:rPr>
          <w:rFonts w:eastAsia="MS Mincho"/>
          <w:color w:val="000000"/>
          <w:sz w:val="22"/>
          <w:szCs w:val="22"/>
          <w:lang w:eastAsia="ja-JP"/>
        </w:rPr>
        <w:t xml:space="preserve">. Docetakselis – tai medžiaga, gaunama iš kukmedžio spyglių. Docetakselis priklauso vaistų nuo vėžio, vadinamų taksanais, grupei. </w:t>
      </w: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p>
    <w:p w:rsidR="00F54B58" w:rsidRPr="00F54B58" w:rsidRDefault="00DE749D" w:rsidP="00A766C3">
      <w:pPr>
        <w:widowControl w:val="0"/>
        <w:autoSpaceDE w:val="0"/>
        <w:autoSpaceDN w:val="0"/>
        <w:adjustRightInd w:val="0"/>
        <w:jc w:val="both"/>
        <w:rPr>
          <w:rFonts w:eastAsia="MS Mincho"/>
          <w:color w:val="000000"/>
          <w:sz w:val="22"/>
          <w:szCs w:val="22"/>
          <w:lang w:eastAsia="ja-JP"/>
        </w:rPr>
      </w:pPr>
      <w:proofErr w:type="spellStart"/>
      <w:r w:rsidRPr="00DE749D">
        <w:rPr>
          <w:sz w:val="22"/>
          <w:szCs w:val="22"/>
        </w:rPr>
        <w:t>Docetaxel</w:t>
      </w:r>
      <w:proofErr w:type="spellEnd"/>
      <w:r w:rsidRPr="00DE749D">
        <w:rPr>
          <w:sz w:val="22"/>
          <w:szCs w:val="22"/>
        </w:rPr>
        <w:t xml:space="preserve"> </w:t>
      </w:r>
      <w:proofErr w:type="spellStart"/>
      <w:r w:rsidRPr="00DE749D">
        <w:rPr>
          <w:sz w:val="22"/>
          <w:szCs w:val="22"/>
        </w:rPr>
        <w:t>Mylan</w:t>
      </w:r>
      <w:proofErr w:type="spellEnd"/>
      <w:r>
        <w:t xml:space="preserve"> </w:t>
      </w:r>
      <w:r w:rsidR="00F54B58" w:rsidRPr="00F54B58">
        <w:rPr>
          <w:rFonts w:eastAsia="MS Mincho"/>
          <w:color w:val="000000"/>
          <w:sz w:val="22"/>
          <w:szCs w:val="22"/>
          <w:lang w:eastAsia="ja-JP"/>
        </w:rPr>
        <w:t xml:space="preserve">gydytojas Jums skyrė krūties  vėžiui, tam tikros rūšies (nesmulkialąsteliniam) plaučių vėžiui, prostatos vėžiui, skrandžio vėžiui arba galvos bei kaklo vėžiui gydyti: </w:t>
      </w:r>
    </w:p>
    <w:p w:rsidR="00F54B58" w:rsidRPr="00F54B58" w:rsidRDefault="00F54B58" w:rsidP="00A766C3">
      <w:pPr>
        <w:widowControl w:val="0"/>
        <w:numPr>
          <w:ilvl w:val="0"/>
          <w:numId w:val="15"/>
        </w:numPr>
        <w:autoSpaceDE w:val="0"/>
        <w:autoSpaceDN w:val="0"/>
        <w:adjustRightInd w:val="0"/>
        <w:spacing w:after="200"/>
        <w:ind w:left="360"/>
        <w:jc w:val="both"/>
        <w:rPr>
          <w:rFonts w:eastAsia="MS Mincho"/>
          <w:color w:val="000000"/>
          <w:sz w:val="22"/>
          <w:szCs w:val="22"/>
          <w:lang w:eastAsia="ja-JP"/>
        </w:rPr>
      </w:pPr>
      <w:r w:rsidRPr="00F54B58">
        <w:rPr>
          <w:rFonts w:eastAsia="MS Mincho"/>
          <w:color w:val="000000"/>
          <w:sz w:val="22"/>
          <w:szCs w:val="22"/>
          <w:lang w:eastAsia="ja-JP"/>
        </w:rPr>
        <w:t xml:space="preserve">progresavusiam krūties vėžiui gydyti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vartojamas vienas arba kartu su doksorubicinu, trastuzumabu ar kapecitabinu; </w:t>
      </w:r>
    </w:p>
    <w:p w:rsidR="00F54B58" w:rsidRPr="00F54B58" w:rsidRDefault="00F54B58" w:rsidP="00A766C3">
      <w:pPr>
        <w:widowControl w:val="0"/>
        <w:numPr>
          <w:ilvl w:val="0"/>
          <w:numId w:val="15"/>
        </w:numPr>
        <w:autoSpaceDE w:val="0"/>
        <w:autoSpaceDN w:val="0"/>
        <w:adjustRightInd w:val="0"/>
        <w:spacing w:after="200"/>
        <w:ind w:left="360" w:right="575"/>
        <w:jc w:val="both"/>
        <w:rPr>
          <w:rFonts w:eastAsia="MS Mincho"/>
          <w:color w:val="000000"/>
          <w:sz w:val="22"/>
          <w:szCs w:val="22"/>
          <w:lang w:eastAsia="ja-JP"/>
        </w:rPr>
      </w:pPr>
      <w:r w:rsidRPr="00F54B58">
        <w:rPr>
          <w:rFonts w:eastAsia="MS Mincho"/>
          <w:color w:val="000000"/>
          <w:sz w:val="22"/>
          <w:szCs w:val="22"/>
          <w:lang w:eastAsia="ja-JP"/>
        </w:rPr>
        <w:t xml:space="preserve">pradinių stadijų krūties vėžiui, pažeidusiam ar nepažeidusiam limfmazgių, gydyti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gali būti vartojamas kartu su doksorubicinu ir ciklofosfamidu; </w:t>
      </w:r>
    </w:p>
    <w:p w:rsidR="00F54B58" w:rsidRPr="00F54B58" w:rsidRDefault="00F54B58" w:rsidP="00A766C3">
      <w:pPr>
        <w:widowControl w:val="0"/>
        <w:numPr>
          <w:ilvl w:val="0"/>
          <w:numId w:val="15"/>
        </w:numPr>
        <w:autoSpaceDE w:val="0"/>
        <w:autoSpaceDN w:val="0"/>
        <w:adjustRightInd w:val="0"/>
        <w:spacing w:after="200"/>
        <w:ind w:left="360" w:right="90"/>
        <w:jc w:val="both"/>
        <w:rPr>
          <w:rFonts w:eastAsia="MS Mincho"/>
          <w:color w:val="000000"/>
          <w:sz w:val="22"/>
          <w:szCs w:val="22"/>
          <w:lang w:eastAsia="ja-JP"/>
        </w:rPr>
      </w:pPr>
      <w:r w:rsidRPr="00F54B58">
        <w:rPr>
          <w:rFonts w:eastAsia="MS Mincho"/>
          <w:color w:val="000000"/>
          <w:sz w:val="22"/>
          <w:szCs w:val="22"/>
          <w:lang w:eastAsia="ja-JP"/>
        </w:rPr>
        <w:t xml:space="preserve">plaučių vėžiui gydyti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vartojamas vienas arba kartu su cisplatina; </w:t>
      </w:r>
    </w:p>
    <w:p w:rsidR="00F54B58" w:rsidRPr="00F54B58" w:rsidRDefault="00F54B58" w:rsidP="00A766C3">
      <w:pPr>
        <w:widowControl w:val="0"/>
        <w:numPr>
          <w:ilvl w:val="0"/>
          <w:numId w:val="15"/>
        </w:numPr>
        <w:autoSpaceDE w:val="0"/>
        <w:autoSpaceDN w:val="0"/>
        <w:adjustRightInd w:val="0"/>
        <w:spacing w:after="200"/>
        <w:ind w:left="360" w:right="762"/>
        <w:jc w:val="both"/>
        <w:rPr>
          <w:rFonts w:eastAsia="MS Mincho"/>
          <w:color w:val="000000"/>
          <w:sz w:val="22"/>
          <w:szCs w:val="22"/>
          <w:lang w:eastAsia="ja-JP"/>
        </w:rPr>
      </w:pPr>
      <w:r w:rsidRPr="00F54B58">
        <w:rPr>
          <w:rFonts w:eastAsia="MS Mincho"/>
          <w:color w:val="000000"/>
          <w:sz w:val="22"/>
          <w:szCs w:val="22"/>
          <w:lang w:eastAsia="ja-JP"/>
        </w:rPr>
        <w:t xml:space="preserve">prostatos vėžiui gydyti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vartojamas kartu su prednizonu ar prednizolonu; </w:t>
      </w:r>
    </w:p>
    <w:p w:rsidR="00F54B58" w:rsidRPr="00F54B58" w:rsidRDefault="00F54B58" w:rsidP="00A766C3">
      <w:pPr>
        <w:widowControl w:val="0"/>
        <w:numPr>
          <w:ilvl w:val="0"/>
          <w:numId w:val="15"/>
        </w:numPr>
        <w:autoSpaceDE w:val="0"/>
        <w:autoSpaceDN w:val="0"/>
        <w:adjustRightInd w:val="0"/>
        <w:spacing w:after="200"/>
        <w:ind w:left="360" w:right="90"/>
        <w:jc w:val="both"/>
        <w:rPr>
          <w:rFonts w:eastAsia="MS Mincho"/>
          <w:color w:val="000000"/>
          <w:sz w:val="22"/>
          <w:szCs w:val="22"/>
          <w:lang w:eastAsia="ja-JP"/>
        </w:rPr>
      </w:pPr>
      <w:r w:rsidRPr="00F54B58">
        <w:rPr>
          <w:rFonts w:eastAsia="MS Mincho"/>
          <w:color w:val="000000"/>
          <w:sz w:val="22"/>
          <w:szCs w:val="22"/>
          <w:lang w:eastAsia="ja-JP"/>
        </w:rPr>
        <w:t xml:space="preserve">metastazavusiam skrandžio vėžiui gydyti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vartojamas kartu su </w:t>
      </w:r>
      <w:proofErr w:type="spellStart"/>
      <w:r w:rsidRPr="00F54B58">
        <w:rPr>
          <w:rFonts w:eastAsia="MS Mincho"/>
          <w:color w:val="000000"/>
          <w:sz w:val="22"/>
          <w:szCs w:val="22"/>
          <w:lang w:eastAsia="ja-JP"/>
        </w:rPr>
        <w:t>cisplatina</w:t>
      </w:r>
      <w:proofErr w:type="spellEnd"/>
      <w:r w:rsidRPr="00F54B58">
        <w:rPr>
          <w:rFonts w:eastAsia="MS Mincho"/>
          <w:color w:val="000000"/>
          <w:sz w:val="22"/>
          <w:szCs w:val="22"/>
          <w:lang w:eastAsia="ja-JP"/>
        </w:rPr>
        <w:t xml:space="preserve"> ir 5-fluorouracilu; </w:t>
      </w:r>
    </w:p>
    <w:p w:rsidR="00F54B58" w:rsidRPr="00F54B58" w:rsidRDefault="00F54B58" w:rsidP="00A766C3">
      <w:pPr>
        <w:widowControl w:val="0"/>
        <w:numPr>
          <w:ilvl w:val="0"/>
          <w:numId w:val="15"/>
        </w:numPr>
        <w:autoSpaceDE w:val="0"/>
        <w:autoSpaceDN w:val="0"/>
        <w:adjustRightInd w:val="0"/>
        <w:spacing w:after="200"/>
        <w:ind w:left="360" w:right="157"/>
        <w:jc w:val="both"/>
        <w:rPr>
          <w:rFonts w:eastAsia="MS Mincho"/>
          <w:color w:val="000000"/>
          <w:sz w:val="22"/>
          <w:szCs w:val="22"/>
          <w:lang w:eastAsia="ja-JP"/>
        </w:rPr>
      </w:pPr>
      <w:r w:rsidRPr="00F54B58">
        <w:rPr>
          <w:rFonts w:eastAsia="MS Mincho"/>
          <w:color w:val="000000"/>
          <w:sz w:val="22"/>
          <w:szCs w:val="22"/>
          <w:lang w:eastAsia="ja-JP"/>
        </w:rPr>
        <w:t>galvos ir kaklo vėžiui gydyti docetakselis vartojamas kartu su cisplatina ir 5-fluorouracilu.</w:t>
      </w:r>
    </w:p>
    <w:p w:rsidR="00F54B58" w:rsidRPr="00F54B58" w:rsidRDefault="00F54B58" w:rsidP="00A766C3">
      <w:pPr>
        <w:widowControl w:val="0"/>
        <w:autoSpaceDE w:val="0"/>
        <w:autoSpaceDN w:val="0"/>
        <w:adjustRightInd w:val="0"/>
        <w:ind w:left="720" w:right="157"/>
        <w:rPr>
          <w:rFonts w:eastAsia="MS Mincho"/>
          <w:color w:val="000000"/>
          <w:sz w:val="22"/>
          <w:szCs w:val="22"/>
          <w:lang w:eastAsia="ja-JP"/>
        </w:rPr>
      </w:pPr>
    </w:p>
    <w:p w:rsidR="00F54B58" w:rsidRDefault="00F54B58" w:rsidP="00A766C3">
      <w:pPr>
        <w:widowControl w:val="0"/>
        <w:autoSpaceDE w:val="0"/>
        <w:autoSpaceDN w:val="0"/>
        <w:adjustRightInd w:val="0"/>
      </w:pPr>
      <w:r w:rsidRPr="00F54B58">
        <w:rPr>
          <w:rFonts w:eastAsia="MS Mincho"/>
          <w:b/>
          <w:bCs/>
          <w:color w:val="000000"/>
          <w:sz w:val="22"/>
          <w:szCs w:val="22"/>
          <w:lang w:eastAsia="ja-JP"/>
        </w:rPr>
        <w:t xml:space="preserve">2. KAS ŽINOTINA PRIEŠ VARTOJANT </w:t>
      </w:r>
      <w:r w:rsidR="00DE749D" w:rsidRPr="00DE749D">
        <w:rPr>
          <w:b/>
          <w:sz w:val="22"/>
          <w:szCs w:val="22"/>
        </w:rPr>
        <w:t>DOCETAXEL MYLAN</w:t>
      </w:r>
      <w:r w:rsidR="00DE749D">
        <w:t xml:space="preserve"> </w:t>
      </w:r>
    </w:p>
    <w:p w:rsidR="00DE749D" w:rsidRPr="00F54B58" w:rsidRDefault="00DE749D" w:rsidP="00A766C3">
      <w:pPr>
        <w:widowControl w:val="0"/>
        <w:autoSpaceDE w:val="0"/>
        <w:autoSpaceDN w:val="0"/>
        <w:adjustRightInd w:val="0"/>
        <w:rPr>
          <w:rFonts w:eastAsia="MS Mincho"/>
          <w:color w:val="000000"/>
          <w:sz w:val="22"/>
          <w:szCs w:val="22"/>
          <w:lang w:eastAsia="ja-JP"/>
        </w:rPr>
      </w:pPr>
    </w:p>
    <w:p w:rsidR="00F54B58" w:rsidRPr="00F54B58" w:rsidRDefault="00DE749D" w:rsidP="00A766C3">
      <w:pPr>
        <w:widowControl w:val="0"/>
        <w:autoSpaceDE w:val="0"/>
        <w:autoSpaceDN w:val="0"/>
        <w:adjustRightInd w:val="0"/>
        <w:rPr>
          <w:rFonts w:eastAsia="MS Mincho"/>
          <w:b/>
          <w:bCs/>
          <w:color w:val="000000"/>
          <w:sz w:val="22"/>
          <w:szCs w:val="22"/>
          <w:lang w:eastAsia="ja-JP"/>
        </w:rPr>
      </w:pPr>
      <w:proofErr w:type="spellStart"/>
      <w:r w:rsidRPr="00DE749D">
        <w:rPr>
          <w:b/>
          <w:sz w:val="22"/>
          <w:szCs w:val="22"/>
        </w:rPr>
        <w:t>Docetaxel</w:t>
      </w:r>
      <w:proofErr w:type="spellEnd"/>
      <w:r w:rsidRPr="00DE749D">
        <w:rPr>
          <w:b/>
          <w:sz w:val="22"/>
          <w:szCs w:val="22"/>
        </w:rPr>
        <w:t xml:space="preserve"> </w:t>
      </w:r>
      <w:proofErr w:type="spellStart"/>
      <w:r w:rsidRPr="00DE749D">
        <w:rPr>
          <w:b/>
          <w:sz w:val="22"/>
          <w:szCs w:val="22"/>
        </w:rPr>
        <w:t>Mylan</w:t>
      </w:r>
      <w:proofErr w:type="spellEnd"/>
      <w:r>
        <w:t xml:space="preserve"> </w:t>
      </w:r>
      <w:r w:rsidR="00F54B58" w:rsidRPr="00F54B58">
        <w:rPr>
          <w:rFonts w:eastAsia="MS Mincho"/>
          <w:b/>
          <w:bCs/>
          <w:color w:val="000000"/>
          <w:sz w:val="22"/>
          <w:szCs w:val="22"/>
          <w:lang w:eastAsia="ja-JP"/>
        </w:rPr>
        <w:t xml:space="preserve">vartoti negalima: </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numPr>
          <w:ilvl w:val="0"/>
          <w:numId w:val="16"/>
        </w:numPr>
        <w:autoSpaceDE w:val="0"/>
        <w:autoSpaceDN w:val="0"/>
        <w:adjustRightInd w:val="0"/>
        <w:spacing w:after="200"/>
        <w:ind w:left="360"/>
        <w:jc w:val="both"/>
        <w:rPr>
          <w:rFonts w:eastAsia="MS Mincho"/>
          <w:color w:val="000000"/>
          <w:sz w:val="22"/>
          <w:szCs w:val="22"/>
          <w:lang w:eastAsia="ja-JP"/>
        </w:rPr>
      </w:pPr>
      <w:r w:rsidRPr="00F54B58">
        <w:rPr>
          <w:rFonts w:eastAsia="MS Mincho"/>
          <w:color w:val="000000"/>
          <w:sz w:val="22"/>
          <w:szCs w:val="22"/>
          <w:lang w:eastAsia="ja-JP"/>
        </w:rPr>
        <w:t xml:space="preserve">jeigu yra alergija (padidėjęs jautrumas) docetakseliui arba bet kuriai pagalbinei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Pr="00F54B58">
        <w:rPr>
          <w:rFonts w:eastAsia="MS Mincho"/>
          <w:color w:val="000000"/>
          <w:sz w:val="22"/>
          <w:szCs w:val="22"/>
          <w:lang w:eastAsia="ja-JP"/>
        </w:rPr>
        <w:t xml:space="preserve"> medžiagai. </w:t>
      </w:r>
    </w:p>
    <w:p w:rsidR="00F54B58" w:rsidRPr="00F54B58" w:rsidRDefault="00F54B58" w:rsidP="00A766C3">
      <w:pPr>
        <w:widowControl w:val="0"/>
        <w:numPr>
          <w:ilvl w:val="0"/>
          <w:numId w:val="16"/>
        </w:numPr>
        <w:autoSpaceDE w:val="0"/>
        <w:autoSpaceDN w:val="0"/>
        <w:adjustRightInd w:val="0"/>
        <w:spacing w:after="200"/>
        <w:ind w:left="360"/>
        <w:jc w:val="both"/>
        <w:rPr>
          <w:rFonts w:eastAsia="MS Mincho"/>
          <w:color w:val="000000"/>
          <w:sz w:val="22"/>
          <w:szCs w:val="22"/>
          <w:lang w:eastAsia="ja-JP"/>
        </w:rPr>
      </w:pPr>
      <w:r w:rsidRPr="00F54B58">
        <w:rPr>
          <w:rFonts w:eastAsia="MS Mincho"/>
          <w:color w:val="000000"/>
          <w:sz w:val="22"/>
          <w:szCs w:val="22"/>
          <w:lang w:eastAsia="ja-JP"/>
        </w:rPr>
        <w:t xml:space="preserve">jeigu per daug sumažėjęs baltųjų kraujo kūnelių skaičius; </w:t>
      </w:r>
    </w:p>
    <w:p w:rsidR="00F54B58" w:rsidRPr="00F54B58" w:rsidRDefault="00F54B58" w:rsidP="00A766C3">
      <w:pPr>
        <w:widowControl w:val="0"/>
        <w:numPr>
          <w:ilvl w:val="0"/>
          <w:numId w:val="16"/>
        </w:numPr>
        <w:autoSpaceDE w:val="0"/>
        <w:autoSpaceDN w:val="0"/>
        <w:adjustRightInd w:val="0"/>
        <w:spacing w:after="200"/>
        <w:ind w:left="360"/>
        <w:jc w:val="both"/>
        <w:rPr>
          <w:rFonts w:eastAsia="MS Mincho"/>
          <w:color w:val="000000"/>
          <w:sz w:val="22"/>
          <w:szCs w:val="22"/>
          <w:lang w:eastAsia="ja-JP"/>
        </w:rPr>
      </w:pPr>
      <w:r w:rsidRPr="00F54B58">
        <w:rPr>
          <w:rFonts w:eastAsia="MS Mincho"/>
          <w:color w:val="000000"/>
          <w:sz w:val="22"/>
          <w:szCs w:val="22"/>
          <w:lang w:eastAsia="ja-JP"/>
        </w:rPr>
        <w:t xml:space="preserve">pacientams, sergantiems sunkiomis kepenų ligomis. </w:t>
      </w:r>
    </w:p>
    <w:p w:rsidR="00F54B58" w:rsidRPr="00F54B58" w:rsidRDefault="00F54B58" w:rsidP="00A766C3">
      <w:pPr>
        <w:widowControl w:val="0"/>
        <w:autoSpaceDE w:val="0"/>
        <w:autoSpaceDN w:val="0"/>
        <w:adjustRightInd w:val="0"/>
        <w:rPr>
          <w:rFonts w:eastAsia="MS Mincho"/>
          <w:b/>
          <w:bCs/>
          <w:color w:val="000000"/>
          <w:sz w:val="22"/>
          <w:szCs w:val="22"/>
          <w:lang w:eastAsia="ja-JP"/>
        </w:rPr>
      </w:pPr>
      <w:r w:rsidRPr="00F54B58">
        <w:rPr>
          <w:rFonts w:eastAsia="MS Mincho"/>
          <w:b/>
          <w:bCs/>
          <w:color w:val="000000"/>
          <w:sz w:val="22"/>
          <w:szCs w:val="22"/>
          <w:lang w:eastAsia="ja-JP"/>
        </w:rPr>
        <w:t xml:space="preserve">Įspėjimai ir atsargumo priemonės </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Prieš kiekvieną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gydymo kursą Jums bus atliekamas kraujo tyrimas. Jo metu bus </w:t>
      </w:r>
      <w:r w:rsidRPr="00F54B58">
        <w:rPr>
          <w:rFonts w:eastAsia="MS Mincho"/>
          <w:color w:val="000000"/>
          <w:sz w:val="22"/>
          <w:szCs w:val="22"/>
          <w:lang w:eastAsia="ja-JP"/>
        </w:rPr>
        <w:lastRenderedPageBreak/>
        <w:t xml:space="preserve">nustatyta, ar ne per mažai kraujo kūnelių ir ar pakankama kepenų funkcija, kad būtų galima gydyti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Pr="00F54B58">
        <w:rPr>
          <w:rFonts w:eastAsia="MS Mincho"/>
          <w:color w:val="000000"/>
          <w:sz w:val="22"/>
          <w:szCs w:val="22"/>
          <w:lang w:eastAsia="ja-JP"/>
        </w:rPr>
        <w:t xml:space="preserve">. Jei sumažės baltųjų kraujo kūnelių kiekis, gali pasireikšti su tuo susijęs karščiavimas ar infekcijos. </w:t>
      </w: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p>
    <w:p w:rsidR="00F54B58" w:rsidRPr="00F54B58" w:rsidRDefault="00F54B58" w:rsidP="00A766C3">
      <w:pPr>
        <w:widowControl w:val="0"/>
        <w:autoSpaceDE w:val="0"/>
        <w:autoSpaceDN w:val="0"/>
        <w:adjustRightInd w:val="0"/>
        <w:ind w:right="112"/>
        <w:jc w:val="both"/>
        <w:rPr>
          <w:rFonts w:eastAsia="MS Mincho"/>
          <w:color w:val="000000"/>
          <w:sz w:val="22"/>
          <w:szCs w:val="22"/>
          <w:lang w:eastAsia="ja-JP"/>
        </w:rPr>
      </w:pPr>
      <w:r w:rsidRPr="00F54B58">
        <w:rPr>
          <w:rFonts w:eastAsia="MS Mincho"/>
          <w:color w:val="000000"/>
          <w:sz w:val="22"/>
          <w:szCs w:val="22"/>
          <w:lang w:eastAsia="ja-JP"/>
        </w:rPr>
        <w:t xml:space="preserve">Gydytojas nurodys gerti kortikosteroido (pvz., deksametazono) premedikacijai vieną dieną iki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administravimo ir vieną ar dvi dienas po jo, kad būtų silpnesni kai kurie po infuzijos galimi nepageidaujami poveikiai: alerginės reakcijos ir skysčių susilaikymas (plaštakų, pėdų ir kojų tinimas ar svorio didėjimas). </w:t>
      </w: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Gydymo metu gydytojas gali skirti kitų vaistų reikiamam kraujo kūnelių skaičiui išlaikyti. </w:t>
      </w: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1,8 ml tirpiklio buteliuke yra nedidelis kiekis etanolio, mažiau kaip 100 mg vienoje dozėje. </w:t>
      </w: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7,1 ml tirpiklio buteliuje yra 13 tūr. % etanolio (alkoholio), t. y. iki 152,1 mg vienoje dozėje, kas prilygsta 3 ml alaus, 1,3 ml vyno. </w:t>
      </w: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Kenksmingas sergantiems alkoholizmu.</w:t>
      </w: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Reikia atsižvelgti skiriant nėščioms ar žindančioms moterims, vaikams ir didelės rizikos grupės pacientams, pavyzdžiui, sergantiems kepenų liga ar epilepsija. </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rPr>
          <w:rFonts w:eastAsia="MS Mincho"/>
          <w:b/>
          <w:bCs/>
          <w:color w:val="000000"/>
          <w:sz w:val="22"/>
          <w:szCs w:val="22"/>
          <w:lang w:eastAsia="ja-JP"/>
        </w:rPr>
      </w:pPr>
      <w:r w:rsidRPr="00F54B58">
        <w:rPr>
          <w:rFonts w:eastAsia="MS Mincho"/>
          <w:b/>
          <w:bCs/>
          <w:color w:val="000000"/>
          <w:sz w:val="22"/>
          <w:szCs w:val="22"/>
          <w:lang w:eastAsia="ja-JP"/>
        </w:rPr>
        <w:t xml:space="preserve">Kitų vaistų vartojimas </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ind w:right="112"/>
        <w:rPr>
          <w:rFonts w:eastAsia="MS Mincho"/>
          <w:color w:val="000000"/>
          <w:sz w:val="22"/>
          <w:szCs w:val="22"/>
          <w:lang w:eastAsia="ja-JP"/>
        </w:rPr>
      </w:pPr>
      <w:r w:rsidRPr="00F54B58">
        <w:rPr>
          <w:rFonts w:eastAsia="MS Mincho"/>
          <w:color w:val="000000"/>
          <w:sz w:val="22"/>
          <w:szCs w:val="22"/>
          <w:lang w:eastAsia="ja-JP"/>
        </w:rPr>
        <w:t xml:space="preserve">Jeigu vartojate ar neseniai vartojote kitų vaistų, įskaitant įsigytus be recepto, pasakykite gydytojui arba ligoninės vaistininkui. Tai būtina, kadangi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ir kitų vaistų poveikis gali būti ne toks, kokio tikėtasi, be to, gali padidėti šalutinio poveikio pavojus. </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rPr>
          <w:rFonts w:eastAsia="MS Mincho"/>
          <w:b/>
          <w:bCs/>
          <w:color w:val="000000"/>
          <w:sz w:val="22"/>
          <w:szCs w:val="22"/>
          <w:lang w:eastAsia="ja-JP"/>
        </w:rPr>
      </w:pPr>
      <w:r w:rsidRPr="00F54B58">
        <w:rPr>
          <w:rFonts w:eastAsia="MS Mincho"/>
          <w:b/>
          <w:bCs/>
          <w:color w:val="000000"/>
          <w:sz w:val="22"/>
          <w:szCs w:val="22"/>
          <w:lang w:eastAsia="ja-JP"/>
        </w:rPr>
        <w:t xml:space="preserve">Nėštumas </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Prieš vartojant bet kokį vaistą, būtina pasitarti su gydytoju. </w:t>
      </w: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Nėščioms moterims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skirti </w:t>
      </w:r>
      <w:r w:rsidRPr="00F54B58">
        <w:rPr>
          <w:rFonts w:eastAsia="MS Mincho"/>
          <w:color w:val="000000"/>
          <w:sz w:val="22"/>
          <w:szCs w:val="22"/>
          <w:u w:val="single"/>
          <w:lang w:eastAsia="ja-JP"/>
        </w:rPr>
        <w:t>NEGALIMA</w:t>
      </w:r>
      <w:r w:rsidRPr="00F54B58">
        <w:rPr>
          <w:rFonts w:eastAsia="MS Mincho"/>
          <w:color w:val="000000"/>
          <w:sz w:val="22"/>
          <w:szCs w:val="22"/>
          <w:lang w:eastAsia="ja-JP"/>
        </w:rPr>
        <w:t xml:space="preserve">, išskyrus aiškiai gydytojo nurodytus atvejus. </w:t>
      </w:r>
    </w:p>
    <w:p w:rsid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Vartojant šį preparatą negalima pastoti ir būtina naudoti veiksmingą kontracepcijos metodą, nes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gali pakenkti negimusiam kūdikiui. Jei gydymo metu pastojote, būtina nedelsiant pranešti gydytojui. </w:t>
      </w: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Vyrams, gydomiems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Pr="00F54B58">
        <w:rPr>
          <w:rFonts w:eastAsia="MS Mincho"/>
          <w:color w:val="000000"/>
          <w:sz w:val="22"/>
          <w:szCs w:val="22"/>
          <w:lang w:eastAsia="ja-JP"/>
        </w:rPr>
        <w:t xml:space="preserve">, nerekomenduojama pradėti kūdikio gydymo metu ir 6 mėnesius po jo ir reikėtų prieš gydymą pasitarti dėl spermos konservavimo, nes docetakselis gali pakenkti vyrų vaisingumui. </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b/>
          <w:bCs/>
          <w:color w:val="000000"/>
          <w:sz w:val="22"/>
          <w:szCs w:val="22"/>
          <w:lang w:eastAsia="ja-JP"/>
        </w:rPr>
        <w:t xml:space="preserve">Žindymo laikotarpis </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color w:val="000000"/>
          <w:sz w:val="22"/>
          <w:szCs w:val="22"/>
          <w:lang w:eastAsia="ja-JP"/>
        </w:rPr>
        <w:t xml:space="preserve">Gydymo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metu žindyti draudžiama. </w:t>
      </w:r>
    </w:p>
    <w:p w:rsidR="00F54B58" w:rsidRPr="00F54B58" w:rsidRDefault="00F54B58" w:rsidP="00A766C3">
      <w:pPr>
        <w:widowControl w:val="0"/>
        <w:autoSpaceDE w:val="0"/>
        <w:autoSpaceDN w:val="0"/>
        <w:adjustRightInd w:val="0"/>
        <w:rPr>
          <w:rFonts w:eastAsia="MS Mincho"/>
          <w:b/>
          <w:bCs/>
          <w:color w:val="000000"/>
          <w:sz w:val="22"/>
          <w:szCs w:val="22"/>
          <w:lang w:eastAsia="ja-JP"/>
        </w:rPr>
      </w:pP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b/>
          <w:bCs/>
          <w:color w:val="000000"/>
          <w:sz w:val="22"/>
          <w:szCs w:val="22"/>
          <w:lang w:eastAsia="ja-JP"/>
        </w:rPr>
        <w:t xml:space="preserve">Vairavimas ir mechanizmų valdymas </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Nėra priežasčių nevairuoti tarp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kursų, išskyrus atvejus, kai svaigsta galva arba atsiranda nepasitikėjimas savimi. </w:t>
      </w:r>
    </w:p>
    <w:p w:rsidR="00F54B58" w:rsidRDefault="00F54B58" w:rsidP="00A766C3">
      <w:pPr>
        <w:widowControl w:val="0"/>
        <w:autoSpaceDE w:val="0"/>
        <w:autoSpaceDN w:val="0"/>
        <w:adjustRightInd w:val="0"/>
        <w:rPr>
          <w:rFonts w:eastAsia="MS Mincho"/>
          <w:color w:val="000000"/>
          <w:sz w:val="22"/>
          <w:szCs w:val="22"/>
          <w:lang w:eastAsia="ja-JP"/>
        </w:rPr>
      </w:pPr>
    </w:p>
    <w:p w:rsidR="0034323F" w:rsidRPr="00F54B58" w:rsidRDefault="0034323F"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ind w:left="426" w:right="400" w:hanging="426"/>
        <w:rPr>
          <w:rFonts w:eastAsia="MS Mincho"/>
          <w:color w:val="000000"/>
          <w:sz w:val="22"/>
          <w:szCs w:val="22"/>
          <w:lang w:eastAsia="ja-JP"/>
        </w:rPr>
      </w:pPr>
      <w:r w:rsidRPr="00F54B58">
        <w:rPr>
          <w:rFonts w:eastAsia="MS Mincho"/>
          <w:b/>
          <w:bCs/>
          <w:color w:val="000000"/>
          <w:sz w:val="22"/>
          <w:szCs w:val="22"/>
          <w:lang w:eastAsia="ja-JP"/>
        </w:rPr>
        <w:t xml:space="preserve">3. </w:t>
      </w:r>
      <w:r w:rsidRPr="00F54B58">
        <w:rPr>
          <w:rFonts w:eastAsia="MS Mincho"/>
          <w:b/>
          <w:bCs/>
          <w:color w:val="000000"/>
          <w:sz w:val="22"/>
          <w:szCs w:val="22"/>
          <w:lang w:eastAsia="ja-JP"/>
        </w:rPr>
        <w:tab/>
        <w:t xml:space="preserve">KAIP VARTOTI </w:t>
      </w:r>
      <w:r w:rsidR="00DE749D" w:rsidRPr="00DE749D">
        <w:rPr>
          <w:b/>
          <w:sz w:val="22"/>
          <w:szCs w:val="22"/>
        </w:rPr>
        <w:t>DOCETAXEL MYLAN</w:t>
      </w:r>
      <w:r w:rsidR="00DE749D">
        <w:t xml:space="preserve"> </w:t>
      </w:r>
      <w:r w:rsidRPr="00F54B58">
        <w:rPr>
          <w:rFonts w:eastAsia="MS Mincho"/>
          <w:b/>
          <w:bCs/>
          <w:color w:val="000000"/>
          <w:sz w:val="22"/>
          <w:szCs w:val="22"/>
          <w:lang w:eastAsia="ja-JP"/>
        </w:rPr>
        <w:t xml:space="preserve">40 MG/ML KONCENTRATĄ IR TIRPIKLĮ INFUZINIAM TIRPALUI </w:t>
      </w:r>
    </w:p>
    <w:p w:rsidR="00F54B58" w:rsidRPr="00F54B58" w:rsidRDefault="00F54B58" w:rsidP="00A766C3">
      <w:pPr>
        <w:widowControl w:val="0"/>
        <w:autoSpaceDE w:val="0"/>
        <w:autoSpaceDN w:val="0"/>
        <w:adjustRightInd w:val="0"/>
        <w:ind w:left="426" w:right="400" w:hanging="426"/>
        <w:rPr>
          <w:rFonts w:eastAsia="MS Mincho"/>
          <w:color w:val="000000"/>
          <w:sz w:val="22"/>
          <w:szCs w:val="22"/>
          <w:lang w:eastAsia="ja-JP"/>
        </w:rPr>
      </w:pPr>
    </w:p>
    <w:p w:rsidR="00F54B58" w:rsidRPr="00F54B58" w:rsidRDefault="00DE749D" w:rsidP="00A766C3">
      <w:pPr>
        <w:widowControl w:val="0"/>
        <w:autoSpaceDE w:val="0"/>
        <w:autoSpaceDN w:val="0"/>
        <w:adjustRightInd w:val="0"/>
        <w:ind w:left="426" w:right="400" w:hanging="426"/>
        <w:rPr>
          <w:rFonts w:eastAsia="MS Mincho"/>
          <w:color w:val="000000"/>
          <w:sz w:val="22"/>
          <w:szCs w:val="22"/>
          <w:lang w:eastAsia="ja-JP"/>
        </w:rPr>
      </w:pPr>
      <w:proofErr w:type="spellStart"/>
      <w:r w:rsidRPr="00DE749D">
        <w:rPr>
          <w:sz w:val="22"/>
          <w:szCs w:val="22"/>
        </w:rPr>
        <w:t>Docetaxel</w:t>
      </w:r>
      <w:proofErr w:type="spellEnd"/>
      <w:r w:rsidRPr="00DE749D">
        <w:rPr>
          <w:sz w:val="22"/>
          <w:szCs w:val="22"/>
        </w:rPr>
        <w:t xml:space="preserve"> </w:t>
      </w:r>
      <w:proofErr w:type="spellStart"/>
      <w:r w:rsidRPr="00DE749D">
        <w:rPr>
          <w:sz w:val="22"/>
          <w:szCs w:val="22"/>
        </w:rPr>
        <w:t>Mylan</w:t>
      </w:r>
      <w:proofErr w:type="spellEnd"/>
      <w:r>
        <w:t xml:space="preserve"> </w:t>
      </w:r>
      <w:r w:rsidR="00F54B58" w:rsidRPr="00F54B58">
        <w:rPr>
          <w:rFonts w:eastAsia="MS Mincho"/>
          <w:color w:val="000000"/>
          <w:sz w:val="22"/>
          <w:szCs w:val="22"/>
          <w:lang w:eastAsia="ja-JP"/>
        </w:rPr>
        <w:t xml:space="preserve">Jums sulašins sveikatos priežiūros specialistas. </w:t>
      </w:r>
    </w:p>
    <w:p w:rsidR="00F54B58" w:rsidRPr="00F54B58" w:rsidRDefault="00F54B58" w:rsidP="00A766C3">
      <w:pPr>
        <w:widowControl w:val="0"/>
        <w:autoSpaceDE w:val="0"/>
        <w:autoSpaceDN w:val="0"/>
        <w:adjustRightInd w:val="0"/>
        <w:rPr>
          <w:rFonts w:eastAsia="MS Mincho"/>
          <w:b/>
          <w:bCs/>
          <w:color w:val="000000"/>
          <w:sz w:val="22"/>
          <w:szCs w:val="22"/>
          <w:lang w:eastAsia="ja-JP"/>
        </w:rPr>
      </w:pP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b/>
          <w:bCs/>
          <w:color w:val="000000"/>
          <w:sz w:val="22"/>
          <w:szCs w:val="22"/>
          <w:lang w:eastAsia="ja-JP"/>
        </w:rPr>
        <w:t xml:space="preserve">Įprastinė dozė </w:t>
      </w:r>
    </w:p>
    <w:p w:rsidR="00F54B58" w:rsidRPr="00F54B58" w:rsidRDefault="00F54B58" w:rsidP="00A766C3">
      <w:pPr>
        <w:widowControl w:val="0"/>
        <w:autoSpaceDE w:val="0"/>
        <w:autoSpaceDN w:val="0"/>
        <w:adjustRightInd w:val="0"/>
        <w:ind w:right="372"/>
        <w:jc w:val="both"/>
        <w:rPr>
          <w:rFonts w:eastAsia="MS Mincho"/>
          <w:color w:val="000000"/>
          <w:sz w:val="22"/>
          <w:szCs w:val="22"/>
          <w:lang w:eastAsia="ja-JP"/>
        </w:rPr>
      </w:pPr>
      <w:r w:rsidRPr="00F54B58">
        <w:rPr>
          <w:rFonts w:eastAsia="MS Mincho"/>
          <w:color w:val="000000"/>
          <w:sz w:val="22"/>
          <w:szCs w:val="22"/>
          <w:lang w:eastAsia="ja-JP"/>
        </w:rPr>
        <w:t xml:space="preserve">Dozė priklauso nuo Jūsų kūno svorio ir bendros sveikatos būklės. Gydytojas apskaičiuos kūno paviršiaus plotą kvadratiniais metrais (m²) ir pagal jį – reikiamą dozę. </w:t>
      </w:r>
    </w:p>
    <w:p w:rsidR="00F54B58" w:rsidRPr="00F54B58" w:rsidRDefault="00F54B58" w:rsidP="00A766C3">
      <w:pPr>
        <w:widowControl w:val="0"/>
        <w:autoSpaceDE w:val="0"/>
        <w:autoSpaceDN w:val="0"/>
        <w:adjustRightInd w:val="0"/>
        <w:rPr>
          <w:rFonts w:eastAsia="MS Mincho"/>
          <w:b/>
          <w:bCs/>
          <w:color w:val="000000"/>
          <w:sz w:val="22"/>
          <w:szCs w:val="22"/>
          <w:lang w:eastAsia="ja-JP"/>
        </w:rPr>
      </w:pP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b/>
          <w:bCs/>
          <w:color w:val="000000"/>
          <w:sz w:val="22"/>
          <w:szCs w:val="22"/>
          <w:lang w:eastAsia="ja-JP"/>
        </w:rPr>
        <w:t xml:space="preserve">Vartojimo būdas </w:t>
      </w:r>
    </w:p>
    <w:p w:rsidR="00F54B58" w:rsidRPr="00F54B58" w:rsidRDefault="00F54B58" w:rsidP="00A766C3">
      <w:pPr>
        <w:widowControl w:val="0"/>
        <w:autoSpaceDE w:val="0"/>
        <w:autoSpaceDN w:val="0"/>
        <w:adjustRightInd w:val="0"/>
        <w:ind w:right="212"/>
        <w:rPr>
          <w:rFonts w:eastAsia="MS Mincho"/>
          <w:color w:val="000000"/>
          <w:sz w:val="22"/>
          <w:szCs w:val="22"/>
          <w:lang w:eastAsia="ja-JP"/>
        </w:rPr>
      </w:pPr>
    </w:p>
    <w:p w:rsidR="00F54B58" w:rsidRPr="00F54B58" w:rsidRDefault="00DE749D" w:rsidP="00A766C3">
      <w:pPr>
        <w:widowControl w:val="0"/>
        <w:autoSpaceDE w:val="0"/>
        <w:autoSpaceDN w:val="0"/>
        <w:adjustRightInd w:val="0"/>
        <w:ind w:right="212"/>
        <w:jc w:val="both"/>
        <w:rPr>
          <w:rFonts w:eastAsia="MS Mincho"/>
          <w:color w:val="000000"/>
          <w:sz w:val="22"/>
          <w:szCs w:val="22"/>
          <w:lang w:eastAsia="ja-JP"/>
        </w:rPr>
      </w:pPr>
      <w:proofErr w:type="spellStart"/>
      <w:r w:rsidRPr="00DE749D">
        <w:rPr>
          <w:sz w:val="22"/>
          <w:szCs w:val="22"/>
        </w:rPr>
        <w:lastRenderedPageBreak/>
        <w:t>Docetaxel</w:t>
      </w:r>
      <w:proofErr w:type="spellEnd"/>
      <w:r w:rsidRPr="00DE749D">
        <w:rPr>
          <w:sz w:val="22"/>
          <w:szCs w:val="22"/>
        </w:rPr>
        <w:t xml:space="preserve"> </w:t>
      </w:r>
      <w:proofErr w:type="spellStart"/>
      <w:r w:rsidRPr="00DE749D">
        <w:rPr>
          <w:sz w:val="22"/>
          <w:szCs w:val="22"/>
        </w:rPr>
        <w:t>Mylan</w:t>
      </w:r>
      <w:proofErr w:type="spellEnd"/>
      <w:r>
        <w:t xml:space="preserve"> </w:t>
      </w:r>
      <w:r w:rsidR="00F54B58" w:rsidRPr="00F54B58">
        <w:rPr>
          <w:rFonts w:eastAsia="MS Mincho"/>
          <w:color w:val="000000"/>
          <w:sz w:val="22"/>
          <w:szCs w:val="22"/>
          <w:lang w:eastAsia="ja-JP"/>
        </w:rPr>
        <w:t xml:space="preserve">bus suleistas infuzija į vieną Jūsų veną (vartojamas į veną). Infuzija truks apytiksliai vieną valandą, kurios metu būsite ligoninėje. </w:t>
      </w:r>
    </w:p>
    <w:p w:rsidR="00F54B58" w:rsidRPr="00F54B58" w:rsidRDefault="00F54B58" w:rsidP="00A766C3">
      <w:pPr>
        <w:widowControl w:val="0"/>
        <w:autoSpaceDE w:val="0"/>
        <w:autoSpaceDN w:val="0"/>
        <w:adjustRightInd w:val="0"/>
        <w:rPr>
          <w:rFonts w:eastAsia="MS Mincho"/>
          <w:b/>
          <w:bCs/>
          <w:color w:val="000000"/>
          <w:sz w:val="22"/>
          <w:szCs w:val="22"/>
          <w:lang w:eastAsia="ja-JP"/>
        </w:rPr>
      </w:pP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b/>
          <w:bCs/>
          <w:color w:val="000000"/>
          <w:sz w:val="22"/>
          <w:szCs w:val="22"/>
          <w:lang w:eastAsia="ja-JP"/>
        </w:rPr>
        <w:t xml:space="preserve">Vartojimo dažnumas </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Paprastai infuzija kartojama kas tris savaites.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dozę ir vartojimo periodiškumą gydytojas gali keisti, atsižvelgdamas į kraujo tyrimų duomenis, bendrą sveikatos būklę bei vaisto poveikį. Ypač svarbu pasakyti gydytojui, jei atsiranda viduriavimas, žaizdos burnoje, tirpulys, badymas, dilgčiojimas bei karščiavimas, be to, parodykite Jam savo kraujo tyrimo rezultatus. Tai gydytojui padės nuspręsti, ar reikia mažinti dozę. Jeigu kiltų daugiau klausimų dėl šio vaisto vartojimo, kreipkitės į gydytoją arba ligoninės vaistininką. </w:t>
      </w:r>
    </w:p>
    <w:p w:rsidR="00F54B58" w:rsidRDefault="00F54B58" w:rsidP="00A766C3">
      <w:pPr>
        <w:widowControl w:val="0"/>
        <w:autoSpaceDE w:val="0"/>
        <w:autoSpaceDN w:val="0"/>
        <w:adjustRightInd w:val="0"/>
        <w:rPr>
          <w:rFonts w:eastAsia="MS Mincho"/>
          <w:color w:val="000000"/>
          <w:sz w:val="22"/>
          <w:szCs w:val="22"/>
          <w:lang w:eastAsia="ja-JP"/>
        </w:rPr>
      </w:pPr>
    </w:p>
    <w:p w:rsidR="0034323F" w:rsidRPr="00F54B58" w:rsidRDefault="0034323F"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ind w:left="426" w:hanging="426"/>
        <w:rPr>
          <w:rFonts w:eastAsia="MS Mincho"/>
          <w:color w:val="000000"/>
          <w:sz w:val="22"/>
          <w:szCs w:val="22"/>
          <w:lang w:eastAsia="ja-JP"/>
        </w:rPr>
      </w:pPr>
      <w:r w:rsidRPr="00F54B58">
        <w:rPr>
          <w:rFonts w:eastAsia="MS Mincho"/>
          <w:b/>
          <w:bCs/>
          <w:color w:val="000000"/>
          <w:sz w:val="22"/>
          <w:szCs w:val="22"/>
          <w:lang w:eastAsia="ja-JP"/>
        </w:rPr>
        <w:t xml:space="preserve">4. </w:t>
      </w:r>
      <w:r w:rsidRPr="00F54B58">
        <w:rPr>
          <w:rFonts w:eastAsia="MS Mincho"/>
          <w:b/>
          <w:bCs/>
          <w:color w:val="000000"/>
          <w:sz w:val="22"/>
          <w:szCs w:val="22"/>
          <w:lang w:eastAsia="ja-JP"/>
        </w:rPr>
        <w:tab/>
        <w:t xml:space="preserve">GALIMAS ŠALUTINIS POVEIKIS </w:t>
      </w:r>
    </w:p>
    <w:p w:rsidR="00F54B58" w:rsidRPr="00F54B58" w:rsidRDefault="00F54B58" w:rsidP="00A766C3">
      <w:pPr>
        <w:widowControl w:val="0"/>
        <w:autoSpaceDE w:val="0"/>
        <w:autoSpaceDN w:val="0"/>
        <w:adjustRightInd w:val="0"/>
        <w:ind w:right="212"/>
        <w:rPr>
          <w:rFonts w:eastAsia="MS Mincho"/>
          <w:color w:val="000000"/>
          <w:sz w:val="22"/>
          <w:szCs w:val="22"/>
          <w:lang w:eastAsia="ja-JP"/>
        </w:rPr>
      </w:pPr>
    </w:p>
    <w:p w:rsidR="00F54B58" w:rsidRDefault="00DE749D" w:rsidP="00A766C3">
      <w:pPr>
        <w:widowControl w:val="0"/>
        <w:autoSpaceDE w:val="0"/>
        <w:autoSpaceDN w:val="0"/>
        <w:adjustRightInd w:val="0"/>
        <w:ind w:right="212"/>
        <w:jc w:val="both"/>
        <w:rPr>
          <w:rFonts w:eastAsia="MS Mincho"/>
          <w:color w:val="000000"/>
          <w:sz w:val="22"/>
          <w:szCs w:val="22"/>
          <w:lang w:eastAsia="ja-JP"/>
        </w:rPr>
      </w:pPr>
      <w:proofErr w:type="spellStart"/>
      <w:r w:rsidRPr="00DE749D">
        <w:rPr>
          <w:sz w:val="22"/>
          <w:szCs w:val="22"/>
        </w:rPr>
        <w:t>Docetaxel</w:t>
      </w:r>
      <w:proofErr w:type="spellEnd"/>
      <w:r w:rsidRPr="00DE749D">
        <w:rPr>
          <w:sz w:val="22"/>
          <w:szCs w:val="22"/>
        </w:rPr>
        <w:t xml:space="preserve"> </w:t>
      </w:r>
      <w:proofErr w:type="spellStart"/>
      <w:r w:rsidRPr="00DE749D">
        <w:rPr>
          <w:sz w:val="22"/>
          <w:szCs w:val="22"/>
        </w:rPr>
        <w:t>Mylan</w:t>
      </w:r>
      <w:proofErr w:type="spellEnd"/>
      <w:r w:rsidR="00F54B58" w:rsidRPr="00F54B58">
        <w:rPr>
          <w:rFonts w:eastAsia="MS Mincho"/>
          <w:color w:val="000000"/>
          <w:sz w:val="22"/>
          <w:szCs w:val="22"/>
          <w:lang w:eastAsia="ja-JP"/>
        </w:rPr>
        <w:t xml:space="preserve">, kaip ir visi kiti vaistai, gali sukelti šalutinį poveikį, nors jis pasireiškia ne visiems žmonėms. </w:t>
      </w:r>
    </w:p>
    <w:p w:rsidR="00F54B58" w:rsidRPr="00F54B58" w:rsidRDefault="00F54B58" w:rsidP="00A766C3">
      <w:pPr>
        <w:widowControl w:val="0"/>
        <w:autoSpaceDE w:val="0"/>
        <w:autoSpaceDN w:val="0"/>
        <w:adjustRightInd w:val="0"/>
        <w:ind w:right="212"/>
        <w:jc w:val="both"/>
        <w:rPr>
          <w:rFonts w:eastAsia="MS Mincho"/>
          <w:color w:val="000000"/>
          <w:sz w:val="22"/>
          <w:szCs w:val="22"/>
          <w:lang w:eastAsia="ja-JP"/>
        </w:rPr>
      </w:pPr>
      <w:r w:rsidRPr="00F54B58">
        <w:rPr>
          <w:rFonts w:eastAsia="MS Mincho"/>
          <w:color w:val="000000"/>
          <w:sz w:val="22"/>
          <w:szCs w:val="22"/>
          <w:lang w:eastAsia="ja-JP"/>
        </w:rPr>
        <w:t xml:space="preserve">Apie jį Jums papasakos gydytojas, kuris taip pat paaiškins gydymo </w:t>
      </w:r>
      <w:r w:rsidR="002F2C3D">
        <w:rPr>
          <w:rFonts w:eastAsia="MS Mincho"/>
          <w:color w:val="000000"/>
          <w:sz w:val="22"/>
          <w:szCs w:val="22"/>
          <w:lang w:eastAsia="ja-JP"/>
        </w:rPr>
        <w:t>naudą</w:t>
      </w:r>
      <w:r w:rsidR="002F2C3D" w:rsidRPr="00F54B58">
        <w:rPr>
          <w:rFonts w:eastAsia="MS Mincho"/>
          <w:color w:val="000000"/>
          <w:sz w:val="22"/>
          <w:szCs w:val="22"/>
          <w:lang w:eastAsia="ja-JP"/>
        </w:rPr>
        <w:t xml:space="preserve"> </w:t>
      </w:r>
      <w:r w:rsidRPr="00F54B58">
        <w:rPr>
          <w:rFonts w:eastAsia="MS Mincho"/>
          <w:color w:val="000000"/>
          <w:sz w:val="22"/>
          <w:szCs w:val="22"/>
          <w:lang w:eastAsia="ja-JP"/>
        </w:rPr>
        <w:t xml:space="preserve">ir galimus pavojus. </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Nepageidaujami reiškiniai suklasifikuoti į grupes pagal dažnį naudojant šias dažnio kategorijas: labai dažni (pasireiškia daugiau negu 1 pacientui iš 10), dažni (pasireiškia nuo 1 iki 10 pacientų iš 100), nedažni (pasireiškia nuo 1 iki 10 pacientų iš 1000), reti (pasireiškia nuo 1 iki 10 pacientų iš 10 000), labai reti (pasireiškia mažiau negu 1 pacientui iš 10 000), dažnis nežinomas (negalima įvertinti pagal turimus duomenis). </w:t>
      </w: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p>
    <w:p w:rsidR="00F54B58" w:rsidRPr="00F54B58" w:rsidRDefault="00F54B58" w:rsidP="00A766C3">
      <w:pPr>
        <w:widowControl w:val="0"/>
        <w:autoSpaceDE w:val="0"/>
        <w:autoSpaceDN w:val="0"/>
        <w:adjustRightInd w:val="0"/>
        <w:ind w:right="615"/>
        <w:jc w:val="both"/>
        <w:rPr>
          <w:rFonts w:eastAsia="MS Mincho"/>
          <w:color w:val="000000"/>
          <w:sz w:val="22"/>
          <w:szCs w:val="22"/>
          <w:lang w:eastAsia="ja-JP"/>
        </w:rPr>
      </w:pPr>
      <w:r w:rsidRPr="00F54B58">
        <w:rPr>
          <w:rFonts w:eastAsia="MS Mincho"/>
          <w:color w:val="000000"/>
          <w:sz w:val="22"/>
          <w:szCs w:val="22"/>
          <w:lang w:eastAsia="ja-JP"/>
        </w:rPr>
        <w:t xml:space="preserve">Dažniausios nepageidaujamos reakcijos, pasireiškiančios vartojant vien tik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Pr="00F54B58">
        <w:rPr>
          <w:rFonts w:eastAsia="MS Mincho"/>
          <w:color w:val="000000"/>
          <w:sz w:val="22"/>
          <w:szCs w:val="22"/>
          <w:lang w:eastAsia="ja-JP"/>
        </w:rPr>
        <w:t xml:space="preserve">, yra raudonųjų ar baltųjų kraujo kūnelių kiekio sumažėjimas, nuplikimas, pykinimas, vėmimas, žaizdos burnoje, viduriavimas bei nuovargis. </w:t>
      </w: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Nepageidaujamų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sukeltų reakcijų sunkumas gali padidėti, jei kartu vartojama kitokių chemoterapinių vaistų. </w:t>
      </w: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Infuzijos metu ligoninėje gali pasireikšti toliau išvardytų alerginių reakcijų (jų pasireiškia daugiau kaip 1 pacientui iš 10): </w:t>
      </w:r>
    </w:p>
    <w:p w:rsidR="00F54B58" w:rsidRPr="00F54B58" w:rsidRDefault="00F54B58" w:rsidP="00A766C3">
      <w:pPr>
        <w:widowControl w:val="0"/>
        <w:numPr>
          <w:ilvl w:val="0"/>
          <w:numId w:val="16"/>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paraudimas dėl kraujo priplūdimo, odos pokyčiai, niežulys; </w:t>
      </w:r>
    </w:p>
    <w:p w:rsidR="00F54B58" w:rsidRPr="008F47A5" w:rsidRDefault="00F54B58" w:rsidP="00A766C3">
      <w:pPr>
        <w:widowControl w:val="0"/>
        <w:numPr>
          <w:ilvl w:val="0"/>
          <w:numId w:val="16"/>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gniaužimas krūtinėje; </w:t>
      </w:r>
      <w:r w:rsidRPr="008F47A5">
        <w:rPr>
          <w:rFonts w:eastAsia="MS Mincho"/>
          <w:color w:val="000000"/>
          <w:sz w:val="22"/>
          <w:szCs w:val="22"/>
          <w:lang w:eastAsia="ja-JP"/>
        </w:rPr>
        <w:t>kvėpavimo pasunkėjimas;</w:t>
      </w:r>
    </w:p>
    <w:p w:rsidR="00F54B58" w:rsidRPr="00F54B58" w:rsidRDefault="00F54B58" w:rsidP="00A766C3">
      <w:pPr>
        <w:widowControl w:val="0"/>
        <w:numPr>
          <w:ilvl w:val="0"/>
          <w:numId w:val="16"/>
        </w:numPr>
        <w:autoSpaceDE w:val="0"/>
        <w:autoSpaceDN w:val="0"/>
        <w:adjustRightInd w:val="0"/>
        <w:spacing w:after="200"/>
        <w:ind w:left="426" w:hanging="426"/>
        <w:rPr>
          <w:rFonts w:eastAsia="MS Mincho"/>
          <w:color w:val="000000"/>
          <w:sz w:val="22"/>
          <w:szCs w:val="22"/>
          <w:lang w:eastAsia="ja-JP"/>
        </w:rPr>
      </w:pPr>
      <w:r w:rsidRPr="008F47A5">
        <w:rPr>
          <w:rFonts w:eastAsia="MS Mincho"/>
          <w:color w:val="000000"/>
          <w:sz w:val="22"/>
          <w:szCs w:val="22"/>
          <w:lang w:eastAsia="ja-JP"/>
        </w:rPr>
        <w:t>karščiavimas arba šalt</w:t>
      </w:r>
      <w:r w:rsidRPr="00F54B58">
        <w:rPr>
          <w:rFonts w:eastAsia="MS Mincho"/>
          <w:color w:val="000000"/>
          <w:sz w:val="22"/>
          <w:szCs w:val="22"/>
          <w:lang w:eastAsia="ja-JP"/>
        </w:rPr>
        <w:t>krėtis;</w:t>
      </w:r>
    </w:p>
    <w:p w:rsidR="00F54B58" w:rsidRPr="00F54B58" w:rsidRDefault="00F54B58" w:rsidP="00A766C3">
      <w:pPr>
        <w:widowControl w:val="0"/>
        <w:numPr>
          <w:ilvl w:val="0"/>
          <w:numId w:val="16"/>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nugaros skausmas;</w:t>
      </w:r>
    </w:p>
    <w:p w:rsidR="00F54B58" w:rsidRPr="00F54B58" w:rsidRDefault="00F54B58" w:rsidP="00A766C3">
      <w:pPr>
        <w:widowControl w:val="0"/>
        <w:numPr>
          <w:ilvl w:val="0"/>
          <w:numId w:val="16"/>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kraujosp</w:t>
      </w:r>
      <w:r w:rsidR="009733E5">
        <w:rPr>
          <w:rFonts w:eastAsia="MS Mincho"/>
          <w:color w:val="000000"/>
          <w:sz w:val="22"/>
          <w:szCs w:val="22"/>
          <w:lang w:eastAsia="ja-JP"/>
        </w:rPr>
        <w:t>ū</w:t>
      </w:r>
      <w:r w:rsidRPr="00F54B58">
        <w:rPr>
          <w:rFonts w:eastAsia="MS Mincho"/>
          <w:color w:val="000000"/>
          <w:sz w:val="22"/>
          <w:szCs w:val="22"/>
          <w:lang w:eastAsia="ja-JP"/>
        </w:rPr>
        <w:t>d</w:t>
      </w:r>
      <w:r w:rsidR="009733E5">
        <w:rPr>
          <w:rFonts w:eastAsia="MS Mincho"/>
          <w:color w:val="000000"/>
          <w:sz w:val="22"/>
          <w:szCs w:val="22"/>
          <w:lang w:eastAsia="ja-JP"/>
        </w:rPr>
        <w:t>ž</w:t>
      </w:r>
      <w:r w:rsidRPr="00F54B58">
        <w:rPr>
          <w:rFonts w:eastAsia="MS Mincho"/>
          <w:color w:val="000000"/>
          <w:sz w:val="22"/>
          <w:szCs w:val="22"/>
          <w:lang w:eastAsia="ja-JP"/>
        </w:rPr>
        <w:t>io sumažėjimas.</w:t>
      </w: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color w:val="000000"/>
          <w:sz w:val="22"/>
          <w:szCs w:val="22"/>
          <w:lang w:eastAsia="ja-JP"/>
        </w:rPr>
        <w:t xml:space="preserve">Gali atsirasti ir sunkesnių reakcijų. </w:t>
      </w:r>
    </w:p>
    <w:p w:rsidR="00F54B58" w:rsidRPr="00F54B58" w:rsidRDefault="00F54B58" w:rsidP="00A766C3">
      <w:pPr>
        <w:widowControl w:val="0"/>
        <w:autoSpaceDE w:val="0"/>
        <w:autoSpaceDN w:val="0"/>
        <w:adjustRightInd w:val="0"/>
        <w:ind w:right="440"/>
        <w:rPr>
          <w:rFonts w:eastAsia="MS Mincho"/>
          <w:color w:val="000000"/>
          <w:sz w:val="22"/>
          <w:szCs w:val="22"/>
          <w:lang w:eastAsia="ja-JP"/>
        </w:rPr>
      </w:pPr>
    </w:p>
    <w:p w:rsidR="00F54B58" w:rsidRPr="00F54B58" w:rsidRDefault="00F54B58" w:rsidP="00A766C3">
      <w:pPr>
        <w:widowControl w:val="0"/>
        <w:autoSpaceDE w:val="0"/>
        <w:autoSpaceDN w:val="0"/>
        <w:adjustRightInd w:val="0"/>
        <w:ind w:right="440"/>
        <w:jc w:val="both"/>
        <w:rPr>
          <w:rFonts w:eastAsia="MS Mincho"/>
          <w:color w:val="000000"/>
          <w:sz w:val="22"/>
          <w:szCs w:val="22"/>
          <w:lang w:eastAsia="ja-JP"/>
        </w:rPr>
      </w:pPr>
      <w:r w:rsidRPr="00F54B58">
        <w:rPr>
          <w:rFonts w:eastAsia="MS Mincho"/>
          <w:color w:val="000000"/>
          <w:sz w:val="22"/>
          <w:szCs w:val="22"/>
          <w:lang w:eastAsia="ja-JP"/>
        </w:rPr>
        <w:t xml:space="preserve">Infuzijos metu Jūsų būklė bus atidžiai stebima ligoninės personalo. Jei pasireiškė kuris nors iš išvardytų sutrikimų, apie tai reikia nedelsiant pranešti personalui. </w:t>
      </w:r>
    </w:p>
    <w:p w:rsidR="00F54B58" w:rsidRPr="00F54B58" w:rsidRDefault="00F54B58" w:rsidP="00A766C3">
      <w:pPr>
        <w:widowControl w:val="0"/>
        <w:autoSpaceDE w:val="0"/>
        <w:autoSpaceDN w:val="0"/>
        <w:adjustRightInd w:val="0"/>
        <w:ind w:right="212"/>
        <w:jc w:val="both"/>
        <w:rPr>
          <w:rFonts w:eastAsia="MS Mincho"/>
          <w:color w:val="000000"/>
          <w:sz w:val="22"/>
          <w:szCs w:val="22"/>
          <w:lang w:eastAsia="ja-JP"/>
        </w:rPr>
      </w:pPr>
    </w:p>
    <w:p w:rsidR="00F54B58" w:rsidRPr="00F54B58" w:rsidRDefault="00F54B58" w:rsidP="00A766C3">
      <w:pPr>
        <w:widowControl w:val="0"/>
        <w:autoSpaceDE w:val="0"/>
        <w:autoSpaceDN w:val="0"/>
        <w:adjustRightInd w:val="0"/>
        <w:ind w:right="212"/>
        <w:jc w:val="both"/>
        <w:rPr>
          <w:rFonts w:eastAsia="MS Mincho"/>
          <w:color w:val="000000"/>
          <w:sz w:val="22"/>
          <w:szCs w:val="22"/>
          <w:lang w:eastAsia="ja-JP"/>
        </w:rPr>
      </w:pPr>
      <w:r w:rsidRPr="00F54B58">
        <w:rPr>
          <w:rFonts w:eastAsia="MS Mincho"/>
          <w:color w:val="000000"/>
          <w:sz w:val="22"/>
          <w:szCs w:val="22"/>
          <w:lang w:eastAsia="ja-JP"/>
        </w:rPr>
        <w:t xml:space="preserve">Tarp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 xml:space="preserve">infuzijų gali atsirasti toliau išvardytas šalutinis poveikis (jo dažnumas priklauso nuo kitų kartu vartojamų vaistų): </w:t>
      </w:r>
    </w:p>
    <w:p w:rsidR="00F54B58" w:rsidRPr="00F54B58" w:rsidRDefault="00F54B58" w:rsidP="00A766C3">
      <w:pPr>
        <w:widowControl w:val="0"/>
        <w:autoSpaceDE w:val="0"/>
        <w:autoSpaceDN w:val="0"/>
        <w:adjustRightInd w:val="0"/>
        <w:rPr>
          <w:rFonts w:eastAsia="MS Mincho"/>
          <w:b/>
          <w:bCs/>
          <w:color w:val="000000"/>
          <w:sz w:val="22"/>
          <w:szCs w:val="22"/>
          <w:lang w:eastAsia="ja-JP"/>
        </w:rPr>
      </w:pP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b/>
          <w:bCs/>
          <w:color w:val="000000"/>
          <w:sz w:val="22"/>
          <w:szCs w:val="22"/>
          <w:lang w:eastAsia="ja-JP"/>
        </w:rPr>
        <w:t>Labai dažni (</w:t>
      </w:r>
      <w:r w:rsidRPr="00F54B58">
        <w:rPr>
          <w:rFonts w:eastAsia="MS Mincho"/>
          <w:color w:val="000000"/>
          <w:sz w:val="22"/>
          <w:szCs w:val="22"/>
          <w:lang w:eastAsia="ja-JP"/>
        </w:rPr>
        <w:t xml:space="preserve">pasireiškia daugiau kaip 1 pacientui iš 10): </w:t>
      </w:r>
    </w:p>
    <w:p w:rsidR="00F54B58" w:rsidRPr="00F54B58" w:rsidRDefault="00F54B58" w:rsidP="00A766C3">
      <w:pPr>
        <w:widowControl w:val="0"/>
        <w:numPr>
          <w:ilvl w:val="0"/>
          <w:numId w:val="17"/>
        </w:numPr>
        <w:autoSpaceDE w:val="0"/>
        <w:autoSpaceDN w:val="0"/>
        <w:adjustRightInd w:val="0"/>
        <w:spacing w:after="200"/>
        <w:ind w:left="426" w:hanging="426"/>
        <w:jc w:val="both"/>
        <w:rPr>
          <w:rFonts w:eastAsia="MS Mincho"/>
          <w:color w:val="000000"/>
          <w:sz w:val="22"/>
          <w:szCs w:val="22"/>
          <w:lang w:eastAsia="ja-JP"/>
        </w:rPr>
      </w:pPr>
      <w:r w:rsidRPr="00F54B58">
        <w:rPr>
          <w:rFonts w:eastAsia="MS Mincho"/>
          <w:color w:val="000000"/>
          <w:sz w:val="22"/>
          <w:szCs w:val="22"/>
          <w:lang w:eastAsia="ja-JP"/>
        </w:rPr>
        <w:t xml:space="preserve">infekcijos, raudonųjų (mažakraujystė) ar baltųjų kraujo kūnelių, (pastarieji svarbūs organizmo apsaugai nuo infekcijos) ir trombocitų kiekio sumažėjimas;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karščiavimas; atsiradus karščiavimui, būtina nedelsiant kreiptis į gydytoją;</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lastRenderedPageBreak/>
        <w:t xml:space="preserve">alerginės reakcijos (aprašytos anksčiau);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apetito netekimas (anoreksija);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nemiga;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tirpimo, badymo ar smaigymo pojūtis arba skausmas sąnariuose ar raumenyse;</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galvos skausmas;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skonio pojūčio pokytis;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akių uždegimas, ašarojimo sustiprėjimas;</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patinimas dėl limfos nutekėjimo sutrikimo;</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dusulys;</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sloga, gerklės ir nosies uždegimas, kosulys;</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kraujavimas iš nosies;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žaizdos burnoje; </w:t>
      </w:r>
    </w:p>
    <w:p w:rsidR="003C5D9C" w:rsidRDefault="00F54B58" w:rsidP="003C5D9C">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virškinimo trakto sutrikimai, įskaitant pykinimą, vėmimą, viduriavimą ir vidurių užkietėjimą; </w:t>
      </w:r>
    </w:p>
    <w:p w:rsidR="003C5D9C" w:rsidRPr="003C5D9C" w:rsidRDefault="003C5D9C" w:rsidP="003C5D9C">
      <w:pPr>
        <w:widowControl w:val="0"/>
        <w:numPr>
          <w:ilvl w:val="0"/>
          <w:numId w:val="17"/>
        </w:numPr>
        <w:autoSpaceDE w:val="0"/>
        <w:autoSpaceDN w:val="0"/>
        <w:adjustRightInd w:val="0"/>
        <w:spacing w:after="200"/>
        <w:ind w:left="450" w:hanging="432"/>
        <w:rPr>
          <w:rFonts w:eastAsia="MS Mincho"/>
          <w:color w:val="000000"/>
          <w:sz w:val="22"/>
          <w:szCs w:val="22"/>
          <w:lang w:eastAsia="ja-JP"/>
        </w:rPr>
      </w:pPr>
      <w:r w:rsidRPr="003C5D9C">
        <w:rPr>
          <w:rFonts w:eastAsia="MS Mincho"/>
          <w:color w:val="000000"/>
          <w:sz w:val="22"/>
          <w:szCs w:val="22"/>
          <w:lang w:eastAsia="ja-JP"/>
        </w:rPr>
        <w:t xml:space="preserve">pilvo skausmas; </w:t>
      </w:r>
    </w:p>
    <w:p w:rsidR="003C5D9C" w:rsidRPr="003C5D9C" w:rsidRDefault="003C5D9C" w:rsidP="003C5D9C">
      <w:pPr>
        <w:widowControl w:val="0"/>
        <w:numPr>
          <w:ilvl w:val="0"/>
          <w:numId w:val="17"/>
        </w:numPr>
        <w:autoSpaceDE w:val="0"/>
        <w:autoSpaceDN w:val="0"/>
        <w:adjustRightInd w:val="0"/>
        <w:spacing w:after="200"/>
        <w:ind w:left="450" w:hanging="432"/>
        <w:rPr>
          <w:rFonts w:eastAsia="MS Mincho"/>
          <w:color w:val="000000"/>
          <w:sz w:val="22"/>
          <w:szCs w:val="22"/>
          <w:lang w:eastAsia="ja-JP"/>
        </w:rPr>
      </w:pPr>
      <w:r w:rsidRPr="003C5D9C">
        <w:rPr>
          <w:rFonts w:eastAsia="MS Mincho"/>
          <w:color w:val="000000"/>
          <w:sz w:val="22"/>
          <w:szCs w:val="22"/>
          <w:lang w:eastAsia="ja-JP"/>
        </w:rPr>
        <w:t xml:space="preserve">nevirškinimas; </w:t>
      </w:r>
    </w:p>
    <w:p w:rsidR="003C5D9C" w:rsidRPr="003C5D9C" w:rsidRDefault="003C5D9C" w:rsidP="003C5D9C">
      <w:pPr>
        <w:widowControl w:val="0"/>
        <w:numPr>
          <w:ilvl w:val="0"/>
          <w:numId w:val="17"/>
        </w:numPr>
        <w:autoSpaceDE w:val="0"/>
        <w:autoSpaceDN w:val="0"/>
        <w:adjustRightInd w:val="0"/>
        <w:spacing w:after="200"/>
        <w:ind w:left="450" w:hanging="432"/>
        <w:rPr>
          <w:rFonts w:eastAsia="MS Mincho"/>
          <w:color w:val="000000"/>
          <w:sz w:val="22"/>
          <w:szCs w:val="22"/>
          <w:lang w:eastAsia="ja-JP"/>
        </w:rPr>
      </w:pPr>
      <w:r w:rsidRPr="003C5D9C">
        <w:rPr>
          <w:rFonts w:eastAsia="MS Mincho"/>
          <w:color w:val="000000"/>
          <w:sz w:val="22"/>
          <w:szCs w:val="22"/>
          <w:lang w:eastAsia="ja-JP"/>
        </w:rPr>
        <w:t xml:space="preserve">trumpalaikis plaukų netekimas (dažniausiai vėliau plaukų augimas vėl tampa normalus); </w:t>
      </w:r>
    </w:p>
    <w:p w:rsidR="003C5D9C" w:rsidRPr="003C5D9C" w:rsidRDefault="003C5D9C" w:rsidP="003C5D9C">
      <w:pPr>
        <w:widowControl w:val="0"/>
        <w:numPr>
          <w:ilvl w:val="0"/>
          <w:numId w:val="17"/>
        </w:numPr>
        <w:autoSpaceDE w:val="0"/>
        <w:autoSpaceDN w:val="0"/>
        <w:adjustRightInd w:val="0"/>
        <w:spacing w:after="200"/>
        <w:ind w:left="450" w:hanging="432"/>
        <w:rPr>
          <w:rFonts w:eastAsia="MS Mincho"/>
          <w:color w:val="000000"/>
          <w:sz w:val="22"/>
          <w:szCs w:val="22"/>
          <w:lang w:eastAsia="ja-JP"/>
        </w:rPr>
      </w:pPr>
      <w:r w:rsidRPr="003C5D9C">
        <w:rPr>
          <w:rFonts w:eastAsia="MS Mincho"/>
          <w:color w:val="000000"/>
          <w:sz w:val="22"/>
          <w:szCs w:val="22"/>
          <w:lang w:eastAsia="ja-JP"/>
        </w:rPr>
        <w:t xml:space="preserve">delnų ar pėdų paraudimas ir patinimas (gali pradėti luptis oda). Toks poveikis gali atsirasti ir rankose, veide ar ant viso kūno odos; </w:t>
      </w:r>
    </w:p>
    <w:p w:rsidR="003C5D9C" w:rsidRPr="003C5D9C" w:rsidRDefault="003C5D9C" w:rsidP="003C5D9C">
      <w:pPr>
        <w:widowControl w:val="0"/>
        <w:numPr>
          <w:ilvl w:val="0"/>
          <w:numId w:val="17"/>
        </w:numPr>
        <w:autoSpaceDE w:val="0"/>
        <w:autoSpaceDN w:val="0"/>
        <w:adjustRightInd w:val="0"/>
        <w:spacing w:after="200"/>
        <w:ind w:left="450" w:hanging="432"/>
        <w:rPr>
          <w:rFonts w:eastAsia="MS Mincho"/>
          <w:color w:val="000000"/>
          <w:sz w:val="22"/>
          <w:szCs w:val="22"/>
          <w:lang w:eastAsia="ja-JP"/>
        </w:rPr>
      </w:pPr>
      <w:r w:rsidRPr="003C5D9C">
        <w:rPr>
          <w:rFonts w:eastAsia="MS Mincho"/>
          <w:color w:val="000000"/>
          <w:sz w:val="22"/>
          <w:szCs w:val="22"/>
          <w:lang w:eastAsia="ja-JP"/>
        </w:rPr>
        <w:t xml:space="preserve">nagų spalvos pokytis (nagas gali nukristi); </w:t>
      </w:r>
    </w:p>
    <w:p w:rsidR="003C5D9C" w:rsidRPr="003C5D9C" w:rsidRDefault="003C5D9C" w:rsidP="003C5D9C">
      <w:pPr>
        <w:widowControl w:val="0"/>
        <w:numPr>
          <w:ilvl w:val="0"/>
          <w:numId w:val="17"/>
        </w:numPr>
        <w:autoSpaceDE w:val="0"/>
        <w:autoSpaceDN w:val="0"/>
        <w:adjustRightInd w:val="0"/>
        <w:spacing w:after="200"/>
        <w:ind w:left="450" w:hanging="432"/>
        <w:rPr>
          <w:rFonts w:eastAsia="MS Mincho"/>
          <w:color w:val="000000"/>
          <w:sz w:val="22"/>
          <w:szCs w:val="22"/>
          <w:lang w:eastAsia="ja-JP"/>
        </w:rPr>
      </w:pPr>
      <w:r w:rsidRPr="003C5D9C">
        <w:rPr>
          <w:rFonts w:eastAsia="MS Mincho"/>
          <w:color w:val="000000"/>
          <w:sz w:val="22"/>
          <w:szCs w:val="22"/>
          <w:lang w:eastAsia="ja-JP"/>
        </w:rPr>
        <w:t xml:space="preserve">raumenų maudimas ir skausmas, nugaros ar kaulų skausmas; </w:t>
      </w:r>
    </w:p>
    <w:p w:rsidR="003C5D9C" w:rsidRPr="003C5D9C" w:rsidRDefault="003C5D9C" w:rsidP="003C5D9C">
      <w:pPr>
        <w:widowControl w:val="0"/>
        <w:numPr>
          <w:ilvl w:val="0"/>
          <w:numId w:val="17"/>
        </w:numPr>
        <w:autoSpaceDE w:val="0"/>
        <w:autoSpaceDN w:val="0"/>
        <w:adjustRightInd w:val="0"/>
        <w:spacing w:after="200"/>
        <w:ind w:left="450" w:hanging="432"/>
        <w:rPr>
          <w:rFonts w:eastAsia="MS Mincho"/>
          <w:color w:val="000000"/>
          <w:sz w:val="22"/>
          <w:szCs w:val="22"/>
          <w:lang w:eastAsia="ja-JP"/>
        </w:rPr>
      </w:pPr>
      <w:r w:rsidRPr="003C5D9C">
        <w:rPr>
          <w:rFonts w:eastAsia="MS Mincho"/>
          <w:color w:val="000000"/>
          <w:sz w:val="22"/>
          <w:szCs w:val="22"/>
          <w:lang w:eastAsia="ja-JP"/>
        </w:rPr>
        <w:t xml:space="preserve">menstruacijų pokytis arba išnykimas; </w:t>
      </w:r>
    </w:p>
    <w:p w:rsidR="003C5D9C" w:rsidRPr="003C5D9C" w:rsidRDefault="003C5D9C" w:rsidP="003C5D9C">
      <w:pPr>
        <w:widowControl w:val="0"/>
        <w:numPr>
          <w:ilvl w:val="0"/>
          <w:numId w:val="17"/>
        </w:numPr>
        <w:autoSpaceDE w:val="0"/>
        <w:autoSpaceDN w:val="0"/>
        <w:adjustRightInd w:val="0"/>
        <w:spacing w:after="200"/>
        <w:ind w:left="450" w:hanging="432"/>
        <w:rPr>
          <w:rFonts w:eastAsia="MS Mincho"/>
          <w:color w:val="000000"/>
          <w:sz w:val="22"/>
          <w:szCs w:val="22"/>
          <w:lang w:eastAsia="ja-JP"/>
        </w:rPr>
      </w:pPr>
      <w:r w:rsidRPr="003C5D9C">
        <w:rPr>
          <w:rFonts w:eastAsia="MS Mincho"/>
          <w:color w:val="000000"/>
          <w:sz w:val="22"/>
          <w:szCs w:val="22"/>
          <w:lang w:eastAsia="ja-JP"/>
        </w:rPr>
        <w:t xml:space="preserve">rankų, pėdų ir kojų patinimas; </w:t>
      </w:r>
    </w:p>
    <w:p w:rsidR="003C5D9C" w:rsidRPr="003C5D9C" w:rsidRDefault="003C5D9C" w:rsidP="003C5D9C">
      <w:pPr>
        <w:widowControl w:val="0"/>
        <w:numPr>
          <w:ilvl w:val="0"/>
          <w:numId w:val="17"/>
        </w:numPr>
        <w:autoSpaceDE w:val="0"/>
        <w:autoSpaceDN w:val="0"/>
        <w:adjustRightInd w:val="0"/>
        <w:spacing w:after="200"/>
        <w:ind w:left="450" w:hanging="432"/>
        <w:rPr>
          <w:rFonts w:eastAsia="MS Mincho"/>
          <w:color w:val="000000"/>
          <w:sz w:val="22"/>
          <w:szCs w:val="22"/>
          <w:lang w:eastAsia="ja-JP"/>
        </w:rPr>
      </w:pPr>
      <w:r w:rsidRPr="003C5D9C">
        <w:rPr>
          <w:rFonts w:eastAsia="MS Mincho"/>
          <w:color w:val="000000"/>
          <w:sz w:val="22"/>
          <w:szCs w:val="22"/>
          <w:lang w:eastAsia="ja-JP"/>
        </w:rPr>
        <w:t xml:space="preserve">nuovargis arba į gripą panašūs simptomai; </w:t>
      </w:r>
    </w:p>
    <w:p w:rsidR="003C5D9C" w:rsidRPr="003C5D9C" w:rsidRDefault="003C5D9C" w:rsidP="003C5D9C">
      <w:pPr>
        <w:widowControl w:val="0"/>
        <w:numPr>
          <w:ilvl w:val="0"/>
          <w:numId w:val="17"/>
        </w:numPr>
        <w:autoSpaceDE w:val="0"/>
        <w:autoSpaceDN w:val="0"/>
        <w:adjustRightInd w:val="0"/>
        <w:spacing w:after="200"/>
        <w:ind w:left="450" w:hanging="432"/>
        <w:rPr>
          <w:rFonts w:eastAsia="MS Mincho"/>
          <w:color w:val="000000"/>
          <w:sz w:val="22"/>
          <w:szCs w:val="22"/>
          <w:lang w:eastAsia="ja-JP"/>
        </w:rPr>
      </w:pPr>
      <w:r w:rsidRPr="003C5D9C">
        <w:rPr>
          <w:rFonts w:eastAsia="MS Mincho"/>
          <w:color w:val="000000"/>
          <w:sz w:val="22"/>
          <w:szCs w:val="22"/>
          <w:lang w:eastAsia="ja-JP"/>
        </w:rPr>
        <w:t xml:space="preserve">svorio padidėjimas arba sumažėjimas. </w:t>
      </w: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b/>
          <w:bCs/>
          <w:color w:val="000000"/>
          <w:sz w:val="22"/>
          <w:szCs w:val="22"/>
          <w:lang w:eastAsia="ja-JP"/>
        </w:rPr>
        <w:t xml:space="preserve">Dažni </w:t>
      </w:r>
      <w:r w:rsidRPr="00F54B58">
        <w:rPr>
          <w:rFonts w:eastAsia="MS Mincho"/>
          <w:color w:val="000000"/>
          <w:sz w:val="22"/>
          <w:szCs w:val="22"/>
          <w:lang w:eastAsia="ja-JP"/>
        </w:rPr>
        <w:t xml:space="preserve">(pasireiškia mažiau kaip 1 pacientui iš 10, bet daugiau kaip 1 iš 100):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burnos kandidozė;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dehidratacija;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galvos svaigulys;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klausos sutrikimas;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kraujosp</w:t>
      </w:r>
      <w:r w:rsidR="002B38C0">
        <w:rPr>
          <w:rFonts w:eastAsia="MS Mincho"/>
          <w:color w:val="000000"/>
          <w:sz w:val="22"/>
          <w:szCs w:val="22"/>
          <w:lang w:eastAsia="ja-JP"/>
        </w:rPr>
        <w:t>ū</w:t>
      </w:r>
      <w:r w:rsidRPr="00F54B58">
        <w:rPr>
          <w:rFonts w:eastAsia="MS Mincho"/>
          <w:color w:val="000000"/>
          <w:sz w:val="22"/>
          <w:szCs w:val="22"/>
          <w:lang w:eastAsia="ja-JP"/>
        </w:rPr>
        <w:t>d</w:t>
      </w:r>
      <w:r w:rsidR="002B38C0">
        <w:rPr>
          <w:rFonts w:eastAsia="MS Mincho"/>
          <w:color w:val="000000"/>
          <w:sz w:val="22"/>
          <w:szCs w:val="22"/>
          <w:lang w:eastAsia="ja-JP"/>
        </w:rPr>
        <w:t>ž</w:t>
      </w:r>
      <w:r w:rsidRPr="00F54B58">
        <w:rPr>
          <w:rFonts w:eastAsia="MS Mincho"/>
          <w:color w:val="000000"/>
          <w:sz w:val="22"/>
          <w:szCs w:val="22"/>
          <w:lang w:eastAsia="ja-JP"/>
        </w:rPr>
        <w:t xml:space="preserve">io sumažėjimas, nereguliarus ar greitas širdies plakimas;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širdies nepakankamumas;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stemplės uždegimas;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lastRenderedPageBreak/>
        <w:t xml:space="preserve">burnos džiūvimas;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pasunkėjęs ar skausmingas rijimas;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kraujavimas;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kepenų fermentų kiekio padidėjimas (dėl to reikia reguliariai tirti kraują). </w:t>
      </w: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b/>
          <w:bCs/>
          <w:color w:val="000000"/>
          <w:sz w:val="22"/>
          <w:szCs w:val="22"/>
          <w:lang w:eastAsia="ja-JP"/>
        </w:rPr>
        <w:t xml:space="preserve">Nedažni </w:t>
      </w:r>
      <w:r w:rsidRPr="00F54B58">
        <w:rPr>
          <w:rFonts w:eastAsia="MS Mincho"/>
          <w:color w:val="000000"/>
          <w:sz w:val="22"/>
          <w:szCs w:val="22"/>
          <w:lang w:eastAsia="ja-JP"/>
        </w:rPr>
        <w:t xml:space="preserve">(pasireiškia daugiau kaip 1 pacientui iš 1000, bet mažiau kaip 1 iš 100):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alpulys; </w:t>
      </w:r>
    </w:p>
    <w:p w:rsidR="00F54B58" w:rsidRPr="00F54B58" w:rsidRDefault="00F54B58" w:rsidP="00A766C3">
      <w:pPr>
        <w:widowControl w:val="0"/>
        <w:numPr>
          <w:ilvl w:val="0"/>
          <w:numId w:val="17"/>
        </w:numPr>
        <w:autoSpaceDE w:val="0"/>
        <w:autoSpaceDN w:val="0"/>
        <w:adjustRightInd w:val="0"/>
        <w:spacing w:after="200"/>
        <w:ind w:left="426" w:right="647" w:hanging="426"/>
        <w:rPr>
          <w:rFonts w:eastAsia="MS Mincho"/>
          <w:color w:val="000000"/>
          <w:sz w:val="22"/>
          <w:szCs w:val="22"/>
          <w:lang w:eastAsia="ja-JP"/>
        </w:rPr>
      </w:pPr>
      <w:r w:rsidRPr="00F54B58">
        <w:rPr>
          <w:rFonts w:eastAsia="MS Mincho"/>
          <w:color w:val="000000"/>
          <w:sz w:val="22"/>
          <w:szCs w:val="22"/>
          <w:lang w:eastAsia="ja-JP"/>
        </w:rPr>
        <w:t xml:space="preserve">odos reakcija, flebitas (venos uždegimas) ar patinimas injekcijos vietoje;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storosios bei plonosios žarnos uždegimas, žarnos prakiurimas; </w:t>
      </w:r>
    </w:p>
    <w:p w:rsidR="00F54B58" w:rsidRPr="00F54B58" w:rsidRDefault="00F54B58" w:rsidP="00A766C3">
      <w:pPr>
        <w:widowControl w:val="0"/>
        <w:numPr>
          <w:ilvl w:val="0"/>
          <w:numId w:val="17"/>
        </w:numPr>
        <w:autoSpaceDE w:val="0"/>
        <w:autoSpaceDN w:val="0"/>
        <w:adjustRightInd w:val="0"/>
        <w:spacing w:after="200"/>
        <w:ind w:left="426" w:hanging="426"/>
        <w:rPr>
          <w:rFonts w:eastAsia="MS Mincho"/>
          <w:color w:val="000000"/>
          <w:sz w:val="22"/>
          <w:szCs w:val="22"/>
          <w:lang w:eastAsia="ja-JP"/>
        </w:rPr>
      </w:pPr>
      <w:r w:rsidRPr="00F54B58">
        <w:rPr>
          <w:rFonts w:eastAsia="MS Mincho"/>
          <w:color w:val="000000"/>
          <w:sz w:val="22"/>
          <w:szCs w:val="22"/>
          <w:lang w:eastAsia="ja-JP"/>
        </w:rPr>
        <w:t xml:space="preserve">kraujo krešuliai. </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color w:val="000000"/>
          <w:sz w:val="22"/>
          <w:szCs w:val="22"/>
          <w:lang w:eastAsia="ja-JP"/>
        </w:rPr>
        <w:t xml:space="preserve">Jeigu pasireiškė šalutinis poveikis, įskaitant šiame lapelyje nenurodytą, pasakykite gydytojui arba ligoninės vaistininkui. </w:t>
      </w:r>
    </w:p>
    <w:p w:rsidR="00F54B58" w:rsidRDefault="00F54B58" w:rsidP="00A766C3">
      <w:pPr>
        <w:widowControl w:val="0"/>
        <w:autoSpaceDE w:val="0"/>
        <w:autoSpaceDN w:val="0"/>
        <w:adjustRightInd w:val="0"/>
        <w:rPr>
          <w:rFonts w:eastAsia="MS Mincho"/>
          <w:color w:val="000000"/>
          <w:sz w:val="22"/>
          <w:szCs w:val="22"/>
          <w:lang w:eastAsia="ja-JP"/>
        </w:rPr>
      </w:pPr>
    </w:p>
    <w:p w:rsidR="001A6CD7" w:rsidRPr="00F54B58" w:rsidRDefault="001A6CD7" w:rsidP="00A766C3">
      <w:pPr>
        <w:widowControl w:val="0"/>
        <w:autoSpaceDE w:val="0"/>
        <w:autoSpaceDN w:val="0"/>
        <w:adjustRightInd w:val="0"/>
        <w:rPr>
          <w:rFonts w:eastAsia="MS Mincho"/>
          <w:color w:val="000000"/>
          <w:sz w:val="22"/>
          <w:szCs w:val="22"/>
          <w:lang w:eastAsia="ja-JP"/>
        </w:rPr>
      </w:pPr>
    </w:p>
    <w:p w:rsidR="00F54B58" w:rsidRPr="00F54B58" w:rsidRDefault="00F54B58" w:rsidP="00C93814">
      <w:pPr>
        <w:widowControl w:val="0"/>
        <w:tabs>
          <w:tab w:val="left" w:pos="567"/>
        </w:tabs>
        <w:autoSpaceDE w:val="0"/>
        <w:autoSpaceDN w:val="0"/>
        <w:adjustRightInd w:val="0"/>
        <w:rPr>
          <w:rFonts w:eastAsia="MS Mincho"/>
          <w:color w:val="000000"/>
          <w:sz w:val="22"/>
          <w:szCs w:val="22"/>
          <w:lang w:eastAsia="ja-JP"/>
        </w:rPr>
      </w:pPr>
      <w:r w:rsidRPr="00F54B58">
        <w:rPr>
          <w:rFonts w:eastAsia="MS Mincho"/>
          <w:b/>
          <w:bCs/>
          <w:color w:val="000000"/>
          <w:sz w:val="22"/>
          <w:szCs w:val="22"/>
          <w:lang w:eastAsia="ja-JP"/>
        </w:rPr>
        <w:t>5.</w:t>
      </w:r>
      <w:r w:rsidR="00015BAD">
        <w:rPr>
          <w:rFonts w:eastAsia="MS Mincho"/>
          <w:b/>
          <w:bCs/>
          <w:color w:val="000000"/>
          <w:sz w:val="22"/>
          <w:szCs w:val="22"/>
          <w:lang w:eastAsia="ja-JP"/>
        </w:rPr>
        <w:tab/>
      </w:r>
      <w:r w:rsidRPr="00F54B58">
        <w:rPr>
          <w:rFonts w:eastAsia="MS Mincho"/>
          <w:b/>
          <w:bCs/>
          <w:color w:val="000000"/>
          <w:sz w:val="22"/>
          <w:szCs w:val="22"/>
          <w:lang w:eastAsia="ja-JP"/>
        </w:rPr>
        <w:t xml:space="preserve">KAIP LAIKYTI </w:t>
      </w:r>
      <w:r w:rsidR="00DE749D" w:rsidRPr="00DE749D">
        <w:rPr>
          <w:b/>
          <w:sz w:val="22"/>
          <w:szCs w:val="22"/>
        </w:rPr>
        <w:t>DOCETAXEL MYLAN</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C93814">
      <w:pPr>
        <w:widowControl w:val="0"/>
        <w:autoSpaceDE w:val="0"/>
        <w:autoSpaceDN w:val="0"/>
        <w:adjustRightInd w:val="0"/>
        <w:rPr>
          <w:rFonts w:eastAsia="MS Mincho"/>
          <w:color w:val="000000"/>
          <w:sz w:val="22"/>
          <w:szCs w:val="22"/>
          <w:lang w:eastAsia="ja-JP"/>
        </w:rPr>
      </w:pPr>
      <w:r w:rsidRPr="00F54B58">
        <w:rPr>
          <w:rFonts w:eastAsia="MS Mincho"/>
          <w:color w:val="000000"/>
          <w:sz w:val="22"/>
          <w:szCs w:val="22"/>
          <w:lang w:eastAsia="ja-JP"/>
        </w:rPr>
        <w:t xml:space="preserve">Šį vaistą laikykite vaikams nepastebimoje ir nepasiekiamoje vietoje. </w:t>
      </w:r>
    </w:p>
    <w:p w:rsidR="00F54B58" w:rsidRPr="00F54B58" w:rsidRDefault="00F54B58" w:rsidP="00C93814">
      <w:pPr>
        <w:widowControl w:val="0"/>
        <w:autoSpaceDE w:val="0"/>
        <w:autoSpaceDN w:val="0"/>
        <w:adjustRightInd w:val="0"/>
        <w:ind w:right="270"/>
        <w:rPr>
          <w:rFonts w:eastAsia="MS Mincho"/>
          <w:color w:val="000000"/>
          <w:sz w:val="22"/>
          <w:szCs w:val="22"/>
          <w:lang w:eastAsia="ja-JP"/>
        </w:rPr>
      </w:pPr>
    </w:p>
    <w:p w:rsidR="00F54B58" w:rsidRPr="00F54B58" w:rsidRDefault="00F54B58" w:rsidP="00C93814">
      <w:pPr>
        <w:widowControl w:val="0"/>
        <w:autoSpaceDE w:val="0"/>
        <w:autoSpaceDN w:val="0"/>
        <w:adjustRightInd w:val="0"/>
        <w:ind w:right="270"/>
        <w:rPr>
          <w:rFonts w:eastAsia="MS Mincho"/>
          <w:color w:val="000000"/>
          <w:sz w:val="22"/>
          <w:szCs w:val="22"/>
          <w:lang w:eastAsia="ja-JP"/>
        </w:rPr>
      </w:pPr>
      <w:r w:rsidRPr="00F54B58">
        <w:rPr>
          <w:rFonts w:eastAsia="MS Mincho"/>
          <w:color w:val="000000"/>
          <w:sz w:val="22"/>
          <w:szCs w:val="22"/>
          <w:lang w:eastAsia="ja-JP"/>
        </w:rPr>
        <w:t xml:space="preserve">Ant dėžutės ir buteliuko po „Tinka iki“ nurodytam tinkamumo laikui pasibaigus šio vaisto vartoti negalima. Vaistas tinkamas vartoti iki paskutinės nurodyto mėnesio dienos. </w:t>
      </w:r>
    </w:p>
    <w:p w:rsidR="00F54B58" w:rsidRPr="00F54B58" w:rsidRDefault="00F54B58" w:rsidP="00C93814">
      <w:pPr>
        <w:widowControl w:val="0"/>
        <w:autoSpaceDE w:val="0"/>
        <w:autoSpaceDN w:val="0"/>
        <w:adjustRightInd w:val="0"/>
        <w:rPr>
          <w:rFonts w:eastAsia="MS Mincho"/>
          <w:color w:val="000000"/>
          <w:sz w:val="22"/>
          <w:szCs w:val="22"/>
          <w:lang w:eastAsia="ja-JP"/>
        </w:rPr>
      </w:pPr>
    </w:p>
    <w:p w:rsidR="00F54B58" w:rsidRPr="00F54B58" w:rsidRDefault="00F54B58" w:rsidP="00C93814">
      <w:pPr>
        <w:widowControl w:val="0"/>
        <w:autoSpaceDE w:val="0"/>
        <w:autoSpaceDN w:val="0"/>
        <w:adjustRightInd w:val="0"/>
        <w:rPr>
          <w:rFonts w:eastAsia="MS Mincho"/>
          <w:color w:val="000000"/>
          <w:sz w:val="22"/>
          <w:szCs w:val="22"/>
          <w:lang w:eastAsia="ja-JP"/>
        </w:rPr>
      </w:pPr>
      <w:r w:rsidRPr="00F54B58">
        <w:rPr>
          <w:rFonts w:eastAsia="MS Mincho"/>
          <w:color w:val="000000"/>
          <w:sz w:val="22"/>
          <w:szCs w:val="22"/>
          <w:lang w:eastAsia="ja-JP"/>
        </w:rPr>
        <w:t xml:space="preserve">Laikyti </w:t>
      </w:r>
      <w:r w:rsidR="00015BAD">
        <w:rPr>
          <w:rFonts w:eastAsia="MS Mincho"/>
          <w:color w:val="000000"/>
          <w:sz w:val="22"/>
          <w:szCs w:val="22"/>
          <w:lang w:eastAsia="ja-JP"/>
        </w:rPr>
        <w:t>ne aukštesnėje</w:t>
      </w:r>
      <w:r w:rsidR="00015BAD" w:rsidRPr="00F54B58">
        <w:rPr>
          <w:rFonts w:eastAsia="MS Mincho"/>
          <w:color w:val="000000"/>
          <w:sz w:val="22"/>
          <w:szCs w:val="22"/>
          <w:lang w:eastAsia="ja-JP"/>
        </w:rPr>
        <w:t xml:space="preserve"> </w:t>
      </w:r>
      <w:r w:rsidRPr="00F54B58">
        <w:rPr>
          <w:rFonts w:eastAsia="MS Mincho"/>
          <w:color w:val="000000"/>
          <w:sz w:val="22"/>
          <w:szCs w:val="22"/>
          <w:lang w:eastAsia="ja-JP"/>
        </w:rPr>
        <w:t xml:space="preserve">kaip 25°C arba </w:t>
      </w:r>
      <w:r w:rsidR="00015BAD">
        <w:rPr>
          <w:rFonts w:eastAsia="MS Mincho"/>
          <w:color w:val="000000"/>
          <w:sz w:val="22"/>
          <w:szCs w:val="22"/>
          <w:lang w:eastAsia="ja-JP"/>
        </w:rPr>
        <w:t>žemesnėje</w:t>
      </w:r>
      <w:r w:rsidR="00015BAD" w:rsidRPr="00F54B58">
        <w:rPr>
          <w:rFonts w:eastAsia="MS Mincho"/>
          <w:color w:val="000000"/>
          <w:sz w:val="22"/>
          <w:szCs w:val="22"/>
          <w:lang w:eastAsia="ja-JP"/>
        </w:rPr>
        <w:t xml:space="preserve"> </w:t>
      </w:r>
      <w:r w:rsidRPr="00F54B58">
        <w:rPr>
          <w:rFonts w:eastAsia="MS Mincho"/>
          <w:color w:val="000000"/>
          <w:sz w:val="22"/>
          <w:szCs w:val="22"/>
          <w:lang w:eastAsia="ja-JP"/>
        </w:rPr>
        <w:t xml:space="preserve">kaip 2 °C temperatūroje. </w:t>
      </w:r>
    </w:p>
    <w:p w:rsidR="00F54B58" w:rsidRDefault="00F54B58" w:rsidP="00C93814">
      <w:pPr>
        <w:widowControl w:val="0"/>
        <w:autoSpaceDE w:val="0"/>
        <w:autoSpaceDN w:val="0"/>
        <w:adjustRightInd w:val="0"/>
        <w:rPr>
          <w:rFonts w:eastAsia="MS Mincho"/>
          <w:color w:val="000000"/>
          <w:sz w:val="22"/>
          <w:szCs w:val="22"/>
          <w:lang w:eastAsia="ja-JP"/>
        </w:rPr>
      </w:pPr>
      <w:r w:rsidRPr="00F54B58">
        <w:rPr>
          <w:rFonts w:eastAsia="MS Mincho"/>
          <w:color w:val="000000"/>
          <w:sz w:val="22"/>
          <w:szCs w:val="22"/>
          <w:lang w:eastAsia="ja-JP"/>
        </w:rPr>
        <w:t xml:space="preserve">Buteliuką laikyti išorinėje dėžutėje, kad preparatas būtų apsaugotas nuo šviesos. </w:t>
      </w:r>
    </w:p>
    <w:p w:rsidR="00F54B58" w:rsidRPr="00F54B58" w:rsidRDefault="00F54B58" w:rsidP="00C93814">
      <w:pPr>
        <w:widowControl w:val="0"/>
        <w:autoSpaceDE w:val="0"/>
        <w:autoSpaceDN w:val="0"/>
        <w:adjustRightInd w:val="0"/>
        <w:rPr>
          <w:rFonts w:eastAsia="MS Mincho"/>
          <w:color w:val="000000"/>
          <w:sz w:val="22"/>
          <w:szCs w:val="22"/>
          <w:lang w:eastAsia="ja-JP"/>
        </w:rPr>
      </w:pPr>
      <w:r w:rsidRPr="00F54B58">
        <w:rPr>
          <w:rFonts w:eastAsia="MS Mincho"/>
          <w:color w:val="000000"/>
          <w:sz w:val="22"/>
          <w:szCs w:val="22"/>
          <w:lang w:eastAsia="ja-JP"/>
        </w:rPr>
        <w:t>Paruoštą tirpalą reikia suvartoti nedelsiant po paruošimo. Paruošto tirpalo cheminės ir fizinės savybės išlieka stabilios 8 valandas laikant 2</w:t>
      </w:r>
      <w:r w:rsidR="00015BAD" w:rsidRPr="00F54B58">
        <w:rPr>
          <w:rFonts w:eastAsia="MS Mincho"/>
          <w:color w:val="000000"/>
          <w:sz w:val="22"/>
          <w:szCs w:val="22"/>
          <w:lang w:eastAsia="ja-JP"/>
        </w:rPr>
        <w:t xml:space="preserve">°C </w:t>
      </w:r>
      <w:r w:rsidRPr="00F54B58">
        <w:rPr>
          <w:rFonts w:eastAsia="MS Mincho"/>
          <w:color w:val="000000"/>
          <w:sz w:val="22"/>
          <w:szCs w:val="22"/>
          <w:lang w:eastAsia="ja-JP"/>
        </w:rPr>
        <w:t>–8 °C arba kambario temperatūroje (</w:t>
      </w:r>
      <w:r w:rsidR="00015BAD">
        <w:rPr>
          <w:rFonts w:eastAsia="MS Mincho"/>
          <w:color w:val="000000"/>
          <w:sz w:val="22"/>
          <w:szCs w:val="22"/>
          <w:lang w:eastAsia="ja-JP"/>
        </w:rPr>
        <w:t>žemesnėje</w:t>
      </w:r>
      <w:r w:rsidRPr="00F54B58">
        <w:rPr>
          <w:rFonts w:eastAsia="MS Mincho"/>
          <w:color w:val="000000"/>
          <w:sz w:val="22"/>
          <w:szCs w:val="22"/>
          <w:lang w:eastAsia="ja-JP"/>
        </w:rPr>
        <w:t xml:space="preserve"> kaip 25 °C). </w:t>
      </w:r>
    </w:p>
    <w:p w:rsidR="00F54B58" w:rsidRPr="00F54B58" w:rsidRDefault="00F54B58" w:rsidP="00C93814">
      <w:pPr>
        <w:widowControl w:val="0"/>
        <w:autoSpaceDE w:val="0"/>
        <w:autoSpaceDN w:val="0"/>
        <w:adjustRightInd w:val="0"/>
        <w:rPr>
          <w:rFonts w:eastAsia="MS Mincho"/>
          <w:color w:val="000000"/>
          <w:sz w:val="22"/>
          <w:szCs w:val="22"/>
          <w:lang w:eastAsia="ja-JP"/>
        </w:rPr>
      </w:pPr>
    </w:p>
    <w:p w:rsidR="00F54B58" w:rsidRPr="00F54B58" w:rsidRDefault="00F54B58" w:rsidP="00C93814">
      <w:pPr>
        <w:widowControl w:val="0"/>
        <w:autoSpaceDE w:val="0"/>
        <w:autoSpaceDN w:val="0"/>
        <w:adjustRightInd w:val="0"/>
        <w:ind w:right="67"/>
        <w:rPr>
          <w:rFonts w:eastAsia="MS Mincho"/>
          <w:color w:val="000000"/>
          <w:sz w:val="22"/>
          <w:szCs w:val="22"/>
          <w:lang w:eastAsia="ja-JP"/>
        </w:rPr>
      </w:pPr>
      <w:r w:rsidRPr="00F54B58">
        <w:rPr>
          <w:rFonts w:eastAsia="MS Mincho"/>
          <w:color w:val="000000"/>
          <w:sz w:val="22"/>
          <w:szCs w:val="22"/>
          <w:lang w:eastAsia="ja-JP"/>
        </w:rPr>
        <w:t>Infuzinio tirpalo cheminės ir fizinės savybės išlieka stabilios 4 valandas laikant 2</w:t>
      </w:r>
      <w:r w:rsidR="00015BAD" w:rsidRPr="00F54B58">
        <w:rPr>
          <w:rFonts w:eastAsia="MS Mincho"/>
          <w:color w:val="000000"/>
          <w:sz w:val="22"/>
          <w:szCs w:val="22"/>
          <w:lang w:eastAsia="ja-JP"/>
        </w:rPr>
        <w:t xml:space="preserve">°C </w:t>
      </w:r>
      <w:r w:rsidRPr="00F54B58">
        <w:rPr>
          <w:rFonts w:eastAsia="MS Mincho"/>
          <w:color w:val="000000"/>
          <w:sz w:val="22"/>
          <w:szCs w:val="22"/>
          <w:lang w:eastAsia="ja-JP"/>
        </w:rPr>
        <w:t>–8 °C arba kambario temperatūroje (</w:t>
      </w:r>
      <w:r w:rsidR="00015BAD">
        <w:rPr>
          <w:rFonts w:eastAsia="MS Mincho"/>
          <w:color w:val="000000"/>
          <w:sz w:val="22"/>
          <w:szCs w:val="22"/>
          <w:lang w:eastAsia="ja-JP"/>
        </w:rPr>
        <w:t>žemesnėje</w:t>
      </w:r>
      <w:r w:rsidRPr="00F54B58">
        <w:rPr>
          <w:rFonts w:eastAsia="MS Mincho"/>
          <w:color w:val="000000"/>
          <w:sz w:val="22"/>
          <w:szCs w:val="22"/>
          <w:lang w:eastAsia="ja-JP"/>
        </w:rPr>
        <w:t xml:space="preserve"> kaip 25 °C). </w:t>
      </w:r>
    </w:p>
    <w:p w:rsidR="00F54B58" w:rsidRPr="00F54B58" w:rsidRDefault="00F54B58" w:rsidP="00C93814">
      <w:pPr>
        <w:widowControl w:val="0"/>
        <w:autoSpaceDE w:val="0"/>
        <w:autoSpaceDN w:val="0"/>
        <w:adjustRightInd w:val="0"/>
        <w:rPr>
          <w:rFonts w:eastAsia="MS Mincho"/>
          <w:color w:val="000000"/>
          <w:sz w:val="22"/>
          <w:szCs w:val="22"/>
          <w:lang w:eastAsia="ja-JP"/>
        </w:rPr>
      </w:pPr>
    </w:p>
    <w:p w:rsidR="00F54B58" w:rsidRPr="00F54B58" w:rsidRDefault="00F54B58" w:rsidP="00C93814">
      <w:pPr>
        <w:widowControl w:val="0"/>
        <w:autoSpaceDE w:val="0"/>
        <w:autoSpaceDN w:val="0"/>
        <w:adjustRightInd w:val="0"/>
        <w:rPr>
          <w:rFonts w:eastAsia="MS Mincho"/>
          <w:color w:val="000000"/>
          <w:sz w:val="22"/>
          <w:szCs w:val="22"/>
          <w:lang w:eastAsia="ja-JP"/>
        </w:rPr>
      </w:pPr>
      <w:r w:rsidRPr="00F54B58">
        <w:rPr>
          <w:rFonts w:eastAsia="MS Mincho"/>
          <w:color w:val="000000"/>
          <w:sz w:val="22"/>
          <w:szCs w:val="22"/>
          <w:lang w:eastAsia="ja-JP"/>
        </w:rPr>
        <w:t>Mikrobiologiniu požiūriu</w:t>
      </w:r>
      <w:r w:rsidR="00015BAD">
        <w:rPr>
          <w:rFonts w:eastAsia="MS Mincho"/>
          <w:color w:val="000000"/>
          <w:sz w:val="22"/>
          <w:szCs w:val="22"/>
          <w:lang w:eastAsia="ja-JP"/>
        </w:rPr>
        <w:t>,</w:t>
      </w:r>
      <w:r w:rsidRPr="00F54B58">
        <w:rPr>
          <w:rFonts w:eastAsia="MS Mincho"/>
          <w:color w:val="000000"/>
          <w:sz w:val="22"/>
          <w:szCs w:val="22"/>
          <w:lang w:eastAsia="ja-JP"/>
        </w:rPr>
        <w:t xml:space="preserve"> šis preparatas turi būti vartojamas nedelsiant. Jeigu iš karto nevartojamas, už laikymo laiką ir sąlygas atsako vartotojas ir paprastai laikymo trukmė bus ne daugiau nei 24</w:t>
      </w:r>
      <w:r w:rsidR="001A6CD7">
        <w:rPr>
          <w:rFonts w:eastAsia="MS Mincho"/>
          <w:color w:val="000000"/>
          <w:sz w:val="22"/>
          <w:szCs w:val="22"/>
          <w:lang w:eastAsia="ja-JP"/>
        </w:rPr>
        <w:t> </w:t>
      </w:r>
      <w:r w:rsidRPr="00F54B58">
        <w:rPr>
          <w:rFonts w:eastAsia="MS Mincho"/>
          <w:color w:val="000000"/>
          <w:sz w:val="22"/>
          <w:szCs w:val="22"/>
          <w:lang w:eastAsia="ja-JP"/>
        </w:rPr>
        <w:t>valandos laikant 2</w:t>
      </w:r>
      <w:r w:rsidR="00015BAD" w:rsidRPr="00F54B58">
        <w:rPr>
          <w:rFonts w:eastAsia="MS Mincho"/>
          <w:color w:val="000000"/>
          <w:sz w:val="22"/>
          <w:szCs w:val="22"/>
          <w:lang w:eastAsia="ja-JP"/>
        </w:rPr>
        <w:t xml:space="preserve">°C </w:t>
      </w:r>
      <w:r w:rsidRPr="00F54B58">
        <w:rPr>
          <w:rFonts w:eastAsia="MS Mincho"/>
          <w:color w:val="000000"/>
          <w:sz w:val="22"/>
          <w:szCs w:val="22"/>
          <w:lang w:eastAsia="ja-JP"/>
        </w:rPr>
        <w:t xml:space="preserve">–8 °C temperatūroje, jeigu tirpalas nebuvo ruošiamas / skiedžiamas kontroliuojamomis ir patvirtintomis </w:t>
      </w:r>
      <w:r w:rsidR="00015BAD">
        <w:rPr>
          <w:rFonts w:eastAsia="MS Mincho"/>
          <w:color w:val="000000"/>
          <w:sz w:val="22"/>
          <w:szCs w:val="22"/>
          <w:lang w:eastAsia="ja-JP"/>
        </w:rPr>
        <w:t>aseptinėmis</w:t>
      </w:r>
      <w:r w:rsidR="00015BAD" w:rsidRPr="00F54B58">
        <w:rPr>
          <w:rFonts w:eastAsia="MS Mincho"/>
          <w:color w:val="000000"/>
          <w:sz w:val="22"/>
          <w:szCs w:val="22"/>
          <w:lang w:eastAsia="ja-JP"/>
        </w:rPr>
        <w:t xml:space="preserve"> </w:t>
      </w:r>
      <w:r w:rsidRPr="00F54B58">
        <w:rPr>
          <w:rFonts w:eastAsia="MS Mincho"/>
          <w:color w:val="000000"/>
          <w:sz w:val="22"/>
          <w:szCs w:val="22"/>
          <w:lang w:eastAsia="ja-JP"/>
        </w:rPr>
        <w:t xml:space="preserve">sąlygomis. </w:t>
      </w:r>
    </w:p>
    <w:p w:rsidR="00F54B58" w:rsidRDefault="00F54B58" w:rsidP="00A766C3">
      <w:pPr>
        <w:widowControl w:val="0"/>
        <w:autoSpaceDE w:val="0"/>
        <w:autoSpaceDN w:val="0"/>
        <w:adjustRightInd w:val="0"/>
        <w:rPr>
          <w:rFonts w:eastAsia="MS Mincho"/>
          <w:b/>
          <w:bCs/>
          <w:color w:val="000000"/>
          <w:sz w:val="22"/>
          <w:szCs w:val="22"/>
          <w:lang w:eastAsia="ja-JP"/>
        </w:rPr>
      </w:pPr>
    </w:p>
    <w:p w:rsidR="00015BAD" w:rsidRPr="00F54B58" w:rsidRDefault="00015BAD" w:rsidP="00A766C3">
      <w:pPr>
        <w:widowControl w:val="0"/>
        <w:autoSpaceDE w:val="0"/>
        <w:autoSpaceDN w:val="0"/>
        <w:adjustRightInd w:val="0"/>
        <w:rPr>
          <w:rFonts w:eastAsia="MS Mincho"/>
          <w:b/>
          <w:bCs/>
          <w:color w:val="000000"/>
          <w:sz w:val="22"/>
          <w:szCs w:val="22"/>
          <w:lang w:eastAsia="ja-JP"/>
        </w:rPr>
      </w:pPr>
    </w:p>
    <w:p w:rsidR="00F54B58" w:rsidRPr="00F54B58" w:rsidRDefault="00F54B58" w:rsidP="00C93814">
      <w:pPr>
        <w:widowControl w:val="0"/>
        <w:tabs>
          <w:tab w:val="left" w:pos="567"/>
        </w:tabs>
        <w:autoSpaceDE w:val="0"/>
        <w:autoSpaceDN w:val="0"/>
        <w:adjustRightInd w:val="0"/>
        <w:rPr>
          <w:rFonts w:eastAsia="MS Mincho"/>
          <w:color w:val="000000"/>
          <w:sz w:val="22"/>
          <w:szCs w:val="22"/>
          <w:lang w:eastAsia="ja-JP"/>
        </w:rPr>
      </w:pPr>
      <w:r w:rsidRPr="00F54B58">
        <w:rPr>
          <w:rFonts w:eastAsia="MS Mincho"/>
          <w:b/>
          <w:bCs/>
          <w:color w:val="000000"/>
          <w:sz w:val="22"/>
          <w:szCs w:val="22"/>
          <w:lang w:eastAsia="ja-JP"/>
        </w:rPr>
        <w:t xml:space="preserve">6. </w:t>
      </w:r>
      <w:r w:rsidRPr="00F54B58">
        <w:rPr>
          <w:rFonts w:eastAsia="MS Mincho"/>
          <w:b/>
          <w:bCs/>
          <w:color w:val="000000"/>
          <w:sz w:val="22"/>
          <w:szCs w:val="22"/>
          <w:lang w:eastAsia="ja-JP"/>
        </w:rPr>
        <w:tab/>
        <w:t xml:space="preserve">PAKUOTĖS TURINYS IR KITA INFORMACIJA </w:t>
      </w:r>
    </w:p>
    <w:p w:rsidR="00F54B58" w:rsidRPr="00F54B58" w:rsidRDefault="00F54B58" w:rsidP="00A766C3">
      <w:pPr>
        <w:widowControl w:val="0"/>
        <w:autoSpaceDE w:val="0"/>
        <w:autoSpaceDN w:val="0"/>
        <w:adjustRightInd w:val="0"/>
        <w:rPr>
          <w:rFonts w:eastAsia="MS Mincho"/>
          <w:b/>
          <w:bCs/>
          <w:color w:val="000000"/>
          <w:sz w:val="22"/>
          <w:szCs w:val="22"/>
          <w:lang w:eastAsia="ja-JP"/>
        </w:rPr>
      </w:pPr>
    </w:p>
    <w:p w:rsidR="00F54B58" w:rsidRPr="00F54B58" w:rsidRDefault="00DE749D" w:rsidP="00A766C3">
      <w:pPr>
        <w:widowControl w:val="0"/>
        <w:autoSpaceDE w:val="0"/>
        <w:autoSpaceDN w:val="0"/>
        <w:adjustRightInd w:val="0"/>
        <w:rPr>
          <w:rFonts w:eastAsia="MS Mincho"/>
          <w:color w:val="000000"/>
          <w:sz w:val="22"/>
          <w:szCs w:val="22"/>
          <w:lang w:eastAsia="ja-JP"/>
        </w:rPr>
      </w:pPr>
      <w:proofErr w:type="spellStart"/>
      <w:r w:rsidRPr="00DE749D">
        <w:rPr>
          <w:b/>
          <w:sz w:val="22"/>
          <w:szCs w:val="22"/>
        </w:rPr>
        <w:t>Docetaxel</w:t>
      </w:r>
      <w:proofErr w:type="spellEnd"/>
      <w:r w:rsidRPr="00DE749D">
        <w:rPr>
          <w:b/>
          <w:sz w:val="22"/>
          <w:szCs w:val="22"/>
        </w:rPr>
        <w:t xml:space="preserve"> </w:t>
      </w:r>
      <w:proofErr w:type="spellStart"/>
      <w:r w:rsidRPr="00DE749D">
        <w:rPr>
          <w:b/>
          <w:sz w:val="22"/>
          <w:szCs w:val="22"/>
        </w:rPr>
        <w:t>Mylan</w:t>
      </w:r>
      <w:proofErr w:type="spellEnd"/>
      <w:r>
        <w:t xml:space="preserve"> </w:t>
      </w:r>
      <w:r w:rsidR="00F54B58" w:rsidRPr="00F54B58">
        <w:rPr>
          <w:rFonts w:eastAsia="MS Mincho"/>
          <w:b/>
          <w:bCs/>
          <w:color w:val="000000"/>
          <w:sz w:val="22"/>
          <w:szCs w:val="22"/>
          <w:lang w:eastAsia="ja-JP"/>
        </w:rPr>
        <w:t xml:space="preserve">koncentrato buteliuko sudėtis </w:t>
      </w:r>
    </w:p>
    <w:p w:rsidR="00F54B58" w:rsidRPr="00F54B58" w:rsidRDefault="00F54B58" w:rsidP="00A766C3">
      <w:pPr>
        <w:widowControl w:val="0"/>
        <w:numPr>
          <w:ilvl w:val="0"/>
          <w:numId w:val="18"/>
        </w:numPr>
        <w:autoSpaceDE w:val="0"/>
        <w:autoSpaceDN w:val="0"/>
        <w:adjustRightInd w:val="0"/>
        <w:spacing w:after="200"/>
        <w:ind w:left="360"/>
        <w:rPr>
          <w:rFonts w:eastAsia="MS Mincho"/>
          <w:color w:val="000000"/>
          <w:sz w:val="22"/>
          <w:szCs w:val="22"/>
          <w:lang w:eastAsia="ja-JP"/>
        </w:rPr>
      </w:pPr>
      <w:r w:rsidRPr="00F54B58">
        <w:rPr>
          <w:rFonts w:eastAsia="MS Mincho"/>
          <w:color w:val="000000"/>
          <w:sz w:val="22"/>
          <w:szCs w:val="22"/>
          <w:lang w:eastAsia="ja-JP"/>
        </w:rPr>
        <w:t>Veiklioji medžiaga yra docetakselis.</w:t>
      </w:r>
      <w:r w:rsidRPr="00F54B58">
        <w:rPr>
          <w:rFonts w:eastAsia="MS Mincho"/>
          <w:color w:val="000000"/>
          <w:sz w:val="22"/>
          <w:szCs w:val="22"/>
          <w:lang w:eastAsia="ja-JP"/>
        </w:rPr>
        <w:br/>
        <w:t xml:space="preserve">Viename </w:t>
      </w:r>
      <w:proofErr w:type="spellStart"/>
      <w:r w:rsidR="006325AD">
        <w:rPr>
          <w:rFonts w:eastAsia="MS Mincho"/>
          <w:color w:val="000000"/>
          <w:sz w:val="22"/>
          <w:szCs w:val="22"/>
          <w:lang w:eastAsia="ja-JP"/>
        </w:rPr>
        <w:t>vienadoziame</w:t>
      </w:r>
      <w:proofErr w:type="spellEnd"/>
      <w:r w:rsidRPr="00F54B58">
        <w:rPr>
          <w:rFonts w:eastAsia="MS Mincho"/>
          <w:color w:val="000000"/>
          <w:sz w:val="22"/>
          <w:szCs w:val="22"/>
          <w:lang w:eastAsia="ja-JP"/>
        </w:rPr>
        <w:t xml:space="preserve"> </w:t>
      </w:r>
      <w:proofErr w:type="spellStart"/>
      <w:r w:rsidR="00DE749D" w:rsidRPr="00DE749D">
        <w:rPr>
          <w:sz w:val="22"/>
          <w:szCs w:val="22"/>
        </w:rPr>
        <w:t>Docetaxel</w:t>
      </w:r>
      <w:proofErr w:type="spellEnd"/>
      <w:r w:rsidR="00DE749D" w:rsidRPr="00DE749D">
        <w:rPr>
          <w:sz w:val="22"/>
          <w:szCs w:val="22"/>
        </w:rPr>
        <w:t xml:space="preserve"> </w:t>
      </w:r>
      <w:proofErr w:type="spellStart"/>
      <w:r w:rsidR="00DE749D" w:rsidRPr="00DE749D">
        <w:rPr>
          <w:sz w:val="22"/>
          <w:szCs w:val="22"/>
        </w:rPr>
        <w:t>Mylan</w:t>
      </w:r>
      <w:proofErr w:type="spellEnd"/>
      <w:r w:rsidR="00DE749D">
        <w:t xml:space="preserve"> </w:t>
      </w:r>
      <w:r w:rsidRPr="00F54B58">
        <w:rPr>
          <w:rFonts w:eastAsia="MS Mincho"/>
          <w:color w:val="000000"/>
          <w:sz w:val="22"/>
          <w:szCs w:val="22"/>
          <w:lang w:eastAsia="ja-JP"/>
        </w:rPr>
        <w:t>koncentrato buteliuke yra 40 mg/ml bevandenio docetakselio.</w:t>
      </w:r>
    </w:p>
    <w:p w:rsidR="00F54B58" w:rsidRPr="00F54B58" w:rsidRDefault="00F54B58" w:rsidP="00A766C3">
      <w:pPr>
        <w:widowControl w:val="0"/>
        <w:numPr>
          <w:ilvl w:val="0"/>
          <w:numId w:val="18"/>
        </w:numPr>
        <w:autoSpaceDE w:val="0"/>
        <w:autoSpaceDN w:val="0"/>
        <w:adjustRightInd w:val="0"/>
        <w:spacing w:after="200"/>
        <w:ind w:left="360"/>
        <w:rPr>
          <w:rFonts w:eastAsia="MS Mincho"/>
          <w:color w:val="000000"/>
          <w:sz w:val="22"/>
          <w:szCs w:val="22"/>
          <w:lang w:eastAsia="ja-JP"/>
        </w:rPr>
      </w:pPr>
      <w:r w:rsidRPr="00F54B58">
        <w:rPr>
          <w:rFonts w:eastAsia="MS Mincho"/>
          <w:color w:val="000000"/>
          <w:sz w:val="22"/>
          <w:szCs w:val="22"/>
          <w:lang w:eastAsia="ja-JP"/>
        </w:rPr>
        <w:t xml:space="preserve">Pagalbinės medžiagos yra polisorbatas 80 ir </w:t>
      </w:r>
      <w:r w:rsidR="006325AD">
        <w:rPr>
          <w:rFonts w:eastAsia="MS Mincho"/>
          <w:color w:val="000000"/>
          <w:sz w:val="22"/>
          <w:szCs w:val="22"/>
          <w:lang w:eastAsia="ja-JP"/>
        </w:rPr>
        <w:t xml:space="preserve">bevandenė </w:t>
      </w:r>
      <w:r w:rsidRPr="00F54B58">
        <w:rPr>
          <w:rFonts w:eastAsia="MS Mincho"/>
          <w:color w:val="000000"/>
          <w:sz w:val="22"/>
          <w:szCs w:val="22"/>
          <w:lang w:eastAsia="ja-JP"/>
        </w:rPr>
        <w:t xml:space="preserve">citrinų rūgštis. </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b/>
          <w:bCs/>
          <w:color w:val="000000"/>
          <w:sz w:val="22"/>
          <w:szCs w:val="22"/>
          <w:lang w:eastAsia="ja-JP"/>
        </w:rPr>
        <w:t xml:space="preserve">Tirpiklio buteliuko sudėtis </w:t>
      </w: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color w:val="000000"/>
          <w:sz w:val="22"/>
          <w:szCs w:val="22"/>
          <w:lang w:eastAsia="ja-JP"/>
        </w:rPr>
        <w:t>13 % (m/</w:t>
      </w:r>
      <w:r w:rsidR="006325AD">
        <w:rPr>
          <w:rFonts w:eastAsia="MS Mincho"/>
          <w:color w:val="000000"/>
          <w:sz w:val="22"/>
          <w:szCs w:val="22"/>
          <w:lang w:eastAsia="ja-JP"/>
        </w:rPr>
        <w:t>m</w:t>
      </w:r>
      <w:r w:rsidRPr="00F54B58">
        <w:rPr>
          <w:rFonts w:eastAsia="MS Mincho"/>
          <w:color w:val="000000"/>
          <w:sz w:val="22"/>
          <w:szCs w:val="22"/>
          <w:lang w:eastAsia="ja-JP"/>
        </w:rPr>
        <w:t>) bevandeni</w:t>
      </w:r>
      <w:r w:rsidR="007D604A">
        <w:rPr>
          <w:rFonts w:eastAsia="MS Mincho"/>
          <w:color w:val="000000"/>
          <w:sz w:val="22"/>
          <w:szCs w:val="22"/>
          <w:lang w:eastAsia="ja-JP"/>
        </w:rPr>
        <w:t>s</w:t>
      </w:r>
      <w:r w:rsidRPr="00F54B58">
        <w:rPr>
          <w:rFonts w:eastAsia="MS Mincho"/>
          <w:color w:val="000000"/>
          <w:sz w:val="22"/>
          <w:szCs w:val="22"/>
          <w:lang w:eastAsia="ja-JP"/>
        </w:rPr>
        <w:t xml:space="preserve"> etanoli</w:t>
      </w:r>
      <w:r w:rsidR="007D604A">
        <w:rPr>
          <w:rFonts w:eastAsia="MS Mincho"/>
          <w:color w:val="000000"/>
          <w:sz w:val="22"/>
          <w:szCs w:val="22"/>
          <w:lang w:eastAsia="ja-JP"/>
        </w:rPr>
        <w:t>s</w:t>
      </w:r>
      <w:r w:rsidRPr="00F54B58">
        <w:rPr>
          <w:rFonts w:eastAsia="MS Mincho"/>
          <w:color w:val="000000"/>
          <w:sz w:val="22"/>
          <w:szCs w:val="22"/>
          <w:lang w:eastAsia="ja-JP"/>
        </w:rPr>
        <w:t xml:space="preserve"> injekciniame vandenyje. </w:t>
      </w:r>
    </w:p>
    <w:p w:rsidR="00F54B58" w:rsidRPr="00F54B58" w:rsidRDefault="00F54B58" w:rsidP="00A766C3">
      <w:pPr>
        <w:widowControl w:val="0"/>
        <w:autoSpaceDE w:val="0"/>
        <w:autoSpaceDN w:val="0"/>
        <w:adjustRightInd w:val="0"/>
        <w:rPr>
          <w:rFonts w:eastAsia="MS Mincho"/>
          <w:b/>
          <w:bCs/>
          <w:color w:val="000000"/>
          <w:sz w:val="22"/>
          <w:szCs w:val="22"/>
          <w:lang w:eastAsia="ja-JP"/>
        </w:rPr>
      </w:pPr>
    </w:p>
    <w:p w:rsidR="00F54B58" w:rsidRPr="00F54B58" w:rsidRDefault="00DE749D" w:rsidP="00A766C3">
      <w:pPr>
        <w:widowControl w:val="0"/>
        <w:autoSpaceDE w:val="0"/>
        <w:autoSpaceDN w:val="0"/>
        <w:adjustRightInd w:val="0"/>
        <w:rPr>
          <w:rFonts w:eastAsia="MS Mincho"/>
          <w:color w:val="000000"/>
          <w:sz w:val="22"/>
          <w:szCs w:val="22"/>
          <w:lang w:eastAsia="ja-JP"/>
        </w:rPr>
      </w:pPr>
      <w:proofErr w:type="spellStart"/>
      <w:r w:rsidRPr="00DE749D">
        <w:rPr>
          <w:b/>
          <w:sz w:val="22"/>
          <w:szCs w:val="22"/>
        </w:rPr>
        <w:t>Docetaxel</w:t>
      </w:r>
      <w:proofErr w:type="spellEnd"/>
      <w:r w:rsidRPr="00DE749D">
        <w:rPr>
          <w:b/>
          <w:sz w:val="22"/>
          <w:szCs w:val="22"/>
        </w:rPr>
        <w:t xml:space="preserve"> </w:t>
      </w:r>
      <w:proofErr w:type="spellStart"/>
      <w:r w:rsidRPr="00DE749D">
        <w:rPr>
          <w:b/>
          <w:sz w:val="22"/>
          <w:szCs w:val="22"/>
        </w:rPr>
        <w:t>Mylan</w:t>
      </w:r>
      <w:proofErr w:type="spellEnd"/>
      <w:r>
        <w:t xml:space="preserve"> </w:t>
      </w:r>
      <w:r w:rsidR="00F54B58" w:rsidRPr="00F54B58">
        <w:rPr>
          <w:rFonts w:eastAsia="MS Mincho"/>
          <w:b/>
          <w:bCs/>
          <w:color w:val="000000"/>
          <w:sz w:val="22"/>
          <w:szCs w:val="22"/>
          <w:lang w:eastAsia="ja-JP"/>
        </w:rPr>
        <w:t xml:space="preserve">išvaizda ir kiekis pakuotėje </w:t>
      </w:r>
    </w:p>
    <w:p w:rsidR="00F54B58" w:rsidRPr="00F54B58" w:rsidRDefault="00F54B58" w:rsidP="00A766C3">
      <w:pPr>
        <w:widowControl w:val="0"/>
        <w:autoSpaceDE w:val="0"/>
        <w:autoSpaceDN w:val="0"/>
        <w:adjustRightInd w:val="0"/>
        <w:ind w:right="4387"/>
        <w:rPr>
          <w:rFonts w:eastAsia="MS Mincho"/>
          <w:color w:val="000000"/>
          <w:sz w:val="22"/>
          <w:szCs w:val="22"/>
          <w:lang w:eastAsia="ja-JP"/>
        </w:rPr>
      </w:pPr>
    </w:p>
    <w:p w:rsidR="00F54B58" w:rsidRPr="00F54B58" w:rsidRDefault="00F54B58" w:rsidP="0012362B">
      <w:pPr>
        <w:widowControl w:val="0"/>
        <w:autoSpaceDE w:val="0"/>
        <w:autoSpaceDN w:val="0"/>
        <w:adjustRightInd w:val="0"/>
        <w:ind w:right="4387"/>
        <w:rPr>
          <w:rFonts w:eastAsia="MS Mincho"/>
          <w:color w:val="000000"/>
          <w:sz w:val="22"/>
          <w:szCs w:val="22"/>
          <w:lang w:eastAsia="ja-JP"/>
        </w:rPr>
      </w:pPr>
      <w:r w:rsidRPr="00F54B58">
        <w:rPr>
          <w:rFonts w:eastAsia="MS Mincho"/>
          <w:color w:val="000000"/>
          <w:sz w:val="22"/>
          <w:szCs w:val="22"/>
          <w:lang w:eastAsia="ja-JP"/>
        </w:rPr>
        <w:t xml:space="preserve">Kiekvienoje pakuotėje yra: </w:t>
      </w:r>
    </w:p>
    <w:p w:rsidR="00F54B58" w:rsidRPr="00F54B58" w:rsidRDefault="00F54B58" w:rsidP="00C93814">
      <w:pPr>
        <w:widowControl w:val="0"/>
        <w:numPr>
          <w:ilvl w:val="0"/>
          <w:numId w:val="17"/>
        </w:numPr>
        <w:autoSpaceDE w:val="0"/>
        <w:autoSpaceDN w:val="0"/>
        <w:adjustRightInd w:val="0"/>
        <w:ind w:left="360" w:right="4387"/>
        <w:rPr>
          <w:rFonts w:eastAsia="MS Mincho"/>
          <w:color w:val="000000"/>
          <w:sz w:val="22"/>
          <w:szCs w:val="22"/>
          <w:lang w:eastAsia="ja-JP"/>
        </w:rPr>
      </w:pPr>
      <w:r w:rsidRPr="00F54B58">
        <w:rPr>
          <w:rFonts w:eastAsia="MS Mincho"/>
          <w:color w:val="000000"/>
          <w:sz w:val="22"/>
          <w:szCs w:val="22"/>
          <w:lang w:eastAsia="ja-JP"/>
        </w:rPr>
        <w:lastRenderedPageBreak/>
        <w:t xml:space="preserve">vienas vienadozis koncentrato buteliukas; </w:t>
      </w:r>
    </w:p>
    <w:p w:rsidR="00F54B58" w:rsidRPr="00F54B58" w:rsidRDefault="00F54B58" w:rsidP="00C93814">
      <w:pPr>
        <w:widowControl w:val="0"/>
        <w:numPr>
          <w:ilvl w:val="0"/>
          <w:numId w:val="17"/>
        </w:numPr>
        <w:autoSpaceDE w:val="0"/>
        <w:autoSpaceDN w:val="0"/>
        <w:adjustRightInd w:val="0"/>
        <w:ind w:left="360" w:right="4387"/>
        <w:rPr>
          <w:rFonts w:eastAsia="MS Mincho"/>
          <w:color w:val="000000"/>
          <w:sz w:val="22"/>
          <w:szCs w:val="22"/>
          <w:lang w:eastAsia="ja-JP"/>
        </w:rPr>
      </w:pPr>
      <w:r w:rsidRPr="00F54B58">
        <w:rPr>
          <w:rFonts w:eastAsia="MS Mincho"/>
          <w:color w:val="000000"/>
          <w:sz w:val="22"/>
          <w:szCs w:val="22"/>
          <w:lang w:eastAsia="ja-JP"/>
        </w:rPr>
        <w:t xml:space="preserve">vienas vienadozis tirpiklio buteliukas. </w:t>
      </w:r>
    </w:p>
    <w:p w:rsidR="00F54B58" w:rsidRPr="00F54B58" w:rsidRDefault="00F54B58" w:rsidP="0012362B">
      <w:pPr>
        <w:widowControl w:val="0"/>
        <w:autoSpaceDE w:val="0"/>
        <w:autoSpaceDN w:val="0"/>
        <w:adjustRightInd w:val="0"/>
        <w:rPr>
          <w:rFonts w:eastAsia="MS Mincho"/>
          <w:color w:val="000000"/>
          <w:sz w:val="22"/>
          <w:szCs w:val="22"/>
          <w:lang w:eastAsia="ja-JP"/>
        </w:rPr>
      </w:pPr>
    </w:p>
    <w:p w:rsidR="00F54B58" w:rsidRPr="00F54B58" w:rsidRDefault="00F54B58" w:rsidP="0012362B">
      <w:pPr>
        <w:widowControl w:val="0"/>
        <w:autoSpaceDE w:val="0"/>
        <w:autoSpaceDN w:val="0"/>
        <w:adjustRightInd w:val="0"/>
        <w:rPr>
          <w:rFonts w:eastAsia="MS Mincho"/>
          <w:color w:val="000000"/>
          <w:sz w:val="22"/>
          <w:szCs w:val="22"/>
          <w:lang w:eastAsia="ja-JP"/>
        </w:rPr>
      </w:pPr>
      <w:r w:rsidRPr="00F54B58">
        <w:rPr>
          <w:rFonts w:eastAsia="MS Mincho"/>
          <w:color w:val="000000"/>
          <w:sz w:val="22"/>
          <w:szCs w:val="22"/>
          <w:lang w:eastAsia="ja-JP"/>
        </w:rPr>
        <w:t xml:space="preserve">Galima įsigyti dviejų dydžių pakuotes: </w:t>
      </w:r>
    </w:p>
    <w:p w:rsidR="00F54B58" w:rsidRPr="00F54B58" w:rsidRDefault="00F54B58" w:rsidP="00C93814">
      <w:pPr>
        <w:widowControl w:val="0"/>
        <w:numPr>
          <w:ilvl w:val="0"/>
          <w:numId w:val="17"/>
        </w:numPr>
        <w:autoSpaceDE w:val="0"/>
        <w:autoSpaceDN w:val="0"/>
        <w:adjustRightInd w:val="0"/>
        <w:ind w:left="360"/>
        <w:rPr>
          <w:rFonts w:eastAsia="MS Mincho"/>
          <w:color w:val="000000"/>
          <w:sz w:val="22"/>
          <w:szCs w:val="22"/>
          <w:lang w:eastAsia="ja-JP"/>
        </w:rPr>
      </w:pPr>
      <w:r w:rsidRPr="00F54B58">
        <w:rPr>
          <w:rFonts w:eastAsia="MS Mincho"/>
          <w:color w:val="000000"/>
          <w:sz w:val="22"/>
          <w:szCs w:val="22"/>
          <w:lang w:eastAsia="ja-JP"/>
        </w:rPr>
        <w:t xml:space="preserve">dėžutę, kurioje yra 20 mg/0,5 ml koncentrato infuziniam tirpalui buteliukas ir 1,8 ml tirpiklio buteliukas; </w:t>
      </w:r>
    </w:p>
    <w:p w:rsidR="00F54B58" w:rsidRPr="00F54B58" w:rsidRDefault="00F54B58" w:rsidP="00C93814">
      <w:pPr>
        <w:widowControl w:val="0"/>
        <w:numPr>
          <w:ilvl w:val="0"/>
          <w:numId w:val="17"/>
        </w:numPr>
        <w:autoSpaceDE w:val="0"/>
        <w:autoSpaceDN w:val="0"/>
        <w:adjustRightInd w:val="0"/>
        <w:ind w:left="360"/>
        <w:rPr>
          <w:rFonts w:eastAsia="MS Mincho"/>
          <w:color w:val="000000"/>
          <w:sz w:val="22"/>
          <w:szCs w:val="22"/>
          <w:lang w:eastAsia="ja-JP"/>
        </w:rPr>
      </w:pPr>
      <w:r w:rsidRPr="00F54B58">
        <w:rPr>
          <w:rFonts w:eastAsia="MS Mincho"/>
          <w:color w:val="000000"/>
          <w:sz w:val="22"/>
          <w:szCs w:val="22"/>
          <w:lang w:eastAsia="ja-JP"/>
        </w:rPr>
        <w:t xml:space="preserve">dėžutę, kurioje yra 80 mg/2 ml koncentrato infuziniam tirpalui buteliukas ir 7,1 ml tirpiklio buteliukas. </w:t>
      </w:r>
    </w:p>
    <w:p w:rsidR="0012362B" w:rsidRDefault="0012362B"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color w:val="000000"/>
          <w:sz w:val="22"/>
          <w:szCs w:val="22"/>
          <w:lang w:eastAsia="ja-JP"/>
        </w:rPr>
        <w:t xml:space="preserve">Koncentratas infuziniam tirpalui yra skaidrus, bespalvis arba blyškiai geltonas klampus tirpalas. </w:t>
      </w: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color w:val="000000"/>
          <w:sz w:val="22"/>
          <w:szCs w:val="22"/>
          <w:lang w:eastAsia="ja-JP"/>
        </w:rPr>
        <w:t xml:space="preserve">Tirpiklis yra bespalvis tirpalas. </w:t>
      </w:r>
    </w:p>
    <w:p w:rsidR="00F54B58" w:rsidRPr="00F54B58" w:rsidRDefault="00F54B58" w:rsidP="00A766C3">
      <w:pPr>
        <w:widowControl w:val="0"/>
        <w:autoSpaceDE w:val="0"/>
        <w:autoSpaceDN w:val="0"/>
        <w:adjustRightInd w:val="0"/>
        <w:rPr>
          <w:rFonts w:eastAsia="MS Mincho"/>
          <w:color w:val="000000"/>
          <w:sz w:val="22"/>
          <w:szCs w:val="22"/>
          <w:lang w:eastAsia="ja-JP"/>
        </w:rPr>
      </w:pP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color w:val="000000"/>
          <w:sz w:val="22"/>
          <w:szCs w:val="22"/>
          <w:lang w:eastAsia="ja-JP"/>
        </w:rPr>
        <w:t xml:space="preserve">Gali būti tiekiamos ne visų dydžių pakuotės. </w:t>
      </w:r>
    </w:p>
    <w:p w:rsidR="00F54B58" w:rsidRPr="00F54B58" w:rsidRDefault="00F54B58" w:rsidP="00A766C3">
      <w:pPr>
        <w:widowControl w:val="0"/>
        <w:autoSpaceDE w:val="0"/>
        <w:autoSpaceDN w:val="0"/>
        <w:adjustRightInd w:val="0"/>
        <w:rPr>
          <w:rFonts w:eastAsia="MS Mincho"/>
          <w:b/>
          <w:bCs/>
          <w:color w:val="000000"/>
          <w:sz w:val="22"/>
          <w:szCs w:val="22"/>
          <w:lang w:eastAsia="ja-JP"/>
        </w:rPr>
      </w:pPr>
    </w:p>
    <w:p w:rsidR="00F54B58" w:rsidRPr="00F54B58" w:rsidRDefault="00F54B58" w:rsidP="00A766C3">
      <w:pPr>
        <w:widowControl w:val="0"/>
        <w:autoSpaceDE w:val="0"/>
        <w:autoSpaceDN w:val="0"/>
        <w:adjustRightInd w:val="0"/>
        <w:rPr>
          <w:rFonts w:eastAsia="MS Mincho"/>
          <w:color w:val="000000"/>
          <w:sz w:val="22"/>
          <w:szCs w:val="22"/>
          <w:lang w:eastAsia="ja-JP"/>
        </w:rPr>
      </w:pPr>
      <w:r w:rsidRPr="00F54B58">
        <w:rPr>
          <w:rFonts w:eastAsia="MS Mincho"/>
          <w:b/>
          <w:bCs/>
          <w:color w:val="000000"/>
          <w:sz w:val="22"/>
          <w:szCs w:val="22"/>
          <w:lang w:eastAsia="ja-JP"/>
        </w:rPr>
        <w:t xml:space="preserve">Rinkodaros teisės turėtojas </w:t>
      </w:r>
      <w:r w:rsidR="0012362B">
        <w:rPr>
          <w:rFonts w:eastAsia="MS Mincho"/>
          <w:b/>
          <w:bCs/>
          <w:color w:val="000000"/>
          <w:sz w:val="22"/>
          <w:szCs w:val="22"/>
          <w:lang w:eastAsia="ja-JP"/>
        </w:rPr>
        <w:t>ir gamintojas</w:t>
      </w:r>
    </w:p>
    <w:p w:rsidR="0012362B" w:rsidRDefault="0012362B" w:rsidP="00A766C3">
      <w:pPr>
        <w:widowControl w:val="0"/>
        <w:autoSpaceDE w:val="0"/>
        <w:autoSpaceDN w:val="0"/>
        <w:adjustRightInd w:val="0"/>
        <w:ind w:right="4860"/>
        <w:rPr>
          <w:rFonts w:eastAsia="MS Mincho"/>
          <w:color w:val="000000"/>
          <w:sz w:val="22"/>
          <w:szCs w:val="22"/>
          <w:lang w:eastAsia="ja-JP"/>
        </w:rPr>
      </w:pPr>
    </w:p>
    <w:p w:rsidR="0012362B" w:rsidRPr="00C93814" w:rsidRDefault="0012362B" w:rsidP="00A766C3">
      <w:pPr>
        <w:widowControl w:val="0"/>
        <w:autoSpaceDE w:val="0"/>
        <w:autoSpaceDN w:val="0"/>
        <w:adjustRightInd w:val="0"/>
        <w:ind w:right="4860"/>
        <w:rPr>
          <w:rFonts w:eastAsia="MS Mincho"/>
          <w:i/>
          <w:color w:val="000000"/>
          <w:sz w:val="22"/>
          <w:szCs w:val="22"/>
          <w:lang w:eastAsia="ja-JP"/>
        </w:rPr>
      </w:pPr>
      <w:r w:rsidRPr="00C93814">
        <w:rPr>
          <w:rFonts w:eastAsia="MS Mincho"/>
          <w:i/>
          <w:color w:val="000000"/>
          <w:sz w:val="22"/>
          <w:szCs w:val="22"/>
          <w:lang w:eastAsia="ja-JP"/>
        </w:rPr>
        <w:t>Rinkodaros teisės turėtojas</w:t>
      </w:r>
    </w:p>
    <w:p w:rsidR="00D119E8" w:rsidRPr="00D119E8" w:rsidRDefault="00D119E8" w:rsidP="00D119E8">
      <w:pPr>
        <w:rPr>
          <w:sz w:val="22"/>
          <w:szCs w:val="22"/>
        </w:rPr>
      </w:pPr>
      <w:r w:rsidRPr="00D119E8">
        <w:rPr>
          <w:sz w:val="22"/>
          <w:szCs w:val="22"/>
        </w:rPr>
        <w:t>MYLAN S.A.S.</w:t>
      </w:r>
    </w:p>
    <w:p w:rsidR="00D119E8" w:rsidRDefault="00D119E8" w:rsidP="00D119E8">
      <w:pPr>
        <w:rPr>
          <w:sz w:val="22"/>
          <w:szCs w:val="22"/>
        </w:rPr>
      </w:pPr>
      <w:r w:rsidRPr="00D119E8">
        <w:rPr>
          <w:sz w:val="22"/>
          <w:szCs w:val="22"/>
        </w:rPr>
        <w:t xml:space="preserve">117 </w:t>
      </w:r>
      <w:proofErr w:type="spellStart"/>
      <w:r w:rsidRPr="00D119E8">
        <w:rPr>
          <w:sz w:val="22"/>
          <w:szCs w:val="22"/>
        </w:rPr>
        <w:t>Allée</w:t>
      </w:r>
      <w:proofErr w:type="spellEnd"/>
      <w:r w:rsidRPr="00D119E8">
        <w:rPr>
          <w:sz w:val="22"/>
          <w:szCs w:val="22"/>
        </w:rPr>
        <w:t xml:space="preserve"> </w:t>
      </w:r>
      <w:proofErr w:type="spellStart"/>
      <w:r w:rsidRPr="00D119E8">
        <w:rPr>
          <w:sz w:val="22"/>
          <w:szCs w:val="22"/>
        </w:rPr>
        <w:t>des</w:t>
      </w:r>
      <w:proofErr w:type="spellEnd"/>
      <w:r w:rsidRPr="00D119E8">
        <w:rPr>
          <w:sz w:val="22"/>
          <w:szCs w:val="22"/>
        </w:rPr>
        <w:t xml:space="preserve"> </w:t>
      </w:r>
      <w:proofErr w:type="spellStart"/>
      <w:r w:rsidRPr="00D119E8">
        <w:rPr>
          <w:sz w:val="22"/>
          <w:szCs w:val="22"/>
        </w:rPr>
        <w:t>Parcs</w:t>
      </w:r>
      <w:proofErr w:type="spellEnd"/>
      <w:r w:rsidRPr="00D119E8">
        <w:rPr>
          <w:sz w:val="22"/>
          <w:szCs w:val="22"/>
        </w:rPr>
        <w:t xml:space="preserve"> </w:t>
      </w:r>
    </w:p>
    <w:p w:rsidR="00D119E8" w:rsidRDefault="00D119E8" w:rsidP="00D119E8">
      <w:pPr>
        <w:rPr>
          <w:sz w:val="22"/>
          <w:szCs w:val="22"/>
        </w:rPr>
      </w:pPr>
      <w:r w:rsidRPr="00D119E8">
        <w:rPr>
          <w:sz w:val="22"/>
          <w:szCs w:val="22"/>
        </w:rPr>
        <w:t xml:space="preserve">69800 SAINT-PRIEST </w:t>
      </w:r>
    </w:p>
    <w:p w:rsidR="00F54B58" w:rsidRDefault="00D119E8" w:rsidP="00D119E8">
      <w:pPr>
        <w:widowControl w:val="0"/>
        <w:autoSpaceDE w:val="0"/>
        <w:autoSpaceDN w:val="0"/>
        <w:adjustRightInd w:val="0"/>
        <w:ind w:right="4860"/>
        <w:rPr>
          <w:rFonts w:eastAsia="MS Mincho"/>
          <w:color w:val="000000"/>
          <w:sz w:val="22"/>
          <w:szCs w:val="22"/>
          <w:lang w:eastAsia="ja-JP"/>
        </w:rPr>
      </w:pPr>
      <w:r w:rsidRPr="00D119E8">
        <w:rPr>
          <w:sz w:val="22"/>
          <w:szCs w:val="22"/>
        </w:rPr>
        <w:t>Prancūzija</w:t>
      </w:r>
    </w:p>
    <w:p w:rsidR="003C5D9C" w:rsidRDefault="003C5D9C" w:rsidP="00A766C3">
      <w:pPr>
        <w:widowControl w:val="0"/>
        <w:autoSpaceDE w:val="0"/>
        <w:autoSpaceDN w:val="0"/>
        <w:adjustRightInd w:val="0"/>
        <w:ind w:right="4860"/>
        <w:rPr>
          <w:rFonts w:eastAsia="MS Mincho"/>
          <w:color w:val="000000"/>
          <w:sz w:val="22"/>
          <w:szCs w:val="22"/>
          <w:lang w:eastAsia="ja-JP"/>
        </w:rPr>
      </w:pPr>
    </w:p>
    <w:p w:rsidR="0062645F" w:rsidRPr="00C93814" w:rsidRDefault="0062645F" w:rsidP="0062645F">
      <w:pPr>
        <w:widowControl w:val="0"/>
        <w:autoSpaceDE w:val="0"/>
        <w:autoSpaceDN w:val="0"/>
        <w:adjustRightInd w:val="0"/>
        <w:ind w:right="372"/>
        <w:jc w:val="both"/>
        <w:rPr>
          <w:rFonts w:eastAsia="MS Mincho"/>
          <w:bCs/>
          <w:i/>
          <w:color w:val="000000"/>
          <w:sz w:val="22"/>
          <w:szCs w:val="22"/>
          <w:lang w:eastAsia="ja-JP"/>
        </w:rPr>
      </w:pPr>
      <w:r w:rsidRPr="00C93814">
        <w:rPr>
          <w:rFonts w:eastAsia="MS Mincho"/>
          <w:bCs/>
          <w:i/>
          <w:color w:val="000000"/>
          <w:sz w:val="22"/>
          <w:szCs w:val="22"/>
          <w:lang w:eastAsia="ja-JP"/>
        </w:rPr>
        <w:t xml:space="preserve">Gamintojas </w:t>
      </w:r>
    </w:p>
    <w:p w:rsidR="00BD35C3" w:rsidRPr="00BD35C3" w:rsidRDefault="00BD35C3" w:rsidP="00BD35C3">
      <w:pPr>
        <w:tabs>
          <w:tab w:val="left" w:pos="0"/>
        </w:tabs>
        <w:jc w:val="both"/>
        <w:rPr>
          <w:sz w:val="22"/>
          <w:szCs w:val="22"/>
          <w:lang w:eastAsia="lt-LT"/>
        </w:rPr>
      </w:pPr>
      <w:r w:rsidRPr="00BD35C3">
        <w:rPr>
          <w:sz w:val="22"/>
          <w:szCs w:val="22"/>
          <w:lang w:eastAsia="lt-LT"/>
        </w:rPr>
        <w:t>Agila Specialties Polska Sp. z o.o.</w:t>
      </w:r>
    </w:p>
    <w:p w:rsidR="0062645F" w:rsidRPr="0062645F" w:rsidRDefault="0062645F" w:rsidP="0062645F">
      <w:pPr>
        <w:widowControl w:val="0"/>
        <w:autoSpaceDE w:val="0"/>
        <w:autoSpaceDN w:val="0"/>
        <w:adjustRightInd w:val="0"/>
        <w:ind w:right="372"/>
        <w:jc w:val="both"/>
        <w:rPr>
          <w:rFonts w:eastAsia="MS Mincho"/>
          <w:bCs/>
          <w:color w:val="000000"/>
          <w:sz w:val="22"/>
          <w:szCs w:val="22"/>
          <w:lang w:eastAsia="ja-JP"/>
        </w:rPr>
      </w:pPr>
      <w:r w:rsidRPr="0062645F">
        <w:rPr>
          <w:rFonts w:eastAsia="MS Mincho"/>
          <w:bCs/>
          <w:color w:val="000000"/>
          <w:sz w:val="22"/>
          <w:szCs w:val="22"/>
          <w:lang w:eastAsia="ja-JP"/>
        </w:rPr>
        <w:t xml:space="preserve">10, Daniszewska Str </w:t>
      </w:r>
    </w:p>
    <w:p w:rsidR="0062645F" w:rsidRPr="0062645F" w:rsidRDefault="0062645F" w:rsidP="0062645F">
      <w:pPr>
        <w:widowControl w:val="0"/>
        <w:autoSpaceDE w:val="0"/>
        <w:autoSpaceDN w:val="0"/>
        <w:adjustRightInd w:val="0"/>
        <w:ind w:right="372"/>
        <w:jc w:val="both"/>
        <w:rPr>
          <w:rFonts w:eastAsia="MS Mincho"/>
          <w:bCs/>
          <w:color w:val="000000"/>
          <w:sz w:val="22"/>
          <w:szCs w:val="22"/>
          <w:lang w:eastAsia="ja-JP"/>
        </w:rPr>
      </w:pPr>
      <w:r w:rsidRPr="0062645F">
        <w:rPr>
          <w:rFonts w:eastAsia="MS Mincho"/>
          <w:bCs/>
          <w:color w:val="000000"/>
          <w:sz w:val="22"/>
          <w:szCs w:val="22"/>
          <w:lang w:eastAsia="ja-JP"/>
        </w:rPr>
        <w:t xml:space="preserve">03-230 Warsaw </w:t>
      </w:r>
    </w:p>
    <w:p w:rsidR="0062645F" w:rsidRPr="0062645F" w:rsidRDefault="0062645F" w:rsidP="0062645F">
      <w:pPr>
        <w:widowControl w:val="0"/>
        <w:autoSpaceDE w:val="0"/>
        <w:autoSpaceDN w:val="0"/>
        <w:adjustRightInd w:val="0"/>
        <w:ind w:right="372"/>
        <w:jc w:val="both"/>
        <w:rPr>
          <w:rFonts w:eastAsia="MS Mincho"/>
          <w:bCs/>
          <w:color w:val="000000"/>
          <w:sz w:val="22"/>
          <w:szCs w:val="22"/>
          <w:lang w:eastAsia="ja-JP"/>
        </w:rPr>
      </w:pPr>
      <w:r w:rsidRPr="0062645F">
        <w:rPr>
          <w:rFonts w:eastAsia="MS Mincho"/>
          <w:bCs/>
          <w:color w:val="000000"/>
          <w:sz w:val="22"/>
          <w:szCs w:val="22"/>
          <w:lang w:eastAsia="ja-JP"/>
        </w:rPr>
        <w:t xml:space="preserve">Lenkija </w:t>
      </w:r>
    </w:p>
    <w:p w:rsidR="00F54B58" w:rsidRPr="00F54B58" w:rsidRDefault="00F54B58" w:rsidP="00A766C3">
      <w:pPr>
        <w:widowControl w:val="0"/>
        <w:autoSpaceDE w:val="0"/>
        <w:autoSpaceDN w:val="0"/>
        <w:adjustRightInd w:val="0"/>
        <w:ind w:right="372"/>
        <w:jc w:val="both"/>
        <w:rPr>
          <w:rFonts w:eastAsia="MS Mincho"/>
          <w:b/>
          <w:bCs/>
          <w:color w:val="000000"/>
          <w:sz w:val="22"/>
          <w:szCs w:val="22"/>
          <w:lang w:eastAsia="ja-JP"/>
        </w:rPr>
      </w:pPr>
    </w:p>
    <w:p w:rsidR="00A766C3" w:rsidRDefault="00F54B58" w:rsidP="00A766C3">
      <w:pPr>
        <w:widowControl w:val="0"/>
        <w:autoSpaceDE w:val="0"/>
        <w:autoSpaceDN w:val="0"/>
        <w:adjustRightInd w:val="0"/>
        <w:jc w:val="both"/>
        <w:rPr>
          <w:rFonts w:eastAsia="MS Mincho"/>
          <w:b/>
          <w:bCs/>
          <w:color w:val="000000"/>
          <w:sz w:val="22"/>
          <w:szCs w:val="22"/>
          <w:lang w:eastAsia="ja-JP"/>
        </w:rPr>
      </w:pPr>
      <w:r w:rsidRPr="00F54B58">
        <w:rPr>
          <w:rFonts w:eastAsia="MS Mincho"/>
          <w:b/>
          <w:bCs/>
          <w:color w:val="000000"/>
          <w:sz w:val="22"/>
          <w:szCs w:val="22"/>
          <w:lang w:eastAsia="ja-JP"/>
        </w:rPr>
        <w:t xml:space="preserve">Šis pakuotės lapelis paskutinį kartą </w:t>
      </w:r>
      <w:r w:rsidR="007D604A">
        <w:rPr>
          <w:rFonts w:eastAsia="MS Mincho"/>
          <w:b/>
          <w:bCs/>
          <w:color w:val="000000"/>
          <w:sz w:val="22"/>
          <w:szCs w:val="22"/>
          <w:lang w:eastAsia="ja-JP"/>
        </w:rPr>
        <w:t>peržiūrėtas</w:t>
      </w:r>
      <w:r w:rsidR="00875C4B">
        <w:rPr>
          <w:rFonts w:eastAsia="MS Mincho"/>
          <w:b/>
          <w:bCs/>
          <w:color w:val="000000"/>
          <w:sz w:val="22"/>
          <w:szCs w:val="22"/>
          <w:lang w:eastAsia="ja-JP"/>
        </w:rPr>
        <w:t xml:space="preserve"> </w:t>
      </w:r>
      <w:r w:rsidR="00D119E8">
        <w:rPr>
          <w:rFonts w:eastAsia="MS Mincho"/>
          <w:b/>
          <w:bCs/>
          <w:color w:val="000000"/>
          <w:sz w:val="22"/>
          <w:szCs w:val="22"/>
          <w:lang w:eastAsia="ja-JP"/>
        </w:rPr>
        <w:t>2015-07-23</w:t>
      </w:r>
    </w:p>
    <w:p w:rsidR="00A766C3" w:rsidRDefault="00A766C3" w:rsidP="00A766C3">
      <w:pPr>
        <w:widowControl w:val="0"/>
        <w:autoSpaceDE w:val="0"/>
        <w:autoSpaceDN w:val="0"/>
        <w:adjustRightInd w:val="0"/>
        <w:jc w:val="both"/>
        <w:rPr>
          <w:rFonts w:eastAsia="MS Mincho"/>
          <w:b/>
          <w:bCs/>
          <w:color w:val="000000"/>
          <w:sz w:val="22"/>
          <w:szCs w:val="22"/>
          <w:lang w:eastAsia="ja-JP"/>
        </w:rPr>
      </w:pPr>
    </w:p>
    <w:p w:rsidR="00FD31C0" w:rsidRDefault="00FD31C0" w:rsidP="00A766C3">
      <w:pPr>
        <w:widowControl w:val="0"/>
        <w:pBdr>
          <w:bottom w:val="single" w:sz="6" w:space="1" w:color="auto"/>
        </w:pBdr>
        <w:autoSpaceDE w:val="0"/>
        <w:autoSpaceDN w:val="0"/>
        <w:adjustRightInd w:val="0"/>
        <w:jc w:val="both"/>
        <w:rPr>
          <w:rFonts w:eastAsia="MS Mincho"/>
          <w:b/>
          <w:bCs/>
          <w:color w:val="000000"/>
          <w:sz w:val="22"/>
          <w:szCs w:val="22"/>
          <w:lang w:eastAsia="ja-JP"/>
        </w:rPr>
      </w:pP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r w:rsidRPr="00F54B58">
        <w:rPr>
          <w:rFonts w:eastAsia="MS Mincho"/>
          <w:color w:val="000000"/>
          <w:sz w:val="22"/>
          <w:szCs w:val="22"/>
          <w:lang w:eastAsia="ja-JP"/>
        </w:rPr>
        <w:t xml:space="preserve">Toliau pateikta informacija skirta tik sveikatos priežiūros specialistams: </w:t>
      </w:r>
    </w:p>
    <w:p w:rsidR="00F54B58" w:rsidRPr="00F54B58" w:rsidRDefault="00F54B58" w:rsidP="00F54B58">
      <w:pPr>
        <w:widowControl w:val="0"/>
        <w:autoSpaceDE w:val="0"/>
        <w:autoSpaceDN w:val="0"/>
        <w:adjustRightInd w:val="0"/>
        <w:rPr>
          <w:rFonts w:eastAsia="MS Mincho"/>
          <w:sz w:val="22"/>
          <w:szCs w:val="22"/>
          <w:lang w:eastAsia="ja-JP"/>
        </w:rPr>
      </w:pPr>
    </w:p>
    <w:p w:rsidR="00F54B58" w:rsidRPr="00F54B58" w:rsidRDefault="00D34119" w:rsidP="00F54B58">
      <w:pPr>
        <w:widowControl w:val="0"/>
        <w:autoSpaceDE w:val="0"/>
        <w:autoSpaceDN w:val="0"/>
        <w:adjustRightInd w:val="0"/>
        <w:rPr>
          <w:rFonts w:eastAsia="MS Mincho"/>
          <w:b/>
          <w:bCs/>
          <w:sz w:val="22"/>
          <w:szCs w:val="22"/>
          <w:lang w:eastAsia="ja-JP"/>
        </w:rPr>
      </w:pPr>
      <w:r w:rsidRPr="00D34119">
        <w:rPr>
          <w:b/>
          <w:sz w:val="22"/>
          <w:szCs w:val="22"/>
        </w:rPr>
        <w:t>D</w:t>
      </w:r>
      <w:r w:rsidRPr="00D34119">
        <w:rPr>
          <w:b/>
          <w:sz w:val="22"/>
          <w:szCs w:val="22"/>
        </w:rPr>
        <w:t>OCETAXEL</w:t>
      </w:r>
      <w:r w:rsidRPr="00D34119">
        <w:rPr>
          <w:b/>
          <w:sz w:val="22"/>
          <w:szCs w:val="22"/>
        </w:rPr>
        <w:t xml:space="preserve"> M</w:t>
      </w:r>
      <w:r w:rsidRPr="00D34119">
        <w:rPr>
          <w:b/>
          <w:sz w:val="22"/>
          <w:szCs w:val="22"/>
        </w:rPr>
        <w:t>YLAN</w:t>
      </w:r>
      <w:r>
        <w:t xml:space="preserve"> </w:t>
      </w:r>
      <w:r w:rsidR="00F54B58" w:rsidRPr="00F54B58">
        <w:rPr>
          <w:rFonts w:eastAsia="MS Mincho"/>
          <w:b/>
          <w:bCs/>
          <w:sz w:val="22"/>
          <w:szCs w:val="22"/>
          <w:lang w:eastAsia="ja-JP"/>
        </w:rPr>
        <w:t xml:space="preserve">40 </w:t>
      </w:r>
      <w:r w:rsidR="00FD31C0" w:rsidRPr="00F54B58">
        <w:rPr>
          <w:rFonts w:eastAsia="MS Mincho"/>
          <w:b/>
          <w:bCs/>
          <w:sz w:val="22"/>
          <w:szCs w:val="22"/>
          <w:lang w:eastAsia="ja-JP"/>
        </w:rPr>
        <w:t xml:space="preserve">mg/ml </w:t>
      </w:r>
      <w:r w:rsidR="00F54B58" w:rsidRPr="00F54B58">
        <w:rPr>
          <w:rFonts w:eastAsia="MS Mincho"/>
          <w:b/>
          <w:bCs/>
          <w:sz w:val="22"/>
          <w:szCs w:val="22"/>
          <w:lang w:eastAsia="ja-JP"/>
        </w:rPr>
        <w:t xml:space="preserve">KONCENTRATO IR TIRPIKLIO INFUZINIAM TIRPALUI PARUOŠIMO INSTRUKCIJOS </w:t>
      </w: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ind w:right="212"/>
        <w:rPr>
          <w:rFonts w:eastAsia="MS Mincho"/>
          <w:i/>
          <w:iCs/>
          <w:sz w:val="22"/>
          <w:szCs w:val="22"/>
          <w:lang w:eastAsia="ja-JP"/>
        </w:rPr>
      </w:pPr>
      <w:r w:rsidRPr="00F54B58">
        <w:rPr>
          <w:rFonts w:eastAsia="MS Mincho"/>
          <w:i/>
          <w:iCs/>
          <w:sz w:val="22"/>
          <w:szCs w:val="22"/>
          <w:lang w:eastAsia="ja-JP"/>
        </w:rPr>
        <w:t xml:space="preserve">Svarbu, kad Jūs perskaitytumėte visą šios instrukcijos aprašą prieš pradedant ruošti arba </w:t>
      </w:r>
      <w:proofErr w:type="spellStart"/>
      <w:r w:rsidR="00D34119" w:rsidRPr="00D34119">
        <w:rPr>
          <w:i/>
          <w:sz w:val="22"/>
          <w:szCs w:val="22"/>
        </w:rPr>
        <w:t>Docetaxel</w:t>
      </w:r>
      <w:proofErr w:type="spellEnd"/>
      <w:r w:rsidR="00D34119" w:rsidRPr="00D34119">
        <w:rPr>
          <w:i/>
          <w:sz w:val="22"/>
          <w:szCs w:val="22"/>
        </w:rPr>
        <w:t xml:space="preserve"> </w:t>
      </w:r>
      <w:proofErr w:type="spellStart"/>
      <w:r w:rsidR="00D34119" w:rsidRPr="00D34119">
        <w:rPr>
          <w:i/>
          <w:sz w:val="22"/>
          <w:szCs w:val="22"/>
        </w:rPr>
        <w:t>Mylan</w:t>
      </w:r>
      <w:proofErr w:type="spellEnd"/>
      <w:r w:rsidR="00D34119" w:rsidRPr="00D34119">
        <w:rPr>
          <w:i/>
        </w:rPr>
        <w:t xml:space="preserve"> </w:t>
      </w:r>
      <w:r w:rsidRPr="00F54B58">
        <w:rPr>
          <w:rFonts w:eastAsia="MS Mincho"/>
          <w:i/>
          <w:iCs/>
          <w:sz w:val="22"/>
          <w:szCs w:val="22"/>
          <w:lang w:eastAsia="ja-JP"/>
        </w:rPr>
        <w:t xml:space="preserve">paruošiamąjį ar infuzinį tirpalą. </w:t>
      </w: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A766C3" w:rsidP="00F54B58">
      <w:pPr>
        <w:widowControl w:val="0"/>
        <w:autoSpaceDE w:val="0"/>
        <w:autoSpaceDN w:val="0"/>
        <w:adjustRightInd w:val="0"/>
        <w:rPr>
          <w:rFonts w:eastAsia="MS Mincho"/>
          <w:b/>
          <w:bCs/>
          <w:sz w:val="22"/>
          <w:szCs w:val="22"/>
          <w:lang w:eastAsia="ja-JP"/>
        </w:rPr>
      </w:pPr>
      <w:r>
        <w:rPr>
          <w:rFonts w:eastAsia="MS Mincho"/>
          <w:b/>
          <w:bCs/>
          <w:sz w:val="22"/>
          <w:szCs w:val="22"/>
          <w:lang w:eastAsia="ja-JP"/>
        </w:rPr>
        <w:t xml:space="preserve">1.  </w:t>
      </w:r>
      <w:r w:rsidR="00F54B58" w:rsidRPr="00F54B58">
        <w:rPr>
          <w:rFonts w:eastAsia="MS Mincho"/>
          <w:b/>
          <w:bCs/>
          <w:sz w:val="22"/>
          <w:szCs w:val="22"/>
          <w:lang w:eastAsia="ja-JP"/>
        </w:rPr>
        <w:t xml:space="preserve">SUDĖTIS </w:t>
      </w: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D34119" w:rsidP="00F54B58">
      <w:pPr>
        <w:widowControl w:val="0"/>
        <w:autoSpaceDE w:val="0"/>
        <w:autoSpaceDN w:val="0"/>
        <w:adjustRightInd w:val="0"/>
        <w:rPr>
          <w:rFonts w:eastAsia="MS Mincho"/>
          <w:sz w:val="22"/>
          <w:szCs w:val="22"/>
          <w:lang w:eastAsia="ja-JP"/>
        </w:rPr>
      </w:pPr>
      <w:proofErr w:type="spellStart"/>
      <w:r w:rsidRPr="00DE749D">
        <w:rPr>
          <w:sz w:val="22"/>
          <w:szCs w:val="22"/>
        </w:rPr>
        <w:t>Docetaxel</w:t>
      </w:r>
      <w:proofErr w:type="spellEnd"/>
      <w:r w:rsidRPr="00DE749D">
        <w:rPr>
          <w:sz w:val="22"/>
          <w:szCs w:val="22"/>
        </w:rPr>
        <w:t xml:space="preserve"> </w:t>
      </w:r>
      <w:proofErr w:type="spellStart"/>
      <w:r w:rsidRPr="00DE749D">
        <w:rPr>
          <w:sz w:val="22"/>
          <w:szCs w:val="22"/>
        </w:rPr>
        <w:t>Mylan</w:t>
      </w:r>
      <w:proofErr w:type="spellEnd"/>
      <w:r>
        <w:t xml:space="preserve"> </w:t>
      </w:r>
      <w:r w:rsidR="00F54B58" w:rsidRPr="00F54B58">
        <w:rPr>
          <w:rFonts w:eastAsia="MS Mincho"/>
          <w:sz w:val="22"/>
          <w:szCs w:val="22"/>
          <w:lang w:eastAsia="ja-JP"/>
        </w:rPr>
        <w:t>koncentratas infuziniam tirpalui yra skaidrus, bespalvis arba blyškiai geltonas</w:t>
      </w:r>
      <w:r w:rsidR="00FF41AF">
        <w:rPr>
          <w:rFonts w:eastAsia="MS Mincho"/>
          <w:sz w:val="22"/>
          <w:szCs w:val="22"/>
          <w:lang w:eastAsia="ja-JP"/>
        </w:rPr>
        <w:t xml:space="preserve"> klampus</w:t>
      </w:r>
      <w:r w:rsidR="00F54B58" w:rsidRPr="00F54B58">
        <w:rPr>
          <w:rFonts w:eastAsia="MS Mincho"/>
          <w:sz w:val="22"/>
          <w:szCs w:val="22"/>
          <w:lang w:eastAsia="ja-JP"/>
        </w:rPr>
        <w:t xml:space="preserve"> tirpalas, kurio sudėtyje yra 40 mg/ml </w:t>
      </w:r>
      <w:r w:rsidR="00FF41AF" w:rsidRPr="00F54B58">
        <w:rPr>
          <w:rFonts w:eastAsia="MS Mincho"/>
          <w:sz w:val="22"/>
          <w:szCs w:val="22"/>
          <w:lang w:eastAsia="ja-JP"/>
        </w:rPr>
        <w:t xml:space="preserve">bevandenio </w:t>
      </w:r>
      <w:r w:rsidR="00F54B58" w:rsidRPr="00F54B58">
        <w:rPr>
          <w:rFonts w:eastAsia="MS Mincho"/>
          <w:sz w:val="22"/>
          <w:szCs w:val="22"/>
          <w:lang w:eastAsia="ja-JP"/>
        </w:rPr>
        <w:t xml:space="preserve">docetakselio polisorbate 80. </w:t>
      </w:r>
      <w:proofErr w:type="spellStart"/>
      <w:r w:rsidRPr="00DE749D">
        <w:rPr>
          <w:sz w:val="22"/>
          <w:szCs w:val="22"/>
        </w:rPr>
        <w:t>Docetaxel</w:t>
      </w:r>
      <w:proofErr w:type="spellEnd"/>
      <w:r w:rsidRPr="00DE749D">
        <w:rPr>
          <w:sz w:val="22"/>
          <w:szCs w:val="22"/>
        </w:rPr>
        <w:t xml:space="preserve"> </w:t>
      </w:r>
      <w:proofErr w:type="spellStart"/>
      <w:r w:rsidRPr="00DE749D">
        <w:rPr>
          <w:sz w:val="22"/>
          <w:szCs w:val="22"/>
        </w:rPr>
        <w:t>Mylan</w:t>
      </w:r>
      <w:proofErr w:type="spellEnd"/>
      <w:r w:rsidR="00F54B58" w:rsidRPr="00F54B58">
        <w:rPr>
          <w:rFonts w:eastAsia="MS Mincho"/>
          <w:sz w:val="22"/>
          <w:szCs w:val="22"/>
          <w:lang w:eastAsia="ja-JP"/>
        </w:rPr>
        <w:t xml:space="preserve"> tirpiklis yra 13 % m/</w:t>
      </w:r>
      <w:r w:rsidR="00FF41AF">
        <w:rPr>
          <w:rFonts w:eastAsia="MS Mincho"/>
          <w:sz w:val="22"/>
          <w:szCs w:val="22"/>
          <w:lang w:eastAsia="ja-JP"/>
        </w:rPr>
        <w:t>m</w:t>
      </w:r>
      <w:r w:rsidR="00F54B58" w:rsidRPr="00F54B58">
        <w:rPr>
          <w:rFonts w:eastAsia="MS Mincho"/>
          <w:sz w:val="22"/>
          <w:szCs w:val="22"/>
          <w:lang w:eastAsia="ja-JP"/>
        </w:rPr>
        <w:t xml:space="preserve"> bevandenio etanolio tirpalas injekciniame vandenyje. </w:t>
      </w:r>
    </w:p>
    <w:p w:rsidR="00F54B58" w:rsidRPr="00F54B58" w:rsidRDefault="00F54B58" w:rsidP="00F54B58">
      <w:pPr>
        <w:widowControl w:val="0"/>
        <w:autoSpaceDE w:val="0"/>
        <w:autoSpaceDN w:val="0"/>
        <w:adjustRightInd w:val="0"/>
        <w:rPr>
          <w:rFonts w:eastAsia="MS Mincho"/>
          <w:b/>
          <w:bCs/>
          <w:sz w:val="22"/>
          <w:szCs w:val="22"/>
          <w:lang w:eastAsia="ja-JP"/>
        </w:rPr>
      </w:pPr>
    </w:p>
    <w:p w:rsidR="00F54B58" w:rsidRPr="00F54B58" w:rsidRDefault="00A766C3" w:rsidP="00F54B58">
      <w:pPr>
        <w:widowControl w:val="0"/>
        <w:autoSpaceDE w:val="0"/>
        <w:autoSpaceDN w:val="0"/>
        <w:adjustRightInd w:val="0"/>
        <w:rPr>
          <w:rFonts w:eastAsia="MS Mincho"/>
          <w:sz w:val="22"/>
          <w:szCs w:val="22"/>
          <w:lang w:eastAsia="ja-JP"/>
        </w:rPr>
      </w:pPr>
      <w:r>
        <w:rPr>
          <w:rFonts w:eastAsia="MS Mincho"/>
          <w:b/>
          <w:bCs/>
          <w:sz w:val="22"/>
          <w:szCs w:val="22"/>
          <w:lang w:eastAsia="ja-JP"/>
        </w:rPr>
        <w:t xml:space="preserve">2.  </w:t>
      </w:r>
      <w:r w:rsidR="00F54B58" w:rsidRPr="00F54B58">
        <w:rPr>
          <w:rFonts w:eastAsia="MS Mincho"/>
          <w:b/>
          <w:bCs/>
          <w:sz w:val="22"/>
          <w:szCs w:val="22"/>
          <w:lang w:eastAsia="ja-JP"/>
        </w:rPr>
        <w:t xml:space="preserve">PAKUOTĖ </w:t>
      </w:r>
    </w:p>
    <w:p w:rsidR="00F54B58" w:rsidRPr="00F54B58" w:rsidRDefault="00F54B58" w:rsidP="00F54B58">
      <w:pPr>
        <w:widowControl w:val="0"/>
        <w:autoSpaceDE w:val="0"/>
        <w:autoSpaceDN w:val="0"/>
        <w:adjustRightInd w:val="0"/>
        <w:rPr>
          <w:rFonts w:eastAsia="MS Mincho"/>
          <w:sz w:val="22"/>
          <w:szCs w:val="22"/>
          <w:lang w:eastAsia="ja-JP"/>
        </w:rPr>
      </w:pPr>
    </w:p>
    <w:p w:rsidR="00F54B58" w:rsidRPr="00F54B58" w:rsidRDefault="00D34119" w:rsidP="00F54B58">
      <w:pPr>
        <w:widowControl w:val="0"/>
        <w:autoSpaceDE w:val="0"/>
        <w:autoSpaceDN w:val="0"/>
        <w:adjustRightInd w:val="0"/>
        <w:rPr>
          <w:rFonts w:eastAsia="MS Mincho"/>
          <w:sz w:val="22"/>
          <w:szCs w:val="22"/>
          <w:lang w:eastAsia="ja-JP"/>
        </w:rPr>
      </w:pPr>
      <w:proofErr w:type="spellStart"/>
      <w:r w:rsidRPr="00DE749D">
        <w:rPr>
          <w:sz w:val="22"/>
          <w:szCs w:val="22"/>
        </w:rPr>
        <w:t>Docetaxel</w:t>
      </w:r>
      <w:proofErr w:type="spellEnd"/>
      <w:r w:rsidRPr="00DE749D">
        <w:rPr>
          <w:sz w:val="22"/>
          <w:szCs w:val="22"/>
        </w:rPr>
        <w:t xml:space="preserve"> </w:t>
      </w:r>
      <w:proofErr w:type="spellStart"/>
      <w:r w:rsidRPr="00DE749D">
        <w:rPr>
          <w:sz w:val="22"/>
          <w:szCs w:val="22"/>
        </w:rPr>
        <w:t>Mylan</w:t>
      </w:r>
      <w:proofErr w:type="spellEnd"/>
      <w:r>
        <w:t xml:space="preserve"> </w:t>
      </w:r>
      <w:r w:rsidR="00F54B58" w:rsidRPr="00F54B58">
        <w:rPr>
          <w:rFonts w:eastAsia="MS Mincho"/>
          <w:sz w:val="22"/>
          <w:szCs w:val="22"/>
          <w:lang w:eastAsia="ja-JP"/>
        </w:rPr>
        <w:t xml:space="preserve">pristatomas </w:t>
      </w:r>
      <w:proofErr w:type="spellStart"/>
      <w:r w:rsidR="00F54B58" w:rsidRPr="00F54B58">
        <w:rPr>
          <w:rFonts w:eastAsia="MS Mincho"/>
          <w:sz w:val="22"/>
          <w:szCs w:val="22"/>
          <w:lang w:eastAsia="ja-JP"/>
        </w:rPr>
        <w:t>vienadoziuose</w:t>
      </w:r>
      <w:proofErr w:type="spellEnd"/>
      <w:r w:rsidR="00F54B58" w:rsidRPr="00F54B58">
        <w:rPr>
          <w:rFonts w:eastAsia="MS Mincho"/>
          <w:sz w:val="22"/>
          <w:szCs w:val="22"/>
          <w:lang w:eastAsia="ja-JP"/>
        </w:rPr>
        <w:t xml:space="preserve"> buteliukuose. </w:t>
      </w:r>
    </w:p>
    <w:p w:rsidR="00F54B58" w:rsidRPr="00F54B58" w:rsidRDefault="00F54B58" w:rsidP="00F54B58">
      <w:pPr>
        <w:widowControl w:val="0"/>
        <w:autoSpaceDE w:val="0"/>
        <w:autoSpaceDN w:val="0"/>
        <w:adjustRightInd w:val="0"/>
        <w:rPr>
          <w:rFonts w:eastAsia="MS Mincho"/>
          <w:sz w:val="22"/>
          <w:szCs w:val="22"/>
          <w:lang w:eastAsia="ja-JP"/>
        </w:rPr>
      </w:pPr>
    </w:p>
    <w:p w:rsidR="00F54B58" w:rsidRPr="00F54B58" w:rsidRDefault="00F54B58" w:rsidP="00F54B58">
      <w:pPr>
        <w:widowControl w:val="0"/>
        <w:autoSpaceDE w:val="0"/>
        <w:autoSpaceDN w:val="0"/>
        <w:adjustRightInd w:val="0"/>
        <w:rPr>
          <w:rFonts w:eastAsia="MS Mincho"/>
          <w:sz w:val="22"/>
          <w:szCs w:val="22"/>
          <w:lang w:eastAsia="ja-JP"/>
        </w:rPr>
      </w:pPr>
      <w:r w:rsidRPr="00F54B58">
        <w:rPr>
          <w:rFonts w:eastAsia="MS Mincho"/>
          <w:sz w:val="22"/>
          <w:szCs w:val="22"/>
          <w:lang w:eastAsia="ja-JP"/>
        </w:rPr>
        <w:t xml:space="preserve">Galima įsigyti dviejų dydžių pakuotes: </w:t>
      </w:r>
    </w:p>
    <w:p w:rsidR="00F54B58" w:rsidRPr="00F54B58" w:rsidRDefault="00F54B58" w:rsidP="00A766C3">
      <w:pPr>
        <w:widowControl w:val="0"/>
        <w:numPr>
          <w:ilvl w:val="0"/>
          <w:numId w:val="17"/>
        </w:numPr>
        <w:tabs>
          <w:tab w:val="left" w:pos="360"/>
        </w:tabs>
        <w:autoSpaceDE w:val="0"/>
        <w:autoSpaceDN w:val="0"/>
        <w:adjustRightInd w:val="0"/>
        <w:spacing w:after="200" w:line="276" w:lineRule="auto"/>
        <w:ind w:left="360"/>
        <w:jc w:val="both"/>
        <w:rPr>
          <w:rFonts w:eastAsia="MS Mincho"/>
          <w:color w:val="000000"/>
          <w:sz w:val="22"/>
          <w:szCs w:val="22"/>
          <w:lang w:eastAsia="ja-JP"/>
        </w:rPr>
      </w:pPr>
      <w:r w:rsidRPr="00F54B58">
        <w:rPr>
          <w:rFonts w:eastAsia="MS Mincho"/>
          <w:sz w:val="22"/>
          <w:szCs w:val="22"/>
          <w:lang w:eastAsia="ja-JP"/>
        </w:rPr>
        <w:t xml:space="preserve">Dėžutę, kurioje yra vienas koncentrato buteliukas (20 mg) ir vienas tirpiklio buteliukas. </w:t>
      </w:r>
    </w:p>
    <w:p w:rsidR="00F54B58" w:rsidRPr="00C93814" w:rsidRDefault="00F54B58" w:rsidP="00C93814">
      <w:pPr>
        <w:widowControl w:val="0"/>
        <w:numPr>
          <w:ilvl w:val="0"/>
          <w:numId w:val="17"/>
        </w:numPr>
        <w:tabs>
          <w:tab w:val="left" w:pos="360"/>
        </w:tabs>
        <w:autoSpaceDE w:val="0"/>
        <w:autoSpaceDN w:val="0"/>
        <w:adjustRightInd w:val="0"/>
        <w:ind w:left="357" w:hanging="357"/>
        <w:jc w:val="both"/>
        <w:rPr>
          <w:rFonts w:eastAsia="MS Mincho"/>
          <w:color w:val="000000"/>
          <w:sz w:val="22"/>
          <w:szCs w:val="22"/>
          <w:highlight w:val="lightGray"/>
          <w:lang w:eastAsia="ja-JP"/>
        </w:rPr>
      </w:pPr>
      <w:r w:rsidRPr="00C93814">
        <w:rPr>
          <w:rFonts w:eastAsia="MS Mincho"/>
          <w:color w:val="000000"/>
          <w:sz w:val="22"/>
          <w:szCs w:val="22"/>
          <w:highlight w:val="lightGray"/>
          <w:lang w:eastAsia="ja-JP"/>
        </w:rPr>
        <w:t xml:space="preserve">Dėžutę, kurioje yra vienas koncentrato buteliukas (80 mg) ir vienas tirpiklio buteliukas. </w:t>
      </w:r>
    </w:p>
    <w:p w:rsidR="00F54B58" w:rsidRPr="00F54B58" w:rsidRDefault="00F54B58" w:rsidP="00F54B58">
      <w:pPr>
        <w:widowControl w:val="0"/>
        <w:autoSpaceDE w:val="0"/>
        <w:autoSpaceDN w:val="0"/>
        <w:adjustRightInd w:val="0"/>
        <w:rPr>
          <w:rFonts w:eastAsia="MS Mincho"/>
          <w:sz w:val="22"/>
          <w:szCs w:val="22"/>
          <w:lang w:eastAsia="ja-JP"/>
        </w:rPr>
      </w:pPr>
    </w:p>
    <w:p w:rsidR="00F54B58" w:rsidRPr="00F54B58" w:rsidRDefault="00D34119" w:rsidP="00F54B58">
      <w:pPr>
        <w:widowControl w:val="0"/>
        <w:autoSpaceDE w:val="0"/>
        <w:autoSpaceDN w:val="0"/>
        <w:adjustRightInd w:val="0"/>
        <w:rPr>
          <w:rFonts w:eastAsia="MS Mincho"/>
          <w:sz w:val="22"/>
          <w:szCs w:val="22"/>
          <w:lang w:eastAsia="ja-JP"/>
        </w:rPr>
      </w:pPr>
      <w:proofErr w:type="spellStart"/>
      <w:r w:rsidRPr="00DE749D">
        <w:rPr>
          <w:sz w:val="22"/>
          <w:szCs w:val="22"/>
        </w:rPr>
        <w:t>Docetaxel</w:t>
      </w:r>
      <w:proofErr w:type="spellEnd"/>
      <w:r w:rsidRPr="00DE749D">
        <w:rPr>
          <w:sz w:val="22"/>
          <w:szCs w:val="22"/>
        </w:rPr>
        <w:t xml:space="preserve"> </w:t>
      </w:r>
      <w:proofErr w:type="spellStart"/>
      <w:r w:rsidRPr="00DE749D">
        <w:rPr>
          <w:sz w:val="22"/>
          <w:szCs w:val="22"/>
        </w:rPr>
        <w:t>Mylan</w:t>
      </w:r>
      <w:proofErr w:type="spellEnd"/>
      <w:r>
        <w:t xml:space="preserve"> </w:t>
      </w:r>
      <w:r w:rsidR="00F54B58" w:rsidRPr="00F54B58">
        <w:rPr>
          <w:rFonts w:eastAsia="MS Mincho"/>
          <w:sz w:val="22"/>
          <w:szCs w:val="22"/>
          <w:lang w:eastAsia="ja-JP"/>
        </w:rPr>
        <w:t>buteliukus reikia laikyti 2</w:t>
      </w:r>
      <w:r w:rsidR="00FF41AF" w:rsidRPr="00F54B58">
        <w:rPr>
          <w:rFonts w:eastAsia="MS Mincho"/>
          <w:sz w:val="22"/>
          <w:szCs w:val="22"/>
          <w:lang w:eastAsia="ja-JP"/>
        </w:rPr>
        <w:t xml:space="preserve">°C </w:t>
      </w:r>
      <w:r w:rsidR="00F54B58" w:rsidRPr="00F54B58">
        <w:rPr>
          <w:rFonts w:eastAsia="MS Mincho"/>
          <w:sz w:val="22"/>
          <w:szCs w:val="22"/>
          <w:lang w:eastAsia="ja-JP"/>
        </w:rPr>
        <w:t xml:space="preserve">–25 °C temperatūroje ir saugoti nuo šviesos. </w:t>
      </w:r>
      <w:proofErr w:type="spellStart"/>
      <w:r w:rsidRPr="00DE749D">
        <w:rPr>
          <w:sz w:val="22"/>
          <w:szCs w:val="22"/>
        </w:rPr>
        <w:t>Docetaxel</w:t>
      </w:r>
      <w:proofErr w:type="spellEnd"/>
      <w:r w:rsidRPr="00DE749D">
        <w:rPr>
          <w:sz w:val="22"/>
          <w:szCs w:val="22"/>
        </w:rPr>
        <w:t xml:space="preserve"> </w:t>
      </w:r>
      <w:proofErr w:type="spellStart"/>
      <w:r w:rsidRPr="00DE749D">
        <w:rPr>
          <w:sz w:val="22"/>
          <w:szCs w:val="22"/>
        </w:rPr>
        <w:t>Mylan</w:t>
      </w:r>
      <w:proofErr w:type="spellEnd"/>
      <w:r>
        <w:t xml:space="preserve"> </w:t>
      </w:r>
      <w:r w:rsidR="00F54B58" w:rsidRPr="00F54B58">
        <w:rPr>
          <w:rFonts w:eastAsia="MS Mincho"/>
          <w:sz w:val="22"/>
          <w:szCs w:val="22"/>
          <w:lang w:eastAsia="ja-JP"/>
        </w:rPr>
        <w:t xml:space="preserve">negalima vartoti pasibaigus ant dėžutės, lizdinės pakuotės ir buteliukų nurodytam tinkamumo laikui. </w:t>
      </w:r>
    </w:p>
    <w:p w:rsidR="00F54B58" w:rsidRPr="00F54B58" w:rsidRDefault="00F54B58" w:rsidP="00F54B58">
      <w:pPr>
        <w:widowControl w:val="0"/>
        <w:autoSpaceDE w:val="0"/>
        <w:autoSpaceDN w:val="0"/>
        <w:adjustRightInd w:val="0"/>
        <w:rPr>
          <w:rFonts w:eastAsia="MS Mincho"/>
          <w:b/>
          <w:bCs/>
          <w:sz w:val="22"/>
          <w:szCs w:val="22"/>
          <w:lang w:eastAsia="ja-JP"/>
        </w:rPr>
      </w:pPr>
    </w:p>
    <w:p w:rsidR="00F54B58" w:rsidRPr="00F54B58" w:rsidRDefault="00A766C3" w:rsidP="00304AA5">
      <w:pPr>
        <w:widowControl w:val="0"/>
        <w:autoSpaceDE w:val="0"/>
        <w:autoSpaceDN w:val="0"/>
        <w:adjustRightInd w:val="0"/>
        <w:rPr>
          <w:rFonts w:eastAsia="MS Mincho"/>
          <w:sz w:val="22"/>
          <w:szCs w:val="22"/>
          <w:lang w:eastAsia="ja-JP"/>
        </w:rPr>
      </w:pPr>
      <w:r>
        <w:rPr>
          <w:rFonts w:eastAsia="MS Mincho"/>
          <w:b/>
          <w:bCs/>
          <w:sz w:val="22"/>
          <w:szCs w:val="22"/>
          <w:lang w:eastAsia="ja-JP"/>
        </w:rPr>
        <w:t xml:space="preserve">2.1 </w:t>
      </w:r>
      <w:proofErr w:type="spellStart"/>
      <w:r w:rsidR="00D34119" w:rsidRPr="00D34119">
        <w:rPr>
          <w:b/>
          <w:sz w:val="22"/>
          <w:szCs w:val="22"/>
        </w:rPr>
        <w:t>Docetaxel</w:t>
      </w:r>
      <w:proofErr w:type="spellEnd"/>
      <w:r w:rsidR="00D34119" w:rsidRPr="00D34119">
        <w:rPr>
          <w:b/>
          <w:sz w:val="22"/>
          <w:szCs w:val="22"/>
        </w:rPr>
        <w:t xml:space="preserve"> </w:t>
      </w:r>
      <w:proofErr w:type="spellStart"/>
      <w:r w:rsidR="00D34119" w:rsidRPr="00D34119">
        <w:rPr>
          <w:b/>
          <w:sz w:val="22"/>
          <w:szCs w:val="22"/>
        </w:rPr>
        <w:t>Mylan</w:t>
      </w:r>
      <w:proofErr w:type="spellEnd"/>
      <w:r w:rsidR="00D34119">
        <w:t xml:space="preserve"> </w:t>
      </w:r>
      <w:r w:rsidR="00F54B58" w:rsidRPr="00F54B58">
        <w:rPr>
          <w:rFonts w:eastAsia="MS Mincho"/>
          <w:b/>
          <w:bCs/>
          <w:sz w:val="22"/>
          <w:szCs w:val="22"/>
          <w:lang w:eastAsia="ja-JP"/>
        </w:rPr>
        <w:t xml:space="preserve">koncentrato buteliukai </w:t>
      </w:r>
    </w:p>
    <w:p w:rsidR="00F54B58" w:rsidRPr="00F54B58" w:rsidRDefault="00F54B58" w:rsidP="00304AA5">
      <w:pPr>
        <w:widowControl w:val="0"/>
        <w:autoSpaceDE w:val="0"/>
        <w:autoSpaceDN w:val="0"/>
        <w:adjustRightInd w:val="0"/>
        <w:ind w:right="2190"/>
        <w:rPr>
          <w:rFonts w:eastAsia="MS Mincho"/>
          <w:sz w:val="22"/>
          <w:szCs w:val="22"/>
          <w:u w:val="single"/>
          <w:lang w:eastAsia="ja-JP"/>
        </w:rPr>
      </w:pPr>
    </w:p>
    <w:p w:rsidR="00F54B58" w:rsidRPr="00F54B58" w:rsidRDefault="00F54B58" w:rsidP="00304AA5">
      <w:pPr>
        <w:widowControl w:val="0"/>
        <w:autoSpaceDE w:val="0"/>
        <w:autoSpaceDN w:val="0"/>
        <w:adjustRightInd w:val="0"/>
        <w:ind w:right="2190"/>
        <w:rPr>
          <w:rFonts w:eastAsia="MS Mincho"/>
          <w:sz w:val="22"/>
          <w:szCs w:val="22"/>
          <w:lang w:eastAsia="ja-JP"/>
        </w:rPr>
      </w:pPr>
      <w:r w:rsidRPr="00F54B58">
        <w:rPr>
          <w:rFonts w:eastAsia="MS Mincho"/>
          <w:sz w:val="22"/>
          <w:szCs w:val="22"/>
          <w:u w:val="single"/>
          <w:lang w:eastAsia="ja-JP"/>
        </w:rPr>
        <w:t xml:space="preserve">20 mg/0,5 ml koncentrato infuziniam tirpalui buteliukas </w:t>
      </w:r>
    </w:p>
    <w:p w:rsidR="00F54B58" w:rsidRDefault="00F54B58" w:rsidP="00C93814">
      <w:pPr>
        <w:widowControl w:val="0"/>
        <w:numPr>
          <w:ilvl w:val="0"/>
          <w:numId w:val="19"/>
        </w:numPr>
        <w:autoSpaceDE w:val="0"/>
        <w:autoSpaceDN w:val="0"/>
        <w:adjustRightInd w:val="0"/>
        <w:ind w:left="360" w:right="84"/>
        <w:rPr>
          <w:rFonts w:eastAsia="MS Mincho"/>
          <w:sz w:val="22"/>
          <w:szCs w:val="22"/>
          <w:lang w:eastAsia="ja-JP"/>
        </w:rPr>
      </w:pPr>
      <w:r w:rsidRPr="00F54B58">
        <w:rPr>
          <w:rFonts w:eastAsia="MS Mincho"/>
          <w:sz w:val="22"/>
          <w:szCs w:val="22"/>
          <w:lang w:eastAsia="ja-JP"/>
        </w:rPr>
        <w:t xml:space="preserve">5 ml skaidraus stiklo buteliukas su violetiniu nuplėšiamuoju aliuminio dangteliu. </w:t>
      </w:r>
    </w:p>
    <w:p w:rsidR="00304AA5" w:rsidRPr="00F54B58" w:rsidRDefault="00304AA5" w:rsidP="00C93814">
      <w:pPr>
        <w:widowControl w:val="0"/>
        <w:autoSpaceDE w:val="0"/>
        <w:autoSpaceDN w:val="0"/>
        <w:adjustRightInd w:val="0"/>
        <w:ind w:right="2190"/>
        <w:rPr>
          <w:rFonts w:eastAsia="MS Mincho"/>
          <w:sz w:val="22"/>
          <w:szCs w:val="22"/>
          <w:lang w:eastAsia="ja-JP"/>
        </w:rPr>
      </w:pPr>
    </w:p>
    <w:p w:rsidR="00F54B58" w:rsidRPr="00F54B58" w:rsidRDefault="00F54B58" w:rsidP="00C93814">
      <w:pPr>
        <w:widowControl w:val="0"/>
        <w:numPr>
          <w:ilvl w:val="0"/>
          <w:numId w:val="19"/>
        </w:numPr>
        <w:autoSpaceDE w:val="0"/>
        <w:autoSpaceDN w:val="0"/>
        <w:adjustRightInd w:val="0"/>
        <w:ind w:left="360" w:right="44"/>
        <w:rPr>
          <w:rFonts w:eastAsia="MS Mincho"/>
          <w:sz w:val="22"/>
          <w:szCs w:val="22"/>
          <w:lang w:eastAsia="ja-JP"/>
        </w:rPr>
      </w:pPr>
      <w:r w:rsidRPr="00F54B58">
        <w:rPr>
          <w:rFonts w:eastAsia="MS Mincho"/>
          <w:sz w:val="22"/>
          <w:szCs w:val="22"/>
          <w:lang w:eastAsia="ja-JP"/>
        </w:rPr>
        <w:t xml:space="preserve">Kiekviename buteliuke yra 0,5 ml docetakselio 40 mg/ml tirpalo polisorbate 80 (užpildomasis tūris: 26,8 mg/0,67 ml). Šis užpildomasis buteliuko tūris buvo nustatytas preparato kūrimo metu, kad ruošiant tirpalą (žr. 4 skyrių), būtų kompensuota skysčio netektis dėl putojimo, adhezijos prie buteliuko sienelių ir nenaudingo tūrio. Šis perviršis užtikrina, kad buteliuke esantį koncentratą sumaišius su visu tirpiklio kiekiu, mažiausias ištraukiamas </w:t>
      </w:r>
      <w:r w:rsidR="00304AA5">
        <w:rPr>
          <w:rFonts w:eastAsia="MS Mincho"/>
          <w:sz w:val="22"/>
          <w:szCs w:val="22"/>
          <w:lang w:eastAsia="ja-JP"/>
        </w:rPr>
        <w:t>paruošto</w:t>
      </w:r>
      <w:r w:rsidR="00304AA5" w:rsidRPr="00F54B58">
        <w:rPr>
          <w:rFonts w:eastAsia="MS Mincho"/>
          <w:sz w:val="22"/>
          <w:szCs w:val="22"/>
          <w:lang w:eastAsia="ja-JP"/>
        </w:rPr>
        <w:t xml:space="preserve"> </w:t>
      </w:r>
      <w:r w:rsidRPr="00F54B58">
        <w:rPr>
          <w:rFonts w:eastAsia="MS Mincho"/>
          <w:sz w:val="22"/>
          <w:szCs w:val="22"/>
          <w:lang w:eastAsia="ja-JP"/>
        </w:rPr>
        <w:t xml:space="preserve">tirpalo, kuriame docetakselio yra 10 mg/ml, kiekis bus 2 ml. Tai atitinka 20 mg buteliuke kiekį. </w:t>
      </w:r>
    </w:p>
    <w:p w:rsidR="00304AA5" w:rsidRDefault="00304AA5" w:rsidP="00304AA5">
      <w:pPr>
        <w:widowControl w:val="0"/>
        <w:autoSpaceDE w:val="0"/>
        <w:autoSpaceDN w:val="0"/>
        <w:adjustRightInd w:val="0"/>
        <w:rPr>
          <w:rFonts w:eastAsia="MS Mincho"/>
          <w:sz w:val="22"/>
          <w:szCs w:val="22"/>
          <w:u w:val="single"/>
          <w:lang w:eastAsia="ja-JP"/>
        </w:rPr>
      </w:pPr>
    </w:p>
    <w:p w:rsidR="00F54B58" w:rsidRPr="00F54B58" w:rsidRDefault="00F54B58" w:rsidP="00304AA5">
      <w:pPr>
        <w:widowControl w:val="0"/>
        <w:autoSpaceDE w:val="0"/>
        <w:autoSpaceDN w:val="0"/>
        <w:adjustRightInd w:val="0"/>
        <w:rPr>
          <w:rFonts w:eastAsia="MS Mincho"/>
          <w:sz w:val="22"/>
          <w:szCs w:val="22"/>
          <w:u w:val="single"/>
          <w:lang w:eastAsia="ja-JP"/>
        </w:rPr>
      </w:pPr>
      <w:r w:rsidRPr="00F54B58">
        <w:rPr>
          <w:rFonts w:eastAsia="MS Mincho"/>
          <w:sz w:val="22"/>
          <w:szCs w:val="22"/>
          <w:u w:val="single"/>
          <w:lang w:eastAsia="ja-JP"/>
        </w:rPr>
        <w:t xml:space="preserve">80 mg/2 ml koncentrato infuziniam tirpalui buteliukas </w:t>
      </w:r>
    </w:p>
    <w:p w:rsidR="00F54B58" w:rsidRPr="00F54B58" w:rsidRDefault="00F54B58" w:rsidP="00304AA5">
      <w:pPr>
        <w:widowControl w:val="0"/>
        <w:autoSpaceDE w:val="0"/>
        <w:autoSpaceDN w:val="0"/>
        <w:adjustRightInd w:val="0"/>
        <w:rPr>
          <w:rFonts w:eastAsia="MS Mincho"/>
          <w:color w:val="000000"/>
          <w:sz w:val="22"/>
          <w:szCs w:val="22"/>
          <w:lang w:eastAsia="ja-JP"/>
        </w:rPr>
      </w:pPr>
    </w:p>
    <w:p w:rsidR="00F54B58" w:rsidRPr="00F54B58" w:rsidRDefault="00F54B58" w:rsidP="00C93814">
      <w:pPr>
        <w:widowControl w:val="0"/>
        <w:numPr>
          <w:ilvl w:val="0"/>
          <w:numId w:val="20"/>
        </w:numPr>
        <w:autoSpaceDE w:val="0"/>
        <w:autoSpaceDN w:val="0"/>
        <w:adjustRightInd w:val="0"/>
        <w:ind w:left="360"/>
        <w:rPr>
          <w:rFonts w:eastAsia="MS Mincho"/>
          <w:sz w:val="22"/>
          <w:szCs w:val="22"/>
          <w:lang w:eastAsia="ja-JP"/>
        </w:rPr>
      </w:pPr>
      <w:r w:rsidRPr="00F54B58">
        <w:rPr>
          <w:rFonts w:eastAsia="MS Mincho"/>
          <w:sz w:val="22"/>
          <w:szCs w:val="22"/>
          <w:lang w:eastAsia="ja-JP"/>
        </w:rPr>
        <w:t xml:space="preserve">10 ml skaidraus stiklo buteliukas su violetiniu nuplėšiamuoju aliuminio dangteliu. </w:t>
      </w:r>
    </w:p>
    <w:p w:rsidR="00F54B58" w:rsidRPr="00F54B58" w:rsidRDefault="00F54B58" w:rsidP="00C93814">
      <w:pPr>
        <w:widowControl w:val="0"/>
        <w:autoSpaceDE w:val="0"/>
        <w:autoSpaceDN w:val="0"/>
        <w:adjustRightInd w:val="0"/>
        <w:ind w:left="360"/>
        <w:rPr>
          <w:rFonts w:eastAsia="MS Mincho"/>
          <w:color w:val="000000"/>
          <w:sz w:val="22"/>
          <w:szCs w:val="22"/>
          <w:lang w:eastAsia="ja-JP"/>
        </w:rPr>
      </w:pPr>
    </w:p>
    <w:p w:rsidR="00F54B58" w:rsidRDefault="00F54B58" w:rsidP="00C93814">
      <w:pPr>
        <w:widowControl w:val="0"/>
        <w:numPr>
          <w:ilvl w:val="0"/>
          <w:numId w:val="20"/>
        </w:numPr>
        <w:autoSpaceDE w:val="0"/>
        <w:autoSpaceDN w:val="0"/>
        <w:adjustRightInd w:val="0"/>
        <w:ind w:left="360"/>
        <w:rPr>
          <w:rFonts w:eastAsia="MS Mincho"/>
          <w:sz w:val="22"/>
          <w:szCs w:val="22"/>
          <w:lang w:eastAsia="ja-JP"/>
        </w:rPr>
      </w:pPr>
      <w:r w:rsidRPr="00F54B58">
        <w:rPr>
          <w:rFonts w:eastAsia="MS Mincho"/>
          <w:sz w:val="22"/>
          <w:szCs w:val="22"/>
          <w:lang w:eastAsia="ja-JP"/>
        </w:rPr>
        <w:t xml:space="preserve">Kiekviename buteliuke yra 2 ml docetakselio 40 mg/ml tirpalo polisorbate 80 (užpildomasis tūris: 96 mg/2,4 ml). Šis užpildomasis buteliuko tūris buvo nustatytas preparato kūrimo metu, kad ruošiant tirpalą (žr. 4 skyrių), būtų kompensuota skysčio netektis dėl putojimo, adhezijos prie buteliuko sienelių ir nenaudingo tūrio. Šis perviršis užtikrina, kad buteliuke esantį koncentratą sumaišius su visu tirpiklio kiekiu, mažiausias ištraukiamas </w:t>
      </w:r>
      <w:r w:rsidR="00304AA5">
        <w:rPr>
          <w:rFonts w:eastAsia="MS Mincho"/>
          <w:sz w:val="22"/>
          <w:szCs w:val="22"/>
          <w:lang w:eastAsia="ja-JP"/>
        </w:rPr>
        <w:t>paruošto</w:t>
      </w:r>
      <w:r w:rsidR="00304AA5" w:rsidRPr="00F54B58">
        <w:rPr>
          <w:rFonts w:eastAsia="MS Mincho"/>
          <w:sz w:val="22"/>
          <w:szCs w:val="22"/>
          <w:lang w:eastAsia="ja-JP"/>
        </w:rPr>
        <w:t xml:space="preserve"> </w:t>
      </w:r>
      <w:r w:rsidRPr="00F54B58">
        <w:rPr>
          <w:rFonts w:eastAsia="MS Mincho"/>
          <w:sz w:val="22"/>
          <w:szCs w:val="22"/>
          <w:lang w:eastAsia="ja-JP"/>
        </w:rPr>
        <w:t xml:space="preserve">tirpalo, kuriame docetakselio yra 10 mg/ml, kiekis bus 8 ml. Tai atitinka 80 mg buteliuke kiekį. </w:t>
      </w:r>
    </w:p>
    <w:p w:rsidR="00304AA5" w:rsidRDefault="00304AA5" w:rsidP="00304AA5">
      <w:pPr>
        <w:widowControl w:val="0"/>
        <w:autoSpaceDE w:val="0"/>
        <w:autoSpaceDN w:val="0"/>
        <w:adjustRightInd w:val="0"/>
        <w:rPr>
          <w:rFonts w:eastAsia="MS Mincho"/>
          <w:sz w:val="22"/>
          <w:szCs w:val="22"/>
          <w:lang w:eastAsia="ja-JP"/>
        </w:rPr>
      </w:pPr>
    </w:p>
    <w:p w:rsidR="00F54B58" w:rsidRPr="00F54B58" w:rsidRDefault="00F54B58" w:rsidP="00C93814">
      <w:pPr>
        <w:widowControl w:val="0"/>
        <w:tabs>
          <w:tab w:val="left" w:pos="567"/>
        </w:tabs>
        <w:autoSpaceDE w:val="0"/>
        <w:autoSpaceDN w:val="0"/>
        <w:adjustRightInd w:val="0"/>
        <w:rPr>
          <w:rFonts w:eastAsia="MS Mincho"/>
          <w:b/>
          <w:bCs/>
          <w:sz w:val="22"/>
          <w:szCs w:val="22"/>
          <w:lang w:eastAsia="ja-JP"/>
        </w:rPr>
      </w:pPr>
      <w:r w:rsidRPr="00F54B58">
        <w:rPr>
          <w:rFonts w:eastAsia="MS Mincho"/>
          <w:b/>
          <w:bCs/>
          <w:sz w:val="22"/>
          <w:szCs w:val="22"/>
          <w:lang w:eastAsia="ja-JP"/>
        </w:rPr>
        <w:t xml:space="preserve">2.2 </w:t>
      </w:r>
      <w:r w:rsidRPr="00F54B58">
        <w:rPr>
          <w:rFonts w:eastAsia="MS Mincho"/>
          <w:b/>
          <w:bCs/>
          <w:sz w:val="22"/>
          <w:szCs w:val="22"/>
          <w:lang w:eastAsia="ja-JP"/>
        </w:rPr>
        <w:tab/>
      </w:r>
      <w:proofErr w:type="spellStart"/>
      <w:r w:rsidR="00D34119" w:rsidRPr="00D34119">
        <w:rPr>
          <w:b/>
          <w:sz w:val="22"/>
          <w:szCs w:val="22"/>
        </w:rPr>
        <w:t>Docetaxel</w:t>
      </w:r>
      <w:proofErr w:type="spellEnd"/>
      <w:r w:rsidR="00D34119" w:rsidRPr="00D34119">
        <w:rPr>
          <w:b/>
          <w:sz w:val="22"/>
          <w:szCs w:val="22"/>
        </w:rPr>
        <w:t xml:space="preserve"> </w:t>
      </w:r>
      <w:proofErr w:type="spellStart"/>
      <w:r w:rsidR="00D34119" w:rsidRPr="00D34119">
        <w:rPr>
          <w:b/>
          <w:sz w:val="22"/>
          <w:szCs w:val="22"/>
        </w:rPr>
        <w:t>Mylan</w:t>
      </w:r>
      <w:proofErr w:type="spellEnd"/>
      <w:r w:rsidR="00D34119">
        <w:t xml:space="preserve"> </w:t>
      </w:r>
      <w:r w:rsidRPr="00F54B58">
        <w:rPr>
          <w:rFonts w:eastAsia="MS Mincho"/>
          <w:b/>
          <w:bCs/>
          <w:sz w:val="22"/>
          <w:szCs w:val="22"/>
          <w:lang w:eastAsia="ja-JP"/>
        </w:rPr>
        <w:t xml:space="preserve">tirpiklis </w:t>
      </w:r>
    </w:p>
    <w:p w:rsidR="00F54B58" w:rsidRPr="00F54B58" w:rsidRDefault="00F54B58" w:rsidP="00304AA5">
      <w:pPr>
        <w:widowControl w:val="0"/>
        <w:autoSpaceDE w:val="0"/>
        <w:autoSpaceDN w:val="0"/>
        <w:adjustRightInd w:val="0"/>
        <w:rPr>
          <w:rFonts w:eastAsia="MS Mincho"/>
          <w:color w:val="000000"/>
          <w:sz w:val="22"/>
          <w:szCs w:val="22"/>
          <w:lang w:eastAsia="ja-JP"/>
        </w:rPr>
      </w:pPr>
    </w:p>
    <w:p w:rsidR="00F54B58" w:rsidRPr="00F54B58" w:rsidRDefault="00F54B58" w:rsidP="00304AA5">
      <w:pPr>
        <w:widowControl w:val="0"/>
        <w:autoSpaceDE w:val="0"/>
        <w:autoSpaceDN w:val="0"/>
        <w:adjustRightInd w:val="0"/>
        <w:rPr>
          <w:rFonts w:eastAsia="MS Mincho"/>
          <w:sz w:val="22"/>
          <w:szCs w:val="22"/>
          <w:lang w:eastAsia="ja-JP"/>
        </w:rPr>
      </w:pPr>
      <w:r w:rsidRPr="00F54B58">
        <w:rPr>
          <w:rFonts w:eastAsia="MS Mincho"/>
          <w:sz w:val="22"/>
          <w:szCs w:val="22"/>
          <w:lang w:eastAsia="ja-JP"/>
        </w:rPr>
        <w:t>Tirpiklis yra 13 % m/</w:t>
      </w:r>
      <w:r w:rsidR="00304AA5">
        <w:rPr>
          <w:rFonts w:eastAsia="MS Mincho"/>
          <w:sz w:val="22"/>
          <w:szCs w:val="22"/>
          <w:lang w:eastAsia="ja-JP"/>
        </w:rPr>
        <w:t>m</w:t>
      </w:r>
      <w:r w:rsidRPr="00F54B58">
        <w:rPr>
          <w:rFonts w:eastAsia="MS Mincho"/>
          <w:sz w:val="22"/>
          <w:szCs w:val="22"/>
          <w:lang w:eastAsia="ja-JP"/>
        </w:rPr>
        <w:t xml:space="preserve"> bevandenio etanolio tirpalas injekciniame vandenyje. </w:t>
      </w:r>
    </w:p>
    <w:p w:rsidR="00F54B58" w:rsidRPr="00F54B58" w:rsidRDefault="00F54B58" w:rsidP="00304AA5">
      <w:pPr>
        <w:widowControl w:val="0"/>
        <w:autoSpaceDE w:val="0"/>
        <w:autoSpaceDN w:val="0"/>
        <w:adjustRightInd w:val="0"/>
        <w:rPr>
          <w:rFonts w:eastAsia="MS Mincho"/>
          <w:color w:val="000000"/>
          <w:sz w:val="22"/>
          <w:szCs w:val="22"/>
          <w:lang w:eastAsia="ja-JP"/>
        </w:rPr>
      </w:pPr>
    </w:p>
    <w:p w:rsidR="00F54B58" w:rsidRPr="00F54B58" w:rsidRDefault="00F54B58" w:rsidP="00304AA5">
      <w:pPr>
        <w:widowControl w:val="0"/>
        <w:autoSpaceDE w:val="0"/>
        <w:autoSpaceDN w:val="0"/>
        <w:adjustRightInd w:val="0"/>
        <w:rPr>
          <w:rFonts w:eastAsia="MS Mincho"/>
          <w:sz w:val="22"/>
          <w:szCs w:val="22"/>
          <w:u w:val="single"/>
          <w:lang w:eastAsia="ja-JP"/>
        </w:rPr>
      </w:pPr>
      <w:r w:rsidRPr="00F54B58">
        <w:rPr>
          <w:rFonts w:eastAsia="MS Mincho"/>
          <w:sz w:val="22"/>
          <w:szCs w:val="22"/>
          <w:u w:val="single"/>
          <w:lang w:eastAsia="ja-JP"/>
        </w:rPr>
        <w:t xml:space="preserve">1,8 ml tirpiklio buteliukas </w:t>
      </w:r>
    </w:p>
    <w:p w:rsidR="00F54B58" w:rsidRDefault="00F54B58" w:rsidP="00C93814">
      <w:pPr>
        <w:widowControl w:val="0"/>
        <w:numPr>
          <w:ilvl w:val="0"/>
          <w:numId w:val="20"/>
        </w:numPr>
        <w:autoSpaceDE w:val="0"/>
        <w:autoSpaceDN w:val="0"/>
        <w:adjustRightInd w:val="0"/>
        <w:ind w:left="360"/>
        <w:rPr>
          <w:rFonts w:eastAsia="MS Mincho"/>
          <w:sz w:val="22"/>
          <w:szCs w:val="22"/>
          <w:lang w:eastAsia="ja-JP"/>
        </w:rPr>
      </w:pPr>
      <w:r w:rsidRPr="00F54B58">
        <w:rPr>
          <w:rFonts w:eastAsia="MS Mincho"/>
          <w:sz w:val="22"/>
          <w:szCs w:val="22"/>
          <w:lang w:eastAsia="ja-JP"/>
        </w:rPr>
        <w:t xml:space="preserve">Tirpiklio buteliukas yra 5 ml skaidraus stiklo buteliukas su žaliu nuplėšiamuoju aliuminio dangteliu. </w:t>
      </w:r>
    </w:p>
    <w:p w:rsidR="00304AA5" w:rsidRPr="00F54B58" w:rsidRDefault="00304AA5" w:rsidP="00304AA5">
      <w:pPr>
        <w:widowControl w:val="0"/>
        <w:autoSpaceDE w:val="0"/>
        <w:autoSpaceDN w:val="0"/>
        <w:adjustRightInd w:val="0"/>
        <w:rPr>
          <w:rFonts w:eastAsia="MS Mincho"/>
          <w:sz w:val="22"/>
          <w:szCs w:val="22"/>
          <w:lang w:eastAsia="ja-JP"/>
        </w:rPr>
      </w:pPr>
    </w:p>
    <w:p w:rsidR="00F54B58" w:rsidRPr="00F54B58" w:rsidRDefault="00F54B58" w:rsidP="00C93814">
      <w:pPr>
        <w:widowControl w:val="0"/>
        <w:numPr>
          <w:ilvl w:val="0"/>
          <w:numId w:val="20"/>
        </w:numPr>
        <w:autoSpaceDE w:val="0"/>
        <w:autoSpaceDN w:val="0"/>
        <w:adjustRightInd w:val="0"/>
        <w:ind w:left="360" w:right="157"/>
        <w:rPr>
          <w:rFonts w:eastAsia="MS Mincho"/>
          <w:sz w:val="22"/>
          <w:szCs w:val="22"/>
          <w:lang w:eastAsia="ja-JP"/>
        </w:rPr>
      </w:pPr>
      <w:r w:rsidRPr="00F54B58">
        <w:rPr>
          <w:rFonts w:eastAsia="MS Mincho"/>
          <w:sz w:val="22"/>
          <w:szCs w:val="22"/>
          <w:lang w:eastAsia="ja-JP"/>
        </w:rPr>
        <w:t xml:space="preserve">Tirpiklio buteliuke yra 1,8 ml tirpalo (užpildomasis tūris: 2,0 ml). Šis tūris buvo nustatytas pagal koncentrato buteliuko užpildomąjį tūrį. Visą tirpiklio buteliuko turinį suleidus į </w:t>
      </w:r>
      <w:proofErr w:type="spellStart"/>
      <w:r w:rsidR="00D34119" w:rsidRPr="00DE749D">
        <w:rPr>
          <w:sz w:val="22"/>
          <w:szCs w:val="22"/>
        </w:rPr>
        <w:t>Docetaxel</w:t>
      </w:r>
      <w:proofErr w:type="spellEnd"/>
      <w:r w:rsidR="00D34119" w:rsidRPr="00DE749D">
        <w:rPr>
          <w:sz w:val="22"/>
          <w:szCs w:val="22"/>
        </w:rPr>
        <w:t xml:space="preserve"> </w:t>
      </w:r>
      <w:proofErr w:type="spellStart"/>
      <w:r w:rsidR="00D34119" w:rsidRPr="00DE749D">
        <w:rPr>
          <w:sz w:val="22"/>
          <w:szCs w:val="22"/>
        </w:rPr>
        <w:t>Mylan</w:t>
      </w:r>
      <w:proofErr w:type="spellEnd"/>
      <w:r w:rsidRPr="00F54B58">
        <w:rPr>
          <w:rFonts w:eastAsia="MS Mincho"/>
          <w:sz w:val="22"/>
          <w:szCs w:val="22"/>
          <w:lang w:eastAsia="ja-JP"/>
        </w:rPr>
        <w:t xml:space="preserve"> koncentrato buteliuką, praskiestame tirpale docetakselio bus 10 mg/ml. </w:t>
      </w:r>
    </w:p>
    <w:p w:rsidR="00F54B58" w:rsidRPr="00F54B58" w:rsidRDefault="00F54B58" w:rsidP="00304AA5">
      <w:pPr>
        <w:widowControl w:val="0"/>
        <w:autoSpaceDE w:val="0"/>
        <w:autoSpaceDN w:val="0"/>
        <w:adjustRightInd w:val="0"/>
        <w:rPr>
          <w:rFonts w:eastAsia="MS Mincho"/>
          <w:color w:val="000000"/>
          <w:sz w:val="22"/>
          <w:szCs w:val="22"/>
          <w:lang w:eastAsia="ja-JP"/>
        </w:rPr>
      </w:pPr>
    </w:p>
    <w:p w:rsidR="00F54B58" w:rsidRPr="00F54B58" w:rsidRDefault="00F54B58" w:rsidP="00304AA5">
      <w:pPr>
        <w:widowControl w:val="0"/>
        <w:autoSpaceDE w:val="0"/>
        <w:autoSpaceDN w:val="0"/>
        <w:adjustRightInd w:val="0"/>
        <w:rPr>
          <w:rFonts w:eastAsia="MS Mincho"/>
          <w:sz w:val="22"/>
          <w:szCs w:val="22"/>
          <w:lang w:eastAsia="ja-JP"/>
        </w:rPr>
      </w:pPr>
      <w:r w:rsidRPr="00F54B58">
        <w:rPr>
          <w:rFonts w:eastAsia="MS Mincho"/>
          <w:sz w:val="22"/>
          <w:szCs w:val="22"/>
          <w:u w:val="single"/>
          <w:lang w:eastAsia="ja-JP"/>
        </w:rPr>
        <w:t xml:space="preserve">7,1 ml tirpiklio buteliukas </w:t>
      </w:r>
    </w:p>
    <w:p w:rsidR="00F54B58" w:rsidRDefault="00D34119" w:rsidP="00C93814">
      <w:pPr>
        <w:widowControl w:val="0"/>
        <w:numPr>
          <w:ilvl w:val="0"/>
          <w:numId w:val="20"/>
        </w:numPr>
        <w:tabs>
          <w:tab w:val="left" w:pos="360"/>
        </w:tabs>
        <w:autoSpaceDE w:val="0"/>
        <w:autoSpaceDN w:val="0"/>
        <w:adjustRightInd w:val="0"/>
        <w:ind w:left="360"/>
        <w:rPr>
          <w:rFonts w:eastAsia="MS Mincho"/>
          <w:sz w:val="22"/>
          <w:szCs w:val="22"/>
          <w:lang w:eastAsia="ja-JP"/>
        </w:rPr>
      </w:pPr>
      <w:proofErr w:type="spellStart"/>
      <w:r w:rsidRPr="00DE749D">
        <w:rPr>
          <w:sz w:val="22"/>
          <w:szCs w:val="22"/>
        </w:rPr>
        <w:t>Docetaxel</w:t>
      </w:r>
      <w:proofErr w:type="spellEnd"/>
      <w:r w:rsidRPr="00DE749D">
        <w:rPr>
          <w:sz w:val="22"/>
          <w:szCs w:val="22"/>
        </w:rPr>
        <w:t xml:space="preserve"> </w:t>
      </w:r>
      <w:proofErr w:type="spellStart"/>
      <w:r w:rsidRPr="00DE749D">
        <w:rPr>
          <w:sz w:val="22"/>
          <w:szCs w:val="22"/>
        </w:rPr>
        <w:t>Mylan</w:t>
      </w:r>
      <w:proofErr w:type="spellEnd"/>
      <w:r>
        <w:t xml:space="preserve"> </w:t>
      </w:r>
      <w:r w:rsidR="00F54B58" w:rsidRPr="00F54B58">
        <w:rPr>
          <w:rFonts w:eastAsia="MS Mincho"/>
          <w:sz w:val="22"/>
          <w:szCs w:val="22"/>
          <w:lang w:eastAsia="ja-JP"/>
        </w:rPr>
        <w:t xml:space="preserve">tirpiklio buteliukas yra 10 ml skaidraus stiklo buteliukas su žaliu nuplėšiamuoju aliuminio dangteliu. </w:t>
      </w:r>
    </w:p>
    <w:p w:rsidR="00304AA5" w:rsidRPr="00F54B58" w:rsidRDefault="00304AA5" w:rsidP="00304AA5">
      <w:pPr>
        <w:widowControl w:val="0"/>
        <w:tabs>
          <w:tab w:val="left" w:pos="360"/>
        </w:tabs>
        <w:autoSpaceDE w:val="0"/>
        <w:autoSpaceDN w:val="0"/>
        <w:adjustRightInd w:val="0"/>
        <w:rPr>
          <w:rFonts w:eastAsia="MS Mincho"/>
          <w:sz w:val="22"/>
          <w:szCs w:val="22"/>
          <w:lang w:eastAsia="ja-JP"/>
        </w:rPr>
      </w:pPr>
    </w:p>
    <w:p w:rsidR="00F54B58" w:rsidRPr="00F54B58" w:rsidRDefault="00F54B58" w:rsidP="00C93814">
      <w:pPr>
        <w:widowControl w:val="0"/>
        <w:numPr>
          <w:ilvl w:val="0"/>
          <w:numId w:val="20"/>
        </w:numPr>
        <w:tabs>
          <w:tab w:val="left" w:pos="360"/>
        </w:tabs>
        <w:autoSpaceDE w:val="0"/>
        <w:autoSpaceDN w:val="0"/>
        <w:adjustRightInd w:val="0"/>
        <w:ind w:left="360" w:right="157"/>
        <w:rPr>
          <w:rFonts w:eastAsia="MS Mincho"/>
          <w:sz w:val="22"/>
          <w:szCs w:val="22"/>
          <w:lang w:eastAsia="ja-JP"/>
        </w:rPr>
      </w:pPr>
      <w:r w:rsidRPr="00F54B58">
        <w:rPr>
          <w:rFonts w:eastAsia="MS Mincho"/>
          <w:sz w:val="22"/>
          <w:szCs w:val="22"/>
          <w:lang w:eastAsia="ja-JP"/>
        </w:rPr>
        <w:t xml:space="preserve">Tirpiklio buteliuke yra 7,1 ml tirpalo (užpildomasis tūris: 7,5 ml). Šis tūris buvo nustatytas pagal koncentrato buteliuko užpildomąjį tūrį. Visą tirpiklio buteliuko turinį suleidus į </w:t>
      </w:r>
      <w:proofErr w:type="spellStart"/>
      <w:r w:rsidR="00D34119" w:rsidRPr="00DE749D">
        <w:rPr>
          <w:sz w:val="22"/>
          <w:szCs w:val="22"/>
        </w:rPr>
        <w:t>Docetaxel</w:t>
      </w:r>
      <w:proofErr w:type="spellEnd"/>
      <w:r w:rsidR="00D34119" w:rsidRPr="00DE749D">
        <w:rPr>
          <w:sz w:val="22"/>
          <w:szCs w:val="22"/>
        </w:rPr>
        <w:t xml:space="preserve"> </w:t>
      </w:r>
      <w:proofErr w:type="spellStart"/>
      <w:r w:rsidR="00D34119" w:rsidRPr="00DE749D">
        <w:rPr>
          <w:sz w:val="22"/>
          <w:szCs w:val="22"/>
        </w:rPr>
        <w:t>Mylan</w:t>
      </w:r>
      <w:proofErr w:type="spellEnd"/>
      <w:r w:rsidRPr="00F54B58">
        <w:rPr>
          <w:rFonts w:eastAsia="MS Mincho"/>
          <w:sz w:val="22"/>
          <w:szCs w:val="22"/>
          <w:lang w:eastAsia="ja-JP"/>
        </w:rPr>
        <w:t xml:space="preserve"> koncentrato buteliuką, praskiestame tirpale docetakselio bus 10 mg/ml. </w:t>
      </w:r>
    </w:p>
    <w:p w:rsidR="00F54B58" w:rsidRPr="00F54B58" w:rsidRDefault="00F54B58" w:rsidP="00304AA5">
      <w:pPr>
        <w:widowControl w:val="0"/>
        <w:autoSpaceDE w:val="0"/>
        <w:autoSpaceDN w:val="0"/>
        <w:adjustRightInd w:val="0"/>
        <w:rPr>
          <w:rFonts w:eastAsia="MS Mincho"/>
          <w:color w:val="000000"/>
          <w:sz w:val="22"/>
          <w:szCs w:val="22"/>
          <w:lang w:eastAsia="ja-JP"/>
        </w:rPr>
      </w:pPr>
    </w:p>
    <w:p w:rsidR="00F54B58" w:rsidRPr="00F54B58" w:rsidRDefault="00A766C3" w:rsidP="00F54B58">
      <w:pPr>
        <w:widowControl w:val="0"/>
        <w:autoSpaceDE w:val="0"/>
        <w:autoSpaceDN w:val="0"/>
        <w:adjustRightInd w:val="0"/>
        <w:rPr>
          <w:rFonts w:eastAsia="MS Mincho"/>
          <w:sz w:val="22"/>
          <w:szCs w:val="22"/>
          <w:lang w:eastAsia="ja-JP"/>
        </w:rPr>
      </w:pPr>
      <w:r>
        <w:rPr>
          <w:rFonts w:eastAsia="MS Mincho"/>
          <w:b/>
          <w:bCs/>
          <w:sz w:val="22"/>
          <w:szCs w:val="22"/>
          <w:lang w:eastAsia="ja-JP"/>
        </w:rPr>
        <w:t xml:space="preserve">3. </w:t>
      </w:r>
      <w:r w:rsidR="00F54B58" w:rsidRPr="00F54B58">
        <w:rPr>
          <w:rFonts w:eastAsia="MS Mincho"/>
          <w:b/>
          <w:bCs/>
          <w:sz w:val="22"/>
          <w:szCs w:val="22"/>
          <w:lang w:eastAsia="ja-JP"/>
        </w:rPr>
        <w:t xml:space="preserve">SAUGAUS </w:t>
      </w:r>
      <w:r w:rsidR="00304AA5">
        <w:rPr>
          <w:rFonts w:eastAsia="MS Mincho"/>
          <w:b/>
          <w:bCs/>
          <w:sz w:val="22"/>
          <w:szCs w:val="22"/>
          <w:lang w:eastAsia="ja-JP"/>
        </w:rPr>
        <w:t>VAISTINIO PREPARATO RUOŠIMO</w:t>
      </w:r>
      <w:r w:rsidR="00304AA5" w:rsidRPr="00F54B58">
        <w:rPr>
          <w:rFonts w:eastAsia="MS Mincho"/>
          <w:b/>
          <w:bCs/>
          <w:sz w:val="22"/>
          <w:szCs w:val="22"/>
          <w:lang w:eastAsia="ja-JP"/>
        </w:rPr>
        <w:t xml:space="preserve"> </w:t>
      </w:r>
      <w:r w:rsidR="00F54B58" w:rsidRPr="00F54B58">
        <w:rPr>
          <w:rFonts w:eastAsia="MS Mincho"/>
          <w:b/>
          <w:bCs/>
          <w:sz w:val="22"/>
          <w:szCs w:val="22"/>
          <w:lang w:eastAsia="ja-JP"/>
        </w:rPr>
        <w:t xml:space="preserve">REKOMENDACIJOS </w:t>
      </w:r>
    </w:p>
    <w:p w:rsidR="00F54B58" w:rsidRPr="00F54B58" w:rsidRDefault="00F54B58" w:rsidP="00F54B58">
      <w:pPr>
        <w:widowControl w:val="0"/>
        <w:autoSpaceDE w:val="0"/>
        <w:autoSpaceDN w:val="0"/>
        <w:adjustRightInd w:val="0"/>
        <w:ind w:right="112"/>
        <w:rPr>
          <w:rFonts w:eastAsia="MS Mincho"/>
          <w:sz w:val="22"/>
          <w:szCs w:val="22"/>
          <w:lang w:eastAsia="ja-JP"/>
        </w:rPr>
      </w:pPr>
    </w:p>
    <w:p w:rsidR="00F54B58" w:rsidRPr="00F54B58" w:rsidRDefault="00F54B58" w:rsidP="00A766C3">
      <w:pPr>
        <w:widowControl w:val="0"/>
        <w:autoSpaceDE w:val="0"/>
        <w:autoSpaceDN w:val="0"/>
        <w:adjustRightInd w:val="0"/>
        <w:ind w:right="112"/>
        <w:jc w:val="both"/>
        <w:rPr>
          <w:rFonts w:eastAsia="MS Mincho"/>
          <w:sz w:val="22"/>
          <w:szCs w:val="22"/>
          <w:lang w:eastAsia="ja-JP"/>
        </w:rPr>
      </w:pPr>
      <w:r w:rsidRPr="00F54B58">
        <w:rPr>
          <w:rFonts w:eastAsia="MS Mincho"/>
          <w:sz w:val="22"/>
          <w:szCs w:val="22"/>
          <w:lang w:eastAsia="ja-JP"/>
        </w:rPr>
        <w:t xml:space="preserve">Docetakselis yra antinavikinis preparatas, todėl su juo, kaip ir kitais galimai toksiškais preparatais, dirbti ir jo tirpalą ruošti reikia atsargiai. Rekomenduojama mūvėti pirštines. </w:t>
      </w:r>
    </w:p>
    <w:p w:rsidR="00F54B58" w:rsidRPr="00F54B58" w:rsidRDefault="00F54B58" w:rsidP="00A766C3">
      <w:pPr>
        <w:widowControl w:val="0"/>
        <w:autoSpaceDE w:val="0"/>
        <w:autoSpaceDN w:val="0"/>
        <w:adjustRightInd w:val="0"/>
        <w:jc w:val="both"/>
        <w:rPr>
          <w:rFonts w:eastAsia="MS Mincho"/>
          <w:color w:val="000000"/>
          <w:sz w:val="22"/>
          <w:szCs w:val="22"/>
          <w:lang w:eastAsia="ja-JP"/>
        </w:rPr>
      </w:pPr>
    </w:p>
    <w:p w:rsidR="00F54B58" w:rsidRPr="00F54B58" w:rsidRDefault="00F54B58" w:rsidP="00A766C3">
      <w:pPr>
        <w:widowControl w:val="0"/>
        <w:autoSpaceDE w:val="0"/>
        <w:autoSpaceDN w:val="0"/>
        <w:adjustRightInd w:val="0"/>
        <w:jc w:val="both"/>
        <w:rPr>
          <w:rFonts w:eastAsia="MS Mincho"/>
          <w:sz w:val="22"/>
          <w:szCs w:val="22"/>
          <w:lang w:eastAsia="ja-JP"/>
        </w:rPr>
      </w:pPr>
      <w:r w:rsidRPr="00F54B58">
        <w:rPr>
          <w:rFonts w:eastAsia="MS Mincho"/>
          <w:sz w:val="22"/>
          <w:szCs w:val="22"/>
          <w:lang w:eastAsia="ja-JP"/>
        </w:rPr>
        <w:t xml:space="preserve">Jeigu docetakselio koncentrato, </w:t>
      </w:r>
      <w:r w:rsidR="00304AA5">
        <w:rPr>
          <w:rFonts w:eastAsia="MS Mincho"/>
          <w:sz w:val="22"/>
          <w:szCs w:val="22"/>
          <w:lang w:eastAsia="ja-JP"/>
        </w:rPr>
        <w:t>paruošto</w:t>
      </w:r>
      <w:r w:rsidR="00304AA5" w:rsidRPr="00F54B58">
        <w:rPr>
          <w:rFonts w:eastAsia="MS Mincho"/>
          <w:sz w:val="22"/>
          <w:szCs w:val="22"/>
          <w:lang w:eastAsia="ja-JP"/>
        </w:rPr>
        <w:t xml:space="preserve"> </w:t>
      </w:r>
      <w:r w:rsidRPr="00F54B58">
        <w:rPr>
          <w:rFonts w:eastAsia="MS Mincho"/>
          <w:sz w:val="22"/>
          <w:szCs w:val="22"/>
          <w:lang w:eastAsia="ja-JP"/>
        </w:rPr>
        <w:t xml:space="preserve">arba infuzinio tirpalo patenka ant odos, ją būtina nedelsiant kruopščiai nuplauti muilu ir vandeniu. Jeigu docetakselio koncentrato, </w:t>
      </w:r>
      <w:r w:rsidR="00304AA5">
        <w:rPr>
          <w:rFonts w:eastAsia="MS Mincho"/>
          <w:sz w:val="22"/>
          <w:szCs w:val="22"/>
          <w:lang w:eastAsia="ja-JP"/>
        </w:rPr>
        <w:t>paruošto</w:t>
      </w:r>
      <w:r w:rsidR="00304AA5" w:rsidRPr="00F54B58">
        <w:rPr>
          <w:rFonts w:eastAsia="MS Mincho"/>
          <w:sz w:val="22"/>
          <w:szCs w:val="22"/>
          <w:lang w:eastAsia="ja-JP"/>
        </w:rPr>
        <w:t xml:space="preserve"> </w:t>
      </w:r>
      <w:r w:rsidRPr="00F54B58">
        <w:rPr>
          <w:rFonts w:eastAsia="MS Mincho"/>
          <w:sz w:val="22"/>
          <w:szCs w:val="22"/>
          <w:lang w:eastAsia="ja-JP"/>
        </w:rPr>
        <w:t xml:space="preserve">arba infuzinio tirpalo patenka ant gleivinės, ją būtina nedelsiant kruopščiai nuplauti vandeniu. </w:t>
      </w:r>
    </w:p>
    <w:p w:rsidR="00BD35C3" w:rsidRDefault="00BD35C3" w:rsidP="00C93814">
      <w:pPr>
        <w:widowControl w:val="0"/>
        <w:tabs>
          <w:tab w:val="left" w:pos="567"/>
        </w:tabs>
        <w:autoSpaceDE w:val="0"/>
        <w:autoSpaceDN w:val="0"/>
        <w:adjustRightInd w:val="0"/>
        <w:rPr>
          <w:rFonts w:eastAsia="MS Mincho"/>
          <w:b/>
          <w:bCs/>
          <w:sz w:val="22"/>
          <w:szCs w:val="22"/>
          <w:lang w:eastAsia="ja-JP"/>
        </w:rPr>
      </w:pPr>
    </w:p>
    <w:p w:rsidR="00F54B58" w:rsidRPr="00F54B58" w:rsidRDefault="00F54B58" w:rsidP="00C93814">
      <w:pPr>
        <w:widowControl w:val="0"/>
        <w:tabs>
          <w:tab w:val="left" w:pos="567"/>
        </w:tabs>
        <w:autoSpaceDE w:val="0"/>
        <w:autoSpaceDN w:val="0"/>
        <w:adjustRightInd w:val="0"/>
        <w:rPr>
          <w:rFonts w:eastAsia="MS Mincho"/>
          <w:b/>
          <w:bCs/>
          <w:sz w:val="22"/>
          <w:szCs w:val="22"/>
          <w:lang w:eastAsia="ja-JP"/>
        </w:rPr>
      </w:pPr>
      <w:r w:rsidRPr="00F54B58">
        <w:rPr>
          <w:rFonts w:eastAsia="MS Mincho"/>
          <w:b/>
          <w:bCs/>
          <w:sz w:val="22"/>
          <w:szCs w:val="22"/>
          <w:lang w:eastAsia="ja-JP"/>
        </w:rPr>
        <w:t xml:space="preserve">4. </w:t>
      </w:r>
      <w:r w:rsidRPr="00F54B58">
        <w:rPr>
          <w:rFonts w:eastAsia="MS Mincho"/>
          <w:b/>
          <w:bCs/>
          <w:sz w:val="22"/>
          <w:szCs w:val="22"/>
          <w:lang w:eastAsia="ja-JP"/>
        </w:rPr>
        <w:tab/>
        <w:t xml:space="preserve">TIRPALO VARTOJIMUI Į VENĄ RUOŠIMAS </w:t>
      </w:r>
    </w:p>
    <w:p w:rsidR="00E031DA" w:rsidRPr="00F54B58" w:rsidRDefault="007B11CB" w:rsidP="00C93814">
      <w:pPr>
        <w:framePr w:w="3563" w:wrap="auto" w:vAnchor="page" w:hAnchor="page" w:x="7352" w:y="1499"/>
        <w:widowControl w:val="0"/>
        <w:tabs>
          <w:tab w:val="left" w:pos="567"/>
        </w:tabs>
        <w:autoSpaceDE w:val="0"/>
        <w:autoSpaceDN w:val="0"/>
        <w:adjustRightInd w:val="0"/>
        <w:rPr>
          <w:rFonts w:eastAsia="MS Mincho"/>
          <w:sz w:val="22"/>
          <w:szCs w:val="22"/>
          <w:lang w:eastAsia="ja-JP"/>
        </w:rPr>
      </w:pPr>
      <w:r>
        <w:rPr>
          <w:rFonts w:eastAsia="MS Mincho"/>
          <w:noProof/>
          <w:sz w:val="22"/>
          <w:szCs w:val="22"/>
          <w:lang w:eastAsia="lt-LT"/>
        </w:rPr>
        <w:lastRenderedPageBreak/>
        <w:drawing>
          <wp:inline distT="0" distB="0" distL="0" distR="0">
            <wp:extent cx="1743075" cy="68103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6810375"/>
                    </a:xfrm>
                    <a:prstGeom prst="rect">
                      <a:avLst/>
                    </a:prstGeom>
                    <a:noFill/>
                    <a:ln>
                      <a:noFill/>
                    </a:ln>
                  </pic:spPr>
                </pic:pic>
              </a:graphicData>
            </a:graphic>
          </wp:inline>
        </w:drawing>
      </w:r>
    </w:p>
    <w:p w:rsidR="00F54B58" w:rsidRPr="00F54B58" w:rsidRDefault="00F54B58" w:rsidP="00C93814">
      <w:pPr>
        <w:widowControl w:val="0"/>
        <w:tabs>
          <w:tab w:val="left" w:pos="567"/>
        </w:tabs>
        <w:autoSpaceDE w:val="0"/>
        <w:autoSpaceDN w:val="0"/>
        <w:adjustRightInd w:val="0"/>
        <w:rPr>
          <w:rFonts w:eastAsia="MS Mincho"/>
          <w:color w:val="000000"/>
          <w:sz w:val="22"/>
          <w:szCs w:val="22"/>
          <w:lang w:eastAsia="ja-JP"/>
        </w:rPr>
      </w:pPr>
    </w:p>
    <w:p w:rsidR="00F54B58" w:rsidRPr="00F54B58" w:rsidRDefault="00F54B58" w:rsidP="00C93814">
      <w:pPr>
        <w:widowControl w:val="0"/>
        <w:tabs>
          <w:tab w:val="left" w:pos="567"/>
        </w:tabs>
        <w:autoSpaceDE w:val="0"/>
        <w:autoSpaceDN w:val="0"/>
        <w:adjustRightInd w:val="0"/>
        <w:rPr>
          <w:rFonts w:eastAsia="MS Mincho"/>
          <w:b/>
          <w:bCs/>
          <w:sz w:val="22"/>
          <w:szCs w:val="22"/>
          <w:lang w:eastAsia="ja-JP"/>
        </w:rPr>
      </w:pPr>
      <w:r w:rsidRPr="00F54B58">
        <w:rPr>
          <w:rFonts w:eastAsia="MS Mincho"/>
          <w:b/>
          <w:bCs/>
          <w:sz w:val="22"/>
          <w:szCs w:val="22"/>
          <w:lang w:eastAsia="ja-JP"/>
        </w:rPr>
        <w:t xml:space="preserve">4.1 </w:t>
      </w:r>
      <w:r w:rsidRPr="00F54B58">
        <w:rPr>
          <w:rFonts w:eastAsia="MS Mincho"/>
          <w:b/>
          <w:bCs/>
          <w:sz w:val="22"/>
          <w:szCs w:val="22"/>
          <w:lang w:eastAsia="ja-JP"/>
        </w:rPr>
        <w:tab/>
      </w:r>
      <w:r w:rsidR="00D036F8" w:rsidRPr="00F54B58">
        <w:rPr>
          <w:rFonts w:eastAsia="MS Mincho"/>
          <w:b/>
          <w:bCs/>
          <w:sz w:val="22"/>
          <w:szCs w:val="22"/>
          <w:lang w:eastAsia="ja-JP"/>
        </w:rPr>
        <w:t>Docetak</w:t>
      </w:r>
      <w:r w:rsidR="00D036F8">
        <w:rPr>
          <w:rFonts w:eastAsia="MS Mincho"/>
          <w:b/>
          <w:bCs/>
          <w:sz w:val="22"/>
          <w:szCs w:val="22"/>
          <w:lang w:eastAsia="ja-JP"/>
        </w:rPr>
        <w:t xml:space="preserve">selio </w:t>
      </w:r>
      <w:r w:rsidR="00A766C3">
        <w:rPr>
          <w:rFonts w:eastAsia="MS Mincho"/>
          <w:b/>
          <w:bCs/>
          <w:sz w:val="22"/>
          <w:szCs w:val="22"/>
          <w:lang w:eastAsia="ja-JP"/>
        </w:rPr>
        <w:t xml:space="preserve">tirpalo (docetakselio 10 </w:t>
      </w:r>
      <w:r w:rsidRPr="00F54B58">
        <w:rPr>
          <w:rFonts w:eastAsia="MS Mincho"/>
          <w:b/>
          <w:bCs/>
          <w:sz w:val="22"/>
          <w:szCs w:val="22"/>
          <w:lang w:eastAsia="ja-JP"/>
        </w:rPr>
        <w:t xml:space="preserve">mg/ml) ruošimas </w:t>
      </w:r>
    </w:p>
    <w:p w:rsidR="00F54B58" w:rsidRPr="00F54B58" w:rsidRDefault="00F54B58" w:rsidP="00F54B58">
      <w:pPr>
        <w:widowControl w:val="0"/>
        <w:autoSpaceDE w:val="0"/>
        <w:autoSpaceDN w:val="0"/>
        <w:adjustRightInd w:val="0"/>
        <w:rPr>
          <w:rFonts w:eastAsia="MS Mincho"/>
          <w:b/>
          <w:bCs/>
          <w:sz w:val="22"/>
          <w:szCs w:val="22"/>
          <w:lang w:eastAsia="ja-JP"/>
        </w:rPr>
      </w:pPr>
    </w:p>
    <w:p w:rsidR="00F54B58" w:rsidRPr="00F54B58" w:rsidRDefault="00F54B58" w:rsidP="00F54B58">
      <w:pPr>
        <w:widowControl w:val="0"/>
        <w:autoSpaceDE w:val="0"/>
        <w:autoSpaceDN w:val="0"/>
        <w:adjustRightInd w:val="0"/>
        <w:ind w:left="709" w:hanging="709"/>
        <w:rPr>
          <w:rFonts w:eastAsia="MS Mincho"/>
          <w:sz w:val="22"/>
          <w:szCs w:val="22"/>
          <w:lang w:eastAsia="ja-JP"/>
        </w:rPr>
      </w:pPr>
      <w:r w:rsidRPr="00F54B58">
        <w:rPr>
          <w:rFonts w:eastAsia="MS Mincho"/>
          <w:b/>
          <w:bCs/>
          <w:sz w:val="22"/>
          <w:szCs w:val="22"/>
          <w:lang w:eastAsia="ja-JP"/>
        </w:rPr>
        <w:t xml:space="preserve">4.1.1 </w:t>
      </w:r>
      <w:r w:rsidRPr="00F54B58">
        <w:rPr>
          <w:rFonts w:eastAsia="MS Mincho"/>
          <w:b/>
          <w:bCs/>
          <w:sz w:val="22"/>
          <w:szCs w:val="22"/>
          <w:lang w:eastAsia="ja-JP"/>
        </w:rPr>
        <w:tab/>
      </w:r>
      <w:r w:rsidRPr="00F54B58">
        <w:rPr>
          <w:rFonts w:eastAsia="MS Mincho"/>
          <w:sz w:val="22"/>
          <w:szCs w:val="22"/>
          <w:lang w:eastAsia="ja-JP"/>
        </w:rPr>
        <w:t xml:space="preserve">Jeigu buteliukai laikomi šaldytuve, iš jo paimtą reikiamą </w:t>
      </w:r>
      <w:proofErr w:type="spellStart"/>
      <w:r w:rsidR="00D34119" w:rsidRPr="00DE749D">
        <w:rPr>
          <w:sz w:val="22"/>
          <w:szCs w:val="22"/>
        </w:rPr>
        <w:t>Docetaxel</w:t>
      </w:r>
      <w:proofErr w:type="spellEnd"/>
      <w:r w:rsidR="00D34119" w:rsidRPr="00DE749D">
        <w:rPr>
          <w:sz w:val="22"/>
          <w:szCs w:val="22"/>
        </w:rPr>
        <w:t xml:space="preserve"> </w:t>
      </w:r>
      <w:proofErr w:type="spellStart"/>
      <w:r w:rsidR="00D34119" w:rsidRPr="00DE749D">
        <w:rPr>
          <w:sz w:val="22"/>
          <w:szCs w:val="22"/>
        </w:rPr>
        <w:t>Mylan</w:t>
      </w:r>
      <w:proofErr w:type="spellEnd"/>
      <w:r w:rsidR="00D34119">
        <w:t xml:space="preserve"> </w:t>
      </w:r>
      <w:r w:rsidRPr="00F54B58">
        <w:rPr>
          <w:rFonts w:eastAsia="MS Mincho"/>
          <w:sz w:val="22"/>
          <w:szCs w:val="22"/>
          <w:lang w:eastAsia="ja-JP"/>
        </w:rPr>
        <w:t>koncentrato ir tirpiklio infuziniam tirpalui dėžučių skaičių reikia 5 min. palaikyti kambario temperatūroje (</w:t>
      </w:r>
      <w:r w:rsidR="00E031DA">
        <w:rPr>
          <w:rFonts w:eastAsia="MS Mincho"/>
          <w:sz w:val="22"/>
          <w:szCs w:val="22"/>
          <w:lang w:eastAsia="ja-JP"/>
        </w:rPr>
        <w:t>žemesnėje</w:t>
      </w:r>
      <w:r w:rsidRPr="00F54B58">
        <w:rPr>
          <w:rFonts w:eastAsia="MS Mincho"/>
          <w:sz w:val="22"/>
          <w:szCs w:val="22"/>
          <w:lang w:eastAsia="ja-JP"/>
        </w:rPr>
        <w:t xml:space="preserve"> kaip 25 °C). </w:t>
      </w: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ind w:left="709" w:right="222" w:hanging="709"/>
        <w:rPr>
          <w:rFonts w:eastAsia="MS Mincho"/>
          <w:sz w:val="22"/>
          <w:szCs w:val="22"/>
          <w:lang w:eastAsia="ja-JP"/>
        </w:rPr>
      </w:pPr>
      <w:r w:rsidRPr="00F54B58">
        <w:rPr>
          <w:rFonts w:eastAsia="MS Mincho"/>
          <w:b/>
          <w:bCs/>
          <w:sz w:val="22"/>
          <w:szCs w:val="22"/>
          <w:lang w:eastAsia="ja-JP"/>
        </w:rPr>
        <w:t xml:space="preserve">4.1.2 </w:t>
      </w:r>
      <w:r w:rsidRPr="00F54B58">
        <w:rPr>
          <w:rFonts w:eastAsia="MS Mincho"/>
          <w:b/>
          <w:bCs/>
          <w:sz w:val="22"/>
          <w:szCs w:val="22"/>
          <w:lang w:eastAsia="ja-JP"/>
        </w:rPr>
        <w:tab/>
      </w:r>
      <w:r w:rsidRPr="00F54B58">
        <w:rPr>
          <w:rFonts w:eastAsia="MS Mincho"/>
          <w:sz w:val="22"/>
          <w:szCs w:val="22"/>
          <w:lang w:eastAsia="ja-JP"/>
        </w:rPr>
        <w:t xml:space="preserve">Švirkštu su prie jo pritvirtinta adata reikia steriliomis sąlygomis iš tirpiklio buteliuko, jį nevisiškai apvertus, ištraukti visą kiekį. </w:t>
      </w: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ind w:left="709" w:hanging="709"/>
        <w:rPr>
          <w:rFonts w:eastAsia="MS Mincho"/>
          <w:sz w:val="22"/>
          <w:szCs w:val="22"/>
          <w:lang w:eastAsia="ja-JP"/>
        </w:rPr>
      </w:pPr>
      <w:r w:rsidRPr="00F54B58">
        <w:rPr>
          <w:rFonts w:eastAsia="MS Mincho"/>
          <w:b/>
          <w:bCs/>
          <w:sz w:val="22"/>
          <w:szCs w:val="22"/>
          <w:lang w:eastAsia="ja-JP"/>
        </w:rPr>
        <w:t xml:space="preserve">4.1.3 </w:t>
      </w:r>
      <w:r w:rsidRPr="00F54B58">
        <w:rPr>
          <w:rFonts w:eastAsia="MS Mincho"/>
          <w:b/>
          <w:bCs/>
          <w:sz w:val="22"/>
          <w:szCs w:val="22"/>
          <w:lang w:eastAsia="ja-JP"/>
        </w:rPr>
        <w:tab/>
      </w:r>
      <w:r w:rsidRPr="00F54B58">
        <w:rPr>
          <w:rFonts w:eastAsia="MS Mincho"/>
          <w:sz w:val="22"/>
          <w:szCs w:val="22"/>
          <w:lang w:eastAsia="ja-JP"/>
        </w:rPr>
        <w:t xml:space="preserve">Visą švirkšte esantį tirpiklio kiekį reikia suleisti į atitinkamą </w:t>
      </w:r>
      <w:proofErr w:type="spellStart"/>
      <w:r w:rsidR="00D34119" w:rsidRPr="00DE749D">
        <w:rPr>
          <w:sz w:val="22"/>
          <w:szCs w:val="22"/>
        </w:rPr>
        <w:t>Docetaxel</w:t>
      </w:r>
      <w:proofErr w:type="spellEnd"/>
      <w:r w:rsidR="00D34119" w:rsidRPr="00DE749D">
        <w:rPr>
          <w:sz w:val="22"/>
          <w:szCs w:val="22"/>
        </w:rPr>
        <w:t xml:space="preserve"> </w:t>
      </w:r>
      <w:proofErr w:type="spellStart"/>
      <w:r w:rsidR="00D34119" w:rsidRPr="00DE749D">
        <w:rPr>
          <w:sz w:val="22"/>
          <w:szCs w:val="22"/>
        </w:rPr>
        <w:t>Mylan</w:t>
      </w:r>
      <w:proofErr w:type="spellEnd"/>
      <w:r w:rsidR="00D34119">
        <w:t xml:space="preserve"> </w:t>
      </w:r>
      <w:r w:rsidRPr="00F54B58">
        <w:rPr>
          <w:rFonts w:eastAsia="MS Mincho"/>
          <w:sz w:val="22"/>
          <w:szCs w:val="22"/>
          <w:lang w:eastAsia="ja-JP"/>
        </w:rPr>
        <w:t xml:space="preserve">koncentrato buteliuką. </w:t>
      </w: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875C4B" w:rsidRDefault="00875C4B" w:rsidP="00F54B58">
      <w:pPr>
        <w:widowControl w:val="0"/>
        <w:autoSpaceDE w:val="0"/>
        <w:autoSpaceDN w:val="0"/>
        <w:adjustRightInd w:val="0"/>
        <w:ind w:left="709" w:hanging="709"/>
        <w:rPr>
          <w:rFonts w:eastAsia="MS Mincho"/>
          <w:b/>
          <w:bCs/>
          <w:sz w:val="22"/>
          <w:szCs w:val="22"/>
          <w:lang w:eastAsia="ja-JP"/>
        </w:rPr>
      </w:pPr>
    </w:p>
    <w:p w:rsidR="00875C4B" w:rsidRDefault="00875C4B" w:rsidP="00F54B58">
      <w:pPr>
        <w:widowControl w:val="0"/>
        <w:autoSpaceDE w:val="0"/>
        <w:autoSpaceDN w:val="0"/>
        <w:adjustRightInd w:val="0"/>
        <w:ind w:left="709" w:hanging="709"/>
        <w:rPr>
          <w:rFonts w:eastAsia="MS Mincho"/>
          <w:b/>
          <w:bCs/>
          <w:sz w:val="22"/>
          <w:szCs w:val="22"/>
          <w:lang w:eastAsia="ja-JP"/>
        </w:rPr>
      </w:pPr>
    </w:p>
    <w:p w:rsidR="00F54B58" w:rsidRPr="00F54B58" w:rsidRDefault="00F54B58" w:rsidP="00F54B58">
      <w:pPr>
        <w:widowControl w:val="0"/>
        <w:autoSpaceDE w:val="0"/>
        <w:autoSpaceDN w:val="0"/>
        <w:adjustRightInd w:val="0"/>
        <w:ind w:left="709" w:hanging="709"/>
        <w:rPr>
          <w:rFonts w:eastAsia="MS Mincho"/>
          <w:sz w:val="22"/>
          <w:szCs w:val="22"/>
          <w:lang w:eastAsia="ja-JP"/>
        </w:rPr>
      </w:pPr>
      <w:r w:rsidRPr="00F54B58">
        <w:rPr>
          <w:rFonts w:eastAsia="MS Mincho"/>
          <w:b/>
          <w:bCs/>
          <w:sz w:val="22"/>
          <w:szCs w:val="22"/>
          <w:lang w:eastAsia="ja-JP"/>
        </w:rPr>
        <w:t xml:space="preserve">4.1.4 </w:t>
      </w:r>
      <w:r w:rsidRPr="00F54B58">
        <w:rPr>
          <w:rFonts w:eastAsia="MS Mincho"/>
          <w:b/>
          <w:bCs/>
          <w:sz w:val="22"/>
          <w:szCs w:val="22"/>
          <w:lang w:eastAsia="ja-JP"/>
        </w:rPr>
        <w:tab/>
      </w:r>
      <w:r w:rsidRPr="00F54B58">
        <w:rPr>
          <w:rFonts w:eastAsia="MS Mincho"/>
          <w:sz w:val="22"/>
          <w:szCs w:val="22"/>
          <w:lang w:eastAsia="ja-JP"/>
        </w:rPr>
        <w:t xml:space="preserve">Adatą su švirkštu ištraukus, buteliuko, kartotinai jį apverčiant mažiausiai 45 sekundes, turinį sumaišyti. Buteliuko nekratyti. </w:t>
      </w:r>
    </w:p>
    <w:p w:rsidR="00F54B58" w:rsidRPr="00F54B58" w:rsidRDefault="00F54B58" w:rsidP="00F54B58">
      <w:pPr>
        <w:pageBreakBefore/>
        <w:widowControl w:val="0"/>
        <w:autoSpaceDE w:val="0"/>
        <w:autoSpaceDN w:val="0"/>
        <w:adjustRightInd w:val="0"/>
        <w:ind w:left="709" w:right="3587" w:hanging="709"/>
        <w:rPr>
          <w:rFonts w:eastAsia="MS Mincho"/>
          <w:sz w:val="22"/>
          <w:szCs w:val="22"/>
          <w:lang w:eastAsia="ja-JP"/>
        </w:rPr>
      </w:pPr>
      <w:r w:rsidRPr="00F54B58">
        <w:rPr>
          <w:rFonts w:eastAsia="MS Mincho"/>
          <w:b/>
          <w:bCs/>
          <w:sz w:val="22"/>
          <w:szCs w:val="22"/>
          <w:lang w:eastAsia="ja-JP"/>
        </w:rPr>
        <w:lastRenderedPageBreak/>
        <w:t xml:space="preserve">4.1.5 </w:t>
      </w:r>
      <w:r w:rsidRPr="00F54B58">
        <w:rPr>
          <w:rFonts w:eastAsia="MS Mincho"/>
          <w:b/>
          <w:bCs/>
          <w:sz w:val="22"/>
          <w:szCs w:val="22"/>
          <w:lang w:eastAsia="ja-JP"/>
        </w:rPr>
        <w:tab/>
      </w:r>
      <w:r w:rsidRPr="00F54B58">
        <w:rPr>
          <w:rFonts w:eastAsia="MS Mincho"/>
          <w:sz w:val="22"/>
          <w:szCs w:val="22"/>
          <w:lang w:eastAsia="ja-JP"/>
        </w:rPr>
        <w:t xml:space="preserve">Buteliuką su </w:t>
      </w:r>
      <w:r w:rsidR="00E031DA">
        <w:rPr>
          <w:rFonts w:eastAsia="MS Mincho"/>
          <w:sz w:val="22"/>
          <w:szCs w:val="22"/>
          <w:lang w:eastAsia="ja-JP"/>
        </w:rPr>
        <w:t>paruoštu</w:t>
      </w:r>
      <w:r w:rsidR="00E031DA" w:rsidRPr="00F54B58">
        <w:rPr>
          <w:rFonts w:eastAsia="MS Mincho"/>
          <w:sz w:val="22"/>
          <w:szCs w:val="22"/>
          <w:lang w:eastAsia="ja-JP"/>
        </w:rPr>
        <w:t xml:space="preserve"> </w:t>
      </w:r>
      <w:r w:rsidRPr="00F54B58">
        <w:rPr>
          <w:rFonts w:eastAsia="MS Mincho"/>
          <w:sz w:val="22"/>
          <w:szCs w:val="22"/>
          <w:lang w:eastAsia="ja-JP"/>
        </w:rPr>
        <w:t>tirpalu 5 minutes palaikyti kambario temperatūroje (</w:t>
      </w:r>
      <w:r w:rsidR="00E031DA">
        <w:rPr>
          <w:rFonts w:eastAsia="MS Mincho"/>
          <w:sz w:val="22"/>
          <w:szCs w:val="22"/>
          <w:lang w:eastAsia="ja-JP"/>
        </w:rPr>
        <w:t>žemesnėje</w:t>
      </w:r>
      <w:r w:rsidRPr="00F54B58">
        <w:rPr>
          <w:rFonts w:eastAsia="MS Mincho"/>
          <w:sz w:val="22"/>
          <w:szCs w:val="22"/>
          <w:lang w:eastAsia="ja-JP"/>
        </w:rPr>
        <w:t xml:space="preserve"> kaip 25 °C), po to patikrinti, ar tirpalas homogeninis ir skaidrus (putojimas net po 5 min. yra normalu, kadangi sudėtyje yra polisorbato 80). </w:t>
      </w: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ind w:left="709" w:right="3587"/>
        <w:rPr>
          <w:rFonts w:eastAsia="MS Mincho"/>
          <w:sz w:val="22"/>
          <w:szCs w:val="22"/>
          <w:lang w:eastAsia="ja-JP"/>
        </w:rPr>
      </w:pPr>
      <w:r w:rsidRPr="00F54B58">
        <w:rPr>
          <w:rFonts w:eastAsia="MS Mincho"/>
          <w:sz w:val="22"/>
          <w:szCs w:val="22"/>
          <w:lang w:eastAsia="ja-JP"/>
        </w:rPr>
        <w:t>Paruoštame tirpale yra 10 mg/ml docetakselio ir jį reikia suvartoti nedelsiant po paruošimo. Paruošto tirpalo cheminės ir fizinės savybės išlieka stabilios 8 valandas laikant 2</w:t>
      </w:r>
      <w:r w:rsidR="00E031DA" w:rsidRPr="00F54B58">
        <w:rPr>
          <w:rFonts w:eastAsia="MS Mincho"/>
          <w:sz w:val="22"/>
          <w:szCs w:val="22"/>
          <w:lang w:eastAsia="ja-JP"/>
        </w:rPr>
        <w:t xml:space="preserve">°C </w:t>
      </w:r>
      <w:r w:rsidRPr="00F54B58">
        <w:rPr>
          <w:rFonts w:eastAsia="MS Mincho"/>
          <w:sz w:val="22"/>
          <w:szCs w:val="22"/>
          <w:lang w:eastAsia="ja-JP"/>
        </w:rPr>
        <w:t>–8 °C arba kambario temperatūroje (</w:t>
      </w:r>
      <w:r w:rsidR="00E031DA">
        <w:rPr>
          <w:rFonts w:eastAsia="MS Mincho"/>
          <w:sz w:val="22"/>
          <w:szCs w:val="22"/>
          <w:lang w:eastAsia="ja-JP"/>
        </w:rPr>
        <w:t>žemesnėje</w:t>
      </w:r>
      <w:r w:rsidRPr="00F54B58">
        <w:rPr>
          <w:rFonts w:eastAsia="MS Mincho"/>
          <w:sz w:val="22"/>
          <w:szCs w:val="22"/>
          <w:lang w:eastAsia="ja-JP"/>
        </w:rPr>
        <w:t xml:space="preserve"> kaip 25 °C). </w:t>
      </w:r>
    </w:p>
    <w:p w:rsidR="00F54B58" w:rsidRPr="00F54B58" w:rsidRDefault="00F54B58"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ind w:left="709" w:right="3587" w:hanging="709"/>
        <w:rPr>
          <w:rFonts w:eastAsia="MS Mincho"/>
          <w:sz w:val="22"/>
          <w:szCs w:val="22"/>
          <w:lang w:eastAsia="ja-JP"/>
        </w:rPr>
      </w:pPr>
      <w:r w:rsidRPr="00F54B58">
        <w:rPr>
          <w:rFonts w:eastAsia="MS Mincho"/>
          <w:b/>
          <w:bCs/>
          <w:sz w:val="22"/>
          <w:szCs w:val="22"/>
          <w:lang w:eastAsia="ja-JP"/>
        </w:rPr>
        <w:t xml:space="preserve">4.2 </w:t>
      </w:r>
      <w:r w:rsidRPr="00F54B58">
        <w:rPr>
          <w:rFonts w:eastAsia="MS Mincho"/>
          <w:b/>
          <w:bCs/>
          <w:sz w:val="22"/>
          <w:szCs w:val="22"/>
          <w:lang w:eastAsia="ja-JP"/>
        </w:rPr>
        <w:tab/>
        <w:t xml:space="preserve">Infuzinio tirpalo ruošimas </w:t>
      </w:r>
    </w:p>
    <w:p w:rsidR="00E031DA" w:rsidRPr="00F54B58" w:rsidRDefault="007B11CB" w:rsidP="00C93814">
      <w:pPr>
        <w:framePr w:w="3716" w:wrap="auto" w:vAnchor="page" w:hAnchor="page" w:x="7172" w:y="4559"/>
        <w:widowControl w:val="0"/>
        <w:autoSpaceDE w:val="0"/>
        <w:autoSpaceDN w:val="0"/>
        <w:adjustRightInd w:val="0"/>
        <w:rPr>
          <w:rFonts w:eastAsia="MS Mincho"/>
          <w:sz w:val="22"/>
          <w:szCs w:val="22"/>
          <w:lang w:eastAsia="ja-JP"/>
        </w:rPr>
      </w:pPr>
      <w:r>
        <w:rPr>
          <w:rFonts w:eastAsia="MS Mincho"/>
          <w:noProof/>
          <w:sz w:val="22"/>
          <w:szCs w:val="22"/>
          <w:lang w:eastAsia="lt-LT"/>
        </w:rPr>
        <w:drawing>
          <wp:inline distT="0" distB="0" distL="0" distR="0">
            <wp:extent cx="1838325" cy="51149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5114925"/>
                    </a:xfrm>
                    <a:prstGeom prst="rect">
                      <a:avLst/>
                    </a:prstGeom>
                    <a:noFill/>
                    <a:ln>
                      <a:noFill/>
                    </a:ln>
                  </pic:spPr>
                </pic:pic>
              </a:graphicData>
            </a:graphic>
          </wp:inline>
        </w:drawing>
      </w:r>
    </w:p>
    <w:p w:rsidR="00F54B58" w:rsidRPr="00F54B58" w:rsidRDefault="00F54B58" w:rsidP="00F54B58">
      <w:pPr>
        <w:widowControl w:val="0"/>
        <w:autoSpaceDE w:val="0"/>
        <w:autoSpaceDN w:val="0"/>
        <w:adjustRightInd w:val="0"/>
        <w:ind w:left="709" w:right="3587" w:hanging="709"/>
        <w:rPr>
          <w:rFonts w:eastAsia="MS Mincho"/>
          <w:b/>
          <w:bCs/>
          <w:sz w:val="22"/>
          <w:szCs w:val="22"/>
          <w:lang w:eastAsia="ja-JP"/>
        </w:rPr>
      </w:pPr>
    </w:p>
    <w:p w:rsidR="00F54B58" w:rsidRPr="00F54B58" w:rsidRDefault="00F54B58" w:rsidP="00F54B58">
      <w:pPr>
        <w:widowControl w:val="0"/>
        <w:autoSpaceDE w:val="0"/>
        <w:autoSpaceDN w:val="0"/>
        <w:adjustRightInd w:val="0"/>
        <w:ind w:left="709" w:right="3587" w:hanging="709"/>
        <w:rPr>
          <w:rFonts w:eastAsia="MS Mincho"/>
          <w:sz w:val="22"/>
          <w:szCs w:val="22"/>
          <w:lang w:eastAsia="ja-JP"/>
        </w:rPr>
      </w:pPr>
      <w:r w:rsidRPr="00F54B58">
        <w:rPr>
          <w:rFonts w:eastAsia="MS Mincho"/>
          <w:b/>
          <w:bCs/>
          <w:sz w:val="22"/>
          <w:szCs w:val="22"/>
          <w:lang w:eastAsia="ja-JP"/>
        </w:rPr>
        <w:t xml:space="preserve">4.2.1 </w:t>
      </w:r>
      <w:r w:rsidRPr="00F54B58">
        <w:rPr>
          <w:rFonts w:eastAsia="MS Mincho"/>
          <w:b/>
          <w:bCs/>
          <w:sz w:val="22"/>
          <w:szCs w:val="22"/>
          <w:lang w:eastAsia="ja-JP"/>
        </w:rPr>
        <w:tab/>
      </w:r>
      <w:r w:rsidRPr="00F54B58">
        <w:rPr>
          <w:rFonts w:eastAsia="MS Mincho"/>
          <w:sz w:val="22"/>
          <w:szCs w:val="22"/>
          <w:lang w:eastAsia="ja-JP"/>
        </w:rPr>
        <w:t xml:space="preserve">Kad dozė pacientui būtų reikiama, gali prireikti daugiau negu vieno buteliuko </w:t>
      </w:r>
      <w:r w:rsidR="004C775C">
        <w:rPr>
          <w:rFonts w:eastAsia="MS Mincho"/>
          <w:sz w:val="22"/>
          <w:szCs w:val="22"/>
          <w:lang w:eastAsia="ja-JP"/>
        </w:rPr>
        <w:t>paruošto</w:t>
      </w:r>
      <w:r w:rsidR="004C775C" w:rsidRPr="00F54B58">
        <w:rPr>
          <w:rFonts w:eastAsia="MS Mincho"/>
          <w:sz w:val="22"/>
          <w:szCs w:val="22"/>
          <w:lang w:eastAsia="ja-JP"/>
        </w:rPr>
        <w:t xml:space="preserve"> </w:t>
      </w:r>
      <w:r w:rsidRPr="00F54B58">
        <w:rPr>
          <w:rFonts w:eastAsia="MS Mincho"/>
          <w:sz w:val="22"/>
          <w:szCs w:val="22"/>
          <w:lang w:eastAsia="ja-JP"/>
        </w:rPr>
        <w:t xml:space="preserve">tirpalo. Atsižvelgiant į pacientui reikiamą dozę, išreikštą miligramais, reikia steriliomis sąlygomis graduotu švirkštu su prie jo pritvirtinta adata išsiurbti atitinkamą </w:t>
      </w:r>
      <w:r w:rsidR="00E031DA">
        <w:rPr>
          <w:rFonts w:eastAsia="MS Mincho"/>
          <w:sz w:val="22"/>
          <w:szCs w:val="22"/>
          <w:lang w:eastAsia="ja-JP"/>
        </w:rPr>
        <w:t>paruošto</w:t>
      </w:r>
      <w:r w:rsidR="00E031DA" w:rsidRPr="00F54B58">
        <w:rPr>
          <w:rFonts w:eastAsia="MS Mincho"/>
          <w:sz w:val="22"/>
          <w:szCs w:val="22"/>
          <w:lang w:eastAsia="ja-JP"/>
        </w:rPr>
        <w:t xml:space="preserve"> </w:t>
      </w:r>
      <w:r w:rsidRPr="00F54B58">
        <w:rPr>
          <w:rFonts w:eastAsia="MS Mincho"/>
          <w:sz w:val="22"/>
          <w:szCs w:val="22"/>
          <w:lang w:eastAsia="ja-JP"/>
        </w:rPr>
        <w:t xml:space="preserve">tirpalo, kuriame yra 10 mg/ml docetakselio, kiekį. Pavyzdžiui, jeigu reikiama docetakselio dozė yra 140 mg, </w:t>
      </w:r>
      <w:r w:rsidR="00E031DA">
        <w:rPr>
          <w:rFonts w:eastAsia="MS Mincho"/>
          <w:sz w:val="22"/>
          <w:szCs w:val="22"/>
          <w:lang w:eastAsia="ja-JP"/>
        </w:rPr>
        <w:t>paruošto</w:t>
      </w:r>
      <w:r w:rsidR="00E031DA" w:rsidRPr="00F54B58">
        <w:rPr>
          <w:rFonts w:eastAsia="MS Mincho"/>
          <w:sz w:val="22"/>
          <w:szCs w:val="22"/>
          <w:lang w:eastAsia="ja-JP"/>
        </w:rPr>
        <w:t xml:space="preserve"> </w:t>
      </w:r>
      <w:r w:rsidRPr="00F54B58">
        <w:rPr>
          <w:rFonts w:eastAsia="MS Mincho"/>
          <w:sz w:val="22"/>
          <w:szCs w:val="22"/>
          <w:lang w:eastAsia="ja-JP"/>
        </w:rPr>
        <w:t xml:space="preserve">tirpalo reikia išsiurbti 14 ml. </w:t>
      </w:r>
    </w:p>
    <w:p w:rsidR="00F54B58" w:rsidRDefault="00F54B58" w:rsidP="00F54B58">
      <w:pPr>
        <w:widowControl w:val="0"/>
        <w:autoSpaceDE w:val="0"/>
        <w:autoSpaceDN w:val="0"/>
        <w:adjustRightInd w:val="0"/>
        <w:rPr>
          <w:rFonts w:eastAsia="MS Mincho"/>
          <w:color w:val="000000"/>
          <w:sz w:val="22"/>
          <w:szCs w:val="22"/>
          <w:lang w:eastAsia="ja-JP"/>
        </w:rPr>
      </w:pPr>
    </w:p>
    <w:p w:rsidR="00E031DA" w:rsidRPr="00F54B58" w:rsidRDefault="00E031DA"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ind w:left="709" w:right="3587" w:hanging="709"/>
        <w:rPr>
          <w:rFonts w:eastAsia="MS Mincho"/>
          <w:sz w:val="22"/>
          <w:szCs w:val="22"/>
          <w:lang w:eastAsia="ja-JP"/>
        </w:rPr>
      </w:pPr>
      <w:r w:rsidRPr="00F54B58">
        <w:rPr>
          <w:rFonts w:eastAsia="MS Mincho"/>
          <w:b/>
          <w:bCs/>
          <w:sz w:val="22"/>
          <w:szCs w:val="22"/>
          <w:lang w:eastAsia="ja-JP"/>
        </w:rPr>
        <w:t xml:space="preserve">4.2.2 </w:t>
      </w:r>
      <w:r w:rsidRPr="00F54B58">
        <w:rPr>
          <w:rFonts w:eastAsia="MS Mincho"/>
          <w:b/>
          <w:bCs/>
          <w:sz w:val="22"/>
          <w:szCs w:val="22"/>
          <w:lang w:eastAsia="ja-JP"/>
        </w:rPr>
        <w:tab/>
      </w:r>
      <w:r w:rsidRPr="00F54B58">
        <w:rPr>
          <w:rFonts w:eastAsia="MS Mincho"/>
          <w:sz w:val="22"/>
          <w:szCs w:val="22"/>
          <w:lang w:eastAsia="ja-JP"/>
        </w:rPr>
        <w:t xml:space="preserve">Išsiurbtą </w:t>
      </w:r>
      <w:r w:rsidR="00E031DA">
        <w:rPr>
          <w:rFonts w:eastAsia="MS Mincho"/>
          <w:sz w:val="22"/>
          <w:szCs w:val="22"/>
          <w:lang w:eastAsia="ja-JP"/>
        </w:rPr>
        <w:t>paruošto</w:t>
      </w:r>
      <w:r w:rsidR="00E031DA" w:rsidRPr="00F54B58">
        <w:rPr>
          <w:rFonts w:eastAsia="MS Mincho"/>
          <w:sz w:val="22"/>
          <w:szCs w:val="22"/>
          <w:lang w:eastAsia="ja-JP"/>
        </w:rPr>
        <w:t xml:space="preserve"> </w:t>
      </w:r>
      <w:r w:rsidRPr="00F54B58">
        <w:rPr>
          <w:rFonts w:eastAsia="MS Mincho"/>
          <w:sz w:val="22"/>
          <w:szCs w:val="22"/>
          <w:lang w:eastAsia="ja-JP"/>
        </w:rPr>
        <w:t>tirpalo kiekį reikia suleisti į 250 ml infuzinį maišelį arba buteliuką, kuriame yra 5</w:t>
      </w:r>
      <w:r w:rsidRPr="00F54B58">
        <w:rPr>
          <w:rFonts w:eastAsia="MS Mincho"/>
          <w:sz w:val="22"/>
          <w:szCs w:val="22"/>
          <w:lang w:eastAsia="ja-JP"/>
        </w:rPr>
        <w:t> % gliukozės arba 0,9</w:t>
      </w:r>
      <w:r w:rsidRPr="00F54B58">
        <w:rPr>
          <w:rFonts w:eastAsia="MS Mincho"/>
          <w:sz w:val="22"/>
          <w:szCs w:val="22"/>
          <w:lang w:eastAsia="ja-JP"/>
        </w:rPr>
        <w:t xml:space="preserve"> % natrio chlorido tirpalo. Jeigu reikia didesnės negu 200 mg docetakselio dozės, reikia didesnio infuzinio tirpalo kiekio, kad docetakselio koncentracija neviršytų 0,74 mg/ml. </w:t>
      </w:r>
    </w:p>
    <w:p w:rsidR="00F54B58" w:rsidRDefault="00F54B58" w:rsidP="00F54B58">
      <w:pPr>
        <w:widowControl w:val="0"/>
        <w:autoSpaceDE w:val="0"/>
        <w:autoSpaceDN w:val="0"/>
        <w:adjustRightInd w:val="0"/>
        <w:rPr>
          <w:rFonts w:eastAsia="MS Mincho"/>
          <w:color w:val="000000"/>
          <w:sz w:val="22"/>
          <w:szCs w:val="22"/>
          <w:lang w:eastAsia="ja-JP"/>
        </w:rPr>
      </w:pPr>
    </w:p>
    <w:p w:rsidR="00E031DA" w:rsidRDefault="00E031DA" w:rsidP="00F54B58">
      <w:pPr>
        <w:widowControl w:val="0"/>
        <w:autoSpaceDE w:val="0"/>
        <w:autoSpaceDN w:val="0"/>
        <w:adjustRightInd w:val="0"/>
        <w:rPr>
          <w:rFonts w:eastAsia="MS Mincho"/>
          <w:color w:val="000000"/>
          <w:sz w:val="22"/>
          <w:szCs w:val="22"/>
          <w:lang w:eastAsia="ja-JP"/>
        </w:rPr>
      </w:pPr>
    </w:p>
    <w:p w:rsidR="00E031DA" w:rsidRDefault="00E031DA" w:rsidP="00F54B58">
      <w:pPr>
        <w:widowControl w:val="0"/>
        <w:autoSpaceDE w:val="0"/>
        <w:autoSpaceDN w:val="0"/>
        <w:adjustRightInd w:val="0"/>
        <w:rPr>
          <w:rFonts w:eastAsia="MS Mincho"/>
          <w:color w:val="000000"/>
          <w:sz w:val="22"/>
          <w:szCs w:val="22"/>
          <w:lang w:eastAsia="ja-JP"/>
        </w:rPr>
      </w:pPr>
    </w:p>
    <w:p w:rsidR="00E031DA" w:rsidRDefault="00E031DA" w:rsidP="00F54B58">
      <w:pPr>
        <w:widowControl w:val="0"/>
        <w:autoSpaceDE w:val="0"/>
        <w:autoSpaceDN w:val="0"/>
        <w:adjustRightInd w:val="0"/>
        <w:rPr>
          <w:rFonts w:eastAsia="MS Mincho"/>
          <w:color w:val="000000"/>
          <w:sz w:val="22"/>
          <w:szCs w:val="22"/>
          <w:lang w:eastAsia="ja-JP"/>
        </w:rPr>
      </w:pPr>
    </w:p>
    <w:p w:rsidR="00F54B58" w:rsidRPr="00F54B58" w:rsidRDefault="00F54B58" w:rsidP="00F54B58">
      <w:pPr>
        <w:widowControl w:val="0"/>
        <w:autoSpaceDE w:val="0"/>
        <w:autoSpaceDN w:val="0"/>
        <w:adjustRightInd w:val="0"/>
        <w:ind w:left="709" w:right="3587" w:hanging="709"/>
        <w:rPr>
          <w:rFonts w:eastAsia="MS Mincho"/>
          <w:sz w:val="22"/>
          <w:szCs w:val="22"/>
          <w:lang w:eastAsia="ja-JP"/>
        </w:rPr>
      </w:pPr>
      <w:r w:rsidRPr="00F54B58">
        <w:rPr>
          <w:rFonts w:eastAsia="MS Mincho"/>
          <w:b/>
          <w:bCs/>
          <w:sz w:val="22"/>
          <w:szCs w:val="22"/>
          <w:lang w:eastAsia="ja-JP"/>
        </w:rPr>
        <w:t xml:space="preserve">4.2.3 </w:t>
      </w:r>
      <w:r w:rsidRPr="00F54B58">
        <w:rPr>
          <w:rFonts w:eastAsia="MS Mincho"/>
          <w:b/>
          <w:bCs/>
          <w:sz w:val="22"/>
          <w:szCs w:val="22"/>
          <w:lang w:eastAsia="ja-JP"/>
        </w:rPr>
        <w:tab/>
      </w:r>
      <w:r w:rsidRPr="00F54B58">
        <w:rPr>
          <w:rFonts w:eastAsia="MS Mincho"/>
          <w:sz w:val="22"/>
          <w:szCs w:val="22"/>
          <w:lang w:eastAsia="ja-JP"/>
        </w:rPr>
        <w:t xml:space="preserve">Tirpalą reikia sumaišyti, infuzinį maišelį ar buteliuką sukiojant rankomis. </w:t>
      </w:r>
    </w:p>
    <w:p w:rsidR="00F54B58" w:rsidRPr="00F54B58" w:rsidRDefault="007B11CB" w:rsidP="00F54B58">
      <w:pPr>
        <w:framePr w:w="3225" w:wrap="auto" w:vAnchor="page" w:hAnchor="page" w:x="7359" w:y="1685"/>
        <w:widowControl w:val="0"/>
        <w:autoSpaceDE w:val="0"/>
        <w:autoSpaceDN w:val="0"/>
        <w:adjustRightInd w:val="0"/>
        <w:rPr>
          <w:rFonts w:eastAsia="MS Mincho"/>
          <w:sz w:val="22"/>
          <w:szCs w:val="22"/>
          <w:lang w:eastAsia="ja-JP"/>
        </w:rPr>
      </w:pPr>
      <w:r>
        <w:rPr>
          <w:rFonts w:eastAsia="MS Mincho"/>
          <w:noProof/>
          <w:sz w:val="22"/>
          <w:szCs w:val="22"/>
          <w:lang w:eastAsia="lt-LT"/>
        </w:rPr>
        <w:drawing>
          <wp:inline distT="0" distB="0" distL="0" distR="0">
            <wp:extent cx="1533525" cy="16954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1695450"/>
                    </a:xfrm>
                    <a:prstGeom prst="rect">
                      <a:avLst/>
                    </a:prstGeom>
                    <a:noFill/>
                    <a:ln>
                      <a:noFill/>
                    </a:ln>
                  </pic:spPr>
                </pic:pic>
              </a:graphicData>
            </a:graphic>
          </wp:inline>
        </w:drawing>
      </w:r>
    </w:p>
    <w:p w:rsidR="00F54B58" w:rsidRPr="00F54B58" w:rsidRDefault="00F54B58" w:rsidP="00F54B58">
      <w:pPr>
        <w:pageBreakBefore/>
        <w:widowControl w:val="0"/>
        <w:autoSpaceDE w:val="0"/>
        <w:autoSpaceDN w:val="0"/>
        <w:adjustRightInd w:val="0"/>
        <w:ind w:left="709" w:right="3729" w:hanging="709"/>
        <w:rPr>
          <w:rFonts w:eastAsia="MS Mincho"/>
          <w:sz w:val="22"/>
          <w:szCs w:val="22"/>
          <w:lang w:eastAsia="ja-JP"/>
        </w:rPr>
      </w:pPr>
      <w:r w:rsidRPr="00F54B58">
        <w:rPr>
          <w:rFonts w:eastAsia="MS Mincho"/>
          <w:b/>
          <w:bCs/>
          <w:sz w:val="22"/>
          <w:szCs w:val="22"/>
          <w:lang w:eastAsia="ja-JP"/>
        </w:rPr>
        <w:lastRenderedPageBreak/>
        <w:t xml:space="preserve">4.2.4 </w:t>
      </w:r>
      <w:r w:rsidRPr="00F54B58">
        <w:rPr>
          <w:rFonts w:eastAsia="MS Mincho"/>
          <w:b/>
          <w:bCs/>
          <w:sz w:val="22"/>
          <w:szCs w:val="22"/>
          <w:lang w:eastAsia="ja-JP"/>
        </w:rPr>
        <w:tab/>
      </w:r>
      <w:r w:rsidRPr="00F54B58">
        <w:rPr>
          <w:rFonts w:eastAsia="MS Mincho"/>
          <w:sz w:val="22"/>
          <w:szCs w:val="22"/>
          <w:lang w:eastAsia="ja-JP"/>
        </w:rPr>
        <w:t>Paruoštas docetakselio infuzinis tirpalas tinka vartoti 4 val. Jį steriliomis sąlygomis reikia sulašinti per valandą, esant kambario temperatūrai (</w:t>
      </w:r>
      <w:r w:rsidR="00E031DA">
        <w:rPr>
          <w:rFonts w:eastAsia="MS Mincho"/>
          <w:sz w:val="22"/>
          <w:szCs w:val="22"/>
          <w:lang w:eastAsia="ja-JP"/>
        </w:rPr>
        <w:t>žemesnei</w:t>
      </w:r>
      <w:r w:rsidRPr="00F54B58">
        <w:rPr>
          <w:rFonts w:eastAsia="MS Mincho"/>
          <w:sz w:val="22"/>
          <w:szCs w:val="22"/>
          <w:lang w:eastAsia="ja-JP"/>
        </w:rPr>
        <w:t xml:space="preserve"> kaip 25 °C) ir normaliam apšvietimui. </w:t>
      </w:r>
    </w:p>
    <w:p w:rsidR="00E031DA" w:rsidRPr="00F54B58" w:rsidRDefault="007B11CB" w:rsidP="00C93814">
      <w:pPr>
        <w:framePr w:w="3448" w:wrap="auto" w:vAnchor="page" w:hAnchor="page" w:x="7172" w:y="2219"/>
        <w:widowControl w:val="0"/>
        <w:autoSpaceDE w:val="0"/>
        <w:autoSpaceDN w:val="0"/>
        <w:adjustRightInd w:val="0"/>
        <w:rPr>
          <w:rFonts w:eastAsia="MS Mincho"/>
          <w:sz w:val="22"/>
          <w:szCs w:val="22"/>
          <w:lang w:eastAsia="ja-JP"/>
        </w:rPr>
      </w:pPr>
      <w:r>
        <w:rPr>
          <w:rFonts w:eastAsia="MS Mincho"/>
          <w:noProof/>
          <w:sz w:val="22"/>
          <w:szCs w:val="22"/>
          <w:lang w:eastAsia="lt-LT"/>
        </w:rPr>
        <w:drawing>
          <wp:inline distT="0" distB="0" distL="0" distR="0">
            <wp:extent cx="1676400" cy="16954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695450"/>
                    </a:xfrm>
                    <a:prstGeom prst="rect">
                      <a:avLst/>
                    </a:prstGeom>
                    <a:noFill/>
                    <a:ln>
                      <a:noFill/>
                    </a:ln>
                  </pic:spPr>
                </pic:pic>
              </a:graphicData>
            </a:graphic>
          </wp:inline>
        </w:drawing>
      </w:r>
    </w:p>
    <w:p w:rsidR="00F54B58" w:rsidRPr="00F54B58" w:rsidRDefault="00F54B58" w:rsidP="00F54B58">
      <w:pPr>
        <w:widowControl w:val="0"/>
        <w:autoSpaceDE w:val="0"/>
        <w:autoSpaceDN w:val="0"/>
        <w:adjustRightInd w:val="0"/>
        <w:ind w:left="709" w:right="3729" w:hanging="709"/>
        <w:rPr>
          <w:rFonts w:eastAsia="MS Mincho"/>
          <w:sz w:val="22"/>
          <w:szCs w:val="22"/>
          <w:lang w:eastAsia="ja-JP"/>
        </w:rPr>
      </w:pPr>
      <w:r w:rsidRPr="00F54B58">
        <w:rPr>
          <w:rFonts w:eastAsia="MS Mincho"/>
          <w:b/>
          <w:bCs/>
          <w:sz w:val="22"/>
          <w:szCs w:val="22"/>
          <w:lang w:eastAsia="ja-JP"/>
        </w:rPr>
        <w:t xml:space="preserve">4.2.5 </w:t>
      </w:r>
      <w:r w:rsidRPr="00F54B58">
        <w:rPr>
          <w:rFonts w:eastAsia="MS Mincho"/>
          <w:b/>
          <w:bCs/>
          <w:sz w:val="22"/>
          <w:szCs w:val="22"/>
          <w:lang w:eastAsia="ja-JP"/>
        </w:rPr>
        <w:tab/>
      </w:r>
      <w:r w:rsidR="00E031DA">
        <w:rPr>
          <w:rFonts w:eastAsia="MS Mincho"/>
          <w:sz w:val="22"/>
          <w:szCs w:val="22"/>
          <w:lang w:eastAsia="ja-JP"/>
        </w:rPr>
        <w:t>Paruoštą</w:t>
      </w:r>
      <w:r w:rsidRPr="00F54B58">
        <w:rPr>
          <w:rFonts w:eastAsia="MS Mincho"/>
          <w:sz w:val="22"/>
          <w:szCs w:val="22"/>
          <w:lang w:eastAsia="ja-JP"/>
        </w:rPr>
        <w:t xml:space="preserve"> ir infuzinį docetakselio tirpalą, kaip ir kitus parenteraliniu būdu vartojamus preparatus, prieš vartojimą reikia apžiūrėti. Jeigu tirpale yra nuosėdų, jį reikia sunaikinti. </w:t>
      </w:r>
    </w:p>
    <w:p w:rsidR="00F54B58" w:rsidRPr="00F54B58" w:rsidRDefault="00F54B58" w:rsidP="00F54B58">
      <w:pPr>
        <w:widowControl w:val="0"/>
        <w:autoSpaceDE w:val="0"/>
        <w:autoSpaceDN w:val="0"/>
        <w:adjustRightInd w:val="0"/>
        <w:rPr>
          <w:rFonts w:eastAsia="MS Mincho"/>
          <w:b/>
          <w:bCs/>
          <w:sz w:val="22"/>
          <w:szCs w:val="22"/>
          <w:lang w:eastAsia="ja-JP"/>
        </w:rPr>
      </w:pPr>
    </w:p>
    <w:p w:rsidR="00F54B58" w:rsidRPr="00F54B58" w:rsidRDefault="00F54B58" w:rsidP="00F54B58">
      <w:pPr>
        <w:widowControl w:val="0"/>
        <w:autoSpaceDE w:val="0"/>
        <w:autoSpaceDN w:val="0"/>
        <w:adjustRightInd w:val="0"/>
        <w:rPr>
          <w:rFonts w:eastAsia="MS Mincho"/>
          <w:b/>
          <w:bCs/>
          <w:sz w:val="22"/>
          <w:szCs w:val="22"/>
          <w:lang w:eastAsia="ja-JP"/>
        </w:rPr>
      </w:pPr>
    </w:p>
    <w:p w:rsidR="00F54B58" w:rsidRPr="00F54B58" w:rsidRDefault="00F54B58" w:rsidP="00F54B58">
      <w:pPr>
        <w:widowControl w:val="0"/>
        <w:autoSpaceDE w:val="0"/>
        <w:autoSpaceDN w:val="0"/>
        <w:adjustRightInd w:val="0"/>
        <w:rPr>
          <w:rFonts w:eastAsia="MS Mincho"/>
          <w:b/>
          <w:bCs/>
          <w:sz w:val="22"/>
          <w:szCs w:val="22"/>
          <w:lang w:eastAsia="ja-JP"/>
        </w:rPr>
      </w:pPr>
    </w:p>
    <w:p w:rsidR="00F54B58" w:rsidRPr="00F54B58" w:rsidRDefault="00F54B58" w:rsidP="00F54B58">
      <w:pPr>
        <w:widowControl w:val="0"/>
        <w:autoSpaceDE w:val="0"/>
        <w:autoSpaceDN w:val="0"/>
        <w:adjustRightInd w:val="0"/>
        <w:rPr>
          <w:rFonts w:eastAsia="MS Mincho"/>
          <w:b/>
          <w:bCs/>
          <w:sz w:val="22"/>
          <w:szCs w:val="22"/>
          <w:lang w:eastAsia="ja-JP"/>
        </w:rPr>
      </w:pPr>
    </w:p>
    <w:p w:rsidR="00F54B58" w:rsidRPr="00F54B58" w:rsidRDefault="00F54B58" w:rsidP="00F54B58">
      <w:pPr>
        <w:widowControl w:val="0"/>
        <w:autoSpaceDE w:val="0"/>
        <w:autoSpaceDN w:val="0"/>
        <w:adjustRightInd w:val="0"/>
        <w:rPr>
          <w:rFonts w:eastAsia="MS Mincho"/>
          <w:b/>
          <w:bCs/>
          <w:sz w:val="22"/>
          <w:szCs w:val="22"/>
          <w:lang w:eastAsia="ja-JP"/>
        </w:rPr>
      </w:pPr>
    </w:p>
    <w:p w:rsidR="00F54B58" w:rsidRDefault="00F54B58" w:rsidP="00F54B58">
      <w:pPr>
        <w:widowControl w:val="0"/>
        <w:autoSpaceDE w:val="0"/>
        <w:autoSpaceDN w:val="0"/>
        <w:adjustRightInd w:val="0"/>
        <w:rPr>
          <w:rFonts w:eastAsia="MS Mincho"/>
          <w:b/>
          <w:bCs/>
          <w:sz w:val="22"/>
          <w:szCs w:val="22"/>
          <w:lang w:eastAsia="ja-JP"/>
        </w:rPr>
      </w:pPr>
    </w:p>
    <w:p w:rsidR="00875C4B" w:rsidRPr="00F54B58" w:rsidRDefault="00875C4B" w:rsidP="00F54B58">
      <w:pPr>
        <w:widowControl w:val="0"/>
        <w:autoSpaceDE w:val="0"/>
        <w:autoSpaceDN w:val="0"/>
        <w:adjustRightInd w:val="0"/>
        <w:rPr>
          <w:rFonts w:eastAsia="MS Mincho"/>
          <w:b/>
          <w:bCs/>
          <w:sz w:val="22"/>
          <w:szCs w:val="22"/>
          <w:lang w:eastAsia="ja-JP"/>
        </w:rPr>
      </w:pPr>
    </w:p>
    <w:p w:rsidR="00F54B58" w:rsidRPr="00F54B58" w:rsidRDefault="00F54B58" w:rsidP="00F54B58">
      <w:pPr>
        <w:widowControl w:val="0"/>
        <w:autoSpaceDE w:val="0"/>
        <w:autoSpaceDN w:val="0"/>
        <w:adjustRightInd w:val="0"/>
        <w:rPr>
          <w:rFonts w:eastAsia="MS Mincho"/>
          <w:b/>
          <w:bCs/>
          <w:sz w:val="22"/>
          <w:szCs w:val="22"/>
          <w:lang w:eastAsia="ja-JP"/>
        </w:rPr>
      </w:pPr>
    </w:p>
    <w:p w:rsidR="00F54B58" w:rsidRPr="00F54B58" w:rsidRDefault="00F54B58" w:rsidP="00C93814">
      <w:pPr>
        <w:widowControl w:val="0"/>
        <w:tabs>
          <w:tab w:val="left" w:pos="567"/>
        </w:tabs>
        <w:autoSpaceDE w:val="0"/>
        <w:autoSpaceDN w:val="0"/>
        <w:adjustRightInd w:val="0"/>
        <w:rPr>
          <w:rFonts w:eastAsia="MS Mincho"/>
          <w:sz w:val="22"/>
          <w:szCs w:val="22"/>
          <w:lang w:eastAsia="ja-JP"/>
        </w:rPr>
      </w:pPr>
      <w:r w:rsidRPr="00F54B58">
        <w:rPr>
          <w:rFonts w:eastAsia="MS Mincho"/>
          <w:b/>
          <w:bCs/>
          <w:sz w:val="22"/>
          <w:szCs w:val="22"/>
          <w:lang w:eastAsia="ja-JP"/>
        </w:rPr>
        <w:t xml:space="preserve">5. </w:t>
      </w:r>
      <w:r w:rsidRPr="00F54B58">
        <w:rPr>
          <w:rFonts w:eastAsia="MS Mincho"/>
          <w:b/>
          <w:bCs/>
          <w:sz w:val="22"/>
          <w:szCs w:val="22"/>
          <w:lang w:eastAsia="ja-JP"/>
        </w:rPr>
        <w:tab/>
        <w:t xml:space="preserve">ATLIEKŲ TVARKYMAS </w:t>
      </w:r>
    </w:p>
    <w:p w:rsidR="00F54B58" w:rsidRPr="00F54B58" w:rsidRDefault="00F54B58" w:rsidP="00F54B58">
      <w:pPr>
        <w:widowControl w:val="0"/>
        <w:autoSpaceDE w:val="0"/>
        <w:autoSpaceDN w:val="0"/>
        <w:adjustRightInd w:val="0"/>
        <w:rPr>
          <w:rFonts w:eastAsia="MS Mincho"/>
          <w:sz w:val="22"/>
          <w:szCs w:val="22"/>
          <w:lang w:eastAsia="ja-JP"/>
        </w:rPr>
      </w:pPr>
    </w:p>
    <w:p w:rsidR="00F54B58" w:rsidRPr="00F54B58" w:rsidRDefault="00F54B58" w:rsidP="00F54B58">
      <w:pPr>
        <w:widowControl w:val="0"/>
        <w:autoSpaceDE w:val="0"/>
        <w:autoSpaceDN w:val="0"/>
        <w:adjustRightInd w:val="0"/>
        <w:jc w:val="both"/>
        <w:rPr>
          <w:rFonts w:eastAsia="MS Mincho"/>
          <w:sz w:val="22"/>
          <w:szCs w:val="22"/>
          <w:lang w:eastAsia="ja-JP"/>
        </w:rPr>
      </w:pPr>
      <w:r w:rsidRPr="00F54B58">
        <w:rPr>
          <w:rFonts w:eastAsia="MS Mincho"/>
          <w:sz w:val="22"/>
          <w:szCs w:val="22"/>
          <w:lang w:eastAsia="ja-JP"/>
        </w:rPr>
        <w:t xml:space="preserve">Visas medžiagas panaudotas skiedimo ir vartojimo metu reikia tvarkyti laikantis įprastų procedūrų. </w:t>
      </w:r>
    </w:p>
    <w:p w:rsidR="005D0C4F" w:rsidRPr="00F54B58" w:rsidRDefault="005D0C4F" w:rsidP="00732C31">
      <w:pPr>
        <w:pStyle w:val="BTbEMEASMCA"/>
      </w:pPr>
      <w:bookmarkStart w:id="74" w:name="_GoBack"/>
      <w:bookmarkEnd w:id="74"/>
      <w:permStart w:id="311129753" w:edGrp="everyone"/>
      <w:permEnd w:id="311129753"/>
    </w:p>
    <w:sectPr w:rsidR="005D0C4F" w:rsidRPr="00F54B58" w:rsidSect="00E204ED">
      <w:pgSz w:w="11906" w:h="16838" w:code="9"/>
      <w:pgMar w:top="1138" w:right="1411" w:bottom="1138" w:left="1411" w:header="734" w:footer="734"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61EAC"/>
    <w:multiLevelType w:val="hybridMultilevel"/>
    <w:tmpl w:val="21463C4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6A05326"/>
    <w:multiLevelType w:val="hybridMultilevel"/>
    <w:tmpl w:val="B1EAE712"/>
    <w:lvl w:ilvl="0" w:tplc="08090001">
      <w:start w:val="1"/>
      <w:numFmt w:val="bullet"/>
      <w:lvlText w:val=""/>
      <w:lvlJc w:val="left"/>
      <w:pPr>
        <w:ind w:left="720" w:hanging="360"/>
      </w:pPr>
      <w:rPr>
        <w:rFonts w:ascii="Symbol" w:hAnsi="Symbol" w:hint="default"/>
      </w:rPr>
    </w:lvl>
    <w:lvl w:ilvl="1" w:tplc="2A4AB112">
      <w:start w:val="5"/>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990FF6"/>
    <w:multiLevelType w:val="hybridMultilevel"/>
    <w:tmpl w:val="E16C69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04A149B"/>
    <w:multiLevelType w:val="hybridMultilevel"/>
    <w:tmpl w:val="6D5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D393C"/>
    <w:multiLevelType w:val="hybridMultilevel"/>
    <w:tmpl w:val="8D30E5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29C1A13"/>
    <w:multiLevelType w:val="hybridMultilevel"/>
    <w:tmpl w:val="F0D0EF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BE568E6"/>
    <w:multiLevelType w:val="hybridMultilevel"/>
    <w:tmpl w:val="8E4EB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31093D"/>
    <w:multiLevelType w:val="hybridMultilevel"/>
    <w:tmpl w:val="15CC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A812FB"/>
    <w:multiLevelType w:val="hybridMultilevel"/>
    <w:tmpl w:val="18A24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E34207"/>
    <w:multiLevelType w:val="hybridMultilevel"/>
    <w:tmpl w:val="7BA4B32E"/>
    <w:lvl w:ilvl="0" w:tplc="5A60A5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69D6FA"/>
    <w:multiLevelType w:val="hybridMultilevel"/>
    <w:tmpl w:val="FC0E3B4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35955F22"/>
    <w:multiLevelType w:val="hybridMultilevel"/>
    <w:tmpl w:val="D5A254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37085EFE"/>
    <w:multiLevelType w:val="hybridMultilevel"/>
    <w:tmpl w:val="F72ACB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5CF31716"/>
    <w:multiLevelType w:val="hybridMultilevel"/>
    <w:tmpl w:val="DCE864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67023232"/>
    <w:multiLevelType w:val="hybridMultilevel"/>
    <w:tmpl w:val="8532C4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6C44C392"/>
    <w:multiLevelType w:val="hybridMultilevel"/>
    <w:tmpl w:val="12CC450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310762A"/>
    <w:multiLevelType w:val="hybridMultilevel"/>
    <w:tmpl w:val="E8B28912"/>
    <w:lvl w:ilvl="0" w:tplc="5A60A5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706EFB"/>
    <w:multiLevelType w:val="hybridMultilevel"/>
    <w:tmpl w:val="BB5A12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76B55C5F"/>
    <w:multiLevelType w:val="hybridMultilevel"/>
    <w:tmpl w:val="E1E0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FC505B"/>
    <w:multiLevelType w:val="hybridMultilevel"/>
    <w:tmpl w:val="E38CF7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F605C33"/>
    <w:multiLevelType w:val="hybridMultilevel"/>
    <w:tmpl w:val="C256D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7D3077"/>
    <w:multiLevelType w:val="hybridMultilevel"/>
    <w:tmpl w:val="048A85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3"/>
  </w:num>
  <w:num w:numId="4">
    <w:abstractNumId w:val="10"/>
  </w:num>
  <w:num w:numId="5">
    <w:abstractNumId w:val="15"/>
  </w:num>
  <w:num w:numId="6">
    <w:abstractNumId w:val="19"/>
  </w:num>
  <w:num w:numId="7">
    <w:abstractNumId w:val="4"/>
  </w:num>
  <w:num w:numId="8">
    <w:abstractNumId w:val="2"/>
  </w:num>
  <w:num w:numId="9">
    <w:abstractNumId w:val="23"/>
  </w:num>
  <w:num w:numId="10">
    <w:abstractNumId w:val="21"/>
  </w:num>
  <w:num w:numId="11">
    <w:abstractNumId w:val="14"/>
  </w:num>
  <w:num w:numId="12">
    <w:abstractNumId w:val="12"/>
  </w:num>
  <w:num w:numId="13">
    <w:abstractNumId w:val="8"/>
  </w:num>
  <w:num w:numId="14">
    <w:abstractNumId w:val="0"/>
  </w:num>
  <w:num w:numId="15">
    <w:abstractNumId w:val="9"/>
  </w:num>
  <w:num w:numId="16">
    <w:abstractNumId w:val="5"/>
  </w:num>
  <w:num w:numId="17">
    <w:abstractNumId w:val="7"/>
  </w:num>
  <w:num w:numId="18">
    <w:abstractNumId w:val="18"/>
  </w:num>
  <w:num w:numId="19">
    <w:abstractNumId w:val="1"/>
  </w:num>
  <w:num w:numId="20">
    <w:abstractNumId w:val="22"/>
  </w:num>
  <w:num w:numId="21">
    <w:abstractNumId w:val="17"/>
  </w:num>
  <w:num w:numId="22">
    <w:abstractNumId w:val="20"/>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nJFng/SsEvSvryE91SCM3LZEOdc=" w:salt="zWZSHyr03HdRqzrbYr85CA=="/>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05"/>
    <w:rsid w:val="00014208"/>
    <w:rsid w:val="00015BAD"/>
    <w:rsid w:val="0002179F"/>
    <w:rsid w:val="00033BC6"/>
    <w:rsid w:val="00055BD4"/>
    <w:rsid w:val="00061A55"/>
    <w:rsid w:val="00080239"/>
    <w:rsid w:val="00085242"/>
    <w:rsid w:val="000B1865"/>
    <w:rsid w:val="000B2EBE"/>
    <w:rsid w:val="000C2A58"/>
    <w:rsid w:val="000C6B82"/>
    <w:rsid w:val="001120C8"/>
    <w:rsid w:val="001144D4"/>
    <w:rsid w:val="0012362B"/>
    <w:rsid w:val="00131DD4"/>
    <w:rsid w:val="001379A7"/>
    <w:rsid w:val="00146092"/>
    <w:rsid w:val="001A1FED"/>
    <w:rsid w:val="001A6CD7"/>
    <w:rsid w:val="001B3024"/>
    <w:rsid w:val="001E26A9"/>
    <w:rsid w:val="00230CCF"/>
    <w:rsid w:val="002332EC"/>
    <w:rsid w:val="00242E6B"/>
    <w:rsid w:val="00262AA9"/>
    <w:rsid w:val="00271A35"/>
    <w:rsid w:val="002A0B08"/>
    <w:rsid w:val="002B38C0"/>
    <w:rsid w:val="002B4349"/>
    <w:rsid w:val="002E105B"/>
    <w:rsid w:val="002F0585"/>
    <w:rsid w:val="002F2C3D"/>
    <w:rsid w:val="00304AA5"/>
    <w:rsid w:val="0031564D"/>
    <w:rsid w:val="003171CB"/>
    <w:rsid w:val="003256E1"/>
    <w:rsid w:val="00330023"/>
    <w:rsid w:val="0034323F"/>
    <w:rsid w:val="0034604B"/>
    <w:rsid w:val="00351DF7"/>
    <w:rsid w:val="00362249"/>
    <w:rsid w:val="003718ED"/>
    <w:rsid w:val="00383177"/>
    <w:rsid w:val="003B0D0F"/>
    <w:rsid w:val="003B6E50"/>
    <w:rsid w:val="003C5D9C"/>
    <w:rsid w:val="003F1B43"/>
    <w:rsid w:val="003F5142"/>
    <w:rsid w:val="00411B70"/>
    <w:rsid w:val="00420891"/>
    <w:rsid w:val="00424C1B"/>
    <w:rsid w:val="0042567F"/>
    <w:rsid w:val="004544C2"/>
    <w:rsid w:val="004614D8"/>
    <w:rsid w:val="00461FEE"/>
    <w:rsid w:val="00474AB7"/>
    <w:rsid w:val="00480417"/>
    <w:rsid w:val="00487BDD"/>
    <w:rsid w:val="004B698F"/>
    <w:rsid w:val="004C4423"/>
    <w:rsid w:val="004C6BA3"/>
    <w:rsid w:val="004C775C"/>
    <w:rsid w:val="004D695A"/>
    <w:rsid w:val="004E2530"/>
    <w:rsid w:val="005022DF"/>
    <w:rsid w:val="00506757"/>
    <w:rsid w:val="0051569F"/>
    <w:rsid w:val="00515C32"/>
    <w:rsid w:val="00544FB9"/>
    <w:rsid w:val="005701B1"/>
    <w:rsid w:val="00572CB3"/>
    <w:rsid w:val="005D0C4F"/>
    <w:rsid w:val="005F6AC2"/>
    <w:rsid w:val="006019E7"/>
    <w:rsid w:val="00603DB0"/>
    <w:rsid w:val="00611DD9"/>
    <w:rsid w:val="0061613D"/>
    <w:rsid w:val="00622D41"/>
    <w:rsid w:val="006243A1"/>
    <w:rsid w:val="0062445C"/>
    <w:rsid w:val="0062645F"/>
    <w:rsid w:val="00631D7B"/>
    <w:rsid w:val="006325AD"/>
    <w:rsid w:val="006339E2"/>
    <w:rsid w:val="00633D05"/>
    <w:rsid w:val="00640D77"/>
    <w:rsid w:val="00651713"/>
    <w:rsid w:val="00654AE7"/>
    <w:rsid w:val="00654BBA"/>
    <w:rsid w:val="006704D5"/>
    <w:rsid w:val="00672878"/>
    <w:rsid w:val="00673194"/>
    <w:rsid w:val="006813DA"/>
    <w:rsid w:val="006832C1"/>
    <w:rsid w:val="006861DF"/>
    <w:rsid w:val="006878FE"/>
    <w:rsid w:val="006A0314"/>
    <w:rsid w:val="006A68C6"/>
    <w:rsid w:val="007175F2"/>
    <w:rsid w:val="00725AB6"/>
    <w:rsid w:val="007310A3"/>
    <w:rsid w:val="00732C31"/>
    <w:rsid w:val="007513DC"/>
    <w:rsid w:val="0076545C"/>
    <w:rsid w:val="007662F1"/>
    <w:rsid w:val="00770FE7"/>
    <w:rsid w:val="00775FA4"/>
    <w:rsid w:val="00785A6B"/>
    <w:rsid w:val="007A7008"/>
    <w:rsid w:val="007B0B95"/>
    <w:rsid w:val="007B11CB"/>
    <w:rsid w:val="007B6A0D"/>
    <w:rsid w:val="007D1A9D"/>
    <w:rsid w:val="007D604A"/>
    <w:rsid w:val="007E509D"/>
    <w:rsid w:val="00800FE4"/>
    <w:rsid w:val="00804B4A"/>
    <w:rsid w:val="00813F6D"/>
    <w:rsid w:val="00822DF5"/>
    <w:rsid w:val="00824EA0"/>
    <w:rsid w:val="00841625"/>
    <w:rsid w:val="00867091"/>
    <w:rsid w:val="008709F8"/>
    <w:rsid w:val="00875C4B"/>
    <w:rsid w:val="00883E34"/>
    <w:rsid w:val="00887A48"/>
    <w:rsid w:val="008A5D2D"/>
    <w:rsid w:val="008E2243"/>
    <w:rsid w:val="008E6B44"/>
    <w:rsid w:val="008F4387"/>
    <w:rsid w:val="008F47A5"/>
    <w:rsid w:val="00911238"/>
    <w:rsid w:val="009238F8"/>
    <w:rsid w:val="009710F4"/>
    <w:rsid w:val="009733E5"/>
    <w:rsid w:val="00983B01"/>
    <w:rsid w:val="00986FD6"/>
    <w:rsid w:val="00995E92"/>
    <w:rsid w:val="009A3B87"/>
    <w:rsid w:val="009A75A9"/>
    <w:rsid w:val="009B63A0"/>
    <w:rsid w:val="009D2C04"/>
    <w:rsid w:val="009F0759"/>
    <w:rsid w:val="00A1473E"/>
    <w:rsid w:val="00A53850"/>
    <w:rsid w:val="00A551CF"/>
    <w:rsid w:val="00A55D41"/>
    <w:rsid w:val="00A64DF5"/>
    <w:rsid w:val="00A766C3"/>
    <w:rsid w:val="00A92CE5"/>
    <w:rsid w:val="00AB19CA"/>
    <w:rsid w:val="00AD0E14"/>
    <w:rsid w:val="00AD49B4"/>
    <w:rsid w:val="00B20CC0"/>
    <w:rsid w:val="00B25088"/>
    <w:rsid w:val="00B25FA5"/>
    <w:rsid w:val="00B270C1"/>
    <w:rsid w:val="00B32AC9"/>
    <w:rsid w:val="00B435E9"/>
    <w:rsid w:val="00B4531A"/>
    <w:rsid w:val="00B70226"/>
    <w:rsid w:val="00B808A3"/>
    <w:rsid w:val="00BB492C"/>
    <w:rsid w:val="00BD35C3"/>
    <w:rsid w:val="00BD54B4"/>
    <w:rsid w:val="00BD5F5D"/>
    <w:rsid w:val="00BE0D6C"/>
    <w:rsid w:val="00BE7903"/>
    <w:rsid w:val="00BF2C93"/>
    <w:rsid w:val="00C04A3A"/>
    <w:rsid w:val="00C10295"/>
    <w:rsid w:val="00C110B9"/>
    <w:rsid w:val="00C360FB"/>
    <w:rsid w:val="00C45109"/>
    <w:rsid w:val="00C462BA"/>
    <w:rsid w:val="00C50C0B"/>
    <w:rsid w:val="00C54A07"/>
    <w:rsid w:val="00C55F20"/>
    <w:rsid w:val="00C86032"/>
    <w:rsid w:val="00C93814"/>
    <w:rsid w:val="00CA197C"/>
    <w:rsid w:val="00CB5484"/>
    <w:rsid w:val="00CD66EA"/>
    <w:rsid w:val="00CE7AF1"/>
    <w:rsid w:val="00D036F8"/>
    <w:rsid w:val="00D119E8"/>
    <w:rsid w:val="00D13A2B"/>
    <w:rsid w:val="00D17C76"/>
    <w:rsid w:val="00D225BB"/>
    <w:rsid w:val="00D3044D"/>
    <w:rsid w:val="00D34119"/>
    <w:rsid w:val="00D40130"/>
    <w:rsid w:val="00D4355B"/>
    <w:rsid w:val="00D4384C"/>
    <w:rsid w:val="00D446D1"/>
    <w:rsid w:val="00D51B4F"/>
    <w:rsid w:val="00D63F11"/>
    <w:rsid w:val="00D74CDB"/>
    <w:rsid w:val="00D81CD9"/>
    <w:rsid w:val="00D86DE5"/>
    <w:rsid w:val="00D92559"/>
    <w:rsid w:val="00DA328A"/>
    <w:rsid w:val="00DB42C1"/>
    <w:rsid w:val="00DC05B2"/>
    <w:rsid w:val="00DC16A2"/>
    <w:rsid w:val="00DD1E61"/>
    <w:rsid w:val="00DE749D"/>
    <w:rsid w:val="00DF129E"/>
    <w:rsid w:val="00DF7A7B"/>
    <w:rsid w:val="00E0213F"/>
    <w:rsid w:val="00E031DA"/>
    <w:rsid w:val="00E169E8"/>
    <w:rsid w:val="00E17DE3"/>
    <w:rsid w:val="00E204ED"/>
    <w:rsid w:val="00E32BB7"/>
    <w:rsid w:val="00E378C3"/>
    <w:rsid w:val="00E455E8"/>
    <w:rsid w:val="00E56D89"/>
    <w:rsid w:val="00E622B0"/>
    <w:rsid w:val="00E73E4B"/>
    <w:rsid w:val="00E916AD"/>
    <w:rsid w:val="00E95006"/>
    <w:rsid w:val="00EA5FEC"/>
    <w:rsid w:val="00ED6A3D"/>
    <w:rsid w:val="00F25922"/>
    <w:rsid w:val="00F34159"/>
    <w:rsid w:val="00F42B7C"/>
    <w:rsid w:val="00F54B58"/>
    <w:rsid w:val="00F848FC"/>
    <w:rsid w:val="00F84E1A"/>
    <w:rsid w:val="00FB64D6"/>
    <w:rsid w:val="00FD31C0"/>
    <w:rsid w:val="00FD47E0"/>
    <w:rsid w:val="00FD663C"/>
    <w:rsid w:val="00FD7D24"/>
    <w:rsid w:val="00FF41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732C31"/>
    <w:rPr>
      <w:noProof/>
      <w:sz w:val="22"/>
      <w:szCs w:val="22"/>
      <w:lang w:val="x-none"/>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lang w:val="lt-LT" w:eastAsia="x-none"/>
    </w:rPr>
  </w:style>
  <w:style w:type="character" w:customStyle="1" w:styleId="BTEMEASMCAChar">
    <w:name w:val="BT EMEA_SMCA Char"/>
    <w:link w:val="BTEMEASMCA"/>
    <w:rsid w:val="00732C31"/>
    <w:rPr>
      <w:noProof/>
      <w:sz w:val="22"/>
      <w:szCs w:val="22"/>
      <w:lang w:eastAsia="en-US"/>
    </w:rPr>
  </w:style>
  <w:style w:type="character" w:customStyle="1" w:styleId="BTgEMEASMCAChar">
    <w:name w:val="BT(g) EMEA_SMCA Char"/>
    <w:link w:val="BTgEMEASMCA"/>
    <w:rsid w:val="00633D05"/>
    <w:rPr>
      <w:i/>
      <w:noProof/>
      <w:color w:val="008000"/>
      <w:sz w:val="22"/>
      <w:szCs w:val="22"/>
      <w:lang w:val="lt-LT"/>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customStyle="1" w:styleId="Default">
    <w:name w:val="Default"/>
    <w:rsid w:val="00A64DF5"/>
    <w:pPr>
      <w:widowControl w:val="0"/>
      <w:autoSpaceDE w:val="0"/>
      <w:autoSpaceDN w:val="0"/>
      <w:adjustRightInd w:val="0"/>
    </w:pPr>
    <w:rPr>
      <w:rFonts w:eastAsia="MS Mincho"/>
      <w:color w:val="000000"/>
      <w:sz w:val="24"/>
      <w:szCs w:val="24"/>
      <w:lang w:val="en-US" w:eastAsia="ja-JP" w:bidi="lo-LA"/>
    </w:rPr>
  </w:style>
  <w:style w:type="paragraph" w:customStyle="1" w:styleId="CM20">
    <w:name w:val="CM20"/>
    <w:basedOn w:val="Default"/>
    <w:next w:val="Default"/>
    <w:uiPriority w:val="99"/>
    <w:rsid w:val="00A64DF5"/>
    <w:rPr>
      <w:rFonts w:cs="Arial Unicode MS"/>
    </w:rPr>
  </w:style>
  <w:style w:type="paragraph" w:customStyle="1" w:styleId="CM2">
    <w:name w:val="CM2"/>
    <w:basedOn w:val="Default"/>
    <w:next w:val="Default"/>
    <w:uiPriority w:val="99"/>
    <w:rsid w:val="00A64DF5"/>
    <w:pPr>
      <w:spacing w:line="278" w:lineRule="atLeast"/>
    </w:pPr>
    <w:rPr>
      <w:rFonts w:cs="Arial Unicode MS"/>
    </w:rPr>
  </w:style>
  <w:style w:type="paragraph" w:customStyle="1" w:styleId="CM7">
    <w:name w:val="CM7"/>
    <w:basedOn w:val="Default"/>
    <w:next w:val="Default"/>
    <w:uiPriority w:val="99"/>
    <w:rsid w:val="00A64DF5"/>
    <w:pPr>
      <w:spacing w:line="276" w:lineRule="atLeast"/>
    </w:pPr>
    <w:rPr>
      <w:rFonts w:cs="Arial Unicode MS"/>
    </w:rPr>
  </w:style>
  <w:style w:type="numbering" w:customStyle="1" w:styleId="NoList1">
    <w:name w:val="No List1"/>
    <w:next w:val="Sraonra"/>
    <w:uiPriority w:val="99"/>
    <w:semiHidden/>
    <w:unhideWhenUsed/>
    <w:rsid w:val="00A64DF5"/>
  </w:style>
  <w:style w:type="paragraph" w:customStyle="1" w:styleId="CM1">
    <w:name w:val="CM1"/>
    <w:basedOn w:val="Default"/>
    <w:next w:val="Default"/>
    <w:uiPriority w:val="99"/>
    <w:rsid w:val="00A64DF5"/>
    <w:pPr>
      <w:spacing w:line="276" w:lineRule="atLeast"/>
    </w:pPr>
    <w:rPr>
      <w:rFonts w:cs="Arial Unicode MS"/>
    </w:rPr>
  </w:style>
  <w:style w:type="paragraph" w:customStyle="1" w:styleId="CM3">
    <w:name w:val="CM3"/>
    <w:basedOn w:val="Default"/>
    <w:next w:val="Default"/>
    <w:uiPriority w:val="99"/>
    <w:rsid w:val="00A64DF5"/>
    <w:pPr>
      <w:spacing w:line="276" w:lineRule="atLeast"/>
    </w:pPr>
    <w:rPr>
      <w:rFonts w:cs="Arial Unicode MS"/>
    </w:rPr>
  </w:style>
  <w:style w:type="paragraph" w:customStyle="1" w:styleId="CM4">
    <w:name w:val="CM4"/>
    <w:basedOn w:val="Default"/>
    <w:next w:val="Default"/>
    <w:uiPriority w:val="99"/>
    <w:rsid w:val="00A64DF5"/>
    <w:pPr>
      <w:spacing w:line="276" w:lineRule="atLeast"/>
    </w:pPr>
    <w:rPr>
      <w:rFonts w:cs="Arial Unicode MS"/>
    </w:rPr>
  </w:style>
  <w:style w:type="paragraph" w:customStyle="1" w:styleId="CM5">
    <w:name w:val="CM5"/>
    <w:basedOn w:val="Default"/>
    <w:next w:val="Default"/>
    <w:uiPriority w:val="99"/>
    <w:rsid w:val="00A64DF5"/>
    <w:pPr>
      <w:spacing w:line="276" w:lineRule="atLeast"/>
    </w:pPr>
    <w:rPr>
      <w:rFonts w:cs="Arial Unicode MS"/>
    </w:rPr>
  </w:style>
  <w:style w:type="paragraph" w:customStyle="1" w:styleId="CM6">
    <w:name w:val="CM6"/>
    <w:basedOn w:val="Default"/>
    <w:next w:val="Default"/>
    <w:uiPriority w:val="99"/>
    <w:rsid w:val="00A64DF5"/>
    <w:pPr>
      <w:spacing w:line="276" w:lineRule="atLeast"/>
    </w:pPr>
    <w:rPr>
      <w:rFonts w:cs="Arial Unicode MS"/>
    </w:rPr>
  </w:style>
  <w:style w:type="paragraph" w:customStyle="1" w:styleId="CM8">
    <w:name w:val="CM8"/>
    <w:basedOn w:val="Default"/>
    <w:next w:val="Default"/>
    <w:uiPriority w:val="99"/>
    <w:rsid w:val="00A64DF5"/>
    <w:pPr>
      <w:spacing w:line="276" w:lineRule="atLeast"/>
    </w:pPr>
    <w:rPr>
      <w:rFonts w:cs="Arial Unicode MS"/>
    </w:rPr>
  </w:style>
  <w:style w:type="paragraph" w:customStyle="1" w:styleId="CM9">
    <w:name w:val="CM9"/>
    <w:basedOn w:val="Default"/>
    <w:next w:val="Default"/>
    <w:uiPriority w:val="99"/>
    <w:rsid w:val="00A64DF5"/>
    <w:pPr>
      <w:spacing w:line="276" w:lineRule="atLeast"/>
    </w:pPr>
    <w:rPr>
      <w:rFonts w:cs="Arial Unicode MS"/>
    </w:rPr>
  </w:style>
  <w:style w:type="paragraph" w:customStyle="1" w:styleId="CM10">
    <w:name w:val="CM10"/>
    <w:basedOn w:val="Default"/>
    <w:next w:val="Default"/>
    <w:uiPriority w:val="99"/>
    <w:rsid w:val="00A64DF5"/>
    <w:pPr>
      <w:spacing w:line="276" w:lineRule="atLeast"/>
    </w:pPr>
    <w:rPr>
      <w:rFonts w:cs="Arial Unicode MS"/>
    </w:rPr>
  </w:style>
  <w:style w:type="paragraph" w:customStyle="1" w:styleId="CM21">
    <w:name w:val="CM21"/>
    <w:basedOn w:val="Default"/>
    <w:next w:val="Default"/>
    <w:uiPriority w:val="99"/>
    <w:rsid w:val="00A64DF5"/>
    <w:rPr>
      <w:rFonts w:cs="Arial Unicode MS"/>
    </w:rPr>
  </w:style>
  <w:style w:type="paragraph" w:customStyle="1" w:styleId="CM11">
    <w:name w:val="CM11"/>
    <w:basedOn w:val="Default"/>
    <w:next w:val="Default"/>
    <w:uiPriority w:val="99"/>
    <w:rsid w:val="00A64DF5"/>
    <w:pPr>
      <w:spacing w:line="276" w:lineRule="atLeast"/>
    </w:pPr>
    <w:rPr>
      <w:rFonts w:cs="Arial Unicode MS"/>
    </w:rPr>
  </w:style>
  <w:style w:type="paragraph" w:customStyle="1" w:styleId="CM12">
    <w:name w:val="CM12"/>
    <w:basedOn w:val="Default"/>
    <w:next w:val="Default"/>
    <w:uiPriority w:val="99"/>
    <w:rsid w:val="00A64DF5"/>
    <w:pPr>
      <w:spacing w:line="276" w:lineRule="atLeast"/>
    </w:pPr>
    <w:rPr>
      <w:rFonts w:cs="Arial Unicode MS"/>
    </w:rPr>
  </w:style>
  <w:style w:type="paragraph" w:customStyle="1" w:styleId="CM13">
    <w:name w:val="CM13"/>
    <w:basedOn w:val="Default"/>
    <w:next w:val="Default"/>
    <w:uiPriority w:val="99"/>
    <w:rsid w:val="00A64DF5"/>
    <w:pPr>
      <w:spacing w:line="276" w:lineRule="atLeast"/>
    </w:pPr>
    <w:rPr>
      <w:rFonts w:cs="Arial Unicode MS"/>
    </w:rPr>
  </w:style>
  <w:style w:type="paragraph" w:customStyle="1" w:styleId="CM14">
    <w:name w:val="CM14"/>
    <w:basedOn w:val="Default"/>
    <w:next w:val="Default"/>
    <w:uiPriority w:val="99"/>
    <w:rsid w:val="00A64DF5"/>
    <w:pPr>
      <w:spacing w:line="291" w:lineRule="atLeast"/>
    </w:pPr>
    <w:rPr>
      <w:rFonts w:cs="Arial Unicode MS"/>
    </w:rPr>
  </w:style>
  <w:style w:type="paragraph" w:customStyle="1" w:styleId="CM15">
    <w:name w:val="CM15"/>
    <w:basedOn w:val="Default"/>
    <w:next w:val="Default"/>
    <w:uiPriority w:val="99"/>
    <w:rsid w:val="00A64DF5"/>
    <w:pPr>
      <w:spacing w:line="276" w:lineRule="atLeast"/>
    </w:pPr>
    <w:rPr>
      <w:rFonts w:cs="Arial Unicode MS"/>
    </w:rPr>
  </w:style>
  <w:style w:type="paragraph" w:customStyle="1" w:styleId="CM16">
    <w:name w:val="CM16"/>
    <w:basedOn w:val="Default"/>
    <w:next w:val="Default"/>
    <w:uiPriority w:val="99"/>
    <w:rsid w:val="00A64DF5"/>
    <w:pPr>
      <w:spacing w:line="276" w:lineRule="atLeast"/>
    </w:pPr>
    <w:rPr>
      <w:rFonts w:cs="Arial Unicode MS"/>
    </w:rPr>
  </w:style>
  <w:style w:type="paragraph" w:customStyle="1" w:styleId="CM17">
    <w:name w:val="CM17"/>
    <w:basedOn w:val="Default"/>
    <w:next w:val="Default"/>
    <w:uiPriority w:val="99"/>
    <w:rsid w:val="00A64DF5"/>
    <w:pPr>
      <w:spacing w:line="276" w:lineRule="atLeast"/>
    </w:pPr>
    <w:rPr>
      <w:rFonts w:cs="Arial Unicode MS"/>
    </w:rPr>
  </w:style>
  <w:style w:type="paragraph" w:customStyle="1" w:styleId="CM18">
    <w:name w:val="CM18"/>
    <w:basedOn w:val="Default"/>
    <w:next w:val="Default"/>
    <w:uiPriority w:val="99"/>
    <w:rsid w:val="00A64DF5"/>
    <w:pPr>
      <w:spacing w:line="276" w:lineRule="atLeast"/>
    </w:pPr>
    <w:rPr>
      <w:rFonts w:cs="Arial Unicode MS"/>
    </w:rPr>
  </w:style>
  <w:style w:type="paragraph" w:customStyle="1" w:styleId="CM19">
    <w:name w:val="CM19"/>
    <w:basedOn w:val="Default"/>
    <w:next w:val="Default"/>
    <w:uiPriority w:val="99"/>
    <w:rsid w:val="00A64DF5"/>
    <w:rPr>
      <w:rFonts w:cs="Arial Unicode MS"/>
    </w:rPr>
  </w:style>
  <w:style w:type="paragraph" w:styleId="Antrats">
    <w:name w:val="header"/>
    <w:basedOn w:val="prastasis"/>
    <w:link w:val="AntratsDiagrama"/>
    <w:uiPriority w:val="99"/>
    <w:unhideWhenUsed/>
    <w:rsid w:val="00A64DF5"/>
    <w:pPr>
      <w:tabs>
        <w:tab w:val="center" w:pos="4513"/>
        <w:tab w:val="right" w:pos="9026"/>
      </w:tabs>
      <w:spacing w:after="200" w:line="276" w:lineRule="auto"/>
    </w:pPr>
    <w:rPr>
      <w:rFonts w:ascii="Calibri" w:eastAsia="MS Mincho" w:hAnsi="Calibri" w:cs="Arial Unicode MS"/>
      <w:sz w:val="22"/>
      <w:szCs w:val="22"/>
      <w:lang w:val="x-none" w:eastAsia="ja-JP" w:bidi="lo-LA"/>
    </w:rPr>
  </w:style>
  <w:style w:type="character" w:customStyle="1" w:styleId="AntratsDiagrama">
    <w:name w:val="Antraštės Diagrama"/>
    <w:link w:val="Antrats"/>
    <w:uiPriority w:val="99"/>
    <w:rsid w:val="00A64DF5"/>
    <w:rPr>
      <w:rFonts w:ascii="Calibri" w:eastAsia="MS Mincho" w:hAnsi="Calibri" w:cs="Arial Unicode MS"/>
      <w:sz w:val="22"/>
      <w:szCs w:val="22"/>
      <w:lang w:eastAsia="ja-JP" w:bidi="lo-LA"/>
    </w:rPr>
  </w:style>
  <w:style w:type="paragraph" w:styleId="Porat">
    <w:name w:val="footer"/>
    <w:basedOn w:val="prastasis"/>
    <w:link w:val="PoratDiagrama"/>
    <w:uiPriority w:val="99"/>
    <w:unhideWhenUsed/>
    <w:rsid w:val="00A64DF5"/>
    <w:pPr>
      <w:tabs>
        <w:tab w:val="center" w:pos="4513"/>
        <w:tab w:val="right" w:pos="9026"/>
      </w:tabs>
      <w:spacing w:after="200" w:line="276" w:lineRule="auto"/>
    </w:pPr>
    <w:rPr>
      <w:rFonts w:ascii="Calibri" w:eastAsia="MS Mincho" w:hAnsi="Calibri" w:cs="Arial Unicode MS"/>
      <w:sz w:val="22"/>
      <w:szCs w:val="22"/>
      <w:lang w:val="x-none" w:eastAsia="ja-JP" w:bidi="lo-LA"/>
    </w:rPr>
  </w:style>
  <w:style w:type="character" w:customStyle="1" w:styleId="PoratDiagrama">
    <w:name w:val="Poraštė Diagrama"/>
    <w:link w:val="Porat"/>
    <w:uiPriority w:val="99"/>
    <w:rsid w:val="00A64DF5"/>
    <w:rPr>
      <w:rFonts w:ascii="Calibri" w:eastAsia="MS Mincho" w:hAnsi="Calibri" w:cs="Arial Unicode MS"/>
      <w:sz w:val="22"/>
      <w:szCs w:val="22"/>
      <w:lang w:eastAsia="ja-JP" w:bidi="lo-LA"/>
    </w:rPr>
  </w:style>
  <w:style w:type="character" w:styleId="Komentaronuoroda">
    <w:name w:val="annotation reference"/>
    <w:basedOn w:val="Numatytasispastraiposriftas"/>
    <w:semiHidden/>
    <w:rsid w:val="00E95006"/>
    <w:rPr>
      <w:sz w:val="16"/>
      <w:szCs w:val="16"/>
    </w:rPr>
  </w:style>
  <w:style w:type="paragraph" w:styleId="Komentarotekstas">
    <w:name w:val="annotation text"/>
    <w:basedOn w:val="prastasis"/>
    <w:semiHidden/>
    <w:rsid w:val="00E95006"/>
    <w:rPr>
      <w:sz w:val="20"/>
      <w:szCs w:val="20"/>
    </w:rPr>
  </w:style>
  <w:style w:type="paragraph" w:styleId="Komentarotema">
    <w:name w:val="annotation subject"/>
    <w:basedOn w:val="Komentarotekstas"/>
    <w:next w:val="Komentarotekstas"/>
    <w:semiHidden/>
    <w:rsid w:val="00E950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732C31"/>
    <w:rPr>
      <w:noProof/>
      <w:sz w:val="22"/>
      <w:szCs w:val="22"/>
      <w:lang w:val="x-none"/>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lang w:val="lt-LT" w:eastAsia="x-none"/>
    </w:rPr>
  </w:style>
  <w:style w:type="character" w:customStyle="1" w:styleId="BTEMEASMCAChar">
    <w:name w:val="BT EMEA_SMCA Char"/>
    <w:link w:val="BTEMEASMCA"/>
    <w:rsid w:val="00732C31"/>
    <w:rPr>
      <w:noProof/>
      <w:sz w:val="22"/>
      <w:szCs w:val="22"/>
      <w:lang w:eastAsia="en-US"/>
    </w:rPr>
  </w:style>
  <w:style w:type="character" w:customStyle="1" w:styleId="BTgEMEASMCAChar">
    <w:name w:val="BT(g) EMEA_SMCA Char"/>
    <w:link w:val="BTgEMEASMCA"/>
    <w:rsid w:val="00633D05"/>
    <w:rPr>
      <w:i/>
      <w:noProof/>
      <w:color w:val="008000"/>
      <w:sz w:val="22"/>
      <w:szCs w:val="22"/>
      <w:lang w:val="lt-LT"/>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customStyle="1" w:styleId="Default">
    <w:name w:val="Default"/>
    <w:rsid w:val="00A64DF5"/>
    <w:pPr>
      <w:widowControl w:val="0"/>
      <w:autoSpaceDE w:val="0"/>
      <w:autoSpaceDN w:val="0"/>
      <w:adjustRightInd w:val="0"/>
    </w:pPr>
    <w:rPr>
      <w:rFonts w:eastAsia="MS Mincho"/>
      <w:color w:val="000000"/>
      <w:sz w:val="24"/>
      <w:szCs w:val="24"/>
      <w:lang w:val="en-US" w:eastAsia="ja-JP" w:bidi="lo-LA"/>
    </w:rPr>
  </w:style>
  <w:style w:type="paragraph" w:customStyle="1" w:styleId="CM20">
    <w:name w:val="CM20"/>
    <w:basedOn w:val="Default"/>
    <w:next w:val="Default"/>
    <w:uiPriority w:val="99"/>
    <w:rsid w:val="00A64DF5"/>
    <w:rPr>
      <w:rFonts w:cs="Arial Unicode MS"/>
    </w:rPr>
  </w:style>
  <w:style w:type="paragraph" w:customStyle="1" w:styleId="CM2">
    <w:name w:val="CM2"/>
    <w:basedOn w:val="Default"/>
    <w:next w:val="Default"/>
    <w:uiPriority w:val="99"/>
    <w:rsid w:val="00A64DF5"/>
    <w:pPr>
      <w:spacing w:line="278" w:lineRule="atLeast"/>
    </w:pPr>
    <w:rPr>
      <w:rFonts w:cs="Arial Unicode MS"/>
    </w:rPr>
  </w:style>
  <w:style w:type="paragraph" w:customStyle="1" w:styleId="CM7">
    <w:name w:val="CM7"/>
    <w:basedOn w:val="Default"/>
    <w:next w:val="Default"/>
    <w:uiPriority w:val="99"/>
    <w:rsid w:val="00A64DF5"/>
    <w:pPr>
      <w:spacing w:line="276" w:lineRule="atLeast"/>
    </w:pPr>
    <w:rPr>
      <w:rFonts w:cs="Arial Unicode MS"/>
    </w:rPr>
  </w:style>
  <w:style w:type="numbering" w:customStyle="1" w:styleId="NoList1">
    <w:name w:val="No List1"/>
    <w:next w:val="Sraonra"/>
    <w:uiPriority w:val="99"/>
    <w:semiHidden/>
    <w:unhideWhenUsed/>
    <w:rsid w:val="00A64DF5"/>
  </w:style>
  <w:style w:type="paragraph" w:customStyle="1" w:styleId="CM1">
    <w:name w:val="CM1"/>
    <w:basedOn w:val="Default"/>
    <w:next w:val="Default"/>
    <w:uiPriority w:val="99"/>
    <w:rsid w:val="00A64DF5"/>
    <w:pPr>
      <w:spacing w:line="276" w:lineRule="atLeast"/>
    </w:pPr>
    <w:rPr>
      <w:rFonts w:cs="Arial Unicode MS"/>
    </w:rPr>
  </w:style>
  <w:style w:type="paragraph" w:customStyle="1" w:styleId="CM3">
    <w:name w:val="CM3"/>
    <w:basedOn w:val="Default"/>
    <w:next w:val="Default"/>
    <w:uiPriority w:val="99"/>
    <w:rsid w:val="00A64DF5"/>
    <w:pPr>
      <w:spacing w:line="276" w:lineRule="atLeast"/>
    </w:pPr>
    <w:rPr>
      <w:rFonts w:cs="Arial Unicode MS"/>
    </w:rPr>
  </w:style>
  <w:style w:type="paragraph" w:customStyle="1" w:styleId="CM4">
    <w:name w:val="CM4"/>
    <w:basedOn w:val="Default"/>
    <w:next w:val="Default"/>
    <w:uiPriority w:val="99"/>
    <w:rsid w:val="00A64DF5"/>
    <w:pPr>
      <w:spacing w:line="276" w:lineRule="atLeast"/>
    </w:pPr>
    <w:rPr>
      <w:rFonts w:cs="Arial Unicode MS"/>
    </w:rPr>
  </w:style>
  <w:style w:type="paragraph" w:customStyle="1" w:styleId="CM5">
    <w:name w:val="CM5"/>
    <w:basedOn w:val="Default"/>
    <w:next w:val="Default"/>
    <w:uiPriority w:val="99"/>
    <w:rsid w:val="00A64DF5"/>
    <w:pPr>
      <w:spacing w:line="276" w:lineRule="atLeast"/>
    </w:pPr>
    <w:rPr>
      <w:rFonts w:cs="Arial Unicode MS"/>
    </w:rPr>
  </w:style>
  <w:style w:type="paragraph" w:customStyle="1" w:styleId="CM6">
    <w:name w:val="CM6"/>
    <w:basedOn w:val="Default"/>
    <w:next w:val="Default"/>
    <w:uiPriority w:val="99"/>
    <w:rsid w:val="00A64DF5"/>
    <w:pPr>
      <w:spacing w:line="276" w:lineRule="atLeast"/>
    </w:pPr>
    <w:rPr>
      <w:rFonts w:cs="Arial Unicode MS"/>
    </w:rPr>
  </w:style>
  <w:style w:type="paragraph" w:customStyle="1" w:styleId="CM8">
    <w:name w:val="CM8"/>
    <w:basedOn w:val="Default"/>
    <w:next w:val="Default"/>
    <w:uiPriority w:val="99"/>
    <w:rsid w:val="00A64DF5"/>
    <w:pPr>
      <w:spacing w:line="276" w:lineRule="atLeast"/>
    </w:pPr>
    <w:rPr>
      <w:rFonts w:cs="Arial Unicode MS"/>
    </w:rPr>
  </w:style>
  <w:style w:type="paragraph" w:customStyle="1" w:styleId="CM9">
    <w:name w:val="CM9"/>
    <w:basedOn w:val="Default"/>
    <w:next w:val="Default"/>
    <w:uiPriority w:val="99"/>
    <w:rsid w:val="00A64DF5"/>
    <w:pPr>
      <w:spacing w:line="276" w:lineRule="atLeast"/>
    </w:pPr>
    <w:rPr>
      <w:rFonts w:cs="Arial Unicode MS"/>
    </w:rPr>
  </w:style>
  <w:style w:type="paragraph" w:customStyle="1" w:styleId="CM10">
    <w:name w:val="CM10"/>
    <w:basedOn w:val="Default"/>
    <w:next w:val="Default"/>
    <w:uiPriority w:val="99"/>
    <w:rsid w:val="00A64DF5"/>
    <w:pPr>
      <w:spacing w:line="276" w:lineRule="atLeast"/>
    </w:pPr>
    <w:rPr>
      <w:rFonts w:cs="Arial Unicode MS"/>
    </w:rPr>
  </w:style>
  <w:style w:type="paragraph" w:customStyle="1" w:styleId="CM21">
    <w:name w:val="CM21"/>
    <w:basedOn w:val="Default"/>
    <w:next w:val="Default"/>
    <w:uiPriority w:val="99"/>
    <w:rsid w:val="00A64DF5"/>
    <w:rPr>
      <w:rFonts w:cs="Arial Unicode MS"/>
    </w:rPr>
  </w:style>
  <w:style w:type="paragraph" w:customStyle="1" w:styleId="CM11">
    <w:name w:val="CM11"/>
    <w:basedOn w:val="Default"/>
    <w:next w:val="Default"/>
    <w:uiPriority w:val="99"/>
    <w:rsid w:val="00A64DF5"/>
    <w:pPr>
      <w:spacing w:line="276" w:lineRule="atLeast"/>
    </w:pPr>
    <w:rPr>
      <w:rFonts w:cs="Arial Unicode MS"/>
    </w:rPr>
  </w:style>
  <w:style w:type="paragraph" w:customStyle="1" w:styleId="CM12">
    <w:name w:val="CM12"/>
    <w:basedOn w:val="Default"/>
    <w:next w:val="Default"/>
    <w:uiPriority w:val="99"/>
    <w:rsid w:val="00A64DF5"/>
    <w:pPr>
      <w:spacing w:line="276" w:lineRule="atLeast"/>
    </w:pPr>
    <w:rPr>
      <w:rFonts w:cs="Arial Unicode MS"/>
    </w:rPr>
  </w:style>
  <w:style w:type="paragraph" w:customStyle="1" w:styleId="CM13">
    <w:name w:val="CM13"/>
    <w:basedOn w:val="Default"/>
    <w:next w:val="Default"/>
    <w:uiPriority w:val="99"/>
    <w:rsid w:val="00A64DF5"/>
    <w:pPr>
      <w:spacing w:line="276" w:lineRule="atLeast"/>
    </w:pPr>
    <w:rPr>
      <w:rFonts w:cs="Arial Unicode MS"/>
    </w:rPr>
  </w:style>
  <w:style w:type="paragraph" w:customStyle="1" w:styleId="CM14">
    <w:name w:val="CM14"/>
    <w:basedOn w:val="Default"/>
    <w:next w:val="Default"/>
    <w:uiPriority w:val="99"/>
    <w:rsid w:val="00A64DF5"/>
    <w:pPr>
      <w:spacing w:line="291" w:lineRule="atLeast"/>
    </w:pPr>
    <w:rPr>
      <w:rFonts w:cs="Arial Unicode MS"/>
    </w:rPr>
  </w:style>
  <w:style w:type="paragraph" w:customStyle="1" w:styleId="CM15">
    <w:name w:val="CM15"/>
    <w:basedOn w:val="Default"/>
    <w:next w:val="Default"/>
    <w:uiPriority w:val="99"/>
    <w:rsid w:val="00A64DF5"/>
    <w:pPr>
      <w:spacing w:line="276" w:lineRule="atLeast"/>
    </w:pPr>
    <w:rPr>
      <w:rFonts w:cs="Arial Unicode MS"/>
    </w:rPr>
  </w:style>
  <w:style w:type="paragraph" w:customStyle="1" w:styleId="CM16">
    <w:name w:val="CM16"/>
    <w:basedOn w:val="Default"/>
    <w:next w:val="Default"/>
    <w:uiPriority w:val="99"/>
    <w:rsid w:val="00A64DF5"/>
    <w:pPr>
      <w:spacing w:line="276" w:lineRule="atLeast"/>
    </w:pPr>
    <w:rPr>
      <w:rFonts w:cs="Arial Unicode MS"/>
    </w:rPr>
  </w:style>
  <w:style w:type="paragraph" w:customStyle="1" w:styleId="CM17">
    <w:name w:val="CM17"/>
    <w:basedOn w:val="Default"/>
    <w:next w:val="Default"/>
    <w:uiPriority w:val="99"/>
    <w:rsid w:val="00A64DF5"/>
    <w:pPr>
      <w:spacing w:line="276" w:lineRule="atLeast"/>
    </w:pPr>
    <w:rPr>
      <w:rFonts w:cs="Arial Unicode MS"/>
    </w:rPr>
  </w:style>
  <w:style w:type="paragraph" w:customStyle="1" w:styleId="CM18">
    <w:name w:val="CM18"/>
    <w:basedOn w:val="Default"/>
    <w:next w:val="Default"/>
    <w:uiPriority w:val="99"/>
    <w:rsid w:val="00A64DF5"/>
    <w:pPr>
      <w:spacing w:line="276" w:lineRule="atLeast"/>
    </w:pPr>
    <w:rPr>
      <w:rFonts w:cs="Arial Unicode MS"/>
    </w:rPr>
  </w:style>
  <w:style w:type="paragraph" w:customStyle="1" w:styleId="CM19">
    <w:name w:val="CM19"/>
    <w:basedOn w:val="Default"/>
    <w:next w:val="Default"/>
    <w:uiPriority w:val="99"/>
    <w:rsid w:val="00A64DF5"/>
    <w:rPr>
      <w:rFonts w:cs="Arial Unicode MS"/>
    </w:rPr>
  </w:style>
  <w:style w:type="paragraph" w:styleId="Antrats">
    <w:name w:val="header"/>
    <w:basedOn w:val="prastasis"/>
    <w:link w:val="AntratsDiagrama"/>
    <w:uiPriority w:val="99"/>
    <w:unhideWhenUsed/>
    <w:rsid w:val="00A64DF5"/>
    <w:pPr>
      <w:tabs>
        <w:tab w:val="center" w:pos="4513"/>
        <w:tab w:val="right" w:pos="9026"/>
      </w:tabs>
      <w:spacing w:after="200" w:line="276" w:lineRule="auto"/>
    </w:pPr>
    <w:rPr>
      <w:rFonts w:ascii="Calibri" w:eastAsia="MS Mincho" w:hAnsi="Calibri" w:cs="Arial Unicode MS"/>
      <w:sz w:val="22"/>
      <w:szCs w:val="22"/>
      <w:lang w:val="x-none" w:eastAsia="ja-JP" w:bidi="lo-LA"/>
    </w:rPr>
  </w:style>
  <w:style w:type="character" w:customStyle="1" w:styleId="AntratsDiagrama">
    <w:name w:val="Antraštės Diagrama"/>
    <w:link w:val="Antrats"/>
    <w:uiPriority w:val="99"/>
    <w:rsid w:val="00A64DF5"/>
    <w:rPr>
      <w:rFonts w:ascii="Calibri" w:eastAsia="MS Mincho" w:hAnsi="Calibri" w:cs="Arial Unicode MS"/>
      <w:sz w:val="22"/>
      <w:szCs w:val="22"/>
      <w:lang w:eastAsia="ja-JP" w:bidi="lo-LA"/>
    </w:rPr>
  </w:style>
  <w:style w:type="paragraph" w:styleId="Porat">
    <w:name w:val="footer"/>
    <w:basedOn w:val="prastasis"/>
    <w:link w:val="PoratDiagrama"/>
    <w:uiPriority w:val="99"/>
    <w:unhideWhenUsed/>
    <w:rsid w:val="00A64DF5"/>
    <w:pPr>
      <w:tabs>
        <w:tab w:val="center" w:pos="4513"/>
        <w:tab w:val="right" w:pos="9026"/>
      </w:tabs>
      <w:spacing w:after="200" w:line="276" w:lineRule="auto"/>
    </w:pPr>
    <w:rPr>
      <w:rFonts w:ascii="Calibri" w:eastAsia="MS Mincho" w:hAnsi="Calibri" w:cs="Arial Unicode MS"/>
      <w:sz w:val="22"/>
      <w:szCs w:val="22"/>
      <w:lang w:val="x-none" w:eastAsia="ja-JP" w:bidi="lo-LA"/>
    </w:rPr>
  </w:style>
  <w:style w:type="character" w:customStyle="1" w:styleId="PoratDiagrama">
    <w:name w:val="Poraštė Diagrama"/>
    <w:link w:val="Porat"/>
    <w:uiPriority w:val="99"/>
    <w:rsid w:val="00A64DF5"/>
    <w:rPr>
      <w:rFonts w:ascii="Calibri" w:eastAsia="MS Mincho" w:hAnsi="Calibri" w:cs="Arial Unicode MS"/>
      <w:sz w:val="22"/>
      <w:szCs w:val="22"/>
      <w:lang w:eastAsia="ja-JP" w:bidi="lo-LA"/>
    </w:rPr>
  </w:style>
  <w:style w:type="character" w:styleId="Komentaronuoroda">
    <w:name w:val="annotation reference"/>
    <w:basedOn w:val="Numatytasispastraiposriftas"/>
    <w:semiHidden/>
    <w:rsid w:val="00E95006"/>
    <w:rPr>
      <w:sz w:val="16"/>
      <w:szCs w:val="16"/>
    </w:rPr>
  </w:style>
  <w:style w:type="paragraph" w:styleId="Komentarotekstas">
    <w:name w:val="annotation text"/>
    <w:basedOn w:val="prastasis"/>
    <w:semiHidden/>
    <w:rsid w:val="00E95006"/>
    <w:rPr>
      <w:sz w:val="20"/>
      <w:szCs w:val="20"/>
    </w:rPr>
  </w:style>
  <w:style w:type="paragraph" w:styleId="Komentarotema">
    <w:name w:val="annotation subject"/>
    <w:basedOn w:val="Komentarotekstas"/>
    <w:next w:val="Komentarotekstas"/>
    <w:semiHidden/>
    <w:rsid w:val="00E95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415AB-0D28-4AFF-8E03-1BA759C4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59</Pages>
  <Words>16913</Words>
  <Characters>113515</Characters>
  <Application>Microsoft Office Word</Application>
  <DocSecurity>8</DocSecurity>
  <Lines>945</Lines>
  <Paragraphs>260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130168</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3</cp:revision>
  <cp:lastPrinted>2006-10-24T12:30:00Z</cp:lastPrinted>
  <dcterms:created xsi:type="dcterms:W3CDTF">2015-08-14T08:20:00Z</dcterms:created>
  <dcterms:modified xsi:type="dcterms:W3CDTF">2015-08-14T09:52:00Z</dcterms:modified>
</cp:coreProperties>
</file>