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C53EEA">
      <w:pPr>
        <w:pStyle w:val="Pavadinimas"/>
        <w:jc w:val="center"/>
      </w:pPr>
      <w:r w:rsidRPr="00FB5B94">
        <w:t>I PRIEDAS</w:t>
      </w:r>
    </w:p>
    <w:p w:rsidR="00346FFF" w:rsidRPr="00FB5B94" w:rsidRDefault="00346FFF" w:rsidP="00C53EEA">
      <w:pPr>
        <w:pStyle w:val="Pagrindinistekstas"/>
        <w:spacing w:after="0"/>
        <w:jc w:val="center"/>
        <w:rPr>
          <w:sz w:val="22"/>
          <w:szCs w:val="22"/>
        </w:rPr>
      </w:pPr>
    </w:p>
    <w:p w:rsidR="00346FFF" w:rsidRPr="00FB5B94" w:rsidRDefault="00346FFF" w:rsidP="00C53EEA">
      <w:pPr>
        <w:pStyle w:val="Pavadinimas"/>
        <w:jc w:val="center"/>
      </w:pPr>
      <w:r w:rsidRPr="00FB5B94">
        <w:t>PREPARATO CHARAKTERISTIKŲ SANTRAUKA</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noProof/>
          <w:sz w:val="22"/>
          <w:szCs w:val="22"/>
        </w:rPr>
      </w:pPr>
      <w:r w:rsidRPr="00FB5B94">
        <w:rPr>
          <w:sz w:val="22"/>
          <w:szCs w:val="22"/>
        </w:rPr>
        <w:br w:type="page"/>
      </w:r>
    </w:p>
    <w:p w:rsidR="00346FFF" w:rsidRPr="00FB5B94" w:rsidRDefault="00346FFF" w:rsidP="00CC5D3C">
      <w:pPr>
        <w:pStyle w:val="Pavadinimas"/>
      </w:pPr>
      <w:r w:rsidRPr="00FB5B94">
        <w:lastRenderedPageBreak/>
        <w:t>1.</w:t>
      </w:r>
      <w:r w:rsidRPr="00FB5B94">
        <w:tab/>
        <w:t>VAISTINIO PREPARATO PAVADINIMAS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Teboneva 70 mg tabletės ir 1 mikrogramas minkštosios kapsulės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2.</w:t>
      </w:r>
      <w:r w:rsidRPr="00FB5B94">
        <w:tab/>
        <w:t>KOKYBINĖ IR KIEKYBINĖ SUDĖTIS</w:t>
      </w:r>
    </w:p>
    <w:p w:rsidR="00346FFF" w:rsidRPr="00FB5B94" w:rsidRDefault="00346FFF" w:rsidP="00346FFF">
      <w:pPr>
        <w:pStyle w:val="Pagrindinistekstas"/>
        <w:spacing w:after="0"/>
        <w:rPr>
          <w:noProof/>
          <w:sz w:val="22"/>
          <w:szCs w:val="22"/>
        </w:rPr>
      </w:pPr>
    </w:p>
    <w:p w:rsidR="00346FFF" w:rsidRPr="00FB5B94" w:rsidRDefault="00346FFF" w:rsidP="00346FFF">
      <w:pPr>
        <w:ind w:left="567" w:hanging="567"/>
        <w:rPr>
          <w:noProof/>
          <w:szCs w:val="22"/>
        </w:rPr>
      </w:pPr>
      <w:r w:rsidRPr="00FB5B94">
        <w:rPr>
          <w:noProof/>
          <w:szCs w:val="22"/>
        </w:rPr>
        <w:t>Vienoje tabletėje yra 81,2 mg natrio alendronato monohidrato, atitinkančio 70 mg alendrono rūgšties.</w:t>
      </w:r>
    </w:p>
    <w:p w:rsidR="00346FFF" w:rsidRPr="00FB5B94" w:rsidRDefault="00346FFF" w:rsidP="00346FFF">
      <w:pPr>
        <w:ind w:left="567" w:hanging="567"/>
        <w:rPr>
          <w:noProof/>
          <w:szCs w:val="22"/>
        </w:rPr>
      </w:pPr>
      <w:r w:rsidRPr="00FB5B94">
        <w:rPr>
          <w:noProof/>
          <w:szCs w:val="22"/>
        </w:rPr>
        <w:t>Vienoje minkštojoje kapsulėje yra 1 mikrogramas alfakalcidolio.</w:t>
      </w:r>
    </w:p>
    <w:p w:rsidR="00346FFF" w:rsidRPr="00FB5B94" w:rsidRDefault="00346FFF" w:rsidP="00346FFF">
      <w:pPr>
        <w:ind w:left="567" w:hanging="567"/>
        <w:rPr>
          <w:noProof/>
          <w:szCs w:val="22"/>
        </w:rPr>
      </w:pPr>
    </w:p>
    <w:p w:rsidR="00346FFF" w:rsidRPr="00FB5B94" w:rsidRDefault="00346FFF" w:rsidP="00346FFF">
      <w:pPr>
        <w:rPr>
          <w:noProof/>
          <w:szCs w:val="22"/>
        </w:rPr>
      </w:pPr>
      <w:r w:rsidRPr="00FB5B94">
        <w:rPr>
          <w:noProof/>
          <w:szCs w:val="22"/>
        </w:rPr>
        <w:t xml:space="preserve">Pagalbinės medžiagos: žemės riešutų aliejus, manitolio-sorbitolio-sorbitano-aukštesniojo </w:t>
      </w:r>
      <w:r w:rsidR="008F36F5" w:rsidRPr="00FB5B94">
        <w:rPr>
          <w:noProof/>
          <w:szCs w:val="22"/>
        </w:rPr>
        <w:t>poliolio mišinys, etanolis.</w:t>
      </w:r>
    </w:p>
    <w:p w:rsidR="00346FFF" w:rsidRPr="00FB5B94" w:rsidRDefault="00346FFF" w:rsidP="00346FFF">
      <w:pPr>
        <w:ind w:left="567" w:hanging="567"/>
        <w:rPr>
          <w:noProof/>
          <w:szCs w:val="22"/>
        </w:rPr>
      </w:pPr>
    </w:p>
    <w:p w:rsidR="00346FFF" w:rsidRPr="00FB5B94" w:rsidRDefault="00346FFF" w:rsidP="00346FFF">
      <w:pPr>
        <w:ind w:left="567" w:hanging="567"/>
        <w:rPr>
          <w:noProof/>
          <w:szCs w:val="22"/>
        </w:rPr>
      </w:pPr>
      <w:r w:rsidRPr="00FB5B94">
        <w:rPr>
          <w:noProof/>
          <w:szCs w:val="22"/>
        </w:rPr>
        <w:t>Visos pagalbinės medžiagos išvardytos 6.1 skyriuje.</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3.</w:t>
      </w:r>
      <w:r w:rsidRPr="00FB5B94">
        <w:tab/>
        <w:t>FARMACINĖ FORMA</w:t>
      </w:r>
    </w:p>
    <w:p w:rsidR="00346FFF" w:rsidRPr="00FB5B94" w:rsidRDefault="00346FFF" w:rsidP="00346FFF">
      <w:pPr>
        <w:pStyle w:val="Pagrindinistekstas"/>
        <w:spacing w:after="0"/>
        <w:rPr>
          <w:noProof/>
          <w:sz w:val="22"/>
          <w:szCs w:val="22"/>
        </w:rPr>
      </w:pPr>
    </w:p>
    <w:p w:rsidR="00346FFF" w:rsidRPr="00FB5B94" w:rsidRDefault="00346FFF" w:rsidP="00346FFF">
      <w:pPr>
        <w:ind w:left="567" w:hanging="567"/>
        <w:rPr>
          <w:noProof/>
          <w:szCs w:val="22"/>
        </w:rPr>
      </w:pPr>
      <w:r w:rsidRPr="00FB5B94">
        <w:rPr>
          <w:noProof/>
          <w:szCs w:val="22"/>
        </w:rPr>
        <w:t>Tabletė ir minkštoji kapsulė</w:t>
      </w:r>
    </w:p>
    <w:p w:rsidR="00346FFF" w:rsidRPr="00FB5B94" w:rsidRDefault="00346FFF" w:rsidP="00346FFF">
      <w:pPr>
        <w:rPr>
          <w:noProof/>
          <w:szCs w:val="22"/>
        </w:rPr>
      </w:pPr>
    </w:p>
    <w:p w:rsidR="00346FFF" w:rsidRPr="00FB5B94" w:rsidRDefault="00346FFF" w:rsidP="00346FFF">
      <w:pPr>
        <w:rPr>
          <w:i/>
          <w:noProof/>
          <w:szCs w:val="22"/>
        </w:rPr>
      </w:pPr>
      <w:r w:rsidRPr="00FB5B94">
        <w:rPr>
          <w:i/>
          <w:noProof/>
          <w:szCs w:val="22"/>
        </w:rPr>
        <w:t xml:space="preserve">Alendrono rūgšties 70 mg tabletės </w:t>
      </w:r>
    </w:p>
    <w:p w:rsidR="00346FFF" w:rsidRPr="00FB5B94" w:rsidRDefault="00346FFF" w:rsidP="00346FFF">
      <w:pPr>
        <w:rPr>
          <w:noProof/>
          <w:szCs w:val="22"/>
        </w:rPr>
      </w:pPr>
      <w:r w:rsidRPr="00FB5B94">
        <w:rPr>
          <w:noProof/>
          <w:szCs w:val="22"/>
        </w:rPr>
        <w:t>Balta arba beveik balta, plokščia, nuožulniais kraštais apvali tabletė, kurios viena pusė pažymėta įspaudu „T”, kita pusė lygi.</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Alfakalcidolio 1 mikrogramas minkštoji kapsulė</w:t>
      </w:r>
    </w:p>
    <w:p w:rsidR="00346FFF" w:rsidRPr="00FB5B94" w:rsidRDefault="00346FFF" w:rsidP="00346FFF">
      <w:pPr>
        <w:pStyle w:val="BTEMEASMCA"/>
        <w:rPr>
          <w:sz w:val="22"/>
          <w:szCs w:val="22"/>
        </w:rPr>
      </w:pPr>
      <w:r w:rsidRPr="00FB5B94">
        <w:rPr>
          <w:sz w:val="22"/>
          <w:szCs w:val="22"/>
        </w:rPr>
        <w:t>Matinė balta arba beveik balta ovali minkštoji kapsulė su juodu įspaudu „1.0“.</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p>
    <w:p w:rsidR="00346FFF" w:rsidRPr="00FB5B94" w:rsidRDefault="00346FFF" w:rsidP="00346FFF">
      <w:pPr>
        <w:pStyle w:val="Antrat2"/>
      </w:pPr>
      <w:r w:rsidRPr="00FB5B94">
        <w:rPr>
          <w:caps/>
        </w:rPr>
        <w:t>4.</w:t>
      </w:r>
      <w:r w:rsidRPr="00FB5B94">
        <w:rPr>
          <w:caps/>
        </w:rPr>
        <w:tab/>
      </w:r>
      <w:r w:rsidRPr="00FB5B94">
        <w:t>KLINIKINĖ INFORMACIJA</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4.1</w:t>
      </w:r>
      <w:r w:rsidRPr="00FB5B94">
        <w:rPr>
          <w:noProof/>
          <w:sz w:val="22"/>
          <w:szCs w:val="22"/>
        </w:rPr>
        <w:tab/>
        <w:t>Terapinės indikacijos</w:t>
      </w:r>
    </w:p>
    <w:p w:rsidR="00346FFF" w:rsidRPr="00FB5B94" w:rsidRDefault="00346FFF" w:rsidP="00346FFF">
      <w:pPr>
        <w:pStyle w:val="Pagrindinistekstas"/>
        <w:spacing w:after="0"/>
        <w:rPr>
          <w:noProof/>
          <w:sz w:val="22"/>
          <w:szCs w:val="22"/>
        </w:rPr>
      </w:pPr>
    </w:p>
    <w:p w:rsidR="00346FFF" w:rsidRPr="00FB5B94" w:rsidRDefault="00346FFF" w:rsidP="00346FFF">
      <w:pPr>
        <w:rPr>
          <w:szCs w:val="22"/>
        </w:rPr>
      </w:pPr>
      <w:r w:rsidRPr="00FB5B94">
        <w:rPr>
          <w:szCs w:val="22"/>
        </w:rPr>
        <w:t xml:space="preserve">Osteoporozės po menopauzės gydymas. Alendrono rūgštis mažina stuburo slankstelių ir šlaunikaulių lūžių </w:t>
      </w:r>
      <w:r w:rsidRPr="00FB5B94">
        <w:rPr>
          <w:noProof/>
          <w:szCs w:val="22"/>
        </w:rPr>
        <w:t>riziką, senyviems pacientams alfakalcidolis reikšmingai sumažina nugriuvimų dažnį.</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4.2</w:t>
      </w:r>
      <w:r w:rsidRPr="00FB5B94">
        <w:rPr>
          <w:noProof/>
          <w:sz w:val="22"/>
          <w:szCs w:val="22"/>
        </w:rPr>
        <w:tab/>
        <w:t>Dozavimas ir vartojimo metodas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sz w:val="22"/>
          <w:szCs w:val="22"/>
        </w:rPr>
      </w:pPr>
      <w:r w:rsidRPr="00FB5B94">
        <w:rPr>
          <w:noProof/>
          <w:sz w:val="22"/>
          <w:szCs w:val="22"/>
        </w:rPr>
        <w:t xml:space="preserve">Teboneva sudaro dvi atskiros dalys: alendrono rūgšties tabletė, vartojama vieną kartą per savaitę, ir </w:t>
      </w:r>
      <w:r w:rsidRPr="00FB5B94">
        <w:rPr>
          <w:sz w:val="22"/>
          <w:szCs w:val="22"/>
        </w:rPr>
        <w:t>minkštoji kapsulė, kuri vartojama vieną kartą per parą. Reikia laikytis abiejų vaistinio preparato dalių dozių ir jų vartojimo tvarkos.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Pakankamos alendronato absorbcijos sąlygos</w:t>
      </w:r>
    </w:p>
    <w:p w:rsidR="00346FFF" w:rsidRPr="00FB5B94" w:rsidRDefault="00346FFF" w:rsidP="00346FFF">
      <w:pPr>
        <w:pStyle w:val="BTEMEASMCA"/>
        <w:rPr>
          <w:sz w:val="22"/>
          <w:szCs w:val="22"/>
        </w:rPr>
      </w:pPr>
      <w:r w:rsidRPr="00FB5B94">
        <w:rPr>
          <w:b/>
          <w:sz w:val="22"/>
          <w:szCs w:val="22"/>
        </w:rPr>
        <w:t xml:space="preserve">Alendrono rūgšties </w:t>
      </w:r>
      <w:r w:rsidRPr="00FB5B94">
        <w:rPr>
          <w:sz w:val="22"/>
          <w:szCs w:val="22"/>
        </w:rPr>
        <w:t>70 mg tabletes reikia gerti vieną kartą per savaitę, likus ne mažiau kaip 30 minučių iki pusryčių, gėrimų ar kitų vaistinių preparatų vartojimo, užgeriant paprastu vandeniu. Kiti skysčiai, įskaitant mineralinį vandenį, maistas ar kai kurie vaistiniai preparatai gali mažinti alendrono rūgšties absorbciją (žr. 4.5 skyrių.).</w:t>
      </w:r>
    </w:p>
    <w:p w:rsidR="00346FFF" w:rsidRPr="00FB5B94" w:rsidRDefault="00346FFF" w:rsidP="00346FFF">
      <w:pPr>
        <w:pStyle w:val="Pagrindinistekstas"/>
        <w:spacing w:after="0"/>
        <w:rPr>
          <w:noProof/>
          <w:sz w:val="22"/>
          <w:szCs w:val="22"/>
        </w:rPr>
      </w:pPr>
      <w:r w:rsidRPr="00FB5B94">
        <w:rPr>
          <w:noProof/>
          <w:sz w:val="22"/>
          <w:szCs w:val="22"/>
        </w:rPr>
        <w:t>Laikantis toliau pateiktų nurodymų, vaistinis preparatas greičiau patenka į skrandį, ir taip mažinamas lokalus ir stemplės dirginimas ir (arba) nepageidaujamų reiškinių tikimybė (žr. 4.4 skyrių):</w:t>
      </w:r>
    </w:p>
    <w:p w:rsidR="00346FFF" w:rsidRPr="00FB5B94" w:rsidRDefault="00346FFF" w:rsidP="00346FFF">
      <w:pPr>
        <w:pStyle w:val="BT-EMEASMCA"/>
        <w:rPr>
          <w:sz w:val="22"/>
          <w:szCs w:val="22"/>
        </w:rPr>
      </w:pPr>
      <w:r w:rsidRPr="00FB5B94">
        <w:rPr>
          <w:sz w:val="22"/>
          <w:szCs w:val="22"/>
        </w:rPr>
        <w:t>Alendrono rūgšties reikia gerti būtinai ryte, ką tik atsikėlus, užsigeriant pilna stikline vandens (ne mažiau kaip 200 ml).</w:t>
      </w:r>
    </w:p>
    <w:p w:rsidR="00346FFF" w:rsidRPr="00FB5B94" w:rsidRDefault="00346FFF" w:rsidP="00346FFF">
      <w:pPr>
        <w:pStyle w:val="BT-EMEASMCA"/>
        <w:rPr>
          <w:sz w:val="22"/>
          <w:szCs w:val="22"/>
        </w:rPr>
      </w:pPr>
      <w:r w:rsidRPr="00FB5B94">
        <w:rPr>
          <w:sz w:val="22"/>
          <w:szCs w:val="22"/>
        </w:rPr>
        <w:t>Tablečių negalima kramtyti ar leisti joms ištirpti burnoje, kadangi gali atsirasti burnos ir ryklės opų.</w:t>
      </w:r>
    </w:p>
    <w:p w:rsidR="00346FFF" w:rsidRPr="00FB5B94" w:rsidRDefault="00346FFF" w:rsidP="00346FFF">
      <w:pPr>
        <w:pStyle w:val="BT-EMEASMCA"/>
        <w:rPr>
          <w:sz w:val="22"/>
          <w:szCs w:val="22"/>
        </w:rPr>
      </w:pPr>
      <w:r w:rsidRPr="00FB5B94">
        <w:rPr>
          <w:sz w:val="22"/>
          <w:szCs w:val="22"/>
        </w:rPr>
        <w:t>Išgėrus alendrono rūgšties 70 mg tablečių, pacientas turi nesigulti mažiausiai 30 minučių.</w:t>
      </w:r>
    </w:p>
    <w:p w:rsidR="00346FFF" w:rsidRPr="00FB5B94" w:rsidRDefault="00346FFF" w:rsidP="00346FFF">
      <w:pPr>
        <w:pStyle w:val="BT-EMEASMCA"/>
        <w:rPr>
          <w:sz w:val="22"/>
          <w:szCs w:val="22"/>
        </w:rPr>
      </w:pPr>
      <w:r w:rsidRPr="00FB5B94">
        <w:rPr>
          <w:sz w:val="22"/>
          <w:szCs w:val="22"/>
        </w:rPr>
        <w:t>Pusryčiauti galima tik praėjus ne mažiau kaip 30 minučių nuo tabletės gėrimo.</w:t>
      </w:r>
    </w:p>
    <w:p w:rsidR="00346FFF" w:rsidRPr="00FB5B94" w:rsidRDefault="00346FFF" w:rsidP="00346FFF">
      <w:pPr>
        <w:pStyle w:val="BT-EMEASMCA"/>
        <w:rPr>
          <w:sz w:val="22"/>
          <w:szCs w:val="22"/>
        </w:rPr>
      </w:pPr>
      <w:r w:rsidRPr="00FB5B94">
        <w:rPr>
          <w:sz w:val="22"/>
          <w:szCs w:val="22"/>
        </w:rPr>
        <w:t>Alendrono rūgšties 70 mg tablečių negalima gerti vakare, prieš miegą, arba dar neatsikėlus iš lovos ryte.</w:t>
      </w:r>
    </w:p>
    <w:p w:rsidR="00346FFF" w:rsidRPr="00FB5B94" w:rsidRDefault="00346FFF" w:rsidP="00346FFF">
      <w:pPr>
        <w:pStyle w:val="BTEMEASMCA"/>
        <w:rPr>
          <w:sz w:val="22"/>
          <w:szCs w:val="22"/>
          <w:lang w:val="lt-LT"/>
        </w:rPr>
      </w:pPr>
      <w:r w:rsidRPr="00FB5B94">
        <w:rPr>
          <w:sz w:val="22"/>
          <w:szCs w:val="22"/>
        </w:rPr>
        <w:t>Jeigu maiste trūksta kalcio, jo kiekį būtina vartoti papildomai (žr. 4.4 skyrių).</w:t>
      </w:r>
    </w:p>
    <w:p w:rsidR="008F38B4" w:rsidRPr="00FB5B94" w:rsidRDefault="008F38B4" w:rsidP="00346FFF">
      <w:pPr>
        <w:pStyle w:val="BTEMEASMCA"/>
        <w:rPr>
          <w:sz w:val="22"/>
          <w:szCs w:val="22"/>
          <w:lang w:val="lt-LT"/>
        </w:rPr>
      </w:pPr>
    </w:p>
    <w:p w:rsidR="008F38B4" w:rsidRPr="00FB5B94" w:rsidRDefault="008F38B4" w:rsidP="00346FFF">
      <w:pPr>
        <w:pStyle w:val="BTEMEASMCA"/>
        <w:rPr>
          <w:sz w:val="22"/>
          <w:szCs w:val="22"/>
          <w:lang w:val="lt-LT"/>
        </w:rPr>
      </w:pPr>
      <w:r w:rsidRPr="00FB5B94">
        <w:rPr>
          <w:sz w:val="22"/>
          <w:szCs w:val="22"/>
          <w:lang w:val="lt-LT"/>
        </w:rPr>
        <w:t>Optimali osteoporozės gydymo bisfosfonatais trukmė nėra nustatyta. Gydymo pratęsimo būtinybę, remiantis alendrono rūgšties gydymo nauda ir potencialia rizika konkrečiam pacientui, reikia vertinti periodiškai, ypač praėjus 5 ar daugiau gydymo metų.</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 xml:space="preserve">Vartojimas senyviems žmonėms </w:t>
      </w:r>
    </w:p>
    <w:p w:rsidR="00346FFF" w:rsidRPr="00FB5B94" w:rsidRDefault="00346FFF" w:rsidP="00346FFF">
      <w:pPr>
        <w:pStyle w:val="BTEMEASMCA"/>
        <w:rPr>
          <w:sz w:val="22"/>
          <w:szCs w:val="22"/>
        </w:rPr>
      </w:pPr>
      <w:r w:rsidRPr="00FB5B94">
        <w:rPr>
          <w:sz w:val="22"/>
          <w:szCs w:val="22"/>
        </w:rPr>
        <w:t>Klinikinių tyrimų metu alendrono rūgšties veiksmingumas ir saugumas nebuvo susijęs su pacientų amžiumi, todėl senyvo amžiaus pacientams dozės koreguoti nebūtina.</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Vartojimas pacientams, kurių inkstų veikla sutrikusi</w:t>
      </w:r>
    </w:p>
    <w:p w:rsidR="00346FFF" w:rsidRPr="00FB5B94" w:rsidRDefault="00346FFF" w:rsidP="00346FFF">
      <w:pPr>
        <w:pStyle w:val="BTEMEASMCA"/>
        <w:rPr>
          <w:sz w:val="22"/>
          <w:szCs w:val="22"/>
        </w:rPr>
      </w:pPr>
      <w:r w:rsidRPr="00FB5B94">
        <w:rPr>
          <w:sz w:val="22"/>
          <w:szCs w:val="22"/>
        </w:rPr>
        <w:t>Pacientams, kuriems glomerulų filtracijos greitis yra didesnis negu 35 ml/min., dozės koreguoti nebūtina. Kadangi nėra patirties, alendrono rūgšties nerekomenduojama vartoti pacientams, kuriems glomerulų filtracijos greitis mažesnis negu 35 ml/min.</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Alendrono rūgšties 70 mg tablečių vartojimas gliukokortikoidų sukeltos osteoporozės gydymui netirtas.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Vartojimas vaikams</w:t>
      </w:r>
    </w:p>
    <w:p w:rsidR="00346FFF" w:rsidRPr="00FB5B94" w:rsidRDefault="00346FFF" w:rsidP="00346FFF">
      <w:pPr>
        <w:pStyle w:val="BTEMEASMCA"/>
        <w:rPr>
          <w:sz w:val="22"/>
          <w:szCs w:val="22"/>
        </w:rPr>
      </w:pPr>
      <w:r w:rsidRPr="00FB5B94">
        <w:rPr>
          <w:sz w:val="22"/>
          <w:szCs w:val="22"/>
        </w:rPr>
        <w:t>Teboneva saugumas ir veiksmingumas jaunesniems kaip 18 metų pacientams nenustatytas. Kadangi duomenų nėra, Teboneva negalima vartoti jaunesniems kaip 18 metų vaikams.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b/>
          <w:sz w:val="22"/>
          <w:szCs w:val="22"/>
        </w:rPr>
        <w:t>Alfakalcidolį</w:t>
      </w:r>
      <w:r w:rsidRPr="00FB5B94">
        <w:rPr>
          <w:sz w:val="22"/>
          <w:szCs w:val="22"/>
        </w:rPr>
        <w:t xml:space="preserve"> reikia gerti vakare. </w:t>
      </w:r>
    </w:p>
    <w:p w:rsidR="00346FFF" w:rsidRPr="00FB5B94" w:rsidRDefault="00346FFF" w:rsidP="00346FFF">
      <w:pPr>
        <w:pStyle w:val="BTEMEASMCA"/>
        <w:rPr>
          <w:sz w:val="22"/>
          <w:szCs w:val="22"/>
        </w:rPr>
      </w:pPr>
      <w:r w:rsidRPr="00FB5B94">
        <w:rPr>
          <w:sz w:val="22"/>
          <w:szCs w:val="22"/>
        </w:rPr>
        <w:t>Rekomenduojama paros dozė yra 1 µg. Gydymo laikotarpiu reikia kontroliuoti kalcio koncentraciją kraujyje ir, jeigu ji yra didelė (daugiau kaip 2,6 mmol/l), reikia išsiaiškinti, ar papildomai nevartojama kalcio preparatų; jeigu jie vartojami, vartojimą reikia nutraukti. Tais atvejais, kai to padaryti neįmanoma, alfakalcidolio kapsulių vartojimą reikia laikinai nutraukti, kol kalcio koncentracija kraujo serume taps normali (2,2-2,6 mmol/l).</w:t>
      </w:r>
    </w:p>
    <w:p w:rsidR="00346FFF" w:rsidRPr="00FB5B94" w:rsidRDefault="00346FFF" w:rsidP="00346FFF">
      <w:pPr>
        <w:pStyle w:val="BTEMEASMCA"/>
        <w:rPr>
          <w:sz w:val="22"/>
          <w:szCs w:val="22"/>
        </w:rPr>
      </w:pPr>
      <w:r w:rsidRPr="00FB5B94">
        <w:rPr>
          <w:sz w:val="22"/>
          <w:szCs w:val="22"/>
        </w:rPr>
        <w:t>Kapsulę reikia nuryti nesukramtytą užsigeriant pakankamu skysčio kiekiu. Kiekvieno paciento gydymo trukmę nustato gydytojas.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 xml:space="preserve">Teboneva vartojimą reikia nutraukti, jei kurios nors dalies vartojimas pacientui netinka. </w:t>
      </w:r>
    </w:p>
    <w:p w:rsidR="00346FFF" w:rsidRPr="00FB5B94" w:rsidRDefault="00346FFF" w:rsidP="00346FFF">
      <w:pPr>
        <w:pStyle w:val="BTEMEASMCA"/>
        <w:rPr>
          <w:sz w:val="22"/>
          <w:szCs w:val="22"/>
        </w:rPr>
      </w:pPr>
      <w:r w:rsidRPr="00FB5B94">
        <w:rPr>
          <w:sz w:val="22"/>
          <w:szCs w:val="22"/>
        </w:rPr>
        <w:t>Abi Teboneva veikliosios medžiagos  - alendrono rūgštis ir alfakalcidolis - gali pasireikšti priešingu poveikiu norint išvengti didelių kalcio koncentracijos kraujyje svyravimų. Abi medžiagos gali veikti kalcio koncentraciją kraujyje: alendrono rūgštis gali sumažinti, alfakalcidolis gali padidinti. Gydantis gydytojas tai turi įvertinti.</w:t>
      </w:r>
    </w:p>
    <w:p w:rsidR="00346FFF" w:rsidRPr="00FB5B94" w:rsidRDefault="00346FFF" w:rsidP="00346FFF">
      <w:pPr>
        <w:pStyle w:val="BTEMEASMCA"/>
        <w:rPr>
          <w:sz w:val="22"/>
          <w:szCs w:val="22"/>
        </w:rPr>
      </w:pPr>
      <w:r w:rsidRPr="00FB5B94">
        <w:rPr>
          <w:sz w:val="22"/>
          <w:szCs w:val="22"/>
        </w:rPr>
        <w:t xml:space="preserve">Dėl osteoporozės metu vykstančio patologinio proceso Teboneva reikia vartoti ilgai. </w:t>
      </w:r>
    </w:p>
    <w:p w:rsidR="00346FFF" w:rsidRPr="00FB5B94" w:rsidRDefault="00346FFF" w:rsidP="00346FFF">
      <w:pPr>
        <w:pStyle w:val="BTEMEASMCA"/>
        <w:rPr>
          <w:sz w:val="22"/>
          <w:szCs w:val="22"/>
        </w:rPr>
      </w:pPr>
    </w:p>
    <w:p w:rsidR="00346FFF" w:rsidRPr="00FB5B94" w:rsidRDefault="00346FFF" w:rsidP="00346FFF">
      <w:pPr>
        <w:pStyle w:val="Antrat3"/>
        <w:numPr>
          <w:ilvl w:val="1"/>
          <w:numId w:val="12"/>
        </w:numPr>
        <w:rPr>
          <w:noProof/>
          <w:sz w:val="22"/>
          <w:szCs w:val="22"/>
        </w:rPr>
      </w:pPr>
      <w:r w:rsidRPr="00FB5B94">
        <w:rPr>
          <w:noProof/>
          <w:sz w:val="22"/>
          <w:szCs w:val="22"/>
        </w:rPr>
        <w:t>Kontraindikacijos</w:t>
      </w:r>
    </w:p>
    <w:p w:rsidR="00346FFF" w:rsidRPr="00FB5B94" w:rsidRDefault="00346FFF" w:rsidP="00346FFF">
      <w:pPr>
        <w:rPr>
          <w:szCs w:val="22"/>
        </w:rPr>
      </w:pPr>
    </w:p>
    <w:p w:rsidR="00346FFF" w:rsidRPr="00FB5B94" w:rsidRDefault="00346FFF" w:rsidP="00346FFF">
      <w:pPr>
        <w:pStyle w:val="BT-EMEASMCA"/>
        <w:rPr>
          <w:sz w:val="22"/>
          <w:szCs w:val="22"/>
        </w:rPr>
      </w:pPr>
      <w:r w:rsidRPr="00FB5B94">
        <w:rPr>
          <w:sz w:val="22"/>
          <w:szCs w:val="22"/>
        </w:rPr>
        <w:t>Padidėjęs jautrumas alendronatui ir (arba) alfakalcidoliui arba bet kuriai pagalbinei medžiagai.</w:t>
      </w:r>
    </w:p>
    <w:p w:rsidR="00346FFF" w:rsidRPr="00FB5B94" w:rsidRDefault="00346FFF" w:rsidP="00346FFF">
      <w:pPr>
        <w:pStyle w:val="BT-EMEASMCA"/>
        <w:rPr>
          <w:sz w:val="22"/>
          <w:szCs w:val="22"/>
        </w:rPr>
      </w:pPr>
      <w:r w:rsidRPr="00FB5B94">
        <w:rPr>
          <w:sz w:val="22"/>
          <w:szCs w:val="22"/>
        </w:rPr>
        <w:t>Stemplės anomalijos ar kiti faktoriai, dėl kurių ji lėčiau ištuštėja, pvz.: susiaurėjimas arba achalazija.</w:t>
      </w:r>
    </w:p>
    <w:p w:rsidR="00346FFF" w:rsidRPr="00FB5B94" w:rsidRDefault="00346FFF" w:rsidP="00346FFF">
      <w:pPr>
        <w:pStyle w:val="BT-EMEASMCA"/>
        <w:rPr>
          <w:sz w:val="22"/>
          <w:szCs w:val="22"/>
        </w:rPr>
      </w:pPr>
      <w:r w:rsidRPr="00FB5B94">
        <w:rPr>
          <w:sz w:val="22"/>
          <w:szCs w:val="22"/>
        </w:rPr>
        <w:t>Negalėjimas stovėti arba tiesiai išsėdėti mažiausiai 30 minučių.</w:t>
      </w:r>
    </w:p>
    <w:p w:rsidR="00346FFF" w:rsidRPr="00FB5B94" w:rsidRDefault="00346FFF" w:rsidP="00346FFF">
      <w:pPr>
        <w:pStyle w:val="BT-EMEASMCA"/>
        <w:rPr>
          <w:sz w:val="22"/>
          <w:szCs w:val="22"/>
        </w:rPr>
      </w:pPr>
      <w:r w:rsidRPr="00FB5B94">
        <w:rPr>
          <w:sz w:val="22"/>
          <w:szCs w:val="22"/>
        </w:rPr>
        <w:t>Hipokalcemija.</w:t>
      </w:r>
    </w:p>
    <w:p w:rsidR="00346FFF" w:rsidRPr="00FB5B94" w:rsidRDefault="00346FFF" w:rsidP="00346FFF">
      <w:pPr>
        <w:pStyle w:val="BTEMEASMCA"/>
        <w:rPr>
          <w:sz w:val="22"/>
          <w:szCs w:val="22"/>
        </w:rPr>
      </w:pPr>
      <w:r w:rsidRPr="00FB5B94">
        <w:rPr>
          <w:sz w:val="22"/>
          <w:szCs w:val="22"/>
        </w:rPr>
        <w:t xml:space="preserve">Taip pat žr. 4.4 skyrių. </w:t>
      </w:r>
    </w:p>
    <w:p w:rsidR="00346FFF" w:rsidRPr="00FB5B94" w:rsidRDefault="00346FFF" w:rsidP="00346FFF">
      <w:pPr>
        <w:pStyle w:val="BT-EMEASMCA"/>
        <w:rPr>
          <w:sz w:val="22"/>
          <w:szCs w:val="22"/>
        </w:rPr>
      </w:pPr>
      <w:r w:rsidRPr="00FB5B94">
        <w:rPr>
          <w:sz w:val="22"/>
          <w:szCs w:val="22"/>
        </w:rPr>
        <w:t>Nustatytas padidėjęs jautrumas vitaminui D.</w:t>
      </w:r>
    </w:p>
    <w:p w:rsidR="00346FFF" w:rsidRPr="00FB5B94" w:rsidRDefault="00346FFF" w:rsidP="00346FFF">
      <w:pPr>
        <w:pStyle w:val="BT-EMEASMCA"/>
        <w:rPr>
          <w:sz w:val="22"/>
          <w:szCs w:val="22"/>
        </w:rPr>
      </w:pPr>
      <w:r w:rsidRPr="00FB5B94">
        <w:rPr>
          <w:sz w:val="22"/>
          <w:szCs w:val="22"/>
        </w:rPr>
        <w:t>Vitamino D intoksikacijos požymiai.</w:t>
      </w:r>
    </w:p>
    <w:p w:rsidR="00346FFF" w:rsidRPr="00FB5B94" w:rsidRDefault="00346FFF" w:rsidP="00346FFF">
      <w:pPr>
        <w:pStyle w:val="BT-EMEASMCA"/>
        <w:rPr>
          <w:sz w:val="22"/>
          <w:szCs w:val="22"/>
        </w:rPr>
      </w:pPr>
      <w:r w:rsidRPr="00FB5B94">
        <w:rPr>
          <w:sz w:val="22"/>
          <w:szCs w:val="22"/>
        </w:rPr>
        <w:t>Didesnė kaip 2,6 mmol/l kalcio, 3,7 (mmol/l)</w:t>
      </w:r>
      <w:r w:rsidRPr="00FB5B94">
        <w:rPr>
          <w:sz w:val="22"/>
          <w:szCs w:val="22"/>
          <w:vertAlign w:val="superscript"/>
        </w:rPr>
        <w:t>2</w:t>
      </w:r>
      <w:r w:rsidRPr="00FB5B94">
        <w:rPr>
          <w:sz w:val="22"/>
          <w:szCs w:val="22"/>
        </w:rPr>
        <w:t xml:space="preserve"> kalcio fosfato koncentracija kraujo plazmoje, alkalozė, kai veninio kraujo pH didesnė kaip 7,44 (pieno-šarmų sindromas, Burnett sindromas).</w:t>
      </w:r>
    </w:p>
    <w:p w:rsidR="00346FFF" w:rsidRPr="00FB5B94" w:rsidRDefault="00346FFF" w:rsidP="00346FFF">
      <w:pPr>
        <w:pStyle w:val="BT-EMEASMCA"/>
        <w:rPr>
          <w:sz w:val="22"/>
          <w:szCs w:val="22"/>
        </w:rPr>
      </w:pPr>
      <w:r w:rsidRPr="00FB5B94">
        <w:rPr>
          <w:sz w:val="22"/>
          <w:szCs w:val="22"/>
        </w:rPr>
        <w:t>Hiperkalcemija.</w:t>
      </w:r>
    </w:p>
    <w:p w:rsidR="00346FFF" w:rsidRPr="00FB5B94" w:rsidRDefault="00346FFF" w:rsidP="00346FFF">
      <w:pPr>
        <w:pStyle w:val="BT-EMEASMCA"/>
        <w:rPr>
          <w:sz w:val="22"/>
          <w:szCs w:val="22"/>
        </w:rPr>
      </w:pPr>
      <w:r w:rsidRPr="00FB5B94">
        <w:rPr>
          <w:sz w:val="22"/>
          <w:szCs w:val="22"/>
        </w:rPr>
        <w:t>Hipermagnezemija.</w:t>
      </w:r>
    </w:p>
    <w:p w:rsidR="00346FFF" w:rsidRPr="00FB5B94" w:rsidRDefault="00346FFF" w:rsidP="00346FFF">
      <w:pPr>
        <w:pStyle w:val="BT-EMEASMCA"/>
        <w:rPr>
          <w:sz w:val="22"/>
          <w:szCs w:val="22"/>
        </w:rPr>
      </w:pPr>
      <w:r w:rsidRPr="00FB5B94">
        <w:rPr>
          <w:sz w:val="22"/>
          <w:szCs w:val="22"/>
        </w:rPr>
        <w:t>Inkstų dializė.</w:t>
      </w:r>
    </w:p>
    <w:p w:rsidR="00346FFF" w:rsidRPr="00FB5B94" w:rsidRDefault="00346FFF" w:rsidP="00346FFF">
      <w:pPr>
        <w:pStyle w:val="BT-EMEASMCA"/>
        <w:rPr>
          <w:sz w:val="22"/>
          <w:szCs w:val="22"/>
        </w:rPr>
      </w:pPr>
      <w:r w:rsidRPr="00FB5B94">
        <w:rPr>
          <w:sz w:val="22"/>
          <w:szCs w:val="22"/>
        </w:rPr>
        <w:t>Pacientams, kuriems buvo nustatyta inkstų akmenligė arba jie sirgo sarkoidoze, rizika yra didesnė.</w:t>
      </w:r>
    </w:p>
    <w:p w:rsidR="00346FFF" w:rsidRPr="00FB5B94" w:rsidRDefault="00346FFF" w:rsidP="00346FFF">
      <w:pPr>
        <w:pStyle w:val="BT-EMEASMCA"/>
        <w:rPr>
          <w:sz w:val="22"/>
          <w:szCs w:val="22"/>
        </w:rPr>
      </w:pPr>
      <w:r w:rsidRPr="00FB5B94">
        <w:rPr>
          <w:sz w:val="22"/>
          <w:szCs w:val="22"/>
        </w:rPr>
        <w:t>Vaikai ir paaugliai.</w:t>
      </w:r>
    </w:p>
    <w:p w:rsidR="00346FFF" w:rsidRPr="00FB5B94" w:rsidRDefault="00346FFF" w:rsidP="00346FFF">
      <w:pPr>
        <w:pStyle w:val="BTEMEASMCA"/>
        <w:rPr>
          <w:sz w:val="22"/>
          <w:szCs w:val="22"/>
        </w:rPr>
      </w:pPr>
      <w:r w:rsidRPr="00FB5B94">
        <w:rPr>
          <w:sz w:val="22"/>
          <w:szCs w:val="22"/>
        </w:rPr>
        <w:t xml:space="preserve">Abi Teboneva veikliosios medžiagos - alendrono rūgštis ir alfakalcidolis - gali pasireikšti priešingu poveikiu norint išvengti kalcio koncentracijos kraujyje didelių svyravimų. Abi medžiagos gali veikti </w:t>
      </w:r>
      <w:r w:rsidRPr="00FB5B94">
        <w:rPr>
          <w:sz w:val="22"/>
          <w:szCs w:val="22"/>
        </w:rPr>
        <w:lastRenderedPageBreak/>
        <w:t>kalcio koncentraciją kraujyje: alendrono rūgštis gali sumažinti, alfakalcidolis gali padidinti. Gydantis gydytojas tai turi įvertinti.</w:t>
      </w:r>
    </w:p>
    <w:p w:rsidR="00346FFF" w:rsidRPr="00FB5B94" w:rsidRDefault="00346FFF" w:rsidP="00346FFF">
      <w:pPr>
        <w:pStyle w:val="BTEMEASMCA"/>
        <w:rPr>
          <w:sz w:val="22"/>
          <w:szCs w:val="22"/>
        </w:rPr>
      </w:pPr>
    </w:p>
    <w:p w:rsidR="00346FFF" w:rsidRPr="00FB5B94" w:rsidRDefault="00346FFF" w:rsidP="00346FFF">
      <w:pPr>
        <w:pStyle w:val="Antrat3"/>
        <w:rPr>
          <w:noProof/>
          <w:sz w:val="22"/>
          <w:szCs w:val="22"/>
        </w:rPr>
      </w:pPr>
      <w:r w:rsidRPr="00FB5B94">
        <w:rPr>
          <w:noProof/>
          <w:sz w:val="22"/>
          <w:szCs w:val="22"/>
        </w:rPr>
        <w:t>4.4</w:t>
      </w:r>
      <w:r w:rsidRPr="00FB5B94">
        <w:rPr>
          <w:noProof/>
          <w:sz w:val="22"/>
          <w:szCs w:val="22"/>
        </w:rPr>
        <w:tab/>
        <w:t>Specialūs įspėjimai ir atsargumo priemonės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Alendrono rūgštis gali sukelti vietinį viršutinės virškinimo trakto dalies gleivinės dirginimą. Kadangi  gali pablogėti pagrindinė liga, alendrono rūgšties pacientams, kuriems nustatyti aktyvūs viršutinės virškinimo trakto dalies sutrikimai, pvz.: rijimo sutrikimai, stemplės erozijos, gastritas, duodenitas ar opa, reikia vartoti atsargiai. Be to, atsargiai šio vaistinio preparato turi vartoti pacientai, kurie neseniai (per praėjusius metus), sirgo sunkesne virškinimo trakto liga pvz., pepsine opa, patyrė kraujavimą ar viršutinės virškinimo trakto dalies operaciją, išskyrus prievarčio plastiką (žr. 4.3 skyrių).</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 xml:space="preserve">Alendrono rūgštimi gydomiems pacientams pastebėta nepageidaujamo poveikio (kartais sunkaus, dėl kurio tenka pacientą guldyti į ligoninę) stemplei, pvz.: ezofagito, stemplės opų ir erozijų bei retai dėl šių pokyčių atsiradusio stemplės susiaurėjimo atvejų. Gydytojas turi atidžiai stebėti, ar neatsirado galimo stemplės pažeidimo požymių bei simptomų. Pacientus būtina informuoti, kad, atsiradus stemplės sudirginimo požymių, tokių kaip rijimo sutrikimas, skausmas ryjant arba skausmas už krūtinkaulio, naujai atsiradęs arba sustiprėjęs rėmuo, alendrono rūgšties vartojimą reikia nutraukti ir kreiptis į gydymo įstaigą. </w:t>
      </w:r>
    </w:p>
    <w:p w:rsidR="00346FFF" w:rsidRPr="00FB5B94" w:rsidRDefault="00346FFF" w:rsidP="00346FFF">
      <w:pPr>
        <w:pStyle w:val="BTEMEASMCA"/>
        <w:rPr>
          <w:sz w:val="22"/>
          <w:szCs w:val="22"/>
        </w:rPr>
      </w:pPr>
      <w:r w:rsidRPr="00FB5B94">
        <w:rPr>
          <w:sz w:val="22"/>
          <w:szCs w:val="22"/>
        </w:rPr>
        <w:t xml:space="preserve">Sunkių nepageidaujamo  poveikio stemplei reiškinių rizika būna didesnė pacientams, kurie nesilaiko alendrono rūgšties vartojimo taisyklių ir (arba) toliau vartoja šio vaistinio preparato, atsiradus stemplės dirginimo simptomams. Todėl ypatingai svarbu pacientui išsamiai paaiškinti, kaip vartoti alendrono rūgšties, ir įsitikinti, kad jis viską teisingai suprato (žr. 4.2 skyrių). Pacientus būtina informuoti, kad vaistinio preparato vartojimo instrukcijos nesilaikymas gali didinti stemplės veiklos sutrikimų riziką. </w:t>
      </w:r>
    </w:p>
    <w:p w:rsidR="00346FFF" w:rsidRPr="00FB5B94" w:rsidRDefault="00346FFF" w:rsidP="00346FFF">
      <w:pPr>
        <w:pStyle w:val="BTEMEASMCA"/>
        <w:rPr>
          <w:sz w:val="22"/>
          <w:szCs w:val="22"/>
        </w:rPr>
      </w:pPr>
    </w:p>
    <w:p w:rsidR="00346FFF" w:rsidRPr="00FB5B94" w:rsidRDefault="00346FFF" w:rsidP="00346FFF">
      <w:pPr>
        <w:rPr>
          <w:szCs w:val="22"/>
        </w:rPr>
      </w:pPr>
      <w:r w:rsidRPr="00FB5B94">
        <w:rPr>
          <w:szCs w:val="22"/>
        </w:rPr>
        <w:t xml:space="preserve">Pacientams, kuriems nustatyta </w:t>
      </w:r>
      <w:r w:rsidRPr="00FB5B94">
        <w:rPr>
          <w:i/>
          <w:szCs w:val="22"/>
        </w:rPr>
        <w:t>Barrett‘o</w:t>
      </w:r>
      <w:r w:rsidRPr="00FB5B94">
        <w:rPr>
          <w:szCs w:val="22"/>
        </w:rPr>
        <w:t xml:space="preserve"> stemplė, vaistinį preparatą skiriantis gydytojas turi apsvarstyti alendronato naudą ir galimą riziką kiekvienam pacientui individualiai. </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Pranešimų, gautų po to, kai vaistinis preparatas buvo pateiktas į rinką, duomenimis, retai pranešama apie skrandžio ir dvylikapirštės žarnos opas, kurios kartais būdavo sunkios ir sukeldavo komplikacijų, nors didelės apimties klinikinių tyrimų metu tokio nepageidaujamo poveikio rizikos padidėjimo nepastebėta. Priežastinio ryšio atmesti negalima.</w:t>
      </w:r>
    </w:p>
    <w:p w:rsidR="00346FFF" w:rsidRPr="00FB5B94" w:rsidRDefault="00346FFF" w:rsidP="00346FFF">
      <w:pPr>
        <w:pStyle w:val="BTEMEASMCA"/>
        <w:rPr>
          <w:sz w:val="22"/>
          <w:szCs w:val="22"/>
        </w:rPr>
      </w:pPr>
      <w:r w:rsidRPr="00FB5B94">
        <w:rPr>
          <w:sz w:val="22"/>
          <w:szCs w:val="22"/>
        </w:rPr>
        <w:t xml:space="preserve">Vėžiu sergantiems pacientams, kuriems buvo taikomas gydymas, dažniausiai į veną leidžiant bisfosfonatus, pastebėta žandikaulio nekrozės, paprastai susijusios su danties šalinimu ir (arba) lokalia infekcija (įskaitant osteomielitą), atvejų. Daugelis šių pacientų kartu vartojo chemoterapinių vaistinių prepratų ir kortikosteroidų. Žandikaulio nekrozės atvejų buvo pastebėta ir osteoporoze sergantiems pacientams, vartojusiems geriamųjų bisfosfonatų. Prieš gydymą bisfosfonatais pacientams, kuriems yra rizikos faktorių (pvz.: vėžys, chemoterapija, spindulinė terapija, gydymas kortikosteroidais, nepakankama burnos higiena), būtina apsvarstyti galimybę patikrinti dantų būklę ir atlikti jų profilaktinį gydymą. </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Gydymo metu šiems pacientams, jei įmanoma, reikia vengti invazinių dantų gydymo procedūrų. Jeigu bisfosfonatais gydomam pacientui išsivystė žandikaulio nekrozė, chirurginė dantų operacija būklę gali pasunkinti. Nežinoma, ar pacientams, kuriems būtina atlikti dantų procedūras, bisfosfonatų vartojimo nutraukimas sumažina žandikaulio nekrozės riziką.</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Klinikinius sprendimus gydytojas turi priimti, vadovaudamasis gydymo planu, pagrįstu naudos ir rizikos santykio kiekvienam pacientui įvertinimu</w:t>
      </w:r>
    </w:p>
    <w:p w:rsidR="00346FFF" w:rsidRPr="00FB5B94" w:rsidRDefault="00346FFF" w:rsidP="00346FFF">
      <w:pPr>
        <w:pStyle w:val="BTEMEASMCA"/>
        <w:rPr>
          <w:sz w:val="22"/>
          <w:szCs w:val="22"/>
        </w:rPr>
      </w:pPr>
    </w:p>
    <w:p w:rsidR="008F38B4" w:rsidRPr="00FB5B94" w:rsidRDefault="008F38B4" w:rsidP="008F38B4">
      <w:pPr>
        <w:pStyle w:val="BTEMEASMCA"/>
        <w:rPr>
          <w:rFonts w:eastAsia="Times New Roman"/>
          <w:noProof w:val="0"/>
          <w:sz w:val="22"/>
          <w:szCs w:val="22"/>
          <w:lang w:val="lt-LT" w:eastAsia="lt-LT"/>
        </w:rPr>
      </w:pPr>
      <w:r w:rsidRPr="00FB5B94">
        <w:rPr>
          <w:rFonts w:eastAsia="Times New Roman"/>
          <w:noProof w:val="0"/>
          <w:sz w:val="22"/>
          <w:szCs w:val="22"/>
          <w:lang w:val="lt-LT" w:eastAsia="lt-LT"/>
        </w:rPr>
        <w:t xml:space="preserve">Gydant </w:t>
      </w:r>
      <w:proofErr w:type="spellStart"/>
      <w:r w:rsidRPr="00FB5B94">
        <w:rPr>
          <w:rFonts w:eastAsia="Times New Roman"/>
          <w:noProof w:val="0"/>
          <w:sz w:val="22"/>
          <w:szCs w:val="22"/>
          <w:lang w:val="lt-LT" w:eastAsia="lt-LT"/>
        </w:rPr>
        <w:t>bisfosfonatais</w:t>
      </w:r>
      <w:proofErr w:type="spellEnd"/>
      <w:r w:rsidRPr="00FB5B94">
        <w:rPr>
          <w:rFonts w:eastAsia="Times New Roman"/>
          <w:noProof w:val="0"/>
          <w:sz w:val="22"/>
          <w:szCs w:val="22"/>
          <w:lang w:val="lt-LT" w:eastAsia="lt-LT"/>
        </w:rPr>
        <w:t xml:space="preserve"> buvo pastebėti atipiniai šlaunikaulio </w:t>
      </w:r>
      <w:proofErr w:type="spellStart"/>
      <w:r w:rsidRPr="00FB5B94">
        <w:rPr>
          <w:rFonts w:eastAsia="Times New Roman"/>
          <w:noProof w:val="0"/>
          <w:sz w:val="22"/>
          <w:szCs w:val="22"/>
          <w:lang w:val="lt-LT" w:eastAsia="lt-LT"/>
        </w:rPr>
        <w:t>pogūbriniai</w:t>
      </w:r>
      <w:proofErr w:type="spellEnd"/>
      <w:r w:rsidRPr="00FB5B94">
        <w:rPr>
          <w:rFonts w:eastAsia="Times New Roman"/>
          <w:noProof w:val="0"/>
          <w:sz w:val="22"/>
          <w:szCs w:val="22"/>
          <w:lang w:val="lt-LT" w:eastAsia="lt-LT"/>
        </w:rPr>
        <w:t xml:space="preserve"> ar </w:t>
      </w:r>
      <w:proofErr w:type="spellStart"/>
      <w:r w:rsidRPr="00FB5B94">
        <w:rPr>
          <w:rFonts w:eastAsia="Times New Roman"/>
          <w:noProof w:val="0"/>
          <w:sz w:val="22"/>
          <w:szCs w:val="22"/>
          <w:lang w:val="lt-LT" w:eastAsia="lt-LT"/>
        </w:rPr>
        <w:t>diafizės</w:t>
      </w:r>
      <w:proofErr w:type="spellEnd"/>
      <w:r w:rsidRPr="00FB5B94">
        <w:rPr>
          <w:rFonts w:eastAsia="Times New Roman"/>
          <w:noProof w:val="0"/>
          <w:sz w:val="22"/>
          <w:szCs w:val="22"/>
          <w:lang w:val="lt-LT" w:eastAsia="lt-LT"/>
        </w:rPr>
        <w:t xml:space="preserve"> lūžiai, visų pirma ilgai nuo osteoporozės gydytiems pacientams. Šie skersiniai ar trumpi įstrižiniai lūžiai gali pasireikšti bet kurioje šlaunikaulio vietoje – nuo pat mažojo gūbrio iki pat </w:t>
      </w:r>
      <w:proofErr w:type="spellStart"/>
      <w:r w:rsidRPr="00FB5B94">
        <w:rPr>
          <w:rFonts w:eastAsia="Times New Roman"/>
          <w:noProof w:val="0"/>
          <w:sz w:val="22"/>
          <w:szCs w:val="22"/>
          <w:lang w:val="lt-LT" w:eastAsia="lt-LT"/>
        </w:rPr>
        <w:t>virškrumplinės</w:t>
      </w:r>
      <w:proofErr w:type="spellEnd"/>
      <w:r w:rsidRPr="00FB5B94">
        <w:rPr>
          <w:rFonts w:eastAsia="Times New Roman"/>
          <w:noProof w:val="0"/>
          <w:sz w:val="22"/>
          <w:szCs w:val="22"/>
          <w:lang w:val="lt-LT" w:eastAsia="lt-LT"/>
        </w:rPr>
        <w:t xml:space="preserve">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w:t>
      </w:r>
      <w:proofErr w:type="spellStart"/>
      <w:r w:rsidRPr="00FB5B94">
        <w:rPr>
          <w:rFonts w:eastAsia="Times New Roman"/>
          <w:noProof w:val="0"/>
          <w:sz w:val="22"/>
          <w:szCs w:val="22"/>
          <w:lang w:val="lt-LT" w:eastAsia="lt-LT"/>
        </w:rPr>
        <w:t>bisfosfonatais</w:t>
      </w:r>
      <w:proofErr w:type="spellEnd"/>
      <w:r w:rsidRPr="00FB5B94">
        <w:rPr>
          <w:rFonts w:eastAsia="Times New Roman"/>
          <w:noProof w:val="0"/>
          <w:sz w:val="22"/>
          <w:szCs w:val="22"/>
          <w:lang w:val="lt-LT" w:eastAsia="lt-LT"/>
        </w:rPr>
        <w:t xml:space="preserve"> gydomų pacientų, kuriems yra lūžęs šlaunikaulio kūnas, priešingos pusės šlaunikaulį. Be to, buvo pastebėtas blogas tokių lūžių </w:t>
      </w:r>
      <w:r w:rsidRPr="00FB5B94">
        <w:rPr>
          <w:rFonts w:eastAsia="Times New Roman"/>
          <w:noProof w:val="0"/>
          <w:sz w:val="22"/>
          <w:szCs w:val="22"/>
          <w:lang w:val="lt-LT" w:eastAsia="lt-LT"/>
        </w:rPr>
        <w:lastRenderedPageBreak/>
        <w:t xml:space="preserve">gijimas. Reikia apsvarstyti, ar pacientams, kuriems įtariamas atipinis šlaunikaulio lūžis, gydymo </w:t>
      </w:r>
      <w:proofErr w:type="spellStart"/>
      <w:r w:rsidRPr="00FB5B94">
        <w:rPr>
          <w:rFonts w:eastAsia="Times New Roman"/>
          <w:noProof w:val="0"/>
          <w:sz w:val="22"/>
          <w:szCs w:val="22"/>
          <w:lang w:val="lt-LT" w:eastAsia="lt-LT"/>
        </w:rPr>
        <w:t>bisfosfonatais</w:t>
      </w:r>
      <w:proofErr w:type="spellEnd"/>
      <w:r w:rsidRPr="00FB5B94">
        <w:rPr>
          <w:rFonts w:eastAsia="Times New Roman"/>
          <w:noProof w:val="0"/>
          <w:sz w:val="22"/>
          <w:szCs w:val="22"/>
          <w:lang w:val="lt-LT" w:eastAsia="lt-LT"/>
        </w:rPr>
        <w:t xml:space="preserve"> nevertėtų nutraukti, kol jam individualiai bus įvertintas naudos ir rizikos santykis.</w:t>
      </w:r>
    </w:p>
    <w:p w:rsidR="00346FFF" w:rsidRPr="00FB5B94" w:rsidRDefault="008F38B4" w:rsidP="008F38B4">
      <w:pPr>
        <w:pStyle w:val="BTEMEASMCA"/>
        <w:rPr>
          <w:rFonts w:eastAsia="Times New Roman"/>
          <w:noProof w:val="0"/>
          <w:sz w:val="22"/>
          <w:szCs w:val="22"/>
          <w:lang w:val="lt-LT" w:eastAsia="lt-LT"/>
        </w:rPr>
      </w:pPr>
      <w:r w:rsidRPr="00FB5B94">
        <w:rPr>
          <w:rFonts w:eastAsia="Times New Roman"/>
          <w:noProof w:val="0"/>
          <w:sz w:val="22"/>
          <w:szCs w:val="22"/>
          <w:lang w:val="lt-LT" w:eastAsia="lt-LT"/>
        </w:rPr>
        <w:t xml:space="preserve">Pacientams reikia patarti, kad </w:t>
      </w:r>
      <w:proofErr w:type="spellStart"/>
      <w:r w:rsidRPr="00FB5B94">
        <w:rPr>
          <w:rFonts w:eastAsia="Times New Roman"/>
          <w:noProof w:val="0"/>
          <w:sz w:val="22"/>
          <w:szCs w:val="22"/>
          <w:lang w:val="lt-LT" w:eastAsia="lt-LT"/>
        </w:rPr>
        <w:t>bisfosfonatų</w:t>
      </w:r>
      <w:proofErr w:type="spellEnd"/>
      <w:r w:rsidRPr="00FB5B94">
        <w:rPr>
          <w:rFonts w:eastAsia="Times New Roman"/>
          <w:noProof w:val="0"/>
          <w:sz w:val="22"/>
          <w:szCs w:val="22"/>
          <w:lang w:val="lt-LT" w:eastAsia="lt-LT"/>
        </w:rPr>
        <w:t xml:space="preserve"> vartojimo metu praneštų apie bet kokį šlaunies, klubo ar kirkšnies skausmą, o visus pacientus, kuriems pasireiškia tokie simptomai, reikia ištirti, ar jie nepatyrė nepilno šlaunikaulio lūžio.</w:t>
      </w:r>
    </w:p>
    <w:p w:rsidR="008F38B4" w:rsidRPr="00FB5B94" w:rsidRDefault="008F38B4" w:rsidP="008F38B4">
      <w:pPr>
        <w:pStyle w:val="BTEMEASMCA"/>
        <w:rPr>
          <w:sz w:val="22"/>
          <w:szCs w:val="22"/>
        </w:rPr>
      </w:pPr>
    </w:p>
    <w:p w:rsidR="00346FFF" w:rsidRPr="00FB5B94" w:rsidRDefault="00346FFF" w:rsidP="00346FFF">
      <w:pPr>
        <w:pStyle w:val="Pagrindinistekstas"/>
        <w:spacing w:after="0"/>
        <w:rPr>
          <w:noProof/>
          <w:sz w:val="22"/>
          <w:szCs w:val="22"/>
        </w:rPr>
      </w:pPr>
      <w:r w:rsidRPr="00FB5B94">
        <w:rPr>
          <w:noProof/>
          <w:sz w:val="22"/>
          <w:szCs w:val="22"/>
        </w:rPr>
        <w:t>Pranešama apie kaulų, sąnarių ir (arba) raumenų skausmą, pasitaikantį bifosfonatais gydomiems pacientams. Po vaistinio preparato patekimo į rinką pasitaikė retų atvejų, kai šis skausmas buvo labai stiprus ir (arba) buvo susiję su judrumo apribojimu (žr. 4.8 skyrių). Pradėjus vartoti vaistinio preparato šie simptomai pasireiškė nevienodu laiku – po vienos dienos arba kelių mėnesių. Nutraukus vaistinio preparato vartojimą daugumai pacientų šie simptomai regresavo. Daugeliui pacientų jie pasikartojo vėl pradėjus gydymą tuo pačiu arba kitu bisfosfonatu.</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Pacientams reikia paaiškinti, kad praleidus alendrono rūgšties dozę, prisiminus ją reikia išgerti kitą rytą. Negalima vartoti dviejų tablečių tą pačią dieną. Toliau vaistinio preparato reikia vartoti taip, kaip paskirta, tai yra pasirinktą dieną kartą per savaitę.</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Pacientams, kurių glomerulų filtracijos greitis mažesnis negu 35 ml/min., alendrono rūgšties vartoti nerekomenduojama (žr. 4.2 skyrių).</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Reikia įvertinti ir kitų priežasčių, tai yra ne estrogenų trūkumo ir senėjimo sukeltą osteoporozę.</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Prieš pradedant gydymą alendrono rūgštimi, būtina koreguoti hipokalcemiją (žr. 4.3 skyrių). Taip pat reikia efektyviai gydyti ir kitokius medžiagų apykaitos sutrikimus (vitamino D trūkumą ir hipoparatiroidizmą). Pacientams, kuriems yra šių sutrikimų, gydymo alendrono rūgštimi metu reikia matuoti kalcio koncentraciją serume bei stebėti, ar jiems neatsirado hipokalcemijos simptomų. Kadangi dėl teigiamo alendrono rūgšties poveikio didėja mineralinių medžiagų kiekis kauluose, serume gali sumažėti kalcio ir fosfatų koncentracija. Šie pakitimai paprastai būna nedideli ir besimptomiai. Vis dėlto, pranešama apie retus simptominės hipokalcemijos atvejus, kurie retkarčiais būdavo sunkūs, dažnai pasireikšdavo pacientams, kuriems būdavo predisponuojančių faktorių (pvz.: hipoparatiroidizmas, vitamino D stoka ir kalcio absorbcijos sutrikimas). Pacientams, gydomiems gliukokortikoidais, ypač svarbu vartoti pakankamą kalcio kiekį.</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Alfakalcidolis gali padidinti hiperkalcemijos ir (arba) hiperkalciurijos intensyvumą, kai jo skiriama vartoti pacientams, sergantiems ligomis, kurių metu nekontroliuojamai per daug susidaro kalcitriolio (pvz.: leukoze, limfoma, sarkoidoze). Reikia tikrinti tokių pacientų kraujyje ir šlapime kalcio kiekį.</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Retais atvejais žemės riešutų aliejus gali sukelti sunkias alergines reakcijas.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 xml:space="preserve">Alfakalcidolio kapsulėse yra nedidelis etanolio (alkoholio) kiekis, mažesnis negu 100 mg </w:t>
      </w:r>
      <w:r w:rsidRPr="00FB5B94">
        <w:rPr>
          <w:sz w:val="22"/>
          <w:szCs w:val="22"/>
        </w:rPr>
        <w:t>1 mikrogramo</w:t>
      </w:r>
      <w:r w:rsidRPr="00FB5B94">
        <w:rPr>
          <w:noProof/>
          <w:sz w:val="22"/>
          <w:szCs w:val="22"/>
        </w:rPr>
        <w:t xml:space="preserve"> dozėje.</w:t>
      </w:r>
    </w:p>
    <w:p w:rsidR="00346FFF" w:rsidRPr="00FB5B94" w:rsidRDefault="00346FFF" w:rsidP="00346FFF">
      <w:pPr>
        <w:pStyle w:val="Pagrindinistekstas"/>
        <w:spacing w:after="0"/>
        <w:rPr>
          <w:noProof/>
          <w:sz w:val="22"/>
          <w:szCs w:val="22"/>
        </w:rPr>
      </w:pPr>
    </w:p>
    <w:p w:rsidR="00346FFF" w:rsidRPr="00FB5B94" w:rsidRDefault="00346FFF" w:rsidP="00346FFF">
      <w:pPr>
        <w:pStyle w:val="BTEMEASMCA"/>
        <w:rPr>
          <w:bCs/>
          <w:sz w:val="22"/>
          <w:szCs w:val="22"/>
        </w:rPr>
      </w:pPr>
      <w:r w:rsidRPr="00FB5B94">
        <w:rPr>
          <w:sz w:val="22"/>
          <w:szCs w:val="22"/>
        </w:rPr>
        <w:t xml:space="preserve">Pacientams, kuriems yra retas paveldimas fruktozės netoleravimas, alfakalcidolio 1 mikrogramo kapsulių </w:t>
      </w:r>
      <w:r w:rsidRPr="00FB5B94">
        <w:rPr>
          <w:bCs/>
          <w:sz w:val="22"/>
          <w:szCs w:val="22"/>
        </w:rPr>
        <w:t xml:space="preserve">vartoti negalima, todėl jų negalima gydyti </w:t>
      </w:r>
      <w:r w:rsidRPr="00FB5B94">
        <w:rPr>
          <w:sz w:val="22"/>
          <w:szCs w:val="22"/>
        </w:rPr>
        <w:t>Teboneva</w:t>
      </w:r>
      <w:r w:rsidRPr="00FB5B94">
        <w:rPr>
          <w:bCs/>
          <w:sz w:val="22"/>
          <w:szCs w:val="22"/>
        </w:rPr>
        <w:t>.</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 xml:space="preserve">Dėl patyrimo stokos alendrono rūgšties negalima rekomenduoti vartoti pacientams, kuriems nustatytas sunkus inkstų funkcijos sutrikimas (kreatinino klirensas mažesnis kaip 35 ml/min.), Teboneva nerekomenduojama gydyti pacientus, kuriems atliekama dializė. </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4.5</w:t>
      </w:r>
      <w:r w:rsidRPr="00FB5B94">
        <w:rPr>
          <w:noProof/>
          <w:sz w:val="22"/>
          <w:szCs w:val="22"/>
        </w:rPr>
        <w:tab/>
        <w:t>Sąveika su kitais vaistiniais preparatais ir kitokia sąveika</w:t>
      </w:r>
    </w:p>
    <w:p w:rsidR="00346FFF" w:rsidRPr="00FB5B94" w:rsidRDefault="00346FFF" w:rsidP="00346FFF">
      <w:pPr>
        <w:pStyle w:val="Pagrindinistekstas"/>
        <w:spacing w:after="0"/>
        <w:rPr>
          <w:noProof/>
          <w:sz w:val="22"/>
          <w:szCs w:val="22"/>
        </w:rPr>
      </w:pPr>
    </w:p>
    <w:p w:rsidR="00346FFF" w:rsidRPr="00FB5B94" w:rsidRDefault="00346FFF" w:rsidP="00346FFF">
      <w:pPr>
        <w:pStyle w:val="BTEMEASMCA"/>
        <w:rPr>
          <w:sz w:val="22"/>
          <w:szCs w:val="22"/>
        </w:rPr>
      </w:pPr>
      <w:r w:rsidRPr="00FB5B94">
        <w:rPr>
          <w:sz w:val="22"/>
          <w:szCs w:val="22"/>
        </w:rPr>
        <w:t>Tikėtina, kad kartu vartojamas maistas ir gėrimai (įskaitant mineralinį vandenį), kalcio papildai, skrandžio sulčių rūgštingumą mažinantys preparatai ir kai kurie per burną vartojami preparatai gali trikdyti alendrono rūgšties absorbciją. Todėl pacientas, išgėręs alendrono rūgšties, kitų geriamųjų preparatų gali gerti ne anksčiau kaip po 30 minučių (žr. 4.2 ir 5.2 skyrius).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lang w:val="it-IT"/>
        </w:rPr>
      </w:pPr>
      <w:r w:rsidRPr="00FB5B94">
        <w:rPr>
          <w:sz w:val="22"/>
          <w:szCs w:val="22"/>
          <w:lang w:val="it-IT"/>
        </w:rPr>
        <w:t xml:space="preserve">Kartu su alfakalcidoliu vitamino D ir jo preparatų vartoti negalima. </w:t>
      </w:r>
    </w:p>
    <w:p w:rsidR="00346FFF" w:rsidRPr="00FB5B94" w:rsidRDefault="00346FFF" w:rsidP="00346FFF">
      <w:pPr>
        <w:pStyle w:val="BTEMEASMCA"/>
        <w:rPr>
          <w:sz w:val="22"/>
          <w:szCs w:val="22"/>
          <w:lang w:val="it-IT"/>
        </w:rPr>
      </w:pPr>
      <w:r w:rsidRPr="00FB5B94">
        <w:rPr>
          <w:sz w:val="22"/>
          <w:szCs w:val="22"/>
          <w:lang w:val="it-IT"/>
        </w:rPr>
        <w:lastRenderedPageBreak/>
        <w:t>Kadangi alfakalcidolis yra labai stiprus D vitamino junginys, vartojimas kartu tikriausiai sukelia papildomą poveikį ir tokiu būdu padidina hiperkalcemijos riziką.</w:t>
      </w:r>
    </w:p>
    <w:p w:rsidR="00346FFF" w:rsidRPr="00FB5B94" w:rsidRDefault="00346FFF" w:rsidP="00346FFF">
      <w:pPr>
        <w:pStyle w:val="BTEMEASMCA"/>
        <w:rPr>
          <w:sz w:val="22"/>
          <w:szCs w:val="22"/>
          <w:lang w:val="it-IT"/>
        </w:rPr>
      </w:pPr>
      <w:r w:rsidRPr="00FB5B94">
        <w:rPr>
          <w:sz w:val="22"/>
          <w:szCs w:val="22"/>
          <w:lang w:val="it-IT"/>
        </w:rPr>
        <w:t xml:space="preserve">Rusmenės preparatais gydomiems pacientams hiperkalcemija gali sukelti širdies ritmo sutrikimus. </w:t>
      </w:r>
    </w:p>
    <w:p w:rsidR="00346FFF" w:rsidRPr="00FB5B94" w:rsidRDefault="00346FFF" w:rsidP="00346FFF">
      <w:pPr>
        <w:pStyle w:val="BTEMEASMCA"/>
        <w:rPr>
          <w:sz w:val="22"/>
          <w:szCs w:val="22"/>
          <w:lang w:val="it-IT"/>
        </w:rPr>
      </w:pPr>
      <w:r w:rsidRPr="00FB5B94">
        <w:rPr>
          <w:sz w:val="22"/>
          <w:szCs w:val="22"/>
          <w:lang w:val="it-IT"/>
        </w:rPr>
        <w:t>Rusmenės preparatus ir alfakalcidolio 1 mikrogramo kapsules kartu vartojančius pacientus reikia atidžiai stebėti.</w:t>
      </w:r>
    </w:p>
    <w:p w:rsidR="00346FFF" w:rsidRPr="00FB5B94" w:rsidRDefault="00346FFF" w:rsidP="00346FFF">
      <w:pPr>
        <w:pStyle w:val="BTEMEASMCA"/>
        <w:rPr>
          <w:sz w:val="22"/>
          <w:szCs w:val="22"/>
          <w:lang w:val="it-IT"/>
        </w:rPr>
      </w:pPr>
      <w:r w:rsidRPr="00FB5B94">
        <w:rPr>
          <w:sz w:val="22"/>
          <w:szCs w:val="22"/>
          <w:lang w:val="it-IT"/>
        </w:rPr>
        <w:t>Norint sukelti pageidaujamą poveikį, pacientams, vartojantiems alfakalcidolio 1 mikrogramo kapsules kartu su barbitūratais arba fermentus indukuojančiais prieštraukuliniais vaistiniais preparatais, reikia vartoti didesnes alfakalcidolio dozes. Alfakalcidolio poveikį gali taip pat trikdyti difenilhidantoinas.</w:t>
      </w:r>
    </w:p>
    <w:p w:rsidR="00346FFF" w:rsidRPr="00FB5B94" w:rsidRDefault="00346FFF" w:rsidP="00346FFF">
      <w:pPr>
        <w:pStyle w:val="BTEMEASMCA"/>
        <w:rPr>
          <w:sz w:val="22"/>
          <w:szCs w:val="22"/>
          <w:lang w:val="it-IT"/>
        </w:rPr>
      </w:pPr>
    </w:p>
    <w:p w:rsidR="00346FFF" w:rsidRPr="00FB5B94" w:rsidRDefault="00346FFF" w:rsidP="00346FFF">
      <w:pPr>
        <w:pStyle w:val="BTEMEASMCA"/>
        <w:rPr>
          <w:sz w:val="22"/>
          <w:szCs w:val="22"/>
          <w:lang w:val="it-IT"/>
        </w:rPr>
      </w:pPr>
      <w:r w:rsidRPr="00FB5B94">
        <w:rPr>
          <w:sz w:val="22"/>
          <w:szCs w:val="22"/>
          <w:lang w:val="it-IT"/>
        </w:rPr>
        <w:t>Tikėtina, kad alfakalcidolio poveikį gali susilpninti gliukokortikoidai.</w:t>
      </w:r>
    </w:p>
    <w:p w:rsidR="00346FFF" w:rsidRPr="00FB5B94" w:rsidRDefault="00346FFF" w:rsidP="00346FFF">
      <w:pPr>
        <w:pStyle w:val="BTEMEASMCA"/>
        <w:rPr>
          <w:sz w:val="22"/>
          <w:szCs w:val="22"/>
          <w:lang w:val="it-IT"/>
        </w:rPr>
      </w:pPr>
    </w:p>
    <w:p w:rsidR="00346FFF" w:rsidRPr="00FB5B94" w:rsidRDefault="00346FFF" w:rsidP="00346FFF">
      <w:pPr>
        <w:pStyle w:val="BTEMEASMCA"/>
        <w:rPr>
          <w:sz w:val="22"/>
          <w:szCs w:val="22"/>
          <w:lang w:val="it-IT"/>
        </w:rPr>
      </w:pPr>
      <w:r w:rsidRPr="00FB5B94">
        <w:rPr>
          <w:sz w:val="22"/>
          <w:szCs w:val="22"/>
          <w:lang w:val="it-IT"/>
        </w:rPr>
        <w:t>Kadangi alfakalcidolio absorbcijai yra svarbios tulžies rūgštys, gali būti žalingas ilgalaikis gydymas tulžies rūgščių sekvestrantais (kolestiraminu, kolestipoliu), sukralfatu ir skrandžio rūgštingumą mažinančiais vaistiniais preparatais, kurių sudėtyje yra daug aliuminio. Alfakalcidolio 1 mikrogramo kapsulių ir skrandžio rūgštingumą mažinančių vaistinių preparatų, kurių sudėtyje yra aliuminio, kartu vartoti negalima, reikia laikytis 2 val. intervalo.</w:t>
      </w:r>
    </w:p>
    <w:p w:rsidR="00346FFF" w:rsidRPr="00FB5B94" w:rsidRDefault="00346FFF" w:rsidP="00346FFF">
      <w:pPr>
        <w:pStyle w:val="BTEMEASMCA"/>
        <w:rPr>
          <w:sz w:val="22"/>
          <w:szCs w:val="22"/>
          <w:lang w:val="it-IT"/>
        </w:rPr>
      </w:pPr>
    </w:p>
    <w:p w:rsidR="00346FFF" w:rsidRPr="00FB5B94" w:rsidRDefault="00346FFF" w:rsidP="00346FFF">
      <w:pPr>
        <w:pStyle w:val="BTEMEASMCA"/>
        <w:rPr>
          <w:sz w:val="22"/>
          <w:szCs w:val="22"/>
          <w:lang w:val="it-IT"/>
        </w:rPr>
      </w:pPr>
      <w:r w:rsidRPr="00FB5B94">
        <w:rPr>
          <w:sz w:val="22"/>
          <w:szCs w:val="22"/>
          <w:lang w:val="it-IT"/>
        </w:rPr>
        <w:t>Artėjant menopauzei ir po jos moterims alfakalcidolio poveikį sustiprina kartu vartojami estrogenai.</w:t>
      </w:r>
    </w:p>
    <w:p w:rsidR="00346FFF" w:rsidRPr="00FB5B94" w:rsidRDefault="00346FFF" w:rsidP="00346FFF">
      <w:pPr>
        <w:pStyle w:val="BTEMEASMCA"/>
        <w:rPr>
          <w:sz w:val="22"/>
          <w:szCs w:val="22"/>
          <w:lang w:val="it-IT"/>
        </w:rPr>
      </w:pPr>
    </w:p>
    <w:p w:rsidR="00346FFF" w:rsidRPr="00FB5B94" w:rsidRDefault="00346FFF" w:rsidP="00346FFF">
      <w:pPr>
        <w:pStyle w:val="BTEMEASMCA"/>
        <w:rPr>
          <w:sz w:val="22"/>
          <w:szCs w:val="22"/>
          <w:lang w:val="it-IT"/>
        </w:rPr>
      </w:pPr>
      <w:r w:rsidRPr="00FB5B94">
        <w:rPr>
          <w:sz w:val="22"/>
          <w:szCs w:val="22"/>
          <w:lang w:val="it-IT"/>
        </w:rPr>
        <w:t>Hiperkalcemijos riziką padidina kartu vartojami vaistiniai preparatai, kurių sudėtyje yra kalcio, tiazidai arba kiti vaistiniai preparatai, didinantys kalcio kiekį kraujyje.</w:t>
      </w:r>
    </w:p>
    <w:p w:rsidR="00346FFF" w:rsidRPr="00FB5B94" w:rsidRDefault="00346FFF" w:rsidP="00346FFF">
      <w:pPr>
        <w:pStyle w:val="BTEMEASMCA"/>
        <w:rPr>
          <w:sz w:val="22"/>
          <w:szCs w:val="22"/>
          <w:lang w:val="it-IT"/>
        </w:rPr>
      </w:pPr>
      <w:r w:rsidRPr="00FB5B94">
        <w:rPr>
          <w:sz w:val="22"/>
          <w:szCs w:val="22"/>
          <w:lang w:val="it-IT"/>
        </w:rPr>
        <w:t xml:space="preserve"> </w:t>
      </w:r>
    </w:p>
    <w:p w:rsidR="00346FFF" w:rsidRPr="00FB5B94" w:rsidRDefault="00346FFF" w:rsidP="00346FFF">
      <w:pPr>
        <w:pStyle w:val="Antrat3"/>
        <w:rPr>
          <w:noProof/>
          <w:sz w:val="22"/>
          <w:szCs w:val="22"/>
        </w:rPr>
      </w:pPr>
      <w:r w:rsidRPr="00FB5B94">
        <w:rPr>
          <w:noProof/>
          <w:sz w:val="22"/>
          <w:szCs w:val="22"/>
        </w:rPr>
        <w:t>4.6</w:t>
      </w:r>
      <w:r w:rsidRPr="00FB5B94">
        <w:rPr>
          <w:noProof/>
          <w:sz w:val="22"/>
          <w:szCs w:val="22"/>
        </w:rPr>
        <w:tab/>
        <w:t>Vaisingumas, nėštumo ir žindymo laikotarpis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Teboneva skirtas vartoti tik moterims</w:t>
      </w:r>
      <w:r w:rsidRPr="00FB5B94">
        <w:rPr>
          <w:sz w:val="22"/>
          <w:szCs w:val="22"/>
        </w:rPr>
        <w:t xml:space="preserve"> </w:t>
      </w:r>
      <w:r w:rsidRPr="00FB5B94">
        <w:rPr>
          <w:noProof/>
          <w:sz w:val="22"/>
          <w:szCs w:val="22"/>
        </w:rPr>
        <w:t xml:space="preserve">po </w:t>
      </w:r>
      <w:r w:rsidRPr="00FB5B94">
        <w:rPr>
          <w:rStyle w:val="BTEMEASMCAChar"/>
          <w:sz w:val="22"/>
          <w:szCs w:val="22"/>
        </w:rPr>
        <w:t>m</w:t>
      </w:r>
      <w:r w:rsidRPr="00FB5B94">
        <w:rPr>
          <w:noProof/>
          <w:sz w:val="22"/>
          <w:szCs w:val="22"/>
        </w:rPr>
        <w:t>enopauzės ir todėl jo negalima vartoti nėštumo ir žindymo laikotarpiu.</w:t>
      </w:r>
    </w:p>
    <w:p w:rsidR="00346FFF" w:rsidRPr="00FB5B94" w:rsidRDefault="00346FFF" w:rsidP="00346FFF">
      <w:pPr>
        <w:pStyle w:val="Pagrindinistekstas"/>
        <w:spacing w:after="0"/>
        <w:rPr>
          <w:noProof/>
          <w:sz w:val="22"/>
          <w:szCs w:val="22"/>
        </w:rPr>
      </w:pPr>
      <w:r w:rsidRPr="00FB5B94">
        <w:rPr>
          <w:noProof/>
          <w:sz w:val="22"/>
          <w:szCs w:val="22"/>
        </w:rPr>
        <w:t xml:space="preserve">Apie Teboneva vartojimą nėščioms moterims duomenų nepakanka. </w:t>
      </w:r>
      <w:r w:rsidRPr="00FB5B94">
        <w:rPr>
          <w:b/>
          <w:noProof/>
          <w:sz w:val="22"/>
          <w:szCs w:val="22"/>
        </w:rPr>
        <w:t>Alendronatų tyrimai su gyvūnais tiesioginio žalingo poveikio nėštumui, embriono ir vaisiaus arba postnataliniam vystymuisi neparodė.</w:t>
      </w:r>
      <w:r w:rsidRPr="00FB5B94">
        <w:rPr>
          <w:noProof/>
          <w:sz w:val="22"/>
          <w:szCs w:val="22"/>
        </w:rPr>
        <w:t xml:space="preserve"> Žiurkėms, kurioms vaikingumo metu skirta alendrono rūgšties, pastebėtas su hipokalcemija susijęs vaikavimosi pasunkėjimas (žr. 5.3 skyrių). Tyrimų metu duodant gyvūnams dideles vitamino D dozes nustatyta hiperkalcemija ir toksinis poveikis reprodukcijai (žr. 5.3 skyrių). </w:t>
      </w:r>
    </w:p>
    <w:p w:rsidR="00346FFF" w:rsidRPr="00FB5B94" w:rsidRDefault="00346FFF" w:rsidP="00346FFF">
      <w:pPr>
        <w:pStyle w:val="BTEMEASMCA"/>
        <w:rPr>
          <w:sz w:val="22"/>
          <w:szCs w:val="22"/>
        </w:rPr>
      </w:pPr>
      <w:r w:rsidRPr="00FB5B94">
        <w:rPr>
          <w:sz w:val="22"/>
          <w:szCs w:val="22"/>
        </w:rPr>
        <w:t>Ar alendronatų išsiskiria su žindyvės pienu, nežinoma. Alfakalcidolis ir kai kurie jo veiklūs metabolitai išsiskiria su žindyvės pienu.</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4.7</w:t>
      </w:r>
      <w:r w:rsidRPr="00FB5B94">
        <w:rPr>
          <w:noProof/>
          <w:sz w:val="22"/>
          <w:szCs w:val="22"/>
        </w:rPr>
        <w:tab/>
        <w:t>Poveikis gebėjimui vairuoti ir valdyti mechanizmus</w:t>
      </w:r>
    </w:p>
    <w:p w:rsidR="00346FFF" w:rsidRPr="00FB5B94" w:rsidRDefault="00346FFF" w:rsidP="00346FFF">
      <w:pPr>
        <w:pStyle w:val="Pagrindinistekstas"/>
        <w:spacing w:after="0"/>
        <w:rPr>
          <w:noProof/>
          <w:sz w:val="22"/>
          <w:szCs w:val="22"/>
        </w:rPr>
      </w:pPr>
    </w:p>
    <w:p w:rsidR="00346FFF" w:rsidRPr="00FB5B94" w:rsidRDefault="00346FFF" w:rsidP="00346FFF">
      <w:pPr>
        <w:pStyle w:val="BTEMEASMCA"/>
        <w:rPr>
          <w:sz w:val="22"/>
          <w:szCs w:val="22"/>
        </w:rPr>
      </w:pPr>
      <w:r w:rsidRPr="00FB5B94">
        <w:rPr>
          <w:sz w:val="22"/>
          <w:szCs w:val="22"/>
        </w:rPr>
        <w:t>Alendrono rūgštis ir alfakalcidolis gebėjimo vairuoti ir valdyti mechanizmus neveikia arba veikia nereikšmingai.</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4.8</w:t>
      </w:r>
      <w:r w:rsidRPr="00FB5B94">
        <w:rPr>
          <w:noProof/>
          <w:sz w:val="22"/>
          <w:szCs w:val="22"/>
        </w:rPr>
        <w:tab/>
        <w:t>Nepageidaujamas poveikis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Alendrono rūgštis</w:t>
      </w:r>
    </w:p>
    <w:p w:rsidR="00346FFF" w:rsidRPr="00FB5B94" w:rsidRDefault="00346FFF" w:rsidP="00346FFF">
      <w:pPr>
        <w:pStyle w:val="BTEMEASMCA"/>
        <w:rPr>
          <w:sz w:val="22"/>
          <w:szCs w:val="22"/>
        </w:rPr>
      </w:pPr>
      <w:r w:rsidRPr="00FB5B94">
        <w:rPr>
          <w:sz w:val="22"/>
          <w:szCs w:val="22"/>
        </w:rPr>
        <w:t>Vienerių metų klinikinio tyrimo, kuriame dalyvavo sergančios osteoporoze moterys po menopauzės, duomenimis, 70 mg alendrono rūgšties tablečių (n = 519), geriamų 1 kartą per savaitę, ir šio vaistinio preparato 10 mg tablečių, kurių pacientės (n = 370) gėrė kartą per parą, saugumas yra panašus.</w:t>
      </w:r>
    </w:p>
    <w:p w:rsidR="00346FFF" w:rsidRPr="00FB5B94" w:rsidRDefault="00346FFF" w:rsidP="00346FFF">
      <w:pPr>
        <w:pStyle w:val="BTEMEASMCA"/>
        <w:rPr>
          <w:sz w:val="22"/>
          <w:szCs w:val="22"/>
        </w:rPr>
      </w:pPr>
      <w:r w:rsidRPr="00FB5B94">
        <w:rPr>
          <w:sz w:val="22"/>
          <w:szCs w:val="22"/>
        </w:rPr>
        <w:t>Dviejų 3 metus trukusių faktiškai identiškų klinikinių tyrimų, kuriuose dalyvavo moterys po menopauzės, duomenimis (10 mg alendrono rūgšties: n = 196; placebo: n = 397) alendrono rūgšties 10 mg paros dozės saugumas yra panašus kaip placebo.</w:t>
      </w:r>
    </w:p>
    <w:p w:rsidR="00346FFF" w:rsidRPr="00FB5B94" w:rsidRDefault="00346FFF" w:rsidP="00346FFF">
      <w:pPr>
        <w:pStyle w:val="Pagrindinistekstas"/>
        <w:spacing w:after="0"/>
        <w:rPr>
          <w:noProof/>
          <w:sz w:val="22"/>
          <w:szCs w:val="22"/>
        </w:rPr>
      </w:pPr>
      <w:r w:rsidRPr="00FB5B94">
        <w:rPr>
          <w:noProof/>
          <w:sz w:val="22"/>
          <w:szCs w:val="22"/>
        </w:rPr>
        <w:t>Lentelėje išvardyti nepageidaujami reiškiniai, kuriuos tyrėjai įvertino kaip galimus, galbūt susijusius su vaistinio preparato vartojimu arba neabejotinai jo sukeltus, jei jie pasireiškė  ≥1% moterų, vartojusių 10 mg alendrono rūgšties paros dozę, ir dažniau negu placebą vartojusioms pacientėms trejų metų klinikinių tyrimų metu. Žr. 1 lentelę.</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1842"/>
        <w:gridCol w:w="1701"/>
        <w:gridCol w:w="142"/>
        <w:gridCol w:w="992"/>
      </w:tblGrid>
      <w:tr w:rsidR="00346FFF" w:rsidRPr="00FB5B94" w:rsidTr="00FA782E">
        <w:tc>
          <w:tcPr>
            <w:tcW w:w="2552" w:type="dxa"/>
          </w:tcPr>
          <w:p w:rsidR="00346FFF" w:rsidRPr="00FB5B94" w:rsidRDefault="00346FFF" w:rsidP="00FA782E">
            <w:pPr>
              <w:pStyle w:val="Pagrindinistekstas"/>
              <w:spacing w:after="0"/>
              <w:rPr>
                <w:noProof/>
                <w:sz w:val="22"/>
                <w:szCs w:val="22"/>
              </w:rPr>
            </w:pPr>
          </w:p>
        </w:tc>
        <w:tc>
          <w:tcPr>
            <w:tcW w:w="3685" w:type="dxa"/>
            <w:gridSpan w:val="2"/>
          </w:tcPr>
          <w:p w:rsidR="00346FFF" w:rsidRPr="00FB5B94" w:rsidRDefault="00346FFF" w:rsidP="00FA782E">
            <w:pPr>
              <w:pStyle w:val="Pagrindinistekstas"/>
              <w:spacing w:after="0"/>
              <w:rPr>
                <w:noProof/>
                <w:sz w:val="22"/>
                <w:szCs w:val="22"/>
              </w:rPr>
            </w:pPr>
            <w:r w:rsidRPr="00FB5B94">
              <w:rPr>
                <w:noProof/>
                <w:sz w:val="22"/>
                <w:szCs w:val="22"/>
              </w:rPr>
              <w:t>Vienerių metų tyrimas (%)</w:t>
            </w:r>
          </w:p>
        </w:tc>
        <w:tc>
          <w:tcPr>
            <w:tcW w:w="2835" w:type="dxa"/>
            <w:gridSpan w:val="3"/>
          </w:tcPr>
          <w:p w:rsidR="00346FFF" w:rsidRPr="00FB5B94" w:rsidRDefault="00346FFF" w:rsidP="00FA782E">
            <w:pPr>
              <w:pStyle w:val="Pagrindinistekstas"/>
              <w:spacing w:after="0"/>
              <w:rPr>
                <w:noProof/>
                <w:sz w:val="22"/>
                <w:szCs w:val="22"/>
              </w:rPr>
            </w:pPr>
            <w:r w:rsidRPr="00FB5B94">
              <w:rPr>
                <w:noProof/>
                <w:sz w:val="22"/>
                <w:szCs w:val="22"/>
              </w:rPr>
              <w:t>Trejų metų tyrimai (%)</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Alendrono rūgštis</w:t>
            </w:r>
          </w:p>
          <w:p w:rsidR="00346FFF" w:rsidRPr="00FB5B94" w:rsidRDefault="00346FFF" w:rsidP="00FA782E">
            <w:pPr>
              <w:pStyle w:val="Pagrindinistekstas"/>
              <w:spacing w:after="0"/>
              <w:rPr>
                <w:noProof/>
                <w:sz w:val="22"/>
                <w:szCs w:val="22"/>
              </w:rPr>
            </w:pPr>
            <w:r w:rsidRPr="00FB5B94">
              <w:rPr>
                <w:noProof/>
                <w:sz w:val="22"/>
                <w:szCs w:val="22"/>
              </w:rPr>
              <w:t>70 mg tabletės</w:t>
            </w:r>
          </w:p>
          <w:p w:rsidR="00346FFF" w:rsidRPr="00FB5B94" w:rsidRDefault="00346FFF" w:rsidP="00FA782E">
            <w:pPr>
              <w:pStyle w:val="Pagrindinistekstas"/>
              <w:spacing w:after="0"/>
              <w:rPr>
                <w:noProof/>
                <w:sz w:val="22"/>
                <w:szCs w:val="22"/>
              </w:rPr>
            </w:pPr>
            <w:r w:rsidRPr="00FB5B94">
              <w:rPr>
                <w:noProof/>
                <w:sz w:val="22"/>
                <w:szCs w:val="22"/>
              </w:rPr>
              <w:lastRenderedPageBreak/>
              <w:t xml:space="preserve">kartą per savaitę </w:t>
            </w:r>
          </w:p>
          <w:p w:rsidR="00346FFF" w:rsidRPr="00FB5B94" w:rsidRDefault="00346FFF" w:rsidP="00FA782E">
            <w:pPr>
              <w:pStyle w:val="Pagrindinistekstas"/>
              <w:spacing w:after="0"/>
              <w:rPr>
                <w:noProof/>
                <w:sz w:val="22"/>
                <w:szCs w:val="22"/>
              </w:rPr>
            </w:pPr>
            <w:r w:rsidRPr="00FB5B94">
              <w:rPr>
                <w:noProof/>
                <w:sz w:val="22"/>
                <w:szCs w:val="22"/>
              </w:rPr>
              <w:t>(n = 519)</w:t>
            </w:r>
          </w:p>
          <w:p w:rsidR="00346FFF" w:rsidRPr="00FB5B94" w:rsidRDefault="00346FFF" w:rsidP="00FA782E">
            <w:pPr>
              <w:pStyle w:val="Pagrindinistekstas"/>
              <w:spacing w:after="0"/>
              <w:rPr>
                <w:noProof/>
                <w:sz w:val="22"/>
                <w:szCs w:val="22"/>
              </w:rPr>
            </w:pPr>
            <w:r w:rsidRPr="00FB5B94">
              <w:rPr>
                <w:noProof/>
                <w:sz w:val="22"/>
                <w:szCs w:val="22"/>
              </w:rPr>
              <w:t>[%]</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lastRenderedPageBreak/>
              <w:t>Alendrono rūgštis</w:t>
            </w:r>
          </w:p>
          <w:p w:rsidR="00346FFF" w:rsidRPr="00FB5B94" w:rsidRDefault="00346FFF" w:rsidP="00FA782E">
            <w:pPr>
              <w:pStyle w:val="Pagrindinistekstas"/>
              <w:spacing w:after="0"/>
              <w:rPr>
                <w:noProof/>
                <w:sz w:val="22"/>
                <w:szCs w:val="22"/>
              </w:rPr>
            </w:pPr>
            <w:r w:rsidRPr="00FB5B94">
              <w:rPr>
                <w:noProof/>
                <w:sz w:val="22"/>
                <w:szCs w:val="22"/>
              </w:rPr>
              <w:t xml:space="preserve">10 mg kartą per </w:t>
            </w:r>
            <w:r w:rsidRPr="00FB5B94">
              <w:rPr>
                <w:noProof/>
                <w:sz w:val="22"/>
                <w:szCs w:val="22"/>
              </w:rPr>
              <w:lastRenderedPageBreak/>
              <w:t xml:space="preserve">parą </w:t>
            </w:r>
          </w:p>
          <w:p w:rsidR="00346FFF" w:rsidRPr="00FB5B94" w:rsidRDefault="00346FFF" w:rsidP="00FA782E">
            <w:pPr>
              <w:pStyle w:val="Pagrindinistekstas"/>
              <w:spacing w:after="0"/>
              <w:rPr>
                <w:noProof/>
                <w:sz w:val="22"/>
                <w:szCs w:val="22"/>
              </w:rPr>
            </w:pPr>
            <w:r w:rsidRPr="00FB5B94">
              <w:rPr>
                <w:noProof/>
                <w:sz w:val="22"/>
                <w:szCs w:val="22"/>
              </w:rPr>
              <w:t>(n = 370)</w:t>
            </w:r>
          </w:p>
          <w:p w:rsidR="00346FFF" w:rsidRPr="00FB5B94" w:rsidRDefault="00346FFF" w:rsidP="00FA782E">
            <w:pPr>
              <w:pStyle w:val="Pagrindinistekstas"/>
              <w:spacing w:after="0"/>
              <w:rPr>
                <w:noProof/>
                <w:sz w:val="22"/>
                <w:szCs w:val="22"/>
              </w:rPr>
            </w:pPr>
            <w:r w:rsidRPr="00FB5B94">
              <w:rPr>
                <w:noProof/>
                <w:sz w:val="22"/>
                <w:szCs w:val="22"/>
              </w:rPr>
              <w:t>[%]</w:t>
            </w:r>
          </w:p>
        </w:tc>
        <w:tc>
          <w:tcPr>
            <w:tcW w:w="1843" w:type="dxa"/>
            <w:gridSpan w:val="2"/>
          </w:tcPr>
          <w:p w:rsidR="00346FFF" w:rsidRPr="00FB5B94" w:rsidRDefault="00346FFF" w:rsidP="00FA782E">
            <w:pPr>
              <w:pStyle w:val="Pagrindinistekstas"/>
              <w:spacing w:after="0"/>
              <w:rPr>
                <w:noProof/>
                <w:sz w:val="22"/>
                <w:szCs w:val="22"/>
              </w:rPr>
            </w:pPr>
            <w:r w:rsidRPr="00FB5B94">
              <w:rPr>
                <w:noProof/>
                <w:sz w:val="22"/>
                <w:szCs w:val="22"/>
              </w:rPr>
              <w:lastRenderedPageBreak/>
              <w:t xml:space="preserve">Alendrono rūgštis 10 mg kartą per </w:t>
            </w:r>
            <w:r w:rsidRPr="00FB5B94">
              <w:rPr>
                <w:noProof/>
                <w:sz w:val="22"/>
                <w:szCs w:val="22"/>
              </w:rPr>
              <w:lastRenderedPageBreak/>
              <w:t>parą</w:t>
            </w:r>
          </w:p>
          <w:p w:rsidR="00346FFF" w:rsidRPr="00FB5B94" w:rsidRDefault="00346FFF" w:rsidP="00FA782E">
            <w:pPr>
              <w:pStyle w:val="Pagrindinistekstas"/>
              <w:spacing w:after="0"/>
              <w:rPr>
                <w:noProof/>
                <w:sz w:val="22"/>
                <w:szCs w:val="22"/>
              </w:rPr>
            </w:pPr>
            <w:r w:rsidRPr="00FB5B94">
              <w:rPr>
                <w:noProof/>
                <w:sz w:val="22"/>
                <w:szCs w:val="22"/>
              </w:rPr>
              <w:t>(n = 196)</w:t>
            </w:r>
          </w:p>
          <w:p w:rsidR="00346FFF" w:rsidRPr="00FB5B94" w:rsidRDefault="00346FFF" w:rsidP="00FA782E">
            <w:pPr>
              <w:pStyle w:val="Pagrindinistekstas"/>
              <w:spacing w:after="0"/>
              <w:rPr>
                <w:noProof/>
                <w:sz w:val="22"/>
                <w:szCs w:val="22"/>
              </w:rPr>
            </w:pPr>
            <w:r w:rsidRPr="00FB5B94">
              <w:rPr>
                <w:noProof/>
                <w:sz w:val="22"/>
                <w:szCs w:val="22"/>
              </w:rPr>
              <w:t>[%]</w:t>
            </w:r>
          </w:p>
        </w:tc>
        <w:tc>
          <w:tcPr>
            <w:tcW w:w="992" w:type="dxa"/>
          </w:tcPr>
          <w:p w:rsidR="00346FFF" w:rsidRPr="00FB5B94" w:rsidRDefault="00346FFF" w:rsidP="00FA782E">
            <w:pPr>
              <w:pStyle w:val="Pagrindinistekstas"/>
              <w:spacing w:after="0"/>
              <w:rPr>
                <w:noProof/>
                <w:sz w:val="22"/>
                <w:szCs w:val="22"/>
              </w:rPr>
            </w:pPr>
            <w:r w:rsidRPr="00FB5B94">
              <w:rPr>
                <w:noProof/>
                <w:sz w:val="22"/>
                <w:szCs w:val="22"/>
              </w:rPr>
              <w:lastRenderedPageBreak/>
              <w:t xml:space="preserve">Placebas </w:t>
            </w:r>
          </w:p>
          <w:p w:rsidR="00346FFF" w:rsidRPr="00FB5B94" w:rsidRDefault="00346FFF" w:rsidP="00FA782E">
            <w:pPr>
              <w:pStyle w:val="Pagrindinistekstas"/>
              <w:spacing w:after="0"/>
              <w:rPr>
                <w:noProof/>
                <w:sz w:val="22"/>
                <w:szCs w:val="22"/>
              </w:rPr>
            </w:pPr>
            <w:r w:rsidRPr="00FB5B94">
              <w:rPr>
                <w:noProof/>
                <w:sz w:val="22"/>
                <w:szCs w:val="22"/>
              </w:rPr>
              <w:t>(n=397)</w:t>
            </w:r>
          </w:p>
          <w:p w:rsidR="00346FFF" w:rsidRPr="00FB5B94" w:rsidRDefault="00346FFF" w:rsidP="00FA782E">
            <w:pPr>
              <w:pStyle w:val="Pagrindinistekstas"/>
              <w:spacing w:after="0"/>
              <w:rPr>
                <w:noProof/>
                <w:sz w:val="22"/>
                <w:szCs w:val="22"/>
              </w:rPr>
            </w:pPr>
            <w:r w:rsidRPr="00FB5B94">
              <w:rPr>
                <w:noProof/>
                <w:sz w:val="22"/>
                <w:szCs w:val="22"/>
              </w:rPr>
              <w:lastRenderedPageBreak/>
              <w:t>[%]</w:t>
            </w:r>
          </w:p>
          <w:p w:rsidR="00346FFF" w:rsidRPr="00FB5B94" w:rsidRDefault="00346FFF" w:rsidP="00FA782E">
            <w:pPr>
              <w:pStyle w:val="Pagrindinistekstas"/>
              <w:spacing w:after="0"/>
              <w:rPr>
                <w:noProof/>
                <w:sz w:val="22"/>
                <w:szCs w:val="22"/>
              </w:rPr>
            </w:pPr>
          </w:p>
        </w:tc>
      </w:tr>
      <w:tr w:rsidR="00346FFF" w:rsidRPr="00FB5B94" w:rsidTr="00FA782E">
        <w:tc>
          <w:tcPr>
            <w:tcW w:w="9072" w:type="dxa"/>
            <w:gridSpan w:val="6"/>
          </w:tcPr>
          <w:p w:rsidR="00346FFF" w:rsidRPr="00FB5B94" w:rsidRDefault="00346FFF" w:rsidP="00FA782E">
            <w:pPr>
              <w:pStyle w:val="Pagrindinistekstas"/>
              <w:spacing w:after="0"/>
              <w:rPr>
                <w:b/>
                <w:noProof/>
                <w:sz w:val="22"/>
                <w:szCs w:val="22"/>
              </w:rPr>
            </w:pPr>
            <w:r w:rsidRPr="00FB5B94">
              <w:rPr>
                <w:b/>
                <w:i/>
                <w:noProof/>
                <w:sz w:val="22"/>
                <w:szCs w:val="22"/>
              </w:rPr>
              <w:lastRenderedPageBreak/>
              <w:t>Virškinimo trakto sutrikimai</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Pilvo skausmas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3,7</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3,0</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6,6</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4,8</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Virškinimo sutrikimas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2,7</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2,2</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3,6</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3,5</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Atsirūgimas rūgštimi</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1,9</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2,4</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2,0</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4,3</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Pykinimas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1,9</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2,4</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3,6</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4,0</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Pilvo pūtimas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1,0</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1,4</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1,0</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0,8</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Vidurių užkietėjimas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0,8</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1,6</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3,1</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1,8</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Viduriavimas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0,6</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0,5</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3,1</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1,8</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Rijimo sutrikimas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0,4</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0,5</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1,0</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0,0</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Gausus dujų susikaupimas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0,4</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1,6</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2,6</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0,5</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Gastritas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0,2</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1,1</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0,5</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1,3</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Skrandžio opa</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0,0</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1,1</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0,0</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0,0</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Stemplės opa</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0,0</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0,0</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1,5</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0,0</w:t>
            </w:r>
          </w:p>
        </w:tc>
      </w:tr>
      <w:tr w:rsidR="00346FFF" w:rsidRPr="00FB5B94" w:rsidTr="00FA782E">
        <w:tc>
          <w:tcPr>
            <w:tcW w:w="9072" w:type="dxa"/>
            <w:gridSpan w:val="6"/>
          </w:tcPr>
          <w:p w:rsidR="00346FFF" w:rsidRPr="00FB5B94" w:rsidRDefault="00346FFF" w:rsidP="00FA782E">
            <w:pPr>
              <w:pStyle w:val="Pagrindinistekstas"/>
              <w:spacing w:after="0"/>
              <w:rPr>
                <w:b/>
                <w:noProof/>
                <w:sz w:val="22"/>
                <w:szCs w:val="22"/>
              </w:rPr>
            </w:pPr>
            <w:r w:rsidRPr="00FB5B94">
              <w:rPr>
                <w:b/>
                <w:i/>
                <w:noProof/>
                <w:sz w:val="22"/>
                <w:szCs w:val="22"/>
              </w:rPr>
              <w:t>Raumenų, kaulų ir jungiamojo audinio sutrikimai</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Skeleto ir raumenų (kaulų, raumenų ar sąnarių) skausmas</w:t>
            </w:r>
          </w:p>
        </w:tc>
        <w:tc>
          <w:tcPr>
            <w:tcW w:w="1843" w:type="dxa"/>
          </w:tcPr>
          <w:p w:rsidR="00346FFF" w:rsidRPr="00FB5B94" w:rsidRDefault="00346FFF" w:rsidP="00FA782E">
            <w:pPr>
              <w:pStyle w:val="Pagrindinistekstas"/>
              <w:spacing w:after="0"/>
              <w:rPr>
                <w:noProof/>
                <w:sz w:val="22"/>
                <w:szCs w:val="22"/>
              </w:rPr>
            </w:pPr>
          </w:p>
          <w:p w:rsidR="00346FFF" w:rsidRPr="00FB5B94" w:rsidRDefault="00346FFF" w:rsidP="00FA782E">
            <w:pPr>
              <w:pStyle w:val="Pagrindinistekstas"/>
              <w:spacing w:after="0"/>
              <w:rPr>
                <w:noProof/>
                <w:sz w:val="22"/>
                <w:szCs w:val="22"/>
              </w:rPr>
            </w:pPr>
            <w:r w:rsidRPr="00FB5B94">
              <w:rPr>
                <w:noProof/>
                <w:sz w:val="22"/>
                <w:szCs w:val="22"/>
              </w:rPr>
              <w:t>2,9</w:t>
            </w:r>
          </w:p>
        </w:tc>
        <w:tc>
          <w:tcPr>
            <w:tcW w:w="1842" w:type="dxa"/>
          </w:tcPr>
          <w:p w:rsidR="00346FFF" w:rsidRPr="00FB5B94" w:rsidRDefault="00346FFF" w:rsidP="00FA782E">
            <w:pPr>
              <w:pStyle w:val="Pagrindinistekstas"/>
              <w:spacing w:after="0"/>
              <w:rPr>
                <w:noProof/>
                <w:sz w:val="22"/>
                <w:szCs w:val="22"/>
              </w:rPr>
            </w:pPr>
          </w:p>
          <w:p w:rsidR="00346FFF" w:rsidRPr="00FB5B94" w:rsidRDefault="00346FFF" w:rsidP="00FA782E">
            <w:pPr>
              <w:pStyle w:val="Pagrindinistekstas"/>
              <w:spacing w:after="0"/>
              <w:rPr>
                <w:noProof/>
                <w:sz w:val="22"/>
                <w:szCs w:val="22"/>
              </w:rPr>
            </w:pPr>
            <w:r w:rsidRPr="00FB5B94">
              <w:rPr>
                <w:noProof/>
                <w:sz w:val="22"/>
                <w:szCs w:val="22"/>
              </w:rPr>
              <w:t>3,2</w:t>
            </w:r>
          </w:p>
        </w:tc>
        <w:tc>
          <w:tcPr>
            <w:tcW w:w="1701" w:type="dxa"/>
          </w:tcPr>
          <w:p w:rsidR="00346FFF" w:rsidRPr="00FB5B94" w:rsidRDefault="00346FFF" w:rsidP="00FA782E">
            <w:pPr>
              <w:pStyle w:val="Pagrindinistekstas"/>
              <w:spacing w:after="0"/>
              <w:rPr>
                <w:noProof/>
                <w:sz w:val="22"/>
                <w:szCs w:val="22"/>
              </w:rPr>
            </w:pPr>
          </w:p>
          <w:p w:rsidR="00346FFF" w:rsidRPr="00FB5B94" w:rsidRDefault="00346FFF" w:rsidP="00FA782E">
            <w:pPr>
              <w:pStyle w:val="Pagrindinistekstas"/>
              <w:spacing w:after="0"/>
              <w:rPr>
                <w:noProof/>
                <w:sz w:val="22"/>
                <w:szCs w:val="22"/>
              </w:rPr>
            </w:pPr>
            <w:r w:rsidRPr="00FB5B94">
              <w:rPr>
                <w:noProof/>
                <w:sz w:val="22"/>
                <w:szCs w:val="22"/>
              </w:rPr>
              <w:t>4,1</w:t>
            </w:r>
          </w:p>
        </w:tc>
        <w:tc>
          <w:tcPr>
            <w:tcW w:w="1134" w:type="dxa"/>
            <w:gridSpan w:val="2"/>
          </w:tcPr>
          <w:p w:rsidR="00346FFF" w:rsidRPr="00FB5B94" w:rsidRDefault="00346FFF" w:rsidP="00FA782E">
            <w:pPr>
              <w:pStyle w:val="Pagrindinistekstas"/>
              <w:spacing w:after="0"/>
              <w:rPr>
                <w:noProof/>
                <w:sz w:val="22"/>
                <w:szCs w:val="22"/>
              </w:rPr>
            </w:pPr>
          </w:p>
          <w:p w:rsidR="00346FFF" w:rsidRPr="00FB5B94" w:rsidRDefault="00346FFF" w:rsidP="00FA782E">
            <w:pPr>
              <w:pStyle w:val="Pagrindinistekstas"/>
              <w:spacing w:after="0"/>
              <w:rPr>
                <w:noProof/>
                <w:sz w:val="22"/>
                <w:szCs w:val="22"/>
              </w:rPr>
            </w:pPr>
            <w:r w:rsidRPr="00FB5B94">
              <w:rPr>
                <w:noProof/>
                <w:sz w:val="22"/>
                <w:szCs w:val="22"/>
              </w:rPr>
              <w:t>2,5</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Mėšlungis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0,2</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1,1</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0,0</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1,0</w:t>
            </w:r>
          </w:p>
        </w:tc>
      </w:tr>
      <w:tr w:rsidR="00346FFF" w:rsidRPr="00FB5B94" w:rsidTr="00FA782E">
        <w:tc>
          <w:tcPr>
            <w:tcW w:w="9072" w:type="dxa"/>
            <w:gridSpan w:val="6"/>
          </w:tcPr>
          <w:p w:rsidR="00346FFF" w:rsidRPr="00FB5B94" w:rsidRDefault="00346FFF" w:rsidP="00FA782E">
            <w:pPr>
              <w:pStyle w:val="Pagrindinistekstas"/>
              <w:spacing w:after="0"/>
              <w:rPr>
                <w:b/>
                <w:noProof/>
                <w:sz w:val="22"/>
                <w:szCs w:val="22"/>
              </w:rPr>
            </w:pPr>
            <w:r w:rsidRPr="00FB5B94">
              <w:rPr>
                <w:b/>
                <w:i/>
                <w:noProof/>
                <w:sz w:val="22"/>
                <w:szCs w:val="22"/>
              </w:rPr>
              <w:t>Nervų sistemos sutrikimai</w:t>
            </w:r>
          </w:p>
        </w:tc>
      </w:tr>
      <w:tr w:rsidR="00346FFF" w:rsidRPr="00FB5B94" w:rsidTr="00FA782E">
        <w:tc>
          <w:tcPr>
            <w:tcW w:w="2552" w:type="dxa"/>
          </w:tcPr>
          <w:p w:rsidR="00346FFF" w:rsidRPr="00FB5B94" w:rsidRDefault="00346FFF" w:rsidP="00FA782E">
            <w:pPr>
              <w:pStyle w:val="Pagrindinistekstas"/>
              <w:spacing w:after="0"/>
              <w:rPr>
                <w:noProof/>
                <w:sz w:val="22"/>
                <w:szCs w:val="22"/>
              </w:rPr>
            </w:pPr>
            <w:r w:rsidRPr="00FB5B94">
              <w:rPr>
                <w:noProof/>
                <w:sz w:val="22"/>
                <w:szCs w:val="22"/>
              </w:rPr>
              <w:t>Galvos skausmas</w:t>
            </w:r>
          </w:p>
        </w:tc>
        <w:tc>
          <w:tcPr>
            <w:tcW w:w="1843" w:type="dxa"/>
          </w:tcPr>
          <w:p w:rsidR="00346FFF" w:rsidRPr="00FB5B94" w:rsidRDefault="00346FFF" w:rsidP="00FA782E">
            <w:pPr>
              <w:pStyle w:val="Pagrindinistekstas"/>
              <w:spacing w:after="0"/>
              <w:rPr>
                <w:noProof/>
                <w:sz w:val="22"/>
                <w:szCs w:val="22"/>
              </w:rPr>
            </w:pPr>
            <w:r w:rsidRPr="00FB5B94">
              <w:rPr>
                <w:noProof/>
                <w:sz w:val="22"/>
                <w:szCs w:val="22"/>
              </w:rPr>
              <w:t>0,4</w:t>
            </w:r>
          </w:p>
        </w:tc>
        <w:tc>
          <w:tcPr>
            <w:tcW w:w="1842" w:type="dxa"/>
          </w:tcPr>
          <w:p w:rsidR="00346FFF" w:rsidRPr="00FB5B94" w:rsidRDefault="00346FFF" w:rsidP="00FA782E">
            <w:pPr>
              <w:pStyle w:val="Pagrindinistekstas"/>
              <w:spacing w:after="0"/>
              <w:rPr>
                <w:noProof/>
                <w:sz w:val="22"/>
                <w:szCs w:val="22"/>
              </w:rPr>
            </w:pPr>
            <w:r w:rsidRPr="00FB5B94">
              <w:rPr>
                <w:noProof/>
                <w:sz w:val="22"/>
                <w:szCs w:val="22"/>
              </w:rPr>
              <w:t>0,3</w:t>
            </w:r>
          </w:p>
        </w:tc>
        <w:tc>
          <w:tcPr>
            <w:tcW w:w="1701" w:type="dxa"/>
          </w:tcPr>
          <w:p w:rsidR="00346FFF" w:rsidRPr="00FB5B94" w:rsidRDefault="00346FFF" w:rsidP="00FA782E">
            <w:pPr>
              <w:pStyle w:val="Pagrindinistekstas"/>
              <w:spacing w:after="0"/>
              <w:rPr>
                <w:noProof/>
                <w:sz w:val="22"/>
                <w:szCs w:val="22"/>
              </w:rPr>
            </w:pPr>
            <w:r w:rsidRPr="00FB5B94">
              <w:rPr>
                <w:noProof/>
                <w:sz w:val="22"/>
                <w:szCs w:val="22"/>
              </w:rPr>
              <w:t>2,6</w:t>
            </w:r>
          </w:p>
        </w:tc>
        <w:tc>
          <w:tcPr>
            <w:tcW w:w="1134" w:type="dxa"/>
            <w:gridSpan w:val="2"/>
          </w:tcPr>
          <w:p w:rsidR="00346FFF" w:rsidRPr="00FB5B94" w:rsidRDefault="00346FFF" w:rsidP="00FA782E">
            <w:pPr>
              <w:pStyle w:val="Pagrindinistekstas"/>
              <w:spacing w:after="0"/>
              <w:rPr>
                <w:noProof/>
                <w:sz w:val="22"/>
                <w:szCs w:val="22"/>
              </w:rPr>
            </w:pPr>
            <w:r w:rsidRPr="00FB5B94">
              <w:rPr>
                <w:noProof/>
                <w:sz w:val="22"/>
                <w:szCs w:val="22"/>
              </w:rPr>
              <w:t>1,5</w:t>
            </w:r>
          </w:p>
        </w:tc>
      </w:tr>
    </w:tbl>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Teboneva, kaip ir visi kiti vaistiniai preparatai, gali sukelti šalutinį poveikį, nors jis pasireiškia ne visiems žmonėms.</w:t>
      </w:r>
    </w:p>
    <w:p w:rsidR="00346FFF" w:rsidRPr="00FB5B94" w:rsidRDefault="00346FFF" w:rsidP="00346FFF">
      <w:pPr>
        <w:pStyle w:val="Pagrindinistekstas"/>
        <w:spacing w:after="0"/>
        <w:rPr>
          <w:noProof/>
          <w:sz w:val="22"/>
          <w:szCs w:val="22"/>
        </w:rPr>
      </w:pPr>
    </w:p>
    <w:p w:rsidR="00346FFF" w:rsidRPr="00FB5B94" w:rsidRDefault="00346FFF" w:rsidP="00346FFF">
      <w:pPr>
        <w:rPr>
          <w:szCs w:val="22"/>
        </w:rPr>
      </w:pPr>
      <w:r w:rsidRPr="00FB5B94">
        <w:rPr>
          <w:szCs w:val="22"/>
        </w:rPr>
        <w:t>Nepageidaujamas poveikis klasifikuojamas pagal dažnį, kuris apibūdinamas taip:</w:t>
      </w:r>
    </w:p>
    <w:p w:rsidR="00346FFF" w:rsidRPr="00FB5B94" w:rsidRDefault="00346FFF" w:rsidP="00346FFF">
      <w:pPr>
        <w:rPr>
          <w:szCs w:val="22"/>
        </w:rPr>
      </w:pPr>
    </w:p>
    <w:tbl>
      <w:tblPr>
        <w:tblW w:w="0" w:type="auto"/>
        <w:tblLook w:val="00A0" w:firstRow="1" w:lastRow="0" w:firstColumn="1" w:lastColumn="0" w:noHBand="0" w:noVBand="0"/>
      </w:tblPr>
      <w:tblGrid>
        <w:gridCol w:w="3095"/>
        <w:gridCol w:w="3095"/>
        <w:gridCol w:w="3096"/>
      </w:tblGrid>
      <w:tr w:rsidR="00346FFF" w:rsidRPr="00FB5B94" w:rsidTr="00FA782E">
        <w:tc>
          <w:tcPr>
            <w:tcW w:w="3095" w:type="dxa"/>
          </w:tcPr>
          <w:p w:rsidR="00346FFF" w:rsidRPr="00FB5B94" w:rsidRDefault="00346FFF" w:rsidP="00FA782E">
            <w:pPr>
              <w:rPr>
                <w:szCs w:val="22"/>
              </w:rPr>
            </w:pPr>
            <w:r w:rsidRPr="00FB5B94">
              <w:rPr>
                <w:b/>
                <w:szCs w:val="22"/>
              </w:rPr>
              <w:t>Labai dažni:</w:t>
            </w:r>
          </w:p>
        </w:tc>
        <w:tc>
          <w:tcPr>
            <w:tcW w:w="3095" w:type="dxa"/>
          </w:tcPr>
          <w:p w:rsidR="00346FFF" w:rsidRPr="00FB5B94" w:rsidRDefault="00346FFF" w:rsidP="00FA782E">
            <w:pPr>
              <w:rPr>
                <w:szCs w:val="22"/>
              </w:rPr>
            </w:pPr>
            <w:r w:rsidRPr="00FB5B94">
              <w:rPr>
                <w:szCs w:val="22"/>
              </w:rPr>
              <w:t>daugiau kaip 1 iš 10 gydytų pacientų</w:t>
            </w:r>
          </w:p>
        </w:tc>
        <w:tc>
          <w:tcPr>
            <w:tcW w:w="3096" w:type="dxa"/>
          </w:tcPr>
          <w:p w:rsidR="00346FFF" w:rsidRPr="00FB5B94" w:rsidRDefault="00346FFF" w:rsidP="00FA782E">
            <w:pPr>
              <w:rPr>
                <w:szCs w:val="22"/>
              </w:rPr>
            </w:pPr>
            <w:r w:rsidRPr="00FB5B94">
              <w:rPr>
                <w:szCs w:val="22"/>
              </w:rPr>
              <w:t>≥1/10</w:t>
            </w:r>
          </w:p>
        </w:tc>
      </w:tr>
      <w:tr w:rsidR="00346FFF" w:rsidRPr="00FB5B94" w:rsidTr="00FA782E">
        <w:tc>
          <w:tcPr>
            <w:tcW w:w="3095" w:type="dxa"/>
          </w:tcPr>
          <w:p w:rsidR="00346FFF" w:rsidRPr="00FB5B94" w:rsidRDefault="00346FFF" w:rsidP="00FA782E">
            <w:pPr>
              <w:rPr>
                <w:szCs w:val="22"/>
              </w:rPr>
            </w:pPr>
            <w:r w:rsidRPr="00FB5B94">
              <w:rPr>
                <w:b/>
                <w:szCs w:val="22"/>
              </w:rPr>
              <w:t>Dažni:</w:t>
            </w:r>
            <w:r w:rsidRPr="00FB5B94">
              <w:rPr>
                <w:szCs w:val="22"/>
              </w:rPr>
              <w:tab/>
            </w:r>
          </w:p>
        </w:tc>
        <w:tc>
          <w:tcPr>
            <w:tcW w:w="3095" w:type="dxa"/>
          </w:tcPr>
          <w:p w:rsidR="00346FFF" w:rsidRPr="00FB5B94" w:rsidRDefault="00346FFF" w:rsidP="00FA782E">
            <w:pPr>
              <w:rPr>
                <w:szCs w:val="22"/>
              </w:rPr>
            </w:pPr>
            <w:r w:rsidRPr="00FB5B94">
              <w:rPr>
                <w:szCs w:val="22"/>
              </w:rPr>
              <w:t>1-10 iš 100 gydytų pacientų</w:t>
            </w:r>
          </w:p>
        </w:tc>
        <w:tc>
          <w:tcPr>
            <w:tcW w:w="3096" w:type="dxa"/>
          </w:tcPr>
          <w:p w:rsidR="00346FFF" w:rsidRPr="00FB5B94" w:rsidRDefault="00346FFF" w:rsidP="00FA782E">
            <w:pPr>
              <w:rPr>
                <w:szCs w:val="22"/>
              </w:rPr>
            </w:pPr>
            <w:r w:rsidRPr="00FB5B94">
              <w:rPr>
                <w:szCs w:val="22"/>
              </w:rPr>
              <w:t>nuo ≥1/100 iki &lt;1/10</w:t>
            </w:r>
          </w:p>
        </w:tc>
      </w:tr>
      <w:tr w:rsidR="00346FFF" w:rsidRPr="00FB5B94" w:rsidTr="00FA782E">
        <w:tc>
          <w:tcPr>
            <w:tcW w:w="3095" w:type="dxa"/>
          </w:tcPr>
          <w:p w:rsidR="00346FFF" w:rsidRPr="00FB5B94" w:rsidRDefault="00346FFF" w:rsidP="00FA782E">
            <w:pPr>
              <w:rPr>
                <w:szCs w:val="22"/>
              </w:rPr>
            </w:pPr>
            <w:r w:rsidRPr="00FB5B94">
              <w:rPr>
                <w:b/>
                <w:szCs w:val="22"/>
              </w:rPr>
              <w:t>Nedažni:</w:t>
            </w:r>
          </w:p>
        </w:tc>
        <w:tc>
          <w:tcPr>
            <w:tcW w:w="3095" w:type="dxa"/>
          </w:tcPr>
          <w:p w:rsidR="00346FFF" w:rsidRPr="00FB5B94" w:rsidRDefault="00346FFF" w:rsidP="00FA782E">
            <w:pPr>
              <w:rPr>
                <w:szCs w:val="22"/>
              </w:rPr>
            </w:pPr>
            <w:r w:rsidRPr="00FB5B94">
              <w:rPr>
                <w:szCs w:val="22"/>
              </w:rPr>
              <w:t>1-10 iš 1000 gydytų pacientų</w:t>
            </w:r>
          </w:p>
        </w:tc>
        <w:tc>
          <w:tcPr>
            <w:tcW w:w="3096" w:type="dxa"/>
          </w:tcPr>
          <w:p w:rsidR="00346FFF" w:rsidRPr="00FB5B94" w:rsidRDefault="00346FFF" w:rsidP="00FA782E">
            <w:pPr>
              <w:rPr>
                <w:szCs w:val="22"/>
              </w:rPr>
            </w:pPr>
            <w:r w:rsidRPr="00FB5B94">
              <w:rPr>
                <w:szCs w:val="22"/>
              </w:rPr>
              <w:t>nuo ≥1/1000 iki &lt;1/100</w:t>
            </w:r>
          </w:p>
        </w:tc>
      </w:tr>
      <w:tr w:rsidR="00346FFF" w:rsidRPr="00FB5B94" w:rsidTr="00FA782E">
        <w:tc>
          <w:tcPr>
            <w:tcW w:w="3095" w:type="dxa"/>
          </w:tcPr>
          <w:p w:rsidR="00346FFF" w:rsidRPr="00FB5B94" w:rsidRDefault="00346FFF" w:rsidP="00FA782E">
            <w:pPr>
              <w:rPr>
                <w:szCs w:val="22"/>
              </w:rPr>
            </w:pPr>
            <w:r w:rsidRPr="00FB5B94">
              <w:rPr>
                <w:b/>
                <w:szCs w:val="22"/>
              </w:rPr>
              <w:t>Reti:</w:t>
            </w:r>
          </w:p>
        </w:tc>
        <w:tc>
          <w:tcPr>
            <w:tcW w:w="3095" w:type="dxa"/>
          </w:tcPr>
          <w:p w:rsidR="00346FFF" w:rsidRPr="00FB5B94" w:rsidRDefault="00346FFF" w:rsidP="00FA782E">
            <w:pPr>
              <w:rPr>
                <w:szCs w:val="22"/>
              </w:rPr>
            </w:pPr>
            <w:r w:rsidRPr="00FB5B94">
              <w:rPr>
                <w:szCs w:val="22"/>
              </w:rPr>
              <w:t>1-10 iš 10000 gydytų pacientų</w:t>
            </w:r>
          </w:p>
        </w:tc>
        <w:tc>
          <w:tcPr>
            <w:tcW w:w="3096" w:type="dxa"/>
          </w:tcPr>
          <w:p w:rsidR="00346FFF" w:rsidRPr="00FB5B94" w:rsidRDefault="00346FFF" w:rsidP="00FA782E">
            <w:pPr>
              <w:rPr>
                <w:szCs w:val="22"/>
              </w:rPr>
            </w:pPr>
            <w:r w:rsidRPr="00FB5B94">
              <w:rPr>
                <w:szCs w:val="22"/>
              </w:rPr>
              <w:t>nuo ≥1/10000 iki &lt;1/1000</w:t>
            </w:r>
          </w:p>
        </w:tc>
      </w:tr>
      <w:tr w:rsidR="00346FFF" w:rsidRPr="00FB5B94" w:rsidTr="00FA782E">
        <w:tc>
          <w:tcPr>
            <w:tcW w:w="3095" w:type="dxa"/>
          </w:tcPr>
          <w:p w:rsidR="00346FFF" w:rsidRPr="00FB5B94" w:rsidRDefault="00346FFF" w:rsidP="00FA782E">
            <w:pPr>
              <w:rPr>
                <w:szCs w:val="22"/>
              </w:rPr>
            </w:pPr>
            <w:r w:rsidRPr="00FB5B94">
              <w:rPr>
                <w:b/>
                <w:szCs w:val="22"/>
              </w:rPr>
              <w:t>Labai reti:</w:t>
            </w:r>
          </w:p>
        </w:tc>
        <w:tc>
          <w:tcPr>
            <w:tcW w:w="3095" w:type="dxa"/>
          </w:tcPr>
          <w:p w:rsidR="00346FFF" w:rsidRPr="00FB5B94" w:rsidRDefault="00346FFF" w:rsidP="00FA782E">
            <w:pPr>
              <w:rPr>
                <w:szCs w:val="22"/>
              </w:rPr>
            </w:pPr>
            <w:r w:rsidRPr="00FB5B94">
              <w:rPr>
                <w:szCs w:val="22"/>
              </w:rPr>
              <w:t>mažiau kaip 1 iš 10000 gydytų pacientų</w:t>
            </w:r>
          </w:p>
        </w:tc>
        <w:tc>
          <w:tcPr>
            <w:tcW w:w="3096" w:type="dxa"/>
          </w:tcPr>
          <w:p w:rsidR="00346FFF" w:rsidRPr="00FB5B94" w:rsidRDefault="00346FFF" w:rsidP="00FA782E">
            <w:pPr>
              <w:rPr>
                <w:szCs w:val="22"/>
              </w:rPr>
            </w:pPr>
            <w:r w:rsidRPr="00FB5B94">
              <w:rPr>
                <w:szCs w:val="22"/>
              </w:rPr>
              <w:t>&lt; 1/10000</w:t>
            </w:r>
          </w:p>
        </w:tc>
      </w:tr>
      <w:tr w:rsidR="00346FFF" w:rsidRPr="00FB5B94" w:rsidTr="00FA782E">
        <w:tc>
          <w:tcPr>
            <w:tcW w:w="3095" w:type="dxa"/>
          </w:tcPr>
          <w:p w:rsidR="00346FFF" w:rsidRPr="00FB5B94" w:rsidRDefault="00346FFF" w:rsidP="00FA782E">
            <w:pPr>
              <w:rPr>
                <w:szCs w:val="22"/>
              </w:rPr>
            </w:pPr>
            <w:r w:rsidRPr="00FB5B94">
              <w:rPr>
                <w:b/>
                <w:szCs w:val="22"/>
              </w:rPr>
              <w:t>Dažnis nežinomas:</w:t>
            </w:r>
          </w:p>
        </w:tc>
        <w:tc>
          <w:tcPr>
            <w:tcW w:w="3095" w:type="dxa"/>
          </w:tcPr>
          <w:p w:rsidR="00346FFF" w:rsidRPr="00FB5B94" w:rsidRDefault="00346FFF" w:rsidP="00FA782E">
            <w:pPr>
              <w:rPr>
                <w:szCs w:val="22"/>
              </w:rPr>
            </w:pPr>
            <w:r w:rsidRPr="00FB5B94">
              <w:rPr>
                <w:szCs w:val="22"/>
              </w:rPr>
              <w:t>dažnis</w:t>
            </w:r>
            <w:r w:rsidRPr="00FB5B94">
              <w:rPr>
                <w:b/>
                <w:szCs w:val="22"/>
              </w:rPr>
              <w:t xml:space="preserve"> </w:t>
            </w:r>
            <w:r w:rsidRPr="00FB5B94">
              <w:rPr>
                <w:szCs w:val="22"/>
              </w:rPr>
              <w:t>negali būti įvertintas pagal turimus duomenis</w:t>
            </w:r>
          </w:p>
        </w:tc>
        <w:tc>
          <w:tcPr>
            <w:tcW w:w="3096" w:type="dxa"/>
          </w:tcPr>
          <w:p w:rsidR="00346FFF" w:rsidRPr="00FB5B94" w:rsidRDefault="00346FFF" w:rsidP="00FA782E">
            <w:pPr>
              <w:rPr>
                <w:szCs w:val="22"/>
              </w:rPr>
            </w:pPr>
            <w:r w:rsidRPr="00FB5B94">
              <w:rPr>
                <w:szCs w:val="22"/>
              </w:rPr>
              <w:t>negali būti įvertintas pagal turimus duomenis</w:t>
            </w:r>
          </w:p>
        </w:tc>
      </w:tr>
    </w:tbl>
    <w:p w:rsidR="00346FFF" w:rsidRPr="00FB5B94" w:rsidRDefault="00346FFF" w:rsidP="00346FFF">
      <w:pPr>
        <w:rPr>
          <w:szCs w:val="22"/>
        </w:rPr>
      </w:pPr>
    </w:p>
    <w:p w:rsidR="00346FFF" w:rsidRPr="00FB5B94" w:rsidRDefault="00346FFF" w:rsidP="00346FFF">
      <w:pPr>
        <w:pStyle w:val="Pagrindinistekstas"/>
        <w:spacing w:after="0"/>
        <w:rPr>
          <w:noProof/>
          <w:sz w:val="22"/>
          <w:szCs w:val="22"/>
        </w:rPr>
      </w:pPr>
      <w:r w:rsidRPr="00FB5B94">
        <w:rPr>
          <w:noProof/>
          <w:sz w:val="22"/>
          <w:szCs w:val="22"/>
        </w:rPr>
        <w:t>Toliau išvardytas nepageidaujamas poveikis taip pat stebėtas klinikinių tyrimų metu ir/arba vaistiniam preparatui patekus į rinką:</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b/>
          <w:i/>
          <w:noProof/>
          <w:sz w:val="22"/>
          <w:szCs w:val="22"/>
        </w:rPr>
      </w:pPr>
      <w:r w:rsidRPr="00FB5B94">
        <w:rPr>
          <w:b/>
          <w:i/>
          <w:noProof/>
          <w:sz w:val="22"/>
          <w:szCs w:val="22"/>
        </w:rPr>
        <w:t>Alendronato tabletės:</w:t>
      </w:r>
    </w:p>
    <w:p w:rsidR="00346FFF" w:rsidRPr="00FB5B94" w:rsidRDefault="00346FFF" w:rsidP="00346FFF">
      <w:pPr>
        <w:pStyle w:val="Pagrindinistekstas"/>
        <w:spacing w:after="0"/>
        <w:rPr>
          <w:b/>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Imuninės sistemos sutrikimai</w:t>
      </w:r>
    </w:p>
    <w:p w:rsidR="00346FFF" w:rsidRPr="00FB5B94" w:rsidRDefault="00C53EEA" w:rsidP="00346FFF">
      <w:pPr>
        <w:pStyle w:val="Pagrindinistekstas"/>
        <w:spacing w:after="0"/>
        <w:rPr>
          <w:noProof/>
          <w:sz w:val="22"/>
          <w:szCs w:val="22"/>
        </w:rPr>
      </w:pPr>
      <w:r w:rsidRPr="00FB5B94">
        <w:rPr>
          <w:noProof/>
          <w:sz w:val="22"/>
          <w:szCs w:val="22"/>
        </w:rPr>
        <w:t>Reti:</w:t>
      </w:r>
      <w:r w:rsidRPr="00FB5B94">
        <w:rPr>
          <w:noProof/>
          <w:sz w:val="22"/>
          <w:szCs w:val="22"/>
        </w:rPr>
        <w:tab/>
      </w:r>
      <w:r w:rsidR="00346FFF" w:rsidRPr="00FB5B94">
        <w:rPr>
          <w:noProof/>
          <w:sz w:val="22"/>
          <w:szCs w:val="22"/>
        </w:rPr>
        <w:t>padidėjusio jautrumo reakcijos, įskaitant dilgėlinę ir angioneurozinę edemą.</w:t>
      </w:r>
    </w:p>
    <w:p w:rsidR="00346FFF" w:rsidRPr="00FB5B94" w:rsidRDefault="00346FFF" w:rsidP="00346FFF">
      <w:pPr>
        <w:pStyle w:val="Pagrindinistekstas"/>
        <w:spacing w:after="0"/>
        <w:rPr>
          <w:i/>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Metabolizmo ir mitybos sutrikimai</w:t>
      </w:r>
    </w:p>
    <w:p w:rsidR="00346FFF" w:rsidRPr="00FB5B94" w:rsidRDefault="00346FFF" w:rsidP="00346FFF">
      <w:pPr>
        <w:pStyle w:val="Pagrindinistekstas"/>
        <w:spacing w:after="0"/>
        <w:ind w:left="1440" w:hanging="1440"/>
        <w:rPr>
          <w:noProof/>
          <w:sz w:val="22"/>
          <w:szCs w:val="22"/>
        </w:rPr>
      </w:pPr>
      <w:r w:rsidRPr="00FB5B94">
        <w:rPr>
          <w:noProof/>
          <w:sz w:val="22"/>
          <w:szCs w:val="22"/>
        </w:rPr>
        <w:t>Reti:</w:t>
      </w:r>
      <w:r w:rsidRPr="00FB5B94">
        <w:rPr>
          <w:noProof/>
          <w:sz w:val="22"/>
          <w:szCs w:val="22"/>
        </w:rPr>
        <w:tab/>
        <w:t>simptominė hipokalcemija (dažniausiai pacientams, turintiems predisponuojančių faktorių (žr. 4.4 skyrių).</w:t>
      </w:r>
    </w:p>
    <w:p w:rsidR="00346FFF" w:rsidRPr="00FB5B94" w:rsidRDefault="00346FFF" w:rsidP="00346FFF">
      <w:pPr>
        <w:pStyle w:val="Pagrindinistekstas"/>
        <w:spacing w:after="0"/>
        <w:rPr>
          <w:i/>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Nervų sistemos sutrikimai</w:t>
      </w:r>
    </w:p>
    <w:p w:rsidR="00346FFF" w:rsidRPr="00FB5B94" w:rsidRDefault="00C53EEA" w:rsidP="00346FFF">
      <w:pPr>
        <w:pStyle w:val="Pagrindinistekstas"/>
        <w:spacing w:after="0"/>
        <w:rPr>
          <w:noProof/>
          <w:sz w:val="22"/>
          <w:szCs w:val="22"/>
        </w:rPr>
      </w:pPr>
      <w:r w:rsidRPr="00FB5B94">
        <w:rPr>
          <w:noProof/>
          <w:sz w:val="22"/>
          <w:szCs w:val="22"/>
        </w:rPr>
        <w:t>Dažni:</w:t>
      </w:r>
      <w:r w:rsidRPr="00FB5B94">
        <w:rPr>
          <w:noProof/>
          <w:sz w:val="22"/>
          <w:szCs w:val="22"/>
        </w:rPr>
        <w:tab/>
      </w:r>
      <w:r w:rsidR="00346FFF" w:rsidRPr="00FB5B94">
        <w:rPr>
          <w:noProof/>
          <w:sz w:val="22"/>
          <w:szCs w:val="22"/>
        </w:rPr>
        <w:t>galvos skausmas.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Akių sutrikimai</w:t>
      </w:r>
    </w:p>
    <w:p w:rsidR="00346FFF" w:rsidRPr="00FB5B94" w:rsidRDefault="00C53EEA" w:rsidP="00346FFF">
      <w:pPr>
        <w:pStyle w:val="Pagrindinistekstas"/>
        <w:spacing w:after="0"/>
        <w:rPr>
          <w:noProof/>
          <w:sz w:val="22"/>
          <w:szCs w:val="22"/>
        </w:rPr>
      </w:pPr>
      <w:r w:rsidRPr="00FB5B94">
        <w:rPr>
          <w:noProof/>
          <w:sz w:val="22"/>
          <w:szCs w:val="22"/>
        </w:rPr>
        <w:t>Reti:</w:t>
      </w:r>
      <w:r w:rsidRPr="00FB5B94">
        <w:rPr>
          <w:noProof/>
          <w:sz w:val="22"/>
          <w:szCs w:val="22"/>
        </w:rPr>
        <w:tab/>
      </w:r>
      <w:r w:rsidR="00346FFF" w:rsidRPr="00FB5B94">
        <w:rPr>
          <w:noProof/>
          <w:sz w:val="22"/>
          <w:szCs w:val="22"/>
        </w:rPr>
        <w:t>uveitas, skleritas, episkleritas.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i/>
          <w:noProof/>
          <w:sz w:val="22"/>
          <w:szCs w:val="22"/>
        </w:rPr>
        <w:t>Virškinimo trakto sutrikimai</w:t>
      </w:r>
      <w:r w:rsidRPr="00FB5B94">
        <w:rPr>
          <w:noProof/>
          <w:sz w:val="22"/>
          <w:szCs w:val="22"/>
        </w:rPr>
        <w:t xml:space="preserve"> </w:t>
      </w:r>
    </w:p>
    <w:p w:rsidR="00346FFF" w:rsidRPr="00FB5B94" w:rsidRDefault="00346FFF" w:rsidP="00346FFF">
      <w:pPr>
        <w:pStyle w:val="Pagrindinistekstas"/>
        <w:spacing w:after="0"/>
        <w:ind w:left="1440" w:hanging="1440"/>
        <w:rPr>
          <w:noProof/>
          <w:sz w:val="22"/>
          <w:szCs w:val="22"/>
        </w:rPr>
      </w:pPr>
      <w:r w:rsidRPr="00FB5B94">
        <w:rPr>
          <w:noProof/>
          <w:sz w:val="22"/>
          <w:szCs w:val="22"/>
        </w:rPr>
        <w:t>Dažni:</w:t>
      </w:r>
      <w:r w:rsidRPr="00FB5B94">
        <w:rPr>
          <w:noProof/>
          <w:sz w:val="22"/>
          <w:szCs w:val="22"/>
        </w:rPr>
        <w:tab/>
        <w:t>pilvo skausmas, virškinimo sutrikimas, vidurių užkietėjimas, viduriavimas, flatulencija, stemplės opos</w:t>
      </w:r>
      <w:r w:rsidRPr="00FB5B94">
        <w:rPr>
          <w:noProof/>
          <w:sz w:val="22"/>
          <w:szCs w:val="22"/>
          <w:vertAlign w:val="superscript"/>
        </w:rPr>
        <w:t>*</w:t>
      </w:r>
      <w:r w:rsidRPr="00FB5B94">
        <w:rPr>
          <w:noProof/>
          <w:sz w:val="22"/>
          <w:szCs w:val="22"/>
        </w:rPr>
        <w:t>, disfagija</w:t>
      </w:r>
      <w:r w:rsidRPr="00FB5B94">
        <w:rPr>
          <w:noProof/>
          <w:sz w:val="22"/>
          <w:szCs w:val="22"/>
          <w:vertAlign w:val="superscript"/>
        </w:rPr>
        <w:t>*</w:t>
      </w:r>
      <w:r w:rsidRPr="00FB5B94">
        <w:rPr>
          <w:noProof/>
          <w:sz w:val="22"/>
          <w:szCs w:val="22"/>
        </w:rPr>
        <w:t>, pilvo pūtimas, atsirūgimas rūgštimi.</w:t>
      </w:r>
    </w:p>
    <w:p w:rsidR="00346FFF" w:rsidRPr="00FB5B94" w:rsidRDefault="00346FFF" w:rsidP="00346FFF">
      <w:pPr>
        <w:pStyle w:val="Pagrindinistekstas"/>
        <w:spacing w:after="0"/>
        <w:rPr>
          <w:noProof/>
          <w:sz w:val="22"/>
          <w:szCs w:val="22"/>
        </w:rPr>
      </w:pPr>
      <w:r w:rsidRPr="00FB5B94">
        <w:rPr>
          <w:noProof/>
          <w:sz w:val="22"/>
          <w:szCs w:val="22"/>
        </w:rPr>
        <w:t>Nedažni:</w:t>
      </w:r>
      <w:r w:rsidRPr="00FB5B94">
        <w:rPr>
          <w:noProof/>
          <w:sz w:val="22"/>
          <w:szCs w:val="22"/>
        </w:rPr>
        <w:tab/>
      </w:r>
      <w:r w:rsidR="00C53EEA" w:rsidRPr="00FB5B94">
        <w:rPr>
          <w:noProof/>
          <w:sz w:val="22"/>
          <w:szCs w:val="22"/>
        </w:rPr>
        <w:t xml:space="preserve">   </w:t>
      </w:r>
      <w:r w:rsidRPr="00FB5B94">
        <w:rPr>
          <w:noProof/>
          <w:sz w:val="22"/>
          <w:szCs w:val="22"/>
        </w:rPr>
        <w:t>pykinimas, vėmimas, gastritas, ezofagitas</w:t>
      </w:r>
      <w:r w:rsidRPr="00FB5B94">
        <w:rPr>
          <w:noProof/>
          <w:sz w:val="22"/>
          <w:szCs w:val="22"/>
          <w:vertAlign w:val="superscript"/>
        </w:rPr>
        <w:t>*</w:t>
      </w:r>
      <w:r w:rsidRPr="00FB5B94">
        <w:rPr>
          <w:noProof/>
          <w:sz w:val="22"/>
          <w:szCs w:val="22"/>
        </w:rPr>
        <w:t>, stemplės erozijos</w:t>
      </w:r>
      <w:r w:rsidRPr="00FB5B94">
        <w:rPr>
          <w:noProof/>
          <w:sz w:val="22"/>
          <w:szCs w:val="22"/>
          <w:vertAlign w:val="superscript"/>
        </w:rPr>
        <w:t>*</w:t>
      </w:r>
      <w:r w:rsidRPr="00FB5B94">
        <w:rPr>
          <w:noProof/>
          <w:sz w:val="22"/>
          <w:szCs w:val="22"/>
        </w:rPr>
        <w:t>, melena.</w:t>
      </w:r>
    </w:p>
    <w:p w:rsidR="00346FFF" w:rsidRPr="00FB5B94" w:rsidRDefault="00346FFF" w:rsidP="00346FFF">
      <w:pPr>
        <w:pStyle w:val="Pagrindinistekstas"/>
        <w:spacing w:after="0"/>
        <w:ind w:left="1440" w:hanging="1440"/>
        <w:rPr>
          <w:noProof/>
          <w:sz w:val="22"/>
          <w:szCs w:val="22"/>
        </w:rPr>
      </w:pPr>
      <w:r w:rsidRPr="00FB5B94">
        <w:rPr>
          <w:noProof/>
          <w:sz w:val="22"/>
          <w:szCs w:val="22"/>
        </w:rPr>
        <w:t>Reti:</w:t>
      </w:r>
      <w:r w:rsidRPr="00FB5B94">
        <w:rPr>
          <w:noProof/>
          <w:sz w:val="22"/>
          <w:szCs w:val="22"/>
        </w:rPr>
        <w:tab/>
        <w:t>stemplės susiaurėjimas</w:t>
      </w:r>
      <w:r w:rsidRPr="00FB5B94">
        <w:rPr>
          <w:noProof/>
          <w:sz w:val="22"/>
          <w:szCs w:val="22"/>
          <w:vertAlign w:val="superscript"/>
        </w:rPr>
        <w:t>*</w:t>
      </w:r>
      <w:r w:rsidRPr="00FB5B94">
        <w:rPr>
          <w:noProof/>
          <w:sz w:val="22"/>
          <w:szCs w:val="22"/>
        </w:rPr>
        <w:t>, burnos ir ryklės gleivinės išopėjimas</w:t>
      </w:r>
      <w:r w:rsidRPr="00FB5B94">
        <w:rPr>
          <w:noProof/>
          <w:sz w:val="22"/>
          <w:szCs w:val="22"/>
          <w:vertAlign w:val="superscript"/>
        </w:rPr>
        <w:t>*</w:t>
      </w:r>
      <w:r w:rsidRPr="00FB5B94">
        <w:rPr>
          <w:noProof/>
          <w:sz w:val="22"/>
          <w:szCs w:val="22"/>
        </w:rPr>
        <w:t>, viršutinės virškinimo trakto dalies perforacija, opos, kraujavimas (žr. 4.4 skyrių).</w:t>
      </w:r>
    </w:p>
    <w:p w:rsidR="00346FFF" w:rsidRPr="00FB5B94" w:rsidRDefault="00346FFF" w:rsidP="00346FFF">
      <w:pPr>
        <w:pStyle w:val="Pagrindinistekstas"/>
        <w:spacing w:after="0"/>
        <w:rPr>
          <w:noProof/>
          <w:sz w:val="22"/>
          <w:szCs w:val="22"/>
        </w:rPr>
      </w:pPr>
      <w:r w:rsidRPr="00FB5B94">
        <w:rPr>
          <w:noProof/>
          <w:sz w:val="22"/>
          <w:szCs w:val="22"/>
          <w:vertAlign w:val="superscript"/>
        </w:rPr>
        <w:t>*</w:t>
      </w:r>
      <w:r w:rsidRPr="00FB5B94">
        <w:rPr>
          <w:noProof/>
          <w:sz w:val="22"/>
          <w:szCs w:val="22"/>
        </w:rPr>
        <w:t>Žr. 4.2 ir 4.4 skyrius.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Odos ir poodinio audinio sutrikimai</w:t>
      </w:r>
    </w:p>
    <w:p w:rsidR="00346FFF" w:rsidRPr="00FB5B94" w:rsidRDefault="00346FFF" w:rsidP="00346FFF">
      <w:pPr>
        <w:pStyle w:val="Pagrindinistekstas"/>
        <w:spacing w:after="0"/>
        <w:rPr>
          <w:i/>
          <w:noProof/>
          <w:sz w:val="22"/>
          <w:szCs w:val="22"/>
        </w:rPr>
      </w:pPr>
      <w:r w:rsidRPr="00FB5B94">
        <w:rPr>
          <w:noProof/>
          <w:sz w:val="22"/>
          <w:szCs w:val="22"/>
        </w:rPr>
        <w:t>Nedažni:</w:t>
      </w:r>
      <w:r w:rsidRPr="00FB5B94">
        <w:rPr>
          <w:noProof/>
          <w:sz w:val="22"/>
          <w:szCs w:val="22"/>
        </w:rPr>
        <w:tab/>
        <w:t>bėrimas, niežulys, eritema.</w:t>
      </w:r>
    </w:p>
    <w:p w:rsidR="00346FFF" w:rsidRPr="00FB5B94" w:rsidRDefault="00346FFF" w:rsidP="00346FFF">
      <w:pPr>
        <w:pStyle w:val="Pagrindinistekstas"/>
        <w:spacing w:after="0"/>
        <w:rPr>
          <w:noProof/>
          <w:sz w:val="22"/>
          <w:szCs w:val="22"/>
        </w:rPr>
      </w:pPr>
      <w:r w:rsidRPr="00FB5B94">
        <w:rPr>
          <w:noProof/>
          <w:sz w:val="22"/>
          <w:szCs w:val="22"/>
        </w:rPr>
        <w:t>Reti:</w:t>
      </w:r>
      <w:r w:rsidR="00C53EEA" w:rsidRPr="00FB5B94">
        <w:rPr>
          <w:noProof/>
          <w:sz w:val="22"/>
          <w:szCs w:val="22"/>
        </w:rPr>
        <w:tab/>
      </w:r>
      <w:r w:rsidRPr="00FB5B94">
        <w:rPr>
          <w:noProof/>
          <w:sz w:val="22"/>
          <w:szCs w:val="22"/>
        </w:rPr>
        <w:t xml:space="preserve">su padidėjusiu jautrumu šviesai susijęs bėrimas. </w:t>
      </w:r>
    </w:p>
    <w:p w:rsidR="00346FFF" w:rsidRPr="00FB5B94" w:rsidRDefault="00346FFF" w:rsidP="00346FFF">
      <w:pPr>
        <w:pStyle w:val="Pagrindinistekstas"/>
        <w:spacing w:after="0"/>
        <w:ind w:left="3600" w:hanging="3600"/>
        <w:rPr>
          <w:noProof/>
          <w:sz w:val="22"/>
          <w:szCs w:val="22"/>
        </w:rPr>
      </w:pPr>
      <w:r w:rsidRPr="00FB5B94">
        <w:rPr>
          <w:noProof/>
          <w:sz w:val="22"/>
          <w:szCs w:val="22"/>
        </w:rPr>
        <w:t>Labai reti, įskaitant pavienius atvejus:</w:t>
      </w:r>
      <w:r w:rsidRPr="00FB5B94">
        <w:rPr>
          <w:noProof/>
          <w:sz w:val="22"/>
          <w:szCs w:val="22"/>
        </w:rPr>
        <w:tab/>
        <w:t xml:space="preserve">pavieniai sunkių odos reakcijų, įskaitant </w:t>
      </w:r>
      <w:r w:rsidRPr="00FB5B94">
        <w:rPr>
          <w:i/>
          <w:noProof/>
          <w:sz w:val="22"/>
          <w:szCs w:val="22"/>
        </w:rPr>
        <w:t>Stevens-Johnson</w:t>
      </w:r>
      <w:r w:rsidRPr="00FB5B94">
        <w:rPr>
          <w:noProof/>
          <w:sz w:val="22"/>
          <w:szCs w:val="22"/>
        </w:rPr>
        <w:t xml:space="preserve"> sindromą ir toksinę epidermio nekrolizę, atvejai.</w:t>
      </w:r>
    </w:p>
    <w:p w:rsidR="00346FFF" w:rsidRPr="00FB5B94" w:rsidRDefault="00346FFF" w:rsidP="00346FFF">
      <w:pPr>
        <w:pStyle w:val="Pagrindinistekstas"/>
        <w:spacing w:after="0"/>
        <w:rPr>
          <w:i/>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Skeleto, raumenų ir jungiamojo audinio sutrikimai</w:t>
      </w:r>
    </w:p>
    <w:p w:rsidR="00346FFF" w:rsidRPr="00FB5B94" w:rsidRDefault="00346FFF" w:rsidP="00346FFF">
      <w:pPr>
        <w:pStyle w:val="Pagrindinistekstas"/>
        <w:spacing w:after="0"/>
        <w:rPr>
          <w:noProof/>
          <w:sz w:val="22"/>
          <w:szCs w:val="22"/>
        </w:rPr>
      </w:pPr>
      <w:r w:rsidRPr="00FB5B94">
        <w:rPr>
          <w:noProof/>
          <w:sz w:val="22"/>
          <w:szCs w:val="22"/>
        </w:rPr>
        <w:t>Dažni:</w:t>
      </w:r>
      <w:r w:rsidR="00C53EEA" w:rsidRPr="00FB5B94">
        <w:rPr>
          <w:noProof/>
          <w:sz w:val="22"/>
          <w:szCs w:val="22"/>
        </w:rPr>
        <w:tab/>
      </w:r>
      <w:r w:rsidRPr="00FB5B94">
        <w:rPr>
          <w:noProof/>
          <w:sz w:val="22"/>
          <w:szCs w:val="22"/>
        </w:rPr>
        <w:t xml:space="preserve">kaulų, raumenų ir sąnarių skausmas. </w:t>
      </w:r>
    </w:p>
    <w:p w:rsidR="00346FFF" w:rsidRPr="00FB5B94" w:rsidRDefault="00346FFF" w:rsidP="00346FFF">
      <w:pPr>
        <w:pStyle w:val="BTEMEASMCA"/>
        <w:rPr>
          <w:sz w:val="22"/>
          <w:szCs w:val="22"/>
        </w:rPr>
      </w:pPr>
      <w:r w:rsidRPr="00FB5B94">
        <w:rPr>
          <w:sz w:val="22"/>
          <w:szCs w:val="22"/>
        </w:rPr>
        <w:t>Reti:</w:t>
      </w:r>
      <w:r w:rsidRPr="00FB5B94">
        <w:rPr>
          <w:sz w:val="22"/>
          <w:szCs w:val="22"/>
        </w:rPr>
        <w:tab/>
      </w:r>
      <w:r w:rsidR="008F38B4" w:rsidRPr="00FB5B94">
        <w:rPr>
          <w:sz w:val="22"/>
          <w:szCs w:val="22"/>
        </w:rPr>
        <w:t>Atipiniai šlaunikaulio pogūbriniai ir diafizės lūžiai (nepageidaujama reakcija į bisfosfonatų klasės preparatus).</w:t>
      </w:r>
      <w:r w:rsidR="008F38B4" w:rsidRPr="00FB5B94">
        <w:rPr>
          <w:sz w:val="22"/>
          <w:szCs w:val="22"/>
          <w:lang w:val="lt-LT"/>
        </w:rPr>
        <w:t xml:space="preserve"> G</w:t>
      </w:r>
      <w:r w:rsidRPr="00FB5B94">
        <w:rPr>
          <w:sz w:val="22"/>
          <w:szCs w:val="22"/>
        </w:rPr>
        <w:t>auta pranešimų, kad pacientams, vartojusiems bisfosfonatų, išsivystė žandikaulio nekrozė. Didžioji dalis šių pacientų sirgo vėžiu, tačiau pranešimų gauta ir apie pacientus, kurie gydyti dėl osteoporozės. Žandikaulio osteonekrozė paprastai susijusi su danties pašalinimu ir (arba) vietine infekcija (įskaitant osteomielitą). Vėžio diagnozė, chemoterapija, spindulinė terapija, kortikosteroidai ir bloga burnos ertmės higiena taip pat yra laikomi rizikos faktoriais; stiprus kaulų, raumenų ar sąnarių skausmas (žr. 4.4 skyrių).</w:t>
      </w:r>
    </w:p>
    <w:p w:rsidR="00346FFF" w:rsidRPr="00FB5B94" w:rsidRDefault="00346FFF" w:rsidP="00346FFF">
      <w:pPr>
        <w:pStyle w:val="BTEMEASMCA"/>
        <w:rPr>
          <w:sz w:val="22"/>
          <w:szCs w:val="22"/>
        </w:rPr>
      </w:pPr>
      <w:r w:rsidRPr="00FB5B94">
        <w:rPr>
          <w:sz w:val="22"/>
          <w:szCs w:val="22"/>
        </w:rPr>
        <w:t>Dažnis nežinomas:</w:t>
      </w:r>
      <w:r w:rsidRPr="00FB5B94">
        <w:rPr>
          <w:sz w:val="22"/>
          <w:szCs w:val="22"/>
        </w:rPr>
        <w:tab/>
        <w:t>šlaunikaulio diafizės (proksimalinės dalies) lūžiai dėl įtempimo (žr. 4.4 skyrių).</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Bendrieji sutrikimai ir vartojimo vietos pažeidimai</w:t>
      </w:r>
    </w:p>
    <w:p w:rsidR="00346FFF" w:rsidRPr="00FB5B94" w:rsidRDefault="00346FFF" w:rsidP="00346FFF">
      <w:pPr>
        <w:pStyle w:val="BTEMEASMCA"/>
        <w:rPr>
          <w:sz w:val="22"/>
          <w:szCs w:val="22"/>
        </w:rPr>
      </w:pPr>
      <w:r w:rsidRPr="00FB5B94">
        <w:rPr>
          <w:sz w:val="22"/>
          <w:szCs w:val="22"/>
        </w:rPr>
        <w:t>Reti:</w:t>
      </w:r>
      <w:r w:rsidRPr="00FB5B94">
        <w:rPr>
          <w:sz w:val="22"/>
          <w:szCs w:val="22"/>
        </w:rPr>
        <w:tab/>
        <w:t>tokie laikini simptomai, kaip ūminės fazės reakcijos (raumenų skausmas, negalavimas ir retai karščiavimas), kurie paprastai būna susiję su gydymo pradžia.</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Vaistiniam preparatui patekus į rinką pranešta apie tokias nepageidaujamo poveikio reakcijas (dažnis nežinomas):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Nervų sistemos sutrikimai</w:t>
      </w:r>
    </w:p>
    <w:p w:rsidR="00346FFF" w:rsidRPr="00FB5B94" w:rsidRDefault="00346FFF" w:rsidP="00346FFF">
      <w:pPr>
        <w:pStyle w:val="BTEMEASMCA"/>
        <w:rPr>
          <w:sz w:val="22"/>
          <w:szCs w:val="22"/>
        </w:rPr>
      </w:pPr>
      <w:r w:rsidRPr="00FB5B94">
        <w:rPr>
          <w:sz w:val="22"/>
          <w:szCs w:val="22"/>
        </w:rPr>
        <w:t>Svaigulys, skonio jutimo sutrikimas.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Ausų ir labirintų sutrikimai</w:t>
      </w:r>
    </w:p>
    <w:p w:rsidR="00346FFF" w:rsidRPr="00FB5B94" w:rsidRDefault="00346FFF" w:rsidP="00346FFF">
      <w:pPr>
        <w:pStyle w:val="BTEMEASMCA"/>
        <w:rPr>
          <w:sz w:val="22"/>
          <w:szCs w:val="22"/>
        </w:rPr>
      </w:pPr>
      <w:r w:rsidRPr="00FB5B94">
        <w:rPr>
          <w:sz w:val="22"/>
          <w:szCs w:val="22"/>
        </w:rPr>
        <w:t>Galvos sukimasis (</w:t>
      </w:r>
      <w:r w:rsidRPr="00FB5B94">
        <w:rPr>
          <w:i/>
          <w:sz w:val="22"/>
          <w:szCs w:val="22"/>
        </w:rPr>
        <w:t>vertigo</w:t>
      </w:r>
      <w:r w:rsidRPr="00FB5B94">
        <w:rPr>
          <w:sz w:val="22"/>
          <w:szCs w:val="22"/>
        </w:rPr>
        <w:t>).</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Odos ir poodinio audinio sutrikimai</w:t>
      </w:r>
    </w:p>
    <w:p w:rsidR="00346FFF" w:rsidRPr="00FB5B94" w:rsidRDefault="00346FFF" w:rsidP="00346FFF">
      <w:pPr>
        <w:pStyle w:val="BTEMEASMCA"/>
        <w:rPr>
          <w:sz w:val="22"/>
          <w:szCs w:val="22"/>
          <w:lang w:val="it-IT"/>
        </w:rPr>
      </w:pPr>
      <w:r w:rsidRPr="00FB5B94">
        <w:rPr>
          <w:sz w:val="22"/>
          <w:szCs w:val="22"/>
          <w:lang w:val="it-IT"/>
        </w:rPr>
        <w:t>Nuplikimas.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Skeleto, raumenų ir jungiamojo audinio sutrikimai</w:t>
      </w:r>
    </w:p>
    <w:p w:rsidR="00346FFF" w:rsidRPr="00FB5B94" w:rsidRDefault="00346FFF" w:rsidP="00346FFF">
      <w:pPr>
        <w:pStyle w:val="BTEMEASMCA"/>
        <w:rPr>
          <w:sz w:val="22"/>
          <w:szCs w:val="22"/>
        </w:rPr>
      </w:pPr>
      <w:r w:rsidRPr="00FB5B94">
        <w:rPr>
          <w:sz w:val="22"/>
          <w:szCs w:val="22"/>
        </w:rPr>
        <w:t>Sąnarių patinimas.</w:t>
      </w:r>
    </w:p>
    <w:p w:rsidR="00346FFF" w:rsidRPr="00FB5B94" w:rsidRDefault="00346FFF" w:rsidP="00346FFF">
      <w:pPr>
        <w:pStyle w:val="BTEMEASMCA"/>
        <w:rPr>
          <w:sz w:val="22"/>
          <w:szCs w:val="22"/>
        </w:rPr>
      </w:pPr>
      <w:r w:rsidRPr="00FB5B94">
        <w:rPr>
          <w:sz w:val="22"/>
          <w:szCs w:val="22"/>
        </w:rPr>
        <w:t>Ilgai gydytiems alendrono rūgštimi pacientams pasitaikė šlaunikaulių lūžių. Šlaunų skausmas, silpnumas, nemalonus jutimas gali būti galimo šlaunikalio lūžio ankstyvieji požymiai.</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Bendrieji sutrikimai ir vartojimo vietos pažeidimai</w:t>
      </w:r>
    </w:p>
    <w:p w:rsidR="00346FFF" w:rsidRPr="00FB5B94" w:rsidRDefault="00346FFF" w:rsidP="00346FFF">
      <w:pPr>
        <w:pStyle w:val="BTEMEASMCA"/>
        <w:rPr>
          <w:sz w:val="22"/>
          <w:szCs w:val="22"/>
        </w:rPr>
      </w:pPr>
      <w:r w:rsidRPr="00FB5B94">
        <w:rPr>
          <w:sz w:val="22"/>
          <w:szCs w:val="22"/>
        </w:rPr>
        <w:t>Nuovargis, astenija, rankų arba kojų patinimas.</w:t>
      </w:r>
    </w:p>
    <w:p w:rsidR="00346FFF" w:rsidRPr="00FB5B94" w:rsidRDefault="00346FFF" w:rsidP="00346FFF">
      <w:pPr>
        <w:pStyle w:val="Pagrindinistekstas"/>
        <w:spacing w:after="0"/>
        <w:rPr>
          <w:i/>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Tyrimai</w:t>
      </w:r>
    </w:p>
    <w:p w:rsidR="00346FFF" w:rsidRPr="00FB5B94" w:rsidRDefault="00346FFF" w:rsidP="00346FFF">
      <w:pPr>
        <w:pStyle w:val="BTEMEASMCA"/>
        <w:rPr>
          <w:sz w:val="22"/>
          <w:szCs w:val="22"/>
        </w:rPr>
      </w:pPr>
      <w:r w:rsidRPr="00FB5B94">
        <w:rPr>
          <w:sz w:val="22"/>
          <w:szCs w:val="22"/>
        </w:rPr>
        <w:t>Pacientams, klinikinių tyrimų metu vartojusiems 10 mg alendrono rūgšties per parą, nustatytas besimptominis  nedidelis ir laikinas kalcio ir fosfatų koncentracijos sumažėjimas serume (atitinkamai apie 18</w:t>
      </w:r>
      <w:r w:rsidRPr="00FB5B94">
        <w:rPr>
          <w:sz w:val="22"/>
          <w:szCs w:val="22"/>
        </w:rPr>
        <w:sym w:font="Symbol" w:char="F025"/>
      </w:r>
      <w:r w:rsidRPr="00FB5B94">
        <w:rPr>
          <w:sz w:val="22"/>
          <w:szCs w:val="22"/>
        </w:rPr>
        <w:t xml:space="preserve"> ir 10</w:t>
      </w:r>
      <w:r w:rsidRPr="00FB5B94">
        <w:rPr>
          <w:sz w:val="22"/>
          <w:szCs w:val="22"/>
        </w:rPr>
        <w:sym w:font="Symbol" w:char="F025"/>
      </w:r>
      <w:r w:rsidRPr="00FB5B94">
        <w:rPr>
          <w:sz w:val="22"/>
          <w:szCs w:val="22"/>
        </w:rPr>
        <w:t>); placebą vartojusių pacientų organizme šių medžiagų kiekio sumažėjimas nustatytas atitinkamai apie 12</w:t>
      </w:r>
      <w:r w:rsidRPr="00FB5B94">
        <w:rPr>
          <w:sz w:val="22"/>
          <w:szCs w:val="22"/>
        </w:rPr>
        <w:sym w:font="Symbol" w:char="F025"/>
      </w:r>
      <w:r w:rsidRPr="00FB5B94">
        <w:rPr>
          <w:sz w:val="22"/>
          <w:szCs w:val="22"/>
        </w:rPr>
        <w:t xml:space="preserve"> ir 3</w:t>
      </w:r>
      <w:r w:rsidRPr="00FB5B94">
        <w:rPr>
          <w:sz w:val="22"/>
          <w:szCs w:val="22"/>
        </w:rPr>
        <w:sym w:font="Symbol" w:char="F025"/>
      </w:r>
      <w:r w:rsidRPr="00FB5B94">
        <w:rPr>
          <w:sz w:val="22"/>
          <w:szCs w:val="22"/>
        </w:rPr>
        <w:t xml:space="preserve">. Kalcio mažiau kaip 8,0 mg/dl (mažiau kaip 2 mmol/l) ir fosfatų </w:t>
      </w:r>
      <w:r w:rsidRPr="00FB5B94">
        <w:rPr>
          <w:sz w:val="22"/>
          <w:szCs w:val="22"/>
        </w:rPr>
        <w:lastRenderedPageBreak/>
        <w:t>≤2,0 mg/dl (0,65 mmol/l arba mažiau) koncentracijos kraujo serume sumažėjimo atvejų dažnis abiejų tirtų grupių pacientams buvo panašus.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b/>
          <w:i/>
          <w:noProof/>
          <w:sz w:val="22"/>
          <w:szCs w:val="22"/>
        </w:rPr>
      </w:pPr>
      <w:r w:rsidRPr="00FB5B94">
        <w:rPr>
          <w:b/>
          <w:i/>
          <w:noProof/>
          <w:sz w:val="22"/>
          <w:szCs w:val="22"/>
        </w:rPr>
        <w:t>Minkštosios alfakalcidolio kapsulės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Toliau išvardyti nepageidaujamo poveikio reiškiniai pacientams, gydytiems alfakalcidolio 1 mikrogramo kapsulėmis.</w:t>
      </w:r>
    </w:p>
    <w:p w:rsidR="00346FFF" w:rsidRPr="00FB5B94" w:rsidRDefault="00346FFF" w:rsidP="00346FFF">
      <w:pPr>
        <w:pStyle w:val="BTEMEASMCA"/>
        <w:rPr>
          <w:sz w:val="22"/>
          <w:szCs w:val="22"/>
        </w:rPr>
      </w:pPr>
      <w:r w:rsidRPr="00FB5B94">
        <w:rPr>
          <w:sz w:val="22"/>
          <w:szCs w:val="22"/>
        </w:rPr>
        <w:t>Gauti pranešimai apie odos alergines reakcijas ir anafilaksinį šoką; pastarąjį sukėlė žemės riešutų aliejus, viena iš alfakalcidolio 1 mikrogramo kapsulių medžiagų. Žemės riešutų aliejus retai gali sukelti sunkias alergines reakcijas.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Jei alfakalcidolio 1 mikrogramo kapsulių dozė nepritaikoma pacientui individualiai, kraujo plazmoje gali padidėti kalcio koncentracija. Laikinai gydymą nutraukus, koncentracija gali grįžti į normą. Nuovargis, virškinamojo trakto simptomai, troškulys ir niežulys gali būti kraujo plazmoje padidėjusios kalcio koncentracijos požymiai.</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Vartojantiems alfakalcidolio pacientams labai retai galima neįprasta kalcifikacija (ragenoje, kraujagyslėse); nustatyta, kad ji yra grįžtamojo pobūdžio.</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 xml:space="preserve">Ankstesnė patirtis rodo, kad tik retais atvejais alfakalcidolio vartojantiems pacientams galimas nedidelis laikinas fosfatų koncentracijos padidėjimas. Tokiam poveikiui sumažinti galima skirti vartoti fosfatų absorbcijos inhibitorių (pvz., kalcio preparatų). </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Alfakalcidolio 1 mikrogramo kapsulėmis gydomiems pacientams reikia reguliariai tirti kalcio ir fosfatų koncentraciją kraujo plazmoje. Tai reikia atlikti vieną kartą per savaitę arba vieną kartą per mėnesį. Gydymo pradžioje tokius tyrimus gali reikėti atlikti dažniau.</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Retai žemės riešutų aliejus gali sukelti sunkias alergines reakcijas.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Abi Teboneva veikliosios medžiagos - alendrono rūgštis ir alfakalcidolis - gali pasireikšti priešingu poveikiu norint išvengti kalcio koncentracijos kraujyje didelių svyravimų. Abi medžiagos gali veikti kalcio koncentraciją kraujyje: alendrono rūgštis gali sumažinti, alfakalcidolis gali padidinti. Gydantis gydytojas tai turi įvertinti.</w:t>
      </w:r>
    </w:p>
    <w:p w:rsidR="00346FFF" w:rsidRPr="00FB5B94" w:rsidRDefault="00346FFF" w:rsidP="00346FFF">
      <w:pPr>
        <w:pStyle w:val="BTEMEASMCA"/>
        <w:rPr>
          <w:sz w:val="22"/>
          <w:szCs w:val="22"/>
        </w:rPr>
      </w:pPr>
    </w:p>
    <w:p w:rsidR="00346FFF" w:rsidRPr="00FB5B94" w:rsidRDefault="00346FFF" w:rsidP="00346FFF">
      <w:pPr>
        <w:pStyle w:val="Antrat3"/>
        <w:rPr>
          <w:noProof/>
          <w:sz w:val="22"/>
          <w:szCs w:val="22"/>
        </w:rPr>
      </w:pPr>
      <w:r w:rsidRPr="00FB5B94">
        <w:rPr>
          <w:noProof/>
          <w:sz w:val="22"/>
          <w:szCs w:val="22"/>
        </w:rPr>
        <w:t>4.9</w:t>
      </w:r>
      <w:r w:rsidRPr="00FB5B94">
        <w:rPr>
          <w:noProof/>
          <w:sz w:val="22"/>
          <w:szCs w:val="22"/>
        </w:rPr>
        <w:tab/>
        <w:t>Perdozavimas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b/>
          <w:i/>
          <w:noProof/>
          <w:sz w:val="22"/>
          <w:szCs w:val="22"/>
        </w:rPr>
      </w:pPr>
      <w:r w:rsidRPr="00FB5B94">
        <w:rPr>
          <w:b/>
          <w:i/>
          <w:noProof/>
          <w:sz w:val="22"/>
          <w:szCs w:val="22"/>
        </w:rPr>
        <w:t>Alendrono rūgštis</w:t>
      </w:r>
    </w:p>
    <w:p w:rsidR="00346FFF" w:rsidRPr="00FB5B94" w:rsidRDefault="00346FFF" w:rsidP="00346FFF">
      <w:pPr>
        <w:pStyle w:val="BTEMEASMCA"/>
        <w:rPr>
          <w:sz w:val="22"/>
          <w:szCs w:val="22"/>
        </w:rPr>
      </w:pPr>
      <w:r w:rsidRPr="00FB5B94">
        <w:rPr>
          <w:sz w:val="22"/>
          <w:szCs w:val="22"/>
        </w:rPr>
        <w:t>Išgėrus per didelę dozę gali pasireikšti hipokalcemija, hipofosfatemija ir atsirasti virškinimo trakto viršutinės dalies nepageidaujamų poveikio reiškinių, pvz.: skrandžio negalavimas, rėmuo, ezofagitas, gastritas ar opa.</w:t>
      </w:r>
    </w:p>
    <w:p w:rsidR="00346FFF" w:rsidRPr="00FB5B94" w:rsidRDefault="00346FFF" w:rsidP="00346FFF">
      <w:pPr>
        <w:pStyle w:val="BTEMEASMCA"/>
        <w:rPr>
          <w:sz w:val="22"/>
          <w:szCs w:val="22"/>
          <w:lang w:val="it-IT"/>
        </w:rPr>
      </w:pPr>
      <w:r w:rsidRPr="00FB5B94">
        <w:rPr>
          <w:sz w:val="22"/>
          <w:szCs w:val="22"/>
          <w:lang w:val="it-IT"/>
        </w:rPr>
        <w:t>Specifinio alendrono rūgšties perdozavimo gydymo patirties nėra.</w:t>
      </w:r>
    </w:p>
    <w:p w:rsidR="00346FFF" w:rsidRPr="00FB5B94" w:rsidRDefault="00346FFF" w:rsidP="00346FFF">
      <w:pPr>
        <w:pStyle w:val="BTEMEASMCA"/>
        <w:rPr>
          <w:sz w:val="22"/>
          <w:szCs w:val="22"/>
          <w:lang w:val="it-IT"/>
        </w:rPr>
      </w:pPr>
      <w:r w:rsidRPr="00FB5B94">
        <w:rPr>
          <w:sz w:val="22"/>
          <w:szCs w:val="22"/>
          <w:lang w:val="it-IT"/>
        </w:rPr>
        <w:t>Alendrono rūgšties sujungimui reikia paskirti pieno ar skrandžio sulčių rūgštingumą mažinančių vaistinių preparatų. Dėl stemplės dirginimo rizikos negalima sukelti vėmimo, o pacientas visą laiką turi būti vertikalioje padėtyje.</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b/>
          <w:i/>
          <w:noProof/>
          <w:sz w:val="22"/>
          <w:szCs w:val="22"/>
        </w:rPr>
      </w:pPr>
      <w:r w:rsidRPr="00FB5B94">
        <w:rPr>
          <w:b/>
          <w:i/>
          <w:noProof/>
          <w:sz w:val="22"/>
          <w:szCs w:val="22"/>
        </w:rPr>
        <w:t>Alfakalcidolis</w:t>
      </w:r>
    </w:p>
    <w:p w:rsidR="00346FFF" w:rsidRPr="00FB5B94" w:rsidRDefault="00346FFF" w:rsidP="00346FFF">
      <w:pPr>
        <w:pStyle w:val="Pagrindinistekstas"/>
        <w:spacing w:after="0"/>
        <w:rPr>
          <w:noProof/>
          <w:sz w:val="22"/>
          <w:szCs w:val="22"/>
        </w:rPr>
      </w:pPr>
      <w:r w:rsidRPr="00FB5B94">
        <w:rPr>
          <w:noProof/>
          <w:sz w:val="22"/>
          <w:szCs w:val="22"/>
        </w:rPr>
        <w:t xml:space="preserve">Pacientams atsitiktinai išgėrus vienkartinę per didelę dozę (25-30 µg alfakalcidolio) pažeidimų nenustatyta. Ilgiau trunkantis alfakalcidolio 1 mikrogramo kapsulių perdozavimas gali sukelti hiperkalcemiją, kuri, esant tam tikroms sąlygoms, gali būti pavojinga gyvybei. </w:t>
      </w:r>
    </w:p>
    <w:p w:rsidR="00346FFF" w:rsidRPr="00FB5B94" w:rsidRDefault="00346FFF" w:rsidP="00346FFF">
      <w:pPr>
        <w:pStyle w:val="BTEMEASMCA"/>
        <w:rPr>
          <w:sz w:val="22"/>
          <w:szCs w:val="22"/>
        </w:rPr>
      </w:pPr>
      <w:r w:rsidRPr="00FB5B94">
        <w:rPr>
          <w:sz w:val="22"/>
          <w:szCs w:val="22"/>
        </w:rPr>
        <w:t>Hiperkalcemijos klinika yra nespecifinė: astenija, nuovargis, išsekimas, galvos skausmas, virškinimo trakto simptomai (pykinimas, vėmimas, vidurių užkietėjimas arba viduriavimas, rėmuo), burnos džiūvimas, raumenų, kaulų ir sąnarių skausmas, niežulys arba pernelyg greitas juntamas širdies plakimas.</w:t>
      </w:r>
    </w:p>
    <w:p w:rsidR="00346FFF" w:rsidRPr="00FB5B94" w:rsidRDefault="00346FFF" w:rsidP="00346FFF">
      <w:pPr>
        <w:pStyle w:val="BTEMEASMCA"/>
        <w:rPr>
          <w:sz w:val="22"/>
          <w:szCs w:val="22"/>
        </w:rPr>
      </w:pPr>
      <w:r w:rsidRPr="00FB5B94">
        <w:rPr>
          <w:sz w:val="22"/>
          <w:szCs w:val="22"/>
        </w:rPr>
        <w:t xml:space="preserve">Jeigu yra sutrikusi koncentracija inkstuose, gali būti poliurija, polidipsija, dažnas šlapinimasis naktį ir proteinurija. Sumažinus alfakalcidolio dozę arba jo vartojimą laikinai iš viso nutraukus, papildomai, įvertinus hiperkalcemijos sunkumą, galima taikyti šias priemones: dieta, kurioje yra mažas kalcio </w:t>
      </w:r>
      <w:r w:rsidRPr="00FB5B94">
        <w:rPr>
          <w:sz w:val="22"/>
          <w:szCs w:val="22"/>
        </w:rPr>
        <w:lastRenderedPageBreak/>
        <w:t>kiekis arba visiškai nėra kalcio, skysčiai, inkstų dializė, kilpiniai diuretikai, gliukokortikoidai ir kalcitoninas.</w:t>
      </w:r>
    </w:p>
    <w:p w:rsidR="00346FFF" w:rsidRPr="00FB5B94" w:rsidRDefault="00346FFF" w:rsidP="00346FFF">
      <w:pPr>
        <w:pStyle w:val="BTEMEASMCA"/>
        <w:rPr>
          <w:sz w:val="22"/>
          <w:szCs w:val="22"/>
        </w:rPr>
      </w:pPr>
      <w:r w:rsidRPr="00FB5B94">
        <w:rPr>
          <w:sz w:val="22"/>
          <w:szCs w:val="22"/>
        </w:rPr>
        <w:t>Ūminio perdozavimo atvejais skubus skrandžio plovimas ir (arba) parafino aliejus per burną gali sumažinti absorbciją ir pagreitinti išsiskyrimą su išmatomis.</w:t>
      </w:r>
    </w:p>
    <w:p w:rsidR="00346FFF" w:rsidRPr="00FB5B94" w:rsidRDefault="00346FFF" w:rsidP="00346FFF">
      <w:pPr>
        <w:pStyle w:val="Pagrindinistekstas"/>
        <w:spacing w:after="0"/>
        <w:rPr>
          <w:noProof/>
          <w:sz w:val="22"/>
          <w:szCs w:val="22"/>
        </w:rPr>
      </w:pPr>
      <w:r w:rsidRPr="00FB5B94">
        <w:rPr>
          <w:noProof/>
          <w:sz w:val="22"/>
          <w:szCs w:val="22"/>
        </w:rPr>
        <w:t>Specifinio priešnuodžio nėra.</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5.</w:t>
      </w:r>
      <w:r w:rsidRPr="00FB5B94">
        <w:tab/>
        <w:t>FARMAKOLOGINĖS SAVYBĖS</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5.1</w:t>
      </w:r>
      <w:r w:rsidRPr="00FB5B94">
        <w:rPr>
          <w:noProof/>
          <w:sz w:val="22"/>
          <w:szCs w:val="22"/>
        </w:rPr>
        <w:tab/>
        <w:t>Farmakodinaminės savybės</w:t>
      </w:r>
    </w:p>
    <w:p w:rsidR="00346FFF" w:rsidRPr="00FB5B94" w:rsidRDefault="00346FFF" w:rsidP="00346FFF">
      <w:pPr>
        <w:pStyle w:val="Pagrindinistekstas"/>
        <w:spacing w:after="0"/>
        <w:rPr>
          <w:noProof/>
          <w:sz w:val="22"/>
          <w:szCs w:val="22"/>
        </w:rPr>
      </w:pPr>
    </w:p>
    <w:p w:rsidR="00346FFF" w:rsidRPr="00FB5B94" w:rsidRDefault="006756B1" w:rsidP="006756B1">
      <w:pPr>
        <w:pStyle w:val="BTEMEASMCA"/>
        <w:rPr>
          <w:sz w:val="22"/>
          <w:szCs w:val="22"/>
        </w:rPr>
      </w:pPr>
      <w:r w:rsidRPr="00FB5B94">
        <w:rPr>
          <w:sz w:val="22"/>
          <w:szCs w:val="22"/>
        </w:rPr>
        <w:t>Farmakoterapinė grupė – alendrono rūgštis, alfakalcidolis: bisfosfonatai, derinys: ATC kodas – M05BB06</w:t>
      </w:r>
    </w:p>
    <w:p w:rsidR="006756B1" w:rsidRPr="00FB5B94" w:rsidRDefault="006756B1" w:rsidP="00346FFF">
      <w:pPr>
        <w:pStyle w:val="BTEMEASMCA"/>
        <w:rPr>
          <w:sz w:val="22"/>
          <w:szCs w:val="22"/>
          <w:lang w:val="lt-LT"/>
        </w:rPr>
      </w:pPr>
    </w:p>
    <w:p w:rsidR="00346FFF" w:rsidRPr="00FB5B94" w:rsidRDefault="00346FFF" w:rsidP="00346FFF">
      <w:pPr>
        <w:pStyle w:val="BTEMEASMCA"/>
        <w:rPr>
          <w:sz w:val="22"/>
          <w:szCs w:val="22"/>
        </w:rPr>
      </w:pPr>
      <w:r w:rsidRPr="00FB5B94">
        <w:rPr>
          <w:sz w:val="22"/>
          <w:szCs w:val="22"/>
        </w:rPr>
        <w:t>Alendrono rūgštis</w:t>
      </w:r>
    </w:p>
    <w:p w:rsidR="00346FFF" w:rsidRPr="00FB5B94" w:rsidRDefault="00346FFF" w:rsidP="00346FFF">
      <w:pPr>
        <w:pStyle w:val="BTEMEASMCA"/>
        <w:rPr>
          <w:sz w:val="22"/>
          <w:szCs w:val="22"/>
        </w:rPr>
      </w:pPr>
      <w:r w:rsidRPr="00FB5B94">
        <w:rPr>
          <w:sz w:val="22"/>
          <w:szCs w:val="22"/>
        </w:rPr>
        <w:t>Veiklioji medžiaga yra bisfosfonatas, kuris slopina osteoklastinę kaulų rezorbciją, tiesiogiai neveikdamas kaulo formavimosi. Ikiklinikinių tyrimų metu nustatyta, kad alendrono rūgštis geriausiai kaupiasi aktyvios kaulinio audinio rezorbcijos vietose. Ji slopina osteoklastų aktyvumą, bet neveikia jų atsiradimo ir prisijungimo prie kaulinio audinio. Gydymo alendrono rūgštimi laikotarpiu susiformuoja normalus kokybiškas kaulinis audinys.</w:t>
      </w:r>
    </w:p>
    <w:p w:rsidR="00346FFF" w:rsidRPr="00FB5B94" w:rsidRDefault="00346FFF" w:rsidP="00346FFF">
      <w:pPr>
        <w:pStyle w:val="BTEMEASMCA"/>
        <w:rPr>
          <w:sz w:val="22"/>
          <w:szCs w:val="22"/>
        </w:rPr>
      </w:pPr>
    </w:p>
    <w:p w:rsidR="00346FFF" w:rsidRPr="00FB5B94" w:rsidRDefault="00346FFF" w:rsidP="00346FFF">
      <w:pPr>
        <w:pStyle w:val="Pagrindinistekstas"/>
        <w:spacing w:after="0"/>
        <w:rPr>
          <w:noProof/>
          <w:sz w:val="22"/>
          <w:szCs w:val="22"/>
        </w:rPr>
      </w:pPr>
      <w:r w:rsidRPr="00FB5B94">
        <w:rPr>
          <w:i/>
          <w:noProof/>
          <w:sz w:val="22"/>
          <w:szCs w:val="22"/>
        </w:rPr>
        <w:t>Osteoporozės po menopauzės gydymas</w:t>
      </w:r>
      <w:r w:rsidRPr="00FB5B94">
        <w:rPr>
          <w:noProof/>
          <w:sz w:val="22"/>
          <w:szCs w:val="22"/>
        </w:rPr>
        <w:t xml:space="preserve"> </w:t>
      </w:r>
    </w:p>
    <w:p w:rsidR="00346FFF" w:rsidRPr="00FB5B94" w:rsidRDefault="00346FFF" w:rsidP="00346FFF">
      <w:pPr>
        <w:pStyle w:val="Pagrindinistekstas"/>
        <w:spacing w:after="0"/>
        <w:rPr>
          <w:noProof/>
          <w:sz w:val="22"/>
          <w:szCs w:val="22"/>
        </w:rPr>
      </w:pPr>
      <w:r w:rsidRPr="00FB5B94">
        <w:rPr>
          <w:b/>
          <w:noProof/>
          <w:sz w:val="22"/>
          <w:szCs w:val="22"/>
        </w:rPr>
        <w:t>Osteoporozė yra būklė, kurios metu stuburo ar šlaunikaulio mineralinis tankis būna du su puse karto mažesnis už sveikų jaunų žmonių vidutinį kaulų mineralinį tankį arba kurios metu, nepriklausomai nuo kaulų mineralinio tankio, padidėja kaulų trapumas</w:t>
      </w:r>
      <w:r w:rsidRPr="00FB5B94">
        <w:rPr>
          <w:noProof/>
          <w:sz w:val="22"/>
          <w:szCs w:val="22"/>
        </w:rPr>
        <w:t>.</w:t>
      </w:r>
    </w:p>
    <w:p w:rsidR="00346FFF" w:rsidRPr="00FB5B94" w:rsidRDefault="00346FFF" w:rsidP="00346FFF">
      <w:pPr>
        <w:pStyle w:val="Pagrindinistekstas"/>
        <w:spacing w:after="0"/>
        <w:rPr>
          <w:noProof/>
          <w:sz w:val="22"/>
          <w:szCs w:val="22"/>
        </w:rPr>
      </w:pPr>
      <w:r w:rsidRPr="00FB5B94">
        <w:rPr>
          <w:noProof/>
          <w:sz w:val="22"/>
          <w:szCs w:val="22"/>
        </w:rPr>
        <w:t>Daugiacentrio vienerių metų trukmės moterų po menopauzės, sergančių osteoporoze, klinikinio tyrimo metu nustatyta, kad gydymas 70 mg alendrono rūgšties tabletėmis, vartojamomis kartą per savaitę (n = 519) yra lygiavertis gydymui šio preparato 10 mg tabletėmis, vartojamomis kartą per parą. Moterims, vartojusioms 70 mg dozę kartą per savaitę, juosmeninės stuburo dalies kaulų mineralinių medžiagų tankis per metus vidutiniškai padidėjo 5,1% (95% patikimumo intervalas: 4,8-5,4%), o moterims, vartojusioms 10 mg medikamento per parą – 5,4% (95% patikimumo intervalas: 5,0-5,8%). Be to, moterims, vartojusioms 70 mg dozę per savaitę arba 10 mg dozę per parą, vidutinis šlaunikaulio kaklelio mineralinis tankis padidėjo atitinkamai 2,3% ir 2,9%, bendras vidutinis šlaunikaulio mineralinis tankis atitinkamai 2,9% ir 3,1% . Abiejų šių grupių moterims kaulų mineralinis tankis panašiai padidėjo ir kitose skeleto vietose.</w:t>
      </w:r>
    </w:p>
    <w:p w:rsidR="00346FFF" w:rsidRPr="00FB5B94" w:rsidRDefault="00346FFF" w:rsidP="00346FFF">
      <w:pPr>
        <w:pStyle w:val="Pagrindinistekstas"/>
        <w:spacing w:after="0"/>
        <w:rPr>
          <w:noProof/>
          <w:sz w:val="22"/>
          <w:szCs w:val="22"/>
        </w:rPr>
      </w:pPr>
      <w:r w:rsidRPr="00FB5B94">
        <w:rPr>
          <w:noProof/>
          <w:sz w:val="22"/>
          <w:szCs w:val="22"/>
        </w:rPr>
        <w:t xml:space="preserve">Alendrono rūgšties poveikis moterų po menopauzės kaulų masei ir lūžių dažnumui nustatytas dviejų labai panašių pirminio efektyvumo klinikinių tyrimų (n = 994) bei lūžių prevencijos klinikinio tyrimo (angl. </w:t>
      </w:r>
      <w:r w:rsidRPr="00FB5B94">
        <w:rPr>
          <w:i/>
          <w:noProof/>
          <w:sz w:val="22"/>
          <w:szCs w:val="22"/>
        </w:rPr>
        <w:t>Fracture Intervention Trial;FIT)</w:t>
      </w:r>
      <w:r w:rsidRPr="00FB5B94">
        <w:rPr>
          <w:noProof/>
          <w:sz w:val="22"/>
          <w:szCs w:val="22"/>
        </w:rPr>
        <w:t xml:space="preserve"> (n =6,459) metu. </w:t>
      </w:r>
    </w:p>
    <w:p w:rsidR="00346FFF" w:rsidRPr="00FB5B94" w:rsidRDefault="00346FFF" w:rsidP="00346FFF">
      <w:pPr>
        <w:pStyle w:val="Pagrindinistekstas"/>
        <w:spacing w:after="0"/>
        <w:rPr>
          <w:noProof/>
          <w:sz w:val="22"/>
          <w:szCs w:val="22"/>
        </w:rPr>
      </w:pPr>
      <w:r w:rsidRPr="00FB5B94">
        <w:rPr>
          <w:noProof/>
          <w:sz w:val="22"/>
          <w:szCs w:val="22"/>
        </w:rPr>
        <w:t>Pirminio efektyvumo tyrimų duomenimis, vartojant 10 mg alendrono rūgšties per parą po 3 metų vidutinis stuburo, šlaunikaulio kaklelio ir gumburo mineralinis tankis padidėjo, palyginti su placebu, atitinkamai 8,8%, 5,9% ir 7,8%. Be to, reikšmingai padidėjo viso kūno kaulų mineralinis tankis. Nustatyta, kad, pacientėms vartojusioms alendrono rūgšties, 48% sumažėjo vieno ar daugiau stuburo slankstelio lūžių (lūžių buvo 3,2% moterų, vartojusių alendrono rūgšties, ir 6,2% moterų, vartojusių placebą). Pratęsus šį tyrimą dvejus metus, nustatyta, kad stuburo ir šlaunikaulio gumburo mineralinis tankis toliau didėjo, o šlaunikaulio kaklelio bei viso kūno mineralinis tankis nepakito.</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Lūžių prevencijos tyrimas (</w:t>
      </w:r>
      <w:r w:rsidRPr="00FB5B94">
        <w:rPr>
          <w:i/>
          <w:noProof/>
          <w:sz w:val="22"/>
          <w:szCs w:val="22"/>
        </w:rPr>
        <w:t>FIT</w:t>
      </w:r>
      <w:r w:rsidRPr="00FB5B94">
        <w:rPr>
          <w:noProof/>
          <w:sz w:val="22"/>
          <w:szCs w:val="22"/>
        </w:rPr>
        <w:t>) apėmė du placebu kontroliuojamus alendrono rūgšties klinikinius tyrimus (moterys virš dvejų metų vartojo 5 mg alendrono rūgšties paros dozę ir po to vienerius ar dvejus metus 10 mg alendrono rūgšties paros dozę).</w:t>
      </w:r>
    </w:p>
    <w:p w:rsidR="00346FFF" w:rsidRPr="00FB5B94" w:rsidRDefault="00346FFF" w:rsidP="00346FFF">
      <w:pPr>
        <w:pStyle w:val="BT-EMEASMCA"/>
        <w:rPr>
          <w:sz w:val="22"/>
          <w:szCs w:val="22"/>
        </w:rPr>
      </w:pPr>
      <w:r w:rsidRPr="00FB5B94">
        <w:rPr>
          <w:i/>
          <w:sz w:val="22"/>
          <w:szCs w:val="22"/>
        </w:rPr>
        <w:t>Pirmasis lūžių prevencijos tyrimas</w:t>
      </w:r>
      <w:r w:rsidRPr="00FB5B94">
        <w:rPr>
          <w:sz w:val="22"/>
          <w:szCs w:val="22"/>
        </w:rPr>
        <w:t>. Šis klinikinis tyrimas truko 3 metus. Jame dalyvavo 2027 pacientės, kurioms prieš tyrimą buvo bent vienas kompresinis stuburo slankstelio kūno lūžis. Tyrimo metu nustatyta, kad vartojant vaisto kasdien, vieno arba daugiau naujų stuburo lūžių dažnumas sumažėjo 47% (7,9% vartojant alendrono rūgštį ir 15% - placebo). Be to, nustatyta, kad statistiškai reikšmingai sumažėjo šlaunikaulio lūžių atvejų (lūžių buvo atitinkamai 1,1% ir 2,2%, dažnumas sumažėjo 51%).</w:t>
      </w:r>
    </w:p>
    <w:p w:rsidR="00346FFF" w:rsidRPr="00FB5B94" w:rsidRDefault="00346FFF" w:rsidP="00346FFF">
      <w:pPr>
        <w:pStyle w:val="BT-EMEASMCA"/>
        <w:rPr>
          <w:sz w:val="22"/>
          <w:szCs w:val="22"/>
        </w:rPr>
      </w:pPr>
      <w:r w:rsidRPr="00FB5B94">
        <w:rPr>
          <w:i/>
          <w:sz w:val="22"/>
          <w:szCs w:val="22"/>
        </w:rPr>
        <w:t>Antrasis lūžių prevencijos tyrimas</w:t>
      </w:r>
      <w:r w:rsidRPr="00FB5B94">
        <w:rPr>
          <w:sz w:val="22"/>
          <w:szCs w:val="22"/>
        </w:rPr>
        <w:t xml:space="preserve">. Klinikinis tyrimas truko 4 metus. Jame dalyvavo 4432 pacientės, kurių kaulų masė buvo maža, bet prieš tyrimą joms stuburo slankstelių lūžių nebuvo. </w:t>
      </w:r>
      <w:r w:rsidRPr="00FB5B94">
        <w:rPr>
          <w:sz w:val="22"/>
          <w:szCs w:val="22"/>
        </w:rPr>
        <w:lastRenderedPageBreak/>
        <w:t>Šio tyrimo duomenimis, moterims kurioms yra osteoporozė (37% pasaulio moterų atitinka minėtus osteoporozės kriterijus), reikšmingai skyrėsi šlaunikaulio (lūžių buvo 1% alendrono rūgšties vartojusių moterų ir 2,2% moterų, kurios vartojo placebo; dažnumas sumažėjo 56%) ir vieno ar daugiau stuburo slankstelių (atitinkamai 2,9% ir 5,8%; dažnumas sumažėjo 50%) lūžių dažnumas.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Alfakalcidolis</w:t>
      </w:r>
    </w:p>
    <w:p w:rsidR="00346FFF" w:rsidRPr="00FB5B94" w:rsidRDefault="00346FFF" w:rsidP="00346FFF">
      <w:pPr>
        <w:pStyle w:val="BT-EMEASMCA"/>
        <w:rPr>
          <w:sz w:val="22"/>
          <w:szCs w:val="22"/>
        </w:rPr>
      </w:pPr>
      <w:r w:rsidRPr="00FB5B94">
        <w:rPr>
          <w:sz w:val="22"/>
          <w:szCs w:val="22"/>
        </w:rPr>
        <w:t>Kepenyse alfakalcidolis (1-alfa-hidroksicholekalciferolis) greitai metabolizuojamas į kalcitriolį (1,25-dihidrokalciferolį). Kalciferolis yra pagrindinis cholekalciferolio (vitamino D</w:t>
      </w:r>
      <w:r w:rsidRPr="00FB5B94">
        <w:rPr>
          <w:sz w:val="22"/>
          <w:szCs w:val="22"/>
          <w:vertAlign w:val="subscript"/>
        </w:rPr>
        <w:t>3</w:t>
      </w:r>
      <w:r w:rsidRPr="00FB5B94">
        <w:rPr>
          <w:sz w:val="22"/>
          <w:szCs w:val="22"/>
        </w:rPr>
        <w:t>) metabolitas ir palaiko kalcio ir fosfatų metabolizmo pusiausvyrą. Svarbiausias alfakalcidolio poveikis susijęs su 1,25-dihidrokalciferolio koncentracijos padidėjimu kraujotakoje, sukeliantis kalcio ir fosforo absorbcijos žarnose padidėjimą. Tai paskatina kaulų mineralizavimą, sumažina prieskydinių liaukų hormono koncentraciją ir slopina kaulinio audinio rezorbciją.</w:t>
      </w:r>
    </w:p>
    <w:p w:rsidR="00346FFF" w:rsidRPr="00FB5B94" w:rsidRDefault="00346FFF" w:rsidP="00346FFF">
      <w:pPr>
        <w:pStyle w:val="BT-EMEASMCA"/>
        <w:rPr>
          <w:sz w:val="22"/>
          <w:szCs w:val="22"/>
        </w:rPr>
      </w:pPr>
      <w:r w:rsidRPr="00FB5B94">
        <w:rPr>
          <w:sz w:val="22"/>
          <w:szCs w:val="22"/>
        </w:rPr>
        <w:t>Esant sutrikusiam 1-alfa hidroksilinimo procesui inkstuose, alfakalcidolio vartojimas užtikrina pakankamą kalcitriolio susidarymą ir tokių būdu neutralizuoja vitamino D stoką.</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Alendrono rūgšties ir alfakalcidolio derinys (Teboneva)</w:t>
      </w:r>
    </w:p>
    <w:p w:rsidR="00346FFF" w:rsidRPr="00FB5B94" w:rsidRDefault="00346FFF" w:rsidP="00346FFF">
      <w:pPr>
        <w:pStyle w:val="Pagrindinistekstas"/>
        <w:spacing w:after="0"/>
        <w:rPr>
          <w:noProof/>
          <w:sz w:val="22"/>
          <w:szCs w:val="22"/>
        </w:rPr>
      </w:pPr>
      <w:r w:rsidRPr="00FB5B94">
        <w:rPr>
          <w:noProof/>
          <w:sz w:val="22"/>
          <w:szCs w:val="22"/>
        </w:rPr>
        <w:t>Derinys pagreitina osteoporozės gydymo procesą. Abi veikliosios medžiagos (alendrono rūgštis ir alfakalcidolis) padidina mineralinių medžiagų kiekį kaulų audinyje, bet jų veikimo mechanizmai skiriasi, o poveikis yra sinergistinis. Alendrono rūgštis slopina katabolinius procesus kauluose, alfakalcidolio anabolinis poveikis kaulų audiniui tai papildo. Alendrono rūgštis sumažina stuburo ir kitų lūžių, pvz., šlaunikaulio, riziką, tuo tarpu alfakalcidolis reikšmingai sumažina senyvų žmonių griuvimų dažnumą. Abiejų veikliųjų medžiagų farmakologinis poveikis sumažina hipokalcemijos, hiperkalcemijos ir hiperkalciurijos riziką.</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5.2</w:t>
      </w:r>
      <w:r w:rsidRPr="00FB5B94">
        <w:rPr>
          <w:noProof/>
          <w:sz w:val="22"/>
          <w:szCs w:val="22"/>
        </w:rPr>
        <w:tab/>
        <w:t>Farmakokinetinės savybės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b/>
          <w:i/>
          <w:noProof/>
          <w:sz w:val="22"/>
          <w:szCs w:val="22"/>
        </w:rPr>
      </w:pPr>
      <w:r w:rsidRPr="00FB5B94">
        <w:rPr>
          <w:b/>
          <w:i/>
          <w:noProof/>
          <w:sz w:val="22"/>
          <w:szCs w:val="22"/>
        </w:rPr>
        <w:t>Alendrono rūgštis</w:t>
      </w:r>
    </w:p>
    <w:p w:rsidR="00346FFF" w:rsidRPr="00FB5B94" w:rsidRDefault="00346FFF" w:rsidP="00346FFF">
      <w:pPr>
        <w:pStyle w:val="Pagrindinistekstas"/>
        <w:spacing w:after="0"/>
        <w:rPr>
          <w:i/>
          <w:noProof/>
          <w:sz w:val="22"/>
          <w:szCs w:val="22"/>
        </w:rPr>
      </w:pPr>
      <w:r w:rsidRPr="00FB5B94">
        <w:rPr>
          <w:i/>
          <w:noProof/>
          <w:sz w:val="22"/>
          <w:szCs w:val="22"/>
        </w:rPr>
        <w:t>Absorbcija</w:t>
      </w:r>
    </w:p>
    <w:p w:rsidR="00346FFF" w:rsidRPr="00FB5B94" w:rsidRDefault="00346FFF" w:rsidP="00346FFF">
      <w:pPr>
        <w:pStyle w:val="Pagrindinistekstas"/>
        <w:spacing w:after="0"/>
        <w:rPr>
          <w:noProof/>
          <w:sz w:val="22"/>
          <w:szCs w:val="22"/>
        </w:rPr>
      </w:pPr>
      <w:r w:rsidRPr="00FB5B94">
        <w:rPr>
          <w:noProof/>
          <w:sz w:val="22"/>
          <w:szCs w:val="22"/>
        </w:rPr>
        <w:t xml:space="preserve">Išgėrus ryte nevalgius, t. y. dvi valandas prieš standartizuotus pusryčius, 5-70 mg alendrono rūgšties, šios medžiagos vidutinis biologinis prieinamumas, palyginti su į veną pavartota doze, moterims yra 0,64%. Preparato išgėrus valandą arba pusę valandos prieš standartizuotus pusryčius, jo biologinis prieinamumas sumažėja ir būna atitinkamai 0,46% ir 0,39%. Osteoporozės tyrimų metu alendrono rūgštis buvo veiksminga, išgėrus jos mažiausiai 30 minučių prieš pirmąjį tos dienos valgymą arba gėrimą. </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Išgėrus vaisto standartizuotų pusryčių metu ar iki dviejų valandų po jų, jo biologinis prieinamumas buvo nereikšmingas. Kartu vartojama kava arba apelsinų sultys alendrono rūgšties biologinį prieinamumą sumažino maždaug 60%.</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Sveikų žmonių, vartojančių prednizolono (penkias dienas tris kartus per parą gėrė po 20 mg prednizolono), biologinis alendrono rūgšties pasisavinimas organizme reikšmingai nepakito (padidėjo vidutiniškai 20 - 44</w:t>
      </w:r>
      <w:r w:rsidRPr="00FB5B94">
        <w:rPr>
          <w:noProof/>
          <w:sz w:val="22"/>
          <w:szCs w:val="22"/>
        </w:rPr>
        <w:sym w:font="Symbol" w:char="F025"/>
      </w:r>
      <w:r w:rsidRPr="00FB5B94">
        <w:rPr>
          <w:noProof/>
          <w:sz w:val="22"/>
          <w:szCs w:val="22"/>
        </w:rPr>
        <w:t>).</w:t>
      </w:r>
    </w:p>
    <w:p w:rsidR="00346FFF" w:rsidRPr="00FB5B94" w:rsidRDefault="00346FFF" w:rsidP="00346FFF">
      <w:pPr>
        <w:pStyle w:val="Pagrindinistekstas"/>
        <w:spacing w:after="0"/>
        <w:rPr>
          <w:i/>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Pasiskirstymas</w:t>
      </w:r>
    </w:p>
    <w:p w:rsidR="00346FFF" w:rsidRPr="00FB5B94" w:rsidRDefault="00346FFF" w:rsidP="00346FFF">
      <w:pPr>
        <w:pStyle w:val="Pagrindinistekstas"/>
        <w:spacing w:after="0"/>
        <w:rPr>
          <w:noProof/>
          <w:sz w:val="22"/>
          <w:szCs w:val="22"/>
        </w:rPr>
      </w:pPr>
      <w:r w:rsidRPr="00FB5B94">
        <w:rPr>
          <w:noProof/>
          <w:sz w:val="22"/>
          <w:szCs w:val="22"/>
        </w:rPr>
        <w:t>Tyrimais su žiurkėmis nustatyta, kad, į veną suleidus 1 mg/kg alendrono rūgšties, ji trumpam patenka į minkštuosius audinius, tačiau vėliau greitai prasiskverbia į kaulinį audinį arba išsiskiria iš organizmo su šlapimu. Nusistovėjus pusiausvyrinei koncentracija kraujyje vidutinis preparato pasiskirstymo tūris žmogaus organizme, išskyrus kaulus, yra 28 litrai. Išgėrus gydomąją dozę, kraujo plazmoje atsiradusi veikliosios medžiagos koncentracija būna mažesnė už tokią, kurią įmanoma nustatyti (&lt; 5 ng/ml). Žmogaus kraujo plazmoje maždaug 78</w:t>
      </w:r>
      <w:r w:rsidRPr="00FB5B94">
        <w:rPr>
          <w:noProof/>
          <w:sz w:val="22"/>
          <w:szCs w:val="22"/>
        </w:rPr>
        <w:sym w:font="Symbol" w:char="F025"/>
      </w:r>
      <w:r w:rsidRPr="00FB5B94">
        <w:rPr>
          <w:noProof/>
          <w:sz w:val="22"/>
          <w:szCs w:val="22"/>
        </w:rPr>
        <w:t xml:space="preserve"> medikamento prisijungia prie baltymų.  </w:t>
      </w:r>
    </w:p>
    <w:p w:rsidR="00346FFF" w:rsidRPr="00FB5B94" w:rsidRDefault="00346FFF" w:rsidP="00346FFF">
      <w:pPr>
        <w:pStyle w:val="Pagrindinistekstas"/>
        <w:spacing w:after="0"/>
        <w:rPr>
          <w:i/>
          <w:noProof/>
          <w:sz w:val="22"/>
          <w:szCs w:val="22"/>
        </w:rPr>
      </w:pPr>
    </w:p>
    <w:p w:rsidR="00346FFF" w:rsidRPr="00FB5B94" w:rsidRDefault="00346FFF" w:rsidP="00346FFF">
      <w:pPr>
        <w:pStyle w:val="Pagrindinistekstas"/>
        <w:spacing w:after="0"/>
        <w:rPr>
          <w:noProof/>
          <w:sz w:val="22"/>
          <w:szCs w:val="22"/>
        </w:rPr>
      </w:pPr>
      <w:r w:rsidRPr="00FB5B94">
        <w:rPr>
          <w:i/>
          <w:noProof/>
          <w:sz w:val="22"/>
          <w:szCs w:val="22"/>
        </w:rPr>
        <w:t>Biotransformacija</w:t>
      </w:r>
      <w:r w:rsidRPr="00FB5B94">
        <w:rPr>
          <w:noProof/>
          <w:sz w:val="22"/>
          <w:szCs w:val="22"/>
        </w:rPr>
        <w:t xml:space="preserve"> </w:t>
      </w:r>
    </w:p>
    <w:p w:rsidR="00346FFF" w:rsidRPr="00FB5B94" w:rsidRDefault="00346FFF" w:rsidP="00346FFF">
      <w:pPr>
        <w:pStyle w:val="Pagrindinistekstas"/>
        <w:spacing w:after="0"/>
        <w:rPr>
          <w:noProof/>
          <w:sz w:val="22"/>
          <w:szCs w:val="22"/>
        </w:rPr>
      </w:pPr>
      <w:r w:rsidRPr="00FB5B94">
        <w:rPr>
          <w:noProof/>
          <w:sz w:val="22"/>
          <w:szCs w:val="22"/>
        </w:rPr>
        <w:t xml:space="preserve">Duomenų, kad alendrono rūgštis yra metabolizuojama gyvūnų arba žmogaus organizme, nėra. </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Šalinimas</w:t>
      </w:r>
    </w:p>
    <w:p w:rsidR="00346FFF" w:rsidRPr="00FB5B94" w:rsidRDefault="00346FFF" w:rsidP="00346FFF">
      <w:pPr>
        <w:pStyle w:val="Pagrindinistekstas"/>
        <w:spacing w:after="0"/>
        <w:rPr>
          <w:noProof/>
          <w:sz w:val="22"/>
          <w:szCs w:val="22"/>
        </w:rPr>
      </w:pPr>
      <w:r w:rsidRPr="00FB5B94">
        <w:rPr>
          <w:noProof/>
          <w:sz w:val="22"/>
          <w:szCs w:val="22"/>
        </w:rPr>
        <w:lastRenderedPageBreak/>
        <w:t xml:space="preserve">Į veną suleidus vienkartinę </w:t>
      </w:r>
      <w:r w:rsidRPr="00FB5B94">
        <w:rPr>
          <w:noProof/>
          <w:sz w:val="22"/>
          <w:szCs w:val="22"/>
          <w:vertAlign w:val="superscript"/>
        </w:rPr>
        <w:t>14</w:t>
      </w:r>
      <w:r w:rsidRPr="00FB5B94">
        <w:rPr>
          <w:noProof/>
          <w:sz w:val="22"/>
          <w:szCs w:val="22"/>
        </w:rPr>
        <w:t>C žymėtos alendrono rūgšties dozę, per 72 valandas maždaug 50</w:t>
      </w:r>
      <w:r w:rsidRPr="00FB5B94">
        <w:rPr>
          <w:noProof/>
          <w:sz w:val="22"/>
          <w:szCs w:val="22"/>
        </w:rPr>
        <w:sym w:font="Symbol" w:char="F025"/>
      </w:r>
      <w:r w:rsidRPr="00FB5B94">
        <w:rPr>
          <w:noProof/>
          <w:sz w:val="22"/>
          <w:szCs w:val="22"/>
        </w:rPr>
        <w:t xml:space="preserve"> radioaktyviosios medžiagos atsiranda šlapime, išmatose jos būna labai nedaug arba visai nebūna. Į veną suleidus vienkartinę 10 mg dozę, alendrono rūgšties inkstų klirensas buvo 71 ml/min., o sisteminis klirensas neviršijo 200 ml/min. Koncentracija kraujo plazmoje sumažėjo per šešias valandas daugiau kaip 95</w:t>
      </w:r>
      <w:r w:rsidRPr="00FB5B94">
        <w:rPr>
          <w:noProof/>
          <w:sz w:val="22"/>
          <w:szCs w:val="22"/>
        </w:rPr>
        <w:sym w:font="Symbol" w:char="F025"/>
      </w:r>
      <w:r w:rsidRPr="00FB5B94">
        <w:rPr>
          <w:noProof/>
          <w:sz w:val="22"/>
          <w:szCs w:val="22"/>
        </w:rPr>
        <w:t xml:space="preserve">. Galutinis pusinės eliminacijos iš žmogaus organizmo laikas trunka daugiau kaip 10 metų, atsižvelgiant į alendrono rūgšties atsipalaidavimą iš kaulinio audinio. Alendrono rūgštį iš žiurkių organizmo šalina nuo rūgščių ar šarmų nepriklausoma šalinimo sistema. Todėl manoma, kad kitų medžiagų ar vaistinių preparatų išskyrimui iš žmogaus organizmo minėtomis transporto sistemomis šis vaistinis preparatas įtakos neturi. </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Preparato farmakokinetika žmogaus organizme</w:t>
      </w:r>
    </w:p>
    <w:p w:rsidR="00346FFF" w:rsidRPr="00FB5B94" w:rsidRDefault="00346FFF" w:rsidP="00346FFF">
      <w:pPr>
        <w:pStyle w:val="Pagrindinistekstas"/>
        <w:spacing w:after="0"/>
        <w:rPr>
          <w:noProof/>
          <w:sz w:val="22"/>
          <w:szCs w:val="22"/>
        </w:rPr>
      </w:pPr>
      <w:r w:rsidRPr="00FB5B94">
        <w:rPr>
          <w:noProof/>
          <w:sz w:val="22"/>
          <w:szCs w:val="22"/>
        </w:rPr>
        <w:t>Ikiklinikinių tyrimų metu nustatyta, kad veikliosios medžiagos dalis, kuri nesikaupia kauliniame audinyje, greitai šalinama iš organizmo su šlapimu. Gyvūnams į veną ilgai vartojant ne didesnę kaip 35 mg/ kg kūno svorio dozę, t. y. tokią dozę, kurią vartojant vaistas organizme kaupiasi, kaulinio audinio įsotinimo nepastebėta. Nors klinikinių duomenų nėra, vertinant tyrimų su gyvūnais modelius, tikėtina, kad pacientams, kurių inkstų veikla yra sutrikusi, alendrono rūgšties šalinimas su šlapimu sumažės. Tokiems pacientams gali šiek tiek padidėti preparato kaupimasis kauliniame audinyje (žr. 4.2 skyrių).</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b/>
          <w:i/>
          <w:noProof/>
          <w:sz w:val="22"/>
          <w:szCs w:val="22"/>
        </w:rPr>
      </w:pPr>
      <w:r w:rsidRPr="00FB5B94">
        <w:rPr>
          <w:b/>
          <w:i/>
          <w:noProof/>
          <w:sz w:val="22"/>
          <w:szCs w:val="22"/>
        </w:rPr>
        <w:t>Alfakalcidolis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Alfakalcidolio 1 mikorogramo minkštų kapsulių veiklioji medžiaga alfakalcidolis atliekant tyrimus su gyvūnais ir žmonėmis ištirtas žymėtomis radioaktyviomis medžiagomis vertinant jį kaip 1-</w:t>
      </w:r>
      <w:r w:rsidRPr="00FB5B94">
        <w:rPr>
          <w:sz w:val="22"/>
          <w:szCs w:val="22"/>
        </w:rPr>
        <w:t xml:space="preserve">alfa-25-dihidrokalciferolio pirmtaką. Esant inkstų nepakankamumui įrodytas greitas 25-hidroksilinimas kepenyse. </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5.3</w:t>
      </w:r>
      <w:r w:rsidRPr="00FB5B94">
        <w:rPr>
          <w:noProof/>
          <w:sz w:val="22"/>
          <w:szCs w:val="22"/>
        </w:rPr>
        <w:tab/>
        <w:t>Ikiklinikinių saugumo tyrimų duomenys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Alendronatų ir alfakalcidolio derinio ikiklinikinių tyrimų neatlikta.</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Alendronatai</w:t>
      </w:r>
    </w:p>
    <w:p w:rsidR="00346FFF" w:rsidRPr="00FB5B94" w:rsidRDefault="00346FFF" w:rsidP="00346FFF">
      <w:pPr>
        <w:pStyle w:val="Pagrindinistekstas"/>
        <w:spacing w:after="0"/>
        <w:rPr>
          <w:noProof/>
          <w:sz w:val="22"/>
          <w:szCs w:val="22"/>
        </w:rPr>
      </w:pPr>
      <w:r w:rsidRPr="00FB5B94">
        <w:rPr>
          <w:noProof/>
          <w:sz w:val="22"/>
          <w:szCs w:val="22"/>
        </w:rPr>
        <w:t>Įprastų farmakologinio saugumo, kartotinių dozių toksiškumo, genotoksiškumo ir galimo kancerogeniškumo ikiklinikinių tyrimų duomenys specifinio pavojaus žmogui nerodo. Tyrimų su žiurkėmis duomenimis, alendrono rūgšties vartojimas vaikingumo metu dėl hipokalcemijos buvo susijęs su gimdos veiklos sutrikimu vaikavimosi metu. Žiurkių, kurioms vaikingumo metu buvo duodamos didelės alendrono rūgšties dozės, atsivestiems jaunikliams dažniau pastebėtas nepasibaigęs kaulėjimas. Ar minėti pokyčiai reikšmingi žmogui, nežinoma.</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Alfakalcidolis</w:t>
      </w:r>
    </w:p>
    <w:p w:rsidR="00346FFF" w:rsidRPr="00FB5B94" w:rsidRDefault="00346FFF" w:rsidP="00346FFF">
      <w:pPr>
        <w:pStyle w:val="Pagrindinistekstas"/>
        <w:spacing w:after="0"/>
        <w:rPr>
          <w:noProof/>
          <w:sz w:val="22"/>
          <w:szCs w:val="22"/>
        </w:rPr>
      </w:pPr>
      <w:r w:rsidRPr="00FB5B94">
        <w:rPr>
          <w:noProof/>
          <w:sz w:val="22"/>
          <w:szCs w:val="22"/>
        </w:rPr>
        <w:t>Tyrimais su gyvūnais nustatyta, kad žymiai didesnės negu žmogaus terapinės dozės sukelia toksinį poveikį reprodukcijai.</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6.</w:t>
      </w:r>
      <w:r w:rsidRPr="00FB5B94">
        <w:tab/>
        <w:t>FARMACINĖ INFORMACIJA</w:t>
      </w:r>
    </w:p>
    <w:p w:rsidR="00346FFF" w:rsidRPr="00FB5B94" w:rsidRDefault="00346FFF" w:rsidP="00346FFF">
      <w:pPr>
        <w:pStyle w:val="Pagrindinistekstas"/>
        <w:spacing w:after="0"/>
        <w:rPr>
          <w:b/>
          <w:noProof/>
          <w:sz w:val="22"/>
          <w:szCs w:val="22"/>
        </w:rPr>
      </w:pPr>
    </w:p>
    <w:p w:rsidR="00346FFF" w:rsidRPr="00FB5B94" w:rsidRDefault="00346FFF" w:rsidP="00346FFF">
      <w:pPr>
        <w:pStyle w:val="Antrat3"/>
        <w:rPr>
          <w:noProof/>
          <w:sz w:val="22"/>
          <w:szCs w:val="22"/>
        </w:rPr>
      </w:pPr>
      <w:r w:rsidRPr="00FB5B94">
        <w:rPr>
          <w:noProof/>
          <w:sz w:val="22"/>
          <w:szCs w:val="22"/>
        </w:rPr>
        <w:t>6.1</w:t>
      </w:r>
      <w:r w:rsidRPr="00FB5B94">
        <w:rPr>
          <w:noProof/>
          <w:sz w:val="22"/>
          <w:szCs w:val="22"/>
        </w:rPr>
        <w:tab/>
        <w:t>Pagalbinių medžiagų sąrašas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i/>
          <w:noProof/>
          <w:sz w:val="22"/>
          <w:szCs w:val="22"/>
        </w:rPr>
        <w:t>Teboneva</w:t>
      </w:r>
      <w:r w:rsidRPr="00FB5B94">
        <w:rPr>
          <w:noProof/>
          <w:sz w:val="22"/>
          <w:szCs w:val="22"/>
        </w:rPr>
        <w:t>:</w:t>
      </w:r>
    </w:p>
    <w:p w:rsidR="00346FFF" w:rsidRPr="00FB5B94" w:rsidRDefault="00346FFF" w:rsidP="00346FFF">
      <w:pPr>
        <w:pStyle w:val="Pagrindinistekstas"/>
        <w:spacing w:after="0"/>
        <w:rPr>
          <w:i/>
          <w:noProof/>
          <w:sz w:val="22"/>
          <w:szCs w:val="22"/>
        </w:rPr>
      </w:pPr>
      <w:r w:rsidRPr="00FB5B94">
        <w:rPr>
          <w:i/>
          <w:noProof/>
          <w:sz w:val="22"/>
          <w:szCs w:val="22"/>
        </w:rPr>
        <w:t>Alendrono rūgšties 70 mg tabletės</w:t>
      </w:r>
    </w:p>
    <w:p w:rsidR="00346FFF" w:rsidRPr="00FB5B94" w:rsidRDefault="00346FFF" w:rsidP="00346FFF">
      <w:pPr>
        <w:pStyle w:val="Pagrindinistekstas"/>
        <w:spacing w:after="0"/>
        <w:rPr>
          <w:noProof/>
          <w:sz w:val="22"/>
          <w:szCs w:val="22"/>
        </w:rPr>
      </w:pPr>
      <w:r w:rsidRPr="00FB5B94">
        <w:rPr>
          <w:noProof/>
          <w:sz w:val="22"/>
          <w:szCs w:val="22"/>
        </w:rPr>
        <w:t xml:space="preserve">Mikrokristalinė celiuliozė </w:t>
      </w:r>
    </w:p>
    <w:p w:rsidR="00346FFF" w:rsidRPr="00FB5B94" w:rsidRDefault="00346FFF" w:rsidP="00346FFF">
      <w:pPr>
        <w:pStyle w:val="Pagrindinistekstas"/>
        <w:spacing w:after="0"/>
        <w:rPr>
          <w:noProof/>
          <w:sz w:val="22"/>
          <w:szCs w:val="22"/>
        </w:rPr>
      </w:pPr>
      <w:r w:rsidRPr="00FB5B94">
        <w:rPr>
          <w:noProof/>
          <w:sz w:val="22"/>
          <w:szCs w:val="22"/>
        </w:rPr>
        <w:t xml:space="preserve">Kroskarmeliozės natrio druska </w:t>
      </w:r>
    </w:p>
    <w:p w:rsidR="00346FFF" w:rsidRPr="00FB5B94" w:rsidRDefault="00346FFF" w:rsidP="00346FFF">
      <w:pPr>
        <w:pStyle w:val="Pagrindinistekstas"/>
        <w:spacing w:after="0"/>
        <w:rPr>
          <w:noProof/>
          <w:sz w:val="22"/>
          <w:szCs w:val="22"/>
        </w:rPr>
      </w:pPr>
      <w:r w:rsidRPr="00FB5B94">
        <w:rPr>
          <w:noProof/>
          <w:sz w:val="22"/>
          <w:szCs w:val="22"/>
        </w:rPr>
        <w:t>Magnio stearatas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Alfakalcidolio 1 mikrogramo minkštosios kapsulės</w:t>
      </w:r>
    </w:p>
    <w:p w:rsidR="00346FFF" w:rsidRPr="00FB5B94" w:rsidRDefault="00346FFF" w:rsidP="00346FFF">
      <w:pPr>
        <w:pStyle w:val="Pagrindinistekstas"/>
        <w:spacing w:after="0"/>
        <w:rPr>
          <w:noProof/>
          <w:sz w:val="22"/>
          <w:szCs w:val="22"/>
        </w:rPr>
      </w:pPr>
      <w:r w:rsidRPr="00FB5B94">
        <w:rPr>
          <w:noProof/>
          <w:sz w:val="22"/>
          <w:szCs w:val="22"/>
        </w:rPr>
        <w:t>Citrinų rūgštis</w:t>
      </w:r>
    </w:p>
    <w:p w:rsidR="00346FFF" w:rsidRPr="00FB5B94" w:rsidRDefault="00346FFF" w:rsidP="00346FFF">
      <w:pPr>
        <w:pStyle w:val="Pagrindinistekstas"/>
        <w:spacing w:after="0"/>
        <w:rPr>
          <w:noProof/>
          <w:sz w:val="22"/>
          <w:szCs w:val="22"/>
        </w:rPr>
      </w:pPr>
      <w:r w:rsidRPr="00FB5B94">
        <w:rPr>
          <w:noProof/>
          <w:sz w:val="22"/>
          <w:szCs w:val="22"/>
        </w:rPr>
        <w:t>Propilo galatas (pagal Europos farmakopėją)</w:t>
      </w:r>
    </w:p>
    <w:p w:rsidR="00346FFF" w:rsidRPr="00FB5B94" w:rsidRDefault="00346FFF" w:rsidP="00346FFF">
      <w:pPr>
        <w:pStyle w:val="BTEMEASMCA"/>
        <w:rPr>
          <w:sz w:val="22"/>
          <w:szCs w:val="22"/>
        </w:rPr>
      </w:pPr>
      <w:r w:rsidRPr="00FB5B94">
        <w:rPr>
          <w:sz w:val="22"/>
          <w:szCs w:val="22"/>
        </w:rPr>
        <w:t>Visų racematų alfa-tokoferolis</w:t>
      </w:r>
    </w:p>
    <w:p w:rsidR="00346FFF" w:rsidRPr="00FB5B94" w:rsidRDefault="00346FFF" w:rsidP="00346FFF">
      <w:pPr>
        <w:pStyle w:val="BTEMEASMCA"/>
        <w:rPr>
          <w:sz w:val="22"/>
          <w:szCs w:val="22"/>
        </w:rPr>
      </w:pPr>
      <w:r w:rsidRPr="00FB5B94">
        <w:rPr>
          <w:sz w:val="22"/>
          <w:szCs w:val="22"/>
        </w:rPr>
        <w:lastRenderedPageBreak/>
        <w:t>Etanolis</w:t>
      </w:r>
    </w:p>
    <w:p w:rsidR="00346FFF" w:rsidRPr="00FB5B94" w:rsidRDefault="00346FFF" w:rsidP="00346FFF">
      <w:pPr>
        <w:pStyle w:val="BTEMEASMCA"/>
        <w:rPr>
          <w:sz w:val="22"/>
          <w:szCs w:val="22"/>
        </w:rPr>
      </w:pPr>
      <w:r w:rsidRPr="00FB5B94">
        <w:rPr>
          <w:sz w:val="22"/>
          <w:szCs w:val="22"/>
        </w:rPr>
        <w:t>Žemės riešutų aliejus</w:t>
      </w:r>
    </w:p>
    <w:p w:rsidR="00346FFF" w:rsidRPr="00FB5B94" w:rsidRDefault="00346FFF" w:rsidP="00346FFF">
      <w:pPr>
        <w:pStyle w:val="BTEMEASMCA"/>
        <w:rPr>
          <w:sz w:val="22"/>
          <w:szCs w:val="22"/>
        </w:rPr>
      </w:pPr>
      <w:r w:rsidRPr="00FB5B94">
        <w:rPr>
          <w:sz w:val="22"/>
          <w:szCs w:val="22"/>
        </w:rPr>
        <w:t>Želatina</w:t>
      </w:r>
    </w:p>
    <w:p w:rsidR="00346FFF" w:rsidRPr="00FB5B94" w:rsidRDefault="00346FFF" w:rsidP="00346FFF">
      <w:pPr>
        <w:pStyle w:val="BTEMEASMCA"/>
        <w:rPr>
          <w:sz w:val="22"/>
          <w:szCs w:val="22"/>
        </w:rPr>
      </w:pPr>
      <w:r w:rsidRPr="00FB5B94">
        <w:rPr>
          <w:sz w:val="22"/>
          <w:szCs w:val="22"/>
        </w:rPr>
        <w:t>Glicerolis (85%)</w:t>
      </w:r>
    </w:p>
    <w:p w:rsidR="00346FFF" w:rsidRPr="00FB5B94" w:rsidRDefault="00346FFF" w:rsidP="00346FFF">
      <w:pPr>
        <w:pStyle w:val="BTEMEASMCA"/>
        <w:rPr>
          <w:sz w:val="22"/>
          <w:szCs w:val="22"/>
          <w:lang w:val="it-IT"/>
        </w:rPr>
      </w:pPr>
      <w:r w:rsidRPr="00FB5B94">
        <w:rPr>
          <w:sz w:val="22"/>
          <w:szCs w:val="22"/>
          <w:lang w:val="it-IT"/>
        </w:rPr>
        <w:t>D-manitolio-D-sorbitolio-sorbitano-aukštesniojo poliolio mišinys (0-6%/25-40%/20-30%/12,5-19%</w:t>
      </w:r>
      <w:r w:rsidR="00914F1A" w:rsidRPr="00FB5B94">
        <w:rPr>
          <w:sz w:val="22"/>
          <w:szCs w:val="22"/>
          <w:lang w:val="it-IT"/>
        </w:rPr>
        <w:t>/15 – 17</w:t>
      </w:r>
      <w:r w:rsidR="00914F1A" w:rsidRPr="00FB5B94">
        <w:rPr>
          <w:sz w:val="22"/>
          <w:szCs w:val="22"/>
          <w:lang w:val="en-US"/>
        </w:rPr>
        <w:t>%</w:t>
      </w:r>
      <w:r w:rsidR="00914F1A" w:rsidRPr="00FB5B94">
        <w:rPr>
          <w:sz w:val="22"/>
          <w:szCs w:val="22"/>
          <w:lang w:val="lt-LT"/>
        </w:rPr>
        <w:t xml:space="preserve"> vandens</w:t>
      </w:r>
      <w:r w:rsidRPr="00FB5B94">
        <w:rPr>
          <w:sz w:val="22"/>
          <w:szCs w:val="22"/>
          <w:lang w:val="it-IT"/>
        </w:rPr>
        <w:t>)</w:t>
      </w:r>
    </w:p>
    <w:p w:rsidR="00346FFF" w:rsidRPr="00FB5B94" w:rsidRDefault="00346FFF" w:rsidP="00346FFF">
      <w:pPr>
        <w:pStyle w:val="BTEMEASMCA"/>
        <w:rPr>
          <w:sz w:val="22"/>
          <w:szCs w:val="22"/>
          <w:lang w:val="it-IT"/>
        </w:rPr>
      </w:pPr>
      <w:r w:rsidRPr="00FB5B94">
        <w:rPr>
          <w:sz w:val="22"/>
          <w:szCs w:val="22"/>
          <w:lang w:val="it-IT"/>
        </w:rPr>
        <w:t>Titano dioksidas (E171)</w:t>
      </w:r>
    </w:p>
    <w:p w:rsidR="00CC5D3C" w:rsidRPr="00FB5B94" w:rsidRDefault="00CC5D3C" w:rsidP="00CC5D3C">
      <w:pPr>
        <w:pStyle w:val="BT-EMEASMCA"/>
        <w:numPr>
          <w:ilvl w:val="0"/>
          <w:numId w:val="0"/>
        </w:numPr>
        <w:rPr>
          <w:sz w:val="22"/>
          <w:szCs w:val="22"/>
        </w:rPr>
      </w:pPr>
      <w:r w:rsidRPr="00FB5B94">
        <w:rPr>
          <w:sz w:val="22"/>
          <w:szCs w:val="22"/>
        </w:rPr>
        <w:t>Rašalas:</w:t>
      </w:r>
    </w:p>
    <w:p w:rsidR="00CC5D3C" w:rsidRPr="00FB5B94" w:rsidRDefault="00CC5D3C" w:rsidP="00CC5D3C">
      <w:pPr>
        <w:pStyle w:val="BT-EMEASMCA"/>
        <w:numPr>
          <w:ilvl w:val="0"/>
          <w:numId w:val="0"/>
        </w:numPr>
        <w:rPr>
          <w:sz w:val="22"/>
          <w:szCs w:val="22"/>
        </w:rPr>
      </w:pPr>
      <w:r w:rsidRPr="00FB5B94">
        <w:rPr>
          <w:sz w:val="22"/>
          <w:szCs w:val="22"/>
        </w:rPr>
        <w:t>- glazūruotas šelakas, juodasis geležies oksidas (E172), etanolis, 2-propanolis, butan-1-olis, propilenglikolis</w:t>
      </w:r>
    </w:p>
    <w:p w:rsidR="00CC5D3C" w:rsidRPr="00FB5B94" w:rsidRDefault="00CC5D3C" w:rsidP="00CC5D3C">
      <w:pPr>
        <w:pStyle w:val="BT-EMEASMCA"/>
        <w:numPr>
          <w:ilvl w:val="0"/>
          <w:numId w:val="0"/>
        </w:numPr>
        <w:rPr>
          <w:sz w:val="22"/>
          <w:szCs w:val="22"/>
        </w:rPr>
      </w:pPr>
      <w:r w:rsidRPr="00FB5B94">
        <w:rPr>
          <w:sz w:val="22"/>
          <w:szCs w:val="22"/>
        </w:rPr>
        <w:t>arba</w:t>
      </w:r>
    </w:p>
    <w:p w:rsidR="00CC5D3C" w:rsidRPr="00FB5B94" w:rsidRDefault="00CC5D3C" w:rsidP="00CC5D3C">
      <w:pPr>
        <w:pStyle w:val="BT-EMEASMCA"/>
        <w:numPr>
          <w:ilvl w:val="0"/>
          <w:numId w:val="0"/>
        </w:numPr>
        <w:rPr>
          <w:b/>
          <w:sz w:val="22"/>
          <w:szCs w:val="22"/>
        </w:rPr>
      </w:pPr>
      <w:r w:rsidRPr="00FB5B94">
        <w:rPr>
          <w:sz w:val="22"/>
          <w:szCs w:val="22"/>
        </w:rPr>
        <w:t>- glazūruotas šelakas, juodasis geležies oksidas (E172), etanolis, 2-propanolis, butan-1-olis, propilenglikolis.</w:t>
      </w:r>
    </w:p>
    <w:p w:rsidR="00346FFF" w:rsidRPr="00FB5B94" w:rsidRDefault="00346FFF" w:rsidP="00346FFF">
      <w:pPr>
        <w:pStyle w:val="BTEMEASMCA"/>
        <w:rPr>
          <w:sz w:val="22"/>
          <w:szCs w:val="22"/>
          <w:lang w:val="it-IT"/>
        </w:rPr>
      </w:pPr>
    </w:p>
    <w:p w:rsidR="00346FFF" w:rsidRPr="00FB5B94" w:rsidRDefault="00346FFF" w:rsidP="00346FFF">
      <w:pPr>
        <w:pStyle w:val="Antrat3"/>
        <w:rPr>
          <w:noProof/>
          <w:sz w:val="22"/>
          <w:szCs w:val="22"/>
        </w:rPr>
      </w:pPr>
      <w:r w:rsidRPr="00FB5B94">
        <w:rPr>
          <w:noProof/>
          <w:sz w:val="22"/>
          <w:szCs w:val="22"/>
        </w:rPr>
        <w:t>6.2</w:t>
      </w:r>
      <w:r w:rsidRPr="00FB5B94">
        <w:rPr>
          <w:noProof/>
          <w:sz w:val="22"/>
          <w:szCs w:val="22"/>
        </w:rPr>
        <w:tab/>
        <w:t>Nesuderinamumas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Duomenys nebūtini.</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6.3</w:t>
      </w:r>
      <w:r w:rsidRPr="00FB5B94">
        <w:rPr>
          <w:noProof/>
          <w:sz w:val="22"/>
          <w:szCs w:val="22"/>
        </w:rPr>
        <w:tab/>
        <w:t>Tinkamumo laikas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3 metai.</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6.4</w:t>
      </w:r>
      <w:r w:rsidRPr="00FB5B94">
        <w:rPr>
          <w:noProof/>
          <w:sz w:val="22"/>
          <w:szCs w:val="22"/>
        </w:rPr>
        <w:tab/>
        <w:t>Specialios laikymo sąlygos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Laikyti ne aukštesnėje kaip 25 °C temperatūroje.</w:t>
      </w:r>
    </w:p>
    <w:p w:rsidR="00346FFF" w:rsidRPr="00FB5B94" w:rsidRDefault="00346FFF" w:rsidP="00346FFF">
      <w:pPr>
        <w:pStyle w:val="Pagrindinistekstas"/>
        <w:spacing w:after="0"/>
        <w:rPr>
          <w:noProof/>
          <w:sz w:val="22"/>
          <w:szCs w:val="22"/>
        </w:rPr>
      </w:pPr>
      <w:r w:rsidRPr="00FB5B94">
        <w:rPr>
          <w:noProof/>
          <w:sz w:val="22"/>
          <w:szCs w:val="22"/>
        </w:rPr>
        <w:t>Laikyti gamintojo pakuotėje, kad preparatas būtų apsaugotas nuo šviesos ir drėgmės.</w:t>
      </w:r>
    </w:p>
    <w:p w:rsidR="00346FFF" w:rsidRPr="00FB5B94" w:rsidRDefault="00346FFF" w:rsidP="00346FFF">
      <w:pPr>
        <w:pStyle w:val="Antrat3"/>
        <w:rPr>
          <w:noProof/>
          <w:sz w:val="22"/>
          <w:szCs w:val="22"/>
        </w:rPr>
      </w:pPr>
    </w:p>
    <w:p w:rsidR="00346FFF" w:rsidRPr="00FB5B94" w:rsidRDefault="00346FFF" w:rsidP="00346FFF">
      <w:pPr>
        <w:pStyle w:val="Antrat3"/>
        <w:rPr>
          <w:noProof/>
          <w:sz w:val="22"/>
          <w:szCs w:val="22"/>
        </w:rPr>
      </w:pPr>
      <w:r w:rsidRPr="00FB5B94">
        <w:rPr>
          <w:noProof/>
          <w:sz w:val="22"/>
          <w:szCs w:val="22"/>
        </w:rPr>
        <w:t>6.5</w:t>
      </w:r>
      <w:r w:rsidRPr="00FB5B94">
        <w:rPr>
          <w:noProof/>
          <w:sz w:val="22"/>
          <w:szCs w:val="22"/>
        </w:rPr>
        <w:tab/>
        <w:t>Pakuotė ir jos turinys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Teboneva</w:t>
      </w:r>
    </w:p>
    <w:p w:rsidR="00346FFF" w:rsidRPr="00FB5B94" w:rsidRDefault="00346FFF" w:rsidP="00346FFF">
      <w:pPr>
        <w:pStyle w:val="Pagrindinistekstas"/>
        <w:spacing w:after="0"/>
        <w:rPr>
          <w:noProof/>
          <w:sz w:val="22"/>
          <w:szCs w:val="22"/>
        </w:rPr>
      </w:pPr>
      <w:r w:rsidRPr="00FB5B94">
        <w:rPr>
          <w:noProof/>
          <w:sz w:val="22"/>
          <w:szCs w:val="22"/>
        </w:rPr>
        <w:t xml:space="preserve">Alendrono rūgšties 70 mg tabletės: aliuminio/aliuminio lizdinė plokštelė. </w:t>
      </w:r>
    </w:p>
    <w:p w:rsidR="00346FFF" w:rsidRPr="00FB5B94" w:rsidRDefault="00346FFF" w:rsidP="00346FFF">
      <w:pPr>
        <w:pStyle w:val="Pagrindinistekstas"/>
        <w:spacing w:after="0"/>
        <w:rPr>
          <w:noProof/>
          <w:sz w:val="22"/>
          <w:szCs w:val="22"/>
        </w:rPr>
      </w:pPr>
      <w:r w:rsidRPr="00FB5B94">
        <w:rPr>
          <w:noProof/>
          <w:sz w:val="22"/>
          <w:szCs w:val="22"/>
        </w:rPr>
        <w:t>Alfakalcidolio 1 mikrogramas minkštosios kapsulės: aliuminio/aliuminio lizdinė plokštelė.</w:t>
      </w:r>
    </w:p>
    <w:p w:rsidR="00346FFF" w:rsidRPr="00FB5B94" w:rsidRDefault="00346FFF" w:rsidP="00346FFF">
      <w:pPr>
        <w:pStyle w:val="Pagrindinistekstas"/>
        <w:rPr>
          <w:noProof/>
          <w:sz w:val="22"/>
          <w:szCs w:val="22"/>
        </w:rPr>
      </w:pPr>
    </w:p>
    <w:p w:rsidR="00346FFF" w:rsidRPr="00FB5B94" w:rsidRDefault="00346FFF" w:rsidP="00346FFF">
      <w:pPr>
        <w:pStyle w:val="Pagrindinistekstas"/>
        <w:spacing w:after="0"/>
        <w:rPr>
          <w:i/>
          <w:noProof/>
          <w:sz w:val="22"/>
          <w:szCs w:val="22"/>
        </w:rPr>
      </w:pPr>
      <w:r w:rsidRPr="00FB5B94">
        <w:rPr>
          <w:i/>
          <w:noProof/>
          <w:sz w:val="22"/>
          <w:szCs w:val="22"/>
        </w:rPr>
        <w:t>Pakuotėje yra:</w:t>
      </w:r>
    </w:p>
    <w:p w:rsidR="00346FFF" w:rsidRPr="00FB5B94" w:rsidRDefault="00346FFF" w:rsidP="00346FFF">
      <w:pPr>
        <w:pStyle w:val="Pagrindinistekstas"/>
        <w:spacing w:after="0"/>
        <w:rPr>
          <w:noProof/>
          <w:sz w:val="22"/>
          <w:szCs w:val="22"/>
        </w:rPr>
      </w:pPr>
      <w:r w:rsidRPr="00FB5B94">
        <w:rPr>
          <w:noProof/>
          <w:sz w:val="22"/>
          <w:szCs w:val="22"/>
        </w:rPr>
        <w:t>2 alendronato tabletės ir 14 minkštųjų alfakalcidolio kapsulių</w:t>
      </w:r>
    </w:p>
    <w:p w:rsidR="00346FFF" w:rsidRPr="00FB5B94" w:rsidRDefault="00346FFF" w:rsidP="00346FFF">
      <w:pPr>
        <w:pStyle w:val="Pagrindinistekstas"/>
        <w:spacing w:after="0"/>
        <w:rPr>
          <w:noProof/>
          <w:sz w:val="22"/>
          <w:szCs w:val="22"/>
        </w:rPr>
      </w:pPr>
      <w:r w:rsidRPr="00FB5B94">
        <w:rPr>
          <w:noProof/>
          <w:sz w:val="22"/>
          <w:szCs w:val="22"/>
        </w:rPr>
        <w:t>4 alendronato tabletės ir 28 minkštosios alfakalcidolio kapsulės</w:t>
      </w:r>
    </w:p>
    <w:p w:rsidR="00346FFF" w:rsidRPr="00FB5B94" w:rsidRDefault="00346FFF" w:rsidP="00346FFF">
      <w:pPr>
        <w:pStyle w:val="Pagrindinistekstas"/>
        <w:spacing w:after="0"/>
        <w:rPr>
          <w:noProof/>
          <w:sz w:val="22"/>
          <w:szCs w:val="22"/>
        </w:rPr>
      </w:pPr>
      <w:r w:rsidRPr="00FB5B94">
        <w:rPr>
          <w:noProof/>
          <w:sz w:val="22"/>
          <w:szCs w:val="22"/>
        </w:rPr>
        <w:t>8 alendronato tabletės ir 56 minkštosios alfakalcidolio kapsulės</w:t>
      </w:r>
    </w:p>
    <w:p w:rsidR="00346FFF" w:rsidRPr="00FB5B94" w:rsidRDefault="00346FFF" w:rsidP="00346FFF">
      <w:pPr>
        <w:pStyle w:val="Pagrindinistekstas"/>
        <w:spacing w:after="0"/>
        <w:rPr>
          <w:noProof/>
          <w:sz w:val="22"/>
          <w:szCs w:val="22"/>
        </w:rPr>
      </w:pPr>
      <w:r w:rsidRPr="00FB5B94">
        <w:rPr>
          <w:noProof/>
          <w:sz w:val="22"/>
          <w:szCs w:val="22"/>
        </w:rPr>
        <w:t>12 alendronato tablečių ir 84 minkštosios alfakalcidolio kapsulės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Gali būti tiekiamos ne visų dydžių pakuotės.</w:t>
      </w:r>
    </w:p>
    <w:p w:rsidR="00346FFF" w:rsidRPr="00FB5B94" w:rsidRDefault="00346FFF" w:rsidP="00346FFF">
      <w:pPr>
        <w:pStyle w:val="Pagrindinistekstas"/>
        <w:spacing w:after="0"/>
        <w:rPr>
          <w:noProof/>
          <w:sz w:val="22"/>
          <w:szCs w:val="22"/>
        </w:rPr>
      </w:pPr>
    </w:p>
    <w:p w:rsidR="00346FFF" w:rsidRPr="00FB5B94" w:rsidRDefault="00346FFF" w:rsidP="00346FFF">
      <w:pPr>
        <w:pStyle w:val="Antrat3"/>
        <w:rPr>
          <w:noProof/>
          <w:sz w:val="22"/>
          <w:szCs w:val="22"/>
        </w:rPr>
      </w:pPr>
      <w:r w:rsidRPr="00FB5B94">
        <w:rPr>
          <w:noProof/>
          <w:sz w:val="22"/>
          <w:szCs w:val="22"/>
        </w:rPr>
        <w:t>6.6</w:t>
      </w:r>
      <w:r w:rsidRPr="00FB5B94">
        <w:rPr>
          <w:noProof/>
          <w:sz w:val="22"/>
          <w:szCs w:val="22"/>
        </w:rPr>
        <w:tab/>
        <w:t>Specialūs reikalavimai atliekoms tvarkyti</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Specialių reikalavimų nėra.</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7.</w:t>
      </w:r>
      <w:r w:rsidRPr="00FB5B94">
        <w:tab/>
        <w:t>RINKODAROS TEISĖS TURĖTOJAS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Teva Pharma B.V.</w:t>
      </w:r>
    </w:p>
    <w:p w:rsidR="00346FFF" w:rsidRPr="00FB5B94" w:rsidRDefault="00346FFF" w:rsidP="00346FFF">
      <w:pPr>
        <w:rPr>
          <w:rFonts w:eastAsia="Arial Unicode MS"/>
          <w:noProof/>
          <w:szCs w:val="22"/>
        </w:rPr>
      </w:pPr>
      <w:r w:rsidRPr="00FB5B94">
        <w:rPr>
          <w:rFonts w:eastAsia="Arial Unicode MS"/>
          <w:noProof/>
          <w:szCs w:val="22"/>
        </w:rPr>
        <w:t xml:space="preserve">Computerweg 10 </w:t>
      </w:r>
    </w:p>
    <w:p w:rsidR="00346FFF" w:rsidRPr="00FB5B94" w:rsidRDefault="00346FFF" w:rsidP="00346FFF">
      <w:pPr>
        <w:rPr>
          <w:rFonts w:eastAsia="Arial Unicode MS"/>
          <w:noProof/>
          <w:szCs w:val="22"/>
        </w:rPr>
      </w:pPr>
      <w:r w:rsidRPr="00FB5B94">
        <w:rPr>
          <w:rFonts w:eastAsia="Arial Unicode MS"/>
          <w:noProof/>
          <w:szCs w:val="22"/>
        </w:rPr>
        <w:t xml:space="preserve">3542 DR Utrecht </w:t>
      </w:r>
    </w:p>
    <w:p w:rsidR="00346FFF" w:rsidRPr="00FB5B94" w:rsidRDefault="00346FFF" w:rsidP="00346FFF">
      <w:pPr>
        <w:rPr>
          <w:rFonts w:eastAsia="Arial Unicode MS"/>
          <w:noProof/>
          <w:szCs w:val="22"/>
        </w:rPr>
      </w:pPr>
      <w:r w:rsidRPr="00FB5B94">
        <w:rPr>
          <w:rFonts w:eastAsia="Arial Unicode MS"/>
          <w:noProof/>
          <w:szCs w:val="22"/>
        </w:rPr>
        <w:t>Nyderlandai</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8.</w:t>
      </w:r>
      <w:r w:rsidRPr="00FB5B94">
        <w:tab/>
        <w:t>RINKODAROS TEISĖS NUMERIS</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N2+N14 – LT/1/12/2799/001</w:t>
      </w:r>
    </w:p>
    <w:p w:rsidR="00346FFF" w:rsidRPr="00FB5B94" w:rsidRDefault="00346FFF" w:rsidP="00346FFF">
      <w:pPr>
        <w:pStyle w:val="Pagrindinistekstas"/>
        <w:spacing w:after="0"/>
        <w:rPr>
          <w:noProof/>
          <w:sz w:val="22"/>
          <w:szCs w:val="22"/>
        </w:rPr>
      </w:pPr>
      <w:r w:rsidRPr="00FB5B94">
        <w:rPr>
          <w:noProof/>
          <w:sz w:val="22"/>
          <w:szCs w:val="22"/>
        </w:rPr>
        <w:lastRenderedPageBreak/>
        <w:t>N4+N28 – LT/1/12/2799/002</w:t>
      </w:r>
    </w:p>
    <w:p w:rsidR="00346FFF" w:rsidRPr="00FB5B94" w:rsidRDefault="00346FFF" w:rsidP="00346FFF">
      <w:pPr>
        <w:pStyle w:val="Pagrindinistekstas"/>
        <w:spacing w:after="0"/>
        <w:rPr>
          <w:noProof/>
          <w:sz w:val="22"/>
          <w:szCs w:val="22"/>
        </w:rPr>
      </w:pPr>
      <w:r w:rsidRPr="00FB5B94">
        <w:rPr>
          <w:noProof/>
          <w:sz w:val="22"/>
          <w:szCs w:val="22"/>
        </w:rPr>
        <w:t>N8+N56 – LT/1/12/2799/003</w:t>
      </w:r>
    </w:p>
    <w:p w:rsidR="00346FFF" w:rsidRPr="00FB5B94" w:rsidRDefault="00346FFF" w:rsidP="00346FFF">
      <w:pPr>
        <w:pStyle w:val="Pagrindinistekstas"/>
        <w:spacing w:after="0"/>
        <w:rPr>
          <w:noProof/>
          <w:sz w:val="22"/>
          <w:szCs w:val="22"/>
        </w:rPr>
      </w:pPr>
      <w:r w:rsidRPr="00FB5B94">
        <w:rPr>
          <w:noProof/>
          <w:sz w:val="22"/>
          <w:szCs w:val="22"/>
        </w:rPr>
        <w:t>N12+N84 – LT/1/12/2799/004</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9.</w:t>
      </w:r>
      <w:r w:rsidRPr="00FB5B94">
        <w:tab/>
        <w:t>RINKODAROS TEISĖS SUTEIKIMO / ATNAUJINIMO DATA</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noProof/>
          <w:sz w:val="22"/>
          <w:szCs w:val="22"/>
        </w:rPr>
        <w:t>2012-01-27</w:t>
      </w: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Antrat2"/>
      </w:pPr>
      <w:r w:rsidRPr="00FB5B94">
        <w:t>10.</w:t>
      </w:r>
      <w:r w:rsidRPr="00FB5B94">
        <w:tab/>
        <w:t>TEKSTO PERŽIŪROS DATA</w:t>
      </w:r>
    </w:p>
    <w:p w:rsidR="00346FFF" w:rsidRPr="00FB5B94" w:rsidRDefault="00346FFF" w:rsidP="00346FFF">
      <w:pPr>
        <w:pStyle w:val="Pagrindinistekstas"/>
        <w:spacing w:after="0"/>
        <w:rPr>
          <w:noProof/>
          <w:sz w:val="22"/>
          <w:szCs w:val="22"/>
        </w:rPr>
      </w:pPr>
    </w:p>
    <w:p w:rsidR="00346FFF" w:rsidRPr="00FB5B94" w:rsidRDefault="006756B1" w:rsidP="00346FFF">
      <w:pPr>
        <w:pStyle w:val="BTEMEASMCA"/>
        <w:rPr>
          <w:sz w:val="22"/>
          <w:szCs w:val="22"/>
          <w:lang w:val="lt-LT"/>
        </w:rPr>
      </w:pPr>
      <w:r w:rsidRPr="00FB5B94">
        <w:rPr>
          <w:sz w:val="22"/>
          <w:szCs w:val="22"/>
          <w:lang w:val="lt-LT"/>
        </w:rPr>
        <w:t>201</w:t>
      </w:r>
      <w:r w:rsidR="008F38B4" w:rsidRPr="00FB5B94">
        <w:rPr>
          <w:sz w:val="22"/>
          <w:szCs w:val="22"/>
          <w:lang w:val="lt-LT"/>
        </w:rPr>
        <w:t>4</w:t>
      </w:r>
      <w:r w:rsidRPr="00FB5B94">
        <w:rPr>
          <w:sz w:val="22"/>
          <w:szCs w:val="22"/>
          <w:lang w:val="lt-LT"/>
        </w:rPr>
        <w:t>-1</w:t>
      </w:r>
      <w:r w:rsidR="008F38B4" w:rsidRPr="00FB5B94">
        <w:rPr>
          <w:sz w:val="22"/>
          <w:szCs w:val="22"/>
          <w:lang w:val="lt-LT"/>
        </w:rPr>
        <w:t>0</w:t>
      </w:r>
      <w:r w:rsidRPr="00FB5B94">
        <w:rPr>
          <w:sz w:val="22"/>
          <w:szCs w:val="22"/>
          <w:lang w:val="lt-LT"/>
        </w:rPr>
        <w:t>-</w:t>
      </w:r>
      <w:r w:rsidR="008F38B4" w:rsidRPr="00FB5B94">
        <w:rPr>
          <w:sz w:val="22"/>
          <w:szCs w:val="22"/>
          <w:lang w:val="lt-LT"/>
        </w:rPr>
        <w:t>10</w:t>
      </w:r>
    </w:p>
    <w:p w:rsidR="00346FFF" w:rsidRPr="00FB5B94" w:rsidRDefault="00346FFF" w:rsidP="00346FFF">
      <w:pPr>
        <w:pStyle w:val="BTEMEASMCA"/>
        <w:rPr>
          <w:sz w:val="22"/>
          <w:szCs w:val="22"/>
        </w:rPr>
      </w:pPr>
    </w:p>
    <w:p w:rsidR="00346FFF" w:rsidRPr="00FB5B94" w:rsidRDefault="00346FFF" w:rsidP="00346FFF">
      <w:pPr>
        <w:pStyle w:val="Pagrindinistekstas"/>
        <w:spacing w:after="0"/>
        <w:rPr>
          <w:noProof/>
          <w:sz w:val="22"/>
          <w:szCs w:val="22"/>
        </w:rPr>
      </w:pPr>
    </w:p>
    <w:p w:rsidR="00346FFF" w:rsidRPr="00FB5B94" w:rsidRDefault="00346FFF" w:rsidP="00346FFF">
      <w:pPr>
        <w:pStyle w:val="Pagrindinistekstas"/>
        <w:spacing w:after="0"/>
        <w:rPr>
          <w:noProof/>
          <w:sz w:val="22"/>
          <w:szCs w:val="22"/>
        </w:rPr>
      </w:pPr>
      <w:r w:rsidRPr="00FB5B94">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8" w:history="1">
        <w:r w:rsidRPr="00FB5B94">
          <w:rPr>
            <w:rStyle w:val="Hipersaitas"/>
            <w:sz w:val="22"/>
            <w:szCs w:val="22"/>
          </w:rPr>
          <w:t>http://www.vvkt.lt/</w:t>
        </w:r>
      </w:hyperlink>
      <w:r w:rsidRPr="00FB5B94">
        <w:rPr>
          <w:noProof/>
          <w:sz w:val="22"/>
          <w:szCs w:val="22"/>
        </w:rPr>
        <w:br w:type="page"/>
      </w: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CC5D3C">
      <w:pPr>
        <w:pStyle w:val="Pavadinimas"/>
      </w:pPr>
    </w:p>
    <w:p w:rsidR="00346FFF" w:rsidRPr="00FB5B94" w:rsidRDefault="00346FFF" w:rsidP="00346FFF">
      <w:pPr>
        <w:pStyle w:val="TTEMEASMCA"/>
        <w:rPr>
          <w:sz w:val="22"/>
          <w:szCs w:val="22"/>
        </w:rPr>
      </w:pPr>
      <w:bookmarkStart w:id="0" w:name="_Toc129243128"/>
      <w:bookmarkStart w:id="1" w:name="_Toc129243253"/>
      <w:r w:rsidRPr="00FB5B94">
        <w:rPr>
          <w:sz w:val="22"/>
          <w:szCs w:val="22"/>
        </w:rPr>
        <w:t>II PRIEDAS</w:t>
      </w:r>
      <w:bookmarkEnd w:id="0"/>
      <w:bookmarkEnd w:id="1"/>
    </w:p>
    <w:p w:rsidR="00346FFF" w:rsidRPr="00FB5B94" w:rsidRDefault="00346FFF" w:rsidP="00346FFF">
      <w:pPr>
        <w:pStyle w:val="TTEMEASMCA"/>
        <w:rPr>
          <w:sz w:val="22"/>
          <w:szCs w:val="22"/>
        </w:rPr>
      </w:pPr>
    </w:p>
    <w:p w:rsidR="00346FFF" w:rsidRPr="00FB5B94" w:rsidRDefault="00346FFF" w:rsidP="00346FFF">
      <w:pPr>
        <w:pStyle w:val="TTEMEASMCA"/>
        <w:rPr>
          <w:sz w:val="22"/>
          <w:szCs w:val="22"/>
        </w:rPr>
      </w:pPr>
      <w:r w:rsidRPr="00FB5B94">
        <w:rPr>
          <w:sz w:val="22"/>
          <w:szCs w:val="22"/>
        </w:rPr>
        <w:t>RINKODAROS SĄLYGOS</w:t>
      </w:r>
    </w:p>
    <w:p w:rsidR="00346FFF" w:rsidRPr="00FB5B94" w:rsidRDefault="00346FFF" w:rsidP="00346FFF">
      <w:pPr>
        <w:pStyle w:val="BTEMEASMCA"/>
        <w:rPr>
          <w:sz w:val="22"/>
          <w:szCs w:val="22"/>
        </w:rPr>
      </w:pPr>
    </w:p>
    <w:p w:rsidR="00346FFF" w:rsidRPr="00FB5B94" w:rsidRDefault="00346FFF" w:rsidP="00346FFF">
      <w:pPr>
        <w:pStyle w:val="BTAnIIEMEASMCA"/>
        <w:rPr>
          <w:highlight w:val="yellow"/>
          <w:lang w:val="lt-LT"/>
        </w:rPr>
      </w:pPr>
      <w:r w:rsidRPr="00FB5B94">
        <w:rPr>
          <w:lang w:val="lt-LT"/>
        </w:rPr>
        <w:t>A.</w:t>
      </w:r>
      <w:r w:rsidRPr="00FB5B94">
        <w:rPr>
          <w:lang w:val="lt-LT"/>
        </w:rPr>
        <w:tab/>
        <w:t>GAMYBOS LICENCIJOS TURĖTOJAS (-AI), ATSAKINGAS (-I) UŽ SERIJŲ IŠLEIDIMĄ</w:t>
      </w:r>
    </w:p>
    <w:p w:rsidR="00346FFF" w:rsidRPr="00FB5B94" w:rsidRDefault="00346FFF" w:rsidP="00346FFF">
      <w:pPr>
        <w:pStyle w:val="BTEMEASMCA"/>
        <w:rPr>
          <w:sz w:val="22"/>
          <w:szCs w:val="22"/>
          <w:highlight w:val="yellow"/>
        </w:rPr>
      </w:pPr>
    </w:p>
    <w:p w:rsidR="00346FFF" w:rsidRPr="00FB5B94" w:rsidRDefault="00346FFF" w:rsidP="00346FFF">
      <w:pPr>
        <w:pStyle w:val="BTAnIIEMEASMCA"/>
        <w:rPr>
          <w:lang w:val="lt-LT"/>
        </w:rPr>
      </w:pPr>
      <w:r w:rsidRPr="00FB5B94">
        <w:rPr>
          <w:lang w:val="lt-LT"/>
        </w:rPr>
        <w:t>B.</w:t>
      </w:r>
      <w:r w:rsidRPr="00FB5B94">
        <w:rPr>
          <w:lang w:val="lt-LT"/>
        </w:rPr>
        <w:tab/>
        <w:t>RINKODAROS TEISĖS SĄLYGOS</w:t>
      </w:r>
    </w:p>
    <w:p w:rsidR="00346FFF" w:rsidRPr="00FB5B94" w:rsidRDefault="00346FFF" w:rsidP="00346FFF">
      <w:pPr>
        <w:rPr>
          <w:szCs w:val="22"/>
        </w:rPr>
      </w:pPr>
    </w:p>
    <w:p w:rsidR="00346FFF" w:rsidRPr="00FB5B94" w:rsidRDefault="00346FFF" w:rsidP="00346FFF">
      <w:pPr>
        <w:pStyle w:val="BTAnIIEMEASMCA"/>
        <w:rPr>
          <w:lang w:val="lt-LT"/>
        </w:rPr>
      </w:pPr>
    </w:p>
    <w:p w:rsidR="00346FFF" w:rsidRPr="00FB5B94" w:rsidRDefault="00346FFF" w:rsidP="00346FFF">
      <w:pPr>
        <w:pStyle w:val="Pagrindinistekstas"/>
        <w:spacing w:after="0"/>
        <w:rPr>
          <w:b/>
          <w:sz w:val="22"/>
          <w:szCs w:val="22"/>
        </w:rPr>
      </w:pPr>
      <w:r w:rsidRPr="00FB5B94">
        <w:rPr>
          <w:sz w:val="22"/>
          <w:szCs w:val="22"/>
        </w:rPr>
        <w:br w:type="page"/>
      </w:r>
      <w:r w:rsidRPr="00FB5B94">
        <w:rPr>
          <w:b/>
          <w:sz w:val="22"/>
          <w:szCs w:val="22"/>
        </w:rPr>
        <w:lastRenderedPageBreak/>
        <w:t>A. GAMYBOS LICENCIJOS TURĖTOJAS (-AI), ATSAKINGAS (-I) UŽ SERIJŲ IŠLEIDIMĄ</w:t>
      </w:r>
    </w:p>
    <w:p w:rsidR="00346FFF" w:rsidRPr="00FB5B94" w:rsidRDefault="00346FFF" w:rsidP="00346FFF">
      <w:pPr>
        <w:pStyle w:val="Pagrindinistekstas"/>
        <w:spacing w:after="0"/>
        <w:rPr>
          <w:sz w:val="22"/>
          <w:szCs w:val="22"/>
        </w:rPr>
      </w:pPr>
    </w:p>
    <w:p w:rsidR="00346FFF" w:rsidRPr="00FB5B94" w:rsidRDefault="00346FFF" w:rsidP="00346FFF">
      <w:pPr>
        <w:jc w:val="both"/>
        <w:rPr>
          <w:szCs w:val="22"/>
        </w:rPr>
      </w:pPr>
      <w:r w:rsidRPr="00FB5B94">
        <w:rPr>
          <w:szCs w:val="22"/>
          <w:u w:val="single"/>
        </w:rPr>
        <w:t>Gamintojų, atsakingų už serijų išleidimą, pavadinimai)ir adresai</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r w:rsidRPr="00FB5B94">
        <w:rPr>
          <w:sz w:val="22"/>
          <w:szCs w:val="22"/>
        </w:rPr>
        <w:t>TEVA UK Ltd.</w:t>
      </w:r>
    </w:p>
    <w:p w:rsidR="00346FFF" w:rsidRPr="00FB5B94" w:rsidRDefault="00346FFF" w:rsidP="00346FFF">
      <w:pPr>
        <w:pStyle w:val="Pagrindinistekstas"/>
        <w:spacing w:after="0"/>
        <w:rPr>
          <w:sz w:val="22"/>
          <w:szCs w:val="22"/>
        </w:rPr>
      </w:pPr>
      <w:r w:rsidRPr="00FB5B94">
        <w:rPr>
          <w:sz w:val="22"/>
          <w:szCs w:val="22"/>
        </w:rPr>
        <w:t>Brampton Road, Hampden Park, Eastbourne</w:t>
      </w:r>
    </w:p>
    <w:p w:rsidR="00346FFF" w:rsidRPr="00FB5B94" w:rsidRDefault="00346FFF" w:rsidP="00346FFF">
      <w:pPr>
        <w:pStyle w:val="Pagrindinistekstas"/>
        <w:spacing w:after="0"/>
        <w:rPr>
          <w:sz w:val="22"/>
          <w:szCs w:val="22"/>
        </w:rPr>
      </w:pPr>
      <w:r w:rsidRPr="00FB5B94">
        <w:rPr>
          <w:sz w:val="22"/>
          <w:szCs w:val="22"/>
        </w:rPr>
        <w:t>East Sussex, BN 229 AG</w:t>
      </w:r>
    </w:p>
    <w:p w:rsidR="00346FFF" w:rsidRPr="00FB5B94" w:rsidRDefault="00346FFF" w:rsidP="00346FFF">
      <w:pPr>
        <w:pStyle w:val="Pagrindinistekstas"/>
        <w:spacing w:after="0"/>
        <w:rPr>
          <w:sz w:val="22"/>
          <w:szCs w:val="22"/>
        </w:rPr>
      </w:pPr>
      <w:r w:rsidRPr="00FB5B94">
        <w:rPr>
          <w:sz w:val="22"/>
          <w:szCs w:val="22"/>
        </w:rPr>
        <w:t>Jungtinė Karalystė</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r w:rsidRPr="00FB5B94">
        <w:rPr>
          <w:sz w:val="22"/>
          <w:szCs w:val="22"/>
        </w:rPr>
        <w:t>arba</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r w:rsidRPr="00FB5B94">
        <w:rPr>
          <w:sz w:val="22"/>
          <w:szCs w:val="22"/>
        </w:rPr>
        <w:t>Pharmachemie B.V.</w:t>
      </w:r>
    </w:p>
    <w:p w:rsidR="00346FFF" w:rsidRPr="00FB5B94" w:rsidRDefault="00346FFF" w:rsidP="00346FFF">
      <w:pPr>
        <w:pStyle w:val="Pagrindinistekstas"/>
        <w:spacing w:after="0"/>
        <w:rPr>
          <w:sz w:val="22"/>
          <w:szCs w:val="22"/>
        </w:rPr>
      </w:pPr>
      <w:r w:rsidRPr="00FB5B94">
        <w:rPr>
          <w:sz w:val="22"/>
          <w:szCs w:val="22"/>
        </w:rPr>
        <w:t>Swensweg 5</w:t>
      </w:r>
    </w:p>
    <w:p w:rsidR="00346FFF" w:rsidRPr="00FB5B94" w:rsidRDefault="00346FFF" w:rsidP="00346FFF">
      <w:pPr>
        <w:pStyle w:val="Pagrindinistekstas"/>
        <w:spacing w:after="0"/>
        <w:rPr>
          <w:sz w:val="22"/>
          <w:szCs w:val="22"/>
        </w:rPr>
      </w:pPr>
      <w:r w:rsidRPr="00FB5B94">
        <w:rPr>
          <w:sz w:val="22"/>
          <w:szCs w:val="22"/>
        </w:rPr>
        <w:t>2031 GA Haarlem</w:t>
      </w:r>
    </w:p>
    <w:p w:rsidR="00346FFF" w:rsidRPr="00FB5B94" w:rsidRDefault="00346FFF" w:rsidP="00346FFF">
      <w:pPr>
        <w:pStyle w:val="Pagrindinistekstas"/>
        <w:spacing w:after="0"/>
        <w:rPr>
          <w:sz w:val="22"/>
          <w:szCs w:val="22"/>
        </w:rPr>
      </w:pPr>
      <w:r w:rsidRPr="00FB5B94">
        <w:rPr>
          <w:sz w:val="22"/>
          <w:szCs w:val="22"/>
        </w:rPr>
        <w:t>Nyderlandai</w:t>
      </w:r>
    </w:p>
    <w:p w:rsidR="00346FFF" w:rsidRPr="00FB5B94" w:rsidRDefault="00346FFF" w:rsidP="00346FFF">
      <w:pPr>
        <w:pStyle w:val="Pagrindinistekstas"/>
        <w:spacing w:after="0"/>
        <w:rPr>
          <w:sz w:val="22"/>
          <w:szCs w:val="22"/>
        </w:rPr>
      </w:pPr>
    </w:p>
    <w:p w:rsidR="00346FFF" w:rsidRPr="00FB5B94" w:rsidRDefault="00346FFF" w:rsidP="00346FFF">
      <w:pPr>
        <w:rPr>
          <w:szCs w:val="22"/>
        </w:rPr>
      </w:pPr>
      <w:r w:rsidRPr="00FB5B94">
        <w:rPr>
          <w:szCs w:val="22"/>
        </w:rPr>
        <w:t>Su pakuote pateikiamame lapelyje nurodomas gamintojo, atsakingo už konkrečios serijos išleidimą, pavadinimas ir adresas.</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I-1EMEASMCA"/>
      </w:pPr>
      <w:bookmarkStart w:id="2" w:name="_Toc129243129"/>
      <w:bookmarkStart w:id="3" w:name="_Toc129243254"/>
      <w:r w:rsidRPr="00FB5B94">
        <w:t>B.</w:t>
      </w:r>
      <w:r w:rsidRPr="00FB5B94">
        <w:tab/>
        <w:t>RINKODAROS TEISĖS SĄLYGOS</w:t>
      </w:r>
      <w:bookmarkEnd w:id="2"/>
      <w:bookmarkEnd w:id="3"/>
    </w:p>
    <w:p w:rsidR="00346FFF" w:rsidRPr="00FB5B94" w:rsidRDefault="00346FFF" w:rsidP="00346FFF">
      <w:pPr>
        <w:pStyle w:val="BTEMEASMCA"/>
        <w:rPr>
          <w:sz w:val="22"/>
          <w:szCs w:val="22"/>
        </w:rPr>
      </w:pPr>
    </w:p>
    <w:p w:rsidR="00346FFF" w:rsidRPr="00FB5B94" w:rsidRDefault="00346FFF" w:rsidP="00346FFF">
      <w:pPr>
        <w:pStyle w:val="PI-2EMEASMCA"/>
        <w:rPr>
          <w:sz w:val="22"/>
        </w:rPr>
      </w:pPr>
      <w:bookmarkStart w:id="4" w:name="_Toc129243130"/>
      <w:bookmarkStart w:id="5" w:name="_Toc129243255"/>
      <w:r w:rsidRPr="00FB5B94">
        <w:rPr>
          <w:sz w:val="22"/>
        </w:rPr>
        <w:t>•</w:t>
      </w:r>
      <w:r w:rsidRPr="00FB5B94">
        <w:rPr>
          <w:sz w:val="22"/>
        </w:rPr>
        <w:tab/>
        <w:t>TIEKIMO IR VARTOJIMO SĄLYGOS AR APRIBOJIMAI, TAIKOMI RINKODAROS TEISĖS TURĖTOJUI</w:t>
      </w:r>
      <w:bookmarkEnd w:id="4"/>
      <w:bookmarkEnd w:id="5"/>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Receptinis vaistinis preparatas</w:t>
      </w:r>
    </w:p>
    <w:p w:rsidR="00346FFF" w:rsidRPr="00FB5B94" w:rsidRDefault="00346FFF" w:rsidP="00346FFF">
      <w:pPr>
        <w:pStyle w:val="BTEMEASMCA"/>
        <w:rPr>
          <w:sz w:val="22"/>
          <w:szCs w:val="22"/>
          <w:highlight w:val="yellow"/>
        </w:rPr>
      </w:pPr>
    </w:p>
    <w:p w:rsidR="00346FFF" w:rsidRPr="00FB5B94" w:rsidRDefault="00346FFF" w:rsidP="00346FFF">
      <w:pPr>
        <w:pStyle w:val="PI-2EMEASMCA"/>
        <w:rPr>
          <w:sz w:val="22"/>
        </w:rPr>
      </w:pPr>
      <w:bookmarkStart w:id="6" w:name="_Toc129243131"/>
      <w:bookmarkStart w:id="7" w:name="_Toc129243256"/>
      <w:r w:rsidRPr="00FB5B94">
        <w:rPr>
          <w:sz w:val="22"/>
        </w:rPr>
        <w:t>•</w:t>
      </w:r>
      <w:r w:rsidRPr="00FB5B94">
        <w:rPr>
          <w:sz w:val="22"/>
        </w:rPr>
        <w:tab/>
        <w:t>SĄLYGOS AR APRIBOJIMAI, SKIRTI SAUGIAM IR VEIKSMINGAM VAISTINIO PREPARATO VARTOJIMUI UŽTIKRINTI</w:t>
      </w:r>
      <w:bookmarkEnd w:id="6"/>
      <w:bookmarkEnd w:id="7"/>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Nebūtini.</w:t>
      </w:r>
    </w:p>
    <w:p w:rsidR="00346FFF" w:rsidRPr="00FB5B94" w:rsidRDefault="00346FFF" w:rsidP="00346FFF">
      <w:pPr>
        <w:pStyle w:val="BTEMEASMCA"/>
        <w:rPr>
          <w:sz w:val="22"/>
          <w:szCs w:val="22"/>
        </w:rPr>
      </w:pPr>
    </w:p>
    <w:p w:rsidR="00346FFF" w:rsidRPr="00FB5B94" w:rsidRDefault="00346FFF" w:rsidP="00346FFF">
      <w:pPr>
        <w:pStyle w:val="PI-2EMEASMCA"/>
        <w:rPr>
          <w:sz w:val="22"/>
        </w:rPr>
      </w:pPr>
      <w:bookmarkStart w:id="8" w:name="_Toc129243132"/>
      <w:bookmarkStart w:id="9" w:name="_Toc129243257"/>
      <w:r w:rsidRPr="00FB5B94">
        <w:rPr>
          <w:sz w:val="22"/>
        </w:rPr>
        <w:t>•</w:t>
      </w:r>
      <w:r w:rsidRPr="00FB5B94">
        <w:rPr>
          <w:sz w:val="22"/>
        </w:rPr>
        <w:tab/>
        <w:t>KITOS SĄLYGOS</w:t>
      </w:r>
      <w:bookmarkEnd w:id="8"/>
      <w:bookmarkEnd w:id="9"/>
    </w:p>
    <w:p w:rsidR="00346FFF" w:rsidRPr="00FB5B94" w:rsidRDefault="00346FFF" w:rsidP="00346FFF">
      <w:pPr>
        <w:pStyle w:val="BTEMEASMCA"/>
        <w:rPr>
          <w:sz w:val="22"/>
          <w:szCs w:val="22"/>
          <w:highlight w:val="yellow"/>
        </w:rPr>
      </w:pPr>
    </w:p>
    <w:p w:rsidR="00346FFF" w:rsidRPr="00FB5B94" w:rsidRDefault="00346FFF" w:rsidP="00346FFF">
      <w:pPr>
        <w:pStyle w:val="Pagrindinistekstas"/>
        <w:spacing w:after="0"/>
        <w:rPr>
          <w:sz w:val="22"/>
          <w:szCs w:val="22"/>
        </w:rPr>
      </w:pPr>
      <w:proofErr w:type="gramStart"/>
      <w:r w:rsidRPr="00FB5B94">
        <w:rPr>
          <w:sz w:val="22"/>
          <w:szCs w:val="22"/>
          <w:lang w:val="en-US"/>
        </w:rPr>
        <w:t>Nėra.</w:t>
      </w:r>
      <w:proofErr w:type="gramEnd"/>
    </w:p>
    <w:p w:rsidR="00346FFF" w:rsidRPr="00FB5B94" w:rsidRDefault="00346FFF" w:rsidP="00346FFF">
      <w:pPr>
        <w:pStyle w:val="Pagrindinistekstas"/>
        <w:spacing w:after="0"/>
        <w:rPr>
          <w:sz w:val="22"/>
          <w:szCs w:val="22"/>
        </w:rPr>
      </w:pPr>
      <w:r w:rsidRPr="00FB5B94">
        <w:rPr>
          <w:sz w:val="22"/>
          <w:szCs w:val="22"/>
        </w:rPr>
        <w:br w:type="page"/>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CC5D3C">
      <w:pPr>
        <w:pStyle w:val="Pavadinimas"/>
        <w:jc w:val="center"/>
      </w:pPr>
      <w:r w:rsidRPr="00FB5B94">
        <w:t>III PRIEDAS</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jc w:val="center"/>
        <w:rPr>
          <w:b/>
          <w:sz w:val="22"/>
          <w:szCs w:val="22"/>
        </w:rPr>
      </w:pPr>
      <w:r w:rsidRPr="00FB5B94">
        <w:rPr>
          <w:b/>
          <w:sz w:val="22"/>
          <w:szCs w:val="22"/>
        </w:rPr>
        <w:t>ŽENKLINIMAS IR PAKUOTĖS LAPELIS</w:t>
      </w:r>
    </w:p>
    <w:p w:rsidR="00346FFF" w:rsidRPr="00FB5B94" w:rsidRDefault="00346FFF" w:rsidP="00346FFF">
      <w:pPr>
        <w:pStyle w:val="Pagrindinistekstas"/>
        <w:spacing w:after="0"/>
        <w:rPr>
          <w:sz w:val="22"/>
          <w:szCs w:val="22"/>
        </w:rPr>
      </w:pPr>
      <w:r w:rsidRPr="00FB5B94">
        <w:rPr>
          <w:sz w:val="22"/>
          <w:szCs w:val="22"/>
        </w:rPr>
        <w:br w:type="page"/>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p>
    <w:p w:rsidR="00346FFF" w:rsidRPr="00FB5B94" w:rsidRDefault="00346FFF" w:rsidP="00CC5D3C">
      <w:pPr>
        <w:pStyle w:val="Pavadinimas"/>
        <w:jc w:val="center"/>
      </w:pPr>
      <w:r w:rsidRPr="00FB5B94">
        <w:t>A. ŽENKLINIMAS</w:t>
      </w:r>
    </w:p>
    <w:p w:rsidR="007C4143" w:rsidRPr="00FB5B94" w:rsidRDefault="00346FFF" w:rsidP="007C4143">
      <w:pPr>
        <w:pStyle w:val="Pagrindinistekstas2"/>
        <w:tabs>
          <w:tab w:val="left" w:pos="567"/>
        </w:tabs>
        <w:spacing w:line="240" w:lineRule="auto"/>
        <w:ind w:left="360"/>
        <w:rPr>
          <w:b/>
          <w:sz w:val="22"/>
          <w:szCs w:val="22"/>
        </w:rPr>
      </w:pPr>
      <w:r w:rsidRPr="00FB5B94">
        <w:rPr>
          <w:sz w:val="22"/>
          <w:szCs w:val="22"/>
        </w:rPr>
        <w:br w:type="page"/>
      </w:r>
    </w:p>
    <w:p w:rsidR="007C4143" w:rsidRPr="00FB5B94" w:rsidRDefault="007C4143" w:rsidP="007C4143">
      <w:pPr>
        <w:pBdr>
          <w:top w:val="single" w:sz="4" w:space="1" w:color="auto"/>
          <w:left w:val="single" w:sz="4" w:space="4" w:color="auto"/>
          <w:bottom w:val="single" w:sz="4" w:space="1" w:color="auto"/>
          <w:right w:val="single" w:sz="4" w:space="4" w:color="auto"/>
        </w:pBdr>
        <w:outlineLvl w:val="0"/>
        <w:rPr>
          <w:b/>
          <w:caps/>
          <w:szCs w:val="22"/>
        </w:rPr>
      </w:pPr>
      <w:r w:rsidRPr="00FB5B94">
        <w:rPr>
          <w:b/>
          <w:caps/>
          <w:szCs w:val="22"/>
        </w:rPr>
        <w:lastRenderedPageBreak/>
        <w:t xml:space="preserve">Informacija ant </w:t>
      </w:r>
      <w:r w:rsidRPr="00FB5B94">
        <w:rPr>
          <w:b/>
          <w:szCs w:val="22"/>
        </w:rPr>
        <w:t>IŠORINĖS</w:t>
      </w:r>
      <w:r w:rsidRPr="00FB5B94">
        <w:rPr>
          <w:szCs w:val="22"/>
        </w:rPr>
        <w:t xml:space="preserve"> </w:t>
      </w:r>
      <w:r w:rsidRPr="00FB5B94">
        <w:rPr>
          <w:b/>
          <w:caps/>
          <w:szCs w:val="22"/>
        </w:rPr>
        <w:t xml:space="preserve">pakuotės </w:t>
      </w: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rPr>
          <w:szCs w:val="22"/>
        </w:rPr>
      </w:pPr>
      <w:r w:rsidRPr="00FB5B94">
        <w:rPr>
          <w:b/>
          <w:szCs w:val="22"/>
        </w:rPr>
        <w:t>KARTONO DĖŽUTĖ</w:t>
      </w:r>
    </w:p>
    <w:p w:rsidR="007C4143" w:rsidRPr="00FB5B94" w:rsidRDefault="007C4143" w:rsidP="007C4143">
      <w:pPr>
        <w:tabs>
          <w:tab w:val="left" w:pos="1620"/>
        </w:tabs>
        <w:ind w:left="567" w:hanging="567"/>
        <w:rPr>
          <w:szCs w:val="22"/>
        </w:rPr>
      </w:pPr>
    </w:p>
    <w:p w:rsidR="007C4143" w:rsidRPr="00FB5B94" w:rsidRDefault="007C4143" w:rsidP="007C4143">
      <w:pPr>
        <w:tabs>
          <w:tab w:val="left" w:pos="1620"/>
        </w:tabs>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w:t>
      </w:r>
      <w:r w:rsidRPr="00FB5B94">
        <w:rPr>
          <w:b/>
          <w:caps/>
          <w:szCs w:val="22"/>
        </w:rPr>
        <w:tab/>
        <w:t>vaistinio preparato pavadinimas</w:t>
      </w:r>
    </w:p>
    <w:p w:rsidR="007C4143" w:rsidRPr="00FB5B94" w:rsidRDefault="007C4143" w:rsidP="007C4143">
      <w:pPr>
        <w:ind w:left="567" w:hanging="567"/>
        <w:rPr>
          <w:szCs w:val="22"/>
        </w:rPr>
      </w:pPr>
    </w:p>
    <w:p w:rsidR="007C4143" w:rsidRPr="00FB5B94" w:rsidRDefault="007C4143" w:rsidP="007C4143">
      <w:pPr>
        <w:ind w:left="567" w:hanging="567"/>
        <w:rPr>
          <w:szCs w:val="22"/>
        </w:rPr>
      </w:pPr>
      <w:r w:rsidRPr="00FB5B94">
        <w:rPr>
          <w:szCs w:val="22"/>
        </w:rPr>
        <w:t>Teboneva 70 mg tabletės ir 1 mikrogramas minkštosios kapsulės</w:t>
      </w:r>
    </w:p>
    <w:p w:rsidR="007C4143" w:rsidRPr="00FB5B94" w:rsidRDefault="007C4143" w:rsidP="007C4143">
      <w:pPr>
        <w:ind w:left="567" w:hanging="567"/>
        <w:rPr>
          <w:szCs w:val="22"/>
        </w:rPr>
      </w:pPr>
      <w:r w:rsidRPr="00FB5B94">
        <w:rPr>
          <w:szCs w:val="22"/>
        </w:rPr>
        <w:t>Natrii alendronas monohydricus</w:t>
      </w:r>
    </w:p>
    <w:p w:rsidR="007C4143" w:rsidRPr="00FB5B94" w:rsidRDefault="007C4143" w:rsidP="007C4143">
      <w:pPr>
        <w:ind w:left="567" w:hanging="567"/>
        <w:rPr>
          <w:szCs w:val="22"/>
        </w:rPr>
      </w:pPr>
      <w:r w:rsidRPr="00FB5B94">
        <w:rPr>
          <w:szCs w:val="22"/>
        </w:rPr>
        <w:t>Alfacalcidolum</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2.</w:t>
      </w:r>
      <w:r w:rsidRPr="00FB5B94">
        <w:rPr>
          <w:b/>
          <w:caps/>
          <w:szCs w:val="22"/>
        </w:rPr>
        <w:tab/>
        <w:t xml:space="preserve">veikliOJI medžiagA ir JOS kiekis </w:t>
      </w:r>
    </w:p>
    <w:p w:rsidR="007C4143" w:rsidRPr="00FB5B94" w:rsidRDefault="007C4143" w:rsidP="007C4143">
      <w:pPr>
        <w:ind w:left="567" w:hanging="567"/>
        <w:rPr>
          <w:szCs w:val="22"/>
        </w:rPr>
      </w:pPr>
    </w:p>
    <w:p w:rsidR="007C4143" w:rsidRPr="00FB5B94" w:rsidRDefault="007C4143" w:rsidP="007C4143">
      <w:pPr>
        <w:rPr>
          <w:szCs w:val="22"/>
          <w:highlight w:val="lightGray"/>
        </w:rPr>
      </w:pPr>
      <w:r w:rsidRPr="00FB5B94">
        <w:rPr>
          <w:szCs w:val="22"/>
        </w:rPr>
        <w:t>Vienoje tabletėje yra 70 mg alendrono rūgšties (natrio alendronato monohidrato pavidalu).</w:t>
      </w:r>
    </w:p>
    <w:p w:rsidR="007C4143" w:rsidRPr="00FB5B94" w:rsidRDefault="007C4143" w:rsidP="007C4143">
      <w:pPr>
        <w:rPr>
          <w:szCs w:val="22"/>
        </w:rPr>
      </w:pPr>
      <w:r w:rsidRPr="00FB5B94">
        <w:rPr>
          <w:szCs w:val="22"/>
        </w:rPr>
        <w:t>Vienoje minkštojoje kapsulėje yra 1 mikrogramas alfakalcidolio.</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3.</w:t>
      </w:r>
      <w:r w:rsidRPr="00FB5B94">
        <w:rPr>
          <w:b/>
          <w:caps/>
          <w:szCs w:val="22"/>
        </w:rPr>
        <w:tab/>
        <w:t>pagalbinių medžiagų sąrašas</w:t>
      </w:r>
    </w:p>
    <w:p w:rsidR="007C4143" w:rsidRPr="00FB5B94" w:rsidRDefault="007C4143" w:rsidP="007C4143">
      <w:pPr>
        <w:ind w:left="567" w:hanging="567"/>
        <w:rPr>
          <w:szCs w:val="22"/>
        </w:rPr>
      </w:pPr>
    </w:p>
    <w:p w:rsidR="007C4143" w:rsidRPr="00FB5B94" w:rsidRDefault="007C4143" w:rsidP="007C4143">
      <w:pPr>
        <w:ind w:left="567" w:hanging="567"/>
        <w:rPr>
          <w:szCs w:val="22"/>
        </w:rPr>
      </w:pPr>
      <w:r w:rsidRPr="00FB5B94">
        <w:rPr>
          <w:szCs w:val="22"/>
        </w:rPr>
        <w:t>Alfakalcidolio kapsulių sudėtyje yra etanolio (alkoholio), žemės riešutų aliejaus ir sorbitolio.</w:t>
      </w:r>
    </w:p>
    <w:p w:rsidR="007C4143" w:rsidRPr="00FB5B94" w:rsidRDefault="007C4143" w:rsidP="007C4143">
      <w:pPr>
        <w:ind w:left="567" w:hanging="567"/>
        <w:rPr>
          <w:szCs w:val="22"/>
        </w:rPr>
      </w:pPr>
      <w:r w:rsidRPr="00FB5B94">
        <w:rPr>
          <w:szCs w:val="22"/>
        </w:rPr>
        <w:t>Daugiau informacijos pateikta pakuotės lapelyje.</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4.</w:t>
      </w:r>
      <w:r w:rsidRPr="00FB5B94">
        <w:rPr>
          <w:b/>
          <w:caps/>
          <w:szCs w:val="22"/>
        </w:rPr>
        <w:tab/>
        <w:t>FARMACINĖ forma ir KIEKIS PAKUOTĖJE</w:t>
      </w:r>
    </w:p>
    <w:p w:rsidR="007C4143" w:rsidRPr="00FB5B94" w:rsidRDefault="007C4143" w:rsidP="007C4143">
      <w:pPr>
        <w:pStyle w:val="GRDTITRE"/>
        <w:spacing w:before="0" w:after="0"/>
        <w:jc w:val="left"/>
        <w:rPr>
          <w:b w:val="0"/>
          <w:sz w:val="22"/>
          <w:szCs w:val="22"/>
          <w:lang w:val="lt-LT"/>
        </w:rPr>
      </w:pPr>
    </w:p>
    <w:p w:rsidR="007C4143" w:rsidRPr="00FB5B94" w:rsidRDefault="007C4143" w:rsidP="007C4143">
      <w:pPr>
        <w:pStyle w:val="Pagrindinistekstas"/>
        <w:spacing w:after="0"/>
        <w:rPr>
          <w:sz w:val="22"/>
          <w:szCs w:val="22"/>
        </w:rPr>
      </w:pPr>
      <w:r w:rsidRPr="00FB5B94">
        <w:rPr>
          <w:sz w:val="22"/>
          <w:szCs w:val="22"/>
          <w:highlight w:val="lightGray"/>
        </w:rPr>
        <w:t>2 tabletės alendrono rūgšties ir14 kapsulių alfakalcidolio</w:t>
      </w:r>
      <w:r w:rsidRPr="00FB5B94">
        <w:rPr>
          <w:sz w:val="22"/>
          <w:szCs w:val="22"/>
          <w:highlight w:val="lightGray"/>
        </w:rPr>
        <w:tab/>
      </w:r>
      <w:r w:rsidRPr="00FB5B94">
        <w:rPr>
          <w:sz w:val="22"/>
          <w:szCs w:val="22"/>
          <w:highlight w:val="lightGray"/>
        </w:rPr>
        <w:tab/>
        <w:t>pavyzdys</w:t>
      </w:r>
    </w:p>
    <w:p w:rsidR="007C4143" w:rsidRPr="00FB5B94" w:rsidRDefault="007C4143" w:rsidP="007C4143">
      <w:pPr>
        <w:pStyle w:val="Pagrindinistekstas"/>
        <w:spacing w:after="0"/>
        <w:rPr>
          <w:sz w:val="22"/>
          <w:szCs w:val="22"/>
        </w:rPr>
      </w:pPr>
      <w:r w:rsidRPr="00FB5B94">
        <w:rPr>
          <w:sz w:val="22"/>
          <w:szCs w:val="22"/>
        </w:rPr>
        <w:t xml:space="preserve">4 tabletės alendrono rūgšties ir 28 kapsulės alfakalcidolio </w:t>
      </w:r>
    </w:p>
    <w:p w:rsidR="007C4143" w:rsidRPr="00FB5B94" w:rsidRDefault="007C4143" w:rsidP="007C4143">
      <w:pPr>
        <w:pStyle w:val="Pagrindinistekstas"/>
        <w:spacing w:after="0"/>
        <w:rPr>
          <w:sz w:val="22"/>
          <w:szCs w:val="22"/>
          <w:highlight w:val="lightGray"/>
        </w:rPr>
      </w:pPr>
      <w:r w:rsidRPr="00FB5B94">
        <w:rPr>
          <w:sz w:val="22"/>
          <w:szCs w:val="22"/>
          <w:highlight w:val="lightGray"/>
        </w:rPr>
        <w:t>8 tabletės alendrono rūgšties ir 56 kapsulės alfakalcidolio</w:t>
      </w:r>
    </w:p>
    <w:p w:rsidR="007C4143" w:rsidRPr="00FB5B94" w:rsidRDefault="007C4143" w:rsidP="007C4143">
      <w:pPr>
        <w:pStyle w:val="Pagrindinistekstas"/>
        <w:spacing w:after="0"/>
        <w:rPr>
          <w:sz w:val="22"/>
          <w:szCs w:val="22"/>
          <w:highlight w:val="lightGray"/>
        </w:rPr>
      </w:pPr>
      <w:r w:rsidRPr="00FB5B94">
        <w:rPr>
          <w:sz w:val="22"/>
          <w:szCs w:val="22"/>
          <w:highlight w:val="lightGray"/>
        </w:rPr>
        <w:t>12 tablečių alendrono rūgšties ir 84 kapsulės alfakalcidolio</w:t>
      </w:r>
    </w:p>
    <w:p w:rsidR="007C4143" w:rsidRPr="00FB5B94" w:rsidRDefault="007C4143" w:rsidP="007C4143">
      <w:pPr>
        <w:ind w:left="567" w:hanging="567"/>
        <w:rPr>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5.</w:t>
      </w:r>
      <w:r w:rsidRPr="00FB5B94">
        <w:rPr>
          <w:b/>
          <w:caps/>
          <w:szCs w:val="22"/>
        </w:rPr>
        <w:tab/>
        <w:t>vartojimo METODAS IR būdas</w:t>
      </w:r>
    </w:p>
    <w:p w:rsidR="007C4143" w:rsidRPr="00FB5B94" w:rsidRDefault="007C4143" w:rsidP="007C4143">
      <w:pPr>
        <w:ind w:left="567" w:hanging="567"/>
        <w:rPr>
          <w:caps/>
          <w:szCs w:val="22"/>
        </w:rPr>
      </w:pPr>
    </w:p>
    <w:p w:rsidR="007C4143" w:rsidRPr="00FB5B94" w:rsidRDefault="007C4143" w:rsidP="007C4143">
      <w:pPr>
        <w:pStyle w:val="Pagrindinistekstas"/>
        <w:spacing w:after="0"/>
        <w:rPr>
          <w:sz w:val="22"/>
          <w:szCs w:val="22"/>
        </w:rPr>
      </w:pPr>
      <w:r w:rsidRPr="00FB5B94">
        <w:rPr>
          <w:sz w:val="22"/>
          <w:szCs w:val="22"/>
        </w:rPr>
        <w:t>Negalima sukramtyti. Nurykite tabletes ir kapsules nesmulkintas.</w:t>
      </w:r>
    </w:p>
    <w:p w:rsidR="007C4143" w:rsidRPr="00FB5B94" w:rsidRDefault="007C4143" w:rsidP="007C4143">
      <w:pPr>
        <w:pStyle w:val="Pagrindinistekstas"/>
        <w:spacing w:after="0"/>
        <w:rPr>
          <w:sz w:val="22"/>
          <w:szCs w:val="22"/>
        </w:rPr>
      </w:pPr>
      <w:r w:rsidRPr="00FB5B94">
        <w:rPr>
          <w:sz w:val="22"/>
          <w:szCs w:val="22"/>
        </w:rPr>
        <w:t>Vartoti per burną.</w:t>
      </w:r>
    </w:p>
    <w:p w:rsidR="007C4143" w:rsidRPr="00FB5B94" w:rsidRDefault="007C4143" w:rsidP="007C4143">
      <w:pPr>
        <w:pStyle w:val="Pagrindinistekstas"/>
        <w:spacing w:after="0"/>
        <w:rPr>
          <w:sz w:val="22"/>
          <w:szCs w:val="22"/>
        </w:rPr>
      </w:pPr>
      <w:r w:rsidRPr="00FB5B94">
        <w:rPr>
          <w:sz w:val="22"/>
          <w:szCs w:val="22"/>
        </w:rPr>
        <w:t>Prieš vartojimą perskaitykite pakuotės lapelį.</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720" w:hanging="720"/>
        <w:outlineLvl w:val="0"/>
        <w:rPr>
          <w:b/>
          <w:caps/>
          <w:szCs w:val="22"/>
        </w:rPr>
      </w:pPr>
      <w:r w:rsidRPr="00FB5B94">
        <w:rPr>
          <w:b/>
          <w:caps/>
          <w:szCs w:val="22"/>
        </w:rPr>
        <w:t>6.</w:t>
      </w:r>
      <w:r w:rsidRPr="00FB5B94">
        <w:rPr>
          <w:b/>
          <w:caps/>
          <w:szCs w:val="22"/>
        </w:rPr>
        <w:tab/>
        <w:t>SPECIALUS Įspėjimas</w:t>
      </w:r>
      <w:r w:rsidRPr="00FB5B94">
        <w:rPr>
          <w:szCs w:val="22"/>
        </w:rPr>
        <w:t xml:space="preserve">, </w:t>
      </w:r>
      <w:r w:rsidRPr="00FB5B94">
        <w:rPr>
          <w:b/>
          <w:szCs w:val="22"/>
        </w:rPr>
        <w:t xml:space="preserve">KAD VAISTINĮ PREPARATĄ BŪTINA LAIKYTI </w:t>
      </w:r>
      <w:r w:rsidRPr="00FB5B94">
        <w:rPr>
          <w:b/>
          <w:caps/>
          <w:szCs w:val="22"/>
        </w:rPr>
        <w:t>vaikams nepasiekiamoje ir nepastebimoje vietoje</w:t>
      </w:r>
    </w:p>
    <w:p w:rsidR="007C4143" w:rsidRPr="00FB5B94" w:rsidRDefault="007C4143" w:rsidP="007C4143">
      <w:pPr>
        <w:ind w:left="567" w:hanging="567"/>
        <w:rPr>
          <w:szCs w:val="22"/>
        </w:rPr>
      </w:pPr>
    </w:p>
    <w:p w:rsidR="007C4143" w:rsidRPr="00FB5B94" w:rsidRDefault="007C4143" w:rsidP="007C4143">
      <w:pPr>
        <w:ind w:left="567" w:hanging="567"/>
        <w:outlineLvl w:val="0"/>
        <w:rPr>
          <w:szCs w:val="22"/>
        </w:rPr>
      </w:pPr>
      <w:r w:rsidRPr="00FB5B94">
        <w:rPr>
          <w:szCs w:val="22"/>
        </w:rPr>
        <w:t>Laikyti vaikams nepasiekiamoje ir nepastebimoje vietoje.</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pBdr>
          <w:top w:val="single" w:sz="4" w:space="0" w:color="auto"/>
          <w:left w:val="single" w:sz="4" w:space="4" w:color="auto"/>
          <w:bottom w:val="single" w:sz="4" w:space="1" w:color="auto"/>
          <w:right w:val="single" w:sz="4" w:space="4" w:color="auto"/>
        </w:pBdr>
        <w:ind w:left="567" w:hanging="567"/>
        <w:outlineLvl w:val="0"/>
        <w:rPr>
          <w:b/>
          <w:caps/>
          <w:szCs w:val="22"/>
        </w:rPr>
      </w:pPr>
      <w:r w:rsidRPr="00FB5B94">
        <w:rPr>
          <w:b/>
          <w:caps/>
          <w:szCs w:val="22"/>
        </w:rPr>
        <w:t>7.</w:t>
      </w:r>
      <w:r w:rsidRPr="00FB5B94">
        <w:rPr>
          <w:b/>
          <w:caps/>
          <w:szCs w:val="22"/>
        </w:rPr>
        <w:tab/>
        <w:t>kitas specialus Įspėjimas (jei reikia)</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8.</w:t>
      </w:r>
      <w:r w:rsidRPr="00FB5B94">
        <w:rPr>
          <w:b/>
          <w:caps/>
          <w:szCs w:val="22"/>
        </w:rPr>
        <w:tab/>
        <w:t>tinkamumo laikas</w:t>
      </w:r>
    </w:p>
    <w:p w:rsidR="007C4143" w:rsidRPr="00FB5B94" w:rsidRDefault="007C4143" w:rsidP="007C4143">
      <w:pPr>
        <w:ind w:left="567" w:hanging="567"/>
        <w:rPr>
          <w:szCs w:val="22"/>
        </w:rPr>
      </w:pPr>
    </w:p>
    <w:p w:rsidR="007C4143" w:rsidRPr="00FB5B94" w:rsidRDefault="007C4143" w:rsidP="007C4143">
      <w:pPr>
        <w:ind w:left="567" w:hanging="567"/>
        <w:outlineLvl w:val="0"/>
        <w:rPr>
          <w:szCs w:val="22"/>
        </w:rPr>
      </w:pPr>
      <w:r w:rsidRPr="00FB5B94">
        <w:rPr>
          <w:szCs w:val="22"/>
        </w:rPr>
        <w:t>Tinka iki {mm/MMMM}</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9.</w:t>
      </w:r>
      <w:r w:rsidRPr="00FB5B94">
        <w:rPr>
          <w:b/>
          <w:caps/>
          <w:szCs w:val="22"/>
        </w:rPr>
        <w:tab/>
        <w:t>SPECIALIOS laikymo sąlygos</w:t>
      </w:r>
    </w:p>
    <w:p w:rsidR="007C4143" w:rsidRPr="00FB5B94" w:rsidRDefault="007C4143" w:rsidP="007C4143">
      <w:pPr>
        <w:ind w:left="567" w:hanging="567"/>
        <w:rPr>
          <w:szCs w:val="22"/>
        </w:rPr>
      </w:pPr>
    </w:p>
    <w:p w:rsidR="007C4143" w:rsidRPr="00FB5B94" w:rsidRDefault="007C4143" w:rsidP="007C4143">
      <w:pPr>
        <w:rPr>
          <w:szCs w:val="22"/>
        </w:rPr>
      </w:pPr>
      <w:r w:rsidRPr="00FB5B94">
        <w:rPr>
          <w:szCs w:val="22"/>
        </w:rPr>
        <w:lastRenderedPageBreak/>
        <w:t>Laikyti ne aukštesnėje kaip 25 °C temperatūroje.</w:t>
      </w:r>
    </w:p>
    <w:p w:rsidR="007C4143" w:rsidRPr="00FB5B94" w:rsidRDefault="007C4143" w:rsidP="007C4143">
      <w:pPr>
        <w:tabs>
          <w:tab w:val="left" w:pos="567"/>
        </w:tabs>
        <w:spacing w:line="260" w:lineRule="exact"/>
        <w:rPr>
          <w:szCs w:val="22"/>
          <w:lang w:eastAsia="en-US"/>
        </w:rPr>
      </w:pPr>
      <w:r w:rsidRPr="00FB5B94">
        <w:rPr>
          <w:szCs w:val="22"/>
          <w:lang w:eastAsia="en-US"/>
        </w:rPr>
        <w:t xml:space="preserve">Laikyti gamintojo pakuotėje, kad preparatas būtų apsaugotas nuo šviesos ir drėgmės. </w:t>
      </w:r>
    </w:p>
    <w:p w:rsidR="007C4143" w:rsidRPr="00FB5B94" w:rsidRDefault="007C4143" w:rsidP="007C4143">
      <w:pPr>
        <w:rPr>
          <w:szCs w:val="22"/>
        </w:rPr>
      </w:pPr>
    </w:p>
    <w:p w:rsidR="007C4143" w:rsidRPr="00FB5B94" w:rsidRDefault="007C4143" w:rsidP="007C4143">
      <w:pPr>
        <w:rPr>
          <w:szCs w:val="22"/>
        </w:rPr>
      </w:pPr>
    </w:p>
    <w:p w:rsidR="007C4143" w:rsidRPr="00FB5B94" w:rsidRDefault="007C4143" w:rsidP="007C4143">
      <w:pPr>
        <w:pStyle w:val="PI-1labEMEASMCA"/>
        <w:rPr>
          <w:noProof w:val="0"/>
          <w:sz w:val="22"/>
          <w:szCs w:val="22"/>
        </w:rPr>
      </w:pPr>
      <w:r w:rsidRPr="00FB5B94">
        <w:rPr>
          <w:caps/>
          <w:noProof w:val="0"/>
          <w:sz w:val="22"/>
          <w:szCs w:val="22"/>
        </w:rPr>
        <w:t>10.</w:t>
      </w:r>
      <w:r w:rsidRPr="00FB5B94">
        <w:rPr>
          <w:caps/>
          <w:noProof w:val="0"/>
          <w:sz w:val="22"/>
          <w:szCs w:val="22"/>
        </w:rPr>
        <w:tab/>
      </w:r>
      <w:r w:rsidRPr="00FB5B94">
        <w:rPr>
          <w:noProof w:val="0"/>
          <w:sz w:val="22"/>
          <w:szCs w:val="22"/>
        </w:rPr>
        <w:t xml:space="preserve">SPECIALIOS ATSARGUMO PRIEMONĖS DĖL NESUVARTOTO </w:t>
      </w:r>
      <w:r w:rsidRPr="00FB5B94">
        <w:rPr>
          <w:bCs/>
          <w:noProof w:val="0"/>
          <w:sz w:val="22"/>
          <w:szCs w:val="22"/>
        </w:rPr>
        <w:t xml:space="preserve">VAISTINIO PREPARATO AR JO ATLIEKŲ </w:t>
      </w:r>
      <w:r w:rsidRPr="00FB5B94">
        <w:rPr>
          <w:noProof w:val="0"/>
          <w:sz w:val="22"/>
          <w:szCs w:val="22"/>
        </w:rPr>
        <w:t>TVARKYMO (JEI REIKIA)</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11.</w:t>
      </w:r>
      <w:r w:rsidRPr="00FB5B94">
        <w:rPr>
          <w:b/>
          <w:caps/>
          <w:szCs w:val="22"/>
        </w:rPr>
        <w:tab/>
      </w:r>
      <w:r w:rsidRPr="00FB5B94">
        <w:rPr>
          <w:b/>
          <w:szCs w:val="22"/>
        </w:rPr>
        <w:t>RINKODAROS TEISĖS</w:t>
      </w:r>
      <w:r w:rsidRPr="00FB5B94">
        <w:rPr>
          <w:szCs w:val="22"/>
        </w:rPr>
        <w:t xml:space="preserve"> </w:t>
      </w:r>
      <w:r w:rsidRPr="00FB5B94">
        <w:rPr>
          <w:b/>
          <w:caps/>
          <w:szCs w:val="22"/>
        </w:rPr>
        <w:t>turėtojo pavadinimas ir adresas</w:t>
      </w:r>
    </w:p>
    <w:p w:rsidR="007C4143" w:rsidRPr="00FB5B94" w:rsidRDefault="007C4143" w:rsidP="007C4143">
      <w:pPr>
        <w:ind w:left="567" w:hanging="567"/>
        <w:rPr>
          <w:caps/>
          <w:szCs w:val="22"/>
        </w:rPr>
      </w:pPr>
    </w:p>
    <w:p w:rsidR="007C4143" w:rsidRPr="00FB5B94" w:rsidRDefault="007C4143" w:rsidP="007C4143">
      <w:pPr>
        <w:pStyle w:val="Pagrindinistekstas"/>
        <w:spacing w:after="0"/>
        <w:rPr>
          <w:sz w:val="22"/>
          <w:szCs w:val="22"/>
        </w:rPr>
      </w:pPr>
      <w:r w:rsidRPr="00FB5B94">
        <w:rPr>
          <w:sz w:val="22"/>
          <w:szCs w:val="22"/>
        </w:rPr>
        <w:t>Teva Pharma B.V.</w:t>
      </w:r>
    </w:p>
    <w:p w:rsidR="007C4143" w:rsidRPr="00FB5B94" w:rsidRDefault="007C4143" w:rsidP="007C4143">
      <w:pPr>
        <w:rPr>
          <w:rFonts w:eastAsia="Arial Unicode MS"/>
          <w:noProof/>
          <w:szCs w:val="22"/>
        </w:rPr>
      </w:pPr>
      <w:r w:rsidRPr="00FB5B94">
        <w:rPr>
          <w:rFonts w:eastAsia="Arial Unicode MS"/>
          <w:noProof/>
          <w:szCs w:val="22"/>
        </w:rPr>
        <w:t xml:space="preserve">Computerweg 10 </w:t>
      </w:r>
    </w:p>
    <w:p w:rsidR="007C4143" w:rsidRPr="00FB5B94" w:rsidRDefault="007C4143" w:rsidP="007C4143">
      <w:pPr>
        <w:rPr>
          <w:rFonts w:eastAsia="Arial Unicode MS"/>
          <w:noProof/>
          <w:szCs w:val="22"/>
        </w:rPr>
      </w:pPr>
      <w:r w:rsidRPr="00FB5B94">
        <w:rPr>
          <w:rFonts w:eastAsia="Arial Unicode MS"/>
          <w:noProof/>
          <w:szCs w:val="22"/>
        </w:rPr>
        <w:t xml:space="preserve">3542 DR Utrecht </w:t>
      </w:r>
    </w:p>
    <w:p w:rsidR="007C4143" w:rsidRPr="00FB5B94" w:rsidRDefault="007C4143" w:rsidP="007C4143">
      <w:pPr>
        <w:pStyle w:val="Pagrindinistekstas"/>
        <w:spacing w:after="0"/>
        <w:rPr>
          <w:sz w:val="22"/>
          <w:szCs w:val="22"/>
        </w:rPr>
      </w:pPr>
      <w:r w:rsidRPr="00FB5B94">
        <w:rPr>
          <w:rFonts w:eastAsia="Arial Unicode MS"/>
          <w:noProof/>
          <w:sz w:val="22"/>
          <w:szCs w:val="22"/>
        </w:rPr>
        <w:t>Nyderlandai</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12.</w:t>
      </w:r>
      <w:r w:rsidRPr="00FB5B94">
        <w:rPr>
          <w:b/>
          <w:caps/>
          <w:szCs w:val="22"/>
        </w:rPr>
        <w:tab/>
      </w:r>
      <w:r w:rsidRPr="00FB5B94">
        <w:rPr>
          <w:b/>
          <w:szCs w:val="22"/>
        </w:rPr>
        <w:t>RINKODAROS TEISĖS</w:t>
      </w:r>
      <w:r w:rsidRPr="00FB5B94">
        <w:rPr>
          <w:szCs w:val="22"/>
        </w:rPr>
        <w:t xml:space="preserve"> </w:t>
      </w:r>
      <w:r w:rsidRPr="00FB5B94">
        <w:rPr>
          <w:b/>
          <w:caps/>
          <w:szCs w:val="22"/>
        </w:rPr>
        <w:t>numeris</w:t>
      </w:r>
    </w:p>
    <w:p w:rsidR="007C4143" w:rsidRPr="00FB5B94" w:rsidRDefault="007C4143" w:rsidP="007C4143">
      <w:pPr>
        <w:ind w:left="567" w:hanging="567"/>
        <w:rPr>
          <w:szCs w:val="22"/>
        </w:rPr>
      </w:pPr>
    </w:p>
    <w:p w:rsidR="007C4143" w:rsidRPr="00FB5B94" w:rsidRDefault="007C4143" w:rsidP="007C4143">
      <w:pPr>
        <w:pStyle w:val="Pagrindinistekstas"/>
        <w:spacing w:after="0"/>
        <w:rPr>
          <w:noProof/>
          <w:sz w:val="22"/>
          <w:szCs w:val="22"/>
        </w:rPr>
      </w:pPr>
      <w:r w:rsidRPr="00FB5B94">
        <w:rPr>
          <w:noProof/>
          <w:sz w:val="22"/>
          <w:szCs w:val="22"/>
        </w:rPr>
        <w:t>N2+N14 – LT/1/12/2799/001</w:t>
      </w:r>
    </w:p>
    <w:p w:rsidR="007C4143" w:rsidRPr="00FB5B94" w:rsidRDefault="007C4143" w:rsidP="007C4143">
      <w:pPr>
        <w:pStyle w:val="Pagrindinistekstas"/>
        <w:spacing w:after="0"/>
        <w:rPr>
          <w:noProof/>
          <w:sz w:val="22"/>
          <w:szCs w:val="22"/>
        </w:rPr>
      </w:pPr>
      <w:r w:rsidRPr="00FB5B94">
        <w:rPr>
          <w:noProof/>
          <w:sz w:val="22"/>
          <w:szCs w:val="22"/>
        </w:rPr>
        <w:t>N4+N28 – LT/1/12/2799/002</w:t>
      </w:r>
    </w:p>
    <w:p w:rsidR="007C4143" w:rsidRPr="00FB5B94" w:rsidRDefault="007C4143" w:rsidP="007C4143">
      <w:pPr>
        <w:pStyle w:val="Pagrindinistekstas"/>
        <w:spacing w:after="0"/>
        <w:rPr>
          <w:noProof/>
          <w:sz w:val="22"/>
          <w:szCs w:val="22"/>
        </w:rPr>
      </w:pPr>
      <w:r w:rsidRPr="00FB5B94">
        <w:rPr>
          <w:noProof/>
          <w:sz w:val="22"/>
          <w:szCs w:val="22"/>
        </w:rPr>
        <w:t>N8+N56 – LT/1/12/2799/003</w:t>
      </w:r>
    </w:p>
    <w:p w:rsidR="007C4143" w:rsidRPr="00FB5B94" w:rsidRDefault="007C4143" w:rsidP="007C4143">
      <w:pPr>
        <w:pStyle w:val="Pagrindinistekstas"/>
        <w:spacing w:after="0"/>
        <w:rPr>
          <w:noProof/>
          <w:sz w:val="22"/>
          <w:szCs w:val="22"/>
        </w:rPr>
      </w:pPr>
      <w:r w:rsidRPr="00FB5B94">
        <w:rPr>
          <w:noProof/>
          <w:sz w:val="22"/>
          <w:szCs w:val="22"/>
        </w:rPr>
        <w:t>N12+N84 – LT/1/12/2799/004</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13.</w:t>
      </w:r>
      <w:r w:rsidRPr="00FB5B94">
        <w:rPr>
          <w:b/>
          <w:caps/>
          <w:szCs w:val="22"/>
        </w:rPr>
        <w:tab/>
        <w:t>serijos numeris</w:t>
      </w:r>
    </w:p>
    <w:p w:rsidR="007C4143" w:rsidRPr="00FB5B94" w:rsidRDefault="007C4143" w:rsidP="007C4143">
      <w:pPr>
        <w:ind w:left="567" w:hanging="567"/>
        <w:rPr>
          <w:szCs w:val="22"/>
        </w:rPr>
      </w:pPr>
    </w:p>
    <w:p w:rsidR="007C4143" w:rsidRPr="00FB5B94" w:rsidRDefault="007C4143" w:rsidP="007C4143">
      <w:pPr>
        <w:ind w:left="567" w:hanging="567"/>
        <w:rPr>
          <w:szCs w:val="22"/>
        </w:rPr>
      </w:pPr>
      <w:r w:rsidRPr="00FB5B94">
        <w:rPr>
          <w:szCs w:val="22"/>
        </w:rPr>
        <w:t>Serija</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14.</w:t>
      </w:r>
      <w:r w:rsidRPr="00FB5B94">
        <w:rPr>
          <w:b/>
          <w:caps/>
          <w:szCs w:val="22"/>
        </w:rPr>
        <w:tab/>
      </w:r>
      <w:r w:rsidRPr="00FB5B94">
        <w:rPr>
          <w:b/>
          <w:szCs w:val="22"/>
        </w:rPr>
        <w:t>PARDAVIMO (IŠDAVIMO)</w:t>
      </w:r>
      <w:r w:rsidRPr="00FB5B94">
        <w:rPr>
          <w:b/>
          <w:caps/>
          <w:szCs w:val="22"/>
        </w:rPr>
        <w:t xml:space="preserve"> tvarka</w:t>
      </w:r>
    </w:p>
    <w:p w:rsidR="007C4143" w:rsidRPr="00FB5B94" w:rsidRDefault="007C4143" w:rsidP="007C4143">
      <w:pPr>
        <w:ind w:left="567" w:hanging="567"/>
        <w:rPr>
          <w:szCs w:val="22"/>
        </w:rPr>
      </w:pPr>
    </w:p>
    <w:p w:rsidR="007C4143" w:rsidRPr="00FB5B94" w:rsidRDefault="007C4143" w:rsidP="007C4143">
      <w:pPr>
        <w:ind w:left="567" w:hanging="567"/>
        <w:rPr>
          <w:szCs w:val="22"/>
        </w:rPr>
      </w:pPr>
      <w:r w:rsidRPr="00FB5B94">
        <w:rPr>
          <w:szCs w:val="22"/>
        </w:rPr>
        <w:t>Receptinis vaistinis preparatas.</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15.</w:t>
      </w:r>
      <w:r w:rsidRPr="00FB5B94">
        <w:rPr>
          <w:b/>
          <w:caps/>
          <w:szCs w:val="22"/>
        </w:rPr>
        <w:tab/>
        <w:t>vartojimo instrukcijA</w:t>
      </w:r>
    </w:p>
    <w:p w:rsidR="007C4143" w:rsidRPr="00FB5B94" w:rsidRDefault="007C4143" w:rsidP="007C414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1116"/>
        <w:gridCol w:w="1117"/>
        <w:gridCol w:w="1118"/>
        <w:gridCol w:w="1118"/>
        <w:gridCol w:w="1118"/>
        <w:gridCol w:w="1118"/>
        <w:gridCol w:w="1118"/>
      </w:tblGrid>
      <w:tr w:rsidR="007C4143" w:rsidRPr="00FB5B94" w:rsidTr="00EA6382">
        <w:tc>
          <w:tcPr>
            <w:tcW w:w="1463" w:type="dxa"/>
          </w:tcPr>
          <w:p w:rsidR="007C4143" w:rsidRPr="00FB5B94" w:rsidRDefault="007C4143" w:rsidP="00EA6382">
            <w:pPr>
              <w:rPr>
                <w:szCs w:val="22"/>
              </w:rPr>
            </w:pPr>
            <w:r w:rsidRPr="00FB5B94">
              <w:rPr>
                <w:szCs w:val="22"/>
              </w:rPr>
              <w:t>Dozavimas</w:t>
            </w:r>
          </w:p>
          <w:p w:rsidR="007C4143" w:rsidRPr="00FB5B94" w:rsidRDefault="007C4143" w:rsidP="00EA6382">
            <w:pPr>
              <w:rPr>
                <w:szCs w:val="22"/>
              </w:rPr>
            </w:pPr>
          </w:p>
        </w:tc>
        <w:tc>
          <w:tcPr>
            <w:tcW w:w="1116" w:type="dxa"/>
          </w:tcPr>
          <w:p w:rsidR="007C4143" w:rsidRPr="00FB5B94" w:rsidRDefault="007C4143" w:rsidP="00EA6382">
            <w:pPr>
              <w:rPr>
                <w:szCs w:val="22"/>
              </w:rPr>
            </w:pPr>
            <w:r w:rsidRPr="00FB5B94">
              <w:rPr>
                <w:szCs w:val="22"/>
              </w:rPr>
              <w:t>1 diena</w:t>
            </w:r>
          </w:p>
        </w:tc>
        <w:tc>
          <w:tcPr>
            <w:tcW w:w="1117" w:type="dxa"/>
          </w:tcPr>
          <w:p w:rsidR="007C4143" w:rsidRPr="00FB5B94" w:rsidRDefault="007C4143" w:rsidP="00EA6382">
            <w:pPr>
              <w:rPr>
                <w:szCs w:val="22"/>
              </w:rPr>
            </w:pPr>
            <w:r w:rsidRPr="00FB5B94">
              <w:rPr>
                <w:szCs w:val="22"/>
              </w:rPr>
              <w:t>2 diena</w:t>
            </w:r>
          </w:p>
        </w:tc>
        <w:tc>
          <w:tcPr>
            <w:tcW w:w="1118" w:type="dxa"/>
          </w:tcPr>
          <w:p w:rsidR="007C4143" w:rsidRPr="00FB5B94" w:rsidRDefault="007C4143" w:rsidP="00EA6382">
            <w:pPr>
              <w:rPr>
                <w:szCs w:val="22"/>
              </w:rPr>
            </w:pPr>
            <w:r w:rsidRPr="00FB5B94">
              <w:rPr>
                <w:szCs w:val="22"/>
              </w:rPr>
              <w:t>3 diena</w:t>
            </w:r>
          </w:p>
        </w:tc>
        <w:tc>
          <w:tcPr>
            <w:tcW w:w="1118" w:type="dxa"/>
          </w:tcPr>
          <w:p w:rsidR="007C4143" w:rsidRPr="00FB5B94" w:rsidRDefault="007C4143" w:rsidP="00EA6382">
            <w:pPr>
              <w:rPr>
                <w:szCs w:val="22"/>
              </w:rPr>
            </w:pPr>
            <w:r w:rsidRPr="00FB5B94">
              <w:rPr>
                <w:szCs w:val="22"/>
              </w:rPr>
              <w:t>4 diena</w:t>
            </w:r>
          </w:p>
        </w:tc>
        <w:tc>
          <w:tcPr>
            <w:tcW w:w="1118" w:type="dxa"/>
          </w:tcPr>
          <w:p w:rsidR="007C4143" w:rsidRPr="00FB5B94" w:rsidRDefault="007C4143" w:rsidP="00EA6382">
            <w:pPr>
              <w:rPr>
                <w:szCs w:val="22"/>
              </w:rPr>
            </w:pPr>
            <w:r w:rsidRPr="00FB5B94">
              <w:rPr>
                <w:szCs w:val="22"/>
              </w:rPr>
              <w:t>5 diena</w:t>
            </w:r>
          </w:p>
        </w:tc>
        <w:tc>
          <w:tcPr>
            <w:tcW w:w="1118" w:type="dxa"/>
          </w:tcPr>
          <w:p w:rsidR="007C4143" w:rsidRPr="00FB5B94" w:rsidRDefault="007C4143" w:rsidP="00EA6382">
            <w:pPr>
              <w:rPr>
                <w:szCs w:val="22"/>
              </w:rPr>
            </w:pPr>
            <w:r w:rsidRPr="00FB5B94">
              <w:rPr>
                <w:szCs w:val="22"/>
              </w:rPr>
              <w:t>6 diena</w:t>
            </w:r>
          </w:p>
        </w:tc>
        <w:tc>
          <w:tcPr>
            <w:tcW w:w="1118" w:type="dxa"/>
          </w:tcPr>
          <w:p w:rsidR="007C4143" w:rsidRPr="00FB5B94" w:rsidRDefault="007C4143" w:rsidP="00EA6382">
            <w:pPr>
              <w:rPr>
                <w:szCs w:val="22"/>
              </w:rPr>
            </w:pPr>
            <w:r w:rsidRPr="00FB5B94">
              <w:rPr>
                <w:szCs w:val="22"/>
              </w:rPr>
              <w:t>7 diena</w:t>
            </w:r>
          </w:p>
        </w:tc>
      </w:tr>
      <w:tr w:rsidR="007C4143" w:rsidRPr="00FB5B94" w:rsidTr="00EA6382">
        <w:tc>
          <w:tcPr>
            <w:tcW w:w="1463" w:type="dxa"/>
          </w:tcPr>
          <w:p w:rsidR="007C4143" w:rsidRPr="00FB5B94" w:rsidRDefault="007C4143" w:rsidP="00EA6382">
            <w:pPr>
              <w:rPr>
                <w:szCs w:val="22"/>
              </w:rPr>
            </w:pPr>
            <w:r w:rsidRPr="00FB5B94">
              <w:rPr>
                <w:szCs w:val="22"/>
              </w:rPr>
              <w:t>Alendronatas</w:t>
            </w:r>
          </w:p>
          <w:p w:rsidR="007C4143" w:rsidRPr="00FB5B94" w:rsidRDefault="007C4143" w:rsidP="00EA6382">
            <w:pPr>
              <w:rPr>
                <w:szCs w:val="22"/>
              </w:rPr>
            </w:pPr>
          </w:p>
        </w:tc>
        <w:tc>
          <w:tcPr>
            <w:tcW w:w="1116" w:type="dxa"/>
            <w:vMerge w:val="restart"/>
            <w:vAlign w:val="center"/>
          </w:tcPr>
          <w:p w:rsidR="007C4143" w:rsidRPr="00FB5B94" w:rsidRDefault="007C4143" w:rsidP="00EA6382">
            <w:pPr>
              <w:rPr>
                <w:szCs w:val="22"/>
              </w:rPr>
            </w:pPr>
            <w:r w:rsidRPr="00FB5B94">
              <w:rPr>
                <w:szCs w:val="22"/>
              </w:rPr>
              <w:t>1</w:t>
            </w:r>
          </w:p>
        </w:tc>
        <w:tc>
          <w:tcPr>
            <w:tcW w:w="1117" w:type="dxa"/>
            <w:vMerge w:val="restart"/>
            <w:vAlign w:val="center"/>
          </w:tcPr>
          <w:p w:rsidR="007C4143" w:rsidRPr="00FB5B94" w:rsidRDefault="007C4143" w:rsidP="00EA6382">
            <w:pPr>
              <w:rPr>
                <w:szCs w:val="22"/>
              </w:rPr>
            </w:pPr>
            <w:r w:rsidRPr="00FB5B94">
              <w:rPr>
                <w:szCs w:val="22"/>
              </w:rPr>
              <w:t>-</w:t>
            </w:r>
          </w:p>
        </w:tc>
        <w:tc>
          <w:tcPr>
            <w:tcW w:w="1118" w:type="dxa"/>
            <w:vMerge w:val="restart"/>
            <w:vAlign w:val="center"/>
          </w:tcPr>
          <w:p w:rsidR="007C4143" w:rsidRPr="00FB5B94" w:rsidRDefault="007C4143" w:rsidP="00EA6382">
            <w:pPr>
              <w:rPr>
                <w:szCs w:val="22"/>
              </w:rPr>
            </w:pPr>
            <w:r w:rsidRPr="00FB5B94">
              <w:rPr>
                <w:szCs w:val="22"/>
              </w:rPr>
              <w:t>-</w:t>
            </w:r>
          </w:p>
        </w:tc>
        <w:tc>
          <w:tcPr>
            <w:tcW w:w="1118" w:type="dxa"/>
            <w:vMerge w:val="restart"/>
            <w:vAlign w:val="center"/>
          </w:tcPr>
          <w:p w:rsidR="007C4143" w:rsidRPr="00FB5B94" w:rsidRDefault="007C4143" w:rsidP="00EA6382">
            <w:pPr>
              <w:rPr>
                <w:szCs w:val="22"/>
              </w:rPr>
            </w:pPr>
            <w:r w:rsidRPr="00FB5B94">
              <w:rPr>
                <w:szCs w:val="22"/>
              </w:rPr>
              <w:t>-</w:t>
            </w:r>
          </w:p>
        </w:tc>
        <w:tc>
          <w:tcPr>
            <w:tcW w:w="1118" w:type="dxa"/>
            <w:vMerge w:val="restart"/>
            <w:vAlign w:val="center"/>
          </w:tcPr>
          <w:p w:rsidR="007C4143" w:rsidRPr="00FB5B94" w:rsidRDefault="007C4143" w:rsidP="00EA6382">
            <w:pPr>
              <w:rPr>
                <w:szCs w:val="22"/>
              </w:rPr>
            </w:pPr>
            <w:r w:rsidRPr="00FB5B94">
              <w:rPr>
                <w:szCs w:val="22"/>
              </w:rPr>
              <w:t>-</w:t>
            </w:r>
          </w:p>
        </w:tc>
        <w:tc>
          <w:tcPr>
            <w:tcW w:w="1118" w:type="dxa"/>
            <w:vMerge w:val="restart"/>
            <w:vAlign w:val="center"/>
          </w:tcPr>
          <w:p w:rsidR="007C4143" w:rsidRPr="00FB5B94" w:rsidRDefault="007C4143" w:rsidP="00EA6382">
            <w:pPr>
              <w:rPr>
                <w:szCs w:val="22"/>
              </w:rPr>
            </w:pPr>
            <w:r w:rsidRPr="00FB5B94">
              <w:rPr>
                <w:szCs w:val="22"/>
              </w:rPr>
              <w:t>-</w:t>
            </w:r>
          </w:p>
        </w:tc>
        <w:tc>
          <w:tcPr>
            <w:tcW w:w="1118" w:type="dxa"/>
            <w:vMerge w:val="restart"/>
            <w:vAlign w:val="center"/>
          </w:tcPr>
          <w:p w:rsidR="007C4143" w:rsidRPr="00FB5B94" w:rsidRDefault="007C4143" w:rsidP="00EA6382">
            <w:pPr>
              <w:rPr>
                <w:szCs w:val="22"/>
              </w:rPr>
            </w:pPr>
            <w:r w:rsidRPr="00FB5B94">
              <w:rPr>
                <w:szCs w:val="22"/>
              </w:rPr>
              <w:t>-</w:t>
            </w:r>
          </w:p>
        </w:tc>
      </w:tr>
      <w:tr w:rsidR="007C4143" w:rsidRPr="00FB5B94" w:rsidTr="00EA6382">
        <w:tc>
          <w:tcPr>
            <w:tcW w:w="1463" w:type="dxa"/>
          </w:tcPr>
          <w:p w:rsidR="007C4143" w:rsidRPr="00FB5B94" w:rsidRDefault="007C4143" w:rsidP="00EA6382">
            <w:pPr>
              <w:rPr>
                <w:szCs w:val="22"/>
              </w:rPr>
            </w:pPr>
            <w:r w:rsidRPr="00FB5B94">
              <w:rPr>
                <w:szCs w:val="22"/>
              </w:rPr>
              <w:t>Gerti iš ryto</w:t>
            </w:r>
          </w:p>
          <w:p w:rsidR="007C4143" w:rsidRPr="00FB5B94" w:rsidRDefault="007C4143" w:rsidP="00EA6382">
            <w:pPr>
              <w:rPr>
                <w:szCs w:val="22"/>
              </w:rPr>
            </w:pPr>
          </w:p>
        </w:tc>
        <w:tc>
          <w:tcPr>
            <w:tcW w:w="1116" w:type="dxa"/>
            <w:vMerge/>
            <w:vAlign w:val="center"/>
          </w:tcPr>
          <w:p w:rsidR="007C4143" w:rsidRPr="00FB5B94" w:rsidRDefault="007C4143" w:rsidP="00EA6382">
            <w:pPr>
              <w:rPr>
                <w:szCs w:val="22"/>
              </w:rPr>
            </w:pPr>
          </w:p>
        </w:tc>
        <w:tc>
          <w:tcPr>
            <w:tcW w:w="1117" w:type="dxa"/>
            <w:vMerge/>
            <w:vAlign w:val="center"/>
          </w:tcPr>
          <w:p w:rsidR="007C4143" w:rsidRPr="00FB5B94" w:rsidRDefault="007C4143" w:rsidP="00EA6382">
            <w:pPr>
              <w:rPr>
                <w:szCs w:val="22"/>
              </w:rPr>
            </w:pPr>
          </w:p>
        </w:tc>
        <w:tc>
          <w:tcPr>
            <w:tcW w:w="1118" w:type="dxa"/>
            <w:vMerge/>
            <w:vAlign w:val="center"/>
          </w:tcPr>
          <w:p w:rsidR="007C4143" w:rsidRPr="00FB5B94" w:rsidRDefault="007C4143" w:rsidP="00EA6382">
            <w:pPr>
              <w:rPr>
                <w:szCs w:val="22"/>
              </w:rPr>
            </w:pPr>
          </w:p>
        </w:tc>
        <w:tc>
          <w:tcPr>
            <w:tcW w:w="1118" w:type="dxa"/>
            <w:vMerge/>
            <w:vAlign w:val="center"/>
          </w:tcPr>
          <w:p w:rsidR="007C4143" w:rsidRPr="00FB5B94" w:rsidRDefault="007C4143" w:rsidP="00EA6382">
            <w:pPr>
              <w:rPr>
                <w:szCs w:val="22"/>
              </w:rPr>
            </w:pPr>
          </w:p>
        </w:tc>
        <w:tc>
          <w:tcPr>
            <w:tcW w:w="1118" w:type="dxa"/>
            <w:vMerge/>
            <w:vAlign w:val="center"/>
          </w:tcPr>
          <w:p w:rsidR="007C4143" w:rsidRPr="00FB5B94" w:rsidRDefault="007C4143" w:rsidP="00EA6382">
            <w:pPr>
              <w:rPr>
                <w:szCs w:val="22"/>
              </w:rPr>
            </w:pPr>
          </w:p>
        </w:tc>
        <w:tc>
          <w:tcPr>
            <w:tcW w:w="1118" w:type="dxa"/>
            <w:vMerge/>
            <w:vAlign w:val="center"/>
          </w:tcPr>
          <w:p w:rsidR="007C4143" w:rsidRPr="00FB5B94" w:rsidRDefault="007C4143" w:rsidP="00EA6382">
            <w:pPr>
              <w:rPr>
                <w:szCs w:val="22"/>
              </w:rPr>
            </w:pPr>
          </w:p>
        </w:tc>
        <w:tc>
          <w:tcPr>
            <w:tcW w:w="1118" w:type="dxa"/>
            <w:vMerge/>
            <w:vAlign w:val="center"/>
          </w:tcPr>
          <w:p w:rsidR="007C4143" w:rsidRPr="00FB5B94" w:rsidRDefault="007C4143" w:rsidP="00EA6382">
            <w:pPr>
              <w:rPr>
                <w:szCs w:val="22"/>
              </w:rPr>
            </w:pPr>
          </w:p>
        </w:tc>
      </w:tr>
      <w:tr w:rsidR="007C4143" w:rsidRPr="00FB5B94" w:rsidTr="00EA6382">
        <w:tc>
          <w:tcPr>
            <w:tcW w:w="1463" w:type="dxa"/>
          </w:tcPr>
          <w:p w:rsidR="007C4143" w:rsidRPr="00FB5B94" w:rsidRDefault="007C4143" w:rsidP="00EA6382">
            <w:pPr>
              <w:rPr>
                <w:szCs w:val="22"/>
              </w:rPr>
            </w:pPr>
            <w:r w:rsidRPr="00FB5B94">
              <w:rPr>
                <w:szCs w:val="22"/>
              </w:rPr>
              <w:t>Alfakalcidolis</w:t>
            </w:r>
          </w:p>
          <w:p w:rsidR="007C4143" w:rsidRPr="00FB5B94" w:rsidRDefault="007C4143" w:rsidP="00EA6382">
            <w:pPr>
              <w:rPr>
                <w:szCs w:val="22"/>
              </w:rPr>
            </w:pPr>
          </w:p>
        </w:tc>
        <w:tc>
          <w:tcPr>
            <w:tcW w:w="1116" w:type="dxa"/>
            <w:vMerge w:val="restart"/>
            <w:vAlign w:val="center"/>
          </w:tcPr>
          <w:p w:rsidR="007C4143" w:rsidRPr="00FB5B94" w:rsidRDefault="007C4143" w:rsidP="00EA6382">
            <w:pPr>
              <w:rPr>
                <w:szCs w:val="22"/>
              </w:rPr>
            </w:pPr>
            <w:r w:rsidRPr="00FB5B94">
              <w:rPr>
                <w:szCs w:val="22"/>
              </w:rPr>
              <w:t>1</w:t>
            </w:r>
          </w:p>
        </w:tc>
        <w:tc>
          <w:tcPr>
            <w:tcW w:w="1117" w:type="dxa"/>
            <w:vMerge w:val="restart"/>
            <w:vAlign w:val="center"/>
          </w:tcPr>
          <w:p w:rsidR="007C4143" w:rsidRPr="00FB5B94" w:rsidRDefault="007C4143" w:rsidP="00EA6382">
            <w:pPr>
              <w:rPr>
                <w:szCs w:val="22"/>
              </w:rPr>
            </w:pPr>
            <w:r w:rsidRPr="00FB5B94">
              <w:rPr>
                <w:szCs w:val="22"/>
              </w:rPr>
              <w:t>1</w:t>
            </w:r>
          </w:p>
        </w:tc>
        <w:tc>
          <w:tcPr>
            <w:tcW w:w="1118" w:type="dxa"/>
            <w:vMerge w:val="restart"/>
            <w:vAlign w:val="center"/>
          </w:tcPr>
          <w:p w:rsidR="007C4143" w:rsidRPr="00FB5B94" w:rsidRDefault="007C4143" w:rsidP="00EA6382">
            <w:pPr>
              <w:rPr>
                <w:szCs w:val="22"/>
              </w:rPr>
            </w:pPr>
            <w:r w:rsidRPr="00FB5B94">
              <w:rPr>
                <w:szCs w:val="22"/>
              </w:rPr>
              <w:t>1</w:t>
            </w:r>
          </w:p>
        </w:tc>
        <w:tc>
          <w:tcPr>
            <w:tcW w:w="1118" w:type="dxa"/>
            <w:vMerge w:val="restart"/>
            <w:vAlign w:val="center"/>
          </w:tcPr>
          <w:p w:rsidR="007C4143" w:rsidRPr="00FB5B94" w:rsidRDefault="007C4143" w:rsidP="00EA6382">
            <w:pPr>
              <w:rPr>
                <w:szCs w:val="22"/>
              </w:rPr>
            </w:pPr>
            <w:r w:rsidRPr="00FB5B94">
              <w:rPr>
                <w:szCs w:val="22"/>
              </w:rPr>
              <w:t>1</w:t>
            </w:r>
          </w:p>
        </w:tc>
        <w:tc>
          <w:tcPr>
            <w:tcW w:w="1118" w:type="dxa"/>
            <w:vMerge w:val="restart"/>
            <w:vAlign w:val="center"/>
          </w:tcPr>
          <w:p w:rsidR="007C4143" w:rsidRPr="00FB5B94" w:rsidRDefault="007C4143" w:rsidP="00EA6382">
            <w:pPr>
              <w:rPr>
                <w:szCs w:val="22"/>
              </w:rPr>
            </w:pPr>
            <w:r w:rsidRPr="00FB5B94">
              <w:rPr>
                <w:szCs w:val="22"/>
              </w:rPr>
              <w:t>1</w:t>
            </w:r>
          </w:p>
        </w:tc>
        <w:tc>
          <w:tcPr>
            <w:tcW w:w="1118" w:type="dxa"/>
            <w:vMerge w:val="restart"/>
            <w:vAlign w:val="center"/>
          </w:tcPr>
          <w:p w:rsidR="007C4143" w:rsidRPr="00FB5B94" w:rsidRDefault="007C4143" w:rsidP="00EA6382">
            <w:pPr>
              <w:rPr>
                <w:szCs w:val="22"/>
              </w:rPr>
            </w:pPr>
            <w:r w:rsidRPr="00FB5B94">
              <w:rPr>
                <w:szCs w:val="22"/>
              </w:rPr>
              <w:t>1</w:t>
            </w:r>
          </w:p>
        </w:tc>
        <w:tc>
          <w:tcPr>
            <w:tcW w:w="1118" w:type="dxa"/>
            <w:vMerge w:val="restart"/>
            <w:vAlign w:val="center"/>
          </w:tcPr>
          <w:p w:rsidR="007C4143" w:rsidRPr="00FB5B94" w:rsidRDefault="007C4143" w:rsidP="00EA6382">
            <w:pPr>
              <w:rPr>
                <w:szCs w:val="22"/>
              </w:rPr>
            </w:pPr>
            <w:r w:rsidRPr="00FB5B94">
              <w:rPr>
                <w:szCs w:val="22"/>
              </w:rPr>
              <w:t>1</w:t>
            </w:r>
          </w:p>
        </w:tc>
      </w:tr>
      <w:tr w:rsidR="007C4143" w:rsidRPr="00FB5B94" w:rsidTr="00EA6382">
        <w:tc>
          <w:tcPr>
            <w:tcW w:w="1463" w:type="dxa"/>
          </w:tcPr>
          <w:p w:rsidR="007C4143" w:rsidRPr="00FB5B94" w:rsidRDefault="007C4143" w:rsidP="00EA6382">
            <w:pPr>
              <w:rPr>
                <w:szCs w:val="22"/>
              </w:rPr>
            </w:pPr>
            <w:r w:rsidRPr="00FB5B94">
              <w:rPr>
                <w:szCs w:val="22"/>
              </w:rPr>
              <w:t>Gerti vakare</w:t>
            </w:r>
          </w:p>
          <w:p w:rsidR="007C4143" w:rsidRPr="00FB5B94" w:rsidRDefault="007C4143" w:rsidP="00EA6382">
            <w:pPr>
              <w:rPr>
                <w:szCs w:val="22"/>
              </w:rPr>
            </w:pPr>
          </w:p>
        </w:tc>
        <w:tc>
          <w:tcPr>
            <w:tcW w:w="1116" w:type="dxa"/>
            <w:vMerge/>
          </w:tcPr>
          <w:p w:rsidR="007C4143" w:rsidRPr="00FB5B94" w:rsidRDefault="007C4143" w:rsidP="00EA6382">
            <w:pPr>
              <w:rPr>
                <w:szCs w:val="22"/>
              </w:rPr>
            </w:pPr>
          </w:p>
        </w:tc>
        <w:tc>
          <w:tcPr>
            <w:tcW w:w="1117" w:type="dxa"/>
            <w:vMerge/>
          </w:tcPr>
          <w:p w:rsidR="007C4143" w:rsidRPr="00FB5B94" w:rsidRDefault="007C4143" w:rsidP="00EA6382">
            <w:pPr>
              <w:rPr>
                <w:szCs w:val="22"/>
              </w:rPr>
            </w:pPr>
          </w:p>
        </w:tc>
        <w:tc>
          <w:tcPr>
            <w:tcW w:w="1118" w:type="dxa"/>
            <w:vMerge/>
          </w:tcPr>
          <w:p w:rsidR="007C4143" w:rsidRPr="00FB5B94" w:rsidRDefault="007C4143" w:rsidP="00EA6382">
            <w:pPr>
              <w:rPr>
                <w:szCs w:val="22"/>
              </w:rPr>
            </w:pPr>
          </w:p>
        </w:tc>
        <w:tc>
          <w:tcPr>
            <w:tcW w:w="1118" w:type="dxa"/>
            <w:vMerge/>
          </w:tcPr>
          <w:p w:rsidR="007C4143" w:rsidRPr="00FB5B94" w:rsidRDefault="007C4143" w:rsidP="00EA6382">
            <w:pPr>
              <w:rPr>
                <w:szCs w:val="22"/>
              </w:rPr>
            </w:pPr>
          </w:p>
        </w:tc>
        <w:tc>
          <w:tcPr>
            <w:tcW w:w="1118" w:type="dxa"/>
            <w:vMerge/>
          </w:tcPr>
          <w:p w:rsidR="007C4143" w:rsidRPr="00FB5B94" w:rsidRDefault="007C4143" w:rsidP="00EA6382">
            <w:pPr>
              <w:rPr>
                <w:szCs w:val="22"/>
              </w:rPr>
            </w:pPr>
          </w:p>
        </w:tc>
        <w:tc>
          <w:tcPr>
            <w:tcW w:w="1118" w:type="dxa"/>
            <w:vMerge/>
          </w:tcPr>
          <w:p w:rsidR="007C4143" w:rsidRPr="00FB5B94" w:rsidRDefault="007C4143" w:rsidP="00EA6382">
            <w:pPr>
              <w:rPr>
                <w:szCs w:val="22"/>
              </w:rPr>
            </w:pPr>
          </w:p>
        </w:tc>
        <w:tc>
          <w:tcPr>
            <w:tcW w:w="1118" w:type="dxa"/>
            <w:vMerge/>
          </w:tcPr>
          <w:p w:rsidR="007C4143" w:rsidRPr="00FB5B94" w:rsidRDefault="007C4143" w:rsidP="00EA6382">
            <w:pPr>
              <w:rPr>
                <w:szCs w:val="22"/>
              </w:rPr>
            </w:pPr>
          </w:p>
        </w:tc>
      </w:tr>
    </w:tbl>
    <w:p w:rsidR="007C4143" w:rsidRPr="00FB5B94" w:rsidRDefault="007C4143" w:rsidP="007C4143">
      <w:pPr>
        <w:rPr>
          <w:szCs w:val="22"/>
        </w:rPr>
      </w:pPr>
    </w:p>
    <w:p w:rsidR="007C4143" w:rsidRPr="00FB5B94" w:rsidRDefault="007C4143" w:rsidP="007C4143">
      <w:pPr>
        <w:pStyle w:val="BTEMEASMCA"/>
        <w:rPr>
          <w:sz w:val="22"/>
          <w:szCs w:val="22"/>
        </w:rPr>
      </w:pPr>
    </w:p>
    <w:p w:rsidR="007C4143" w:rsidRPr="00FB5B94" w:rsidRDefault="007C4143" w:rsidP="007C4143">
      <w:pPr>
        <w:pStyle w:val="PI-1labEMEASMCA"/>
        <w:rPr>
          <w:noProof w:val="0"/>
          <w:sz w:val="22"/>
          <w:szCs w:val="22"/>
        </w:rPr>
      </w:pPr>
      <w:r w:rsidRPr="00FB5B94">
        <w:rPr>
          <w:noProof w:val="0"/>
          <w:sz w:val="22"/>
          <w:szCs w:val="22"/>
        </w:rPr>
        <w:t>16.</w:t>
      </w:r>
      <w:r w:rsidRPr="00FB5B94">
        <w:rPr>
          <w:noProof w:val="0"/>
          <w:sz w:val="22"/>
          <w:szCs w:val="22"/>
        </w:rPr>
        <w:tab/>
        <w:t>INFORMACIJA BRAILIO RAŠTU</w:t>
      </w:r>
    </w:p>
    <w:p w:rsidR="007C4143" w:rsidRPr="00FB5B94" w:rsidRDefault="007C4143" w:rsidP="007C4143">
      <w:pPr>
        <w:pStyle w:val="BTEMEASMCA"/>
        <w:rPr>
          <w:sz w:val="22"/>
          <w:szCs w:val="22"/>
        </w:rPr>
      </w:pPr>
    </w:p>
    <w:p w:rsidR="007C4143" w:rsidRPr="00FB5B94" w:rsidRDefault="007C4143" w:rsidP="007C4143">
      <w:pPr>
        <w:ind w:left="567" w:hanging="567"/>
        <w:rPr>
          <w:szCs w:val="22"/>
        </w:rPr>
      </w:pPr>
      <w:r w:rsidRPr="00FB5B94">
        <w:rPr>
          <w:szCs w:val="22"/>
        </w:rPr>
        <w:t>teboneva 70 mg tabletės ir 1 mikrogramas minkštosios kapsulės</w:t>
      </w:r>
    </w:p>
    <w:p w:rsidR="007C4143" w:rsidRPr="00FB5B94" w:rsidRDefault="007C4143" w:rsidP="007C4143">
      <w:pPr>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spacing w:after="200" w:line="276" w:lineRule="auto"/>
        <w:rPr>
          <w:b/>
          <w:caps/>
          <w:szCs w:val="22"/>
        </w:rPr>
      </w:pPr>
      <w:r w:rsidRPr="00FB5B94">
        <w:rPr>
          <w:szCs w:val="22"/>
        </w:rPr>
        <w:br w:type="page"/>
      </w:r>
      <w:r w:rsidRPr="00FB5B94">
        <w:rPr>
          <w:b/>
          <w:caps/>
          <w:szCs w:val="22"/>
        </w:rPr>
        <w:lastRenderedPageBreak/>
        <w:t>MINIMALI INFORMACIJA AND LIZDINIŲ PLOKŠTELIŲ ARBA DVISLUOKSNIŲ JUOSTELIŲ</w:t>
      </w:r>
    </w:p>
    <w:p w:rsidR="007C4143" w:rsidRPr="00FB5B94" w:rsidRDefault="007C4143" w:rsidP="007C4143">
      <w:pPr>
        <w:pBdr>
          <w:top w:val="single" w:sz="4" w:space="1" w:color="auto"/>
          <w:left w:val="single" w:sz="4" w:space="4" w:color="auto"/>
          <w:bottom w:val="single" w:sz="4" w:space="1" w:color="auto"/>
          <w:right w:val="single" w:sz="4" w:space="4" w:color="auto"/>
        </w:pBdr>
        <w:outlineLvl w:val="0"/>
        <w:rPr>
          <w:b/>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outlineLvl w:val="0"/>
        <w:rPr>
          <w:b/>
          <w:caps/>
          <w:szCs w:val="22"/>
        </w:rPr>
      </w:pPr>
      <w:r w:rsidRPr="00FB5B94">
        <w:rPr>
          <w:b/>
          <w:caps/>
          <w:szCs w:val="22"/>
        </w:rPr>
        <w:t xml:space="preserve">ALENDRONATO IR ALFAKALCIDOLIO LIZDINĖ PLOKŠTELĖ </w:t>
      </w:r>
    </w:p>
    <w:p w:rsidR="007C4143" w:rsidRPr="00FB5B94" w:rsidRDefault="007C4143" w:rsidP="007C4143">
      <w:pPr>
        <w:tabs>
          <w:tab w:val="left" w:pos="1620"/>
        </w:tabs>
        <w:ind w:left="567" w:hanging="567"/>
        <w:rPr>
          <w:szCs w:val="22"/>
        </w:rPr>
      </w:pPr>
    </w:p>
    <w:p w:rsidR="007C4143" w:rsidRPr="00FB5B94" w:rsidRDefault="007C4143" w:rsidP="007C4143">
      <w:pPr>
        <w:tabs>
          <w:tab w:val="left" w:pos="1620"/>
        </w:tabs>
        <w:ind w:left="567" w:hanging="567"/>
        <w:rPr>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1.</w:t>
      </w:r>
      <w:r w:rsidRPr="00FB5B94">
        <w:rPr>
          <w:b/>
          <w:caps/>
          <w:szCs w:val="22"/>
        </w:rPr>
        <w:tab/>
        <w:t>vaistinio preparato pavadinimas</w:t>
      </w:r>
    </w:p>
    <w:p w:rsidR="007C4143" w:rsidRPr="00FB5B94" w:rsidRDefault="007C4143" w:rsidP="007C4143">
      <w:pPr>
        <w:ind w:left="567" w:hanging="567"/>
        <w:rPr>
          <w:szCs w:val="22"/>
        </w:rPr>
      </w:pPr>
    </w:p>
    <w:p w:rsidR="007C4143" w:rsidRPr="00FB5B94" w:rsidRDefault="007C4143" w:rsidP="007C4143">
      <w:pPr>
        <w:ind w:left="567" w:hanging="567"/>
        <w:rPr>
          <w:szCs w:val="22"/>
        </w:rPr>
      </w:pPr>
      <w:r w:rsidRPr="00FB5B94">
        <w:rPr>
          <w:szCs w:val="22"/>
        </w:rPr>
        <w:t>Teboneva 70 mg tabletės ir 1 mikrogramas minkštosios kapsulės</w:t>
      </w:r>
    </w:p>
    <w:p w:rsidR="007C4143" w:rsidRPr="00FB5B94" w:rsidRDefault="007C4143" w:rsidP="007C4143">
      <w:pPr>
        <w:ind w:left="567" w:hanging="567"/>
        <w:rPr>
          <w:szCs w:val="22"/>
        </w:rPr>
      </w:pPr>
      <w:r w:rsidRPr="00FB5B94">
        <w:rPr>
          <w:szCs w:val="22"/>
        </w:rPr>
        <w:t>Natrii alendronas monohydricus</w:t>
      </w:r>
    </w:p>
    <w:p w:rsidR="007C4143" w:rsidRPr="00FB5B94" w:rsidRDefault="007C4143" w:rsidP="007C4143">
      <w:pPr>
        <w:ind w:left="567" w:hanging="567"/>
        <w:rPr>
          <w:szCs w:val="22"/>
        </w:rPr>
      </w:pPr>
      <w:r w:rsidRPr="00FB5B94">
        <w:rPr>
          <w:szCs w:val="22"/>
        </w:rPr>
        <w:t>Alfacalcidolum</w:t>
      </w:r>
    </w:p>
    <w:p w:rsidR="007C4143" w:rsidRPr="00FB5B94" w:rsidRDefault="007C4143" w:rsidP="007C4143">
      <w:pPr>
        <w:ind w:left="567" w:hanging="567"/>
        <w:rPr>
          <w:szCs w:val="22"/>
        </w:rPr>
      </w:pPr>
    </w:p>
    <w:p w:rsidR="007C4143" w:rsidRPr="00FB5B94" w:rsidRDefault="007C4143" w:rsidP="007C4143">
      <w:pPr>
        <w:ind w:left="567" w:hanging="567"/>
        <w:rPr>
          <w:szCs w:val="22"/>
        </w:rPr>
      </w:pPr>
    </w:p>
    <w:p w:rsidR="007C4143" w:rsidRPr="00FB5B94" w:rsidRDefault="007C4143" w:rsidP="007C4143">
      <w:pPr>
        <w:suppressLineNumbers/>
        <w:pBdr>
          <w:top w:val="single" w:sz="4" w:space="1" w:color="auto"/>
          <w:left w:val="single" w:sz="4" w:space="4" w:color="auto"/>
          <w:bottom w:val="single" w:sz="4" w:space="1" w:color="auto"/>
          <w:right w:val="single" w:sz="4" w:space="4" w:color="auto"/>
        </w:pBdr>
        <w:outlineLvl w:val="0"/>
        <w:rPr>
          <w:b/>
          <w:szCs w:val="22"/>
        </w:rPr>
      </w:pPr>
      <w:r w:rsidRPr="00FB5B94">
        <w:rPr>
          <w:b/>
          <w:caps/>
          <w:szCs w:val="22"/>
        </w:rPr>
        <w:t>2.</w:t>
      </w:r>
      <w:r w:rsidRPr="00FB5B94">
        <w:rPr>
          <w:b/>
          <w:caps/>
          <w:szCs w:val="22"/>
        </w:rPr>
        <w:tab/>
        <w:t>rinkodaros teisės turėtojo pavadinimas</w:t>
      </w:r>
    </w:p>
    <w:p w:rsidR="007C4143" w:rsidRPr="00FB5B94" w:rsidRDefault="007C4143" w:rsidP="007C4143">
      <w:pPr>
        <w:ind w:left="567" w:hanging="567"/>
        <w:rPr>
          <w:szCs w:val="22"/>
        </w:rPr>
      </w:pPr>
    </w:p>
    <w:p w:rsidR="007C4143" w:rsidRPr="00FB5B94" w:rsidRDefault="007C4143" w:rsidP="007C4143">
      <w:pPr>
        <w:pStyle w:val="Pagrindinistekstas"/>
        <w:spacing w:after="0"/>
        <w:rPr>
          <w:sz w:val="22"/>
          <w:szCs w:val="22"/>
        </w:rPr>
      </w:pPr>
      <w:r w:rsidRPr="00FB5B94">
        <w:rPr>
          <w:sz w:val="22"/>
          <w:szCs w:val="22"/>
        </w:rPr>
        <w:t>Teva Pharma B.V.</w:t>
      </w:r>
    </w:p>
    <w:p w:rsidR="007C4143" w:rsidRPr="00FB5B94" w:rsidRDefault="007C4143" w:rsidP="007C4143">
      <w:pPr>
        <w:ind w:left="567" w:hanging="567"/>
        <w:rPr>
          <w:caps/>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3.</w:t>
      </w:r>
      <w:r w:rsidRPr="00FB5B94">
        <w:rPr>
          <w:b/>
          <w:caps/>
          <w:szCs w:val="22"/>
        </w:rPr>
        <w:tab/>
        <w:t>TINKAMUMO LAIKAS</w:t>
      </w:r>
    </w:p>
    <w:p w:rsidR="007C4143" w:rsidRPr="00FB5B94" w:rsidRDefault="007C4143" w:rsidP="007C4143">
      <w:pPr>
        <w:ind w:left="567" w:hanging="567"/>
        <w:rPr>
          <w:szCs w:val="22"/>
        </w:rPr>
      </w:pPr>
    </w:p>
    <w:p w:rsidR="007C4143" w:rsidRPr="00FB5B94" w:rsidRDefault="007C4143" w:rsidP="007C4143">
      <w:pPr>
        <w:ind w:left="567" w:hanging="567"/>
        <w:rPr>
          <w:szCs w:val="22"/>
        </w:rPr>
      </w:pPr>
      <w:r w:rsidRPr="00FB5B94">
        <w:rPr>
          <w:szCs w:val="22"/>
        </w:rPr>
        <w:t>EXP {mm/MMMM}</w:t>
      </w:r>
    </w:p>
    <w:p w:rsidR="007C4143" w:rsidRPr="00FB5B94" w:rsidRDefault="007C4143" w:rsidP="007C4143">
      <w:pPr>
        <w:ind w:left="567" w:hanging="567"/>
        <w:rPr>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4.</w:t>
      </w:r>
      <w:r w:rsidRPr="00FB5B94">
        <w:rPr>
          <w:b/>
          <w:caps/>
          <w:szCs w:val="22"/>
        </w:rPr>
        <w:tab/>
        <w:t>SERIJOS NUMERIS</w:t>
      </w:r>
    </w:p>
    <w:p w:rsidR="007C4143" w:rsidRPr="00FB5B94" w:rsidRDefault="007C4143" w:rsidP="007C4143">
      <w:pPr>
        <w:snapToGrid w:val="0"/>
        <w:rPr>
          <w:szCs w:val="22"/>
          <w:lang w:eastAsia="fr-FR"/>
        </w:rPr>
      </w:pPr>
    </w:p>
    <w:p w:rsidR="007C4143" w:rsidRPr="00FB5B94" w:rsidRDefault="007C4143" w:rsidP="007C4143">
      <w:pPr>
        <w:rPr>
          <w:szCs w:val="22"/>
        </w:rPr>
      </w:pPr>
      <w:r w:rsidRPr="00FB5B94">
        <w:rPr>
          <w:szCs w:val="22"/>
        </w:rPr>
        <w:t>Lot</w:t>
      </w:r>
    </w:p>
    <w:p w:rsidR="007C4143" w:rsidRPr="00FB5B94" w:rsidRDefault="007C4143" w:rsidP="007C4143">
      <w:pPr>
        <w:ind w:left="567" w:hanging="567"/>
        <w:rPr>
          <w:szCs w:val="22"/>
        </w:rPr>
      </w:pPr>
    </w:p>
    <w:p w:rsidR="007C4143" w:rsidRPr="00FB5B94" w:rsidRDefault="007C4143" w:rsidP="007C4143">
      <w:pPr>
        <w:ind w:left="567" w:hanging="567"/>
        <w:rPr>
          <w:caps/>
          <w:szCs w:val="22"/>
        </w:rPr>
      </w:pPr>
    </w:p>
    <w:p w:rsidR="007C4143" w:rsidRPr="00FB5B94" w:rsidRDefault="007C4143" w:rsidP="007C4143">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5B94">
        <w:rPr>
          <w:b/>
          <w:caps/>
          <w:szCs w:val="22"/>
        </w:rPr>
        <w:t>5.</w:t>
      </w:r>
      <w:r w:rsidRPr="00FB5B94">
        <w:rPr>
          <w:b/>
          <w:caps/>
          <w:szCs w:val="22"/>
        </w:rPr>
        <w:tab/>
        <w:t>KITA</w:t>
      </w:r>
    </w:p>
    <w:p w:rsidR="007C4143" w:rsidRPr="00FB5B94" w:rsidRDefault="007C4143" w:rsidP="007C4143">
      <w:pPr>
        <w:rPr>
          <w:caps/>
          <w:szCs w:val="22"/>
        </w:rPr>
      </w:pPr>
    </w:p>
    <w:p w:rsidR="007C4143" w:rsidRPr="00FB5B94" w:rsidRDefault="007C4143" w:rsidP="007C4143">
      <w:pPr>
        <w:pStyle w:val="BTEMEASMCA"/>
        <w:rPr>
          <w:sz w:val="22"/>
          <w:szCs w:val="22"/>
        </w:rPr>
      </w:pPr>
      <w:r w:rsidRPr="00FB5B94">
        <w:rPr>
          <w:sz w:val="22"/>
          <w:szCs w:val="22"/>
        </w:rPr>
        <w:t xml:space="preserve">Alendronato 70 mg tabletė </w:t>
      </w:r>
    </w:p>
    <w:p w:rsidR="007C4143" w:rsidRPr="00FB5B94" w:rsidRDefault="007C4143" w:rsidP="007C4143">
      <w:pPr>
        <w:pStyle w:val="BTEMEASMCA"/>
        <w:rPr>
          <w:sz w:val="22"/>
          <w:szCs w:val="22"/>
        </w:rPr>
      </w:pPr>
      <w:r w:rsidRPr="00FB5B94">
        <w:rPr>
          <w:sz w:val="22"/>
          <w:szCs w:val="22"/>
        </w:rPr>
        <w:t>rytą</w:t>
      </w:r>
    </w:p>
    <w:p w:rsidR="007C4143" w:rsidRPr="00FB5B94" w:rsidRDefault="007C4143" w:rsidP="007C4143">
      <w:pPr>
        <w:pStyle w:val="BTEMEASMCA"/>
        <w:rPr>
          <w:sz w:val="22"/>
          <w:szCs w:val="22"/>
        </w:rPr>
      </w:pPr>
      <w:r w:rsidRPr="00FB5B94">
        <w:rPr>
          <w:sz w:val="22"/>
          <w:szCs w:val="22"/>
        </w:rPr>
        <w:t>1 diena</w:t>
      </w: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rPr>
      </w:pPr>
      <w:r w:rsidRPr="00FB5B94">
        <w:rPr>
          <w:sz w:val="22"/>
          <w:szCs w:val="22"/>
        </w:rPr>
        <w:t>vakare</w:t>
      </w:r>
    </w:p>
    <w:p w:rsidR="007C4143" w:rsidRPr="00FB5B94" w:rsidRDefault="007C4143" w:rsidP="007C4143">
      <w:pPr>
        <w:pStyle w:val="BTEMEASMCA"/>
        <w:rPr>
          <w:sz w:val="22"/>
          <w:szCs w:val="22"/>
        </w:rPr>
      </w:pPr>
    </w:p>
    <w:p w:rsidR="007C4143" w:rsidRPr="00FB5B94" w:rsidRDefault="007C4143" w:rsidP="007C4143">
      <w:pPr>
        <w:pStyle w:val="BTEMEASMCA"/>
        <w:rPr>
          <w:sz w:val="22"/>
          <w:szCs w:val="22"/>
        </w:rPr>
      </w:pPr>
      <w:r w:rsidRPr="00FB5B94">
        <w:rPr>
          <w:sz w:val="22"/>
          <w:szCs w:val="22"/>
        </w:rPr>
        <w:t>ir</w:t>
      </w:r>
    </w:p>
    <w:p w:rsidR="007C4143" w:rsidRPr="00FB5B94" w:rsidRDefault="007C4143" w:rsidP="007C4143">
      <w:pPr>
        <w:pStyle w:val="BTEMEASMCA"/>
        <w:rPr>
          <w:sz w:val="22"/>
          <w:szCs w:val="22"/>
        </w:rPr>
      </w:pP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rPr>
      </w:pPr>
      <w:r w:rsidRPr="00FB5B94">
        <w:rPr>
          <w:sz w:val="22"/>
          <w:szCs w:val="22"/>
        </w:rPr>
        <w:t>2 diena vakare</w:t>
      </w: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lang w:val="it-IT"/>
        </w:rPr>
      </w:pPr>
      <w:r w:rsidRPr="00FB5B94">
        <w:rPr>
          <w:sz w:val="22"/>
          <w:szCs w:val="22"/>
          <w:lang w:val="it-IT"/>
        </w:rPr>
        <w:t>3 diena vakare</w:t>
      </w: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lang w:val="it-IT"/>
        </w:rPr>
      </w:pPr>
      <w:r w:rsidRPr="00FB5B94">
        <w:rPr>
          <w:sz w:val="22"/>
          <w:szCs w:val="22"/>
          <w:lang w:val="it-IT"/>
        </w:rPr>
        <w:t>4 diena vakare</w:t>
      </w: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lang w:val="it-IT"/>
        </w:rPr>
      </w:pPr>
      <w:r w:rsidRPr="00FB5B94">
        <w:rPr>
          <w:sz w:val="22"/>
          <w:szCs w:val="22"/>
          <w:lang w:val="it-IT"/>
        </w:rPr>
        <w:t>5 diena vakare</w:t>
      </w: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lang w:val="it-IT"/>
        </w:rPr>
      </w:pPr>
      <w:r w:rsidRPr="00FB5B94">
        <w:rPr>
          <w:sz w:val="22"/>
          <w:szCs w:val="22"/>
          <w:lang w:val="it-IT"/>
        </w:rPr>
        <w:t>6 diena vakare</w:t>
      </w:r>
    </w:p>
    <w:p w:rsidR="007C4143" w:rsidRPr="00FB5B94" w:rsidRDefault="007C4143" w:rsidP="007C4143">
      <w:pPr>
        <w:pStyle w:val="BTEMEASMCA"/>
        <w:rPr>
          <w:sz w:val="22"/>
          <w:szCs w:val="22"/>
        </w:rPr>
      </w:pPr>
      <w:r w:rsidRPr="00FB5B94">
        <w:rPr>
          <w:sz w:val="22"/>
          <w:szCs w:val="22"/>
        </w:rPr>
        <w:t>Alfakalcidolio 1 μg minkštoji kapsulė</w:t>
      </w:r>
    </w:p>
    <w:p w:rsidR="007C4143" w:rsidRPr="00FB5B94" w:rsidRDefault="007C4143" w:rsidP="007C4143">
      <w:pPr>
        <w:pStyle w:val="BTEMEASMCA"/>
        <w:rPr>
          <w:sz w:val="22"/>
          <w:szCs w:val="22"/>
          <w:lang w:val="it-IT"/>
        </w:rPr>
      </w:pPr>
      <w:r w:rsidRPr="00FB5B94">
        <w:rPr>
          <w:sz w:val="22"/>
          <w:szCs w:val="22"/>
          <w:lang w:val="it-IT"/>
        </w:rPr>
        <w:t>7 diena vakare</w:t>
      </w:r>
    </w:p>
    <w:p w:rsidR="007C4143" w:rsidRPr="00FB5B94" w:rsidRDefault="007C4143" w:rsidP="007C4143">
      <w:pPr>
        <w:pStyle w:val="BTEMEASMCA"/>
        <w:rPr>
          <w:sz w:val="22"/>
          <w:szCs w:val="22"/>
          <w:lang w:val="it-IT"/>
        </w:rPr>
      </w:pPr>
    </w:p>
    <w:p w:rsidR="007C4143" w:rsidRPr="00FB5B94" w:rsidRDefault="007C4143" w:rsidP="007C4143">
      <w:pPr>
        <w:ind w:left="567" w:hanging="567"/>
        <w:rPr>
          <w:caps/>
          <w:szCs w:val="22"/>
        </w:rPr>
      </w:pPr>
    </w:p>
    <w:p w:rsidR="007C4143" w:rsidRPr="00FB5B94" w:rsidRDefault="007C4143" w:rsidP="007C4143">
      <w:pPr>
        <w:rPr>
          <w:noProof/>
          <w:szCs w:val="22"/>
        </w:rPr>
      </w:pPr>
    </w:p>
    <w:p w:rsidR="00346FFF" w:rsidRPr="00FB5B94" w:rsidRDefault="00346FFF" w:rsidP="00346FFF">
      <w:pPr>
        <w:ind w:left="567" w:hanging="567"/>
        <w:rPr>
          <w:caps/>
          <w:szCs w:val="22"/>
        </w:rPr>
      </w:pPr>
    </w:p>
    <w:p w:rsidR="00346FFF" w:rsidRPr="00FB5B94" w:rsidRDefault="00346FFF" w:rsidP="00346FFF">
      <w:pPr>
        <w:spacing w:after="200" w:line="276" w:lineRule="auto"/>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rPr>
          <w:noProof/>
          <w:szCs w:val="22"/>
        </w:rPr>
      </w:pPr>
    </w:p>
    <w:p w:rsidR="00346FFF" w:rsidRPr="00FB5B94" w:rsidRDefault="00346FFF" w:rsidP="00346FFF">
      <w:pPr>
        <w:jc w:val="center"/>
        <w:rPr>
          <w:b/>
          <w:noProof/>
          <w:szCs w:val="22"/>
        </w:rPr>
      </w:pPr>
      <w:bookmarkStart w:id="10" w:name="_Toc129243137"/>
      <w:bookmarkStart w:id="11" w:name="_Toc129243262"/>
      <w:r w:rsidRPr="00FB5B94">
        <w:rPr>
          <w:b/>
          <w:noProof/>
          <w:szCs w:val="22"/>
        </w:rPr>
        <w:t>B. PAKUOTĖS LAPELIS</w:t>
      </w:r>
      <w:bookmarkEnd w:id="10"/>
      <w:bookmarkEnd w:id="11"/>
    </w:p>
    <w:p w:rsidR="00346FFF" w:rsidRPr="00FB5B94" w:rsidRDefault="00346FFF" w:rsidP="00346FFF">
      <w:pPr>
        <w:jc w:val="center"/>
        <w:rPr>
          <w:b/>
          <w:szCs w:val="22"/>
          <w:lang w:eastAsia="en-US"/>
        </w:rPr>
      </w:pPr>
      <w:r w:rsidRPr="00FB5B94">
        <w:rPr>
          <w:noProof/>
          <w:szCs w:val="22"/>
        </w:rPr>
        <w:br w:type="page"/>
      </w:r>
      <w:r w:rsidRPr="00FB5B94">
        <w:rPr>
          <w:b/>
          <w:szCs w:val="22"/>
          <w:lang w:eastAsia="en-US"/>
        </w:rPr>
        <w:lastRenderedPageBreak/>
        <w:t>PAKUOTĖS LAPELIS: INFORMACIJA VARTOTOJUI</w:t>
      </w:r>
    </w:p>
    <w:p w:rsidR="00346FFF" w:rsidRPr="00FB5B94" w:rsidRDefault="00346FFF" w:rsidP="00346FFF">
      <w:pPr>
        <w:tabs>
          <w:tab w:val="left" w:pos="567"/>
        </w:tabs>
        <w:rPr>
          <w:b/>
          <w:szCs w:val="22"/>
          <w:lang w:eastAsia="en-US"/>
        </w:rPr>
      </w:pPr>
    </w:p>
    <w:p w:rsidR="00346FFF" w:rsidRPr="00FB5B94" w:rsidRDefault="00346FFF" w:rsidP="00346FFF">
      <w:pPr>
        <w:tabs>
          <w:tab w:val="left" w:pos="567"/>
        </w:tabs>
        <w:jc w:val="center"/>
        <w:rPr>
          <w:b/>
          <w:szCs w:val="22"/>
          <w:lang w:eastAsia="en-US"/>
        </w:rPr>
      </w:pPr>
      <w:r w:rsidRPr="00FB5B94">
        <w:rPr>
          <w:b/>
          <w:szCs w:val="22"/>
          <w:lang w:eastAsia="en-US"/>
        </w:rPr>
        <w:t>Teboneva 70 mg tabletės ir 1 mikrogramas minkštosios kapsulės</w:t>
      </w:r>
    </w:p>
    <w:p w:rsidR="00346FFF" w:rsidRPr="00FB5B94" w:rsidRDefault="00346FFF" w:rsidP="00346FFF">
      <w:pPr>
        <w:tabs>
          <w:tab w:val="left" w:pos="567"/>
        </w:tabs>
        <w:jc w:val="center"/>
        <w:rPr>
          <w:szCs w:val="22"/>
          <w:lang w:eastAsia="en-US"/>
        </w:rPr>
      </w:pPr>
      <w:r w:rsidRPr="00FB5B94">
        <w:rPr>
          <w:szCs w:val="22"/>
          <w:lang w:eastAsia="en-US"/>
        </w:rPr>
        <w:t>Alendronatas, natrio alendronato monohidrato pavidalu (tabletės) ir alfakalcidolis (kapsulės)</w:t>
      </w:r>
    </w:p>
    <w:p w:rsidR="00346FFF" w:rsidRPr="00FB5B94" w:rsidRDefault="00346FFF" w:rsidP="00346FFF">
      <w:pPr>
        <w:tabs>
          <w:tab w:val="left" w:pos="567"/>
        </w:tabs>
        <w:spacing w:line="260" w:lineRule="exact"/>
        <w:rPr>
          <w:b/>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Atidžiai perskaitykite visą šį lapelį, prieš pradėdami vartoti vaistą.</w:t>
      </w:r>
    </w:p>
    <w:p w:rsidR="00346FFF" w:rsidRPr="00FB5B94" w:rsidRDefault="00346FFF" w:rsidP="00346FFF">
      <w:pPr>
        <w:numPr>
          <w:ilvl w:val="0"/>
          <w:numId w:val="11"/>
        </w:numPr>
        <w:tabs>
          <w:tab w:val="num" w:pos="426"/>
          <w:tab w:val="left" w:pos="567"/>
        </w:tabs>
        <w:spacing w:line="260" w:lineRule="exact"/>
        <w:ind w:left="426" w:hanging="426"/>
        <w:rPr>
          <w:szCs w:val="22"/>
          <w:lang w:eastAsia="en-US"/>
        </w:rPr>
      </w:pPr>
      <w:r w:rsidRPr="00FB5B94">
        <w:rPr>
          <w:szCs w:val="22"/>
          <w:lang w:eastAsia="en-US"/>
        </w:rPr>
        <w:t>Neišmeskite šio lapelio, nes vėl gali prireikti jį perskaityti.</w:t>
      </w:r>
    </w:p>
    <w:p w:rsidR="00346FFF" w:rsidRPr="00FB5B94" w:rsidRDefault="00346FFF" w:rsidP="00346FFF">
      <w:pPr>
        <w:numPr>
          <w:ilvl w:val="0"/>
          <w:numId w:val="11"/>
        </w:numPr>
        <w:tabs>
          <w:tab w:val="num" w:pos="426"/>
          <w:tab w:val="left" w:pos="567"/>
        </w:tabs>
        <w:spacing w:line="260" w:lineRule="exact"/>
        <w:ind w:left="426" w:hanging="426"/>
        <w:rPr>
          <w:szCs w:val="22"/>
          <w:lang w:eastAsia="en-US"/>
        </w:rPr>
      </w:pPr>
      <w:r w:rsidRPr="00FB5B94">
        <w:rPr>
          <w:szCs w:val="22"/>
          <w:lang w:eastAsia="en-US"/>
        </w:rPr>
        <w:t>Jeigu kiltų daugiau klausimų, kreipkitės į gydytoją arba vaistininką.</w:t>
      </w:r>
    </w:p>
    <w:p w:rsidR="00346FFF" w:rsidRPr="00FB5B94" w:rsidRDefault="00346FFF" w:rsidP="00346FFF">
      <w:pPr>
        <w:numPr>
          <w:ilvl w:val="0"/>
          <w:numId w:val="11"/>
        </w:numPr>
        <w:tabs>
          <w:tab w:val="num" w:pos="426"/>
          <w:tab w:val="left" w:pos="567"/>
        </w:tabs>
        <w:spacing w:line="260" w:lineRule="exact"/>
        <w:ind w:left="426" w:hanging="426"/>
        <w:rPr>
          <w:szCs w:val="22"/>
          <w:lang w:eastAsia="en-US"/>
        </w:rPr>
      </w:pPr>
      <w:r w:rsidRPr="00FB5B94">
        <w:rPr>
          <w:szCs w:val="22"/>
          <w:lang w:eastAsia="en-US"/>
        </w:rPr>
        <w:t>Šis vaistas skirtas Jums, todėl kitiems žmonėms jo duoti negalima. Vaistas gali jiems pakenkti (net tiems, kurių ligos simptomai yra tokie patys kaip Jūsų).</w:t>
      </w:r>
    </w:p>
    <w:p w:rsidR="00346FFF" w:rsidRPr="00FB5B94" w:rsidRDefault="00346FFF" w:rsidP="00346FFF">
      <w:pPr>
        <w:numPr>
          <w:ilvl w:val="0"/>
          <w:numId w:val="11"/>
        </w:numPr>
        <w:tabs>
          <w:tab w:val="num" w:pos="426"/>
          <w:tab w:val="left" w:pos="567"/>
        </w:tabs>
        <w:spacing w:line="260" w:lineRule="exact"/>
        <w:ind w:left="426" w:hanging="426"/>
        <w:rPr>
          <w:szCs w:val="22"/>
          <w:lang w:eastAsia="en-US"/>
        </w:rPr>
      </w:pPr>
      <w:r w:rsidRPr="00FB5B94">
        <w:rPr>
          <w:szCs w:val="22"/>
          <w:lang w:eastAsia="en-US"/>
        </w:rPr>
        <w:t>Jeigu pasireiškė sunkus šalutinis poveikis arba pastebėjote šiame lapelyje nenurodytą šalutinį poveikį, pasakykite gydytojui arba vaistininkui.</w:t>
      </w:r>
    </w:p>
    <w:p w:rsidR="00346FFF" w:rsidRPr="00FB5B94" w:rsidRDefault="00346FFF" w:rsidP="00346FFF">
      <w:pPr>
        <w:tabs>
          <w:tab w:val="num" w:pos="426"/>
          <w:tab w:val="left" w:pos="567"/>
        </w:tabs>
        <w:spacing w:line="260" w:lineRule="exact"/>
        <w:ind w:left="426" w:hanging="426"/>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Lapelio turinys</w:t>
      </w:r>
    </w:p>
    <w:p w:rsidR="00346FFF" w:rsidRPr="00FB5B94" w:rsidRDefault="00346FFF" w:rsidP="00346FFF">
      <w:pPr>
        <w:tabs>
          <w:tab w:val="left" w:pos="567"/>
        </w:tabs>
        <w:spacing w:line="260" w:lineRule="exact"/>
        <w:rPr>
          <w:b/>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1.</w:t>
      </w:r>
      <w:r w:rsidRPr="00FB5B94">
        <w:rPr>
          <w:szCs w:val="22"/>
          <w:lang w:eastAsia="en-US"/>
        </w:rPr>
        <w:tab/>
        <w:t>Kas yra Teboneva ir kam jis vartojamas</w:t>
      </w:r>
    </w:p>
    <w:p w:rsidR="00346FFF" w:rsidRPr="00FB5B94" w:rsidRDefault="00346FFF" w:rsidP="00346FFF">
      <w:pPr>
        <w:tabs>
          <w:tab w:val="left" w:pos="567"/>
        </w:tabs>
        <w:spacing w:line="260" w:lineRule="exact"/>
        <w:rPr>
          <w:szCs w:val="22"/>
          <w:lang w:eastAsia="en-US"/>
        </w:rPr>
      </w:pPr>
      <w:r w:rsidRPr="00FB5B94">
        <w:rPr>
          <w:szCs w:val="22"/>
          <w:lang w:eastAsia="en-US"/>
        </w:rPr>
        <w:t>2.</w:t>
      </w:r>
      <w:r w:rsidRPr="00FB5B94">
        <w:rPr>
          <w:szCs w:val="22"/>
          <w:lang w:eastAsia="en-US"/>
        </w:rPr>
        <w:tab/>
        <w:t>Kas žinotina prieš vartojant Teboneva</w:t>
      </w:r>
    </w:p>
    <w:p w:rsidR="00346FFF" w:rsidRPr="00FB5B94" w:rsidRDefault="00346FFF" w:rsidP="00346FFF">
      <w:pPr>
        <w:tabs>
          <w:tab w:val="left" w:pos="567"/>
        </w:tabs>
        <w:spacing w:line="260" w:lineRule="exact"/>
        <w:rPr>
          <w:szCs w:val="22"/>
          <w:lang w:eastAsia="en-US"/>
        </w:rPr>
      </w:pPr>
      <w:r w:rsidRPr="00FB5B94">
        <w:rPr>
          <w:szCs w:val="22"/>
          <w:lang w:eastAsia="en-US"/>
        </w:rPr>
        <w:t>3.</w:t>
      </w:r>
      <w:r w:rsidRPr="00FB5B94">
        <w:rPr>
          <w:szCs w:val="22"/>
          <w:lang w:eastAsia="en-US"/>
        </w:rPr>
        <w:tab/>
        <w:t>Kaip vartoti Teboneva</w:t>
      </w:r>
    </w:p>
    <w:p w:rsidR="00346FFF" w:rsidRPr="00FB5B94" w:rsidRDefault="00346FFF" w:rsidP="00346FFF">
      <w:pPr>
        <w:tabs>
          <w:tab w:val="left" w:pos="567"/>
        </w:tabs>
        <w:spacing w:line="260" w:lineRule="exact"/>
        <w:rPr>
          <w:szCs w:val="22"/>
          <w:lang w:eastAsia="en-US"/>
        </w:rPr>
      </w:pPr>
      <w:r w:rsidRPr="00FB5B94">
        <w:rPr>
          <w:szCs w:val="22"/>
          <w:lang w:eastAsia="en-US"/>
        </w:rPr>
        <w:t>4.</w:t>
      </w:r>
      <w:r w:rsidRPr="00FB5B94">
        <w:rPr>
          <w:szCs w:val="22"/>
          <w:lang w:eastAsia="en-US"/>
        </w:rPr>
        <w:tab/>
        <w:t>Galimas šalutinis poveikis</w:t>
      </w:r>
    </w:p>
    <w:p w:rsidR="00346FFF" w:rsidRPr="00FB5B94" w:rsidRDefault="00346FFF" w:rsidP="00346FFF">
      <w:pPr>
        <w:tabs>
          <w:tab w:val="left" w:pos="567"/>
        </w:tabs>
        <w:spacing w:line="260" w:lineRule="exact"/>
        <w:rPr>
          <w:szCs w:val="22"/>
          <w:lang w:eastAsia="en-US"/>
        </w:rPr>
      </w:pPr>
      <w:r w:rsidRPr="00FB5B94">
        <w:rPr>
          <w:szCs w:val="22"/>
          <w:lang w:eastAsia="en-US"/>
        </w:rPr>
        <w:t>5.</w:t>
      </w:r>
      <w:r w:rsidRPr="00FB5B94">
        <w:rPr>
          <w:szCs w:val="22"/>
          <w:lang w:eastAsia="en-US"/>
        </w:rPr>
        <w:tab/>
        <w:t>Kaip laikyti Teboneva</w:t>
      </w:r>
    </w:p>
    <w:p w:rsidR="00346FFF" w:rsidRPr="00FB5B94" w:rsidRDefault="00346FFF" w:rsidP="00346FFF">
      <w:pPr>
        <w:tabs>
          <w:tab w:val="left" w:pos="567"/>
        </w:tabs>
        <w:spacing w:line="260" w:lineRule="exact"/>
        <w:rPr>
          <w:szCs w:val="22"/>
          <w:lang w:eastAsia="en-US"/>
        </w:rPr>
      </w:pPr>
      <w:r w:rsidRPr="00FB5B94">
        <w:rPr>
          <w:szCs w:val="22"/>
          <w:lang w:eastAsia="en-US"/>
        </w:rPr>
        <w:t>6.</w:t>
      </w:r>
      <w:r w:rsidRPr="00FB5B94">
        <w:rPr>
          <w:szCs w:val="22"/>
          <w:lang w:eastAsia="en-US"/>
        </w:rPr>
        <w:tab/>
        <w:t>Kita informacija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1.</w:t>
      </w:r>
      <w:r w:rsidRPr="00FB5B94">
        <w:rPr>
          <w:b/>
          <w:szCs w:val="22"/>
          <w:lang w:eastAsia="en-US"/>
        </w:rPr>
        <w:tab/>
        <w:t>KAS YRA TEBONEVA IR KAM JIS VARTOJAMAS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 xml:space="preserve">Teboneva yra vaistas, kuris susideda iš dviejų dalių: </w:t>
      </w:r>
      <w:r w:rsidRPr="00FB5B94">
        <w:rPr>
          <w:b/>
          <w:szCs w:val="22"/>
          <w:u w:val="single"/>
          <w:lang w:eastAsia="en-US"/>
        </w:rPr>
        <w:t>alendronato tablečių</w:t>
      </w:r>
      <w:r w:rsidRPr="00FB5B94">
        <w:rPr>
          <w:szCs w:val="22"/>
          <w:lang w:eastAsia="en-US"/>
        </w:rPr>
        <w:t xml:space="preserve"> ir </w:t>
      </w:r>
      <w:r w:rsidRPr="00FB5B94">
        <w:rPr>
          <w:b/>
          <w:szCs w:val="22"/>
          <w:u w:val="single"/>
          <w:lang w:eastAsia="en-US"/>
        </w:rPr>
        <w:t>alfakalcidolio kapsulių</w:t>
      </w:r>
      <w:r w:rsidRPr="00FB5B94">
        <w:rPr>
          <w:szCs w:val="22"/>
          <w:lang w:eastAsia="en-US"/>
        </w:rPr>
        <w:t>.</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Kas yra alendronatas?</w:t>
      </w:r>
    </w:p>
    <w:p w:rsidR="00346FFF" w:rsidRPr="00FB5B94" w:rsidRDefault="00346FFF" w:rsidP="00346FFF">
      <w:pPr>
        <w:tabs>
          <w:tab w:val="left" w:pos="567"/>
        </w:tabs>
        <w:spacing w:line="260" w:lineRule="exact"/>
        <w:rPr>
          <w:szCs w:val="22"/>
          <w:lang w:eastAsia="en-US"/>
        </w:rPr>
      </w:pPr>
      <w:r w:rsidRPr="00FB5B94">
        <w:rPr>
          <w:szCs w:val="22"/>
          <w:lang w:eastAsia="en-US"/>
        </w:rPr>
        <w:t>Alendronatas priklauso vaistų, vadinamų bisfosfonatais, grupei. Jis saugo organizmą nuo kaulų masės mažėjimo, kuris pasireiškia moterims po menopauzės, ir padeda kaulų atsistatymui. Tokiu būdu alendronatas sumažina kaulų lūžimų, ypač stuburo slankstelių ir šlaunikaulių, kurie dažniausiai susiję su osteoporoze, riziką. Alendronatas yra nehormoninis preparatas.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Kas yra alfakalcidolis?</w:t>
      </w:r>
    </w:p>
    <w:p w:rsidR="00346FFF" w:rsidRPr="00FB5B94" w:rsidRDefault="00346FFF" w:rsidP="00346FFF">
      <w:pPr>
        <w:tabs>
          <w:tab w:val="left" w:pos="567"/>
        </w:tabs>
        <w:spacing w:line="260" w:lineRule="exact"/>
        <w:rPr>
          <w:szCs w:val="22"/>
          <w:lang w:eastAsia="en-US"/>
        </w:rPr>
      </w:pPr>
      <w:r w:rsidRPr="00FB5B94">
        <w:rPr>
          <w:szCs w:val="22"/>
          <w:lang w:eastAsia="en-US"/>
        </w:rPr>
        <w:t>Alfakalcidolis priklauso vaistų, vadinamų vitamino D analogais, grupei; jie reguliuoja kalcio ir fosfatų kiekį organizme.</w:t>
      </w:r>
    </w:p>
    <w:p w:rsidR="00346FFF" w:rsidRPr="00FB5B94" w:rsidRDefault="00346FFF" w:rsidP="00346FFF">
      <w:pPr>
        <w:tabs>
          <w:tab w:val="left" w:pos="567"/>
        </w:tabs>
        <w:spacing w:line="260" w:lineRule="exact"/>
        <w:rPr>
          <w:szCs w:val="22"/>
          <w:lang w:eastAsia="en-US"/>
        </w:rPr>
      </w:pPr>
      <w:r w:rsidRPr="00FB5B94">
        <w:rPr>
          <w:szCs w:val="22"/>
          <w:lang w:eastAsia="en-US"/>
        </w:rPr>
        <w:t>Alfakalcidolis padidina kalcio ir fosfatų įsisavinimą iš maisto plonojoje žarnoje ir skatina mineralų atsidėjimą kauluose. Tuo pat metu alfakalcidolis sumažina kalcio išsiskyrimą iš kaulinio audinio ir apsaugo nuo kaulų išretėjimo. Nustatyta, kad alfakalcidolis reikšmingai sumažina senyvų pacientų nugriuvimo dažnumą.</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Teboneva vartojamas osteoporozei, kuri dažnai pasireiškia moterims po menopauzės, gydyti.</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2.</w:t>
      </w:r>
      <w:r w:rsidRPr="00FB5B94">
        <w:rPr>
          <w:b/>
          <w:szCs w:val="22"/>
          <w:lang w:eastAsia="en-US"/>
        </w:rPr>
        <w:tab/>
        <w:t>KAS ŽINOTINA PRIEŠ VARTOJANT</w:t>
      </w:r>
      <w:r w:rsidRPr="00FB5B94">
        <w:rPr>
          <w:szCs w:val="22"/>
          <w:lang w:eastAsia="en-US"/>
        </w:rPr>
        <w:t xml:space="preserve"> </w:t>
      </w:r>
      <w:r w:rsidRPr="00FB5B94">
        <w:rPr>
          <w:b/>
          <w:szCs w:val="22"/>
          <w:lang w:eastAsia="en-US"/>
        </w:rPr>
        <w:t>TEBONEVA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Teboneva vartoti negalima: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pStyle w:val="BT-EMEASMCA"/>
        <w:rPr>
          <w:sz w:val="22"/>
          <w:szCs w:val="22"/>
        </w:rPr>
      </w:pPr>
      <w:r w:rsidRPr="00FB5B94">
        <w:rPr>
          <w:sz w:val="22"/>
          <w:szCs w:val="22"/>
        </w:rPr>
        <w:t>jeigu Jums yra alergija (padidėjęs jautrumas) alfakalcidoliui, alendronatui ar kitiems bifosfonatų grupės vaistams arba bet kuriai pagalbinei vaisto medžiagai;</w:t>
      </w:r>
    </w:p>
    <w:p w:rsidR="00346FFF" w:rsidRPr="00FB5B94" w:rsidRDefault="00346FFF" w:rsidP="00346FFF">
      <w:pPr>
        <w:pStyle w:val="BT-EMEASMCA"/>
        <w:rPr>
          <w:sz w:val="22"/>
          <w:szCs w:val="22"/>
        </w:rPr>
      </w:pPr>
      <w:r w:rsidRPr="00FB5B94">
        <w:rPr>
          <w:sz w:val="22"/>
          <w:szCs w:val="22"/>
        </w:rPr>
        <w:t>jeigu Jus vargina stemplės susiaurėjimas, rijimo arba kiti sutrikimai, trukdantys patekti maistui iš stemplės į skrandį;</w:t>
      </w:r>
    </w:p>
    <w:p w:rsidR="00346FFF" w:rsidRPr="00FB5B94" w:rsidRDefault="00346FFF" w:rsidP="00346FFF">
      <w:pPr>
        <w:pStyle w:val="BT-EMEASMCA"/>
        <w:rPr>
          <w:sz w:val="22"/>
          <w:szCs w:val="22"/>
        </w:rPr>
      </w:pPr>
      <w:r w:rsidRPr="00FB5B94">
        <w:rPr>
          <w:sz w:val="22"/>
          <w:szCs w:val="22"/>
        </w:rPr>
        <w:t>jeigu Jūs negalite tiesiai stovėti ar sėdėti ne mažiau kaip 30 minučių; negalima atsigulti, nes vartojant Teboneva gali būti dirginama stemplė;</w:t>
      </w:r>
    </w:p>
    <w:p w:rsidR="00346FFF" w:rsidRPr="00FB5B94" w:rsidRDefault="00346FFF" w:rsidP="00346FFF">
      <w:pPr>
        <w:pStyle w:val="BT-EMEASMCA"/>
        <w:rPr>
          <w:sz w:val="22"/>
          <w:szCs w:val="22"/>
        </w:rPr>
      </w:pPr>
      <w:r w:rsidRPr="00FB5B94">
        <w:rPr>
          <w:sz w:val="22"/>
          <w:szCs w:val="22"/>
        </w:rPr>
        <w:t>jeigu gydytojas nustatė, kad Jūsų kraujyje yra per daug magnio;</w:t>
      </w:r>
    </w:p>
    <w:p w:rsidR="00346FFF" w:rsidRPr="00FB5B94" w:rsidRDefault="00346FFF" w:rsidP="00346FFF">
      <w:pPr>
        <w:pStyle w:val="BT-EMEASMCA"/>
        <w:rPr>
          <w:sz w:val="22"/>
          <w:szCs w:val="22"/>
        </w:rPr>
      </w:pPr>
      <w:r w:rsidRPr="00FB5B94">
        <w:rPr>
          <w:sz w:val="22"/>
          <w:szCs w:val="22"/>
        </w:rPr>
        <w:t>jeigu gydytojas nustatė, kad Jūsų kraujyje yra per mažai arba per daug kalcio;</w:t>
      </w:r>
    </w:p>
    <w:p w:rsidR="00346FFF" w:rsidRPr="00FB5B94" w:rsidRDefault="00346FFF" w:rsidP="00346FFF">
      <w:pPr>
        <w:pStyle w:val="BT-EMEASMCA"/>
        <w:rPr>
          <w:sz w:val="22"/>
          <w:szCs w:val="22"/>
        </w:rPr>
      </w:pPr>
      <w:r w:rsidRPr="00FB5B94">
        <w:rPr>
          <w:sz w:val="22"/>
          <w:szCs w:val="22"/>
        </w:rPr>
        <w:lastRenderedPageBreak/>
        <w:t xml:space="preserve">jeigu Jums nustatyta būklė, vadinama pieno-šarmų arba </w:t>
      </w:r>
      <w:r w:rsidRPr="00FB5B94">
        <w:rPr>
          <w:i/>
          <w:sz w:val="22"/>
          <w:szCs w:val="22"/>
        </w:rPr>
        <w:t xml:space="preserve">Burnett </w:t>
      </w:r>
      <w:r w:rsidRPr="00FB5B94">
        <w:rPr>
          <w:sz w:val="22"/>
          <w:szCs w:val="22"/>
        </w:rPr>
        <w:t>sindromu. Esant šiam sutrikimui kai kurie kraujo tyrimų rodikliai (kalcio, kalcio-fosfatų junginių kiekis), kraujo pH rodmenys yra padidėję (tai yra vadinamoji alkalozė);</w:t>
      </w:r>
    </w:p>
    <w:p w:rsidR="00346FFF" w:rsidRPr="00FB5B94" w:rsidRDefault="00346FFF" w:rsidP="00346FFF">
      <w:pPr>
        <w:pStyle w:val="BT-EMEASMCA"/>
        <w:rPr>
          <w:sz w:val="22"/>
          <w:szCs w:val="22"/>
        </w:rPr>
      </w:pPr>
      <w:r w:rsidRPr="00FB5B94">
        <w:rPr>
          <w:sz w:val="22"/>
          <w:szCs w:val="22"/>
        </w:rPr>
        <w:t>jeigu Jums nustatytas padidėjęs jautrumas vitaminui D;</w:t>
      </w:r>
    </w:p>
    <w:p w:rsidR="00346FFF" w:rsidRPr="00FB5B94" w:rsidRDefault="00346FFF" w:rsidP="00346FFF">
      <w:pPr>
        <w:pStyle w:val="BT-EMEASMCA"/>
        <w:rPr>
          <w:sz w:val="22"/>
          <w:szCs w:val="22"/>
        </w:rPr>
      </w:pPr>
      <w:r w:rsidRPr="00FB5B94">
        <w:rPr>
          <w:sz w:val="22"/>
          <w:szCs w:val="22"/>
        </w:rPr>
        <w:t>jeigu Jums nustatyta vitamino D intoksikacija;</w:t>
      </w:r>
    </w:p>
    <w:p w:rsidR="00346FFF" w:rsidRPr="00FB5B94" w:rsidRDefault="00346FFF" w:rsidP="00346FFF">
      <w:pPr>
        <w:pStyle w:val="BT-EMEASMCA"/>
        <w:rPr>
          <w:sz w:val="22"/>
          <w:szCs w:val="22"/>
        </w:rPr>
      </w:pPr>
      <w:r w:rsidRPr="00FB5B94">
        <w:rPr>
          <w:sz w:val="22"/>
          <w:szCs w:val="22"/>
        </w:rPr>
        <w:t>jeigu Jums nustatyta inkstų liga ir reikia atlikti dializę;</w:t>
      </w:r>
    </w:p>
    <w:p w:rsidR="00346FFF" w:rsidRPr="00FB5B94" w:rsidRDefault="00346FFF" w:rsidP="00346FFF">
      <w:pPr>
        <w:pStyle w:val="BT-EMEASMCA"/>
        <w:rPr>
          <w:sz w:val="22"/>
          <w:szCs w:val="22"/>
        </w:rPr>
      </w:pPr>
      <w:r w:rsidRPr="00FB5B94">
        <w:rPr>
          <w:sz w:val="22"/>
          <w:szCs w:val="22"/>
        </w:rPr>
        <w:t>jeigu Jums kada nors buvo nustatyta inkstų akmenligė arba sergate sarkoidoze (</w:t>
      </w:r>
      <w:r w:rsidRPr="00FB5B94">
        <w:rPr>
          <w:i/>
          <w:sz w:val="22"/>
          <w:szCs w:val="22"/>
        </w:rPr>
        <w:t>Boeck</w:t>
      </w:r>
      <w:r w:rsidRPr="00FB5B94">
        <w:rPr>
          <w:sz w:val="22"/>
          <w:szCs w:val="22"/>
        </w:rPr>
        <w:t xml:space="preserve"> liga), vartojant šį vaistą rizika didesnė.</w:t>
      </w:r>
    </w:p>
    <w:p w:rsidR="00346FFF" w:rsidRPr="00FB5B94" w:rsidRDefault="00346FFF" w:rsidP="00346FFF">
      <w:pPr>
        <w:tabs>
          <w:tab w:val="left" w:pos="567"/>
        </w:tabs>
        <w:spacing w:line="260" w:lineRule="exact"/>
        <w:ind w:left="720"/>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Teboneva negalima gydyti jaunesnių kaip 18 metų vaikų ir paauglių.</w:t>
      </w:r>
    </w:p>
    <w:p w:rsidR="00346FFF" w:rsidRPr="00FB5B94" w:rsidRDefault="00346FFF" w:rsidP="00346FFF">
      <w:pPr>
        <w:tabs>
          <w:tab w:val="left" w:pos="567"/>
        </w:tabs>
        <w:spacing w:line="260" w:lineRule="exact"/>
        <w:rPr>
          <w:szCs w:val="22"/>
          <w:lang w:eastAsia="en-US"/>
        </w:rPr>
      </w:pPr>
      <w:r w:rsidRPr="00FB5B94">
        <w:rPr>
          <w:szCs w:val="22"/>
          <w:lang w:eastAsia="en-US"/>
        </w:rPr>
        <w:t>Jei manote, kad kuri nors iš išvardytų sąlygų tinka Jums, negerkite šio vaisto. Pasitarkite su gydytoju ir laikykitės jo nurodymų.</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Specialių atsargumo priemonių reikia:</w:t>
      </w:r>
    </w:p>
    <w:p w:rsidR="00346FFF" w:rsidRPr="00FB5B94" w:rsidRDefault="00346FFF" w:rsidP="00346FFF">
      <w:pPr>
        <w:tabs>
          <w:tab w:val="left" w:pos="567"/>
        </w:tabs>
        <w:spacing w:line="260" w:lineRule="exact"/>
        <w:rPr>
          <w:szCs w:val="22"/>
          <w:lang w:eastAsia="en-US"/>
        </w:rPr>
      </w:pPr>
      <w:r w:rsidRPr="00FB5B94">
        <w:rPr>
          <w:szCs w:val="22"/>
          <w:lang w:eastAsia="en-US"/>
        </w:rPr>
        <w:t>Prieš vartojant vaistą svarbu pasakyti gydytojui:</w:t>
      </w:r>
    </w:p>
    <w:p w:rsidR="00346FFF" w:rsidRPr="00FB5B94" w:rsidRDefault="00346FFF" w:rsidP="00346FFF">
      <w:pPr>
        <w:pStyle w:val="BT-EMEASMCA"/>
        <w:rPr>
          <w:sz w:val="22"/>
          <w:szCs w:val="22"/>
        </w:rPr>
      </w:pPr>
      <w:r w:rsidRPr="00FB5B94">
        <w:rPr>
          <w:sz w:val="22"/>
          <w:szCs w:val="22"/>
        </w:rPr>
        <w:t>jeigu Jums yra sutrikusi inkstų veikla;</w:t>
      </w:r>
    </w:p>
    <w:p w:rsidR="00346FFF" w:rsidRPr="00FB5B94" w:rsidRDefault="00346FFF" w:rsidP="00346FFF">
      <w:pPr>
        <w:pStyle w:val="BT-EMEASMCA"/>
        <w:rPr>
          <w:sz w:val="22"/>
          <w:szCs w:val="22"/>
        </w:rPr>
      </w:pPr>
      <w:r w:rsidRPr="00FB5B94">
        <w:rPr>
          <w:sz w:val="22"/>
          <w:szCs w:val="22"/>
        </w:rPr>
        <w:t>jeigu sergate alerginėmis ligomis;</w:t>
      </w:r>
    </w:p>
    <w:p w:rsidR="00346FFF" w:rsidRPr="00FB5B94" w:rsidRDefault="00346FFF" w:rsidP="00346FFF">
      <w:pPr>
        <w:pStyle w:val="BT-EMEASMCA"/>
        <w:rPr>
          <w:sz w:val="22"/>
          <w:szCs w:val="22"/>
        </w:rPr>
      </w:pPr>
      <w:r w:rsidRPr="00FB5B94">
        <w:rPr>
          <w:sz w:val="22"/>
          <w:szCs w:val="22"/>
        </w:rPr>
        <w:t>jeigu kraujyje yra sumažėjęs kalcio kiekis. Prieš pradedant vartoti Teboneva reikia šį pakitimą atstatyti. Iš pradžių reikia išgydyti kitas ligas, susijusias su kalcio ir fosfatų pusiausvyros sutrikimais, pvz., susilpnėjusią prieskydinių liaukų funkciją; vartojant Teboneva reikia atidžiai kontroliuoti Jūsų būklę dėl šių sutrikimų;</w:t>
      </w:r>
    </w:p>
    <w:p w:rsidR="00346FFF" w:rsidRPr="00FB5B94" w:rsidRDefault="00346FFF" w:rsidP="00346FFF">
      <w:pPr>
        <w:pStyle w:val="BT-EMEASMCA"/>
        <w:rPr>
          <w:sz w:val="22"/>
          <w:szCs w:val="22"/>
        </w:rPr>
      </w:pPr>
      <w:r w:rsidRPr="00FB5B94">
        <w:rPr>
          <w:sz w:val="22"/>
          <w:szCs w:val="22"/>
        </w:rPr>
        <w:t>jeigu sergate sarkoidoze (</w:t>
      </w:r>
      <w:r w:rsidRPr="00FB5B94">
        <w:rPr>
          <w:i/>
          <w:sz w:val="22"/>
          <w:szCs w:val="22"/>
        </w:rPr>
        <w:t>Boeck</w:t>
      </w:r>
      <w:r w:rsidRPr="00FB5B94">
        <w:rPr>
          <w:sz w:val="22"/>
          <w:szCs w:val="22"/>
        </w:rPr>
        <w:t xml:space="preserve">  liga), leukoze arba limfoma, šio vaisto vartojimas sukelia didesnę riziką;</w:t>
      </w:r>
    </w:p>
    <w:p w:rsidR="00346FFF" w:rsidRPr="00FB5B94" w:rsidRDefault="00346FFF" w:rsidP="00346FFF">
      <w:pPr>
        <w:pStyle w:val="BT-EMEASMCA"/>
        <w:rPr>
          <w:sz w:val="22"/>
          <w:szCs w:val="22"/>
        </w:rPr>
      </w:pPr>
      <w:r w:rsidRPr="00FB5B94">
        <w:rPr>
          <w:sz w:val="22"/>
          <w:szCs w:val="22"/>
        </w:rPr>
        <w:t>jeigu sergate virškinimo trakto ligomis, pvz., Jums sunku nuryti, stemplės ligomis, skrandžio ar plonosios žarnos gleivinės uždegimu arba opalige (pepsine opa), arba per paskutinius vienerius metus Jums buvo nustatytas sunkus virškinimo trakto susirgimas, toks kaip pepsinė opa ar kraujavimas iš virškinimo trakto, arba jeigu atlikta virškinimo trakto viršutinės dalies chirurginė operacija (išskyrus prievarčio plastiką arba išėjimo iš skrandžio angos praplatinimą);</w:t>
      </w:r>
    </w:p>
    <w:p w:rsidR="00346FFF" w:rsidRPr="00FB5B94" w:rsidRDefault="00346FFF" w:rsidP="00346FFF">
      <w:pPr>
        <w:pStyle w:val="BT-EMEASMCA"/>
        <w:rPr>
          <w:sz w:val="22"/>
          <w:szCs w:val="22"/>
        </w:rPr>
      </w:pPr>
      <w:r w:rsidRPr="00FB5B94">
        <w:rPr>
          <w:sz w:val="22"/>
          <w:szCs w:val="22"/>
        </w:rPr>
        <w:t xml:space="preserve">jeigu Jūsų gydytojas yra sakęs, kad Jums yra </w:t>
      </w:r>
      <w:r w:rsidRPr="00FB5B94">
        <w:rPr>
          <w:i/>
          <w:sz w:val="22"/>
          <w:szCs w:val="22"/>
        </w:rPr>
        <w:t>Barett</w:t>
      </w:r>
      <w:r w:rsidRPr="00FB5B94">
        <w:rPr>
          <w:sz w:val="22"/>
          <w:szCs w:val="22"/>
        </w:rPr>
        <w:t>‘o stemplė (būklė, susijusi su apatinę stemplės dalį išklojančių ląstelių pakitimais);</w:t>
      </w:r>
    </w:p>
    <w:p w:rsidR="00346FFF" w:rsidRPr="00FB5B94" w:rsidRDefault="00346FFF" w:rsidP="00346FFF">
      <w:pPr>
        <w:pStyle w:val="BT-EMEASMCA"/>
        <w:rPr>
          <w:sz w:val="22"/>
          <w:szCs w:val="22"/>
        </w:rPr>
      </w:pPr>
      <w:r w:rsidRPr="00FB5B94">
        <w:rPr>
          <w:sz w:val="22"/>
          <w:szCs w:val="22"/>
        </w:rPr>
        <w:t>jeigu nustatyta dantenų liga;</w:t>
      </w:r>
    </w:p>
    <w:p w:rsidR="00346FFF" w:rsidRPr="00FB5B94" w:rsidRDefault="00346FFF" w:rsidP="00346FFF">
      <w:pPr>
        <w:pStyle w:val="BT-EMEASMCA"/>
        <w:rPr>
          <w:sz w:val="22"/>
          <w:szCs w:val="22"/>
        </w:rPr>
      </w:pPr>
      <w:r w:rsidRPr="00FB5B94">
        <w:rPr>
          <w:sz w:val="22"/>
          <w:szCs w:val="22"/>
        </w:rPr>
        <w:t>jeigu numatytas danties šalinimas.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Jeigu Jums tinka kuri nors toliau išvardyta aplinkybė, prieš pradedant vartoti Teboneva reikia pasitikrinti dantų būklę:</w:t>
      </w:r>
    </w:p>
    <w:p w:rsidR="00346FFF" w:rsidRPr="00FB5B94" w:rsidRDefault="00346FFF" w:rsidP="00346FFF">
      <w:pPr>
        <w:pStyle w:val="BT-EMEASMCA"/>
        <w:rPr>
          <w:sz w:val="22"/>
          <w:szCs w:val="22"/>
        </w:rPr>
      </w:pPr>
      <w:r w:rsidRPr="00FB5B94">
        <w:rPr>
          <w:sz w:val="22"/>
          <w:szCs w:val="22"/>
        </w:rPr>
        <w:t>jeigu Jūs sergate vėžiu;</w:t>
      </w:r>
    </w:p>
    <w:p w:rsidR="00346FFF" w:rsidRPr="00FB5B94" w:rsidRDefault="00346FFF" w:rsidP="00346FFF">
      <w:pPr>
        <w:pStyle w:val="BT-EMEASMCA"/>
        <w:rPr>
          <w:sz w:val="22"/>
          <w:szCs w:val="22"/>
        </w:rPr>
      </w:pPr>
      <w:r w:rsidRPr="00FB5B94">
        <w:rPr>
          <w:sz w:val="22"/>
          <w:szCs w:val="22"/>
        </w:rPr>
        <w:t>jeigu Jums yra taikoma chemoterapija ar radioterapija;</w:t>
      </w:r>
    </w:p>
    <w:p w:rsidR="00346FFF" w:rsidRPr="00FB5B94" w:rsidRDefault="00346FFF" w:rsidP="00346FFF">
      <w:pPr>
        <w:pStyle w:val="BT-EMEASMCA"/>
        <w:rPr>
          <w:sz w:val="22"/>
          <w:szCs w:val="22"/>
        </w:rPr>
      </w:pPr>
      <w:r w:rsidRPr="00FB5B94">
        <w:rPr>
          <w:sz w:val="22"/>
          <w:szCs w:val="22"/>
        </w:rPr>
        <w:t>jeigu Jūs vartojate steroidų;</w:t>
      </w:r>
    </w:p>
    <w:p w:rsidR="00346FFF" w:rsidRPr="00FB5B94" w:rsidRDefault="00346FFF" w:rsidP="00346FFF">
      <w:pPr>
        <w:pStyle w:val="BT-EMEASMCA"/>
        <w:rPr>
          <w:sz w:val="22"/>
          <w:szCs w:val="22"/>
        </w:rPr>
      </w:pPr>
      <w:r w:rsidRPr="00FB5B94">
        <w:rPr>
          <w:sz w:val="22"/>
          <w:szCs w:val="22"/>
        </w:rPr>
        <w:t>jeigu Jums neatliktas profilaktinis dantų patikrinimas;</w:t>
      </w:r>
    </w:p>
    <w:p w:rsidR="00346FFF" w:rsidRPr="00FB5B94" w:rsidRDefault="00346FFF" w:rsidP="00346FFF">
      <w:pPr>
        <w:pStyle w:val="BT-EMEASMCA"/>
        <w:rPr>
          <w:sz w:val="22"/>
          <w:szCs w:val="22"/>
        </w:rPr>
      </w:pPr>
      <w:r w:rsidRPr="00FB5B94">
        <w:rPr>
          <w:sz w:val="22"/>
          <w:szCs w:val="22"/>
        </w:rPr>
        <w:t>jeigu nustatyta dantenų liga.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Dantų profilaktinį patikrinimą būtina atlikti gydymosi laikotarpiu laikantis odontologo nurodymų. Vartojant Teboneva gali atsirasti stemplės dirginimas, uždegimas arba išopėjimas, dėl kurio retai gali stemplė susiaurėti. Tai dažnai susiję su tokiais simptomais kaip krūtinės skausmas, rėmuo arba rijimo sutrikimai, skausmas rijimo metu, jų simptomai gali būti tokie stiprūs, kad gali reikėti gydytis ligoninėje.</w:t>
      </w:r>
    </w:p>
    <w:p w:rsidR="00346FFF" w:rsidRPr="00FB5B94" w:rsidRDefault="00346FFF" w:rsidP="00346FFF">
      <w:pPr>
        <w:tabs>
          <w:tab w:val="left" w:pos="567"/>
        </w:tabs>
        <w:spacing w:line="260" w:lineRule="exact"/>
        <w:rPr>
          <w:szCs w:val="22"/>
          <w:lang w:eastAsia="en-US"/>
        </w:rPr>
      </w:pPr>
      <w:r w:rsidRPr="00FB5B94">
        <w:rPr>
          <w:szCs w:val="22"/>
          <w:lang w:eastAsia="en-US"/>
        </w:rPr>
        <w:t xml:space="preserve">Tokie sutrikimai pasitaikys rečiau, jeigu Jūs alendronato tablečių vartojimo metu išgersite stiklinę vandens (mažiausiai 200 ml </w:t>
      </w:r>
      <w:r w:rsidRPr="00FB5B94">
        <w:rPr>
          <w:b/>
          <w:szCs w:val="22"/>
          <w:u w:val="single"/>
          <w:lang w:eastAsia="en-US"/>
        </w:rPr>
        <w:t>ne</w:t>
      </w:r>
      <w:r w:rsidRPr="00FB5B94">
        <w:rPr>
          <w:szCs w:val="22"/>
          <w:lang w:eastAsia="en-US"/>
        </w:rPr>
        <w:t xml:space="preserve"> mineralinio vandens) ir (arba) išgėrus šių tablečių 30 min. vengsite atsigulti. Įsidėmėkite, kad šis šalutinis poveikis gali sustiprėti, jeigu tęsite alendronato tablečių vartojimą po to, kai atsiranda šių simptomų. Kadangi tokių šalutinio poveikio simptomų rizika padidėja, jeigu Jūs šio vaisto vartojate neteisingai, prašome visą laiką laikytis 3 skyriaus „Kaip vartoti Teboneva“ nurodymų.</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Kitų vaistų vartojimas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Vaistai, trukdantys alendronato poveikiui:</w:t>
      </w:r>
    </w:p>
    <w:p w:rsidR="00346FFF" w:rsidRPr="00FB5B94" w:rsidRDefault="00346FFF" w:rsidP="00346FFF">
      <w:pPr>
        <w:pStyle w:val="BTEMEASMCA"/>
        <w:rPr>
          <w:sz w:val="22"/>
          <w:szCs w:val="22"/>
        </w:rPr>
      </w:pPr>
      <w:r w:rsidRPr="00FB5B94">
        <w:rPr>
          <w:sz w:val="22"/>
          <w:szCs w:val="22"/>
        </w:rPr>
        <w:lastRenderedPageBreak/>
        <w:t>Tuo pačiu metu vartojami maisto papildai, kurių sudėtyje yra kalcio, skrandžio rūgštingumą mažinantys (neutralizuojantys skrandžio rūgštį) ir kai kurie kiti geriamieji vaistai gali turėti įtakos alendronato tablečių absorbcijai. Todėl svarbu, kad Jūs laikytumėtės 3 skyriaus „Kaip vartoti Teboneva“ nurodymų.</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Vaistai trukdantys alfakalcidolio poveikiui:</w:t>
      </w:r>
    </w:p>
    <w:p w:rsidR="00346FFF" w:rsidRPr="00FB5B94" w:rsidRDefault="00346FFF" w:rsidP="00346FFF">
      <w:pPr>
        <w:pStyle w:val="BTEMEASMCA"/>
        <w:rPr>
          <w:sz w:val="22"/>
          <w:szCs w:val="22"/>
        </w:rPr>
      </w:pPr>
      <w:r w:rsidRPr="00FB5B94">
        <w:rPr>
          <w:sz w:val="22"/>
          <w:szCs w:val="22"/>
        </w:rPr>
        <w:t>Kartu su alfakalcidoliu negalima vartoti vitamino D ir jo preparatų, nes pats alfakalcidolis yra stiprus vitamino D preparatas. Vartojimas su kitais vitamino D preparatais gali labai padidinti hiperkalcemijos (padidėjusio kalcio kiekio kraujo plazmoje) riziką. Labai didelė kalcio koncentracija kraujyje gali būti pavojinga gyvybei.</w:t>
      </w:r>
    </w:p>
    <w:p w:rsidR="00346FFF" w:rsidRPr="00FB5B94" w:rsidRDefault="00346FFF" w:rsidP="00346FFF">
      <w:pPr>
        <w:pStyle w:val="BTEMEASMCA"/>
        <w:rPr>
          <w:sz w:val="22"/>
          <w:szCs w:val="22"/>
        </w:rPr>
      </w:pPr>
      <w:r w:rsidRPr="00FB5B94">
        <w:rPr>
          <w:sz w:val="22"/>
          <w:szCs w:val="22"/>
        </w:rPr>
        <w:t>Didelės kalcio koncentracijos kraujyje rizika gali padidėti vartojant vaistus, kurių sudėtyje yra kalcio, tiazidus (kai kuriuos skysčių išsiskyrimą skatinančius vaistus – diuretikus) ir kitus kalcio kiekį kraujyje didinančius vaistus. Pacientams, kurie vartoja rusmenės preparatų (digitalio) netgi nedidelis kalcio koncentracijos kraujyje padidėjimas gali sukelti širdies ritmo sutrikimus. Todėl pacientų, vartojančių digitalio preparatus kartu su alfakalcidolio kapsulėmis, būklę reikia sekti labai atidžiai. Jeigu Jūs taip pat vartojate barbitūratų (stiprių migdomųjų vaistų arba vartojamų traukulių gydymui) arba kitų vaistų nuo traukulių (antikonvulsantų), pasakykite apie tai gydytojui, kad jis galėtų tinkamai patikslinti alfakalcidolio dozę.</w:t>
      </w: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szCs w:val="22"/>
          <w:lang w:eastAsia="en-US"/>
        </w:rPr>
      </w:pPr>
      <w:r w:rsidRPr="00FB5B94">
        <w:rPr>
          <w:szCs w:val="22"/>
          <w:lang w:eastAsia="en-US"/>
        </w:rPr>
        <w:t>Alfakalcidolio poveikį gali taip pat sutrikdyti toliau išvardyti vaistai:</w:t>
      </w:r>
    </w:p>
    <w:p w:rsidR="00346FFF" w:rsidRPr="00FB5B94" w:rsidRDefault="00346FFF" w:rsidP="00346FFF">
      <w:pPr>
        <w:pStyle w:val="BT-EMEASMCA"/>
        <w:rPr>
          <w:sz w:val="22"/>
          <w:szCs w:val="22"/>
        </w:rPr>
      </w:pPr>
      <w:r w:rsidRPr="00FB5B94">
        <w:rPr>
          <w:sz w:val="22"/>
          <w:szCs w:val="22"/>
        </w:rPr>
        <w:t>gliukokortikoidai (kortizonas ir panašios medžiagos);</w:t>
      </w:r>
    </w:p>
    <w:p w:rsidR="00346FFF" w:rsidRPr="00FB5B94" w:rsidRDefault="00346FFF" w:rsidP="00346FFF">
      <w:pPr>
        <w:pStyle w:val="BT-EMEASMCA"/>
        <w:rPr>
          <w:sz w:val="22"/>
          <w:szCs w:val="22"/>
        </w:rPr>
      </w:pPr>
      <w:r w:rsidRPr="00FB5B94">
        <w:rPr>
          <w:sz w:val="22"/>
          <w:szCs w:val="22"/>
        </w:rPr>
        <w:t>tulžies rūgštis sujungiantys preparatai (kolestiraminas, kolestipolis);</w:t>
      </w:r>
    </w:p>
    <w:p w:rsidR="00346FFF" w:rsidRPr="00FB5B94" w:rsidRDefault="00346FFF" w:rsidP="00346FFF">
      <w:pPr>
        <w:pStyle w:val="BT-EMEASMCA"/>
        <w:rPr>
          <w:sz w:val="22"/>
          <w:szCs w:val="22"/>
        </w:rPr>
      </w:pPr>
      <w:r w:rsidRPr="00FB5B94">
        <w:rPr>
          <w:sz w:val="22"/>
          <w:szCs w:val="22"/>
        </w:rPr>
        <w:t>sukralfatas (vaistas, vartojamas skrandžio gleivinei apsaugoti);</w:t>
      </w:r>
    </w:p>
    <w:p w:rsidR="00346FFF" w:rsidRPr="00FB5B94" w:rsidRDefault="00346FFF" w:rsidP="00346FFF">
      <w:pPr>
        <w:pStyle w:val="BT-EMEASMCA"/>
        <w:rPr>
          <w:sz w:val="22"/>
          <w:szCs w:val="22"/>
        </w:rPr>
      </w:pPr>
      <w:r w:rsidRPr="00FB5B94">
        <w:rPr>
          <w:sz w:val="22"/>
          <w:szCs w:val="22"/>
        </w:rPr>
        <w:t>skrandžio rūgštingumą mažinantys vaistai (neutralizuojantys skrandžio rūgštį), kurių sudėtyje yra aliuminio.</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Tarp alfakalcidolio ir skrandžio rūgštingumą mažinančių vaistų, kurių sudėtyje yra aliuminio, vartojimo turi būti 2 valandų pertrauka, jų negalima vartoti kartu.</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Jeigu dėl menopauzės vartojate hormonus, kurių sudėtyje yra estrogeno, alfakalcidolio poveikis gali sustiprėti.</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Jeigu vartojate arba neseniai vartojote kitų vaistų, įskaitant įsigytus be recepto, pasakykite gydytojui arba vaistininkui.</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Teboneva vartojimas su maistu ir gėrimais</w:t>
      </w:r>
    </w:p>
    <w:p w:rsidR="00346FFF" w:rsidRPr="00FB5B94" w:rsidRDefault="00346FFF" w:rsidP="00346FFF">
      <w:pPr>
        <w:tabs>
          <w:tab w:val="left" w:pos="567"/>
        </w:tabs>
        <w:spacing w:line="260" w:lineRule="exact"/>
        <w:rPr>
          <w:rStyle w:val="BTEMEASMCAChar"/>
          <w:b/>
          <w:szCs w:val="22"/>
        </w:rPr>
      </w:pPr>
      <w:r w:rsidRPr="00FB5B94">
        <w:rPr>
          <w:b/>
          <w:szCs w:val="22"/>
          <w:lang w:eastAsia="en-US"/>
        </w:rPr>
        <w:t xml:space="preserve">Su šiuo </w:t>
      </w:r>
      <w:r w:rsidRPr="00FB5B94">
        <w:rPr>
          <w:rStyle w:val="BTEMEASMCAChar"/>
          <w:b/>
          <w:szCs w:val="22"/>
        </w:rPr>
        <w:t>vaistu kartu vartojamas maistas ir gėrimai (netgi mineralinis vanduo) tikriausiai sumažins alendronato tablečių veiksmingumą. Todėl svarbu laikytis 3 skyriaus „Kaip vartoti Teboneva“ nurodymų.</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Nėštumas ir žindymo laikotarpis</w:t>
      </w:r>
    </w:p>
    <w:p w:rsidR="00346FFF" w:rsidRPr="00FB5B94" w:rsidRDefault="00346FFF" w:rsidP="00346FFF">
      <w:pPr>
        <w:pStyle w:val="BTEMEASMCA"/>
        <w:rPr>
          <w:sz w:val="22"/>
          <w:szCs w:val="22"/>
        </w:rPr>
      </w:pPr>
      <w:r w:rsidRPr="00FB5B94">
        <w:rPr>
          <w:sz w:val="22"/>
          <w:szCs w:val="22"/>
        </w:rPr>
        <w:t xml:space="preserve">Nevartokite Teboneva, jeigu esate nėščia arba manote, kad pastojote. Taip pat Teboneva negalima vartoti, jeigu žindote kūdikį. </w:t>
      </w:r>
    </w:p>
    <w:p w:rsidR="00346FFF" w:rsidRPr="00FB5B94" w:rsidRDefault="00346FFF" w:rsidP="00346FFF">
      <w:pPr>
        <w:pStyle w:val="BTEMEASMCA"/>
        <w:rPr>
          <w:sz w:val="22"/>
          <w:szCs w:val="22"/>
        </w:rPr>
      </w:pPr>
      <w:r w:rsidRPr="00FB5B94">
        <w:rPr>
          <w:sz w:val="22"/>
          <w:szCs w:val="22"/>
        </w:rPr>
        <w:t xml:space="preserve">Teboneva tinka vartoti tik moterims po menopauzės. </w:t>
      </w: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b/>
          <w:szCs w:val="22"/>
          <w:lang w:eastAsia="en-US"/>
        </w:rPr>
      </w:pPr>
      <w:r w:rsidRPr="00FB5B94">
        <w:rPr>
          <w:b/>
          <w:szCs w:val="22"/>
          <w:lang w:eastAsia="en-US"/>
        </w:rPr>
        <w:t>Vairavimas ir mechanizmų valdymas</w:t>
      </w:r>
    </w:p>
    <w:p w:rsidR="00346FFF" w:rsidRPr="00FB5B94" w:rsidRDefault="00346FFF" w:rsidP="00346FFF">
      <w:pPr>
        <w:pStyle w:val="BTEMEASMCA"/>
        <w:rPr>
          <w:sz w:val="22"/>
          <w:szCs w:val="22"/>
        </w:rPr>
      </w:pPr>
      <w:r w:rsidRPr="00FB5B94">
        <w:rPr>
          <w:sz w:val="22"/>
          <w:szCs w:val="22"/>
        </w:rPr>
        <w:t>Mažai tikėtina, kad Teboneva gali turėti įtakos gebėjimui vairuoti ir valdyti mechanizmus.</w:t>
      </w: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b/>
          <w:szCs w:val="22"/>
          <w:lang w:eastAsia="en-US"/>
        </w:rPr>
      </w:pPr>
      <w:r w:rsidRPr="00FB5B94">
        <w:rPr>
          <w:b/>
          <w:szCs w:val="22"/>
          <w:lang w:eastAsia="en-US"/>
        </w:rPr>
        <w:t>Svarbi informacija apie kai kurias pagalbines Teboneva medžiagas</w:t>
      </w:r>
    </w:p>
    <w:p w:rsidR="00346FFF" w:rsidRPr="00FB5B94" w:rsidRDefault="00346FFF" w:rsidP="00346FFF">
      <w:pPr>
        <w:tabs>
          <w:tab w:val="left" w:pos="567"/>
        </w:tabs>
        <w:spacing w:line="260" w:lineRule="exact"/>
        <w:rPr>
          <w:b/>
          <w:szCs w:val="22"/>
          <w:lang w:eastAsia="en-US"/>
        </w:rPr>
      </w:pPr>
      <w:r w:rsidRPr="00FB5B94">
        <w:rPr>
          <w:b/>
          <w:szCs w:val="22"/>
          <w:lang w:eastAsia="en-US"/>
        </w:rPr>
        <w:t>Alfakalcidolio kapsulėse yra žemės riešutų aliejaus. Jeigu esate alergiškas žemės riešutams arba sojai, šio vaisto vartoti negalima.</w:t>
      </w:r>
    </w:p>
    <w:p w:rsidR="00346FFF" w:rsidRPr="00FB5B94" w:rsidRDefault="00346FFF" w:rsidP="00346FFF">
      <w:pPr>
        <w:tabs>
          <w:tab w:val="left" w:pos="567"/>
        </w:tabs>
        <w:spacing w:line="260" w:lineRule="exact"/>
        <w:rPr>
          <w:b/>
          <w:szCs w:val="22"/>
          <w:lang w:eastAsia="en-US"/>
        </w:rPr>
      </w:pPr>
      <w:r w:rsidRPr="00FB5B94">
        <w:rPr>
          <w:b/>
          <w:szCs w:val="22"/>
          <w:lang w:eastAsia="en-US"/>
        </w:rPr>
        <w:t>Alfakalcidolio kapsulių sudėtyje yra sorbitolio. Jeigu gydytojas Jums yra sakęs, kad netoleruojate kokių nors angliavandenių, kreipkitės į jį prieš pradėdami vartoti Teboneva.</w:t>
      </w:r>
    </w:p>
    <w:p w:rsidR="00346FFF" w:rsidRPr="00FB5B94" w:rsidRDefault="00346FFF" w:rsidP="00346FFF">
      <w:pPr>
        <w:tabs>
          <w:tab w:val="left" w:pos="567"/>
        </w:tabs>
        <w:spacing w:line="260" w:lineRule="exact"/>
        <w:rPr>
          <w:b/>
          <w:szCs w:val="22"/>
          <w:lang w:eastAsia="en-US"/>
        </w:rPr>
      </w:pPr>
      <w:r w:rsidRPr="00FB5B94">
        <w:rPr>
          <w:b/>
          <w:szCs w:val="22"/>
          <w:lang w:eastAsia="en-US"/>
        </w:rPr>
        <w:t>Alfakalcidolio kapsulių sudėtyje yra nedidelis kiekis etanolio (alkoholio), šis kiekis 1 mikrogramo dozėje yra mažesnis negu 100 mg.</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lastRenderedPageBreak/>
        <w:t>3.</w:t>
      </w:r>
      <w:r w:rsidRPr="00FB5B94">
        <w:rPr>
          <w:b/>
          <w:szCs w:val="22"/>
          <w:lang w:eastAsia="en-US"/>
        </w:rPr>
        <w:tab/>
        <w:t xml:space="preserve">KAIP VARTOTI TEBONEVA </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Teboneva susideda iš alendronato tablečių ir alfakalcidolio kapsulių.</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Teboneva visada vartokite tiksliai, kaip nurodė gydytojas. Jeigu abejojate, kreipkitės į gydytoją arba vaistininką.</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Įprasta dozė yra:</w:t>
      </w: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Alendronato tabletės</w:t>
      </w:r>
    </w:p>
    <w:p w:rsidR="00346FFF" w:rsidRPr="00FB5B94" w:rsidRDefault="00346FFF" w:rsidP="00346FFF">
      <w:pPr>
        <w:tabs>
          <w:tab w:val="left" w:pos="567"/>
        </w:tabs>
        <w:spacing w:line="260" w:lineRule="exact"/>
        <w:rPr>
          <w:szCs w:val="22"/>
          <w:lang w:eastAsia="en-US"/>
        </w:rPr>
      </w:pPr>
      <w:r w:rsidRPr="00FB5B94">
        <w:rPr>
          <w:szCs w:val="22"/>
          <w:lang w:eastAsia="en-US"/>
        </w:rPr>
        <w:t xml:space="preserve">Gerti po vieną tabletę </w:t>
      </w:r>
      <w:r w:rsidRPr="00FB5B94">
        <w:rPr>
          <w:b/>
          <w:szCs w:val="22"/>
          <w:lang w:eastAsia="en-US"/>
        </w:rPr>
        <w:t>vieną kartą per savaitę</w:t>
      </w:r>
      <w:r w:rsidRPr="00FB5B94">
        <w:rPr>
          <w:szCs w:val="22"/>
          <w:lang w:eastAsia="en-US"/>
        </w:rPr>
        <w:t>.</w:t>
      </w:r>
    </w:p>
    <w:p w:rsidR="00346FFF" w:rsidRPr="00FB5B94" w:rsidRDefault="00346FFF" w:rsidP="00346FFF">
      <w:pPr>
        <w:pStyle w:val="BTEMEASMCA"/>
        <w:rPr>
          <w:sz w:val="22"/>
          <w:szCs w:val="22"/>
        </w:rPr>
      </w:pPr>
      <w:r w:rsidRPr="00FB5B94">
        <w:rPr>
          <w:sz w:val="22"/>
          <w:szCs w:val="22"/>
        </w:rPr>
        <w:t>Pasirinkite vieną savaitės dieną, kuri Jums geriausiai tinkama. Gerkite vieną tabletę tą pačią pasirinktą savaitės dieną.</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Alendronato tabletės gali sukelti burnos gleivinės ir stemplės dirginimą. Norint sumažinti gleivinės dirginimo riziką, prašome visą alendronato tablečių vartojimo laiką laikytis toliau išvardytų nurodymų:</w:t>
      </w:r>
    </w:p>
    <w:p w:rsidR="00346FFF" w:rsidRPr="00FB5B94" w:rsidRDefault="00346FFF" w:rsidP="00346FFF">
      <w:pPr>
        <w:numPr>
          <w:ilvl w:val="0"/>
          <w:numId w:val="16"/>
        </w:numPr>
        <w:tabs>
          <w:tab w:val="left" w:pos="426"/>
        </w:tabs>
        <w:spacing w:line="260" w:lineRule="exact"/>
        <w:ind w:left="426" w:hanging="426"/>
        <w:rPr>
          <w:szCs w:val="22"/>
          <w:lang w:eastAsia="en-US"/>
        </w:rPr>
      </w:pPr>
      <w:r w:rsidRPr="00FB5B94">
        <w:rPr>
          <w:szCs w:val="22"/>
          <w:lang w:eastAsia="en-US"/>
        </w:rPr>
        <w:t xml:space="preserve">Vaisto reikia gerti ryte, tik pabudus, pasirinktą savaitės dieną, prieš valgymą ar gėrimą arba kitų vaistų vartojimą. Alendronato tabletę reikia nuryti, tada </w:t>
      </w:r>
      <w:r w:rsidRPr="00FB5B94">
        <w:rPr>
          <w:b/>
          <w:szCs w:val="22"/>
          <w:u w:val="single"/>
          <w:lang w:eastAsia="en-US"/>
        </w:rPr>
        <w:t>nedelsiant</w:t>
      </w:r>
      <w:r w:rsidRPr="00FB5B94">
        <w:rPr>
          <w:szCs w:val="22"/>
          <w:lang w:eastAsia="en-US"/>
        </w:rPr>
        <w:t xml:space="preserve"> išgerti pilną stiklinę paprasto vandens (mažiausiai 200 ml). Tabletės </w:t>
      </w:r>
      <w:r w:rsidRPr="00FB5B94">
        <w:rPr>
          <w:b/>
          <w:szCs w:val="22"/>
          <w:u w:val="single"/>
          <w:lang w:eastAsia="en-US"/>
        </w:rPr>
        <w:t>negalima</w:t>
      </w:r>
      <w:r w:rsidRPr="00FB5B94">
        <w:rPr>
          <w:szCs w:val="22"/>
          <w:lang w:eastAsia="en-US"/>
        </w:rPr>
        <w:t xml:space="preserve"> kramtyti arba leisti jai ištirpinti burnoje.</w:t>
      </w:r>
    </w:p>
    <w:p w:rsidR="00346FFF" w:rsidRPr="00FB5B94" w:rsidRDefault="00346FFF" w:rsidP="00346FFF">
      <w:pPr>
        <w:pStyle w:val="BT-EMEASMCA"/>
        <w:rPr>
          <w:sz w:val="22"/>
          <w:szCs w:val="22"/>
          <w:lang w:val="it-IT"/>
        </w:rPr>
      </w:pPr>
      <w:r w:rsidRPr="00FB5B94">
        <w:rPr>
          <w:sz w:val="22"/>
          <w:szCs w:val="22"/>
          <w:lang w:val="it-IT"/>
        </w:rPr>
        <w:t xml:space="preserve">Tablečių </w:t>
      </w:r>
      <w:r w:rsidRPr="00FB5B94">
        <w:rPr>
          <w:b/>
          <w:sz w:val="22"/>
          <w:szCs w:val="22"/>
          <w:lang w:val="it-IT"/>
        </w:rPr>
        <w:t xml:space="preserve">negalima </w:t>
      </w:r>
      <w:r w:rsidRPr="00FB5B94">
        <w:rPr>
          <w:sz w:val="22"/>
          <w:szCs w:val="22"/>
          <w:lang w:val="it-IT"/>
        </w:rPr>
        <w:t>gerti su mineraliniu vandeniu (nei gazuotu, nei negazuotu).</w:t>
      </w:r>
    </w:p>
    <w:p w:rsidR="00346FFF" w:rsidRPr="00FB5B94" w:rsidRDefault="00346FFF" w:rsidP="00346FFF">
      <w:pPr>
        <w:pStyle w:val="BT-EMEASMCA"/>
        <w:rPr>
          <w:sz w:val="22"/>
          <w:szCs w:val="22"/>
          <w:lang w:val="it-IT"/>
        </w:rPr>
      </w:pPr>
      <w:r w:rsidRPr="00FB5B94">
        <w:rPr>
          <w:sz w:val="22"/>
          <w:szCs w:val="22"/>
          <w:lang w:val="it-IT"/>
        </w:rPr>
        <w:t xml:space="preserve">Tablečių </w:t>
      </w:r>
      <w:r w:rsidRPr="00FB5B94">
        <w:rPr>
          <w:b/>
          <w:sz w:val="22"/>
          <w:szCs w:val="22"/>
          <w:lang w:val="it-IT"/>
        </w:rPr>
        <w:t xml:space="preserve">negalima </w:t>
      </w:r>
      <w:r w:rsidRPr="00FB5B94">
        <w:rPr>
          <w:sz w:val="22"/>
          <w:szCs w:val="22"/>
          <w:lang w:val="it-IT"/>
        </w:rPr>
        <w:t>gerti su kava arba arbata.</w:t>
      </w:r>
    </w:p>
    <w:p w:rsidR="00346FFF" w:rsidRPr="00FB5B94" w:rsidRDefault="00346FFF" w:rsidP="00346FFF">
      <w:pPr>
        <w:pStyle w:val="BT-EMEASMCA"/>
        <w:rPr>
          <w:sz w:val="22"/>
          <w:szCs w:val="22"/>
          <w:lang w:val="it-IT"/>
        </w:rPr>
      </w:pPr>
      <w:r w:rsidRPr="00FB5B94">
        <w:rPr>
          <w:sz w:val="22"/>
          <w:szCs w:val="22"/>
          <w:lang w:val="it-IT"/>
        </w:rPr>
        <w:t xml:space="preserve">Tablečių </w:t>
      </w:r>
      <w:r w:rsidRPr="00FB5B94">
        <w:rPr>
          <w:b/>
          <w:sz w:val="22"/>
          <w:szCs w:val="22"/>
          <w:lang w:val="it-IT"/>
        </w:rPr>
        <w:t xml:space="preserve">negalima </w:t>
      </w:r>
      <w:r w:rsidRPr="00FB5B94">
        <w:rPr>
          <w:sz w:val="22"/>
          <w:szCs w:val="22"/>
          <w:lang w:val="it-IT"/>
        </w:rPr>
        <w:t>gerti su sultimis arba pienu.</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numPr>
          <w:ilvl w:val="0"/>
          <w:numId w:val="16"/>
        </w:numPr>
        <w:tabs>
          <w:tab w:val="left" w:pos="426"/>
        </w:tabs>
        <w:spacing w:line="260" w:lineRule="exact"/>
        <w:ind w:left="426" w:hanging="426"/>
        <w:rPr>
          <w:szCs w:val="22"/>
          <w:lang w:eastAsia="en-US"/>
        </w:rPr>
      </w:pPr>
      <w:r w:rsidRPr="00FB5B94">
        <w:rPr>
          <w:szCs w:val="22"/>
          <w:lang w:eastAsia="en-US"/>
        </w:rPr>
        <w:t xml:space="preserve">Išgėrus tabletę, gultis </w:t>
      </w:r>
      <w:r w:rsidRPr="00FB5B94">
        <w:rPr>
          <w:b/>
          <w:szCs w:val="22"/>
          <w:u w:val="single"/>
          <w:lang w:eastAsia="en-US"/>
        </w:rPr>
        <w:t>negalima</w:t>
      </w:r>
      <w:r w:rsidRPr="00FB5B94">
        <w:rPr>
          <w:szCs w:val="22"/>
          <w:lang w:eastAsia="en-US"/>
        </w:rPr>
        <w:t>. Jūs turite likti vertikalioje padėtyje (sėdėti, stovėti arba vaikščioti) mažiausiai 30 minučių. Po to negalima atsigulti nepavalgius. Tokiu būdu Jūs apsisaugosite, kad tabletė nepatektų atgal į stemplę, kurioje ji sukelia dirginimą.</w:t>
      </w:r>
    </w:p>
    <w:p w:rsidR="00346FFF" w:rsidRPr="00FB5B94" w:rsidRDefault="00346FFF" w:rsidP="00346FFF">
      <w:pPr>
        <w:numPr>
          <w:ilvl w:val="0"/>
          <w:numId w:val="16"/>
        </w:numPr>
        <w:tabs>
          <w:tab w:val="left" w:pos="426"/>
        </w:tabs>
        <w:spacing w:line="260" w:lineRule="exact"/>
        <w:ind w:left="426" w:hanging="426"/>
        <w:rPr>
          <w:szCs w:val="22"/>
          <w:lang w:eastAsia="en-US"/>
        </w:rPr>
      </w:pPr>
      <w:r w:rsidRPr="00FB5B94">
        <w:rPr>
          <w:szCs w:val="22"/>
          <w:lang w:eastAsia="en-US"/>
        </w:rPr>
        <w:t>Palaukite mažiausiai 30 minučių po alendronato tablečių vartojimo iki pirmojo Jūsų dienos maitinimosi, gėrimo ar vaistų vartojimo (įskaitant skrandžio rūgštį neutralizuojančius vaistus nuo padidėjusio rūgštingumo, maisto papildus, kurių sudėtyje yra kalcio ir vitaminų). Alendronato tabletės veiksmingos tik tuomet, kai jas išgeriate esant tuščiam skrandžiui.</w:t>
      </w:r>
    </w:p>
    <w:p w:rsidR="00346FFF" w:rsidRPr="00FB5B94" w:rsidRDefault="00346FFF" w:rsidP="00346FFF">
      <w:pPr>
        <w:numPr>
          <w:ilvl w:val="0"/>
          <w:numId w:val="16"/>
        </w:numPr>
        <w:tabs>
          <w:tab w:val="left" w:pos="426"/>
        </w:tabs>
        <w:spacing w:line="260" w:lineRule="exact"/>
        <w:ind w:left="426" w:hanging="426"/>
        <w:rPr>
          <w:szCs w:val="22"/>
          <w:lang w:eastAsia="en-US"/>
        </w:rPr>
      </w:pPr>
      <w:r w:rsidRPr="00FB5B94">
        <w:rPr>
          <w:szCs w:val="22"/>
          <w:lang w:eastAsia="en-US"/>
        </w:rPr>
        <w:t>Negerkite alendronato tablečių vakare, prieš miegą arba neatsikėlus, prieš pradedant dienos veiklą.</w:t>
      </w:r>
    </w:p>
    <w:p w:rsidR="00346FFF" w:rsidRPr="00FB5B94" w:rsidRDefault="00346FFF" w:rsidP="00346FFF">
      <w:pPr>
        <w:numPr>
          <w:ilvl w:val="0"/>
          <w:numId w:val="16"/>
        </w:numPr>
        <w:tabs>
          <w:tab w:val="left" w:pos="426"/>
        </w:tabs>
        <w:spacing w:line="260" w:lineRule="exact"/>
        <w:ind w:left="426" w:hanging="426"/>
        <w:rPr>
          <w:szCs w:val="22"/>
          <w:lang w:eastAsia="en-US"/>
        </w:rPr>
      </w:pPr>
      <w:r w:rsidRPr="00FB5B94">
        <w:rPr>
          <w:szCs w:val="22"/>
          <w:lang w:eastAsia="en-US"/>
        </w:rPr>
        <w:t>Jei ryjant atsiranda skausmas ar sunkumas, pradeda skaudėti krūtinę, esti staigus deginimo pojūtis, atsiranda ar pasunkėja rėmuo reikia nutraukti alendronato tablečių vartojimą ir kreiptis į gydytoją.</w:t>
      </w:r>
    </w:p>
    <w:p w:rsidR="00346FFF" w:rsidRPr="00FB5B94" w:rsidRDefault="00346FFF" w:rsidP="00346FFF">
      <w:pPr>
        <w:tabs>
          <w:tab w:val="left" w:pos="567"/>
        </w:tabs>
        <w:spacing w:line="260" w:lineRule="exact"/>
        <w:ind w:left="720"/>
        <w:rPr>
          <w:szCs w:val="22"/>
          <w:lang w:eastAsia="en-US"/>
        </w:rPr>
      </w:pP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Alfakalcidolio kapsulės</w:t>
      </w:r>
    </w:p>
    <w:p w:rsidR="00346FFF" w:rsidRPr="00FB5B94" w:rsidRDefault="00346FFF" w:rsidP="00346FFF">
      <w:pPr>
        <w:tabs>
          <w:tab w:val="left" w:pos="567"/>
        </w:tabs>
        <w:spacing w:line="260" w:lineRule="exact"/>
        <w:rPr>
          <w:szCs w:val="22"/>
          <w:lang w:eastAsia="en-US"/>
        </w:rPr>
      </w:pPr>
      <w:r w:rsidRPr="00FB5B94">
        <w:rPr>
          <w:szCs w:val="22"/>
          <w:lang w:eastAsia="en-US"/>
        </w:rPr>
        <w:t>Gerkite po vieną kapsulę vieną kartą per parą.</w:t>
      </w:r>
    </w:p>
    <w:p w:rsidR="00346FFF" w:rsidRPr="00FB5B94" w:rsidRDefault="00346FFF" w:rsidP="00346FFF">
      <w:pPr>
        <w:numPr>
          <w:ilvl w:val="0"/>
          <w:numId w:val="17"/>
        </w:numPr>
        <w:tabs>
          <w:tab w:val="left" w:pos="426"/>
        </w:tabs>
        <w:spacing w:line="260" w:lineRule="exact"/>
        <w:ind w:hanging="720"/>
        <w:rPr>
          <w:szCs w:val="22"/>
          <w:lang w:eastAsia="en-US"/>
        </w:rPr>
      </w:pPr>
      <w:r w:rsidRPr="00FB5B94">
        <w:rPr>
          <w:szCs w:val="22"/>
          <w:lang w:eastAsia="en-US"/>
        </w:rPr>
        <w:t>Gerkite kapsulę vakare.</w:t>
      </w:r>
    </w:p>
    <w:p w:rsidR="00346FFF" w:rsidRPr="00FB5B94" w:rsidRDefault="00346FFF" w:rsidP="00346FFF">
      <w:pPr>
        <w:numPr>
          <w:ilvl w:val="0"/>
          <w:numId w:val="17"/>
        </w:numPr>
        <w:tabs>
          <w:tab w:val="left" w:pos="426"/>
        </w:tabs>
        <w:spacing w:line="260" w:lineRule="exact"/>
        <w:ind w:hanging="720"/>
        <w:rPr>
          <w:szCs w:val="22"/>
          <w:lang w:eastAsia="en-US"/>
        </w:rPr>
      </w:pPr>
      <w:r w:rsidRPr="00FB5B94">
        <w:rPr>
          <w:szCs w:val="22"/>
          <w:lang w:eastAsia="en-US"/>
        </w:rPr>
        <w:t>Nurykite kapsulę nesukramtytą ir užsigerkite pakankamu skysčio kiekiu.</w:t>
      </w:r>
    </w:p>
    <w:p w:rsidR="00346FFF" w:rsidRPr="00FB5B94" w:rsidRDefault="00346FFF" w:rsidP="00346FFF">
      <w:pPr>
        <w:numPr>
          <w:ilvl w:val="0"/>
          <w:numId w:val="17"/>
        </w:numPr>
        <w:tabs>
          <w:tab w:val="left" w:pos="426"/>
        </w:tabs>
        <w:spacing w:line="260" w:lineRule="exact"/>
        <w:ind w:left="426" w:hanging="426"/>
        <w:rPr>
          <w:szCs w:val="22"/>
          <w:lang w:eastAsia="en-US"/>
        </w:rPr>
      </w:pPr>
      <w:r w:rsidRPr="00FB5B94">
        <w:rPr>
          <w:szCs w:val="22"/>
          <w:lang w:eastAsia="en-US"/>
        </w:rPr>
        <w:t>Gydytojas atliks reguliarius kalcio kiekio tyrimus Jūsų kraujyje. Jei kalcio kiekis padidėjęs, Jums gali reikėti nustoti vartoti produktus, kuriuose yra kalcio, arba laikinai nutraukti alfakalcidolio kapsulių vartojimą, kol kalcio kiekis kraujyje vėl taps normalus.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t>Labai svarbu nuolat vartoti Teboneva tiek laiko, kiek paskirta gydytojo. Teboneva pagerins Jūsų ligos – osteoporozės - simptomus, jeigu Jūs kartu vartosite tabletes ir kapsules.</w:t>
      </w:r>
    </w:p>
    <w:p w:rsidR="00346FFF" w:rsidRPr="00FB5B94" w:rsidRDefault="00346FFF" w:rsidP="00346FFF">
      <w:pPr>
        <w:tabs>
          <w:tab w:val="left" w:pos="567"/>
        </w:tabs>
        <w:spacing w:line="260" w:lineRule="exact"/>
        <w:rPr>
          <w:i/>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t>Jeigu Jums atrodo, kad Teboneva veikia pernelyg stipriai ar silpnai, pasitarkite su gydytoju arba vaistininku.</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Pavartojus per didelę Teboneva dozę</w:t>
      </w:r>
    </w:p>
    <w:p w:rsidR="00346FFF" w:rsidRPr="00FB5B94" w:rsidRDefault="00346FFF" w:rsidP="00346FFF">
      <w:pPr>
        <w:tabs>
          <w:tab w:val="left" w:pos="567"/>
        </w:tabs>
        <w:spacing w:line="260" w:lineRule="exact"/>
        <w:rPr>
          <w:szCs w:val="22"/>
          <w:lang w:eastAsia="en-US"/>
        </w:rPr>
      </w:pPr>
      <w:r w:rsidRPr="00FB5B94">
        <w:rPr>
          <w:rStyle w:val="BTEMEASMCAChar"/>
          <w:szCs w:val="22"/>
        </w:rPr>
        <w:t>Pavartojus per didelę Teboneva dozę reikia nedelsiant kreiptis į gydytoją (pvz., ligoninės skubios pagalbos skyrių), kur bus galima įvertinti perdozavimo sunkumą ir nuspręsti, kokių priemonių reikia imtis</w:t>
      </w:r>
      <w:r w:rsidRPr="00FB5B94">
        <w:rPr>
          <w:szCs w:val="22"/>
          <w:lang w:eastAsia="en-US"/>
        </w:rPr>
        <w:t>.</w:t>
      </w:r>
    </w:p>
    <w:p w:rsidR="00346FFF" w:rsidRPr="00FB5B94" w:rsidRDefault="00346FFF" w:rsidP="00346FFF">
      <w:pPr>
        <w:tabs>
          <w:tab w:val="left" w:pos="567"/>
        </w:tabs>
        <w:spacing w:line="260" w:lineRule="exact"/>
        <w:rPr>
          <w:b/>
          <w:szCs w:val="22"/>
          <w:lang w:eastAsia="en-US"/>
        </w:rPr>
      </w:pPr>
      <w:r w:rsidRPr="00FB5B94">
        <w:rPr>
          <w:b/>
          <w:szCs w:val="22"/>
          <w:lang w:eastAsia="en-US"/>
        </w:rPr>
        <w:t xml:space="preserve">Pavartojus per didelę </w:t>
      </w:r>
      <w:r w:rsidRPr="00FB5B94">
        <w:rPr>
          <w:b/>
          <w:szCs w:val="22"/>
          <w:u w:val="single"/>
          <w:lang w:eastAsia="en-US"/>
        </w:rPr>
        <w:t>alendronato tablečių</w:t>
      </w:r>
      <w:r w:rsidRPr="00FB5B94">
        <w:rPr>
          <w:b/>
          <w:szCs w:val="22"/>
          <w:lang w:eastAsia="en-US"/>
        </w:rPr>
        <w:t xml:space="preserve"> dozę</w:t>
      </w:r>
    </w:p>
    <w:p w:rsidR="00346FFF" w:rsidRPr="00FB5B94" w:rsidRDefault="00346FFF" w:rsidP="00346FFF">
      <w:pPr>
        <w:pStyle w:val="BTEMEASMCA"/>
        <w:rPr>
          <w:sz w:val="22"/>
          <w:szCs w:val="22"/>
        </w:rPr>
      </w:pPr>
      <w:r w:rsidRPr="00FB5B94">
        <w:rPr>
          <w:sz w:val="22"/>
          <w:szCs w:val="22"/>
        </w:rPr>
        <w:lastRenderedPageBreak/>
        <w:t xml:space="preserve">Išgerkite pilną stiklinę pieno. Neskatinkite vėmimo, nesigulkite. Kreipkitės į gydytoją </w:t>
      </w:r>
      <w:r w:rsidRPr="00FB5B94">
        <w:rPr>
          <w:rStyle w:val="BTEMEASMCAChar"/>
          <w:sz w:val="22"/>
          <w:szCs w:val="22"/>
        </w:rPr>
        <w:t>(pvz., ligoninės skubios pagalbos skyrių)</w:t>
      </w:r>
      <w:r w:rsidRPr="00FB5B94">
        <w:rPr>
          <w:sz w:val="22"/>
          <w:szCs w:val="22"/>
        </w:rPr>
        <w:t>.</w:t>
      </w:r>
    </w:p>
    <w:p w:rsidR="00346FFF" w:rsidRPr="00FB5B94" w:rsidRDefault="00346FFF" w:rsidP="00346FFF">
      <w:pPr>
        <w:pStyle w:val="BTEMEASMCA"/>
        <w:rPr>
          <w:sz w:val="22"/>
          <w:szCs w:val="22"/>
        </w:rPr>
      </w:pPr>
      <w:r w:rsidRPr="00FB5B94">
        <w:rPr>
          <w:sz w:val="22"/>
          <w:szCs w:val="22"/>
        </w:rPr>
        <w:t>Alendronato perdozavimas gali sukelti kalcio ir fosfatų kiekio kraujyje sumažėjimą (hipokalcemiją, hipofosfatemiją), gali sutrikti skrandžio veikla, virškinimas, atsirasti rėmuo, stemplės ir skrandžio gleivinės uždegimas arba opos.</w:t>
      </w: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b/>
          <w:szCs w:val="22"/>
          <w:lang w:eastAsia="en-US"/>
        </w:rPr>
      </w:pPr>
      <w:r w:rsidRPr="00FB5B94">
        <w:rPr>
          <w:b/>
          <w:szCs w:val="22"/>
          <w:lang w:eastAsia="en-US"/>
        </w:rPr>
        <w:t xml:space="preserve">Pavartojus per didelę </w:t>
      </w:r>
      <w:r w:rsidRPr="00FB5B94">
        <w:rPr>
          <w:b/>
          <w:szCs w:val="22"/>
          <w:u w:val="single"/>
          <w:lang w:eastAsia="en-US"/>
        </w:rPr>
        <w:t xml:space="preserve">alfakalcidolio kapsulių </w:t>
      </w:r>
      <w:r w:rsidRPr="00FB5B94">
        <w:rPr>
          <w:b/>
          <w:szCs w:val="22"/>
          <w:lang w:eastAsia="en-US"/>
        </w:rPr>
        <w:t>dozę</w:t>
      </w:r>
    </w:p>
    <w:p w:rsidR="00346FFF" w:rsidRPr="00FB5B94" w:rsidRDefault="00346FFF" w:rsidP="00346FFF">
      <w:pPr>
        <w:pStyle w:val="BTEMEASMCA"/>
        <w:rPr>
          <w:sz w:val="22"/>
          <w:szCs w:val="22"/>
        </w:rPr>
      </w:pPr>
      <w:r w:rsidRPr="00FB5B94">
        <w:rPr>
          <w:sz w:val="22"/>
          <w:szCs w:val="22"/>
        </w:rPr>
        <w:t>Ilgai vartojant pernelyg didelę alfakalcidolio dozę kartais atsiranda gyvybei pavojinga hiperkalcemija (padidėjęs kalcio kiekis kraujyje).</w:t>
      </w:r>
    </w:p>
    <w:p w:rsidR="00346FFF" w:rsidRPr="00FB5B94" w:rsidRDefault="00346FFF" w:rsidP="00346FFF">
      <w:pPr>
        <w:pStyle w:val="BTEMEASMCA"/>
        <w:rPr>
          <w:sz w:val="22"/>
          <w:szCs w:val="22"/>
        </w:rPr>
      </w:pPr>
      <w:r w:rsidRPr="00FB5B94">
        <w:rPr>
          <w:sz w:val="22"/>
          <w:szCs w:val="22"/>
          <w:lang w:val="it-IT"/>
        </w:rPr>
        <w:t xml:space="preserve">Šio sutrikimo simptomai gali atsirasti palengva ir juos galima supainioti su nuovargiu (bendra bloga savijauta). </w:t>
      </w:r>
      <w:r w:rsidRPr="00FB5B94">
        <w:rPr>
          <w:sz w:val="22"/>
          <w:szCs w:val="22"/>
        </w:rPr>
        <w:t>Galimi požymiai yra šie:</w:t>
      </w:r>
    </w:p>
    <w:p w:rsidR="00346FFF" w:rsidRPr="00FB5B94" w:rsidRDefault="00346FFF" w:rsidP="00346FFF">
      <w:pPr>
        <w:pStyle w:val="BT-EMEASMCA"/>
        <w:rPr>
          <w:sz w:val="22"/>
          <w:szCs w:val="22"/>
        </w:rPr>
      </w:pPr>
      <w:r w:rsidRPr="00FB5B94">
        <w:rPr>
          <w:sz w:val="22"/>
          <w:szCs w:val="22"/>
        </w:rPr>
        <w:t>silpnumas, nuovargis, išsekimas, galvos skausmas;</w:t>
      </w:r>
    </w:p>
    <w:p w:rsidR="00346FFF" w:rsidRPr="00FB5B94" w:rsidRDefault="00346FFF" w:rsidP="00346FFF">
      <w:pPr>
        <w:pStyle w:val="BT-EMEASMCA"/>
        <w:rPr>
          <w:sz w:val="22"/>
          <w:szCs w:val="22"/>
        </w:rPr>
      </w:pPr>
      <w:r w:rsidRPr="00FB5B94">
        <w:rPr>
          <w:sz w:val="22"/>
          <w:szCs w:val="22"/>
        </w:rPr>
        <w:t>virškinimo sutrikimai – pykinimas, vėmimas, vidurių užkietėjimas arba viduriavimas;</w:t>
      </w:r>
    </w:p>
    <w:p w:rsidR="00346FFF" w:rsidRPr="00FB5B94" w:rsidRDefault="00346FFF" w:rsidP="00346FFF">
      <w:pPr>
        <w:pStyle w:val="BT-EMEASMCA"/>
        <w:rPr>
          <w:sz w:val="22"/>
          <w:szCs w:val="22"/>
        </w:rPr>
      </w:pPr>
      <w:r w:rsidRPr="00FB5B94">
        <w:rPr>
          <w:sz w:val="22"/>
          <w:szCs w:val="22"/>
        </w:rPr>
        <w:t>rėmuo, burnos džiūvimas;</w:t>
      </w:r>
    </w:p>
    <w:p w:rsidR="00346FFF" w:rsidRPr="00FB5B94" w:rsidRDefault="00346FFF" w:rsidP="00346FFF">
      <w:pPr>
        <w:pStyle w:val="BT-EMEASMCA"/>
        <w:rPr>
          <w:sz w:val="22"/>
          <w:szCs w:val="22"/>
        </w:rPr>
      </w:pPr>
      <w:r w:rsidRPr="00FB5B94">
        <w:rPr>
          <w:sz w:val="22"/>
          <w:szCs w:val="22"/>
        </w:rPr>
        <w:t>raumenų, kaulų ir sąnarių skausmas;</w:t>
      </w:r>
    </w:p>
    <w:p w:rsidR="00346FFF" w:rsidRPr="00FB5B94" w:rsidRDefault="00346FFF" w:rsidP="00346FFF">
      <w:pPr>
        <w:pStyle w:val="BT-EMEASMCA"/>
        <w:rPr>
          <w:sz w:val="22"/>
          <w:szCs w:val="22"/>
        </w:rPr>
      </w:pPr>
      <w:r w:rsidRPr="00FB5B94">
        <w:rPr>
          <w:sz w:val="22"/>
          <w:szCs w:val="22"/>
        </w:rPr>
        <w:t>niežulys arba pernelyg dažnas juntamas širdies plakimas.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pStyle w:val="BTEMEASMCA"/>
        <w:rPr>
          <w:sz w:val="22"/>
          <w:szCs w:val="22"/>
        </w:rPr>
      </w:pPr>
      <w:r w:rsidRPr="00FB5B94">
        <w:rPr>
          <w:sz w:val="22"/>
          <w:szCs w:val="22"/>
        </w:rPr>
        <w:t>Jeigu Jūsų inkstai nebegali koncentruoti šlapimo, galimi tokie sutrikimai:</w:t>
      </w:r>
    </w:p>
    <w:p w:rsidR="00346FFF" w:rsidRPr="00FB5B94" w:rsidRDefault="00346FFF" w:rsidP="00346FFF">
      <w:pPr>
        <w:pStyle w:val="BT-EMEASMCA"/>
        <w:rPr>
          <w:sz w:val="22"/>
          <w:szCs w:val="22"/>
        </w:rPr>
      </w:pPr>
      <w:r w:rsidRPr="00FB5B94">
        <w:rPr>
          <w:sz w:val="22"/>
          <w:szCs w:val="22"/>
        </w:rPr>
        <w:t>padidėjęs šlapimo kiekis, sustiprėjęs troškulys ir gėrimas, staigus potraukis šlapintis naktį;</w:t>
      </w:r>
    </w:p>
    <w:p w:rsidR="00346FFF" w:rsidRPr="00FB5B94" w:rsidRDefault="00346FFF" w:rsidP="00346FFF">
      <w:pPr>
        <w:pStyle w:val="BT-EMEASMCA"/>
        <w:rPr>
          <w:sz w:val="22"/>
          <w:szCs w:val="22"/>
        </w:rPr>
      </w:pPr>
      <w:r w:rsidRPr="00FB5B94">
        <w:rPr>
          <w:sz w:val="22"/>
          <w:szCs w:val="22"/>
        </w:rPr>
        <w:t>atsiranda baltymo šlapime.</w:t>
      </w:r>
    </w:p>
    <w:p w:rsidR="00346FFF" w:rsidRPr="00FB5B94" w:rsidRDefault="00346FFF" w:rsidP="00346FFF">
      <w:pPr>
        <w:pStyle w:val="BTEMEASMCA"/>
        <w:rPr>
          <w:sz w:val="22"/>
          <w:szCs w:val="22"/>
        </w:rPr>
      </w:pPr>
      <w:r w:rsidRPr="00FB5B94">
        <w:rPr>
          <w:sz w:val="22"/>
          <w:szCs w:val="22"/>
        </w:rPr>
        <w:t>Išgėrę per daug alfakalcidolio kapsulių arba, atsižvelgiant į išvardytus simptomus, manote, kad gali būti padidėjęs kalcio kiekis Jūsų kraujyje, kreipkitės į gydytoją.</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 xml:space="preserve">Pamiršus pavartoti </w:t>
      </w:r>
      <w:r w:rsidRPr="00FB5B94">
        <w:rPr>
          <w:b/>
          <w:szCs w:val="22"/>
          <w:u w:val="single"/>
          <w:lang w:eastAsia="en-US"/>
        </w:rPr>
        <w:t>alendronato tablečių</w:t>
      </w:r>
    </w:p>
    <w:p w:rsidR="00346FFF" w:rsidRPr="00FB5B94" w:rsidRDefault="00346FFF" w:rsidP="00346FFF">
      <w:pPr>
        <w:tabs>
          <w:tab w:val="left" w:pos="567"/>
        </w:tabs>
        <w:spacing w:line="260" w:lineRule="exact"/>
        <w:rPr>
          <w:szCs w:val="22"/>
          <w:lang w:eastAsia="en-US"/>
        </w:rPr>
      </w:pPr>
      <w:r w:rsidRPr="00FB5B94">
        <w:rPr>
          <w:szCs w:val="22"/>
          <w:lang w:eastAsia="en-US"/>
        </w:rPr>
        <w:t>Pamiršus išgerti alendronato tabletę, ją reikia išgerti atsikėlus kitą rytą.</w:t>
      </w:r>
    </w:p>
    <w:p w:rsidR="00346FFF" w:rsidRPr="00FB5B94" w:rsidRDefault="00346FFF" w:rsidP="00346FFF">
      <w:pPr>
        <w:tabs>
          <w:tab w:val="left" w:pos="567"/>
        </w:tabs>
        <w:spacing w:line="260" w:lineRule="exact"/>
        <w:rPr>
          <w:i/>
          <w:szCs w:val="22"/>
          <w:lang w:eastAsia="en-US"/>
        </w:rPr>
      </w:pPr>
      <w:r w:rsidRPr="00FB5B94">
        <w:rPr>
          <w:i/>
          <w:szCs w:val="22"/>
          <w:lang w:eastAsia="en-US"/>
        </w:rPr>
        <w:t>Gerti dvi dozes iš karto arba tą pačią dieną draudžiama.</w:t>
      </w:r>
    </w:p>
    <w:p w:rsidR="00346FFF" w:rsidRPr="00FB5B94" w:rsidRDefault="00346FFF" w:rsidP="00346FFF">
      <w:pPr>
        <w:tabs>
          <w:tab w:val="left" w:pos="567"/>
        </w:tabs>
        <w:spacing w:line="260" w:lineRule="exact"/>
        <w:rPr>
          <w:szCs w:val="22"/>
          <w:lang w:eastAsia="en-US"/>
        </w:rPr>
      </w:pPr>
      <w:r w:rsidRPr="00FB5B94">
        <w:rPr>
          <w:szCs w:val="22"/>
          <w:lang w:eastAsia="en-US"/>
        </w:rPr>
        <w:t xml:space="preserve">Toliau vaisto reikia vartoti taip, kaip paskirta, t. y. kartą per savaitę Jūsų pasirinktą dieną. </w:t>
      </w:r>
    </w:p>
    <w:p w:rsidR="00346FFF" w:rsidRPr="00FB5B94" w:rsidRDefault="00346FFF" w:rsidP="00346FFF">
      <w:pPr>
        <w:tabs>
          <w:tab w:val="left" w:pos="567"/>
        </w:tabs>
        <w:spacing w:line="260" w:lineRule="exact"/>
        <w:jc w:val="right"/>
        <w:rPr>
          <w:b/>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 xml:space="preserve">Pamiršus pavartoti </w:t>
      </w:r>
      <w:r w:rsidRPr="00FB5B94">
        <w:rPr>
          <w:b/>
          <w:szCs w:val="22"/>
          <w:u w:val="single"/>
          <w:lang w:eastAsia="en-US"/>
        </w:rPr>
        <w:t>alfakalcidolio kapsulių</w:t>
      </w:r>
    </w:p>
    <w:p w:rsidR="00346FFF" w:rsidRPr="00FB5B94" w:rsidRDefault="00346FFF" w:rsidP="00346FFF">
      <w:pPr>
        <w:tabs>
          <w:tab w:val="left" w:pos="567"/>
        </w:tabs>
        <w:spacing w:line="260" w:lineRule="exact"/>
        <w:rPr>
          <w:szCs w:val="22"/>
          <w:lang w:eastAsia="en-US"/>
        </w:rPr>
      </w:pPr>
      <w:r w:rsidRPr="00FB5B94">
        <w:rPr>
          <w:szCs w:val="22"/>
          <w:lang w:eastAsia="en-US"/>
        </w:rPr>
        <w:t>Negalima vartoti dvigubos dozės norint kompensuoti praleistą dozę. Tęskite kapsulių vartojimą nustatyta tvarka.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bCs/>
          <w:szCs w:val="22"/>
          <w:lang w:eastAsia="en-US"/>
        </w:rPr>
        <w:t xml:space="preserve">Nustojus vartoti </w:t>
      </w:r>
      <w:r w:rsidRPr="00FB5B94">
        <w:rPr>
          <w:b/>
          <w:szCs w:val="22"/>
          <w:lang w:eastAsia="en-US"/>
        </w:rPr>
        <w:t>Teboneva</w:t>
      </w:r>
    </w:p>
    <w:p w:rsidR="00346FFF" w:rsidRPr="00FB5B94" w:rsidRDefault="00346FFF" w:rsidP="00346FFF">
      <w:pPr>
        <w:pStyle w:val="BTEMEASMCA"/>
        <w:rPr>
          <w:sz w:val="22"/>
          <w:szCs w:val="22"/>
        </w:rPr>
      </w:pPr>
      <w:r w:rsidRPr="00FB5B94">
        <w:rPr>
          <w:sz w:val="22"/>
          <w:szCs w:val="22"/>
        </w:rPr>
        <w:t>Negalima nustoti arba anksčiau užbaigti gydymą Teboneva nepasitarus su gydytoju. Jeigu vaisto vartojimą reikia sustabdyti arba nutraukti dėl medicininių priežasčių, laikykitės gydytojo nurodymų.</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Jeigu kiltų daugiau klausimų dėl šio vaisto vartojimo, kreipkitės į gydytoją arba vaistininką.</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4.</w:t>
      </w:r>
      <w:r w:rsidRPr="00FB5B94">
        <w:rPr>
          <w:b/>
          <w:szCs w:val="22"/>
          <w:lang w:eastAsia="en-US"/>
        </w:rPr>
        <w:tab/>
        <w:t>GALIMAS ŠALUTINIS POVEIKIS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Teboneva, kaip ir kiti vaistai, gali sukelti šalutinį poveikį, nors jis pasireiškia ne visiems žmonėms. Šalutinio poveikio dažnumui apibūdinti vartojamos tokios sąvokos:</w:t>
      </w:r>
    </w:p>
    <w:p w:rsidR="00346FFF" w:rsidRPr="00FB5B94" w:rsidRDefault="00346FFF" w:rsidP="00346FFF">
      <w:pPr>
        <w:tabs>
          <w:tab w:val="left" w:pos="567"/>
        </w:tabs>
        <w:spacing w:line="260" w:lineRule="exact"/>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6910"/>
      </w:tblGrid>
      <w:tr w:rsidR="00346FFF" w:rsidRPr="00FB5B94" w:rsidTr="00FA782E">
        <w:tc>
          <w:tcPr>
            <w:tcW w:w="2093" w:type="dxa"/>
          </w:tcPr>
          <w:p w:rsidR="00346FFF" w:rsidRPr="00FB5B94" w:rsidRDefault="00346FFF" w:rsidP="00FA782E">
            <w:pPr>
              <w:tabs>
                <w:tab w:val="left" w:pos="567"/>
              </w:tabs>
              <w:spacing w:line="260" w:lineRule="exact"/>
              <w:rPr>
                <w:b/>
                <w:szCs w:val="22"/>
              </w:rPr>
            </w:pPr>
            <w:r w:rsidRPr="00FB5B94">
              <w:rPr>
                <w:b/>
                <w:szCs w:val="22"/>
              </w:rPr>
              <w:t>Labai dažni:</w:t>
            </w:r>
          </w:p>
        </w:tc>
        <w:tc>
          <w:tcPr>
            <w:tcW w:w="6910" w:type="dxa"/>
          </w:tcPr>
          <w:p w:rsidR="00346FFF" w:rsidRPr="00FB5B94" w:rsidRDefault="00346FFF" w:rsidP="00FA782E">
            <w:pPr>
              <w:tabs>
                <w:tab w:val="left" w:pos="567"/>
              </w:tabs>
              <w:spacing w:line="260" w:lineRule="exact"/>
              <w:rPr>
                <w:szCs w:val="22"/>
              </w:rPr>
            </w:pPr>
            <w:r w:rsidRPr="00FB5B94">
              <w:rPr>
                <w:szCs w:val="22"/>
              </w:rPr>
              <w:t>pasireiškia daugiau kaip 1 iš 10 pacientų</w:t>
            </w:r>
          </w:p>
        </w:tc>
      </w:tr>
      <w:tr w:rsidR="00346FFF" w:rsidRPr="00FB5B94" w:rsidTr="00FA782E">
        <w:tc>
          <w:tcPr>
            <w:tcW w:w="2093" w:type="dxa"/>
          </w:tcPr>
          <w:p w:rsidR="00346FFF" w:rsidRPr="00FB5B94" w:rsidRDefault="00346FFF" w:rsidP="00FA782E">
            <w:pPr>
              <w:tabs>
                <w:tab w:val="left" w:pos="567"/>
              </w:tabs>
              <w:spacing w:line="260" w:lineRule="exact"/>
              <w:rPr>
                <w:b/>
                <w:szCs w:val="22"/>
              </w:rPr>
            </w:pPr>
            <w:r w:rsidRPr="00FB5B94">
              <w:rPr>
                <w:b/>
                <w:szCs w:val="22"/>
              </w:rPr>
              <w:t>Dažni:</w:t>
            </w:r>
          </w:p>
        </w:tc>
        <w:tc>
          <w:tcPr>
            <w:tcW w:w="6910" w:type="dxa"/>
          </w:tcPr>
          <w:p w:rsidR="00346FFF" w:rsidRPr="00FB5B94" w:rsidRDefault="00346FFF" w:rsidP="00FA782E">
            <w:pPr>
              <w:tabs>
                <w:tab w:val="left" w:pos="567"/>
              </w:tabs>
              <w:spacing w:line="260" w:lineRule="exact"/>
              <w:rPr>
                <w:szCs w:val="22"/>
              </w:rPr>
            </w:pPr>
            <w:r w:rsidRPr="00FB5B94">
              <w:rPr>
                <w:szCs w:val="22"/>
              </w:rPr>
              <w:t>pasireiškia 1-10 iš 100 pacientų</w:t>
            </w:r>
          </w:p>
        </w:tc>
      </w:tr>
      <w:tr w:rsidR="00346FFF" w:rsidRPr="00FB5B94" w:rsidTr="00FA782E">
        <w:tc>
          <w:tcPr>
            <w:tcW w:w="2093" w:type="dxa"/>
          </w:tcPr>
          <w:p w:rsidR="00346FFF" w:rsidRPr="00FB5B94" w:rsidRDefault="00346FFF" w:rsidP="00FA782E">
            <w:pPr>
              <w:tabs>
                <w:tab w:val="left" w:pos="567"/>
              </w:tabs>
              <w:spacing w:line="260" w:lineRule="exact"/>
              <w:rPr>
                <w:b/>
                <w:szCs w:val="22"/>
              </w:rPr>
            </w:pPr>
            <w:r w:rsidRPr="00FB5B94">
              <w:rPr>
                <w:b/>
                <w:szCs w:val="22"/>
              </w:rPr>
              <w:t>Nedažni:</w:t>
            </w:r>
          </w:p>
        </w:tc>
        <w:tc>
          <w:tcPr>
            <w:tcW w:w="6910" w:type="dxa"/>
          </w:tcPr>
          <w:p w:rsidR="00346FFF" w:rsidRPr="00FB5B94" w:rsidRDefault="00346FFF" w:rsidP="00FA782E">
            <w:pPr>
              <w:tabs>
                <w:tab w:val="left" w:pos="567"/>
              </w:tabs>
              <w:spacing w:line="260" w:lineRule="exact"/>
              <w:rPr>
                <w:szCs w:val="22"/>
              </w:rPr>
            </w:pPr>
            <w:r w:rsidRPr="00FB5B94">
              <w:rPr>
                <w:szCs w:val="22"/>
              </w:rPr>
              <w:t>pasireiškia 1-10 iš 1000 pacientų</w:t>
            </w:r>
          </w:p>
        </w:tc>
      </w:tr>
      <w:tr w:rsidR="00346FFF" w:rsidRPr="00FB5B94" w:rsidTr="00FA782E">
        <w:tc>
          <w:tcPr>
            <w:tcW w:w="2093" w:type="dxa"/>
          </w:tcPr>
          <w:p w:rsidR="00346FFF" w:rsidRPr="00FB5B94" w:rsidRDefault="00346FFF" w:rsidP="00FA782E">
            <w:pPr>
              <w:tabs>
                <w:tab w:val="left" w:pos="567"/>
              </w:tabs>
              <w:spacing w:line="260" w:lineRule="exact"/>
              <w:rPr>
                <w:b/>
                <w:szCs w:val="22"/>
              </w:rPr>
            </w:pPr>
            <w:r w:rsidRPr="00FB5B94">
              <w:rPr>
                <w:b/>
                <w:szCs w:val="22"/>
              </w:rPr>
              <w:t>Reti:</w:t>
            </w:r>
          </w:p>
        </w:tc>
        <w:tc>
          <w:tcPr>
            <w:tcW w:w="6910" w:type="dxa"/>
          </w:tcPr>
          <w:p w:rsidR="00346FFF" w:rsidRPr="00FB5B94" w:rsidRDefault="00346FFF" w:rsidP="00FA782E">
            <w:pPr>
              <w:tabs>
                <w:tab w:val="left" w:pos="567"/>
              </w:tabs>
              <w:spacing w:line="260" w:lineRule="exact"/>
              <w:rPr>
                <w:szCs w:val="22"/>
              </w:rPr>
            </w:pPr>
            <w:r w:rsidRPr="00FB5B94">
              <w:rPr>
                <w:szCs w:val="22"/>
              </w:rPr>
              <w:t>pasireiškia 1-10 iš 10 000 pacientų</w:t>
            </w:r>
          </w:p>
        </w:tc>
      </w:tr>
      <w:tr w:rsidR="00346FFF" w:rsidRPr="00FB5B94" w:rsidTr="00FA782E">
        <w:tc>
          <w:tcPr>
            <w:tcW w:w="2093" w:type="dxa"/>
          </w:tcPr>
          <w:p w:rsidR="00346FFF" w:rsidRPr="00FB5B94" w:rsidRDefault="00346FFF" w:rsidP="00FA782E">
            <w:pPr>
              <w:tabs>
                <w:tab w:val="left" w:pos="567"/>
              </w:tabs>
              <w:spacing w:line="260" w:lineRule="exact"/>
              <w:rPr>
                <w:b/>
                <w:szCs w:val="22"/>
              </w:rPr>
            </w:pPr>
            <w:r w:rsidRPr="00FB5B94">
              <w:rPr>
                <w:b/>
                <w:szCs w:val="22"/>
              </w:rPr>
              <w:t>Labai reti:</w:t>
            </w:r>
          </w:p>
        </w:tc>
        <w:tc>
          <w:tcPr>
            <w:tcW w:w="6910" w:type="dxa"/>
          </w:tcPr>
          <w:p w:rsidR="00346FFF" w:rsidRPr="00FB5B94" w:rsidRDefault="00346FFF" w:rsidP="00FA782E">
            <w:pPr>
              <w:tabs>
                <w:tab w:val="left" w:pos="567"/>
              </w:tabs>
              <w:spacing w:line="260" w:lineRule="exact"/>
              <w:rPr>
                <w:szCs w:val="22"/>
              </w:rPr>
            </w:pPr>
            <w:r w:rsidRPr="00FB5B94">
              <w:rPr>
                <w:szCs w:val="22"/>
              </w:rPr>
              <w:t>pasireiškia rečiau kaip 1 iš 10 000 pacientų</w:t>
            </w:r>
          </w:p>
        </w:tc>
      </w:tr>
      <w:tr w:rsidR="00346FFF" w:rsidRPr="00FB5B94" w:rsidTr="00FA782E">
        <w:tc>
          <w:tcPr>
            <w:tcW w:w="2093" w:type="dxa"/>
          </w:tcPr>
          <w:p w:rsidR="00346FFF" w:rsidRPr="00FB5B94" w:rsidRDefault="00346FFF" w:rsidP="00FA782E">
            <w:pPr>
              <w:tabs>
                <w:tab w:val="left" w:pos="567"/>
              </w:tabs>
              <w:spacing w:line="260" w:lineRule="exact"/>
              <w:rPr>
                <w:b/>
                <w:szCs w:val="22"/>
              </w:rPr>
            </w:pPr>
            <w:r w:rsidRPr="00FB5B94">
              <w:rPr>
                <w:b/>
                <w:szCs w:val="22"/>
              </w:rPr>
              <w:t>Dažnis nežinomas</w:t>
            </w:r>
          </w:p>
        </w:tc>
        <w:tc>
          <w:tcPr>
            <w:tcW w:w="6910" w:type="dxa"/>
          </w:tcPr>
          <w:p w:rsidR="00346FFF" w:rsidRPr="00FB5B94" w:rsidRDefault="00346FFF" w:rsidP="00FA782E">
            <w:pPr>
              <w:tabs>
                <w:tab w:val="left" w:pos="567"/>
              </w:tabs>
              <w:spacing w:line="260" w:lineRule="exact"/>
              <w:rPr>
                <w:szCs w:val="22"/>
              </w:rPr>
            </w:pPr>
            <w:r w:rsidRPr="00FB5B94">
              <w:rPr>
                <w:szCs w:val="22"/>
              </w:rPr>
              <w:t>negali būti įvertintas pagal turimus duomenis</w:t>
            </w:r>
          </w:p>
        </w:tc>
      </w:tr>
    </w:tbl>
    <w:p w:rsidR="00346FFF" w:rsidRPr="00FB5B94" w:rsidRDefault="00346FFF" w:rsidP="00346FFF">
      <w:pPr>
        <w:tabs>
          <w:tab w:val="left" w:pos="567"/>
        </w:tabs>
        <w:spacing w:line="260" w:lineRule="exact"/>
        <w:rPr>
          <w:szCs w:val="22"/>
          <w:lang w:eastAsia="en-US"/>
        </w:rPr>
      </w:pPr>
    </w:p>
    <w:p w:rsidR="00346FFF" w:rsidRPr="00FB5B94" w:rsidRDefault="00346FFF" w:rsidP="00346FFF">
      <w:pPr>
        <w:pStyle w:val="BTEMEASMCA"/>
        <w:rPr>
          <w:sz w:val="22"/>
          <w:szCs w:val="22"/>
        </w:rPr>
      </w:pPr>
      <w:r w:rsidRPr="00FB5B94">
        <w:rPr>
          <w:sz w:val="22"/>
          <w:szCs w:val="22"/>
        </w:rPr>
        <w:t>Jei atsiranda toliau išvardytų sutrikimų, nedelsiant nutraukite</w:t>
      </w:r>
      <w:r w:rsidRPr="00FB5B94">
        <w:rPr>
          <w:b/>
          <w:sz w:val="22"/>
          <w:szCs w:val="22"/>
        </w:rPr>
        <w:t xml:space="preserve"> </w:t>
      </w:r>
      <w:r w:rsidRPr="00FB5B94">
        <w:rPr>
          <w:sz w:val="22"/>
          <w:szCs w:val="22"/>
        </w:rPr>
        <w:t>Teboneva vartojimą ir kreipkitės į savo gydytoją.</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Galimas alendronato tablečių šalutinis poveikis</w:t>
      </w:r>
    </w:p>
    <w:p w:rsidR="00346FFF" w:rsidRPr="00FB5B94" w:rsidRDefault="00346FFF" w:rsidP="00346FFF">
      <w:pPr>
        <w:pStyle w:val="BTEMEASMCA"/>
        <w:rPr>
          <w:sz w:val="22"/>
          <w:szCs w:val="22"/>
          <w:u w:val="single"/>
        </w:rPr>
      </w:pPr>
      <w:r w:rsidRPr="00FB5B94">
        <w:rPr>
          <w:sz w:val="22"/>
          <w:szCs w:val="22"/>
          <w:u w:val="single"/>
        </w:rPr>
        <w:t>Dažnas</w:t>
      </w:r>
    </w:p>
    <w:p w:rsidR="00346FFF" w:rsidRPr="00FB5B94" w:rsidRDefault="00346FFF" w:rsidP="00346FFF">
      <w:pPr>
        <w:pStyle w:val="BT-EMEASMCA"/>
        <w:rPr>
          <w:sz w:val="22"/>
          <w:szCs w:val="22"/>
        </w:rPr>
      </w:pPr>
      <w:r w:rsidRPr="00FB5B94">
        <w:rPr>
          <w:sz w:val="22"/>
          <w:szCs w:val="22"/>
        </w:rPr>
        <w:lastRenderedPageBreak/>
        <w:t>Galvos skausmas.</w:t>
      </w:r>
    </w:p>
    <w:p w:rsidR="00346FFF" w:rsidRPr="00FB5B94" w:rsidRDefault="00346FFF" w:rsidP="00346FFF">
      <w:pPr>
        <w:pStyle w:val="BT-EMEASMCA"/>
        <w:rPr>
          <w:sz w:val="22"/>
          <w:szCs w:val="22"/>
        </w:rPr>
      </w:pPr>
      <w:r w:rsidRPr="00FB5B94">
        <w:rPr>
          <w:sz w:val="22"/>
          <w:szCs w:val="22"/>
        </w:rPr>
        <w:t>Pilvo skausmas, blogas virškinimas, vidurių užkietėjimas, pilvo pūtimas, viduriavimas, gausus dujų išėjimas, atsirūgimas skrandžio rūgštimi, pasunkėjęs rijimas, skausmas ryjant, stemplės išopėjimas, sukeliantis krūtinės skausmą, rėmenį ar skausmą ir nemalonų  pojūtį ryjant.</w:t>
      </w:r>
    </w:p>
    <w:p w:rsidR="00346FFF" w:rsidRPr="00FB5B94" w:rsidRDefault="00346FFF" w:rsidP="00346FFF">
      <w:pPr>
        <w:pStyle w:val="BT-EMEASMCA"/>
        <w:rPr>
          <w:sz w:val="22"/>
          <w:szCs w:val="22"/>
        </w:rPr>
      </w:pPr>
      <w:r w:rsidRPr="00FB5B94">
        <w:rPr>
          <w:sz w:val="22"/>
          <w:szCs w:val="22"/>
        </w:rPr>
        <w:t>Kaulų, raumenų arba sąnarių  skausmas.</w:t>
      </w: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Nedažnas</w:t>
      </w:r>
    </w:p>
    <w:p w:rsidR="00346FFF" w:rsidRPr="00FB5B94" w:rsidRDefault="00346FFF" w:rsidP="00346FFF">
      <w:pPr>
        <w:pStyle w:val="BT-EMEASMCA"/>
        <w:rPr>
          <w:sz w:val="22"/>
          <w:szCs w:val="22"/>
        </w:rPr>
      </w:pPr>
      <w:r w:rsidRPr="00FB5B94">
        <w:rPr>
          <w:sz w:val="22"/>
          <w:szCs w:val="22"/>
        </w:rPr>
        <w:t>Pykinimas (šleikštulys), vėmimas, stemplės arba skrandžio dirginimas ir uždegimas, tuštinimasis juodomis išmatomis.</w:t>
      </w:r>
    </w:p>
    <w:p w:rsidR="00346FFF" w:rsidRPr="00FB5B94" w:rsidRDefault="00346FFF" w:rsidP="00346FFF">
      <w:pPr>
        <w:pStyle w:val="BT-EMEASMCA"/>
        <w:rPr>
          <w:sz w:val="22"/>
          <w:szCs w:val="22"/>
        </w:rPr>
      </w:pPr>
      <w:r w:rsidRPr="00FB5B94">
        <w:rPr>
          <w:sz w:val="22"/>
          <w:szCs w:val="22"/>
        </w:rPr>
        <w:t>Bėrimas, niežulys, odos paraudimas.</w:t>
      </w: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Retas</w:t>
      </w:r>
    </w:p>
    <w:p w:rsidR="00346FFF" w:rsidRPr="00FB5B94" w:rsidRDefault="00346FFF" w:rsidP="00346FFF">
      <w:pPr>
        <w:pStyle w:val="BT-EMEASMCA"/>
        <w:rPr>
          <w:sz w:val="22"/>
          <w:szCs w:val="22"/>
        </w:rPr>
      </w:pPr>
      <w:r w:rsidRPr="00FB5B94">
        <w:rPr>
          <w:sz w:val="22"/>
          <w:szCs w:val="22"/>
        </w:rPr>
        <w:t>Alerginės reakcijos: dilgėlinis išbėrimas, veido, lūpų, liežuvio ir (arba) ryklės patinimas, dėl to gali pasunkėti kvėpavimas arba rijimas.</w:t>
      </w:r>
    </w:p>
    <w:p w:rsidR="00346FFF" w:rsidRPr="00FB5B94" w:rsidRDefault="00346FFF" w:rsidP="00346FFF">
      <w:pPr>
        <w:pStyle w:val="BT-EMEASMCA"/>
        <w:rPr>
          <w:sz w:val="22"/>
          <w:szCs w:val="22"/>
        </w:rPr>
      </w:pPr>
      <w:r w:rsidRPr="00FB5B94">
        <w:rPr>
          <w:sz w:val="22"/>
          <w:szCs w:val="22"/>
        </w:rPr>
        <w:t>Mažos kalcio koncentracijos kraujyje simptomai, įskaitant raumenų mėšlungį ar traukulius ir (arba) dilgčiojimo pojūtį pirštuose arba apie burną.</w:t>
      </w:r>
    </w:p>
    <w:p w:rsidR="00346FFF" w:rsidRPr="00FB5B94" w:rsidRDefault="00346FFF" w:rsidP="00346FFF">
      <w:pPr>
        <w:pStyle w:val="BT-EMEASMCA"/>
        <w:rPr>
          <w:sz w:val="22"/>
          <w:szCs w:val="22"/>
        </w:rPr>
      </w:pPr>
      <w:r w:rsidRPr="00FB5B94">
        <w:rPr>
          <w:sz w:val="22"/>
          <w:szCs w:val="22"/>
        </w:rPr>
        <w:t>Neryškus matymas, akių paraudimas arba skausmas (akies obuolio kraujagyslinio dangalo, odenos, paviršinis odenos uždegimas).</w:t>
      </w:r>
    </w:p>
    <w:p w:rsidR="00346FFF" w:rsidRPr="00FB5B94" w:rsidRDefault="00346FFF" w:rsidP="00346FFF">
      <w:pPr>
        <w:pStyle w:val="BT-EMEASMCA"/>
        <w:rPr>
          <w:sz w:val="22"/>
          <w:szCs w:val="22"/>
        </w:rPr>
      </w:pPr>
      <w:r w:rsidRPr="00FB5B94">
        <w:rPr>
          <w:sz w:val="22"/>
          <w:szCs w:val="22"/>
        </w:rPr>
        <w:t>Stemplės susiaurėjimas, burnos opos po tablečių kramtymo arba čiulpimo, skrandžio arba žarnų opos (kartais sunkios, su kraujavimu).</w:t>
      </w:r>
    </w:p>
    <w:p w:rsidR="00346FFF" w:rsidRPr="00FB5B94" w:rsidRDefault="00346FFF" w:rsidP="00346FFF">
      <w:pPr>
        <w:pStyle w:val="BT-EMEASMCA"/>
        <w:rPr>
          <w:sz w:val="22"/>
          <w:szCs w:val="22"/>
        </w:rPr>
      </w:pPr>
      <w:r w:rsidRPr="00FB5B94">
        <w:rPr>
          <w:sz w:val="22"/>
          <w:szCs w:val="22"/>
        </w:rPr>
        <w:t xml:space="preserve">Išbėrimas, sutiprėjantis saulės šviesos poveikyje. </w:t>
      </w:r>
    </w:p>
    <w:p w:rsidR="00346FFF" w:rsidRPr="00FB5B94" w:rsidRDefault="00346FFF" w:rsidP="00346FFF">
      <w:pPr>
        <w:pStyle w:val="BT-EMEASMCA"/>
        <w:rPr>
          <w:sz w:val="22"/>
          <w:szCs w:val="22"/>
        </w:rPr>
      </w:pPr>
      <w:r w:rsidRPr="00FB5B94">
        <w:rPr>
          <w:sz w:val="22"/>
          <w:szCs w:val="22"/>
        </w:rPr>
        <w:t>Žandikaulio problemos (osteonekrozė), susijusios su lėtu žaizdos gijimu ir infekcija, dažnai  atsiradusia po danties pašalinimo, stiprus kaulų, raumenų arba sąnarių skausmas.</w:t>
      </w:r>
    </w:p>
    <w:p w:rsidR="00346FFF" w:rsidRPr="00FB5B94" w:rsidRDefault="00346FFF" w:rsidP="00346FFF">
      <w:pPr>
        <w:pStyle w:val="BT-EMEASMCA"/>
        <w:rPr>
          <w:sz w:val="22"/>
          <w:szCs w:val="22"/>
        </w:rPr>
      </w:pPr>
      <w:r w:rsidRPr="00FB5B94">
        <w:rPr>
          <w:sz w:val="22"/>
          <w:szCs w:val="22"/>
        </w:rPr>
        <w:t>Laikini gripui panašūs simptomai – raumenų skausmas, bloga bendra savijauta, kartais su karščiavimu, dažniausiai vaisto vartojimo pradžioje.</w:t>
      </w:r>
    </w:p>
    <w:p w:rsidR="008F38B4" w:rsidRPr="00FB5B94" w:rsidRDefault="008F38B4" w:rsidP="008F38B4">
      <w:pPr>
        <w:pStyle w:val="BT-EMEASMCA"/>
        <w:rPr>
          <w:sz w:val="22"/>
          <w:szCs w:val="22"/>
        </w:rPr>
      </w:pPr>
      <w:r w:rsidRPr="00FB5B94">
        <w:rPr>
          <w:sz w:val="22"/>
          <w:szCs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u w:val="single"/>
        </w:rPr>
      </w:pPr>
      <w:r w:rsidRPr="00FB5B94">
        <w:rPr>
          <w:sz w:val="22"/>
          <w:szCs w:val="22"/>
          <w:u w:val="single"/>
        </w:rPr>
        <w:t>Labai retas</w:t>
      </w:r>
    </w:p>
    <w:p w:rsidR="00346FFF" w:rsidRPr="00FB5B94" w:rsidRDefault="00346FFF" w:rsidP="00346FFF">
      <w:pPr>
        <w:pStyle w:val="BT-EMEASMCA"/>
        <w:rPr>
          <w:sz w:val="22"/>
          <w:szCs w:val="22"/>
        </w:rPr>
      </w:pPr>
      <w:r w:rsidRPr="00FB5B94">
        <w:rPr>
          <w:sz w:val="22"/>
          <w:szCs w:val="22"/>
        </w:rPr>
        <w:t>Sunkios odos reakcijos (Stevens-Johnson sindromas, toksinė epidermio nekrolizė).</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Nusistovėjus vaisto rinkodarai pranešta apie tokias reakcijas:</w:t>
      </w:r>
    </w:p>
    <w:p w:rsidR="00346FFF" w:rsidRPr="00FB5B94" w:rsidRDefault="00346FFF" w:rsidP="00346FFF">
      <w:pPr>
        <w:tabs>
          <w:tab w:val="left" w:pos="567"/>
        </w:tabs>
        <w:spacing w:line="260" w:lineRule="exact"/>
        <w:rPr>
          <w:szCs w:val="22"/>
          <w:u w:val="single"/>
        </w:rPr>
      </w:pPr>
      <w:r w:rsidRPr="00FB5B94">
        <w:rPr>
          <w:szCs w:val="22"/>
          <w:u w:val="single"/>
        </w:rPr>
        <w:t>Dažnis nežinomas</w:t>
      </w:r>
    </w:p>
    <w:p w:rsidR="00346FFF" w:rsidRPr="00FB5B94" w:rsidRDefault="00346FFF" w:rsidP="00346FFF">
      <w:pPr>
        <w:pStyle w:val="BT-EMEASMCA"/>
        <w:rPr>
          <w:sz w:val="22"/>
          <w:szCs w:val="22"/>
        </w:rPr>
      </w:pPr>
      <w:r w:rsidRPr="00FB5B94">
        <w:rPr>
          <w:sz w:val="22"/>
          <w:szCs w:val="22"/>
        </w:rPr>
        <w:t>Svaigulys, skonio jutimo sutrikimas.</w:t>
      </w:r>
    </w:p>
    <w:p w:rsidR="00346FFF" w:rsidRPr="00FB5B94" w:rsidRDefault="00346FFF" w:rsidP="00346FFF">
      <w:pPr>
        <w:pStyle w:val="BT-EMEASMCA"/>
        <w:rPr>
          <w:sz w:val="22"/>
          <w:szCs w:val="22"/>
        </w:rPr>
      </w:pPr>
      <w:r w:rsidRPr="00FB5B94">
        <w:rPr>
          <w:sz w:val="22"/>
          <w:szCs w:val="22"/>
        </w:rPr>
        <w:t>Nuplikimas.</w:t>
      </w:r>
    </w:p>
    <w:p w:rsidR="00346FFF" w:rsidRPr="00FB5B94" w:rsidRDefault="00346FFF" w:rsidP="00346FFF">
      <w:pPr>
        <w:pStyle w:val="BT-EMEASMCA"/>
        <w:rPr>
          <w:sz w:val="22"/>
          <w:szCs w:val="22"/>
        </w:rPr>
      </w:pPr>
      <w:r w:rsidRPr="00FB5B94">
        <w:rPr>
          <w:sz w:val="22"/>
          <w:szCs w:val="22"/>
        </w:rPr>
        <w:t>Sąnarių patinimas.</w:t>
      </w:r>
    </w:p>
    <w:p w:rsidR="00346FFF" w:rsidRPr="00FB5B94" w:rsidRDefault="00346FFF" w:rsidP="00346FFF">
      <w:pPr>
        <w:pStyle w:val="BT-EMEASMCA"/>
        <w:rPr>
          <w:sz w:val="22"/>
          <w:szCs w:val="22"/>
        </w:rPr>
      </w:pPr>
      <w:r w:rsidRPr="00FB5B94">
        <w:rPr>
          <w:sz w:val="22"/>
          <w:szCs w:val="22"/>
        </w:rPr>
        <w:t>Nuovargis, raumenų silpnumas, rankų arba kojų patinimas.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u w:val="single"/>
        </w:rPr>
      </w:pPr>
      <w:r w:rsidRPr="00FB5B94">
        <w:rPr>
          <w:sz w:val="22"/>
          <w:szCs w:val="22"/>
          <w:u w:val="single"/>
        </w:rPr>
        <w:t>Labai dažnas</w:t>
      </w:r>
    </w:p>
    <w:p w:rsidR="00346FFF" w:rsidRPr="00FB5B94" w:rsidRDefault="00346FFF" w:rsidP="00346FFF">
      <w:pPr>
        <w:pStyle w:val="BTEMEASMCA"/>
        <w:rPr>
          <w:sz w:val="22"/>
          <w:szCs w:val="22"/>
        </w:rPr>
      </w:pPr>
      <w:r w:rsidRPr="00FB5B94">
        <w:rPr>
          <w:i/>
          <w:sz w:val="22"/>
          <w:szCs w:val="22"/>
        </w:rPr>
        <w:t>Laboratorinių tyrimų duomenys</w:t>
      </w:r>
      <w:r w:rsidRPr="00FB5B94">
        <w:rPr>
          <w:sz w:val="22"/>
          <w:szCs w:val="22"/>
        </w:rPr>
        <w:t>: laikinas nežymus kalcio ir/arba fosfatų kiekio sumažėjimas kraujyje, dažniausiai išliekantis normos ribose.</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Galimas alfakalcidolio kapsulių šalutinis poveikis</w:t>
      </w:r>
    </w:p>
    <w:p w:rsidR="00346FFF" w:rsidRPr="00FB5B94" w:rsidRDefault="00346FFF" w:rsidP="00346FFF">
      <w:pPr>
        <w:pStyle w:val="BT-EMEASMCA"/>
        <w:rPr>
          <w:sz w:val="22"/>
          <w:szCs w:val="22"/>
        </w:rPr>
      </w:pPr>
      <w:r w:rsidRPr="00FB5B94">
        <w:rPr>
          <w:sz w:val="22"/>
          <w:szCs w:val="22"/>
        </w:rPr>
        <w:t>Pranešama apie alergines reakcijas ir anafilaksinį šoką (labai sunki gyvybei pavojinga alerginė reakcija). Ją gali sukelti žemės riešutų aliejus, esantis alfakalcidolio kapsulėse.</w:t>
      </w:r>
    </w:p>
    <w:p w:rsidR="00346FFF" w:rsidRPr="00FB5B94" w:rsidRDefault="00346FFF" w:rsidP="00346FFF">
      <w:pPr>
        <w:pStyle w:val="BT-EMEASMCA"/>
        <w:rPr>
          <w:sz w:val="22"/>
          <w:szCs w:val="22"/>
        </w:rPr>
      </w:pPr>
      <w:r w:rsidRPr="00FB5B94">
        <w:rPr>
          <w:sz w:val="22"/>
          <w:szCs w:val="22"/>
        </w:rPr>
        <w:t>Jeigu nevartosite tinkamos alfakalcidolio dozės, gali padidėti kalcio kiekis kraujyje. Galimo kalcio kiekio padidėjimo požymiai yra nuovargis, virškinimo sutrikimai, padidėjęs troškulys arba niežulys. Jeigu jaučiate tokius požymius, turite pasitarti su gydytoju, kad jis galėtų kontroliuoti kalcio kiekį Jūsų kraujyje. Toks kalcio kiekio padidėjimas ypač pavojingas, jeigu Jūs dėl širdies nepakankamumo kartu vartojate rusmenės (digitalio) preparatus (detaliau žr. 2 skyrių „Kitų vaistų vartojimas“).</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Dabartiniais duomenimis, nedidelis ir laikinas fosfatų koncentracijos padidėjimas kraujyje vartojant alfakalcidolio kapsules pasitaiko retai.</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pStyle w:val="BTEMEASMCA"/>
        <w:rPr>
          <w:sz w:val="22"/>
          <w:szCs w:val="22"/>
        </w:rPr>
      </w:pPr>
      <w:r w:rsidRPr="00FB5B94">
        <w:rPr>
          <w:sz w:val="22"/>
          <w:szCs w:val="22"/>
        </w:rPr>
        <w:lastRenderedPageBreak/>
        <w:t>Gydantis alfakalcidolio kapsulėmis gydytojas turi reguliariai kontroliuoti kalcio ir fosfatų koncentraciją Jūsų kraujyje. Tokius tyrimus reikia atlikti kartą per savaitę arba mėnesį. Gydymosi pradžioje tokius tyrimus gali prireikti atlikti dažniau.</w:t>
      </w:r>
    </w:p>
    <w:p w:rsidR="00346FFF" w:rsidRPr="00FB5B94" w:rsidRDefault="00346FFF" w:rsidP="00346FFF">
      <w:pPr>
        <w:tabs>
          <w:tab w:val="left" w:pos="567"/>
        </w:tabs>
        <w:spacing w:line="260" w:lineRule="exact"/>
        <w:rPr>
          <w:szCs w:val="22"/>
          <w:lang w:eastAsia="en-US"/>
        </w:rPr>
      </w:pPr>
      <w:r w:rsidRPr="00FB5B94">
        <w:rPr>
          <w:szCs w:val="22"/>
          <w:lang w:eastAsia="en-US"/>
        </w:rPr>
        <w:t>Labai retai (rečiau kaip 1 iš 10 000 gydytų pacientų) nustatytos kalcio sankaupos audiniuose, pavyzdžiui, akių ragenoje arba kraujagyslių sienelėse. Tačiau šie pokyčiai yra grįžtamojo pobūdžio.</w:t>
      </w:r>
    </w:p>
    <w:p w:rsidR="00346FFF" w:rsidRPr="00FB5B94" w:rsidRDefault="00346FFF" w:rsidP="00346FFF">
      <w:pPr>
        <w:pStyle w:val="BTEMEASMCA"/>
        <w:rPr>
          <w:sz w:val="22"/>
          <w:szCs w:val="22"/>
        </w:rPr>
      </w:pPr>
    </w:p>
    <w:p w:rsidR="00346FFF" w:rsidRPr="00FB5B94" w:rsidRDefault="00346FFF" w:rsidP="00346FFF">
      <w:pPr>
        <w:pStyle w:val="BTEMEASMCA"/>
        <w:rPr>
          <w:b/>
          <w:sz w:val="22"/>
          <w:szCs w:val="22"/>
        </w:rPr>
      </w:pPr>
      <w:r w:rsidRPr="00FB5B94">
        <w:rPr>
          <w:b/>
          <w:sz w:val="22"/>
          <w:szCs w:val="22"/>
        </w:rPr>
        <w:t>Teboneva</w:t>
      </w:r>
    </w:p>
    <w:p w:rsidR="00346FFF" w:rsidRPr="00FB5B94" w:rsidRDefault="00346FFF" w:rsidP="00346FFF">
      <w:pPr>
        <w:pStyle w:val="BTEMEASMCA"/>
        <w:rPr>
          <w:sz w:val="22"/>
          <w:szCs w:val="22"/>
        </w:rPr>
      </w:pPr>
      <w:r w:rsidRPr="00FB5B94">
        <w:rPr>
          <w:sz w:val="22"/>
          <w:szCs w:val="22"/>
        </w:rPr>
        <w:t>Abi Teboneva sudėtinės dalys aleandronatas ir alfakalcidolis gali turėti įtakos kalcio koncentracijai Jūsų kraujyje: alendronatas gali sumažinti, alfakalcidolis padidinti kalcio koncentraciją. Dėl to sumažėja kalcio koncentracijos kraujyje balanso sutrikimo rizika.</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r w:rsidRPr="00FB5B94">
        <w:rPr>
          <w:sz w:val="22"/>
          <w:szCs w:val="22"/>
        </w:rPr>
        <w:t>Jeigu pasireiškė sunkus šalutinis poveikis arba pastebėjote šiame lapelyje nenurodytą šalutinį poveikį, pasakykite gydytojui arba vaistininkui.</w:t>
      </w:r>
    </w:p>
    <w:p w:rsidR="00346FFF" w:rsidRPr="00FB5B94" w:rsidRDefault="00346FFF" w:rsidP="00346FFF">
      <w:pPr>
        <w:pStyle w:val="BTEMEASMCA"/>
        <w:rPr>
          <w:sz w:val="22"/>
          <w:szCs w:val="22"/>
        </w:rPr>
      </w:pPr>
    </w:p>
    <w:p w:rsidR="00346FFF" w:rsidRPr="00FB5B94" w:rsidRDefault="00346FFF" w:rsidP="00346FFF">
      <w:pPr>
        <w:pStyle w:val="BTEMEASMCA"/>
        <w:rPr>
          <w:sz w:val="22"/>
          <w:szCs w:val="22"/>
        </w:rPr>
      </w:pPr>
    </w:p>
    <w:p w:rsidR="00346FFF" w:rsidRPr="00FB5B94" w:rsidRDefault="00346FFF" w:rsidP="00346FFF">
      <w:pPr>
        <w:tabs>
          <w:tab w:val="left" w:pos="567"/>
        </w:tabs>
        <w:spacing w:line="260" w:lineRule="exact"/>
        <w:rPr>
          <w:b/>
          <w:szCs w:val="22"/>
          <w:lang w:eastAsia="en-US"/>
        </w:rPr>
      </w:pPr>
      <w:r w:rsidRPr="00FB5B94">
        <w:rPr>
          <w:b/>
          <w:szCs w:val="22"/>
          <w:lang w:eastAsia="en-US"/>
        </w:rPr>
        <w:t>5.</w:t>
      </w:r>
      <w:r w:rsidRPr="00FB5B94">
        <w:rPr>
          <w:b/>
          <w:szCs w:val="22"/>
          <w:lang w:eastAsia="en-US"/>
        </w:rPr>
        <w:tab/>
        <w:t>KAIP LAIKYTI TEBONEVA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Laikyti vaikams nepasiekiamoje ir nepastebimoje vietoje.</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 xml:space="preserve">Ant dėžutės po „Tinka iki“ ir ant lizdinės plokštelės po „EXP“ nurodytam tinkamumo laikui pasibaigus, Teboneva vartoti negalima. </w:t>
      </w:r>
    </w:p>
    <w:p w:rsidR="00346FFF" w:rsidRPr="00FB5B94" w:rsidRDefault="00346FFF" w:rsidP="00346FFF">
      <w:pPr>
        <w:tabs>
          <w:tab w:val="left" w:pos="567"/>
        </w:tabs>
        <w:spacing w:line="260" w:lineRule="exact"/>
        <w:rPr>
          <w:szCs w:val="22"/>
          <w:lang w:eastAsia="en-US"/>
        </w:rPr>
      </w:pPr>
      <w:r w:rsidRPr="00FB5B94">
        <w:rPr>
          <w:szCs w:val="22"/>
          <w:lang w:eastAsia="en-US"/>
        </w:rPr>
        <w:t>Vaistas tinka vartoti iki paskutinės nurodyto mėnesio dienos.</w:t>
      </w:r>
    </w:p>
    <w:p w:rsidR="00914F1A" w:rsidRPr="00FB5B94" w:rsidRDefault="00346FFF" w:rsidP="00914F1A">
      <w:pPr>
        <w:tabs>
          <w:tab w:val="left" w:pos="567"/>
        </w:tabs>
        <w:spacing w:line="260" w:lineRule="exact"/>
        <w:rPr>
          <w:szCs w:val="22"/>
          <w:lang w:eastAsia="en-US"/>
        </w:rPr>
      </w:pPr>
      <w:r w:rsidRPr="00FB5B94">
        <w:rPr>
          <w:szCs w:val="22"/>
          <w:lang w:eastAsia="en-US"/>
        </w:rPr>
        <w:t>Laikyti ne aukštesnėje kaip 25 °C temperatūroje.</w:t>
      </w:r>
      <w:r w:rsidR="00914F1A" w:rsidRPr="00FB5B94">
        <w:rPr>
          <w:szCs w:val="22"/>
          <w:lang w:eastAsia="en-US"/>
        </w:rPr>
        <w:t xml:space="preserve"> Laikyti gamintojo pakuotėje, kad preparatas būtų apsaugotas nuo šviesos ir drėgmės. </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Vaistų negalima išpilti į kanalizaciją arba išmesti su buitinėmis atliekomis. Kaip tvarkyti nereikalingus vaistus, klauskite vaistininko. Šios priemonės padės apsaugoti aplinką.</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346FFF" w:rsidRPr="00FB5B94" w:rsidRDefault="00346FFF" w:rsidP="00346FFF">
      <w:pPr>
        <w:pStyle w:val="Sraopastraipa1"/>
        <w:numPr>
          <w:ilvl w:val="0"/>
          <w:numId w:val="16"/>
        </w:numPr>
        <w:tabs>
          <w:tab w:val="left" w:pos="567"/>
        </w:tabs>
        <w:spacing w:line="260" w:lineRule="exact"/>
        <w:ind w:hanging="720"/>
        <w:rPr>
          <w:b/>
          <w:szCs w:val="22"/>
          <w:lang w:eastAsia="en-US"/>
        </w:rPr>
      </w:pPr>
      <w:r w:rsidRPr="00FB5B94">
        <w:rPr>
          <w:b/>
          <w:szCs w:val="22"/>
          <w:lang w:eastAsia="en-US"/>
        </w:rPr>
        <w:t>KITA INFORMACIJA</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Teboneva sudėtis</w:t>
      </w:r>
    </w:p>
    <w:p w:rsidR="00346FFF" w:rsidRPr="00FB5B94" w:rsidRDefault="00346FFF" w:rsidP="00346FFF">
      <w:pPr>
        <w:tabs>
          <w:tab w:val="left" w:pos="567"/>
        </w:tabs>
        <w:spacing w:line="260" w:lineRule="exact"/>
        <w:rPr>
          <w:i/>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t>Alendronato tabletės</w:t>
      </w:r>
    </w:p>
    <w:p w:rsidR="00346FFF" w:rsidRPr="00FB5B94" w:rsidRDefault="00346FFF" w:rsidP="00346FFF">
      <w:pPr>
        <w:pStyle w:val="BT-EMEASMCA"/>
        <w:rPr>
          <w:sz w:val="22"/>
          <w:szCs w:val="22"/>
          <w:lang w:val="it-IT"/>
        </w:rPr>
      </w:pPr>
      <w:r w:rsidRPr="00FB5B94">
        <w:rPr>
          <w:sz w:val="22"/>
          <w:szCs w:val="22"/>
          <w:lang w:val="it-IT"/>
        </w:rPr>
        <w:t>Veiklioji medžiaga yra alendronatas, natrio alendronato monohidrato pavidalu. Kiekvienoje tabletėje yra 81,2 mg natrio alendronato monohidrato, atitinkančio 70 mg alendrono rūgšties.</w:t>
      </w:r>
    </w:p>
    <w:p w:rsidR="00346FFF" w:rsidRPr="00FB5B94" w:rsidRDefault="00346FFF" w:rsidP="00346FFF">
      <w:pPr>
        <w:pStyle w:val="BT-EMEASMCA"/>
        <w:rPr>
          <w:sz w:val="22"/>
          <w:szCs w:val="22"/>
          <w:lang w:val="it-IT"/>
        </w:rPr>
      </w:pPr>
      <w:r w:rsidRPr="00FB5B94">
        <w:rPr>
          <w:sz w:val="22"/>
          <w:szCs w:val="22"/>
          <w:lang w:val="it-IT"/>
        </w:rPr>
        <w:t>Pagalbinės medžiagos yra mikrokristalinė celiuliozė, kroskarmeliozės natrio druska ir magnio stearatas.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t xml:space="preserve">Alfakalcidolio kapsulės </w:t>
      </w:r>
    </w:p>
    <w:p w:rsidR="00346FFF" w:rsidRPr="00FB5B94" w:rsidRDefault="00346FFF" w:rsidP="00346FFF">
      <w:pPr>
        <w:pStyle w:val="BT-EMEASMCA"/>
        <w:rPr>
          <w:sz w:val="22"/>
          <w:szCs w:val="22"/>
        </w:rPr>
      </w:pPr>
      <w:r w:rsidRPr="00FB5B94">
        <w:rPr>
          <w:sz w:val="22"/>
          <w:szCs w:val="22"/>
        </w:rPr>
        <w:t>Veiklioji medžiaga yra alfakalcidolis. Vienoje minkštojoje kapsulėje yra 1 mikrogramas alfakalcidolio.</w:t>
      </w:r>
    </w:p>
    <w:p w:rsidR="00346FFF" w:rsidRPr="00FB5B94" w:rsidRDefault="00346FFF" w:rsidP="00346FFF">
      <w:pPr>
        <w:pStyle w:val="BT-EMEASMCA"/>
        <w:rPr>
          <w:sz w:val="22"/>
          <w:szCs w:val="22"/>
        </w:rPr>
      </w:pPr>
      <w:r w:rsidRPr="00FB5B94">
        <w:rPr>
          <w:sz w:val="22"/>
          <w:szCs w:val="22"/>
        </w:rPr>
        <w:t>Pagalbinės medžiagos: citrinų rūgštis, propilo galatas (pagal Europos farmakopėją), visų racematų alfa-tokoferolis, etanolis, žemės riešutų aliejus, želatina, glicerolis (85%), D-manitolio-D-sorbitolio-sorbitano-aukštesniojo poliolio mišinys (0-6%/25-40%/20-30%/12,5-19%</w:t>
      </w:r>
      <w:r w:rsidR="006E62FD" w:rsidRPr="00FB5B94">
        <w:rPr>
          <w:sz w:val="22"/>
          <w:szCs w:val="22"/>
          <w:lang w:val="lt-LT"/>
        </w:rPr>
        <w:t>, 15-17</w:t>
      </w:r>
      <w:r w:rsidR="006E62FD" w:rsidRPr="00FB5B94">
        <w:rPr>
          <w:sz w:val="22"/>
          <w:szCs w:val="22"/>
          <w:lang w:val="en-US"/>
        </w:rPr>
        <w:t>%</w:t>
      </w:r>
      <w:r w:rsidR="006E62FD" w:rsidRPr="00FB5B94">
        <w:rPr>
          <w:sz w:val="22"/>
          <w:szCs w:val="22"/>
          <w:lang w:val="lt-LT"/>
        </w:rPr>
        <w:t xml:space="preserve"> vandens</w:t>
      </w:r>
      <w:r w:rsidRPr="00FB5B94">
        <w:rPr>
          <w:sz w:val="22"/>
          <w:szCs w:val="22"/>
        </w:rPr>
        <w:t>), titano dioksidas (E171).</w:t>
      </w:r>
    </w:p>
    <w:p w:rsidR="00CC5D3C" w:rsidRPr="00FB5B94" w:rsidRDefault="00CC5D3C" w:rsidP="00CC5D3C">
      <w:pPr>
        <w:pStyle w:val="BT-EMEASMCA"/>
        <w:numPr>
          <w:ilvl w:val="0"/>
          <w:numId w:val="0"/>
        </w:numPr>
        <w:ind w:left="360" w:hanging="360"/>
        <w:rPr>
          <w:sz w:val="22"/>
          <w:szCs w:val="22"/>
        </w:rPr>
      </w:pPr>
      <w:r w:rsidRPr="00FB5B94">
        <w:rPr>
          <w:sz w:val="22"/>
          <w:szCs w:val="22"/>
        </w:rPr>
        <w:t>-</w:t>
      </w:r>
      <w:r w:rsidRPr="00FB5B94">
        <w:rPr>
          <w:sz w:val="22"/>
          <w:szCs w:val="22"/>
        </w:rPr>
        <w:tab/>
        <w:t>Rašalas:</w:t>
      </w:r>
    </w:p>
    <w:p w:rsidR="00CC5D3C" w:rsidRPr="00FB5B94" w:rsidRDefault="00CC5D3C" w:rsidP="00CC5D3C">
      <w:pPr>
        <w:pStyle w:val="BT-EMEASMCA"/>
        <w:numPr>
          <w:ilvl w:val="0"/>
          <w:numId w:val="0"/>
        </w:numPr>
        <w:rPr>
          <w:sz w:val="22"/>
          <w:szCs w:val="22"/>
        </w:rPr>
      </w:pPr>
      <w:r w:rsidRPr="00FB5B94">
        <w:rPr>
          <w:sz w:val="22"/>
          <w:szCs w:val="22"/>
        </w:rPr>
        <w:t>- glazūruotas šelakas, juodasis geležies oksidas (E172), etanolis, 2-propanolis, butan-1-olis, propilenglikolis</w:t>
      </w:r>
    </w:p>
    <w:p w:rsidR="00CC5D3C" w:rsidRPr="00FB5B94" w:rsidRDefault="00CC5D3C" w:rsidP="00CC5D3C">
      <w:pPr>
        <w:pStyle w:val="BT-EMEASMCA"/>
        <w:numPr>
          <w:ilvl w:val="0"/>
          <w:numId w:val="0"/>
        </w:numPr>
        <w:rPr>
          <w:sz w:val="22"/>
          <w:szCs w:val="22"/>
        </w:rPr>
      </w:pPr>
      <w:r w:rsidRPr="00FB5B94">
        <w:rPr>
          <w:sz w:val="22"/>
          <w:szCs w:val="22"/>
        </w:rPr>
        <w:t>arba</w:t>
      </w:r>
    </w:p>
    <w:p w:rsidR="00CC5D3C" w:rsidRPr="00FB5B94" w:rsidRDefault="00CC5D3C" w:rsidP="00CC5D3C">
      <w:pPr>
        <w:pStyle w:val="BT-EMEASMCA"/>
        <w:numPr>
          <w:ilvl w:val="0"/>
          <w:numId w:val="0"/>
        </w:numPr>
        <w:rPr>
          <w:b/>
          <w:sz w:val="22"/>
          <w:szCs w:val="22"/>
        </w:rPr>
      </w:pPr>
      <w:r w:rsidRPr="00FB5B94">
        <w:rPr>
          <w:sz w:val="22"/>
          <w:szCs w:val="22"/>
        </w:rPr>
        <w:t>- glazūruotas šelakas, juodasis geležies oksidas (E172), etanolis, 2-propanolis, butan-1-olis, propilenglikolis.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b/>
          <w:szCs w:val="22"/>
          <w:lang w:eastAsia="en-US"/>
        </w:rPr>
      </w:pPr>
      <w:r w:rsidRPr="00FB5B94">
        <w:rPr>
          <w:b/>
          <w:szCs w:val="22"/>
          <w:lang w:eastAsia="en-US"/>
        </w:rPr>
        <w:t>Teboneva išvaizda ir kiekis pakuotėje</w:t>
      </w:r>
    </w:p>
    <w:p w:rsidR="00346FFF" w:rsidRPr="00FB5B94" w:rsidRDefault="00346FFF" w:rsidP="00346FFF">
      <w:pPr>
        <w:tabs>
          <w:tab w:val="left" w:pos="567"/>
        </w:tabs>
        <w:spacing w:line="260" w:lineRule="exact"/>
        <w:rPr>
          <w:b/>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lastRenderedPageBreak/>
        <w:t>Alendronato tabletės</w:t>
      </w:r>
    </w:p>
    <w:p w:rsidR="00346FFF" w:rsidRPr="00FB5B94" w:rsidRDefault="00346FFF" w:rsidP="00346FFF">
      <w:pPr>
        <w:tabs>
          <w:tab w:val="left" w:pos="567"/>
        </w:tabs>
        <w:spacing w:line="260" w:lineRule="exact"/>
        <w:rPr>
          <w:szCs w:val="22"/>
          <w:lang w:eastAsia="en-US"/>
        </w:rPr>
      </w:pPr>
      <w:r w:rsidRPr="00FB5B94">
        <w:rPr>
          <w:szCs w:val="22"/>
          <w:lang w:eastAsia="en-US"/>
        </w:rPr>
        <w:t>Balta arba beveik balta, plokščia, nuožulniais kraštais apvali tabletė, kurios viena pusė pažymėta įspaudu “T”, kita pusė lygi.</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t>Alfakalcidolio minkštosios kapsulės</w:t>
      </w:r>
    </w:p>
    <w:p w:rsidR="00346FFF" w:rsidRPr="00FB5B94" w:rsidRDefault="00346FFF" w:rsidP="00346FFF">
      <w:pPr>
        <w:tabs>
          <w:tab w:val="left" w:pos="567"/>
        </w:tabs>
        <w:spacing w:line="260" w:lineRule="exact"/>
        <w:rPr>
          <w:szCs w:val="22"/>
          <w:lang w:eastAsia="en-US"/>
        </w:rPr>
      </w:pPr>
      <w:r w:rsidRPr="00FB5B94">
        <w:rPr>
          <w:szCs w:val="22"/>
          <w:lang w:eastAsia="en-US"/>
        </w:rPr>
        <w:t xml:space="preserve">Matinė </w:t>
      </w:r>
      <w:r w:rsidRPr="00FB5B94">
        <w:rPr>
          <w:szCs w:val="22"/>
          <w:lang w:eastAsia="en-US"/>
        </w:rPr>
        <w:tab/>
        <w:t>balta arba beveik balta ovali minkštoji kapsulė su juodu įspaudu „1.0“.</w:t>
      </w:r>
    </w:p>
    <w:p w:rsidR="00346FFF" w:rsidRPr="00FB5B94" w:rsidRDefault="00346FFF" w:rsidP="00346FFF">
      <w:pPr>
        <w:tabs>
          <w:tab w:val="left" w:pos="567"/>
        </w:tabs>
        <w:spacing w:line="260" w:lineRule="exact"/>
        <w:rPr>
          <w:szCs w:val="22"/>
          <w:lang w:eastAsia="en-US"/>
        </w:rPr>
      </w:pPr>
      <w:r w:rsidRPr="00FB5B94">
        <w:rPr>
          <w:szCs w:val="22"/>
          <w:lang w:eastAsia="en-US"/>
        </w:rPr>
        <w:t>Kiekvienoje savaitinėje lizdinėje plokštelėje yra viena alendronato tabletė ir 7 alfakalcidolio kapsulės.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 xml:space="preserve">Prašome laikytis dozavimo nuorodų ant savaitinės lizdinės plokštelės. </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u w:val="single"/>
          <w:lang w:eastAsia="en-US"/>
        </w:rPr>
      </w:pPr>
      <w:r w:rsidRPr="00FB5B94">
        <w:rPr>
          <w:szCs w:val="22"/>
          <w:u w:val="single"/>
          <w:lang w:eastAsia="en-US"/>
        </w:rPr>
        <w:t>Teboneva pakuotėje yra:</w:t>
      </w:r>
    </w:p>
    <w:p w:rsidR="00346FFF" w:rsidRPr="00FB5B94" w:rsidRDefault="00346FFF" w:rsidP="00346FFF">
      <w:pPr>
        <w:tabs>
          <w:tab w:val="left" w:pos="567"/>
        </w:tabs>
        <w:spacing w:line="260" w:lineRule="exact"/>
        <w:rPr>
          <w:szCs w:val="22"/>
          <w:lang w:eastAsia="en-US"/>
        </w:rPr>
      </w:pPr>
      <w:r w:rsidRPr="00FB5B94">
        <w:rPr>
          <w:szCs w:val="22"/>
          <w:lang w:eastAsia="en-US"/>
        </w:rPr>
        <w:t>2 alendronato tabletės ir 14 minkštųjų alfakalcidolio kapsulių</w:t>
      </w:r>
    </w:p>
    <w:p w:rsidR="00346FFF" w:rsidRPr="00FB5B94" w:rsidRDefault="00346FFF" w:rsidP="00346FFF">
      <w:pPr>
        <w:tabs>
          <w:tab w:val="left" w:pos="567"/>
        </w:tabs>
        <w:spacing w:line="260" w:lineRule="exact"/>
        <w:rPr>
          <w:szCs w:val="22"/>
          <w:lang w:eastAsia="en-US"/>
        </w:rPr>
      </w:pPr>
      <w:r w:rsidRPr="00FB5B94">
        <w:rPr>
          <w:szCs w:val="22"/>
          <w:lang w:eastAsia="en-US"/>
        </w:rPr>
        <w:t>4 alendronato tabletės ir 28 minkštosios alfakalcidolio kapsulės</w:t>
      </w:r>
    </w:p>
    <w:p w:rsidR="00346FFF" w:rsidRPr="00FB5B94" w:rsidRDefault="00346FFF" w:rsidP="00346FFF">
      <w:pPr>
        <w:tabs>
          <w:tab w:val="left" w:pos="567"/>
        </w:tabs>
        <w:spacing w:line="260" w:lineRule="exact"/>
        <w:rPr>
          <w:szCs w:val="22"/>
          <w:lang w:eastAsia="en-US"/>
        </w:rPr>
      </w:pPr>
      <w:r w:rsidRPr="00FB5B94">
        <w:rPr>
          <w:szCs w:val="22"/>
          <w:lang w:eastAsia="en-US"/>
        </w:rPr>
        <w:t>8 alendronato tabletės ir 56 minkštosios alfakalcidolio kapsulės</w:t>
      </w:r>
    </w:p>
    <w:p w:rsidR="00346FFF" w:rsidRPr="00FB5B94" w:rsidRDefault="00346FFF" w:rsidP="00346FFF">
      <w:pPr>
        <w:tabs>
          <w:tab w:val="left" w:pos="567"/>
        </w:tabs>
        <w:spacing w:line="260" w:lineRule="exact"/>
        <w:rPr>
          <w:szCs w:val="22"/>
          <w:lang w:eastAsia="en-US"/>
        </w:rPr>
      </w:pPr>
      <w:r w:rsidRPr="00FB5B94">
        <w:rPr>
          <w:szCs w:val="22"/>
          <w:lang w:eastAsia="en-US"/>
        </w:rPr>
        <w:t>12 alendronato tablečių ir 84 minkštosios alfakalcidolio kapsulės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Gali būti tiekiamos ne visų dydžių pakuotės.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b/>
          <w:bCs/>
          <w:szCs w:val="22"/>
          <w:lang w:eastAsia="en-US"/>
        </w:rPr>
        <w:t>Rinkodaros teisės turėtojas ir gamintojas</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i/>
          <w:szCs w:val="22"/>
          <w:lang w:eastAsia="en-US"/>
        </w:rPr>
      </w:pPr>
      <w:r w:rsidRPr="00FB5B94">
        <w:rPr>
          <w:i/>
          <w:szCs w:val="22"/>
          <w:lang w:eastAsia="en-US"/>
        </w:rPr>
        <w:t>Rinkodaros teisės turėtojas</w:t>
      </w:r>
    </w:p>
    <w:p w:rsidR="00346FFF" w:rsidRPr="00FB5B94" w:rsidRDefault="00346FFF" w:rsidP="00346FFF">
      <w:pPr>
        <w:tabs>
          <w:tab w:val="left" w:pos="567"/>
        </w:tabs>
        <w:spacing w:line="260" w:lineRule="exact"/>
        <w:rPr>
          <w:szCs w:val="22"/>
          <w:lang w:eastAsia="en-US"/>
        </w:rPr>
      </w:pPr>
      <w:r w:rsidRPr="00FB5B94">
        <w:rPr>
          <w:szCs w:val="22"/>
          <w:lang w:eastAsia="en-US"/>
        </w:rPr>
        <w:t>Teva Pharma B.V.</w:t>
      </w:r>
    </w:p>
    <w:p w:rsidR="00346FFF" w:rsidRPr="00FB5B94" w:rsidRDefault="00346FFF" w:rsidP="00346FFF">
      <w:pPr>
        <w:tabs>
          <w:tab w:val="left" w:pos="567"/>
        </w:tabs>
        <w:spacing w:line="260" w:lineRule="exact"/>
        <w:rPr>
          <w:szCs w:val="22"/>
          <w:lang w:eastAsia="en-US"/>
        </w:rPr>
      </w:pPr>
      <w:r w:rsidRPr="00FB5B94">
        <w:rPr>
          <w:szCs w:val="22"/>
          <w:lang w:eastAsia="en-US"/>
        </w:rPr>
        <w:t xml:space="preserve">Computerweg 10 </w:t>
      </w:r>
    </w:p>
    <w:p w:rsidR="00346FFF" w:rsidRPr="00FB5B94" w:rsidRDefault="00346FFF" w:rsidP="00346FFF">
      <w:pPr>
        <w:tabs>
          <w:tab w:val="left" w:pos="567"/>
        </w:tabs>
        <w:spacing w:line="260" w:lineRule="exact"/>
        <w:rPr>
          <w:szCs w:val="22"/>
          <w:lang w:eastAsia="en-US"/>
        </w:rPr>
      </w:pPr>
      <w:r w:rsidRPr="00FB5B94">
        <w:rPr>
          <w:szCs w:val="22"/>
          <w:lang w:eastAsia="en-US"/>
        </w:rPr>
        <w:t xml:space="preserve">3542 DR Utrecht </w:t>
      </w:r>
    </w:p>
    <w:p w:rsidR="00346FFF" w:rsidRPr="00FB5B94" w:rsidRDefault="00346FFF" w:rsidP="00346FFF">
      <w:pPr>
        <w:tabs>
          <w:tab w:val="left" w:pos="567"/>
        </w:tabs>
        <w:spacing w:line="260" w:lineRule="exact"/>
        <w:rPr>
          <w:szCs w:val="22"/>
          <w:lang w:eastAsia="en-US"/>
        </w:rPr>
      </w:pPr>
      <w:r w:rsidRPr="00FB5B94">
        <w:rPr>
          <w:szCs w:val="22"/>
          <w:lang w:eastAsia="en-US"/>
        </w:rPr>
        <w:t>Nyderlandai</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i/>
          <w:szCs w:val="22"/>
          <w:lang w:eastAsia="en-US"/>
        </w:rPr>
      </w:pPr>
      <w:r w:rsidRPr="00FB5B94">
        <w:rPr>
          <w:bCs/>
          <w:i/>
          <w:szCs w:val="22"/>
          <w:lang w:eastAsia="en-US"/>
        </w:rPr>
        <w:t>Gamintojas</w:t>
      </w:r>
    </w:p>
    <w:p w:rsidR="00346FFF" w:rsidRPr="00FB5B94" w:rsidRDefault="00346FFF" w:rsidP="00346FFF">
      <w:pPr>
        <w:pStyle w:val="Pagrindinistekstas"/>
        <w:spacing w:after="0"/>
        <w:rPr>
          <w:sz w:val="22"/>
          <w:szCs w:val="22"/>
        </w:rPr>
      </w:pPr>
      <w:r w:rsidRPr="00FB5B94">
        <w:rPr>
          <w:sz w:val="22"/>
          <w:szCs w:val="22"/>
        </w:rPr>
        <w:t>TEVA UK Ltd.</w:t>
      </w:r>
    </w:p>
    <w:p w:rsidR="00346FFF" w:rsidRPr="00FB5B94" w:rsidRDefault="00346FFF" w:rsidP="00346FFF">
      <w:pPr>
        <w:pStyle w:val="Pagrindinistekstas"/>
        <w:spacing w:after="0"/>
        <w:rPr>
          <w:sz w:val="22"/>
          <w:szCs w:val="22"/>
        </w:rPr>
      </w:pPr>
      <w:r w:rsidRPr="00FB5B94">
        <w:rPr>
          <w:sz w:val="22"/>
          <w:szCs w:val="22"/>
        </w:rPr>
        <w:t>Brampton Road, Hampden Park, Eastbourne</w:t>
      </w:r>
    </w:p>
    <w:p w:rsidR="00346FFF" w:rsidRPr="00FB5B94" w:rsidRDefault="00346FFF" w:rsidP="00346FFF">
      <w:pPr>
        <w:pStyle w:val="Pagrindinistekstas"/>
        <w:spacing w:after="0"/>
        <w:rPr>
          <w:sz w:val="22"/>
          <w:szCs w:val="22"/>
        </w:rPr>
      </w:pPr>
      <w:r w:rsidRPr="00FB5B94">
        <w:rPr>
          <w:sz w:val="22"/>
          <w:szCs w:val="22"/>
        </w:rPr>
        <w:t>East Sussex, BN 229 AG</w:t>
      </w:r>
    </w:p>
    <w:p w:rsidR="00346FFF" w:rsidRPr="00FB5B94" w:rsidRDefault="00346FFF" w:rsidP="00346FFF">
      <w:pPr>
        <w:pStyle w:val="Pagrindinistekstas"/>
        <w:spacing w:after="0"/>
        <w:rPr>
          <w:sz w:val="22"/>
          <w:szCs w:val="22"/>
        </w:rPr>
      </w:pPr>
      <w:r w:rsidRPr="00FB5B94">
        <w:rPr>
          <w:sz w:val="22"/>
          <w:szCs w:val="22"/>
        </w:rPr>
        <w:t>Jungtinė Karalystė</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r w:rsidRPr="00FB5B94">
        <w:rPr>
          <w:sz w:val="22"/>
          <w:szCs w:val="22"/>
        </w:rPr>
        <w:t>arba</w:t>
      </w:r>
    </w:p>
    <w:p w:rsidR="00346FFF" w:rsidRPr="00FB5B94" w:rsidRDefault="00346FFF" w:rsidP="00346FFF">
      <w:pPr>
        <w:pStyle w:val="Pagrindinistekstas"/>
        <w:spacing w:after="0"/>
        <w:rPr>
          <w:sz w:val="22"/>
          <w:szCs w:val="22"/>
        </w:rPr>
      </w:pPr>
    </w:p>
    <w:p w:rsidR="00346FFF" w:rsidRPr="00FB5B94" w:rsidRDefault="00346FFF" w:rsidP="00346FFF">
      <w:pPr>
        <w:pStyle w:val="Pagrindinistekstas"/>
        <w:spacing w:after="0"/>
        <w:rPr>
          <w:sz w:val="22"/>
          <w:szCs w:val="22"/>
        </w:rPr>
      </w:pPr>
      <w:r w:rsidRPr="00FB5B94">
        <w:rPr>
          <w:sz w:val="22"/>
          <w:szCs w:val="22"/>
        </w:rPr>
        <w:t>Pharmachemie B.V.</w:t>
      </w:r>
    </w:p>
    <w:p w:rsidR="00346FFF" w:rsidRPr="00FB5B94" w:rsidRDefault="00346FFF" w:rsidP="00346FFF">
      <w:pPr>
        <w:pStyle w:val="Pagrindinistekstas"/>
        <w:spacing w:after="0"/>
        <w:rPr>
          <w:sz w:val="22"/>
          <w:szCs w:val="22"/>
        </w:rPr>
      </w:pPr>
      <w:r w:rsidRPr="00FB5B94">
        <w:rPr>
          <w:sz w:val="22"/>
          <w:szCs w:val="22"/>
        </w:rPr>
        <w:t>Swensweg 5</w:t>
      </w:r>
    </w:p>
    <w:p w:rsidR="00346FFF" w:rsidRPr="00FB5B94" w:rsidRDefault="00346FFF" w:rsidP="00346FFF">
      <w:pPr>
        <w:pStyle w:val="Pagrindinistekstas"/>
        <w:spacing w:after="0"/>
        <w:rPr>
          <w:sz w:val="22"/>
          <w:szCs w:val="22"/>
        </w:rPr>
      </w:pPr>
      <w:r w:rsidRPr="00FB5B94">
        <w:rPr>
          <w:sz w:val="22"/>
          <w:szCs w:val="22"/>
        </w:rPr>
        <w:t>2031 GA Haarlem</w:t>
      </w:r>
    </w:p>
    <w:p w:rsidR="00346FFF" w:rsidRPr="00FB5B94" w:rsidRDefault="00346FFF" w:rsidP="00346FFF">
      <w:pPr>
        <w:pStyle w:val="Pagrindinistekstas"/>
        <w:spacing w:after="0"/>
        <w:rPr>
          <w:sz w:val="22"/>
          <w:szCs w:val="22"/>
        </w:rPr>
      </w:pPr>
      <w:r w:rsidRPr="00FB5B94">
        <w:rPr>
          <w:sz w:val="22"/>
          <w:szCs w:val="22"/>
        </w:rPr>
        <w:t>Nyderlandai</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ind w:left="567" w:hanging="567"/>
        <w:rPr>
          <w:b/>
          <w:noProof/>
          <w:szCs w:val="22"/>
        </w:rPr>
      </w:pPr>
      <w:r w:rsidRPr="00FB5B94">
        <w:rPr>
          <w:b/>
          <w:noProof/>
          <w:szCs w:val="22"/>
        </w:rPr>
        <w:t>Šis vaistinis preparatas EEE šalyse narėse yra registruotas tokiais pavadinimais:</w:t>
      </w:r>
    </w:p>
    <w:tbl>
      <w:tblPr>
        <w:tblW w:w="0" w:type="auto"/>
        <w:tblInd w:w="101" w:type="dxa"/>
        <w:tblLayout w:type="fixed"/>
        <w:tblCellMar>
          <w:left w:w="0" w:type="dxa"/>
          <w:right w:w="0" w:type="dxa"/>
        </w:tblCellMar>
        <w:tblLook w:val="01E0" w:firstRow="1" w:lastRow="1" w:firstColumn="1" w:lastColumn="1" w:noHBand="0" w:noVBand="0"/>
      </w:tblPr>
      <w:tblGrid>
        <w:gridCol w:w="2314"/>
        <w:gridCol w:w="6095"/>
      </w:tblGrid>
      <w:tr w:rsidR="00346FFF" w:rsidRPr="00FB5B94" w:rsidTr="00FA782E">
        <w:trPr>
          <w:trHeight w:hRule="exact" w:val="392"/>
        </w:trPr>
        <w:tc>
          <w:tcPr>
            <w:tcW w:w="2314"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4" w:lineRule="exact"/>
              <w:ind w:left="102" w:right="-20"/>
              <w:rPr>
                <w:szCs w:val="22"/>
              </w:rPr>
            </w:pPr>
            <w:r w:rsidRPr="00FB5B94">
              <w:rPr>
                <w:bCs/>
                <w:spacing w:val="-1"/>
                <w:szCs w:val="22"/>
              </w:rPr>
              <w:t>Vokietija</w:t>
            </w:r>
          </w:p>
        </w:tc>
        <w:tc>
          <w:tcPr>
            <w:tcW w:w="6095"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2" w:lineRule="exact"/>
              <w:ind w:left="102" w:right="-20"/>
              <w:rPr>
                <w:szCs w:val="22"/>
              </w:rPr>
            </w:pPr>
            <w:r w:rsidRPr="00FB5B94">
              <w:rPr>
                <w:szCs w:val="22"/>
              </w:rPr>
              <w:t>Tevabon</w:t>
            </w:r>
            <w:r w:rsidRPr="00FB5B94">
              <w:rPr>
                <w:spacing w:val="-8"/>
                <w:szCs w:val="22"/>
              </w:rPr>
              <w:t xml:space="preserve"> </w:t>
            </w:r>
            <w:r w:rsidRPr="00FB5B94">
              <w:rPr>
                <w:szCs w:val="22"/>
              </w:rPr>
              <w:t>70 mg</w:t>
            </w:r>
            <w:r w:rsidRPr="00FB5B94">
              <w:rPr>
                <w:spacing w:val="-3"/>
                <w:szCs w:val="22"/>
              </w:rPr>
              <w:t xml:space="preserve"> </w:t>
            </w:r>
            <w:r w:rsidRPr="00FB5B94">
              <w:rPr>
                <w:szCs w:val="22"/>
              </w:rPr>
              <w:t>Tablettenund 1 MikrogrammWeichkapseln</w:t>
            </w:r>
          </w:p>
        </w:tc>
      </w:tr>
      <w:tr w:rsidR="00346FFF" w:rsidRPr="00FB5B94" w:rsidTr="00FA782E">
        <w:trPr>
          <w:trHeight w:hRule="exact" w:val="425"/>
        </w:trPr>
        <w:tc>
          <w:tcPr>
            <w:tcW w:w="2314"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4" w:lineRule="exact"/>
              <w:ind w:left="102" w:right="-20"/>
              <w:rPr>
                <w:szCs w:val="22"/>
              </w:rPr>
            </w:pPr>
            <w:r w:rsidRPr="00FB5B94">
              <w:rPr>
                <w:bCs/>
                <w:szCs w:val="22"/>
              </w:rPr>
              <w:t>Bulgarija</w:t>
            </w:r>
          </w:p>
        </w:tc>
        <w:tc>
          <w:tcPr>
            <w:tcW w:w="6095"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2" w:lineRule="exact"/>
              <w:ind w:left="102" w:right="-20"/>
              <w:rPr>
                <w:szCs w:val="22"/>
              </w:rPr>
            </w:pPr>
            <w:r w:rsidRPr="00FB5B94">
              <w:rPr>
                <w:szCs w:val="22"/>
              </w:rPr>
              <w:t>Tevabone</w:t>
            </w:r>
          </w:p>
        </w:tc>
      </w:tr>
      <w:tr w:rsidR="00346FFF" w:rsidRPr="00FB5B94" w:rsidTr="00FA782E">
        <w:trPr>
          <w:trHeight w:hRule="exact" w:val="431"/>
        </w:trPr>
        <w:tc>
          <w:tcPr>
            <w:tcW w:w="2314"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4" w:lineRule="exact"/>
              <w:ind w:left="102" w:right="-20"/>
              <w:rPr>
                <w:szCs w:val="22"/>
              </w:rPr>
            </w:pPr>
            <w:r w:rsidRPr="00FB5B94">
              <w:rPr>
                <w:bCs/>
                <w:spacing w:val="1"/>
                <w:szCs w:val="22"/>
              </w:rPr>
              <w:t>Čekija</w:t>
            </w:r>
          </w:p>
        </w:tc>
        <w:tc>
          <w:tcPr>
            <w:tcW w:w="6095"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2" w:lineRule="exact"/>
              <w:ind w:left="102" w:right="-20"/>
              <w:rPr>
                <w:szCs w:val="22"/>
              </w:rPr>
            </w:pPr>
            <w:r w:rsidRPr="00FB5B94">
              <w:rPr>
                <w:szCs w:val="22"/>
              </w:rPr>
              <w:t>Tevabone</w:t>
            </w:r>
            <w:r w:rsidRPr="00FB5B94">
              <w:rPr>
                <w:spacing w:val="-9"/>
                <w:szCs w:val="22"/>
              </w:rPr>
              <w:t xml:space="preserve"> </w:t>
            </w:r>
            <w:r w:rsidRPr="00FB5B94">
              <w:rPr>
                <w:szCs w:val="22"/>
              </w:rPr>
              <w:t>70 </w:t>
            </w:r>
            <w:r w:rsidRPr="00FB5B94">
              <w:rPr>
                <w:spacing w:val="-2"/>
                <w:szCs w:val="22"/>
              </w:rPr>
              <w:t>m</w:t>
            </w:r>
            <w:r w:rsidRPr="00FB5B94">
              <w:rPr>
                <w:szCs w:val="22"/>
              </w:rPr>
              <w:t>g</w:t>
            </w:r>
            <w:r w:rsidRPr="00FB5B94">
              <w:rPr>
                <w:spacing w:val="-2"/>
                <w:szCs w:val="22"/>
              </w:rPr>
              <w:t xml:space="preserve"> </w:t>
            </w:r>
            <w:r w:rsidRPr="00FB5B94">
              <w:rPr>
                <w:szCs w:val="22"/>
              </w:rPr>
              <w:t>tablety</w:t>
            </w:r>
            <w:r w:rsidRPr="00FB5B94">
              <w:rPr>
                <w:spacing w:val="-7"/>
                <w:szCs w:val="22"/>
              </w:rPr>
              <w:t xml:space="preserve"> </w:t>
            </w:r>
            <w:r w:rsidRPr="00FB5B94">
              <w:rPr>
                <w:szCs w:val="22"/>
              </w:rPr>
              <w:t>a</w:t>
            </w:r>
            <w:r w:rsidRPr="00FB5B94">
              <w:rPr>
                <w:spacing w:val="-1"/>
                <w:szCs w:val="22"/>
              </w:rPr>
              <w:t xml:space="preserve"> </w:t>
            </w:r>
            <w:r w:rsidRPr="00FB5B94">
              <w:rPr>
                <w:szCs w:val="22"/>
              </w:rPr>
              <w:t>1 mg</w:t>
            </w:r>
            <w:r w:rsidRPr="00FB5B94">
              <w:rPr>
                <w:spacing w:val="-2"/>
                <w:szCs w:val="22"/>
              </w:rPr>
              <w:t xml:space="preserve"> m</w:t>
            </w:r>
            <w:r w:rsidRPr="00FB5B94">
              <w:rPr>
                <w:szCs w:val="22"/>
              </w:rPr>
              <w:t>ěkké</w:t>
            </w:r>
            <w:r w:rsidRPr="00FB5B94">
              <w:rPr>
                <w:spacing w:val="-5"/>
                <w:szCs w:val="22"/>
              </w:rPr>
              <w:t xml:space="preserve"> </w:t>
            </w:r>
            <w:r w:rsidRPr="00FB5B94">
              <w:rPr>
                <w:szCs w:val="22"/>
              </w:rPr>
              <w:t>tobolky</w:t>
            </w:r>
          </w:p>
        </w:tc>
      </w:tr>
      <w:tr w:rsidR="00346FFF" w:rsidRPr="00FB5B94" w:rsidTr="00FA782E">
        <w:trPr>
          <w:trHeight w:hRule="exact" w:val="423"/>
        </w:trPr>
        <w:tc>
          <w:tcPr>
            <w:tcW w:w="2314"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4" w:lineRule="exact"/>
              <w:ind w:left="102" w:right="-20"/>
              <w:rPr>
                <w:szCs w:val="22"/>
              </w:rPr>
            </w:pPr>
            <w:r w:rsidRPr="00FB5B94">
              <w:rPr>
                <w:bCs/>
                <w:szCs w:val="22"/>
              </w:rPr>
              <w:t>Graikija</w:t>
            </w:r>
          </w:p>
        </w:tc>
        <w:tc>
          <w:tcPr>
            <w:tcW w:w="6095"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2" w:lineRule="exact"/>
              <w:ind w:left="102" w:right="-20"/>
              <w:rPr>
                <w:szCs w:val="22"/>
              </w:rPr>
            </w:pPr>
            <w:r w:rsidRPr="00FB5B94">
              <w:rPr>
                <w:szCs w:val="22"/>
              </w:rPr>
              <w:t>Tevabone</w:t>
            </w:r>
          </w:p>
        </w:tc>
      </w:tr>
      <w:tr w:rsidR="00346FFF" w:rsidRPr="00FB5B94" w:rsidTr="00FA782E">
        <w:trPr>
          <w:trHeight w:hRule="exact" w:val="430"/>
        </w:trPr>
        <w:tc>
          <w:tcPr>
            <w:tcW w:w="2314"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4" w:lineRule="exact"/>
              <w:ind w:left="102" w:right="-20"/>
              <w:rPr>
                <w:bCs/>
                <w:szCs w:val="22"/>
              </w:rPr>
            </w:pPr>
            <w:r w:rsidRPr="00FB5B94">
              <w:rPr>
                <w:bCs/>
                <w:szCs w:val="22"/>
              </w:rPr>
              <w:t>Latvija</w:t>
            </w:r>
          </w:p>
        </w:tc>
        <w:tc>
          <w:tcPr>
            <w:tcW w:w="6095"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2" w:lineRule="exact"/>
              <w:ind w:left="102" w:right="-20"/>
              <w:rPr>
                <w:szCs w:val="22"/>
              </w:rPr>
            </w:pPr>
            <w:r w:rsidRPr="00FB5B94">
              <w:rPr>
                <w:szCs w:val="22"/>
              </w:rPr>
              <w:t>Teboneva</w:t>
            </w:r>
          </w:p>
        </w:tc>
      </w:tr>
      <w:tr w:rsidR="00346FFF" w:rsidRPr="00FB5B94" w:rsidTr="00FA782E">
        <w:trPr>
          <w:trHeight w:hRule="exact" w:val="421"/>
        </w:trPr>
        <w:tc>
          <w:tcPr>
            <w:tcW w:w="2314"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4" w:lineRule="exact"/>
              <w:ind w:left="102" w:right="-20"/>
              <w:rPr>
                <w:szCs w:val="22"/>
              </w:rPr>
            </w:pPr>
            <w:r w:rsidRPr="00FB5B94">
              <w:rPr>
                <w:bCs/>
                <w:szCs w:val="22"/>
              </w:rPr>
              <w:t>Italija</w:t>
            </w:r>
          </w:p>
        </w:tc>
        <w:tc>
          <w:tcPr>
            <w:tcW w:w="6095" w:type="dxa"/>
            <w:tcBorders>
              <w:top w:val="single" w:sz="4" w:space="0" w:color="000000"/>
              <w:left w:val="single" w:sz="4" w:space="0" w:color="000000"/>
              <w:bottom w:val="single" w:sz="4" w:space="0" w:color="000000"/>
              <w:right w:val="single" w:sz="4" w:space="0" w:color="000000"/>
            </w:tcBorders>
          </w:tcPr>
          <w:p w:rsidR="00346FFF" w:rsidRPr="00FB5B94" w:rsidRDefault="00346FFF" w:rsidP="00FA782E">
            <w:pPr>
              <w:spacing w:line="272" w:lineRule="exact"/>
              <w:ind w:left="102" w:right="-20"/>
              <w:rPr>
                <w:szCs w:val="22"/>
              </w:rPr>
            </w:pPr>
            <w:r w:rsidRPr="00FB5B94">
              <w:rPr>
                <w:szCs w:val="22"/>
              </w:rPr>
              <w:t>Tevabone</w:t>
            </w:r>
          </w:p>
        </w:tc>
      </w:tr>
    </w:tbl>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szCs w:val="22"/>
          <w:lang w:eastAsia="en-US"/>
        </w:rPr>
        <w:t>Jeigu apie šį vaistą norite sužinoti daugiau, kreipkitės į vietinį rinkodaros teisės turėtojo atstovą:</w:t>
      </w:r>
    </w:p>
    <w:p w:rsidR="00346FFF" w:rsidRPr="00FB5B94" w:rsidRDefault="00346FFF" w:rsidP="00346FFF">
      <w:pPr>
        <w:tabs>
          <w:tab w:val="left" w:pos="567"/>
        </w:tabs>
        <w:spacing w:line="260" w:lineRule="exact"/>
        <w:rPr>
          <w:szCs w:val="22"/>
          <w:lang w:eastAsia="en-US"/>
        </w:rPr>
      </w:pPr>
      <w:r w:rsidRPr="00FB5B94">
        <w:rPr>
          <w:szCs w:val="22"/>
          <w:lang w:eastAsia="en-US"/>
        </w:rPr>
        <w:t>UAB „Sicor Biotech“</w:t>
      </w:r>
    </w:p>
    <w:p w:rsidR="00346FFF" w:rsidRPr="00FB5B94" w:rsidRDefault="00346FFF" w:rsidP="00346FFF">
      <w:pPr>
        <w:tabs>
          <w:tab w:val="left" w:pos="567"/>
        </w:tabs>
        <w:spacing w:line="260" w:lineRule="exact"/>
        <w:rPr>
          <w:szCs w:val="22"/>
          <w:lang w:eastAsia="en-US"/>
        </w:rPr>
      </w:pPr>
      <w:r w:rsidRPr="00FB5B94">
        <w:rPr>
          <w:szCs w:val="22"/>
          <w:lang w:eastAsia="en-US"/>
        </w:rPr>
        <w:t>V.A. Graičiūno g. 8</w:t>
      </w:r>
    </w:p>
    <w:p w:rsidR="00346FFF" w:rsidRPr="00FB5B94" w:rsidRDefault="00346FFF" w:rsidP="00346FFF">
      <w:pPr>
        <w:tabs>
          <w:tab w:val="left" w:pos="567"/>
        </w:tabs>
        <w:spacing w:line="260" w:lineRule="exact"/>
        <w:rPr>
          <w:szCs w:val="22"/>
          <w:lang w:eastAsia="en-US"/>
        </w:rPr>
      </w:pPr>
      <w:r w:rsidRPr="00FB5B94">
        <w:rPr>
          <w:szCs w:val="22"/>
          <w:lang w:eastAsia="en-US"/>
        </w:rPr>
        <w:t>LT-02241 Vilnius</w:t>
      </w:r>
    </w:p>
    <w:p w:rsidR="00346FFF" w:rsidRPr="00FB5B94" w:rsidRDefault="00346FFF" w:rsidP="00346FFF">
      <w:pPr>
        <w:tabs>
          <w:tab w:val="left" w:pos="567"/>
        </w:tabs>
        <w:spacing w:line="260" w:lineRule="exact"/>
        <w:rPr>
          <w:szCs w:val="22"/>
          <w:lang w:eastAsia="en-US"/>
        </w:rPr>
      </w:pPr>
      <w:r w:rsidRPr="00FB5B94">
        <w:rPr>
          <w:szCs w:val="22"/>
          <w:lang w:eastAsia="en-US"/>
        </w:rPr>
        <w:t>Tel.: +370 5 266 02 03</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r w:rsidRPr="00FB5B94">
        <w:rPr>
          <w:b/>
          <w:szCs w:val="22"/>
          <w:lang w:eastAsia="en-US"/>
        </w:rPr>
        <w:t xml:space="preserve">Šis pakuotės lapelis paskutinį kartą patvirtintas </w:t>
      </w:r>
      <w:r w:rsidR="008F38B4" w:rsidRPr="00FB5B94">
        <w:rPr>
          <w:b/>
          <w:szCs w:val="22"/>
          <w:lang w:eastAsia="en-US"/>
        </w:rPr>
        <w:t>2014-10-10</w:t>
      </w:r>
    </w:p>
    <w:p w:rsidR="00346FFF" w:rsidRPr="00FB5B94" w:rsidRDefault="00346FFF" w:rsidP="00346FFF">
      <w:pPr>
        <w:tabs>
          <w:tab w:val="left" w:pos="567"/>
        </w:tabs>
        <w:spacing w:line="260" w:lineRule="exact"/>
        <w:rPr>
          <w:szCs w:val="22"/>
          <w:lang w:eastAsia="en-US"/>
        </w:rPr>
      </w:pPr>
    </w:p>
    <w:p w:rsidR="00346FFF" w:rsidRPr="00FB5B94" w:rsidRDefault="00346FFF" w:rsidP="00346FFF">
      <w:pPr>
        <w:tabs>
          <w:tab w:val="left" w:pos="567"/>
        </w:tabs>
        <w:spacing w:line="260" w:lineRule="exact"/>
        <w:rPr>
          <w:szCs w:val="22"/>
          <w:lang w:eastAsia="en-US"/>
        </w:rPr>
      </w:pPr>
    </w:p>
    <w:p w:rsidR="00142BFE" w:rsidRPr="00FB5B94" w:rsidRDefault="00346FFF" w:rsidP="00346FFF">
      <w:pPr>
        <w:tabs>
          <w:tab w:val="left" w:pos="567"/>
        </w:tabs>
        <w:spacing w:line="260" w:lineRule="exact"/>
        <w:rPr>
          <w:szCs w:val="22"/>
        </w:rPr>
      </w:pPr>
      <w:r w:rsidRPr="00FB5B94">
        <w:rPr>
          <w:szCs w:val="22"/>
          <w:lang w:eastAsia="en-US"/>
        </w:rPr>
        <w:t xml:space="preserve">Naujausia pakuotės lapelio redakcija pateikiama Valstybinės vaistų kontrolės tarnybos prie Lietuvos Respublikos sveikatos apsaugos ministerijos (VVKT) interneto svetainėje  </w:t>
      </w:r>
      <w:hyperlink r:id="rId9" w:history="1">
        <w:r w:rsidRPr="00FB5B94">
          <w:rPr>
            <w:color w:val="0000FF"/>
            <w:szCs w:val="22"/>
            <w:u w:val="single"/>
            <w:lang w:eastAsia="en-US"/>
          </w:rPr>
          <w:t>http://www.vvkt.lt/</w:t>
        </w:r>
      </w:hyperlink>
    </w:p>
    <w:p w:rsidR="007C4143" w:rsidRPr="00FB5B94" w:rsidRDefault="007C4143" w:rsidP="00346FFF">
      <w:pPr>
        <w:tabs>
          <w:tab w:val="left" w:pos="567"/>
        </w:tabs>
        <w:spacing w:line="260" w:lineRule="exact"/>
        <w:rPr>
          <w:szCs w:val="22"/>
          <w:lang w:eastAsia="en-US"/>
        </w:rPr>
      </w:pPr>
      <w:bookmarkStart w:id="12" w:name="_GoBack"/>
      <w:bookmarkEnd w:id="12"/>
      <w:permStart w:id="2073502431" w:edGrp="everyone"/>
      <w:permEnd w:id="2073502431"/>
    </w:p>
    <w:sectPr w:rsidR="007C4143" w:rsidRPr="00FB5B94" w:rsidSect="00FA782E">
      <w:footerReference w:type="even" r:id="rId10"/>
      <w:footerReference w:type="default" r:id="rId11"/>
      <w:pgSz w:w="11906" w:h="16838"/>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51" w:rsidRDefault="00636D51" w:rsidP="00C1027E">
      <w:r>
        <w:separator/>
      </w:r>
    </w:p>
  </w:endnote>
  <w:endnote w:type="continuationSeparator" w:id="0">
    <w:p w:rsidR="00636D51" w:rsidRDefault="00636D51" w:rsidP="00C1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2E" w:rsidRDefault="00C1027E">
    <w:pPr>
      <w:pStyle w:val="Porat"/>
      <w:framePr w:wrap="around" w:vAnchor="text" w:hAnchor="margin" w:xAlign="right" w:y="1"/>
      <w:rPr>
        <w:rStyle w:val="Puslapionumeris"/>
      </w:rPr>
    </w:pPr>
    <w:r>
      <w:rPr>
        <w:rStyle w:val="Puslapionumeris"/>
      </w:rPr>
      <w:fldChar w:fldCharType="begin"/>
    </w:r>
    <w:r w:rsidR="006E62FD">
      <w:rPr>
        <w:rStyle w:val="Puslapionumeris"/>
      </w:rPr>
      <w:instrText xml:space="preserve">PAGE  </w:instrText>
    </w:r>
    <w:r>
      <w:rPr>
        <w:rStyle w:val="Puslapionumeris"/>
      </w:rPr>
      <w:fldChar w:fldCharType="separate"/>
    </w:r>
    <w:r w:rsidR="006E62FD">
      <w:rPr>
        <w:rStyle w:val="Puslapionumeris"/>
        <w:noProof/>
      </w:rPr>
      <w:t>32</w:t>
    </w:r>
    <w:r>
      <w:rPr>
        <w:rStyle w:val="Puslapionumeris"/>
      </w:rPr>
      <w:fldChar w:fldCharType="end"/>
    </w:r>
  </w:p>
  <w:p w:rsidR="00FA782E" w:rsidRDefault="00FA782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2E" w:rsidRDefault="00C1027E">
    <w:pPr>
      <w:pStyle w:val="Porat"/>
      <w:framePr w:wrap="around" w:vAnchor="text" w:hAnchor="margin" w:xAlign="right" w:y="1"/>
      <w:rPr>
        <w:rStyle w:val="Puslapionumeris"/>
      </w:rPr>
    </w:pPr>
    <w:r>
      <w:rPr>
        <w:rStyle w:val="Puslapionumeris"/>
      </w:rPr>
      <w:fldChar w:fldCharType="begin"/>
    </w:r>
    <w:r w:rsidR="006E62FD">
      <w:rPr>
        <w:rStyle w:val="Puslapionumeris"/>
      </w:rPr>
      <w:instrText xml:space="preserve">PAGE  </w:instrText>
    </w:r>
    <w:r>
      <w:rPr>
        <w:rStyle w:val="Puslapionumeris"/>
      </w:rPr>
      <w:fldChar w:fldCharType="separate"/>
    </w:r>
    <w:r w:rsidR="007659B3">
      <w:rPr>
        <w:rStyle w:val="Puslapionumeris"/>
        <w:noProof/>
      </w:rPr>
      <w:t>31</w:t>
    </w:r>
    <w:r>
      <w:rPr>
        <w:rStyle w:val="Puslapionumeris"/>
      </w:rPr>
      <w:fldChar w:fldCharType="end"/>
    </w:r>
  </w:p>
  <w:p w:rsidR="00FA782E" w:rsidRDefault="00FA782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51" w:rsidRDefault="00636D51" w:rsidP="00C1027E">
      <w:r>
        <w:separator/>
      </w:r>
    </w:p>
  </w:footnote>
  <w:footnote w:type="continuationSeparator" w:id="0">
    <w:p w:rsidR="00636D51" w:rsidRDefault="00636D51" w:rsidP="00C10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0EF2"/>
    <w:multiLevelType w:val="hybridMultilevel"/>
    <w:tmpl w:val="26D64B34"/>
    <w:lvl w:ilvl="0" w:tplc="FFFFFFFF">
      <w:start w:val="1"/>
      <w:numFmt w:val="bullet"/>
      <w:lvlText w:val=""/>
      <w:legacy w:legacy="1" w:legacySpace="0" w:legacyIndent="283"/>
      <w:lvlJc w:val="left"/>
      <w:pPr>
        <w:ind w:left="1003" w:hanging="28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7D92207"/>
    <w:multiLevelType w:val="hybridMultilevel"/>
    <w:tmpl w:val="1E42527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9D41944"/>
    <w:multiLevelType w:val="hybridMultilevel"/>
    <w:tmpl w:val="1706B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A126228"/>
    <w:multiLevelType w:val="hybridMultilevel"/>
    <w:tmpl w:val="B8901B2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747A4B"/>
    <w:multiLevelType w:val="hybridMultilevel"/>
    <w:tmpl w:val="C666E17C"/>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F230B8C"/>
    <w:multiLevelType w:val="hybridMultilevel"/>
    <w:tmpl w:val="68C60E7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30F02CEA"/>
    <w:multiLevelType w:val="hybridMultilevel"/>
    <w:tmpl w:val="D7EE642E"/>
    <w:lvl w:ilvl="0" w:tplc="A67C6A44">
      <w:start w:val="1"/>
      <w:numFmt w:val="bullet"/>
      <w:lvlRestart w:val="0"/>
      <w:pStyle w:val="BT-EMEASMCA"/>
      <w:lvlText w:val="-"/>
      <w:lvlJc w:val="left"/>
      <w:pPr>
        <w:tabs>
          <w:tab w:val="num" w:pos="789"/>
        </w:tabs>
        <w:ind w:left="789"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ECC4869"/>
    <w:multiLevelType w:val="hybridMultilevel"/>
    <w:tmpl w:val="59324526"/>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B533C5"/>
    <w:multiLevelType w:val="singleLevel"/>
    <w:tmpl w:val="74A41D9A"/>
    <w:lvl w:ilvl="0">
      <w:start w:val="2"/>
      <w:numFmt w:val="bullet"/>
      <w:lvlText w:val="-"/>
      <w:lvlJc w:val="left"/>
      <w:pPr>
        <w:tabs>
          <w:tab w:val="num" w:pos="720"/>
        </w:tabs>
        <w:ind w:left="720" w:hanging="720"/>
      </w:pPr>
      <w:rPr>
        <w:rFonts w:hint="default"/>
      </w:rPr>
    </w:lvl>
  </w:abstractNum>
  <w:abstractNum w:abstractNumId="9">
    <w:nsid w:val="523A330D"/>
    <w:multiLevelType w:val="hybridMultilevel"/>
    <w:tmpl w:val="0C1CF5DA"/>
    <w:lvl w:ilvl="0" w:tplc="621C5E0C">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0">
    <w:nsid w:val="55DB08B3"/>
    <w:multiLevelType w:val="hybridMultilevel"/>
    <w:tmpl w:val="EE164E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7BB60CC"/>
    <w:multiLevelType w:val="hybridMultilevel"/>
    <w:tmpl w:val="80DAA6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57E6D0D"/>
    <w:multiLevelType w:val="hybridMultilevel"/>
    <w:tmpl w:val="1B6091C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68112C0C"/>
    <w:multiLevelType w:val="hybridMultilevel"/>
    <w:tmpl w:val="FC2CD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C4310BE"/>
    <w:multiLevelType w:val="hybridMultilevel"/>
    <w:tmpl w:val="F3BCFF1C"/>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E4C1E0B"/>
    <w:multiLevelType w:val="multilevel"/>
    <w:tmpl w:val="81FAC39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1"/>
  </w:num>
  <w:num w:numId="2">
    <w:abstractNumId w:val="4"/>
  </w:num>
  <w:num w:numId="3">
    <w:abstractNumId w:val="14"/>
  </w:num>
  <w:num w:numId="4">
    <w:abstractNumId w:val="10"/>
  </w:num>
  <w:num w:numId="5">
    <w:abstractNumId w:val="13"/>
  </w:num>
  <w:num w:numId="6">
    <w:abstractNumId w:val="2"/>
  </w:num>
  <w:num w:numId="7">
    <w:abstractNumId w:val="8"/>
  </w:num>
  <w:num w:numId="8">
    <w:abstractNumId w:val="0"/>
  </w:num>
  <w:num w:numId="9">
    <w:abstractNumId w:val="7"/>
  </w:num>
  <w:num w:numId="10">
    <w:abstractNumId w:val="3"/>
  </w:num>
  <w:num w:numId="11">
    <w:abstractNumId w:val="6"/>
  </w:num>
  <w:num w:numId="12">
    <w:abstractNumId w:val="15"/>
  </w:num>
  <w:num w:numId="13">
    <w:abstractNumId w:val="5"/>
  </w:num>
  <w:num w:numId="14">
    <w:abstractNumId w:val="9"/>
  </w:num>
  <w:num w:numId="15">
    <w:abstractNumId w:val="9"/>
    <w:lvlOverride w:ilvl="0">
      <w:startOverride w:val="1"/>
    </w:lvlOverride>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1Wm/DfneZmZuNcBqC6JKGk/ybE=" w:salt="Qyjqp/keiAbDShZIwQ4RJ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FF"/>
    <w:rsid w:val="00020DEA"/>
    <w:rsid w:val="00076269"/>
    <w:rsid w:val="000811F3"/>
    <w:rsid w:val="000C390C"/>
    <w:rsid w:val="00142BFE"/>
    <w:rsid w:val="001720A6"/>
    <w:rsid w:val="001A1ACB"/>
    <w:rsid w:val="00346FFF"/>
    <w:rsid w:val="003733E6"/>
    <w:rsid w:val="003F53D2"/>
    <w:rsid w:val="00421226"/>
    <w:rsid w:val="004A3E9E"/>
    <w:rsid w:val="00513AEF"/>
    <w:rsid w:val="005C40BF"/>
    <w:rsid w:val="005C4DF7"/>
    <w:rsid w:val="00601759"/>
    <w:rsid w:val="00605DA9"/>
    <w:rsid w:val="00615A6F"/>
    <w:rsid w:val="00636D51"/>
    <w:rsid w:val="00643627"/>
    <w:rsid w:val="00654B3F"/>
    <w:rsid w:val="0067410A"/>
    <w:rsid w:val="006756B1"/>
    <w:rsid w:val="00677A94"/>
    <w:rsid w:val="006E62FD"/>
    <w:rsid w:val="007512E1"/>
    <w:rsid w:val="007659B3"/>
    <w:rsid w:val="007A463C"/>
    <w:rsid w:val="007B2092"/>
    <w:rsid w:val="007C4143"/>
    <w:rsid w:val="008126FB"/>
    <w:rsid w:val="00836E96"/>
    <w:rsid w:val="008E007B"/>
    <w:rsid w:val="008F36F5"/>
    <w:rsid w:val="008F38B4"/>
    <w:rsid w:val="00914F1A"/>
    <w:rsid w:val="009B381A"/>
    <w:rsid w:val="00A25329"/>
    <w:rsid w:val="00A46AAF"/>
    <w:rsid w:val="00A77BBA"/>
    <w:rsid w:val="00AD59C5"/>
    <w:rsid w:val="00B541F6"/>
    <w:rsid w:val="00B6178E"/>
    <w:rsid w:val="00C1027E"/>
    <w:rsid w:val="00C27136"/>
    <w:rsid w:val="00C35F13"/>
    <w:rsid w:val="00C53EEA"/>
    <w:rsid w:val="00C96743"/>
    <w:rsid w:val="00CC1B36"/>
    <w:rsid w:val="00CC5D3C"/>
    <w:rsid w:val="00D36472"/>
    <w:rsid w:val="00E826DE"/>
    <w:rsid w:val="00EA6382"/>
    <w:rsid w:val="00F34CDC"/>
    <w:rsid w:val="00F47EC0"/>
    <w:rsid w:val="00FA782E"/>
    <w:rsid w:val="00FB5B94"/>
    <w:rsid w:val="00FB6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6FFF"/>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346FFF"/>
    <w:pPr>
      <w:keepNext/>
      <w:tabs>
        <w:tab w:val="left" w:pos="1800"/>
      </w:tabs>
      <w:ind w:firstLine="1080"/>
      <w:outlineLvl w:val="0"/>
    </w:pPr>
    <w:rPr>
      <w:b/>
      <w:sz w:val="20"/>
    </w:rPr>
  </w:style>
  <w:style w:type="paragraph" w:styleId="Antrat2">
    <w:name w:val="heading 2"/>
    <w:basedOn w:val="prastasis"/>
    <w:next w:val="prastasis"/>
    <w:link w:val="Antrat2Diagrama"/>
    <w:autoRedefine/>
    <w:uiPriority w:val="99"/>
    <w:qFormat/>
    <w:rsid w:val="00346FFF"/>
    <w:pPr>
      <w:keepNext/>
      <w:ind w:left="540" w:hanging="540"/>
      <w:outlineLvl w:val="1"/>
    </w:pPr>
    <w:rPr>
      <w:b/>
      <w:iCs/>
      <w:noProof/>
      <w:szCs w:val="22"/>
    </w:rPr>
  </w:style>
  <w:style w:type="paragraph" w:styleId="Antrat3">
    <w:name w:val="heading 3"/>
    <w:basedOn w:val="prastasis"/>
    <w:next w:val="prastasis"/>
    <w:link w:val="Antrat3Diagrama"/>
    <w:autoRedefine/>
    <w:uiPriority w:val="99"/>
    <w:qFormat/>
    <w:rsid w:val="00346FFF"/>
    <w:pPr>
      <w:keepNext/>
      <w:ind w:left="540" w:hanging="540"/>
      <w:outlineLvl w:val="2"/>
    </w:pPr>
    <w:rPr>
      <w:b/>
      <w:sz w:val="20"/>
    </w:rPr>
  </w:style>
  <w:style w:type="paragraph" w:styleId="Antrat5">
    <w:name w:val="heading 5"/>
    <w:basedOn w:val="prastasis"/>
    <w:next w:val="prastasis"/>
    <w:link w:val="Antrat5Diagrama"/>
    <w:uiPriority w:val="99"/>
    <w:qFormat/>
    <w:rsid w:val="00346FFF"/>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6FFF"/>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uiPriority w:val="99"/>
    <w:rsid w:val="00346FFF"/>
    <w:rPr>
      <w:rFonts w:ascii="Times New Roman" w:eastAsia="Times New Roman" w:hAnsi="Times New Roman" w:cs="Times New Roman"/>
      <w:b/>
      <w:iCs/>
      <w:noProof/>
      <w:lang w:eastAsia="lt-LT"/>
    </w:rPr>
  </w:style>
  <w:style w:type="character" w:customStyle="1" w:styleId="Antrat3Diagrama">
    <w:name w:val="Antraštė 3 Diagrama"/>
    <w:basedOn w:val="Numatytasispastraiposriftas"/>
    <w:link w:val="Antrat3"/>
    <w:uiPriority w:val="99"/>
    <w:rsid w:val="00346FFF"/>
    <w:rPr>
      <w:rFonts w:ascii="Times New Roman" w:eastAsia="Times New Roman" w:hAnsi="Times New Roman" w:cs="Times New Roman"/>
      <w:b/>
      <w:sz w:val="20"/>
      <w:szCs w:val="20"/>
      <w:lang w:eastAsia="lt-LT"/>
    </w:rPr>
  </w:style>
  <w:style w:type="character" w:customStyle="1" w:styleId="Antrat5Diagrama">
    <w:name w:val="Antraštė 5 Diagrama"/>
    <w:basedOn w:val="Numatytasispastraiposriftas"/>
    <w:link w:val="Antrat5"/>
    <w:uiPriority w:val="99"/>
    <w:rsid w:val="00346FFF"/>
    <w:rPr>
      <w:rFonts w:ascii="Times New Roman" w:eastAsia="Times New Roman" w:hAnsi="Times New Roman" w:cs="Times New Roman"/>
      <w:b/>
      <w:bCs/>
      <w:i/>
      <w:iCs/>
      <w:sz w:val="26"/>
      <w:szCs w:val="26"/>
      <w:lang w:eastAsia="lt-LT"/>
    </w:rPr>
  </w:style>
  <w:style w:type="paragraph" w:styleId="Pagrindinistekstas">
    <w:name w:val="Body Text"/>
    <w:basedOn w:val="prastasis"/>
    <w:link w:val="PagrindinistekstasDiagrama"/>
    <w:uiPriority w:val="99"/>
    <w:rsid w:val="00346FFF"/>
    <w:pPr>
      <w:spacing w:after="120"/>
    </w:pPr>
    <w:rPr>
      <w:sz w:val="20"/>
    </w:rPr>
  </w:style>
  <w:style w:type="character" w:customStyle="1" w:styleId="PagrindinistekstasDiagrama">
    <w:name w:val="Pagrindinis tekstas Diagrama"/>
    <w:basedOn w:val="Numatytasispastraiposriftas"/>
    <w:link w:val="Pagrindinistekstas"/>
    <w:uiPriority w:val="99"/>
    <w:rsid w:val="00346FFF"/>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346FFF"/>
    <w:pPr>
      <w:tabs>
        <w:tab w:val="center" w:pos="4153"/>
        <w:tab w:val="right" w:pos="8306"/>
      </w:tabs>
    </w:pPr>
    <w:rPr>
      <w:sz w:val="20"/>
    </w:rPr>
  </w:style>
  <w:style w:type="character" w:customStyle="1" w:styleId="PoratDiagrama">
    <w:name w:val="Poraštė Diagrama"/>
    <w:basedOn w:val="Numatytasispastraiposriftas"/>
    <w:link w:val="Porat"/>
    <w:uiPriority w:val="99"/>
    <w:rsid w:val="00346FFF"/>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346FFF"/>
    <w:rPr>
      <w:rFonts w:cs="Times New Roman"/>
    </w:rPr>
  </w:style>
  <w:style w:type="paragraph" w:styleId="Pavadinimas">
    <w:name w:val="Title"/>
    <w:basedOn w:val="prastasis"/>
    <w:link w:val="PavadinimasDiagrama"/>
    <w:autoRedefine/>
    <w:uiPriority w:val="99"/>
    <w:qFormat/>
    <w:rsid w:val="00CC5D3C"/>
    <w:pPr>
      <w:ind w:left="540" w:hanging="540"/>
      <w:outlineLvl w:val="0"/>
    </w:pPr>
    <w:rPr>
      <w:b/>
      <w:kern w:val="28"/>
      <w:szCs w:val="22"/>
    </w:rPr>
  </w:style>
  <w:style w:type="character" w:customStyle="1" w:styleId="PavadinimasDiagrama">
    <w:name w:val="Pavadinimas Diagrama"/>
    <w:basedOn w:val="Numatytasispastraiposriftas"/>
    <w:link w:val="Pavadinimas"/>
    <w:uiPriority w:val="99"/>
    <w:rsid w:val="00CC5D3C"/>
    <w:rPr>
      <w:b/>
      <w:kern w:val="28"/>
      <w:sz w:val="22"/>
      <w:szCs w:val="22"/>
      <w:lang w:val="lt-LT" w:eastAsia="lt-LT" w:bidi="ar-SA"/>
    </w:rPr>
  </w:style>
  <w:style w:type="character" w:styleId="Hipersaitas">
    <w:name w:val="Hyperlink"/>
    <w:basedOn w:val="Numatytasispastraiposriftas"/>
    <w:uiPriority w:val="99"/>
    <w:rsid w:val="00346FFF"/>
    <w:rPr>
      <w:rFonts w:cs="Times New Roman"/>
      <w:color w:val="0000FF"/>
      <w:u w:val="single"/>
    </w:rPr>
  </w:style>
  <w:style w:type="paragraph" w:customStyle="1" w:styleId="BTEMEASMCA">
    <w:name w:val="BT EMEA_SMCA"/>
    <w:basedOn w:val="prastasis"/>
    <w:link w:val="BTEMEASMCAChar"/>
    <w:autoRedefine/>
    <w:uiPriority w:val="99"/>
    <w:rsid w:val="00346FFF"/>
    <w:rPr>
      <w:rFonts w:eastAsia="Calibri"/>
      <w:noProof/>
      <w:sz w:val="20"/>
      <w:lang w:val="x-none" w:eastAsia="x-none"/>
    </w:rPr>
  </w:style>
  <w:style w:type="character" w:customStyle="1" w:styleId="BTEMEASMCAChar">
    <w:name w:val="BT EMEA_SMCA Char"/>
    <w:link w:val="BTEMEASMCA"/>
    <w:uiPriority w:val="99"/>
    <w:locked/>
    <w:rsid w:val="00346FFF"/>
    <w:rPr>
      <w:rFonts w:ascii="Times New Roman" w:eastAsia="Calibri" w:hAnsi="Times New Roman" w:cs="Times New Roman"/>
      <w:noProof/>
      <w:szCs w:val="20"/>
    </w:rPr>
  </w:style>
  <w:style w:type="paragraph" w:styleId="Pagrindinistekstas2">
    <w:name w:val="Body Text 2"/>
    <w:basedOn w:val="prastasis"/>
    <w:link w:val="Pagrindinistekstas2Diagrama"/>
    <w:uiPriority w:val="99"/>
    <w:rsid w:val="00346FFF"/>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346FFF"/>
    <w:rPr>
      <w:rFonts w:ascii="Times New Roman" w:eastAsia="Times New Roman" w:hAnsi="Times New Roman" w:cs="Times New Roman"/>
      <w:sz w:val="20"/>
      <w:szCs w:val="20"/>
      <w:lang w:eastAsia="lt-LT"/>
    </w:rPr>
  </w:style>
  <w:style w:type="paragraph" w:customStyle="1" w:styleId="TTEMEASMCA">
    <w:name w:val="TT EMEA_SMCA"/>
    <w:basedOn w:val="Antrat1"/>
    <w:link w:val="TTEMEASMCAChar"/>
    <w:autoRedefine/>
    <w:uiPriority w:val="99"/>
    <w:rsid w:val="00346FFF"/>
    <w:pPr>
      <w:keepNext w:val="0"/>
      <w:tabs>
        <w:tab w:val="left" w:pos="567"/>
      </w:tabs>
      <w:ind w:left="567" w:hanging="567"/>
      <w:jc w:val="center"/>
    </w:pPr>
    <w:rPr>
      <w:rFonts w:eastAsia="Calibri"/>
      <w:caps/>
      <w:lang w:val="x-none" w:eastAsia="x-none"/>
    </w:rPr>
  </w:style>
  <w:style w:type="character" w:customStyle="1" w:styleId="TTEMEASMCAChar">
    <w:name w:val="TT EMEA_SMCA Char"/>
    <w:link w:val="TTEMEASMCA"/>
    <w:uiPriority w:val="99"/>
    <w:locked/>
    <w:rsid w:val="00346FFF"/>
    <w:rPr>
      <w:rFonts w:ascii="Times New Roman" w:eastAsia="Calibri" w:hAnsi="Times New Roman" w:cs="Times New Roman"/>
      <w:b/>
      <w:caps/>
      <w:sz w:val="20"/>
      <w:szCs w:val="20"/>
    </w:rPr>
  </w:style>
  <w:style w:type="paragraph" w:customStyle="1" w:styleId="BTAnIIEMEASMCA">
    <w:name w:val="BT(AnII) EMEA_SMCA"/>
    <w:basedOn w:val="Debesliotekstas"/>
    <w:autoRedefine/>
    <w:uiPriority w:val="99"/>
    <w:rsid w:val="00346FFF"/>
    <w:pPr>
      <w:tabs>
        <w:tab w:val="left" w:pos="1701"/>
        <w:tab w:val="left" w:pos="1800"/>
      </w:tabs>
      <w:ind w:left="1800" w:hanging="720"/>
    </w:pPr>
    <w:rPr>
      <w:rFonts w:ascii="Times New Roman" w:hAnsi="Times New Roman"/>
      <w:b/>
      <w:sz w:val="22"/>
      <w:szCs w:val="22"/>
      <w:lang w:val="en-GB" w:eastAsia="en-US"/>
    </w:rPr>
  </w:style>
  <w:style w:type="paragraph" w:customStyle="1" w:styleId="PI-2EMEASMCA">
    <w:name w:val="PI-2 EMEA_SMCA"/>
    <w:basedOn w:val="Antrat3"/>
    <w:autoRedefine/>
    <w:uiPriority w:val="99"/>
    <w:rsid w:val="00346FFF"/>
    <w:pPr>
      <w:keepLines/>
      <w:tabs>
        <w:tab w:val="left" w:pos="567"/>
      </w:tabs>
      <w:ind w:left="567" w:hanging="567"/>
    </w:pPr>
    <w:rPr>
      <w:kern w:val="28"/>
      <w:szCs w:val="22"/>
      <w:lang w:eastAsia="en-US"/>
    </w:rPr>
  </w:style>
  <w:style w:type="paragraph" w:customStyle="1" w:styleId="PI-1EMEASMCA">
    <w:name w:val="PI-1 EMEA_SMCA"/>
    <w:basedOn w:val="Antrat2"/>
    <w:autoRedefine/>
    <w:uiPriority w:val="99"/>
    <w:rsid w:val="00346FFF"/>
    <w:pPr>
      <w:tabs>
        <w:tab w:val="left" w:pos="567"/>
      </w:tabs>
      <w:ind w:left="567" w:hanging="567"/>
    </w:pPr>
    <w:rPr>
      <w:lang w:eastAsia="en-US"/>
    </w:rPr>
  </w:style>
  <w:style w:type="paragraph" w:customStyle="1" w:styleId="PI-1labEMEASMCA">
    <w:name w:val="PI-1_lab EMEA_SMCA"/>
    <w:basedOn w:val="prastasis"/>
    <w:link w:val="PI-1labEMEASMCAChar"/>
    <w:autoRedefine/>
    <w:uiPriority w:val="99"/>
    <w:rsid w:val="00346FFF"/>
    <w:pPr>
      <w:pBdr>
        <w:top w:val="single" w:sz="4" w:space="1" w:color="auto"/>
        <w:left w:val="single" w:sz="4" w:space="4" w:color="auto"/>
        <w:bottom w:val="single" w:sz="4" w:space="1" w:color="auto"/>
        <w:right w:val="single" w:sz="4" w:space="4" w:color="auto"/>
      </w:pBdr>
      <w:tabs>
        <w:tab w:val="left" w:pos="540"/>
      </w:tabs>
      <w:ind w:left="540" w:hanging="540"/>
    </w:pPr>
    <w:rPr>
      <w:rFonts w:eastAsia="Calibri"/>
      <w:b/>
      <w:noProof/>
      <w:sz w:val="20"/>
      <w:lang w:val="x-none" w:eastAsia="x-none"/>
    </w:rPr>
  </w:style>
  <w:style w:type="character" w:customStyle="1" w:styleId="PI-1labEMEASMCAChar">
    <w:name w:val="PI-1_lab EMEA_SMCA Char"/>
    <w:link w:val="PI-1labEMEASMCA"/>
    <w:uiPriority w:val="99"/>
    <w:locked/>
    <w:rsid w:val="00346FFF"/>
    <w:rPr>
      <w:rFonts w:ascii="Times New Roman" w:eastAsia="Calibri" w:hAnsi="Times New Roman" w:cs="Times New Roman"/>
      <w:b/>
      <w:noProof/>
      <w:sz w:val="20"/>
      <w:szCs w:val="20"/>
    </w:rPr>
  </w:style>
  <w:style w:type="paragraph" w:customStyle="1" w:styleId="GRDTITRE">
    <w:name w:val="GRD TITRE"/>
    <w:basedOn w:val="prastasis"/>
    <w:uiPriority w:val="99"/>
    <w:rsid w:val="00346FFF"/>
    <w:pPr>
      <w:snapToGrid w:val="0"/>
      <w:spacing w:before="480" w:after="240"/>
      <w:jc w:val="both"/>
    </w:pPr>
    <w:rPr>
      <w:b/>
      <w:sz w:val="24"/>
      <w:lang w:val="fr-FR" w:eastAsia="fr-FR"/>
    </w:rPr>
  </w:style>
  <w:style w:type="paragraph" w:customStyle="1" w:styleId="BTbEMEASMCA">
    <w:name w:val="BT(b) EMEA_SMCA"/>
    <w:basedOn w:val="BTEMEASMCA"/>
    <w:autoRedefine/>
    <w:uiPriority w:val="99"/>
    <w:rsid w:val="00346FFF"/>
    <w:pPr>
      <w:tabs>
        <w:tab w:val="left" w:pos="1620"/>
      </w:tabs>
    </w:pPr>
    <w:rPr>
      <w:b/>
    </w:rPr>
  </w:style>
  <w:style w:type="paragraph" w:styleId="Antrats">
    <w:name w:val="header"/>
    <w:basedOn w:val="prastasis"/>
    <w:link w:val="AntratsDiagrama"/>
    <w:uiPriority w:val="99"/>
    <w:rsid w:val="00346FFF"/>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346FFF"/>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346FFF"/>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46FFF"/>
    <w:rPr>
      <w:rFonts w:ascii="Tahoma" w:eastAsia="Times New Roman" w:hAnsi="Tahoma" w:cs="Times New Roman"/>
      <w:sz w:val="16"/>
      <w:szCs w:val="16"/>
      <w:lang w:eastAsia="lt-LT"/>
    </w:rPr>
  </w:style>
  <w:style w:type="paragraph" w:customStyle="1" w:styleId="BT-EMEASMCA">
    <w:name w:val="BT- EMEA_SMCA"/>
    <w:basedOn w:val="BTEMEASMCA"/>
    <w:autoRedefine/>
    <w:uiPriority w:val="99"/>
    <w:rsid w:val="00346FFF"/>
    <w:pPr>
      <w:numPr>
        <w:numId w:val="11"/>
      </w:numPr>
      <w:tabs>
        <w:tab w:val="num" w:pos="426"/>
      </w:tabs>
      <w:ind w:left="426" w:hanging="426"/>
    </w:pPr>
  </w:style>
  <w:style w:type="table" w:styleId="Lentelstinklelis">
    <w:name w:val="Table Grid"/>
    <w:basedOn w:val="prastojilentel"/>
    <w:uiPriority w:val="99"/>
    <w:rsid w:val="0034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346FFF"/>
    <w:rPr>
      <w:rFonts w:ascii="Times New Roman" w:eastAsia="Times New Roman" w:hAnsi="Times New Roman"/>
      <w:sz w:val="22"/>
    </w:rPr>
  </w:style>
  <w:style w:type="paragraph" w:customStyle="1" w:styleId="Sraopastraipa1">
    <w:name w:val="Sąrašo pastraipa1"/>
    <w:basedOn w:val="prastasis"/>
    <w:uiPriority w:val="99"/>
    <w:qFormat/>
    <w:rsid w:val="00346FFF"/>
    <w:pPr>
      <w:ind w:left="720"/>
      <w:contextualSpacing/>
    </w:pPr>
  </w:style>
  <w:style w:type="character" w:styleId="Komentaronuoroda">
    <w:name w:val="annotation reference"/>
    <w:basedOn w:val="Numatytasispastraiposriftas"/>
    <w:uiPriority w:val="99"/>
    <w:semiHidden/>
    <w:rsid w:val="00346FFF"/>
    <w:rPr>
      <w:rFonts w:cs="Times New Roman"/>
      <w:sz w:val="16"/>
      <w:szCs w:val="16"/>
    </w:rPr>
  </w:style>
  <w:style w:type="paragraph" w:styleId="Komentarotekstas">
    <w:name w:val="annotation text"/>
    <w:basedOn w:val="prastasis"/>
    <w:link w:val="KomentarotekstasDiagrama"/>
    <w:uiPriority w:val="99"/>
    <w:semiHidden/>
    <w:rsid w:val="00346FFF"/>
    <w:rPr>
      <w:sz w:val="20"/>
    </w:rPr>
  </w:style>
  <w:style w:type="character" w:customStyle="1" w:styleId="KomentarotekstasDiagrama">
    <w:name w:val="Komentaro tekstas Diagrama"/>
    <w:basedOn w:val="Numatytasispastraiposriftas"/>
    <w:link w:val="Komentarotekstas"/>
    <w:uiPriority w:val="99"/>
    <w:semiHidden/>
    <w:rsid w:val="00346FF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346FFF"/>
    <w:rPr>
      <w:b/>
      <w:bCs/>
    </w:rPr>
  </w:style>
  <w:style w:type="character" w:customStyle="1" w:styleId="KomentarotemaDiagrama">
    <w:name w:val="Komentaro tema Diagrama"/>
    <w:basedOn w:val="KomentarotekstasDiagrama"/>
    <w:link w:val="Komentarotema"/>
    <w:uiPriority w:val="99"/>
    <w:semiHidden/>
    <w:rsid w:val="00346FFF"/>
    <w:rPr>
      <w:rFonts w:ascii="Times New Roman" w:eastAsia="Times New Roman" w:hAnsi="Times New Roman" w:cs="Times New Roman"/>
      <w:b/>
      <w:bCs/>
      <w:sz w:val="20"/>
      <w:szCs w:val="20"/>
      <w:lang w:eastAsia="lt-LT"/>
    </w:rPr>
  </w:style>
  <w:style w:type="paragraph" w:customStyle="1" w:styleId="BTbeEMEASMCA">
    <w:name w:val="BT(be) EMEA_SMCA"/>
    <w:basedOn w:val="BTEMEASMCA"/>
    <w:autoRedefine/>
    <w:uiPriority w:val="99"/>
    <w:rsid w:val="00346FFF"/>
    <w:pPr>
      <w:jc w:val="center"/>
    </w:pPr>
    <w:rPr>
      <w:b/>
      <w:lang w:eastAsia="en-US"/>
    </w:rPr>
  </w:style>
  <w:style w:type="paragraph" w:customStyle="1" w:styleId="BTgEMEASMCA">
    <w:name w:val="BT(g) EMEA_SMCA"/>
    <w:basedOn w:val="BTEMEASMCA"/>
    <w:link w:val="BTgEMEASMCAChar"/>
    <w:autoRedefine/>
    <w:uiPriority w:val="99"/>
    <w:rsid w:val="00346FFF"/>
    <w:rPr>
      <w:i/>
      <w:color w:val="008000"/>
      <w:lang w:eastAsia="en-US"/>
    </w:rPr>
  </w:style>
  <w:style w:type="character" w:customStyle="1" w:styleId="BTgEMEASMCAChar">
    <w:name w:val="BT(g) EMEA_SMCA Char"/>
    <w:basedOn w:val="BTEMEASMCAChar"/>
    <w:link w:val="BTgEMEASMCA"/>
    <w:uiPriority w:val="99"/>
    <w:locked/>
    <w:rsid w:val="00346FFF"/>
    <w:rPr>
      <w:rFonts w:ascii="Times New Roman" w:eastAsia="Calibri" w:hAnsi="Times New Roman" w:cs="Times New Roman"/>
      <w:i/>
      <w:noProof/>
      <w:color w:val="008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6FFF"/>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346FFF"/>
    <w:pPr>
      <w:keepNext/>
      <w:tabs>
        <w:tab w:val="left" w:pos="1800"/>
      </w:tabs>
      <w:ind w:firstLine="1080"/>
      <w:outlineLvl w:val="0"/>
    </w:pPr>
    <w:rPr>
      <w:b/>
      <w:sz w:val="20"/>
    </w:rPr>
  </w:style>
  <w:style w:type="paragraph" w:styleId="Antrat2">
    <w:name w:val="heading 2"/>
    <w:basedOn w:val="prastasis"/>
    <w:next w:val="prastasis"/>
    <w:link w:val="Antrat2Diagrama"/>
    <w:autoRedefine/>
    <w:uiPriority w:val="99"/>
    <w:qFormat/>
    <w:rsid w:val="00346FFF"/>
    <w:pPr>
      <w:keepNext/>
      <w:ind w:left="540" w:hanging="540"/>
      <w:outlineLvl w:val="1"/>
    </w:pPr>
    <w:rPr>
      <w:b/>
      <w:iCs/>
      <w:noProof/>
      <w:szCs w:val="22"/>
    </w:rPr>
  </w:style>
  <w:style w:type="paragraph" w:styleId="Antrat3">
    <w:name w:val="heading 3"/>
    <w:basedOn w:val="prastasis"/>
    <w:next w:val="prastasis"/>
    <w:link w:val="Antrat3Diagrama"/>
    <w:autoRedefine/>
    <w:uiPriority w:val="99"/>
    <w:qFormat/>
    <w:rsid w:val="00346FFF"/>
    <w:pPr>
      <w:keepNext/>
      <w:ind w:left="540" w:hanging="540"/>
      <w:outlineLvl w:val="2"/>
    </w:pPr>
    <w:rPr>
      <w:b/>
      <w:sz w:val="20"/>
    </w:rPr>
  </w:style>
  <w:style w:type="paragraph" w:styleId="Antrat5">
    <w:name w:val="heading 5"/>
    <w:basedOn w:val="prastasis"/>
    <w:next w:val="prastasis"/>
    <w:link w:val="Antrat5Diagrama"/>
    <w:uiPriority w:val="99"/>
    <w:qFormat/>
    <w:rsid w:val="00346FFF"/>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6FFF"/>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uiPriority w:val="99"/>
    <w:rsid w:val="00346FFF"/>
    <w:rPr>
      <w:rFonts w:ascii="Times New Roman" w:eastAsia="Times New Roman" w:hAnsi="Times New Roman" w:cs="Times New Roman"/>
      <w:b/>
      <w:iCs/>
      <w:noProof/>
      <w:lang w:eastAsia="lt-LT"/>
    </w:rPr>
  </w:style>
  <w:style w:type="character" w:customStyle="1" w:styleId="Antrat3Diagrama">
    <w:name w:val="Antraštė 3 Diagrama"/>
    <w:basedOn w:val="Numatytasispastraiposriftas"/>
    <w:link w:val="Antrat3"/>
    <w:uiPriority w:val="99"/>
    <w:rsid w:val="00346FFF"/>
    <w:rPr>
      <w:rFonts w:ascii="Times New Roman" w:eastAsia="Times New Roman" w:hAnsi="Times New Roman" w:cs="Times New Roman"/>
      <w:b/>
      <w:sz w:val="20"/>
      <w:szCs w:val="20"/>
      <w:lang w:eastAsia="lt-LT"/>
    </w:rPr>
  </w:style>
  <w:style w:type="character" w:customStyle="1" w:styleId="Antrat5Diagrama">
    <w:name w:val="Antraštė 5 Diagrama"/>
    <w:basedOn w:val="Numatytasispastraiposriftas"/>
    <w:link w:val="Antrat5"/>
    <w:uiPriority w:val="99"/>
    <w:rsid w:val="00346FFF"/>
    <w:rPr>
      <w:rFonts w:ascii="Times New Roman" w:eastAsia="Times New Roman" w:hAnsi="Times New Roman" w:cs="Times New Roman"/>
      <w:b/>
      <w:bCs/>
      <w:i/>
      <w:iCs/>
      <w:sz w:val="26"/>
      <w:szCs w:val="26"/>
      <w:lang w:eastAsia="lt-LT"/>
    </w:rPr>
  </w:style>
  <w:style w:type="paragraph" w:styleId="Pagrindinistekstas">
    <w:name w:val="Body Text"/>
    <w:basedOn w:val="prastasis"/>
    <w:link w:val="PagrindinistekstasDiagrama"/>
    <w:uiPriority w:val="99"/>
    <w:rsid w:val="00346FFF"/>
    <w:pPr>
      <w:spacing w:after="120"/>
    </w:pPr>
    <w:rPr>
      <w:sz w:val="20"/>
    </w:rPr>
  </w:style>
  <w:style w:type="character" w:customStyle="1" w:styleId="PagrindinistekstasDiagrama">
    <w:name w:val="Pagrindinis tekstas Diagrama"/>
    <w:basedOn w:val="Numatytasispastraiposriftas"/>
    <w:link w:val="Pagrindinistekstas"/>
    <w:uiPriority w:val="99"/>
    <w:rsid w:val="00346FFF"/>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346FFF"/>
    <w:pPr>
      <w:tabs>
        <w:tab w:val="center" w:pos="4153"/>
        <w:tab w:val="right" w:pos="8306"/>
      </w:tabs>
    </w:pPr>
    <w:rPr>
      <w:sz w:val="20"/>
    </w:rPr>
  </w:style>
  <w:style w:type="character" w:customStyle="1" w:styleId="PoratDiagrama">
    <w:name w:val="Poraštė Diagrama"/>
    <w:basedOn w:val="Numatytasispastraiposriftas"/>
    <w:link w:val="Porat"/>
    <w:uiPriority w:val="99"/>
    <w:rsid w:val="00346FFF"/>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346FFF"/>
    <w:rPr>
      <w:rFonts w:cs="Times New Roman"/>
    </w:rPr>
  </w:style>
  <w:style w:type="paragraph" w:styleId="Pavadinimas">
    <w:name w:val="Title"/>
    <w:basedOn w:val="prastasis"/>
    <w:link w:val="PavadinimasDiagrama"/>
    <w:autoRedefine/>
    <w:uiPriority w:val="99"/>
    <w:qFormat/>
    <w:rsid w:val="00CC5D3C"/>
    <w:pPr>
      <w:ind w:left="540" w:hanging="540"/>
      <w:outlineLvl w:val="0"/>
    </w:pPr>
    <w:rPr>
      <w:b/>
      <w:kern w:val="28"/>
      <w:szCs w:val="22"/>
    </w:rPr>
  </w:style>
  <w:style w:type="character" w:customStyle="1" w:styleId="PavadinimasDiagrama">
    <w:name w:val="Pavadinimas Diagrama"/>
    <w:basedOn w:val="Numatytasispastraiposriftas"/>
    <w:link w:val="Pavadinimas"/>
    <w:uiPriority w:val="99"/>
    <w:rsid w:val="00CC5D3C"/>
    <w:rPr>
      <w:b/>
      <w:kern w:val="28"/>
      <w:sz w:val="22"/>
      <w:szCs w:val="22"/>
      <w:lang w:val="lt-LT" w:eastAsia="lt-LT" w:bidi="ar-SA"/>
    </w:rPr>
  </w:style>
  <w:style w:type="character" w:styleId="Hipersaitas">
    <w:name w:val="Hyperlink"/>
    <w:basedOn w:val="Numatytasispastraiposriftas"/>
    <w:uiPriority w:val="99"/>
    <w:rsid w:val="00346FFF"/>
    <w:rPr>
      <w:rFonts w:cs="Times New Roman"/>
      <w:color w:val="0000FF"/>
      <w:u w:val="single"/>
    </w:rPr>
  </w:style>
  <w:style w:type="paragraph" w:customStyle="1" w:styleId="BTEMEASMCA">
    <w:name w:val="BT EMEA_SMCA"/>
    <w:basedOn w:val="prastasis"/>
    <w:link w:val="BTEMEASMCAChar"/>
    <w:autoRedefine/>
    <w:uiPriority w:val="99"/>
    <w:rsid w:val="00346FFF"/>
    <w:rPr>
      <w:rFonts w:eastAsia="Calibri"/>
      <w:noProof/>
      <w:sz w:val="20"/>
      <w:lang w:val="x-none" w:eastAsia="x-none"/>
    </w:rPr>
  </w:style>
  <w:style w:type="character" w:customStyle="1" w:styleId="BTEMEASMCAChar">
    <w:name w:val="BT EMEA_SMCA Char"/>
    <w:link w:val="BTEMEASMCA"/>
    <w:uiPriority w:val="99"/>
    <w:locked/>
    <w:rsid w:val="00346FFF"/>
    <w:rPr>
      <w:rFonts w:ascii="Times New Roman" w:eastAsia="Calibri" w:hAnsi="Times New Roman" w:cs="Times New Roman"/>
      <w:noProof/>
      <w:szCs w:val="20"/>
    </w:rPr>
  </w:style>
  <w:style w:type="paragraph" w:styleId="Pagrindinistekstas2">
    <w:name w:val="Body Text 2"/>
    <w:basedOn w:val="prastasis"/>
    <w:link w:val="Pagrindinistekstas2Diagrama"/>
    <w:uiPriority w:val="99"/>
    <w:rsid w:val="00346FFF"/>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346FFF"/>
    <w:rPr>
      <w:rFonts w:ascii="Times New Roman" w:eastAsia="Times New Roman" w:hAnsi="Times New Roman" w:cs="Times New Roman"/>
      <w:sz w:val="20"/>
      <w:szCs w:val="20"/>
      <w:lang w:eastAsia="lt-LT"/>
    </w:rPr>
  </w:style>
  <w:style w:type="paragraph" w:customStyle="1" w:styleId="TTEMEASMCA">
    <w:name w:val="TT EMEA_SMCA"/>
    <w:basedOn w:val="Antrat1"/>
    <w:link w:val="TTEMEASMCAChar"/>
    <w:autoRedefine/>
    <w:uiPriority w:val="99"/>
    <w:rsid w:val="00346FFF"/>
    <w:pPr>
      <w:keepNext w:val="0"/>
      <w:tabs>
        <w:tab w:val="left" w:pos="567"/>
      </w:tabs>
      <w:ind w:left="567" w:hanging="567"/>
      <w:jc w:val="center"/>
    </w:pPr>
    <w:rPr>
      <w:rFonts w:eastAsia="Calibri"/>
      <w:caps/>
      <w:lang w:val="x-none" w:eastAsia="x-none"/>
    </w:rPr>
  </w:style>
  <w:style w:type="character" w:customStyle="1" w:styleId="TTEMEASMCAChar">
    <w:name w:val="TT EMEA_SMCA Char"/>
    <w:link w:val="TTEMEASMCA"/>
    <w:uiPriority w:val="99"/>
    <w:locked/>
    <w:rsid w:val="00346FFF"/>
    <w:rPr>
      <w:rFonts w:ascii="Times New Roman" w:eastAsia="Calibri" w:hAnsi="Times New Roman" w:cs="Times New Roman"/>
      <w:b/>
      <w:caps/>
      <w:sz w:val="20"/>
      <w:szCs w:val="20"/>
    </w:rPr>
  </w:style>
  <w:style w:type="paragraph" w:customStyle="1" w:styleId="BTAnIIEMEASMCA">
    <w:name w:val="BT(AnII) EMEA_SMCA"/>
    <w:basedOn w:val="Debesliotekstas"/>
    <w:autoRedefine/>
    <w:uiPriority w:val="99"/>
    <w:rsid w:val="00346FFF"/>
    <w:pPr>
      <w:tabs>
        <w:tab w:val="left" w:pos="1701"/>
        <w:tab w:val="left" w:pos="1800"/>
      </w:tabs>
      <w:ind w:left="1800" w:hanging="720"/>
    </w:pPr>
    <w:rPr>
      <w:rFonts w:ascii="Times New Roman" w:hAnsi="Times New Roman"/>
      <w:b/>
      <w:sz w:val="22"/>
      <w:szCs w:val="22"/>
      <w:lang w:val="en-GB" w:eastAsia="en-US"/>
    </w:rPr>
  </w:style>
  <w:style w:type="paragraph" w:customStyle="1" w:styleId="PI-2EMEASMCA">
    <w:name w:val="PI-2 EMEA_SMCA"/>
    <w:basedOn w:val="Antrat3"/>
    <w:autoRedefine/>
    <w:uiPriority w:val="99"/>
    <w:rsid w:val="00346FFF"/>
    <w:pPr>
      <w:keepLines/>
      <w:tabs>
        <w:tab w:val="left" w:pos="567"/>
      </w:tabs>
      <w:ind w:left="567" w:hanging="567"/>
    </w:pPr>
    <w:rPr>
      <w:kern w:val="28"/>
      <w:szCs w:val="22"/>
      <w:lang w:eastAsia="en-US"/>
    </w:rPr>
  </w:style>
  <w:style w:type="paragraph" w:customStyle="1" w:styleId="PI-1EMEASMCA">
    <w:name w:val="PI-1 EMEA_SMCA"/>
    <w:basedOn w:val="Antrat2"/>
    <w:autoRedefine/>
    <w:uiPriority w:val="99"/>
    <w:rsid w:val="00346FFF"/>
    <w:pPr>
      <w:tabs>
        <w:tab w:val="left" w:pos="567"/>
      </w:tabs>
      <w:ind w:left="567" w:hanging="567"/>
    </w:pPr>
    <w:rPr>
      <w:lang w:eastAsia="en-US"/>
    </w:rPr>
  </w:style>
  <w:style w:type="paragraph" w:customStyle="1" w:styleId="PI-1labEMEASMCA">
    <w:name w:val="PI-1_lab EMEA_SMCA"/>
    <w:basedOn w:val="prastasis"/>
    <w:link w:val="PI-1labEMEASMCAChar"/>
    <w:autoRedefine/>
    <w:uiPriority w:val="99"/>
    <w:rsid w:val="00346FFF"/>
    <w:pPr>
      <w:pBdr>
        <w:top w:val="single" w:sz="4" w:space="1" w:color="auto"/>
        <w:left w:val="single" w:sz="4" w:space="4" w:color="auto"/>
        <w:bottom w:val="single" w:sz="4" w:space="1" w:color="auto"/>
        <w:right w:val="single" w:sz="4" w:space="4" w:color="auto"/>
      </w:pBdr>
      <w:tabs>
        <w:tab w:val="left" w:pos="540"/>
      </w:tabs>
      <w:ind w:left="540" w:hanging="540"/>
    </w:pPr>
    <w:rPr>
      <w:rFonts w:eastAsia="Calibri"/>
      <w:b/>
      <w:noProof/>
      <w:sz w:val="20"/>
      <w:lang w:val="x-none" w:eastAsia="x-none"/>
    </w:rPr>
  </w:style>
  <w:style w:type="character" w:customStyle="1" w:styleId="PI-1labEMEASMCAChar">
    <w:name w:val="PI-1_lab EMEA_SMCA Char"/>
    <w:link w:val="PI-1labEMEASMCA"/>
    <w:uiPriority w:val="99"/>
    <w:locked/>
    <w:rsid w:val="00346FFF"/>
    <w:rPr>
      <w:rFonts w:ascii="Times New Roman" w:eastAsia="Calibri" w:hAnsi="Times New Roman" w:cs="Times New Roman"/>
      <w:b/>
      <w:noProof/>
      <w:sz w:val="20"/>
      <w:szCs w:val="20"/>
    </w:rPr>
  </w:style>
  <w:style w:type="paragraph" w:customStyle="1" w:styleId="GRDTITRE">
    <w:name w:val="GRD TITRE"/>
    <w:basedOn w:val="prastasis"/>
    <w:uiPriority w:val="99"/>
    <w:rsid w:val="00346FFF"/>
    <w:pPr>
      <w:snapToGrid w:val="0"/>
      <w:spacing w:before="480" w:after="240"/>
      <w:jc w:val="both"/>
    </w:pPr>
    <w:rPr>
      <w:b/>
      <w:sz w:val="24"/>
      <w:lang w:val="fr-FR" w:eastAsia="fr-FR"/>
    </w:rPr>
  </w:style>
  <w:style w:type="paragraph" w:customStyle="1" w:styleId="BTbEMEASMCA">
    <w:name w:val="BT(b) EMEA_SMCA"/>
    <w:basedOn w:val="BTEMEASMCA"/>
    <w:autoRedefine/>
    <w:uiPriority w:val="99"/>
    <w:rsid w:val="00346FFF"/>
    <w:pPr>
      <w:tabs>
        <w:tab w:val="left" w:pos="1620"/>
      </w:tabs>
    </w:pPr>
    <w:rPr>
      <w:b/>
    </w:rPr>
  </w:style>
  <w:style w:type="paragraph" w:styleId="Antrats">
    <w:name w:val="header"/>
    <w:basedOn w:val="prastasis"/>
    <w:link w:val="AntratsDiagrama"/>
    <w:uiPriority w:val="99"/>
    <w:rsid w:val="00346FFF"/>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346FFF"/>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346FFF"/>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46FFF"/>
    <w:rPr>
      <w:rFonts w:ascii="Tahoma" w:eastAsia="Times New Roman" w:hAnsi="Tahoma" w:cs="Times New Roman"/>
      <w:sz w:val="16"/>
      <w:szCs w:val="16"/>
      <w:lang w:eastAsia="lt-LT"/>
    </w:rPr>
  </w:style>
  <w:style w:type="paragraph" w:customStyle="1" w:styleId="BT-EMEASMCA">
    <w:name w:val="BT- EMEA_SMCA"/>
    <w:basedOn w:val="BTEMEASMCA"/>
    <w:autoRedefine/>
    <w:uiPriority w:val="99"/>
    <w:rsid w:val="00346FFF"/>
    <w:pPr>
      <w:numPr>
        <w:numId w:val="11"/>
      </w:numPr>
      <w:tabs>
        <w:tab w:val="num" w:pos="426"/>
      </w:tabs>
      <w:ind w:left="426" w:hanging="426"/>
    </w:pPr>
  </w:style>
  <w:style w:type="table" w:styleId="Lentelstinklelis">
    <w:name w:val="Table Grid"/>
    <w:basedOn w:val="prastojilentel"/>
    <w:uiPriority w:val="99"/>
    <w:rsid w:val="0034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346FFF"/>
    <w:rPr>
      <w:rFonts w:ascii="Times New Roman" w:eastAsia="Times New Roman" w:hAnsi="Times New Roman"/>
      <w:sz w:val="22"/>
    </w:rPr>
  </w:style>
  <w:style w:type="paragraph" w:customStyle="1" w:styleId="Sraopastraipa1">
    <w:name w:val="Sąrašo pastraipa1"/>
    <w:basedOn w:val="prastasis"/>
    <w:uiPriority w:val="99"/>
    <w:qFormat/>
    <w:rsid w:val="00346FFF"/>
    <w:pPr>
      <w:ind w:left="720"/>
      <w:contextualSpacing/>
    </w:pPr>
  </w:style>
  <w:style w:type="character" w:styleId="Komentaronuoroda">
    <w:name w:val="annotation reference"/>
    <w:basedOn w:val="Numatytasispastraiposriftas"/>
    <w:uiPriority w:val="99"/>
    <w:semiHidden/>
    <w:rsid w:val="00346FFF"/>
    <w:rPr>
      <w:rFonts w:cs="Times New Roman"/>
      <w:sz w:val="16"/>
      <w:szCs w:val="16"/>
    </w:rPr>
  </w:style>
  <w:style w:type="paragraph" w:styleId="Komentarotekstas">
    <w:name w:val="annotation text"/>
    <w:basedOn w:val="prastasis"/>
    <w:link w:val="KomentarotekstasDiagrama"/>
    <w:uiPriority w:val="99"/>
    <w:semiHidden/>
    <w:rsid w:val="00346FFF"/>
    <w:rPr>
      <w:sz w:val="20"/>
    </w:rPr>
  </w:style>
  <w:style w:type="character" w:customStyle="1" w:styleId="KomentarotekstasDiagrama">
    <w:name w:val="Komentaro tekstas Diagrama"/>
    <w:basedOn w:val="Numatytasispastraiposriftas"/>
    <w:link w:val="Komentarotekstas"/>
    <w:uiPriority w:val="99"/>
    <w:semiHidden/>
    <w:rsid w:val="00346FF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346FFF"/>
    <w:rPr>
      <w:b/>
      <w:bCs/>
    </w:rPr>
  </w:style>
  <w:style w:type="character" w:customStyle="1" w:styleId="KomentarotemaDiagrama">
    <w:name w:val="Komentaro tema Diagrama"/>
    <w:basedOn w:val="KomentarotekstasDiagrama"/>
    <w:link w:val="Komentarotema"/>
    <w:uiPriority w:val="99"/>
    <w:semiHidden/>
    <w:rsid w:val="00346FFF"/>
    <w:rPr>
      <w:rFonts w:ascii="Times New Roman" w:eastAsia="Times New Roman" w:hAnsi="Times New Roman" w:cs="Times New Roman"/>
      <w:b/>
      <w:bCs/>
      <w:sz w:val="20"/>
      <w:szCs w:val="20"/>
      <w:lang w:eastAsia="lt-LT"/>
    </w:rPr>
  </w:style>
  <w:style w:type="paragraph" w:customStyle="1" w:styleId="BTbeEMEASMCA">
    <w:name w:val="BT(be) EMEA_SMCA"/>
    <w:basedOn w:val="BTEMEASMCA"/>
    <w:autoRedefine/>
    <w:uiPriority w:val="99"/>
    <w:rsid w:val="00346FFF"/>
    <w:pPr>
      <w:jc w:val="center"/>
    </w:pPr>
    <w:rPr>
      <w:b/>
      <w:lang w:eastAsia="en-US"/>
    </w:rPr>
  </w:style>
  <w:style w:type="paragraph" w:customStyle="1" w:styleId="BTgEMEASMCA">
    <w:name w:val="BT(g) EMEA_SMCA"/>
    <w:basedOn w:val="BTEMEASMCA"/>
    <w:link w:val="BTgEMEASMCAChar"/>
    <w:autoRedefine/>
    <w:uiPriority w:val="99"/>
    <w:rsid w:val="00346FFF"/>
    <w:rPr>
      <w:i/>
      <w:color w:val="008000"/>
      <w:lang w:eastAsia="en-US"/>
    </w:rPr>
  </w:style>
  <w:style w:type="character" w:customStyle="1" w:styleId="BTgEMEASMCAChar">
    <w:name w:val="BT(g) EMEA_SMCA Char"/>
    <w:basedOn w:val="BTEMEASMCAChar"/>
    <w:link w:val="BTgEMEASMCA"/>
    <w:uiPriority w:val="99"/>
    <w:locked/>
    <w:rsid w:val="00346FFF"/>
    <w:rPr>
      <w:rFonts w:ascii="Times New Roman" w:eastAsia="Calibri" w:hAnsi="Times New Roman" w:cs="Times New Roman"/>
      <w:i/>
      <w:noProof/>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40964</Words>
  <Characters>23350</Characters>
  <Application>Microsoft Office Word</Application>
  <DocSecurity>8</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64186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Audrone Petrikiene</dc:creator>
  <cp:lastModifiedBy>Albina Burkauskaitė</cp:lastModifiedBy>
  <cp:revision>3</cp:revision>
  <dcterms:created xsi:type="dcterms:W3CDTF">2014-10-16T04:55:00Z</dcterms:created>
  <dcterms:modified xsi:type="dcterms:W3CDTF">2014-10-16T04:56:00Z</dcterms:modified>
</cp:coreProperties>
</file>