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F0550" w14:textId="77777777" w:rsidR="007750B7" w:rsidRPr="00816A48" w:rsidRDefault="007750B7" w:rsidP="00177670">
      <w:pPr>
        <w:spacing w:after="0" w:line="240" w:lineRule="auto"/>
        <w:ind w:hanging="567"/>
        <w:jc w:val="center"/>
        <w:rPr>
          <w:rFonts w:ascii="Times New Roman" w:hAnsi="Times New Roman"/>
          <w:b/>
          <w:lang w:val="lt-LT"/>
        </w:rPr>
      </w:pPr>
    </w:p>
    <w:p w14:paraId="26CBA701" w14:textId="77777777" w:rsidR="007750B7" w:rsidRPr="00816A48" w:rsidRDefault="007750B7" w:rsidP="00177670">
      <w:pPr>
        <w:spacing w:after="0" w:line="240" w:lineRule="auto"/>
        <w:ind w:hanging="567"/>
        <w:jc w:val="center"/>
        <w:rPr>
          <w:rFonts w:ascii="Times New Roman" w:hAnsi="Times New Roman"/>
          <w:b/>
          <w:lang w:val="lt-LT"/>
        </w:rPr>
      </w:pPr>
    </w:p>
    <w:p w14:paraId="6DD29C24" w14:textId="77777777" w:rsidR="007750B7" w:rsidRPr="00816A48" w:rsidRDefault="007750B7" w:rsidP="00177670">
      <w:pPr>
        <w:spacing w:after="0" w:line="240" w:lineRule="auto"/>
        <w:ind w:hanging="567"/>
        <w:jc w:val="center"/>
        <w:rPr>
          <w:rFonts w:ascii="Times New Roman" w:hAnsi="Times New Roman"/>
          <w:b/>
          <w:lang w:val="lt-LT"/>
        </w:rPr>
      </w:pPr>
    </w:p>
    <w:p w14:paraId="43BCF58F" w14:textId="77777777" w:rsidR="007750B7" w:rsidRPr="00816A48" w:rsidRDefault="007750B7" w:rsidP="00177670">
      <w:pPr>
        <w:spacing w:after="0" w:line="240" w:lineRule="auto"/>
        <w:ind w:hanging="567"/>
        <w:jc w:val="center"/>
        <w:rPr>
          <w:rFonts w:ascii="Times New Roman" w:hAnsi="Times New Roman"/>
          <w:b/>
          <w:lang w:val="lt-LT"/>
        </w:rPr>
      </w:pPr>
    </w:p>
    <w:p w14:paraId="432538C1" w14:textId="77777777" w:rsidR="007750B7" w:rsidRPr="00816A48" w:rsidRDefault="007750B7" w:rsidP="00177670">
      <w:pPr>
        <w:spacing w:after="0" w:line="240" w:lineRule="auto"/>
        <w:ind w:hanging="567"/>
        <w:jc w:val="center"/>
        <w:rPr>
          <w:rFonts w:ascii="Times New Roman" w:hAnsi="Times New Roman"/>
          <w:b/>
          <w:lang w:val="lt-LT"/>
        </w:rPr>
      </w:pPr>
    </w:p>
    <w:p w14:paraId="05FF1ABC" w14:textId="77777777" w:rsidR="007750B7" w:rsidRPr="00816A48" w:rsidRDefault="007750B7" w:rsidP="00177670">
      <w:pPr>
        <w:spacing w:after="0" w:line="240" w:lineRule="auto"/>
        <w:ind w:hanging="567"/>
        <w:jc w:val="center"/>
        <w:rPr>
          <w:rFonts w:ascii="Times New Roman" w:hAnsi="Times New Roman"/>
          <w:b/>
          <w:lang w:val="lt-LT"/>
        </w:rPr>
      </w:pPr>
    </w:p>
    <w:p w14:paraId="26B150E0" w14:textId="77777777" w:rsidR="007750B7" w:rsidRPr="00816A48" w:rsidRDefault="007750B7" w:rsidP="00177670">
      <w:pPr>
        <w:spacing w:after="0" w:line="240" w:lineRule="auto"/>
        <w:ind w:hanging="567"/>
        <w:jc w:val="center"/>
        <w:rPr>
          <w:rFonts w:ascii="Times New Roman" w:hAnsi="Times New Roman"/>
          <w:b/>
          <w:lang w:val="lt-LT"/>
        </w:rPr>
      </w:pPr>
    </w:p>
    <w:p w14:paraId="7B786C26" w14:textId="77777777" w:rsidR="007750B7" w:rsidRPr="00816A48" w:rsidRDefault="007750B7" w:rsidP="00177670">
      <w:pPr>
        <w:spacing w:after="0" w:line="240" w:lineRule="auto"/>
        <w:ind w:hanging="567"/>
        <w:jc w:val="center"/>
        <w:rPr>
          <w:rFonts w:ascii="Times New Roman" w:hAnsi="Times New Roman"/>
          <w:b/>
          <w:lang w:val="lt-LT"/>
        </w:rPr>
      </w:pPr>
    </w:p>
    <w:p w14:paraId="55D9F8A5" w14:textId="77777777" w:rsidR="007750B7" w:rsidRPr="00816A48" w:rsidRDefault="007750B7" w:rsidP="00177670">
      <w:pPr>
        <w:spacing w:after="0" w:line="240" w:lineRule="auto"/>
        <w:ind w:hanging="567"/>
        <w:jc w:val="center"/>
        <w:rPr>
          <w:rFonts w:ascii="Times New Roman" w:hAnsi="Times New Roman"/>
          <w:b/>
          <w:lang w:val="lt-LT"/>
        </w:rPr>
      </w:pPr>
    </w:p>
    <w:p w14:paraId="2624C21C" w14:textId="77777777" w:rsidR="007750B7" w:rsidRPr="00816A48" w:rsidRDefault="007750B7" w:rsidP="00177670">
      <w:pPr>
        <w:spacing w:after="0" w:line="240" w:lineRule="auto"/>
        <w:ind w:hanging="567"/>
        <w:jc w:val="center"/>
        <w:rPr>
          <w:rFonts w:ascii="Times New Roman" w:hAnsi="Times New Roman"/>
          <w:b/>
          <w:lang w:val="lt-LT"/>
        </w:rPr>
      </w:pPr>
    </w:p>
    <w:p w14:paraId="6B3782C9" w14:textId="77777777" w:rsidR="007750B7" w:rsidRPr="00816A48" w:rsidRDefault="007750B7" w:rsidP="00177670">
      <w:pPr>
        <w:spacing w:after="0" w:line="240" w:lineRule="auto"/>
        <w:ind w:hanging="567"/>
        <w:jc w:val="center"/>
        <w:rPr>
          <w:rFonts w:ascii="Times New Roman" w:hAnsi="Times New Roman"/>
          <w:b/>
          <w:lang w:val="lt-LT"/>
        </w:rPr>
      </w:pPr>
    </w:p>
    <w:p w14:paraId="4BA15853" w14:textId="77777777" w:rsidR="007750B7" w:rsidRPr="00816A48" w:rsidRDefault="007750B7" w:rsidP="00177670">
      <w:pPr>
        <w:spacing w:after="0" w:line="240" w:lineRule="auto"/>
        <w:ind w:hanging="567"/>
        <w:jc w:val="center"/>
        <w:rPr>
          <w:rFonts w:ascii="Times New Roman" w:hAnsi="Times New Roman"/>
          <w:b/>
          <w:lang w:val="lt-LT"/>
        </w:rPr>
      </w:pPr>
    </w:p>
    <w:p w14:paraId="07C63302" w14:textId="77777777" w:rsidR="007750B7" w:rsidRPr="00816A48" w:rsidRDefault="007750B7" w:rsidP="00177670">
      <w:pPr>
        <w:spacing w:after="0" w:line="240" w:lineRule="auto"/>
        <w:ind w:hanging="567"/>
        <w:jc w:val="center"/>
        <w:rPr>
          <w:rFonts w:ascii="Times New Roman" w:hAnsi="Times New Roman"/>
          <w:b/>
          <w:lang w:val="lt-LT"/>
        </w:rPr>
      </w:pPr>
    </w:p>
    <w:p w14:paraId="599F98CF" w14:textId="77777777" w:rsidR="007750B7" w:rsidRPr="00816A48" w:rsidRDefault="007750B7" w:rsidP="00177670">
      <w:pPr>
        <w:spacing w:after="0" w:line="240" w:lineRule="auto"/>
        <w:ind w:hanging="567"/>
        <w:jc w:val="center"/>
        <w:rPr>
          <w:rFonts w:ascii="Times New Roman" w:hAnsi="Times New Roman"/>
          <w:b/>
          <w:lang w:val="lt-LT"/>
        </w:rPr>
      </w:pPr>
    </w:p>
    <w:p w14:paraId="5AB6292B" w14:textId="77777777" w:rsidR="007750B7" w:rsidRPr="00816A48" w:rsidRDefault="007750B7" w:rsidP="00177670">
      <w:pPr>
        <w:spacing w:after="0" w:line="240" w:lineRule="auto"/>
        <w:ind w:hanging="567"/>
        <w:jc w:val="center"/>
        <w:rPr>
          <w:rFonts w:ascii="Times New Roman" w:hAnsi="Times New Roman"/>
          <w:b/>
          <w:lang w:val="lt-LT"/>
        </w:rPr>
      </w:pPr>
    </w:p>
    <w:p w14:paraId="19564D03" w14:textId="77777777" w:rsidR="007750B7" w:rsidRPr="00816A48" w:rsidRDefault="007750B7" w:rsidP="00177670">
      <w:pPr>
        <w:spacing w:after="0" w:line="240" w:lineRule="auto"/>
        <w:ind w:hanging="567"/>
        <w:jc w:val="center"/>
        <w:rPr>
          <w:rFonts w:ascii="Times New Roman" w:hAnsi="Times New Roman"/>
          <w:b/>
          <w:lang w:val="lt-LT"/>
        </w:rPr>
      </w:pPr>
    </w:p>
    <w:p w14:paraId="1ED51F45" w14:textId="77777777" w:rsidR="007750B7" w:rsidRPr="00816A48" w:rsidRDefault="007750B7" w:rsidP="00177670">
      <w:pPr>
        <w:spacing w:after="0" w:line="240" w:lineRule="auto"/>
        <w:ind w:hanging="567"/>
        <w:jc w:val="center"/>
        <w:rPr>
          <w:rFonts w:ascii="Times New Roman" w:hAnsi="Times New Roman"/>
          <w:b/>
          <w:lang w:val="lt-LT"/>
        </w:rPr>
      </w:pPr>
    </w:p>
    <w:p w14:paraId="711D4FDD" w14:textId="77777777" w:rsidR="007750B7" w:rsidRPr="00816A48" w:rsidRDefault="007750B7" w:rsidP="00177670">
      <w:pPr>
        <w:spacing w:after="0" w:line="240" w:lineRule="auto"/>
        <w:ind w:hanging="567"/>
        <w:jc w:val="center"/>
        <w:rPr>
          <w:rFonts w:ascii="Times New Roman" w:hAnsi="Times New Roman"/>
          <w:b/>
          <w:lang w:val="lt-LT"/>
        </w:rPr>
      </w:pPr>
    </w:p>
    <w:p w14:paraId="0C8DBB2A" w14:textId="77777777" w:rsidR="007750B7" w:rsidRPr="00816A48" w:rsidRDefault="007750B7" w:rsidP="00177670">
      <w:pPr>
        <w:spacing w:after="0" w:line="240" w:lineRule="auto"/>
        <w:ind w:hanging="567"/>
        <w:jc w:val="center"/>
        <w:rPr>
          <w:rFonts w:ascii="Times New Roman" w:hAnsi="Times New Roman"/>
          <w:b/>
          <w:lang w:val="lt-LT"/>
        </w:rPr>
      </w:pPr>
    </w:p>
    <w:p w14:paraId="3451E0B2" w14:textId="77777777" w:rsidR="007750B7" w:rsidRPr="00816A48" w:rsidRDefault="007750B7" w:rsidP="00177670">
      <w:pPr>
        <w:spacing w:after="0" w:line="240" w:lineRule="auto"/>
        <w:ind w:hanging="567"/>
        <w:jc w:val="center"/>
        <w:rPr>
          <w:rFonts w:ascii="Times New Roman" w:hAnsi="Times New Roman"/>
          <w:b/>
          <w:lang w:val="lt-LT"/>
        </w:rPr>
      </w:pPr>
    </w:p>
    <w:p w14:paraId="4425ED79" w14:textId="77777777" w:rsidR="007750B7" w:rsidRPr="00816A48" w:rsidRDefault="007750B7" w:rsidP="00177670">
      <w:pPr>
        <w:spacing w:after="0" w:line="240" w:lineRule="auto"/>
        <w:ind w:hanging="567"/>
        <w:jc w:val="center"/>
        <w:rPr>
          <w:rFonts w:ascii="Times New Roman" w:hAnsi="Times New Roman"/>
          <w:b/>
          <w:lang w:val="lt-LT"/>
        </w:rPr>
      </w:pPr>
    </w:p>
    <w:p w14:paraId="7E140881" w14:textId="77777777" w:rsidR="007750B7" w:rsidRPr="00816A48" w:rsidRDefault="007750B7" w:rsidP="00177670">
      <w:pPr>
        <w:spacing w:after="0" w:line="240" w:lineRule="auto"/>
        <w:ind w:hanging="567"/>
        <w:jc w:val="center"/>
        <w:rPr>
          <w:rFonts w:ascii="Times New Roman" w:hAnsi="Times New Roman"/>
          <w:b/>
          <w:lang w:val="lt-LT"/>
        </w:rPr>
      </w:pPr>
    </w:p>
    <w:p w14:paraId="61973CFD" w14:textId="77777777" w:rsidR="007750B7" w:rsidRPr="00816A48" w:rsidRDefault="007750B7" w:rsidP="00177670">
      <w:pPr>
        <w:spacing w:after="0" w:line="240" w:lineRule="auto"/>
        <w:ind w:hanging="567"/>
        <w:jc w:val="center"/>
        <w:rPr>
          <w:rFonts w:ascii="Times New Roman" w:hAnsi="Times New Roman"/>
          <w:b/>
          <w:lang w:val="lt-LT"/>
        </w:rPr>
      </w:pPr>
    </w:p>
    <w:p w14:paraId="020BA722" w14:textId="77777777" w:rsidR="007750B7" w:rsidRPr="00816A48" w:rsidRDefault="007750B7" w:rsidP="00177670">
      <w:pPr>
        <w:spacing w:after="0" w:line="240" w:lineRule="auto"/>
        <w:ind w:hanging="567"/>
        <w:jc w:val="center"/>
        <w:rPr>
          <w:rFonts w:ascii="Times New Roman" w:hAnsi="Times New Roman"/>
          <w:b/>
          <w:lang w:val="lt-LT"/>
        </w:rPr>
      </w:pPr>
      <w:r w:rsidRPr="00816A48">
        <w:rPr>
          <w:rFonts w:ascii="Times New Roman" w:hAnsi="Times New Roman"/>
          <w:b/>
          <w:lang w:val="lt-LT"/>
        </w:rPr>
        <w:t>I PRIEDAS</w:t>
      </w:r>
    </w:p>
    <w:p w14:paraId="14176213" w14:textId="77777777" w:rsidR="007750B7" w:rsidRPr="00816A48" w:rsidRDefault="007750B7" w:rsidP="00177670">
      <w:pPr>
        <w:spacing w:after="0" w:line="240" w:lineRule="auto"/>
        <w:ind w:hanging="567"/>
        <w:jc w:val="center"/>
        <w:rPr>
          <w:rFonts w:ascii="Times New Roman" w:hAnsi="Times New Roman"/>
          <w:lang w:val="lt-LT"/>
        </w:rPr>
      </w:pPr>
    </w:p>
    <w:p w14:paraId="601A3883" w14:textId="77777777" w:rsidR="007750B7" w:rsidRPr="00816A48" w:rsidRDefault="007750B7" w:rsidP="00861232">
      <w:pPr>
        <w:pStyle w:val="Default"/>
        <w:widowControl w:val="0"/>
        <w:suppressAutoHyphens/>
        <w:jc w:val="center"/>
        <w:rPr>
          <w:b/>
          <w:sz w:val="22"/>
          <w:szCs w:val="22"/>
          <w:lang w:val="lt-LT"/>
        </w:rPr>
      </w:pPr>
      <w:r w:rsidRPr="00816A48">
        <w:rPr>
          <w:b/>
          <w:sz w:val="22"/>
          <w:szCs w:val="22"/>
          <w:lang w:val="lt-LT"/>
        </w:rPr>
        <w:t>PREPARATO CHARAKTERISTIKŲ SANTRAUKA</w:t>
      </w:r>
    </w:p>
    <w:p w14:paraId="68F6E09D" w14:textId="77777777" w:rsidR="007750B7" w:rsidRPr="00816A48" w:rsidRDefault="007750B7" w:rsidP="00861232">
      <w:pPr>
        <w:pStyle w:val="Default"/>
        <w:widowControl w:val="0"/>
        <w:suppressAutoHyphens/>
        <w:jc w:val="center"/>
        <w:rPr>
          <w:b/>
          <w:sz w:val="22"/>
          <w:szCs w:val="22"/>
          <w:lang w:val="lt-LT"/>
        </w:rPr>
      </w:pPr>
    </w:p>
    <w:p w14:paraId="6213DDDF" w14:textId="77777777" w:rsidR="007750B7" w:rsidRPr="00816A48" w:rsidRDefault="007750B7" w:rsidP="00861232">
      <w:pPr>
        <w:pStyle w:val="Default"/>
        <w:widowControl w:val="0"/>
        <w:tabs>
          <w:tab w:val="left" w:pos="708"/>
          <w:tab w:val="left" w:pos="1416"/>
          <w:tab w:val="left" w:pos="2124"/>
          <w:tab w:val="left" w:pos="2832"/>
          <w:tab w:val="left" w:pos="3540"/>
          <w:tab w:val="left" w:pos="4248"/>
          <w:tab w:val="left" w:pos="4956"/>
          <w:tab w:val="left" w:pos="7050"/>
        </w:tabs>
        <w:suppressAutoHyphens/>
        <w:ind w:left="540" w:hanging="540"/>
        <w:outlineLvl w:val="1"/>
        <w:rPr>
          <w:b/>
          <w:sz w:val="22"/>
          <w:szCs w:val="22"/>
          <w:lang w:val="lt-LT"/>
        </w:rPr>
      </w:pPr>
      <w:r w:rsidRPr="00816A48">
        <w:rPr>
          <w:b/>
          <w:sz w:val="22"/>
          <w:szCs w:val="22"/>
          <w:lang w:val="lt-LT"/>
        </w:rPr>
        <w:br w:type="page"/>
      </w:r>
      <w:r w:rsidRPr="00816A48">
        <w:rPr>
          <w:b/>
          <w:sz w:val="22"/>
          <w:szCs w:val="22"/>
          <w:lang w:val="lt-LT"/>
        </w:rPr>
        <w:lastRenderedPageBreak/>
        <w:t>1.</w:t>
      </w:r>
      <w:r w:rsidRPr="00816A48">
        <w:rPr>
          <w:b/>
          <w:sz w:val="22"/>
          <w:szCs w:val="22"/>
          <w:lang w:val="lt-LT"/>
        </w:rPr>
        <w:tab/>
      </w:r>
      <w:r w:rsidRPr="00816A48">
        <w:rPr>
          <w:b/>
          <w:caps/>
          <w:sz w:val="22"/>
          <w:szCs w:val="22"/>
          <w:lang w:val="lt-LT"/>
        </w:rPr>
        <w:t>VAISTINIO</w:t>
      </w:r>
      <w:r w:rsidRPr="00816A48">
        <w:rPr>
          <w:b/>
          <w:sz w:val="22"/>
          <w:szCs w:val="22"/>
          <w:lang w:val="lt-LT"/>
        </w:rPr>
        <w:t xml:space="preserve"> PREPARATO PAVADINIMAS</w:t>
      </w:r>
    </w:p>
    <w:p w14:paraId="2F339100"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p>
    <w:p w14:paraId="684E706F" w14:textId="01E2F7C6"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Osagrand 3 mg injekcinis tirpalas</w:t>
      </w:r>
      <w:bookmarkStart w:id="0" w:name="_GoBack"/>
      <w:bookmarkEnd w:id="0"/>
    </w:p>
    <w:p w14:paraId="243C3E73"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p>
    <w:p w14:paraId="36347960"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p>
    <w:p w14:paraId="1621292D" w14:textId="77777777" w:rsidR="007750B7" w:rsidRPr="00816A48" w:rsidRDefault="007750B7" w:rsidP="00861232">
      <w:pPr>
        <w:pStyle w:val="Default"/>
        <w:widowControl w:val="0"/>
        <w:suppressAutoHyphens/>
        <w:ind w:left="540" w:hanging="540"/>
        <w:outlineLvl w:val="1"/>
        <w:rPr>
          <w:b/>
          <w:sz w:val="22"/>
          <w:szCs w:val="22"/>
          <w:lang w:val="lt-LT"/>
        </w:rPr>
      </w:pPr>
      <w:r w:rsidRPr="00816A48">
        <w:rPr>
          <w:b/>
          <w:sz w:val="22"/>
          <w:szCs w:val="22"/>
          <w:lang w:val="lt-LT"/>
        </w:rPr>
        <w:t>2.</w:t>
      </w:r>
      <w:r w:rsidRPr="00816A48">
        <w:rPr>
          <w:b/>
          <w:sz w:val="22"/>
          <w:szCs w:val="22"/>
          <w:lang w:val="lt-LT"/>
        </w:rPr>
        <w:tab/>
      </w:r>
      <w:r w:rsidRPr="00816A48">
        <w:rPr>
          <w:b/>
          <w:caps/>
          <w:sz w:val="22"/>
          <w:szCs w:val="22"/>
          <w:lang w:val="lt-LT"/>
        </w:rPr>
        <w:t>kokybinė ir kiekybinė sudėtis</w:t>
      </w:r>
    </w:p>
    <w:p w14:paraId="113559E6" w14:textId="77777777" w:rsidR="007750B7" w:rsidRPr="00816A48" w:rsidRDefault="007750B7" w:rsidP="00861232">
      <w:pPr>
        <w:pStyle w:val="Default"/>
        <w:widowControl w:val="0"/>
        <w:suppressAutoHyphens/>
        <w:rPr>
          <w:sz w:val="22"/>
          <w:szCs w:val="22"/>
          <w:lang w:val="lt-LT"/>
        </w:rPr>
      </w:pPr>
    </w:p>
    <w:p w14:paraId="46C68906" w14:textId="1A51C0A1" w:rsidR="007750B7" w:rsidRPr="00816A48" w:rsidRDefault="001F5F21" w:rsidP="00177670">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Kiek</w:t>
      </w:r>
      <w:r w:rsidRPr="00816A48">
        <w:rPr>
          <w:rFonts w:ascii="Times New Roman" w:hAnsi="Times New Roman"/>
          <w:color w:val="000000"/>
          <w:lang w:val="lt-LT"/>
        </w:rPr>
        <w:t xml:space="preserve">vienoje </w:t>
      </w:r>
      <w:r w:rsidR="007750B7" w:rsidRPr="00816A48">
        <w:rPr>
          <w:rFonts w:ascii="Times New Roman" w:hAnsi="Times New Roman"/>
          <w:color w:val="000000"/>
          <w:lang w:val="lt-LT"/>
        </w:rPr>
        <w:t>3 ml tirpalo</w:t>
      </w:r>
      <w:r w:rsidR="00672338" w:rsidRPr="00672338">
        <w:rPr>
          <w:rFonts w:ascii="Times New Roman" w:hAnsi="Times New Roman"/>
          <w:color w:val="000000"/>
          <w:lang w:val="lt-LT"/>
        </w:rPr>
        <w:t xml:space="preserve"> </w:t>
      </w:r>
      <w:r w:rsidR="00672338" w:rsidRPr="00816A48">
        <w:rPr>
          <w:rFonts w:ascii="Times New Roman" w:hAnsi="Times New Roman"/>
          <w:color w:val="000000"/>
          <w:lang w:val="lt-LT"/>
        </w:rPr>
        <w:t>ampulėje</w:t>
      </w:r>
      <w:r w:rsidR="007750B7" w:rsidRPr="00816A48">
        <w:rPr>
          <w:rFonts w:ascii="Times New Roman" w:hAnsi="Times New Roman"/>
          <w:color w:val="000000"/>
          <w:lang w:val="lt-LT"/>
        </w:rPr>
        <w:t xml:space="preserve"> yra 3 mg ibandrono rūgšties (3,375 mg ibandronato natrio druskos monohidrato pavidalu).</w:t>
      </w:r>
    </w:p>
    <w:p w14:paraId="4983750F"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Ibandrono rūgšties koncentracija injekciniame tirpale yra 1 mg/ml.</w:t>
      </w:r>
    </w:p>
    <w:p w14:paraId="532E9E09"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p>
    <w:p w14:paraId="731E1B8F" w14:textId="69F672F1" w:rsidR="007750B7" w:rsidRPr="00816A48" w:rsidRDefault="007750B7" w:rsidP="008D33C6">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Visos pagalbinės medžiagos išvardytos 6.1</w:t>
      </w:r>
      <w:r w:rsidR="008A082A">
        <w:rPr>
          <w:rFonts w:ascii="Times New Roman" w:hAnsi="Times New Roman"/>
          <w:lang w:val="lt-LT"/>
        </w:rPr>
        <w:t> </w:t>
      </w:r>
      <w:r w:rsidRPr="00816A48">
        <w:rPr>
          <w:rFonts w:ascii="Times New Roman" w:hAnsi="Times New Roman"/>
          <w:lang w:val="lt-LT"/>
        </w:rPr>
        <w:t>skyriuje.</w:t>
      </w:r>
    </w:p>
    <w:p w14:paraId="651434D5" w14:textId="77777777" w:rsidR="007750B7" w:rsidRPr="00816A48" w:rsidRDefault="007750B7" w:rsidP="009B4884">
      <w:pPr>
        <w:autoSpaceDE w:val="0"/>
        <w:autoSpaceDN w:val="0"/>
        <w:adjustRightInd w:val="0"/>
        <w:spacing w:after="0" w:line="240" w:lineRule="auto"/>
        <w:rPr>
          <w:rFonts w:ascii="Times New Roman" w:hAnsi="Times New Roman"/>
          <w:lang w:val="lt-LT"/>
        </w:rPr>
      </w:pPr>
    </w:p>
    <w:p w14:paraId="533BC132" w14:textId="77777777" w:rsidR="007750B7" w:rsidRPr="00816A48" w:rsidRDefault="007750B7" w:rsidP="007A65B4">
      <w:pPr>
        <w:autoSpaceDE w:val="0"/>
        <w:autoSpaceDN w:val="0"/>
        <w:adjustRightInd w:val="0"/>
        <w:spacing w:after="0" w:line="240" w:lineRule="auto"/>
        <w:rPr>
          <w:rFonts w:ascii="Times New Roman" w:hAnsi="Times New Roman"/>
          <w:lang w:val="lt-LT"/>
        </w:rPr>
      </w:pPr>
    </w:p>
    <w:p w14:paraId="366F71A2" w14:textId="77777777" w:rsidR="007750B7" w:rsidRPr="00816A48" w:rsidRDefault="007750B7" w:rsidP="00861232">
      <w:pPr>
        <w:pStyle w:val="Default"/>
        <w:widowControl w:val="0"/>
        <w:suppressAutoHyphens/>
        <w:ind w:left="540" w:hanging="540"/>
        <w:outlineLvl w:val="1"/>
        <w:rPr>
          <w:b/>
          <w:caps/>
          <w:sz w:val="22"/>
          <w:szCs w:val="22"/>
          <w:lang w:val="lt-LT"/>
        </w:rPr>
      </w:pPr>
      <w:r w:rsidRPr="00816A48">
        <w:rPr>
          <w:b/>
          <w:caps/>
          <w:sz w:val="22"/>
          <w:szCs w:val="22"/>
          <w:lang w:val="lt-LT"/>
        </w:rPr>
        <w:t>3.</w:t>
      </w:r>
      <w:r w:rsidRPr="00816A48">
        <w:rPr>
          <w:b/>
          <w:caps/>
          <w:sz w:val="22"/>
          <w:szCs w:val="22"/>
          <w:lang w:val="lt-LT"/>
        </w:rPr>
        <w:tab/>
        <w:t>FARMACINĖ forma</w:t>
      </w:r>
    </w:p>
    <w:p w14:paraId="6C671EDA" w14:textId="77777777" w:rsidR="007750B7" w:rsidRPr="00816A48" w:rsidRDefault="007750B7" w:rsidP="00861232">
      <w:pPr>
        <w:pStyle w:val="Default"/>
        <w:widowControl w:val="0"/>
        <w:suppressAutoHyphens/>
        <w:rPr>
          <w:sz w:val="22"/>
          <w:szCs w:val="22"/>
          <w:lang w:val="lt-LT"/>
        </w:rPr>
      </w:pPr>
    </w:p>
    <w:p w14:paraId="4B178A94" w14:textId="77777777" w:rsidR="007750B7" w:rsidRPr="00816A48" w:rsidRDefault="007750B7" w:rsidP="00242DA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Injekcinis tirpalas.</w:t>
      </w:r>
    </w:p>
    <w:p w14:paraId="612C337E" w14:textId="77777777" w:rsidR="007750B7" w:rsidRPr="00E708C1" w:rsidRDefault="007750B7" w:rsidP="00861232">
      <w:pPr>
        <w:pStyle w:val="Default"/>
        <w:widowControl w:val="0"/>
        <w:suppressAutoHyphens/>
        <w:rPr>
          <w:sz w:val="22"/>
          <w:szCs w:val="22"/>
          <w:lang w:val="lt-LT"/>
        </w:rPr>
      </w:pPr>
      <w:r w:rsidRPr="00E708C1">
        <w:rPr>
          <w:sz w:val="22"/>
          <w:szCs w:val="22"/>
          <w:lang w:val="lt-LT"/>
        </w:rPr>
        <w:t>Bespalvis tirpalas, kuriame nėra kietų dalelių.</w:t>
      </w:r>
    </w:p>
    <w:p w14:paraId="77C05FE8" w14:textId="2EA48582" w:rsidR="007750B7" w:rsidRDefault="001062EE" w:rsidP="00861232">
      <w:pPr>
        <w:pStyle w:val="Default"/>
        <w:widowControl w:val="0"/>
        <w:suppressAutoHyphens/>
        <w:rPr>
          <w:sz w:val="22"/>
          <w:szCs w:val="22"/>
          <w:lang w:val="lt-LT"/>
        </w:rPr>
      </w:pPr>
      <w:r w:rsidRPr="00E708C1">
        <w:rPr>
          <w:sz w:val="22"/>
          <w:szCs w:val="22"/>
          <w:lang w:val="lt-LT"/>
        </w:rPr>
        <w:t>Tirpalo pH – 3,465-4,235, osmoliališkumas – 270-310</w:t>
      </w:r>
      <w:r w:rsidR="00903AC2">
        <w:rPr>
          <w:sz w:val="22"/>
          <w:szCs w:val="22"/>
          <w:lang w:val="lt-LT"/>
        </w:rPr>
        <w:t> </w:t>
      </w:r>
      <w:r w:rsidR="007D3A37" w:rsidRPr="00E708C1">
        <w:rPr>
          <w:sz w:val="22"/>
          <w:szCs w:val="22"/>
          <w:lang w:val="lt-LT"/>
        </w:rPr>
        <w:t>mosmol/kg</w:t>
      </w:r>
      <w:r w:rsidRPr="00E708C1">
        <w:rPr>
          <w:sz w:val="22"/>
          <w:szCs w:val="22"/>
          <w:lang w:val="lt-LT"/>
        </w:rPr>
        <w:t>.</w:t>
      </w:r>
    </w:p>
    <w:p w14:paraId="2A2C4024" w14:textId="77777777" w:rsidR="001062EE" w:rsidRPr="00816A48" w:rsidRDefault="001062EE" w:rsidP="00861232">
      <w:pPr>
        <w:pStyle w:val="Default"/>
        <w:widowControl w:val="0"/>
        <w:suppressAutoHyphens/>
        <w:rPr>
          <w:sz w:val="22"/>
          <w:szCs w:val="22"/>
          <w:lang w:val="lt-LT"/>
        </w:rPr>
      </w:pPr>
    </w:p>
    <w:p w14:paraId="7EA57E77" w14:textId="77777777" w:rsidR="007750B7" w:rsidRPr="00816A48" w:rsidRDefault="007750B7" w:rsidP="00861232">
      <w:pPr>
        <w:pStyle w:val="Default"/>
        <w:widowControl w:val="0"/>
        <w:suppressAutoHyphens/>
        <w:rPr>
          <w:sz w:val="22"/>
          <w:szCs w:val="22"/>
          <w:lang w:val="lt-LT"/>
        </w:rPr>
      </w:pPr>
    </w:p>
    <w:p w14:paraId="2DF18FD2" w14:textId="77777777" w:rsidR="007750B7" w:rsidRPr="00816A48" w:rsidRDefault="007750B7" w:rsidP="00861232">
      <w:pPr>
        <w:pStyle w:val="Default"/>
        <w:widowControl w:val="0"/>
        <w:suppressAutoHyphens/>
        <w:ind w:left="540" w:hanging="540"/>
        <w:outlineLvl w:val="1"/>
        <w:rPr>
          <w:b/>
          <w:caps/>
          <w:sz w:val="22"/>
          <w:szCs w:val="22"/>
          <w:lang w:val="lt-LT"/>
        </w:rPr>
      </w:pPr>
      <w:r w:rsidRPr="00816A48">
        <w:rPr>
          <w:b/>
          <w:caps/>
          <w:sz w:val="22"/>
          <w:szCs w:val="22"/>
          <w:lang w:val="lt-LT"/>
        </w:rPr>
        <w:t>4.</w:t>
      </w:r>
      <w:r w:rsidRPr="00816A48">
        <w:rPr>
          <w:b/>
          <w:caps/>
          <w:sz w:val="22"/>
          <w:szCs w:val="22"/>
          <w:lang w:val="lt-LT"/>
        </w:rPr>
        <w:tab/>
        <w:t>klinikinĖ informacija</w:t>
      </w:r>
    </w:p>
    <w:p w14:paraId="2727370B" w14:textId="77777777" w:rsidR="007750B7" w:rsidRPr="00816A48" w:rsidRDefault="007750B7" w:rsidP="00861232">
      <w:pPr>
        <w:pStyle w:val="Default"/>
        <w:widowControl w:val="0"/>
        <w:suppressAutoHyphens/>
        <w:ind w:left="540" w:hanging="540"/>
        <w:outlineLvl w:val="1"/>
        <w:rPr>
          <w:b/>
          <w:caps/>
          <w:sz w:val="22"/>
          <w:szCs w:val="22"/>
          <w:lang w:val="lt-LT"/>
        </w:rPr>
      </w:pPr>
    </w:p>
    <w:p w14:paraId="26776CFA" w14:textId="77777777" w:rsidR="007750B7" w:rsidRPr="00816A48" w:rsidRDefault="007750B7" w:rsidP="00861232">
      <w:pPr>
        <w:pStyle w:val="Default"/>
        <w:ind w:left="540" w:hanging="540"/>
        <w:rPr>
          <w:b/>
          <w:sz w:val="22"/>
          <w:szCs w:val="22"/>
          <w:lang w:val="lt-LT"/>
        </w:rPr>
      </w:pPr>
      <w:r w:rsidRPr="00816A48">
        <w:rPr>
          <w:b/>
          <w:sz w:val="22"/>
          <w:szCs w:val="22"/>
          <w:lang w:val="lt-LT"/>
        </w:rPr>
        <w:t>4.1</w:t>
      </w:r>
      <w:r w:rsidRPr="00816A48">
        <w:rPr>
          <w:b/>
          <w:sz w:val="22"/>
          <w:szCs w:val="22"/>
          <w:lang w:val="lt-LT"/>
        </w:rPr>
        <w:tab/>
        <w:t>Terapinės indikacijos</w:t>
      </w:r>
    </w:p>
    <w:p w14:paraId="4E9C6D57" w14:textId="77777777" w:rsidR="007750B7" w:rsidRPr="00816A48" w:rsidRDefault="007750B7" w:rsidP="00861232">
      <w:pPr>
        <w:pStyle w:val="Default"/>
        <w:rPr>
          <w:b/>
          <w:sz w:val="22"/>
          <w:szCs w:val="22"/>
          <w:lang w:val="lt-LT"/>
        </w:rPr>
      </w:pPr>
    </w:p>
    <w:p w14:paraId="621B771F" w14:textId="77777777" w:rsidR="007750B7" w:rsidRPr="00816A48" w:rsidRDefault="007750B7" w:rsidP="00A761AB">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Osteoporozės gydymas moterims po menopauzės, kurioms yra padidėjusi kaulų lūžių rizika (žr. 5.1 skyrių). Įrodyta, kad vaistinis preparatas veiksmingai mažina stuburo slankstelių lūžių riziką, o veiksmingumas mažinant šlaunikaulio kaklelio lūžių riziką nenustatytas.</w:t>
      </w:r>
    </w:p>
    <w:p w14:paraId="52B5DC44" w14:textId="77777777" w:rsidR="007750B7" w:rsidRPr="00816A48" w:rsidRDefault="007750B7" w:rsidP="00861232">
      <w:pPr>
        <w:pStyle w:val="Default"/>
        <w:rPr>
          <w:sz w:val="22"/>
          <w:szCs w:val="22"/>
          <w:lang w:val="lt-LT"/>
        </w:rPr>
      </w:pPr>
    </w:p>
    <w:p w14:paraId="25D00E25" w14:textId="77777777" w:rsidR="007750B7" w:rsidRPr="00816A48" w:rsidRDefault="007750B7" w:rsidP="00861232">
      <w:pPr>
        <w:pStyle w:val="Default"/>
        <w:ind w:left="540" w:hanging="540"/>
        <w:rPr>
          <w:b/>
          <w:sz w:val="22"/>
          <w:szCs w:val="22"/>
          <w:lang w:val="lt-LT"/>
        </w:rPr>
      </w:pPr>
      <w:r w:rsidRPr="00816A48">
        <w:rPr>
          <w:b/>
          <w:sz w:val="22"/>
          <w:szCs w:val="22"/>
          <w:lang w:val="lt-LT"/>
        </w:rPr>
        <w:t>4.2</w:t>
      </w:r>
      <w:r w:rsidRPr="00816A48">
        <w:rPr>
          <w:b/>
          <w:sz w:val="22"/>
          <w:szCs w:val="22"/>
          <w:lang w:val="lt-LT"/>
        </w:rPr>
        <w:tab/>
        <w:t>Dozavimas ir vartojimo metodas</w:t>
      </w:r>
    </w:p>
    <w:p w14:paraId="39BB7B6E" w14:textId="77777777" w:rsidR="007750B7" w:rsidRPr="00816A48" w:rsidRDefault="007750B7" w:rsidP="00947F45">
      <w:pPr>
        <w:autoSpaceDE w:val="0"/>
        <w:autoSpaceDN w:val="0"/>
        <w:adjustRightInd w:val="0"/>
        <w:spacing w:after="0" w:line="240" w:lineRule="auto"/>
        <w:rPr>
          <w:rFonts w:ascii="Times New Roman" w:hAnsi="Times New Roman"/>
          <w:color w:val="000000"/>
          <w:lang w:val="lt-LT"/>
        </w:rPr>
      </w:pPr>
    </w:p>
    <w:p w14:paraId="687B0A91" w14:textId="77777777" w:rsidR="00505790" w:rsidRPr="00816A48" w:rsidRDefault="00505790" w:rsidP="00947F4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Pacientams, gydomiems Osagrand turi būti duotas pakuotės lapelis ir paciento priminimo kortelė.</w:t>
      </w:r>
    </w:p>
    <w:p w14:paraId="53515430" w14:textId="77777777" w:rsidR="00505790" w:rsidRPr="00816A48" w:rsidRDefault="00505790" w:rsidP="00947F45">
      <w:pPr>
        <w:autoSpaceDE w:val="0"/>
        <w:autoSpaceDN w:val="0"/>
        <w:adjustRightInd w:val="0"/>
        <w:spacing w:after="0" w:line="240" w:lineRule="auto"/>
        <w:rPr>
          <w:rFonts w:ascii="Times New Roman" w:hAnsi="Times New Roman"/>
          <w:color w:val="000000"/>
          <w:lang w:val="lt-LT"/>
        </w:rPr>
      </w:pPr>
    </w:p>
    <w:p w14:paraId="72178469" w14:textId="77777777" w:rsidR="007750B7" w:rsidRPr="00816A48" w:rsidRDefault="007750B7" w:rsidP="003D3259">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 xml:space="preserve">Dozavimas </w:t>
      </w:r>
    </w:p>
    <w:p w14:paraId="0B3F9B38"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Rekomenduojama dozė yra 3 mg ibandrono rūgšties, kuri suleidžiama į veną per 15</w:t>
      </w:r>
      <w:r w:rsidRPr="00816A48">
        <w:rPr>
          <w:rFonts w:ascii="Times New Roman" w:hAnsi="Times New Roman"/>
          <w:color w:val="000000"/>
          <w:lang w:val="lt-LT"/>
        </w:rPr>
        <w:noBreakHyphen/>
        <w:t>30 sekundžių, kas tris mėnesius.</w:t>
      </w:r>
    </w:p>
    <w:p w14:paraId="22327C8D" w14:textId="78A28CA9"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Pacientas turi vartoti kalcio ir vitamino</w:t>
      </w:r>
      <w:r w:rsidR="008A082A">
        <w:rPr>
          <w:rFonts w:ascii="Times New Roman" w:hAnsi="Times New Roman"/>
          <w:color w:val="000000"/>
          <w:lang w:val="lt-LT"/>
        </w:rPr>
        <w:t> </w:t>
      </w:r>
      <w:r w:rsidRPr="00816A48">
        <w:rPr>
          <w:rFonts w:ascii="Times New Roman" w:hAnsi="Times New Roman"/>
          <w:color w:val="000000"/>
          <w:lang w:val="lt-LT"/>
        </w:rPr>
        <w:t>D papildų (žr. 4.4 ir 4.5 skyrius).</w:t>
      </w:r>
    </w:p>
    <w:p w14:paraId="05E0F276"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lang w:val="lt-LT"/>
        </w:rPr>
        <w:t>Praleidus dozę,</w:t>
      </w:r>
      <w:r w:rsidRPr="00816A48">
        <w:rPr>
          <w:rFonts w:ascii="Times New Roman" w:hAnsi="Times New Roman"/>
          <w:color w:val="000000"/>
          <w:lang w:val="lt-LT"/>
        </w:rPr>
        <w:t xml:space="preserve"> vaistinį preparatą reikia suleisti kiek gali</w:t>
      </w:r>
      <w:r w:rsidRPr="00816A48">
        <w:rPr>
          <w:rFonts w:ascii="Times New Roman" w:hAnsi="Times New Roman"/>
          <w:lang w:val="lt-LT"/>
        </w:rPr>
        <w:t>ma greičiau</w:t>
      </w:r>
      <w:r w:rsidRPr="00816A48">
        <w:rPr>
          <w:rFonts w:ascii="Times New Roman" w:hAnsi="Times New Roman"/>
          <w:color w:val="000000"/>
          <w:lang w:val="lt-LT"/>
        </w:rPr>
        <w:t xml:space="preserve">. </w:t>
      </w:r>
      <w:r w:rsidRPr="00816A48">
        <w:rPr>
          <w:rFonts w:ascii="Times New Roman" w:hAnsi="Times New Roman"/>
          <w:lang w:val="lt-LT"/>
        </w:rPr>
        <w:t>Vėliau</w:t>
      </w:r>
      <w:r w:rsidRPr="00816A48">
        <w:rPr>
          <w:rFonts w:ascii="Times New Roman" w:hAnsi="Times New Roman"/>
          <w:color w:val="000000"/>
          <w:lang w:val="lt-LT"/>
        </w:rPr>
        <w:t xml:space="preserve"> </w:t>
      </w:r>
      <w:r w:rsidRPr="00816A48">
        <w:rPr>
          <w:rFonts w:ascii="Times New Roman" w:hAnsi="Times New Roman"/>
          <w:lang w:val="lt-LT"/>
        </w:rPr>
        <w:t>injekcijas</w:t>
      </w:r>
      <w:r w:rsidRPr="00816A48">
        <w:rPr>
          <w:rFonts w:ascii="Times New Roman" w:hAnsi="Times New Roman"/>
          <w:color w:val="000000"/>
          <w:lang w:val="lt-LT"/>
        </w:rPr>
        <w:t xml:space="preserve"> </w:t>
      </w:r>
      <w:r w:rsidRPr="00816A48">
        <w:rPr>
          <w:rFonts w:ascii="Times New Roman" w:hAnsi="Times New Roman"/>
          <w:lang w:val="lt-LT"/>
        </w:rPr>
        <w:t>reikia leisti pagal planą kas</w:t>
      </w:r>
      <w:r w:rsidRPr="00816A48">
        <w:rPr>
          <w:rFonts w:ascii="Times New Roman" w:hAnsi="Times New Roman"/>
          <w:color w:val="000000"/>
          <w:lang w:val="lt-LT"/>
        </w:rPr>
        <w:t xml:space="preserve"> </w:t>
      </w:r>
      <w:r w:rsidRPr="00816A48">
        <w:rPr>
          <w:rFonts w:ascii="Times New Roman" w:hAnsi="Times New Roman"/>
          <w:lang w:val="lt-LT"/>
        </w:rPr>
        <w:t>3</w:t>
      </w:r>
      <w:r w:rsidRPr="00816A48">
        <w:rPr>
          <w:rFonts w:ascii="Times New Roman" w:hAnsi="Times New Roman"/>
          <w:color w:val="000000"/>
          <w:lang w:val="lt-LT"/>
        </w:rPr>
        <w:t> </w:t>
      </w:r>
      <w:r w:rsidRPr="00816A48">
        <w:rPr>
          <w:rFonts w:ascii="Times New Roman" w:hAnsi="Times New Roman"/>
          <w:lang w:val="lt-LT"/>
        </w:rPr>
        <w:t>mėnesius, skaičiuojant nuo</w:t>
      </w:r>
      <w:r w:rsidRPr="00816A48">
        <w:rPr>
          <w:rFonts w:ascii="Times New Roman" w:hAnsi="Times New Roman"/>
          <w:color w:val="000000"/>
          <w:lang w:val="lt-LT"/>
        </w:rPr>
        <w:t xml:space="preserve"> </w:t>
      </w:r>
      <w:r w:rsidRPr="00816A48">
        <w:rPr>
          <w:rFonts w:ascii="Times New Roman" w:hAnsi="Times New Roman"/>
          <w:lang w:val="lt-LT"/>
        </w:rPr>
        <w:t>paskutinės injekcijos</w:t>
      </w:r>
      <w:r w:rsidRPr="00816A48">
        <w:rPr>
          <w:rFonts w:ascii="Times New Roman" w:hAnsi="Times New Roman"/>
          <w:color w:val="000000"/>
          <w:lang w:val="lt-LT"/>
        </w:rPr>
        <w:t xml:space="preserve"> </w:t>
      </w:r>
      <w:r w:rsidRPr="00816A48">
        <w:rPr>
          <w:rFonts w:ascii="Times New Roman" w:hAnsi="Times New Roman"/>
          <w:lang w:val="lt-LT"/>
        </w:rPr>
        <w:t>datos.</w:t>
      </w:r>
    </w:p>
    <w:p w14:paraId="21C2460D" w14:textId="77777777" w:rsidR="005F56A5" w:rsidRPr="00816A48" w:rsidRDefault="005F56A5"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Optimali osteoporozės gydymo bisfosfonatais trukmė nėra nustatyta. Gydymo pratęsimo būtinybę, remiantis </w:t>
      </w:r>
      <w:r w:rsidRPr="00816A48">
        <w:rPr>
          <w:rFonts w:ascii="Times New Roman" w:hAnsi="Times New Roman"/>
          <w:color w:val="000000"/>
          <w:lang w:val="lt-LT"/>
        </w:rPr>
        <w:t>Osagrand</w:t>
      </w:r>
      <w:r w:rsidRPr="00816A48">
        <w:rPr>
          <w:rFonts w:ascii="Times New Roman" w:hAnsi="Times New Roman"/>
          <w:i/>
          <w:lang w:val="lt-LT"/>
        </w:rPr>
        <w:t xml:space="preserve"> </w:t>
      </w:r>
      <w:r w:rsidRPr="00816A48">
        <w:rPr>
          <w:rFonts w:ascii="Times New Roman" w:hAnsi="Times New Roman"/>
          <w:lang w:val="lt-LT"/>
        </w:rPr>
        <w:t xml:space="preserve">gydymo nauda ir </w:t>
      </w:r>
      <w:r w:rsidR="002B2284" w:rsidRPr="00816A48">
        <w:rPr>
          <w:rFonts w:ascii="Times New Roman" w:hAnsi="Times New Roman"/>
          <w:lang w:val="lt-LT"/>
        </w:rPr>
        <w:t>galima</w:t>
      </w:r>
      <w:r w:rsidRPr="00816A48">
        <w:rPr>
          <w:rFonts w:ascii="Times New Roman" w:hAnsi="Times New Roman"/>
          <w:lang w:val="lt-LT"/>
        </w:rPr>
        <w:t xml:space="preserve"> rizika konkrečiam pacientui, reikia vertinti periodiškai, ypač praėjus 5 ar daugiau gydymo metų.</w:t>
      </w:r>
    </w:p>
    <w:p w14:paraId="35062881" w14:textId="77777777" w:rsidR="005F56A5" w:rsidRPr="00816A48" w:rsidRDefault="005F56A5" w:rsidP="003D3259">
      <w:pPr>
        <w:autoSpaceDE w:val="0"/>
        <w:autoSpaceDN w:val="0"/>
        <w:adjustRightInd w:val="0"/>
        <w:spacing w:after="0" w:line="240" w:lineRule="auto"/>
        <w:rPr>
          <w:rFonts w:ascii="Times New Roman" w:hAnsi="Times New Roman"/>
          <w:color w:val="000000"/>
          <w:lang w:val="lt-LT"/>
        </w:rPr>
      </w:pPr>
    </w:p>
    <w:p w14:paraId="484CB727" w14:textId="77777777" w:rsidR="007750B7" w:rsidRPr="00816A48" w:rsidRDefault="00835779" w:rsidP="00835779">
      <w:pPr>
        <w:keepNext/>
        <w:tabs>
          <w:tab w:val="left" w:pos="567"/>
        </w:tabs>
        <w:spacing w:after="0" w:line="240" w:lineRule="auto"/>
        <w:rPr>
          <w:rFonts w:ascii="Times New Roman" w:hAnsi="Times New Roman"/>
          <w:color w:val="000000"/>
          <w:lang w:val="lt-LT"/>
        </w:rPr>
      </w:pPr>
      <w:r w:rsidRPr="00816A48">
        <w:rPr>
          <w:rFonts w:ascii="Times New Roman" w:hAnsi="Times New Roman"/>
          <w:i/>
          <w:iCs/>
          <w:color w:val="000000"/>
          <w:u w:val="single"/>
          <w:lang w:val="lt-LT"/>
        </w:rPr>
        <w:t>Ypatingos populiacijos</w:t>
      </w:r>
    </w:p>
    <w:p w14:paraId="421B2849" w14:textId="3CF9A03F" w:rsidR="001062EE" w:rsidRDefault="001062EE" w:rsidP="00331125">
      <w:pPr>
        <w:autoSpaceDE w:val="0"/>
        <w:autoSpaceDN w:val="0"/>
        <w:adjustRightInd w:val="0"/>
        <w:spacing w:after="0" w:line="240" w:lineRule="auto"/>
        <w:rPr>
          <w:rFonts w:ascii="Times New Roman" w:hAnsi="Times New Roman"/>
          <w:i/>
          <w:lang w:val="lt-LT"/>
        </w:rPr>
      </w:pPr>
      <w:r w:rsidRPr="00E708C1">
        <w:rPr>
          <w:rFonts w:ascii="Times New Roman" w:hAnsi="Times New Roman"/>
          <w:i/>
          <w:lang w:val="lt-LT"/>
        </w:rPr>
        <w:t>Sutrikusi inkstų funkcija</w:t>
      </w:r>
      <w:r w:rsidR="00903AC2">
        <w:rPr>
          <w:rFonts w:ascii="Times New Roman" w:hAnsi="Times New Roman"/>
          <w:i/>
          <w:lang w:val="lt-LT"/>
        </w:rPr>
        <w:t xml:space="preserve"> </w:t>
      </w:r>
    </w:p>
    <w:p w14:paraId="26E55F8C" w14:textId="77777777" w:rsidR="002C6CB0" w:rsidRPr="00816A48" w:rsidRDefault="000742BF" w:rsidP="0033112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Pacientams, kuri</w:t>
      </w:r>
      <w:r w:rsidR="006D58CB" w:rsidRPr="00816A48">
        <w:rPr>
          <w:rFonts w:ascii="Times New Roman" w:hAnsi="Times New Roman"/>
          <w:color w:val="000000"/>
          <w:lang w:val="lt-LT"/>
        </w:rPr>
        <w:t>ų kreatinino koncentracija kraujo serume yra didesnė nei 200 mikromolių/l (2,3 mg/dl) arba kreatinino klirensas (išmatuotasis arba apskaičiuotasis) yra mažesnis nei 30 ml/min., ibandrono rūgšties vartoti nerekomenduojama, nes klinikinių duomenų apie tokius pacientus nepakanka</w:t>
      </w:r>
      <w:r w:rsidR="002C6CB0" w:rsidRPr="00816A48">
        <w:rPr>
          <w:rFonts w:ascii="Times New Roman" w:hAnsi="Times New Roman"/>
          <w:color w:val="000000"/>
          <w:lang w:val="lt-LT"/>
        </w:rPr>
        <w:t xml:space="preserve"> (žr.</w:t>
      </w:r>
      <w:r w:rsidR="009B4884" w:rsidRPr="00816A48">
        <w:rPr>
          <w:rFonts w:ascii="Times New Roman" w:hAnsi="Times New Roman"/>
          <w:color w:val="000000"/>
          <w:lang w:val="lt-LT"/>
        </w:rPr>
        <w:t xml:space="preserve"> </w:t>
      </w:r>
      <w:r w:rsidR="002C6CB0" w:rsidRPr="00816A48">
        <w:rPr>
          <w:rFonts w:ascii="Times New Roman" w:hAnsi="Times New Roman"/>
          <w:color w:val="000000"/>
          <w:lang w:val="lt-LT"/>
        </w:rPr>
        <w:t>4.4 ir 5.2</w:t>
      </w:r>
      <w:r w:rsidR="00332A82" w:rsidRPr="00816A48">
        <w:rPr>
          <w:rFonts w:ascii="Times New Roman" w:hAnsi="Times New Roman"/>
          <w:color w:val="000000"/>
          <w:lang w:val="lt-LT"/>
        </w:rPr>
        <w:t> </w:t>
      </w:r>
      <w:r w:rsidR="002C6CB0" w:rsidRPr="00816A48">
        <w:rPr>
          <w:rFonts w:ascii="Times New Roman" w:hAnsi="Times New Roman"/>
          <w:color w:val="000000"/>
          <w:lang w:val="lt-LT"/>
        </w:rPr>
        <w:t>skyrius).</w:t>
      </w:r>
    </w:p>
    <w:p w14:paraId="488F4E55" w14:textId="77777777" w:rsidR="007750B7" w:rsidRPr="00816A48" w:rsidRDefault="007750B7" w:rsidP="00DA1B4A">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Pacientams, kuriems yra lengvas arba vidutinio sunkumo inkstų funkcijos sutrikimas (kreatinino koncentracija </w:t>
      </w:r>
      <w:r w:rsidR="00527BF4">
        <w:rPr>
          <w:rFonts w:ascii="Times New Roman" w:hAnsi="Times New Roman"/>
          <w:color w:val="000000"/>
          <w:lang w:val="lt-LT"/>
        </w:rPr>
        <w:t xml:space="preserve">kraujo </w:t>
      </w:r>
      <w:r w:rsidRPr="00816A48">
        <w:rPr>
          <w:rFonts w:ascii="Times New Roman" w:hAnsi="Times New Roman"/>
          <w:color w:val="000000"/>
          <w:lang w:val="lt-LT"/>
        </w:rPr>
        <w:t>serume yra 200 mikromolių/l (2,3 mg/dl) ar mažesnė arba kreatinino klirensas (išmatuotasis arba apskaičiuotasis) yra 30 ml/min. ar didesnis), dozės keisti nereikia.</w:t>
      </w:r>
    </w:p>
    <w:p w14:paraId="3CBCEFDE" w14:textId="77777777" w:rsidR="007750B7" w:rsidRPr="00816A48" w:rsidRDefault="007750B7" w:rsidP="00735AD3">
      <w:pPr>
        <w:autoSpaceDE w:val="0"/>
        <w:autoSpaceDN w:val="0"/>
        <w:adjustRightInd w:val="0"/>
        <w:spacing w:after="0" w:line="240" w:lineRule="auto"/>
        <w:rPr>
          <w:rFonts w:ascii="Times New Roman" w:hAnsi="Times New Roman"/>
          <w:color w:val="000000"/>
          <w:lang w:val="lt-LT"/>
        </w:rPr>
      </w:pPr>
    </w:p>
    <w:p w14:paraId="4DC3A0C0" w14:textId="2F82D47B" w:rsidR="001062EE" w:rsidRDefault="001062EE" w:rsidP="000F0A27">
      <w:pPr>
        <w:autoSpaceDE w:val="0"/>
        <w:autoSpaceDN w:val="0"/>
        <w:adjustRightInd w:val="0"/>
        <w:spacing w:after="0" w:line="240" w:lineRule="auto"/>
        <w:rPr>
          <w:rFonts w:ascii="Times New Roman" w:hAnsi="Times New Roman"/>
          <w:i/>
          <w:lang w:val="lt-LT"/>
        </w:rPr>
      </w:pPr>
      <w:r w:rsidRPr="00E708C1">
        <w:rPr>
          <w:rFonts w:ascii="Times New Roman" w:hAnsi="Times New Roman"/>
          <w:i/>
          <w:lang w:val="lt-LT"/>
        </w:rPr>
        <w:t>Sutrikusi kepenų funkcija</w:t>
      </w:r>
    </w:p>
    <w:p w14:paraId="64FAC3B5" w14:textId="77777777" w:rsidR="007750B7" w:rsidRPr="00816A48" w:rsidRDefault="007750B7" w:rsidP="000F0A27">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Dozės keisti nereikia (žr. 5.2 skyrių).</w:t>
      </w:r>
    </w:p>
    <w:p w14:paraId="0332EE6B" w14:textId="77777777" w:rsidR="007750B7" w:rsidRPr="00816A48" w:rsidRDefault="007750B7" w:rsidP="000A0BCD">
      <w:pPr>
        <w:autoSpaceDE w:val="0"/>
        <w:autoSpaceDN w:val="0"/>
        <w:adjustRightInd w:val="0"/>
        <w:spacing w:after="0" w:line="240" w:lineRule="auto"/>
        <w:rPr>
          <w:rFonts w:ascii="Times New Roman" w:hAnsi="Times New Roman"/>
          <w:color w:val="000000"/>
          <w:lang w:val="lt-LT"/>
        </w:rPr>
      </w:pPr>
    </w:p>
    <w:p w14:paraId="53F1356B" w14:textId="6F4ED723" w:rsidR="007750B7" w:rsidRPr="00816A48" w:rsidRDefault="007750B7" w:rsidP="00F55F27">
      <w:pPr>
        <w:keepNext/>
        <w:autoSpaceDE w:val="0"/>
        <w:autoSpaceDN w:val="0"/>
        <w:adjustRightInd w:val="0"/>
        <w:spacing w:after="0" w:line="240" w:lineRule="auto"/>
        <w:rPr>
          <w:rFonts w:ascii="Times New Roman" w:hAnsi="Times New Roman"/>
          <w:color w:val="000000"/>
          <w:lang w:val="lt-LT"/>
        </w:rPr>
      </w:pPr>
      <w:r w:rsidRPr="00816A48">
        <w:rPr>
          <w:rFonts w:ascii="Times New Roman" w:hAnsi="Times New Roman"/>
          <w:i/>
          <w:color w:val="000000"/>
          <w:lang w:val="lt-LT"/>
        </w:rPr>
        <w:lastRenderedPageBreak/>
        <w:t>Senyviems pacientams</w:t>
      </w:r>
      <w:r w:rsidR="00F20CB9" w:rsidRPr="00816A48">
        <w:rPr>
          <w:rFonts w:ascii="Times New Roman" w:hAnsi="Times New Roman"/>
          <w:i/>
          <w:iCs/>
          <w:color w:val="000000"/>
          <w:lang w:val="lt-LT"/>
        </w:rPr>
        <w:t xml:space="preserve"> </w:t>
      </w:r>
      <w:r w:rsidR="000C08F1" w:rsidRPr="00816A48">
        <w:rPr>
          <w:rFonts w:ascii="Times New Roman" w:hAnsi="Times New Roman"/>
          <w:i/>
          <w:iCs/>
          <w:color w:val="000000"/>
          <w:lang w:val="lt-LT"/>
        </w:rPr>
        <w:t>(&gt;</w:t>
      </w:r>
      <w:r w:rsidR="00903AC2">
        <w:rPr>
          <w:rFonts w:ascii="Times New Roman" w:hAnsi="Times New Roman"/>
          <w:i/>
          <w:iCs/>
          <w:color w:val="000000"/>
          <w:lang w:val="lt-LT"/>
        </w:rPr>
        <w:t> </w:t>
      </w:r>
      <w:r w:rsidR="000C08F1" w:rsidRPr="00816A48">
        <w:rPr>
          <w:rFonts w:ascii="Times New Roman" w:hAnsi="Times New Roman"/>
          <w:i/>
          <w:iCs/>
          <w:color w:val="000000"/>
          <w:lang w:val="lt-LT"/>
        </w:rPr>
        <w:t>65</w:t>
      </w:r>
      <w:r w:rsidR="00527BF4">
        <w:rPr>
          <w:rFonts w:ascii="Times New Roman" w:hAnsi="Times New Roman"/>
          <w:i/>
          <w:iCs/>
          <w:color w:val="000000"/>
          <w:lang w:val="lt-LT"/>
        </w:rPr>
        <w:t xml:space="preserve"> metų</w:t>
      </w:r>
      <w:r w:rsidR="000C08F1" w:rsidRPr="00816A48">
        <w:rPr>
          <w:rFonts w:ascii="Times New Roman" w:hAnsi="Times New Roman"/>
          <w:i/>
          <w:iCs/>
          <w:color w:val="000000"/>
          <w:lang w:val="lt-LT"/>
        </w:rPr>
        <w:t>)</w:t>
      </w:r>
    </w:p>
    <w:p w14:paraId="679B2CB4" w14:textId="77777777" w:rsidR="007750B7" w:rsidRPr="00816A48" w:rsidRDefault="007750B7" w:rsidP="00A761AB">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Dozės keisti nereikia (žr. 5.2 skyrių).</w:t>
      </w:r>
    </w:p>
    <w:p w14:paraId="470ED646" w14:textId="77777777" w:rsidR="007750B7" w:rsidRPr="00816A48" w:rsidRDefault="007750B7" w:rsidP="00A761AB">
      <w:pPr>
        <w:autoSpaceDE w:val="0"/>
        <w:autoSpaceDN w:val="0"/>
        <w:adjustRightInd w:val="0"/>
        <w:spacing w:after="0" w:line="240" w:lineRule="auto"/>
        <w:rPr>
          <w:rFonts w:ascii="Times New Roman" w:hAnsi="Times New Roman"/>
          <w:color w:val="000000"/>
          <w:lang w:val="lt-LT"/>
        </w:rPr>
      </w:pPr>
    </w:p>
    <w:p w14:paraId="1F3F0FF3" w14:textId="77777777" w:rsidR="007750B7" w:rsidRPr="00816A48" w:rsidRDefault="007750B7" w:rsidP="0062444B">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i/>
          <w:iCs/>
          <w:color w:val="000000"/>
          <w:lang w:val="lt-LT"/>
        </w:rPr>
        <w:t>Vaik</w:t>
      </w:r>
      <w:r w:rsidR="006C294E" w:rsidRPr="00816A48">
        <w:rPr>
          <w:rFonts w:ascii="Times New Roman" w:hAnsi="Times New Roman"/>
          <w:i/>
          <w:iCs/>
          <w:color w:val="000000"/>
          <w:lang w:val="lt-LT"/>
        </w:rPr>
        <w:t>ų populiacija</w:t>
      </w:r>
    </w:p>
    <w:p w14:paraId="5153B2EB" w14:textId="0EFB37B1" w:rsidR="007750B7" w:rsidRPr="00816A48" w:rsidRDefault="006C294E" w:rsidP="00947F4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Jaunesniems, kaip 18</w:t>
      </w:r>
      <w:r w:rsidR="008A082A">
        <w:rPr>
          <w:rFonts w:ascii="Times New Roman" w:hAnsi="Times New Roman"/>
          <w:color w:val="000000"/>
          <w:lang w:val="lt-LT"/>
        </w:rPr>
        <w:t> </w:t>
      </w:r>
      <w:r w:rsidRPr="00816A48">
        <w:rPr>
          <w:rFonts w:ascii="Times New Roman" w:hAnsi="Times New Roman"/>
          <w:color w:val="000000"/>
          <w:lang w:val="lt-LT"/>
        </w:rPr>
        <w:t xml:space="preserve">metų vaikams </w:t>
      </w:r>
      <w:r w:rsidR="009B4884" w:rsidRPr="00816A48">
        <w:rPr>
          <w:rFonts w:ascii="Times New Roman" w:hAnsi="Times New Roman"/>
          <w:color w:val="000000"/>
          <w:lang w:val="lt-LT"/>
        </w:rPr>
        <w:t>i</w:t>
      </w:r>
      <w:r w:rsidR="007750B7" w:rsidRPr="00816A48">
        <w:rPr>
          <w:rFonts w:ascii="Times New Roman" w:hAnsi="Times New Roman"/>
          <w:color w:val="000000"/>
          <w:lang w:val="lt-LT"/>
        </w:rPr>
        <w:t xml:space="preserve">bandrono rūgštis neskiriama ir ibandrono rūgšties tyrimų su </w:t>
      </w:r>
      <w:r w:rsidRPr="00816A48">
        <w:rPr>
          <w:rFonts w:ascii="Times New Roman" w:hAnsi="Times New Roman"/>
          <w:color w:val="000000"/>
          <w:lang w:val="lt-LT"/>
        </w:rPr>
        <w:t>šia populiacija neatlikta (žr. 5.1 ir 5.2</w:t>
      </w:r>
      <w:r w:rsidR="00332A82" w:rsidRPr="00816A48">
        <w:rPr>
          <w:rFonts w:ascii="Times New Roman" w:hAnsi="Times New Roman"/>
          <w:color w:val="000000"/>
          <w:lang w:val="lt-LT"/>
        </w:rPr>
        <w:t> </w:t>
      </w:r>
      <w:r w:rsidRPr="00816A48">
        <w:rPr>
          <w:rFonts w:ascii="Times New Roman" w:hAnsi="Times New Roman"/>
          <w:color w:val="000000"/>
          <w:lang w:val="lt-LT"/>
        </w:rPr>
        <w:t>skyrius).</w:t>
      </w:r>
    </w:p>
    <w:p w14:paraId="1303D2D1"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14BB4F8E"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u w:val="single"/>
          <w:lang w:val="lt-LT"/>
        </w:rPr>
        <w:t>Vartojimo metodas</w:t>
      </w:r>
    </w:p>
    <w:p w14:paraId="70E7B3D4" w14:textId="5694445C" w:rsidR="007750B7" w:rsidRPr="00816A48" w:rsidRDefault="006C294E"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Kas tris mėnesius per 15</w:t>
      </w:r>
      <w:r w:rsidR="00F20CB9" w:rsidRPr="00816A48">
        <w:rPr>
          <w:rFonts w:ascii="Times New Roman" w:hAnsi="Times New Roman"/>
          <w:color w:val="000000"/>
          <w:lang w:val="lt-LT"/>
        </w:rPr>
        <w:noBreakHyphen/>
      </w:r>
      <w:r w:rsidRPr="00816A48">
        <w:rPr>
          <w:rFonts w:ascii="Times New Roman" w:hAnsi="Times New Roman"/>
          <w:color w:val="000000"/>
          <w:lang w:val="lt-LT"/>
        </w:rPr>
        <w:t>30</w:t>
      </w:r>
      <w:r w:rsidR="008A082A">
        <w:rPr>
          <w:rFonts w:ascii="Times New Roman" w:hAnsi="Times New Roman"/>
          <w:color w:val="000000"/>
          <w:lang w:val="lt-LT"/>
        </w:rPr>
        <w:t> </w:t>
      </w:r>
      <w:r w:rsidRPr="00816A48">
        <w:rPr>
          <w:rFonts w:ascii="Times New Roman" w:hAnsi="Times New Roman"/>
          <w:color w:val="000000"/>
          <w:lang w:val="lt-LT"/>
        </w:rPr>
        <w:t xml:space="preserve">sekundžių suleisti į veną. </w:t>
      </w:r>
    </w:p>
    <w:p w14:paraId="03EAC388" w14:textId="77777777" w:rsidR="00A953C9" w:rsidRPr="00816A48" w:rsidRDefault="007750B7"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color w:val="000000"/>
          <w:lang w:val="lt-LT"/>
        </w:rPr>
        <w:t>Vaistinis preparatas turi būti suleistas tik į veną (žr. 4.4 skyrių).</w:t>
      </w:r>
    </w:p>
    <w:p w14:paraId="605BE117" w14:textId="77777777" w:rsidR="00A953C9" w:rsidRPr="00816A48" w:rsidRDefault="00A953C9" w:rsidP="003D3259">
      <w:pPr>
        <w:autoSpaceDE w:val="0"/>
        <w:autoSpaceDN w:val="0"/>
        <w:adjustRightInd w:val="0"/>
        <w:spacing w:after="0" w:line="240" w:lineRule="auto"/>
        <w:rPr>
          <w:rFonts w:ascii="Times New Roman" w:hAnsi="Times New Roman"/>
          <w:color w:val="000000"/>
          <w:lang w:val="lt-LT"/>
        </w:rPr>
      </w:pPr>
    </w:p>
    <w:p w14:paraId="3FD72166" w14:textId="77777777" w:rsidR="007750B7" w:rsidRPr="00816A48" w:rsidRDefault="007750B7" w:rsidP="00861232">
      <w:pPr>
        <w:pStyle w:val="Default"/>
        <w:ind w:left="540" w:hanging="540"/>
        <w:rPr>
          <w:b/>
          <w:color w:val="auto"/>
          <w:sz w:val="22"/>
          <w:szCs w:val="22"/>
          <w:lang w:val="lt-LT"/>
        </w:rPr>
      </w:pPr>
      <w:r w:rsidRPr="00816A48">
        <w:rPr>
          <w:b/>
          <w:color w:val="auto"/>
          <w:sz w:val="22"/>
          <w:szCs w:val="22"/>
          <w:lang w:val="lt-LT"/>
        </w:rPr>
        <w:t>4.3</w:t>
      </w:r>
      <w:r w:rsidRPr="00816A48">
        <w:rPr>
          <w:b/>
          <w:color w:val="auto"/>
          <w:sz w:val="22"/>
          <w:szCs w:val="22"/>
          <w:lang w:val="lt-LT"/>
        </w:rPr>
        <w:tab/>
        <w:t>Kontraindikacijos</w:t>
      </w:r>
    </w:p>
    <w:p w14:paraId="3B290B10"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309A49D1" w14:textId="110F6D11" w:rsidR="007750B7" w:rsidRPr="00816A48" w:rsidRDefault="007750B7" w:rsidP="003D3259">
      <w:pPr>
        <w:autoSpaceDE w:val="0"/>
        <w:autoSpaceDN w:val="0"/>
        <w:adjustRightInd w:val="0"/>
        <w:spacing w:after="0" w:line="240" w:lineRule="auto"/>
        <w:ind w:left="540" w:hanging="540"/>
        <w:rPr>
          <w:rFonts w:ascii="Times New Roman" w:hAnsi="Times New Roman"/>
          <w:color w:val="000000"/>
          <w:lang w:val="lt-LT"/>
        </w:rPr>
      </w:pPr>
      <w:r w:rsidRPr="00816A48">
        <w:rPr>
          <w:rFonts w:ascii="Times New Roman" w:hAnsi="Times New Roman"/>
          <w:color w:val="000000"/>
          <w:lang w:val="lt-LT"/>
        </w:rPr>
        <w:t>-</w:t>
      </w:r>
      <w:r w:rsidRPr="00816A48">
        <w:rPr>
          <w:rFonts w:ascii="Times New Roman" w:hAnsi="Times New Roman"/>
          <w:color w:val="000000"/>
          <w:lang w:val="lt-LT"/>
        </w:rPr>
        <w:tab/>
        <w:t xml:space="preserve">Padidėjęs jautrumas </w:t>
      </w:r>
      <w:r w:rsidR="00C5643B" w:rsidRPr="00816A48">
        <w:rPr>
          <w:rFonts w:ascii="Times New Roman" w:hAnsi="Times New Roman"/>
          <w:color w:val="000000"/>
          <w:lang w:val="lt-LT"/>
        </w:rPr>
        <w:t>veikliajai</w:t>
      </w:r>
      <w:r w:rsidRPr="00816A48">
        <w:rPr>
          <w:rFonts w:ascii="Times New Roman" w:hAnsi="Times New Roman"/>
          <w:color w:val="000000"/>
          <w:lang w:val="lt-LT"/>
        </w:rPr>
        <w:t xml:space="preserve"> arba bet kuriai </w:t>
      </w:r>
      <w:r w:rsidR="00502A0F" w:rsidRPr="00816A48">
        <w:rPr>
          <w:rFonts w:ascii="Times New Roman" w:hAnsi="Times New Roman"/>
          <w:color w:val="000000"/>
          <w:lang w:val="lt-LT"/>
        </w:rPr>
        <w:t>6.1</w:t>
      </w:r>
      <w:r w:rsidR="008A082A">
        <w:rPr>
          <w:rFonts w:ascii="Times New Roman" w:hAnsi="Times New Roman"/>
          <w:color w:val="000000"/>
          <w:lang w:val="lt-LT"/>
        </w:rPr>
        <w:t> </w:t>
      </w:r>
      <w:r w:rsidR="00502A0F" w:rsidRPr="00816A48">
        <w:rPr>
          <w:rFonts w:ascii="Times New Roman" w:hAnsi="Times New Roman"/>
          <w:color w:val="000000"/>
          <w:lang w:val="lt-LT"/>
        </w:rPr>
        <w:t>skyriuje nurodytai pagalbinei medžiagai.</w:t>
      </w:r>
    </w:p>
    <w:p w14:paraId="2A0EAB12" w14:textId="77777777" w:rsidR="007750B7" w:rsidRPr="00816A48" w:rsidRDefault="007750B7" w:rsidP="003D3259">
      <w:pPr>
        <w:autoSpaceDE w:val="0"/>
        <w:autoSpaceDN w:val="0"/>
        <w:adjustRightInd w:val="0"/>
        <w:spacing w:after="0" w:line="240" w:lineRule="auto"/>
        <w:ind w:left="540" w:hanging="540"/>
        <w:rPr>
          <w:rFonts w:ascii="Times New Roman" w:hAnsi="Times New Roman"/>
          <w:color w:val="000000"/>
          <w:lang w:val="lt-LT"/>
        </w:rPr>
      </w:pPr>
      <w:r w:rsidRPr="00816A48">
        <w:rPr>
          <w:rFonts w:ascii="Times New Roman" w:hAnsi="Times New Roman"/>
          <w:color w:val="000000"/>
          <w:lang w:val="lt-LT"/>
        </w:rPr>
        <w:t>-</w:t>
      </w:r>
      <w:r w:rsidRPr="00816A48">
        <w:rPr>
          <w:rFonts w:ascii="Times New Roman" w:hAnsi="Times New Roman"/>
          <w:color w:val="000000"/>
          <w:lang w:val="lt-LT"/>
        </w:rPr>
        <w:tab/>
        <w:t>Hipokalcemija.</w:t>
      </w:r>
    </w:p>
    <w:p w14:paraId="0FC5AAB5" w14:textId="77777777" w:rsidR="007750B7" w:rsidRPr="00816A48" w:rsidRDefault="007750B7" w:rsidP="00861232">
      <w:pPr>
        <w:pStyle w:val="Default"/>
        <w:rPr>
          <w:color w:val="auto"/>
          <w:sz w:val="22"/>
          <w:szCs w:val="22"/>
          <w:lang w:val="lt-LT"/>
        </w:rPr>
      </w:pPr>
    </w:p>
    <w:p w14:paraId="2D329B13" w14:textId="77777777" w:rsidR="007750B7" w:rsidRPr="00816A48" w:rsidRDefault="007750B7" w:rsidP="00861232">
      <w:pPr>
        <w:pStyle w:val="Default"/>
        <w:ind w:left="540" w:hanging="540"/>
        <w:rPr>
          <w:b/>
          <w:color w:val="auto"/>
          <w:sz w:val="22"/>
          <w:szCs w:val="22"/>
          <w:lang w:val="lt-LT"/>
        </w:rPr>
      </w:pPr>
      <w:r w:rsidRPr="00816A48">
        <w:rPr>
          <w:b/>
          <w:color w:val="auto"/>
          <w:sz w:val="22"/>
          <w:szCs w:val="22"/>
          <w:lang w:val="lt-LT"/>
        </w:rPr>
        <w:t>4.4</w:t>
      </w:r>
      <w:r w:rsidRPr="00816A48">
        <w:rPr>
          <w:b/>
          <w:color w:val="auto"/>
          <w:sz w:val="22"/>
          <w:szCs w:val="22"/>
          <w:lang w:val="lt-LT"/>
        </w:rPr>
        <w:tab/>
        <w:t>Specialūs įspėjimai ir atsargumo priemonės</w:t>
      </w:r>
    </w:p>
    <w:p w14:paraId="09740006"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42318AAC" w14:textId="77777777" w:rsidR="007750B7" w:rsidRPr="00816A48" w:rsidRDefault="007750B7" w:rsidP="003D3259">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Vartojimo klaidos</w:t>
      </w:r>
    </w:p>
    <w:p w14:paraId="01A1AD93" w14:textId="77777777" w:rsidR="007750B7" w:rsidRPr="00816A48" w:rsidRDefault="007750B7" w:rsidP="007A65B4">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Būtinas atsargumas, kad </w:t>
      </w:r>
      <w:r w:rsidR="007A65B4" w:rsidRPr="00816A48">
        <w:rPr>
          <w:rFonts w:ascii="Times New Roman" w:hAnsi="Times New Roman"/>
          <w:color w:val="000000"/>
          <w:lang w:val="lt-LT"/>
        </w:rPr>
        <w:t>Osagrand injekcija</w:t>
      </w:r>
      <w:r w:rsidRPr="00816A48">
        <w:rPr>
          <w:rFonts w:ascii="Times New Roman" w:hAnsi="Times New Roman"/>
          <w:color w:val="000000"/>
          <w:lang w:val="lt-LT"/>
        </w:rPr>
        <w:t xml:space="preserve"> nebūtų suleista į arteriją arba šalia venos, nes gali pasireikšti audinių pažaida.</w:t>
      </w:r>
    </w:p>
    <w:p w14:paraId="328C7FA6" w14:textId="77777777" w:rsidR="007750B7" w:rsidRPr="00816A48" w:rsidRDefault="007750B7" w:rsidP="00661507">
      <w:pPr>
        <w:autoSpaceDE w:val="0"/>
        <w:autoSpaceDN w:val="0"/>
        <w:adjustRightInd w:val="0"/>
        <w:spacing w:after="0" w:line="240" w:lineRule="auto"/>
        <w:rPr>
          <w:rFonts w:ascii="Times New Roman" w:hAnsi="Times New Roman"/>
          <w:color w:val="000000"/>
          <w:lang w:val="lt-LT"/>
        </w:rPr>
      </w:pPr>
    </w:p>
    <w:p w14:paraId="5309D354" w14:textId="77777777" w:rsidR="007750B7" w:rsidRPr="00816A48" w:rsidRDefault="007750B7" w:rsidP="00604FE8">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Hipokalcemija</w:t>
      </w:r>
    </w:p>
    <w:p w14:paraId="3AFD228F" w14:textId="77777777" w:rsidR="007750B7" w:rsidRPr="00816A48" w:rsidRDefault="007750B7" w:rsidP="0033112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Ibandrono rūgštį, kaip ir kitokius bisfosfonatus, suleidus į veną, gali trumpam sumažėti kalcio koncentracij</w:t>
      </w:r>
      <w:r w:rsidR="00502A0F" w:rsidRPr="00816A48">
        <w:rPr>
          <w:rFonts w:ascii="Times New Roman" w:hAnsi="Times New Roman"/>
          <w:color w:val="000000"/>
          <w:lang w:val="lt-LT"/>
        </w:rPr>
        <w:t>a</w:t>
      </w:r>
      <w:r w:rsidRPr="00816A48">
        <w:rPr>
          <w:rFonts w:ascii="Times New Roman" w:hAnsi="Times New Roman"/>
          <w:color w:val="000000"/>
          <w:lang w:val="lt-LT"/>
        </w:rPr>
        <w:t xml:space="preserve"> </w:t>
      </w:r>
      <w:r w:rsidR="00527BF4">
        <w:rPr>
          <w:rFonts w:ascii="Times New Roman" w:hAnsi="Times New Roman"/>
          <w:color w:val="000000"/>
          <w:lang w:val="lt-LT"/>
        </w:rPr>
        <w:t xml:space="preserve">kraujo </w:t>
      </w:r>
      <w:r w:rsidRPr="00816A48">
        <w:rPr>
          <w:rFonts w:ascii="Times New Roman" w:hAnsi="Times New Roman"/>
          <w:color w:val="000000"/>
          <w:lang w:val="lt-LT"/>
        </w:rPr>
        <w:t>serume.</w:t>
      </w:r>
    </w:p>
    <w:p w14:paraId="1C238C70" w14:textId="17D7F161" w:rsidR="007750B7" w:rsidRPr="00816A48" w:rsidRDefault="007750B7" w:rsidP="00DA1B4A">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Esamą hipokalcemiją reikia koreguoti prieš pradedant gydymą ibandrono rūgšti</w:t>
      </w:r>
      <w:r w:rsidR="00502A0F" w:rsidRPr="00816A48">
        <w:rPr>
          <w:rFonts w:ascii="Times New Roman" w:hAnsi="Times New Roman"/>
          <w:color w:val="000000"/>
          <w:lang w:val="lt-LT"/>
        </w:rPr>
        <w:t>es injekcija.</w:t>
      </w:r>
      <w:r w:rsidRPr="00816A48">
        <w:rPr>
          <w:rFonts w:ascii="Times New Roman" w:hAnsi="Times New Roman"/>
          <w:color w:val="000000"/>
          <w:lang w:val="lt-LT"/>
        </w:rPr>
        <w:t xml:space="preserve"> Kiti kaulų ir mineralų metabolizmo sutrikimai irgi turi būti veiksmingai gydomi prieš pradedant gydymą ibandrono rūgšti</w:t>
      </w:r>
      <w:r w:rsidR="00502A0F" w:rsidRPr="00816A48">
        <w:rPr>
          <w:rFonts w:ascii="Times New Roman" w:hAnsi="Times New Roman"/>
          <w:color w:val="000000"/>
          <w:lang w:val="lt-LT"/>
        </w:rPr>
        <w:t>es injekcija.</w:t>
      </w:r>
      <w:r w:rsidRPr="00816A48">
        <w:rPr>
          <w:rFonts w:ascii="Times New Roman" w:hAnsi="Times New Roman"/>
          <w:color w:val="000000"/>
          <w:lang w:val="lt-LT"/>
        </w:rPr>
        <w:t xml:space="preserve"> Visi pacientai turi vartoti pakankamai kalcio ir vitamino</w:t>
      </w:r>
      <w:r w:rsidR="008A082A">
        <w:rPr>
          <w:rFonts w:ascii="Times New Roman" w:hAnsi="Times New Roman"/>
          <w:color w:val="000000"/>
          <w:lang w:val="lt-LT"/>
        </w:rPr>
        <w:t> </w:t>
      </w:r>
      <w:r w:rsidRPr="00816A48">
        <w:rPr>
          <w:rFonts w:ascii="Times New Roman" w:hAnsi="Times New Roman"/>
          <w:color w:val="000000"/>
          <w:lang w:val="lt-LT"/>
        </w:rPr>
        <w:t>D.</w:t>
      </w:r>
    </w:p>
    <w:p w14:paraId="1ACF58EA" w14:textId="77777777" w:rsidR="007750B7" w:rsidRPr="00816A48" w:rsidRDefault="007750B7" w:rsidP="00735AD3">
      <w:pPr>
        <w:autoSpaceDE w:val="0"/>
        <w:autoSpaceDN w:val="0"/>
        <w:adjustRightInd w:val="0"/>
        <w:spacing w:after="0" w:line="240" w:lineRule="auto"/>
        <w:rPr>
          <w:rFonts w:ascii="Times New Roman" w:hAnsi="Times New Roman"/>
          <w:color w:val="000000"/>
          <w:lang w:val="lt-LT"/>
        </w:rPr>
      </w:pPr>
    </w:p>
    <w:p w14:paraId="1F92D3A4" w14:textId="77777777" w:rsidR="00502A0F" w:rsidRPr="00816A48" w:rsidRDefault="00502A0F" w:rsidP="000F0A27">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Anafilaksinė reakcija</w:t>
      </w:r>
      <w:r w:rsidR="00332A82" w:rsidRPr="00816A48">
        <w:rPr>
          <w:rFonts w:ascii="Times New Roman" w:hAnsi="Times New Roman"/>
          <w:color w:val="000000"/>
          <w:u w:val="single"/>
          <w:lang w:val="lt-LT"/>
        </w:rPr>
        <w:t xml:space="preserve"> ar </w:t>
      </w:r>
      <w:r w:rsidRPr="00816A48">
        <w:rPr>
          <w:rFonts w:ascii="Times New Roman" w:hAnsi="Times New Roman"/>
          <w:color w:val="000000"/>
          <w:u w:val="single"/>
          <w:lang w:val="lt-LT"/>
        </w:rPr>
        <w:t>šokas</w:t>
      </w:r>
    </w:p>
    <w:p w14:paraId="5ECDEAC1" w14:textId="77777777" w:rsidR="00F20CB9" w:rsidRPr="00816A48" w:rsidRDefault="00242DA5" w:rsidP="000F0A27">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Ibandrono rūgštimi į veną gydytiems pacientams buvo pastebėti anafilaksinės reakcijos ar šoko atvejai, įskaitant mirtį nulėmusius atvejus.</w:t>
      </w:r>
    </w:p>
    <w:p w14:paraId="1CB3E673" w14:textId="77777777" w:rsidR="00502A0F" w:rsidRPr="00816A48" w:rsidRDefault="00E05366" w:rsidP="000A0BCD">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Jei į veną leidžiama ibandrono rūgšties, reikalinga tinkama medikų priežiūra ir lengvai prieinamos sekimo priemonės. Jei pasireiškia anafilaksija ar</w:t>
      </w:r>
      <w:r w:rsidR="00332A82" w:rsidRPr="00816A48">
        <w:rPr>
          <w:rFonts w:ascii="Times New Roman" w:hAnsi="Times New Roman"/>
          <w:color w:val="000000"/>
          <w:lang w:val="lt-LT"/>
        </w:rPr>
        <w:t>ba</w:t>
      </w:r>
      <w:r w:rsidRPr="00816A48">
        <w:rPr>
          <w:rFonts w:ascii="Times New Roman" w:hAnsi="Times New Roman"/>
          <w:color w:val="000000"/>
          <w:lang w:val="lt-LT"/>
        </w:rPr>
        <w:t xml:space="preserve"> kit</w:t>
      </w:r>
      <w:r w:rsidR="00B75A67" w:rsidRPr="00816A48">
        <w:rPr>
          <w:rFonts w:ascii="Times New Roman" w:hAnsi="Times New Roman"/>
          <w:color w:val="000000"/>
          <w:lang w:val="lt-LT"/>
        </w:rPr>
        <w:t>a</w:t>
      </w:r>
      <w:r w:rsidRPr="00816A48">
        <w:rPr>
          <w:rFonts w:ascii="Times New Roman" w:hAnsi="Times New Roman"/>
          <w:color w:val="000000"/>
          <w:lang w:val="lt-LT"/>
        </w:rPr>
        <w:t xml:space="preserve"> sunki padidėjusio jautrumo ar</w:t>
      </w:r>
      <w:r w:rsidR="007A65B4" w:rsidRPr="00816A48">
        <w:rPr>
          <w:rFonts w:ascii="Times New Roman" w:hAnsi="Times New Roman"/>
          <w:color w:val="000000"/>
          <w:lang w:val="lt-LT"/>
        </w:rPr>
        <w:t>ba</w:t>
      </w:r>
      <w:r w:rsidRPr="00816A48">
        <w:rPr>
          <w:rFonts w:ascii="Times New Roman" w:hAnsi="Times New Roman"/>
          <w:color w:val="000000"/>
          <w:lang w:val="lt-LT"/>
        </w:rPr>
        <w:t xml:space="preserve"> alerginė reakcij</w:t>
      </w:r>
      <w:r w:rsidR="00B75A67" w:rsidRPr="00816A48">
        <w:rPr>
          <w:rFonts w:ascii="Times New Roman" w:hAnsi="Times New Roman"/>
          <w:color w:val="000000"/>
          <w:lang w:val="lt-LT"/>
        </w:rPr>
        <w:t>a</w:t>
      </w:r>
      <w:r w:rsidRPr="00816A48">
        <w:rPr>
          <w:rFonts w:ascii="Times New Roman" w:hAnsi="Times New Roman"/>
          <w:color w:val="000000"/>
          <w:lang w:val="lt-LT"/>
        </w:rPr>
        <w:t>, reikia nedelsiant nutraukti injekciją</w:t>
      </w:r>
      <w:r w:rsidR="00F20CB9" w:rsidRPr="00816A48">
        <w:rPr>
          <w:rFonts w:ascii="Times New Roman" w:hAnsi="Times New Roman"/>
          <w:color w:val="000000"/>
          <w:lang w:val="lt-LT"/>
        </w:rPr>
        <w:t xml:space="preserve"> </w:t>
      </w:r>
      <w:r w:rsidRPr="00816A48">
        <w:rPr>
          <w:rFonts w:ascii="Times New Roman" w:hAnsi="Times New Roman"/>
          <w:color w:val="000000"/>
          <w:lang w:val="lt-LT"/>
        </w:rPr>
        <w:t>ir pradėti tinkamą gydymą.</w:t>
      </w:r>
    </w:p>
    <w:p w14:paraId="3C9C98AD" w14:textId="77777777" w:rsidR="00502A0F" w:rsidRPr="00816A48" w:rsidRDefault="00502A0F" w:rsidP="00A761AB">
      <w:pPr>
        <w:autoSpaceDE w:val="0"/>
        <w:autoSpaceDN w:val="0"/>
        <w:adjustRightInd w:val="0"/>
        <w:spacing w:after="0" w:line="240" w:lineRule="auto"/>
        <w:rPr>
          <w:rFonts w:ascii="Times New Roman" w:hAnsi="Times New Roman"/>
          <w:color w:val="000000"/>
          <w:lang w:val="lt-LT"/>
        </w:rPr>
      </w:pPr>
    </w:p>
    <w:p w14:paraId="5E9A08F3" w14:textId="77777777" w:rsidR="00B75A67" w:rsidRPr="00816A48" w:rsidRDefault="00F64CE1" w:rsidP="00A761AB">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iCs/>
          <w:color w:val="000000"/>
          <w:u w:val="single"/>
          <w:lang w:val="lt-LT"/>
        </w:rPr>
        <w:t>Sutrikusi inkstų funkcija</w:t>
      </w:r>
    </w:p>
    <w:p w14:paraId="565645E4" w14:textId="77777777" w:rsidR="00B75A67" w:rsidRPr="00816A48" w:rsidRDefault="00DA1B4A" w:rsidP="0062444B">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Pacientus, kurie serga ligomis, kurių metu gali būti pažeisti inkstai, ar vartoja vaistinių preparatų, kurie gali sukelti nepageidaujamų inkstų reiškinių, gydymo metu reikia reguliariai tirti pagal geros medicininės praktikos reikalavimus.</w:t>
      </w:r>
    </w:p>
    <w:p w14:paraId="46C42015" w14:textId="77777777" w:rsidR="002058C4" w:rsidRPr="00816A48" w:rsidRDefault="00803F8C" w:rsidP="00947F4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Kadangi klinikinių tyrimų nepakanka, ibandrono rūgšties nerekomenduojama vartoti </w:t>
      </w:r>
      <w:r w:rsidR="002058C4" w:rsidRPr="00816A48">
        <w:rPr>
          <w:rFonts w:ascii="Times New Roman" w:hAnsi="Times New Roman"/>
          <w:color w:val="000000"/>
          <w:lang w:val="lt-LT"/>
        </w:rPr>
        <w:t xml:space="preserve">pacientams, kurių kreatinino koncentracija </w:t>
      </w:r>
      <w:r w:rsidR="00527BF4">
        <w:rPr>
          <w:rFonts w:ascii="Times New Roman" w:hAnsi="Times New Roman"/>
          <w:color w:val="000000"/>
          <w:lang w:val="lt-LT"/>
        </w:rPr>
        <w:t xml:space="preserve">kraujo </w:t>
      </w:r>
      <w:r w:rsidR="002058C4" w:rsidRPr="00816A48">
        <w:rPr>
          <w:rFonts w:ascii="Times New Roman" w:hAnsi="Times New Roman"/>
          <w:color w:val="000000"/>
          <w:lang w:val="lt-LT"/>
        </w:rPr>
        <w:t>serume yra didesnė kaip 200 mikromolių/l (2,3 mg/dl) arba kreatinino klirensas yra mažesnis kaip 30 ml/min (žr. 4.</w:t>
      </w:r>
      <w:r w:rsidRPr="00816A48">
        <w:rPr>
          <w:rFonts w:ascii="Times New Roman" w:hAnsi="Times New Roman"/>
          <w:color w:val="000000"/>
          <w:lang w:val="lt-LT"/>
        </w:rPr>
        <w:t>2</w:t>
      </w:r>
      <w:r w:rsidR="002058C4" w:rsidRPr="00816A48">
        <w:rPr>
          <w:rFonts w:ascii="Times New Roman" w:hAnsi="Times New Roman"/>
          <w:color w:val="000000"/>
          <w:lang w:val="lt-LT"/>
        </w:rPr>
        <w:t xml:space="preserve"> ir 5.2 skyrius).</w:t>
      </w:r>
    </w:p>
    <w:p w14:paraId="6D0FA0D0" w14:textId="77777777" w:rsidR="00803F8C" w:rsidRPr="00816A48" w:rsidRDefault="00803F8C" w:rsidP="003D3259">
      <w:pPr>
        <w:autoSpaceDE w:val="0"/>
        <w:autoSpaceDN w:val="0"/>
        <w:adjustRightInd w:val="0"/>
        <w:spacing w:after="0" w:line="240" w:lineRule="auto"/>
        <w:rPr>
          <w:rFonts w:ascii="Times New Roman" w:hAnsi="Times New Roman"/>
          <w:color w:val="000000"/>
          <w:lang w:val="lt-LT"/>
        </w:rPr>
      </w:pPr>
    </w:p>
    <w:p w14:paraId="0B994DF1" w14:textId="14AB51C7" w:rsidR="00803F8C" w:rsidRPr="00816A48" w:rsidRDefault="002D409F" w:rsidP="003D3259">
      <w:pPr>
        <w:autoSpaceDE w:val="0"/>
        <w:autoSpaceDN w:val="0"/>
        <w:adjustRightInd w:val="0"/>
        <w:spacing w:after="0" w:line="240" w:lineRule="auto"/>
        <w:rPr>
          <w:rFonts w:ascii="Times New Roman" w:hAnsi="Times New Roman"/>
          <w:color w:val="000000"/>
          <w:u w:val="single"/>
          <w:lang w:val="lt-LT"/>
        </w:rPr>
      </w:pPr>
      <w:r>
        <w:rPr>
          <w:rFonts w:ascii="Times New Roman" w:hAnsi="Times New Roman"/>
          <w:color w:val="000000"/>
          <w:u w:val="single"/>
          <w:lang w:val="lt-LT"/>
        </w:rPr>
        <w:t>Š</w:t>
      </w:r>
      <w:r w:rsidR="000C24FD" w:rsidRPr="00816A48">
        <w:rPr>
          <w:rFonts w:ascii="Times New Roman" w:hAnsi="Times New Roman"/>
          <w:color w:val="000000"/>
          <w:u w:val="single"/>
          <w:lang w:val="lt-LT"/>
        </w:rPr>
        <w:t xml:space="preserve">irdies </w:t>
      </w:r>
      <w:r w:rsidR="00134457" w:rsidRPr="00816A48">
        <w:rPr>
          <w:rFonts w:ascii="Times New Roman" w:hAnsi="Times New Roman"/>
          <w:color w:val="000000"/>
          <w:u w:val="single"/>
          <w:lang w:val="lt-LT"/>
        </w:rPr>
        <w:t>sutriki</w:t>
      </w:r>
      <w:r w:rsidR="00DA1B4A" w:rsidRPr="00816A48">
        <w:rPr>
          <w:rFonts w:ascii="Times New Roman" w:hAnsi="Times New Roman"/>
          <w:color w:val="000000"/>
          <w:u w:val="single"/>
          <w:lang w:val="lt-LT"/>
        </w:rPr>
        <w:t>mas</w:t>
      </w:r>
    </w:p>
    <w:p w14:paraId="134FCC21" w14:textId="77777777" w:rsidR="002058C4" w:rsidRPr="00816A48" w:rsidRDefault="000C24FD"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Pacientams, kuriems gre</w:t>
      </w:r>
      <w:r w:rsidR="00803F8C" w:rsidRPr="00816A48">
        <w:rPr>
          <w:rFonts w:ascii="Times New Roman" w:hAnsi="Times New Roman"/>
          <w:color w:val="000000"/>
          <w:lang w:val="lt-LT"/>
        </w:rPr>
        <w:t>sia širdies nepakankamumas, reikia vengti per didelio skysčių kiekio organizme.</w:t>
      </w:r>
    </w:p>
    <w:p w14:paraId="7756BC97" w14:textId="77777777" w:rsidR="00803F8C" w:rsidRPr="00816A48" w:rsidRDefault="00803F8C" w:rsidP="003D3259">
      <w:pPr>
        <w:autoSpaceDE w:val="0"/>
        <w:autoSpaceDN w:val="0"/>
        <w:adjustRightInd w:val="0"/>
        <w:spacing w:after="0" w:line="240" w:lineRule="auto"/>
        <w:rPr>
          <w:rFonts w:ascii="Times New Roman" w:hAnsi="Times New Roman"/>
          <w:color w:val="000000"/>
          <w:lang w:val="lt-LT"/>
        </w:rPr>
      </w:pPr>
    </w:p>
    <w:p w14:paraId="558DEC4F" w14:textId="77777777" w:rsidR="00803F8C" w:rsidRPr="00816A48" w:rsidRDefault="00803F8C" w:rsidP="003D3259">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Žandikaulio osteonekrozė</w:t>
      </w:r>
    </w:p>
    <w:p w14:paraId="40AF6B7D" w14:textId="0B6CFFF6" w:rsidR="00913927" w:rsidRPr="00816A48" w:rsidRDefault="00913927" w:rsidP="00913927">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Vaistiniam preparatui jau esant rinkoje </w:t>
      </w:r>
      <w:r>
        <w:rPr>
          <w:rFonts w:ascii="Times New Roman" w:hAnsi="Times New Roman"/>
          <w:color w:val="000000"/>
          <w:lang w:val="lt-LT"/>
        </w:rPr>
        <w:t xml:space="preserve">gauta labai retų pranešimų apie </w:t>
      </w:r>
      <w:r w:rsidRPr="00816A48">
        <w:rPr>
          <w:rFonts w:ascii="Times New Roman" w:hAnsi="Times New Roman"/>
          <w:color w:val="000000"/>
          <w:lang w:val="lt-LT"/>
        </w:rPr>
        <w:t>žandikaulio osteonekrozės (ŽON) atvej</w:t>
      </w:r>
      <w:r>
        <w:rPr>
          <w:rFonts w:ascii="Times New Roman" w:hAnsi="Times New Roman"/>
          <w:color w:val="000000"/>
          <w:lang w:val="lt-LT"/>
        </w:rPr>
        <w:t>us</w:t>
      </w:r>
      <w:r w:rsidRPr="00816A48">
        <w:rPr>
          <w:rFonts w:ascii="Times New Roman" w:hAnsi="Times New Roman"/>
          <w:color w:val="000000"/>
          <w:lang w:val="lt-LT"/>
        </w:rPr>
        <w:t xml:space="preserve"> pacientams, kurie Osagrand buvo gydomi nuo osteoporozės (žr. 4.8</w:t>
      </w:r>
      <w:r w:rsidR="008A082A">
        <w:rPr>
          <w:rFonts w:ascii="Times New Roman" w:hAnsi="Times New Roman"/>
          <w:color w:val="000000"/>
          <w:lang w:val="lt-LT"/>
        </w:rPr>
        <w:t> </w:t>
      </w:r>
      <w:r w:rsidRPr="00816A48">
        <w:rPr>
          <w:rFonts w:ascii="Times New Roman" w:hAnsi="Times New Roman"/>
          <w:color w:val="000000"/>
          <w:lang w:val="lt-LT"/>
        </w:rPr>
        <w:t xml:space="preserve">skyrių). </w:t>
      </w:r>
    </w:p>
    <w:p w14:paraId="24BB7D9E" w14:textId="77777777" w:rsidR="00913927" w:rsidRPr="00816A48" w:rsidRDefault="00913927" w:rsidP="00913927">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Pacientams, kurių burnoje yra neužgijusių atvirų minkštųjų audinių pažaidų, gydymo ar naujo gydymo kurso pradžią reikia atidėti. </w:t>
      </w:r>
    </w:p>
    <w:p w14:paraId="47CEDCC2" w14:textId="77777777" w:rsidR="00AE3A01" w:rsidRPr="00816A48" w:rsidRDefault="00505790"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Prieš </w:t>
      </w:r>
      <w:r w:rsidR="00CE74AB" w:rsidRPr="00816A48">
        <w:rPr>
          <w:rFonts w:ascii="Times New Roman" w:hAnsi="Times New Roman"/>
          <w:color w:val="000000"/>
          <w:lang w:val="lt-LT"/>
        </w:rPr>
        <w:t xml:space="preserve">pradedant </w:t>
      </w:r>
      <w:r w:rsidRPr="00816A48">
        <w:rPr>
          <w:rFonts w:ascii="Times New Roman" w:hAnsi="Times New Roman"/>
          <w:color w:val="000000"/>
          <w:lang w:val="lt-LT"/>
        </w:rPr>
        <w:t xml:space="preserve">gydymą Osagrand rekomenduojama ištirti lydinčių rizikos veiksnių turinčių pacientų dantų būklę ir taikyti profilaktinį gydymą, remiantis individualiu naudos ir rizikos įvertinimu. </w:t>
      </w:r>
    </w:p>
    <w:p w14:paraId="65F7C774" w14:textId="77777777" w:rsidR="00AE3A01" w:rsidRPr="00816A48" w:rsidRDefault="00AE3A01" w:rsidP="003D3259">
      <w:pPr>
        <w:autoSpaceDE w:val="0"/>
        <w:autoSpaceDN w:val="0"/>
        <w:adjustRightInd w:val="0"/>
        <w:spacing w:after="0" w:line="240" w:lineRule="auto"/>
        <w:rPr>
          <w:rFonts w:ascii="Times New Roman" w:hAnsi="Times New Roman"/>
          <w:color w:val="000000"/>
          <w:lang w:val="lt-LT"/>
        </w:rPr>
      </w:pPr>
    </w:p>
    <w:p w14:paraId="6DABAA32" w14:textId="77777777" w:rsidR="00AE3A01" w:rsidRPr="00816A48" w:rsidRDefault="00505790"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Rizikos veiksniai, į kuriuos reikia atsižvelgti vertinant paciento riziką susirgti ŽON, yra šie: </w:t>
      </w:r>
    </w:p>
    <w:p w14:paraId="6DAD2012" w14:textId="77777777" w:rsidR="00AE3A01" w:rsidRPr="00816A48" w:rsidRDefault="00505790" w:rsidP="00AE3A01">
      <w:pPr>
        <w:tabs>
          <w:tab w:val="left" w:pos="567"/>
        </w:tabs>
        <w:autoSpaceDE w:val="0"/>
        <w:autoSpaceDN w:val="0"/>
        <w:adjustRightInd w:val="0"/>
        <w:spacing w:after="0" w:line="240" w:lineRule="auto"/>
        <w:ind w:left="567" w:hanging="567"/>
        <w:rPr>
          <w:rFonts w:ascii="Times New Roman" w:hAnsi="Times New Roman"/>
          <w:color w:val="000000"/>
          <w:lang w:val="lt-LT"/>
        </w:rPr>
      </w:pPr>
      <w:r w:rsidRPr="00816A48">
        <w:rPr>
          <w:rFonts w:ascii="Times New Roman" w:hAnsi="Times New Roman"/>
          <w:color w:val="000000"/>
          <w:lang w:val="lt-LT"/>
        </w:rPr>
        <w:lastRenderedPageBreak/>
        <w:t>-</w:t>
      </w:r>
      <w:r w:rsidR="00AE3A01" w:rsidRPr="00816A48">
        <w:rPr>
          <w:rFonts w:ascii="Times New Roman" w:hAnsi="Times New Roman"/>
          <w:color w:val="000000"/>
          <w:lang w:val="lt-LT"/>
        </w:rPr>
        <w:tab/>
      </w:r>
      <w:r w:rsidR="00CE74AB" w:rsidRPr="00816A48">
        <w:rPr>
          <w:rFonts w:ascii="Times New Roman" w:hAnsi="Times New Roman"/>
          <w:color w:val="000000"/>
          <w:lang w:val="lt-LT"/>
        </w:rPr>
        <w:t>K</w:t>
      </w:r>
      <w:r w:rsidRPr="00816A48">
        <w:rPr>
          <w:rFonts w:ascii="Times New Roman" w:hAnsi="Times New Roman"/>
          <w:color w:val="000000"/>
          <w:lang w:val="lt-LT"/>
        </w:rPr>
        <w:t xml:space="preserve">aulų rezorbciją slopinančio vaisto </w:t>
      </w:r>
      <w:r w:rsidR="00CE74AB" w:rsidRPr="00816A48">
        <w:rPr>
          <w:rFonts w:ascii="Times New Roman" w:hAnsi="Times New Roman"/>
          <w:color w:val="000000"/>
          <w:lang w:val="lt-LT"/>
        </w:rPr>
        <w:t xml:space="preserve">stiprumas </w:t>
      </w:r>
      <w:r w:rsidRPr="00816A48">
        <w:rPr>
          <w:rFonts w:ascii="Times New Roman" w:hAnsi="Times New Roman"/>
          <w:color w:val="000000"/>
          <w:lang w:val="lt-LT"/>
        </w:rPr>
        <w:t>(didesnę riziką kelia labai stiprūs junginiai), vartojimo būdas (didesnė rizika kyla vartojant parenteraliai) ir kaulų rezorbcijos terapijos sukauptoji dozė</w:t>
      </w:r>
      <w:r w:rsidR="00AE3A01" w:rsidRPr="00816A48">
        <w:rPr>
          <w:rFonts w:ascii="Times New Roman" w:hAnsi="Times New Roman"/>
          <w:color w:val="000000"/>
          <w:lang w:val="lt-LT"/>
        </w:rPr>
        <w:t>.</w:t>
      </w:r>
    </w:p>
    <w:p w14:paraId="25B43F90" w14:textId="77777777" w:rsidR="00AE3A01" w:rsidRPr="00816A48" w:rsidRDefault="00505790" w:rsidP="00AE3A01">
      <w:pPr>
        <w:tabs>
          <w:tab w:val="left" w:pos="567"/>
        </w:tabs>
        <w:autoSpaceDE w:val="0"/>
        <w:autoSpaceDN w:val="0"/>
        <w:adjustRightInd w:val="0"/>
        <w:spacing w:after="0" w:line="240" w:lineRule="auto"/>
        <w:ind w:left="567" w:hanging="567"/>
        <w:rPr>
          <w:rFonts w:ascii="Times New Roman" w:hAnsi="Times New Roman"/>
          <w:color w:val="000000"/>
          <w:lang w:val="lt-LT"/>
        </w:rPr>
      </w:pPr>
      <w:r w:rsidRPr="00816A48">
        <w:rPr>
          <w:rFonts w:ascii="Times New Roman" w:hAnsi="Times New Roman"/>
          <w:color w:val="000000"/>
          <w:lang w:val="lt-LT"/>
        </w:rPr>
        <w:t>-</w:t>
      </w:r>
      <w:r w:rsidR="00AE3A01" w:rsidRPr="00816A48">
        <w:rPr>
          <w:rFonts w:ascii="Times New Roman" w:hAnsi="Times New Roman"/>
          <w:color w:val="000000"/>
          <w:lang w:val="lt-LT"/>
        </w:rPr>
        <w:tab/>
        <w:t>V</w:t>
      </w:r>
      <w:r w:rsidRPr="00816A48">
        <w:rPr>
          <w:rFonts w:ascii="Times New Roman" w:hAnsi="Times New Roman"/>
          <w:color w:val="000000"/>
          <w:lang w:val="lt-LT"/>
        </w:rPr>
        <w:t xml:space="preserve">ėžio liga, lydinčios patologinės būklės (pvz., anemija, koaguliacijos </w:t>
      </w:r>
      <w:r w:rsidR="00AE3A01" w:rsidRPr="00816A48">
        <w:rPr>
          <w:rFonts w:ascii="Times New Roman" w:hAnsi="Times New Roman"/>
          <w:color w:val="000000"/>
          <w:lang w:val="lt-LT"/>
        </w:rPr>
        <w:t>sutrikimai, infekcija), rūkymas.</w:t>
      </w:r>
    </w:p>
    <w:p w14:paraId="0EF735E2" w14:textId="77777777" w:rsidR="00AE3A01" w:rsidRPr="00816A48" w:rsidRDefault="00505790" w:rsidP="00AE3A01">
      <w:pPr>
        <w:tabs>
          <w:tab w:val="left" w:pos="567"/>
        </w:tabs>
        <w:autoSpaceDE w:val="0"/>
        <w:autoSpaceDN w:val="0"/>
        <w:adjustRightInd w:val="0"/>
        <w:spacing w:after="0" w:line="240" w:lineRule="auto"/>
        <w:ind w:left="567" w:hanging="567"/>
        <w:rPr>
          <w:rFonts w:ascii="Times New Roman" w:hAnsi="Times New Roman"/>
          <w:color w:val="000000"/>
          <w:lang w:val="lt-LT"/>
        </w:rPr>
      </w:pPr>
      <w:r w:rsidRPr="00816A48">
        <w:rPr>
          <w:rFonts w:ascii="Times New Roman" w:hAnsi="Times New Roman"/>
          <w:color w:val="000000"/>
          <w:lang w:val="lt-LT"/>
        </w:rPr>
        <w:t>-</w:t>
      </w:r>
      <w:r w:rsidR="00AE3A01" w:rsidRPr="00816A48">
        <w:rPr>
          <w:rFonts w:ascii="Times New Roman" w:hAnsi="Times New Roman"/>
          <w:color w:val="000000"/>
          <w:lang w:val="lt-LT"/>
        </w:rPr>
        <w:tab/>
        <w:t>G</w:t>
      </w:r>
      <w:r w:rsidRPr="00816A48">
        <w:rPr>
          <w:rFonts w:ascii="Times New Roman" w:hAnsi="Times New Roman"/>
          <w:color w:val="000000"/>
          <w:lang w:val="lt-LT"/>
        </w:rPr>
        <w:t>retutinis gydymas kortikosteroidais, chemoterapija, angiogenezės inhibitoriais, galvos ir kaklo radioterapija</w:t>
      </w:r>
      <w:r w:rsidR="00AE3A01" w:rsidRPr="00816A48">
        <w:rPr>
          <w:rFonts w:ascii="Times New Roman" w:hAnsi="Times New Roman"/>
          <w:color w:val="000000"/>
          <w:lang w:val="lt-LT"/>
        </w:rPr>
        <w:t>.</w:t>
      </w:r>
    </w:p>
    <w:p w14:paraId="3CDAC5EA" w14:textId="77777777" w:rsidR="00AE3A01" w:rsidRPr="00816A48" w:rsidRDefault="00505790" w:rsidP="00AE3A01">
      <w:pPr>
        <w:tabs>
          <w:tab w:val="left" w:pos="567"/>
        </w:tabs>
        <w:autoSpaceDE w:val="0"/>
        <w:autoSpaceDN w:val="0"/>
        <w:adjustRightInd w:val="0"/>
        <w:spacing w:after="0" w:line="240" w:lineRule="auto"/>
        <w:ind w:left="567" w:hanging="567"/>
        <w:rPr>
          <w:rFonts w:ascii="Times New Roman" w:hAnsi="Times New Roman"/>
          <w:color w:val="000000"/>
          <w:lang w:val="lt-LT"/>
        </w:rPr>
      </w:pPr>
      <w:r w:rsidRPr="00816A48">
        <w:rPr>
          <w:rFonts w:ascii="Times New Roman" w:hAnsi="Times New Roman"/>
          <w:color w:val="000000"/>
          <w:lang w:val="lt-LT"/>
        </w:rPr>
        <w:t>-</w:t>
      </w:r>
      <w:r w:rsidR="00AE3A01" w:rsidRPr="00816A48">
        <w:rPr>
          <w:rFonts w:ascii="Times New Roman" w:hAnsi="Times New Roman"/>
          <w:color w:val="000000"/>
          <w:lang w:val="lt-LT"/>
        </w:rPr>
        <w:tab/>
        <w:t>P</w:t>
      </w:r>
      <w:r w:rsidRPr="00816A48">
        <w:rPr>
          <w:rFonts w:ascii="Times New Roman" w:hAnsi="Times New Roman"/>
          <w:color w:val="000000"/>
          <w:lang w:val="lt-LT"/>
        </w:rPr>
        <w:t>rasta burnos higiena, periodonto ligos, blogai pritaikyti protezai, buvusios dantų ligos, invazinės odontologinės procedūros, pvz., danties traukimas.</w:t>
      </w:r>
    </w:p>
    <w:p w14:paraId="2FE77F4B" w14:textId="77777777" w:rsidR="00AE3A01" w:rsidRPr="00816A48" w:rsidRDefault="00AE3A01" w:rsidP="003D3259">
      <w:pPr>
        <w:autoSpaceDE w:val="0"/>
        <w:autoSpaceDN w:val="0"/>
        <w:adjustRightInd w:val="0"/>
        <w:spacing w:after="0" w:line="240" w:lineRule="auto"/>
        <w:rPr>
          <w:rFonts w:ascii="Times New Roman" w:hAnsi="Times New Roman"/>
          <w:color w:val="000000"/>
          <w:lang w:val="lt-LT"/>
        </w:rPr>
      </w:pPr>
    </w:p>
    <w:p w14:paraId="5F0B3F8E" w14:textId="77777777" w:rsidR="00AE3A01" w:rsidRPr="00816A48" w:rsidRDefault="00505790"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Gydymo Osagrand metu visi pacientai turi būti skatinami palaikyti gerą burnos higieną, reguliariai tikrintis dantis ir iš karto pranešti apie visus burnos simptomus, tokius kaip dantų išklibimas, skausmas ar patinimas, negyjančios opos ar išskyros. Gydymo metu invazines dant</w:t>
      </w:r>
      <w:r w:rsidR="00CE74AB" w:rsidRPr="00816A48">
        <w:rPr>
          <w:rFonts w:ascii="Times New Roman" w:hAnsi="Times New Roman"/>
          <w:color w:val="000000"/>
          <w:lang w:val="lt-LT"/>
        </w:rPr>
        <w:t>ų gydymo procedūras galima atli</w:t>
      </w:r>
      <w:r w:rsidRPr="00816A48">
        <w:rPr>
          <w:rFonts w:ascii="Times New Roman" w:hAnsi="Times New Roman"/>
          <w:color w:val="000000"/>
          <w:lang w:val="lt-LT"/>
        </w:rPr>
        <w:t xml:space="preserve">kti </w:t>
      </w:r>
      <w:r w:rsidR="00CE74AB" w:rsidRPr="00816A48">
        <w:rPr>
          <w:rFonts w:ascii="Times New Roman" w:hAnsi="Times New Roman"/>
          <w:color w:val="000000"/>
          <w:lang w:val="lt-LT"/>
        </w:rPr>
        <w:t xml:space="preserve">tik </w:t>
      </w:r>
      <w:r w:rsidRPr="00816A48">
        <w:rPr>
          <w:rFonts w:ascii="Times New Roman" w:hAnsi="Times New Roman"/>
          <w:color w:val="000000"/>
          <w:lang w:val="lt-LT"/>
        </w:rPr>
        <w:t xml:space="preserve">nuodugniai apsvarsčius ir kuo toliau nuo Osagrand vartojimo vietos. </w:t>
      </w:r>
    </w:p>
    <w:p w14:paraId="4D920639" w14:textId="77777777" w:rsidR="00913927" w:rsidRPr="00816A48" w:rsidRDefault="00913927" w:rsidP="00913927">
      <w:pPr>
        <w:autoSpaceDE w:val="0"/>
        <w:autoSpaceDN w:val="0"/>
        <w:adjustRightInd w:val="0"/>
        <w:spacing w:after="0" w:line="240" w:lineRule="auto"/>
        <w:rPr>
          <w:rFonts w:ascii="Times New Roman" w:hAnsi="Times New Roman"/>
          <w:color w:val="000000"/>
          <w:lang w:val="lt-LT"/>
        </w:rPr>
      </w:pPr>
    </w:p>
    <w:p w14:paraId="7605982A" w14:textId="77777777" w:rsidR="00913927" w:rsidRPr="00816A48" w:rsidRDefault="00913927" w:rsidP="00913927">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Pacientų, kuriems </w:t>
      </w:r>
      <w:r>
        <w:rPr>
          <w:rFonts w:ascii="Times New Roman" w:hAnsi="Times New Roman"/>
          <w:color w:val="000000"/>
          <w:lang w:val="lt-LT"/>
        </w:rPr>
        <w:t>pasireiškė</w:t>
      </w:r>
      <w:r w:rsidRPr="00816A48">
        <w:rPr>
          <w:rFonts w:ascii="Times New Roman" w:hAnsi="Times New Roman"/>
          <w:color w:val="000000"/>
          <w:lang w:val="lt-LT"/>
        </w:rPr>
        <w:t xml:space="preserve"> ŽON, gydymo planas turi būti parengtas glaudžiai bendradarbiaujant gydančiam gydytojui ir gydytojui odontologui ar burnos chirurgui, turinčiam ŽON gydymo patirties. Reikia apsvarstyti, ar nevertėtų gydymo Osagrand laikinai nutraukti, jeigu įmanoma, kol būklė pagerės ar susiję rizikos veiksniai bus sušvelninti.</w:t>
      </w:r>
    </w:p>
    <w:p w14:paraId="4FAB6CD5" w14:textId="77777777" w:rsidR="00B75A67" w:rsidRPr="00816A48" w:rsidRDefault="00B75A67" w:rsidP="003D3259">
      <w:pPr>
        <w:autoSpaceDE w:val="0"/>
        <w:autoSpaceDN w:val="0"/>
        <w:adjustRightInd w:val="0"/>
        <w:spacing w:after="0" w:line="240" w:lineRule="auto"/>
        <w:rPr>
          <w:rFonts w:ascii="Times New Roman" w:hAnsi="Times New Roman"/>
          <w:color w:val="000000"/>
          <w:lang w:val="lt-LT"/>
        </w:rPr>
      </w:pPr>
    </w:p>
    <w:p w14:paraId="7E7AFEAB" w14:textId="77777777" w:rsidR="00BB1CBC" w:rsidRPr="00816A48" w:rsidRDefault="00BB1CBC" w:rsidP="00BB1CBC">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u w:val="single"/>
          <w:lang w:val="lt-LT"/>
        </w:rPr>
        <w:t>Išorinio ausies kanalo osteonekrozė</w:t>
      </w:r>
    </w:p>
    <w:p w14:paraId="4F88D769" w14:textId="77777777" w:rsidR="00BB1CBC" w:rsidRPr="00816A48" w:rsidRDefault="00BB1CBC" w:rsidP="00443856">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14:paraId="4FBCC98F" w14:textId="77777777" w:rsidR="00BB1CBC" w:rsidRPr="00816A48" w:rsidRDefault="00BB1CBC" w:rsidP="00443856">
      <w:pPr>
        <w:autoSpaceDE w:val="0"/>
        <w:autoSpaceDN w:val="0"/>
        <w:adjustRightInd w:val="0"/>
        <w:spacing w:after="0" w:line="240" w:lineRule="auto"/>
        <w:rPr>
          <w:rFonts w:ascii="Times New Roman" w:hAnsi="Times New Roman"/>
          <w:color w:val="000000"/>
          <w:lang w:val="lt-LT"/>
        </w:rPr>
      </w:pPr>
    </w:p>
    <w:p w14:paraId="188D5ACD" w14:textId="77777777" w:rsidR="005F56A5" w:rsidRPr="00816A48" w:rsidRDefault="005F56A5" w:rsidP="00443856">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 xml:space="preserve">Atipiniai šlaunikaulio lūžiai </w:t>
      </w:r>
    </w:p>
    <w:p w14:paraId="389C5308" w14:textId="6FA42A79" w:rsidR="005F56A5" w:rsidRPr="00816A48" w:rsidRDefault="005F56A5" w:rsidP="00443856">
      <w:pPr>
        <w:autoSpaceDE w:val="0"/>
        <w:autoSpaceDN w:val="0"/>
        <w:adjustRightInd w:val="0"/>
        <w:spacing w:after="0" w:line="240" w:lineRule="auto"/>
        <w:rPr>
          <w:rFonts w:ascii="Times New Roman" w:hAnsi="Times New Roman"/>
          <w:lang w:val="lt-LT"/>
        </w:rPr>
      </w:pPr>
      <w:r w:rsidRPr="00816A48">
        <w:rPr>
          <w:rFonts w:ascii="Times New Roman" w:hAnsi="Times New Roman"/>
          <w:color w:val="000000"/>
          <w:lang w:val="lt-LT"/>
        </w:rPr>
        <w:t xml:space="preserve">Gydant bisfosfonatais buvo pastebėti atipiniai šlaunikaulio pogūbriniai ar diafizės lūžiai,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bisfosfonatais gydomų pacientų, kuriems yra lūžęs šlaunikaulio kūnas, priešingos pusės šlaunikaulį. Be to, buvo pastebėtas blogas tokių lūžių gijimas. Reikia apsvarstyti, ar pacientams, kuriems įtariamas atipinis šlaunikaulio lūžis, gydymo bisfosfonatais nevertėtų nutraukti, kol jam individualiai bus įvertintas naudos ir rizikos santykis. </w:t>
      </w:r>
      <w:r w:rsidRPr="00816A48">
        <w:rPr>
          <w:rFonts w:ascii="Times New Roman" w:hAnsi="Times New Roman"/>
          <w:lang w:val="lt-LT"/>
        </w:rPr>
        <w:t>Pacientams reikia patarti, kad bisfosfonatų vartojimo metu praneštų apie bet kokį šlaunies, klubo ar kirkšnies skausmą, o visus pacientus, kuriems pasireiškia tokie simptomai, reikia ištirti, ar jie nepatyrė nepilno šlaunikaulio lūžio</w:t>
      </w:r>
      <w:r w:rsidR="00903AC2">
        <w:rPr>
          <w:rFonts w:ascii="Times New Roman" w:hAnsi="Times New Roman"/>
          <w:lang w:val="lt-LT"/>
        </w:rPr>
        <w:t xml:space="preserve"> (žr. </w:t>
      </w:r>
      <w:r w:rsidR="00903AC2" w:rsidRPr="00F55F27">
        <w:rPr>
          <w:rFonts w:ascii="Times New Roman" w:hAnsi="Times New Roman"/>
          <w:lang w:val="lt-LT"/>
        </w:rPr>
        <w:t>4.8</w:t>
      </w:r>
      <w:r w:rsidR="00903AC2">
        <w:rPr>
          <w:rFonts w:ascii="Times New Roman" w:hAnsi="Times New Roman"/>
          <w:lang w:val="lt-LT"/>
        </w:rPr>
        <w:t xml:space="preserve"> skyrių)</w:t>
      </w:r>
      <w:r w:rsidRPr="00816A48">
        <w:rPr>
          <w:rFonts w:ascii="Times New Roman" w:hAnsi="Times New Roman"/>
          <w:lang w:val="lt-LT"/>
        </w:rPr>
        <w:t>.</w:t>
      </w:r>
    </w:p>
    <w:p w14:paraId="602A2177" w14:textId="420D8B44" w:rsidR="005F56A5" w:rsidRDefault="005F56A5" w:rsidP="00443856">
      <w:pPr>
        <w:autoSpaceDE w:val="0"/>
        <w:autoSpaceDN w:val="0"/>
        <w:adjustRightInd w:val="0"/>
        <w:spacing w:after="0" w:line="240" w:lineRule="auto"/>
        <w:rPr>
          <w:rFonts w:ascii="Times New Roman" w:hAnsi="Times New Roman"/>
          <w:color w:val="000000"/>
          <w:lang w:val="lt-LT"/>
        </w:rPr>
      </w:pPr>
    </w:p>
    <w:p w14:paraId="22719C3F" w14:textId="77777777" w:rsidR="00AA35EE" w:rsidRPr="00F55F27" w:rsidRDefault="00AA35EE" w:rsidP="00AA35EE">
      <w:pPr>
        <w:autoSpaceDE w:val="0"/>
        <w:autoSpaceDN w:val="0"/>
        <w:adjustRightInd w:val="0"/>
        <w:spacing w:after="0" w:line="240" w:lineRule="auto"/>
        <w:rPr>
          <w:rFonts w:ascii="Times New Roman" w:hAnsi="Times New Roman"/>
          <w:color w:val="000000"/>
          <w:u w:val="single"/>
          <w:lang w:val="lt-LT"/>
        </w:rPr>
      </w:pPr>
      <w:r w:rsidRPr="00F55F27">
        <w:rPr>
          <w:rFonts w:ascii="Times New Roman" w:hAnsi="Times New Roman"/>
          <w:color w:val="000000"/>
          <w:u w:val="single"/>
          <w:lang w:val="lt-LT"/>
        </w:rPr>
        <w:t>Atipiniai kitų ilgųjų kaulų lūžiai</w:t>
      </w:r>
    </w:p>
    <w:p w14:paraId="1CA479F6" w14:textId="240EA31D" w:rsidR="00903AC2" w:rsidRDefault="00AA35EE" w:rsidP="00AA35EE">
      <w:pPr>
        <w:autoSpaceDE w:val="0"/>
        <w:autoSpaceDN w:val="0"/>
        <w:adjustRightInd w:val="0"/>
        <w:spacing w:after="0" w:line="240" w:lineRule="auto"/>
        <w:rPr>
          <w:rFonts w:ascii="Times New Roman" w:hAnsi="Times New Roman"/>
          <w:color w:val="000000"/>
          <w:lang w:val="lt-LT"/>
        </w:rPr>
      </w:pPr>
      <w:r w:rsidRPr="00AA35EE">
        <w:rPr>
          <w:rFonts w:ascii="Times New Roman" w:hAnsi="Times New Roman"/>
          <w:color w:val="000000"/>
          <w:lang w:val="lt-LT"/>
        </w:rPr>
        <w:t>Ilgai gydomiems pacientams taip pat buvo pastebėta atipinių kitų ilgųjų kaulų, pavyzdžiui, alkūnkaulio</w:t>
      </w:r>
      <w:r>
        <w:rPr>
          <w:rFonts w:ascii="Times New Roman" w:hAnsi="Times New Roman"/>
          <w:color w:val="000000"/>
          <w:lang w:val="lt-LT"/>
        </w:rPr>
        <w:t xml:space="preserve"> </w:t>
      </w:r>
      <w:r w:rsidRPr="00AA35EE">
        <w:rPr>
          <w:rFonts w:ascii="Times New Roman" w:hAnsi="Times New Roman"/>
          <w:color w:val="000000"/>
          <w:lang w:val="lt-LT"/>
        </w:rPr>
        <w:t>ir blauzdikaulio, lūžių. Kaip ir atipiniai šlaunikaulio lūžiai, šie lūžiai įvyksta po mažos traumos arba ne dėl jos, o kai kurie pacientai jaučia prodrominį skausmą prieš įvykstant pilnam lūžiui. Kai lūžta</w:t>
      </w:r>
      <w:r>
        <w:rPr>
          <w:rFonts w:ascii="Times New Roman" w:hAnsi="Times New Roman"/>
          <w:color w:val="000000"/>
          <w:lang w:val="lt-LT"/>
        </w:rPr>
        <w:t xml:space="preserve"> </w:t>
      </w:r>
      <w:r w:rsidRPr="00AA35EE">
        <w:rPr>
          <w:rFonts w:ascii="Times New Roman" w:hAnsi="Times New Roman"/>
          <w:color w:val="000000"/>
          <w:lang w:val="lt-LT"/>
        </w:rPr>
        <w:t>alkūnkaulis, tai gali būti susiję su pasikartojančia stresine apkrova dėl ilgalaikio pagalbinių</w:t>
      </w:r>
      <w:r>
        <w:rPr>
          <w:rFonts w:ascii="Times New Roman" w:hAnsi="Times New Roman"/>
          <w:color w:val="000000"/>
          <w:lang w:val="lt-LT"/>
        </w:rPr>
        <w:t xml:space="preserve"> </w:t>
      </w:r>
      <w:r w:rsidRPr="00AA35EE">
        <w:rPr>
          <w:rFonts w:ascii="Times New Roman" w:hAnsi="Times New Roman"/>
          <w:color w:val="000000"/>
          <w:lang w:val="lt-LT"/>
        </w:rPr>
        <w:t>vaikščiojimo priemonių naudojimo (žr. 4.8</w:t>
      </w:r>
      <w:r w:rsidR="008A082A">
        <w:rPr>
          <w:rFonts w:ascii="Times New Roman" w:hAnsi="Times New Roman"/>
          <w:color w:val="000000"/>
          <w:lang w:val="lt-LT"/>
        </w:rPr>
        <w:t> </w:t>
      </w:r>
      <w:r w:rsidRPr="00AA35EE">
        <w:rPr>
          <w:rFonts w:ascii="Times New Roman" w:hAnsi="Times New Roman"/>
          <w:color w:val="000000"/>
          <w:lang w:val="lt-LT"/>
        </w:rPr>
        <w:t>skyrių).</w:t>
      </w:r>
    </w:p>
    <w:p w14:paraId="171A824F" w14:textId="77777777" w:rsidR="00AA35EE" w:rsidRPr="00816A48" w:rsidRDefault="00AA35EE" w:rsidP="00AA35EE">
      <w:pPr>
        <w:autoSpaceDE w:val="0"/>
        <w:autoSpaceDN w:val="0"/>
        <w:adjustRightInd w:val="0"/>
        <w:spacing w:after="0" w:line="240" w:lineRule="auto"/>
        <w:rPr>
          <w:rFonts w:ascii="Times New Roman" w:hAnsi="Times New Roman"/>
          <w:color w:val="000000"/>
          <w:lang w:val="lt-LT"/>
        </w:rPr>
      </w:pPr>
    </w:p>
    <w:p w14:paraId="06221E55" w14:textId="7A49B01B" w:rsidR="00AC02F2" w:rsidRPr="00CD0447" w:rsidRDefault="00AC02F2" w:rsidP="00443856">
      <w:pPr>
        <w:autoSpaceDE w:val="0"/>
        <w:autoSpaceDN w:val="0"/>
        <w:adjustRightInd w:val="0"/>
        <w:spacing w:after="0" w:line="240" w:lineRule="auto"/>
        <w:rPr>
          <w:rFonts w:ascii="Times New Roman" w:hAnsi="Times New Roman"/>
          <w:color w:val="000000"/>
          <w:u w:val="single"/>
          <w:lang w:val="lt-LT"/>
        </w:rPr>
      </w:pPr>
      <w:r w:rsidRPr="00CD0447">
        <w:rPr>
          <w:rFonts w:ascii="Times New Roman" w:hAnsi="Times New Roman"/>
          <w:color w:val="000000"/>
          <w:u w:val="single"/>
          <w:lang w:val="lt-LT"/>
        </w:rPr>
        <w:t>Pagalbinės medžiagos</w:t>
      </w:r>
    </w:p>
    <w:p w14:paraId="579B402F" w14:textId="79FA358B" w:rsidR="00AC02F2" w:rsidRPr="00816A48" w:rsidRDefault="00AC02F2" w:rsidP="00443856">
      <w:pPr>
        <w:autoSpaceDE w:val="0"/>
        <w:autoSpaceDN w:val="0"/>
        <w:adjustRightInd w:val="0"/>
        <w:spacing w:after="0" w:line="240" w:lineRule="auto"/>
        <w:rPr>
          <w:rFonts w:ascii="Times New Roman" w:hAnsi="Times New Roman"/>
          <w:color w:val="000000"/>
          <w:u w:val="single"/>
          <w:lang w:val="lt-LT"/>
        </w:rPr>
      </w:pPr>
      <w:r>
        <w:rPr>
          <w:rFonts w:ascii="Times New Roman" w:hAnsi="Times New Roman"/>
          <w:color w:val="000000"/>
          <w:lang w:val="lt-LT"/>
        </w:rPr>
        <w:t>Šio vaistinio preparato dozėje (</w:t>
      </w:r>
      <w:r w:rsidRPr="00A2671E">
        <w:rPr>
          <w:rFonts w:ascii="Times New Roman" w:hAnsi="Times New Roman"/>
          <w:color w:val="000000"/>
          <w:lang w:val="lt-LT"/>
        </w:rPr>
        <w:t>3 ml)</w:t>
      </w:r>
      <w:r>
        <w:rPr>
          <w:rFonts w:ascii="Times New Roman" w:hAnsi="Times New Roman"/>
          <w:color w:val="000000"/>
          <w:lang w:val="lt-LT"/>
        </w:rPr>
        <w:t xml:space="preserve"> yra mažiau kaip </w:t>
      </w:r>
      <w:r w:rsidRPr="00A2671E">
        <w:rPr>
          <w:rFonts w:ascii="Times New Roman" w:hAnsi="Times New Roman"/>
          <w:color w:val="000000"/>
          <w:lang w:val="lt-LT"/>
        </w:rPr>
        <w:t>1</w:t>
      </w:r>
      <w:r>
        <w:rPr>
          <w:rFonts w:ascii="Times New Roman" w:hAnsi="Times New Roman"/>
          <w:color w:val="000000"/>
          <w:lang w:val="lt-LT"/>
        </w:rPr>
        <w:t> mmol (</w:t>
      </w:r>
      <w:r w:rsidRPr="00A2671E">
        <w:rPr>
          <w:rFonts w:ascii="Times New Roman" w:hAnsi="Times New Roman"/>
          <w:color w:val="000000"/>
          <w:lang w:val="lt-LT"/>
        </w:rPr>
        <w:t>23 </w:t>
      </w:r>
      <w:r>
        <w:rPr>
          <w:rFonts w:ascii="Times New Roman" w:hAnsi="Times New Roman"/>
          <w:color w:val="000000"/>
          <w:lang w:val="lt-LT"/>
        </w:rPr>
        <w:t>mg) natrio, t. y. jis beveik neturi reikšmės.</w:t>
      </w:r>
    </w:p>
    <w:p w14:paraId="3E01BBD0" w14:textId="77777777" w:rsidR="00A953C9" w:rsidRPr="00816A48" w:rsidRDefault="00A953C9" w:rsidP="00443856">
      <w:pPr>
        <w:pStyle w:val="Default"/>
        <w:rPr>
          <w:color w:val="auto"/>
          <w:sz w:val="22"/>
          <w:szCs w:val="22"/>
          <w:lang w:val="lt-LT"/>
        </w:rPr>
      </w:pPr>
    </w:p>
    <w:p w14:paraId="638F014A" w14:textId="77777777" w:rsidR="007750B7" w:rsidRPr="00816A48" w:rsidRDefault="007750B7" w:rsidP="00F55F27">
      <w:pPr>
        <w:pStyle w:val="Default"/>
        <w:keepNext/>
        <w:ind w:left="540" w:hanging="540"/>
        <w:rPr>
          <w:b/>
          <w:color w:val="auto"/>
          <w:sz w:val="22"/>
          <w:szCs w:val="22"/>
          <w:lang w:val="lt-LT"/>
        </w:rPr>
      </w:pPr>
      <w:r w:rsidRPr="00816A48">
        <w:rPr>
          <w:b/>
          <w:color w:val="auto"/>
          <w:sz w:val="22"/>
          <w:szCs w:val="22"/>
          <w:lang w:val="lt-LT"/>
        </w:rPr>
        <w:t>4.5</w:t>
      </w:r>
      <w:r w:rsidRPr="00816A48">
        <w:rPr>
          <w:b/>
          <w:color w:val="auto"/>
          <w:sz w:val="22"/>
          <w:szCs w:val="22"/>
          <w:lang w:val="lt-LT"/>
        </w:rPr>
        <w:tab/>
        <w:t>Sąveika su kitais vaistiniais preparatais ir kitokia sąveika</w:t>
      </w:r>
    </w:p>
    <w:p w14:paraId="00314EDA" w14:textId="77777777" w:rsidR="007750B7" w:rsidRPr="00816A48" w:rsidRDefault="007750B7" w:rsidP="00F55F27">
      <w:pPr>
        <w:keepNext/>
        <w:autoSpaceDE w:val="0"/>
        <w:autoSpaceDN w:val="0"/>
        <w:adjustRightInd w:val="0"/>
        <w:spacing w:after="0" w:line="240" w:lineRule="auto"/>
        <w:rPr>
          <w:rFonts w:ascii="Times New Roman" w:hAnsi="Times New Roman"/>
          <w:color w:val="000000"/>
          <w:lang w:val="lt-LT"/>
        </w:rPr>
      </w:pPr>
    </w:p>
    <w:p w14:paraId="7EAAA1EF"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Manoma, kad su metabolizmu susijusios sąveikos neturėtų būti, nes ibandrono rūgštis neslopina pagrindinių žmogaus kepenų P450 izofermentų ir nesužadino žiurkių kepenų citochromo P450 </w:t>
      </w:r>
      <w:r w:rsidRPr="00816A48">
        <w:rPr>
          <w:rFonts w:ascii="Times New Roman" w:hAnsi="Times New Roman"/>
          <w:color w:val="000000"/>
          <w:lang w:val="lt-LT"/>
        </w:rPr>
        <w:lastRenderedPageBreak/>
        <w:t>sistemos izofermentų</w:t>
      </w:r>
      <w:r w:rsidR="002D5BC0" w:rsidRPr="00816A48">
        <w:rPr>
          <w:rFonts w:ascii="Times New Roman" w:hAnsi="Times New Roman"/>
          <w:color w:val="000000"/>
          <w:lang w:val="lt-LT"/>
        </w:rPr>
        <w:t xml:space="preserve"> (žr. 5.2</w:t>
      </w:r>
      <w:r w:rsidR="00A974EC" w:rsidRPr="00816A48">
        <w:rPr>
          <w:rFonts w:ascii="Times New Roman" w:hAnsi="Times New Roman"/>
          <w:color w:val="000000"/>
          <w:lang w:val="lt-LT"/>
        </w:rPr>
        <w:t> </w:t>
      </w:r>
      <w:r w:rsidR="00335495" w:rsidRPr="00816A48">
        <w:rPr>
          <w:rFonts w:ascii="Times New Roman" w:hAnsi="Times New Roman"/>
          <w:color w:val="000000"/>
          <w:lang w:val="lt-LT"/>
        </w:rPr>
        <w:t>skyrių</w:t>
      </w:r>
      <w:r w:rsidR="002D5BC0" w:rsidRPr="00816A48">
        <w:rPr>
          <w:rFonts w:ascii="Times New Roman" w:hAnsi="Times New Roman"/>
          <w:color w:val="000000"/>
          <w:lang w:val="lt-LT"/>
        </w:rPr>
        <w:t>)</w:t>
      </w:r>
      <w:r w:rsidRPr="00816A48">
        <w:rPr>
          <w:rFonts w:ascii="Times New Roman" w:hAnsi="Times New Roman"/>
          <w:color w:val="000000"/>
          <w:lang w:val="lt-LT"/>
        </w:rPr>
        <w:t xml:space="preserve">. Ibandrono rūgštis eliminuojama tik ekskrecijos per inkstus būdu ir visiškai nemetabolizuojama. </w:t>
      </w:r>
    </w:p>
    <w:p w14:paraId="73135C7D" w14:textId="77777777" w:rsidR="007750B7" w:rsidRPr="00816A48" w:rsidRDefault="007750B7" w:rsidP="00861232">
      <w:pPr>
        <w:pStyle w:val="Default"/>
        <w:rPr>
          <w:sz w:val="22"/>
          <w:szCs w:val="22"/>
          <w:lang w:val="lt-LT"/>
        </w:rPr>
      </w:pPr>
    </w:p>
    <w:p w14:paraId="48D009A4" w14:textId="77777777" w:rsidR="007750B7" w:rsidRPr="00816A48" w:rsidRDefault="007750B7" w:rsidP="003D3259">
      <w:pPr>
        <w:keepNext/>
        <w:tabs>
          <w:tab w:val="left" w:pos="567"/>
        </w:tabs>
        <w:spacing w:after="0" w:line="240" w:lineRule="auto"/>
        <w:rPr>
          <w:rFonts w:ascii="Times New Roman" w:hAnsi="Times New Roman"/>
          <w:lang w:val="lt-LT"/>
        </w:rPr>
      </w:pPr>
      <w:r w:rsidRPr="00816A48">
        <w:rPr>
          <w:rFonts w:ascii="Times New Roman" w:hAnsi="Times New Roman"/>
          <w:b/>
          <w:lang w:val="lt-LT"/>
        </w:rPr>
        <w:t>4.6</w:t>
      </w:r>
      <w:r w:rsidRPr="00816A48">
        <w:rPr>
          <w:rFonts w:ascii="Times New Roman" w:hAnsi="Times New Roman"/>
          <w:b/>
          <w:lang w:val="lt-LT"/>
        </w:rPr>
        <w:tab/>
      </w:r>
      <w:r w:rsidR="001A6428" w:rsidRPr="00816A48">
        <w:rPr>
          <w:rFonts w:ascii="Times New Roman" w:hAnsi="Times New Roman"/>
          <w:b/>
          <w:lang w:val="lt-LT"/>
        </w:rPr>
        <w:t>Vaisingumas, n</w:t>
      </w:r>
      <w:r w:rsidRPr="00816A48">
        <w:rPr>
          <w:rFonts w:ascii="Times New Roman" w:hAnsi="Times New Roman"/>
          <w:b/>
          <w:lang w:val="lt-LT"/>
        </w:rPr>
        <w:t>ėštumo ir žindymo laikotarpis</w:t>
      </w:r>
    </w:p>
    <w:p w14:paraId="700EB782" w14:textId="77777777" w:rsidR="007750B7" w:rsidRPr="00816A48" w:rsidRDefault="007750B7" w:rsidP="003D3259">
      <w:pPr>
        <w:keepNext/>
        <w:tabs>
          <w:tab w:val="left" w:pos="567"/>
        </w:tabs>
        <w:spacing w:after="0" w:line="240" w:lineRule="auto"/>
        <w:rPr>
          <w:rFonts w:ascii="Times New Roman" w:hAnsi="Times New Roman"/>
          <w:color w:val="000000"/>
          <w:lang w:val="lt-LT"/>
        </w:rPr>
      </w:pPr>
    </w:p>
    <w:p w14:paraId="7FA2FBBF" w14:textId="77777777" w:rsidR="007750B7" w:rsidRPr="00816A48" w:rsidRDefault="007750B7" w:rsidP="003D3259">
      <w:pPr>
        <w:keepNext/>
        <w:tabs>
          <w:tab w:val="left" w:pos="567"/>
        </w:tabs>
        <w:spacing w:after="0" w:line="240" w:lineRule="auto"/>
        <w:rPr>
          <w:rFonts w:ascii="Times New Roman" w:hAnsi="Times New Roman"/>
          <w:u w:val="single"/>
          <w:lang w:val="lt-LT"/>
        </w:rPr>
      </w:pPr>
      <w:r w:rsidRPr="00816A48">
        <w:rPr>
          <w:rFonts w:ascii="Times New Roman" w:hAnsi="Times New Roman"/>
          <w:u w:val="single"/>
          <w:lang w:val="lt-LT"/>
        </w:rPr>
        <w:t>Nėštumas</w:t>
      </w:r>
    </w:p>
    <w:p w14:paraId="2AA0C29A" w14:textId="77777777" w:rsidR="002D5BC0" w:rsidRPr="00816A48" w:rsidRDefault="008373C9"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Osagrand</w:t>
      </w:r>
      <w:r w:rsidR="002D5BC0" w:rsidRPr="00816A48">
        <w:rPr>
          <w:rFonts w:ascii="Times New Roman" w:hAnsi="Times New Roman"/>
          <w:color w:val="000000"/>
          <w:lang w:val="lt-LT"/>
        </w:rPr>
        <w:t xml:space="preserve"> galima vartoti tik pomenopauzės laikotarpio moterims, j</w:t>
      </w:r>
      <w:r w:rsidR="00E808F3" w:rsidRPr="00816A48">
        <w:rPr>
          <w:rFonts w:ascii="Times New Roman" w:hAnsi="Times New Roman"/>
          <w:color w:val="000000"/>
          <w:lang w:val="lt-LT"/>
        </w:rPr>
        <w:t>į</w:t>
      </w:r>
      <w:r w:rsidR="002D5BC0" w:rsidRPr="00816A48">
        <w:rPr>
          <w:rFonts w:ascii="Times New Roman" w:hAnsi="Times New Roman"/>
          <w:color w:val="000000"/>
          <w:lang w:val="lt-LT"/>
        </w:rPr>
        <w:t xml:space="preserve"> draudžiama skirti vaisingoms moterims.</w:t>
      </w:r>
    </w:p>
    <w:p w14:paraId="74565D4B" w14:textId="77777777" w:rsidR="007750B7" w:rsidRPr="00816A48" w:rsidRDefault="007750B7" w:rsidP="00540EF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Duomenų apie ibandrono rūgšties vartojimą nėštumo metu nepakanka. Su žiurkėmis atlikti tyrimai parodė toksinį poveikį reprodukcijai (žr. 5.3 skyrių). Galimas pavojus žmogui nežinomas.</w:t>
      </w:r>
    </w:p>
    <w:p w14:paraId="3045EDCC" w14:textId="77777777" w:rsidR="007750B7" w:rsidRPr="00816A48" w:rsidRDefault="007750B7" w:rsidP="00720F9C">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Ibandrono rūgšties negalima vartoti nėštumo metu.</w:t>
      </w:r>
    </w:p>
    <w:p w14:paraId="05C08627" w14:textId="77777777" w:rsidR="007750B7" w:rsidRPr="00816A48" w:rsidRDefault="007750B7" w:rsidP="008D33C6">
      <w:pPr>
        <w:autoSpaceDE w:val="0"/>
        <w:autoSpaceDN w:val="0"/>
        <w:adjustRightInd w:val="0"/>
        <w:spacing w:after="0" w:line="240" w:lineRule="auto"/>
        <w:rPr>
          <w:rFonts w:ascii="Times New Roman" w:hAnsi="Times New Roman"/>
          <w:color w:val="000000"/>
          <w:lang w:val="lt-LT"/>
        </w:rPr>
      </w:pPr>
    </w:p>
    <w:p w14:paraId="45E72DE1" w14:textId="77777777" w:rsidR="007750B7" w:rsidRPr="00816A48" w:rsidRDefault="007750B7" w:rsidP="009B4884">
      <w:pPr>
        <w:keepNext/>
        <w:tabs>
          <w:tab w:val="left" w:pos="567"/>
        </w:tabs>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Žindymas</w:t>
      </w:r>
    </w:p>
    <w:p w14:paraId="50D7F4EB" w14:textId="77777777" w:rsidR="007750B7" w:rsidRPr="00816A48" w:rsidRDefault="007750B7" w:rsidP="007A65B4">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Nežinoma, ar ibandrono rūgštis išsiskiria į motinos pieną. Su žiurkėmis laktacijos laikotarpiu atlikti tyrimai parodė, kad suleidus vaistinio preparato į veną, piene atsirado nedidelė ibandrono rūgšties koncentracija. Ibandrono rūgšties negalima vartoti žindymo metu.</w:t>
      </w:r>
    </w:p>
    <w:p w14:paraId="07DBAF98" w14:textId="77777777" w:rsidR="001A6428" w:rsidRPr="00816A48" w:rsidRDefault="001A6428" w:rsidP="00661507">
      <w:pPr>
        <w:autoSpaceDE w:val="0"/>
        <w:autoSpaceDN w:val="0"/>
        <w:adjustRightInd w:val="0"/>
        <w:spacing w:after="0" w:line="240" w:lineRule="auto"/>
        <w:rPr>
          <w:rFonts w:ascii="Times New Roman" w:hAnsi="Times New Roman"/>
          <w:color w:val="000000"/>
          <w:lang w:val="lt-LT"/>
        </w:rPr>
      </w:pPr>
    </w:p>
    <w:p w14:paraId="11EC13FE" w14:textId="77777777" w:rsidR="001A6428" w:rsidRPr="00816A48" w:rsidRDefault="001A6428" w:rsidP="00661507">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 xml:space="preserve">Vaisingumas </w:t>
      </w:r>
    </w:p>
    <w:p w14:paraId="28C7AC79" w14:textId="77777777" w:rsidR="001A6428" w:rsidRPr="00816A48" w:rsidRDefault="001A6428" w:rsidP="00604FE8">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Duomenų apie ibandrono rūgšties poveikius žmonėms nėra. Poveikio žiurkių reprodukcijai tyrimų metu geriamoji ibandrono rūgštis vaisingumą sumažino. Tyrimų su žiurkėmis metu suleistos į veną didelės ibandrono rūgšties paros dozės vaisingumą sumažino (žr. 5.3 skyrių).</w:t>
      </w:r>
    </w:p>
    <w:p w14:paraId="0F307673" w14:textId="77777777" w:rsidR="007750B7" w:rsidRPr="00816A48" w:rsidRDefault="007750B7" w:rsidP="00861232">
      <w:pPr>
        <w:pStyle w:val="Default"/>
        <w:rPr>
          <w:sz w:val="22"/>
          <w:szCs w:val="22"/>
          <w:lang w:val="lt-LT"/>
        </w:rPr>
      </w:pPr>
    </w:p>
    <w:p w14:paraId="513CE11C" w14:textId="77777777" w:rsidR="007750B7" w:rsidRPr="00816A48" w:rsidRDefault="007750B7" w:rsidP="00861232">
      <w:pPr>
        <w:pStyle w:val="Default"/>
        <w:ind w:left="540" w:hanging="540"/>
        <w:rPr>
          <w:b/>
          <w:sz w:val="22"/>
          <w:szCs w:val="22"/>
          <w:lang w:val="lt-LT"/>
        </w:rPr>
      </w:pPr>
      <w:r w:rsidRPr="00816A48">
        <w:rPr>
          <w:b/>
          <w:sz w:val="22"/>
          <w:szCs w:val="22"/>
          <w:lang w:val="lt-LT"/>
        </w:rPr>
        <w:t>4.7</w:t>
      </w:r>
      <w:r w:rsidRPr="00816A48">
        <w:rPr>
          <w:b/>
          <w:sz w:val="22"/>
          <w:szCs w:val="22"/>
          <w:lang w:val="lt-LT"/>
        </w:rPr>
        <w:tab/>
        <w:t>Poveikis gebėjimui vairuoti ir valdyti mechanizmus</w:t>
      </w:r>
    </w:p>
    <w:p w14:paraId="2794C604" w14:textId="77777777" w:rsidR="007750B7" w:rsidRPr="00816A48" w:rsidRDefault="007750B7" w:rsidP="00DA1B4A">
      <w:pPr>
        <w:autoSpaceDE w:val="0"/>
        <w:autoSpaceDN w:val="0"/>
        <w:adjustRightInd w:val="0"/>
        <w:spacing w:after="0" w:line="240" w:lineRule="auto"/>
        <w:rPr>
          <w:rFonts w:ascii="Times New Roman" w:hAnsi="Times New Roman"/>
          <w:color w:val="000000"/>
          <w:lang w:val="lt-LT"/>
        </w:rPr>
      </w:pPr>
    </w:p>
    <w:p w14:paraId="117D4EF0" w14:textId="77777777" w:rsidR="007750B7" w:rsidRPr="00816A48" w:rsidRDefault="002D5BC0" w:rsidP="00735AD3">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Atsižvelgiant į farmakodinamikos ir farmakokinetikos bei paskelbtus šalutinio poveikio duomenis, manoma, kad ibadrono rūgštis </w:t>
      </w:r>
      <w:r w:rsidR="0081242F" w:rsidRPr="00816A48">
        <w:rPr>
          <w:rFonts w:ascii="Times New Roman" w:hAnsi="Times New Roman"/>
          <w:color w:val="000000"/>
          <w:lang w:val="lt-LT"/>
        </w:rPr>
        <w:t>gebėjimo vairuoti ir valdyti mechanizmus neveikia arba veikia nereikšmingai.</w:t>
      </w:r>
    </w:p>
    <w:p w14:paraId="0F4A0B9B" w14:textId="77777777" w:rsidR="007750B7" w:rsidRPr="00816A48" w:rsidRDefault="007750B7" w:rsidP="000F0A27">
      <w:pPr>
        <w:autoSpaceDE w:val="0"/>
        <w:autoSpaceDN w:val="0"/>
        <w:adjustRightInd w:val="0"/>
        <w:spacing w:after="0" w:line="240" w:lineRule="auto"/>
        <w:rPr>
          <w:rFonts w:ascii="Times New Roman" w:hAnsi="Times New Roman"/>
          <w:color w:val="000000"/>
          <w:lang w:val="lt-LT"/>
        </w:rPr>
      </w:pPr>
    </w:p>
    <w:p w14:paraId="26ABF88D" w14:textId="77777777" w:rsidR="007750B7" w:rsidRPr="00816A48" w:rsidRDefault="007750B7" w:rsidP="00861232">
      <w:pPr>
        <w:pStyle w:val="Default"/>
        <w:ind w:left="540" w:hanging="540"/>
        <w:rPr>
          <w:b/>
          <w:sz w:val="22"/>
          <w:szCs w:val="22"/>
          <w:lang w:val="lt-LT"/>
        </w:rPr>
      </w:pPr>
      <w:r w:rsidRPr="00816A48">
        <w:rPr>
          <w:b/>
          <w:sz w:val="22"/>
          <w:szCs w:val="22"/>
          <w:lang w:val="lt-LT"/>
        </w:rPr>
        <w:t>4.8</w:t>
      </w:r>
      <w:r w:rsidRPr="00816A48">
        <w:rPr>
          <w:b/>
          <w:sz w:val="22"/>
          <w:szCs w:val="22"/>
          <w:lang w:val="lt-LT"/>
        </w:rPr>
        <w:tab/>
        <w:t>Nepageidaujamas poveikis</w:t>
      </w:r>
    </w:p>
    <w:p w14:paraId="2E6AF863" w14:textId="77777777" w:rsidR="007750B7" w:rsidRPr="00816A48" w:rsidRDefault="007750B7" w:rsidP="000A0BCD">
      <w:pPr>
        <w:autoSpaceDE w:val="0"/>
        <w:autoSpaceDN w:val="0"/>
        <w:adjustRightInd w:val="0"/>
        <w:spacing w:after="0" w:line="240" w:lineRule="auto"/>
        <w:rPr>
          <w:rFonts w:ascii="Times New Roman" w:hAnsi="Times New Roman"/>
          <w:color w:val="000000"/>
          <w:lang w:val="lt-LT"/>
        </w:rPr>
      </w:pPr>
    </w:p>
    <w:p w14:paraId="58C7CC86" w14:textId="77777777" w:rsidR="00661507" w:rsidRPr="00816A48" w:rsidRDefault="00661507" w:rsidP="00661507">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iCs/>
          <w:color w:val="000000"/>
          <w:u w:val="single"/>
          <w:lang w:val="lt-LT"/>
        </w:rPr>
        <w:t>Saugumo duomenų santrauka</w:t>
      </w:r>
    </w:p>
    <w:p w14:paraId="03FE135D" w14:textId="07FE674F" w:rsidR="00E671D3" w:rsidRPr="00816A48" w:rsidRDefault="00661507" w:rsidP="00661507">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Sunkiausios nepageidaujamos reakcijos yra anafilaksinė reakcija ar šokas, atipiniai šlaunikaulio lūžiai, žandikaulio osteonekrozė ir akių uždegimas (žiūrėkite paragrafą „Atrinktų nepageidaujamų reakcijų apibūdinimas” ir 4.4</w:t>
      </w:r>
      <w:r w:rsidR="00171B01">
        <w:rPr>
          <w:rFonts w:ascii="Times New Roman" w:hAnsi="Times New Roman"/>
          <w:color w:val="000000"/>
          <w:lang w:val="lt-LT"/>
        </w:rPr>
        <w:t> </w:t>
      </w:r>
      <w:r w:rsidRPr="00816A48">
        <w:rPr>
          <w:rFonts w:ascii="Times New Roman" w:hAnsi="Times New Roman"/>
          <w:color w:val="000000"/>
          <w:lang w:val="lt-LT"/>
        </w:rPr>
        <w:t>skyrių).</w:t>
      </w:r>
    </w:p>
    <w:p w14:paraId="453992BA" w14:textId="77777777" w:rsidR="00E671D3" w:rsidRPr="00816A48" w:rsidRDefault="00E671D3" w:rsidP="00661507">
      <w:pPr>
        <w:autoSpaceDE w:val="0"/>
        <w:autoSpaceDN w:val="0"/>
        <w:adjustRightInd w:val="0"/>
        <w:spacing w:after="0" w:line="240" w:lineRule="auto"/>
        <w:rPr>
          <w:rFonts w:ascii="Times New Roman" w:hAnsi="Times New Roman"/>
          <w:color w:val="000000"/>
          <w:lang w:val="lt-LT"/>
        </w:rPr>
      </w:pPr>
    </w:p>
    <w:p w14:paraId="4CBECF66" w14:textId="77777777" w:rsidR="00CB2BE8" w:rsidRPr="00816A48" w:rsidRDefault="00661507" w:rsidP="00661507">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Dažniausiai pastebėtos nepageidaujamos reakcijos yra sąnarių skausmas bei į gripą panašūs simptomai. </w:t>
      </w:r>
      <w:r w:rsidR="00CB2BE8" w:rsidRPr="00816A48">
        <w:rPr>
          <w:rFonts w:ascii="Times New Roman" w:hAnsi="Times New Roman"/>
          <w:color w:val="000000"/>
          <w:lang w:val="lt-LT"/>
        </w:rPr>
        <w:t>Šie simptomai</w:t>
      </w:r>
      <w:r w:rsidR="00E671D3" w:rsidRPr="00816A48">
        <w:rPr>
          <w:rFonts w:ascii="Times New Roman" w:hAnsi="Times New Roman"/>
          <w:color w:val="000000"/>
          <w:lang w:val="lt-LT"/>
        </w:rPr>
        <w:t xml:space="preserve"> </w:t>
      </w:r>
      <w:r w:rsidR="00CB2BE8" w:rsidRPr="00816A48">
        <w:rPr>
          <w:rFonts w:ascii="Times New Roman" w:hAnsi="Times New Roman"/>
          <w:color w:val="000000"/>
          <w:lang w:val="lt-LT"/>
        </w:rPr>
        <w:t>paprastai susiję su pirmąja doze, dažniausiai tru</w:t>
      </w:r>
      <w:r w:rsidR="00A974EC" w:rsidRPr="00816A48">
        <w:rPr>
          <w:rFonts w:ascii="Times New Roman" w:hAnsi="Times New Roman"/>
          <w:color w:val="000000"/>
          <w:lang w:val="lt-LT"/>
        </w:rPr>
        <w:t>nka</w:t>
      </w:r>
      <w:r w:rsidR="00CB2BE8" w:rsidRPr="00816A48">
        <w:rPr>
          <w:rFonts w:ascii="Times New Roman" w:hAnsi="Times New Roman"/>
          <w:color w:val="000000"/>
          <w:lang w:val="lt-LT"/>
        </w:rPr>
        <w:t xml:space="preserve"> trumpai, </w:t>
      </w:r>
      <w:r w:rsidR="00A974EC" w:rsidRPr="00816A48">
        <w:rPr>
          <w:rFonts w:ascii="Times New Roman" w:hAnsi="Times New Roman"/>
          <w:color w:val="000000"/>
          <w:lang w:val="lt-LT"/>
        </w:rPr>
        <w:t>yra</w:t>
      </w:r>
      <w:r w:rsidR="00CB2BE8" w:rsidRPr="00816A48">
        <w:rPr>
          <w:rFonts w:ascii="Times New Roman" w:hAnsi="Times New Roman"/>
          <w:color w:val="000000"/>
          <w:lang w:val="lt-LT"/>
        </w:rPr>
        <w:t xml:space="preserve"> lengvi ar vidutinio sunkumo ir </w:t>
      </w:r>
      <w:r w:rsidR="00A974EC" w:rsidRPr="00816A48">
        <w:rPr>
          <w:rFonts w:ascii="Times New Roman" w:hAnsi="Times New Roman"/>
          <w:color w:val="000000"/>
          <w:lang w:val="lt-LT"/>
        </w:rPr>
        <w:t xml:space="preserve">paprastai </w:t>
      </w:r>
      <w:r w:rsidR="00CB2BE8" w:rsidRPr="00816A48">
        <w:rPr>
          <w:rFonts w:ascii="Times New Roman" w:hAnsi="Times New Roman"/>
          <w:color w:val="000000"/>
          <w:lang w:val="lt-LT"/>
        </w:rPr>
        <w:t>išnyk</w:t>
      </w:r>
      <w:r w:rsidR="00A974EC" w:rsidRPr="00816A48">
        <w:rPr>
          <w:rFonts w:ascii="Times New Roman" w:hAnsi="Times New Roman"/>
          <w:color w:val="000000"/>
          <w:lang w:val="lt-LT"/>
        </w:rPr>
        <w:t>sta</w:t>
      </w:r>
      <w:r w:rsidR="00CB2BE8" w:rsidRPr="00816A48">
        <w:rPr>
          <w:rFonts w:ascii="Times New Roman" w:hAnsi="Times New Roman"/>
          <w:color w:val="000000"/>
          <w:lang w:val="lt-LT"/>
        </w:rPr>
        <w:t xml:space="preserve"> tęsiant vaistinio preparato vartojimą neskyrus kokių nors gydomųjų priemonių (</w:t>
      </w:r>
      <w:r w:rsidRPr="00816A48">
        <w:rPr>
          <w:rFonts w:ascii="Times New Roman" w:hAnsi="Times New Roman"/>
          <w:color w:val="000000"/>
          <w:lang w:val="lt-LT"/>
        </w:rPr>
        <w:t>žiūrėkite paragrafą</w:t>
      </w:r>
      <w:r w:rsidR="00CB2BE8" w:rsidRPr="00816A48">
        <w:rPr>
          <w:rFonts w:ascii="Times New Roman" w:hAnsi="Times New Roman"/>
          <w:color w:val="000000"/>
          <w:lang w:val="lt-LT"/>
        </w:rPr>
        <w:t xml:space="preserve"> „Į gripą panaši liga“).</w:t>
      </w:r>
    </w:p>
    <w:p w14:paraId="4F275020" w14:textId="77777777" w:rsidR="00CB2BE8" w:rsidRPr="00816A48" w:rsidRDefault="00CB2BE8" w:rsidP="00661507">
      <w:pPr>
        <w:autoSpaceDE w:val="0"/>
        <w:autoSpaceDN w:val="0"/>
        <w:adjustRightInd w:val="0"/>
        <w:spacing w:after="0" w:line="240" w:lineRule="auto"/>
        <w:rPr>
          <w:rFonts w:ascii="Times New Roman" w:hAnsi="Times New Roman"/>
          <w:color w:val="000000"/>
          <w:lang w:val="lt-LT"/>
        </w:rPr>
      </w:pPr>
    </w:p>
    <w:p w14:paraId="3239ADD3" w14:textId="77777777" w:rsidR="00A974EC" w:rsidRPr="00816A48" w:rsidRDefault="00A974EC" w:rsidP="00D725AD">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Nepageidaujamų reakcijų santrauka lentelėje</w:t>
      </w:r>
    </w:p>
    <w:p w14:paraId="69CE3517" w14:textId="77777777" w:rsidR="0081242F" w:rsidRPr="00816A48" w:rsidRDefault="00D725AD" w:rsidP="00D725AD">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1-oje</w:t>
      </w:r>
      <w:r w:rsidR="005B0895" w:rsidRPr="00816A48">
        <w:rPr>
          <w:rFonts w:ascii="Times New Roman" w:hAnsi="Times New Roman"/>
          <w:color w:val="000000"/>
          <w:lang w:val="lt-LT"/>
        </w:rPr>
        <w:t xml:space="preserve"> lentelėje pateikiamas </w:t>
      </w:r>
      <w:r w:rsidRPr="00816A48">
        <w:rPr>
          <w:rFonts w:ascii="Times New Roman" w:hAnsi="Times New Roman"/>
          <w:color w:val="000000"/>
          <w:lang w:val="lt-LT"/>
        </w:rPr>
        <w:t>visas</w:t>
      </w:r>
      <w:r w:rsidR="005B0895" w:rsidRPr="00816A48">
        <w:rPr>
          <w:rFonts w:ascii="Times New Roman" w:hAnsi="Times New Roman"/>
          <w:color w:val="000000"/>
          <w:lang w:val="lt-LT"/>
        </w:rPr>
        <w:t xml:space="preserve"> žinom</w:t>
      </w:r>
      <w:r w:rsidR="00335495" w:rsidRPr="00816A48">
        <w:rPr>
          <w:rFonts w:ascii="Times New Roman" w:hAnsi="Times New Roman"/>
          <w:color w:val="000000"/>
          <w:lang w:val="lt-LT"/>
        </w:rPr>
        <w:t>ų</w:t>
      </w:r>
      <w:r w:rsidR="005B0895" w:rsidRPr="00816A48">
        <w:rPr>
          <w:rFonts w:ascii="Times New Roman" w:hAnsi="Times New Roman"/>
          <w:color w:val="000000"/>
          <w:lang w:val="lt-LT"/>
        </w:rPr>
        <w:t xml:space="preserve"> </w:t>
      </w:r>
      <w:r w:rsidR="003A15DE" w:rsidRPr="00816A48">
        <w:rPr>
          <w:rFonts w:ascii="Times New Roman" w:hAnsi="Times New Roman"/>
          <w:color w:val="000000"/>
          <w:lang w:val="lt-LT"/>
        </w:rPr>
        <w:t>nepageidaujamų</w:t>
      </w:r>
      <w:r w:rsidR="005B0895" w:rsidRPr="00816A48">
        <w:rPr>
          <w:rFonts w:ascii="Times New Roman" w:hAnsi="Times New Roman"/>
          <w:color w:val="000000"/>
          <w:lang w:val="lt-LT"/>
        </w:rPr>
        <w:t xml:space="preserve"> reakcij</w:t>
      </w:r>
      <w:r w:rsidR="00335495" w:rsidRPr="00816A48">
        <w:rPr>
          <w:rFonts w:ascii="Times New Roman" w:hAnsi="Times New Roman"/>
          <w:color w:val="000000"/>
          <w:lang w:val="lt-LT"/>
        </w:rPr>
        <w:t>ų sąrašas.</w:t>
      </w:r>
    </w:p>
    <w:p w14:paraId="26D7B176" w14:textId="45CE0536" w:rsidR="007750B7" w:rsidRPr="00816A48" w:rsidRDefault="007750B7" w:rsidP="00242DA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Išgertos 2,5 mg ibandrono rūgšties paros dozės saugumas buvo įvertintas pagal 1 251 pacientės, kurios buvo gydytos 4 placebu kontroliuojamų klinikinių tyrimų metu, duomenis. Didžioji dauguma pacienčių dalyvavo pagrindiniame trejų metų gydymo tyrime (MF</w:t>
      </w:r>
      <w:r w:rsidR="00171B01">
        <w:rPr>
          <w:rFonts w:ascii="Times New Roman" w:hAnsi="Times New Roman"/>
          <w:color w:val="000000"/>
          <w:lang w:val="lt-LT"/>
        </w:rPr>
        <w:t> </w:t>
      </w:r>
      <w:r w:rsidRPr="00816A48">
        <w:rPr>
          <w:rFonts w:ascii="Times New Roman" w:hAnsi="Times New Roman"/>
          <w:color w:val="000000"/>
          <w:lang w:val="lt-LT"/>
        </w:rPr>
        <w:t xml:space="preserve">4411). </w:t>
      </w:r>
    </w:p>
    <w:p w14:paraId="3BBFCA3E" w14:textId="0CA038E0" w:rsidR="007750B7" w:rsidRPr="00816A48" w:rsidRDefault="007750B7" w:rsidP="0033112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Dvejus metus trukusio pagrindinio tyrimo su osteoporoze sergančiomis moterimis po menopauzės (BM 16550) duomenimis, leidžiant į veną 3 mg ibandrono rūgšties dozę kas 3 mėnesius ir vartojant 2,5 mg ibandrono rūgšties dozę vieną kartą per parą, bendrieji saugumo duomenys buvo panašūs. Nepageidaujamas reakcijas po vienerių ir dvejų metų buvo patyrę iš viso atitinkamai 26,0</w:t>
      </w:r>
      <w:r w:rsidR="00171B01">
        <w:rPr>
          <w:rFonts w:ascii="Times New Roman" w:hAnsi="Times New Roman"/>
          <w:color w:val="000000"/>
          <w:lang w:val="lt-LT"/>
        </w:rPr>
        <w:t> </w:t>
      </w:r>
      <w:r w:rsidRPr="00816A48">
        <w:rPr>
          <w:rFonts w:ascii="Times New Roman" w:hAnsi="Times New Roman"/>
          <w:color w:val="000000"/>
          <w:lang w:val="lt-LT"/>
        </w:rPr>
        <w:t>% ir 28,6</w:t>
      </w:r>
      <w:r w:rsidR="00171B01">
        <w:rPr>
          <w:rFonts w:ascii="Times New Roman" w:hAnsi="Times New Roman"/>
          <w:color w:val="000000"/>
          <w:lang w:val="lt-LT"/>
        </w:rPr>
        <w:t> </w:t>
      </w:r>
      <w:r w:rsidRPr="00816A48">
        <w:rPr>
          <w:rFonts w:ascii="Times New Roman" w:hAnsi="Times New Roman"/>
          <w:color w:val="000000"/>
          <w:lang w:val="lt-LT"/>
        </w:rPr>
        <w:t>% pacienčių, kurioms kas 3</w:t>
      </w:r>
      <w:r w:rsidR="00171B01">
        <w:rPr>
          <w:rFonts w:ascii="Times New Roman" w:hAnsi="Times New Roman"/>
          <w:color w:val="000000"/>
          <w:lang w:val="lt-LT"/>
        </w:rPr>
        <w:t> </w:t>
      </w:r>
      <w:r w:rsidRPr="00816A48">
        <w:rPr>
          <w:rFonts w:ascii="Times New Roman" w:hAnsi="Times New Roman"/>
          <w:color w:val="000000"/>
          <w:lang w:val="lt-LT"/>
        </w:rPr>
        <w:t>mėnesius buvo suleista 3 mg ibandrono rūgšties dozė. Gydymo nutraukti dėl nepageidaujamų reakcijų dažniausiai neprireikė.</w:t>
      </w:r>
    </w:p>
    <w:p w14:paraId="47BE8636" w14:textId="77777777" w:rsidR="007750B7" w:rsidRPr="00816A48" w:rsidRDefault="007750B7" w:rsidP="00540EF9">
      <w:pPr>
        <w:autoSpaceDE w:val="0"/>
        <w:autoSpaceDN w:val="0"/>
        <w:adjustRightInd w:val="0"/>
        <w:spacing w:after="0" w:line="240" w:lineRule="auto"/>
        <w:rPr>
          <w:rFonts w:ascii="Times New Roman" w:hAnsi="Times New Roman"/>
          <w:color w:val="000000"/>
          <w:lang w:val="lt-LT"/>
        </w:rPr>
      </w:pPr>
    </w:p>
    <w:p w14:paraId="732FAFB6" w14:textId="79B29C66" w:rsidR="00947F45" w:rsidRPr="00816A48" w:rsidRDefault="00947F45" w:rsidP="00661507">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Nepageidaujamos reakcijos, suskirstytos pagal MedDRA organų sistemų klases ir dažnį. </w:t>
      </w:r>
      <w:r w:rsidR="00AC02F2" w:rsidRPr="00AC02F2">
        <w:rPr>
          <w:rFonts w:ascii="Times New Roman" w:hAnsi="Times New Roman"/>
          <w:color w:val="000000"/>
          <w:lang w:val="lt-LT"/>
        </w:rPr>
        <w:t>Nepageidaujamo poveikio dažnis apibūdinamas taip</w:t>
      </w:r>
      <w:r w:rsidRPr="00816A48">
        <w:rPr>
          <w:rFonts w:ascii="Times New Roman" w:hAnsi="Times New Roman"/>
          <w:color w:val="000000"/>
          <w:lang w:val="lt-LT"/>
        </w:rPr>
        <w:t>: labai dažnas (≥ 1/10), dažnas (nuo ≥ 1/100 iki &lt; 1/10), nedažnas (nuo ≥ 1/1</w:t>
      </w:r>
      <w:r w:rsidR="00AC02F2">
        <w:rPr>
          <w:rFonts w:ascii="Times New Roman" w:hAnsi="Times New Roman"/>
          <w:color w:val="000000"/>
          <w:lang w:val="lt-LT"/>
        </w:rPr>
        <w:t> </w:t>
      </w:r>
      <w:r w:rsidRPr="00816A48">
        <w:rPr>
          <w:rFonts w:ascii="Times New Roman" w:hAnsi="Times New Roman"/>
          <w:color w:val="000000"/>
          <w:lang w:val="lt-LT"/>
        </w:rPr>
        <w:t>000 iki &lt; 1/100), retas (nuo ≥ 1/10</w:t>
      </w:r>
      <w:r w:rsidR="00171B01">
        <w:rPr>
          <w:rFonts w:ascii="Times New Roman" w:hAnsi="Times New Roman"/>
          <w:color w:val="000000"/>
          <w:lang w:val="lt-LT"/>
        </w:rPr>
        <w:t> </w:t>
      </w:r>
      <w:r w:rsidRPr="00816A48">
        <w:rPr>
          <w:rFonts w:ascii="Times New Roman" w:hAnsi="Times New Roman"/>
          <w:color w:val="000000"/>
          <w:lang w:val="lt-LT"/>
        </w:rPr>
        <w:t>000 iki &lt; 1/1</w:t>
      </w:r>
      <w:r w:rsidR="00AC02F2">
        <w:rPr>
          <w:rFonts w:ascii="Times New Roman" w:hAnsi="Times New Roman"/>
          <w:color w:val="000000"/>
          <w:lang w:val="lt-LT"/>
        </w:rPr>
        <w:t> </w:t>
      </w:r>
      <w:r w:rsidRPr="00816A48">
        <w:rPr>
          <w:rFonts w:ascii="Times New Roman" w:hAnsi="Times New Roman"/>
          <w:color w:val="000000"/>
          <w:lang w:val="lt-LT"/>
        </w:rPr>
        <w:t>000), labai retas (&lt; 1/10</w:t>
      </w:r>
      <w:r w:rsidR="00AC02F2">
        <w:rPr>
          <w:rFonts w:ascii="Times New Roman" w:hAnsi="Times New Roman"/>
          <w:color w:val="000000"/>
          <w:lang w:val="lt-LT"/>
        </w:rPr>
        <w:t> </w:t>
      </w:r>
      <w:r w:rsidRPr="00816A48">
        <w:rPr>
          <w:rFonts w:ascii="Times New Roman" w:hAnsi="Times New Roman"/>
          <w:color w:val="000000"/>
          <w:lang w:val="lt-LT"/>
        </w:rPr>
        <w:t>000) ir nežinomas (negali būti apskaičiuotas pagal turimus duomenis). Kiekvienoje dažnio grupėje nepageidaujamos reakcijos pateikiamos mažėjančio sunkumo tvarka.</w:t>
      </w:r>
    </w:p>
    <w:p w14:paraId="0774E11E" w14:textId="77777777" w:rsidR="00BB7FC9" w:rsidRPr="00816A48" w:rsidRDefault="00BB7FC9" w:rsidP="00861232">
      <w:pPr>
        <w:keepNext/>
        <w:tabs>
          <w:tab w:val="left" w:pos="567"/>
        </w:tabs>
        <w:spacing w:after="0" w:line="240" w:lineRule="auto"/>
        <w:rPr>
          <w:rFonts w:ascii="Times New Roman" w:hAnsi="Times New Roman"/>
          <w:lang w:val="lt-LT"/>
        </w:rPr>
      </w:pPr>
    </w:p>
    <w:p w14:paraId="29ECE316" w14:textId="5426E9A4" w:rsidR="007750B7" w:rsidRPr="00816A48" w:rsidRDefault="00905B23" w:rsidP="00CE74AB">
      <w:pPr>
        <w:keepNext/>
        <w:keepLines/>
        <w:tabs>
          <w:tab w:val="left" w:pos="567"/>
        </w:tabs>
        <w:spacing w:after="0" w:line="240" w:lineRule="auto"/>
        <w:rPr>
          <w:rFonts w:ascii="Times New Roman" w:hAnsi="Times New Roman"/>
          <w:lang w:val="lt-LT"/>
        </w:rPr>
      </w:pPr>
      <w:r w:rsidRPr="00816A48">
        <w:rPr>
          <w:rFonts w:ascii="Times New Roman" w:hAnsi="Times New Roman"/>
          <w:lang w:val="lt-LT"/>
        </w:rPr>
        <w:t>1 lentelė</w:t>
      </w:r>
      <w:r w:rsidR="007750B7" w:rsidRPr="00816A48">
        <w:rPr>
          <w:rFonts w:ascii="Times New Roman" w:hAnsi="Times New Roman"/>
          <w:lang w:val="lt-LT"/>
        </w:rPr>
        <w:t>. Nepageidaujamos reakcijos, kurios pasireiškė moterims po menopauzės, kurioms buvo suleista 3 mg ibandrono rūgšties kas 3 mėnesius arba kurios vartojo 2,5 mg ibandrono rūgšties dozę vieną kartą per parą III</w:t>
      </w:r>
      <w:r w:rsidR="00171B01">
        <w:rPr>
          <w:rFonts w:ascii="Times New Roman" w:hAnsi="Times New Roman"/>
          <w:lang w:val="lt-LT"/>
        </w:rPr>
        <w:t> </w:t>
      </w:r>
      <w:r w:rsidR="007750B7" w:rsidRPr="00816A48">
        <w:rPr>
          <w:rFonts w:ascii="Times New Roman" w:hAnsi="Times New Roman"/>
          <w:lang w:val="lt-LT"/>
        </w:rPr>
        <w:t>fazės BM</w:t>
      </w:r>
      <w:r w:rsidR="00540EF9" w:rsidRPr="00816A48">
        <w:rPr>
          <w:rFonts w:ascii="Times New Roman" w:hAnsi="Times New Roman"/>
          <w:lang w:val="lt-LT"/>
        </w:rPr>
        <w:t> </w:t>
      </w:r>
      <w:r w:rsidR="007750B7" w:rsidRPr="00816A48">
        <w:rPr>
          <w:rFonts w:ascii="Times New Roman" w:hAnsi="Times New Roman"/>
          <w:lang w:val="lt-LT"/>
        </w:rPr>
        <w:t>16550 ir MF</w:t>
      </w:r>
      <w:r w:rsidR="00171B01">
        <w:rPr>
          <w:rFonts w:ascii="Times New Roman" w:hAnsi="Times New Roman"/>
          <w:lang w:val="lt-LT"/>
        </w:rPr>
        <w:t> </w:t>
      </w:r>
      <w:r w:rsidR="007750B7" w:rsidRPr="00816A48">
        <w:rPr>
          <w:rFonts w:ascii="Times New Roman" w:hAnsi="Times New Roman"/>
          <w:lang w:val="lt-LT"/>
        </w:rPr>
        <w:t>4411 tyrimų metu bei vaistiniam preparatui esant rinkoje.</w:t>
      </w:r>
    </w:p>
    <w:p w14:paraId="7FD09CC1" w14:textId="77777777" w:rsidR="007750B7" w:rsidRPr="00816A48" w:rsidRDefault="007750B7" w:rsidP="00720F9C">
      <w:pPr>
        <w:keepNext/>
        <w:tabs>
          <w:tab w:val="left" w:pos="567"/>
        </w:tabs>
        <w:spacing w:after="0" w:line="240" w:lineRule="auto"/>
        <w:rPr>
          <w:rFonts w:ascii="Times New Roman" w:hAnsi="Times New Roman"/>
          <w:lang w:val="lt-LT"/>
        </w:rPr>
      </w:pPr>
    </w:p>
    <w:tbl>
      <w:tblPr>
        <w:tblW w:w="0" w:type="auto"/>
        <w:tblInd w:w="180" w:type="dxa"/>
        <w:tblLook w:val="0000" w:firstRow="0" w:lastRow="0" w:firstColumn="0" w:lastColumn="0" w:noHBand="0" w:noVBand="0"/>
      </w:tblPr>
      <w:tblGrid>
        <w:gridCol w:w="2787"/>
        <w:gridCol w:w="1225"/>
        <w:gridCol w:w="4859"/>
      </w:tblGrid>
      <w:tr w:rsidR="007750B7" w:rsidRPr="00816A48" w14:paraId="4D83A9A7" w14:textId="77777777" w:rsidTr="00F55F27">
        <w:trPr>
          <w:trHeight w:val="20"/>
        </w:trPr>
        <w:tc>
          <w:tcPr>
            <w:tcW w:w="2787" w:type="dxa"/>
            <w:tcBorders>
              <w:top w:val="single" w:sz="8" w:space="0" w:color="000000"/>
              <w:left w:val="single" w:sz="8" w:space="0" w:color="000000"/>
              <w:bottom w:val="single" w:sz="8" w:space="0" w:color="000000"/>
              <w:right w:val="single" w:sz="8" w:space="0" w:color="000000"/>
            </w:tcBorders>
          </w:tcPr>
          <w:p w14:paraId="011A892F" w14:textId="77777777" w:rsidR="007750B7" w:rsidRPr="00816A48" w:rsidRDefault="007750B7" w:rsidP="00567435">
            <w:pPr>
              <w:keepNext/>
              <w:tabs>
                <w:tab w:val="left" w:pos="567"/>
              </w:tabs>
              <w:spacing w:after="0" w:line="240" w:lineRule="auto"/>
              <w:rPr>
                <w:rFonts w:ascii="Times New Roman" w:hAnsi="Times New Roman"/>
                <w:lang w:val="lt-LT"/>
              </w:rPr>
            </w:pPr>
            <w:r w:rsidRPr="00816A48">
              <w:rPr>
                <w:rFonts w:ascii="Times New Roman" w:hAnsi="Times New Roman"/>
                <w:b/>
                <w:lang w:val="lt-LT"/>
              </w:rPr>
              <w:t>Organų sistemų klasės</w:t>
            </w:r>
          </w:p>
        </w:tc>
        <w:tc>
          <w:tcPr>
            <w:tcW w:w="1225" w:type="dxa"/>
            <w:tcBorders>
              <w:top w:val="single" w:sz="8" w:space="0" w:color="000000"/>
              <w:left w:val="single" w:sz="8" w:space="0" w:color="000000"/>
              <w:bottom w:val="single" w:sz="8" w:space="0" w:color="000000"/>
              <w:right w:val="single" w:sz="8" w:space="0" w:color="000000"/>
            </w:tcBorders>
          </w:tcPr>
          <w:p w14:paraId="720D874B" w14:textId="77777777" w:rsidR="007750B7" w:rsidRPr="00816A48" w:rsidRDefault="007750B7" w:rsidP="00861232">
            <w:pPr>
              <w:pStyle w:val="Default"/>
              <w:rPr>
                <w:sz w:val="22"/>
                <w:szCs w:val="22"/>
                <w:lang w:val="lt-LT"/>
              </w:rPr>
            </w:pPr>
            <w:r w:rsidRPr="00816A48">
              <w:rPr>
                <w:b/>
                <w:sz w:val="22"/>
                <w:szCs w:val="22"/>
                <w:lang w:val="lt-LT"/>
              </w:rPr>
              <w:t>Dažnis</w:t>
            </w:r>
          </w:p>
        </w:tc>
        <w:tc>
          <w:tcPr>
            <w:tcW w:w="4859" w:type="dxa"/>
            <w:tcBorders>
              <w:top w:val="single" w:sz="8" w:space="0" w:color="000000"/>
              <w:left w:val="single" w:sz="8" w:space="0" w:color="000000"/>
              <w:bottom w:val="single" w:sz="8" w:space="0" w:color="000000"/>
              <w:right w:val="single" w:sz="8" w:space="0" w:color="000000"/>
            </w:tcBorders>
          </w:tcPr>
          <w:p w14:paraId="0C0C436F" w14:textId="77777777" w:rsidR="007750B7" w:rsidRPr="00816A48" w:rsidRDefault="007750B7" w:rsidP="00861232">
            <w:pPr>
              <w:pStyle w:val="Default"/>
              <w:rPr>
                <w:sz w:val="22"/>
                <w:szCs w:val="22"/>
                <w:lang w:val="lt-LT"/>
              </w:rPr>
            </w:pPr>
            <w:r w:rsidRPr="00816A48">
              <w:rPr>
                <w:b/>
                <w:sz w:val="22"/>
                <w:szCs w:val="22"/>
                <w:lang w:val="lt-LT"/>
              </w:rPr>
              <w:t>Nepageidaujamos reakcijos</w:t>
            </w:r>
          </w:p>
        </w:tc>
      </w:tr>
      <w:tr w:rsidR="00335495" w:rsidRPr="00816A48" w14:paraId="05178791" w14:textId="77777777" w:rsidTr="00F55F27">
        <w:trPr>
          <w:trHeight w:val="20"/>
        </w:trPr>
        <w:tc>
          <w:tcPr>
            <w:tcW w:w="2787" w:type="dxa"/>
            <w:tcBorders>
              <w:top w:val="single" w:sz="8" w:space="0" w:color="000000"/>
              <w:left w:val="single" w:sz="8" w:space="0" w:color="000000"/>
              <w:right w:val="single" w:sz="8" w:space="0" w:color="000000"/>
            </w:tcBorders>
          </w:tcPr>
          <w:p w14:paraId="4F104B93" w14:textId="77777777" w:rsidR="00335495" w:rsidRPr="00816A48" w:rsidRDefault="00335495" w:rsidP="003D3259">
            <w:pPr>
              <w:keepNext/>
              <w:tabs>
                <w:tab w:val="left" w:pos="0"/>
              </w:tabs>
              <w:spacing w:after="0" w:line="240" w:lineRule="auto"/>
              <w:rPr>
                <w:rFonts w:ascii="Times New Roman" w:hAnsi="Times New Roman"/>
                <w:lang w:val="lt-LT"/>
              </w:rPr>
            </w:pPr>
            <w:r w:rsidRPr="00816A48">
              <w:rPr>
                <w:rFonts w:ascii="Times New Roman" w:hAnsi="Times New Roman"/>
                <w:lang w:val="lt-LT"/>
              </w:rPr>
              <w:t>Imuninės sistemos sutrikimai</w:t>
            </w:r>
          </w:p>
        </w:tc>
        <w:tc>
          <w:tcPr>
            <w:tcW w:w="1225" w:type="dxa"/>
            <w:tcBorders>
              <w:top w:val="single" w:sz="8" w:space="0" w:color="000000"/>
              <w:left w:val="single" w:sz="8" w:space="0" w:color="000000"/>
              <w:bottom w:val="single" w:sz="8" w:space="0" w:color="000000"/>
              <w:right w:val="single" w:sz="8" w:space="0" w:color="000000"/>
            </w:tcBorders>
          </w:tcPr>
          <w:p w14:paraId="3F30336C" w14:textId="77777777" w:rsidR="00335495" w:rsidRPr="00816A48" w:rsidRDefault="003A15DE" w:rsidP="00177670">
            <w:pPr>
              <w:pStyle w:val="Default"/>
              <w:rPr>
                <w:sz w:val="22"/>
                <w:szCs w:val="22"/>
                <w:lang w:val="lt-LT"/>
              </w:rPr>
            </w:pPr>
            <w:r w:rsidRPr="00816A48">
              <w:rPr>
                <w:rFonts w:eastAsia="MS Mincho"/>
                <w:color w:val="auto"/>
                <w:sz w:val="22"/>
                <w:szCs w:val="22"/>
                <w:lang w:val="lt-LT" w:eastAsia="fr-FR"/>
              </w:rPr>
              <w:t>Nedažn</w:t>
            </w:r>
            <w:r w:rsidR="00D725AD" w:rsidRPr="00816A48">
              <w:rPr>
                <w:rFonts w:eastAsia="MS Mincho"/>
                <w:color w:val="auto"/>
                <w:sz w:val="22"/>
                <w:szCs w:val="22"/>
                <w:lang w:val="lt-LT" w:eastAsia="fr-FR"/>
              </w:rPr>
              <w:t>as</w:t>
            </w:r>
          </w:p>
        </w:tc>
        <w:tc>
          <w:tcPr>
            <w:tcW w:w="4859" w:type="dxa"/>
            <w:tcBorders>
              <w:top w:val="single" w:sz="8" w:space="0" w:color="000000"/>
              <w:left w:val="single" w:sz="8" w:space="0" w:color="000000"/>
              <w:bottom w:val="single" w:sz="8" w:space="0" w:color="000000"/>
              <w:right w:val="single" w:sz="8" w:space="0" w:color="000000"/>
            </w:tcBorders>
          </w:tcPr>
          <w:p w14:paraId="37319B17" w14:textId="77777777" w:rsidR="00335495" w:rsidRPr="00816A48" w:rsidRDefault="003A15DE" w:rsidP="00177670">
            <w:pPr>
              <w:pStyle w:val="Default"/>
              <w:rPr>
                <w:sz w:val="22"/>
                <w:szCs w:val="22"/>
                <w:lang w:val="lt-LT"/>
              </w:rPr>
            </w:pPr>
            <w:r w:rsidRPr="00816A48">
              <w:rPr>
                <w:sz w:val="22"/>
                <w:szCs w:val="22"/>
                <w:lang w:val="lt-LT"/>
              </w:rPr>
              <w:t>Astmos paūmėjimas</w:t>
            </w:r>
          </w:p>
        </w:tc>
      </w:tr>
      <w:tr w:rsidR="00335495" w:rsidRPr="00816A48" w14:paraId="2EB195B7" w14:textId="77777777" w:rsidTr="00F55F27">
        <w:trPr>
          <w:trHeight w:val="20"/>
        </w:trPr>
        <w:tc>
          <w:tcPr>
            <w:tcW w:w="2787" w:type="dxa"/>
            <w:vMerge w:val="restart"/>
            <w:tcBorders>
              <w:left w:val="single" w:sz="8" w:space="0" w:color="000000"/>
              <w:right w:val="single" w:sz="8" w:space="0" w:color="000000"/>
            </w:tcBorders>
          </w:tcPr>
          <w:p w14:paraId="72B880B7" w14:textId="77777777" w:rsidR="00335495" w:rsidRPr="00816A48" w:rsidRDefault="00335495" w:rsidP="003D3259">
            <w:pPr>
              <w:keepNext/>
              <w:tabs>
                <w:tab w:val="left" w:pos="567"/>
              </w:tabs>
              <w:spacing w:after="0" w:line="240" w:lineRule="auto"/>
              <w:rPr>
                <w:rFonts w:ascii="Times New Roman" w:hAnsi="Times New Roman"/>
                <w:lang w:val="lt-LT"/>
              </w:rPr>
            </w:pPr>
          </w:p>
        </w:tc>
        <w:tc>
          <w:tcPr>
            <w:tcW w:w="1225" w:type="dxa"/>
            <w:tcBorders>
              <w:top w:val="single" w:sz="8" w:space="0" w:color="000000"/>
              <w:left w:val="single" w:sz="8" w:space="0" w:color="000000"/>
              <w:bottom w:val="single" w:sz="8" w:space="0" w:color="000000"/>
              <w:right w:val="single" w:sz="8" w:space="0" w:color="000000"/>
            </w:tcBorders>
          </w:tcPr>
          <w:p w14:paraId="2B2EF1C8" w14:textId="77777777" w:rsidR="00335495" w:rsidRPr="00816A48" w:rsidRDefault="00335495" w:rsidP="00861232">
            <w:pPr>
              <w:pStyle w:val="Default"/>
              <w:rPr>
                <w:sz w:val="22"/>
                <w:szCs w:val="22"/>
                <w:lang w:val="lt-LT"/>
              </w:rPr>
            </w:pPr>
            <w:r w:rsidRPr="00816A48">
              <w:rPr>
                <w:sz w:val="22"/>
                <w:szCs w:val="22"/>
                <w:lang w:val="lt-LT"/>
              </w:rPr>
              <w:t>Ret</w:t>
            </w:r>
            <w:r w:rsidR="00D725AD" w:rsidRPr="00816A48">
              <w:rPr>
                <w:sz w:val="22"/>
                <w:szCs w:val="22"/>
                <w:lang w:val="lt-LT"/>
              </w:rPr>
              <w:t>as</w:t>
            </w:r>
          </w:p>
        </w:tc>
        <w:tc>
          <w:tcPr>
            <w:tcW w:w="4859" w:type="dxa"/>
            <w:tcBorders>
              <w:top w:val="single" w:sz="8" w:space="0" w:color="000000"/>
              <w:left w:val="single" w:sz="8" w:space="0" w:color="000000"/>
              <w:bottom w:val="single" w:sz="8" w:space="0" w:color="000000"/>
              <w:right w:val="single" w:sz="8" w:space="0" w:color="000000"/>
            </w:tcBorders>
          </w:tcPr>
          <w:p w14:paraId="42FE3E87" w14:textId="77777777" w:rsidR="00335495" w:rsidRPr="00816A48" w:rsidRDefault="00335495" w:rsidP="00861232">
            <w:pPr>
              <w:pStyle w:val="Default"/>
              <w:rPr>
                <w:sz w:val="22"/>
                <w:szCs w:val="22"/>
                <w:lang w:val="lt-LT"/>
              </w:rPr>
            </w:pPr>
            <w:r w:rsidRPr="00816A48">
              <w:rPr>
                <w:sz w:val="22"/>
                <w:szCs w:val="22"/>
                <w:lang w:val="lt-LT"/>
              </w:rPr>
              <w:t>Padidėjusio jautrumo reakcija</w:t>
            </w:r>
          </w:p>
        </w:tc>
      </w:tr>
      <w:tr w:rsidR="00335495" w:rsidRPr="00816A48" w14:paraId="688AA2BE" w14:textId="77777777" w:rsidTr="00F55F27">
        <w:trPr>
          <w:trHeight w:val="20"/>
        </w:trPr>
        <w:tc>
          <w:tcPr>
            <w:tcW w:w="2787" w:type="dxa"/>
            <w:vMerge/>
            <w:tcBorders>
              <w:left w:val="single" w:sz="8" w:space="0" w:color="000000"/>
              <w:bottom w:val="single" w:sz="8" w:space="0" w:color="000000"/>
              <w:right w:val="single" w:sz="8" w:space="0" w:color="000000"/>
            </w:tcBorders>
          </w:tcPr>
          <w:p w14:paraId="6DC94AB2" w14:textId="77777777" w:rsidR="00335495" w:rsidRPr="00816A48" w:rsidRDefault="00335495" w:rsidP="003D3259">
            <w:pPr>
              <w:keepNext/>
              <w:tabs>
                <w:tab w:val="left" w:pos="567"/>
              </w:tabs>
              <w:spacing w:after="0" w:line="240" w:lineRule="auto"/>
              <w:rPr>
                <w:rFonts w:ascii="Times New Roman" w:hAnsi="Times New Roman"/>
                <w:lang w:val="lt-LT"/>
              </w:rPr>
            </w:pPr>
          </w:p>
        </w:tc>
        <w:tc>
          <w:tcPr>
            <w:tcW w:w="1225" w:type="dxa"/>
            <w:tcBorders>
              <w:top w:val="single" w:sz="8" w:space="0" w:color="000000"/>
              <w:left w:val="single" w:sz="8" w:space="0" w:color="000000"/>
              <w:bottom w:val="single" w:sz="8" w:space="0" w:color="000000"/>
              <w:right w:val="single" w:sz="8" w:space="0" w:color="000000"/>
            </w:tcBorders>
          </w:tcPr>
          <w:p w14:paraId="5E4377DD" w14:textId="77777777" w:rsidR="00335495" w:rsidRPr="00816A48" w:rsidRDefault="003A15DE" w:rsidP="003D3259">
            <w:pPr>
              <w:pStyle w:val="Default"/>
              <w:rPr>
                <w:sz w:val="22"/>
                <w:szCs w:val="22"/>
                <w:lang w:val="lt-LT"/>
              </w:rPr>
            </w:pPr>
            <w:r w:rsidRPr="00816A48">
              <w:rPr>
                <w:sz w:val="22"/>
                <w:szCs w:val="22"/>
                <w:lang w:val="lt-LT"/>
              </w:rPr>
              <w:t>Labai ret</w:t>
            </w:r>
            <w:r w:rsidR="00D725AD" w:rsidRPr="00816A48">
              <w:rPr>
                <w:sz w:val="22"/>
                <w:szCs w:val="22"/>
                <w:lang w:val="lt-LT"/>
              </w:rPr>
              <w:t>as</w:t>
            </w:r>
          </w:p>
        </w:tc>
        <w:tc>
          <w:tcPr>
            <w:tcW w:w="4859" w:type="dxa"/>
            <w:tcBorders>
              <w:top w:val="single" w:sz="8" w:space="0" w:color="000000"/>
              <w:left w:val="single" w:sz="8" w:space="0" w:color="000000"/>
              <w:bottom w:val="single" w:sz="8" w:space="0" w:color="000000"/>
              <w:right w:val="single" w:sz="8" w:space="0" w:color="000000"/>
            </w:tcBorders>
          </w:tcPr>
          <w:p w14:paraId="5D5A3406" w14:textId="77777777" w:rsidR="00335495" w:rsidRPr="00816A48" w:rsidRDefault="003A15DE" w:rsidP="003D3259">
            <w:pPr>
              <w:pStyle w:val="Default"/>
              <w:rPr>
                <w:sz w:val="22"/>
                <w:szCs w:val="22"/>
                <w:lang w:val="lt-LT"/>
              </w:rPr>
            </w:pPr>
            <w:r w:rsidRPr="00816A48">
              <w:rPr>
                <w:sz w:val="22"/>
                <w:szCs w:val="22"/>
                <w:lang w:val="lt-LT"/>
              </w:rPr>
              <w:t>Anafilaksinė reakcija</w:t>
            </w:r>
            <w:r w:rsidR="00701E42" w:rsidRPr="00816A48">
              <w:rPr>
                <w:sz w:val="22"/>
                <w:szCs w:val="22"/>
                <w:lang w:val="lt-LT"/>
              </w:rPr>
              <w:t xml:space="preserve"> ar </w:t>
            </w:r>
            <w:r w:rsidRPr="00816A48">
              <w:rPr>
                <w:sz w:val="22"/>
                <w:szCs w:val="22"/>
                <w:lang w:val="lt-LT"/>
              </w:rPr>
              <w:t>šokas</w:t>
            </w:r>
            <w:r w:rsidR="00335495" w:rsidRPr="00816A48">
              <w:rPr>
                <w:sz w:val="22"/>
                <w:szCs w:val="22"/>
                <w:lang w:val="lt-LT"/>
              </w:rPr>
              <w:t>*†</w:t>
            </w:r>
          </w:p>
        </w:tc>
      </w:tr>
      <w:tr w:rsidR="00AC02F2" w:rsidRPr="00816A48" w14:paraId="2DD8FF36" w14:textId="77777777" w:rsidTr="00F55F27">
        <w:trPr>
          <w:trHeight w:val="20"/>
        </w:trPr>
        <w:tc>
          <w:tcPr>
            <w:tcW w:w="2787" w:type="dxa"/>
            <w:tcBorders>
              <w:top w:val="single" w:sz="8" w:space="0" w:color="000000"/>
              <w:left w:val="single" w:sz="8" w:space="0" w:color="000000"/>
              <w:bottom w:val="single" w:sz="8" w:space="0" w:color="000000"/>
              <w:right w:val="single" w:sz="8" w:space="0" w:color="000000"/>
            </w:tcBorders>
          </w:tcPr>
          <w:p w14:paraId="771099FD" w14:textId="77777777" w:rsidR="00AC02F2" w:rsidRPr="00AC02F2" w:rsidRDefault="00AC02F2" w:rsidP="00AC02F2">
            <w:pPr>
              <w:keepNext/>
              <w:tabs>
                <w:tab w:val="left" w:pos="567"/>
              </w:tabs>
              <w:spacing w:after="0" w:line="240" w:lineRule="auto"/>
              <w:rPr>
                <w:rFonts w:ascii="Times New Roman" w:hAnsi="Times New Roman"/>
                <w:lang w:val="lt-LT"/>
              </w:rPr>
            </w:pPr>
            <w:r w:rsidRPr="00AC02F2">
              <w:rPr>
                <w:rFonts w:ascii="Times New Roman" w:hAnsi="Times New Roman"/>
                <w:lang w:val="lt-LT"/>
              </w:rPr>
              <w:t>Metabolizmo ir</w:t>
            </w:r>
          </w:p>
          <w:p w14:paraId="3BC27D41" w14:textId="52F07AFE" w:rsidR="00AC02F2" w:rsidRPr="00816A48" w:rsidRDefault="00AC02F2" w:rsidP="00AC02F2">
            <w:pPr>
              <w:keepNext/>
              <w:tabs>
                <w:tab w:val="left" w:pos="567"/>
              </w:tabs>
              <w:spacing w:after="0" w:line="240" w:lineRule="auto"/>
              <w:rPr>
                <w:rFonts w:ascii="Times New Roman" w:hAnsi="Times New Roman"/>
                <w:lang w:val="lt-LT"/>
              </w:rPr>
            </w:pPr>
            <w:r w:rsidRPr="00AC02F2">
              <w:rPr>
                <w:rFonts w:ascii="Times New Roman" w:hAnsi="Times New Roman"/>
                <w:lang w:val="lt-LT"/>
              </w:rPr>
              <w:t>mitybos sutrikimai</w:t>
            </w:r>
          </w:p>
        </w:tc>
        <w:tc>
          <w:tcPr>
            <w:tcW w:w="1225" w:type="dxa"/>
            <w:tcBorders>
              <w:top w:val="single" w:sz="8" w:space="0" w:color="000000"/>
              <w:left w:val="single" w:sz="8" w:space="0" w:color="000000"/>
              <w:bottom w:val="single" w:sz="8" w:space="0" w:color="000000"/>
              <w:right w:val="single" w:sz="8" w:space="0" w:color="000000"/>
            </w:tcBorders>
          </w:tcPr>
          <w:p w14:paraId="2F4BEF25" w14:textId="0BB9E0A4" w:rsidR="00AC02F2" w:rsidRPr="00816A48" w:rsidRDefault="00AC02F2" w:rsidP="00861232">
            <w:pPr>
              <w:pStyle w:val="Default"/>
              <w:rPr>
                <w:sz w:val="22"/>
                <w:szCs w:val="22"/>
                <w:lang w:val="lt-LT"/>
              </w:rPr>
            </w:pPr>
            <w:r>
              <w:rPr>
                <w:sz w:val="22"/>
                <w:szCs w:val="22"/>
                <w:lang w:val="lt-LT"/>
              </w:rPr>
              <w:t>Nedažnas</w:t>
            </w:r>
          </w:p>
        </w:tc>
        <w:tc>
          <w:tcPr>
            <w:tcW w:w="4859" w:type="dxa"/>
            <w:tcBorders>
              <w:top w:val="single" w:sz="8" w:space="0" w:color="000000"/>
              <w:left w:val="single" w:sz="8" w:space="0" w:color="000000"/>
              <w:bottom w:val="single" w:sz="8" w:space="0" w:color="000000"/>
              <w:right w:val="single" w:sz="8" w:space="0" w:color="000000"/>
            </w:tcBorders>
          </w:tcPr>
          <w:p w14:paraId="0F2231B1" w14:textId="0844EEFC" w:rsidR="00AC02F2" w:rsidRPr="00816A48" w:rsidRDefault="00AC02F2" w:rsidP="00861232">
            <w:pPr>
              <w:pStyle w:val="Default"/>
              <w:rPr>
                <w:sz w:val="22"/>
                <w:szCs w:val="22"/>
                <w:lang w:val="lt-LT"/>
              </w:rPr>
            </w:pPr>
            <w:r>
              <w:rPr>
                <w:sz w:val="22"/>
                <w:szCs w:val="22"/>
                <w:lang w:val="lt-LT"/>
              </w:rPr>
              <w:t>H</w:t>
            </w:r>
            <w:r w:rsidRPr="00AC02F2">
              <w:rPr>
                <w:sz w:val="22"/>
                <w:szCs w:val="22"/>
                <w:lang w:val="lt-LT"/>
              </w:rPr>
              <w:t>ipokalcemija†</w:t>
            </w:r>
          </w:p>
        </w:tc>
      </w:tr>
      <w:tr w:rsidR="007750B7" w:rsidRPr="00816A48" w14:paraId="4BF3EC95" w14:textId="77777777" w:rsidTr="00F55F27">
        <w:trPr>
          <w:trHeight w:val="20"/>
        </w:trPr>
        <w:tc>
          <w:tcPr>
            <w:tcW w:w="2787" w:type="dxa"/>
            <w:tcBorders>
              <w:top w:val="single" w:sz="8" w:space="0" w:color="000000"/>
              <w:left w:val="single" w:sz="8" w:space="0" w:color="000000"/>
              <w:bottom w:val="single" w:sz="8" w:space="0" w:color="000000"/>
              <w:right w:val="single" w:sz="8" w:space="0" w:color="000000"/>
            </w:tcBorders>
          </w:tcPr>
          <w:p w14:paraId="299247B0" w14:textId="77777777" w:rsidR="007750B7" w:rsidRPr="00816A48" w:rsidRDefault="007750B7" w:rsidP="00177670">
            <w:pPr>
              <w:keepNext/>
              <w:tabs>
                <w:tab w:val="left" w:pos="567"/>
              </w:tabs>
              <w:spacing w:after="0" w:line="240" w:lineRule="auto"/>
              <w:rPr>
                <w:rFonts w:ascii="Times New Roman" w:hAnsi="Times New Roman"/>
                <w:lang w:val="lt-LT"/>
              </w:rPr>
            </w:pPr>
            <w:r w:rsidRPr="00816A48">
              <w:rPr>
                <w:rFonts w:ascii="Times New Roman" w:hAnsi="Times New Roman"/>
                <w:lang w:val="lt-LT"/>
              </w:rPr>
              <w:t>Nervų sistemos sutrikimai</w:t>
            </w:r>
          </w:p>
        </w:tc>
        <w:tc>
          <w:tcPr>
            <w:tcW w:w="1225" w:type="dxa"/>
            <w:tcBorders>
              <w:top w:val="single" w:sz="8" w:space="0" w:color="000000"/>
              <w:left w:val="single" w:sz="8" w:space="0" w:color="000000"/>
              <w:bottom w:val="single" w:sz="8" w:space="0" w:color="000000"/>
              <w:right w:val="single" w:sz="8" w:space="0" w:color="000000"/>
            </w:tcBorders>
          </w:tcPr>
          <w:p w14:paraId="6BD4FDA8" w14:textId="77777777" w:rsidR="007750B7" w:rsidRPr="00816A48" w:rsidRDefault="007750B7" w:rsidP="00861232">
            <w:pPr>
              <w:pStyle w:val="Default"/>
              <w:rPr>
                <w:sz w:val="22"/>
                <w:szCs w:val="22"/>
                <w:lang w:val="lt-LT"/>
              </w:rPr>
            </w:pPr>
            <w:r w:rsidRPr="00816A48">
              <w:rPr>
                <w:sz w:val="22"/>
                <w:szCs w:val="22"/>
                <w:lang w:val="lt-LT"/>
              </w:rPr>
              <w:t>Dažn</w:t>
            </w:r>
            <w:r w:rsidR="00905B23" w:rsidRPr="00816A48">
              <w:rPr>
                <w:sz w:val="22"/>
                <w:szCs w:val="22"/>
                <w:lang w:val="lt-LT"/>
              </w:rPr>
              <w:t>as</w:t>
            </w:r>
          </w:p>
        </w:tc>
        <w:tc>
          <w:tcPr>
            <w:tcW w:w="4859" w:type="dxa"/>
            <w:tcBorders>
              <w:top w:val="single" w:sz="8" w:space="0" w:color="000000"/>
              <w:left w:val="single" w:sz="8" w:space="0" w:color="000000"/>
              <w:bottom w:val="single" w:sz="8" w:space="0" w:color="000000"/>
              <w:right w:val="single" w:sz="8" w:space="0" w:color="000000"/>
            </w:tcBorders>
          </w:tcPr>
          <w:p w14:paraId="65140440" w14:textId="77777777" w:rsidR="007750B7" w:rsidRPr="00816A48" w:rsidRDefault="007750B7" w:rsidP="00861232">
            <w:pPr>
              <w:pStyle w:val="Default"/>
              <w:rPr>
                <w:sz w:val="22"/>
                <w:szCs w:val="22"/>
                <w:lang w:val="lt-LT"/>
              </w:rPr>
            </w:pPr>
            <w:r w:rsidRPr="00816A48">
              <w:rPr>
                <w:sz w:val="22"/>
                <w:szCs w:val="22"/>
                <w:lang w:val="lt-LT"/>
              </w:rPr>
              <w:t>Galvos skausmas</w:t>
            </w:r>
          </w:p>
        </w:tc>
      </w:tr>
      <w:tr w:rsidR="007750B7" w:rsidRPr="00816A48" w14:paraId="30D2B860" w14:textId="77777777" w:rsidTr="00F55F27">
        <w:trPr>
          <w:trHeight w:val="20"/>
        </w:trPr>
        <w:tc>
          <w:tcPr>
            <w:tcW w:w="2787" w:type="dxa"/>
            <w:tcBorders>
              <w:top w:val="single" w:sz="8" w:space="0" w:color="000000"/>
              <w:left w:val="single" w:sz="8" w:space="0" w:color="000000"/>
              <w:bottom w:val="single" w:sz="8" w:space="0" w:color="000000"/>
              <w:right w:val="single" w:sz="8" w:space="0" w:color="000000"/>
            </w:tcBorders>
          </w:tcPr>
          <w:p w14:paraId="67C7E818" w14:textId="77777777" w:rsidR="007750B7" w:rsidRPr="00816A48" w:rsidRDefault="007750B7" w:rsidP="00861232">
            <w:pPr>
              <w:pStyle w:val="Default"/>
              <w:rPr>
                <w:sz w:val="22"/>
                <w:szCs w:val="22"/>
                <w:lang w:val="lt-LT"/>
              </w:rPr>
            </w:pPr>
            <w:r w:rsidRPr="00816A48">
              <w:rPr>
                <w:sz w:val="22"/>
                <w:szCs w:val="22"/>
                <w:lang w:val="lt-LT"/>
              </w:rPr>
              <w:t xml:space="preserve">Akių sutrikimai </w:t>
            </w:r>
          </w:p>
        </w:tc>
        <w:tc>
          <w:tcPr>
            <w:tcW w:w="1225" w:type="dxa"/>
            <w:tcBorders>
              <w:top w:val="single" w:sz="8" w:space="0" w:color="000000"/>
              <w:left w:val="single" w:sz="8" w:space="0" w:color="000000"/>
              <w:bottom w:val="single" w:sz="8" w:space="0" w:color="000000"/>
              <w:right w:val="single" w:sz="8" w:space="0" w:color="000000"/>
            </w:tcBorders>
          </w:tcPr>
          <w:p w14:paraId="7B1FC3FF" w14:textId="77777777" w:rsidR="007750B7" w:rsidRPr="00816A48" w:rsidRDefault="007750B7" w:rsidP="00861232">
            <w:pPr>
              <w:pStyle w:val="Default"/>
              <w:rPr>
                <w:sz w:val="22"/>
                <w:szCs w:val="22"/>
                <w:lang w:val="lt-LT"/>
              </w:rPr>
            </w:pPr>
            <w:r w:rsidRPr="00816A48">
              <w:rPr>
                <w:sz w:val="22"/>
                <w:szCs w:val="22"/>
                <w:lang w:val="lt-LT"/>
              </w:rPr>
              <w:t>Ret</w:t>
            </w:r>
            <w:r w:rsidR="00905B23" w:rsidRPr="00816A48">
              <w:rPr>
                <w:sz w:val="22"/>
                <w:szCs w:val="22"/>
                <w:lang w:val="lt-LT"/>
              </w:rPr>
              <w:t>as</w:t>
            </w:r>
          </w:p>
        </w:tc>
        <w:tc>
          <w:tcPr>
            <w:tcW w:w="4859" w:type="dxa"/>
            <w:tcBorders>
              <w:top w:val="single" w:sz="8" w:space="0" w:color="000000"/>
              <w:left w:val="single" w:sz="8" w:space="0" w:color="000000"/>
              <w:bottom w:val="single" w:sz="8" w:space="0" w:color="000000"/>
              <w:right w:val="single" w:sz="8" w:space="0" w:color="000000"/>
            </w:tcBorders>
          </w:tcPr>
          <w:p w14:paraId="0CAF0154" w14:textId="77777777" w:rsidR="007750B7" w:rsidRPr="00816A48" w:rsidRDefault="007750B7" w:rsidP="00861232">
            <w:pPr>
              <w:pStyle w:val="Default"/>
              <w:rPr>
                <w:sz w:val="22"/>
                <w:szCs w:val="22"/>
                <w:lang w:val="lt-LT"/>
              </w:rPr>
            </w:pPr>
            <w:r w:rsidRPr="00816A48">
              <w:rPr>
                <w:sz w:val="22"/>
                <w:szCs w:val="22"/>
                <w:lang w:val="lt-LT"/>
              </w:rPr>
              <w:t xml:space="preserve">Akių uždegimas*† </w:t>
            </w:r>
          </w:p>
        </w:tc>
      </w:tr>
      <w:tr w:rsidR="007750B7" w:rsidRPr="00816A48" w14:paraId="6E0203AB" w14:textId="77777777" w:rsidTr="00F55F27">
        <w:trPr>
          <w:trHeight w:val="20"/>
        </w:trPr>
        <w:tc>
          <w:tcPr>
            <w:tcW w:w="2787" w:type="dxa"/>
            <w:tcBorders>
              <w:top w:val="single" w:sz="8" w:space="0" w:color="000000"/>
              <w:left w:val="single" w:sz="8" w:space="0" w:color="000000"/>
              <w:bottom w:val="single" w:sz="8" w:space="0" w:color="000000"/>
              <w:right w:val="single" w:sz="8" w:space="0" w:color="000000"/>
            </w:tcBorders>
          </w:tcPr>
          <w:p w14:paraId="1EF811F2" w14:textId="77777777" w:rsidR="007750B7" w:rsidRPr="00816A48" w:rsidRDefault="007750B7" w:rsidP="00861232">
            <w:pPr>
              <w:pStyle w:val="Default"/>
              <w:rPr>
                <w:sz w:val="22"/>
                <w:szCs w:val="22"/>
                <w:lang w:val="lt-LT"/>
              </w:rPr>
            </w:pPr>
            <w:r w:rsidRPr="00816A48">
              <w:rPr>
                <w:sz w:val="22"/>
                <w:szCs w:val="22"/>
                <w:lang w:val="lt-LT"/>
              </w:rPr>
              <w:t>Kraujagyslių sutrikimai</w:t>
            </w:r>
          </w:p>
        </w:tc>
        <w:tc>
          <w:tcPr>
            <w:tcW w:w="1225" w:type="dxa"/>
            <w:tcBorders>
              <w:top w:val="single" w:sz="8" w:space="0" w:color="000000"/>
              <w:left w:val="single" w:sz="8" w:space="0" w:color="000000"/>
              <w:bottom w:val="single" w:sz="8" w:space="0" w:color="000000"/>
              <w:right w:val="single" w:sz="8" w:space="0" w:color="000000"/>
            </w:tcBorders>
          </w:tcPr>
          <w:p w14:paraId="2DD526F0" w14:textId="77777777" w:rsidR="007750B7" w:rsidRPr="00816A48" w:rsidRDefault="007750B7" w:rsidP="00861232">
            <w:pPr>
              <w:pStyle w:val="Default"/>
              <w:rPr>
                <w:sz w:val="22"/>
                <w:szCs w:val="22"/>
                <w:lang w:val="lt-LT"/>
              </w:rPr>
            </w:pPr>
            <w:r w:rsidRPr="00816A48">
              <w:rPr>
                <w:sz w:val="22"/>
                <w:szCs w:val="22"/>
                <w:lang w:val="lt-LT"/>
              </w:rPr>
              <w:t>Nedažn</w:t>
            </w:r>
            <w:r w:rsidR="00905B23" w:rsidRPr="00816A48">
              <w:rPr>
                <w:sz w:val="22"/>
                <w:szCs w:val="22"/>
                <w:lang w:val="lt-LT"/>
              </w:rPr>
              <w:t>as</w:t>
            </w:r>
          </w:p>
        </w:tc>
        <w:tc>
          <w:tcPr>
            <w:tcW w:w="4859" w:type="dxa"/>
            <w:tcBorders>
              <w:top w:val="single" w:sz="8" w:space="0" w:color="000000"/>
              <w:left w:val="single" w:sz="8" w:space="0" w:color="000000"/>
              <w:bottom w:val="single" w:sz="8" w:space="0" w:color="000000"/>
              <w:right w:val="single" w:sz="8" w:space="0" w:color="000000"/>
            </w:tcBorders>
          </w:tcPr>
          <w:p w14:paraId="65439D9A" w14:textId="77777777" w:rsidR="007750B7" w:rsidRPr="00816A48" w:rsidRDefault="007750B7" w:rsidP="00861232">
            <w:pPr>
              <w:pStyle w:val="Default"/>
              <w:rPr>
                <w:sz w:val="22"/>
                <w:szCs w:val="22"/>
                <w:lang w:val="lt-LT"/>
              </w:rPr>
            </w:pPr>
            <w:r w:rsidRPr="00816A48">
              <w:rPr>
                <w:sz w:val="22"/>
                <w:szCs w:val="22"/>
                <w:lang w:val="lt-LT"/>
              </w:rPr>
              <w:t>Flebitas</w:t>
            </w:r>
            <w:r w:rsidR="00905B23" w:rsidRPr="00816A48">
              <w:rPr>
                <w:sz w:val="22"/>
                <w:szCs w:val="22"/>
                <w:lang w:val="lt-LT"/>
              </w:rPr>
              <w:t xml:space="preserve"> ar</w:t>
            </w:r>
            <w:r w:rsidRPr="00816A48">
              <w:rPr>
                <w:sz w:val="22"/>
                <w:szCs w:val="22"/>
                <w:lang w:val="lt-LT"/>
              </w:rPr>
              <w:t xml:space="preserve"> tromboflebitas</w:t>
            </w:r>
          </w:p>
        </w:tc>
      </w:tr>
      <w:tr w:rsidR="007750B7" w:rsidRPr="00F55F27" w14:paraId="20772F0C" w14:textId="77777777" w:rsidTr="00F55F27">
        <w:trPr>
          <w:trHeight w:val="20"/>
        </w:trPr>
        <w:tc>
          <w:tcPr>
            <w:tcW w:w="2787" w:type="dxa"/>
            <w:tcBorders>
              <w:top w:val="single" w:sz="8" w:space="0" w:color="000000"/>
              <w:left w:val="single" w:sz="8" w:space="0" w:color="000000"/>
              <w:bottom w:val="single" w:sz="8" w:space="0" w:color="000000"/>
              <w:right w:val="single" w:sz="8" w:space="0" w:color="000000"/>
            </w:tcBorders>
          </w:tcPr>
          <w:p w14:paraId="5E53B872" w14:textId="77777777" w:rsidR="007750B7" w:rsidRPr="00816A48" w:rsidRDefault="007750B7" w:rsidP="00861232">
            <w:pPr>
              <w:pStyle w:val="Default"/>
              <w:rPr>
                <w:sz w:val="22"/>
                <w:szCs w:val="22"/>
                <w:lang w:val="lt-LT"/>
              </w:rPr>
            </w:pPr>
            <w:r w:rsidRPr="00816A48">
              <w:rPr>
                <w:sz w:val="22"/>
                <w:szCs w:val="22"/>
                <w:lang w:val="lt-LT"/>
              </w:rPr>
              <w:t>Virškinimo trakto sutrikimai</w:t>
            </w:r>
          </w:p>
        </w:tc>
        <w:tc>
          <w:tcPr>
            <w:tcW w:w="1225" w:type="dxa"/>
            <w:tcBorders>
              <w:top w:val="single" w:sz="8" w:space="0" w:color="000000"/>
              <w:left w:val="single" w:sz="8" w:space="0" w:color="000000"/>
              <w:bottom w:val="single" w:sz="8" w:space="0" w:color="000000"/>
              <w:right w:val="single" w:sz="8" w:space="0" w:color="000000"/>
            </w:tcBorders>
          </w:tcPr>
          <w:p w14:paraId="4CD7DB09" w14:textId="77777777" w:rsidR="007750B7" w:rsidRPr="00816A48" w:rsidRDefault="007750B7" w:rsidP="00861232">
            <w:pPr>
              <w:pStyle w:val="Default"/>
              <w:rPr>
                <w:sz w:val="22"/>
                <w:szCs w:val="22"/>
                <w:lang w:val="lt-LT"/>
              </w:rPr>
            </w:pPr>
            <w:r w:rsidRPr="00816A48">
              <w:rPr>
                <w:sz w:val="22"/>
                <w:szCs w:val="22"/>
                <w:lang w:val="lt-LT"/>
              </w:rPr>
              <w:t>Dažn</w:t>
            </w:r>
            <w:r w:rsidR="00905B23" w:rsidRPr="00816A48">
              <w:rPr>
                <w:sz w:val="22"/>
                <w:szCs w:val="22"/>
                <w:lang w:val="lt-LT"/>
              </w:rPr>
              <w:t>as</w:t>
            </w:r>
          </w:p>
        </w:tc>
        <w:tc>
          <w:tcPr>
            <w:tcW w:w="4859" w:type="dxa"/>
            <w:tcBorders>
              <w:top w:val="single" w:sz="8" w:space="0" w:color="000000"/>
              <w:left w:val="single" w:sz="8" w:space="0" w:color="000000"/>
              <w:bottom w:val="single" w:sz="8" w:space="0" w:color="000000"/>
              <w:right w:val="single" w:sz="8" w:space="0" w:color="000000"/>
            </w:tcBorders>
          </w:tcPr>
          <w:p w14:paraId="0FFAB825" w14:textId="77777777" w:rsidR="007750B7" w:rsidRPr="00816A48" w:rsidRDefault="007750B7" w:rsidP="00861232">
            <w:pPr>
              <w:pStyle w:val="Default"/>
              <w:rPr>
                <w:sz w:val="22"/>
                <w:szCs w:val="22"/>
                <w:lang w:val="lt-LT"/>
              </w:rPr>
            </w:pPr>
            <w:r w:rsidRPr="00816A48">
              <w:rPr>
                <w:sz w:val="22"/>
                <w:szCs w:val="22"/>
                <w:lang w:val="lt-LT"/>
              </w:rPr>
              <w:t>Gastritas, dispepsija, viduriavimas, pilvo skausmas, pykinimas, vidurių užkietėjimas</w:t>
            </w:r>
          </w:p>
        </w:tc>
      </w:tr>
      <w:tr w:rsidR="00BB1CBC" w:rsidRPr="00816A48" w14:paraId="3CF5765F" w14:textId="77777777" w:rsidTr="00F55F27">
        <w:trPr>
          <w:trHeight w:val="20"/>
        </w:trPr>
        <w:tc>
          <w:tcPr>
            <w:tcW w:w="2787" w:type="dxa"/>
            <w:vMerge w:val="restart"/>
            <w:tcBorders>
              <w:top w:val="single" w:sz="8" w:space="0" w:color="000000"/>
              <w:left w:val="single" w:sz="8" w:space="0" w:color="000000"/>
              <w:right w:val="single" w:sz="8" w:space="0" w:color="000000"/>
            </w:tcBorders>
          </w:tcPr>
          <w:p w14:paraId="17549D67" w14:textId="77777777" w:rsidR="00BB1CBC" w:rsidRPr="00816A48" w:rsidRDefault="00BB1CBC" w:rsidP="00861232">
            <w:pPr>
              <w:pStyle w:val="Default"/>
              <w:rPr>
                <w:sz w:val="22"/>
                <w:szCs w:val="22"/>
                <w:lang w:val="lt-LT"/>
              </w:rPr>
            </w:pPr>
            <w:r w:rsidRPr="00816A48">
              <w:rPr>
                <w:sz w:val="22"/>
                <w:szCs w:val="22"/>
                <w:lang w:val="lt-LT"/>
              </w:rPr>
              <w:t>Odos ir poodinio audinio sutrikimai</w:t>
            </w:r>
          </w:p>
        </w:tc>
        <w:tc>
          <w:tcPr>
            <w:tcW w:w="1225" w:type="dxa"/>
            <w:tcBorders>
              <w:top w:val="single" w:sz="8" w:space="0" w:color="000000"/>
              <w:left w:val="single" w:sz="8" w:space="0" w:color="000000"/>
              <w:bottom w:val="single" w:sz="8" w:space="0" w:color="000000"/>
              <w:right w:val="single" w:sz="8" w:space="0" w:color="000000"/>
            </w:tcBorders>
          </w:tcPr>
          <w:p w14:paraId="24273B2E" w14:textId="77777777" w:rsidR="00BB1CBC" w:rsidRPr="00816A48" w:rsidRDefault="00BB1CBC" w:rsidP="00861232">
            <w:pPr>
              <w:pStyle w:val="Default"/>
              <w:rPr>
                <w:sz w:val="22"/>
                <w:szCs w:val="22"/>
                <w:lang w:val="lt-LT"/>
              </w:rPr>
            </w:pPr>
            <w:r w:rsidRPr="00816A48">
              <w:rPr>
                <w:sz w:val="22"/>
                <w:szCs w:val="22"/>
                <w:lang w:val="lt-LT"/>
              </w:rPr>
              <w:t>Dažnas</w:t>
            </w:r>
          </w:p>
        </w:tc>
        <w:tc>
          <w:tcPr>
            <w:tcW w:w="4859" w:type="dxa"/>
            <w:tcBorders>
              <w:top w:val="single" w:sz="8" w:space="0" w:color="000000"/>
              <w:left w:val="single" w:sz="8" w:space="0" w:color="000000"/>
              <w:bottom w:val="single" w:sz="8" w:space="0" w:color="000000"/>
              <w:right w:val="single" w:sz="8" w:space="0" w:color="000000"/>
            </w:tcBorders>
          </w:tcPr>
          <w:p w14:paraId="1016277C" w14:textId="77777777" w:rsidR="00BB1CBC" w:rsidRPr="00816A48" w:rsidRDefault="00BB1CBC" w:rsidP="00861232">
            <w:pPr>
              <w:pStyle w:val="Default"/>
              <w:rPr>
                <w:sz w:val="22"/>
                <w:szCs w:val="22"/>
                <w:lang w:val="lt-LT"/>
              </w:rPr>
            </w:pPr>
            <w:r w:rsidRPr="00816A48">
              <w:rPr>
                <w:sz w:val="22"/>
                <w:szCs w:val="22"/>
                <w:lang w:val="lt-LT"/>
              </w:rPr>
              <w:t>Bėrimas</w:t>
            </w:r>
          </w:p>
        </w:tc>
      </w:tr>
      <w:tr w:rsidR="00BB1CBC" w:rsidRPr="00F55F27" w14:paraId="65D2811E" w14:textId="77777777" w:rsidTr="00F55F27">
        <w:trPr>
          <w:trHeight w:val="20"/>
        </w:trPr>
        <w:tc>
          <w:tcPr>
            <w:tcW w:w="2787" w:type="dxa"/>
            <w:vMerge/>
            <w:tcBorders>
              <w:left w:val="single" w:sz="8" w:space="0" w:color="000000"/>
              <w:right w:val="single" w:sz="8" w:space="0" w:color="000000"/>
            </w:tcBorders>
          </w:tcPr>
          <w:p w14:paraId="2FCAE870" w14:textId="77777777" w:rsidR="00BB1CBC" w:rsidRPr="00816A48" w:rsidRDefault="00BB1CBC" w:rsidP="00861232">
            <w:pPr>
              <w:pStyle w:val="Default"/>
              <w:rPr>
                <w:sz w:val="22"/>
                <w:szCs w:val="22"/>
                <w:lang w:val="lt-LT"/>
              </w:rPr>
            </w:pPr>
          </w:p>
        </w:tc>
        <w:tc>
          <w:tcPr>
            <w:tcW w:w="1225" w:type="dxa"/>
            <w:tcBorders>
              <w:top w:val="single" w:sz="8" w:space="0" w:color="000000"/>
              <w:left w:val="single" w:sz="8" w:space="0" w:color="000000"/>
              <w:bottom w:val="single" w:sz="8" w:space="0" w:color="000000"/>
              <w:right w:val="single" w:sz="8" w:space="0" w:color="000000"/>
            </w:tcBorders>
          </w:tcPr>
          <w:p w14:paraId="1643E6EF" w14:textId="77777777" w:rsidR="00BB1CBC" w:rsidRPr="00816A48" w:rsidRDefault="00BB1CBC" w:rsidP="00861232">
            <w:pPr>
              <w:pStyle w:val="Default"/>
              <w:rPr>
                <w:sz w:val="22"/>
                <w:szCs w:val="22"/>
                <w:lang w:val="lt-LT"/>
              </w:rPr>
            </w:pPr>
            <w:r w:rsidRPr="00816A48">
              <w:rPr>
                <w:sz w:val="22"/>
                <w:szCs w:val="22"/>
                <w:lang w:val="lt-LT"/>
              </w:rPr>
              <w:t>Retas</w:t>
            </w:r>
          </w:p>
        </w:tc>
        <w:tc>
          <w:tcPr>
            <w:tcW w:w="4859" w:type="dxa"/>
            <w:tcBorders>
              <w:top w:val="single" w:sz="8" w:space="0" w:color="000000"/>
              <w:left w:val="single" w:sz="8" w:space="0" w:color="000000"/>
              <w:bottom w:val="single" w:sz="8" w:space="0" w:color="000000"/>
              <w:right w:val="single" w:sz="8" w:space="0" w:color="000000"/>
            </w:tcBorders>
          </w:tcPr>
          <w:p w14:paraId="45FF14EC" w14:textId="77777777" w:rsidR="00BB1CBC" w:rsidRPr="00816A48" w:rsidRDefault="00BB1CBC" w:rsidP="00861232">
            <w:pPr>
              <w:pStyle w:val="Default"/>
              <w:rPr>
                <w:sz w:val="22"/>
                <w:szCs w:val="22"/>
                <w:lang w:val="lt-LT"/>
              </w:rPr>
            </w:pPr>
            <w:r w:rsidRPr="00816A48">
              <w:rPr>
                <w:sz w:val="22"/>
                <w:szCs w:val="22"/>
                <w:lang w:val="lt-LT"/>
              </w:rPr>
              <w:t>Angioneurozinė edema, veido patinimas ar edema, dilgėlinė</w:t>
            </w:r>
          </w:p>
        </w:tc>
      </w:tr>
      <w:tr w:rsidR="00BB1CBC" w:rsidRPr="00F55F27" w14:paraId="5F419803" w14:textId="77777777" w:rsidTr="00F55F27">
        <w:trPr>
          <w:trHeight w:val="20"/>
        </w:trPr>
        <w:tc>
          <w:tcPr>
            <w:tcW w:w="2787" w:type="dxa"/>
            <w:vMerge/>
            <w:tcBorders>
              <w:left w:val="single" w:sz="8" w:space="0" w:color="000000"/>
              <w:bottom w:val="single" w:sz="8" w:space="0" w:color="000000"/>
              <w:right w:val="single" w:sz="8" w:space="0" w:color="000000"/>
            </w:tcBorders>
          </w:tcPr>
          <w:p w14:paraId="57B03E81" w14:textId="77777777" w:rsidR="00BB1CBC" w:rsidRPr="00816A48" w:rsidRDefault="00BB1CBC" w:rsidP="00861232">
            <w:pPr>
              <w:pStyle w:val="Default"/>
              <w:rPr>
                <w:sz w:val="22"/>
                <w:szCs w:val="22"/>
                <w:lang w:val="lt-LT"/>
              </w:rPr>
            </w:pPr>
          </w:p>
        </w:tc>
        <w:tc>
          <w:tcPr>
            <w:tcW w:w="1225" w:type="dxa"/>
            <w:tcBorders>
              <w:top w:val="single" w:sz="8" w:space="0" w:color="000000"/>
              <w:left w:val="single" w:sz="8" w:space="0" w:color="000000"/>
              <w:bottom w:val="single" w:sz="8" w:space="0" w:color="000000"/>
              <w:right w:val="single" w:sz="8" w:space="0" w:color="000000"/>
            </w:tcBorders>
          </w:tcPr>
          <w:p w14:paraId="1F5AB634" w14:textId="77777777" w:rsidR="00BB1CBC" w:rsidRPr="00816A48" w:rsidRDefault="00BB1CBC" w:rsidP="00861232">
            <w:pPr>
              <w:pStyle w:val="Default"/>
              <w:rPr>
                <w:sz w:val="22"/>
                <w:szCs w:val="22"/>
                <w:lang w:val="lt-LT"/>
              </w:rPr>
            </w:pPr>
            <w:r w:rsidRPr="00816A48">
              <w:rPr>
                <w:sz w:val="22"/>
                <w:szCs w:val="22"/>
                <w:lang w:val="lt-LT"/>
              </w:rPr>
              <w:t>Labai retas</w:t>
            </w:r>
          </w:p>
        </w:tc>
        <w:tc>
          <w:tcPr>
            <w:tcW w:w="4859" w:type="dxa"/>
            <w:tcBorders>
              <w:top w:val="single" w:sz="8" w:space="0" w:color="000000"/>
              <w:left w:val="single" w:sz="8" w:space="0" w:color="000000"/>
              <w:bottom w:val="single" w:sz="8" w:space="0" w:color="000000"/>
              <w:right w:val="single" w:sz="8" w:space="0" w:color="000000"/>
            </w:tcBorders>
          </w:tcPr>
          <w:p w14:paraId="760CAC79" w14:textId="77777777" w:rsidR="00BB1CBC" w:rsidRPr="00816A48" w:rsidRDefault="00BB1CBC" w:rsidP="003B6D1C">
            <w:pPr>
              <w:pStyle w:val="Default"/>
              <w:rPr>
                <w:sz w:val="22"/>
                <w:szCs w:val="22"/>
                <w:lang w:val="lt-LT"/>
              </w:rPr>
            </w:pPr>
            <w:r w:rsidRPr="00816A48">
              <w:rPr>
                <w:sz w:val="22"/>
                <w:szCs w:val="22"/>
                <w:lang w:val="lt-LT"/>
              </w:rPr>
              <w:t>Stivenso-Džonsono (</w:t>
            </w:r>
            <w:r w:rsidRPr="00E708C1">
              <w:rPr>
                <w:i/>
                <w:sz w:val="22"/>
                <w:szCs w:val="22"/>
                <w:lang w:val="lt-LT"/>
              </w:rPr>
              <w:t>Stevens-Johnson</w:t>
            </w:r>
            <w:r w:rsidRPr="00816A48">
              <w:rPr>
                <w:sz w:val="22"/>
                <w:szCs w:val="22"/>
                <w:lang w:val="lt-LT"/>
              </w:rPr>
              <w:t>) sindromas†</w:t>
            </w:r>
            <w:r w:rsidR="003B6D1C" w:rsidRPr="00816A48">
              <w:rPr>
                <w:sz w:val="22"/>
                <w:szCs w:val="22"/>
                <w:lang w:val="lt-LT"/>
              </w:rPr>
              <w:t>, daugiaformė raudonė</w:t>
            </w:r>
            <w:r w:rsidR="009F6619">
              <w:rPr>
                <w:sz w:val="22"/>
                <w:szCs w:val="22"/>
                <w:lang w:val="lt-LT"/>
              </w:rPr>
              <w:t xml:space="preserve"> (</w:t>
            </w:r>
            <w:r w:rsidR="009F6619">
              <w:rPr>
                <w:i/>
                <w:sz w:val="22"/>
                <w:szCs w:val="22"/>
                <w:lang w:val="lt-LT"/>
              </w:rPr>
              <w:t>erythema multiforme</w:t>
            </w:r>
            <w:r w:rsidR="009F6619">
              <w:rPr>
                <w:sz w:val="22"/>
                <w:szCs w:val="22"/>
                <w:lang w:val="lt-LT"/>
              </w:rPr>
              <w:t>)</w:t>
            </w:r>
            <w:r w:rsidR="00A72904" w:rsidRPr="00816A48">
              <w:rPr>
                <w:sz w:val="22"/>
                <w:szCs w:val="22"/>
                <w:lang w:val="lt-LT"/>
              </w:rPr>
              <w:t>†</w:t>
            </w:r>
            <w:r w:rsidR="003B6D1C" w:rsidRPr="00816A48">
              <w:rPr>
                <w:sz w:val="22"/>
                <w:szCs w:val="22"/>
                <w:lang w:val="lt-LT"/>
              </w:rPr>
              <w:t xml:space="preserve">, </w:t>
            </w:r>
            <w:r w:rsidR="00A72904" w:rsidRPr="00816A48">
              <w:rPr>
                <w:sz w:val="22"/>
                <w:szCs w:val="22"/>
                <w:lang w:val="lt-LT"/>
              </w:rPr>
              <w:t>pūslelinis dermatitas†</w:t>
            </w:r>
          </w:p>
        </w:tc>
      </w:tr>
      <w:tr w:rsidR="00AA35EE" w:rsidRPr="00F55F27" w14:paraId="60F0411D" w14:textId="77777777" w:rsidTr="00091E0C">
        <w:trPr>
          <w:trHeight w:val="20"/>
        </w:trPr>
        <w:tc>
          <w:tcPr>
            <w:tcW w:w="2787" w:type="dxa"/>
            <w:vMerge w:val="restart"/>
            <w:tcBorders>
              <w:top w:val="single" w:sz="8" w:space="0" w:color="000000"/>
              <w:left w:val="single" w:sz="8" w:space="0" w:color="000000"/>
              <w:right w:val="single" w:sz="8" w:space="0" w:color="000000"/>
            </w:tcBorders>
          </w:tcPr>
          <w:p w14:paraId="7271A73E" w14:textId="77777777" w:rsidR="00AA35EE" w:rsidRPr="00816A48" w:rsidRDefault="00AA35EE" w:rsidP="00861232">
            <w:pPr>
              <w:pStyle w:val="Default"/>
              <w:rPr>
                <w:sz w:val="22"/>
                <w:szCs w:val="22"/>
                <w:lang w:val="lt-LT"/>
              </w:rPr>
            </w:pPr>
            <w:r w:rsidRPr="00816A48">
              <w:rPr>
                <w:sz w:val="22"/>
                <w:szCs w:val="22"/>
                <w:lang w:val="lt-LT"/>
              </w:rPr>
              <w:t>Skeleto, raumenų ir jungiamojo audinio sutrikimai</w:t>
            </w:r>
          </w:p>
        </w:tc>
        <w:tc>
          <w:tcPr>
            <w:tcW w:w="1225" w:type="dxa"/>
            <w:tcBorders>
              <w:top w:val="single" w:sz="8" w:space="0" w:color="000000"/>
              <w:left w:val="single" w:sz="8" w:space="0" w:color="000000"/>
              <w:bottom w:val="single" w:sz="8" w:space="0" w:color="000000"/>
              <w:right w:val="single" w:sz="8" w:space="0" w:color="000000"/>
            </w:tcBorders>
          </w:tcPr>
          <w:p w14:paraId="0D29F4E8" w14:textId="77777777" w:rsidR="00AA35EE" w:rsidRPr="00816A48" w:rsidRDefault="00AA35EE" w:rsidP="00861232">
            <w:pPr>
              <w:pStyle w:val="Default"/>
              <w:rPr>
                <w:sz w:val="22"/>
                <w:szCs w:val="22"/>
                <w:lang w:val="lt-LT"/>
              </w:rPr>
            </w:pPr>
            <w:r w:rsidRPr="00816A48">
              <w:rPr>
                <w:sz w:val="22"/>
                <w:szCs w:val="22"/>
                <w:lang w:val="lt-LT"/>
              </w:rPr>
              <w:t>Dažnas</w:t>
            </w:r>
          </w:p>
        </w:tc>
        <w:tc>
          <w:tcPr>
            <w:tcW w:w="4859" w:type="dxa"/>
            <w:tcBorders>
              <w:top w:val="single" w:sz="8" w:space="0" w:color="000000"/>
              <w:left w:val="single" w:sz="8" w:space="0" w:color="000000"/>
              <w:bottom w:val="single" w:sz="8" w:space="0" w:color="000000"/>
              <w:right w:val="single" w:sz="8" w:space="0" w:color="000000"/>
            </w:tcBorders>
          </w:tcPr>
          <w:p w14:paraId="1DA513AB" w14:textId="77777777" w:rsidR="00AA35EE" w:rsidRPr="00816A48" w:rsidRDefault="00AA35EE" w:rsidP="00861232">
            <w:pPr>
              <w:pStyle w:val="Default"/>
              <w:rPr>
                <w:sz w:val="22"/>
                <w:szCs w:val="22"/>
                <w:lang w:val="lt-LT"/>
              </w:rPr>
            </w:pPr>
            <w:r w:rsidRPr="00816A48">
              <w:rPr>
                <w:sz w:val="22"/>
                <w:szCs w:val="22"/>
                <w:lang w:val="lt-LT"/>
              </w:rPr>
              <w:t>Artralgija, mialgija, skeleto raumenų skausmas, nugaros skausmas</w:t>
            </w:r>
          </w:p>
        </w:tc>
      </w:tr>
      <w:tr w:rsidR="00AA35EE" w:rsidRPr="00816A48" w14:paraId="2450E5CA" w14:textId="77777777" w:rsidTr="00091E0C">
        <w:trPr>
          <w:trHeight w:val="20"/>
        </w:trPr>
        <w:tc>
          <w:tcPr>
            <w:tcW w:w="2787" w:type="dxa"/>
            <w:vMerge/>
            <w:tcBorders>
              <w:left w:val="single" w:sz="8" w:space="0" w:color="000000"/>
              <w:right w:val="single" w:sz="8" w:space="0" w:color="000000"/>
            </w:tcBorders>
          </w:tcPr>
          <w:p w14:paraId="7BFEE600" w14:textId="77777777" w:rsidR="00AA35EE" w:rsidRPr="00816A48" w:rsidRDefault="00AA35EE" w:rsidP="00861232">
            <w:pPr>
              <w:pStyle w:val="Default"/>
              <w:rPr>
                <w:sz w:val="22"/>
                <w:szCs w:val="22"/>
                <w:lang w:val="lt-LT"/>
              </w:rPr>
            </w:pPr>
          </w:p>
        </w:tc>
        <w:tc>
          <w:tcPr>
            <w:tcW w:w="1225" w:type="dxa"/>
            <w:tcBorders>
              <w:top w:val="single" w:sz="8" w:space="0" w:color="000000"/>
              <w:left w:val="single" w:sz="8" w:space="0" w:color="000000"/>
              <w:bottom w:val="single" w:sz="8" w:space="0" w:color="000000"/>
              <w:right w:val="single" w:sz="8" w:space="0" w:color="000000"/>
            </w:tcBorders>
          </w:tcPr>
          <w:p w14:paraId="7CCA807D" w14:textId="77777777" w:rsidR="00AA35EE" w:rsidRPr="00816A48" w:rsidRDefault="00AA35EE" w:rsidP="00861232">
            <w:pPr>
              <w:pStyle w:val="Default"/>
              <w:rPr>
                <w:sz w:val="22"/>
                <w:szCs w:val="22"/>
                <w:lang w:val="lt-LT"/>
              </w:rPr>
            </w:pPr>
            <w:r w:rsidRPr="00816A48">
              <w:rPr>
                <w:sz w:val="22"/>
                <w:szCs w:val="22"/>
                <w:lang w:val="lt-LT"/>
              </w:rPr>
              <w:t>Nedažnas</w:t>
            </w:r>
          </w:p>
        </w:tc>
        <w:tc>
          <w:tcPr>
            <w:tcW w:w="4859" w:type="dxa"/>
            <w:tcBorders>
              <w:top w:val="single" w:sz="8" w:space="0" w:color="000000"/>
              <w:left w:val="single" w:sz="8" w:space="0" w:color="000000"/>
              <w:bottom w:val="single" w:sz="8" w:space="0" w:color="000000"/>
              <w:right w:val="single" w:sz="8" w:space="0" w:color="000000"/>
            </w:tcBorders>
          </w:tcPr>
          <w:p w14:paraId="7FB02A3A" w14:textId="77777777" w:rsidR="00AA35EE" w:rsidRPr="00816A48" w:rsidRDefault="00AA35EE" w:rsidP="00861232">
            <w:pPr>
              <w:pStyle w:val="Default"/>
              <w:rPr>
                <w:sz w:val="22"/>
                <w:szCs w:val="22"/>
                <w:lang w:val="lt-LT"/>
              </w:rPr>
            </w:pPr>
            <w:r w:rsidRPr="00816A48">
              <w:rPr>
                <w:sz w:val="22"/>
                <w:szCs w:val="22"/>
                <w:lang w:val="lt-LT"/>
              </w:rPr>
              <w:t>Kaulų skausmas</w:t>
            </w:r>
          </w:p>
        </w:tc>
      </w:tr>
      <w:tr w:rsidR="00AA35EE" w:rsidRPr="00F55F27" w14:paraId="4E40F6B4" w14:textId="77777777" w:rsidTr="00091E0C">
        <w:trPr>
          <w:trHeight w:val="20"/>
        </w:trPr>
        <w:tc>
          <w:tcPr>
            <w:tcW w:w="2787" w:type="dxa"/>
            <w:vMerge/>
            <w:tcBorders>
              <w:left w:val="single" w:sz="8" w:space="0" w:color="000000"/>
              <w:right w:val="single" w:sz="8" w:space="0" w:color="000000"/>
            </w:tcBorders>
          </w:tcPr>
          <w:p w14:paraId="4E8C2D74" w14:textId="77777777" w:rsidR="00AA35EE" w:rsidRPr="00816A48" w:rsidRDefault="00AA35EE" w:rsidP="00861232">
            <w:pPr>
              <w:pStyle w:val="Default"/>
              <w:rPr>
                <w:sz w:val="22"/>
                <w:szCs w:val="22"/>
                <w:lang w:val="lt-LT"/>
              </w:rPr>
            </w:pPr>
          </w:p>
        </w:tc>
        <w:tc>
          <w:tcPr>
            <w:tcW w:w="1225" w:type="dxa"/>
            <w:tcBorders>
              <w:top w:val="single" w:sz="8" w:space="0" w:color="000000"/>
              <w:left w:val="single" w:sz="8" w:space="0" w:color="000000"/>
              <w:bottom w:val="single" w:sz="8" w:space="0" w:color="000000"/>
              <w:right w:val="single" w:sz="8" w:space="0" w:color="000000"/>
            </w:tcBorders>
          </w:tcPr>
          <w:p w14:paraId="72B8A862" w14:textId="77777777" w:rsidR="00AA35EE" w:rsidRPr="00816A48" w:rsidRDefault="00AA35EE" w:rsidP="00861232">
            <w:pPr>
              <w:pStyle w:val="Default"/>
              <w:rPr>
                <w:sz w:val="22"/>
                <w:szCs w:val="22"/>
                <w:lang w:val="lt-LT"/>
              </w:rPr>
            </w:pPr>
            <w:r w:rsidRPr="00816A48">
              <w:rPr>
                <w:sz w:val="22"/>
                <w:szCs w:val="22"/>
                <w:lang w:val="lt-LT"/>
              </w:rPr>
              <w:t>Retas</w:t>
            </w:r>
          </w:p>
        </w:tc>
        <w:tc>
          <w:tcPr>
            <w:tcW w:w="4859" w:type="dxa"/>
            <w:tcBorders>
              <w:top w:val="single" w:sz="8" w:space="0" w:color="000000"/>
              <w:left w:val="single" w:sz="8" w:space="0" w:color="000000"/>
              <w:bottom w:val="single" w:sz="8" w:space="0" w:color="000000"/>
              <w:right w:val="single" w:sz="8" w:space="0" w:color="000000"/>
            </w:tcBorders>
          </w:tcPr>
          <w:p w14:paraId="3120B15C" w14:textId="77777777" w:rsidR="00AA35EE" w:rsidRPr="00816A48" w:rsidRDefault="00AA35EE" w:rsidP="00861232">
            <w:pPr>
              <w:pStyle w:val="Default"/>
              <w:rPr>
                <w:sz w:val="22"/>
                <w:szCs w:val="22"/>
                <w:lang w:val="lt-LT"/>
              </w:rPr>
            </w:pPr>
            <w:r w:rsidRPr="00816A48">
              <w:rPr>
                <w:sz w:val="22"/>
                <w:szCs w:val="22"/>
                <w:lang w:val="lt-LT"/>
              </w:rPr>
              <w:t>Atipiniai šlaunikaulio pogūbriniai ir diafizės lūžiai†</w:t>
            </w:r>
          </w:p>
        </w:tc>
      </w:tr>
      <w:tr w:rsidR="00AA35EE" w:rsidRPr="00F55F27" w14:paraId="4FEBC421" w14:textId="77777777" w:rsidTr="00091E0C">
        <w:trPr>
          <w:trHeight w:val="20"/>
        </w:trPr>
        <w:tc>
          <w:tcPr>
            <w:tcW w:w="2787" w:type="dxa"/>
            <w:vMerge/>
            <w:tcBorders>
              <w:left w:val="single" w:sz="8" w:space="0" w:color="000000"/>
              <w:right w:val="single" w:sz="8" w:space="0" w:color="000000"/>
            </w:tcBorders>
          </w:tcPr>
          <w:p w14:paraId="2D4540E4" w14:textId="77777777" w:rsidR="00AA35EE" w:rsidRPr="00816A48" w:rsidRDefault="00AA35EE" w:rsidP="00861232">
            <w:pPr>
              <w:pStyle w:val="Default"/>
              <w:rPr>
                <w:sz w:val="22"/>
                <w:szCs w:val="22"/>
                <w:lang w:val="lt-LT"/>
              </w:rPr>
            </w:pPr>
          </w:p>
        </w:tc>
        <w:tc>
          <w:tcPr>
            <w:tcW w:w="1225" w:type="dxa"/>
            <w:tcBorders>
              <w:top w:val="single" w:sz="8" w:space="0" w:color="000000"/>
              <w:left w:val="single" w:sz="8" w:space="0" w:color="000000"/>
              <w:bottom w:val="single" w:sz="8" w:space="0" w:color="000000"/>
              <w:right w:val="single" w:sz="8" w:space="0" w:color="000000"/>
            </w:tcBorders>
          </w:tcPr>
          <w:p w14:paraId="54D73B13" w14:textId="77777777" w:rsidR="00AA35EE" w:rsidRPr="00816A48" w:rsidRDefault="00AA35EE" w:rsidP="00861232">
            <w:pPr>
              <w:pStyle w:val="Default"/>
              <w:rPr>
                <w:sz w:val="22"/>
                <w:szCs w:val="22"/>
                <w:lang w:val="lt-LT"/>
              </w:rPr>
            </w:pPr>
            <w:r w:rsidRPr="00816A48">
              <w:rPr>
                <w:sz w:val="22"/>
                <w:szCs w:val="22"/>
                <w:lang w:val="lt-LT"/>
              </w:rPr>
              <w:t>Labai retas</w:t>
            </w:r>
          </w:p>
        </w:tc>
        <w:tc>
          <w:tcPr>
            <w:tcW w:w="4859" w:type="dxa"/>
            <w:tcBorders>
              <w:top w:val="single" w:sz="8" w:space="0" w:color="000000"/>
              <w:left w:val="single" w:sz="8" w:space="0" w:color="000000"/>
              <w:bottom w:val="single" w:sz="8" w:space="0" w:color="000000"/>
              <w:right w:val="single" w:sz="8" w:space="0" w:color="000000"/>
            </w:tcBorders>
          </w:tcPr>
          <w:p w14:paraId="60023658" w14:textId="77777777" w:rsidR="00AA35EE" w:rsidRPr="00816A48" w:rsidRDefault="00AA35EE" w:rsidP="00A72904">
            <w:pPr>
              <w:pStyle w:val="Default"/>
              <w:rPr>
                <w:sz w:val="22"/>
                <w:szCs w:val="22"/>
                <w:lang w:val="lt-LT"/>
              </w:rPr>
            </w:pPr>
            <w:r w:rsidRPr="00816A48">
              <w:rPr>
                <w:sz w:val="22"/>
                <w:szCs w:val="22"/>
                <w:lang w:val="lt-LT"/>
              </w:rPr>
              <w:t>Žandikaulio osteonekrozė*†, išorinio ausies kanalo osteonekrozė (bisfosfonatų grupės vaistiniams preparatams būdinga nepageidaujama reakcija)†</w:t>
            </w:r>
          </w:p>
        </w:tc>
      </w:tr>
      <w:tr w:rsidR="00AA35EE" w:rsidRPr="00F55F27" w14:paraId="5C6FEEAD" w14:textId="77777777" w:rsidTr="00091E0C">
        <w:trPr>
          <w:trHeight w:val="20"/>
        </w:trPr>
        <w:tc>
          <w:tcPr>
            <w:tcW w:w="2787" w:type="dxa"/>
            <w:vMerge/>
            <w:tcBorders>
              <w:left w:val="single" w:sz="8" w:space="0" w:color="000000"/>
              <w:right w:val="single" w:sz="8" w:space="0" w:color="000000"/>
            </w:tcBorders>
          </w:tcPr>
          <w:p w14:paraId="24BE5D23" w14:textId="77777777" w:rsidR="00AA35EE" w:rsidRPr="00816A48" w:rsidRDefault="00AA35EE" w:rsidP="00861232">
            <w:pPr>
              <w:pStyle w:val="Default"/>
              <w:rPr>
                <w:sz w:val="22"/>
                <w:szCs w:val="22"/>
                <w:lang w:val="lt-LT"/>
              </w:rPr>
            </w:pPr>
          </w:p>
        </w:tc>
        <w:tc>
          <w:tcPr>
            <w:tcW w:w="1225" w:type="dxa"/>
            <w:tcBorders>
              <w:top w:val="single" w:sz="8" w:space="0" w:color="000000"/>
              <w:left w:val="single" w:sz="8" w:space="0" w:color="000000"/>
              <w:bottom w:val="single" w:sz="8" w:space="0" w:color="000000"/>
              <w:right w:val="single" w:sz="8" w:space="0" w:color="000000"/>
            </w:tcBorders>
          </w:tcPr>
          <w:p w14:paraId="3607BFC3" w14:textId="6FE86D74" w:rsidR="00AA35EE" w:rsidRPr="00AA35EE" w:rsidRDefault="00AA35EE" w:rsidP="00861232">
            <w:pPr>
              <w:pStyle w:val="Default"/>
              <w:rPr>
                <w:sz w:val="22"/>
                <w:szCs w:val="22"/>
                <w:lang w:val="lt-LT"/>
              </w:rPr>
            </w:pPr>
            <w:r>
              <w:rPr>
                <w:sz w:val="22"/>
                <w:szCs w:val="22"/>
                <w:lang w:val="en-US"/>
              </w:rPr>
              <w:t>Ne</w:t>
            </w:r>
            <w:r>
              <w:rPr>
                <w:sz w:val="22"/>
                <w:szCs w:val="22"/>
                <w:lang w:val="lt-LT"/>
              </w:rPr>
              <w:t>žinomas</w:t>
            </w:r>
          </w:p>
        </w:tc>
        <w:tc>
          <w:tcPr>
            <w:tcW w:w="4859" w:type="dxa"/>
            <w:tcBorders>
              <w:top w:val="single" w:sz="8" w:space="0" w:color="000000"/>
              <w:left w:val="single" w:sz="8" w:space="0" w:color="000000"/>
              <w:bottom w:val="single" w:sz="8" w:space="0" w:color="000000"/>
              <w:right w:val="single" w:sz="8" w:space="0" w:color="000000"/>
            </w:tcBorders>
          </w:tcPr>
          <w:p w14:paraId="62547095" w14:textId="7404AC36" w:rsidR="00AA35EE" w:rsidRPr="00816A48" w:rsidRDefault="00AA35EE" w:rsidP="00861232">
            <w:pPr>
              <w:pStyle w:val="Default"/>
              <w:rPr>
                <w:sz w:val="22"/>
                <w:szCs w:val="22"/>
                <w:lang w:val="lt-LT"/>
              </w:rPr>
            </w:pPr>
            <w:r w:rsidRPr="00AA35EE">
              <w:rPr>
                <w:sz w:val="22"/>
                <w:szCs w:val="22"/>
                <w:lang w:val="lt-LT"/>
              </w:rPr>
              <w:t>Atipiniai ilgųjų kaulų, išskyrus šlaunikaulį, lūžiai</w:t>
            </w:r>
          </w:p>
        </w:tc>
      </w:tr>
      <w:tr w:rsidR="00A953C9" w:rsidRPr="00F55F27" w14:paraId="431A992D" w14:textId="77777777" w:rsidTr="00F55F27">
        <w:trPr>
          <w:trHeight w:val="20"/>
        </w:trPr>
        <w:tc>
          <w:tcPr>
            <w:tcW w:w="2787" w:type="dxa"/>
            <w:vMerge w:val="restart"/>
            <w:tcBorders>
              <w:top w:val="single" w:sz="8" w:space="0" w:color="000000"/>
              <w:left w:val="single" w:sz="8" w:space="0" w:color="000000"/>
              <w:right w:val="single" w:sz="8" w:space="0" w:color="000000"/>
            </w:tcBorders>
          </w:tcPr>
          <w:p w14:paraId="22D010FD" w14:textId="77777777" w:rsidR="00A953C9" w:rsidRPr="00816A48" w:rsidRDefault="00A953C9" w:rsidP="00861232">
            <w:pPr>
              <w:pStyle w:val="Default"/>
              <w:rPr>
                <w:sz w:val="22"/>
                <w:szCs w:val="22"/>
                <w:lang w:val="lt-LT"/>
              </w:rPr>
            </w:pPr>
            <w:r w:rsidRPr="00816A48">
              <w:rPr>
                <w:sz w:val="22"/>
                <w:szCs w:val="22"/>
                <w:lang w:val="lt-LT"/>
              </w:rPr>
              <w:t>Bendrieji sutrikimai ir vartojimo vietos pažeidimai</w:t>
            </w:r>
          </w:p>
        </w:tc>
        <w:tc>
          <w:tcPr>
            <w:tcW w:w="1225" w:type="dxa"/>
            <w:tcBorders>
              <w:top w:val="single" w:sz="8" w:space="0" w:color="000000"/>
              <w:left w:val="single" w:sz="8" w:space="0" w:color="000000"/>
              <w:bottom w:val="single" w:sz="8" w:space="0" w:color="000000"/>
              <w:right w:val="single" w:sz="8" w:space="0" w:color="000000"/>
            </w:tcBorders>
          </w:tcPr>
          <w:p w14:paraId="23287C13" w14:textId="77777777" w:rsidR="00A953C9" w:rsidRPr="00816A48" w:rsidRDefault="00A953C9" w:rsidP="00861232">
            <w:pPr>
              <w:pStyle w:val="Default"/>
              <w:rPr>
                <w:sz w:val="22"/>
                <w:szCs w:val="22"/>
                <w:lang w:val="lt-LT"/>
              </w:rPr>
            </w:pPr>
            <w:r w:rsidRPr="00816A48">
              <w:rPr>
                <w:sz w:val="22"/>
                <w:szCs w:val="22"/>
                <w:lang w:val="lt-LT"/>
              </w:rPr>
              <w:t>Dažn</w:t>
            </w:r>
            <w:r w:rsidR="00905B23" w:rsidRPr="00816A48">
              <w:rPr>
                <w:sz w:val="22"/>
                <w:szCs w:val="22"/>
                <w:lang w:val="lt-LT"/>
              </w:rPr>
              <w:t>as</w:t>
            </w:r>
          </w:p>
        </w:tc>
        <w:tc>
          <w:tcPr>
            <w:tcW w:w="4859" w:type="dxa"/>
            <w:tcBorders>
              <w:top w:val="single" w:sz="8" w:space="0" w:color="000000"/>
              <w:left w:val="single" w:sz="8" w:space="0" w:color="000000"/>
              <w:bottom w:val="single" w:sz="8" w:space="0" w:color="000000"/>
              <w:right w:val="single" w:sz="8" w:space="0" w:color="000000"/>
            </w:tcBorders>
          </w:tcPr>
          <w:p w14:paraId="632CA749" w14:textId="77777777" w:rsidR="00A953C9" w:rsidRPr="00816A48" w:rsidRDefault="00A953C9" w:rsidP="00861232">
            <w:pPr>
              <w:pStyle w:val="Default"/>
              <w:rPr>
                <w:sz w:val="22"/>
                <w:szCs w:val="22"/>
                <w:lang w:val="lt-LT"/>
              </w:rPr>
            </w:pPr>
            <w:r w:rsidRPr="00816A48">
              <w:rPr>
                <w:sz w:val="22"/>
                <w:szCs w:val="22"/>
                <w:lang w:val="lt-LT"/>
              </w:rPr>
              <w:t>Į gripą panaši liga*, nuovargis</w:t>
            </w:r>
          </w:p>
        </w:tc>
      </w:tr>
      <w:tr w:rsidR="00A953C9" w:rsidRPr="00816A48" w14:paraId="67FB250E" w14:textId="77777777" w:rsidTr="00F55F27">
        <w:trPr>
          <w:trHeight w:val="20"/>
        </w:trPr>
        <w:tc>
          <w:tcPr>
            <w:tcW w:w="2787" w:type="dxa"/>
            <w:vMerge/>
            <w:tcBorders>
              <w:left w:val="single" w:sz="8" w:space="0" w:color="000000"/>
              <w:bottom w:val="single" w:sz="8" w:space="0" w:color="000000"/>
              <w:right w:val="single" w:sz="8" w:space="0" w:color="000000"/>
            </w:tcBorders>
          </w:tcPr>
          <w:p w14:paraId="6E731E46" w14:textId="77777777" w:rsidR="00A953C9" w:rsidRPr="00816A48" w:rsidRDefault="00A953C9" w:rsidP="00861232">
            <w:pPr>
              <w:pStyle w:val="Default"/>
              <w:rPr>
                <w:sz w:val="22"/>
                <w:szCs w:val="22"/>
                <w:lang w:val="lt-LT"/>
              </w:rPr>
            </w:pPr>
          </w:p>
        </w:tc>
        <w:tc>
          <w:tcPr>
            <w:tcW w:w="1225" w:type="dxa"/>
            <w:tcBorders>
              <w:top w:val="single" w:sz="8" w:space="0" w:color="000000"/>
              <w:left w:val="single" w:sz="8" w:space="0" w:color="000000"/>
              <w:bottom w:val="single" w:sz="8" w:space="0" w:color="000000"/>
              <w:right w:val="single" w:sz="8" w:space="0" w:color="000000"/>
            </w:tcBorders>
          </w:tcPr>
          <w:p w14:paraId="515D55D8" w14:textId="77777777" w:rsidR="00A953C9" w:rsidRPr="00816A48" w:rsidRDefault="00A953C9" w:rsidP="00861232">
            <w:pPr>
              <w:pStyle w:val="Default"/>
              <w:rPr>
                <w:sz w:val="22"/>
                <w:szCs w:val="22"/>
                <w:lang w:val="lt-LT"/>
              </w:rPr>
            </w:pPr>
            <w:r w:rsidRPr="00816A48">
              <w:rPr>
                <w:sz w:val="22"/>
                <w:szCs w:val="22"/>
                <w:lang w:val="lt-LT"/>
              </w:rPr>
              <w:t>Nedažn</w:t>
            </w:r>
            <w:r w:rsidR="00905B23" w:rsidRPr="00816A48">
              <w:rPr>
                <w:sz w:val="22"/>
                <w:szCs w:val="22"/>
                <w:lang w:val="lt-LT"/>
              </w:rPr>
              <w:t>as</w:t>
            </w:r>
          </w:p>
        </w:tc>
        <w:tc>
          <w:tcPr>
            <w:tcW w:w="4859" w:type="dxa"/>
            <w:tcBorders>
              <w:top w:val="single" w:sz="8" w:space="0" w:color="000000"/>
              <w:left w:val="single" w:sz="8" w:space="0" w:color="000000"/>
              <w:bottom w:val="single" w:sz="8" w:space="0" w:color="000000"/>
              <w:right w:val="single" w:sz="8" w:space="0" w:color="000000"/>
            </w:tcBorders>
          </w:tcPr>
          <w:p w14:paraId="04B32766" w14:textId="77777777" w:rsidR="00A953C9" w:rsidRPr="00816A48" w:rsidRDefault="00A953C9" w:rsidP="00861232">
            <w:pPr>
              <w:pStyle w:val="Default"/>
              <w:rPr>
                <w:sz w:val="22"/>
                <w:szCs w:val="22"/>
                <w:lang w:val="lt-LT"/>
              </w:rPr>
            </w:pPr>
            <w:r w:rsidRPr="00816A48">
              <w:rPr>
                <w:sz w:val="22"/>
                <w:szCs w:val="22"/>
                <w:lang w:val="lt-LT"/>
              </w:rPr>
              <w:t>Reakcija injekcijos vietoje, astenija</w:t>
            </w:r>
          </w:p>
        </w:tc>
      </w:tr>
    </w:tbl>
    <w:p w14:paraId="28C98259" w14:textId="77777777" w:rsidR="007750B7" w:rsidRPr="00816A48" w:rsidRDefault="007750B7" w:rsidP="00861232">
      <w:pPr>
        <w:pStyle w:val="Default"/>
        <w:rPr>
          <w:color w:val="auto"/>
          <w:sz w:val="22"/>
          <w:szCs w:val="22"/>
          <w:lang w:val="lt-LT"/>
        </w:rPr>
      </w:pPr>
    </w:p>
    <w:p w14:paraId="559A5843"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*Žiūrėti informaciją žemiau. </w:t>
      </w:r>
    </w:p>
    <w:p w14:paraId="1D38EA91" w14:textId="77777777" w:rsidR="007750B7" w:rsidRPr="00816A48" w:rsidRDefault="007750B7" w:rsidP="00861232">
      <w:pPr>
        <w:pStyle w:val="Default"/>
        <w:rPr>
          <w:sz w:val="22"/>
          <w:szCs w:val="22"/>
          <w:lang w:val="lt-LT"/>
        </w:rPr>
      </w:pPr>
      <w:r w:rsidRPr="00816A48">
        <w:rPr>
          <w:sz w:val="22"/>
          <w:szCs w:val="22"/>
          <w:lang w:val="lt-LT"/>
        </w:rPr>
        <w:t>†Nustatyta vaistiniam preparatui esant rinkoje.</w:t>
      </w:r>
    </w:p>
    <w:p w14:paraId="2B8B898E" w14:textId="77777777" w:rsidR="007750B7" w:rsidRPr="00816A48" w:rsidRDefault="007750B7" w:rsidP="00861232">
      <w:pPr>
        <w:pStyle w:val="Default"/>
        <w:rPr>
          <w:sz w:val="22"/>
          <w:szCs w:val="22"/>
          <w:lang w:val="lt-LT"/>
        </w:rPr>
      </w:pPr>
    </w:p>
    <w:p w14:paraId="2328CE00" w14:textId="77777777" w:rsidR="00335495" w:rsidRPr="00816A48" w:rsidRDefault="003A15DE" w:rsidP="005F68E5">
      <w:pPr>
        <w:pStyle w:val="Default"/>
        <w:rPr>
          <w:sz w:val="22"/>
          <w:szCs w:val="22"/>
          <w:u w:val="single"/>
          <w:lang w:val="lt-LT"/>
        </w:rPr>
      </w:pPr>
      <w:r w:rsidRPr="00816A48">
        <w:rPr>
          <w:sz w:val="22"/>
          <w:szCs w:val="22"/>
          <w:u w:val="single"/>
          <w:lang w:val="lt-LT"/>
        </w:rPr>
        <w:t xml:space="preserve">Atrinktų nepageidaujamų reakcijų </w:t>
      </w:r>
      <w:r w:rsidR="00701E42" w:rsidRPr="00816A48">
        <w:rPr>
          <w:sz w:val="22"/>
          <w:szCs w:val="22"/>
          <w:u w:val="single"/>
          <w:lang w:val="lt-LT"/>
        </w:rPr>
        <w:t>apibūdinimas</w:t>
      </w:r>
    </w:p>
    <w:p w14:paraId="6F739F6D" w14:textId="77777777" w:rsidR="007750B7" w:rsidRPr="00816A48" w:rsidRDefault="007750B7" w:rsidP="00861232">
      <w:pPr>
        <w:pStyle w:val="Default"/>
        <w:rPr>
          <w:i/>
          <w:sz w:val="22"/>
          <w:szCs w:val="22"/>
          <w:u w:val="single"/>
          <w:lang w:val="lt-LT"/>
        </w:rPr>
      </w:pPr>
      <w:r w:rsidRPr="00816A48">
        <w:rPr>
          <w:i/>
          <w:sz w:val="22"/>
          <w:szCs w:val="22"/>
          <w:u w:val="single"/>
          <w:lang w:val="lt-LT"/>
        </w:rPr>
        <w:t>Į gripą panaši liga</w:t>
      </w:r>
    </w:p>
    <w:p w14:paraId="41B8191A" w14:textId="77777777" w:rsidR="007750B7" w:rsidRPr="00816A48" w:rsidRDefault="007750B7" w:rsidP="005F68E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Į gripą panaši liga gali būti ūminės fazės reakcija arba simptomai, įskaitant mialgiją, artralgiją, karščiavimą, šaltkrėtį, nuovargį, pykinimą, apetito nebuvimą arba kaulų skausmą. </w:t>
      </w:r>
    </w:p>
    <w:p w14:paraId="4EA7C1B4" w14:textId="77777777" w:rsidR="007750B7" w:rsidRPr="00816A48" w:rsidRDefault="007750B7" w:rsidP="00720F9C">
      <w:pPr>
        <w:autoSpaceDE w:val="0"/>
        <w:autoSpaceDN w:val="0"/>
        <w:adjustRightInd w:val="0"/>
        <w:spacing w:after="0" w:line="240" w:lineRule="auto"/>
        <w:rPr>
          <w:rFonts w:ascii="Times New Roman" w:hAnsi="Times New Roman"/>
          <w:color w:val="000000"/>
          <w:lang w:val="lt-LT"/>
        </w:rPr>
      </w:pPr>
    </w:p>
    <w:p w14:paraId="14BEE644" w14:textId="77777777" w:rsidR="007750B7" w:rsidRPr="00816A48" w:rsidRDefault="007750B7" w:rsidP="008D33C6">
      <w:pPr>
        <w:autoSpaceDE w:val="0"/>
        <w:autoSpaceDN w:val="0"/>
        <w:adjustRightInd w:val="0"/>
        <w:spacing w:after="0" w:line="240" w:lineRule="auto"/>
        <w:rPr>
          <w:rFonts w:ascii="Times New Roman" w:hAnsi="Times New Roman"/>
          <w:i/>
          <w:color w:val="000000"/>
          <w:u w:val="single"/>
          <w:lang w:val="lt-LT"/>
        </w:rPr>
      </w:pPr>
      <w:r w:rsidRPr="00816A48">
        <w:rPr>
          <w:rFonts w:ascii="Times New Roman" w:hAnsi="Times New Roman"/>
          <w:i/>
          <w:u w:val="single"/>
          <w:lang w:val="lt-LT"/>
        </w:rPr>
        <w:t>Žandikaulio osteonekrozė</w:t>
      </w:r>
    </w:p>
    <w:p w14:paraId="7A948A4D" w14:textId="73DE2AB1" w:rsidR="00AE3A01" w:rsidRPr="00816A48" w:rsidRDefault="00913927" w:rsidP="007A65B4">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Gauta pranešimų apie</w:t>
      </w:r>
      <w:r w:rsidR="00AE3A01" w:rsidRPr="00816A48">
        <w:rPr>
          <w:rFonts w:ascii="Times New Roman" w:hAnsi="Times New Roman"/>
          <w:color w:val="000000"/>
          <w:lang w:val="lt-LT"/>
        </w:rPr>
        <w:t xml:space="preserve"> </w:t>
      </w:r>
      <w:r>
        <w:rPr>
          <w:rFonts w:ascii="Times New Roman" w:hAnsi="Times New Roman"/>
          <w:color w:val="000000"/>
          <w:lang w:val="lt-LT"/>
        </w:rPr>
        <w:t>žandikaulio osteonekrozės atvejus</w:t>
      </w:r>
      <w:r w:rsidR="00AE3A01" w:rsidRPr="00816A48">
        <w:rPr>
          <w:rFonts w:ascii="Times New Roman" w:hAnsi="Times New Roman"/>
          <w:color w:val="000000"/>
          <w:lang w:val="lt-LT"/>
        </w:rPr>
        <w:t>, dauguma jų registruota vėžiu sirgusiems pacientams, gydytiems kaulų rezorbciją slopinančiais vaistiniais preparatais, tokiais kaip ibandrono rūgštis (žr. 4.4</w:t>
      </w:r>
      <w:r w:rsidR="00171B01">
        <w:rPr>
          <w:rFonts w:ascii="Times New Roman" w:hAnsi="Times New Roman"/>
          <w:color w:val="000000"/>
          <w:lang w:val="lt-LT"/>
        </w:rPr>
        <w:t> </w:t>
      </w:r>
      <w:r w:rsidR="00AE3A01" w:rsidRPr="00816A48">
        <w:rPr>
          <w:rFonts w:ascii="Times New Roman" w:hAnsi="Times New Roman"/>
          <w:color w:val="000000"/>
          <w:lang w:val="lt-LT"/>
        </w:rPr>
        <w:t xml:space="preserve">skyrių). </w:t>
      </w:r>
      <w:r>
        <w:rPr>
          <w:rFonts w:ascii="Times New Roman" w:hAnsi="Times New Roman"/>
          <w:color w:val="000000"/>
          <w:lang w:val="lt-LT"/>
        </w:rPr>
        <w:t>Pranešimų apie ŽON atvejus</w:t>
      </w:r>
      <w:r w:rsidR="00AE3A01" w:rsidRPr="00816A48">
        <w:rPr>
          <w:rFonts w:ascii="Times New Roman" w:hAnsi="Times New Roman"/>
          <w:color w:val="000000"/>
          <w:lang w:val="lt-LT"/>
        </w:rPr>
        <w:t xml:space="preserve"> </w:t>
      </w:r>
      <w:r>
        <w:rPr>
          <w:rFonts w:ascii="Times New Roman" w:hAnsi="Times New Roman"/>
          <w:color w:val="000000"/>
          <w:lang w:val="lt-LT"/>
        </w:rPr>
        <w:t>gauta</w:t>
      </w:r>
      <w:r w:rsidR="00AE3A01" w:rsidRPr="00816A48">
        <w:rPr>
          <w:rFonts w:ascii="Times New Roman" w:hAnsi="Times New Roman"/>
          <w:color w:val="000000"/>
          <w:lang w:val="lt-LT"/>
        </w:rPr>
        <w:t xml:space="preserve"> ibandrono rūgšties preparatams jau esant rinkoje.</w:t>
      </w:r>
    </w:p>
    <w:p w14:paraId="2F8AB6BE" w14:textId="1EBBA7C6" w:rsidR="007750B7" w:rsidRDefault="007750B7" w:rsidP="007A65B4">
      <w:pPr>
        <w:autoSpaceDE w:val="0"/>
        <w:autoSpaceDN w:val="0"/>
        <w:adjustRightInd w:val="0"/>
        <w:spacing w:after="0" w:line="240" w:lineRule="auto"/>
        <w:rPr>
          <w:rFonts w:ascii="Times New Roman" w:hAnsi="Times New Roman"/>
          <w:color w:val="000000"/>
          <w:lang w:val="lt-LT"/>
        </w:rPr>
      </w:pPr>
    </w:p>
    <w:p w14:paraId="75089659" w14:textId="77777777" w:rsidR="00AA35EE" w:rsidRPr="00F55F27" w:rsidRDefault="00AA35EE" w:rsidP="00F55F27">
      <w:pPr>
        <w:keepNext/>
        <w:autoSpaceDE w:val="0"/>
        <w:autoSpaceDN w:val="0"/>
        <w:adjustRightInd w:val="0"/>
        <w:spacing w:after="0" w:line="240" w:lineRule="auto"/>
        <w:rPr>
          <w:rFonts w:ascii="Times New Roman" w:hAnsi="Times New Roman"/>
          <w:i/>
          <w:iCs/>
          <w:color w:val="000000"/>
          <w:u w:val="single"/>
          <w:lang w:val="lt-LT"/>
        </w:rPr>
      </w:pPr>
      <w:r w:rsidRPr="00F55F27">
        <w:rPr>
          <w:rFonts w:ascii="Times New Roman" w:hAnsi="Times New Roman"/>
          <w:i/>
          <w:iCs/>
          <w:color w:val="000000"/>
          <w:u w:val="single"/>
          <w:lang w:val="lt-LT"/>
        </w:rPr>
        <w:t>Atipiniai šlaunikaulio pogūbriniai ir diafizės lūžiai</w:t>
      </w:r>
    </w:p>
    <w:p w14:paraId="202014E6" w14:textId="485AF84D" w:rsidR="00AA35EE" w:rsidRDefault="00AA35EE" w:rsidP="00AA35EE">
      <w:pPr>
        <w:autoSpaceDE w:val="0"/>
        <w:autoSpaceDN w:val="0"/>
        <w:adjustRightInd w:val="0"/>
        <w:spacing w:after="0" w:line="240" w:lineRule="auto"/>
        <w:rPr>
          <w:rFonts w:ascii="Times New Roman" w:hAnsi="Times New Roman"/>
          <w:color w:val="000000"/>
          <w:lang w:val="lt-LT"/>
        </w:rPr>
      </w:pPr>
      <w:r w:rsidRPr="00AA35EE">
        <w:rPr>
          <w:rFonts w:ascii="Times New Roman" w:hAnsi="Times New Roman"/>
          <w:color w:val="000000"/>
          <w:lang w:val="lt-LT"/>
        </w:rPr>
        <w:t>Nors patofiziologija neaiški, epidemiologinių tyrimų duomenys rodo, kad ilgalaikio osteoporozės po</w:t>
      </w:r>
      <w:r>
        <w:rPr>
          <w:rFonts w:ascii="Times New Roman" w:hAnsi="Times New Roman"/>
          <w:color w:val="000000"/>
          <w:lang w:val="lt-LT"/>
        </w:rPr>
        <w:t xml:space="preserve"> </w:t>
      </w:r>
      <w:r w:rsidRPr="00AA35EE">
        <w:rPr>
          <w:rFonts w:ascii="Times New Roman" w:hAnsi="Times New Roman"/>
          <w:color w:val="000000"/>
          <w:lang w:val="lt-LT"/>
        </w:rPr>
        <w:t>menopauzės gydymo bisfosfonatais atveju, ypač vartojant ilgiau nei trejus–penkerius metus, padidėja</w:t>
      </w:r>
      <w:r>
        <w:rPr>
          <w:rFonts w:ascii="Times New Roman" w:hAnsi="Times New Roman"/>
          <w:color w:val="000000"/>
          <w:lang w:val="lt-LT"/>
        </w:rPr>
        <w:t xml:space="preserve"> </w:t>
      </w:r>
      <w:r w:rsidRPr="00AA35EE">
        <w:rPr>
          <w:rFonts w:ascii="Times New Roman" w:hAnsi="Times New Roman"/>
          <w:color w:val="000000"/>
          <w:lang w:val="lt-LT"/>
        </w:rPr>
        <w:t>atipinių šlaunikaulio pogūbrinių ir diafizės lūžių rizika. Absoliuti atipinių ilgųjų kaulų pogūbrinių ir</w:t>
      </w:r>
      <w:r>
        <w:rPr>
          <w:rFonts w:ascii="Times New Roman" w:hAnsi="Times New Roman"/>
          <w:color w:val="000000"/>
          <w:lang w:val="lt-LT"/>
        </w:rPr>
        <w:t xml:space="preserve"> </w:t>
      </w:r>
      <w:r w:rsidRPr="00AA35EE">
        <w:rPr>
          <w:rFonts w:ascii="Times New Roman" w:hAnsi="Times New Roman"/>
          <w:color w:val="000000"/>
          <w:lang w:val="lt-LT"/>
        </w:rPr>
        <w:t>diafizės lūžių (bisfosfonatų klasės nepageidaujamos reakcijos) rizika išlieka labai maža.</w:t>
      </w:r>
    </w:p>
    <w:p w14:paraId="64F4766A" w14:textId="77777777" w:rsidR="00AA35EE" w:rsidRPr="00816A48" w:rsidRDefault="00AA35EE" w:rsidP="00AA35EE">
      <w:pPr>
        <w:autoSpaceDE w:val="0"/>
        <w:autoSpaceDN w:val="0"/>
        <w:adjustRightInd w:val="0"/>
        <w:spacing w:after="0" w:line="240" w:lineRule="auto"/>
        <w:rPr>
          <w:rFonts w:ascii="Times New Roman" w:hAnsi="Times New Roman"/>
          <w:color w:val="000000"/>
          <w:lang w:val="lt-LT"/>
        </w:rPr>
      </w:pPr>
    </w:p>
    <w:p w14:paraId="779159C8" w14:textId="77777777" w:rsidR="007750B7" w:rsidRPr="00816A48" w:rsidRDefault="007750B7" w:rsidP="00661507">
      <w:pPr>
        <w:autoSpaceDE w:val="0"/>
        <w:autoSpaceDN w:val="0"/>
        <w:adjustRightInd w:val="0"/>
        <w:spacing w:after="0" w:line="240" w:lineRule="auto"/>
        <w:rPr>
          <w:rFonts w:ascii="Times New Roman" w:hAnsi="Times New Roman"/>
          <w:i/>
          <w:color w:val="000000"/>
          <w:u w:val="single"/>
          <w:lang w:val="lt-LT"/>
        </w:rPr>
      </w:pPr>
      <w:r w:rsidRPr="00816A48">
        <w:rPr>
          <w:rFonts w:ascii="Times New Roman" w:hAnsi="Times New Roman"/>
          <w:i/>
          <w:color w:val="000000"/>
          <w:u w:val="single"/>
          <w:lang w:val="lt-LT"/>
        </w:rPr>
        <w:lastRenderedPageBreak/>
        <w:t xml:space="preserve">Akių uždegimas </w:t>
      </w:r>
    </w:p>
    <w:p w14:paraId="1E2E47CB" w14:textId="77777777" w:rsidR="007750B7" w:rsidRPr="00816A48" w:rsidRDefault="007750B7" w:rsidP="00604FE8">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Vartojusiesiems ibandrono rūgštį buvo pastebėti akių uždegimo reiškiniai, tokie kaip uveitas, episkleritas ir skleritas. Kai kuriais atvejais šie reiškiniai neišnykdavo, kol nebuvo nutrauktas ibandrono rūgšties vartojimas.</w:t>
      </w:r>
    </w:p>
    <w:p w14:paraId="7084ED37" w14:textId="77777777" w:rsidR="00A90A70" w:rsidRPr="00816A48" w:rsidRDefault="00A90A70" w:rsidP="00242DA5">
      <w:pPr>
        <w:autoSpaceDE w:val="0"/>
        <w:autoSpaceDN w:val="0"/>
        <w:adjustRightInd w:val="0"/>
        <w:spacing w:after="0" w:line="240" w:lineRule="auto"/>
        <w:rPr>
          <w:rFonts w:ascii="Times New Roman" w:hAnsi="Times New Roman"/>
          <w:color w:val="000000"/>
          <w:lang w:val="lt-LT"/>
        </w:rPr>
      </w:pPr>
    </w:p>
    <w:p w14:paraId="368D5935" w14:textId="77777777" w:rsidR="007750B7" w:rsidRPr="00816A48" w:rsidRDefault="003A15DE" w:rsidP="00CD0447">
      <w:pPr>
        <w:keepNext/>
        <w:autoSpaceDE w:val="0"/>
        <w:autoSpaceDN w:val="0"/>
        <w:adjustRightInd w:val="0"/>
        <w:spacing w:after="0" w:line="240" w:lineRule="auto"/>
        <w:rPr>
          <w:rFonts w:ascii="Times New Roman" w:hAnsi="Times New Roman"/>
          <w:i/>
          <w:color w:val="000000"/>
          <w:u w:val="single"/>
          <w:lang w:val="lt-LT"/>
        </w:rPr>
      </w:pPr>
      <w:r w:rsidRPr="00816A48">
        <w:rPr>
          <w:rFonts w:ascii="Times New Roman" w:hAnsi="Times New Roman"/>
          <w:i/>
          <w:color w:val="000000"/>
          <w:u w:val="single"/>
          <w:lang w:val="lt-LT"/>
        </w:rPr>
        <w:t>Anafilaksinė reakcija</w:t>
      </w:r>
      <w:r w:rsidR="00701E42" w:rsidRPr="00816A48">
        <w:rPr>
          <w:rFonts w:ascii="Times New Roman" w:hAnsi="Times New Roman"/>
          <w:i/>
          <w:color w:val="000000"/>
          <w:u w:val="single"/>
          <w:lang w:val="lt-LT"/>
        </w:rPr>
        <w:t xml:space="preserve"> ar </w:t>
      </w:r>
      <w:r w:rsidRPr="00816A48">
        <w:rPr>
          <w:rFonts w:ascii="Times New Roman" w:hAnsi="Times New Roman"/>
          <w:i/>
          <w:color w:val="000000"/>
          <w:u w:val="single"/>
          <w:lang w:val="lt-LT"/>
        </w:rPr>
        <w:t>šokas</w:t>
      </w:r>
    </w:p>
    <w:p w14:paraId="67A41467" w14:textId="77777777" w:rsidR="003A15DE" w:rsidRPr="00816A48" w:rsidRDefault="00905B23" w:rsidP="00DA1B4A">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Ibandrono rūgštimi į veną gydytiems pacientams buvo pastebėti anafilaksinės reakcijos ar šoko atvejai, įskaitant mirtį nulėmusius atvejus.</w:t>
      </w:r>
    </w:p>
    <w:p w14:paraId="1CAF9E91" w14:textId="77777777" w:rsidR="00D30845" w:rsidRPr="00816A48" w:rsidRDefault="00D30845" w:rsidP="00735AD3">
      <w:pPr>
        <w:autoSpaceDE w:val="0"/>
        <w:autoSpaceDN w:val="0"/>
        <w:adjustRightInd w:val="0"/>
        <w:spacing w:after="0" w:line="240" w:lineRule="auto"/>
        <w:rPr>
          <w:rFonts w:ascii="Times New Roman" w:hAnsi="Times New Roman"/>
          <w:color w:val="000000"/>
          <w:lang w:val="lt-LT"/>
        </w:rPr>
      </w:pPr>
    </w:p>
    <w:p w14:paraId="1862F0C7" w14:textId="77777777" w:rsidR="00D30845" w:rsidRPr="00816A48" w:rsidRDefault="00D30845" w:rsidP="00CE74AB">
      <w:pPr>
        <w:keepNext/>
        <w:keepLines/>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Pranešimas apie įtariamas nepageidaujamas reakcijas</w:t>
      </w:r>
    </w:p>
    <w:p w14:paraId="26BBBC70" w14:textId="1498855A" w:rsidR="003A15DE" w:rsidRPr="00816A48" w:rsidRDefault="000A365B" w:rsidP="00CE74AB">
      <w:pPr>
        <w:keepNext/>
        <w:keepLines/>
        <w:autoSpaceDE w:val="0"/>
        <w:autoSpaceDN w:val="0"/>
        <w:adjustRightInd w:val="0"/>
        <w:spacing w:after="0" w:line="240" w:lineRule="auto"/>
        <w:rPr>
          <w:rFonts w:ascii="Times New Roman" w:hAnsi="Times New Roman"/>
          <w:color w:val="000000"/>
          <w:lang w:val="lt-LT"/>
        </w:rPr>
      </w:pPr>
      <w:r w:rsidRPr="000A365B">
        <w:rPr>
          <w:rFonts w:ascii="Times New Roman" w:eastAsia="Times New Roman" w:hAnsi="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A365B">
        <w:rPr>
          <w:rFonts w:ascii="Times New Roman" w:eastAsia="Times New Roman" w:hAnsi="Times New Roman"/>
          <w:color w:val="0000EE"/>
          <w:u w:val="single"/>
          <w:lang w:val="lt-LT" w:eastAsia="lt-LT"/>
        </w:rPr>
        <w:t>https://vvkt.lrv.lt/lt/</w:t>
      </w:r>
      <w:r w:rsidRPr="000A365B">
        <w:rPr>
          <w:rFonts w:ascii="Times New Roman" w:eastAsia="Times New Roman" w:hAnsi="Times New Roman"/>
          <w:lang w:val="lt-LT" w:eastAsia="lt-LT"/>
        </w:rPr>
        <w:t xml:space="preserve"> nurodytais būdais</w:t>
      </w:r>
      <w:r w:rsidR="00AC02F2" w:rsidRPr="00AC02F2">
        <w:rPr>
          <w:rFonts w:ascii="Times New Roman" w:eastAsia="Times New Roman" w:hAnsi="Times New Roman"/>
          <w:szCs w:val="24"/>
          <w:lang w:val="lt-LT"/>
        </w:rPr>
        <w:t>.</w:t>
      </w:r>
    </w:p>
    <w:p w14:paraId="0B38ECBB" w14:textId="77777777" w:rsidR="00236264" w:rsidRPr="00816A48" w:rsidRDefault="00236264" w:rsidP="000A0BCD">
      <w:pPr>
        <w:autoSpaceDE w:val="0"/>
        <w:autoSpaceDN w:val="0"/>
        <w:adjustRightInd w:val="0"/>
        <w:spacing w:after="0" w:line="240" w:lineRule="auto"/>
        <w:rPr>
          <w:rFonts w:ascii="Times New Roman" w:hAnsi="Times New Roman"/>
          <w:color w:val="000000"/>
          <w:lang w:val="lt-LT"/>
        </w:rPr>
      </w:pPr>
    </w:p>
    <w:p w14:paraId="21DE85D2" w14:textId="77777777" w:rsidR="007750B7" w:rsidRPr="00816A48" w:rsidRDefault="007750B7" w:rsidP="00861232">
      <w:pPr>
        <w:pStyle w:val="Default"/>
        <w:ind w:left="540" w:hanging="540"/>
        <w:rPr>
          <w:b/>
          <w:sz w:val="22"/>
          <w:szCs w:val="22"/>
          <w:lang w:val="lt-LT"/>
        </w:rPr>
      </w:pPr>
      <w:r w:rsidRPr="00816A48">
        <w:rPr>
          <w:b/>
          <w:sz w:val="22"/>
          <w:szCs w:val="22"/>
          <w:lang w:val="lt-LT"/>
        </w:rPr>
        <w:t>4.9</w:t>
      </w:r>
      <w:r w:rsidRPr="00816A48">
        <w:rPr>
          <w:b/>
          <w:sz w:val="22"/>
          <w:szCs w:val="22"/>
          <w:lang w:val="lt-LT"/>
        </w:rPr>
        <w:tab/>
        <w:t>Perdozavimas</w:t>
      </w:r>
    </w:p>
    <w:p w14:paraId="70C0927E" w14:textId="77777777" w:rsidR="007750B7" w:rsidRPr="00816A48" w:rsidRDefault="007750B7" w:rsidP="00A761AB">
      <w:pPr>
        <w:autoSpaceDE w:val="0"/>
        <w:autoSpaceDN w:val="0"/>
        <w:adjustRightInd w:val="0"/>
        <w:spacing w:after="0" w:line="240" w:lineRule="auto"/>
        <w:rPr>
          <w:rFonts w:ascii="Times New Roman" w:hAnsi="Times New Roman"/>
          <w:color w:val="000000"/>
          <w:lang w:val="lt-LT"/>
        </w:rPr>
      </w:pPr>
    </w:p>
    <w:p w14:paraId="26C0D75F" w14:textId="77777777" w:rsidR="007750B7" w:rsidRPr="00816A48" w:rsidRDefault="007750B7" w:rsidP="00A761AB">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Specifinės informacijos apie ibandrono rūgšties perdozavimo gydymą nėra. Vis dėlto, remiantis duomenimis apie šios grupės medžiagas, suleidus per didelę vaistinio preparato dozę į veną, gali pasireikšti hipokalcemija, hipofosfatemija ir hipomagnemija. Kliniškai reikšmingą kalcio, fosforo ir magnio koncentracijų </w:t>
      </w:r>
      <w:r w:rsidR="009F6619">
        <w:rPr>
          <w:rFonts w:ascii="Times New Roman" w:hAnsi="Times New Roman"/>
          <w:color w:val="000000"/>
          <w:lang w:val="lt-LT"/>
        </w:rPr>
        <w:t xml:space="preserve">kraujo </w:t>
      </w:r>
      <w:r w:rsidRPr="00816A48">
        <w:rPr>
          <w:rFonts w:ascii="Times New Roman" w:hAnsi="Times New Roman"/>
          <w:color w:val="000000"/>
          <w:lang w:val="lt-LT"/>
        </w:rPr>
        <w:t>serume sumažėjimą gali koreguoti atitinkamai į veną leidžiant kalcio gliukonatą, kalio arba natrio fosfatą bei magnio sulfatą.</w:t>
      </w:r>
    </w:p>
    <w:p w14:paraId="4F132B0E" w14:textId="77777777" w:rsidR="007750B7" w:rsidRPr="00816A48" w:rsidRDefault="007750B7" w:rsidP="00A761AB">
      <w:pPr>
        <w:autoSpaceDE w:val="0"/>
        <w:autoSpaceDN w:val="0"/>
        <w:adjustRightInd w:val="0"/>
        <w:spacing w:after="0" w:line="240" w:lineRule="auto"/>
        <w:rPr>
          <w:rFonts w:ascii="Times New Roman" w:hAnsi="Times New Roman"/>
          <w:color w:val="000000"/>
          <w:lang w:val="lt-LT"/>
        </w:rPr>
      </w:pPr>
    </w:p>
    <w:p w14:paraId="2D67A63B" w14:textId="77777777" w:rsidR="007750B7" w:rsidRPr="00816A48" w:rsidRDefault="007750B7" w:rsidP="0062444B">
      <w:pPr>
        <w:autoSpaceDE w:val="0"/>
        <w:autoSpaceDN w:val="0"/>
        <w:adjustRightInd w:val="0"/>
        <w:spacing w:after="0" w:line="240" w:lineRule="auto"/>
        <w:rPr>
          <w:rFonts w:ascii="Times New Roman" w:hAnsi="Times New Roman"/>
          <w:color w:val="000000"/>
          <w:lang w:val="lt-LT"/>
        </w:rPr>
      </w:pPr>
    </w:p>
    <w:p w14:paraId="7C60FFB8" w14:textId="77777777" w:rsidR="007750B7" w:rsidRPr="00816A48" w:rsidRDefault="007750B7" w:rsidP="00861232">
      <w:pPr>
        <w:pStyle w:val="Default"/>
        <w:ind w:left="540" w:hanging="540"/>
        <w:rPr>
          <w:b/>
          <w:sz w:val="22"/>
          <w:szCs w:val="22"/>
          <w:lang w:val="lt-LT"/>
        </w:rPr>
      </w:pPr>
      <w:r w:rsidRPr="00816A48">
        <w:rPr>
          <w:b/>
          <w:sz w:val="22"/>
          <w:szCs w:val="22"/>
          <w:lang w:val="lt-LT"/>
        </w:rPr>
        <w:t>5.</w:t>
      </w:r>
      <w:r w:rsidRPr="00816A48">
        <w:rPr>
          <w:b/>
          <w:sz w:val="22"/>
          <w:szCs w:val="22"/>
          <w:lang w:val="lt-LT"/>
        </w:rPr>
        <w:tab/>
        <w:t xml:space="preserve">FARMAKOLOGINĖS </w:t>
      </w:r>
      <w:r w:rsidRPr="00816A48">
        <w:rPr>
          <w:b/>
          <w:caps/>
          <w:sz w:val="22"/>
          <w:szCs w:val="22"/>
          <w:lang w:val="lt-LT"/>
        </w:rPr>
        <w:t>savybės</w:t>
      </w:r>
    </w:p>
    <w:p w14:paraId="303F3154" w14:textId="77777777" w:rsidR="007750B7" w:rsidRPr="00816A48" w:rsidRDefault="007750B7" w:rsidP="00861232">
      <w:pPr>
        <w:pStyle w:val="Default"/>
        <w:ind w:left="540" w:hanging="540"/>
        <w:rPr>
          <w:b/>
          <w:sz w:val="22"/>
          <w:szCs w:val="22"/>
          <w:lang w:val="lt-LT"/>
        </w:rPr>
      </w:pPr>
    </w:p>
    <w:p w14:paraId="0354242F" w14:textId="77777777" w:rsidR="007750B7" w:rsidRPr="00816A48" w:rsidRDefault="007750B7" w:rsidP="00861232">
      <w:pPr>
        <w:pStyle w:val="Default"/>
        <w:ind w:left="540" w:hanging="540"/>
        <w:rPr>
          <w:b/>
          <w:sz w:val="22"/>
          <w:szCs w:val="22"/>
          <w:lang w:val="lt-LT"/>
        </w:rPr>
      </w:pPr>
      <w:r w:rsidRPr="00816A48">
        <w:rPr>
          <w:b/>
          <w:sz w:val="22"/>
          <w:szCs w:val="22"/>
          <w:lang w:val="lt-LT"/>
        </w:rPr>
        <w:t>5.1</w:t>
      </w:r>
      <w:r w:rsidRPr="00816A48">
        <w:rPr>
          <w:b/>
          <w:sz w:val="22"/>
          <w:szCs w:val="22"/>
          <w:lang w:val="lt-LT"/>
        </w:rPr>
        <w:tab/>
        <w:t>Farmakodinaminės savybės</w:t>
      </w:r>
    </w:p>
    <w:p w14:paraId="4DFCC92F"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75BEED0F"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Farmakoterapinė grupė – vaistiniai preparatai kaulų ligoms gydyti</w:t>
      </w:r>
      <w:r w:rsidR="00701E42" w:rsidRPr="00816A48">
        <w:rPr>
          <w:rFonts w:ascii="Times New Roman" w:hAnsi="Times New Roman"/>
          <w:color w:val="000000"/>
          <w:lang w:val="lt-LT"/>
        </w:rPr>
        <w:t>,</w:t>
      </w:r>
      <w:r w:rsidRPr="00816A48">
        <w:rPr>
          <w:rFonts w:ascii="Times New Roman" w:hAnsi="Times New Roman"/>
          <w:color w:val="000000"/>
          <w:lang w:val="lt-LT"/>
        </w:rPr>
        <w:t xml:space="preserve"> bisfosfonatai, ATC kodas – M05B</w:t>
      </w:r>
      <w:r w:rsidR="00701E42" w:rsidRPr="00816A48">
        <w:rPr>
          <w:rFonts w:ascii="Times New Roman" w:hAnsi="Times New Roman"/>
          <w:color w:val="000000"/>
          <w:lang w:val="lt-LT"/>
        </w:rPr>
        <w:t> </w:t>
      </w:r>
      <w:r w:rsidRPr="00816A48">
        <w:rPr>
          <w:rFonts w:ascii="Times New Roman" w:hAnsi="Times New Roman"/>
          <w:color w:val="000000"/>
          <w:lang w:val="lt-LT"/>
        </w:rPr>
        <w:t>A06.</w:t>
      </w:r>
    </w:p>
    <w:p w14:paraId="38995940"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6E01CF61" w14:textId="77777777" w:rsidR="007750B7" w:rsidRPr="00816A48" w:rsidRDefault="007750B7" w:rsidP="003D3259">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Veikimo mechanizmas</w:t>
      </w:r>
    </w:p>
    <w:p w14:paraId="567DA1FD"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Ibandrono rūgštis yra stipraus poveikio bisfosfonatas, kuris priklauso grupei bisfosfonatų, kurių sudėtyje yra azoto ir kurie selektyviai veikia kaulinį audinį ir specifiškai slopina osteoklastų aktyvumą, tiesiogiai neveikdami kaulų formavimosi. Šie vaistiniai preparatai neveikia osteoklastų proliferacijos. Ibandrono rūgštis slopina suaktyvėjusią moterų po menopauzės kaulų apykaitą iki prieš menopauzę buvusio lygmens ir dėl to laipsniškai didina kaulų masę bei retina kaulų lūžius.</w:t>
      </w:r>
    </w:p>
    <w:p w14:paraId="2CBC5A87"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50E9AAEF" w14:textId="77777777" w:rsidR="007750B7" w:rsidRPr="00816A48" w:rsidRDefault="007750B7" w:rsidP="003D3259">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Farmakodinaminis poveikis</w:t>
      </w:r>
    </w:p>
    <w:p w14:paraId="2F4F6E03" w14:textId="3A407FF9"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Farmakodinaminis ibandrono rūgšties poveikis yra kaulų rezorbcijos slopinimas. Ibandrono rūgštis stabdo eksperimentiškai sužadintą kaulų destrukciją </w:t>
      </w:r>
      <w:r w:rsidRPr="00816A48">
        <w:rPr>
          <w:rFonts w:ascii="Times New Roman" w:hAnsi="Times New Roman"/>
          <w:i/>
          <w:color w:val="000000"/>
          <w:lang w:val="lt-LT"/>
        </w:rPr>
        <w:t>in</w:t>
      </w:r>
      <w:r w:rsidR="00171B01">
        <w:rPr>
          <w:rFonts w:ascii="Times New Roman" w:hAnsi="Times New Roman"/>
          <w:i/>
          <w:color w:val="000000"/>
          <w:lang w:val="lt-LT"/>
        </w:rPr>
        <w:t> </w:t>
      </w:r>
      <w:r w:rsidRPr="00816A48">
        <w:rPr>
          <w:rFonts w:ascii="Times New Roman" w:hAnsi="Times New Roman"/>
          <w:i/>
          <w:color w:val="000000"/>
          <w:lang w:val="lt-LT"/>
        </w:rPr>
        <w:t>vivo</w:t>
      </w:r>
      <w:r w:rsidRPr="00816A48">
        <w:rPr>
          <w:rFonts w:ascii="Times New Roman" w:hAnsi="Times New Roman"/>
          <w:color w:val="000000"/>
          <w:lang w:val="lt-LT"/>
        </w:rPr>
        <w:t>, sukeltą lytinių liaukų funkcijos susilpnėjimo, retinoidų, navikų ar navikų ekstraktų. Be to, slopinama endogeninė jaunų (greitai augančių) žiurkių kaulų rezorbcija, dėl to padidėja normali kaulų masė, palyginti su negydytų gyvūnų.</w:t>
      </w:r>
    </w:p>
    <w:p w14:paraId="153C451B" w14:textId="0944D62C"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Gyvūnų modeliais patvirtinta, kad ibandrono rūgštis stipriai slopina osteoklastų aktyvumą. Jokie duomenys nerodo, kad sutriktų augančių žiurkių mineralizacija, net vartojant 5</w:t>
      </w:r>
      <w:r w:rsidR="00171B01">
        <w:rPr>
          <w:rFonts w:ascii="Times New Roman" w:hAnsi="Times New Roman"/>
          <w:color w:val="000000"/>
          <w:lang w:val="lt-LT"/>
        </w:rPr>
        <w:t> </w:t>
      </w:r>
      <w:r w:rsidRPr="00816A48">
        <w:rPr>
          <w:rFonts w:ascii="Times New Roman" w:hAnsi="Times New Roman"/>
          <w:color w:val="000000"/>
          <w:lang w:val="lt-LT"/>
        </w:rPr>
        <w:t>000</w:t>
      </w:r>
      <w:r w:rsidR="00171B01">
        <w:rPr>
          <w:rFonts w:ascii="Times New Roman" w:hAnsi="Times New Roman"/>
          <w:color w:val="000000"/>
          <w:lang w:val="lt-LT"/>
        </w:rPr>
        <w:t> </w:t>
      </w:r>
      <w:r w:rsidRPr="00816A48">
        <w:rPr>
          <w:rFonts w:ascii="Times New Roman" w:hAnsi="Times New Roman"/>
          <w:color w:val="000000"/>
          <w:lang w:val="lt-LT"/>
        </w:rPr>
        <w:t>kartų didesnes dozes už tas, kurių reikia osteoporozei gydyti.</w:t>
      </w:r>
    </w:p>
    <w:p w14:paraId="4433D262"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Ilgalaikis vartojimas vieną kartą per parą arba su pertraukomis (ilgos pertraukos tarp dozių) žiurkėms, šunims ir beždžionėms buvo susijęs su naujo, normalios kokybės kaulinio audinio susiformavimu, kurio mechaninis atsparumas išliko toks pat arba padidėjo net skiriant toksines dozes. Klinikiniame tyrime (MF 4411) su žmonėms buvo įrodytas gydymo ibandrono rūgštimi veiksmingumas, vaistinį preparatą vartojant vieną kartą per parą arba su pertraukomis (pertrauka tarp dozių yra 9</w:t>
      </w:r>
      <w:r w:rsidRPr="00816A48">
        <w:rPr>
          <w:rFonts w:ascii="Times New Roman" w:hAnsi="Times New Roman"/>
          <w:color w:val="000000"/>
          <w:lang w:val="lt-LT"/>
        </w:rPr>
        <w:noBreakHyphen/>
        <w:t>10 savaitės), ir nustatytas veiksmingumas lūžių profilaktikai.</w:t>
      </w:r>
    </w:p>
    <w:p w14:paraId="131ACE93" w14:textId="30D91E3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Modeliuose su gyvūnais ibandrono rūgštis sukėlė biocheminių rodmenų pokyčius, kurie rodo nuo dozės priklausomą kaulų rezorbcijos slopinimą, įskaitant biocheminių kaulų kolageno irimo žymeklių (pvz., deoksipiridinolino ir kryžminių I</w:t>
      </w:r>
      <w:r w:rsidR="00171B01">
        <w:rPr>
          <w:rFonts w:ascii="Times New Roman" w:hAnsi="Times New Roman"/>
          <w:color w:val="000000"/>
          <w:lang w:val="lt-LT"/>
        </w:rPr>
        <w:t> </w:t>
      </w:r>
      <w:r w:rsidRPr="00816A48">
        <w:rPr>
          <w:rFonts w:ascii="Times New Roman" w:hAnsi="Times New Roman"/>
          <w:color w:val="000000"/>
          <w:lang w:val="lt-LT"/>
        </w:rPr>
        <w:t>tipo kolageno N-telopeptidų [NTX]) kiekio sumažėjimą šlapime.</w:t>
      </w:r>
    </w:p>
    <w:p w14:paraId="06739022"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lastRenderedPageBreak/>
        <w:t>Ir vartojant ibandrono rūgšties dozes per burną su pertraukomis (pertrauka tarp dozių yra 9</w:t>
      </w:r>
      <w:r w:rsidRPr="00816A48">
        <w:rPr>
          <w:rFonts w:ascii="Times New Roman" w:hAnsi="Times New Roman"/>
          <w:color w:val="000000"/>
          <w:lang w:val="lt-LT"/>
        </w:rPr>
        <w:noBreakHyphen/>
        <w:t>10 savaitės per ketvirtį), ir leidžiant ibandrono rūgšties dozes į veną, moterims po menopauzės atsirado biocheminių rodmenų pokyčių, kurie rodo nuo dozės priklausomą kaulų rezorbcijos slopinimą.</w:t>
      </w:r>
    </w:p>
    <w:p w14:paraId="1A6D1AB5" w14:textId="146901B8"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Leidžiant ibandrono rūgšties dozes į veną, per 3</w:t>
      </w:r>
      <w:r w:rsidRPr="00816A48">
        <w:rPr>
          <w:rFonts w:ascii="Times New Roman" w:hAnsi="Times New Roman"/>
          <w:color w:val="000000"/>
          <w:lang w:val="lt-LT"/>
        </w:rPr>
        <w:noBreakHyphen/>
        <w:t>7 paras nuo gydymo pradžios sumažėjo alfa grandinės I</w:t>
      </w:r>
      <w:r w:rsidR="00171B01">
        <w:rPr>
          <w:rFonts w:ascii="Times New Roman" w:hAnsi="Times New Roman"/>
          <w:color w:val="000000"/>
          <w:lang w:val="lt-LT"/>
        </w:rPr>
        <w:t> </w:t>
      </w:r>
      <w:r w:rsidRPr="00816A48">
        <w:rPr>
          <w:rFonts w:ascii="Times New Roman" w:hAnsi="Times New Roman"/>
          <w:color w:val="000000"/>
          <w:lang w:val="lt-LT"/>
        </w:rPr>
        <w:t>tipo kolageno C-telopeptidų [CTX]) koncentracijos serume, o per 3 mėnesius sumažėjo osteokalcino koncentracijos.</w:t>
      </w:r>
    </w:p>
    <w:p w14:paraId="66A647A0"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Nutraukus gydymą, moterų po menopauzės kaulų re</w:t>
      </w:r>
      <w:r w:rsidR="00EA1FA9" w:rsidRPr="00816A48">
        <w:rPr>
          <w:rFonts w:ascii="Times New Roman" w:hAnsi="Times New Roman"/>
          <w:color w:val="000000"/>
          <w:lang w:val="lt-LT"/>
        </w:rPr>
        <w:t>zorbcija</w:t>
      </w:r>
      <w:r w:rsidRPr="00816A48">
        <w:rPr>
          <w:rFonts w:ascii="Times New Roman" w:hAnsi="Times New Roman"/>
          <w:color w:val="000000"/>
          <w:lang w:val="lt-LT"/>
        </w:rPr>
        <w:t xml:space="preserve"> vėl padidėjo iki prieš gydymą buvusio patologinio greičio.</w:t>
      </w:r>
    </w:p>
    <w:p w14:paraId="1416B5F8" w14:textId="1B73AC3D"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Moterų po menopauzės, kurios vartojo 2,5 mg ibandrono rūgšties paros dozes arba kurioms su pertraukomis kas 3</w:t>
      </w:r>
      <w:r w:rsidR="00171B01">
        <w:rPr>
          <w:rFonts w:ascii="Times New Roman" w:hAnsi="Times New Roman"/>
          <w:color w:val="000000"/>
          <w:lang w:val="lt-LT"/>
        </w:rPr>
        <w:t> </w:t>
      </w:r>
      <w:r w:rsidRPr="00816A48">
        <w:rPr>
          <w:rFonts w:ascii="Times New Roman" w:hAnsi="Times New Roman"/>
          <w:color w:val="000000"/>
          <w:lang w:val="lt-LT"/>
        </w:rPr>
        <w:t>mėnesius į veną buvo suleista iki 1 mg dozė, kaulų biopsijos medžiagos histologinis tyrimas praėjus dviem ir trims gydymo metams parodė, kad kaulinio audinio kokybė yra normali ir nėra mineralizacijos defektų. Kaulų rerzorbcijos sumažėjimas, normali kaulinio audinio kokybė ir mineralizacijos defektų nebuvimas stebėtas ir po dviejų gydymo 3 mg ibandrono rūgšties injekcijomis metų.</w:t>
      </w:r>
    </w:p>
    <w:p w14:paraId="464FB3B3"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7AADB43D" w14:textId="77777777" w:rsidR="007750B7" w:rsidRPr="00816A48" w:rsidRDefault="007750B7" w:rsidP="003D3259">
      <w:pPr>
        <w:keepNext/>
        <w:tabs>
          <w:tab w:val="left" w:pos="567"/>
        </w:tabs>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Klinikinis veiksmingumas</w:t>
      </w:r>
    </w:p>
    <w:p w14:paraId="74E87CAC"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Norint nustatyti, kurioms moterims yra padidėjusi kaulų lūžių dėl osteoporozės rizika, reikia atsižvelgti į nepriklausomus rizikos veiksnius (pvz.: mažas KMT</w:t>
      </w:r>
      <w:r w:rsidR="004C761F">
        <w:rPr>
          <w:rFonts w:ascii="Times New Roman" w:hAnsi="Times New Roman"/>
          <w:color w:val="000000"/>
          <w:lang w:val="lt-LT"/>
        </w:rPr>
        <w:t xml:space="preserve"> (</w:t>
      </w:r>
      <w:r w:rsidR="004C761F" w:rsidRPr="004C761F">
        <w:rPr>
          <w:rFonts w:ascii="Times New Roman" w:hAnsi="Times New Roman"/>
          <w:color w:val="000000"/>
          <w:lang w:val="lt-LT"/>
        </w:rPr>
        <w:t>kaulų mineralinis tankis</w:t>
      </w:r>
      <w:r w:rsidR="004C761F">
        <w:rPr>
          <w:rFonts w:ascii="Times New Roman" w:hAnsi="Times New Roman"/>
          <w:color w:val="000000"/>
          <w:lang w:val="lt-LT"/>
        </w:rPr>
        <w:t>)</w:t>
      </w:r>
      <w:r w:rsidRPr="00816A48">
        <w:rPr>
          <w:rFonts w:ascii="Times New Roman" w:hAnsi="Times New Roman"/>
          <w:color w:val="000000"/>
          <w:lang w:val="lt-LT"/>
        </w:rPr>
        <w:t>, amžius, anksčiau buvę kaulų lūžiai, kaulų lūžiai kraujo giminaičių istorijoje, greita kaulų apykaita ir mažas kūno masės indeksas).</w:t>
      </w:r>
    </w:p>
    <w:p w14:paraId="1603BDB6"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28919FE6" w14:textId="77777777" w:rsidR="007750B7" w:rsidRPr="00816A48" w:rsidRDefault="007750B7" w:rsidP="003D3259">
      <w:pPr>
        <w:keepNext/>
        <w:tabs>
          <w:tab w:val="left" w:pos="567"/>
        </w:tabs>
        <w:spacing w:after="0" w:line="240" w:lineRule="auto"/>
        <w:rPr>
          <w:rFonts w:ascii="Times New Roman" w:hAnsi="Times New Roman"/>
          <w:i/>
          <w:color w:val="000000"/>
          <w:u w:val="single"/>
          <w:lang w:val="lt-LT"/>
        </w:rPr>
      </w:pPr>
      <w:r w:rsidRPr="00816A48">
        <w:rPr>
          <w:rFonts w:ascii="Times New Roman" w:hAnsi="Times New Roman"/>
          <w:i/>
          <w:color w:val="000000"/>
          <w:u w:val="single"/>
          <w:lang w:val="lt-LT"/>
        </w:rPr>
        <w:t>3 mg ibandrono rūgšties injekcijos kas 3 mėnesius</w:t>
      </w:r>
    </w:p>
    <w:p w14:paraId="75AFF78B" w14:textId="77777777" w:rsidR="007750B7" w:rsidRPr="00816A48" w:rsidRDefault="007750B7" w:rsidP="003D3259">
      <w:pPr>
        <w:keepNext/>
        <w:tabs>
          <w:tab w:val="left" w:pos="567"/>
        </w:tabs>
        <w:spacing w:after="0" w:line="240" w:lineRule="auto"/>
        <w:rPr>
          <w:rFonts w:ascii="Times New Roman" w:hAnsi="Times New Roman"/>
          <w:color w:val="000000"/>
          <w:lang w:val="lt-LT"/>
        </w:rPr>
      </w:pPr>
    </w:p>
    <w:p w14:paraId="7AB88A27" w14:textId="77777777" w:rsidR="007750B7" w:rsidRPr="00816A48" w:rsidRDefault="007750B7" w:rsidP="003D3259">
      <w:pPr>
        <w:autoSpaceDE w:val="0"/>
        <w:autoSpaceDN w:val="0"/>
        <w:adjustRightInd w:val="0"/>
        <w:spacing w:after="0" w:line="240" w:lineRule="auto"/>
        <w:rPr>
          <w:rFonts w:ascii="Times New Roman" w:hAnsi="Times New Roman"/>
          <w:i/>
          <w:color w:val="000000"/>
          <w:lang w:val="lt-LT"/>
        </w:rPr>
      </w:pPr>
      <w:r w:rsidRPr="00816A48">
        <w:rPr>
          <w:rFonts w:ascii="Times New Roman" w:hAnsi="Times New Roman"/>
          <w:i/>
          <w:color w:val="000000"/>
          <w:lang w:val="lt-LT"/>
        </w:rPr>
        <w:t>Kaulų mineralinis tankis (KMT)</w:t>
      </w:r>
    </w:p>
    <w:p w14:paraId="1498E159" w14:textId="77777777" w:rsidR="007750B7" w:rsidRPr="00816A48" w:rsidRDefault="007750B7" w:rsidP="00540EF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Dvejus metus trukusio atsitiktinių imčių dvigubai aklo keliuose centruose atlikto tyrimo neblogesniam veiksmingumui įrodyti (BM</w:t>
      </w:r>
      <w:r w:rsidR="00701E42" w:rsidRPr="00816A48">
        <w:rPr>
          <w:rFonts w:ascii="Times New Roman" w:hAnsi="Times New Roman"/>
          <w:color w:val="000000"/>
          <w:lang w:val="lt-LT"/>
        </w:rPr>
        <w:t> </w:t>
      </w:r>
      <w:r w:rsidRPr="00816A48">
        <w:rPr>
          <w:rFonts w:ascii="Times New Roman" w:hAnsi="Times New Roman"/>
          <w:color w:val="000000"/>
          <w:lang w:val="lt-LT"/>
        </w:rPr>
        <w:t>16550), kuriame dalyvavo osteoporoze sergančios (pradinis juosmens slankstelių KMT T balas mažesnis kaip -2,5 SN) moterys po menopauzės (1 386 moterys, kurių amžius buvo 55</w:t>
      </w:r>
      <w:r w:rsidRPr="00816A48">
        <w:rPr>
          <w:rFonts w:ascii="Times New Roman" w:hAnsi="Times New Roman"/>
          <w:color w:val="000000"/>
          <w:lang w:val="lt-LT"/>
        </w:rPr>
        <w:noBreakHyphen/>
        <w:t>80 metų), duomenimis, į veną kas 3 mėnesius suleista 3 mg ibandrono rūgšties dozė buvo ne mažiau veiksminga nei išgerta 2,5 mg ibandrono rūgšties dozė. Tai įrodė ir pirminė duomenų analizė po vienerių metų, ir patvirtinamoji vertinamosios baigties analizė po dviejų metų (</w:t>
      </w:r>
      <w:r w:rsidR="006A128B" w:rsidRPr="00816A48">
        <w:rPr>
          <w:rFonts w:ascii="Times New Roman" w:hAnsi="Times New Roman"/>
          <w:color w:val="000000"/>
          <w:lang w:val="lt-LT"/>
        </w:rPr>
        <w:t>2 lentelė</w:t>
      </w:r>
      <w:r w:rsidRPr="00816A48">
        <w:rPr>
          <w:rFonts w:ascii="Times New Roman" w:hAnsi="Times New Roman"/>
          <w:color w:val="000000"/>
          <w:lang w:val="lt-LT"/>
        </w:rPr>
        <w:t>).</w:t>
      </w:r>
    </w:p>
    <w:p w14:paraId="4809CB74" w14:textId="77777777" w:rsidR="007750B7" w:rsidRPr="00816A48" w:rsidRDefault="007750B7" w:rsidP="00720F9C">
      <w:pPr>
        <w:autoSpaceDE w:val="0"/>
        <w:autoSpaceDN w:val="0"/>
        <w:adjustRightInd w:val="0"/>
        <w:spacing w:after="0" w:line="240" w:lineRule="auto"/>
        <w:rPr>
          <w:rFonts w:ascii="Times New Roman" w:hAnsi="Times New Roman"/>
          <w:color w:val="000000"/>
          <w:lang w:val="lt-LT"/>
        </w:rPr>
      </w:pPr>
    </w:p>
    <w:p w14:paraId="3ACEFCDA" w14:textId="77777777" w:rsidR="007750B7" w:rsidRPr="00816A48" w:rsidRDefault="007750B7" w:rsidP="00540EF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Pirminė BM</w:t>
      </w:r>
      <w:r w:rsidR="00701E42" w:rsidRPr="00816A48">
        <w:rPr>
          <w:rFonts w:ascii="Times New Roman" w:hAnsi="Times New Roman"/>
          <w:color w:val="000000"/>
          <w:lang w:val="lt-LT"/>
        </w:rPr>
        <w:t> </w:t>
      </w:r>
      <w:r w:rsidRPr="00816A48">
        <w:rPr>
          <w:rFonts w:ascii="Times New Roman" w:hAnsi="Times New Roman"/>
          <w:color w:val="000000"/>
          <w:lang w:val="lt-LT"/>
        </w:rPr>
        <w:t>16550 tyrimo duomenų analizė po vienerių metų ir patvirtinamoji analizė antraisiais gydymo metais parodė, kad gydymo pagal planą, pagal kurį kas 3 mėnesius buvo suleista 3 mg ibandrono rūgšties dozė, palyginti su gydymu pagal planą, pagal kurį buvo vartota 2,5 mg ibandrono rūgšties paros dozė per burną, veiksmingumas didinant juosmens slankstelių, bendro klubo kaulų, šlaunikaulio kaklelio ir gūbrio srities KMT, buvo ne mažesnis (</w:t>
      </w:r>
      <w:r w:rsidR="0084495E" w:rsidRPr="00816A48">
        <w:rPr>
          <w:rFonts w:ascii="Times New Roman" w:hAnsi="Times New Roman"/>
          <w:color w:val="000000"/>
          <w:lang w:val="lt-LT"/>
        </w:rPr>
        <w:t>2 lentelė</w:t>
      </w:r>
      <w:r w:rsidRPr="00816A48">
        <w:rPr>
          <w:rFonts w:ascii="Times New Roman" w:hAnsi="Times New Roman"/>
          <w:color w:val="000000"/>
          <w:lang w:val="lt-LT"/>
        </w:rPr>
        <w:t>).</w:t>
      </w:r>
    </w:p>
    <w:p w14:paraId="31C71DA0" w14:textId="77777777" w:rsidR="007750B7" w:rsidRPr="00816A48" w:rsidRDefault="007750B7" w:rsidP="00720F9C">
      <w:pPr>
        <w:autoSpaceDE w:val="0"/>
        <w:autoSpaceDN w:val="0"/>
        <w:adjustRightInd w:val="0"/>
        <w:spacing w:after="0" w:line="240" w:lineRule="auto"/>
        <w:rPr>
          <w:rFonts w:ascii="Times New Roman" w:hAnsi="Times New Roman"/>
          <w:color w:val="000000"/>
          <w:lang w:val="lt-LT"/>
        </w:rPr>
      </w:pPr>
    </w:p>
    <w:p w14:paraId="3EC84237" w14:textId="77777777" w:rsidR="007750B7" w:rsidRPr="00816A48" w:rsidRDefault="00905B23" w:rsidP="008D33C6">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2 lentelė</w:t>
      </w:r>
      <w:r w:rsidR="007750B7" w:rsidRPr="00816A48">
        <w:rPr>
          <w:rFonts w:ascii="Times New Roman" w:hAnsi="Times New Roman"/>
          <w:color w:val="000000"/>
          <w:lang w:val="lt-LT"/>
        </w:rPr>
        <w:t>. Vidutinis santykinis juosmens slankstelių, bendro klubo kaulų, šlaunikaulio kaklelio ir gūbrio srities KMT pokytis, palyginti su pradiniu, po vienerių (pirminė analizė) ir po dviejų (protokolo populiacijos) BM</w:t>
      </w:r>
      <w:r w:rsidR="00701E42" w:rsidRPr="00816A48">
        <w:rPr>
          <w:rFonts w:ascii="Times New Roman" w:hAnsi="Times New Roman"/>
          <w:color w:val="000000"/>
          <w:lang w:val="lt-LT"/>
        </w:rPr>
        <w:t> </w:t>
      </w:r>
      <w:r w:rsidR="007750B7" w:rsidRPr="00816A48">
        <w:rPr>
          <w:rFonts w:ascii="Times New Roman" w:hAnsi="Times New Roman"/>
          <w:color w:val="000000"/>
          <w:lang w:val="lt-LT"/>
        </w:rPr>
        <w:t>16550 tyrimo duomenimis.</w:t>
      </w:r>
    </w:p>
    <w:tbl>
      <w:tblPr>
        <w:tblW w:w="0" w:type="auto"/>
        <w:tblLook w:val="0000" w:firstRow="0" w:lastRow="0" w:firstColumn="0" w:lastColumn="0" w:noHBand="0" w:noVBand="0"/>
      </w:tblPr>
      <w:tblGrid>
        <w:gridCol w:w="2193"/>
        <w:gridCol w:w="1577"/>
        <w:gridCol w:w="1852"/>
        <w:gridCol w:w="1577"/>
        <w:gridCol w:w="1852"/>
      </w:tblGrid>
      <w:tr w:rsidR="007750B7" w:rsidRPr="00F55F27" w14:paraId="03633EB3" w14:textId="77777777" w:rsidTr="00861232">
        <w:trPr>
          <w:trHeight w:val="745"/>
        </w:trPr>
        <w:tc>
          <w:tcPr>
            <w:tcW w:w="0" w:type="auto"/>
            <w:tcBorders>
              <w:top w:val="single" w:sz="8" w:space="0" w:color="000000"/>
              <w:left w:val="single" w:sz="8" w:space="0" w:color="000000"/>
              <w:bottom w:val="single" w:sz="8" w:space="0" w:color="000000"/>
              <w:right w:val="single" w:sz="8" w:space="0" w:color="000000"/>
            </w:tcBorders>
            <w:vAlign w:val="center"/>
          </w:tcPr>
          <w:p w14:paraId="23A10F93" w14:textId="77777777" w:rsidR="007750B7" w:rsidRPr="00816A48" w:rsidRDefault="007750B7" w:rsidP="009B4884">
            <w:pPr>
              <w:autoSpaceDE w:val="0"/>
              <w:autoSpaceDN w:val="0"/>
              <w:adjustRightInd w:val="0"/>
              <w:spacing w:after="0" w:line="240" w:lineRule="auto"/>
              <w:rPr>
                <w:rFonts w:ascii="Times New Roman" w:hAnsi="Times New Roman"/>
                <w:color w:val="000000"/>
                <w:lang w:val="lt-LT"/>
              </w:rPr>
            </w:pP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4DF3AD6" w14:textId="3FA36312" w:rsidR="007750B7" w:rsidRPr="00816A48" w:rsidRDefault="007750B7" w:rsidP="007A65B4">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Vienerių metų BM</w:t>
            </w:r>
            <w:r w:rsidR="00171B01">
              <w:rPr>
                <w:rFonts w:ascii="Times New Roman" w:hAnsi="Times New Roman"/>
                <w:color w:val="000000"/>
                <w:lang w:val="lt-LT"/>
              </w:rPr>
              <w:t> </w:t>
            </w:r>
            <w:r w:rsidRPr="00816A48">
              <w:rPr>
                <w:rFonts w:ascii="Times New Roman" w:hAnsi="Times New Roman"/>
                <w:color w:val="000000"/>
                <w:lang w:val="lt-LT"/>
              </w:rPr>
              <w:t>16550 tyrimo duomenys</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2E12C0A" w14:textId="7A1C8B3E" w:rsidR="007750B7" w:rsidRPr="00816A48" w:rsidRDefault="007750B7" w:rsidP="00661507">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Dviejų metų BM</w:t>
            </w:r>
            <w:r w:rsidR="00171B01">
              <w:rPr>
                <w:rFonts w:ascii="Times New Roman" w:hAnsi="Times New Roman"/>
                <w:color w:val="000000"/>
                <w:lang w:val="lt-LT"/>
              </w:rPr>
              <w:t> </w:t>
            </w:r>
            <w:r w:rsidRPr="00816A48">
              <w:rPr>
                <w:rFonts w:ascii="Times New Roman" w:hAnsi="Times New Roman"/>
                <w:color w:val="000000"/>
                <w:lang w:val="lt-LT"/>
              </w:rPr>
              <w:t>16550 tyrimo duomenys</w:t>
            </w:r>
          </w:p>
        </w:tc>
      </w:tr>
      <w:tr w:rsidR="00A21AF6" w:rsidRPr="00816A48" w14:paraId="3C618299" w14:textId="77777777">
        <w:trPr>
          <w:trHeight w:val="1325"/>
        </w:trPr>
        <w:tc>
          <w:tcPr>
            <w:tcW w:w="0" w:type="auto"/>
            <w:tcBorders>
              <w:top w:val="single" w:sz="8" w:space="0" w:color="000000"/>
              <w:left w:val="single" w:sz="8" w:space="0" w:color="000000"/>
              <w:bottom w:val="single" w:sz="8" w:space="0" w:color="000000"/>
              <w:right w:val="single" w:sz="8" w:space="0" w:color="000000"/>
            </w:tcBorders>
          </w:tcPr>
          <w:p w14:paraId="1168FBF2"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Vidutinis santykinis % pokytis, palyginti su pradiniu [95 % PI]</w:t>
            </w:r>
          </w:p>
        </w:tc>
        <w:tc>
          <w:tcPr>
            <w:tcW w:w="0" w:type="auto"/>
            <w:tcBorders>
              <w:top w:val="single" w:sz="8" w:space="0" w:color="000000"/>
              <w:left w:val="single" w:sz="8" w:space="0" w:color="000000"/>
              <w:bottom w:val="single" w:sz="8" w:space="0" w:color="000000"/>
              <w:right w:val="single" w:sz="8" w:space="0" w:color="000000"/>
            </w:tcBorders>
          </w:tcPr>
          <w:p w14:paraId="03963F1F" w14:textId="77777777"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2,5 mg ibandrono rūgšties paros dozė</w:t>
            </w:r>
          </w:p>
          <w:p w14:paraId="36003153" w14:textId="77777777" w:rsidR="007750B7" w:rsidRPr="00816A48" w:rsidRDefault="007750B7" w:rsidP="00720F9C">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(n=377)</w:t>
            </w:r>
          </w:p>
        </w:tc>
        <w:tc>
          <w:tcPr>
            <w:tcW w:w="0" w:type="auto"/>
            <w:tcBorders>
              <w:top w:val="single" w:sz="8" w:space="0" w:color="000000"/>
              <w:left w:val="single" w:sz="8" w:space="0" w:color="000000"/>
              <w:bottom w:val="single" w:sz="8" w:space="0" w:color="000000"/>
              <w:right w:val="single" w:sz="8" w:space="0" w:color="000000"/>
            </w:tcBorders>
          </w:tcPr>
          <w:p w14:paraId="4071054F" w14:textId="77777777" w:rsidR="007750B7" w:rsidRPr="00816A48" w:rsidRDefault="007750B7" w:rsidP="008D33C6">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 xml:space="preserve">3 mg ibandrono rūgšties </w:t>
            </w:r>
            <w:r w:rsidR="00A21AF6" w:rsidRPr="00816A48">
              <w:rPr>
                <w:rFonts w:ascii="Times New Roman" w:hAnsi="Times New Roman"/>
                <w:color w:val="000000"/>
                <w:lang w:val="lt-LT"/>
              </w:rPr>
              <w:t xml:space="preserve">injekcija </w:t>
            </w:r>
            <w:r w:rsidRPr="00816A48">
              <w:rPr>
                <w:rFonts w:ascii="Times New Roman" w:hAnsi="Times New Roman"/>
                <w:color w:val="000000"/>
                <w:lang w:val="lt-LT"/>
              </w:rPr>
              <w:t>kas 3 mėnesius</w:t>
            </w:r>
          </w:p>
          <w:p w14:paraId="4AE57E77" w14:textId="77777777" w:rsidR="007750B7" w:rsidRPr="00816A48" w:rsidRDefault="007750B7" w:rsidP="009B4884">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(n=365)</w:t>
            </w:r>
          </w:p>
        </w:tc>
        <w:tc>
          <w:tcPr>
            <w:tcW w:w="0" w:type="auto"/>
            <w:tcBorders>
              <w:top w:val="single" w:sz="8" w:space="0" w:color="000000"/>
              <w:left w:val="single" w:sz="8" w:space="0" w:color="000000"/>
              <w:bottom w:val="single" w:sz="8" w:space="0" w:color="000000"/>
              <w:right w:val="single" w:sz="8" w:space="0" w:color="000000"/>
            </w:tcBorders>
          </w:tcPr>
          <w:p w14:paraId="6131821B" w14:textId="77777777" w:rsidR="007750B7" w:rsidRPr="00816A48" w:rsidRDefault="007750B7" w:rsidP="007A65B4">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2,5 mg ibandrono rūgšties paros dozė</w:t>
            </w:r>
          </w:p>
          <w:p w14:paraId="43592EB5" w14:textId="77777777" w:rsidR="007750B7" w:rsidRPr="00816A48" w:rsidRDefault="007750B7" w:rsidP="00661507">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(n=334)</w:t>
            </w:r>
          </w:p>
        </w:tc>
        <w:tc>
          <w:tcPr>
            <w:tcW w:w="0" w:type="auto"/>
            <w:tcBorders>
              <w:top w:val="single" w:sz="8" w:space="0" w:color="000000"/>
              <w:left w:val="single" w:sz="8" w:space="0" w:color="000000"/>
              <w:bottom w:val="single" w:sz="8" w:space="0" w:color="000000"/>
              <w:right w:val="single" w:sz="8" w:space="0" w:color="000000"/>
            </w:tcBorders>
          </w:tcPr>
          <w:p w14:paraId="4F61BAFB" w14:textId="77777777" w:rsidR="007750B7" w:rsidRPr="00816A48" w:rsidRDefault="007750B7" w:rsidP="00604FE8">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 xml:space="preserve">3 mg ibandrono rūgšties </w:t>
            </w:r>
            <w:r w:rsidR="00A21AF6" w:rsidRPr="00816A48">
              <w:rPr>
                <w:rFonts w:ascii="Times New Roman" w:hAnsi="Times New Roman"/>
                <w:color w:val="000000"/>
                <w:lang w:val="lt-LT"/>
              </w:rPr>
              <w:t xml:space="preserve">injekcija </w:t>
            </w:r>
            <w:r w:rsidRPr="00816A48">
              <w:rPr>
                <w:rFonts w:ascii="Times New Roman" w:hAnsi="Times New Roman"/>
                <w:color w:val="000000"/>
                <w:lang w:val="lt-LT"/>
              </w:rPr>
              <w:t>kas 3 mėnesius</w:t>
            </w:r>
          </w:p>
          <w:p w14:paraId="734F183B" w14:textId="77777777" w:rsidR="007750B7" w:rsidRPr="00816A48" w:rsidRDefault="007750B7" w:rsidP="00242DA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(n=334)</w:t>
            </w:r>
          </w:p>
        </w:tc>
      </w:tr>
      <w:tr w:rsidR="00A21AF6" w:rsidRPr="00816A48" w14:paraId="7A0EE6EF" w14:textId="77777777" w:rsidTr="00861232">
        <w:trPr>
          <w:trHeight w:val="288"/>
        </w:trPr>
        <w:tc>
          <w:tcPr>
            <w:tcW w:w="0" w:type="auto"/>
            <w:tcBorders>
              <w:top w:val="single" w:sz="8" w:space="0" w:color="000000"/>
              <w:left w:val="single" w:sz="8" w:space="0" w:color="000000"/>
              <w:bottom w:val="single" w:sz="8" w:space="0" w:color="000000"/>
              <w:right w:val="single" w:sz="8" w:space="0" w:color="000000"/>
            </w:tcBorders>
          </w:tcPr>
          <w:p w14:paraId="03DC0878"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L2-L4 juosmens slankstelių KMT</w:t>
            </w:r>
          </w:p>
        </w:tc>
        <w:tc>
          <w:tcPr>
            <w:tcW w:w="0" w:type="auto"/>
            <w:tcBorders>
              <w:top w:val="single" w:sz="8" w:space="0" w:color="000000"/>
              <w:left w:val="single" w:sz="8" w:space="0" w:color="000000"/>
              <w:bottom w:val="single" w:sz="8" w:space="0" w:color="000000"/>
              <w:right w:val="single" w:sz="8" w:space="0" w:color="000000"/>
            </w:tcBorders>
          </w:tcPr>
          <w:p w14:paraId="2B3D91C0" w14:textId="77777777" w:rsidR="007750B7" w:rsidRPr="00816A48" w:rsidRDefault="007750B7" w:rsidP="00177670">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3,8 [3,4, 4,2]</w:t>
            </w:r>
          </w:p>
        </w:tc>
        <w:tc>
          <w:tcPr>
            <w:tcW w:w="0" w:type="auto"/>
            <w:tcBorders>
              <w:top w:val="single" w:sz="8" w:space="0" w:color="000000"/>
              <w:left w:val="single" w:sz="8" w:space="0" w:color="000000"/>
              <w:bottom w:val="single" w:sz="8" w:space="0" w:color="000000"/>
              <w:right w:val="single" w:sz="8" w:space="0" w:color="000000"/>
            </w:tcBorders>
          </w:tcPr>
          <w:p w14:paraId="740D4864" w14:textId="77777777"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4,8 [4,5, 5,2]</w:t>
            </w:r>
          </w:p>
        </w:tc>
        <w:tc>
          <w:tcPr>
            <w:tcW w:w="0" w:type="auto"/>
            <w:tcBorders>
              <w:top w:val="single" w:sz="8" w:space="0" w:color="000000"/>
              <w:left w:val="single" w:sz="8" w:space="0" w:color="000000"/>
              <w:bottom w:val="single" w:sz="8" w:space="0" w:color="000000"/>
              <w:right w:val="single" w:sz="8" w:space="0" w:color="000000"/>
            </w:tcBorders>
          </w:tcPr>
          <w:p w14:paraId="3C9F15C5" w14:textId="77777777" w:rsidR="007750B7" w:rsidRPr="00816A48" w:rsidRDefault="007750B7" w:rsidP="00720F9C">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4,8 [4,3, 5,4]</w:t>
            </w:r>
          </w:p>
        </w:tc>
        <w:tc>
          <w:tcPr>
            <w:tcW w:w="0" w:type="auto"/>
            <w:tcBorders>
              <w:top w:val="single" w:sz="8" w:space="0" w:color="000000"/>
              <w:left w:val="single" w:sz="8" w:space="0" w:color="000000"/>
              <w:bottom w:val="single" w:sz="8" w:space="0" w:color="000000"/>
              <w:right w:val="single" w:sz="8" w:space="0" w:color="000000"/>
            </w:tcBorders>
          </w:tcPr>
          <w:p w14:paraId="3E1300B5" w14:textId="77777777" w:rsidR="007750B7" w:rsidRPr="00816A48" w:rsidRDefault="007750B7" w:rsidP="008D33C6">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6,3 [5,7, 6,8]</w:t>
            </w:r>
          </w:p>
        </w:tc>
      </w:tr>
      <w:tr w:rsidR="00A21AF6" w:rsidRPr="00816A48" w14:paraId="5D7ED8FF" w14:textId="77777777" w:rsidTr="00861232">
        <w:trPr>
          <w:trHeight w:val="288"/>
        </w:trPr>
        <w:tc>
          <w:tcPr>
            <w:tcW w:w="0" w:type="auto"/>
            <w:tcBorders>
              <w:top w:val="single" w:sz="8" w:space="0" w:color="000000"/>
              <w:left w:val="single" w:sz="8" w:space="0" w:color="000000"/>
              <w:bottom w:val="single" w:sz="8" w:space="0" w:color="000000"/>
              <w:right w:val="single" w:sz="8" w:space="0" w:color="000000"/>
            </w:tcBorders>
          </w:tcPr>
          <w:p w14:paraId="28BE4E18"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Bendras klubo kaulų KMT</w:t>
            </w:r>
          </w:p>
        </w:tc>
        <w:tc>
          <w:tcPr>
            <w:tcW w:w="0" w:type="auto"/>
            <w:tcBorders>
              <w:top w:val="single" w:sz="8" w:space="0" w:color="000000"/>
              <w:left w:val="single" w:sz="8" w:space="0" w:color="000000"/>
              <w:bottom w:val="single" w:sz="8" w:space="0" w:color="000000"/>
              <w:right w:val="single" w:sz="8" w:space="0" w:color="000000"/>
            </w:tcBorders>
          </w:tcPr>
          <w:p w14:paraId="27C6BE85" w14:textId="77777777" w:rsidR="007750B7" w:rsidRPr="00816A48" w:rsidRDefault="007750B7" w:rsidP="00177670">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1,8 [1,5, 2,1]</w:t>
            </w:r>
          </w:p>
        </w:tc>
        <w:tc>
          <w:tcPr>
            <w:tcW w:w="0" w:type="auto"/>
            <w:tcBorders>
              <w:top w:val="single" w:sz="8" w:space="0" w:color="000000"/>
              <w:left w:val="single" w:sz="8" w:space="0" w:color="000000"/>
              <w:bottom w:val="single" w:sz="8" w:space="0" w:color="000000"/>
              <w:right w:val="single" w:sz="8" w:space="0" w:color="000000"/>
            </w:tcBorders>
          </w:tcPr>
          <w:p w14:paraId="0E87B8F4" w14:textId="77777777"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2,4 [2,0, 2,7]</w:t>
            </w:r>
          </w:p>
        </w:tc>
        <w:tc>
          <w:tcPr>
            <w:tcW w:w="0" w:type="auto"/>
            <w:tcBorders>
              <w:top w:val="single" w:sz="8" w:space="0" w:color="000000"/>
              <w:left w:val="single" w:sz="8" w:space="0" w:color="000000"/>
              <w:bottom w:val="single" w:sz="8" w:space="0" w:color="000000"/>
              <w:right w:val="single" w:sz="8" w:space="0" w:color="000000"/>
            </w:tcBorders>
          </w:tcPr>
          <w:p w14:paraId="07CF2ACE" w14:textId="77777777" w:rsidR="007750B7" w:rsidRPr="00816A48" w:rsidRDefault="007750B7" w:rsidP="00720F9C">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2,2 [1,8, 2,6]</w:t>
            </w:r>
          </w:p>
        </w:tc>
        <w:tc>
          <w:tcPr>
            <w:tcW w:w="0" w:type="auto"/>
            <w:tcBorders>
              <w:top w:val="single" w:sz="8" w:space="0" w:color="000000"/>
              <w:left w:val="single" w:sz="8" w:space="0" w:color="000000"/>
              <w:bottom w:val="single" w:sz="8" w:space="0" w:color="000000"/>
              <w:right w:val="single" w:sz="8" w:space="0" w:color="000000"/>
            </w:tcBorders>
          </w:tcPr>
          <w:p w14:paraId="31A9E339" w14:textId="77777777" w:rsidR="007750B7" w:rsidRPr="00816A48" w:rsidRDefault="007750B7" w:rsidP="008D33C6">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3,1 [2,6, 3,6]</w:t>
            </w:r>
          </w:p>
        </w:tc>
      </w:tr>
      <w:tr w:rsidR="00A21AF6" w:rsidRPr="00816A48" w14:paraId="2692B3AB" w14:textId="77777777" w:rsidTr="00861232">
        <w:trPr>
          <w:trHeight w:val="288"/>
        </w:trPr>
        <w:tc>
          <w:tcPr>
            <w:tcW w:w="0" w:type="auto"/>
            <w:tcBorders>
              <w:top w:val="single" w:sz="8" w:space="0" w:color="000000"/>
              <w:left w:val="single" w:sz="8" w:space="0" w:color="000000"/>
              <w:bottom w:val="single" w:sz="8" w:space="0" w:color="000000"/>
              <w:right w:val="single" w:sz="8" w:space="0" w:color="000000"/>
            </w:tcBorders>
          </w:tcPr>
          <w:p w14:paraId="66579FED"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Šlaunikaulio kaklelio KMT</w:t>
            </w:r>
          </w:p>
        </w:tc>
        <w:tc>
          <w:tcPr>
            <w:tcW w:w="0" w:type="auto"/>
            <w:tcBorders>
              <w:top w:val="single" w:sz="8" w:space="0" w:color="000000"/>
              <w:left w:val="single" w:sz="8" w:space="0" w:color="000000"/>
              <w:bottom w:val="single" w:sz="8" w:space="0" w:color="000000"/>
              <w:right w:val="single" w:sz="8" w:space="0" w:color="000000"/>
            </w:tcBorders>
          </w:tcPr>
          <w:p w14:paraId="4A9F3983" w14:textId="77777777" w:rsidR="007750B7" w:rsidRPr="00816A48" w:rsidRDefault="007750B7" w:rsidP="00177670">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1,6 [1,2, 2,0]</w:t>
            </w:r>
          </w:p>
        </w:tc>
        <w:tc>
          <w:tcPr>
            <w:tcW w:w="0" w:type="auto"/>
            <w:tcBorders>
              <w:top w:val="single" w:sz="8" w:space="0" w:color="000000"/>
              <w:left w:val="single" w:sz="8" w:space="0" w:color="000000"/>
              <w:bottom w:val="single" w:sz="8" w:space="0" w:color="000000"/>
              <w:right w:val="single" w:sz="8" w:space="0" w:color="000000"/>
            </w:tcBorders>
          </w:tcPr>
          <w:p w14:paraId="596E3E70" w14:textId="77777777"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2,3 [1,9, 2,7]</w:t>
            </w:r>
          </w:p>
        </w:tc>
        <w:tc>
          <w:tcPr>
            <w:tcW w:w="0" w:type="auto"/>
            <w:tcBorders>
              <w:top w:val="single" w:sz="8" w:space="0" w:color="000000"/>
              <w:left w:val="single" w:sz="8" w:space="0" w:color="000000"/>
              <w:bottom w:val="single" w:sz="8" w:space="0" w:color="000000"/>
              <w:right w:val="single" w:sz="8" w:space="0" w:color="000000"/>
            </w:tcBorders>
          </w:tcPr>
          <w:p w14:paraId="755E4572" w14:textId="77777777" w:rsidR="007750B7" w:rsidRPr="00816A48" w:rsidRDefault="007750B7" w:rsidP="00720F9C">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2,2 [1,8, 2,7]</w:t>
            </w:r>
          </w:p>
        </w:tc>
        <w:tc>
          <w:tcPr>
            <w:tcW w:w="0" w:type="auto"/>
            <w:tcBorders>
              <w:top w:val="single" w:sz="8" w:space="0" w:color="000000"/>
              <w:left w:val="single" w:sz="8" w:space="0" w:color="000000"/>
              <w:bottom w:val="single" w:sz="8" w:space="0" w:color="000000"/>
              <w:right w:val="single" w:sz="8" w:space="0" w:color="000000"/>
            </w:tcBorders>
          </w:tcPr>
          <w:p w14:paraId="3C9B22CC" w14:textId="77777777" w:rsidR="007750B7" w:rsidRPr="00816A48" w:rsidRDefault="007750B7" w:rsidP="008D33C6">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2,8 [2,3, 3,3]</w:t>
            </w:r>
          </w:p>
        </w:tc>
      </w:tr>
      <w:tr w:rsidR="00A21AF6" w:rsidRPr="00816A48" w14:paraId="5C75A749" w14:textId="77777777" w:rsidTr="00861232">
        <w:trPr>
          <w:trHeight w:val="288"/>
        </w:trPr>
        <w:tc>
          <w:tcPr>
            <w:tcW w:w="0" w:type="auto"/>
            <w:tcBorders>
              <w:top w:val="single" w:sz="8" w:space="0" w:color="000000"/>
              <w:left w:val="single" w:sz="8" w:space="0" w:color="000000"/>
              <w:bottom w:val="single" w:sz="8" w:space="0" w:color="000000"/>
              <w:right w:val="single" w:sz="8" w:space="0" w:color="000000"/>
            </w:tcBorders>
          </w:tcPr>
          <w:p w14:paraId="65036C81"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Šlaunikaulio gūbrio KMT</w:t>
            </w:r>
          </w:p>
        </w:tc>
        <w:tc>
          <w:tcPr>
            <w:tcW w:w="0" w:type="auto"/>
            <w:tcBorders>
              <w:top w:val="single" w:sz="8" w:space="0" w:color="000000"/>
              <w:left w:val="single" w:sz="8" w:space="0" w:color="000000"/>
              <w:bottom w:val="single" w:sz="8" w:space="0" w:color="000000"/>
              <w:right w:val="single" w:sz="8" w:space="0" w:color="000000"/>
            </w:tcBorders>
          </w:tcPr>
          <w:p w14:paraId="4F667258" w14:textId="77777777" w:rsidR="007750B7" w:rsidRPr="00816A48" w:rsidRDefault="007750B7" w:rsidP="00177670">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3,0 [2,6, 3,4]</w:t>
            </w:r>
          </w:p>
        </w:tc>
        <w:tc>
          <w:tcPr>
            <w:tcW w:w="0" w:type="auto"/>
            <w:tcBorders>
              <w:top w:val="single" w:sz="8" w:space="0" w:color="000000"/>
              <w:left w:val="single" w:sz="8" w:space="0" w:color="000000"/>
              <w:bottom w:val="single" w:sz="8" w:space="0" w:color="000000"/>
              <w:right w:val="single" w:sz="8" w:space="0" w:color="000000"/>
            </w:tcBorders>
          </w:tcPr>
          <w:p w14:paraId="283D7FDF" w14:textId="77777777"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3,8 [3,2, 4,4]</w:t>
            </w:r>
          </w:p>
        </w:tc>
        <w:tc>
          <w:tcPr>
            <w:tcW w:w="0" w:type="auto"/>
            <w:tcBorders>
              <w:top w:val="single" w:sz="8" w:space="0" w:color="000000"/>
              <w:left w:val="single" w:sz="8" w:space="0" w:color="000000"/>
              <w:bottom w:val="single" w:sz="8" w:space="0" w:color="000000"/>
              <w:right w:val="single" w:sz="8" w:space="0" w:color="000000"/>
            </w:tcBorders>
          </w:tcPr>
          <w:p w14:paraId="5A5F690C" w14:textId="77777777" w:rsidR="007750B7" w:rsidRPr="00816A48" w:rsidRDefault="007750B7" w:rsidP="00720F9C">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3,5 [3,0, 4,0]</w:t>
            </w:r>
          </w:p>
        </w:tc>
        <w:tc>
          <w:tcPr>
            <w:tcW w:w="0" w:type="auto"/>
            <w:tcBorders>
              <w:top w:val="single" w:sz="8" w:space="0" w:color="000000"/>
              <w:left w:val="single" w:sz="8" w:space="0" w:color="000000"/>
              <w:bottom w:val="single" w:sz="8" w:space="0" w:color="000000"/>
              <w:right w:val="single" w:sz="8" w:space="0" w:color="000000"/>
            </w:tcBorders>
          </w:tcPr>
          <w:p w14:paraId="194DE5CD" w14:textId="77777777" w:rsidR="007750B7" w:rsidRPr="00816A48" w:rsidRDefault="007750B7" w:rsidP="008D33C6">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4,9 [4,1, 5,7]</w:t>
            </w:r>
          </w:p>
        </w:tc>
      </w:tr>
    </w:tbl>
    <w:p w14:paraId="289F961B"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p>
    <w:p w14:paraId="0D4E4395" w14:textId="77777777" w:rsidR="007750B7" w:rsidRPr="00816A48" w:rsidRDefault="007750B7" w:rsidP="005F68E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Be to, numatytoji perspektyvioji duomenų analizė po vienerių (p &lt; 0,001) ir po dviejų (p &lt; 0,001) metų parodė, kad 3 mg ibandrono rūgšties injekcijos kas 3 mėnesius geriau už išgertas 2,5 mg ibandrono rūgšties paros dozes didina juosmens slankstelių KMT.</w:t>
      </w:r>
    </w:p>
    <w:p w14:paraId="0E836055" w14:textId="25565787" w:rsidR="007750B7" w:rsidRPr="00816A48" w:rsidRDefault="007750B7" w:rsidP="00CE74AB">
      <w:pPr>
        <w:keepNext/>
        <w:keepLines/>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Įvertinus juosmens slankstelių KMT, po vienerių gydymo metų 92,1</w:t>
      </w:r>
      <w:r w:rsidR="00171B01">
        <w:rPr>
          <w:rFonts w:ascii="Times New Roman" w:hAnsi="Times New Roman"/>
          <w:color w:val="000000"/>
          <w:lang w:val="lt-LT"/>
        </w:rPr>
        <w:t> </w:t>
      </w:r>
      <w:r w:rsidRPr="00816A48">
        <w:rPr>
          <w:rFonts w:ascii="Times New Roman" w:hAnsi="Times New Roman"/>
          <w:color w:val="000000"/>
          <w:lang w:val="lt-LT"/>
        </w:rPr>
        <w:t>% pacienčių, kurioms kas 3 mėnesius buvo suleista 3 mg ibandrono rūgšties dozė, KMT buvo toks pat arba didesnis už pradinį (pacientės, kurioms pasireiškė KMT atsakas), palyginti su 84,9</w:t>
      </w:r>
      <w:r w:rsidR="00171B01">
        <w:rPr>
          <w:rFonts w:ascii="Times New Roman" w:hAnsi="Times New Roman"/>
          <w:color w:val="000000"/>
          <w:lang w:val="lt-LT"/>
        </w:rPr>
        <w:t> </w:t>
      </w:r>
      <w:r w:rsidRPr="00816A48">
        <w:rPr>
          <w:rFonts w:ascii="Times New Roman" w:hAnsi="Times New Roman"/>
          <w:color w:val="000000"/>
          <w:lang w:val="lt-LT"/>
        </w:rPr>
        <w:t>% pacienčių, kurios vartojo 2,5 mg ibandrono rūgšties paros dozę per burną (p = 0,002). Po dviejų gydymo metų 92,8</w:t>
      </w:r>
      <w:r w:rsidR="00171B01">
        <w:rPr>
          <w:rFonts w:ascii="Times New Roman" w:hAnsi="Times New Roman"/>
          <w:color w:val="000000"/>
          <w:lang w:val="lt-LT"/>
        </w:rPr>
        <w:t> </w:t>
      </w:r>
      <w:r w:rsidRPr="00816A48">
        <w:rPr>
          <w:rFonts w:ascii="Times New Roman" w:hAnsi="Times New Roman"/>
          <w:color w:val="000000"/>
          <w:lang w:val="lt-LT"/>
        </w:rPr>
        <w:t>% pacienčių, kurioms buvo suleistos 3 mg ibandrono rūgšties dozės, ir 84,7</w:t>
      </w:r>
      <w:r w:rsidR="00171B01">
        <w:rPr>
          <w:rFonts w:ascii="Times New Roman" w:hAnsi="Times New Roman"/>
          <w:color w:val="000000"/>
          <w:lang w:val="lt-LT"/>
        </w:rPr>
        <w:t> </w:t>
      </w:r>
      <w:r w:rsidRPr="00816A48">
        <w:rPr>
          <w:rFonts w:ascii="Times New Roman" w:hAnsi="Times New Roman"/>
          <w:color w:val="000000"/>
          <w:lang w:val="lt-LT"/>
        </w:rPr>
        <w:t>% pacienčių, kurios vartojo 2,5 mg ibandrono rūgšties paros dozę per burną, juosmens slan</w:t>
      </w:r>
      <w:r w:rsidR="00A22971" w:rsidRPr="00816A48">
        <w:rPr>
          <w:rFonts w:ascii="Times New Roman" w:hAnsi="Times New Roman"/>
          <w:color w:val="000000"/>
          <w:lang w:val="lt-LT"/>
        </w:rPr>
        <w:t>kstelių KMT buvo toks pat arba p = 0,001</w:t>
      </w:r>
      <w:r w:rsidRPr="00816A48">
        <w:rPr>
          <w:rFonts w:ascii="Times New Roman" w:hAnsi="Times New Roman"/>
          <w:color w:val="000000"/>
          <w:lang w:val="lt-LT"/>
        </w:rPr>
        <w:t>.</w:t>
      </w:r>
    </w:p>
    <w:p w14:paraId="61134F01" w14:textId="77777777" w:rsidR="007750B7" w:rsidRPr="00816A48" w:rsidRDefault="007750B7" w:rsidP="008D33C6">
      <w:pPr>
        <w:autoSpaceDE w:val="0"/>
        <w:autoSpaceDN w:val="0"/>
        <w:adjustRightInd w:val="0"/>
        <w:spacing w:after="0" w:line="240" w:lineRule="auto"/>
        <w:rPr>
          <w:rFonts w:ascii="Times New Roman" w:hAnsi="Times New Roman"/>
          <w:color w:val="000000"/>
          <w:lang w:val="lt-LT"/>
        </w:rPr>
      </w:pPr>
    </w:p>
    <w:p w14:paraId="3CCAC70F" w14:textId="2DBE1D3A" w:rsidR="007750B7" w:rsidRPr="00816A48" w:rsidRDefault="007750B7" w:rsidP="00720F9C">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Įvertinus visų klubo kaulų KMT, po vienerių gydymo metų atsakas pasireiškė 82,3</w:t>
      </w:r>
      <w:r w:rsidR="00171B01">
        <w:rPr>
          <w:rFonts w:ascii="Times New Roman" w:hAnsi="Times New Roman"/>
          <w:color w:val="000000"/>
          <w:lang w:val="lt-LT"/>
        </w:rPr>
        <w:t> </w:t>
      </w:r>
      <w:r w:rsidRPr="00816A48">
        <w:rPr>
          <w:rFonts w:ascii="Times New Roman" w:hAnsi="Times New Roman"/>
          <w:color w:val="000000"/>
          <w:lang w:val="lt-LT"/>
        </w:rPr>
        <w:t>% pacienčių, kurioms kas 3 mėnesius buvo suleista 3 mg ibandrono rūgšties dozė, palyginti su 75,1</w:t>
      </w:r>
      <w:r w:rsidR="00171B01">
        <w:rPr>
          <w:rFonts w:ascii="Times New Roman" w:hAnsi="Times New Roman"/>
          <w:color w:val="000000"/>
          <w:lang w:val="lt-LT"/>
        </w:rPr>
        <w:t> </w:t>
      </w:r>
      <w:r w:rsidRPr="00816A48">
        <w:rPr>
          <w:rFonts w:ascii="Times New Roman" w:hAnsi="Times New Roman"/>
          <w:color w:val="000000"/>
          <w:lang w:val="lt-LT"/>
        </w:rPr>
        <w:t>% pacienčių, kurios vartojo 2,5 mg ibandrono rūgšties paros dozę per burną (p = 0,02). Po dviejų gydymo metų 85,6</w:t>
      </w:r>
      <w:r w:rsidR="00171B01">
        <w:rPr>
          <w:rFonts w:ascii="Times New Roman" w:hAnsi="Times New Roman"/>
          <w:color w:val="000000"/>
          <w:lang w:val="lt-LT"/>
        </w:rPr>
        <w:t> </w:t>
      </w:r>
      <w:r w:rsidRPr="00816A48">
        <w:rPr>
          <w:rFonts w:ascii="Times New Roman" w:hAnsi="Times New Roman"/>
          <w:color w:val="000000"/>
          <w:lang w:val="lt-LT"/>
        </w:rPr>
        <w:t>% pacienčių, kurioms buvo suleistos 3 mg ibandrono rūgšties dozės, ir 77,0</w:t>
      </w:r>
      <w:r w:rsidR="00171B01">
        <w:rPr>
          <w:rFonts w:ascii="Times New Roman" w:hAnsi="Times New Roman"/>
          <w:color w:val="000000"/>
          <w:lang w:val="lt-LT"/>
        </w:rPr>
        <w:t> </w:t>
      </w:r>
      <w:r w:rsidRPr="00816A48">
        <w:rPr>
          <w:rFonts w:ascii="Times New Roman" w:hAnsi="Times New Roman"/>
          <w:color w:val="000000"/>
          <w:lang w:val="lt-LT"/>
        </w:rPr>
        <w:t>% pacienčių, kurios vartojo 2,5 mg ibandrono rūgšties paros dozę per burną, visų klubo kaulų KMT buvo toks pat arba didesnis (p = 0,004).</w:t>
      </w:r>
    </w:p>
    <w:p w14:paraId="4A43614A" w14:textId="025E4674" w:rsidR="007750B7" w:rsidRPr="00816A48" w:rsidRDefault="007750B7" w:rsidP="00720F9C">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Pacienčių, kurių juosmens slankstelių ir visų klubo kaulų KMT buvo toks pat arba didesnis, dalis po vienerių gydymo metų 3 mg ibandrono rūgšties dozės injekcijų kas 3 mėnesius grupėje buvo 76,2</w:t>
      </w:r>
      <w:r w:rsidR="00171B01">
        <w:rPr>
          <w:rFonts w:ascii="Times New Roman" w:hAnsi="Times New Roman"/>
          <w:color w:val="000000"/>
          <w:lang w:val="lt-LT"/>
        </w:rPr>
        <w:t> </w:t>
      </w:r>
      <w:r w:rsidRPr="00816A48">
        <w:rPr>
          <w:rFonts w:ascii="Times New Roman" w:hAnsi="Times New Roman"/>
          <w:color w:val="000000"/>
          <w:lang w:val="lt-LT"/>
        </w:rPr>
        <w:t>%, o 2,5 mg ibandrono rūgšties paros dozės vartojimo per burną grupėje – 67,2</w:t>
      </w:r>
      <w:r w:rsidR="00171B01">
        <w:rPr>
          <w:rFonts w:ascii="Times New Roman" w:hAnsi="Times New Roman"/>
          <w:color w:val="000000"/>
          <w:lang w:val="lt-LT"/>
        </w:rPr>
        <w:t> </w:t>
      </w:r>
      <w:r w:rsidRPr="00816A48">
        <w:rPr>
          <w:rFonts w:ascii="Times New Roman" w:hAnsi="Times New Roman"/>
          <w:color w:val="000000"/>
          <w:lang w:val="lt-LT"/>
        </w:rPr>
        <w:t>% (p = 0,007). Antraisiais gydymo metais šį kriterijų atitiko 80,1</w:t>
      </w:r>
      <w:r w:rsidR="00171B01">
        <w:rPr>
          <w:rFonts w:ascii="Times New Roman" w:hAnsi="Times New Roman"/>
          <w:color w:val="000000"/>
          <w:lang w:val="lt-LT"/>
        </w:rPr>
        <w:t> </w:t>
      </w:r>
      <w:r w:rsidRPr="00816A48">
        <w:rPr>
          <w:rFonts w:ascii="Times New Roman" w:hAnsi="Times New Roman"/>
          <w:color w:val="000000"/>
          <w:lang w:val="lt-LT"/>
        </w:rPr>
        <w:t>% pacienčių, kurioms kas 3 mėnesius buvo suleista 3 mg ibandrono rūgšties dozė, ir 68,8</w:t>
      </w:r>
      <w:r w:rsidR="00171B01">
        <w:rPr>
          <w:rFonts w:ascii="Times New Roman" w:hAnsi="Times New Roman"/>
          <w:color w:val="000000"/>
          <w:lang w:val="lt-LT"/>
        </w:rPr>
        <w:t> </w:t>
      </w:r>
      <w:r w:rsidRPr="00816A48">
        <w:rPr>
          <w:rFonts w:ascii="Times New Roman" w:hAnsi="Times New Roman"/>
          <w:color w:val="000000"/>
          <w:lang w:val="lt-LT"/>
        </w:rPr>
        <w:t>% pacienčių, kurios vartojo 2,5 mg ibandrono rūgšties paros dozę per burną (p = 0,001).</w:t>
      </w:r>
    </w:p>
    <w:p w14:paraId="15F841BB" w14:textId="77777777" w:rsidR="007750B7" w:rsidRPr="00816A48" w:rsidRDefault="007750B7" w:rsidP="008D33C6">
      <w:pPr>
        <w:autoSpaceDE w:val="0"/>
        <w:autoSpaceDN w:val="0"/>
        <w:adjustRightInd w:val="0"/>
        <w:spacing w:after="0" w:line="240" w:lineRule="auto"/>
        <w:rPr>
          <w:rFonts w:ascii="Times New Roman" w:hAnsi="Times New Roman"/>
          <w:color w:val="000000"/>
          <w:lang w:val="lt-LT"/>
        </w:rPr>
      </w:pPr>
    </w:p>
    <w:p w14:paraId="6FFE6159" w14:textId="77777777" w:rsidR="007750B7" w:rsidRPr="00816A48" w:rsidRDefault="007750B7" w:rsidP="009B4884">
      <w:pPr>
        <w:autoSpaceDE w:val="0"/>
        <w:autoSpaceDN w:val="0"/>
        <w:adjustRightInd w:val="0"/>
        <w:spacing w:after="0" w:line="240" w:lineRule="auto"/>
        <w:rPr>
          <w:rFonts w:ascii="Times New Roman" w:hAnsi="Times New Roman"/>
          <w:i/>
          <w:color w:val="000000"/>
          <w:lang w:val="lt-LT"/>
        </w:rPr>
      </w:pPr>
      <w:r w:rsidRPr="00816A48">
        <w:rPr>
          <w:rFonts w:ascii="Times New Roman" w:hAnsi="Times New Roman"/>
          <w:i/>
          <w:color w:val="000000"/>
          <w:lang w:val="lt-LT"/>
        </w:rPr>
        <w:t>Biocheminiai kaulų apykaitos žymekliai</w:t>
      </w:r>
    </w:p>
    <w:p w14:paraId="0CE978F0" w14:textId="6A9080CD" w:rsidR="007750B7" w:rsidRPr="00816A48" w:rsidRDefault="007750B7" w:rsidP="00661507">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Kiekvieną kartą tiriant, stebėtas kliniškai reikšmingas CTX koncentracijų serume sumažėjimas. Santykinio pokyčio mediana po 12 mėnesių, palyginti su pradiniu rodmeniu, leidžiant pagal gydymo planą 3 mg ibandrono rūgšties dozę kas 3 mėnesius, buvo -58,6 %, o vartojant 2,5 mg ibandrono rūgšties paros dozę, – -62,6</w:t>
      </w:r>
      <w:r w:rsidR="00171B01">
        <w:rPr>
          <w:rFonts w:ascii="Times New Roman" w:hAnsi="Times New Roman"/>
          <w:color w:val="000000"/>
          <w:lang w:val="lt-LT"/>
        </w:rPr>
        <w:t> </w:t>
      </w:r>
      <w:r w:rsidRPr="00816A48">
        <w:rPr>
          <w:rFonts w:ascii="Times New Roman" w:hAnsi="Times New Roman"/>
          <w:color w:val="000000"/>
          <w:lang w:val="lt-LT"/>
        </w:rPr>
        <w:t>%. Be to, buvo nustatyta, kad atsakas (apibūdinamas ≥ 50</w:t>
      </w:r>
      <w:r w:rsidR="00171B01">
        <w:rPr>
          <w:rFonts w:ascii="Times New Roman" w:hAnsi="Times New Roman"/>
          <w:color w:val="000000"/>
          <w:lang w:val="lt-LT"/>
        </w:rPr>
        <w:t> </w:t>
      </w:r>
      <w:r w:rsidRPr="00816A48">
        <w:rPr>
          <w:rFonts w:ascii="Times New Roman" w:hAnsi="Times New Roman"/>
          <w:color w:val="000000"/>
          <w:lang w:val="lt-LT"/>
        </w:rPr>
        <w:t>% sumažėjimu, palyginti su pradiniu rodmeniu) pasireiškė 64,8</w:t>
      </w:r>
      <w:r w:rsidR="00171B01">
        <w:rPr>
          <w:rFonts w:ascii="Times New Roman" w:hAnsi="Times New Roman"/>
          <w:color w:val="000000"/>
          <w:lang w:val="lt-LT"/>
        </w:rPr>
        <w:t> </w:t>
      </w:r>
      <w:r w:rsidRPr="00816A48">
        <w:rPr>
          <w:rFonts w:ascii="Times New Roman" w:hAnsi="Times New Roman"/>
          <w:color w:val="000000"/>
          <w:lang w:val="lt-LT"/>
        </w:rPr>
        <w:t>% pacienčių, kurioms kas 3 mėnesius buvo suleistos 3 mg dozės, palyginti su 64,9</w:t>
      </w:r>
      <w:r w:rsidR="00171B01">
        <w:rPr>
          <w:rFonts w:ascii="Times New Roman" w:hAnsi="Times New Roman"/>
          <w:color w:val="000000"/>
          <w:lang w:val="lt-LT"/>
        </w:rPr>
        <w:t> </w:t>
      </w:r>
      <w:r w:rsidRPr="00816A48">
        <w:rPr>
          <w:rFonts w:ascii="Times New Roman" w:hAnsi="Times New Roman"/>
          <w:color w:val="000000"/>
          <w:lang w:val="lt-LT"/>
        </w:rPr>
        <w:t>% pacienčių, kurios per burną vartojo 2,5 mg paros dozę. CTX koncentracijų serume sumažėjimas išsilaikė 2 metus ir abiejose grupėse daugiau kaip pusei pacienčių pasireiškė atsakas į gydymą.</w:t>
      </w:r>
    </w:p>
    <w:p w14:paraId="73D14E59" w14:textId="44AA28F1" w:rsidR="007750B7" w:rsidRPr="00816A48" w:rsidRDefault="007750B7" w:rsidP="00604FE8">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Remiantis BM</w:t>
      </w:r>
      <w:r w:rsidR="00171B01">
        <w:rPr>
          <w:rFonts w:ascii="Times New Roman" w:hAnsi="Times New Roman"/>
          <w:color w:val="000000"/>
          <w:lang w:val="lt-LT"/>
        </w:rPr>
        <w:t> </w:t>
      </w:r>
      <w:r w:rsidRPr="00816A48">
        <w:rPr>
          <w:rFonts w:ascii="Times New Roman" w:hAnsi="Times New Roman"/>
          <w:color w:val="000000"/>
          <w:lang w:val="lt-LT"/>
        </w:rPr>
        <w:t>16550 tyrimo duomenimis, tikėtina, kad kas 3 mėnesius į veną suleidžiama 3 mg ibandrono rūgšties dozė apsaugos nuo kaulų lūžių ne blogiau nei gydymas pagal planą 2,5 mg ibandrono rūgšties paros doze per burną.</w:t>
      </w:r>
    </w:p>
    <w:p w14:paraId="3FB7B141" w14:textId="77777777" w:rsidR="007750B7" w:rsidRPr="00816A48" w:rsidRDefault="007750B7" w:rsidP="00242DA5">
      <w:pPr>
        <w:autoSpaceDE w:val="0"/>
        <w:autoSpaceDN w:val="0"/>
        <w:adjustRightInd w:val="0"/>
        <w:spacing w:after="0" w:line="240" w:lineRule="auto"/>
        <w:rPr>
          <w:rFonts w:ascii="Times New Roman" w:hAnsi="Times New Roman"/>
          <w:color w:val="000000"/>
          <w:lang w:val="lt-LT"/>
        </w:rPr>
      </w:pPr>
    </w:p>
    <w:p w14:paraId="0517ED73" w14:textId="77777777" w:rsidR="007750B7" w:rsidRPr="00816A48" w:rsidRDefault="007750B7" w:rsidP="00331125">
      <w:pPr>
        <w:autoSpaceDE w:val="0"/>
        <w:autoSpaceDN w:val="0"/>
        <w:adjustRightInd w:val="0"/>
        <w:spacing w:after="0" w:line="240" w:lineRule="auto"/>
        <w:rPr>
          <w:rFonts w:ascii="Times New Roman" w:hAnsi="Times New Roman"/>
          <w:i/>
          <w:color w:val="000000"/>
          <w:u w:val="single"/>
          <w:lang w:val="lt-LT"/>
        </w:rPr>
      </w:pPr>
      <w:r w:rsidRPr="00816A48">
        <w:rPr>
          <w:rFonts w:ascii="Times New Roman" w:hAnsi="Times New Roman"/>
          <w:i/>
          <w:color w:val="000000"/>
          <w:u w:val="single"/>
          <w:lang w:val="lt-LT"/>
        </w:rPr>
        <w:t>2,5 mg ibandrono rūgšties tablečių paros dozė</w:t>
      </w:r>
    </w:p>
    <w:p w14:paraId="01FCF84C" w14:textId="7C085CD1" w:rsidR="007750B7" w:rsidRPr="00816A48" w:rsidRDefault="007750B7" w:rsidP="00604FE8">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Pradinio trejus metus trukusio atsitiktinių imčių dvigubai aklo placebu kontroliuojamo kaulų lūžių tyrimo (MF</w:t>
      </w:r>
      <w:r w:rsidR="00171B01">
        <w:rPr>
          <w:rFonts w:ascii="Times New Roman" w:hAnsi="Times New Roman"/>
          <w:color w:val="000000"/>
          <w:lang w:val="lt-LT"/>
        </w:rPr>
        <w:t> </w:t>
      </w:r>
      <w:r w:rsidRPr="00816A48">
        <w:rPr>
          <w:rFonts w:ascii="Times New Roman" w:hAnsi="Times New Roman"/>
          <w:color w:val="000000"/>
          <w:lang w:val="lt-LT"/>
        </w:rPr>
        <w:t>4411) duomenimis, nustatytas statistiškai ir kliniškai reikšmingas naujų radiografinių morfometrinių ir simptominių stuburo slankstelių lūžių dažnio sumažėjimas (</w:t>
      </w:r>
      <w:r w:rsidR="0084495E" w:rsidRPr="00816A48">
        <w:rPr>
          <w:rFonts w:ascii="Times New Roman" w:hAnsi="Times New Roman"/>
          <w:color w:val="000000"/>
          <w:lang w:val="lt-LT"/>
        </w:rPr>
        <w:t>3 lentelė</w:t>
      </w:r>
      <w:r w:rsidRPr="00816A48">
        <w:rPr>
          <w:rFonts w:ascii="Times New Roman" w:hAnsi="Times New Roman"/>
          <w:color w:val="000000"/>
          <w:lang w:val="lt-LT"/>
        </w:rPr>
        <w:t>). Šio tyrimo metu buvo įvertinti gydymo planai, pagal kuriuos buvo per burną vartota 2,5 mg ibandrono rūgšties paros dozė arba po 20 mg dozė su pertraukomis (tiriamasis gydymo planas). Pacientės ibandrono rūgšties dozę išgerdavo likus 60 minučių iki pirmojo dienos valgio arba gėrimo (nevalgymo laikas išgėrus dozę). Tyrime dalyvavo 55</w:t>
      </w:r>
      <w:r w:rsidRPr="00816A48">
        <w:rPr>
          <w:rFonts w:ascii="Times New Roman" w:hAnsi="Times New Roman"/>
          <w:color w:val="000000"/>
          <w:lang w:val="lt-LT"/>
        </w:rPr>
        <w:noBreakHyphen/>
        <w:t xml:space="preserve">80 metų moterys (praėjus ne mažiau kaip 5 metams po menopauzės), kurių juosmens slankstelių KMT bent viename slankstelyje (L1-L4) buvo </w:t>
      </w:r>
      <w:r w:rsidR="0084495E" w:rsidRPr="00816A48">
        <w:rPr>
          <w:rFonts w:ascii="Times New Roman" w:hAnsi="Times New Roman"/>
          <w:color w:val="000000"/>
          <w:lang w:val="lt-LT"/>
        </w:rPr>
        <w:t>-</w:t>
      </w:r>
      <w:r w:rsidRPr="00816A48">
        <w:rPr>
          <w:rFonts w:ascii="Times New Roman" w:hAnsi="Times New Roman"/>
          <w:color w:val="000000"/>
          <w:lang w:val="lt-LT"/>
        </w:rPr>
        <w:t>2</w:t>
      </w:r>
      <w:r w:rsidR="0084495E" w:rsidRPr="00816A48">
        <w:rPr>
          <w:rFonts w:ascii="Times New Roman" w:hAnsi="Times New Roman"/>
          <w:color w:val="000000"/>
          <w:lang w:val="lt-LT"/>
        </w:rPr>
        <w:t xml:space="preserve"> iki -</w:t>
      </w:r>
      <w:r w:rsidRPr="00816A48">
        <w:rPr>
          <w:rFonts w:ascii="Times New Roman" w:hAnsi="Times New Roman"/>
          <w:color w:val="000000"/>
          <w:lang w:val="lt-LT"/>
        </w:rPr>
        <w:t>5 SN mažesnis už vidurkį prieš menopauzę (T balas) ir kurios buvo patyrusios nuo vieno iki keturių vyraujančių stuburo slankstelių lūžių. Visos pacientės vartojo po 500 mg kalcio ir 400 TV vitamino</w:t>
      </w:r>
      <w:r w:rsidR="00171B01">
        <w:rPr>
          <w:rFonts w:ascii="Times New Roman" w:hAnsi="Times New Roman"/>
          <w:color w:val="000000"/>
          <w:lang w:val="lt-LT"/>
        </w:rPr>
        <w:t> </w:t>
      </w:r>
      <w:r w:rsidRPr="00816A48">
        <w:rPr>
          <w:rFonts w:ascii="Times New Roman" w:hAnsi="Times New Roman"/>
          <w:color w:val="000000"/>
          <w:lang w:val="lt-LT"/>
        </w:rPr>
        <w:t>D per parą. Veiksmingumas buvo įvertintas, tiriant 2</w:t>
      </w:r>
      <w:r w:rsidR="00171B01">
        <w:rPr>
          <w:rFonts w:ascii="Times New Roman" w:hAnsi="Times New Roman"/>
          <w:color w:val="000000"/>
          <w:lang w:val="lt-LT"/>
        </w:rPr>
        <w:t> </w:t>
      </w:r>
      <w:r w:rsidRPr="00816A48">
        <w:rPr>
          <w:rFonts w:ascii="Times New Roman" w:hAnsi="Times New Roman"/>
          <w:color w:val="000000"/>
          <w:lang w:val="lt-LT"/>
        </w:rPr>
        <w:t>928</w:t>
      </w:r>
      <w:r w:rsidR="00171B01">
        <w:rPr>
          <w:rFonts w:ascii="Times New Roman" w:hAnsi="Times New Roman"/>
          <w:color w:val="000000"/>
          <w:lang w:val="lt-LT"/>
        </w:rPr>
        <w:t> </w:t>
      </w:r>
      <w:r w:rsidRPr="00816A48">
        <w:rPr>
          <w:rFonts w:ascii="Times New Roman" w:hAnsi="Times New Roman"/>
          <w:color w:val="000000"/>
          <w:lang w:val="lt-LT"/>
        </w:rPr>
        <w:t>pacientes. Vartojant 2,5 mg ibandrono rūgšties paros dozę, naujų stuburo slankstelių lūžių atvejai buvo statistiškai ir kliniškai reikšmingai retesni. Šis gydymo planas per trejus metus sumažino naujų radiografinių stuburo slankstelių lūžių dažnį 62</w:t>
      </w:r>
      <w:r w:rsidR="00171B01">
        <w:rPr>
          <w:rFonts w:ascii="Times New Roman" w:hAnsi="Times New Roman"/>
          <w:color w:val="000000"/>
          <w:lang w:val="lt-LT"/>
        </w:rPr>
        <w:t> </w:t>
      </w:r>
      <w:r w:rsidRPr="00816A48">
        <w:rPr>
          <w:rFonts w:ascii="Times New Roman" w:hAnsi="Times New Roman"/>
          <w:color w:val="000000"/>
          <w:lang w:val="lt-LT"/>
        </w:rPr>
        <w:t>% (p = 0,0001). Santykinė rizika po 2</w:t>
      </w:r>
      <w:r w:rsidR="00171B01">
        <w:rPr>
          <w:rFonts w:ascii="Times New Roman" w:hAnsi="Times New Roman"/>
          <w:color w:val="000000"/>
          <w:lang w:val="lt-LT"/>
        </w:rPr>
        <w:t> </w:t>
      </w:r>
      <w:r w:rsidRPr="00816A48">
        <w:rPr>
          <w:rFonts w:ascii="Times New Roman" w:hAnsi="Times New Roman"/>
          <w:color w:val="000000"/>
          <w:lang w:val="lt-LT"/>
        </w:rPr>
        <w:t>metų sumažėjo 61</w:t>
      </w:r>
      <w:r w:rsidR="00171B01">
        <w:rPr>
          <w:rFonts w:ascii="Times New Roman" w:hAnsi="Times New Roman"/>
          <w:color w:val="000000"/>
          <w:lang w:val="lt-LT"/>
        </w:rPr>
        <w:t> </w:t>
      </w:r>
      <w:r w:rsidRPr="00816A48">
        <w:rPr>
          <w:rFonts w:ascii="Times New Roman" w:hAnsi="Times New Roman"/>
          <w:color w:val="000000"/>
          <w:lang w:val="lt-LT"/>
        </w:rPr>
        <w:t>% (p = 0,0006). Po vienerių gydymo metų statistiškai reikšmingo skirtumo nenustatyta (p = 0,056). Įtaka kaulų lūžiams nekito per visą tyrimą. Poveikio silpnėjimo požymių nepastebėta.</w:t>
      </w:r>
    </w:p>
    <w:p w14:paraId="60CE32D4" w14:textId="67DDBF8D" w:rsidR="007750B7" w:rsidRPr="00816A48" w:rsidRDefault="007750B7" w:rsidP="00242DA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Klinikinių stuburo slankstelių lūžių dažnis po trejų metų irgi reikšmingai sumažėjo 49</w:t>
      </w:r>
      <w:r w:rsidR="00171B01">
        <w:rPr>
          <w:rFonts w:ascii="Times New Roman" w:hAnsi="Times New Roman"/>
          <w:color w:val="000000"/>
          <w:lang w:val="lt-LT"/>
        </w:rPr>
        <w:t> </w:t>
      </w:r>
      <w:r w:rsidRPr="00816A48">
        <w:rPr>
          <w:rFonts w:ascii="Times New Roman" w:hAnsi="Times New Roman"/>
          <w:color w:val="000000"/>
          <w:lang w:val="lt-LT"/>
        </w:rPr>
        <w:t>% (p = 0,011). Be to, didelę įtaką stuburo slankstelių lūžiams rodo ir statistiškai reikšmingas pacienčių ūgio mažėjimo sulėtėjimas, palyginti su placebu (p &lt; 0,0001).</w:t>
      </w:r>
    </w:p>
    <w:p w14:paraId="6180EA33" w14:textId="77777777" w:rsidR="007750B7" w:rsidRPr="00816A48" w:rsidRDefault="007750B7" w:rsidP="00331125">
      <w:pPr>
        <w:autoSpaceDE w:val="0"/>
        <w:autoSpaceDN w:val="0"/>
        <w:adjustRightInd w:val="0"/>
        <w:spacing w:after="0" w:line="240" w:lineRule="auto"/>
        <w:rPr>
          <w:rFonts w:ascii="Times New Roman" w:hAnsi="Times New Roman"/>
          <w:color w:val="000000"/>
          <w:lang w:val="lt-LT"/>
        </w:rPr>
      </w:pPr>
    </w:p>
    <w:p w14:paraId="29A588AF" w14:textId="472BCD73" w:rsidR="007750B7" w:rsidRPr="00816A48" w:rsidRDefault="0084495E" w:rsidP="0084495E">
      <w:pPr>
        <w:keepNext/>
        <w:tabs>
          <w:tab w:val="left" w:pos="567"/>
        </w:tabs>
        <w:spacing w:after="0" w:line="240" w:lineRule="auto"/>
        <w:rPr>
          <w:rFonts w:ascii="Times New Roman" w:hAnsi="Times New Roman"/>
          <w:color w:val="000000"/>
          <w:lang w:val="lt-LT"/>
        </w:rPr>
      </w:pPr>
      <w:r w:rsidRPr="00816A48">
        <w:rPr>
          <w:rFonts w:ascii="Times New Roman" w:hAnsi="Times New Roman"/>
          <w:color w:val="000000"/>
          <w:lang w:val="lt-LT"/>
        </w:rPr>
        <w:t>3 lentelė</w:t>
      </w:r>
      <w:r w:rsidR="007750B7" w:rsidRPr="00816A48">
        <w:rPr>
          <w:rFonts w:ascii="Times New Roman" w:hAnsi="Times New Roman"/>
          <w:color w:val="000000"/>
          <w:lang w:val="lt-LT"/>
        </w:rPr>
        <w:t>. Trejus metus trukusio MF</w:t>
      </w:r>
      <w:r w:rsidR="00171B01">
        <w:rPr>
          <w:rFonts w:ascii="Times New Roman" w:hAnsi="Times New Roman"/>
          <w:color w:val="000000"/>
          <w:lang w:val="lt-LT"/>
        </w:rPr>
        <w:t> </w:t>
      </w:r>
      <w:r w:rsidR="007750B7" w:rsidRPr="00816A48">
        <w:rPr>
          <w:rFonts w:ascii="Times New Roman" w:hAnsi="Times New Roman"/>
          <w:color w:val="000000"/>
          <w:lang w:val="lt-LT"/>
        </w:rPr>
        <w:t>4411 lūžių tyrimo duomenys (%, 95</w:t>
      </w:r>
      <w:r w:rsidR="00171B01">
        <w:rPr>
          <w:rFonts w:ascii="Times New Roman" w:hAnsi="Times New Roman"/>
          <w:color w:val="000000"/>
          <w:lang w:val="lt-LT"/>
        </w:rPr>
        <w:t> </w:t>
      </w:r>
      <w:r w:rsidR="007750B7" w:rsidRPr="00816A48">
        <w:rPr>
          <w:rFonts w:ascii="Times New Roman" w:hAnsi="Times New Roman"/>
          <w:color w:val="000000"/>
          <w:lang w:val="lt-LT"/>
        </w:rPr>
        <w:t>% PI)</w:t>
      </w:r>
    </w:p>
    <w:tbl>
      <w:tblPr>
        <w:tblW w:w="8096" w:type="dxa"/>
        <w:tblInd w:w="108" w:type="dxa"/>
        <w:tblLayout w:type="fixed"/>
        <w:tblLook w:val="0000" w:firstRow="0" w:lastRow="0" w:firstColumn="0" w:lastColumn="0" w:noHBand="0" w:noVBand="0"/>
      </w:tblPr>
      <w:tblGrid>
        <w:gridCol w:w="4140"/>
        <w:gridCol w:w="1976"/>
        <w:gridCol w:w="1980"/>
      </w:tblGrid>
      <w:tr w:rsidR="007750B7" w:rsidRPr="00F55F27" w14:paraId="1FECB195" w14:textId="77777777">
        <w:trPr>
          <w:trHeight w:val="541"/>
        </w:trPr>
        <w:tc>
          <w:tcPr>
            <w:tcW w:w="4140" w:type="dxa"/>
            <w:tcBorders>
              <w:top w:val="single" w:sz="8" w:space="0" w:color="000000"/>
              <w:left w:val="single" w:sz="8" w:space="0" w:color="000000"/>
              <w:bottom w:val="single" w:sz="8" w:space="0" w:color="000000"/>
              <w:right w:val="single" w:sz="8" w:space="0" w:color="000000"/>
            </w:tcBorders>
          </w:tcPr>
          <w:p w14:paraId="4E797977" w14:textId="77777777" w:rsidR="007750B7" w:rsidRPr="00816A48" w:rsidRDefault="007750B7" w:rsidP="00604FE8">
            <w:pPr>
              <w:autoSpaceDE w:val="0"/>
              <w:autoSpaceDN w:val="0"/>
              <w:adjustRightInd w:val="0"/>
              <w:spacing w:after="0" w:line="240" w:lineRule="auto"/>
              <w:rPr>
                <w:rFonts w:ascii="Times New Roman" w:hAnsi="Times New Roman"/>
                <w:color w:val="000000"/>
                <w:lang w:val="lt-LT"/>
              </w:rPr>
            </w:pPr>
          </w:p>
        </w:tc>
        <w:tc>
          <w:tcPr>
            <w:tcW w:w="1976" w:type="dxa"/>
            <w:tcBorders>
              <w:top w:val="single" w:sz="8" w:space="0" w:color="000000"/>
              <w:left w:val="single" w:sz="8" w:space="0" w:color="000000"/>
              <w:bottom w:val="single" w:sz="8" w:space="0" w:color="000000"/>
              <w:right w:val="single" w:sz="8" w:space="0" w:color="000000"/>
            </w:tcBorders>
          </w:tcPr>
          <w:p w14:paraId="2535A68B" w14:textId="77777777" w:rsidR="007750B7" w:rsidRPr="00816A48" w:rsidRDefault="007750B7" w:rsidP="00242DA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Placebas</w:t>
            </w:r>
          </w:p>
          <w:p w14:paraId="1642F3F2" w14:textId="77777777" w:rsidR="007750B7" w:rsidRPr="00816A48" w:rsidRDefault="007750B7" w:rsidP="00331125">
            <w:pPr>
              <w:autoSpaceDE w:val="0"/>
              <w:autoSpaceDN w:val="0"/>
              <w:adjustRightInd w:val="0"/>
              <w:spacing w:after="0" w:line="240" w:lineRule="auto"/>
              <w:jc w:val="center"/>
              <w:rPr>
                <w:rFonts w:ascii="Times New Roman" w:hAnsi="Times New Roman"/>
                <w:color w:val="000000"/>
                <w:lang w:val="lt-LT"/>
              </w:rPr>
            </w:pPr>
          </w:p>
          <w:p w14:paraId="21954F67" w14:textId="77777777" w:rsidR="007750B7" w:rsidRPr="00816A48" w:rsidRDefault="007750B7" w:rsidP="00DA1B4A">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(n=974)</w:t>
            </w:r>
          </w:p>
        </w:tc>
        <w:tc>
          <w:tcPr>
            <w:tcW w:w="1980" w:type="dxa"/>
            <w:tcBorders>
              <w:top w:val="single" w:sz="8" w:space="0" w:color="000000"/>
              <w:left w:val="single" w:sz="8" w:space="0" w:color="000000"/>
              <w:bottom w:val="single" w:sz="8" w:space="0" w:color="000000"/>
              <w:right w:val="single" w:sz="8" w:space="0" w:color="000000"/>
            </w:tcBorders>
          </w:tcPr>
          <w:p w14:paraId="7813D6A4" w14:textId="77777777" w:rsidR="007750B7" w:rsidRPr="00816A48" w:rsidRDefault="007750B7" w:rsidP="00735AD3">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2,5 mg ibandrono rūgšties paros dozė</w:t>
            </w:r>
          </w:p>
          <w:p w14:paraId="2C1E4292" w14:textId="77777777" w:rsidR="007750B7" w:rsidRPr="00816A48" w:rsidRDefault="007750B7" w:rsidP="000F0A27">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(n=977)</w:t>
            </w:r>
          </w:p>
        </w:tc>
      </w:tr>
      <w:tr w:rsidR="007750B7" w:rsidRPr="00816A48" w14:paraId="60AF257F" w14:textId="77777777">
        <w:trPr>
          <w:trHeight w:val="541"/>
        </w:trPr>
        <w:tc>
          <w:tcPr>
            <w:tcW w:w="4140" w:type="dxa"/>
            <w:tcBorders>
              <w:top w:val="single" w:sz="8" w:space="0" w:color="000000"/>
              <w:left w:val="single" w:sz="8" w:space="0" w:color="000000"/>
              <w:bottom w:val="single" w:sz="8" w:space="0" w:color="000000"/>
              <w:right w:val="single" w:sz="8" w:space="0" w:color="000000"/>
            </w:tcBorders>
          </w:tcPr>
          <w:p w14:paraId="56657319"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Santykinės rizikos sumažėjimas</w:t>
            </w:r>
          </w:p>
          <w:p w14:paraId="0CFD7B59" w14:textId="77777777" w:rsidR="007750B7" w:rsidRPr="00816A48" w:rsidRDefault="007750B7" w:rsidP="00D42B82">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Nauji morfometriniai stuburo slankstelių lūžiai</w:t>
            </w:r>
          </w:p>
        </w:tc>
        <w:tc>
          <w:tcPr>
            <w:tcW w:w="1976" w:type="dxa"/>
            <w:tcBorders>
              <w:top w:val="single" w:sz="8" w:space="0" w:color="000000"/>
              <w:left w:val="single" w:sz="8" w:space="0" w:color="000000"/>
              <w:bottom w:val="single" w:sz="8" w:space="0" w:color="000000"/>
              <w:right w:val="single" w:sz="8" w:space="0" w:color="000000"/>
            </w:tcBorders>
          </w:tcPr>
          <w:p w14:paraId="7371C312" w14:textId="77777777"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p>
        </w:tc>
        <w:tc>
          <w:tcPr>
            <w:tcW w:w="1980" w:type="dxa"/>
            <w:tcBorders>
              <w:top w:val="single" w:sz="8" w:space="0" w:color="000000"/>
              <w:left w:val="single" w:sz="8" w:space="0" w:color="000000"/>
              <w:bottom w:val="single" w:sz="8" w:space="0" w:color="000000"/>
              <w:right w:val="single" w:sz="8" w:space="0" w:color="000000"/>
            </w:tcBorders>
          </w:tcPr>
          <w:p w14:paraId="6E557D27" w14:textId="5C2B5565" w:rsidR="007750B7" w:rsidRPr="00816A48" w:rsidRDefault="007750B7" w:rsidP="00720F9C">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62</w:t>
            </w:r>
            <w:r w:rsidR="00171B01">
              <w:rPr>
                <w:rFonts w:ascii="Times New Roman" w:hAnsi="Times New Roman"/>
                <w:color w:val="000000"/>
                <w:lang w:val="lt-LT"/>
              </w:rPr>
              <w:t> </w:t>
            </w:r>
            <w:r w:rsidRPr="00816A48">
              <w:rPr>
                <w:rFonts w:ascii="Times New Roman" w:hAnsi="Times New Roman"/>
                <w:color w:val="000000"/>
                <w:lang w:val="lt-LT"/>
              </w:rPr>
              <w:t>% (40,9, 75,1)</w:t>
            </w:r>
          </w:p>
        </w:tc>
      </w:tr>
      <w:tr w:rsidR="007750B7" w:rsidRPr="00816A48" w14:paraId="37A94132" w14:textId="77777777">
        <w:trPr>
          <w:trHeight w:val="541"/>
        </w:trPr>
        <w:tc>
          <w:tcPr>
            <w:tcW w:w="4140" w:type="dxa"/>
            <w:tcBorders>
              <w:top w:val="single" w:sz="8" w:space="0" w:color="000000"/>
              <w:left w:val="single" w:sz="8" w:space="0" w:color="000000"/>
              <w:bottom w:val="single" w:sz="8" w:space="0" w:color="000000"/>
              <w:right w:val="single" w:sz="8" w:space="0" w:color="000000"/>
            </w:tcBorders>
          </w:tcPr>
          <w:p w14:paraId="3A3E5B5E"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Naujų morfometrinių stuburo slankstelių lūžių dažnis</w:t>
            </w:r>
          </w:p>
        </w:tc>
        <w:tc>
          <w:tcPr>
            <w:tcW w:w="1976" w:type="dxa"/>
            <w:tcBorders>
              <w:top w:val="single" w:sz="8" w:space="0" w:color="000000"/>
              <w:left w:val="single" w:sz="8" w:space="0" w:color="000000"/>
              <w:bottom w:val="single" w:sz="8" w:space="0" w:color="000000"/>
              <w:right w:val="single" w:sz="8" w:space="0" w:color="000000"/>
            </w:tcBorders>
          </w:tcPr>
          <w:p w14:paraId="05440403" w14:textId="27CE160B" w:rsidR="007750B7" w:rsidRPr="00816A48" w:rsidRDefault="007750B7" w:rsidP="00D42B82">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9,56</w:t>
            </w:r>
            <w:r w:rsidR="00171B01">
              <w:rPr>
                <w:rFonts w:ascii="Times New Roman" w:hAnsi="Times New Roman"/>
                <w:color w:val="000000"/>
                <w:lang w:val="lt-LT"/>
              </w:rPr>
              <w:t> </w:t>
            </w:r>
            <w:r w:rsidRPr="00816A48">
              <w:rPr>
                <w:rFonts w:ascii="Times New Roman" w:hAnsi="Times New Roman"/>
                <w:color w:val="000000"/>
                <w:lang w:val="lt-LT"/>
              </w:rPr>
              <w:t>% (7,5, 11,7)</w:t>
            </w:r>
          </w:p>
        </w:tc>
        <w:tc>
          <w:tcPr>
            <w:tcW w:w="1980" w:type="dxa"/>
            <w:tcBorders>
              <w:top w:val="single" w:sz="8" w:space="0" w:color="000000"/>
              <w:left w:val="single" w:sz="8" w:space="0" w:color="000000"/>
              <w:bottom w:val="single" w:sz="8" w:space="0" w:color="000000"/>
              <w:right w:val="single" w:sz="8" w:space="0" w:color="000000"/>
            </w:tcBorders>
          </w:tcPr>
          <w:p w14:paraId="1D5A98EB" w14:textId="402D922C"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4,68</w:t>
            </w:r>
            <w:r w:rsidR="00171B01">
              <w:rPr>
                <w:rFonts w:ascii="Times New Roman" w:hAnsi="Times New Roman"/>
                <w:color w:val="000000"/>
                <w:lang w:val="lt-LT"/>
              </w:rPr>
              <w:t> </w:t>
            </w:r>
            <w:r w:rsidRPr="00816A48">
              <w:rPr>
                <w:rFonts w:ascii="Times New Roman" w:hAnsi="Times New Roman"/>
                <w:color w:val="000000"/>
                <w:lang w:val="lt-LT"/>
              </w:rPr>
              <w:t>% (3,2, 6,2)</w:t>
            </w:r>
          </w:p>
        </w:tc>
      </w:tr>
      <w:tr w:rsidR="007750B7" w:rsidRPr="00816A48" w14:paraId="3A89890B" w14:textId="77777777">
        <w:trPr>
          <w:trHeight w:val="541"/>
        </w:trPr>
        <w:tc>
          <w:tcPr>
            <w:tcW w:w="4140" w:type="dxa"/>
            <w:tcBorders>
              <w:top w:val="single" w:sz="8" w:space="0" w:color="000000"/>
              <w:left w:val="single" w:sz="8" w:space="0" w:color="000000"/>
              <w:bottom w:val="single" w:sz="8" w:space="0" w:color="000000"/>
              <w:right w:val="single" w:sz="8" w:space="0" w:color="000000"/>
            </w:tcBorders>
          </w:tcPr>
          <w:p w14:paraId="7336DC20"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Klinikinių stuburo slankstelių lūžių atvejų santykinės rizikos sumažėjimas</w:t>
            </w:r>
          </w:p>
        </w:tc>
        <w:tc>
          <w:tcPr>
            <w:tcW w:w="1976" w:type="dxa"/>
            <w:tcBorders>
              <w:top w:val="single" w:sz="8" w:space="0" w:color="000000"/>
              <w:left w:val="single" w:sz="8" w:space="0" w:color="000000"/>
              <w:bottom w:val="single" w:sz="8" w:space="0" w:color="000000"/>
              <w:right w:val="single" w:sz="8" w:space="0" w:color="000000"/>
            </w:tcBorders>
          </w:tcPr>
          <w:p w14:paraId="1AA7A3F9" w14:textId="77777777"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p>
        </w:tc>
        <w:tc>
          <w:tcPr>
            <w:tcW w:w="1980" w:type="dxa"/>
            <w:tcBorders>
              <w:top w:val="single" w:sz="8" w:space="0" w:color="000000"/>
              <w:left w:val="single" w:sz="8" w:space="0" w:color="000000"/>
              <w:bottom w:val="single" w:sz="8" w:space="0" w:color="000000"/>
              <w:right w:val="single" w:sz="8" w:space="0" w:color="000000"/>
            </w:tcBorders>
          </w:tcPr>
          <w:p w14:paraId="2C4A541C" w14:textId="607CE205" w:rsidR="007750B7" w:rsidRPr="00816A48" w:rsidRDefault="007750B7" w:rsidP="00720F9C">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49</w:t>
            </w:r>
            <w:r w:rsidR="00171B01">
              <w:rPr>
                <w:rFonts w:ascii="Times New Roman" w:hAnsi="Times New Roman"/>
                <w:color w:val="000000"/>
                <w:lang w:val="lt-LT"/>
              </w:rPr>
              <w:t> </w:t>
            </w:r>
            <w:r w:rsidRPr="00816A48">
              <w:rPr>
                <w:rFonts w:ascii="Times New Roman" w:hAnsi="Times New Roman"/>
                <w:color w:val="000000"/>
                <w:lang w:val="lt-LT"/>
              </w:rPr>
              <w:t>% (14,03, 69,49)</w:t>
            </w:r>
          </w:p>
        </w:tc>
      </w:tr>
      <w:tr w:rsidR="007750B7" w:rsidRPr="00816A48" w14:paraId="2505D8D5" w14:textId="77777777">
        <w:trPr>
          <w:trHeight w:val="541"/>
        </w:trPr>
        <w:tc>
          <w:tcPr>
            <w:tcW w:w="4140" w:type="dxa"/>
            <w:tcBorders>
              <w:top w:val="single" w:sz="8" w:space="0" w:color="000000"/>
              <w:left w:val="single" w:sz="8" w:space="0" w:color="000000"/>
              <w:bottom w:val="single" w:sz="8" w:space="0" w:color="000000"/>
              <w:right w:val="single" w:sz="8" w:space="0" w:color="000000"/>
            </w:tcBorders>
          </w:tcPr>
          <w:p w14:paraId="495B40CA"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Klinikinių stuburo slankstelių lūžių atvejų dažnis</w:t>
            </w:r>
          </w:p>
        </w:tc>
        <w:tc>
          <w:tcPr>
            <w:tcW w:w="1976" w:type="dxa"/>
            <w:tcBorders>
              <w:top w:val="single" w:sz="8" w:space="0" w:color="000000"/>
              <w:left w:val="single" w:sz="8" w:space="0" w:color="000000"/>
              <w:bottom w:val="single" w:sz="8" w:space="0" w:color="000000"/>
              <w:right w:val="single" w:sz="8" w:space="0" w:color="000000"/>
            </w:tcBorders>
          </w:tcPr>
          <w:p w14:paraId="4CD15E66" w14:textId="053E0783" w:rsidR="007750B7" w:rsidRPr="00816A48" w:rsidRDefault="007750B7" w:rsidP="00D42B82">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5,33</w:t>
            </w:r>
            <w:r w:rsidR="00171B01">
              <w:rPr>
                <w:rFonts w:ascii="Times New Roman" w:hAnsi="Times New Roman"/>
                <w:color w:val="000000"/>
                <w:lang w:val="lt-LT"/>
              </w:rPr>
              <w:t> </w:t>
            </w:r>
            <w:r w:rsidRPr="00816A48">
              <w:rPr>
                <w:rFonts w:ascii="Times New Roman" w:hAnsi="Times New Roman"/>
                <w:color w:val="000000"/>
                <w:lang w:val="lt-LT"/>
              </w:rPr>
              <w:t>% (3,73, 6,92)</w:t>
            </w:r>
          </w:p>
        </w:tc>
        <w:tc>
          <w:tcPr>
            <w:tcW w:w="1980" w:type="dxa"/>
            <w:tcBorders>
              <w:top w:val="single" w:sz="8" w:space="0" w:color="000000"/>
              <w:left w:val="single" w:sz="8" w:space="0" w:color="000000"/>
              <w:bottom w:val="single" w:sz="8" w:space="0" w:color="000000"/>
              <w:right w:val="single" w:sz="8" w:space="0" w:color="000000"/>
            </w:tcBorders>
          </w:tcPr>
          <w:p w14:paraId="171F40CE" w14:textId="2A1462E0"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2,75</w:t>
            </w:r>
            <w:r w:rsidR="00171B01">
              <w:rPr>
                <w:rFonts w:ascii="Times New Roman" w:hAnsi="Times New Roman"/>
                <w:color w:val="000000"/>
                <w:lang w:val="lt-LT"/>
              </w:rPr>
              <w:t> </w:t>
            </w:r>
            <w:r w:rsidRPr="00816A48">
              <w:rPr>
                <w:rFonts w:ascii="Times New Roman" w:hAnsi="Times New Roman"/>
                <w:color w:val="000000"/>
                <w:lang w:val="lt-LT"/>
              </w:rPr>
              <w:t>% (1,61, 3,89)</w:t>
            </w:r>
          </w:p>
        </w:tc>
      </w:tr>
      <w:tr w:rsidR="007750B7" w:rsidRPr="00816A48" w14:paraId="645C631C" w14:textId="77777777">
        <w:trPr>
          <w:trHeight w:val="541"/>
        </w:trPr>
        <w:tc>
          <w:tcPr>
            <w:tcW w:w="4140" w:type="dxa"/>
            <w:tcBorders>
              <w:top w:val="single" w:sz="8" w:space="0" w:color="000000"/>
              <w:left w:val="single" w:sz="8" w:space="0" w:color="000000"/>
              <w:bottom w:val="single" w:sz="8" w:space="0" w:color="000000"/>
              <w:right w:val="single" w:sz="8" w:space="0" w:color="000000"/>
            </w:tcBorders>
          </w:tcPr>
          <w:p w14:paraId="6C5C2D7B"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KMT – vidutinis juosmens slankstelių rodmens pokytis 3-čiais metais, palyginti su pradiniu</w:t>
            </w:r>
          </w:p>
        </w:tc>
        <w:tc>
          <w:tcPr>
            <w:tcW w:w="1976" w:type="dxa"/>
            <w:tcBorders>
              <w:top w:val="single" w:sz="8" w:space="0" w:color="000000"/>
              <w:left w:val="single" w:sz="8" w:space="0" w:color="000000"/>
              <w:bottom w:val="single" w:sz="8" w:space="0" w:color="000000"/>
              <w:right w:val="single" w:sz="8" w:space="0" w:color="000000"/>
            </w:tcBorders>
          </w:tcPr>
          <w:p w14:paraId="2749BA2D" w14:textId="5D7A36E0" w:rsidR="007750B7" w:rsidRPr="00816A48" w:rsidRDefault="007750B7" w:rsidP="00D42B82">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1,26</w:t>
            </w:r>
            <w:r w:rsidR="00171B01">
              <w:rPr>
                <w:rFonts w:ascii="Times New Roman" w:hAnsi="Times New Roman"/>
                <w:color w:val="000000"/>
                <w:lang w:val="lt-LT"/>
              </w:rPr>
              <w:t> </w:t>
            </w:r>
            <w:r w:rsidRPr="00816A48">
              <w:rPr>
                <w:rFonts w:ascii="Times New Roman" w:hAnsi="Times New Roman"/>
                <w:color w:val="000000"/>
                <w:lang w:val="lt-LT"/>
              </w:rPr>
              <w:t>% (0,8, 1,7)</w:t>
            </w:r>
          </w:p>
        </w:tc>
        <w:tc>
          <w:tcPr>
            <w:tcW w:w="1980" w:type="dxa"/>
            <w:tcBorders>
              <w:top w:val="single" w:sz="8" w:space="0" w:color="000000"/>
              <w:left w:val="single" w:sz="8" w:space="0" w:color="000000"/>
              <w:bottom w:val="single" w:sz="8" w:space="0" w:color="000000"/>
              <w:right w:val="single" w:sz="8" w:space="0" w:color="000000"/>
            </w:tcBorders>
          </w:tcPr>
          <w:p w14:paraId="527818CD" w14:textId="734050D7"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6,54</w:t>
            </w:r>
            <w:r w:rsidR="00171B01">
              <w:rPr>
                <w:rFonts w:ascii="Times New Roman" w:hAnsi="Times New Roman"/>
                <w:color w:val="000000"/>
                <w:lang w:val="lt-LT"/>
              </w:rPr>
              <w:t> </w:t>
            </w:r>
            <w:r w:rsidRPr="00816A48">
              <w:rPr>
                <w:rFonts w:ascii="Times New Roman" w:hAnsi="Times New Roman"/>
                <w:color w:val="000000"/>
                <w:lang w:val="lt-LT"/>
              </w:rPr>
              <w:t>% (6,1, 7,0)</w:t>
            </w:r>
          </w:p>
        </w:tc>
      </w:tr>
      <w:tr w:rsidR="007750B7" w:rsidRPr="00816A48" w14:paraId="3589A126" w14:textId="77777777">
        <w:trPr>
          <w:trHeight w:val="541"/>
        </w:trPr>
        <w:tc>
          <w:tcPr>
            <w:tcW w:w="4140" w:type="dxa"/>
            <w:tcBorders>
              <w:top w:val="single" w:sz="8" w:space="0" w:color="000000"/>
              <w:left w:val="single" w:sz="8" w:space="0" w:color="000000"/>
              <w:bottom w:val="single" w:sz="8" w:space="0" w:color="000000"/>
              <w:right w:val="single" w:sz="8" w:space="0" w:color="000000"/>
            </w:tcBorders>
          </w:tcPr>
          <w:p w14:paraId="475325ED"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KMT – vidutinis visų klubo kaulų rodmens pokytis 3-čiais metais, palyginti su pradiniu</w:t>
            </w:r>
          </w:p>
        </w:tc>
        <w:tc>
          <w:tcPr>
            <w:tcW w:w="1976" w:type="dxa"/>
            <w:tcBorders>
              <w:top w:val="single" w:sz="8" w:space="0" w:color="000000"/>
              <w:left w:val="single" w:sz="8" w:space="0" w:color="000000"/>
              <w:bottom w:val="single" w:sz="8" w:space="0" w:color="000000"/>
              <w:right w:val="single" w:sz="8" w:space="0" w:color="000000"/>
            </w:tcBorders>
          </w:tcPr>
          <w:p w14:paraId="5BE2DF7F" w14:textId="28231AE1" w:rsidR="007750B7" w:rsidRPr="00816A48" w:rsidRDefault="007750B7" w:rsidP="00D42B82">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-0,69</w:t>
            </w:r>
            <w:r w:rsidR="00171B01">
              <w:rPr>
                <w:rFonts w:ascii="Times New Roman" w:hAnsi="Times New Roman"/>
                <w:color w:val="000000"/>
                <w:lang w:val="lt-LT"/>
              </w:rPr>
              <w:t> </w:t>
            </w:r>
            <w:r w:rsidRPr="00816A48">
              <w:rPr>
                <w:rFonts w:ascii="Times New Roman" w:hAnsi="Times New Roman"/>
                <w:color w:val="000000"/>
                <w:lang w:val="lt-LT"/>
              </w:rPr>
              <w:t>% (-1,0, -0,4)</w:t>
            </w:r>
          </w:p>
        </w:tc>
        <w:tc>
          <w:tcPr>
            <w:tcW w:w="1980" w:type="dxa"/>
            <w:tcBorders>
              <w:top w:val="single" w:sz="8" w:space="0" w:color="000000"/>
              <w:left w:val="single" w:sz="8" w:space="0" w:color="000000"/>
              <w:bottom w:val="single" w:sz="8" w:space="0" w:color="000000"/>
              <w:right w:val="single" w:sz="8" w:space="0" w:color="000000"/>
            </w:tcBorders>
          </w:tcPr>
          <w:p w14:paraId="29A4E248" w14:textId="6EA730C7"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3,36</w:t>
            </w:r>
            <w:r w:rsidR="00171B01">
              <w:rPr>
                <w:rFonts w:ascii="Times New Roman" w:hAnsi="Times New Roman"/>
                <w:color w:val="000000"/>
                <w:lang w:val="lt-LT"/>
              </w:rPr>
              <w:t> </w:t>
            </w:r>
            <w:r w:rsidRPr="00816A48">
              <w:rPr>
                <w:rFonts w:ascii="Times New Roman" w:hAnsi="Times New Roman"/>
                <w:color w:val="000000"/>
                <w:lang w:val="lt-LT"/>
              </w:rPr>
              <w:t>% (3,0, 3,7)</w:t>
            </w:r>
          </w:p>
        </w:tc>
      </w:tr>
    </w:tbl>
    <w:p w14:paraId="7BF80318"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p>
    <w:p w14:paraId="749BBD2E"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Gydomasis ibandrono rūgšties poveikis buvo įvertintas papildomai analizuojant pogrupį pacienčių, kurių pradinis juosmens slankstelių KMT T balas buvo mažesnis kaip -2,5 (</w:t>
      </w:r>
      <w:r w:rsidR="0084495E" w:rsidRPr="00816A48">
        <w:rPr>
          <w:rFonts w:ascii="Times New Roman" w:hAnsi="Times New Roman"/>
          <w:color w:val="000000"/>
          <w:lang w:val="lt-LT"/>
        </w:rPr>
        <w:t>4 lentelė</w:t>
      </w:r>
      <w:r w:rsidRPr="00816A48">
        <w:rPr>
          <w:rFonts w:ascii="Times New Roman" w:hAnsi="Times New Roman"/>
          <w:color w:val="000000"/>
          <w:lang w:val="lt-LT"/>
        </w:rPr>
        <w:t>). Stuburo slankstelių lūžių rizikos sumažėjimas buvo panašus į visos populiacijos.</w:t>
      </w:r>
    </w:p>
    <w:p w14:paraId="15B58B85" w14:textId="77777777" w:rsidR="007750B7" w:rsidRPr="00816A48" w:rsidRDefault="007750B7" w:rsidP="005F68E5">
      <w:pPr>
        <w:autoSpaceDE w:val="0"/>
        <w:autoSpaceDN w:val="0"/>
        <w:adjustRightInd w:val="0"/>
        <w:spacing w:after="0" w:line="240" w:lineRule="auto"/>
        <w:rPr>
          <w:rFonts w:ascii="Times New Roman" w:hAnsi="Times New Roman"/>
          <w:color w:val="000000"/>
          <w:lang w:val="lt-LT"/>
        </w:rPr>
      </w:pPr>
    </w:p>
    <w:p w14:paraId="70B61FE4" w14:textId="767581E0" w:rsidR="007750B7" w:rsidRPr="00816A48" w:rsidRDefault="0084495E" w:rsidP="005F68E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4 lentelė</w:t>
      </w:r>
      <w:r w:rsidR="007750B7" w:rsidRPr="00816A48">
        <w:rPr>
          <w:rFonts w:ascii="Times New Roman" w:hAnsi="Times New Roman"/>
          <w:color w:val="000000"/>
          <w:lang w:val="lt-LT"/>
        </w:rPr>
        <w:t>. Trejus metus trukusio MF</w:t>
      </w:r>
      <w:r w:rsidR="00701E42" w:rsidRPr="00816A48">
        <w:rPr>
          <w:rFonts w:ascii="Times New Roman" w:hAnsi="Times New Roman"/>
          <w:color w:val="000000"/>
          <w:lang w:val="lt-LT"/>
        </w:rPr>
        <w:t> </w:t>
      </w:r>
      <w:r w:rsidR="007750B7" w:rsidRPr="00816A48">
        <w:rPr>
          <w:rFonts w:ascii="Times New Roman" w:hAnsi="Times New Roman"/>
          <w:color w:val="000000"/>
          <w:lang w:val="lt-LT"/>
        </w:rPr>
        <w:t>4411 lūžių tyrimo duomenys (%, 95</w:t>
      </w:r>
      <w:r w:rsidR="00171B01">
        <w:rPr>
          <w:rFonts w:ascii="Times New Roman" w:hAnsi="Times New Roman"/>
          <w:color w:val="000000"/>
          <w:lang w:val="lt-LT"/>
        </w:rPr>
        <w:t> </w:t>
      </w:r>
      <w:r w:rsidR="007750B7" w:rsidRPr="00816A48">
        <w:rPr>
          <w:rFonts w:ascii="Times New Roman" w:hAnsi="Times New Roman"/>
          <w:color w:val="000000"/>
          <w:lang w:val="lt-LT"/>
        </w:rPr>
        <w:t>% PI) apie pacientes, kurių pradinis juosmens slankstelių KMT T balas buvo mažesnis kaip -2,5.</w:t>
      </w:r>
    </w:p>
    <w:tbl>
      <w:tblPr>
        <w:tblW w:w="8100" w:type="dxa"/>
        <w:tblInd w:w="108" w:type="dxa"/>
        <w:tblLayout w:type="fixed"/>
        <w:tblLook w:val="0000" w:firstRow="0" w:lastRow="0" w:firstColumn="0" w:lastColumn="0" w:noHBand="0" w:noVBand="0"/>
      </w:tblPr>
      <w:tblGrid>
        <w:gridCol w:w="4140"/>
        <w:gridCol w:w="1980"/>
        <w:gridCol w:w="1980"/>
      </w:tblGrid>
      <w:tr w:rsidR="007750B7" w:rsidRPr="00F55F27" w14:paraId="3E00D8F5" w14:textId="77777777">
        <w:trPr>
          <w:trHeight w:val="541"/>
        </w:trPr>
        <w:tc>
          <w:tcPr>
            <w:tcW w:w="4140" w:type="dxa"/>
            <w:tcBorders>
              <w:top w:val="single" w:sz="8" w:space="0" w:color="000000"/>
              <w:left w:val="single" w:sz="8" w:space="0" w:color="000000"/>
              <w:bottom w:val="single" w:sz="8" w:space="0" w:color="000000"/>
              <w:right w:val="single" w:sz="8" w:space="0" w:color="000000"/>
            </w:tcBorders>
          </w:tcPr>
          <w:p w14:paraId="15F25EF9" w14:textId="77777777" w:rsidR="007750B7" w:rsidRPr="00816A48" w:rsidRDefault="007750B7" w:rsidP="00720F9C">
            <w:pPr>
              <w:autoSpaceDE w:val="0"/>
              <w:autoSpaceDN w:val="0"/>
              <w:adjustRightInd w:val="0"/>
              <w:spacing w:after="0" w:line="240" w:lineRule="auto"/>
              <w:rPr>
                <w:rFonts w:ascii="Times New Roman" w:hAnsi="Times New Roman"/>
                <w:color w:val="000000"/>
                <w:lang w:val="lt-LT"/>
              </w:rPr>
            </w:pPr>
          </w:p>
        </w:tc>
        <w:tc>
          <w:tcPr>
            <w:tcW w:w="1980" w:type="dxa"/>
            <w:tcBorders>
              <w:top w:val="single" w:sz="8" w:space="0" w:color="000000"/>
              <w:left w:val="single" w:sz="8" w:space="0" w:color="000000"/>
              <w:bottom w:val="single" w:sz="8" w:space="0" w:color="000000"/>
              <w:right w:val="single" w:sz="8" w:space="0" w:color="000000"/>
            </w:tcBorders>
          </w:tcPr>
          <w:p w14:paraId="0E3234BA" w14:textId="77777777" w:rsidR="007750B7" w:rsidRPr="00816A48" w:rsidRDefault="007750B7" w:rsidP="008D33C6">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Placebas</w:t>
            </w:r>
          </w:p>
          <w:p w14:paraId="371D74E0" w14:textId="77777777" w:rsidR="007750B7" w:rsidRPr="00816A48" w:rsidRDefault="007750B7" w:rsidP="009B4884">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(n=587)</w:t>
            </w:r>
          </w:p>
        </w:tc>
        <w:tc>
          <w:tcPr>
            <w:tcW w:w="1980" w:type="dxa"/>
            <w:tcBorders>
              <w:top w:val="single" w:sz="8" w:space="0" w:color="000000"/>
              <w:left w:val="single" w:sz="8" w:space="0" w:color="000000"/>
              <w:bottom w:val="single" w:sz="8" w:space="0" w:color="000000"/>
              <w:right w:val="single" w:sz="8" w:space="0" w:color="000000"/>
            </w:tcBorders>
          </w:tcPr>
          <w:p w14:paraId="00197CC9" w14:textId="77777777" w:rsidR="007750B7" w:rsidRPr="00816A48" w:rsidRDefault="007750B7" w:rsidP="007A65B4">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2,5 mg ibandrono rūgšties paros dozė</w:t>
            </w:r>
          </w:p>
          <w:p w14:paraId="6CD4E277" w14:textId="77777777" w:rsidR="007750B7" w:rsidRPr="00816A48" w:rsidRDefault="007750B7" w:rsidP="00661507">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(n=575)</w:t>
            </w:r>
          </w:p>
        </w:tc>
      </w:tr>
      <w:tr w:rsidR="007750B7" w:rsidRPr="00816A48" w14:paraId="45A4AF5C" w14:textId="77777777">
        <w:trPr>
          <w:trHeight w:val="541"/>
        </w:trPr>
        <w:tc>
          <w:tcPr>
            <w:tcW w:w="4140" w:type="dxa"/>
            <w:tcBorders>
              <w:top w:val="single" w:sz="8" w:space="0" w:color="000000"/>
              <w:left w:val="single" w:sz="8" w:space="0" w:color="000000"/>
              <w:bottom w:val="single" w:sz="8" w:space="0" w:color="000000"/>
              <w:right w:val="single" w:sz="8" w:space="0" w:color="000000"/>
            </w:tcBorders>
          </w:tcPr>
          <w:p w14:paraId="418FFB82"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Santykinės rizikos sumažėjimas</w:t>
            </w:r>
          </w:p>
          <w:p w14:paraId="4BB06F29"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Nauji morfometriniai stuburo slankstelių lūžiai</w:t>
            </w:r>
          </w:p>
        </w:tc>
        <w:tc>
          <w:tcPr>
            <w:tcW w:w="1980" w:type="dxa"/>
            <w:tcBorders>
              <w:top w:val="single" w:sz="8" w:space="0" w:color="000000"/>
              <w:left w:val="single" w:sz="8" w:space="0" w:color="000000"/>
              <w:bottom w:val="single" w:sz="8" w:space="0" w:color="000000"/>
              <w:right w:val="single" w:sz="8" w:space="0" w:color="000000"/>
            </w:tcBorders>
          </w:tcPr>
          <w:p w14:paraId="4AA555EE" w14:textId="77777777"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p>
        </w:tc>
        <w:tc>
          <w:tcPr>
            <w:tcW w:w="1980" w:type="dxa"/>
            <w:tcBorders>
              <w:top w:val="single" w:sz="8" w:space="0" w:color="000000"/>
              <w:left w:val="single" w:sz="8" w:space="0" w:color="000000"/>
              <w:bottom w:val="single" w:sz="8" w:space="0" w:color="000000"/>
              <w:right w:val="single" w:sz="8" w:space="0" w:color="000000"/>
            </w:tcBorders>
          </w:tcPr>
          <w:p w14:paraId="43DE63BA" w14:textId="74A13EA9" w:rsidR="007750B7" w:rsidRPr="00816A48" w:rsidRDefault="007750B7" w:rsidP="00720F9C">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59</w:t>
            </w:r>
            <w:r w:rsidR="00171B01">
              <w:rPr>
                <w:rFonts w:ascii="Times New Roman" w:hAnsi="Times New Roman"/>
                <w:color w:val="000000"/>
                <w:lang w:val="lt-LT"/>
              </w:rPr>
              <w:t> </w:t>
            </w:r>
            <w:r w:rsidRPr="00816A48">
              <w:rPr>
                <w:rFonts w:ascii="Times New Roman" w:hAnsi="Times New Roman"/>
                <w:color w:val="000000"/>
                <w:lang w:val="lt-LT"/>
              </w:rPr>
              <w:t>% (34,5, 74,3)</w:t>
            </w:r>
          </w:p>
        </w:tc>
      </w:tr>
      <w:tr w:rsidR="007750B7" w:rsidRPr="00816A48" w14:paraId="7B96CC40" w14:textId="77777777">
        <w:trPr>
          <w:trHeight w:val="541"/>
        </w:trPr>
        <w:tc>
          <w:tcPr>
            <w:tcW w:w="4140" w:type="dxa"/>
            <w:tcBorders>
              <w:top w:val="single" w:sz="8" w:space="0" w:color="000000"/>
              <w:left w:val="single" w:sz="8" w:space="0" w:color="000000"/>
              <w:bottom w:val="single" w:sz="8" w:space="0" w:color="000000"/>
              <w:right w:val="single" w:sz="8" w:space="0" w:color="000000"/>
            </w:tcBorders>
          </w:tcPr>
          <w:p w14:paraId="59E83FA0"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Naujų morfometrinių stuburo slankstelių lūžių dažnis</w:t>
            </w:r>
          </w:p>
        </w:tc>
        <w:tc>
          <w:tcPr>
            <w:tcW w:w="1980" w:type="dxa"/>
            <w:tcBorders>
              <w:top w:val="single" w:sz="8" w:space="0" w:color="000000"/>
              <w:left w:val="single" w:sz="8" w:space="0" w:color="000000"/>
              <w:bottom w:val="single" w:sz="8" w:space="0" w:color="000000"/>
              <w:right w:val="single" w:sz="8" w:space="0" w:color="000000"/>
            </w:tcBorders>
          </w:tcPr>
          <w:p w14:paraId="3DDDC9D9" w14:textId="1B330884"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12,54</w:t>
            </w:r>
            <w:r w:rsidR="00171B01">
              <w:rPr>
                <w:rFonts w:ascii="Times New Roman" w:hAnsi="Times New Roman"/>
                <w:color w:val="000000"/>
                <w:lang w:val="lt-LT"/>
              </w:rPr>
              <w:t> </w:t>
            </w:r>
            <w:r w:rsidRPr="00816A48">
              <w:rPr>
                <w:rFonts w:ascii="Times New Roman" w:hAnsi="Times New Roman"/>
                <w:color w:val="000000"/>
                <w:lang w:val="lt-LT"/>
              </w:rPr>
              <w:t>% (9,53, 15,55)</w:t>
            </w:r>
          </w:p>
        </w:tc>
        <w:tc>
          <w:tcPr>
            <w:tcW w:w="1980" w:type="dxa"/>
            <w:tcBorders>
              <w:top w:val="single" w:sz="8" w:space="0" w:color="000000"/>
              <w:left w:val="single" w:sz="8" w:space="0" w:color="000000"/>
              <w:bottom w:val="single" w:sz="8" w:space="0" w:color="000000"/>
              <w:right w:val="single" w:sz="8" w:space="0" w:color="000000"/>
            </w:tcBorders>
          </w:tcPr>
          <w:p w14:paraId="009552D1" w14:textId="54786A70" w:rsidR="007750B7" w:rsidRPr="00816A48" w:rsidRDefault="007750B7" w:rsidP="00720F9C">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5,36</w:t>
            </w:r>
            <w:r w:rsidR="00171B01">
              <w:rPr>
                <w:rFonts w:ascii="Times New Roman" w:hAnsi="Times New Roman"/>
                <w:color w:val="000000"/>
                <w:lang w:val="lt-LT"/>
              </w:rPr>
              <w:t> </w:t>
            </w:r>
            <w:r w:rsidRPr="00816A48">
              <w:rPr>
                <w:rFonts w:ascii="Times New Roman" w:hAnsi="Times New Roman"/>
                <w:color w:val="000000"/>
                <w:lang w:val="lt-LT"/>
              </w:rPr>
              <w:t>% (3,31, 7,41)</w:t>
            </w:r>
          </w:p>
        </w:tc>
      </w:tr>
      <w:tr w:rsidR="007750B7" w:rsidRPr="00816A48" w14:paraId="3C3E7074" w14:textId="77777777">
        <w:trPr>
          <w:trHeight w:val="541"/>
        </w:trPr>
        <w:tc>
          <w:tcPr>
            <w:tcW w:w="4140" w:type="dxa"/>
            <w:tcBorders>
              <w:top w:val="single" w:sz="8" w:space="0" w:color="000000"/>
              <w:left w:val="single" w:sz="8" w:space="0" w:color="000000"/>
              <w:bottom w:val="single" w:sz="8" w:space="0" w:color="000000"/>
              <w:right w:val="single" w:sz="8" w:space="0" w:color="000000"/>
            </w:tcBorders>
          </w:tcPr>
          <w:p w14:paraId="6326B985"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Klinikinių stuburo slankstelių lūžių atvejų santykinės rizikos sumažėjimas</w:t>
            </w:r>
          </w:p>
        </w:tc>
        <w:tc>
          <w:tcPr>
            <w:tcW w:w="1980" w:type="dxa"/>
            <w:tcBorders>
              <w:top w:val="single" w:sz="8" w:space="0" w:color="000000"/>
              <w:left w:val="single" w:sz="8" w:space="0" w:color="000000"/>
              <w:bottom w:val="single" w:sz="8" w:space="0" w:color="000000"/>
              <w:right w:val="single" w:sz="8" w:space="0" w:color="000000"/>
            </w:tcBorders>
          </w:tcPr>
          <w:p w14:paraId="5FA81BE0" w14:textId="77777777" w:rsidR="007750B7" w:rsidRPr="00816A48" w:rsidRDefault="007750B7" w:rsidP="00177670">
            <w:pPr>
              <w:autoSpaceDE w:val="0"/>
              <w:autoSpaceDN w:val="0"/>
              <w:adjustRightInd w:val="0"/>
              <w:spacing w:after="0" w:line="240" w:lineRule="auto"/>
              <w:jc w:val="center"/>
              <w:rPr>
                <w:rFonts w:ascii="Times New Roman" w:hAnsi="Times New Roman"/>
                <w:color w:val="000000"/>
                <w:lang w:val="lt-LT"/>
              </w:rPr>
            </w:pPr>
          </w:p>
        </w:tc>
        <w:tc>
          <w:tcPr>
            <w:tcW w:w="1980" w:type="dxa"/>
            <w:tcBorders>
              <w:top w:val="single" w:sz="8" w:space="0" w:color="000000"/>
              <w:left w:val="single" w:sz="8" w:space="0" w:color="000000"/>
              <w:bottom w:val="single" w:sz="8" w:space="0" w:color="000000"/>
              <w:right w:val="single" w:sz="8" w:space="0" w:color="000000"/>
            </w:tcBorders>
          </w:tcPr>
          <w:p w14:paraId="4F42442E" w14:textId="701A737E"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50</w:t>
            </w:r>
            <w:r w:rsidR="00171B01">
              <w:rPr>
                <w:rFonts w:ascii="Times New Roman" w:hAnsi="Times New Roman"/>
                <w:color w:val="000000"/>
                <w:lang w:val="lt-LT"/>
              </w:rPr>
              <w:t> </w:t>
            </w:r>
            <w:r w:rsidRPr="00816A48">
              <w:rPr>
                <w:rFonts w:ascii="Times New Roman" w:hAnsi="Times New Roman"/>
                <w:color w:val="000000"/>
                <w:lang w:val="lt-LT"/>
              </w:rPr>
              <w:t>% (9,49, 71,91)</w:t>
            </w:r>
          </w:p>
        </w:tc>
      </w:tr>
      <w:tr w:rsidR="007750B7" w:rsidRPr="00816A48" w14:paraId="05EF007C" w14:textId="77777777">
        <w:trPr>
          <w:trHeight w:val="541"/>
        </w:trPr>
        <w:tc>
          <w:tcPr>
            <w:tcW w:w="4140" w:type="dxa"/>
            <w:tcBorders>
              <w:top w:val="single" w:sz="8" w:space="0" w:color="000000"/>
              <w:left w:val="single" w:sz="8" w:space="0" w:color="000000"/>
              <w:bottom w:val="single" w:sz="8" w:space="0" w:color="000000"/>
              <w:right w:val="single" w:sz="8" w:space="0" w:color="000000"/>
            </w:tcBorders>
          </w:tcPr>
          <w:p w14:paraId="426CE084"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Klinikinių stuburo slankstelių lūžių atvejų dažnis</w:t>
            </w:r>
          </w:p>
        </w:tc>
        <w:tc>
          <w:tcPr>
            <w:tcW w:w="1980" w:type="dxa"/>
            <w:tcBorders>
              <w:top w:val="single" w:sz="8" w:space="0" w:color="000000"/>
              <w:left w:val="single" w:sz="8" w:space="0" w:color="000000"/>
              <w:bottom w:val="single" w:sz="8" w:space="0" w:color="000000"/>
              <w:right w:val="single" w:sz="8" w:space="0" w:color="000000"/>
            </w:tcBorders>
          </w:tcPr>
          <w:p w14:paraId="65EE01A4" w14:textId="295E0DDB" w:rsidR="007750B7" w:rsidRPr="00816A48" w:rsidRDefault="007750B7" w:rsidP="00177670">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6,97</w:t>
            </w:r>
            <w:r w:rsidR="00171B01">
              <w:rPr>
                <w:rFonts w:ascii="Times New Roman" w:hAnsi="Times New Roman"/>
                <w:color w:val="000000"/>
                <w:lang w:val="lt-LT"/>
              </w:rPr>
              <w:t> </w:t>
            </w:r>
            <w:r w:rsidRPr="00816A48">
              <w:rPr>
                <w:rFonts w:ascii="Times New Roman" w:hAnsi="Times New Roman"/>
                <w:color w:val="000000"/>
                <w:lang w:val="lt-LT"/>
              </w:rPr>
              <w:t>% (4,67, 9,27)</w:t>
            </w:r>
          </w:p>
        </w:tc>
        <w:tc>
          <w:tcPr>
            <w:tcW w:w="1980" w:type="dxa"/>
            <w:tcBorders>
              <w:top w:val="single" w:sz="8" w:space="0" w:color="000000"/>
              <w:left w:val="single" w:sz="8" w:space="0" w:color="000000"/>
              <w:bottom w:val="single" w:sz="8" w:space="0" w:color="000000"/>
              <w:right w:val="single" w:sz="8" w:space="0" w:color="000000"/>
            </w:tcBorders>
          </w:tcPr>
          <w:p w14:paraId="76C1DAAC" w14:textId="5A468EDA"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3,57</w:t>
            </w:r>
            <w:r w:rsidR="00171B01">
              <w:rPr>
                <w:rFonts w:ascii="Times New Roman" w:hAnsi="Times New Roman"/>
                <w:color w:val="000000"/>
                <w:lang w:val="lt-LT"/>
              </w:rPr>
              <w:t> </w:t>
            </w:r>
            <w:r w:rsidRPr="00816A48">
              <w:rPr>
                <w:rFonts w:ascii="Times New Roman" w:hAnsi="Times New Roman"/>
                <w:color w:val="000000"/>
                <w:lang w:val="lt-LT"/>
              </w:rPr>
              <w:t>% (1,89, 5,24)</w:t>
            </w:r>
          </w:p>
        </w:tc>
      </w:tr>
      <w:tr w:rsidR="007750B7" w:rsidRPr="00816A48" w14:paraId="411FF4F7" w14:textId="77777777">
        <w:trPr>
          <w:trHeight w:val="541"/>
        </w:trPr>
        <w:tc>
          <w:tcPr>
            <w:tcW w:w="4140" w:type="dxa"/>
            <w:tcBorders>
              <w:top w:val="single" w:sz="8" w:space="0" w:color="000000"/>
              <w:left w:val="single" w:sz="8" w:space="0" w:color="000000"/>
              <w:bottom w:val="single" w:sz="8" w:space="0" w:color="000000"/>
              <w:right w:val="single" w:sz="8" w:space="0" w:color="000000"/>
            </w:tcBorders>
          </w:tcPr>
          <w:p w14:paraId="3CF23C3C"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KMT – vidutinis juosmens slankstelių rodmens pokytis 3-čiais metais, palyginti su pradiniu</w:t>
            </w:r>
          </w:p>
        </w:tc>
        <w:tc>
          <w:tcPr>
            <w:tcW w:w="1980" w:type="dxa"/>
            <w:tcBorders>
              <w:top w:val="single" w:sz="8" w:space="0" w:color="000000"/>
              <w:left w:val="single" w:sz="8" w:space="0" w:color="000000"/>
              <w:bottom w:val="single" w:sz="8" w:space="0" w:color="000000"/>
              <w:right w:val="single" w:sz="8" w:space="0" w:color="000000"/>
            </w:tcBorders>
          </w:tcPr>
          <w:p w14:paraId="33FDA390" w14:textId="7545E66B"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1,13</w:t>
            </w:r>
            <w:r w:rsidR="00171B01">
              <w:rPr>
                <w:rFonts w:ascii="Times New Roman" w:hAnsi="Times New Roman"/>
                <w:color w:val="000000"/>
                <w:lang w:val="lt-LT"/>
              </w:rPr>
              <w:t> </w:t>
            </w:r>
            <w:r w:rsidRPr="00816A48">
              <w:rPr>
                <w:rFonts w:ascii="Times New Roman" w:hAnsi="Times New Roman"/>
                <w:color w:val="000000"/>
                <w:lang w:val="lt-LT"/>
              </w:rPr>
              <w:t>% (0,6, 1,7)</w:t>
            </w:r>
          </w:p>
        </w:tc>
        <w:tc>
          <w:tcPr>
            <w:tcW w:w="1980" w:type="dxa"/>
            <w:tcBorders>
              <w:top w:val="single" w:sz="8" w:space="0" w:color="000000"/>
              <w:left w:val="single" w:sz="8" w:space="0" w:color="000000"/>
              <w:bottom w:val="single" w:sz="8" w:space="0" w:color="000000"/>
              <w:right w:val="single" w:sz="8" w:space="0" w:color="000000"/>
            </w:tcBorders>
          </w:tcPr>
          <w:p w14:paraId="24789605" w14:textId="34EDC9E8" w:rsidR="007750B7" w:rsidRPr="00816A48" w:rsidRDefault="007750B7" w:rsidP="00720F9C">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7,01</w:t>
            </w:r>
            <w:r w:rsidR="00171B01">
              <w:rPr>
                <w:rFonts w:ascii="Times New Roman" w:hAnsi="Times New Roman"/>
                <w:color w:val="000000"/>
                <w:lang w:val="lt-LT"/>
              </w:rPr>
              <w:t> </w:t>
            </w:r>
            <w:r w:rsidRPr="00816A48">
              <w:rPr>
                <w:rFonts w:ascii="Times New Roman" w:hAnsi="Times New Roman"/>
                <w:color w:val="000000"/>
                <w:lang w:val="lt-LT"/>
              </w:rPr>
              <w:t>% (6,5, 7,6)</w:t>
            </w:r>
          </w:p>
        </w:tc>
      </w:tr>
      <w:tr w:rsidR="007750B7" w:rsidRPr="00816A48" w14:paraId="4126CA03" w14:textId="77777777">
        <w:trPr>
          <w:trHeight w:val="540"/>
        </w:trPr>
        <w:tc>
          <w:tcPr>
            <w:tcW w:w="4140" w:type="dxa"/>
            <w:tcBorders>
              <w:top w:val="single" w:sz="8" w:space="0" w:color="000000"/>
              <w:left w:val="single" w:sz="8" w:space="0" w:color="000000"/>
              <w:bottom w:val="single" w:sz="8" w:space="0" w:color="000000"/>
              <w:right w:val="single" w:sz="8" w:space="0" w:color="000000"/>
            </w:tcBorders>
          </w:tcPr>
          <w:p w14:paraId="02057596"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KMT – vidutinis visų klubo kaulų rodmens pokytis 3-čiais metais, palyginti su pradiniu</w:t>
            </w:r>
          </w:p>
        </w:tc>
        <w:tc>
          <w:tcPr>
            <w:tcW w:w="1980" w:type="dxa"/>
            <w:tcBorders>
              <w:top w:val="single" w:sz="8" w:space="0" w:color="000000"/>
              <w:left w:val="single" w:sz="8" w:space="0" w:color="000000"/>
              <w:bottom w:val="single" w:sz="8" w:space="0" w:color="000000"/>
              <w:right w:val="single" w:sz="8" w:space="0" w:color="000000"/>
            </w:tcBorders>
          </w:tcPr>
          <w:p w14:paraId="267CA468" w14:textId="3B01DC44" w:rsidR="007750B7" w:rsidRPr="00816A48" w:rsidRDefault="007750B7" w:rsidP="00177670">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-0,70</w:t>
            </w:r>
            <w:r w:rsidR="00171B01">
              <w:rPr>
                <w:rFonts w:ascii="Times New Roman" w:hAnsi="Times New Roman"/>
                <w:color w:val="000000"/>
                <w:lang w:val="lt-LT"/>
              </w:rPr>
              <w:t> </w:t>
            </w:r>
            <w:r w:rsidRPr="00816A48">
              <w:rPr>
                <w:rFonts w:ascii="Times New Roman" w:hAnsi="Times New Roman"/>
                <w:color w:val="000000"/>
                <w:lang w:val="lt-LT"/>
              </w:rPr>
              <w:t>% (-1,1, -0,2)</w:t>
            </w:r>
          </w:p>
        </w:tc>
        <w:tc>
          <w:tcPr>
            <w:tcW w:w="1980" w:type="dxa"/>
            <w:tcBorders>
              <w:top w:val="single" w:sz="8" w:space="0" w:color="000000"/>
              <w:left w:val="single" w:sz="8" w:space="0" w:color="000000"/>
              <w:bottom w:val="single" w:sz="8" w:space="0" w:color="000000"/>
              <w:right w:val="single" w:sz="8" w:space="0" w:color="000000"/>
            </w:tcBorders>
          </w:tcPr>
          <w:p w14:paraId="16BBE401" w14:textId="57EBF7FB" w:rsidR="007750B7" w:rsidRPr="00816A48" w:rsidRDefault="007750B7" w:rsidP="005F68E5">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color w:val="000000"/>
                <w:lang w:val="lt-LT"/>
              </w:rPr>
              <w:t>3,59</w:t>
            </w:r>
            <w:r w:rsidR="00171B01">
              <w:rPr>
                <w:rFonts w:ascii="Times New Roman" w:hAnsi="Times New Roman"/>
                <w:color w:val="000000"/>
                <w:lang w:val="lt-LT"/>
              </w:rPr>
              <w:t> </w:t>
            </w:r>
            <w:r w:rsidRPr="00816A48">
              <w:rPr>
                <w:rFonts w:ascii="Times New Roman" w:hAnsi="Times New Roman"/>
                <w:color w:val="000000"/>
                <w:lang w:val="lt-LT"/>
              </w:rPr>
              <w:t>% (3,1, 4,1)</w:t>
            </w:r>
          </w:p>
        </w:tc>
      </w:tr>
    </w:tbl>
    <w:p w14:paraId="0820B228" w14:textId="77777777" w:rsidR="007750B7" w:rsidRPr="00816A48" w:rsidRDefault="007750B7" w:rsidP="00177670">
      <w:pPr>
        <w:autoSpaceDE w:val="0"/>
        <w:autoSpaceDN w:val="0"/>
        <w:adjustRightInd w:val="0"/>
        <w:spacing w:after="0" w:line="240" w:lineRule="auto"/>
        <w:rPr>
          <w:rFonts w:ascii="Times New Roman" w:hAnsi="Times New Roman"/>
          <w:color w:val="000000"/>
          <w:lang w:val="lt-LT"/>
        </w:rPr>
      </w:pPr>
    </w:p>
    <w:p w14:paraId="695F4C92" w14:textId="15046B0F" w:rsidR="007750B7" w:rsidRPr="00816A48" w:rsidRDefault="007750B7" w:rsidP="005F68E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Visoje MF</w:t>
      </w:r>
      <w:r w:rsidR="0084657A" w:rsidRPr="00816A48">
        <w:rPr>
          <w:rFonts w:ascii="Times New Roman" w:hAnsi="Times New Roman"/>
          <w:color w:val="000000"/>
          <w:lang w:val="lt-LT"/>
        </w:rPr>
        <w:t> </w:t>
      </w:r>
      <w:r w:rsidRPr="00816A48">
        <w:rPr>
          <w:rFonts w:ascii="Times New Roman" w:hAnsi="Times New Roman"/>
          <w:color w:val="000000"/>
          <w:lang w:val="lt-LT"/>
        </w:rPr>
        <w:t>4411 tyrimo pacientų populiacijoje neslankstelinių lūžių dažnis nesumažėjo, tačiau kasdien vartojama ibandrono rūgštis buvo veiksminga didelės rizikos pogrupyje (šlaunikaulio kaklelio KMT T balas mažesnis kaip -3), kuriame neslankstelinių lūžių rizika sumažėjo 69</w:t>
      </w:r>
      <w:r w:rsidR="00171B01">
        <w:rPr>
          <w:rFonts w:ascii="Times New Roman" w:hAnsi="Times New Roman"/>
          <w:color w:val="000000"/>
          <w:lang w:val="lt-LT"/>
        </w:rPr>
        <w:t> </w:t>
      </w:r>
      <w:r w:rsidRPr="00816A48">
        <w:rPr>
          <w:rFonts w:ascii="Times New Roman" w:hAnsi="Times New Roman"/>
          <w:color w:val="000000"/>
          <w:lang w:val="lt-LT"/>
        </w:rPr>
        <w:t>%.</w:t>
      </w:r>
    </w:p>
    <w:p w14:paraId="0809650B" w14:textId="77777777" w:rsidR="007750B7" w:rsidRPr="00816A48" w:rsidRDefault="007750B7" w:rsidP="00720F9C">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Kasdien geriant </w:t>
      </w:r>
      <w:r w:rsidR="00567435" w:rsidRPr="00816A48">
        <w:rPr>
          <w:rFonts w:ascii="Times New Roman" w:hAnsi="Times New Roman"/>
          <w:color w:val="000000"/>
          <w:lang w:val="lt-LT"/>
        </w:rPr>
        <w:t xml:space="preserve">ibandrono rūgšties </w:t>
      </w:r>
      <w:r w:rsidRPr="00816A48">
        <w:rPr>
          <w:rFonts w:ascii="Times New Roman" w:hAnsi="Times New Roman"/>
          <w:color w:val="000000"/>
          <w:lang w:val="lt-LT"/>
        </w:rPr>
        <w:t>2,5 mg tabletes, stuburo slankstelių ir kitų skeleto kaulų KMT nuolat didėjo.</w:t>
      </w:r>
    </w:p>
    <w:p w14:paraId="6B760EF7" w14:textId="2EA04AF6" w:rsidR="007750B7" w:rsidRPr="00816A48" w:rsidRDefault="007750B7" w:rsidP="009B4884">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Vartojant vaistinį preparatą, palyginti su placebu, juosmens slankstelių KMT per trejus metus padidėjo 5,3 % ir 6,5</w:t>
      </w:r>
      <w:r w:rsidR="00171B01">
        <w:rPr>
          <w:rFonts w:ascii="Times New Roman" w:hAnsi="Times New Roman"/>
          <w:color w:val="000000"/>
          <w:lang w:val="lt-LT"/>
        </w:rPr>
        <w:t> </w:t>
      </w:r>
      <w:r w:rsidRPr="00816A48">
        <w:rPr>
          <w:rFonts w:ascii="Times New Roman" w:hAnsi="Times New Roman"/>
          <w:color w:val="000000"/>
          <w:lang w:val="lt-LT"/>
        </w:rPr>
        <w:t>%, palyginti su pradiniu. Klubo kaulų pokytis, palyginti su pradiniu, buvo toks: šlaunikaulio kaklelio – 2,8 %, visų klubo kaulų – 3,4</w:t>
      </w:r>
      <w:r w:rsidR="00171B01">
        <w:rPr>
          <w:rFonts w:ascii="Times New Roman" w:hAnsi="Times New Roman"/>
          <w:color w:val="000000"/>
          <w:lang w:val="lt-LT"/>
        </w:rPr>
        <w:t> </w:t>
      </w:r>
      <w:r w:rsidRPr="00816A48">
        <w:rPr>
          <w:rFonts w:ascii="Times New Roman" w:hAnsi="Times New Roman"/>
          <w:color w:val="000000"/>
          <w:lang w:val="lt-LT"/>
        </w:rPr>
        <w:t>%, šlaunikaulio gūbrio – 5,5</w:t>
      </w:r>
      <w:r w:rsidR="00171B01">
        <w:rPr>
          <w:rFonts w:ascii="Times New Roman" w:hAnsi="Times New Roman"/>
          <w:color w:val="000000"/>
          <w:lang w:val="lt-LT"/>
        </w:rPr>
        <w:t> </w:t>
      </w:r>
      <w:r w:rsidRPr="00816A48">
        <w:rPr>
          <w:rFonts w:ascii="Times New Roman" w:hAnsi="Times New Roman"/>
          <w:color w:val="000000"/>
          <w:lang w:val="lt-LT"/>
        </w:rPr>
        <w:t>%.</w:t>
      </w:r>
    </w:p>
    <w:p w14:paraId="2B290DDF" w14:textId="77777777" w:rsidR="007750B7" w:rsidRPr="00816A48" w:rsidRDefault="007750B7" w:rsidP="00661507">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lastRenderedPageBreak/>
        <w:t>Kaip ir tikėtasi, biocheminiai kaulų rezorbcijos žymekliai (pvz., CTX šlapime ir osteokalcinas serume) parodė rezorbcijos sulėtėjimą iki prieš menopauzę buvusio lygio ir stipriausias slopinimas buvo pasiektas per 3</w:t>
      </w:r>
      <w:r w:rsidRPr="00816A48">
        <w:rPr>
          <w:rFonts w:ascii="Times New Roman" w:hAnsi="Times New Roman"/>
          <w:color w:val="000000"/>
          <w:lang w:val="lt-LT"/>
        </w:rPr>
        <w:noBreakHyphen/>
        <w:t xml:space="preserve">6 mėnesius </w:t>
      </w:r>
      <w:r w:rsidRPr="00816A48">
        <w:rPr>
          <w:rFonts w:ascii="Times New Roman" w:hAnsi="Times New Roman"/>
          <w:lang w:val="lt-LT"/>
        </w:rPr>
        <w:t>vartojant po 2,5</w:t>
      </w:r>
      <w:r w:rsidR="0084657A" w:rsidRPr="00816A48">
        <w:rPr>
          <w:rFonts w:ascii="Times New Roman" w:hAnsi="Times New Roman"/>
          <w:lang w:val="lt-LT"/>
        </w:rPr>
        <w:t> </w:t>
      </w:r>
      <w:r w:rsidRPr="00816A48">
        <w:rPr>
          <w:rFonts w:ascii="Times New Roman" w:hAnsi="Times New Roman"/>
          <w:lang w:val="lt-LT"/>
        </w:rPr>
        <w:t>mg ibandrono rūgšties dozę per parą.</w:t>
      </w:r>
    </w:p>
    <w:p w14:paraId="6105EC77" w14:textId="5668972F" w:rsidR="007750B7" w:rsidRPr="00816A48" w:rsidRDefault="007750B7" w:rsidP="00905B23">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Kliniškai reikšmingas biocheminių kaulų rezorbcijos žymeklių sumažėjimas 50</w:t>
      </w:r>
      <w:r w:rsidR="00171B01">
        <w:rPr>
          <w:rFonts w:ascii="Times New Roman" w:hAnsi="Times New Roman"/>
          <w:color w:val="000000"/>
          <w:lang w:val="lt-LT"/>
        </w:rPr>
        <w:t> </w:t>
      </w:r>
      <w:r w:rsidRPr="00816A48">
        <w:rPr>
          <w:rFonts w:ascii="Times New Roman" w:hAnsi="Times New Roman"/>
          <w:color w:val="000000"/>
          <w:lang w:val="lt-LT"/>
        </w:rPr>
        <w:t>% buvo nustatytas praėjus vienam mėnesiui nuo gydymo 2,5 mg ibandrono rūgštis doze pradžios.</w:t>
      </w:r>
    </w:p>
    <w:p w14:paraId="3B4D83DF" w14:textId="77777777" w:rsidR="007750B7" w:rsidRPr="00816A48" w:rsidRDefault="007750B7" w:rsidP="00604FE8">
      <w:pPr>
        <w:autoSpaceDE w:val="0"/>
        <w:autoSpaceDN w:val="0"/>
        <w:adjustRightInd w:val="0"/>
        <w:spacing w:after="0" w:line="240" w:lineRule="auto"/>
        <w:rPr>
          <w:rFonts w:ascii="Times New Roman" w:hAnsi="Times New Roman"/>
          <w:color w:val="000000"/>
          <w:lang w:val="lt-LT"/>
        </w:rPr>
      </w:pPr>
    </w:p>
    <w:p w14:paraId="27C8D868" w14:textId="77777777" w:rsidR="007750B7" w:rsidRPr="00816A48" w:rsidRDefault="007750B7" w:rsidP="0035711A">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Vaikų populiacija</w:t>
      </w:r>
      <w:r w:rsidR="00335C18" w:rsidRPr="00816A48">
        <w:rPr>
          <w:rFonts w:ascii="Times New Roman" w:hAnsi="Times New Roman"/>
          <w:color w:val="000000"/>
          <w:u w:val="single"/>
          <w:lang w:val="lt-LT"/>
        </w:rPr>
        <w:t xml:space="preserve"> </w:t>
      </w:r>
      <w:r w:rsidR="00335C18" w:rsidRPr="00816A48">
        <w:rPr>
          <w:rFonts w:ascii="Times New Roman" w:eastAsia="MS Mincho" w:hAnsi="Times New Roman"/>
          <w:iCs/>
          <w:color w:val="000000"/>
          <w:u w:val="single"/>
          <w:lang w:val="lt-LT" w:eastAsia="ja-JP"/>
        </w:rPr>
        <w:t>(žr. 4.2 ir 5.2</w:t>
      </w:r>
      <w:r w:rsidR="0084657A" w:rsidRPr="00816A48">
        <w:rPr>
          <w:rFonts w:ascii="Times New Roman" w:eastAsia="MS Mincho" w:hAnsi="Times New Roman"/>
          <w:iCs/>
          <w:color w:val="000000"/>
          <w:u w:val="single"/>
          <w:lang w:val="lt-LT" w:eastAsia="ja-JP"/>
        </w:rPr>
        <w:t> </w:t>
      </w:r>
      <w:r w:rsidR="00335C18" w:rsidRPr="00816A48">
        <w:rPr>
          <w:rFonts w:ascii="Times New Roman" w:eastAsia="MS Mincho" w:hAnsi="Times New Roman"/>
          <w:iCs/>
          <w:color w:val="000000"/>
          <w:u w:val="single"/>
          <w:lang w:val="lt-LT" w:eastAsia="ja-JP"/>
        </w:rPr>
        <w:t>skyrius)</w:t>
      </w:r>
    </w:p>
    <w:p w14:paraId="5F22D1D1" w14:textId="77777777" w:rsidR="007750B7" w:rsidRPr="00816A48" w:rsidRDefault="007750B7" w:rsidP="00242DA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lang w:val="lt-LT"/>
        </w:rPr>
        <w:t>Ibandrono rūgšties</w:t>
      </w:r>
      <w:r w:rsidRPr="00816A48">
        <w:rPr>
          <w:rFonts w:ascii="Times New Roman" w:hAnsi="Times New Roman"/>
          <w:color w:val="000000"/>
          <w:lang w:val="lt-LT"/>
        </w:rPr>
        <w:t xml:space="preserve"> tyrimai vaikams neatlikti, todėl duomenų apie veiksmingumą arba saugumą šiai pacientų populiacijai nėra.</w:t>
      </w:r>
    </w:p>
    <w:p w14:paraId="55D81611" w14:textId="77777777" w:rsidR="007750B7" w:rsidRPr="00816A48" w:rsidRDefault="007750B7" w:rsidP="00331125">
      <w:pPr>
        <w:autoSpaceDE w:val="0"/>
        <w:autoSpaceDN w:val="0"/>
        <w:adjustRightInd w:val="0"/>
        <w:spacing w:after="0" w:line="240" w:lineRule="auto"/>
        <w:rPr>
          <w:rFonts w:ascii="Times New Roman" w:hAnsi="Times New Roman"/>
          <w:color w:val="000000"/>
          <w:lang w:val="lt-LT"/>
        </w:rPr>
      </w:pPr>
    </w:p>
    <w:p w14:paraId="5DD36D87" w14:textId="77777777" w:rsidR="007750B7" w:rsidRPr="00816A48" w:rsidRDefault="007750B7" w:rsidP="00DA1B4A">
      <w:pPr>
        <w:keepNext/>
        <w:tabs>
          <w:tab w:val="left" w:pos="567"/>
        </w:tabs>
        <w:spacing w:after="0" w:line="240" w:lineRule="auto"/>
        <w:rPr>
          <w:rFonts w:ascii="Times New Roman" w:hAnsi="Times New Roman"/>
          <w:b/>
          <w:lang w:val="lt-LT"/>
        </w:rPr>
      </w:pPr>
      <w:r w:rsidRPr="00816A48">
        <w:rPr>
          <w:rFonts w:ascii="Times New Roman" w:hAnsi="Times New Roman"/>
          <w:b/>
          <w:lang w:val="lt-LT"/>
        </w:rPr>
        <w:t>5.2</w:t>
      </w:r>
      <w:r w:rsidRPr="00816A48">
        <w:rPr>
          <w:rFonts w:ascii="Times New Roman" w:hAnsi="Times New Roman"/>
          <w:b/>
          <w:lang w:val="lt-LT"/>
        </w:rPr>
        <w:tab/>
        <w:t>Farmakokinetinės savybės</w:t>
      </w:r>
    </w:p>
    <w:p w14:paraId="131DCEB4" w14:textId="77777777" w:rsidR="007750B7" w:rsidRPr="00816A48" w:rsidRDefault="007750B7" w:rsidP="00735AD3">
      <w:pPr>
        <w:keepNext/>
        <w:tabs>
          <w:tab w:val="left" w:pos="567"/>
        </w:tabs>
        <w:spacing w:after="0" w:line="240" w:lineRule="auto"/>
        <w:rPr>
          <w:rFonts w:ascii="Times New Roman" w:hAnsi="Times New Roman"/>
          <w:color w:val="000000"/>
          <w:lang w:val="lt-LT"/>
        </w:rPr>
      </w:pPr>
    </w:p>
    <w:p w14:paraId="798F9020" w14:textId="77777777" w:rsidR="007750B7" w:rsidRPr="00816A48" w:rsidRDefault="007750B7" w:rsidP="000F0A27">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Tyrimų su įvairių rūšių gyvūnais ir žmonėmis duomenimis, svarbiausias farmakologinis ibandrono rūgšties poveikis kauliniam audiniui nėra tiesiogiai susijęs su</w:t>
      </w:r>
      <w:r w:rsidR="00811C82">
        <w:rPr>
          <w:rFonts w:ascii="Times New Roman" w:hAnsi="Times New Roman"/>
          <w:color w:val="000000"/>
          <w:lang w:val="lt-LT"/>
        </w:rPr>
        <w:t xml:space="preserve"> kraujo </w:t>
      </w:r>
      <w:r w:rsidRPr="00816A48">
        <w:rPr>
          <w:rFonts w:ascii="Times New Roman" w:hAnsi="Times New Roman"/>
          <w:color w:val="000000"/>
          <w:lang w:val="lt-LT"/>
        </w:rPr>
        <w:t xml:space="preserve"> plazmoje išmatuota koncentracija.</w:t>
      </w:r>
    </w:p>
    <w:p w14:paraId="1399196F" w14:textId="77777777" w:rsidR="007750B7" w:rsidRPr="00816A48" w:rsidRDefault="007750B7" w:rsidP="000F0A27">
      <w:pPr>
        <w:autoSpaceDE w:val="0"/>
        <w:autoSpaceDN w:val="0"/>
        <w:adjustRightInd w:val="0"/>
        <w:spacing w:after="0" w:line="240" w:lineRule="auto"/>
        <w:rPr>
          <w:rFonts w:ascii="Times New Roman" w:hAnsi="Times New Roman"/>
          <w:color w:val="000000"/>
          <w:lang w:val="lt-LT"/>
        </w:rPr>
      </w:pPr>
    </w:p>
    <w:p w14:paraId="737169E6" w14:textId="4D57929D" w:rsidR="007750B7" w:rsidRPr="00816A48" w:rsidRDefault="007750B7" w:rsidP="000A0BCD">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Leidžiant į veną nuo 0,5 mg iki 6 mg ibandrono rūgšties dozes, koncentracij</w:t>
      </w:r>
      <w:r w:rsidR="00811C82">
        <w:rPr>
          <w:rFonts w:ascii="Times New Roman" w:hAnsi="Times New Roman"/>
          <w:color w:val="000000"/>
          <w:lang w:val="lt-LT"/>
        </w:rPr>
        <w:t>a</w:t>
      </w:r>
      <w:r w:rsidRPr="00816A48">
        <w:rPr>
          <w:rFonts w:ascii="Times New Roman" w:hAnsi="Times New Roman"/>
          <w:color w:val="000000"/>
          <w:lang w:val="lt-LT"/>
        </w:rPr>
        <w:t xml:space="preserve"> </w:t>
      </w:r>
      <w:r w:rsidR="00811C82">
        <w:rPr>
          <w:rFonts w:ascii="Times New Roman" w:hAnsi="Times New Roman"/>
          <w:color w:val="000000"/>
          <w:lang w:val="lt-LT"/>
        </w:rPr>
        <w:t xml:space="preserve">kraujo </w:t>
      </w:r>
      <w:r w:rsidRPr="00816A48">
        <w:rPr>
          <w:rFonts w:ascii="Times New Roman" w:hAnsi="Times New Roman"/>
          <w:color w:val="000000"/>
          <w:lang w:val="lt-LT"/>
        </w:rPr>
        <w:t>plazmoje didėja proporcingai dozei.</w:t>
      </w:r>
    </w:p>
    <w:p w14:paraId="60F88DB2" w14:textId="77777777" w:rsidR="007750B7" w:rsidRPr="00816A48" w:rsidRDefault="007750B7" w:rsidP="00A761AB">
      <w:pPr>
        <w:autoSpaceDE w:val="0"/>
        <w:autoSpaceDN w:val="0"/>
        <w:adjustRightInd w:val="0"/>
        <w:spacing w:after="0" w:line="240" w:lineRule="auto"/>
        <w:rPr>
          <w:rFonts w:ascii="Times New Roman" w:hAnsi="Times New Roman"/>
          <w:color w:val="000000"/>
          <w:lang w:val="lt-LT"/>
        </w:rPr>
      </w:pPr>
    </w:p>
    <w:p w14:paraId="3A60CA4B" w14:textId="77777777" w:rsidR="007750B7" w:rsidRPr="00816A48" w:rsidRDefault="007750B7" w:rsidP="00A761AB">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Absorbcija</w:t>
      </w:r>
    </w:p>
    <w:p w14:paraId="2E3D76EA" w14:textId="77777777" w:rsidR="007750B7" w:rsidRPr="00816A48" w:rsidRDefault="007750B7" w:rsidP="00A761AB">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Duomenys neaktualūs.</w:t>
      </w:r>
    </w:p>
    <w:p w14:paraId="0707B66B" w14:textId="77777777" w:rsidR="007750B7" w:rsidRPr="00816A48" w:rsidRDefault="007750B7" w:rsidP="0062444B">
      <w:pPr>
        <w:autoSpaceDE w:val="0"/>
        <w:autoSpaceDN w:val="0"/>
        <w:adjustRightInd w:val="0"/>
        <w:spacing w:after="0" w:line="240" w:lineRule="auto"/>
        <w:rPr>
          <w:rFonts w:ascii="Times New Roman" w:hAnsi="Times New Roman"/>
          <w:color w:val="000000"/>
          <w:lang w:val="lt-LT"/>
        </w:rPr>
      </w:pPr>
    </w:p>
    <w:p w14:paraId="4DEDDE51" w14:textId="77777777" w:rsidR="007750B7" w:rsidRPr="00816A48" w:rsidRDefault="007750B7" w:rsidP="00947F45">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Pasiskirstymas</w:t>
      </w:r>
    </w:p>
    <w:p w14:paraId="3976B326" w14:textId="278C2C2A"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Iš pradžių į sisteminę kraujotaką patekusi ibandrono rūgštis greitai prisijungia prie kaulinio audinio arba šalinama su šlapimu. Nustatyta, kad galutinis pasiskirstymo tūris žmogaus organizme yra mažiausiai </w:t>
      </w:r>
      <w:smartTag w:uri="urn:schemas-microsoft-com:office:smarttags" w:element="metricconverter">
        <w:smartTagPr>
          <w:attr w:name="ProductID" w:val="90ﾠl"/>
        </w:smartTagPr>
        <w:r w:rsidRPr="00816A48">
          <w:rPr>
            <w:rFonts w:ascii="Times New Roman" w:hAnsi="Times New Roman"/>
            <w:color w:val="000000"/>
            <w:lang w:val="lt-LT"/>
          </w:rPr>
          <w:t>90 l</w:t>
        </w:r>
      </w:smartTag>
      <w:r w:rsidRPr="00816A48">
        <w:rPr>
          <w:rFonts w:ascii="Times New Roman" w:hAnsi="Times New Roman"/>
          <w:color w:val="000000"/>
          <w:lang w:val="lt-LT"/>
        </w:rPr>
        <w:t>, o į kaulus patenka 40</w:t>
      </w:r>
      <w:r w:rsidRPr="00816A48">
        <w:rPr>
          <w:rFonts w:ascii="Times New Roman" w:hAnsi="Times New Roman"/>
          <w:color w:val="000000"/>
          <w:lang w:val="lt-LT"/>
        </w:rPr>
        <w:noBreakHyphen/>
        <w:t>50</w:t>
      </w:r>
      <w:r w:rsidR="00171B01">
        <w:rPr>
          <w:rFonts w:ascii="Times New Roman" w:hAnsi="Times New Roman"/>
          <w:color w:val="000000"/>
          <w:lang w:val="lt-LT"/>
        </w:rPr>
        <w:t> </w:t>
      </w:r>
      <w:r w:rsidRPr="00816A48">
        <w:rPr>
          <w:rFonts w:ascii="Times New Roman" w:hAnsi="Times New Roman"/>
          <w:color w:val="000000"/>
          <w:lang w:val="lt-LT"/>
        </w:rPr>
        <w:t>% kraujyje esančios vaistinio preparato dozės. Maždaug 85</w:t>
      </w:r>
      <w:r w:rsidRPr="00816A48">
        <w:rPr>
          <w:rFonts w:ascii="Times New Roman" w:hAnsi="Times New Roman"/>
          <w:color w:val="000000"/>
          <w:lang w:val="lt-LT"/>
        </w:rPr>
        <w:noBreakHyphen/>
        <w:t>87</w:t>
      </w:r>
      <w:r w:rsidR="00171B01">
        <w:rPr>
          <w:rFonts w:ascii="Times New Roman" w:hAnsi="Times New Roman"/>
          <w:color w:val="000000"/>
          <w:lang w:val="lt-LT"/>
        </w:rPr>
        <w:t> </w:t>
      </w:r>
      <w:r w:rsidRPr="00816A48">
        <w:rPr>
          <w:rFonts w:ascii="Times New Roman" w:hAnsi="Times New Roman"/>
          <w:color w:val="000000"/>
          <w:lang w:val="lt-LT"/>
        </w:rPr>
        <w:t xml:space="preserve">% vaistinio preparato būna prisijungusio prie žmogaus </w:t>
      </w:r>
      <w:r w:rsidR="00180B65">
        <w:rPr>
          <w:rFonts w:ascii="Times New Roman" w:hAnsi="Times New Roman"/>
          <w:color w:val="000000"/>
          <w:lang w:val="lt-LT"/>
        </w:rPr>
        <w:t xml:space="preserve">kraujo </w:t>
      </w:r>
      <w:r w:rsidRPr="00816A48">
        <w:rPr>
          <w:rFonts w:ascii="Times New Roman" w:hAnsi="Times New Roman"/>
          <w:color w:val="000000"/>
          <w:lang w:val="lt-LT"/>
        </w:rPr>
        <w:t xml:space="preserve">plazmos baltymų (nustatyta </w:t>
      </w:r>
      <w:r w:rsidRPr="00816A48">
        <w:rPr>
          <w:rFonts w:ascii="Times New Roman" w:hAnsi="Times New Roman"/>
          <w:i/>
          <w:color w:val="000000"/>
          <w:lang w:val="lt-LT"/>
        </w:rPr>
        <w:t>in</w:t>
      </w:r>
      <w:r w:rsidR="00171B01">
        <w:rPr>
          <w:rFonts w:ascii="Times New Roman" w:hAnsi="Times New Roman"/>
          <w:i/>
          <w:color w:val="000000"/>
          <w:lang w:val="lt-LT"/>
        </w:rPr>
        <w:t> </w:t>
      </w:r>
      <w:r w:rsidRPr="00816A48">
        <w:rPr>
          <w:rFonts w:ascii="Times New Roman" w:hAnsi="Times New Roman"/>
          <w:i/>
          <w:color w:val="000000"/>
          <w:lang w:val="lt-LT"/>
        </w:rPr>
        <w:t>vitro</w:t>
      </w:r>
      <w:r w:rsidRPr="00816A48">
        <w:rPr>
          <w:rFonts w:ascii="Times New Roman" w:hAnsi="Times New Roman"/>
          <w:color w:val="000000"/>
          <w:lang w:val="lt-LT"/>
        </w:rPr>
        <w:t>, esant gydomosioms koncentracijoms), todėl sąveikos su kitais vaistiniais preparatais dėl išstūmimo iš jungties tikimybė yra maža.</w:t>
      </w:r>
    </w:p>
    <w:p w14:paraId="19C39DF6"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008FA217" w14:textId="77777777" w:rsidR="007750B7" w:rsidRPr="00816A48" w:rsidRDefault="007750B7" w:rsidP="003D3259">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u w:val="single"/>
          <w:lang w:val="lt-LT"/>
        </w:rPr>
        <w:t>Biotransformacija</w:t>
      </w:r>
    </w:p>
    <w:p w14:paraId="2149F6EB"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Duomenų, kad ibandrono rūgštis būtų metabolizuojama gyvūnų ar žmonių organizme, nėra.</w:t>
      </w:r>
    </w:p>
    <w:p w14:paraId="2D924F71"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60FE7E9F" w14:textId="77777777" w:rsidR="007750B7" w:rsidRPr="00816A48" w:rsidRDefault="007750B7" w:rsidP="003D3259">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Eliminacija</w:t>
      </w:r>
    </w:p>
    <w:p w14:paraId="1E4C96C8" w14:textId="4786FF01"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Dalis ibandrono rūgšties eliminuojama iš kraujotakos rezorbcijos į kaulus būdu (nustatyta, kad moterų po menopauzės organizme maždaug 40</w:t>
      </w:r>
      <w:r w:rsidRPr="00816A48">
        <w:rPr>
          <w:rFonts w:ascii="Times New Roman" w:hAnsi="Times New Roman"/>
          <w:color w:val="000000"/>
          <w:lang w:val="lt-LT"/>
        </w:rPr>
        <w:noBreakHyphen/>
        <w:t>50</w:t>
      </w:r>
      <w:r w:rsidR="00171B01">
        <w:rPr>
          <w:rFonts w:ascii="Times New Roman" w:hAnsi="Times New Roman"/>
          <w:color w:val="000000"/>
          <w:lang w:val="lt-LT"/>
        </w:rPr>
        <w:t> </w:t>
      </w:r>
      <w:r w:rsidRPr="00816A48">
        <w:rPr>
          <w:rFonts w:ascii="Times New Roman" w:hAnsi="Times New Roman"/>
          <w:color w:val="000000"/>
          <w:lang w:val="lt-LT"/>
        </w:rPr>
        <w:t>%), kita dalis eliminuojama per inkstus nepakitusios medžiagos pavidalu.</w:t>
      </w:r>
    </w:p>
    <w:p w14:paraId="7B413FEF" w14:textId="20F1A899"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Nustatyta plati pusinės eliminacijos periodo amplitudė, dažniausiai nustatytas galutinis pusinės eliminacijos periodas truko nuo 10 iki 72 valandų. Apskaičiuotieji rodmenys dažniausiai priklauso nuo tyrimo trukmės, vartotos dozės ir tyrimo metodo jautrumo, todėl manoma, kad tikrasis galutinis pusinis periodas yra žymiai ilgesnis, kaip ir kitų bisfosfonatų. Iš pradžių koncentracija </w:t>
      </w:r>
      <w:r w:rsidR="00180B65">
        <w:rPr>
          <w:rFonts w:ascii="Times New Roman" w:hAnsi="Times New Roman"/>
          <w:color w:val="000000"/>
          <w:lang w:val="lt-LT"/>
        </w:rPr>
        <w:t xml:space="preserve">kraujo </w:t>
      </w:r>
      <w:r w:rsidRPr="00816A48">
        <w:rPr>
          <w:rFonts w:ascii="Times New Roman" w:hAnsi="Times New Roman"/>
          <w:color w:val="000000"/>
          <w:lang w:val="lt-LT"/>
        </w:rPr>
        <w:t>plazmoje greitai mažėja ir per 3 valandas po vaistinio preparato suleidimo į veną arba per 8 valandas po pavartojimo per burną sumažėja iki 10</w:t>
      </w:r>
      <w:r w:rsidR="00171B01">
        <w:rPr>
          <w:rFonts w:ascii="Times New Roman" w:hAnsi="Times New Roman"/>
          <w:color w:val="000000"/>
          <w:lang w:val="lt-LT"/>
        </w:rPr>
        <w:t> </w:t>
      </w:r>
      <w:r w:rsidRPr="00816A48">
        <w:rPr>
          <w:rFonts w:ascii="Times New Roman" w:hAnsi="Times New Roman"/>
          <w:color w:val="000000"/>
          <w:lang w:val="lt-LT"/>
        </w:rPr>
        <w:t>% didžiausios koncentracijos.</w:t>
      </w:r>
    </w:p>
    <w:p w14:paraId="113EA665" w14:textId="71DDCA40"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Bendrasis ibandrono rūgšties klirensas yra mažas, vidutiniai rodmenys yra 84</w:t>
      </w:r>
      <w:r w:rsidRPr="00816A48">
        <w:rPr>
          <w:rFonts w:ascii="Times New Roman" w:hAnsi="Times New Roman"/>
          <w:color w:val="000000"/>
          <w:lang w:val="lt-LT"/>
        </w:rPr>
        <w:noBreakHyphen/>
        <w:t>160 ml/min. ribose. Klirensas per inkstus (sveikų moterų po menopauzės maždaug 60 ml/min.) sudaro 50–60</w:t>
      </w:r>
      <w:r w:rsidR="00171B01">
        <w:rPr>
          <w:rFonts w:ascii="Times New Roman" w:hAnsi="Times New Roman"/>
          <w:color w:val="000000"/>
          <w:lang w:val="lt-LT"/>
        </w:rPr>
        <w:t> </w:t>
      </w:r>
      <w:r w:rsidRPr="00816A48">
        <w:rPr>
          <w:rFonts w:ascii="Times New Roman" w:hAnsi="Times New Roman"/>
          <w:color w:val="000000"/>
          <w:lang w:val="lt-LT"/>
        </w:rPr>
        <w:t>% bendrojo klirenso ir yra susijęs su kreatinino klirensu. Manoma, kad bendrojo ir klirenso per inkstus skirtumas parodo vaistinio preparato pasisavinimą į kaulus.</w:t>
      </w:r>
    </w:p>
    <w:p w14:paraId="2B8219D4"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3925A924" w14:textId="77777777" w:rsidR="00335C18" w:rsidRPr="00816A48" w:rsidRDefault="0084495E"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Atrodo, kad sekrecijoje nedalyvauja žinomos rūgščių ar šarmų transporto sistemos, dalyvaujančios šalinant kitas veikliąsias medžiagas </w:t>
      </w:r>
      <w:r w:rsidR="00335C18" w:rsidRPr="00816A48">
        <w:rPr>
          <w:rFonts w:ascii="Times New Roman" w:hAnsi="Times New Roman"/>
          <w:color w:val="000000"/>
          <w:lang w:val="lt-LT"/>
        </w:rPr>
        <w:t>(žr. 4.5 skyrių)</w:t>
      </w:r>
      <w:r w:rsidR="007E127E" w:rsidRPr="00816A48">
        <w:rPr>
          <w:rFonts w:ascii="Times New Roman" w:hAnsi="Times New Roman"/>
          <w:color w:val="000000"/>
          <w:lang w:val="lt-LT"/>
        </w:rPr>
        <w:t>. Be to, ibandrono rūgštis neslopina pagrindinio žmogaus kepenų izofermento P450 ir nesužadina kepenų citochromo P450 žiurkių organizme.</w:t>
      </w:r>
    </w:p>
    <w:p w14:paraId="74D69CB9" w14:textId="77777777" w:rsidR="00A90A70" w:rsidRPr="00816A48" w:rsidRDefault="00A90A70" w:rsidP="003D3259">
      <w:pPr>
        <w:autoSpaceDE w:val="0"/>
        <w:autoSpaceDN w:val="0"/>
        <w:adjustRightInd w:val="0"/>
        <w:spacing w:after="0" w:line="240" w:lineRule="auto"/>
        <w:rPr>
          <w:rFonts w:ascii="Times New Roman" w:hAnsi="Times New Roman"/>
          <w:color w:val="000000"/>
          <w:lang w:val="lt-LT"/>
        </w:rPr>
      </w:pPr>
    </w:p>
    <w:p w14:paraId="68474C75" w14:textId="77777777" w:rsidR="007750B7" w:rsidRPr="00816A48" w:rsidRDefault="007750B7" w:rsidP="00CD0447">
      <w:pPr>
        <w:keepNext/>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Farmakokinetika tam tikrų klinikinių aplinkybių atveju</w:t>
      </w:r>
    </w:p>
    <w:p w14:paraId="124D0A09" w14:textId="77777777" w:rsidR="007750B7" w:rsidRPr="00816A48" w:rsidRDefault="007750B7" w:rsidP="00CD0447">
      <w:pPr>
        <w:keepNext/>
        <w:autoSpaceDE w:val="0"/>
        <w:autoSpaceDN w:val="0"/>
        <w:adjustRightInd w:val="0"/>
        <w:spacing w:after="0" w:line="240" w:lineRule="auto"/>
        <w:rPr>
          <w:rFonts w:ascii="Times New Roman" w:hAnsi="Times New Roman"/>
          <w:color w:val="000000"/>
          <w:lang w:val="lt-LT"/>
        </w:rPr>
      </w:pPr>
    </w:p>
    <w:p w14:paraId="3086B378" w14:textId="77777777" w:rsidR="007750B7" w:rsidRPr="00816A48" w:rsidRDefault="007750B7" w:rsidP="003D3259">
      <w:pPr>
        <w:autoSpaceDE w:val="0"/>
        <w:autoSpaceDN w:val="0"/>
        <w:adjustRightInd w:val="0"/>
        <w:spacing w:after="0" w:line="240" w:lineRule="auto"/>
        <w:rPr>
          <w:rFonts w:ascii="Times New Roman" w:hAnsi="Times New Roman"/>
          <w:i/>
          <w:color w:val="000000"/>
          <w:lang w:val="lt-LT"/>
        </w:rPr>
      </w:pPr>
      <w:r w:rsidRPr="00816A48">
        <w:rPr>
          <w:rFonts w:ascii="Times New Roman" w:hAnsi="Times New Roman"/>
          <w:i/>
          <w:color w:val="000000"/>
          <w:lang w:val="lt-LT"/>
        </w:rPr>
        <w:t>Lytis</w:t>
      </w:r>
    </w:p>
    <w:p w14:paraId="3A9FBEE9"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Ibandrono rūgšties farmakokinetika moterų ir vyrų organizme yra panaši.</w:t>
      </w:r>
    </w:p>
    <w:p w14:paraId="1D6BD2F4"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4C889A1B" w14:textId="77777777" w:rsidR="007750B7" w:rsidRPr="00816A48" w:rsidRDefault="007750B7" w:rsidP="003D3259">
      <w:pPr>
        <w:autoSpaceDE w:val="0"/>
        <w:autoSpaceDN w:val="0"/>
        <w:adjustRightInd w:val="0"/>
        <w:spacing w:after="0" w:line="240" w:lineRule="auto"/>
        <w:rPr>
          <w:rFonts w:ascii="Times New Roman" w:hAnsi="Times New Roman"/>
          <w:i/>
          <w:color w:val="000000"/>
          <w:lang w:val="lt-LT"/>
        </w:rPr>
      </w:pPr>
      <w:r w:rsidRPr="00816A48">
        <w:rPr>
          <w:rFonts w:ascii="Times New Roman" w:hAnsi="Times New Roman"/>
          <w:i/>
          <w:color w:val="000000"/>
          <w:lang w:val="lt-LT"/>
        </w:rPr>
        <w:lastRenderedPageBreak/>
        <w:t>Rasė</w:t>
      </w:r>
    </w:p>
    <w:p w14:paraId="2F8CD1E1"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Duomenų apie kokius nors kliniškai reikšmingus etninius ibandrono rūgšties savybių skirtumus azijiečių ir baltųjų organizme negauta. Duomenys apie pacientus, kilusius iš Afrikos, yra negausūs.</w:t>
      </w:r>
    </w:p>
    <w:p w14:paraId="485C76EF"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1E4B92A2" w14:textId="77777777" w:rsidR="007750B7" w:rsidRPr="00816A48" w:rsidRDefault="00C5643B" w:rsidP="003D3259">
      <w:pPr>
        <w:autoSpaceDE w:val="0"/>
        <w:autoSpaceDN w:val="0"/>
        <w:adjustRightInd w:val="0"/>
        <w:spacing w:after="0" w:line="240" w:lineRule="auto"/>
        <w:rPr>
          <w:rFonts w:ascii="Times New Roman" w:hAnsi="Times New Roman"/>
          <w:i/>
          <w:color w:val="000000"/>
          <w:lang w:val="lt-LT"/>
        </w:rPr>
      </w:pPr>
      <w:r w:rsidRPr="00816A48">
        <w:rPr>
          <w:rFonts w:ascii="Times New Roman" w:hAnsi="Times New Roman"/>
          <w:i/>
          <w:iCs/>
          <w:color w:val="000000"/>
          <w:lang w:val="lt-LT"/>
        </w:rPr>
        <w:t>Sutrikusi inkstų funkcija</w:t>
      </w:r>
    </w:p>
    <w:p w14:paraId="5445023A"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Ibandrono rūgšties klirensas per inkstus iš pacientų, kuriems yra įvairaus laipsnio inkstų funkcijos sutrikimas, organizmo tiesiogiai priklauso nuo kreatinino klirenso.</w:t>
      </w:r>
    </w:p>
    <w:p w14:paraId="76735FCE"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432F61E3"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Pacientai, kuriems yra lengvas ar vidutinio sunkumo inkstų funkcijos sutrikimas (kreatinino klirensas yra 30 ml/min. arba didesnis), dozės keisti nebūtina.</w:t>
      </w:r>
    </w:p>
    <w:p w14:paraId="0BCB2BA4" w14:textId="7C03EA96"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21 parą 10 mg ibandrono rūgšties paros dozę vartojusių tiriamųjų, kuriems buvo sunkus inkstų funkcijos sutrikimas (kreatinino klirensas mažesnis kaip 30 ml/min.), </w:t>
      </w:r>
      <w:r w:rsidR="00180B65">
        <w:rPr>
          <w:rFonts w:ascii="Times New Roman" w:hAnsi="Times New Roman"/>
          <w:color w:val="000000"/>
          <w:lang w:val="lt-LT"/>
        </w:rPr>
        <w:t xml:space="preserve">kraujo </w:t>
      </w:r>
      <w:r w:rsidRPr="00816A48">
        <w:rPr>
          <w:rFonts w:ascii="Times New Roman" w:hAnsi="Times New Roman"/>
          <w:color w:val="000000"/>
          <w:lang w:val="lt-LT"/>
        </w:rPr>
        <w:t>plazmoje buvo išmatuota 2</w:t>
      </w:r>
      <w:r w:rsidRPr="00816A48">
        <w:rPr>
          <w:rFonts w:ascii="Times New Roman" w:hAnsi="Times New Roman"/>
          <w:color w:val="000000"/>
          <w:lang w:val="lt-LT"/>
        </w:rPr>
        <w:noBreakHyphen/>
        <w:t xml:space="preserve">3 kartus didesnė vaistinio preparato koncentracija nei tiriamųjų, kurių inkstų funkcija buvo normali, o bendrasis ibandrono rūgšties klirensas buvo 44 ml/min. Tiriamųjų, kuriems buvo sunkus inkstų </w:t>
      </w:r>
      <w:r w:rsidR="006A128B" w:rsidRPr="00816A48">
        <w:rPr>
          <w:rFonts w:ascii="Times New Roman" w:hAnsi="Times New Roman"/>
          <w:color w:val="000000"/>
          <w:lang w:val="lt-LT"/>
        </w:rPr>
        <w:t>nepakankamumas</w:t>
      </w:r>
      <w:r w:rsidRPr="00816A48">
        <w:rPr>
          <w:rFonts w:ascii="Times New Roman" w:hAnsi="Times New Roman"/>
          <w:color w:val="000000"/>
          <w:lang w:val="lt-LT"/>
        </w:rPr>
        <w:t xml:space="preserve"> ir kuriems į veną buvo suleista 0,5 mg ibandrono rūgšties dozė, bendrasis klirensas, klirensas per inkstus ir ne per inkstus sumažėjo atitinkamai 67</w:t>
      </w:r>
      <w:r w:rsidR="00171B01">
        <w:rPr>
          <w:rFonts w:ascii="Times New Roman" w:hAnsi="Times New Roman"/>
          <w:color w:val="000000"/>
          <w:lang w:val="lt-LT"/>
        </w:rPr>
        <w:t> </w:t>
      </w:r>
      <w:r w:rsidRPr="00816A48">
        <w:rPr>
          <w:rFonts w:ascii="Times New Roman" w:hAnsi="Times New Roman"/>
          <w:color w:val="000000"/>
          <w:lang w:val="lt-LT"/>
        </w:rPr>
        <w:t>%, 77</w:t>
      </w:r>
      <w:r w:rsidR="00171B01">
        <w:rPr>
          <w:rFonts w:ascii="Times New Roman" w:hAnsi="Times New Roman"/>
          <w:color w:val="000000"/>
          <w:lang w:val="lt-LT"/>
        </w:rPr>
        <w:t> </w:t>
      </w:r>
      <w:r w:rsidRPr="00816A48">
        <w:rPr>
          <w:rFonts w:ascii="Times New Roman" w:hAnsi="Times New Roman"/>
          <w:color w:val="000000"/>
          <w:lang w:val="lt-LT"/>
        </w:rPr>
        <w:t>% ir 50</w:t>
      </w:r>
      <w:r w:rsidR="00171B01">
        <w:rPr>
          <w:rFonts w:ascii="Times New Roman" w:hAnsi="Times New Roman"/>
          <w:color w:val="000000"/>
          <w:lang w:val="lt-LT"/>
        </w:rPr>
        <w:t> </w:t>
      </w:r>
      <w:r w:rsidRPr="00816A48">
        <w:rPr>
          <w:rFonts w:ascii="Times New Roman" w:hAnsi="Times New Roman"/>
          <w:color w:val="000000"/>
          <w:lang w:val="lt-LT"/>
        </w:rPr>
        <w:t>%, tačiau toleravimo sumažėjimo dėl padidėjusios ekspozicijos nenustatyta. Klinikinė patirtis yra ribota, todėl ibandrono rūgšties nerekomenduojama vartoti pacientėms, kurioms yra sunkus inkstų funkcijos sutrikimas (žr. 4.2 ir 4.4 skyrius). Ibandrono rūgšties farmakokinetika nebuvo įvertinta pacientams, kurie serga galutinės stadijos inkstų liga, gydoma kitaip nei atliekant hemodializes, todėl ibandrono rūgšties farmakokinetika tokių pacientų organizme nežinoma. Kadangi yra tik riboti duomenys, ibandrono rūgšties negalima vartoti visiems pacientams, kurie serga galutinės stadijos inkstų liga.</w:t>
      </w:r>
    </w:p>
    <w:p w14:paraId="0C55F4D1"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589DBF48" w14:textId="77777777" w:rsidR="007750B7" w:rsidRPr="00816A48" w:rsidRDefault="00C5643B" w:rsidP="003D3259">
      <w:pPr>
        <w:autoSpaceDE w:val="0"/>
        <w:autoSpaceDN w:val="0"/>
        <w:adjustRightInd w:val="0"/>
        <w:spacing w:after="0" w:line="240" w:lineRule="auto"/>
        <w:rPr>
          <w:rFonts w:ascii="Times New Roman" w:hAnsi="Times New Roman"/>
          <w:i/>
          <w:iCs/>
          <w:color w:val="000000"/>
          <w:lang w:val="lt-LT"/>
        </w:rPr>
      </w:pPr>
      <w:r w:rsidRPr="00816A48">
        <w:rPr>
          <w:rFonts w:ascii="Times New Roman" w:hAnsi="Times New Roman"/>
          <w:i/>
          <w:iCs/>
          <w:color w:val="000000"/>
          <w:lang w:val="lt-LT"/>
        </w:rPr>
        <w:t>Sutrikusi kepenų funkcija</w:t>
      </w:r>
      <w:r w:rsidR="00A90A70" w:rsidRPr="00816A48">
        <w:rPr>
          <w:rFonts w:ascii="Times New Roman" w:hAnsi="Times New Roman"/>
          <w:i/>
          <w:iCs/>
          <w:color w:val="000000"/>
          <w:lang w:val="lt-LT"/>
        </w:rPr>
        <w:t xml:space="preserve"> (</w:t>
      </w:r>
      <w:r w:rsidR="00582230" w:rsidRPr="00816A48">
        <w:rPr>
          <w:rFonts w:ascii="Times New Roman" w:hAnsi="Times New Roman"/>
          <w:i/>
          <w:iCs/>
          <w:color w:val="000000"/>
          <w:lang w:val="lt-LT"/>
        </w:rPr>
        <w:t>žr. 4.2 skyrių</w:t>
      </w:r>
      <w:r w:rsidR="00A90A70" w:rsidRPr="00816A48">
        <w:rPr>
          <w:rFonts w:ascii="Times New Roman" w:hAnsi="Times New Roman"/>
          <w:i/>
          <w:iCs/>
          <w:color w:val="000000"/>
          <w:lang w:val="lt-LT"/>
        </w:rPr>
        <w:t>)</w:t>
      </w:r>
    </w:p>
    <w:p w14:paraId="36C00054"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Duomenų apie ibandrono rūgšties farmakokinetiką pacientų, kuriems yra kepenų funkcijos sutrikimas, organizme nėra. Kepenys nedaro reikšmingos įtakos ibandrono rūgšties klirensui, nes vaistinis preparatas nemetabolizuojamas, bet šalinamas ekskrecijos per inkstus būdu arba pasisavinamas į kaulus. Todėl pacientams, kuriems yra kepenų funkcijos sutrikimas, dozės keisti nebūtina.</w:t>
      </w:r>
    </w:p>
    <w:p w14:paraId="7ED961D1"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748A7DD1" w14:textId="3D4B774D" w:rsidR="007750B7" w:rsidRPr="00816A48" w:rsidRDefault="007750B7" w:rsidP="003D3259">
      <w:pPr>
        <w:autoSpaceDE w:val="0"/>
        <w:autoSpaceDN w:val="0"/>
        <w:adjustRightInd w:val="0"/>
        <w:spacing w:after="0" w:line="240" w:lineRule="auto"/>
        <w:rPr>
          <w:rFonts w:ascii="Times New Roman" w:hAnsi="Times New Roman"/>
          <w:i/>
          <w:color w:val="000000"/>
          <w:lang w:val="lt-LT"/>
        </w:rPr>
      </w:pPr>
      <w:r w:rsidRPr="00816A48">
        <w:rPr>
          <w:rFonts w:ascii="Times New Roman" w:hAnsi="Times New Roman"/>
          <w:i/>
          <w:color w:val="000000"/>
          <w:lang w:val="lt-LT"/>
        </w:rPr>
        <w:t>Senyv</w:t>
      </w:r>
      <w:r w:rsidR="00AA35EE">
        <w:rPr>
          <w:rFonts w:ascii="Times New Roman" w:hAnsi="Times New Roman"/>
          <w:i/>
          <w:color w:val="000000"/>
          <w:lang w:val="lt-LT"/>
        </w:rPr>
        <w:t>i pacientai</w:t>
      </w:r>
      <w:r w:rsidR="00A90A70" w:rsidRPr="00816A48">
        <w:rPr>
          <w:rFonts w:ascii="Times New Roman" w:hAnsi="Times New Roman"/>
          <w:i/>
          <w:iCs/>
          <w:color w:val="000000"/>
          <w:lang w:val="lt-LT"/>
        </w:rPr>
        <w:t xml:space="preserve"> </w:t>
      </w:r>
      <w:r w:rsidR="00582230" w:rsidRPr="00816A48">
        <w:rPr>
          <w:rFonts w:ascii="Times New Roman" w:hAnsi="Times New Roman"/>
          <w:i/>
          <w:iCs/>
          <w:color w:val="000000"/>
          <w:lang w:val="lt-LT"/>
        </w:rPr>
        <w:t>(žr. 4.2 skyrių)</w:t>
      </w:r>
    </w:p>
    <w:p w14:paraId="0009B48A" w14:textId="7C2E6120"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Daugiamatės analizės duomenimis, amžius nėra nei vieno tirto farmakokinetikos parametro nepriklausomas veiksnys. Senstant inkstų funkcija silpnėja, todėl inkstų funkcija yra vienintelis veiksnys, į kurį reikia atsižvelgti (žr. skyrelį „</w:t>
      </w:r>
      <w:r w:rsidR="00180B65">
        <w:rPr>
          <w:rFonts w:ascii="Times New Roman" w:hAnsi="Times New Roman"/>
          <w:color w:val="000000"/>
          <w:lang w:val="lt-LT"/>
        </w:rPr>
        <w:t>Surikusi inkstų funkcija</w:t>
      </w:r>
      <w:r w:rsidRPr="00816A48">
        <w:rPr>
          <w:rFonts w:ascii="Times New Roman" w:hAnsi="Times New Roman"/>
          <w:color w:val="000000"/>
          <w:lang w:val="lt-LT"/>
        </w:rPr>
        <w:t>“).</w:t>
      </w:r>
    </w:p>
    <w:p w14:paraId="0F5FBE1E"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670D5047" w14:textId="77777777" w:rsidR="007750B7" w:rsidRPr="00816A48" w:rsidRDefault="007750B7" w:rsidP="003D3259">
      <w:pPr>
        <w:autoSpaceDE w:val="0"/>
        <w:autoSpaceDN w:val="0"/>
        <w:adjustRightInd w:val="0"/>
        <w:spacing w:after="0" w:line="240" w:lineRule="auto"/>
        <w:rPr>
          <w:rFonts w:ascii="Times New Roman" w:hAnsi="Times New Roman"/>
          <w:i/>
          <w:iCs/>
          <w:color w:val="000000"/>
          <w:lang w:val="lt-LT"/>
        </w:rPr>
      </w:pPr>
      <w:r w:rsidRPr="00816A48">
        <w:rPr>
          <w:rFonts w:ascii="Times New Roman" w:hAnsi="Times New Roman"/>
          <w:i/>
          <w:iCs/>
          <w:color w:val="000000"/>
          <w:lang w:val="lt-LT"/>
        </w:rPr>
        <w:t>Vaik</w:t>
      </w:r>
      <w:r w:rsidR="00582230" w:rsidRPr="00816A48">
        <w:rPr>
          <w:rFonts w:ascii="Times New Roman" w:hAnsi="Times New Roman"/>
          <w:i/>
          <w:iCs/>
          <w:color w:val="000000"/>
          <w:lang w:val="lt-LT"/>
        </w:rPr>
        <w:t>ų populiacija</w:t>
      </w:r>
      <w:r w:rsidR="00A90A70" w:rsidRPr="00816A48">
        <w:rPr>
          <w:rFonts w:ascii="Times New Roman" w:eastAsia="MS Mincho" w:hAnsi="Times New Roman"/>
          <w:i/>
          <w:lang w:val="lt-LT" w:eastAsia="fr-FR"/>
        </w:rPr>
        <w:t xml:space="preserve"> </w:t>
      </w:r>
      <w:r w:rsidR="00582230" w:rsidRPr="00816A48">
        <w:rPr>
          <w:rFonts w:ascii="Times New Roman" w:eastAsia="MS Mincho" w:hAnsi="Times New Roman"/>
          <w:i/>
          <w:lang w:val="lt-LT" w:eastAsia="fr-FR"/>
        </w:rPr>
        <w:t>(žr. 4.2 ir 5.1</w:t>
      </w:r>
      <w:r w:rsidR="0084657A" w:rsidRPr="00816A48">
        <w:rPr>
          <w:rFonts w:ascii="Times New Roman" w:eastAsia="MS Mincho" w:hAnsi="Times New Roman"/>
          <w:i/>
          <w:lang w:val="lt-LT" w:eastAsia="fr-FR"/>
        </w:rPr>
        <w:t> </w:t>
      </w:r>
      <w:r w:rsidR="00582230" w:rsidRPr="00816A48">
        <w:rPr>
          <w:rFonts w:ascii="Times New Roman" w:eastAsia="MS Mincho" w:hAnsi="Times New Roman"/>
          <w:i/>
          <w:lang w:val="lt-LT" w:eastAsia="fr-FR"/>
        </w:rPr>
        <w:t>skyrius)</w:t>
      </w:r>
    </w:p>
    <w:p w14:paraId="04CD90F4"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Duomenų apie ibandrono rūgšties vartojimą šios amžiaus grupės pacientams nėra.</w:t>
      </w:r>
    </w:p>
    <w:p w14:paraId="5D3E83C8"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425270C3" w14:textId="77777777" w:rsidR="007750B7" w:rsidRPr="00816A48" w:rsidRDefault="007750B7" w:rsidP="003D3259">
      <w:pPr>
        <w:keepNext/>
        <w:tabs>
          <w:tab w:val="left" w:pos="567"/>
        </w:tabs>
        <w:spacing w:after="0" w:line="240" w:lineRule="auto"/>
        <w:rPr>
          <w:rFonts w:ascii="Times New Roman" w:hAnsi="Times New Roman"/>
          <w:b/>
          <w:lang w:val="lt-LT"/>
        </w:rPr>
      </w:pPr>
      <w:r w:rsidRPr="00816A48">
        <w:rPr>
          <w:rFonts w:ascii="Times New Roman" w:hAnsi="Times New Roman"/>
          <w:b/>
          <w:lang w:val="lt-LT"/>
        </w:rPr>
        <w:t>5.3</w:t>
      </w:r>
      <w:r w:rsidRPr="00816A48">
        <w:rPr>
          <w:rFonts w:ascii="Times New Roman" w:hAnsi="Times New Roman"/>
          <w:b/>
          <w:lang w:val="lt-LT"/>
        </w:rPr>
        <w:tab/>
        <w:t>Ikiklinikinių saugumo tyrimų duomenys</w:t>
      </w:r>
    </w:p>
    <w:p w14:paraId="6FBCD243"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39DB43FC"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Toksinis poveikis (pvz., inkstų pažaidos požymiai) šunims buvo pastebėtas tik kai ekspozicija buvo tokia, kuri laikoma pakankamai viršijančia maksimalią žmogui, todėl jo klinikinė reikšmė yra maža. </w:t>
      </w:r>
    </w:p>
    <w:p w14:paraId="2BCBE6E6"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4865E2EA" w14:textId="77777777" w:rsidR="007750B7" w:rsidRPr="00816A48" w:rsidRDefault="007750B7" w:rsidP="003D3259">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Mutageniškumas, kancerogeniškumas</w:t>
      </w:r>
    </w:p>
    <w:p w14:paraId="07BF114A"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Galimo kancerogeninio poveikio rizikos nepastebėta. Genotoksiškumo tyrimai ibandrono rūgšties poveikio genų aktyvumui neparodė.</w:t>
      </w:r>
    </w:p>
    <w:p w14:paraId="4806F509"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4DF33A1A" w14:textId="77777777" w:rsidR="007750B7" w:rsidRPr="00816A48" w:rsidRDefault="007750B7" w:rsidP="003D3259">
      <w:pPr>
        <w:autoSpaceDE w:val="0"/>
        <w:autoSpaceDN w:val="0"/>
        <w:adjustRightInd w:val="0"/>
        <w:spacing w:after="0" w:line="240" w:lineRule="auto"/>
        <w:rPr>
          <w:rFonts w:ascii="Times New Roman" w:hAnsi="Times New Roman"/>
          <w:color w:val="000000"/>
          <w:u w:val="single"/>
          <w:lang w:val="lt-LT"/>
        </w:rPr>
      </w:pPr>
      <w:r w:rsidRPr="00816A48">
        <w:rPr>
          <w:rFonts w:ascii="Times New Roman" w:hAnsi="Times New Roman"/>
          <w:color w:val="000000"/>
          <w:u w:val="single"/>
          <w:lang w:val="lt-LT"/>
        </w:rPr>
        <w:t>Toksinis poveikis reprodukcijai</w:t>
      </w:r>
    </w:p>
    <w:p w14:paraId="0708DD80" w14:textId="4F7077A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Specialių dozavimo kas 3 mėnesius tyrimų neatlikta. Tiriant žiurkes ir triušius, kuriems į veną buvo suleistos ibandrono rūgšties paros dozės, tiesioginio toksinio ar teratogeninio poveikio vaisiui nenustatyta. Sumažėjo F</w:t>
      </w:r>
      <w:r w:rsidRPr="00816A48">
        <w:rPr>
          <w:rFonts w:ascii="Times New Roman" w:hAnsi="Times New Roman"/>
          <w:color w:val="000000"/>
          <w:vertAlign w:val="subscript"/>
          <w:lang w:val="lt-LT"/>
        </w:rPr>
        <w:t>1</w:t>
      </w:r>
      <w:r w:rsidRPr="00816A48">
        <w:rPr>
          <w:rFonts w:ascii="Times New Roman" w:hAnsi="Times New Roman"/>
          <w:color w:val="000000"/>
          <w:lang w:val="lt-LT"/>
        </w:rPr>
        <w:t xml:space="preserve"> kartos žiurkiukų kūno masė. </w:t>
      </w:r>
      <w:r w:rsidR="001A6428" w:rsidRPr="00816A48">
        <w:rPr>
          <w:rFonts w:ascii="Times New Roman" w:hAnsi="Times New Roman"/>
          <w:lang w:val="lt-LT"/>
        </w:rPr>
        <w:t>1</w:t>
      </w:r>
      <w:r w:rsidR="00171B01">
        <w:rPr>
          <w:rFonts w:ascii="Times New Roman" w:hAnsi="Times New Roman"/>
          <w:lang w:val="lt-LT"/>
        </w:rPr>
        <w:t> </w:t>
      </w:r>
      <w:r w:rsidR="001A6428" w:rsidRPr="00816A48">
        <w:rPr>
          <w:rFonts w:ascii="Times New Roman" w:hAnsi="Times New Roman"/>
          <w:lang w:val="lt-LT"/>
        </w:rPr>
        <w:t>mg/kg/per parą ir didesnių geriamosios ibandrono rūgšties dozių poveikio reprodukcijai tyrimų su žiurkėmis metu nustatyti poveikiai vaisingumui buvo padažnėję preimplantaciniai netekimai. 0,3</w:t>
      </w:r>
      <w:r w:rsidR="00171B01">
        <w:rPr>
          <w:rFonts w:ascii="Times New Roman" w:hAnsi="Times New Roman"/>
          <w:lang w:val="lt-LT"/>
        </w:rPr>
        <w:t> </w:t>
      </w:r>
      <w:r w:rsidR="001A6428" w:rsidRPr="00816A48">
        <w:rPr>
          <w:rFonts w:ascii="Times New Roman" w:hAnsi="Times New Roman"/>
          <w:lang w:val="lt-LT"/>
        </w:rPr>
        <w:t>mg/kg ir 1 mg/kg per parą vartojamos į veną ibandrono rūgšties dozių poveikio reprodukcijai tyrimų su žiurkėmis metu ibandrono rūgštis sumažino spermatozoidų skaičių, 1</w:t>
      </w:r>
      <w:r w:rsidR="00171B01">
        <w:rPr>
          <w:rFonts w:ascii="Times New Roman" w:hAnsi="Times New Roman"/>
          <w:lang w:val="lt-LT"/>
        </w:rPr>
        <w:t> </w:t>
      </w:r>
      <w:r w:rsidR="001A6428" w:rsidRPr="00816A48">
        <w:rPr>
          <w:rFonts w:ascii="Times New Roman" w:hAnsi="Times New Roman"/>
          <w:lang w:val="lt-LT"/>
        </w:rPr>
        <w:t>mg/kg per parą dozės sumažino patinėlių vaisingumą, o 1,2</w:t>
      </w:r>
      <w:r w:rsidR="00171B01">
        <w:rPr>
          <w:rFonts w:ascii="Times New Roman" w:hAnsi="Times New Roman"/>
          <w:lang w:val="lt-LT"/>
        </w:rPr>
        <w:t> </w:t>
      </w:r>
      <w:r w:rsidR="001A6428" w:rsidRPr="00816A48">
        <w:rPr>
          <w:rFonts w:ascii="Times New Roman" w:hAnsi="Times New Roman"/>
          <w:lang w:val="lt-LT"/>
        </w:rPr>
        <w:t xml:space="preserve">mg/kg per parą dozės – patelių vaisingumą. </w:t>
      </w:r>
      <w:r w:rsidRPr="00816A48">
        <w:rPr>
          <w:rFonts w:ascii="Times New Roman" w:hAnsi="Times New Roman"/>
          <w:color w:val="000000"/>
          <w:lang w:val="lt-LT"/>
        </w:rPr>
        <w:t xml:space="preserve">Kitos nepageidaujamos reakcijos, kurios pasireiškė tiriant toksinį poveikį žiurkių reprodukcijai, buvo bisfosfonatų grupei būdingas nepageidaujamas poveikis. Tai yra </w:t>
      </w:r>
      <w:r w:rsidRPr="00816A48">
        <w:rPr>
          <w:rFonts w:ascii="Times New Roman" w:hAnsi="Times New Roman"/>
          <w:color w:val="000000"/>
          <w:lang w:val="lt-LT"/>
        </w:rPr>
        <w:lastRenderedPageBreak/>
        <w:t>sumažėjęs implantacijos vietų skaičius, pasunkėjęs natūralus jauniklių atsivedimas (distocija) ir padažnėję vidaus organų pokyčiai (inkstų geldelių ir šlapimtakių sindromas).</w:t>
      </w:r>
    </w:p>
    <w:p w14:paraId="7A263A1C"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2790305F" w14:textId="77777777" w:rsidR="007750B7" w:rsidRPr="00816A48" w:rsidRDefault="007750B7" w:rsidP="00861232">
      <w:pPr>
        <w:pStyle w:val="Default"/>
        <w:rPr>
          <w:sz w:val="22"/>
          <w:szCs w:val="22"/>
          <w:lang w:val="lt-LT"/>
        </w:rPr>
      </w:pPr>
    </w:p>
    <w:p w14:paraId="619C6B13" w14:textId="77777777" w:rsidR="007750B7" w:rsidRPr="00816A48" w:rsidRDefault="007750B7" w:rsidP="00CE74AB">
      <w:pPr>
        <w:pStyle w:val="Default"/>
        <w:keepNext/>
        <w:keepLines/>
        <w:ind w:left="540" w:hanging="540"/>
        <w:rPr>
          <w:b/>
          <w:caps/>
          <w:sz w:val="22"/>
          <w:szCs w:val="22"/>
          <w:lang w:val="lt-LT"/>
        </w:rPr>
      </w:pPr>
      <w:r w:rsidRPr="00816A48">
        <w:rPr>
          <w:b/>
          <w:sz w:val="22"/>
          <w:szCs w:val="22"/>
          <w:lang w:val="lt-LT"/>
        </w:rPr>
        <w:t>6.</w:t>
      </w:r>
      <w:r w:rsidRPr="00816A48">
        <w:rPr>
          <w:b/>
          <w:sz w:val="22"/>
          <w:szCs w:val="22"/>
          <w:lang w:val="lt-LT"/>
        </w:rPr>
        <w:tab/>
      </w:r>
      <w:r w:rsidRPr="00816A48">
        <w:rPr>
          <w:b/>
          <w:caps/>
          <w:sz w:val="22"/>
          <w:szCs w:val="22"/>
          <w:lang w:val="lt-LT"/>
        </w:rPr>
        <w:t>farmacinė informacija</w:t>
      </w:r>
    </w:p>
    <w:p w14:paraId="48C4AB71" w14:textId="77777777" w:rsidR="007750B7" w:rsidRPr="00816A48" w:rsidRDefault="007750B7" w:rsidP="00CE74AB">
      <w:pPr>
        <w:pStyle w:val="Default"/>
        <w:keepNext/>
        <w:keepLines/>
        <w:ind w:left="540" w:hanging="540"/>
        <w:rPr>
          <w:b/>
          <w:sz w:val="22"/>
          <w:szCs w:val="22"/>
          <w:lang w:val="lt-LT"/>
        </w:rPr>
      </w:pPr>
    </w:p>
    <w:p w14:paraId="3BF1EB56" w14:textId="77777777" w:rsidR="007750B7" w:rsidRPr="00816A48" w:rsidRDefault="007750B7" w:rsidP="00CE74AB">
      <w:pPr>
        <w:pStyle w:val="Default"/>
        <w:keepNext/>
        <w:keepLines/>
        <w:ind w:left="540" w:hanging="540"/>
        <w:rPr>
          <w:b/>
          <w:sz w:val="22"/>
          <w:szCs w:val="22"/>
          <w:lang w:val="lt-LT"/>
        </w:rPr>
      </w:pPr>
      <w:r w:rsidRPr="00816A48">
        <w:rPr>
          <w:b/>
          <w:sz w:val="22"/>
          <w:szCs w:val="22"/>
          <w:lang w:val="lt-LT"/>
        </w:rPr>
        <w:t>6.1</w:t>
      </w:r>
      <w:r w:rsidRPr="00816A48">
        <w:rPr>
          <w:b/>
          <w:sz w:val="22"/>
          <w:szCs w:val="22"/>
          <w:lang w:val="lt-LT"/>
        </w:rPr>
        <w:tab/>
        <w:t>Pagalbinių medžiagų sąrašas</w:t>
      </w:r>
    </w:p>
    <w:p w14:paraId="4ADE218D" w14:textId="77777777" w:rsidR="007750B7" w:rsidRPr="00816A48" w:rsidRDefault="007750B7" w:rsidP="00CE74AB">
      <w:pPr>
        <w:keepNext/>
        <w:keepLines/>
        <w:autoSpaceDE w:val="0"/>
        <w:autoSpaceDN w:val="0"/>
        <w:adjustRightInd w:val="0"/>
        <w:spacing w:after="0" w:line="240" w:lineRule="auto"/>
        <w:rPr>
          <w:rFonts w:ascii="Times New Roman" w:hAnsi="Times New Roman"/>
          <w:i/>
          <w:color w:val="000000"/>
          <w:lang w:val="lt-LT"/>
        </w:rPr>
      </w:pPr>
    </w:p>
    <w:p w14:paraId="46B9F9DC" w14:textId="77777777" w:rsidR="007750B7" w:rsidRPr="00816A48" w:rsidRDefault="007750B7" w:rsidP="00CE74AB">
      <w:pPr>
        <w:keepNext/>
        <w:keepLines/>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Natrio chloridas</w:t>
      </w:r>
    </w:p>
    <w:p w14:paraId="67B34C61" w14:textId="77777777" w:rsidR="007750B7" w:rsidRPr="00816A48" w:rsidRDefault="007750B7" w:rsidP="00CE74AB">
      <w:pPr>
        <w:keepNext/>
        <w:keepLines/>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Ledinė acto rūgštis</w:t>
      </w:r>
    </w:p>
    <w:p w14:paraId="64860ECF" w14:textId="77777777" w:rsidR="007750B7" w:rsidRPr="00816A48" w:rsidRDefault="007750B7" w:rsidP="00CE74AB">
      <w:pPr>
        <w:keepNext/>
        <w:keepLines/>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Natrio acetatas trihidratas</w:t>
      </w:r>
    </w:p>
    <w:p w14:paraId="05F318C8"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Injekcinis vanduo</w:t>
      </w:r>
    </w:p>
    <w:p w14:paraId="5A0A749D"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5E28A192" w14:textId="77777777" w:rsidR="007750B7" w:rsidRPr="00816A48" w:rsidRDefault="007750B7" w:rsidP="00861232">
      <w:pPr>
        <w:pStyle w:val="Default"/>
        <w:ind w:left="540" w:hanging="540"/>
        <w:rPr>
          <w:b/>
          <w:sz w:val="22"/>
          <w:szCs w:val="22"/>
          <w:lang w:val="lt-LT"/>
        </w:rPr>
      </w:pPr>
      <w:r w:rsidRPr="00816A48">
        <w:rPr>
          <w:b/>
          <w:sz w:val="22"/>
          <w:szCs w:val="22"/>
          <w:lang w:val="lt-LT"/>
        </w:rPr>
        <w:t>6.2</w:t>
      </w:r>
      <w:r w:rsidRPr="00816A48">
        <w:rPr>
          <w:b/>
          <w:sz w:val="22"/>
          <w:szCs w:val="22"/>
          <w:lang w:val="lt-LT"/>
        </w:rPr>
        <w:tab/>
        <w:t>Nesuderinamumas</w:t>
      </w:r>
    </w:p>
    <w:p w14:paraId="57CB4584"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2C36ACE0"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Osagrand injekcinio tirpalo negalima maišyti su tirpalais, kurių sudėtyje yra kalcio, arba kitais į veną leidžiamais vaistiniais preparatais.</w:t>
      </w:r>
    </w:p>
    <w:p w14:paraId="4892D1A2"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43811FE6" w14:textId="77777777" w:rsidR="007750B7" w:rsidRPr="00816A48" w:rsidRDefault="007750B7" w:rsidP="00861232">
      <w:pPr>
        <w:pStyle w:val="Default"/>
        <w:ind w:left="540" w:hanging="540"/>
        <w:rPr>
          <w:b/>
          <w:sz w:val="22"/>
          <w:szCs w:val="22"/>
          <w:lang w:val="lt-LT"/>
        </w:rPr>
      </w:pPr>
      <w:r w:rsidRPr="00816A48">
        <w:rPr>
          <w:b/>
          <w:sz w:val="22"/>
          <w:szCs w:val="22"/>
          <w:lang w:val="lt-LT"/>
        </w:rPr>
        <w:t>6.3</w:t>
      </w:r>
      <w:r w:rsidRPr="00816A48">
        <w:rPr>
          <w:b/>
          <w:sz w:val="22"/>
          <w:szCs w:val="22"/>
          <w:lang w:val="lt-LT"/>
        </w:rPr>
        <w:tab/>
        <w:t>Tinkamumo laikas</w:t>
      </w:r>
    </w:p>
    <w:p w14:paraId="4BB1918C"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76297D46"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2 metai.</w:t>
      </w:r>
    </w:p>
    <w:p w14:paraId="30B7E955"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1A7F21F2" w14:textId="77777777" w:rsidR="007750B7" w:rsidRPr="00816A48" w:rsidRDefault="007750B7" w:rsidP="00861232">
      <w:pPr>
        <w:pStyle w:val="Default"/>
        <w:ind w:left="540" w:hanging="540"/>
        <w:rPr>
          <w:b/>
          <w:sz w:val="22"/>
          <w:szCs w:val="22"/>
          <w:lang w:val="lt-LT"/>
        </w:rPr>
      </w:pPr>
      <w:r w:rsidRPr="00816A48">
        <w:rPr>
          <w:b/>
          <w:sz w:val="22"/>
          <w:szCs w:val="22"/>
          <w:lang w:val="lt-LT"/>
        </w:rPr>
        <w:t>6.4</w:t>
      </w:r>
      <w:r w:rsidRPr="00816A48">
        <w:rPr>
          <w:b/>
          <w:sz w:val="22"/>
          <w:szCs w:val="22"/>
          <w:lang w:val="lt-LT"/>
        </w:rPr>
        <w:tab/>
        <w:t>Specialios laikymo sąlygos</w:t>
      </w:r>
    </w:p>
    <w:p w14:paraId="1A460002"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0A7AFDF5"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Šiam vaistiniam preparatui specialių laikymo sąlygų nereikia.</w:t>
      </w:r>
    </w:p>
    <w:p w14:paraId="2B6D6072"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1E19B0FC" w14:textId="77777777" w:rsidR="007750B7" w:rsidRPr="00816A48" w:rsidRDefault="007750B7" w:rsidP="00861232">
      <w:pPr>
        <w:pStyle w:val="Default"/>
        <w:ind w:left="540" w:hanging="540"/>
        <w:rPr>
          <w:b/>
          <w:sz w:val="22"/>
          <w:szCs w:val="22"/>
          <w:lang w:val="lt-LT"/>
        </w:rPr>
      </w:pPr>
      <w:r w:rsidRPr="00816A48">
        <w:rPr>
          <w:b/>
          <w:sz w:val="22"/>
          <w:szCs w:val="22"/>
          <w:lang w:val="lt-LT"/>
        </w:rPr>
        <w:t>6.5</w:t>
      </w:r>
      <w:r w:rsidRPr="00816A48">
        <w:rPr>
          <w:b/>
          <w:sz w:val="22"/>
          <w:szCs w:val="22"/>
          <w:lang w:val="lt-LT"/>
        </w:rPr>
        <w:tab/>
      </w:r>
      <w:r w:rsidR="00604FE8" w:rsidRPr="00816A48">
        <w:rPr>
          <w:b/>
          <w:bCs/>
          <w:sz w:val="22"/>
          <w:szCs w:val="22"/>
          <w:lang w:val="lt-LT"/>
        </w:rPr>
        <w:t>Talpyklės pobūdis</w:t>
      </w:r>
      <w:r w:rsidRPr="00816A48">
        <w:rPr>
          <w:b/>
          <w:sz w:val="22"/>
          <w:szCs w:val="22"/>
          <w:lang w:val="lt-LT"/>
        </w:rPr>
        <w:t xml:space="preserve"> ir jos turinys</w:t>
      </w:r>
    </w:p>
    <w:p w14:paraId="5AA77688" w14:textId="77777777" w:rsidR="007750B7" w:rsidRPr="00816A48" w:rsidRDefault="007750B7" w:rsidP="00242DA5">
      <w:pPr>
        <w:autoSpaceDE w:val="0"/>
        <w:autoSpaceDN w:val="0"/>
        <w:adjustRightInd w:val="0"/>
        <w:spacing w:after="0" w:line="240" w:lineRule="auto"/>
        <w:rPr>
          <w:rFonts w:ascii="Times New Roman" w:hAnsi="Times New Roman"/>
          <w:color w:val="000000"/>
          <w:lang w:val="lt-LT"/>
        </w:rPr>
      </w:pPr>
    </w:p>
    <w:p w14:paraId="657B2814" w14:textId="77777777" w:rsidR="007750B7" w:rsidRPr="00816A48" w:rsidRDefault="007750B7" w:rsidP="0033112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Bespalvio stiklo ampulė, kurioje yra 3 ml injekcinio tirpalo.</w:t>
      </w:r>
    </w:p>
    <w:p w14:paraId="40BD7DF4" w14:textId="77777777" w:rsidR="007750B7" w:rsidRPr="00816A48" w:rsidRDefault="007750B7" w:rsidP="00DA1B4A">
      <w:pPr>
        <w:autoSpaceDE w:val="0"/>
        <w:autoSpaceDN w:val="0"/>
        <w:adjustRightInd w:val="0"/>
        <w:spacing w:after="0" w:line="240" w:lineRule="auto"/>
        <w:rPr>
          <w:rFonts w:ascii="Times New Roman" w:hAnsi="Times New Roman"/>
          <w:color w:val="000000"/>
          <w:lang w:val="lt-LT"/>
        </w:rPr>
      </w:pPr>
    </w:p>
    <w:p w14:paraId="4095C8B1" w14:textId="28AB23E7" w:rsidR="007750B7" w:rsidRPr="00816A48" w:rsidRDefault="007750B7" w:rsidP="00735AD3">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Pakuočių dydžiai: 1 arba 4</w:t>
      </w:r>
      <w:r w:rsidR="00171B01">
        <w:rPr>
          <w:rFonts w:ascii="Times New Roman" w:hAnsi="Times New Roman"/>
          <w:color w:val="000000"/>
          <w:lang w:val="lt-LT"/>
        </w:rPr>
        <w:t> </w:t>
      </w:r>
      <w:r w:rsidRPr="00816A48">
        <w:rPr>
          <w:rFonts w:ascii="Times New Roman" w:hAnsi="Times New Roman"/>
          <w:color w:val="000000"/>
          <w:lang w:val="lt-LT"/>
        </w:rPr>
        <w:t>ampulės.</w:t>
      </w:r>
    </w:p>
    <w:p w14:paraId="4D40F9FA" w14:textId="77777777" w:rsidR="007750B7" w:rsidRPr="00816A48" w:rsidRDefault="007750B7" w:rsidP="000F0A27">
      <w:pPr>
        <w:autoSpaceDE w:val="0"/>
        <w:autoSpaceDN w:val="0"/>
        <w:adjustRightInd w:val="0"/>
        <w:spacing w:after="0" w:line="240" w:lineRule="auto"/>
        <w:rPr>
          <w:rFonts w:ascii="Times New Roman" w:hAnsi="Times New Roman"/>
          <w:color w:val="000000"/>
          <w:lang w:val="lt-LT"/>
        </w:rPr>
      </w:pPr>
    </w:p>
    <w:p w14:paraId="50C2D731" w14:textId="77777777" w:rsidR="007750B7" w:rsidRPr="00816A48" w:rsidRDefault="007750B7" w:rsidP="000F0A27">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Gali būti tiekiamos ne visų dydžių pakuotės.</w:t>
      </w:r>
    </w:p>
    <w:p w14:paraId="5DC657CD" w14:textId="77777777" w:rsidR="007750B7" w:rsidRPr="00816A48" w:rsidRDefault="007750B7" w:rsidP="000A0BCD">
      <w:pPr>
        <w:autoSpaceDE w:val="0"/>
        <w:autoSpaceDN w:val="0"/>
        <w:adjustRightInd w:val="0"/>
        <w:spacing w:after="0" w:line="240" w:lineRule="auto"/>
        <w:rPr>
          <w:rFonts w:ascii="Times New Roman" w:hAnsi="Times New Roman"/>
          <w:color w:val="000000"/>
          <w:lang w:val="lt-LT"/>
        </w:rPr>
      </w:pPr>
    </w:p>
    <w:p w14:paraId="1D234DFC" w14:textId="77777777" w:rsidR="007750B7" w:rsidRPr="00816A48" w:rsidRDefault="007750B7" w:rsidP="00A761AB">
      <w:pPr>
        <w:keepNext/>
        <w:tabs>
          <w:tab w:val="left" w:pos="567"/>
        </w:tabs>
        <w:spacing w:after="0" w:line="240" w:lineRule="auto"/>
        <w:rPr>
          <w:rFonts w:ascii="Times New Roman" w:hAnsi="Times New Roman"/>
          <w:b/>
          <w:lang w:val="lt-LT"/>
        </w:rPr>
      </w:pPr>
      <w:r w:rsidRPr="00816A48">
        <w:rPr>
          <w:rFonts w:ascii="Times New Roman" w:hAnsi="Times New Roman"/>
          <w:b/>
          <w:lang w:val="lt-LT"/>
        </w:rPr>
        <w:t>6.6</w:t>
      </w:r>
      <w:r w:rsidRPr="00816A48">
        <w:rPr>
          <w:rFonts w:ascii="Times New Roman" w:hAnsi="Times New Roman"/>
          <w:b/>
          <w:lang w:val="lt-LT"/>
        </w:rPr>
        <w:tab/>
        <w:t>Specialūs reikalavimai atliekoms tvarkyti</w:t>
      </w:r>
    </w:p>
    <w:p w14:paraId="6E736F59" w14:textId="77777777" w:rsidR="007750B7" w:rsidRPr="00816A48" w:rsidRDefault="007750B7" w:rsidP="00A761AB">
      <w:pPr>
        <w:autoSpaceDE w:val="0"/>
        <w:autoSpaceDN w:val="0"/>
        <w:adjustRightInd w:val="0"/>
        <w:spacing w:after="0" w:line="240" w:lineRule="auto"/>
        <w:rPr>
          <w:rFonts w:ascii="Times New Roman" w:hAnsi="Times New Roman"/>
          <w:color w:val="000000"/>
          <w:lang w:val="lt-LT"/>
        </w:rPr>
      </w:pPr>
    </w:p>
    <w:p w14:paraId="5D838904" w14:textId="488D0D6A" w:rsidR="007750B7" w:rsidRPr="00816A48" w:rsidRDefault="007750B7" w:rsidP="00A761AB">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Jeigu vaistinis preparatas suleidžiamas į veną per esamą infuzinę sistemą, infuzijai į veną gali būti leidžiamas tik fiziologinis tirpalas arba 50 mg/ml (5</w:t>
      </w:r>
      <w:r w:rsidR="00171B01">
        <w:rPr>
          <w:rFonts w:ascii="Times New Roman" w:hAnsi="Times New Roman"/>
          <w:color w:val="000000"/>
          <w:lang w:val="lt-LT"/>
        </w:rPr>
        <w:t> </w:t>
      </w:r>
      <w:r w:rsidRPr="00816A48">
        <w:rPr>
          <w:rFonts w:ascii="Times New Roman" w:hAnsi="Times New Roman"/>
          <w:color w:val="000000"/>
          <w:lang w:val="lt-LT"/>
        </w:rPr>
        <w:t>%) gliukozės tirpalas. Toks reikalavimas taikomas ir tirpalams, kuriais praplaunamas peteliškės formos ar kitoks įtaisas.</w:t>
      </w:r>
    </w:p>
    <w:p w14:paraId="1A2C36A5" w14:textId="77777777" w:rsidR="007750B7" w:rsidRPr="00816A48" w:rsidRDefault="007750B7" w:rsidP="0062444B">
      <w:pPr>
        <w:autoSpaceDE w:val="0"/>
        <w:autoSpaceDN w:val="0"/>
        <w:adjustRightInd w:val="0"/>
        <w:spacing w:after="0" w:line="240" w:lineRule="auto"/>
        <w:rPr>
          <w:rFonts w:ascii="Times New Roman" w:hAnsi="Times New Roman"/>
          <w:color w:val="000000"/>
          <w:lang w:val="lt-LT"/>
        </w:rPr>
      </w:pPr>
    </w:p>
    <w:p w14:paraId="2D3929C4" w14:textId="77777777" w:rsidR="007750B7" w:rsidRPr="00816A48" w:rsidRDefault="007750B7" w:rsidP="00947F45">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Nesuvartotą injekcinį tirpalą ir ampules reikia tvarkyti laikantis vietinių reikalavimų. </w:t>
      </w:r>
      <w:r w:rsidRPr="00365C94">
        <w:rPr>
          <w:rStyle w:val="Emfaz"/>
          <w:rFonts w:ascii="Times New Roman" w:hAnsi="Times New Roman"/>
          <w:b w:val="0"/>
          <w:color w:val="000000"/>
          <w:lang w:val="lt-LT"/>
        </w:rPr>
        <w:t>Vaistinio preparato patekimą į aplinką</w:t>
      </w:r>
      <w:r w:rsidRPr="00816A48">
        <w:rPr>
          <w:rFonts w:ascii="Times New Roman" w:hAnsi="Times New Roman"/>
          <w:color w:val="000000"/>
          <w:lang w:val="lt-LT"/>
        </w:rPr>
        <w:t xml:space="preserve"> būtina kiek įmanoma sumažinti.</w:t>
      </w:r>
    </w:p>
    <w:p w14:paraId="0504052B"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0647089C"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6E21EECF" w14:textId="77777777" w:rsidR="007750B7" w:rsidRPr="00816A48" w:rsidRDefault="007750B7" w:rsidP="00F55F27">
      <w:pPr>
        <w:pStyle w:val="Default"/>
        <w:keepNext/>
        <w:ind w:left="540" w:hanging="540"/>
        <w:rPr>
          <w:b/>
          <w:sz w:val="22"/>
          <w:szCs w:val="22"/>
          <w:lang w:val="lt-LT"/>
        </w:rPr>
      </w:pPr>
      <w:r w:rsidRPr="00816A48">
        <w:rPr>
          <w:b/>
          <w:sz w:val="22"/>
          <w:szCs w:val="22"/>
          <w:lang w:val="lt-LT"/>
        </w:rPr>
        <w:t>7.</w:t>
      </w:r>
      <w:r w:rsidRPr="00816A48">
        <w:rPr>
          <w:b/>
          <w:sz w:val="22"/>
          <w:szCs w:val="22"/>
          <w:lang w:val="lt-LT"/>
        </w:rPr>
        <w:tab/>
      </w:r>
      <w:r w:rsidR="00587B63" w:rsidRPr="00816A48">
        <w:rPr>
          <w:b/>
          <w:sz w:val="22"/>
          <w:szCs w:val="22"/>
          <w:lang w:val="lt-LT"/>
        </w:rPr>
        <w:t>REGISTRUOTOJAS</w:t>
      </w:r>
    </w:p>
    <w:p w14:paraId="26D36680" w14:textId="77777777" w:rsidR="007750B7" w:rsidRPr="00816A48" w:rsidRDefault="007750B7" w:rsidP="00F55F27">
      <w:pPr>
        <w:pStyle w:val="Default"/>
        <w:keepNext/>
        <w:widowControl w:val="0"/>
        <w:suppressAutoHyphens/>
        <w:rPr>
          <w:sz w:val="22"/>
          <w:szCs w:val="22"/>
          <w:lang w:val="lt-LT"/>
        </w:rPr>
      </w:pPr>
    </w:p>
    <w:p w14:paraId="170FF42D" w14:textId="77777777" w:rsidR="007750B7" w:rsidRPr="00816A48" w:rsidRDefault="007750B7" w:rsidP="00861232">
      <w:pPr>
        <w:pStyle w:val="Default"/>
        <w:rPr>
          <w:sz w:val="22"/>
          <w:szCs w:val="22"/>
          <w:lang w:val="lt-LT"/>
        </w:rPr>
      </w:pPr>
      <w:r w:rsidRPr="00816A48">
        <w:rPr>
          <w:sz w:val="22"/>
          <w:szCs w:val="22"/>
          <w:lang w:val="lt-LT"/>
        </w:rPr>
        <w:t>Z</w:t>
      </w:r>
      <w:r w:rsidR="00F54EFD" w:rsidRPr="00816A48">
        <w:rPr>
          <w:sz w:val="22"/>
          <w:szCs w:val="22"/>
          <w:lang w:val="lt-LT"/>
        </w:rPr>
        <w:t>entiva</w:t>
      </w:r>
      <w:r w:rsidRPr="00816A48">
        <w:rPr>
          <w:sz w:val="22"/>
          <w:szCs w:val="22"/>
          <w:lang w:val="lt-LT"/>
        </w:rPr>
        <w:t xml:space="preserve">, k.s. </w:t>
      </w:r>
    </w:p>
    <w:p w14:paraId="5A171440" w14:textId="77777777" w:rsidR="007750B7" w:rsidRPr="00816A48" w:rsidRDefault="007750B7" w:rsidP="00861232">
      <w:pPr>
        <w:pStyle w:val="Default"/>
        <w:rPr>
          <w:sz w:val="22"/>
          <w:szCs w:val="22"/>
          <w:lang w:val="lt-LT"/>
        </w:rPr>
      </w:pPr>
      <w:r w:rsidRPr="00816A48">
        <w:rPr>
          <w:sz w:val="22"/>
          <w:szCs w:val="22"/>
          <w:lang w:val="lt-LT"/>
        </w:rPr>
        <w:t xml:space="preserve">U kabelovny 130 </w:t>
      </w:r>
    </w:p>
    <w:p w14:paraId="4270B40A" w14:textId="77777777" w:rsidR="007750B7" w:rsidRPr="00816A48" w:rsidRDefault="007750B7" w:rsidP="00861232">
      <w:pPr>
        <w:pStyle w:val="Default"/>
        <w:rPr>
          <w:sz w:val="22"/>
          <w:szCs w:val="22"/>
          <w:lang w:val="lt-LT"/>
        </w:rPr>
      </w:pPr>
      <w:r w:rsidRPr="00816A48">
        <w:rPr>
          <w:sz w:val="22"/>
          <w:szCs w:val="22"/>
          <w:lang w:val="lt-LT"/>
        </w:rPr>
        <w:t>Dolní Měcholupy</w:t>
      </w:r>
    </w:p>
    <w:p w14:paraId="78B7C6D6" w14:textId="542B7F1F" w:rsidR="007750B7" w:rsidRPr="00816A48" w:rsidRDefault="007750B7" w:rsidP="00861232">
      <w:pPr>
        <w:pStyle w:val="Default"/>
        <w:rPr>
          <w:sz w:val="22"/>
          <w:szCs w:val="22"/>
          <w:lang w:val="lt-LT"/>
        </w:rPr>
      </w:pPr>
      <w:r w:rsidRPr="00816A48">
        <w:rPr>
          <w:sz w:val="22"/>
          <w:szCs w:val="22"/>
          <w:lang w:val="lt-LT"/>
        </w:rPr>
        <w:t>102 37 Praha 10</w:t>
      </w:r>
    </w:p>
    <w:p w14:paraId="3D53EC77" w14:textId="77777777" w:rsidR="007750B7" w:rsidRPr="00816A48" w:rsidRDefault="007750B7" w:rsidP="00861232">
      <w:pPr>
        <w:pStyle w:val="Default"/>
        <w:rPr>
          <w:sz w:val="22"/>
          <w:szCs w:val="22"/>
          <w:lang w:val="lt-LT"/>
        </w:rPr>
      </w:pPr>
      <w:r w:rsidRPr="00816A48">
        <w:rPr>
          <w:sz w:val="22"/>
          <w:szCs w:val="22"/>
          <w:lang w:val="lt-LT"/>
        </w:rPr>
        <w:t>Čekija</w:t>
      </w:r>
    </w:p>
    <w:p w14:paraId="57A35A49" w14:textId="77777777" w:rsidR="007750B7" w:rsidRPr="00816A48" w:rsidRDefault="007750B7" w:rsidP="00861232">
      <w:pPr>
        <w:pStyle w:val="Default"/>
        <w:rPr>
          <w:sz w:val="22"/>
          <w:szCs w:val="22"/>
          <w:lang w:val="lt-LT"/>
        </w:rPr>
      </w:pPr>
    </w:p>
    <w:p w14:paraId="30CB802E" w14:textId="77777777" w:rsidR="007750B7" w:rsidRPr="00816A48" w:rsidRDefault="007750B7" w:rsidP="00861232">
      <w:pPr>
        <w:pStyle w:val="Default"/>
        <w:rPr>
          <w:color w:val="auto"/>
          <w:sz w:val="22"/>
          <w:szCs w:val="22"/>
          <w:lang w:val="lt-LT"/>
        </w:rPr>
      </w:pPr>
    </w:p>
    <w:p w14:paraId="0A014080" w14:textId="77777777" w:rsidR="007750B7" w:rsidRPr="00816A48" w:rsidRDefault="007750B7" w:rsidP="00861232">
      <w:pPr>
        <w:pStyle w:val="Default"/>
        <w:ind w:left="540" w:hanging="540"/>
        <w:rPr>
          <w:b/>
          <w:sz w:val="22"/>
          <w:szCs w:val="22"/>
          <w:lang w:val="lt-LT"/>
        </w:rPr>
      </w:pPr>
      <w:r w:rsidRPr="00816A48">
        <w:rPr>
          <w:b/>
          <w:sz w:val="22"/>
          <w:szCs w:val="22"/>
          <w:lang w:val="lt-LT"/>
        </w:rPr>
        <w:t>8.</w:t>
      </w:r>
      <w:r w:rsidRPr="00816A48">
        <w:rPr>
          <w:b/>
          <w:sz w:val="22"/>
          <w:szCs w:val="22"/>
          <w:lang w:val="lt-LT"/>
        </w:rPr>
        <w:tab/>
      </w:r>
      <w:r w:rsidR="00587B63" w:rsidRPr="00816A48">
        <w:rPr>
          <w:b/>
          <w:sz w:val="22"/>
          <w:szCs w:val="22"/>
          <w:lang w:val="lt-LT"/>
        </w:rPr>
        <w:t>REGISTRACIJOS</w:t>
      </w:r>
      <w:r w:rsidRPr="00816A48">
        <w:rPr>
          <w:b/>
          <w:sz w:val="22"/>
          <w:szCs w:val="22"/>
          <w:lang w:val="lt-LT"/>
        </w:rPr>
        <w:t xml:space="preserve"> </w:t>
      </w:r>
      <w:r w:rsidR="00582230" w:rsidRPr="00816A48">
        <w:rPr>
          <w:b/>
          <w:bCs/>
          <w:sz w:val="22"/>
          <w:szCs w:val="22"/>
          <w:lang w:val="lt-LT"/>
        </w:rPr>
        <w:t>PAŽYMĖJIMO</w:t>
      </w:r>
      <w:r w:rsidRPr="00816A48">
        <w:rPr>
          <w:b/>
          <w:sz w:val="22"/>
          <w:szCs w:val="22"/>
          <w:lang w:val="lt-LT"/>
        </w:rPr>
        <w:t xml:space="preserve"> </w:t>
      </w:r>
      <w:r w:rsidR="00311919" w:rsidRPr="00816A48">
        <w:rPr>
          <w:b/>
          <w:sz w:val="22"/>
          <w:szCs w:val="22"/>
          <w:lang w:val="lt-LT"/>
        </w:rPr>
        <w:t xml:space="preserve">NUMERIS </w:t>
      </w:r>
      <w:r w:rsidRPr="00816A48">
        <w:rPr>
          <w:b/>
          <w:sz w:val="22"/>
          <w:szCs w:val="22"/>
          <w:lang w:val="lt-LT"/>
        </w:rPr>
        <w:t>(-IAI)</w:t>
      </w:r>
    </w:p>
    <w:p w14:paraId="6D143588" w14:textId="77777777" w:rsidR="007750B7" w:rsidRPr="00816A48" w:rsidRDefault="007750B7" w:rsidP="00861232">
      <w:pPr>
        <w:pStyle w:val="Default"/>
        <w:rPr>
          <w:sz w:val="22"/>
          <w:szCs w:val="22"/>
          <w:lang w:val="lt-LT"/>
        </w:rPr>
      </w:pPr>
    </w:p>
    <w:p w14:paraId="3B5683BD" w14:textId="77777777" w:rsidR="007750B7" w:rsidRPr="00816A48" w:rsidRDefault="007750B7" w:rsidP="00861232">
      <w:pPr>
        <w:pStyle w:val="Default"/>
        <w:rPr>
          <w:sz w:val="22"/>
          <w:szCs w:val="22"/>
          <w:lang w:val="lt-LT"/>
        </w:rPr>
      </w:pPr>
      <w:r w:rsidRPr="00816A48">
        <w:rPr>
          <w:sz w:val="22"/>
          <w:szCs w:val="22"/>
          <w:lang w:val="lt-LT"/>
        </w:rPr>
        <w:t>N1 – LT/1/11/2692/001</w:t>
      </w:r>
    </w:p>
    <w:p w14:paraId="0108C1B4" w14:textId="77777777" w:rsidR="007750B7" w:rsidRPr="00816A48" w:rsidRDefault="007750B7" w:rsidP="00861232">
      <w:pPr>
        <w:pStyle w:val="Default"/>
        <w:rPr>
          <w:sz w:val="22"/>
          <w:szCs w:val="22"/>
          <w:lang w:val="lt-LT"/>
        </w:rPr>
      </w:pPr>
      <w:r w:rsidRPr="00816A48">
        <w:rPr>
          <w:sz w:val="22"/>
          <w:szCs w:val="22"/>
          <w:lang w:val="lt-LT"/>
        </w:rPr>
        <w:t>N4 – LT/1/11/2692/002</w:t>
      </w:r>
    </w:p>
    <w:p w14:paraId="47FBDA47" w14:textId="77777777" w:rsidR="007750B7" w:rsidRPr="00816A48" w:rsidRDefault="007750B7" w:rsidP="00861232">
      <w:pPr>
        <w:pStyle w:val="Default"/>
        <w:rPr>
          <w:sz w:val="22"/>
          <w:szCs w:val="22"/>
          <w:lang w:val="lt-LT"/>
        </w:rPr>
      </w:pPr>
    </w:p>
    <w:p w14:paraId="23F19F00" w14:textId="77777777" w:rsidR="007750B7" w:rsidRPr="00816A48" w:rsidRDefault="007750B7" w:rsidP="00861232">
      <w:pPr>
        <w:pStyle w:val="Default"/>
        <w:rPr>
          <w:sz w:val="22"/>
          <w:szCs w:val="22"/>
          <w:lang w:val="lt-LT"/>
        </w:rPr>
      </w:pPr>
    </w:p>
    <w:p w14:paraId="076D93B4" w14:textId="77777777" w:rsidR="007750B7" w:rsidRPr="00816A48" w:rsidRDefault="007750B7" w:rsidP="00CE74AB">
      <w:pPr>
        <w:pStyle w:val="Default"/>
        <w:keepNext/>
        <w:keepLines/>
        <w:ind w:left="540" w:hanging="540"/>
        <w:rPr>
          <w:b/>
          <w:sz w:val="22"/>
          <w:szCs w:val="22"/>
          <w:lang w:val="lt-LT"/>
        </w:rPr>
      </w:pPr>
      <w:r w:rsidRPr="00816A48">
        <w:rPr>
          <w:b/>
          <w:sz w:val="22"/>
          <w:szCs w:val="22"/>
          <w:lang w:val="lt-LT"/>
        </w:rPr>
        <w:t>9.</w:t>
      </w:r>
      <w:r w:rsidRPr="00816A48">
        <w:rPr>
          <w:b/>
          <w:sz w:val="22"/>
          <w:szCs w:val="22"/>
          <w:lang w:val="lt-LT"/>
        </w:rPr>
        <w:tab/>
      </w:r>
      <w:r w:rsidR="00587B63" w:rsidRPr="00816A48">
        <w:rPr>
          <w:b/>
          <w:sz w:val="22"/>
          <w:szCs w:val="22"/>
          <w:lang w:val="lt-LT"/>
        </w:rPr>
        <w:t>REGISTRAVIMO / PERREGISTRAVIMO</w:t>
      </w:r>
      <w:r w:rsidRPr="00816A48">
        <w:rPr>
          <w:b/>
          <w:sz w:val="22"/>
          <w:szCs w:val="22"/>
          <w:lang w:val="lt-LT"/>
        </w:rPr>
        <w:t xml:space="preserve"> DATA</w:t>
      </w:r>
    </w:p>
    <w:p w14:paraId="11C8058F" w14:textId="77777777" w:rsidR="007750B7" w:rsidRPr="00816A48" w:rsidRDefault="007750B7" w:rsidP="00CE74AB">
      <w:pPr>
        <w:pStyle w:val="Default"/>
        <w:keepNext/>
        <w:keepLines/>
        <w:rPr>
          <w:sz w:val="22"/>
          <w:szCs w:val="22"/>
          <w:lang w:val="lt-LT"/>
        </w:rPr>
      </w:pPr>
    </w:p>
    <w:p w14:paraId="4189F606" w14:textId="1A50F25A" w:rsidR="007750B7" w:rsidRPr="00816A48" w:rsidRDefault="00587B63" w:rsidP="00CE74AB">
      <w:pPr>
        <w:pStyle w:val="Default"/>
        <w:keepNext/>
        <w:keepLines/>
        <w:rPr>
          <w:sz w:val="22"/>
          <w:szCs w:val="22"/>
          <w:lang w:val="lt-LT"/>
        </w:rPr>
      </w:pPr>
      <w:r w:rsidRPr="00E708C1">
        <w:rPr>
          <w:sz w:val="22"/>
          <w:szCs w:val="22"/>
          <w:lang w:val="lt-LT"/>
        </w:rPr>
        <w:t>Registravimo data</w:t>
      </w:r>
      <w:r w:rsidR="00604FE8" w:rsidRPr="00E708C1">
        <w:rPr>
          <w:sz w:val="22"/>
          <w:szCs w:val="22"/>
          <w:lang w:val="lt-LT"/>
        </w:rPr>
        <w:t xml:space="preserve"> 2011 m. lapkričio 22 d.</w:t>
      </w:r>
    </w:p>
    <w:p w14:paraId="64B00B0F" w14:textId="171A5931" w:rsidR="007750B7" w:rsidRPr="00816A48" w:rsidRDefault="00587B63" w:rsidP="00CE74AB">
      <w:pPr>
        <w:pStyle w:val="Default"/>
        <w:keepNext/>
        <w:keepLines/>
        <w:rPr>
          <w:sz w:val="22"/>
          <w:szCs w:val="22"/>
          <w:lang w:val="lt-LT"/>
        </w:rPr>
      </w:pPr>
      <w:r w:rsidRPr="00816A48">
        <w:rPr>
          <w:sz w:val="22"/>
          <w:szCs w:val="22"/>
          <w:lang w:val="lt-LT"/>
        </w:rPr>
        <w:t>Paskutinio perregistravimo data</w:t>
      </w:r>
      <w:r w:rsidR="00443856">
        <w:rPr>
          <w:sz w:val="22"/>
          <w:szCs w:val="22"/>
          <w:lang w:val="lt-LT"/>
        </w:rPr>
        <w:t xml:space="preserve"> </w:t>
      </w:r>
      <w:r w:rsidR="00443856" w:rsidRPr="00443856">
        <w:rPr>
          <w:sz w:val="22"/>
          <w:szCs w:val="22"/>
          <w:lang w:val="lt-LT"/>
        </w:rPr>
        <w:t>2017 m. vasario mėn. 27 d.</w:t>
      </w:r>
    </w:p>
    <w:p w14:paraId="50A53835" w14:textId="77777777" w:rsidR="00F54EFD" w:rsidRPr="00816A48" w:rsidRDefault="00F54EFD" w:rsidP="00CE74AB">
      <w:pPr>
        <w:pStyle w:val="Default"/>
        <w:keepNext/>
        <w:keepLines/>
        <w:rPr>
          <w:sz w:val="22"/>
          <w:szCs w:val="22"/>
          <w:lang w:val="lt-LT"/>
        </w:rPr>
      </w:pPr>
    </w:p>
    <w:p w14:paraId="6D6A2976" w14:textId="77777777" w:rsidR="001C66C5" w:rsidRPr="00816A48" w:rsidRDefault="001C66C5" w:rsidP="00861232">
      <w:pPr>
        <w:pStyle w:val="Default"/>
        <w:rPr>
          <w:sz w:val="22"/>
          <w:szCs w:val="22"/>
          <w:lang w:val="lt-LT"/>
        </w:rPr>
      </w:pPr>
    </w:p>
    <w:p w14:paraId="1CC57666" w14:textId="77777777" w:rsidR="007750B7" w:rsidRPr="00816A48" w:rsidRDefault="007750B7" w:rsidP="00861232">
      <w:pPr>
        <w:pStyle w:val="Default"/>
        <w:ind w:left="540" w:hanging="540"/>
        <w:rPr>
          <w:b/>
          <w:sz w:val="22"/>
          <w:szCs w:val="22"/>
          <w:lang w:val="lt-LT"/>
        </w:rPr>
      </w:pPr>
      <w:r w:rsidRPr="00816A48">
        <w:rPr>
          <w:b/>
          <w:sz w:val="22"/>
          <w:szCs w:val="22"/>
          <w:lang w:val="lt-LT"/>
        </w:rPr>
        <w:t>10.</w:t>
      </w:r>
      <w:r w:rsidRPr="00816A48">
        <w:rPr>
          <w:b/>
          <w:sz w:val="22"/>
          <w:szCs w:val="22"/>
          <w:lang w:val="lt-LT"/>
        </w:rPr>
        <w:tab/>
        <w:t>TEKSTO PERŽIŪROS DATA</w:t>
      </w:r>
    </w:p>
    <w:p w14:paraId="5E5BFB7F" w14:textId="77777777" w:rsidR="007750B7" w:rsidRDefault="007750B7" w:rsidP="00735AD3">
      <w:pPr>
        <w:autoSpaceDE w:val="0"/>
        <w:autoSpaceDN w:val="0"/>
        <w:adjustRightInd w:val="0"/>
        <w:spacing w:after="0" w:line="240" w:lineRule="auto"/>
        <w:rPr>
          <w:rFonts w:ascii="Times New Roman" w:hAnsi="Times New Roman"/>
          <w:color w:val="000000"/>
          <w:lang w:val="lt-LT"/>
        </w:rPr>
      </w:pPr>
    </w:p>
    <w:p w14:paraId="68DC7627" w14:textId="048B6BDA" w:rsidR="00443856" w:rsidRDefault="00443856" w:rsidP="00735AD3">
      <w:pPr>
        <w:autoSpaceDE w:val="0"/>
        <w:autoSpaceDN w:val="0"/>
        <w:adjustRightInd w:val="0"/>
        <w:spacing w:after="0" w:line="240" w:lineRule="auto"/>
        <w:rPr>
          <w:rFonts w:ascii="Times New Roman" w:hAnsi="Times New Roman"/>
          <w:color w:val="000000"/>
          <w:lang w:val="lt-LT"/>
        </w:rPr>
      </w:pPr>
      <w:r w:rsidRPr="00443856">
        <w:rPr>
          <w:rFonts w:ascii="Times New Roman" w:hAnsi="Times New Roman"/>
          <w:color w:val="000000"/>
          <w:lang w:val="lt-LT"/>
        </w:rPr>
        <w:t>20</w:t>
      </w:r>
      <w:r w:rsidR="00CD0447">
        <w:rPr>
          <w:rFonts w:ascii="Times New Roman" w:hAnsi="Times New Roman"/>
          <w:color w:val="000000"/>
          <w:lang w:val="lt-LT"/>
        </w:rPr>
        <w:t>2</w:t>
      </w:r>
      <w:r w:rsidR="008A082A" w:rsidRPr="00F55F27">
        <w:rPr>
          <w:rFonts w:ascii="Times New Roman" w:hAnsi="Times New Roman"/>
          <w:color w:val="000000"/>
          <w:lang w:val="lt-LT"/>
        </w:rPr>
        <w:t>4</w:t>
      </w:r>
      <w:r w:rsidRPr="00443856">
        <w:rPr>
          <w:rFonts w:ascii="Times New Roman" w:hAnsi="Times New Roman"/>
          <w:color w:val="000000"/>
          <w:lang w:val="lt-LT"/>
        </w:rPr>
        <w:t xml:space="preserve"> m. </w:t>
      </w:r>
      <w:r w:rsidR="00BC6C65">
        <w:rPr>
          <w:rFonts w:ascii="Times New Roman" w:hAnsi="Times New Roman"/>
          <w:color w:val="000000"/>
          <w:lang w:val="lt-LT"/>
        </w:rPr>
        <w:t>rugpjūčio 22 d.</w:t>
      </w:r>
      <w:r w:rsidRPr="00443856">
        <w:rPr>
          <w:rFonts w:ascii="Times New Roman" w:hAnsi="Times New Roman"/>
          <w:color w:val="000000"/>
          <w:lang w:val="lt-LT"/>
        </w:rPr>
        <w:t xml:space="preserve"> d.</w:t>
      </w:r>
    </w:p>
    <w:p w14:paraId="43FD5A30" w14:textId="77777777" w:rsidR="00443856" w:rsidRPr="00816A48" w:rsidRDefault="00443856" w:rsidP="00735AD3">
      <w:pPr>
        <w:autoSpaceDE w:val="0"/>
        <w:autoSpaceDN w:val="0"/>
        <w:adjustRightInd w:val="0"/>
        <w:spacing w:after="0" w:line="240" w:lineRule="auto"/>
        <w:rPr>
          <w:rFonts w:ascii="Times New Roman" w:hAnsi="Times New Roman"/>
          <w:color w:val="000000"/>
          <w:lang w:val="lt-LT"/>
        </w:rPr>
      </w:pPr>
    </w:p>
    <w:p w14:paraId="78C7898B" w14:textId="77777777" w:rsidR="007E3605" w:rsidRPr="00816A48" w:rsidRDefault="007E3605" w:rsidP="000F0A27">
      <w:pPr>
        <w:autoSpaceDE w:val="0"/>
        <w:autoSpaceDN w:val="0"/>
        <w:adjustRightInd w:val="0"/>
        <w:spacing w:after="0" w:line="240" w:lineRule="auto"/>
        <w:rPr>
          <w:rFonts w:ascii="Times New Roman" w:hAnsi="Times New Roman"/>
          <w:color w:val="000000"/>
          <w:lang w:val="lt-LT"/>
        </w:rPr>
      </w:pPr>
    </w:p>
    <w:p w14:paraId="19F4997A" w14:textId="73B54B28" w:rsidR="007750B7" w:rsidRPr="00816A48" w:rsidRDefault="00582230" w:rsidP="000A0BCD">
      <w:pPr>
        <w:autoSpaceDE w:val="0"/>
        <w:autoSpaceDN w:val="0"/>
        <w:adjustRightInd w:val="0"/>
        <w:spacing w:after="0" w:line="240" w:lineRule="auto"/>
        <w:rPr>
          <w:rFonts w:ascii="Times New Roman" w:hAnsi="Times New Roman"/>
          <w:u w:val="single"/>
          <w:lang w:val="lt-LT"/>
        </w:rPr>
      </w:pPr>
      <w:r w:rsidRPr="00816A48">
        <w:rPr>
          <w:rFonts w:ascii="Times New Roman" w:hAnsi="Times New Roman"/>
          <w:color w:val="000000"/>
          <w:lang w:val="lt-LT"/>
        </w:rPr>
        <w:t xml:space="preserve">Išsami informacija apie šį vaistinį preparatą pateikiama </w:t>
      </w:r>
      <w:r w:rsidR="007750B7" w:rsidRPr="00816A48">
        <w:rPr>
          <w:rFonts w:ascii="Times New Roman" w:hAnsi="Times New Roman"/>
          <w:color w:val="000000"/>
          <w:lang w:val="lt-LT"/>
        </w:rPr>
        <w:t xml:space="preserve">Valstybinės vaistų kontrolės tarnybos prie Lietuvos Respublikos sveikatos apsaugos ministerijos </w:t>
      </w:r>
      <w:r w:rsidRPr="00816A48">
        <w:rPr>
          <w:rFonts w:ascii="Times New Roman" w:hAnsi="Times New Roman"/>
          <w:color w:val="000000"/>
          <w:lang w:val="lt-LT"/>
        </w:rPr>
        <w:t>tinklalapyje</w:t>
      </w:r>
      <w:r w:rsidR="007750B7" w:rsidRPr="00816A48">
        <w:rPr>
          <w:rFonts w:ascii="Times New Roman" w:hAnsi="Times New Roman"/>
          <w:lang w:val="lt-LT"/>
        </w:rPr>
        <w:t xml:space="preserve"> </w:t>
      </w:r>
      <w:hyperlink r:id="rId8" w:history="1">
        <w:r w:rsidR="000A365B" w:rsidRPr="000A365B">
          <w:rPr>
            <w:rFonts w:ascii="Times New Roman" w:eastAsia="Times New Roman" w:hAnsi="Times New Roman"/>
            <w:color w:val="0000FF"/>
            <w:u w:val="single"/>
            <w:lang w:val="lt-LT" w:eastAsia="lt-LT"/>
          </w:rPr>
          <w:t>https://vvkt.lrv.lt/lt/</w:t>
        </w:r>
      </w:hyperlink>
      <w:r w:rsidR="000A365B">
        <w:rPr>
          <w:rFonts w:ascii="Times New Roman" w:eastAsia="Times New Roman" w:hAnsi="Times New Roman"/>
          <w:color w:val="0000FF"/>
          <w:u w:val="single"/>
          <w:lang w:val="lt-LT" w:eastAsia="lt-LT"/>
        </w:rPr>
        <w:t>.</w:t>
      </w:r>
    </w:p>
    <w:p w14:paraId="57B09A16" w14:textId="77777777" w:rsidR="007750B7" w:rsidRPr="00816A48" w:rsidRDefault="007750B7" w:rsidP="00861232">
      <w:pPr>
        <w:pStyle w:val="Default"/>
        <w:widowControl w:val="0"/>
        <w:suppressAutoHyphens/>
        <w:jc w:val="center"/>
        <w:rPr>
          <w:b/>
          <w:sz w:val="22"/>
          <w:szCs w:val="22"/>
          <w:lang w:val="lt-LT"/>
        </w:rPr>
      </w:pPr>
      <w:r w:rsidRPr="00816A48">
        <w:rPr>
          <w:b/>
          <w:sz w:val="22"/>
          <w:szCs w:val="22"/>
          <w:lang w:val="lt-LT"/>
        </w:rPr>
        <w:br w:type="page"/>
      </w:r>
    </w:p>
    <w:p w14:paraId="2D1423BF" w14:textId="77777777" w:rsidR="007750B7" w:rsidRPr="00816A48" w:rsidRDefault="007750B7" w:rsidP="00861232">
      <w:pPr>
        <w:pStyle w:val="Default"/>
        <w:widowControl w:val="0"/>
        <w:suppressAutoHyphens/>
        <w:jc w:val="center"/>
        <w:rPr>
          <w:b/>
          <w:sz w:val="22"/>
          <w:szCs w:val="22"/>
          <w:lang w:val="lt-LT"/>
        </w:rPr>
      </w:pPr>
    </w:p>
    <w:p w14:paraId="78AC237C" w14:textId="77777777" w:rsidR="007750B7" w:rsidRPr="00816A48" w:rsidRDefault="007750B7" w:rsidP="00861232">
      <w:pPr>
        <w:pStyle w:val="Default"/>
        <w:widowControl w:val="0"/>
        <w:suppressAutoHyphens/>
        <w:jc w:val="center"/>
        <w:rPr>
          <w:b/>
          <w:sz w:val="22"/>
          <w:szCs w:val="22"/>
          <w:lang w:val="lt-LT"/>
        </w:rPr>
      </w:pPr>
    </w:p>
    <w:p w14:paraId="7EDA48B9" w14:textId="77777777" w:rsidR="007750B7" w:rsidRPr="00816A48" w:rsidRDefault="007750B7" w:rsidP="00861232">
      <w:pPr>
        <w:pStyle w:val="Default"/>
        <w:widowControl w:val="0"/>
        <w:suppressAutoHyphens/>
        <w:jc w:val="center"/>
        <w:rPr>
          <w:b/>
          <w:sz w:val="22"/>
          <w:szCs w:val="22"/>
          <w:lang w:val="lt-LT"/>
        </w:rPr>
      </w:pPr>
    </w:p>
    <w:p w14:paraId="1724EB01" w14:textId="77777777" w:rsidR="007750B7" w:rsidRPr="00816A48" w:rsidRDefault="007750B7" w:rsidP="00861232">
      <w:pPr>
        <w:pStyle w:val="Default"/>
        <w:widowControl w:val="0"/>
        <w:suppressAutoHyphens/>
        <w:jc w:val="center"/>
        <w:rPr>
          <w:b/>
          <w:sz w:val="22"/>
          <w:szCs w:val="22"/>
          <w:lang w:val="lt-LT"/>
        </w:rPr>
      </w:pPr>
    </w:p>
    <w:p w14:paraId="7E583A56" w14:textId="77777777" w:rsidR="007750B7" w:rsidRPr="00816A48" w:rsidRDefault="007750B7" w:rsidP="00861232">
      <w:pPr>
        <w:pStyle w:val="Default"/>
        <w:widowControl w:val="0"/>
        <w:suppressAutoHyphens/>
        <w:jc w:val="center"/>
        <w:rPr>
          <w:b/>
          <w:sz w:val="22"/>
          <w:szCs w:val="22"/>
          <w:lang w:val="lt-LT"/>
        </w:rPr>
      </w:pPr>
    </w:p>
    <w:p w14:paraId="19C2DF32" w14:textId="77777777" w:rsidR="007750B7" w:rsidRPr="00816A48" w:rsidRDefault="007750B7" w:rsidP="00861232">
      <w:pPr>
        <w:pStyle w:val="Default"/>
        <w:widowControl w:val="0"/>
        <w:suppressAutoHyphens/>
        <w:jc w:val="center"/>
        <w:rPr>
          <w:b/>
          <w:sz w:val="22"/>
          <w:szCs w:val="22"/>
          <w:lang w:val="lt-LT"/>
        </w:rPr>
      </w:pPr>
    </w:p>
    <w:p w14:paraId="63F92EA5" w14:textId="77777777" w:rsidR="007750B7" w:rsidRPr="00816A48" w:rsidRDefault="007750B7" w:rsidP="00861232">
      <w:pPr>
        <w:pStyle w:val="Default"/>
        <w:widowControl w:val="0"/>
        <w:suppressAutoHyphens/>
        <w:jc w:val="center"/>
        <w:rPr>
          <w:b/>
          <w:sz w:val="22"/>
          <w:szCs w:val="22"/>
          <w:lang w:val="lt-LT"/>
        </w:rPr>
      </w:pPr>
    </w:p>
    <w:p w14:paraId="697F5398" w14:textId="77777777" w:rsidR="007750B7" w:rsidRPr="00816A48" w:rsidRDefault="007750B7" w:rsidP="00861232">
      <w:pPr>
        <w:pStyle w:val="Default"/>
        <w:widowControl w:val="0"/>
        <w:suppressAutoHyphens/>
        <w:jc w:val="center"/>
        <w:rPr>
          <w:b/>
          <w:sz w:val="22"/>
          <w:szCs w:val="22"/>
          <w:lang w:val="lt-LT"/>
        </w:rPr>
      </w:pPr>
    </w:p>
    <w:p w14:paraId="54B6DE63" w14:textId="77777777" w:rsidR="007750B7" w:rsidRPr="00816A48" w:rsidRDefault="007750B7" w:rsidP="00861232">
      <w:pPr>
        <w:pStyle w:val="Default"/>
        <w:widowControl w:val="0"/>
        <w:suppressAutoHyphens/>
        <w:jc w:val="center"/>
        <w:rPr>
          <w:b/>
          <w:sz w:val="22"/>
          <w:szCs w:val="22"/>
          <w:lang w:val="lt-LT"/>
        </w:rPr>
      </w:pPr>
    </w:p>
    <w:p w14:paraId="067E5296" w14:textId="77777777" w:rsidR="007750B7" w:rsidRPr="00816A48" w:rsidRDefault="007750B7" w:rsidP="00861232">
      <w:pPr>
        <w:pStyle w:val="Default"/>
        <w:widowControl w:val="0"/>
        <w:suppressAutoHyphens/>
        <w:jc w:val="center"/>
        <w:rPr>
          <w:b/>
          <w:sz w:val="22"/>
          <w:szCs w:val="22"/>
          <w:lang w:val="lt-LT"/>
        </w:rPr>
      </w:pPr>
    </w:p>
    <w:p w14:paraId="3732F712" w14:textId="77777777" w:rsidR="007750B7" w:rsidRPr="00816A48" w:rsidRDefault="007750B7" w:rsidP="00861232">
      <w:pPr>
        <w:pStyle w:val="Default"/>
        <w:widowControl w:val="0"/>
        <w:suppressAutoHyphens/>
        <w:jc w:val="center"/>
        <w:rPr>
          <w:b/>
          <w:sz w:val="22"/>
          <w:szCs w:val="22"/>
          <w:lang w:val="lt-LT"/>
        </w:rPr>
      </w:pPr>
    </w:p>
    <w:p w14:paraId="393D3851" w14:textId="77777777" w:rsidR="007750B7" w:rsidRPr="00816A48" w:rsidRDefault="007750B7" w:rsidP="00861232">
      <w:pPr>
        <w:pStyle w:val="Default"/>
        <w:widowControl w:val="0"/>
        <w:suppressAutoHyphens/>
        <w:jc w:val="center"/>
        <w:rPr>
          <w:b/>
          <w:sz w:val="22"/>
          <w:szCs w:val="22"/>
          <w:lang w:val="lt-LT"/>
        </w:rPr>
      </w:pPr>
    </w:p>
    <w:p w14:paraId="7CA65FE7" w14:textId="77777777" w:rsidR="007750B7" w:rsidRPr="00816A48" w:rsidRDefault="007750B7" w:rsidP="00861232">
      <w:pPr>
        <w:pStyle w:val="Default"/>
        <w:widowControl w:val="0"/>
        <w:suppressAutoHyphens/>
        <w:rPr>
          <w:b/>
          <w:sz w:val="22"/>
          <w:szCs w:val="22"/>
          <w:lang w:val="lt-LT"/>
        </w:rPr>
      </w:pPr>
    </w:p>
    <w:p w14:paraId="15BA1103" w14:textId="77777777" w:rsidR="007750B7" w:rsidRPr="00816A48" w:rsidRDefault="007750B7" w:rsidP="00861232">
      <w:pPr>
        <w:pStyle w:val="Default"/>
        <w:widowControl w:val="0"/>
        <w:suppressAutoHyphens/>
        <w:jc w:val="center"/>
        <w:rPr>
          <w:b/>
          <w:sz w:val="22"/>
          <w:szCs w:val="22"/>
          <w:lang w:val="lt-LT"/>
        </w:rPr>
      </w:pPr>
    </w:p>
    <w:p w14:paraId="1E2B6FBE" w14:textId="77777777" w:rsidR="007750B7" w:rsidRPr="00816A48" w:rsidRDefault="007750B7" w:rsidP="00861232">
      <w:pPr>
        <w:pStyle w:val="Default"/>
        <w:widowControl w:val="0"/>
        <w:suppressAutoHyphens/>
        <w:jc w:val="center"/>
        <w:rPr>
          <w:b/>
          <w:sz w:val="22"/>
          <w:szCs w:val="22"/>
          <w:lang w:val="lt-LT"/>
        </w:rPr>
      </w:pPr>
    </w:p>
    <w:p w14:paraId="036A82BA" w14:textId="77777777" w:rsidR="007750B7" w:rsidRPr="00816A48" w:rsidRDefault="007750B7" w:rsidP="00861232">
      <w:pPr>
        <w:pStyle w:val="Default"/>
        <w:widowControl w:val="0"/>
        <w:suppressAutoHyphens/>
        <w:jc w:val="center"/>
        <w:rPr>
          <w:b/>
          <w:sz w:val="22"/>
          <w:szCs w:val="22"/>
          <w:lang w:val="lt-LT"/>
        </w:rPr>
      </w:pPr>
    </w:p>
    <w:p w14:paraId="2825BD9D" w14:textId="77777777" w:rsidR="007750B7" w:rsidRPr="00816A48" w:rsidRDefault="007750B7" w:rsidP="00861232">
      <w:pPr>
        <w:pStyle w:val="Default"/>
        <w:widowControl w:val="0"/>
        <w:suppressAutoHyphens/>
        <w:jc w:val="center"/>
        <w:rPr>
          <w:b/>
          <w:sz w:val="22"/>
          <w:szCs w:val="22"/>
          <w:lang w:val="lt-LT"/>
        </w:rPr>
      </w:pPr>
    </w:p>
    <w:p w14:paraId="4AE7F1AC" w14:textId="77777777" w:rsidR="007750B7" w:rsidRPr="00816A48" w:rsidRDefault="007750B7" w:rsidP="003D3259">
      <w:pPr>
        <w:spacing w:after="0" w:line="240" w:lineRule="auto"/>
        <w:jc w:val="center"/>
        <w:rPr>
          <w:rFonts w:ascii="Times New Roman" w:hAnsi="Times New Roman"/>
          <w:b/>
          <w:lang w:val="lt-LT"/>
        </w:rPr>
      </w:pPr>
      <w:bookmarkStart w:id="1" w:name="_Toc129243128"/>
      <w:bookmarkStart w:id="2" w:name="_Toc129243253"/>
    </w:p>
    <w:p w14:paraId="3F2F31D2" w14:textId="77777777" w:rsidR="007750B7" w:rsidRPr="00816A48" w:rsidRDefault="007750B7" w:rsidP="003D3259">
      <w:pPr>
        <w:spacing w:after="0" w:line="240" w:lineRule="auto"/>
        <w:jc w:val="center"/>
        <w:rPr>
          <w:rFonts w:ascii="Times New Roman" w:hAnsi="Times New Roman"/>
          <w:b/>
          <w:lang w:val="lt-LT"/>
        </w:rPr>
      </w:pPr>
    </w:p>
    <w:p w14:paraId="10971311" w14:textId="77777777" w:rsidR="007750B7" w:rsidRPr="00816A48" w:rsidRDefault="007750B7" w:rsidP="003D3259">
      <w:pPr>
        <w:spacing w:after="0" w:line="240" w:lineRule="auto"/>
        <w:jc w:val="center"/>
        <w:rPr>
          <w:rFonts w:ascii="Times New Roman" w:hAnsi="Times New Roman"/>
          <w:b/>
          <w:lang w:val="lt-LT"/>
        </w:rPr>
      </w:pPr>
    </w:p>
    <w:p w14:paraId="0EC33B7C" w14:textId="77777777" w:rsidR="007750B7" w:rsidRPr="00816A48" w:rsidRDefault="007750B7" w:rsidP="003D3259">
      <w:pPr>
        <w:spacing w:after="0" w:line="240" w:lineRule="auto"/>
        <w:jc w:val="center"/>
        <w:rPr>
          <w:rFonts w:ascii="Times New Roman" w:hAnsi="Times New Roman"/>
          <w:b/>
          <w:lang w:val="lt-LT"/>
        </w:rPr>
      </w:pPr>
    </w:p>
    <w:p w14:paraId="72CDC262" w14:textId="77777777" w:rsidR="007750B7" w:rsidRPr="00816A48" w:rsidRDefault="007750B7" w:rsidP="003D3259">
      <w:pPr>
        <w:spacing w:after="0" w:line="240" w:lineRule="auto"/>
        <w:jc w:val="center"/>
        <w:rPr>
          <w:rFonts w:ascii="Times New Roman" w:hAnsi="Times New Roman"/>
          <w:b/>
          <w:lang w:val="lt-LT"/>
        </w:rPr>
      </w:pPr>
    </w:p>
    <w:p w14:paraId="5AA72E99" w14:textId="77777777" w:rsidR="00F16036" w:rsidRDefault="00F16036" w:rsidP="003D3259">
      <w:pPr>
        <w:spacing w:after="0" w:line="240" w:lineRule="auto"/>
        <w:jc w:val="center"/>
        <w:rPr>
          <w:rFonts w:ascii="Times New Roman" w:hAnsi="Times New Roman"/>
          <w:b/>
          <w:lang w:val="lt-LT"/>
        </w:rPr>
      </w:pPr>
    </w:p>
    <w:p w14:paraId="5AB38D4E" w14:textId="77777777" w:rsidR="007750B7" w:rsidRPr="00816A48" w:rsidRDefault="007750B7" w:rsidP="003D3259">
      <w:pPr>
        <w:spacing w:after="0" w:line="240" w:lineRule="auto"/>
        <w:jc w:val="center"/>
        <w:rPr>
          <w:rFonts w:ascii="Times New Roman" w:hAnsi="Times New Roman"/>
          <w:b/>
          <w:lang w:val="lt-LT"/>
        </w:rPr>
      </w:pPr>
      <w:r w:rsidRPr="00816A48">
        <w:rPr>
          <w:rFonts w:ascii="Times New Roman" w:hAnsi="Times New Roman"/>
          <w:b/>
          <w:lang w:val="lt-LT"/>
        </w:rPr>
        <w:t xml:space="preserve">II </w:t>
      </w:r>
      <w:bookmarkEnd w:id="1"/>
      <w:bookmarkEnd w:id="2"/>
      <w:r w:rsidRPr="00816A48">
        <w:rPr>
          <w:rFonts w:ascii="Times New Roman" w:hAnsi="Times New Roman"/>
          <w:b/>
          <w:lang w:val="lt-LT"/>
        </w:rPr>
        <w:t>PRIEDAS</w:t>
      </w:r>
    </w:p>
    <w:p w14:paraId="3540CE7D" w14:textId="77777777" w:rsidR="007750B7" w:rsidRPr="00816A48" w:rsidRDefault="007750B7" w:rsidP="003D3259">
      <w:pPr>
        <w:spacing w:after="0" w:line="240" w:lineRule="auto"/>
        <w:jc w:val="center"/>
        <w:rPr>
          <w:rFonts w:ascii="Times New Roman" w:hAnsi="Times New Roman"/>
          <w:b/>
          <w:lang w:val="lt-LT"/>
        </w:rPr>
      </w:pPr>
    </w:p>
    <w:p w14:paraId="123E737F" w14:textId="77777777" w:rsidR="007750B7" w:rsidRPr="00816A48" w:rsidRDefault="00587B63" w:rsidP="003D3259">
      <w:pPr>
        <w:spacing w:after="0" w:line="240" w:lineRule="auto"/>
        <w:jc w:val="center"/>
        <w:rPr>
          <w:rFonts w:ascii="Times New Roman" w:hAnsi="Times New Roman"/>
          <w:b/>
          <w:lang w:val="lt-LT"/>
        </w:rPr>
      </w:pPr>
      <w:r w:rsidRPr="00816A48">
        <w:rPr>
          <w:rFonts w:ascii="Times New Roman" w:hAnsi="Times New Roman"/>
          <w:b/>
          <w:lang w:val="lt-LT"/>
        </w:rPr>
        <w:t>REGISTRACIJOS</w:t>
      </w:r>
      <w:r w:rsidR="007750B7" w:rsidRPr="00816A48">
        <w:rPr>
          <w:rFonts w:ascii="Times New Roman" w:hAnsi="Times New Roman"/>
          <w:b/>
          <w:lang w:val="lt-LT"/>
        </w:rPr>
        <w:t xml:space="preserve"> SĄLYGOS</w:t>
      </w:r>
    </w:p>
    <w:p w14:paraId="00E179B3" w14:textId="77777777" w:rsidR="007750B7" w:rsidRPr="00816A48" w:rsidRDefault="007750B7" w:rsidP="003D3259">
      <w:pPr>
        <w:spacing w:after="0" w:line="240" w:lineRule="auto"/>
        <w:jc w:val="center"/>
        <w:rPr>
          <w:rFonts w:ascii="Times New Roman" w:hAnsi="Times New Roman"/>
          <w:b/>
          <w:lang w:val="lt-LT"/>
        </w:rPr>
      </w:pPr>
    </w:p>
    <w:p w14:paraId="65068218" w14:textId="77777777" w:rsidR="007750B7" w:rsidRPr="00816A48" w:rsidRDefault="007750B7" w:rsidP="00604FE8">
      <w:pPr>
        <w:spacing w:after="0" w:line="240" w:lineRule="auto"/>
        <w:ind w:left="1260" w:hanging="693"/>
        <w:rPr>
          <w:rFonts w:ascii="Times New Roman" w:hAnsi="Times New Roman"/>
          <w:b/>
          <w:highlight w:val="yellow"/>
          <w:lang w:val="lt-LT"/>
        </w:rPr>
      </w:pPr>
      <w:r w:rsidRPr="00816A48">
        <w:rPr>
          <w:rFonts w:ascii="Times New Roman" w:hAnsi="Times New Roman"/>
          <w:b/>
          <w:lang w:val="lt-LT"/>
        </w:rPr>
        <w:t>A.</w:t>
      </w:r>
      <w:r w:rsidRPr="00816A48">
        <w:rPr>
          <w:rFonts w:ascii="Times New Roman" w:hAnsi="Times New Roman"/>
          <w:b/>
          <w:lang w:val="lt-LT"/>
        </w:rPr>
        <w:tab/>
      </w:r>
      <w:r w:rsidR="00604FE8" w:rsidRPr="00816A48">
        <w:rPr>
          <w:rFonts w:ascii="Times New Roman" w:hAnsi="Times New Roman"/>
          <w:b/>
          <w:lang w:val="lt-LT"/>
        </w:rPr>
        <w:t>GAMINTOJAS (-AI), ATSAKINGAS (-I) UŽ SERIJŲ IŠLEIDIMĄ</w:t>
      </w:r>
    </w:p>
    <w:p w14:paraId="45B9CA28" w14:textId="77777777" w:rsidR="007750B7" w:rsidRPr="00816A48" w:rsidRDefault="007750B7" w:rsidP="00861232">
      <w:pPr>
        <w:pStyle w:val="Default"/>
        <w:widowControl w:val="0"/>
        <w:suppressAutoHyphens/>
        <w:ind w:firstLine="1276"/>
        <w:rPr>
          <w:b/>
          <w:sz w:val="22"/>
          <w:szCs w:val="22"/>
          <w:lang w:val="lt-LT"/>
        </w:rPr>
      </w:pPr>
    </w:p>
    <w:p w14:paraId="038D3401" w14:textId="77777777" w:rsidR="007750B7" w:rsidRPr="00816A48" w:rsidRDefault="007750B7" w:rsidP="00861232">
      <w:pPr>
        <w:pStyle w:val="Default"/>
        <w:widowControl w:val="0"/>
        <w:tabs>
          <w:tab w:val="left" w:pos="567"/>
          <w:tab w:val="left" w:pos="1260"/>
        </w:tabs>
        <w:suppressAutoHyphens/>
        <w:ind w:left="567"/>
        <w:rPr>
          <w:b/>
          <w:sz w:val="22"/>
          <w:szCs w:val="22"/>
          <w:lang w:val="lt-LT"/>
        </w:rPr>
      </w:pPr>
      <w:r w:rsidRPr="00816A48">
        <w:rPr>
          <w:b/>
          <w:sz w:val="22"/>
          <w:szCs w:val="22"/>
          <w:lang w:val="lt-LT"/>
        </w:rPr>
        <w:t>B.</w:t>
      </w:r>
      <w:r w:rsidR="00D42B82" w:rsidRPr="00816A48">
        <w:rPr>
          <w:b/>
          <w:sz w:val="22"/>
          <w:szCs w:val="22"/>
          <w:lang w:val="lt-LT"/>
        </w:rPr>
        <w:tab/>
      </w:r>
      <w:r w:rsidR="00604FE8" w:rsidRPr="00816A48">
        <w:rPr>
          <w:b/>
          <w:sz w:val="22"/>
          <w:szCs w:val="22"/>
          <w:lang w:val="lt-LT"/>
        </w:rPr>
        <w:t>TIEKIMO IR VARTOJIMO SĄLYGOS AR APRIBOJIMAI</w:t>
      </w:r>
    </w:p>
    <w:p w14:paraId="5B10CB2D" w14:textId="77777777" w:rsidR="007750B7" w:rsidRPr="00816A48" w:rsidRDefault="007750B7" w:rsidP="00D42B82">
      <w:pPr>
        <w:autoSpaceDE w:val="0"/>
        <w:autoSpaceDN w:val="0"/>
        <w:adjustRightInd w:val="0"/>
        <w:spacing w:after="0" w:line="240" w:lineRule="auto"/>
        <w:rPr>
          <w:rFonts w:ascii="Times New Roman" w:hAnsi="Times New Roman"/>
          <w:lang w:val="lt-LT"/>
        </w:rPr>
      </w:pPr>
    </w:p>
    <w:p w14:paraId="2E4F5BC2" w14:textId="77777777" w:rsidR="007750B7" w:rsidRPr="00816A48" w:rsidRDefault="007750B7" w:rsidP="005F68E5">
      <w:pPr>
        <w:autoSpaceDE w:val="0"/>
        <w:autoSpaceDN w:val="0"/>
        <w:adjustRightInd w:val="0"/>
        <w:spacing w:after="0" w:line="240" w:lineRule="auto"/>
        <w:rPr>
          <w:rFonts w:ascii="Times New Roman" w:hAnsi="Times New Roman"/>
          <w:lang w:val="lt-LT"/>
        </w:rPr>
      </w:pPr>
    </w:p>
    <w:p w14:paraId="357FF639" w14:textId="77777777" w:rsidR="007750B7" w:rsidRPr="00816A48" w:rsidRDefault="007750B7" w:rsidP="00720F9C">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br w:type="page"/>
      </w:r>
      <w:r w:rsidRPr="00816A48">
        <w:rPr>
          <w:rFonts w:ascii="Times New Roman" w:hAnsi="Times New Roman"/>
          <w:b/>
          <w:lang w:val="lt-LT"/>
        </w:rPr>
        <w:lastRenderedPageBreak/>
        <w:t>A.</w:t>
      </w:r>
      <w:r w:rsidRPr="00816A48">
        <w:rPr>
          <w:rFonts w:ascii="Times New Roman" w:hAnsi="Times New Roman"/>
          <w:b/>
          <w:lang w:val="lt-LT"/>
        </w:rPr>
        <w:tab/>
      </w:r>
      <w:r w:rsidR="00604FE8" w:rsidRPr="00816A48">
        <w:rPr>
          <w:rFonts w:ascii="Times New Roman" w:hAnsi="Times New Roman"/>
          <w:b/>
          <w:lang w:val="lt-LT"/>
        </w:rPr>
        <w:t>GAMINTOJAS (-AI), ATSAKINGAS (-I) UŽ SERIJŲ IŠLEIDIMĄ</w:t>
      </w:r>
      <w:r w:rsidRPr="00816A48">
        <w:rPr>
          <w:rFonts w:ascii="Times New Roman" w:hAnsi="Times New Roman"/>
          <w:lang w:val="lt-LT"/>
        </w:rPr>
        <w:t xml:space="preserve"> </w:t>
      </w:r>
    </w:p>
    <w:p w14:paraId="0915ACE5" w14:textId="77777777" w:rsidR="007750B7" w:rsidRPr="00816A48" w:rsidRDefault="007750B7" w:rsidP="00720F9C">
      <w:pPr>
        <w:autoSpaceDE w:val="0"/>
        <w:autoSpaceDN w:val="0"/>
        <w:adjustRightInd w:val="0"/>
        <w:spacing w:after="0" w:line="240" w:lineRule="auto"/>
        <w:rPr>
          <w:rFonts w:ascii="Times New Roman" w:hAnsi="Times New Roman"/>
          <w:lang w:val="lt-LT"/>
        </w:rPr>
      </w:pPr>
    </w:p>
    <w:p w14:paraId="1F968BE9" w14:textId="77777777" w:rsidR="007750B7" w:rsidRPr="00816A48" w:rsidRDefault="007750B7" w:rsidP="00720F9C">
      <w:pPr>
        <w:autoSpaceDE w:val="0"/>
        <w:autoSpaceDN w:val="0"/>
        <w:adjustRightInd w:val="0"/>
        <w:spacing w:after="0" w:line="240" w:lineRule="auto"/>
        <w:rPr>
          <w:rFonts w:ascii="Times New Roman" w:hAnsi="Times New Roman"/>
          <w:u w:val="single"/>
          <w:lang w:val="lt-LT"/>
        </w:rPr>
      </w:pPr>
      <w:r w:rsidRPr="00816A48">
        <w:rPr>
          <w:rFonts w:ascii="Times New Roman" w:hAnsi="Times New Roman"/>
          <w:u w:val="single"/>
          <w:lang w:val="lt-LT"/>
        </w:rPr>
        <w:t>Gamintojo (-ų), atsakingo (-ų) už serijų išleidimą, pavadinimas (-ai) ir adresas (-ai)</w:t>
      </w:r>
    </w:p>
    <w:p w14:paraId="6D821E64" w14:textId="77777777" w:rsidR="007750B7" w:rsidRPr="00816A48" w:rsidRDefault="007750B7" w:rsidP="008D33C6">
      <w:pPr>
        <w:autoSpaceDE w:val="0"/>
        <w:autoSpaceDN w:val="0"/>
        <w:adjustRightInd w:val="0"/>
        <w:spacing w:after="0" w:line="240" w:lineRule="auto"/>
        <w:rPr>
          <w:rFonts w:ascii="Times New Roman" w:hAnsi="Times New Roman"/>
          <w:u w:val="single"/>
          <w:lang w:val="lt-LT"/>
        </w:rPr>
      </w:pPr>
    </w:p>
    <w:p w14:paraId="33D4DDBC" w14:textId="77777777" w:rsidR="007750B7" w:rsidRPr="00816A48" w:rsidRDefault="007750B7" w:rsidP="00861232">
      <w:pPr>
        <w:pStyle w:val="Default"/>
        <w:rPr>
          <w:sz w:val="22"/>
          <w:szCs w:val="22"/>
          <w:lang w:val="lt-LT"/>
        </w:rPr>
      </w:pPr>
      <w:r w:rsidRPr="00816A48">
        <w:rPr>
          <w:sz w:val="22"/>
          <w:szCs w:val="22"/>
          <w:lang w:val="lt-LT"/>
        </w:rPr>
        <w:t>Z</w:t>
      </w:r>
      <w:r w:rsidR="00F54EFD" w:rsidRPr="00816A48">
        <w:rPr>
          <w:sz w:val="22"/>
          <w:szCs w:val="22"/>
          <w:lang w:val="lt-LT"/>
        </w:rPr>
        <w:t>entiva</w:t>
      </w:r>
      <w:r w:rsidRPr="00816A48">
        <w:rPr>
          <w:sz w:val="22"/>
          <w:szCs w:val="22"/>
          <w:lang w:val="lt-LT"/>
        </w:rPr>
        <w:t xml:space="preserve">, k.s. </w:t>
      </w:r>
    </w:p>
    <w:p w14:paraId="084B556F" w14:textId="77777777" w:rsidR="007750B7" w:rsidRPr="00816A48" w:rsidRDefault="007750B7" w:rsidP="00861232">
      <w:pPr>
        <w:pStyle w:val="Default"/>
        <w:rPr>
          <w:sz w:val="22"/>
          <w:szCs w:val="22"/>
          <w:lang w:val="lt-LT"/>
        </w:rPr>
      </w:pPr>
      <w:r w:rsidRPr="00816A48">
        <w:rPr>
          <w:sz w:val="22"/>
          <w:szCs w:val="22"/>
          <w:lang w:val="lt-LT"/>
        </w:rPr>
        <w:t xml:space="preserve">U kabelovny 130 </w:t>
      </w:r>
    </w:p>
    <w:p w14:paraId="4D193886" w14:textId="77777777" w:rsidR="007750B7" w:rsidRPr="00816A48" w:rsidRDefault="007750B7" w:rsidP="00861232">
      <w:pPr>
        <w:pStyle w:val="Default"/>
        <w:rPr>
          <w:sz w:val="22"/>
          <w:szCs w:val="22"/>
          <w:lang w:val="lt-LT"/>
        </w:rPr>
      </w:pPr>
      <w:r w:rsidRPr="00816A48">
        <w:rPr>
          <w:sz w:val="22"/>
          <w:szCs w:val="22"/>
          <w:lang w:val="lt-LT"/>
        </w:rPr>
        <w:t>Dolní Měcholupy</w:t>
      </w:r>
    </w:p>
    <w:p w14:paraId="5B9A452B" w14:textId="711CB298" w:rsidR="007750B7" w:rsidRPr="00816A48" w:rsidRDefault="007750B7" w:rsidP="00861232">
      <w:pPr>
        <w:pStyle w:val="Default"/>
        <w:rPr>
          <w:sz w:val="22"/>
          <w:szCs w:val="22"/>
          <w:lang w:val="lt-LT"/>
        </w:rPr>
      </w:pPr>
      <w:r w:rsidRPr="00816A48">
        <w:rPr>
          <w:sz w:val="22"/>
          <w:szCs w:val="22"/>
          <w:lang w:val="lt-LT"/>
        </w:rPr>
        <w:t>102 37 Praha 10</w:t>
      </w:r>
    </w:p>
    <w:p w14:paraId="485C7051" w14:textId="77777777" w:rsidR="007750B7" w:rsidRDefault="007750B7" w:rsidP="00242DA5">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Čekija </w:t>
      </w:r>
    </w:p>
    <w:p w14:paraId="5F767C32" w14:textId="77777777" w:rsidR="00AD0812" w:rsidRPr="00301C06" w:rsidRDefault="00AD0812" w:rsidP="00301C06">
      <w:pPr>
        <w:autoSpaceDE w:val="0"/>
        <w:autoSpaceDN w:val="0"/>
        <w:adjustRightInd w:val="0"/>
        <w:spacing w:after="0" w:line="240" w:lineRule="auto"/>
        <w:rPr>
          <w:rFonts w:ascii="Times New Roman" w:hAnsi="Times New Roman"/>
          <w:lang w:val="lt-LT"/>
        </w:rPr>
      </w:pPr>
    </w:p>
    <w:p w14:paraId="5F8774DC" w14:textId="1A2EC331" w:rsidR="00AD0812" w:rsidRDefault="00AD0812" w:rsidP="00242DA5">
      <w:pPr>
        <w:autoSpaceDE w:val="0"/>
        <w:autoSpaceDN w:val="0"/>
        <w:adjustRightInd w:val="0"/>
        <w:spacing w:after="0" w:line="240" w:lineRule="auto"/>
        <w:rPr>
          <w:rFonts w:ascii="Times New Roman" w:hAnsi="Times New Roman"/>
          <w:lang w:val="lt-LT"/>
        </w:rPr>
      </w:pPr>
      <w:r>
        <w:rPr>
          <w:rFonts w:ascii="Times New Roman" w:hAnsi="Times New Roman"/>
          <w:lang w:val="lt-LT"/>
        </w:rPr>
        <w:t>arba</w:t>
      </w:r>
    </w:p>
    <w:p w14:paraId="2C9512B5" w14:textId="77777777" w:rsidR="00AD0812" w:rsidRDefault="00AD0812" w:rsidP="00242DA5">
      <w:pPr>
        <w:autoSpaceDE w:val="0"/>
        <w:autoSpaceDN w:val="0"/>
        <w:adjustRightInd w:val="0"/>
        <w:spacing w:after="0" w:line="240" w:lineRule="auto"/>
        <w:rPr>
          <w:rFonts w:ascii="Times New Roman" w:hAnsi="Times New Roman"/>
          <w:lang w:val="lt-LT"/>
        </w:rPr>
      </w:pPr>
    </w:p>
    <w:p w14:paraId="6DFB6279" w14:textId="4A52AEFD" w:rsidR="00AD0812" w:rsidRDefault="00AD0812" w:rsidP="00242DA5">
      <w:pPr>
        <w:autoSpaceDE w:val="0"/>
        <w:autoSpaceDN w:val="0"/>
        <w:adjustRightInd w:val="0"/>
        <w:spacing w:after="0" w:line="240" w:lineRule="auto"/>
        <w:rPr>
          <w:rFonts w:ascii="Times New Roman" w:hAnsi="Times New Roman"/>
          <w:lang w:val="lt-LT"/>
        </w:rPr>
      </w:pPr>
      <w:r w:rsidRPr="00AD0812">
        <w:rPr>
          <w:rFonts w:ascii="Times New Roman" w:hAnsi="Times New Roman"/>
          <w:lang w:val="lt-LT"/>
        </w:rPr>
        <w:t>S.C. Zentiva, S.A.</w:t>
      </w:r>
    </w:p>
    <w:p w14:paraId="3FFF8B9B" w14:textId="77777777" w:rsidR="00FA22D9" w:rsidRPr="00FA22D9" w:rsidRDefault="00FA22D9" w:rsidP="00FA22D9">
      <w:pPr>
        <w:autoSpaceDE w:val="0"/>
        <w:autoSpaceDN w:val="0"/>
        <w:adjustRightInd w:val="0"/>
        <w:spacing w:after="0" w:line="240" w:lineRule="auto"/>
        <w:rPr>
          <w:rFonts w:ascii="Times New Roman" w:hAnsi="Times New Roman"/>
          <w:lang w:val="lt-LT"/>
        </w:rPr>
      </w:pPr>
      <w:r w:rsidRPr="00FA22D9">
        <w:rPr>
          <w:rFonts w:ascii="Times New Roman" w:hAnsi="Times New Roman"/>
          <w:lang w:val="lt-LT"/>
        </w:rPr>
        <w:t>Theodor Pallady Nr 50</w:t>
      </w:r>
    </w:p>
    <w:p w14:paraId="499B8702" w14:textId="77777777" w:rsidR="00FA22D9" w:rsidRPr="00FA22D9" w:rsidRDefault="00FA22D9" w:rsidP="00FA22D9">
      <w:pPr>
        <w:autoSpaceDE w:val="0"/>
        <w:autoSpaceDN w:val="0"/>
        <w:adjustRightInd w:val="0"/>
        <w:spacing w:after="0" w:line="240" w:lineRule="auto"/>
        <w:rPr>
          <w:rFonts w:ascii="Times New Roman" w:hAnsi="Times New Roman"/>
          <w:lang w:val="lt-LT"/>
        </w:rPr>
      </w:pPr>
      <w:r w:rsidRPr="00FA22D9">
        <w:rPr>
          <w:rFonts w:ascii="Times New Roman" w:hAnsi="Times New Roman"/>
          <w:lang w:val="lt-LT"/>
        </w:rPr>
        <w:t>032266 Bucharest</w:t>
      </w:r>
    </w:p>
    <w:p w14:paraId="6E973F6D" w14:textId="77777777" w:rsidR="00FA22D9" w:rsidRPr="00FA22D9" w:rsidRDefault="00FA22D9" w:rsidP="00FA22D9">
      <w:pPr>
        <w:autoSpaceDE w:val="0"/>
        <w:autoSpaceDN w:val="0"/>
        <w:adjustRightInd w:val="0"/>
        <w:spacing w:after="0" w:line="240" w:lineRule="auto"/>
        <w:rPr>
          <w:rFonts w:ascii="Times New Roman" w:hAnsi="Times New Roman"/>
          <w:lang w:val="lt-LT"/>
        </w:rPr>
      </w:pPr>
      <w:r w:rsidRPr="00FA22D9">
        <w:rPr>
          <w:rFonts w:ascii="Times New Roman" w:hAnsi="Times New Roman"/>
          <w:lang w:val="lt-LT"/>
        </w:rPr>
        <w:t>Rumunija</w:t>
      </w:r>
    </w:p>
    <w:p w14:paraId="6A9B0EEF" w14:textId="77777777" w:rsidR="00AD0812" w:rsidRDefault="00AD0812" w:rsidP="00242DA5">
      <w:pPr>
        <w:autoSpaceDE w:val="0"/>
        <w:autoSpaceDN w:val="0"/>
        <w:adjustRightInd w:val="0"/>
        <w:spacing w:after="0" w:line="240" w:lineRule="auto"/>
        <w:rPr>
          <w:rFonts w:ascii="Times New Roman" w:hAnsi="Times New Roman"/>
          <w:lang w:val="lt-LT"/>
        </w:rPr>
      </w:pPr>
    </w:p>
    <w:p w14:paraId="16B313E2" w14:textId="74DBBAAA" w:rsidR="00AD0812" w:rsidRPr="00816A48" w:rsidRDefault="00AD0812" w:rsidP="00242DA5">
      <w:pPr>
        <w:autoSpaceDE w:val="0"/>
        <w:autoSpaceDN w:val="0"/>
        <w:adjustRightInd w:val="0"/>
        <w:spacing w:after="0" w:line="240" w:lineRule="auto"/>
        <w:rPr>
          <w:rFonts w:ascii="Times New Roman" w:hAnsi="Times New Roman"/>
          <w:lang w:val="lt-LT"/>
        </w:rPr>
      </w:pPr>
      <w:r w:rsidRPr="00AD0812">
        <w:rPr>
          <w:rFonts w:ascii="Times New Roman" w:hAnsi="Times New Roman"/>
          <w:lang w:val="lt-LT"/>
        </w:rPr>
        <w:t>Su pakuote pateikiamame lapelyje nurodomas gamintojo, atsakingo už konkrečios serijos išleidimą, pavadinimas ir adresas.</w:t>
      </w:r>
    </w:p>
    <w:p w14:paraId="1D4DAA45" w14:textId="77777777" w:rsidR="007750B7" w:rsidRPr="00816A48" w:rsidRDefault="007750B7" w:rsidP="00861232">
      <w:pPr>
        <w:pStyle w:val="BTEMEASMCA"/>
        <w:rPr>
          <w:rFonts w:ascii="Times New Roman" w:hAnsi="Times New Roman"/>
          <w:sz w:val="22"/>
          <w:szCs w:val="22"/>
          <w:highlight w:val="yellow"/>
          <w:lang w:val="lt-LT"/>
        </w:rPr>
      </w:pPr>
    </w:p>
    <w:p w14:paraId="4789E08C" w14:textId="77777777" w:rsidR="007750B7" w:rsidRPr="00816A48" w:rsidRDefault="007750B7" w:rsidP="00861232">
      <w:pPr>
        <w:pStyle w:val="BTEMEASMCA"/>
        <w:rPr>
          <w:rFonts w:ascii="Times New Roman" w:hAnsi="Times New Roman"/>
          <w:sz w:val="22"/>
          <w:szCs w:val="22"/>
          <w:highlight w:val="yellow"/>
          <w:lang w:val="lt-LT"/>
        </w:rPr>
      </w:pPr>
    </w:p>
    <w:p w14:paraId="0F783FA4" w14:textId="77777777" w:rsidR="007750B7" w:rsidRPr="00816A48" w:rsidRDefault="007750B7" w:rsidP="00861232">
      <w:pPr>
        <w:pStyle w:val="PI-1EMEASMCA"/>
      </w:pPr>
      <w:bookmarkStart w:id="3" w:name="_Toc129243129"/>
      <w:bookmarkStart w:id="4" w:name="_Toc129243254"/>
      <w:bookmarkStart w:id="5" w:name="_Toc129243130"/>
      <w:bookmarkStart w:id="6" w:name="_Toc129243255"/>
      <w:r w:rsidRPr="00816A48">
        <w:t>B.</w:t>
      </w:r>
      <w:r w:rsidRPr="00816A48">
        <w:tab/>
      </w:r>
      <w:r w:rsidR="00604FE8" w:rsidRPr="00816A48">
        <w:t>TIEKIMO IR VARTOJIMO SĄLYGOS AR APRIBOJIMAI</w:t>
      </w:r>
      <w:bookmarkEnd w:id="3"/>
      <w:bookmarkEnd w:id="4"/>
      <w:bookmarkEnd w:id="5"/>
      <w:bookmarkEnd w:id="6"/>
    </w:p>
    <w:p w14:paraId="132E35D2" w14:textId="77777777" w:rsidR="007750B7" w:rsidRPr="00816A48" w:rsidRDefault="007750B7" w:rsidP="00861232">
      <w:pPr>
        <w:pStyle w:val="BTEMEASMCA"/>
        <w:rPr>
          <w:rFonts w:ascii="Times New Roman" w:hAnsi="Times New Roman"/>
          <w:sz w:val="22"/>
          <w:szCs w:val="22"/>
          <w:lang w:val="lt-LT"/>
        </w:rPr>
      </w:pPr>
    </w:p>
    <w:p w14:paraId="6ED37873" w14:textId="77777777" w:rsidR="007750B7" w:rsidRPr="00816A48" w:rsidRDefault="007750B7" w:rsidP="00482B5D">
      <w:pPr>
        <w:spacing w:after="0"/>
        <w:rPr>
          <w:rFonts w:ascii="Times New Roman" w:hAnsi="Times New Roman"/>
          <w:lang w:val="lt-LT"/>
        </w:rPr>
      </w:pPr>
      <w:r w:rsidRPr="00816A48">
        <w:rPr>
          <w:rFonts w:ascii="Times New Roman" w:hAnsi="Times New Roman"/>
          <w:lang w:val="lt-LT"/>
        </w:rPr>
        <w:t>Receptinis vaistinis preparatas.</w:t>
      </w:r>
    </w:p>
    <w:p w14:paraId="41C0D8B3" w14:textId="52A3C7FF" w:rsidR="007750B7" w:rsidRPr="00816A48" w:rsidRDefault="007750B7" w:rsidP="003D3259">
      <w:pPr>
        <w:pStyle w:val="PI-2EMEASMCA"/>
      </w:pPr>
    </w:p>
    <w:p w14:paraId="6CC3080E" w14:textId="77777777" w:rsidR="007750B7" w:rsidRPr="00816A48" w:rsidRDefault="007750B7" w:rsidP="009B4884">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br w:type="page"/>
      </w:r>
    </w:p>
    <w:p w14:paraId="0692AE39" w14:textId="77777777" w:rsidR="007750B7" w:rsidRPr="00816A48" w:rsidRDefault="007750B7" w:rsidP="007A65B4">
      <w:pPr>
        <w:autoSpaceDE w:val="0"/>
        <w:autoSpaceDN w:val="0"/>
        <w:adjustRightInd w:val="0"/>
        <w:spacing w:after="0" w:line="240" w:lineRule="auto"/>
        <w:rPr>
          <w:rFonts w:ascii="Times New Roman" w:hAnsi="Times New Roman"/>
          <w:lang w:val="lt-LT"/>
        </w:rPr>
      </w:pPr>
    </w:p>
    <w:p w14:paraId="44327B4D" w14:textId="77777777" w:rsidR="007750B7" w:rsidRPr="00816A48" w:rsidRDefault="007750B7" w:rsidP="00661507">
      <w:pPr>
        <w:autoSpaceDE w:val="0"/>
        <w:autoSpaceDN w:val="0"/>
        <w:adjustRightInd w:val="0"/>
        <w:spacing w:after="0" w:line="240" w:lineRule="auto"/>
        <w:rPr>
          <w:rFonts w:ascii="Times New Roman" w:hAnsi="Times New Roman"/>
          <w:lang w:val="lt-LT"/>
        </w:rPr>
      </w:pPr>
    </w:p>
    <w:p w14:paraId="5FB11475" w14:textId="77777777" w:rsidR="007750B7" w:rsidRPr="00816A48" w:rsidRDefault="007750B7" w:rsidP="00604FE8">
      <w:pPr>
        <w:autoSpaceDE w:val="0"/>
        <w:autoSpaceDN w:val="0"/>
        <w:adjustRightInd w:val="0"/>
        <w:spacing w:after="0" w:line="240" w:lineRule="auto"/>
        <w:rPr>
          <w:rFonts w:ascii="Times New Roman" w:hAnsi="Times New Roman"/>
          <w:lang w:val="lt-LT"/>
        </w:rPr>
      </w:pPr>
    </w:p>
    <w:p w14:paraId="276AC464" w14:textId="77777777" w:rsidR="007750B7" w:rsidRPr="00816A48" w:rsidRDefault="007750B7" w:rsidP="00242DA5">
      <w:pPr>
        <w:autoSpaceDE w:val="0"/>
        <w:autoSpaceDN w:val="0"/>
        <w:adjustRightInd w:val="0"/>
        <w:spacing w:after="0" w:line="240" w:lineRule="auto"/>
        <w:rPr>
          <w:rFonts w:ascii="Times New Roman" w:hAnsi="Times New Roman"/>
          <w:lang w:val="lt-LT"/>
        </w:rPr>
      </w:pPr>
    </w:p>
    <w:p w14:paraId="45FCFBC8" w14:textId="77777777" w:rsidR="007750B7" w:rsidRPr="00816A48" w:rsidRDefault="007750B7" w:rsidP="00331125">
      <w:pPr>
        <w:autoSpaceDE w:val="0"/>
        <w:autoSpaceDN w:val="0"/>
        <w:adjustRightInd w:val="0"/>
        <w:spacing w:after="0" w:line="240" w:lineRule="auto"/>
        <w:rPr>
          <w:rFonts w:ascii="Times New Roman" w:hAnsi="Times New Roman"/>
          <w:lang w:val="lt-LT"/>
        </w:rPr>
      </w:pPr>
    </w:p>
    <w:p w14:paraId="1553FE20" w14:textId="77777777" w:rsidR="007750B7" w:rsidRPr="00816A48" w:rsidRDefault="007750B7" w:rsidP="00DA1B4A">
      <w:pPr>
        <w:autoSpaceDE w:val="0"/>
        <w:autoSpaceDN w:val="0"/>
        <w:adjustRightInd w:val="0"/>
        <w:spacing w:after="0" w:line="240" w:lineRule="auto"/>
        <w:rPr>
          <w:rFonts w:ascii="Times New Roman" w:hAnsi="Times New Roman"/>
          <w:lang w:val="lt-LT"/>
        </w:rPr>
      </w:pPr>
    </w:p>
    <w:p w14:paraId="5248DCA1" w14:textId="77777777" w:rsidR="007750B7" w:rsidRPr="00816A48" w:rsidRDefault="007750B7" w:rsidP="00735AD3">
      <w:pPr>
        <w:autoSpaceDE w:val="0"/>
        <w:autoSpaceDN w:val="0"/>
        <w:adjustRightInd w:val="0"/>
        <w:spacing w:after="0" w:line="240" w:lineRule="auto"/>
        <w:rPr>
          <w:rFonts w:ascii="Times New Roman" w:hAnsi="Times New Roman"/>
          <w:lang w:val="lt-LT"/>
        </w:rPr>
      </w:pPr>
    </w:p>
    <w:p w14:paraId="5044DF82" w14:textId="77777777" w:rsidR="007750B7" w:rsidRPr="00816A48" w:rsidRDefault="007750B7" w:rsidP="000F0A27">
      <w:pPr>
        <w:autoSpaceDE w:val="0"/>
        <w:autoSpaceDN w:val="0"/>
        <w:adjustRightInd w:val="0"/>
        <w:spacing w:after="0" w:line="240" w:lineRule="auto"/>
        <w:rPr>
          <w:rFonts w:ascii="Times New Roman" w:hAnsi="Times New Roman"/>
          <w:lang w:val="lt-LT"/>
        </w:rPr>
      </w:pPr>
    </w:p>
    <w:p w14:paraId="7D3F61F4" w14:textId="77777777" w:rsidR="007750B7" w:rsidRPr="00816A48" w:rsidRDefault="007750B7" w:rsidP="000F0A27">
      <w:pPr>
        <w:autoSpaceDE w:val="0"/>
        <w:autoSpaceDN w:val="0"/>
        <w:adjustRightInd w:val="0"/>
        <w:spacing w:after="0" w:line="240" w:lineRule="auto"/>
        <w:rPr>
          <w:rFonts w:ascii="Times New Roman" w:hAnsi="Times New Roman"/>
          <w:lang w:val="lt-LT"/>
        </w:rPr>
      </w:pPr>
    </w:p>
    <w:p w14:paraId="039DC4C8" w14:textId="77777777" w:rsidR="007750B7" w:rsidRPr="00816A48" w:rsidRDefault="007750B7" w:rsidP="000A0BCD">
      <w:pPr>
        <w:autoSpaceDE w:val="0"/>
        <w:autoSpaceDN w:val="0"/>
        <w:adjustRightInd w:val="0"/>
        <w:spacing w:after="0" w:line="240" w:lineRule="auto"/>
        <w:rPr>
          <w:rFonts w:ascii="Times New Roman" w:hAnsi="Times New Roman"/>
          <w:lang w:val="lt-LT"/>
        </w:rPr>
      </w:pPr>
    </w:p>
    <w:p w14:paraId="5692D8F0" w14:textId="77777777" w:rsidR="007750B7" w:rsidRPr="00816A48" w:rsidRDefault="007750B7" w:rsidP="00A761AB">
      <w:pPr>
        <w:autoSpaceDE w:val="0"/>
        <w:autoSpaceDN w:val="0"/>
        <w:adjustRightInd w:val="0"/>
        <w:spacing w:after="0" w:line="240" w:lineRule="auto"/>
        <w:rPr>
          <w:rFonts w:ascii="Times New Roman" w:hAnsi="Times New Roman"/>
          <w:lang w:val="lt-LT"/>
        </w:rPr>
      </w:pPr>
    </w:p>
    <w:p w14:paraId="5A995670" w14:textId="77777777" w:rsidR="007750B7" w:rsidRPr="00816A48" w:rsidRDefault="007750B7" w:rsidP="00A761AB">
      <w:pPr>
        <w:autoSpaceDE w:val="0"/>
        <w:autoSpaceDN w:val="0"/>
        <w:adjustRightInd w:val="0"/>
        <w:spacing w:after="0" w:line="240" w:lineRule="auto"/>
        <w:rPr>
          <w:rFonts w:ascii="Times New Roman" w:hAnsi="Times New Roman"/>
          <w:lang w:val="lt-LT"/>
        </w:rPr>
      </w:pPr>
    </w:p>
    <w:p w14:paraId="4795EC11" w14:textId="77777777" w:rsidR="007750B7" w:rsidRPr="00816A48" w:rsidRDefault="007750B7" w:rsidP="00A761AB">
      <w:pPr>
        <w:autoSpaceDE w:val="0"/>
        <w:autoSpaceDN w:val="0"/>
        <w:adjustRightInd w:val="0"/>
        <w:spacing w:after="0" w:line="240" w:lineRule="auto"/>
        <w:rPr>
          <w:rFonts w:ascii="Times New Roman" w:hAnsi="Times New Roman"/>
          <w:lang w:val="lt-LT"/>
        </w:rPr>
      </w:pPr>
    </w:p>
    <w:p w14:paraId="5D8E18CC" w14:textId="77777777" w:rsidR="007750B7" w:rsidRPr="00816A48" w:rsidRDefault="007750B7" w:rsidP="0062444B">
      <w:pPr>
        <w:autoSpaceDE w:val="0"/>
        <w:autoSpaceDN w:val="0"/>
        <w:adjustRightInd w:val="0"/>
        <w:spacing w:after="0" w:line="240" w:lineRule="auto"/>
        <w:rPr>
          <w:rFonts w:ascii="Times New Roman" w:hAnsi="Times New Roman"/>
          <w:lang w:val="lt-LT"/>
        </w:rPr>
      </w:pPr>
    </w:p>
    <w:p w14:paraId="2F5A3509" w14:textId="77777777" w:rsidR="007750B7" w:rsidRPr="00816A48" w:rsidRDefault="007750B7" w:rsidP="00947F45">
      <w:pPr>
        <w:autoSpaceDE w:val="0"/>
        <w:autoSpaceDN w:val="0"/>
        <w:adjustRightInd w:val="0"/>
        <w:spacing w:after="0" w:line="240" w:lineRule="auto"/>
        <w:rPr>
          <w:rFonts w:ascii="Times New Roman" w:hAnsi="Times New Roman"/>
          <w:lang w:val="lt-LT"/>
        </w:rPr>
      </w:pPr>
    </w:p>
    <w:p w14:paraId="32B15577"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58287CBD"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24463594"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34823D37"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037347A4"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78901E30"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4BE31FCE" w14:textId="77777777" w:rsidR="00F16036" w:rsidRDefault="00F16036" w:rsidP="00D539B8">
      <w:pPr>
        <w:spacing w:after="0"/>
        <w:ind w:left="567" w:hanging="567"/>
        <w:jc w:val="center"/>
        <w:rPr>
          <w:rFonts w:ascii="Times New Roman" w:hAnsi="Times New Roman"/>
          <w:b/>
          <w:lang w:val="lt-LT"/>
        </w:rPr>
      </w:pPr>
    </w:p>
    <w:p w14:paraId="1F9C1432" w14:textId="77777777" w:rsidR="00522FEF" w:rsidRDefault="00522FEF" w:rsidP="00D539B8">
      <w:pPr>
        <w:spacing w:after="0"/>
        <w:ind w:left="567" w:hanging="567"/>
        <w:jc w:val="center"/>
        <w:rPr>
          <w:rFonts w:ascii="Times New Roman" w:hAnsi="Times New Roman"/>
          <w:b/>
          <w:lang w:val="lt-LT"/>
        </w:rPr>
      </w:pPr>
    </w:p>
    <w:p w14:paraId="63481227" w14:textId="77777777" w:rsidR="007750B7" w:rsidRPr="00816A48" w:rsidRDefault="007750B7" w:rsidP="00D539B8">
      <w:pPr>
        <w:spacing w:after="0"/>
        <w:ind w:left="567" w:hanging="567"/>
        <w:jc w:val="center"/>
        <w:rPr>
          <w:rFonts w:ascii="Times New Roman" w:hAnsi="Times New Roman"/>
          <w:b/>
          <w:lang w:val="lt-LT"/>
        </w:rPr>
      </w:pPr>
      <w:r w:rsidRPr="00816A48">
        <w:rPr>
          <w:rFonts w:ascii="Times New Roman" w:hAnsi="Times New Roman"/>
          <w:b/>
          <w:lang w:val="lt-LT"/>
        </w:rPr>
        <w:t>III PRIEDAS</w:t>
      </w:r>
    </w:p>
    <w:p w14:paraId="5EED46B8" w14:textId="77777777" w:rsidR="0064232C" w:rsidRPr="00816A48" w:rsidRDefault="0064232C" w:rsidP="00D539B8">
      <w:pPr>
        <w:spacing w:after="0"/>
        <w:ind w:left="567" w:hanging="567"/>
        <w:jc w:val="center"/>
        <w:rPr>
          <w:rFonts w:ascii="Times New Roman" w:hAnsi="Times New Roman"/>
          <w:b/>
          <w:lang w:val="lt-LT"/>
        </w:rPr>
      </w:pPr>
    </w:p>
    <w:p w14:paraId="4FBEF7E7" w14:textId="77777777" w:rsidR="007750B7" w:rsidRPr="00816A48" w:rsidRDefault="007750B7" w:rsidP="00177670">
      <w:pPr>
        <w:autoSpaceDE w:val="0"/>
        <w:autoSpaceDN w:val="0"/>
        <w:adjustRightInd w:val="0"/>
        <w:spacing w:after="0" w:line="240" w:lineRule="auto"/>
        <w:jc w:val="center"/>
        <w:rPr>
          <w:rFonts w:ascii="Times New Roman" w:hAnsi="Times New Roman"/>
          <w:lang w:val="lt-LT"/>
        </w:rPr>
      </w:pPr>
      <w:r w:rsidRPr="00816A48">
        <w:rPr>
          <w:rFonts w:ascii="Times New Roman" w:hAnsi="Times New Roman"/>
          <w:b/>
          <w:lang w:val="lt-LT"/>
        </w:rPr>
        <w:t>ŽENKLINIMAS IR PAKUOTĖS LAPELIS</w:t>
      </w:r>
      <w:r w:rsidRPr="00816A48">
        <w:rPr>
          <w:rFonts w:ascii="Times New Roman" w:hAnsi="Times New Roman"/>
          <w:lang w:val="lt-LT"/>
        </w:rPr>
        <w:t xml:space="preserve"> </w:t>
      </w:r>
    </w:p>
    <w:p w14:paraId="6C394ACE" w14:textId="77777777" w:rsidR="007750B7" w:rsidRPr="00816A48" w:rsidRDefault="007750B7" w:rsidP="005F68E5">
      <w:pPr>
        <w:autoSpaceDE w:val="0"/>
        <w:autoSpaceDN w:val="0"/>
        <w:adjustRightInd w:val="0"/>
        <w:spacing w:after="0" w:line="240" w:lineRule="auto"/>
        <w:jc w:val="center"/>
        <w:rPr>
          <w:rFonts w:ascii="Times New Roman" w:hAnsi="Times New Roman"/>
          <w:lang w:val="lt-LT"/>
        </w:rPr>
      </w:pPr>
    </w:p>
    <w:p w14:paraId="6CF7C4A2" w14:textId="77777777" w:rsidR="007750B7" w:rsidRPr="00816A48" w:rsidRDefault="007750B7" w:rsidP="00720F9C">
      <w:pPr>
        <w:autoSpaceDE w:val="0"/>
        <w:autoSpaceDN w:val="0"/>
        <w:adjustRightInd w:val="0"/>
        <w:spacing w:after="0" w:line="240" w:lineRule="auto"/>
        <w:jc w:val="center"/>
        <w:rPr>
          <w:rFonts w:ascii="Times New Roman" w:hAnsi="Times New Roman"/>
          <w:lang w:val="lt-LT"/>
        </w:rPr>
      </w:pPr>
      <w:r w:rsidRPr="00816A48">
        <w:rPr>
          <w:rFonts w:ascii="Times New Roman" w:hAnsi="Times New Roman"/>
          <w:lang w:val="lt-LT"/>
        </w:rPr>
        <w:br w:type="page"/>
      </w:r>
    </w:p>
    <w:p w14:paraId="783F682B" w14:textId="77777777" w:rsidR="007750B7" w:rsidRPr="00816A48" w:rsidRDefault="007750B7" w:rsidP="00720F9C">
      <w:pPr>
        <w:autoSpaceDE w:val="0"/>
        <w:autoSpaceDN w:val="0"/>
        <w:adjustRightInd w:val="0"/>
        <w:spacing w:after="0" w:line="240" w:lineRule="auto"/>
        <w:jc w:val="center"/>
        <w:rPr>
          <w:rFonts w:ascii="Times New Roman" w:hAnsi="Times New Roman"/>
          <w:lang w:val="lt-LT"/>
        </w:rPr>
      </w:pPr>
    </w:p>
    <w:p w14:paraId="338C3A6D" w14:textId="77777777" w:rsidR="007750B7" w:rsidRPr="00816A48" w:rsidRDefault="007750B7" w:rsidP="008D33C6">
      <w:pPr>
        <w:autoSpaceDE w:val="0"/>
        <w:autoSpaceDN w:val="0"/>
        <w:adjustRightInd w:val="0"/>
        <w:spacing w:after="0" w:line="240" w:lineRule="auto"/>
        <w:jc w:val="center"/>
        <w:rPr>
          <w:rFonts w:ascii="Times New Roman" w:hAnsi="Times New Roman"/>
          <w:lang w:val="lt-LT"/>
        </w:rPr>
      </w:pPr>
    </w:p>
    <w:p w14:paraId="25AA245E" w14:textId="77777777" w:rsidR="007750B7" w:rsidRPr="00816A48" w:rsidRDefault="007750B7" w:rsidP="009B4884">
      <w:pPr>
        <w:autoSpaceDE w:val="0"/>
        <w:autoSpaceDN w:val="0"/>
        <w:adjustRightInd w:val="0"/>
        <w:spacing w:after="0" w:line="240" w:lineRule="auto"/>
        <w:jc w:val="center"/>
        <w:rPr>
          <w:rFonts w:ascii="Times New Roman" w:hAnsi="Times New Roman"/>
          <w:lang w:val="lt-LT"/>
        </w:rPr>
      </w:pPr>
    </w:p>
    <w:p w14:paraId="0B41E98B" w14:textId="77777777" w:rsidR="007750B7" w:rsidRPr="00816A48" w:rsidRDefault="007750B7" w:rsidP="007A65B4">
      <w:pPr>
        <w:autoSpaceDE w:val="0"/>
        <w:autoSpaceDN w:val="0"/>
        <w:adjustRightInd w:val="0"/>
        <w:spacing w:after="0" w:line="240" w:lineRule="auto"/>
        <w:jc w:val="center"/>
        <w:rPr>
          <w:rFonts w:ascii="Times New Roman" w:hAnsi="Times New Roman"/>
          <w:lang w:val="lt-LT"/>
        </w:rPr>
      </w:pPr>
    </w:p>
    <w:p w14:paraId="7AA9203B" w14:textId="77777777" w:rsidR="007750B7" w:rsidRPr="00816A48" w:rsidRDefault="007750B7" w:rsidP="00661507">
      <w:pPr>
        <w:autoSpaceDE w:val="0"/>
        <w:autoSpaceDN w:val="0"/>
        <w:adjustRightInd w:val="0"/>
        <w:spacing w:after="0" w:line="240" w:lineRule="auto"/>
        <w:jc w:val="center"/>
        <w:rPr>
          <w:rFonts w:ascii="Times New Roman" w:hAnsi="Times New Roman"/>
          <w:lang w:val="lt-LT"/>
        </w:rPr>
      </w:pPr>
    </w:p>
    <w:p w14:paraId="4546741D" w14:textId="77777777" w:rsidR="007750B7" w:rsidRPr="00816A48" w:rsidRDefault="007750B7" w:rsidP="00604FE8">
      <w:pPr>
        <w:autoSpaceDE w:val="0"/>
        <w:autoSpaceDN w:val="0"/>
        <w:adjustRightInd w:val="0"/>
        <w:spacing w:after="0" w:line="240" w:lineRule="auto"/>
        <w:jc w:val="center"/>
        <w:rPr>
          <w:rFonts w:ascii="Times New Roman" w:hAnsi="Times New Roman"/>
          <w:lang w:val="lt-LT"/>
        </w:rPr>
      </w:pPr>
    </w:p>
    <w:p w14:paraId="3AE15FF7" w14:textId="77777777" w:rsidR="007750B7" w:rsidRPr="00816A48" w:rsidRDefault="007750B7" w:rsidP="00242DA5">
      <w:pPr>
        <w:autoSpaceDE w:val="0"/>
        <w:autoSpaceDN w:val="0"/>
        <w:adjustRightInd w:val="0"/>
        <w:spacing w:after="0" w:line="240" w:lineRule="auto"/>
        <w:jc w:val="center"/>
        <w:rPr>
          <w:rFonts w:ascii="Times New Roman" w:hAnsi="Times New Roman"/>
          <w:lang w:val="lt-LT"/>
        </w:rPr>
      </w:pPr>
    </w:p>
    <w:p w14:paraId="732B61FE" w14:textId="77777777" w:rsidR="007750B7" w:rsidRPr="00816A48" w:rsidRDefault="007750B7" w:rsidP="00331125">
      <w:pPr>
        <w:autoSpaceDE w:val="0"/>
        <w:autoSpaceDN w:val="0"/>
        <w:adjustRightInd w:val="0"/>
        <w:spacing w:after="0" w:line="240" w:lineRule="auto"/>
        <w:jc w:val="center"/>
        <w:rPr>
          <w:rFonts w:ascii="Times New Roman" w:hAnsi="Times New Roman"/>
          <w:lang w:val="lt-LT"/>
        </w:rPr>
      </w:pPr>
    </w:p>
    <w:p w14:paraId="625B3040" w14:textId="77777777" w:rsidR="007750B7" w:rsidRPr="00816A48" w:rsidRDefault="007750B7" w:rsidP="00DA1B4A">
      <w:pPr>
        <w:autoSpaceDE w:val="0"/>
        <w:autoSpaceDN w:val="0"/>
        <w:adjustRightInd w:val="0"/>
        <w:spacing w:after="0" w:line="240" w:lineRule="auto"/>
        <w:jc w:val="center"/>
        <w:rPr>
          <w:rFonts w:ascii="Times New Roman" w:hAnsi="Times New Roman"/>
          <w:lang w:val="lt-LT"/>
        </w:rPr>
      </w:pPr>
    </w:p>
    <w:p w14:paraId="5F570581" w14:textId="77777777" w:rsidR="007750B7" w:rsidRPr="00816A48" w:rsidRDefault="007750B7" w:rsidP="00735AD3">
      <w:pPr>
        <w:autoSpaceDE w:val="0"/>
        <w:autoSpaceDN w:val="0"/>
        <w:adjustRightInd w:val="0"/>
        <w:spacing w:after="0" w:line="240" w:lineRule="auto"/>
        <w:jc w:val="center"/>
        <w:rPr>
          <w:rFonts w:ascii="Times New Roman" w:hAnsi="Times New Roman"/>
          <w:lang w:val="lt-LT"/>
        </w:rPr>
      </w:pPr>
    </w:p>
    <w:p w14:paraId="287B022D" w14:textId="77777777" w:rsidR="007750B7" w:rsidRPr="00816A48" w:rsidRDefault="007750B7" w:rsidP="000F0A27">
      <w:pPr>
        <w:autoSpaceDE w:val="0"/>
        <w:autoSpaceDN w:val="0"/>
        <w:adjustRightInd w:val="0"/>
        <w:spacing w:after="0" w:line="240" w:lineRule="auto"/>
        <w:jc w:val="center"/>
        <w:rPr>
          <w:rFonts w:ascii="Times New Roman" w:hAnsi="Times New Roman"/>
          <w:lang w:val="lt-LT"/>
        </w:rPr>
      </w:pPr>
    </w:p>
    <w:p w14:paraId="120F49CC" w14:textId="77777777" w:rsidR="007750B7" w:rsidRPr="00816A48" w:rsidRDefault="007750B7" w:rsidP="000F0A27">
      <w:pPr>
        <w:autoSpaceDE w:val="0"/>
        <w:autoSpaceDN w:val="0"/>
        <w:adjustRightInd w:val="0"/>
        <w:spacing w:after="0" w:line="240" w:lineRule="auto"/>
        <w:jc w:val="center"/>
        <w:rPr>
          <w:rFonts w:ascii="Times New Roman" w:hAnsi="Times New Roman"/>
          <w:lang w:val="lt-LT"/>
        </w:rPr>
      </w:pPr>
    </w:p>
    <w:p w14:paraId="6F8EDB97" w14:textId="77777777" w:rsidR="007750B7" w:rsidRPr="00816A48" w:rsidRDefault="007750B7" w:rsidP="000A0BCD">
      <w:pPr>
        <w:autoSpaceDE w:val="0"/>
        <w:autoSpaceDN w:val="0"/>
        <w:adjustRightInd w:val="0"/>
        <w:spacing w:after="0" w:line="240" w:lineRule="auto"/>
        <w:jc w:val="center"/>
        <w:rPr>
          <w:rFonts w:ascii="Times New Roman" w:hAnsi="Times New Roman"/>
          <w:lang w:val="lt-LT"/>
        </w:rPr>
      </w:pPr>
    </w:p>
    <w:p w14:paraId="568B30CE" w14:textId="77777777" w:rsidR="007750B7" w:rsidRPr="00816A48" w:rsidRDefault="007750B7" w:rsidP="00A761AB">
      <w:pPr>
        <w:autoSpaceDE w:val="0"/>
        <w:autoSpaceDN w:val="0"/>
        <w:adjustRightInd w:val="0"/>
        <w:spacing w:after="0" w:line="240" w:lineRule="auto"/>
        <w:jc w:val="center"/>
        <w:rPr>
          <w:rFonts w:ascii="Times New Roman" w:hAnsi="Times New Roman"/>
          <w:lang w:val="lt-LT"/>
        </w:rPr>
      </w:pPr>
    </w:p>
    <w:p w14:paraId="34DC3FE7" w14:textId="77777777" w:rsidR="007750B7" w:rsidRPr="00816A48" w:rsidRDefault="007750B7" w:rsidP="00A761AB">
      <w:pPr>
        <w:autoSpaceDE w:val="0"/>
        <w:autoSpaceDN w:val="0"/>
        <w:adjustRightInd w:val="0"/>
        <w:spacing w:after="0" w:line="240" w:lineRule="auto"/>
        <w:jc w:val="center"/>
        <w:rPr>
          <w:rFonts w:ascii="Times New Roman" w:hAnsi="Times New Roman"/>
          <w:lang w:val="lt-LT"/>
        </w:rPr>
      </w:pPr>
    </w:p>
    <w:p w14:paraId="008C5E6F" w14:textId="77777777" w:rsidR="007750B7" w:rsidRPr="00816A48" w:rsidRDefault="007750B7" w:rsidP="00A761AB">
      <w:pPr>
        <w:autoSpaceDE w:val="0"/>
        <w:autoSpaceDN w:val="0"/>
        <w:adjustRightInd w:val="0"/>
        <w:spacing w:after="0" w:line="240" w:lineRule="auto"/>
        <w:jc w:val="center"/>
        <w:rPr>
          <w:rFonts w:ascii="Times New Roman" w:hAnsi="Times New Roman"/>
          <w:lang w:val="lt-LT"/>
        </w:rPr>
      </w:pPr>
    </w:p>
    <w:p w14:paraId="240F6FD0" w14:textId="77777777" w:rsidR="007750B7" w:rsidRPr="00816A48" w:rsidRDefault="007750B7" w:rsidP="0062444B">
      <w:pPr>
        <w:autoSpaceDE w:val="0"/>
        <w:autoSpaceDN w:val="0"/>
        <w:adjustRightInd w:val="0"/>
        <w:spacing w:after="0" w:line="240" w:lineRule="auto"/>
        <w:jc w:val="center"/>
        <w:rPr>
          <w:rFonts w:ascii="Times New Roman" w:hAnsi="Times New Roman"/>
          <w:lang w:val="lt-LT"/>
        </w:rPr>
      </w:pPr>
    </w:p>
    <w:p w14:paraId="7F414DD6" w14:textId="77777777" w:rsidR="007750B7" w:rsidRPr="00816A48" w:rsidRDefault="007750B7" w:rsidP="00947F45">
      <w:pPr>
        <w:autoSpaceDE w:val="0"/>
        <w:autoSpaceDN w:val="0"/>
        <w:adjustRightInd w:val="0"/>
        <w:spacing w:after="0" w:line="240" w:lineRule="auto"/>
        <w:jc w:val="center"/>
        <w:rPr>
          <w:rFonts w:ascii="Times New Roman" w:hAnsi="Times New Roman"/>
          <w:lang w:val="lt-LT"/>
        </w:rPr>
      </w:pPr>
    </w:p>
    <w:p w14:paraId="0753F6D4" w14:textId="77777777" w:rsidR="007750B7" w:rsidRPr="00816A48" w:rsidRDefault="007750B7" w:rsidP="003D3259">
      <w:pPr>
        <w:autoSpaceDE w:val="0"/>
        <w:autoSpaceDN w:val="0"/>
        <w:adjustRightInd w:val="0"/>
        <w:spacing w:after="0" w:line="240" w:lineRule="auto"/>
        <w:jc w:val="center"/>
        <w:rPr>
          <w:rFonts w:ascii="Times New Roman" w:hAnsi="Times New Roman"/>
          <w:lang w:val="lt-LT"/>
        </w:rPr>
      </w:pPr>
    </w:p>
    <w:p w14:paraId="3B30EA6C" w14:textId="77777777" w:rsidR="007750B7" w:rsidRPr="00816A48" w:rsidRDefault="007750B7" w:rsidP="003D3259">
      <w:pPr>
        <w:autoSpaceDE w:val="0"/>
        <w:autoSpaceDN w:val="0"/>
        <w:adjustRightInd w:val="0"/>
        <w:spacing w:after="0" w:line="240" w:lineRule="auto"/>
        <w:jc w:val="center"/>
        <w:rPr>
          <w:rFonts w:ascii="Times New Roman" w:hAnsi="Times New Roman"/>
          <w:lang w:val="lt-LT"/>
        </w:rPr>
      </w:pPr>
    </w:p>
    <w:p w14:paraId="5E9E0F0B" w14:textId="77777777" w:rsidR="007750B7" w:rsidRPr="00816A48" w:rsidRDefault="007750B7" w:rsidP="003D3259">
      <w:pPr>
        <w:autoSpaceDE w:val="0"/>
        <w:autoSpaceDN w:val="0"/>
        <w:adjustRightInd w:val="0"/>
        <w:spacing w:after="0" w:line="240" w:lineRule="auto"/>
        <w:jc w:val="center"/>
        <w:rPr>
          <w:rFonts w:ascii="Times New Roman" w:hAnsi="Times New Roman"/>
          <w:lang w:val="lt-LT"/>
        </w:rPr>
      </w:pPr>
    </w:p>
    <w:p w14:paraId="70B402B8" w14:textId="77777777" w:rsidR="007750B7" w:rsidRDefault="007750B7" w:rsidP="003D3259">
      <w:pPr>
        <w:autoSpaceDE w:val="0"/>
        <w:autoSpaceDN w:val="0"/>
        <w:adjustRightInd w:val="0"/>
        <w:spacing w:after="0" w:line="240" w:lineRule="auto"/>
        <w:jc w:val="center"/>
        <w:rPr>
          <w:rFonts w:ascii="Times New Roman" w:hAnsi="Times New Roman"/>
          <w:lang w:val="lt-LT"/>
        </w:rPr>
      </w:pPr>
    </w:p>
    <w:p w14:paraId="44D931FF" w14:textId="77777777" w:rsidR="00F16036" w:rsidRPr="00816A48" w:rsidRDefault="00F16036" w:rsidP="003D3259">
      <w:pPr>
        <w:autoSpaceDE w:val="0"/>
        <w:autoSpaceDN w:val="0"/>
        <w:adjustRightInd w:val="0"/>
        <w:spacing w:after="0" w:line="240" w:lineRule="auto"/>
        <w:jc w:val="center"/>
        <w:rPr>
          <w:rFonts w:ascii="Times New Roman" w:hAnsi="Times New Roman"/>
          <w:lang w:val="lt-LT"/>
        </w:rPr>
      </w:pPr>
    </w:p>
    <w:p w14:paraId="5B5FE5DE" w14:textId="77777777" w:rsidR="007750B7" w:rsidRPr="00816A48" w:rsidRDefault="007750B7" w:rsidP="003D3259">
      <w:pPr>
        <w:numPr>
          <w:ilvl w:val="0"/>
          <w:numId w:val="36"/>
        </w:numPr>
        <w:spacing w:after="0" w:line="240" w:lineRule="auto"/>
        <w:jc w:val="center"/>
        <w:rPr>
          <w:rFonts w:ascii="Times New Roman" w:hAnsi="Times New Roman"/>
          <w:b/>
          <w:lang w:val="lt-LT"/>
        </w:rPr>
      </w:pPr>
      <w:r w:rsidRPr="00816A48">
        <w:rPr>
          <w:rFonts w:ascii="Times New Roman" w:hAnsi="Times New Roman"/>
          <w:b/>
          <w:lang w:val="lt-LT"/>
        </w:rPr>
        <w:t>ŽENKLINIMAS</w:t>
      </w:r>
    </w:p>
    <w:p w14:paraId="09025483" w14:textId="77777777" w:rsidR="007750B7" w:rsidRPr="00816A48" w:rsidRDefault="007750B7" w:rsidP="003D3259">
      <w:pPr>
        <w:autoSpaceDE w:val="0"/>
        <w:autoSpaceDN w:val="0"/>
        <w:adjustRightInd w:val="0"/>
        <w:spacing w:after="0" w:line="240" w:lineRule="auto"/>
        <w:jc w:val="center"/>
        <w:rPr>
          <w:rFonts w:ascii="Times New Roman" w:hAnsi="Times New Roman"/>
          <w:color w:val="000000"/>
          <w:lang w:val="lt-LT"/>
        </w:rPr>
      </w:pPr>
      <w:r w:rsidRPr="00816A48">
        <w:rPr>
          <w:rFonts w:ascii="Times New Roman" w:hAnsi="Times New Roman"/>
          <w:lang w:val="lt-LT"/>
        </w:rPr>
        <w:t xml:space="preserve"> </w:t>
      </w:r>
      <w:r w:rsidRPr="00816A48">
        <w:rPr>
          <w:rFonts w:ascii="Times New Roman" w:hAnsi="Times New Roman"/>
          <w:lang w:val="lt-LT"/>
        </w:rPr>
        <w:br w:type="page"/>
      </w:r>
    </w:p>
    <w:p w14:paraId="3970D76B" w14:textId="77777777" w:rsidR="007750B7" w:rsidRPr="00816A48" w:rsidRDefault="007750B7" w:rsidP="003D32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lt-LT"/>
        </w:rPr>
      </w:pPr>
      <w:r w:rsidRPr="00816A48">
        <w:rPr>
          <w:rFonts w:ascii="Times New Roman" w:hAnsi="Times New Roman"/>
          <w:b/>
          <w:color w:val="000000"/>
          <w:lang w:val="lt-LT"/>
        </w:rPr>
        <w:lastRenderedPageBreak/>
        <w:t>INFORMACIJA ANT IŠORINĖS PAKUOTĖS</w:t>
      </w:r>
    </w:p>
    <w:p w14:paraId="3904F5B2" w14:textId="77777777" w:rsidR="007750B7" w:rsidRPr="00816A48" w:rsidRDefault="007750B7" w:rsidP="003D32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lt-LT"/>
        </w:rPr>
      </w:pPr>
    </w:p>
    <w:p w14:paraId="0E526EA1" w14:textId="77777777" w:rsidR="007750B7" w:rsidRPr="00816A48" w:rsidRDefault="007750B7" w:rsidP="003D32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lt-LT"/>
        </w:rPr>
      </w:pPr>
      <w:r w:rsidRPr="00816A48">
        <w:rPr>
          <w:rFonts w:ascii="Times New Roman" w:hAnsi="Times New Roman"/>
          <w:b/>
          <w:color w:val="000000"/>
          <w:lang w:val="lt-LT"/>
        </w:rPr>
        <w:t>KARTONO DĖŽUTĖ</w:t>
      </w:r>
    </w:p>
    <w:p w14:paraId="0B6ADC7A"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1D98DA76"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0C01A5CE" w14:textId="77777777" w:rsidR="007750B7" w:rsidRPr="00816A48" w:rsidRDefault="007750B7" w:rsidP="003D32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color w:val="000000"/>
          <w:lang w:val="lt-LT"/>
        </w:rPr>
      </w:pPr>
      <w:r w:rsidRPr="00816A48">
        <w:rPr>
          <w:rFonts w:ascii="Times New Roman" w:hAnsi="Times New Roman"/>
          <w:b/>
          <w:color w:val="000000"/>
          <w:lang w:val="lt-LT"/>
        </w:rPr>
        <w:t>1.</w:t>
      </w:r>
      <w:r w:rsidRPr="00816A48">
        <w:rPr>
          <w:rFonts w:ascii="Times New Roman" w:hAnsi="Times New Roman"/>
          <w:b/>
          <w:color w:val="000000"/>
          <w:lang w:val="lt-LT"/>
        </w:rPr>
        <w:tab/>
        <w:t>VAISTINIO PREPARATO PAVADINIMAS</w:t>
      </w:r>
    </w:p>
    <w:p w14:paraId="36428782"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31555E7E" w14:textId="703C74CD"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Osagrand 3 mg injekcinis tirpalas</w:t>
      </w:r>
    </w:p>
    <w:p w14:paraId="3316E091" w14:textId="74FC62BC" w:rsidR="007750B7" w:rsidRPr="00816A48" w:rsidRDefault="00AC02F2" w:rsidP="003D3259">
      <w:pPr>
        <w:autoSpaceDE w:val="0"/>
        <w:autoSpaceDN w:val="0"/>
        <w:adjustRightInd w:val="0"/>
        <w:spacing w:after="0" w:line="240" w:lineRule="auto"/>
        <w:rPr>
          <w:rFonts w:ascii="Times New Roman" w:hAnsi="Times New Roman"/>
          <w:color w:val="000000"/>
          <w:lang w:val="lt-LT"/>
        </w:rPr>
      </w:pPr>
      <w:r>
        <w:rPr>
          <w:rFonts w:ascii="Times New Roman" w:hAnsi="Times New Roman"/>
          <w:lang w:val="lt-LT"/>
        </w:rPr>
        <w:t>i</w:t>
      </w:r>
      <w:r w:rsidR="00184D2F" w:rsidRPr="00816A48">
        <w:rPr>
          <w:rFonts w:ascii="Times New Roman" w:hAnsi="Times New Roman"/>
          <w:lang w:val="lt-LT"/>
        </w:rPr>
        <w:t>bandrono rūgštis</w:t>
      </w:r>
    </w:p>
    <w:p w14:paraId="0FB1D785"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34A5CFAD"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581CE8D4" w14:textId="77777777" w:rsidR="007750B7" w:rsidRPr="00816A48" w:rsidRDefault="007750B7" w:rsidP="003D32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color w:val="000000"/>
          <w:lang w:val="lt-LT"/>
        </w:rPr>
      </w:pPr>
      <w:r w:rsidRPr="00816A48">
        <w:rPr>
          <w:rFonts w:ascii="Times New Roman" w:hAnsi="Times New Roman"/>
          <w:b/>
          <w:color w:val="000000"/>
          <w:lang w:val="lt-LT"/>
        </w:rPr>
        <w:t>2.</w:t>
      </w:r>
      <w:r w:rsidRPr="00816A48">
        <w:rPr>
          <w:rFonts w:ascii="Times New Roman" w:hAnsi="Times New Roman"/>
          <w:b/>
          <w:color w:val="000000"/>
          <w:lang w:val="lt-LT"/>
        </w:rPr>
        <w:tab/>
        <w:t>VEIKLIOJI (-IOS) MEDŽIAGA (-OS) IR JOS (-Ų) KIEKIS (-IAI)</w:t>
      </w:r>
    </w:p>
    <w:p w14:paraId="681CE3B5"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375876AA" w14:textId="27223985" w:rsidR="007750B7" w:rsidRPr="00816A48" w:rsidRDefault="001F5F21" w:rsidP="003D3259">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 xml:space="preserve">Kiekvienoje </w:t>
      </w:r>
      <w:r w:rsidR="007750B7" w:rsidRPr="00816A48">
        <w:rPr>
          <w:rFonts w:ascii="Times New Roman" w:hAnsi="Times New Roman"/>
          <w:color w:val="000000"/>
          <w:lang w:val="lt-LT"/>
        </w:rPr>
        <w:t>3 ml tirpalo</w:t>
      </w:r>
      <w:r w:rsidR="005C2F5E">
        <w:rPr>
          <w:rFonts w:ascii="Times New Roman" w:hAnsi="Times New Roman"/>
          <w:color w:val="000000"/>
          <w:lang w:val="lt-LT"/>
        </w:rPr>
        <w:t xml:space="preserve"> ampulėje</w:t>
      </w:r>
      <w:r w:rsidR="007750B7" w:rsidRPr="00816A48">
        <w:rPr>
          <w:rFonts w:ascii="Times New Roman" w:hAnsi="Times New Roman"/>
          <w:color w:val="000000"/>
          <w:lang w:val="lt-LT"/>
        </w:rPr>
        <w:t xml:space="preserve"> yra 3 mg ibandrono rūgšties (3,375 mg ibandronato natrio druskos monohidrato pavidalu).</w:t>
      </w:r>
    </w:p>
    <w:p w14:paraId="57CD1E6A"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7314AD5C"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7B4B8EFD" w14:textId="77777777" w:rsidR="007750B7" w:rsidRPr="00816A48" w:rsidRDefault="007750B7" w:rsidP="003D32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3.</w:t>
      </w:r>
      <w:r w:rsidRPr="00816A48">
        <w:rPr>
          <w:rFonts w:ascii="Times New Roman" w:hAnsi="Times New Roman"/>
          <w:b/>
          <w:lang w:val="lt-LT"/>
        </w:rPr>
        <w:tab/>
        <w:t>PAGALBINIŲ MEDŽIAGŲ SĄRAŠAS</w:t>
      </w:r>
    </w:p>
    <w:p w14:paraId="1CB987C2"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1499DD18" w14:textId="5DDF27AD" w:rsidR="007750B7" w:rsidRPr="00816A48" w:rsidRDefault="005C2F5E" w:rsidP="003D3259">
      <w:pPr>
        <w:autoSpaceDE w:val="0"/>
        <w:autoSpaceDN w:val="0"/>
        <w:adjustRightInd w:val="0"/>
        <w:spacing w:after="0" w:line="240" w:lineRule="auto"/>
        <w:rPr>
          <w:rFonts w:ascii="Times New Roman" w:hAnsi="Times New Roman"/>
          <w:lang w:val="lt-LT"/>
        </w:rPr>
      </w:pPr>
      <w:r>
        <w:rPr>
          <w:rFonts w:ascii="Times New Roman" w:hAnsi="Times New Roman"/>
          <w:lang w:val="lt-LT"/>
        </w:rPr>
        <w:t>Sudėtyje taip pat yra</w:t>
      </w:r>
      <w:r w:rsidR="007750B7" w:rsidRPr="00816A48">
        <w:rPr>
          <w:rFonts w:ascii="Times New Roman" w:hAnsi="Times New Roman"/>
          <w:lang w:val="lt-LT"/>
        </w:rPr>
        <w:t xml:space="preserve"> natrio chlorid</w:t>
      </w:r>
      <w:r>
        <w:rPr>
          <w:rFonts w:ascii="Times New Roman" w:hAnsi="Times New Roman"/>
          <w:lang w:val="lt-LT"/>
        </w:rPr>
        <w:t>o</w:t>
      </w:r>
      <w:r w:rsidR="007750B7" w:rsidRPr="00816A48">
        <w:rPr>
          <w:rFonts w:ascii="Times New Roman" w:hAnsi="Times New Roman"/>
          <w:lang w:val="lt-LT"/>
        </w:rPr>
        <w:t>, ledinė</w:t>
      </w:r>
      <w:r>
        <w:rPr>
          <w:rFonts w:ascii="Times New Roman" w:hAnsi="Times New Roman"/>
          <w:lang w:val="lt-LT"/>
        </w:rPr>
        <w:t>s</w:t>
      </w:r>
      <w:r w:rsidR="007750B7" w:rsidRPr="00816A48">
        <w:rPr>
          <w:rFonts w:ascii="Times New Roman" w:hAnsi="Times New Roman"/>
          <w:lang w:val="lt-LT"/>
        </w:rPr>
        <w:t xml:space="preserve"> acto rūgšti</w:t>
      </w:r>
      <w:r>
        <w:rPr>
          <w:rFonts w:ascii="Times New Roman" w:hAnsi="Times New Roman"/>
          <w:lang w:val="lt-LT"/>
        </w:rPr>
        <w:t>e</w:t>
      </w:r>
      <w:r w:rsidR="007750B7" w:rsidRPr="00816A48">
        <w:rPr>
          <w:rFonts w:ascii="Times New Roman" w:hAnsi="Times New Roman"/>
          <w:lang w:val="lt-LT"/>
        </w:rPr>
        <w:t>s, natrio acetat</w:t>
      </w:r>
      <w:r>
        <w:rPr>
          <w:rFonts w:ascii="Times New Roman" w:hAnsi="Times New Roman"/>
          <w:lang w:val="lt-LT"/>
        </w:rPr>
        <w:t>o</w:t>
      </w:r>
      <w:r w:rsidR="007750B7" w:rsidRPr="00816A48">
        <w:rPr>
          <w:rFonts w:ascii="Times New Roman" w:hAnsi="Times New Roman"/>
          <w:lang w:val="lt-LT"/>
        </w:rPr>
        <w:t xml:space="preserve"> trihidrat</w:t>
      </w:r>
      <w:r>
        <w:rPr>
          <w:rFonts w:ascii="Times New Roman" w:hAnsi="Times New Roman"/>
          <w:lang w:val="lt-LT"/>
        </w:rPr>
        <w:t>o</w:t>
      </w:r>
      <w:r w:rsidR="007750B7" w:rsidRPr="00816A48">
        <w:rPr>
          <w:rFonts w:ascii="Times New Roman" w:hAnsi="Times New Roman"/>
          <w:lang w:val="lt-LT"/>
        </w:rPr>
        <w:t>, injekcini</w:t>
      </w:r>
      <w:r>
        <w:rPr>
          <w:rFonts w:ascii="Times New Roman" w:hAnsi="Times New Roman"/>
          <w:lang w:val="lt-LT"/>
        </w:rPr>
        <w:t>o</w:t>
      </w:r>
      <w:r w:rsidR="007750B7" w:rsidRPr="00816A48">
        <w:rPr>
          <w:rFonts w:ascii="Times New Roman" w:hAnsi="Times New Roman"/>
          <w:lang w:val="lt-LT"/>
        </w:rPr>
        <w:t xml:space="preserve"> vand</w:t>
      </w:r>
      <w:r>
        <w:rPr>
          <w:rFonts w:ascii="Times New Roman" w:hAnsi="Times New Roman"/>
          <w:lang w:val="lt-LT"/>
        </w:rPr>
        <w:t>ens</w:t>
      </w:r>
      <w:r w:rsidR="007750B7" w:rsidRPr="00816A48">
        <w:rPr>
          <w:rFonts w:ascii="Times New Roman" w:hAnsi="Times New Roman"/>
          <w:lang w:val="lt-LT"/>
        </w:rPr>
        <w:t>.</w:t>
      </w:r>
    </w:p>
    <w:p w14:paraId="6DC39D5C"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0478C2BE"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27D3B14A" w14:textId="77777777" w:rsidR="007750B7" w:rsidRPr="00816A48" w:rsidRDefault="007750B7" w:rsidP="003D32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4.</w:t>
      </w:r>
      <w:r w:rsidRPr="00816A48">
        <w:rPr>
          <w:rFonts w:ascii="Times New Roman" w:hAnsi="Times New Roman"/>
          <w:b/>
          <w:lang w:val="lt-LT"/>
        </w:rPr>
        <w:tab/>
        <w:t>FARMACINĖ FORMA IR KIEKIS PAKUOTĖJE</w:t>
      </w:r>
    </w:p>
    <w:p w14:paraId="7F453B8C"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1E0A57A2" w14:textId="77777777" w:rsidR="007750B7" w:rsidRPr="00816A48" w:rsidRDefault="007750B7"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highlight w:val="lightGray"/>
          <w:lang w:val="lt-LT"/>
        </w:rPr>
        <w:t>Injekcinis tirpalas</w:t>
      </w:r>
    </w:p>
    <w:p w14:paraId="0DD09960" w14:textId="77777777" w:rsidR="007750B7" w:rsidRPr="00816A48" w:rsidRDefault="007750B7"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1 ampulė</w:t>
      </w:r>
    </w:p>
    <w:p w14:paraId="1698C235" w14:textId="77777777" w:rsidR="007750B7" w:rsidRPr="00816A48" w:rsidRDefault="007750B7"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highlight w:val="lightGray"/>
          <w:lang w:val="lt-LT"/>
        </w:rPr>
        <w:t>4 ampulės</w:t>
      </w:r>
    </w:p>
    <w:p w14:paraId="7D5F25EB"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463EB131"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6E207259" w14:textId="77777777" w:rsidR="007750B7" w:rsidRPr="00816A48" w:rsidRDefault="007750B7" w:rsidP="003D32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5.</w:t>
      </w:r>
      <w:r w:rsidRPr="00816A48">
        <w:rPr>
          <w:rFonts w:ascii="Times New Roman" w:hAnsi="Times New Roman"/>
          <w:b/>
          <w:lang w:val="lt-LT"/>
        </w:rPr>
        <w:tab/>
        <w:t>VARTOJIMO METODAS IR BŪDAS (-AI)</w:t>
      </w:r>
    </w:p>
    <w:p w14:paraId="6DCFC075"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561739B8" w14:textId="77777777" w:rsidR="007750B7" w:rsidRPr="00816A48" w:rsidRDefault="007750B7" w:rsidP="0035711A">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Leisti į veną.</w:t>
      </w:r>
    </w:p>
    <w:p w14:paraId="540E335D" w14:textId="77777777" w:rsidR="007750B7" w:rsidRPr="00816A48" w:rsidRDefault="007750B7" w:rsidP="00242DA5">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Prieš vartojimą perskaitykite pakuotės lapelį.</w:t>
      </w:r>
    </w:p>
    <w:p w14:paraId="3FD569BA" w14:textId="77777777" w:rsidR="007750B7" w:rsidRPr="00816A48" w:rsidRDefault="007750B7" w:rsidP="00331125">
      <w:pPr>
        <w:autoSpaceDE w:val="0"/>
        <w:autoSpaceDN w:val="0"/>
        <w:adjustRightInd w:val="0"/>
        <w:spacing w:after="0" w:line="240" w:lineRule="auto"/>
        <w:rPr>
          <w:rFonts w:ascii="Times New Roman" w:hAnsi="Times New Roman"/>
          <w:lang w:val="lt-LT"/>
        </w:rPr>
      </w:pPr>
    </w:p>
    <w:p w14:paraId="7945D078" w14:textId="77777777" w:rsidR="007750B7" w:rsidRPr="00816A48" w:rsidRDefault="007750B7" w:rsidP="00DA1B4A">
      <w:pPr>
        <w:autoSpaceDE w:val="0"/>
        <w:autoSpaceDN w:val="0"/>
        <w:adjustRightInd w:val="0"/>
        <w:spacing w:after="0" w:line="240" w:lineRule="auto"/>
        <w:rPr>
          <w:rFonts w:ascii="Times New Roman" w:hAnsi="Times New Roman"/>
          <w:lang w:val="lt-LT"/>
        </w:rPr>
      </w:pPr>
    </w:p>
    <w:p w14:paraId="065B8BE0" w14:textId="77777777" w:rsidR="007750B7" w:rsidRPr="00816A48" w:rsidRDefault="007750B7" w:rsidP="00735A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6.</w:t>
      </w:r>
      <w:r w:rsidRPr="00816A48">
        <w:rPr>
          <w:rFonts w:ascii="Times New Roman" w:hAnsi="Times New Roman"/>
          <w:b/>
          <w:lang w:val="lt-LT"/>
        </w:rPr>
        <w:tab/>
        <w:t xml:space="preserve">SPECIALUS ĮSPĖJIMAS, KAD VAISTINĮ PREPARATĄ BŪTINA LAIKYTI VAIKAMS </w:t>
      </w:r>
      <w:r w:rsidR="00A90A70" w:rsidRPr="00816A48">
        <w:rPr>
          <w:rFonts w:ascii="Times New Roman" w:hAnsi="Times New Roman"/>
          <w:b/>
          <w:bCs/>
          <w:lang w:val="lt-LT"/>
        </w:rPr>
        <w:t xml:space="preserve">NEPASTEBIMOJE </w:t>
      </w:r>
      <w:r w:rsidRPr="00816A48">
        <w:rPr>
          <w:rFonts w:ascii="Times New Roman" w:hAnsi="Times New Roman"/>
          <w:b/>
          <w:bCs/>
          <w:lang w:val="lt-LT"/>
        </w:rPr>
        <w:t xml:space="preserve">IR </w:t>
      </w:r>
      <w:r w:rsidR="00A90A70" w:rsidRPr="00816A48">
        <w:rPr>
          <w:rFonts w:ascii="Times New Roman" w:hAnsi="Times New Roman"/>
          <w:b/>
          <w:lang w:val="lt-LT"/>
        </w:rPr>
        <w:t xml:space="preserve">NEPASIEKIAMOJE </w:t>
      </w:r>
      <w:r w:rsidRPr="00816A48">
        <w:rPr>
          <w:rFonts w:ascii="Times New Roman" w:hAnsi="Times New Roman"/>
          <w:b/>
          <w:lang w:val="lt-LT"/>
        </w:rPr>
        <w:t>VIETOJE</w:t>
      </w:r>
    </w:p>
    <w:p w14:paraId="0111C2A8" w14:textId="77777777" w:rsidR="007750B7" w:rsidRPr="00816A48" w:rsidRDefault="007750B7" w:rsidP="000F0A27">
      <w:pPr>
        <w:autoSpaceDE w:val="0"/>
        <w:autoSpaceDN w:val="0"/>
        <w:adjustRightInd w:val="0"/>
        <w:spacing w:after="0" w:line="240" w:lineRule="auto"/>
        <w:rPr>
          <w:rFonts w:ascii="Times New Roman" w:hAnsi="Times New Roman"/>
          <w:lang w:val="lt-LT"/>
        </w:rPr>
      </w:pPr>
    </w:p>
    <w:p w14:paraId="216555F0" w14:textId="77777777" w:rsidR="007750B7" w:rsidRPr="00816A48" w:rsidRDefault="007750B7" w:rsidP="000F0A27">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Laikyti vaikams </w:t>
      </w:r>
      <w:r w:rsidR="00A90A70" w:rsidRPr="00816A48">
        <w:rPr>
          <w:rFonts w:ascii="Times New Roman" w:hAnsi="Times New Roman"/>
          <w:lang w:val="lt-LT"/>
        </w:rPr>
        <w:t xml:space="preserve">nepastebimoje </w:t>
      </w:r>
      <w:r w:rsidRPr="00816A48">
        <w:rPr>
          <w:rFonts w:ascii="Times New Roman" w:hAnsi="Times New Roman"/>
          <w:lang w:val="lt-LT"/>
        </w:rPr>
        <w:t xml:space="preserve">ir </w:t>
      </w:r>
      <w:r w:rsidR="00A90A70" w:rsidRPr="00816A48">
        <w:rPr>
          <w:rFonts w:ascii="Times New Roman" w:hAnsi="Times New Roman"/>
          <w:lang w:val="lt-LT"/>
        </w:rPr>
        <w:t xml:space="preserve">nepasiekiamoje </w:t>
      </w:r>
      <w:r w:rsidRPr="00816A48">
        <w:rPr>
          <w:rFonts w:ascii="Times New Roman" w:hAnsi="Times New Roman"/>
          <w:lang w:val="lt-LT"/>
        </w:rPr>
        <w:t>vietoje.</w:t>
      </w:r>
    </w:p>
    <w:p w14:paraId="479EA6CA" w14:textId="77777777" w:rsidR="007750B7" w:rsidRPr="00816A48" w:rsidRDefault="007750B7" w:rsidP="000A0BCD">
      <w:pPr>
        <w:autoSpaceDE w:val="0"/>
        <w:autoSpaceDN w:val="0"/>
        <w:adjustRightInd w:val="0"/>
        <w:spacing w:after="0" w:line="240" w:lineRule="auto"/>
        <w:rPr>
          <w:rFonts w:ascii="Times New Roman" w:hAnsi="Times New Roman"/>
          <w:lang w:val="lt-LT"/>
        </w:rPr>
      </w:pPr>
    </w:p>
    <w:p w14:paraId="2C71671E" w14:textId="77777777" w:rsidR="007750B7" w:rsidRPr="00816A48" w:rsidRDefault="007750B7" w:rsidP="00A761AB">
      <w:pPr>
        <w:autoSpaceDE w:val="0"/>
        <w:autoSpaceDN w:val="0"/>
        <w:adjustRightInd w:val="0"/>
        <w:spacing w:after="0" w:line="240" w:lineRule="auto"/>
        <w:rPr>
          <w:rFonts w:ascii="Times New Roman" w:hAnsi="Times New Roman"/>
          <w:lang w:val="lt-LT"/>
        </w:rPr>
      </w:pPr>
    </w:p>
    <w:p w14:paraId="158DAFE2" w14:textId="77777777" w:rsidR="007750B7" w:rsidRPr="00816A48" w:rsidRDefault="007750B7" w:rsidP="00A761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7.</w:t>
      </w:r>
      <w:r w:rsidRPr="00816A48">
        <w:rPr>
          <w:rFonts w:ascii="Times New Roman" w:hAnsi="Times New Roman"/>
          <w:b/>
          <w:lang w:val="lt-LT"/>
        </w:rPr>
        <w:tab/>
        <w:t>KITAS (-I) SPECIALUS (-ŪS) ĮSPĖJIMAS (-AI) (JEI REIKIA)</w:t>
      </w:r>
    </w:p>
    <w:p w14:paraId="77A13D9A" w14:textId="77777777" w:rsidR="007750B7" w:rsidRPr="00816A48" w:rsidRDefault="007750B7" w:rsidP="00A761AB">
      <w:pPr>
        <w:autoSpaceDE w:val="0"/>
        <w:autoSpaceDN w:val="0"/>
        <w:adjustRightInd w:val="0"/>
        <w:spacing w:after="0" w:line="240" w:lineRule="auto"/>
        <w:rPr>
          <w:rFonts w:ascii="Times New Roman" w:hAnsi="Times New Roman"/>
          <w:lang w:val="lt-LT"/>
        </w:rPr>
      </w:pPr>
    </w:p>
    <w:p w14:paraId="7FC5283D" w14:textId="77777777" w:rsidR="007750B7" w:rsidRPr="00816A48" w:rsidRDefault="007750B7" w:rsidP="0062444B">
      <w:pPr>
        <w:autoSpaceDE w:val="0"/>
        <w:autoSpaceDN w:val="0"/>
        <w:adjustRightInd w:val="0"/>
        <w:spacing w:after="0" w:line="240" w:lineRule="auto"/>
        <w:rPr>
          <w:rFonts w:ascii="Times New Roman" w:hAnsi="Times New Roman"/>
          <w:lang w:val="lt-LT"/>
        </w:rPr>
      </w:pPr>
    </w:p>
    <w:p w14:paraId="49A5B08F" w14:textId="77777777" w:rsidR="007750B7" w:rsidRPr="00816A48" w:rsidRDefault="007750B7" w:rsidP="00947F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8.</w:t>
      </w:r>
      <w:r w:rsidRPr="00816A48">
        <w:rPr>
          <w:rFonts w:ascii="Times New Roman" w:hAnsi="Times New Roman"/>
          <w:b/>
          <w:lang w:val="lt-LT"/>
        </w:rPr>
        <w:tab/>
        <w:t>TINKAMUMO LAIKAS</w:t>
      </w:r>
    </w:p>
    <w:p w14:paraId="74733649"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02F694A5" w14:textId="1164B2DF" w:rsidR="007750B7" w:rsidRPr="00816A48" w:rsidRDefault="00AC02F2" w:rsidP="003D3259">
      <w:pPr>
        <w:autoSpaceDE w:val="0"/>
        <w:autoSpaceDN w:val="0"/>
        <w:adjustRightInd w:val="0"/>
        <w:spacing w:after="0" w:line="240" w:lineRule="auto"/>
        <w:rPr>
          <w:rFonts w:ascii="Times New Roman" w:hAnsi="Times New Roman"/>
          <w:lang w:val="lt-LT"/>
        </w:rPr>
      </w:pPr>
      <w:r>
        <w:rPr>
          <w:rFonts w:ascii="Times New Roman" w:hAnsi="Times New Roman"/>
          <w:lang w:val="lt-LT"/>
        </w:rPr>
        <w:t>EXP</w:t>
      </w:r>
      <w:r w:rsidR="007750B7" w:rsidRPr="00816A48">
        <w:rPr>
          <w:rFonts w:ascii="Times New Roman" w:hAnsi="Times New Roman"/>
          <w:lang w:val="lt-LT"/>
        </w:rPr>
        <w:t xml:space="preserve"> {mm/MMMM}</w:t>
      </w:r>
    </w:p>
    <w:p w14:paraId="48B136D0"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51909E3C"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34133804" w14:textId="77777777" w:rsidR="007750B7" w:rsidRPr="00816A48" w:rsidRDefault="007750B7" w:rsidP="003D32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9.</w:t>
      </w:r>
      <w:r w:rsidRPr="00816A48">
        <w:rPr>
          <w:rFonts w:ascii="Times New Roman" w:hAnsi="Times New Roman"/>
          <w:b/>
          <w:lang w:val="lt-LT"/>
        </w:rPr>
        <w:tab/>
        <w:t>SPECIALIOS LAIKYMO SĄLYGOS</w:t>
      </w:r>
    </w:p>
    <w:p w14:paraId="6058D196"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4A6D430E"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5CB24893" w14:textId="77777777" w:rsidR="007750B7" w:rsidRPr="00816A48" w:rsidRDefault="007750B7" w:rsidP="003D32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10.</w:t>
      </w:r>
      <w:r w:rsidRPr="00816A48">
        <w:rPr>
          <w:rFonts w:ascii="Times New Roman" w:hAnsi="Times New Roman"/>
          <w:b/>
          <w:lang w:val="lt-LT"/>
        </w:rPr>
        <w:tab/>
        <w:t xml:space="preserve">SPECIALIOS ATSARGUMO PRIEMONĖS DĖL NESUVARTOTO VAISTINIO PREPARATO AR JO </w:t>
      </w:r>
      <w:r w:rsidRPr="00816A48">
        <w:rPr>
          <w:rFonts w:ascii="Times New Roman" w:hAnsi="Times New Roman"/>
          <w:b/>
          <w:bCs/>
          <w:lang w:val="lt-LT"/>
        </w:rPr>
        <w:t>ATLIEK</w:t>
      </w:r>
      <w:r w:rsidR="00604FE8" w:rsidRPr="00816A48">
        <w:rPr>
          <w:rFonts w:ascii="Times New Roman" w:hAnsi="Times New Roman"/>
          <w:b/>
          <w:bCs/>
          <w:lang w:val="lt-LT"/>
        </w:rPr>
        <w:t>Ų</w:t>
      </w:r>
      <w:r w:rsidRPr="00816A48">
        <w:rPr>
          <w:rFonts w:ascii="Times New Roman" w:hAnsi="Times New Roman"/>
          <w:b/>
          <w:lang w:val="lt-LT"/>
        </w:rPr>
        <w:t xml:space="preserve"> TVARKYMO (JEI REIKIA)</w:t>
      </w:r>
    </w:p>
    <w:p w14:paraId="3E971D19"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46441EED"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3E633194" w14:textId="77777777" w:rsidR="007750B7" w:rsidRPr="00816A48" w:rsidRDefault="007750B7" w:rsidP="003D32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11.</w:t>
      </w:r>
      <w:r w:rsidRPr="00816A48">
        <w:rPr>
          <w:rFonts w:ascii="Times New Roman" w:hAnsi="Times New Roman"/>
          <w:b/>
          <w:lang w:val="lt-LT"/>
        </w:rPr>
        <w:tab/>
      </w:r>
      <w:r w:rsidR="00587B63" w:rsidRPr="00816A48">
        <w:rPr>
          <w:rFonts w:ascii="Times New Roman" w:hAnsi="Times New Roman"/>
          <w:b/>
          <w:lang w:val="lt-LT"/>
        </w:rPr>
        <w:t>REGISTRUOTOJO</w:t>
      </w:r>
      <w:r w:rsidRPr="00816A48">
        <w:rPr>
          <w:rFonts w:ascii="Times New Roman" w:hAnsi="Times New Roman"/>
          <w:b/>
          <w:lang w:val="lt-LT"/>
        </w:rPr>
        <w:t xml:space="preserve"> PAVADINIMAS IR ADRESAS</w:t>
      </w:r>
    </w:p>
    <w:p w14:paraId="7E71DF8A"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7199BD19" w14:textId="77777777" w:rsidR="007750B7" w:rsidRPr="00816A48" w:rsidRDefault="007750B7" w:rsidP="00861232">
      <w:pPr>
        <w:pStyle w:val="Default"/>
        <w:rPr>
          <w:sz w:val="22"/>
          <w:szCs w:val="22"/>
          <w:lang w:val="lt-LT"/>
        </w:rPr>
      </w:pPr>
      <w:r w:rsidRPr="00816A48">
        <w:rPr>
          <w:sz w:val="22"/>
          <w:szCs w:val="22"/>
          <w:lang w:val="lt-LT"/>
        </w:rPr>
        <w:t>Z</w:t>
      </w:r>
      <w:r w:rsidR="00F54EFD" w:rsidRPr="00816A48">
        <w:rPr>
          <w:sz w:val="22"/>
          <w:szCs w:val="22"/>
          <w:lang w:val="lt-LT"/>
        </w:rPr>
        <w:t>entiva</w:t>
      </w:r>
      <w:r w:rsidRPr="00816A48">
        <w:rPr>
          <w:sz w:val="22"/>
          <w:szCs w:val="22"/>
          <w:lang w:val="lt-LT"/>
        </w:rPr>
        <w:t xml:space="preserve">, k.s. </w:t>
      </w:r>
    </w:p>
    <w:p w14:paraId="31F84D9C" w14:textId="77777777" w:rsidR="007750B7" w:rsidRPr="00816A48" w:rsidRDefault="007750B7" w:rsidP="00861232">
      <w:pPr>
        <w:pStyle w:val="Default"/>
        <w:rPr>
          <w:sz w:val="22"/>
          <w:szCs w:val="22"/>
          <w:lang w:val="lt-LT"/>
        </w:rPr>
      </w:pPr>
      <w:r w:rsidRPr="00816A48">
        <w:rPr>
          <w:sz w:val="22"/>
          <w:szCs w:val="22"/>
          <w:lang w:val="lt-LT"/>
        </w:rPr>
        <w:t xml:space="preserve">U kabelovny 130 </w:t>
      </w:r>
    </w:p>
    <w:p w14:paraId="1DC6384F" w14:textId="77777777" w:rsidR="007750B7" w:rsidRPr="00816A48" w:rsidRDefault="007750B7" w:rsidP="00861232">
      <w:pPr>
        <w:pStyle w:val="Default"/>
        <w:rPr>
          <w:sz w:val="22"/>
          <w:szCs w:val="22"/>
          <w:lang w:val="lt-LT"/>
        </w:rPr>
      </w:pPr>
      <w:r w:rsidRPr="00816A48">
        <w:rPr>
          <w:sz w:val="22"/>
          <w:szCs w:val="22"/>
          <w:lang w:val="lt-LT"/>
        </w:rPr>
        <w:t>Dolní Měcholupy</w:t>
      </w:r>
    </w:p>
    <w:p w14:paraId="586AF1FC" w14:textId="5F2ED021" w:rsidR="007750B7" w:rsidRPr="00816A48" w:rsidRDefault="007750B7" w:rsidP="00861232">
      <w:pPr>
        <w:pStyle w:val="Default"/>
        <w:rPr>
          <w:sz w:val="22"/>
          <w:szCs w:val="22"/>
          <w:lang w:val="lt-LT"/>
        </w:rPr>
      </w:pPr>
      <w:r w:rsidRPr="00816A48">
        <w:rPr>
          <w:sz w:val="22"/>
          <w:szCs w:val="22"/>
          <w:lang w:val="lt-LT"/>
        </w:rPr>
        <w:t>102 37 Praha 10</w:t>
      </w:r>
    </w:p>
    <w:p w14:paraId="19D22EBC" w14:textId="77777777" w:rsidR="007750B7" w:rsidRPr="00816A48" w:rsidRDefault="007750B7"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Čekija</w:t>
      </w:r>
    </w:p>
    <w:p w14:paraId="2F57A223"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4FF3E943"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5B48934B" w14:textId="77777777" w:rsidR="007750B7" w:rsidRPr="00816A48" w:rsidRDefault="007750B7" w:rsidP="003571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12.</w:t>
      </w:r>
      <w:r w:rsidRPr="00816A48">
        <w:rPr>
          <w:rFonts w:ascii="Times New Roman" w:hAnsi="Times New Roman"/>
          <w:b/>
          <w:lang w:val="lt-LT"/>
        </w:rPr>
        <w:tab/>
      </w:r>
      <w:r w:rsidR="00587B63" w:rsidRPr="00816A48">
        <w:rPr>
          <w:rFonts w:ascii="Times New Roman" w:hAnsi="Times New Roman"/>
          <w:b/>
          <w:lang w:val="lt-LT"/>
        </w:rPr>
        <w:t>REGISTRACIJOS</w:t>
      </w:r>
      <w:r w:rsidRPr="00816A48">
        <w:rPr>
          <w:rFonts w:ascii="Times New Roman" w:hAnsi="Times New Roman"/>
          <w:b/>
          <w:lang w:val="lt-LT"/>
        </w:rPr>
        <w:t xml:space="preserve"> </w:t>
      </w:r>
      <w:r w:rsidR="0035711A" w:rsidRPr="00816A48">
        <w:rPr>
          <w:rFonts w:ascii="Times New Roman" w:hAnsi="Times New Roman"/>
          <w:b/>
          <w:bCs/>
          <w:lang w:val="lt-LT"/>
        </w:rPr>
        <w:t>PAŽYMĖJIMO</w:t>
      </w:r>
      <w:r w:rsidRPr="00816A48">
        <w:rPr>
          <w:rFonts w:ascii="Times New Roman" w:hAnsi="Times New Roman"/>
          <w:b/>
          <w:lang w:val="lt-LT"/>
        </w:rPr>
        <w:t xml:space="preserve"> NUMERIS</w:t>
      </w:r>
      <w:r w:rsidR="0035711A" w:rsidRPr="00816A48">
        <w:rPr>
          <w:rFonts w:ascii="Times New Roman" w:hAnsi="Times New Roman"/>
          <w:b/>
          <w:bCs/>
          <w:lang w:val="lt-LT"/>
        </w:rPr>
        <w:t xml:space="preserve"> (-IAI)</w:t>
      </w:r>
    </w:p>
    <w:p w14:paraId="0A4789ED" w14:textId="77777777" w:rsidR="007750B7" w:rsidRPr="00816A48" w:rsidRDefault="007750B7" w:rsidP="00242DA5">
      <w:pPr>
        <w:autoSpaceDE w:val="0"/>
        <w:autoSpaceDN w:val="0"/>
        <w:adjustRightInd w:val="0"/>
        <w:spacing w:after="0" w:line="240" w:lineRule="auto"/>
        <w:rPr>
          <w:rFonts w:ascii="Times New Roman" w:hAnsi="Times New Roman"/>
          <w:lang w:val="lt-LT"/>
        </w:rPr>
      </w:pPr>
    </w:p>
    <w:p w14:paraId="75830F3A" w14:textId="77777777" w:rsidR="007750B7" w:rsidRPr="00816A48" w:rsidRDefault="007750B7" w:rsidP="00861232">
      <w:pPr>
        <w:pStyle w:val="Default"/>
        <w:rPr>
          <w:sz w:val="22"/>
          <w:szCs w:val="22"/>
          <w:lang w:val="lt-LT"/>
        </w:rPr>
      </w:pPr>
      <w:r w:rsidRPr="00816A48">
        <w:rPr>
          <w:sz w:val="22"/>
          <w:szCs w:val="22"/>
          <w:lang w:val="lt-LT"/>
        </w:rPr>
        <w:t>N1 – LT/1/11/2692/001</w:t>
      </w:r>
    </w:p>
    <w:p w14:paraId="3FEC24DF" w14:textId="77777777" w:rsidR="007750B7" w:rsidRPr="00816A48" w:rsidRDefault="007750B7" w:rsidP="00861232">
      <w:pPr>
        <w:pStyle w:val="Default"/>
        <w:rPr>
          <w:sz w:val="22"/>
          <w:szCs w:val="22"/>
          <w:lang w:val="lt-LT"/>
        </w:rPr>
      </w:pPr>
      <w:r w:rsidRPr="00816A48">
        <w:rPr>
          <w:sz w:val="22"/>
          <w:szCs w:val="22"/>
          <w:lang w:val="lt-LT"/>
        </w:rPr>
        <w:t>N4 – LT/1/11/2692/002</w:t>
      </w:r>
    </w:p>
    <w:p w14:paraId="614F6224" w14:textId="77777777" w:rsidR="007750B7" w:rsidRPr="00816A48" w:rsidRDefault="007750B7" w:rsidP="00735AD3">
      <w:pPr>
        <w:autoSpaceDE w:val="0"/>
        <w:autoSpaceDN w:val="0"/>
        <w:adjustRightInd w:val="0"/>
        <w:spacing w:after="0" w:line="240" w:lineRule="auto"/>
        <w:rPr>
          <w:rFonts w:ascii="Times New Roman" w:hAnsi="Times New Roman"/>
          <w:lang w:val="lt-LT"/>
        </w:rPr>
      </w:pPr>
    </w:p>
    <w:p w14:paraId="3D74E4D5" w14:textId="77777777" w:rsidR="007750B7" w:rsidRPr="00816A48" w:rsidRDefault="007750B7" w:rsidP="000F0A27">
      <w:pPr>
        <w:autoSpaceDE w:val="0"/>
        <w:autoSpaceDN w:val="0"/>
        <w:adjustRightInd w:val="0"/>
        <w:spacing w:after="0" w:line="240" w:lineRule="auto"/>
        <w:rPr>
          <w:rFonts w:ascii="Times New Roman" w:hAnsi="Times New Roman"/>
          <w:lang w:val="lt-LT"/>
        </w:rPr>
      </w:pPr>
    </w:p>
    <w:p w14:paraId="487B8C7B" w14:textId="77777777" w:rsidR="007750B7" w:rsidRPr="00816A48" w:rsidRDefault="007750B7" w:rsidP="000F0A2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13.</w:t>
      </w:r>
      <w:r w:rsidRPr="00816A48">
        <w:rPr>
          <w:rFonts w:ascii="Times New Roman" w:hAnsi="Times New Roman"/>
          <w:b/>
          <w:lang w:val="lt-LT"/>
        </w:rPr>
        <w:tab/>
        <w:t>SERIJOS NUMERIS</w:t>
      </w:r>
    </w:p>
    <w:p w14:paraId="46C92100" w14:textId="77777777" w:rsidR="007750B7" w:rsidRPr="00816A48" w:rsidRDefault="007750B7" w:rsidP="000A0BCD">
      <w:pPr>
        <w:autoSpaceDE w:val="0"/>
        <w:autoSpaceDN w:val="0"/>
        <w:adjustRightInd w:val="0"/>
        <w:spacing w:after="0" w:line="240" w:lineRule="auto"/>
        <w:rPr>
          <w:rFonts w:ascii="Times New Roman" w:hAnsi="Times New Roman"/>
          <w:lang w:val="lt-LT"/>
        </w:rPr>
      </w:pPr>
    </w:p>
    <w:p w14:paraId="2D03E06E" w14:textId="21F367E5" w:rsidR="007750B7" w:rsidRPr="00816A48" w:rsidRDefault="00AC02F2" w:rsidP="00A761AB">
      <w:pPr>
        <w:autoSpaceDE w:val="0"/>
        <w:autoSpaceDN w:val="0"/>
        <w:adjustRightInd w:val="0"/>
        <w:spacing w:after="0" w:line="240" w:lineRule="auto"/>
        <w:rPr>
          <w:rFonts w:ascii="Times New Roman" w:hAnsi="Times New Roman"/>
          <w:lang w:val="lt-LT"/>
        </w:rPr>
      </w:pPr>
      <w:r>
        <w:rPr>
          <w:rFonts w:ascii="Times New Roman" w:hAnsi="Times New Roman"/>
          <w:lang w:val="lt-LT"/>
        </w:rPr>
        <w:t>Lot</w:t>
      </w:r>
    </w:p>
    <w:p w14:paraId="08C5B73A" w14:textId="77777777" w:rsidR="007750B7" w:rsidRPr="00816A48" w:rsidRDefault="007750B7" w:rsidP="00A761AB">
      <w:pPr>
        <w:autoSpaceDE w:val="0"/>
        <w:autoSpaceDN w:val="0"/>
        <w:adjustRightInd w:val="0"/>
        <w:spacing w:after="0" w:line="240" w:lineRule="auto"/>
        <w:rPr>
          <w:rFonts w:ascii="Times New Roman" w:hAnsi="Times New Roman"/>
          <w:lang w:val="lt-LT"/>
        </w:rPr>
      </w:pPr>
    </w:p>
    <w:p w14:paraId="2412E8B0" w14:textId="77777777" w:rsidR="007750B7" w:rsidRPr="00816A48" w:rsidRDefault="007750B7" w:rsidP="00A761AB">
      <w:pPr>
        <w:autoSpaceDE w:val="0"/>
        <w:autoSpaceDN w:val="0"/>
        <w:adjustRightInd w:val="0"/>
        <w:spacing w:after="0" w:line="240" w:lineRule="auto"/>
        <w:rPr>
          <w:rFonts w:ascii="Times New Roman" w:hAnsi="Times New Roman"/>
          <w:lang w:val="lt-LT"/>
        </w:rPr>
      </w:pPr>
    </w:p>
    <w:p w14:paraId="04757FC2" w14:textId="77777777" w:rsidR="007750B7" w:rsidRPr="00816A48" w:rsidRDefault="007750B7" w:rsidP="006244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14.</w:t>
      </w:r>
      <w:r w:rsidRPr="00816A48">
        <w:rPr>
          <w:rFonts w:ascii="Times New Roman" w:hAnsi="Times New Roman"/>
          <w:b/>
          <w:lang w:val="lt-LT"/>
        </w:rPr>
        <w:tab/>
        <w:t>PARDAVIMO (IŠDAVIMO) TVARKA</w:t>
      </w:r>
    </w:p>
    <w:p w14:paraId="2AB2E475" w14:textId="77777777" w:rsidR="007750B7" w:rsidRPr="00816A48" w:rsidRDefault="007750B7" w:rsidP="00947F45">
      <w:pPr>
        <w:autoSpaceDE w:val="0"/>
        <w:autoSpaceDN w:val="0"/>
        <w:adjustRightInd w:val="0"/>
        <w:spacing w:after="0" w:line="240" w:lineRule="auto"/>
        <w:rPr>
          <w:rFonts w:ascii="Times New Roman" w:hAnsi="Times New Roman"/>
          <w:lang w:val="lt-LT"/>
        </w:rPr>
      </w:pPr>
    </w:p>
    <w:p w14:paraId="2BF33213" w14:textId="5501F5BB" w:rsidR="007750B7" w:rsidRPr="00816A48" w:rsidRDefault="007750B7" w:rsidP="003D3259">
      <w:pPr>
        <w:autoSpaceDE w:val="0"/>
        <w:autoSpaceDN w:val="0"/>
        <w:adjustRightInd w:val="0"/>
        <w:spacing w:after="0" w:line="240" w:lineRule="auto"/>
        <w:rPr>
          <w:rFonts w:ascii="Times New Roman" w:hAnsi="Times New Roman"/>
          <w:lang w:val="lt-LT"/>
        </w:rPr>
      </w:pPr>
      <w:r w:rsidRPr="00E708C1">
        <w:rPr>
          <w:rFonts w:ascii="Times New Roman" w:hAnsi="Times New Roman"/>
          <w:lang w:val="lt-LT"/>
        </w:rPr>
        <w:t>Receptinis vaistas.</w:t>
      </w:r>
    </w:p>
    <w:p w14:paraId="2BD4C704"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1CE39C34"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62EC2FC2" w14:textId="77777777" w:rsidR="007750B7" w:rsidRPr="00816A48" w:rsidRDefault="007750B7" w:rsidP="003D32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15.</w:t>
      </w:r>
      <w:r w:rsidRPr="00816A48">
        <w:rPr>
          <w:rFonts w:ascii="Times New Roman" w:hAnsi="Times New Roman"/>
          <w:b/>
          <w:lang w:val="lt-LT"/>
        </w:rPr>
        <w:tab/>
        <w:t>VARTOJIMO INSTRUKCIJA</w:t>
      </w:r>
    </w:p>
    <w:p w14:paraId="19F12083"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5278FECE"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06D40E0A" w14:textId="77777777" w:rsidR="007750B7" w:rsidRPr="00816A48" w:rsidRDefault="007750B7" w:rsidP="003D32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16.</w:t>
      </w:r>
      <w:r w:rsidRPr="00816A48">
        <w:rPr>
          <w:rFonts w:ascii="Times New Roman" w:hAnsi="Times New Roman"/>
          <w:b/>
          <w:lang w:val="lt-LT"/>
        </w:rPr>
        <w:tab/>
        <w:t>INFORMACIJA BRAILIO RAŠTU</w:t>
      </w:r>
    </w:p>
    <w:p w14:paraId="102B4A03"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67C3074A" w14:textId="77777777" w:rsidR="00672338" w:rsidRPr="00672338" w:rsidRDefault="00672338" w:rsidP="00672338">
      <w:pPr>
        <w:autoSpaceDE w:val="0"/>
        <w:autoSpaceDN w:val="0"/>
        <w:adjustRightInd w:val="0"/>
        <w:spacing w:after="0" w:line="240" w:lineRule="auto"/>
        <w:rPr>
          <w:rFonts w:ascii="Times New Roman" w:hAnsi="Times New Roman"/>
          <w:highlight w:val="lightGray"/>
          <w:lang w:val="lt-LT"/>
        </w:rPr>
      </w:pPr>
      <w:r w:rsidRPr="00672338">
        <w:rPr>
          <w:rFonts w:ascii="Times New Roman" w:hAnsi="Times New Roman"/>
          <w:highlight w:val="lightGray"/>
          <w:lang w:val="lt-LT"/>
        </w:rPr>
        <w:t>Priimtas pagrindimas informacijos Brailio raštu nepateikti.</w:t>
      </w:r>
    </w:p>
    <w:p w14:paraId="31CB4B95" w14:textId="77777777" w:rsidR="00CE74AB" w:rsidRPr="00816A48" w:rsidRDefault="00CE74AB" w:rsidP="003D3259">
      <w:pPr>
        <w:autoSpaceDE w:val="0"/>
        <w:autoSpaceDN w:val="0"/>
        <w:adjustRightInd w:val="0"/>
        <w:spacing w:after="0" w:line="240" w:lineRule="auto"/>
        <w:rPr>
          <w:rFonts w:ascii="Times New Roman" w:hAnsi="Times New Roman"/>
          <w:lang w:val="lt-LT"/>
        </w:rPr>
      </w:pPr>
    </w:p>
    <w:p w14:paraId="5F1F5AFC" w14:textId="77777777" w:rsidR="00CE74AB" w:rsidRPr="00816A48" w:rsidRDefault="00CE74AB" w:rsidP="003D3259">
      <w:pPr>
        <w:autoSpaceDE w:val="0"/>
        <w:autoSpaceDN w:val="0"/>
        <w:adjustRightInd w:val="0"/>
        <w:spacing w:after="0" w:line="240" w:lineRule="auto"/>
        <w:rPr>
          <w:rFonts w:ascii="Times New Roman" w:hAnsi="Times New Roman"/>
          <w:lang w:val="lt-LT"/>
        </w:rPr>
      </w:pPr>
    </w:p>
    <w:p w14:paraId="50F256CE" w14:textId="77777777" w:rsidR="00CE74AB" w:rsidRPr="00816A48" w:rsidRDefault="00CE74AB" w:rsidP="00CE74AB">
      <w:pPr>
        <w:keepNext/>
        <w:numPr>
          <w:ilvl w:val="1"/>
          <w:numId w:val="5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lang w:val="lt-LT" w:eastAsia="lt-LT" w:bidi="lt-LT"/>
        </w:rPr>
      </w:pPr>
      <w:r w:rsidRPr="00816A48">
        <w:rPr>
          <w:rFonts w:ascii="Times New Roman" w:eastAsia="Times New Roman" w:hAnsi="Times New Roman"/>
          <w:b/>
          <w:noProof/>
          <w:lang w:val="lt-LT" w:eastAsia="lt-LT" w:bidi="lt-LT"/>
        </w:rPr>
        <w:t>UNIKALUS IDENTIFIKATORIUS – 2D BRŪKŠNINIS KODAS</w:t>
      </w:r>
    </w:p>
    <w:p w14:paraId="7BF8EDD5" w14:textId="77777777" w:rsidR="00CE74AB" w:rsidRPr="00816A48" w:rsidRDefault="00CE74AB" w:rsidP="00CE74AB">
      <w:pPr>
        <w:spacing w:after="0" w:line="240" w:lineRule="auto"/>
        <w:rPr>
          <w:rFonts w:ascii="Times New Roman" w:eastAsia="Times New Roman" w:hAnsi="Times New Roman"/>
          <w:noProof/>
          <w:lang w:val="lt-LT" w:eastAsia="lt-LT" w:bidi="lt-LT"/>
        </w:rPr>
      </w:pPr>
    </w:p>
    <w:p w14:paraId="17C8EBC8" w14:textId="77777777" w:rsidR="00CE74AB" w:rsidRPr="00816A48" w:rsidRDefault="00CE74AB" w:rsidP="00CE74AB">
      <w:pPr>
        <w:tabs>
          <w:tab w:val="left" w:pos="567"/>
        </w:tabs>
        <w:spacing w:after="0" w:line="240" w:lineRule="auto"/>
        <w:rPr>
          <w:rFonts w:ascii="Times New Roman" w:eastAsia="Times New Roman" w:hAnsi="Times New Roman"/>
          <w:noProof/>
          <w:shd w:val="clear" w:color="auto" w:fill="CCCCCC"/>
          <w:lang w:val="lt-LT" w:eastAsia="lt-LT" w:bidi="lt-LT"/>
        </w:rPr>
      </w:pPr>
      <w:r w:rsidRPr="00816A48">
        <w:rPr>
          <w:rFonts w:ascii="Times New Roman" w:eastAsia="Times New Roman" w:hAnsi="Times New Roman"/>
          <w:noProof/>
          <w:highlight w:val="lightGray"/>
          <w:lang w:val="lt-LT" w:eastAsia="lt-LT" w:bidi="lt-LT"/>
        </w:rPr>
        <w:t>2D brūkšninis kodas su nurodytu unikaliu identifikatoriumi.</w:t>
      </w:r>
    </w:p>
    <w:p w14:paraId="120A249C" w14:textId="77777777" w:rsidR="00CE74AB" w:rsidRPr="00816A48" w:rsidRDefault="00CE74AB" w:rsidP="00CE74AB">
      <w:pPr>
        <w:tabs>
          <w:tab w:val="left" w:pos="567"/>
        </w:tabs>
        <w:spacing w:after="0" w:line="240" w:lineRule="auto"/>
        <w:rPr>
          <w:rFonts w:ascii="Times New Roman" w:eastAsia="Times New Roman" w:hAnsi="Times New Roman"/>
          <w:noProof/>
          <w:shd w:val="clear" w:color="auto" w:fill="CCCCCC"/>
          <w:lang w:val="lt-LT" w:eastAsia="lt-LT" w:bidi="lt-LT"/>
        </w:rPr>
      </w:pPr>
    </w:p>
    <w:p w14:paraId="2A2B3D0E" w14:textId="77777777" w:rsidR="00CE74AB" w:rsidRPr="00816A48" w:rsidRDefault="00CE74AB" w:rsidP="00CE74AB">
      <w:pPr>
        <w:spacing w:after="0" w:line="240" w:lineRule="auto"/>
        <w:rPr>
          <w:rFonts w:ascii="Times New Roman" w:eastAsia="Times New Roman" w:hAnsi="Times New Roman"/>
          <w:noProof/>
          <w:lang w:val="lt-LT" w:eastAsia="lt-LT" w:bidi="lt-LT"/>
        </w:rPr>
      </w:pPr>
    </w:p>
    <w:p w14:paraId="57D20765" w14:textId="77777777" w:rsidR="00CE74AB" w:rsidRPr="00816A48" w:rsidRDefault="00CE74AB" w:rsidP="00CE74AB">
      <w:pPr>
        <w:keepNext/>
        <w:numPr>
          <w:ilvl w:val="1"/>
          <w:numId w:val="52"/>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lang w:val="lt-LT" w:eastAsia="lt-LT" w:bidi="lt-LT"/>
        </w:rPr>
      </w:pPr>
      <w:r w:rsidRPr="00816A48">
        <w:rPr>
          <w:rFonts w:ascii="Times New Roman" w:eastAsia="Times New Roman" w:hAnsi="Times New Roman"/>
          <w:b/>
          <w:noProof/>
          <w:lang w:val="lt-LT" w:eastAsia="lt-LT" w:bidi="lt-LT"/>
        </w:rPr>
        <w:t>UNIKALUS IDENTIFIKATORIUS – ŽMONĖMS SUPRANTAMI DUOMENYS</w:t>
      </w:r>
    </w:p>
    <w:p w14:paraId="2F728835" w14:textId="77777777" w:rsidR="00CE74AB" w:rsidRPr="00816A48" w:rsidRDefault="00CE74AB" w:rsidP="00CE74AB">
      <w:pPr>
        <w:spacing w:after="0" w:line="240" w:lineRule="auto"/>
        <w:rPr>
          <w:rFonts w:ascii="Times New Roman" w:eastAsia="Times New Roman" w:hAnsi="Times New Roman"/>
          <w:noProof/>
          <w:lang w:val="lt-LT" w:eastAsia="lt-LT" w:bidi="lt-LT"/>
        </w:rPr>
      </w:pPr>
    </w:p>
    <w:p w14:paraId="57E01CEA" w14:textId="11E570DE" w:rsidR="00CE74AB" w:rsidRPr="00F7589B" w:rsidRDefault="00CE74AB" w:rsidP="00CE74AB">
      <w:pPr>
        <w:tabs>
          <w:tab w:val="left" w:pos="567"/>
        </w:tabs>
        <w:spacing w:after="0" w:line="260" w:lineRule="exact"/>
        <w:rPr>
          <w:rFonts w:ascii="Times New Roman" w:eastAsia="Times New Roman" w:hAnsi="Times New Roman"/>
          <w:color w:val="008000"/>
          <w:lang w:val="lt-LT" w:eastAsia="lt-LT" w:bidi="lt-LT"/>
        </w:rPr>
      </w:pPr>
      <w:r w:rsidRPr="00F7589B">
        <w:rPr>
          <w:rFonts w:ascii="Times New Roman" w:eastAsia="Times New Roman" w:hAnsi="Times New Roman"/>
          <w:lang w:val="lt-LT" w:eastAsia="lt-LT" w:bidi="lt-LT"/>
        </w:rPr>
        <w:t xml:space="preserve">PC </w:t>
      </w:r>
    </w:p>
    <w:p w14:paraId="4BC217AC" w14:textId="2A27C2BA" w:rsidR="00CE74AB" w:rsidRPr="00F7589B" w:rsidRDefault="00CE74AB" w:rsidP="00CE74AB">
      <w:pPr>
        <w:tabs>
          <w:tab w:val="left" w:pos="567"/>
        </w:tabs>
        <w:spacing w:after="0" w:line="260" w:lineRule="exact"/>
        <w:rPr>
          <w:rFonts w:ascii="Times New Roman" w:eastAsia="Times New Roman" w:hAnsi="Times New Roman"/>
          <w:lang w:val="lt-LT" w:eastAsia="lt-LT" w:bidi="lt-LT"/>
        </w:rPr>
      </w:pPr>
      <w:r w:rsidRPr="00F7589B">
        <w:rPr>
          <w:rFonts w:ascii="Times New Roman" w:eastAsia="Times New Roman" w:hAnsi="Times New Roman"/>
          <w:lang w:val="lt-LT" w:eastAsia="lt-LT" w:bidi="lt-LT"/>
        </w:rPr>
        <w:t xml:space="preserve">SN </w:t>
      </w:r>
    </w:p>
    <w:p w14:paraId="7012F314" w14:textId="52661763" w:rsidR="00CE74AB" w:rsidRPr="00816A48" w:rsidRDefault="00CE74AB" w:rsidP="00CE74AB">
      <w:pPr>
        <w:tabs>
          <w:tab w:val="left" w:pos="567"/>
        </w:tabs>
        <w:spacing w:after="0" w:line="260" w:lineRule="exact"/>
        <w:rPr>
          <w:rFonts w:ascii="Times New Roman" w:eastAsia="Times New Roman" w:hAnsi="Times New Roman"/>
          <w:lang w:val="lt-LT" w:eastAsia="lt-LT" w:bidi="lt-LT"/>
        </w:rPr>
      </w:pPr>
      <w:r w:rsidRPr="00E708C1">
        <w:rPr>
          <w:rFonts w:ascii="Times New Roman" w:eastAsia="Times New Roman" w:hAnsi="Times New Roman"/>
          <w:highlight w:val="lightGray"/>
          <w:lang w:val="lt-LT" w:eastAsia="lt-LT" w:bidi="lt-LT"/>
        </w:rPr>
        <w:t>NN</w:t>
      </w:r>
      <w:r w:rsidRPr="00816A48">
        <w:rPr>
          <w:rFonts w:ascii="Times New Roman" w:eastAsia="Times New Roman" w:hAnsi="Times New Roman"/>
          <w:lang w:val="lt-LT" w:eastAsia="lt-LT" w:bidi="lt-LT"/>
        </w:rPr>
        <w:t xml:space="preserve"> </w:t>
      </w:r>
    </w:p>
    <w:p w14:paraId="22043F0D" w14:textId="77777777" w:rsidR="00CE74AB" w:rsidRPr="00816A48" w:rsidRDefault="00CE74AB" w:rsidP="00CE74AB">
      <w:pPr>
        <w:spacing w:after="0" w:line="240" w:lineRule="auto"/>
        <w:rPr>
          <w:rFonts w:ascii="Times New Roman" w:eastAsia="Times New Roman" w:hAnsi="Times New Roman"/>
          <w:noProof/>
          <w:vanish/>
          <w:lang w:val="lt-LT" w:eastAsia="lt-LT" w:bidi="lt-LT"/>
        </w:rPr>
      </w:pPr>
    </w:p>
    <w:p w14:paraId="17F3A812" w14:textId="77777777" w:rsidR="00CE74AB" w:rsidRPr="00816A48" w:rsidRDefault="00CE74AB" w:rsidP="003D3259">
      <w:pPr>
        <w:autoSpaceDE w:val="0"/>
        <w:autoSpaceDN w:val="0"/>
        <w:adjustRightInd w:val="0"/>
        <w:spacing w:after="0" w:line="240" w:lineRule="auto"/>
        <w:rPr>
          <w:rFonts w:ascii="Times New Roman" w:hAnsi="Times New Roman"/>
          <w:lang w:val="lt-LT"/>
        </w:rPr>
      </w:pPr>
    </w:p>
    <w:p w14:paraId="798385EA" w14:textId="77777777" w:rsidR="007750B7" w:rsidRPr="00816A48" w:rsidRDefault="007750B7" w:rsidP="00861232">
      <w:pPr>
        <w:pStyle w:val="Default"/>
        <w:rPr>
          <w:color w:val="auto"/>
          <w:sz w:val="22"/>
          <w:szCs w:val="22"/>
          <w:lang w:val="lt-LT"/>
        </w:rPr>
      </w:pPr>
      <w:r w:rsidRPr="00816A48">
        <w:rPr>
          <w:color w:val="auto"/>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750B7" w:rsidRPr="00816A48" w14:paraId="09178491" w14:textId="77777777">
        <w:trPr>
          <w:trHeight w:val="785"/>
        </w:trPr>
        <w:tc>
          <w:tcPr>
            <w:tcW w:w="9287" w:type="dxa"/>
          </w:tcPr>
          <w:p w14:paraId="45B557DF" w14:textId="77777777" w:rsidR="007750B7" w:rsidRPr="00816A48" w:rsidRDefault="007750B7" w:rsidP="003D3259">
            <w:pPr>
              <w:autoSpaceDE w:val="0"/>
              <w:autoSpaceDN w:val="0"/>
              <w:adjustRightInd w:val="0"/>
              <w:spacing w:after="0" w:line="240" w:lineRule="auto"/>
              <w:rPr>
                <w:rFonts w:ascii="Times New Roman" w:hAnsi="Times New Roman"/>
                <w:b/>
                <w:color w:val="000000"/>
                <w:lang w:val="lt-LT"/>
              </w:rPr>
            </w:pPr>
            <w:r w:rsidRPr="00816A48">
              <w:rPr>
                <w:rFonts w:ascii="Times New Roman" w:hAnsi="Times New Roman"/>
                <w:b/>
                <w:color w:val="000000"/>
                <w:lang w:val="lt-LT"/>
              </w:rPr>
              <w:lastRenderedPageBreak/>
              <w:t>MINIMALI INFORMACIJA ANT MAŽŲ VIDINIŲ PAKUOČIŲ</w:t>
            </w:r>
          </w:p>
          <w:p w14:paraId="58F8D536" w14:textId="77777777" w:rsidR="007750B7" w:rsidRPr="00816A48" w:rsidRDefault="007750B7" w:rsidP="003D3259">
            <w:pPr>
              <w:autoSpaceDE w:val="0"/>
              <w:autoSpaceDN w:val="0"/>
              <w:adjustRightInd w:val="0"/>
              <w:spacing w:after="0" w:line="240" w:lineRule="auto"/>
              <w:rPr>
                <w:rFonts w:ascii="Times New Roman" w:hAnsi="Times New Roman"/>
                <w:b/>
                <w:color w:val="000000"/>
                <w:lang w:val="lt-LT"/>
              </w:rPr>
            </w:pPr>
          </w:p>
          <w:p w14:paraId="5D18523B" w14:textId="77777777" w:rsidR="007750B7" w:rsidRPr="00816A48" w:rsidRDefault="007750B7" w:rsidP="003D3259">
            <w:pPr>
              <w:autoSpaceDE w:val="0"/>
              <w:autoSpaceDN w:val="0"/>
              <w:adjustRightInd w:val="0"/>
              <w:spacing w:after="0" w:line="240" w:lineRule="auto"/>
              <w:rPr>
                <w:rFonts w:ascii="Times New Roman" w:hAnsi="Times New Roman"/>
                <w:b/>
                <w:lang w:val="lt-LT"/>
              </w:rPr>
            </w:pPr>
            <w:r w:rsidRPr="00816A48">
              <w:rPr>
                <w:rFonts w:ascii="Times New Roman" w:hAnsi="Times New Roman"/>
                <w:b/>
                <w:color w:val="000000"/>
                <w:lang w:val="lt-LT"/>
              </w:rPr>
              <w:t>AMPULĖ</w:t>
            </w:r>
          </w:p>
        </w:tc>
      </w:tr>
    </w:tbl>
    <w:p w14:paraId="66456E10" w14:textId="77777777" w:rsidR="007750B7" w:rsidRPr="00816A48" w:rsidRDefault="007750B7" w:rsidP="00861232">
      <w:pPr>
        <w:pStyle w:val="Default"/>
        <w:rPr>
          <w:color w:val="auto"/>
          <w:sz w:val="22"/>
          <w:szCs w:val="22"/>
          <w:lang w:val="lt-LT"/>
        </w:rPr>
      </w:pPr>
    </w:p>
    <w:p w14:paraId="109C4F48" w14:textId="77777777" w:rsidR="007750B7" w:rsidRPr="00816A48" w:rsidRDefault="007750B7" w:rsidP="00861232">
      <w:pPr>
        <w:pStyle w:val="Default"/>
        <w:rPr>
          <w:color w:val="auto"/>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750B7" w:rsidRPr="00F55F27" w14:paraId="50C16E9A" w14:textId="77777777">
        <w:tc>
          <w:tcPr>
            <w:tcW w:w="9287" w:type="dxa"/>
          </w:tcPr>
          <w:p w14:paraId="579A2D1C" w14:textId="77777777" w:rsidR="007750B7" w:rsidRPr="00816A48" w:rsidRDefault="007750B7" w:rsidP="005F68E5">
            <w:pP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1.</w:t>
            </w:r>
            <w:r w:rsidRPr="00816A48">
              <w:rPr>
                <w:rFonts w:ascii="Times New Roman" w:hAnsi="Times New Roman"/>
                <w:b/>
                <w:lang w:val="lt-LT"/>
              </w:rPr>
              <w:tab/>
              <w:t>VAISTINIO PREPARATO PAVADINIMAS IR VARTOJIMO BŪDAS (-AI)</w:t>
            </w:r>
          </w:p>
        </w:tc>
      </w:tr>
    </w:tbl>
    <w:p w14:paraId="27BCE536" w14:textId="77777777" w:rsidR="007750B7" w:rsidRPr="00816A48" w:rsidRDefault="007750B7" w:rsidP="00177670">
      <w:pPr>
        <w:autoSpaceDE w:val="0"/>
        <w:autoSpaceDN w:val="0"/>
        <w:adjustRightInd w:val="0"/>
        <w:spacing w:after="0" w:line="240" w:lineRule="auto"/>
        <w:rPr>
          <w:rFonts w:ascii="Times New Roman" w:hAnsi="Times New Roman"/>
          <w:lang w:val="lt-LT"/>
        </w:rPr>
      </w:pPr>
    </w:p>
    <w:p w14:paraId="14B2053D" w14:textId="08F49629" w:rsidR="007750B7" w:rsidRPr="00816A48" w:rsidRDefault="007750B7" w:rsidP="00D42B82">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Osagrand </w:t>
      </w:r>
      <w:r w:rsidRPr="00816A48">
        <w:rPr>
          <w:rFonts w:ascii="Times New Roman" w:hAnsi="Times New Roman"/>
          <w:color w:val="000000"/>
          <w:lang w:val="lt-LT"/>
        </w:rPr>
        <w:t>3 mg injekcinis tirpalas</w:t>
      </w:r>
    </w:p>
    <w:p w14:paraId="0C7FA69E" w14:textId="319C052F" w:rsidR="007750B7" w:rsidRPr="00816A48" w:rsidRDefault="00AC02F2" w:rsidP="00D42B82">
      <w:pPr>
        <w:autoSpaceDE w:val="0"/>
        <w:autoSpaceDN w:val="0"/>
        <w:adjustRightInd w:val="0"/>
        <w:spacing w:after="0" w:line="240" w:lineRule="auto"/>
        <w:rPr>
          <w:rFonts w:ascii="Times New Roman" w:hAnsi="Times New Roman"/>
          <w:lang w:val="lt-LT"/>
        </w:rPr>
      </w:pPr>
      <w:r>
        <w:rPr>
          <w:rFonts w:ascii="Times New Roman" w:hAnsi="Times New Roman"/>
          <w:lang w:val="lt-LT"/>
        </w:rPr>
        <w:t>ibandrono rūgštis</w:t>
      </w:r>
    </w:p>
    <w:p w14:paraId="1827AA62" w14:textId="77777777" w:rsidR="007750B7" w:rsidRPr="00816A48" w:rsidRDefault="007750B7" w:rsidP="005F68E5">
      <w:pPr>
        <w:autoSpaceDE w:val="0"/>
        <w:autoSpaceDN w:val="0"/>
        <w:adjustRightInd w:val="0"/>
        <w:spacing w:after="0" w:line="240" w:lineRule="auto"/>
        <w:rPr>
          <w:rFonts w:ascii="Times New Roman" w:hAnsi="Times New Roman"/>
          <w:lang w:val="lt-LT"/>
        </w:rPr>
      </w:pPr>
    </w:p>
    <w:p w14:paraId="44C020CE" w14:textId="77777777" w:rsidR="007750B7" w:rsidRPr="00816A48" w:rsidRDefault="007750B7" w:rsidP="00720F9C">
      <w:pPr>
        <w:autoSpaceDE w:val="0"/>
        <w:autoSpaceDN w:val="0"/>
        <w:adjustRightInd w:val="0"/>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750B7" w:rsidRPr="00816A48" w14:paraId="2C4FD9D0" w14:textId="77777777">
        <w:tc>
          <w:tcPr>
            <w:tcW w:w="9287" w:type="dxa"/>
          </w:tcPr>
          <w:p w14:paraId="19B76950" w14:textId="77777777" w:rsidR="007750B7" w:rsidRPr="00816A48" w:rsidRDefault="007750B7" w:rsidP="008D33C6">
            <w:pP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2.</w:t>
            </w:r>
            <w:r w:rsidRPr="00816A48">
              <w:rPr>
                <w:rFonts w:ascii="Times New Roman" w:hAnsi="Times New Roman"/>
                <w:b/>
                <w:lang w:val="lt-LT"/>
              </w:rPr>
              <w:tab/>
              <w:t>VARTOJIMO METODAS</w:t>
            </w:r>
          </w:p>
        </w:tc>
      </w:tr>
    </w:tbl>
    <w:p w14:paraId="0E63B970" w14:textId="77777777" w:rsidR="008232BA" w:rsidRPr="00E708C1" w:rsidRDefault="008232BA" w:rsidP="00177670">
      <w:pPr>
        <w:autoSpaceDE w:val="0"/>
        <w:autoSpaceDN w:val="0"/>
        <w:adjustRightInd w:val="0"/>
        <w:spacing w:after="0" w:line="240" w:lineRule="auto"/>
        <w:rPr>
          <w:rFonts w:ascii="Times New Roman" w:hAnsi="Times New Roman"/>
          <w:lang w:val="lt-LT"/>
        </w:rPr>
      </w:pPr>
    </w:p>
    <w:p w14:paraId="474C12DA" w14:textId="2A315EFD" w:rsidR="008232BA" w:rsidRPr="00816A48" w:rsidRDefault="00F7589B" w:rsidP="005F68E5">
      <w:pPr>
        <w:autoSpaceDE w:val="0"/>
        <w:autoSpaceDN w:val="0"/>
        <w:adjustRightInd w:val="0"/>
        <w:spacing w:after="0" w:line="240" w:lineRule="auto"/>
        <w:rPr>
          <w:rFonts w:ascii="Times New Roman" w:hAnsi="Times New Roman"/>
          <w:lang w:val="lt-LT"/>
        </w:rPr>
      </w:pPr>
      <w:r w:rsidRPr="00E708C1">
        <w:rPr>
          <w:rFonts w:ascii="Times New Roman" w:hAnsi="Times New Roman"/>
          <w:lang w:val="lt-LT"/>
        </w:rPr>
        <w:t>i.v.</w:t>
      </w:r>
    </w:p>
    <w:p w14:paraId="4C7C1E65" w14:textId="77777777" w:rsidR="007750B7" w:rsidRDefault="007750B7" w:rsidP="00720F9C">
      <w:pPr>
        <w:autoSpaceDE w:val="0"/>
        <w:autoSpaceDN w:val="0"/>
        <w:adjustRightInd w:val="0"/>
        <w:spacing w:after="0" w:line="240" w:lineRule="auto"/>
        <w:rPr>
          <w:rFonts w:ascii="Times New Roman" w:hAnsi="Times New Roman"/>
          <w:lang w:val="lt-LT"/>
        </w:rPr>
      </w:pPr>
    </w:p>
    <w:p w14:paraId="50A6E36E" w14:textId="77777777" w:rsidR="00F7589B" w:rsidRPr="00816A48" w:rsidRDefault="00F7589B" w:rsidP="00720F9C">
      <w:pPr>
        <w:autoSpaceDE w:val="0"/>
        <w:autoSpaceDN w:val="0"/>
        <w:adjustRightInd w:val="0"/>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750B7" w:rsidRPr="00816A48" w14:paraId="34DFC858" w14:textId="77777777">
        <w:tc>
          <w:tcPr>
            <w:tcW w:w="9287" w:type="dxa"/>
          </w:tcPr>
          <w:p w14:paraId="2D6FCB87" w14:textId="77777777" w:rsidR="007750B7" w:rsidRPr="00816A48" w:rsidRDefault="007750B7" w:rsidP="008D33C6">
            <w:pP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3.</w:t>
            </w:r>
            <w:r w:rsidRPr="00816A48">
              <w:rPr>
                <w:rFonts w:ascii="Times New Roman" w:hAnsi="Times New Roman"/>
                <w:b/>
                <w:lang w:val="lt-LT"/>
              </w:rPr>
              <w:tab/>
              <w:t>TINKAMUMO LAIKAS</w:t>
            </w:r>
          </w:p>
        </w:tc>
      </w:tr>
    </w:tbl>
    <w:p w14:paraId="0815AAB1" w14:textId="77777777" w:rsidR="007750B7" w:rsidRPr="00816A48" w:rsidRDefault="007750B7" w:rsidP="00177670">
      <w:pPr>
        <w:autoSpaceDE w:val="0"/>
        <w:autoSpaceDN w:val="0"/>
        <w:adjustRightInd w:val="0"/>
        <w:spacing w:after="0" w:line="240" w:lineRule="auto"/>
        <w:rPr>
          <w:rFonts w:ascii="Times New Roman" w:hAnsi="Times New Roman"/>
          <w:lang w:val="lt-LT"/>
        </w:rPr>
      </w:pPr>
    </w:p>
    <w:p w14:paraId="42421028" w14:textId="77777777" w:rsidR="007750B7" w:rsidRPr="00816A48" w:rsidRDefault="007750B7" w:rsidP="00D42B82">
      <w:pPr>
        <w:autoSpaceDE w:val="0"/>
        <w:autoSpaceDN w:val="0"/>
        <w:adjustRightInd w:val="0"/>
        <w:spacing w:after="0" w:line="240" w:lineRule="auto"/>
        <w:rPr>
          <w:rFonts w:ascii="Times New Roman" w:hAnsi="Times New Roman"/>
          <w:lang w:val="lt-LT"/>
        </w:rPr>
      </w:pPr>
      <w:r w:rsidRPr="00816A48">
        <w:rPr>
          <w:rFonts w:ascii="Times New Roman" w:hAnsi="Times New Roman"/>
          <w:highlight w:val="lightGray"/>
          <w:lang w:val="lt-LT"/>
        </w:rPr>
        <w:t xml:space="preserve">EXP </w:t>
      </w:r>
      <w:r w:rsidRPr="00816A48">
        <w:rPr>
          <w:rFonts w:ascii="Times New Roman" w:hAnsi="Times New Roman"/>
          <w:lang w:val="lt-LT"/>
        </w:rPr>
        <w:t>{mm/MMMM}</w:t>
      </w:r>
    </w:p>
    <w:p w14:paraId="7B72AFC9" w14:textId="77777777" w:rsidR="007750B7" w:rsidRPr="00816A48" w:rsidRDefault="007750B7" w:rsidP="005F68E5">
      <w:pPr>
        <w:autoSpaceDE w:val="0"/>
        <w:autoSpaceDN w:val="0"/>
        <w:adjustRightInd w:val="0"/>
        <w:spacing w:after="0" w:line="240" w:lineRule="auto"/>
        <w:rPr>
          <w:rFonts w:ascii="Times New Roman" w:hAnsi="Times New Roman"/>
          <w:lang w:val="lt-LT"/>
        </w:rPr>
      </w:pPr>
    </w:p>
    <w:p w14:paraId="79CEA961" w14:textId="77777777" w:rsidR="007750B7" w:rsidRPr="00816A48" w:rsidRDefault="007750B7" w:rsidP="00720F9C">
      <w:pPr>
        <w:autoSpaceDE w:val="0"/>
        <w:autoSpaceDN w:val="0"/>
        <w:adjustRightInd w:val="0"/>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750B7" w:rsidRPr="00816A48" w14:paraId="53C7A179" w14:textId="77777777">
        <w:tc>
          <w:tcPr>
            <w:tcW w:w="9287" w:type="dxa"/>
          </w:tcPr>
          <w:p w14:paraId="0844D5B8" w14:textId="77777777" w:rsidR="007750B7" w:rsidRPr="00816A48" w:rsidRDefault="007750B7" w:rsidP="008D33C6">
            <w:pP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4.</w:t>
            </w:r>
            <w:r w:rsidRPr="00816A48">
              <w:rPr>
                <w:rFonts w:ascii="Times New Roman" w:hAnsi="Times New Roman"/>
                <w:b/>
                <w:lang w:val="lt-LT"/>
              </w:rPr>
              <w:tab/>
              <w:t>SERIJOS NUMERIS</w:t>
            </w:r>
          </w:p>
        </w:tc>
      </w:tr>
    </w:tbl>
    <w:p w14:paraId="2C8A908D" w14:textId="77777777" w:rsidR="007750B7" w:rsidRPr="00816A48" w:rsidRDefault="007750B7" w:rsidP="00177670">
      <w:pPr>
        <w:autoSpaceDE w:val="0"/>
        <w:autoSpaceDN w:val="0"/>
        <w:adjustRightInd w:val="0"/>
        <w:spacing w:after="0" w:line="240" w:lineRule="auto"/>
        <w:rPr>
          <w:rFonts w:ascii="Times New Roman" w:hAnsi="Times New Roman"/>
          <w:lang w:val="lt-LT"/>
        </w:rPr>
      </w:pPr>
    </w:p>
    <w:p w14:paraId="5AD832C9" w14:textId="77777777" w:rsidR="007750B7" w:rsidRPr="00816A48" w:rsidRDefault="007750B7" w:rsidP="00861232">
      <w:pPr>
        <w:pStyle w:val="Default"/>
        <w:rPr>
          <w:color w:val="auto"/>
          <w:sz w:val="22"/>
          <w:szCs w:val="22"/>
          <w:lang w:val="lt-LT"/>
        </w:rPr>
      </w:pPr>
      <w:r w:rsidRPr="00816A48">
        <w:rPr>
          <w:color w:val="auto"/>
          <w:sz w:val="22"/>
          <w:szCs w:val="22"/>
          <w:highlight w:val="lightGray"/>
          <w:lang w:val="lt-LT"/>
        </w:rPr>
        <w:t>Lot</w:t>
      </w:r>
    </w:p>
    <w:p w14:paraId="33212063" w14:textId="77777777" w:rsidR="007750B7" w:rsidRPr="00816A48" w:rsidRDefault="007750B7" w:rsidP="00861232">
      <w:pPr>
        <w:pStyle w:val="Default"/>
        <w:rPr>
          <w:color w:val="auto"/>
          <w:sz w:val="22"/>
          <w:szCs w:val="22"/>
          <w:lang w:val="lt-LT"/>
        </w:rPr>
      </w:pPr>
    </w:p>
    <w:p w14:paraId="18E447DD" w14:textId="77777777" w:rsidR="007750B7" w:rsidRPr="00816A48" w:rsidRDefault="007750B7" w:rsidP="00720F9C">
      <w:pPr>
        <w:autoSpaceDE w:val="0"/>
        <w:autoSpaceDN w:val="0"/>
        <w:adjustRightInd w:val="0"/>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750B7" w:rsidRPr="002D409F" w14:paraId="578C7334" w14:textId="77777777">
        <w:tc>
          <w:tcPr>
            <w:tcW w:w="9287" w:type="dxa"/>
          </w:tcPr>
          <w:p w14:paraId="08A5B138" w14:textId="77777777" w:rsidR="007750B7" w:rsidRPr="00816A48" w:rsidRDefault="007750B7" w:rsidP="008D33C6">
            <w:pP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5.</w:t>
            </w:r>
            <w:r w:rsidRPr="00816A48">
              <w:rPr>
                <w:rFonts w:ascii="Times New Roman" w:hAnsi="Times New Roman"/>
                <w:b/>
                <w:lang w:val="lt-LT"/>
              </w:rPr>
              <w:tab/>
              <w:t>KIEKIS (MASĖ, TŪRIS ARBA VIENETAI)</w:t>
            </w:r>
          </w:p>
        </w:tc>
      </w:tr>
    </w:tbl>
    <w:p w14:paraId="422C8521" w14:textId="77777777" w:rsidR="007750B7" w:rsidRPr="00816A48" w:rsidRDefault="007750B7" w:rsidP="00177670">
      <w:pPr>
        <w:autoSpaceDE w:val="0"/>
        <w:autoSpaceDN w:val="0"/>
        <w:adjustRightInd w:val="0"/>
        <w:spacing w:after="0" w:line="240" w:lineRule="auto"/>
        <w:rPr>
          <w:rFonts w:ascii="Times New Roman" w:hAnsi="Times New Roman"/>
          <w:lang w:val="lt-LT"/>
        </w:rPr>
      </w:pPr>
    </w:p>
    <w:p w14:paraId="40FC2AC4" w14:textId="77777777" w:rsidR="007750B7" w:rsidRPr="00816A48" w:rsidRDefault="007750B7" w:rsidP="00D42B82">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3 mg/3 ml</w:t>
      </w:r>
    </w:p>
    <w:p w14:paraId="25016AA3" w14:textId="77777777" w:rsidR="007750B7" w:rsidRPr="00816A48" w:rsidRDefault="007750B7" w:rsidP="005F68E5">
      <w:pPr>
        <w:autoSpaceDE w:val="0"/>
        <w:autoSpaceDN w:val="0"/>
        <w:adjustRightInd w:val="0"/>
        <w:spacing w:after="0" w:line="240" w:lineRule="auto"/>
        <w:rPr>
          <w:rFonts w:ascii="Times New Roman" w:hAnsi="Times New Roman"/>
          <w:lang w:val="lt-LT"/>
        </w:rPr>
      </w:pPr>
    </w:p>
    <w:p w14:paraId="4264A2FE" w14:textId="77777777" w:rsidR="007750B7" w:rsidRPr="00816A48" w:rsidRDefault="007750B7" w:rsidP="00720F9C">
      <w:pPr>
        <w:autoSpaceDE w:val="0"/>
        <w:autoSpaceDN w:val="0"/>
        <w:adjustRightInd w:val="0"/>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750B7" w:rsidRPr="00816A48" w14:paraId="531D9E69" w14:textId="77777777">
        <w:tc>
          <w:tcPr>
            <w:tcW w:w="9287" w:type="dxa"/>
          </w:tcPr>
          <w:p w14:paraId="29CDB175" w14:textId="77777777" w:rsidR="007750B7" w:rsidRPr="00816A48" w:rsidRDefault="007750B7" w:rsidP="008D33C6">
            <w:pP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6.</w:t>
            </w:r>
            <w:r w:rsidRPr="00816A48">
              <w:rPr>
                <w:rFonts w:ascii="Times New Roman" w:hAnsi="Times New Roman"/>
                <w:b/>
                <w:lang w:val="lt-LT"/>
              </w:rPr>
              <w:tab/>
              <w:t>KITA</w:t>
            </w:r>
          </w:p>
        </w:tc>
      </w:tr>
    </w:tbl>
    <w:p w14:paraId="3315B5AE" w14:textId="77777777" w:rsidR="007750B7" w:rsidRPr="00816A48" w:rsidRDefault="007750B7" w:rsidP="00D42B82">
      <w:pPr>
        <w:autoSpaceDE w:val="0"/>
        <w:autoSpaceDN w:val="0"/>
        <w:adjustRightInd w:val="0"/>
        <w:spacing w:after="0" w:line="240" w:lineRule="auto"/>
        <w:rPr>
          <w:rFonts w:ascii="Times New Roman" w:hAnsi="Times New Roman"/>
          <w:lang w:val="lt-LT"/>
        </w:rPr>
      </w:pPr>
    </w:p>
    <w:p w14:paraId="62E79A7E" w14:textId="77777777" w:rsidR="007750B7" w:rsidRPr="00816A48" w:rsidRDefault="007750B7" w:rsidP="005F68E5">
      <w:pPr>
        <w:autoSpaceDE w:val="0"/>
        <w:autoSpaceDN w:val="0"/>
        <w:adjustRightInd w:val="0"/>
        <w:spacing w:after="0" w:line="240" w:lineRule="auto"/>
        <w:rPr>
          <w:rFonts w:ascii="Times New Roman" w:hAnsi="Times New Roman"/>
          <w:lang w:val="lt-LT"/>
        </w:rPr>
      </w:pPr>
      <w:r w:rsidRPr="00816A48">
        <w:rPr>
          <w:rFonts w:ascii="Times New Roman" w:hAnsi="Times New Roman"/>
          <w:highlight w:val="lightGray"/>
          <w:lang w:val="lt-LT"/>
        </w:rPr>
        <w:t>ZENTIVA</w:t>
      </w:r>
      <w:r w:rsidR="0035711A" w:rsidRPr="00816A48">
        <w:rPr>
          <w:rFonts w:ascii="Times New Roman" w:hAnsi="Times New Roman"/>
          <w:lang w:val="lt-LT"/>
        </w:rPr>
        <w:t xml:space="preserve"> </w:t>
      </w:r>
      <w:r w:rsidR="0035711A" w:rsidRPr="00816A48">
        <w:rPr>
          <w:rFonts w:ascii="Times New Roman" w:hAnsi="Times New Roman"/>
          <w:highlight w:val="lightGray"/>
          <w:lang w:val="lt-LT"/>
        </w:rPr>
        <w:t>logo</w:t>
      </w:r>
    </w:p>
    <w:p w14:paraId="6A1EBC25" w14:textId="77777777" w:rsidR="007750B7" w:rsidRPr="00816A48" w:rsidRDefault="007750B7" w:rsidP="00861232">
      <w:pPr>
        <w:pStyle w:val="Default"/>
        <w:widowControl w:val="0"/>
        <w:suppressAutoHyphens/>
        <w:jc w:val="center"/>
        <w:rPr>
          <w:b/>
          <w:sz w:val="22"/>
          <w:szCs w:val="22"/>
          <w:lang w:val="lt-LT"/>
        </w:rPr>
      </w:pPr>
      <w:r w:rsidRPr="00816A48">
        <w:rPr>
          <w:b/>
          <w:sz w:val="22"/>
          <w:szCs w:val="22"/>
          <w:lang w:val="lt-LT"/>
        </w:rPr>
        <w:br w:type="page"/>
      </w:r>
    </w:p>
    <w:p w14:paraId="3824D89E" w14:textId="77777777" w:rsidR="007750B7" w:rsidRPr="00816A48" w:rsidRDefault="007750B7" w:rsidP="00861232">
      <w:pPr>
        <w:pStyle w:val="Default"/>
        <w:widowControl w:val="0"/>
        <w:suppressAutoHyphens/>
        <w:jc w:val="center"/>
        <w:rPr>
          <w:b/>
          <w:sz w:val="22"/>
          <w:szCs w:val="22"/>
          <w:lang w:val="lt-LT"/>
        </w:rPr>
      </w:pPr>
    </w:p>
    <w:p w14:paraId="789704EE" w14:textId="77777777" w:rsidR="007750B7" w:rsidRPr="00816A48" w:rsidRDefault="007750B7" w:rsidP="00861232">
      <w:pPr>
        <w:pStyle w:val="Default"/>
        <w:widowControl w:val="0"/>
        <w:suppressAutoHyphens/>
        <w:jc w:val="center"/>
        <w:rPr>
          <w:b/>
          <w:sz w:val="22"/>
          <w:szCs w:val="22"/>
          <w:lang w:val="lt-LT"/>
        </w:rPr>
      </w:pPr>
    </w:p>
    <w:p w14:paraId="54A50F01" w14:textId="77777777" w:rsidR="007750B7" w:rsidRPr="00816A48" w:rsidRDefault="007750B7" w:rsidP="00861232">
      <w:pPr>
        <w:pStyle w:val="Default"/>
        <w:widowControl w:val="0"/>
        <w:suppressAutoHyphens/>
        <w:jc w:val="center"/>
        <w:rPr>
          <w:b/>
          <w:sz w:val="22"/>
          <w:szCs w:val="22"/>
          <w:lang w:val="lt-LT"/>
        </w:rPr>
      </w:pPr>
    </w:p>
    <w:p w14:paraId="5B3D6C9B" w14:textId="77777777" w:rsidR="007750B7" w:rsidRPr="00816A48" w:rsidRDefault="007750B7" w:rsidP="00861232">
      <w:pPr>
        <w:pStyle w:val="Default"/>
        <w:widowControl w:val="0"/>
        <w:suppressAutoHyphens/>
        <w:jc w:val="center"/>
        <w:rPr>
          <w:b/>
          <w:sz w:val="22"/>
          <w:szCs w:val="22"/>
          <w:lang w:val="lt-LT"/>
        </w:rPr>
      </w:pPr>
    </w:p>
    <w:p w14:paraId="5E7C6EF1" w14:textId="77777777" w:rsidR="007750B7" w:rsidRPr="00816A48" w:rsidRDefault="007750B7" w:rsidP="00861232">
      <w:pPr>
        <w:pStyle w:val="Default"/>
        <w:widowControl w:val="0"/>
        <w:suppressAutoHyphens/>
        <w:jc w:val="center"/>
        <w:rPr>
          <w:b/>
          <w:sz w:val="22"/>
          <w:szCs w:val="22"/>
          <w:lang w:val="lt-LT"/>
        </w:rPr>
      </w:pPr>
    </w:p>
    <w:p w14:paraId="66B8FE52" w14:textId="77777777" w:rsidR="007750B7" w:rsidRPr="00816A48" w:rsidRDefault="007750B7" w:rsidP="00861232">
      <w:pPr>
        <w:pStyle w:val="Default"/>
        <w:widowControl w:val="0"/>
        <w:suppressAutoHyphens/>
        <w:jc w:val="center"/>
        <w:rPr>
          <w:b/>
          <w:sz w:val="22"/>
          <w:szCs w:val="22"/>
          <w:lang w:val="lt-LT"/>
        </w:rPr>
      </w:pPr>
    </w:p>
    <w:p w14:paraId="620189C5" w14:textId="77777777" w:rsidR="007750B7" w:rsidRPr="00816A48" w:rsidRDefault="007750B7" w:rsidP="00861232">
      <w:pPr>
        <w:pStyle w:val="Default"/>
        <w:widowControl w:val="0"/>
        <w:suppressAutoHyphens/>
        <w:jc w:val="center"/>
        <w:rPr>
          <w:b/>
          <w:sz w:val="22"/>
          <w:szCs w:val="22"/>
          <w:lang w:val="lt-LT"/>
        </w:rPr>
      </w:pPr>
    </w:p>
    <w:p w14:paraId="700F3FAD" w14:textId="77777777" w:rsidR="007750B7" w:rsidRPr="00816A48" w:rsidRDefault="007750B7" w:rsidP="00861232">
      <w:pPr>
        <w:pStyle w:val="Default"/>
        <w:widowControl w:val="0"/>
        <w:suppressAutoHyphens/>
        <w:jc w:val="center"/>
        <w:rPr>
          <w:b/>
          <w:sz w:val="22"/>
          <w:szCs w:val="22"/>
          <w:lang w:val="lt-LT"/>
        </w:rPr>
      </w:pPr>
    </w:p>
    <w:p w14:paraId="140ACC62" w14:textId="77777777" w:rsidR="007750B7" w:rsidRPr="00816A48" w:rsidRDefault="007750B7" w:rsidP="00861232">
      <w:pPr>
        <w:pStyle w:val="Default"/>
        <w:widowControl w:val="0"/>
        <w:suppressAutoHyphens/>
        <w:jc w:val="center"/>
        <w:rPr>
          <w:b/>
          <w:sz w:val="22"/>
          <w:szCs w:val="22"/>
          <w:lang w:val="lt-LT"/>
        </w:rPr>
      </w:pPr>
    </w:p>
    <w:p w14:paraId="7D4F7AE1" w14:textId="77777777" w:rsidR="007750B7" w:rsidRPr="00816A48" w:rsidRDefault="007750B7" w:rsidP="00861232">
      <w:pPr>
        <w:pStyle w:val="Default"/>
        <w:widowControl w:val="0"/>
        <w:suppressAutoHyphens/>
        <w:jc w:val="center"/>
        <w:rPr>
          <w:b/>
          <w:sz w:val="22"/>
          <w:szCs w:val="22"/>
          <w:lang w:val="lt-LT"/>
        </w:rPr>
      </w:pPr>
    </w:p>
    <w:p w14:paraId="6D29FB2D" w14:textId="77777777" w:rsidR="007750B7" w:rsidRPr="00816A48" w:rsidRDefault="007750B7" w:rsidP="00861232">
      <w:pPr>
        <w:pStyle w:val="Default"/>
        <w:widowControl w:val="0"/>
        <w:suppressAutoHyphens/>
        <w:jc w:val="center"/>
        <w:rPr>
          <w:b/>
          <w:sz w:val="22"/>
          <w:szCs w:val="22"/>
          <w:lang w:val="lt-LT"/>
        </w:rPr>
      </w:pPr>
    </w:p>
    <w:p w14:paraId="7E95EDD9" w14:textId="77777777" w:rsidR="007750B7" w:rsidRPr="00816A48" w:rsidRDefault="007750B7" w:rsidP="00861232">
      <w:pPr>
        <w:pStyle w:val="Default"/>
        <w:widowControl w:val="0"/>
        <w:suppressAutoHyphens/>
        <w:jc w:val="center"/>
        <w:rPr>
          <w:b/>
          <w:sz w:val="22"/>
          <w:szCs w:val="22"/>
          <w:lang w:val="lt-LT"/>
        </w:rPr>
      </w:pPr>
    </w:p>
    <w:p w14:paraId="58D28B73" w14:textId="77777777" w:rsidR="007750B7" w:rsidRPr="00816A48" w:rsidRDefault="007750B7" w:rsidP="00861232">
      <w:pPr>
        <w:pStyle w:val="Default"/>
        <w:widowControl w:val="0"/>
        <w:suppressAutoHyphens/>
        <w:jc w:val="center"/>
        <w:rPr>
          <w:b/>
          <w:sz w:val="22"/>
          <w:szCs w:val="22"/>
          <w:lang w:val="lt-LT"/>
        </w:rPr>
      </w:pPr>
    </w:p>
    <w:p w14:paraId="203CB117" w14:textId="77777777" w:rsidR="007750B7" w:rsidRPr="00816A48" w:rsidRDefault="007750B7" w:rsidP="00861232">
      <w:pPr>
        <w:pStyle w:val="Default"/>
        <w:widowControl w:val="0"/>
        <w:suppressAutoHyphens/>
        <w:jc w:val="center"/>
        <w:rPr>
          <w:b/>
          <w:sz w:val="22"/>
          <w:szCs w:val="22"/>
          <w:lang w:val="lt-LT"/>
        </w:rPr>
      </w:pPr>
    </w:p>
    <w:p w14:paraId="536291ED" w14:textId="77777777" w:rsidR="007750B7" w:rsidRPr="00816A48" w:rsidRDefault="007750B7" w:rsidP="00861232">
      <w:pPr>
        <w:pStyle w:val="Default"/>
        <w:widowControl w:val="0"/>
        <w:suppressAutoHyphens/>
        <w:jc w:val="center"/>
        <w:rPr>
          <w:b/>
          <w:sz w:val="22"/>
          <w:szCs w:val="22"/>
          <w:lang w:val="lt-LT"/>
        </w:rPr>
      </w:pPr>
    </w:p>
    <w:p w14:paraId="07851162" w14:textId="77777777" w:rsidR="007750B7" w:rsidRPr="00816A48" w:rsidRDefault="007750B7" w:rsidP="00861232">
      <w:pPr>
        <w:pStyle w:val="Default"/>
        <w:widowControl w:val="0"/>
        <w:suppressAutoHyphens/>
        <w:jc w:val="center"/>
        <w:rPr>
          <w:b/>
          <w:sz w:val="22"/>
          <w:szCs w:val="22"/>
          <w:lang w:val="lt-LT"/>
        </w:rPr>
      </w:pPr>
    </w:p>
    <w:p w14:paraId="16F89FBD" w14:textId="77777777" w:rsidR="007750B7" w:rsidRPr="00816A48" w:rsidRDefault="007750B7" w:rsidP="00861232">
      <w:pPr>
        <w:pStyle w:val="Default"/>
        <w:widowControl w:val="0"/>
        <w:suppressAutoHyphens/>
        <w:jc w:val="center"/>
        <w:rPr>
          <w:b/>
          <w:sz w:val="22"/>
          <w:szCs w:val="22"/>
          <w:lang w:val="lt-LT"/>
        </w:rPr>
      </w:pPr>
    </w:p>
    <w:p w14:paraId="5B14E5E8" w14:textId="77777777" w:rsidR="007750B7" w:rsidRPr="00816A48" w:rsidRDefault="007750B7" w:rsidP="00861232">
      <w:pPr>
        <w:pStyle w:val="Default"/>
        <w:widowControl w:val="0"/>
        <w:suppressAutoHyphens/>
        <w:jc w:val="center"/>
        <w:rPr>
          <w:b/>
          <w:sz w:val="22"/>
          <w:szCs w:val="22"/>
          <w:lang w:val="lt-LT"/>
        </w:rPr>
      </w:pPr>
    </w:p>
    <w:p w14:paraId="4BC4E3BA" w14:textId="77777777" w:rsidR="007750B7" w:rsidRPr="00816A48" w:rsidRDefault="007750B7" w:rsidP="00861232">
      <w:pPr>
        <w:pStyle w:val="Default"/>
        <w:widowControl w:val="0"/>
        <w:suppressAutoHyphens/>
        <w:jc w:val="center"/>
        <w:rPr>
          <w:b/>
          <w:sz w:val="22"/>
          <w:szCs w:val="22"/>
          <w:lang w:val="lt-LT"/>
        </w:rPr>
      </w:pPr>
    </w:p>
    <w:p w14:paraId="5B61265E" w14:textId="77777777" w:rsidR="007750B7" w:rsidRPr="00816A48" w:rsidRDefault="007750B7" w:rsidP="00861232">
      <w:pPr>
        <w:pStyle w:val="Default"/>
        <w:widowControl w:val="0"/>
        <w:suppressAutoHyphens/>
        <w:jc w:val="center"/>
        <w:rPr>
          <w:b/>
          <w:sz w:val="22"/>
          <w:szCs w:val="22"/>
          <w:lang w:val="lt-LT"/>
        </w:rPr>
      </w:pPr>
    </w:p>
    <w:p w14:paraId="3909CF26" w14:textId="77777777" w:rsidR="007750B7" w:rsidRPr="00816A48" w:rsidRDefault="007750B7" w:rsidP="00861232">
      <w:pPr>
        <w:pStyle w:val="Default"/>
        <w:widowControl w:val="0"/>
        <w:suppressAutoHyphens/>
        <w:jc w:val="center"/>
        <w:rPr>
          <w:b/>
          <w:sz w:val="22"/>
          <w:szCs w:val="22"/>
          <w:lang w:val="lt-LT"/>
        </w:rPr>
      </w:pPr>
    </w:p>
    <w:p w14:paraId="485CA6F7" w14:textId="77777777" w:rsidR="007750B7" w:rsidRPr="00816A48" w:rsidRDefault="007750B7" w:rsidP="00861232">
      <w:pPr>
        <w:pStyle w:val="Default"/>
        <w:widowControl w:val="0"/>
        <w:suppressAutoHyphens/>
        <w:jc w:val="center"/>
        <w:rPr>
          <w:b/>
          <w:sz w:val="22"/>
          <w:szCs w:val="22"/>
          <w:lang w:val="lt-LT"/>
        </w:rPr>
      </w:pPr>
    </w:p>
    <w:p w14:paraId="257E3A7B" w14:textId="77777777" w:rsidR="00672338" w:rsidRDefault="00672338" w:rsidP="00861232">
      <w:pPr>
        <w:pStyle w:val="Default"/>
        <w:widowControl w:val="0"/>
        <w:suppressAutoHyphens/>
        <w:jc w:val="center"/>
        <w:rPr>
          <w:b/>
          <w:caps/>
          <w:sz w:val="22"/>
          <w:szCs w:val="22"/>
          <w:lang w:val="lt-LT"/>
        </w:rPr>
      </w:pPr>
    </w:p>
    <w:p w14:paraId="769657F9" w14:textId="77777777" w:rsidR="007750B7" w:rsidRPr="00816A48" w:rsidRDefault="007750B7" w:rsidP="00861232">
      <w:pPr>
        <w:pStyle w:val="Default"/>
        <w:widowControl w:val="0"/>
        <w:suppressAutoHyphens/>
        <w:jc w:val="center"/>
        <w:rPr>
          <w:b/>
          <w:sz w:val="22"/>
          <w:szCs w:val="22"/>
          <w:lang w:val="lt-LT"/>
        </w:rPr>
      </w:pPr>
      <w:r w:rsidRPr="00816A48">
        <w:rPr>
          <w:b/>
          <w:caps/>
          <w:sz w:val="22"/>
          <w:szCs w:val="22"/>
          <w:lang w:val="lt-LT"/>
        </w:rPr>
        <w:t>B. PAKUOTĖS lapelis</w:t>
      </w:r>
    </w:p>
    <w:p w14:paraId="00B9DCC1" w14:textId="77777777" w:rsidR="007750B7" w:rsidRPr="00816A48" w:rsidRDefault="007750B7" w:rsidP="003D3259">
      <w:pPr>
        <w:pStyle w:val="Default"/>
        <w:widowControl w:val="0"/>
        <w:suppressAutoHyphens/>
        <w:jc w:val="center"/>
        <w:rPr>
          <w:b/>
          <w:bCs/>
          <w:sz w:val="22"/>
          <w:szCs w:val="22"/>
          <w:lang w:val="lt-LT"/>
        </w:rPr>
      </w:pPr>
      <w:r w:rsidRPr="00816A48">
        <w:rPr>
          <w:b/>
          <w:bCs/>
          <w:sz w:val="22"/>
          <w:szCs w:val="22"/>
          <w:lang w:val="lt-LT"/>
        </w:rPr>
        <w:br w:type="page"/>
      </w:r>
      <w:r w:rsidR="00006A13" w:rsidRPr="00816A48">
        <w:rPr>
          <w:b/>
          <w:bCs/>
          <w:sz w:val="22"/>
          <w:szCs w:val="22"/>
          <w:lang w:val="lt-LT"/>
        </w:rPr>
        <w:lastRenderedPageBreak/>
        <w:t>Pakuotės lapelis: informacija vartotojui</w:t>
      </w:r>
    </w:p>
    <w:p w14:paraId="75567DCD" w14:textId="77777777" w:rsidR="007750B7" w:rsidRPr="00816A48" w:rsidRDefault="007750B7" w:rsidP="003D3259">
      <w:pPr>
        <w:autoSpaceDE w:val="0"/>
        <w:autoSpaceDN w:val="0"/>
        <w:adjustRightInd w:val="0"/>
        <w:spacing w:after="0" w:line="240" w:lineRule="auto"/>
        <w:jc w:val="center"/>
        <w:rPr>
          <w:rFonts w:ascii="Times New Roman" w:hAnsi="Times New Roman"/>
          <w:lang w:val="lt-LT"/>
        </w:rPr>
      </w:pPr>
    </w:p>
    <w:p w14:paraId="12250954" w14:textId="4315DD50" w:rsidR="007750B7" w:rsidRPr="00816A48" w:rsidRDefault="007750B7" w:rsidP="003D3259">
      <w:pPr>
        <w:autoSpaceDE w:val="0"/>
        <w:autoSpaceDN w:val="0"/>
        <w:adjustRightInd w:val="0"/>
        <w:spacing w:after="0" w:line="240" w:lineRule="auto"/>
        <w:jc w:val="center"/>
        <w:rPr>
          <w:rFonts w:ascii="Times New Roman" w:hAnsi="Times New Roman"/>
          <w:b/>
          <w:lang w:val="lt-LT"/>
        </w:rPr>
      </w:pPr>
      <w:r w:rsidRPr="00816A48">
        <w:rPr>
          <w:rFonts w:ascii="Times New Roman" w:hAnsi="Times New Roman"/>
          <w:b/>
          <w:lang w:val="lt-LT"/>
        </w:rPr>
        <w:t xml:space="preserve">Osagrand </w:t>
      </w:r>
      <w:r w:rsidRPr="00816A48">
        <w:rPr>
          <w:rFonts w:ascii="Times New Roman" w:hAnsi="Times New Roman"/>
          <w:b/>
          <w:color w:val="000000"/>
          <w:lang w:val="lt-LT"/>
        </w:rPr>
        <w:t>3 mg injekcinis tirpalas</w:t>
      </w:r>
    </w:p>
    <w:p w14:paraId="31E39117" w14:textId="497FBC35" w:rsidR="007750B7" w:rsidRPr="00816A48" w:rsidRDefault="00AC02F2" w:rsidP="003D3259">
      <w:pPr>
        <w:autoSpaceDE w:val="0"/>
        <w:autoSpaceDN w:val="0"/>
        <w:adjustRightInd w:val="0"/>
        <w:spacing w:after="0" w:line="240" w:lineRule="auto"/>
        <w:jc w:val="center"/>
        <w:rPr>
          <w:rFonts w:ascii="Times New Roman" w:hAnsi="Times New Roman"/>
          <w:lang w:val="lt-LT"/>
        </w:rPr>
      </w:pPr>
      <w:r>
        <w:rPr>
          <w:rFonts w:ascii="Times New Roman" w:hAnsi="Times New Roman"/>
          <w:lang w:val="lt-LT"/>
        </w:rPr>
        <w:t>i</w:t>
      </w:r>
      <w:r w:rsidR="007750B7" w:rsidRPr="00816A48">
        <w:rPr>
          <w:rFonts w:ascii="Times New Roman" w:hAnsi="Times New Roman"/>
          <w:lang w:val="lt-LT"/>
        </w:rPr>
        <w:t>bandrono rūgštis</w:t>
      </w:r>
    </w:p>
    <w:p w14:paraId="0241F454" w14:textId="77777777" w:rsidR="007750B7" w:rsidRPr="00816A48" w:rsidRDefault="007750B7" w:rsidP="003D3259">
      <w:pPr>
        <w:autoSpaceDE w:val="0"/>
        <w:autoSpaceDN w:val="0"/>
        <w:adjustRightInd w:val="0"/>
        <w:spacing w:after="0" w:line="240" w:lineRule="auto"/>
        <w:jc w:val="center"/>
        <w:rPr>
          <w:rFonts w:ascii="Times New Roman" w:hAnsi="Times New Roman"/>
          <w:lang w:val="lt-LT"/>
        </w:rPr>
      </w:pPr>
    </w:p>
    <w:p w14:paraId="3746ED3E" w14:textId="77777777" w:rsidR="007750B7" w:rsidRPr="00816A48" w:rsidRDefault="007750B7" w:rsidP="00861232">
      <w:pPr>
        <w:suppressAutoHyphens/>
        <w:spacing w:after="0" w:line="240" w:lineRule="auto"/>
        <w:ind w:left="142" w:hanging="142"/>
        <w:rPr>
          <w:rFonts w:ascii="Times New Roman" w:hAnsi="Times New Roman"/>
          <w:lang w:val="lt-LT"/>
        </w:rPr>
      </w:pPr>
      <w:r w:rsidRPr="00816A48">
        <w:rPr>
          <w:rFonts w:ascii="Times New Roman" w:hAnsi="Times New Roman"/>
          <w:b/>
          <w:lang w:val="lt-LT"/>
        </w:rPr>
        <w:t>Atidžiai perskaitykite visą šį lapelį, prieš pradėdami vartoti vaistą</w:t>
      </w:r>
      <w:r w:rsidR="00A90A70" w:rsidRPr="00816A48">
        <w:rPr>
          <w:rFonts w:ascii="Times New Roman" w:hAnsi="Times New Roman"/>
          <w:b/>
          <w:bCs/>
          <w:lang w:val="lt-LT"/>
        </w:rPr>
        <w:t xml:space="preserve">, </w:t>
      </w:r>
      <w:r w:rsidR="00A90A70" w:rsidRPr="00816A48">
        <w:rPr>
          <w:rFonts w:ascii="Times New Roman" w:hAnsi="Times New Roman"/>
          <w:b/>
          <w:noProof/>
          <w:lang w:val="lt-LT"/>
        </w:rPr>
        <w:t>nes jame pateikiama Jums svarbi informacija</w:t>
      </w:r>
      <w:r w:rsidR="00A90A70" w:rsidRPr="00816A48">
        <w:rPr>
          <w:rFonts w:ascii="Times New Roman" w:hAnsi="Times New Roman"/>
          <w:b/>
          <w:lang w:val="lt-LT"/>
        </w:rPr>
        <w:t>.</w:t>
      </w:r>
    </w:p>
    <w:p w14:paraId="37083C3E" w14:textId="77777777" w:rsidR="007750B7" w:rsidRPr="00816A48" w:rsidRDefault="007750B7" w:rsidP="00177670">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Neišmeskite šio lapelio, nes vėl gali prireikti jį perskaityti.</w:t>
      </w:r>
    </w:p>
    <w:p w14:paraId="51FBE366" w14:textId="77777777" w:rsidR="007750B7" w:rsidRPr="00816A48" w:rsidRDefault="007750B7" w:rsidP="00177670">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Jeigu kiltų daugiau klausimų, kreipkitės į gydytoją</w:t>
      </w:r>
      <w:r w:rsidR="0084657A" w:rsidRPr="00816A48">
        <w:rPr>
          <w:rFonts w:ascii="Times New Roman" w:hAnsi="Times New Roman"/>
          <w:lang w:val="lt-LT"/>
        </w:rPr>
        <w:t>,</w:t>
      </w:r>
      <w:r w:rsidR="00A90A70" w:rsidRPr="00816A48">
        <w:rPr>
          <w:rFonts w:ascii="Times New Roman" w:hAnsi="Times New Roman"/>
          <w:lang w:val="lt-LT"/>
        </w:rPr>
        <w:t xml:space="preserve"> </w:t>
      </w:r>
      <w:r w:rsidRPr="00816A48">
        <w:rPr>
          <w:rFonts w:ascii="Times New Roman" w:hAnsi="Times New Roman"/>
          <w:lang w:val="lt-LT"/>
        </w:rPr>
        <w:t>vaistininką</w:t>
      </w:r>
      <w:r w:rsidR="00A90A70" w:rsidRPr="00816A48">
        <w:rPr>
          <w:rFonts w:ascii="Times New Roman" w:hAnsi="Times New Roman"/>
          <w:lang w:val="lt-LT"/>
        </w:rPr>
        <w:t xml:space="preserve"> arba slaugytoją</w:t>
      </w:r>
      <w:r w:rsidRPr="00816A48">
        <w:rPr>
          <w:rFonts w:ascii="Times New Roman" w:hAnsi="Times New Roman"/>
          <w:lang w:val="lt-LT"/>
        </w:rPr>
        <w:t>.</w:t>
      </w:r>
    </w:p>
    <w:p w14:paraId="474FA7D5" w14:textId="77777777" w:rsidR="007750B7" w:rsidRPr="00816A48" w:rsidRDefault="00A90A70" w:rsidP="00861232">
      <w:p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Jeigu pasireiškė šalutinis poveikis (net jeigu jis šiame lapelyje nenurodytas), kreipkitės į gydytoją, vaistininką arba slaugytoją. Žr. 4 skyrių.</w:t>
      </w:r>
    </w:p>
    <w:p w14:paraId="55E65FCF" w14:textId="77777777" w:rsidR="007750B7" w:rsidRPr="00816A48" w:rsidRDefault="007750B7" w:rsidP="00177670">
      <w:pPr>
        <w:autoSpaceDE w:val="0"/>
        <w:autoSpaceDN w:val="0"/>
        <w:adjustRightInd w:val="0"/>
        <w:spacing w:after="0" w:line="240" w:lineRule="auto"/>
        <w:rPr>
          <w:rFonts w:ascii="Times New Roman" w:hAnsi="Times New Roman"/>
          <w:lang w:val="lt-LT"/>
        </w:rPr>
      </w:pPr>
    </w:p>
    <w:p w14:paraId="01F66258" w14:textId="77777777" w:rsidR="00A90A70" w:rsidRPr="00816A48" w:rsidRDefault="00A90A70" w:rsidP="005F68E5">
      <w:pPr>
        <w:autoSpaceDE w:val="0"/>
        <w:autoSpaceDN w:val="0"/>
        <w:adjustRightInd w:val="0"/>
        <w:spacing w:after="0" w:line="240" w:lineRule="auto"/>
        <w:rPr>
          <w:rFonts w:ascii="Times New Roman" w:hAnsi="Times New Roman"/>
          <w:b/>
          <w:bCs/>
          <w:lang w:val="lt-LT"/>
        </w:rPr>
      </w:pPr>
      <w:r w:rsidRPr="00816A48">
        <w:rPr>
          <w:rFonts w:ascii="Times New Roman" w:hAnsi="Times New Roman"/>
          <w:b/>
          <w:bCs/>
          <w:lang w:val="lt-LT"/>
        </w:rPr>
        <w:t>Apie ką rašoma šiame lapelyje?</w:t>
      </w:r>
    </w:p>
    <w:p w14:paraId="64276AC9" w14:textId="77777777" w:rsidR="007750B7" w:rsidRPr="00816A48" w:rsidRDefault="007750B7" w:rsidP="005F68E5">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1.</w:t>
      </w:r>
      <w:r w:rsidRPr="00816A48">
        <w:rPr>
          <w:rFonts w:ascii="Times New Roman" w:hAnsi="Times New Roman"/>
          <w:lang w:val="lt-LT"/>
        </w:rPr>
        <w:tab/>
        <w:t>Kas yra Osagrand ir kam jis vartojamas</w:t>
      </w:r>
    </w:p>
    <w:p w14:paraId="5738904A" w14:textId="77777777" w:rsidR="007750B7" w:rsidRPr="00816A48" w:rsidRDefault="007750B7" w:rsidP="00720F9C">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2.</w:t>
      </w:r>
      <w:r w:rsidRPr="00816A48">
        <w:rPr>
          <w:rFonts w:ascii="Times New Roman" w:hAnsi="Times New Roman"/>
          <w:lang w:val="lt-LT"/>
        </w:rPr>
        <w:tab/>
        <w:t>Kas žinotina prieš vartojant Osagrand</w:t>
      </w:r>
    </w:p>
    <w:p w14:paraId="30044D9C" w14:textId="77777777" w:rsidR="007750B7" w:rsidRPr="00816A48" w:rsidRDefault="007750B7" w:rsidP="008D33C6">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3.</w:t>
      </w:r>
      <w:r w:rsidRPr="00816A48">
        <w:rPr>
          <w:rFonts w:ascii="Times New Roman" w:hAnsi="Times New Roman"/>
          <w:lang w:val="lt-LT"/>
        </w:rPr>
        <w:tab/>
        <w:t>Kaip vartoti Osagrand</w:t>
      </w:r>
    </w:p>
    <w:p w14:paraId="302234A3" w14:textId="77777777" w:rsidR="007750B7" w:rsidRPr="00816A48" w:rsidRDefault="007750B7" w:rsidP="009B4884">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4.</w:t>
      </w:r>
      <w:r w:rsidRPr="00816A48">
        <w:rPr>
          <w:rFonts w:ascii="Times New Roman" w:hAnsi="Times New Roman"/>
          <w:lang w:val="lt-LT"/>
        </w:rPr>
        <w:tab/>
        <w:t>Galimas šalutinis poveikis</w:t>
      </w:r>
    </w:p>
    <w:p w14:paraId="2B4A1853" w14:textId="77777777" w:rsidR="007750B7" w:rsidRPr="00816A48" w:rsidRDefault="007750B7" w:rsidP="007A65B4">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5.</w:t>
      </w:r>
      <w:r w:rsidRPr="00816A48">
        <w:rPr>
          <w:rFonts w:ascii="Times New Roman" w:hAnsi="Times New Roman"/>
          <w:lang w:val="lt-LT"/>
        </w:rPr>
        <w:tab/>
        <w:t>Kaip laikyti Osagrand</w:t>
      </w:r>
    </w:p>
    <w:p w14:paraId="5493EA17" w14:textId="77777777" w:rsidR="007750B7" w:rsidRPr="00816A48" w:rsidRDefault="007750B7" w:rsidP="00661507">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6.</w:t>
      </w:r>
      <w:r w:rsidRPr="00816A48">
        <w:rPr>
          <w:rFonts w:ascii="Times New Roman" w:hAnsi="Times New Roman"/>
          <w:lang w:val="lt-LT"/>
        </w:rPr>
        <w:tab/>
      </w:r>
      <w:r w:rsidR="007A328D" w:rsidRPr="00816A48">
        <w:rPr>
          <w:rFonts w:ascii="Times New Roman" w:hAnsi="Times New Roman"/>
          <w:lang w:val="lt-LT"/>
        </w:rPr>
        <w:t>Pakuotės turinys ir kita informacija</w:t>
      </w:r>
    </w:p>
    <w:p w14:paraId="49884833" w14:textId="77777777" w:rsidR="007750B7" w:rsidRPr="00816A48" w:rsidRDefault="007750B7" w:rsidP="00604FE8">
      <w:pPr>
        <w:autoSpaceDE w:val="0"/>
        <w:autoSpaceDN w:val="0"/>
        <w:adjustRightInd w:val="0"/>
        <w:spacing w:after="0" w:line="240" w:lineRule="auto"/>
        <w:rPr>
          <w:rFonts w:ascii="Times New Roman" w:hAnsi="Times New Roman"/>
          <w:lang w:val="lt-LT"/>
        </w:rPr>
      </w:pPr>
    </w:p>
    <w:p w14:paraId="0C46B02F" w14:textId="77777777" w:rsidR="007750B7" w:rsidRPr="00816A48" w:rsidRDefault="007750B7" w:rsidP="00242DA5">
      <w:pPr>
        <w:autoSpaceDE w:val="0"/>
        <w:autoSpaceDN w:val="0"/>
        <w:adjustRightInd w:val="0"/>
        <w:spacing w:after="0" w:line="240" w:lineRule="auto"/>
        <w:rPr>
          <w:rFonts w:ascii="Times New Roman" w:hAnsi="Times New Roman"/>
          <w:lang w:val="lt-LT"/>
        </w:rPr>
      </w:pPr>
    </w:p>
    <w:p w14:paraId="0EE1C4E2" w14:textId="77777777" w:rsidR="007750B7" w:rsidRPr="00816A48" w:rsidRDefault="007750B7" w:rsidP="00331125">
      <w:pPr>
        <w:autoSpaceDE w:val="0"/>
        <w:autoSpaceDN w:val="0"/>
        <w:adjustRightInd w:val="0"/>
        <w:spacing w:after="0" w:line="240" w:lineRule="auto"/>
        <w:ind w:left="540" w:hanging="540"/>
        <w:rPr>
          <w:rFonts w:ascii="Times New Roman" w:hAnsi="Times New Roman"/>
          <w:b/>
          <w:bCs/>
          <w:lang w:val="lt-LT"/>
        </w:rPr>
      </w:pPr>
      <w:r w:rsidRPr="00816A48">
        <w:rPr>
          <w:rFonts w:ascii="Times New Roman" w:hAnsi="Times New Roman"/>
          <w:b/>
          <w:bCs/>
          <w:lang w:val="lt-LT"/>
        </w:rPr>
        <w:t>1.</w:t>
      </w:r>
      <w:r w:rsidRPr="00816A48">
        <w:rPr>
          <w:rFonts w:ascii="Times New Roman" w:hAnsi="Times New Roman"/>
          <w:b/>
          <w:bCs/>
          <w:lang w:val="lt-LT"/>
        </w:rPr>
        <w:tab/>
        <w:t>K</w:t>
      </w:r>
      <w:r w:rsidR="007A328D" w:rsidRPr="00816A48">
        <w:rPr>
          <w:rFonts w:ascii="Times New Roman" w:hAnsi="Times New Roman"/>
          <w:b/>
          <w:bCs/>
          <w:lang w:val="lt-LT"/>
        </w:rPr>
        <w:t xml:space="preserve">as yra </w:t>
      </w:r>
      <w:r w:rsidRPr="00816A48">
        <w:rPr>
          <w:rFonts w:ascii="Times New Roman" w:hAnsi="Times New Roman"/>
          <w:b/>
          <w:bCs/>
          <w:lang w:val="lt-LT"/>
        </w:rPr>
        <w:t>O</w:t>
      </w:r>
      <w:r w:rsidR="007A328D" w:rsidRPr="00816A48">
        <w:rPr>
          <w:rFonts w:ascii="Times New Roman" w:hAnsi="Times New Roman"/>
          <w:b/>
          <w:bCs/>
          <w:lang w:val="lt-LT"/>
        </w:rPr>
        <w:t>sagrand ir kam jis vartojamas</w:t>
      </w:r>
    </w:p>
    <w:p w14:paraId="064AC25C" w14:textId="77777777" w:rsidR="007750B7" w:rsidRPr="00816A48" w:rsidRDefault="007750B7" w:rsidP="00DA1B4A">
      <w:pPr>
        <w:autoSpaceDE w:val="0"/>
        <w:autoSpaceDN w:val="0"/>
        <w:adjustRightInd w:val="0"/>
        <w:spacing w:after="0" w:line="240" w:lineRule="auto"/>
        <w:rPr>
          <w:rFonts w:ascii="Times New Roman" w:hAnsi="Times New Roman"/>
          <w:lang w:val="lt-LT"/>
        </w:rPr>
      </w:pPr>
    </w:p>
    <w:p w14:paraId="7D0EF5FF" w14:textId="77777777" w:rsidR="007750B7" w:rsidRPr="00816A48" w:rsidRDefault="007750B7" w:rsidP="00735AD3">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Osagrand priklauso vaistų, vadinamų bisfosfonatais, grupei. Šio vaisto sudėtyje yra </w:t>
      </w:r>
      <w:r w:rsidR="0084657A" w:rsidRPr="00816A48">
        <w:rPr>
          <w:rFonts w:ascii="Times New Roman" w:hAnsi="Times New Roman"/>
          <w:lang w:val="lt-LT"/>
        </w:rPr>
        <w:t xml:space="preserve">veikliosios medžiagos </w:t>
      </w:r>
      <w:r w:rsidRPr="00816A48">
        <w:rPr>
          <w:rFonts w:ascii="Times New Roman" w:hAnsi="Times New Roman"/>
          <w:lang w:val="lt-LT"/>
        </w:rPr>
        <w:t xml:space="preserve">ibandrono rūgšties. </w:t>
      </w:r>
    </w:p>
    <w:p w14:paraId="420028C7" w14:textId="77777777" w:rsidR="007750B7" w:rsidRPr="00816A48" w:rsidRDefault="007750B7" w:rsidP="000F0A27">
      <w:pPr>
        <w:autoSpaceDE w:val="0"/>
        <w:autoSpaceDN w:val="0"/>
        <w:adjustRightInd w:val="0"/>
        <w:spacing w:after="0" w:line="240" w:lineRule="auto"/>
        <w:rPr>
          <w:rFonts w:ascii="Times New Roman" w:hAnsi="Times New Roman"/>
          <w:lang w:val="lt-LT"/>
        </w:rPr>
      </w:pPr>
    </w:p>
    <w:p w14:paraId="1B293EED" w14:textId="77777777" w:rsidR="007750B7" w:rsidRPr="00816A48" w:rsidRDefault="007750B7" w:rsidP="000F0A27">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Osagrand gali sustabdyti kaulų retėjimą, nes stabdo kaulų masės mažėjimą ir didina kaulų masę daugumai šį vaistą vartojančių moterų, net ir toms, kurios nepastebi ar nejaučia skirtumų. Osagrand gali padėti sumažinti kaulų lūžių tikimybę. Įrodyta, kad vaistas sumažina stuburo s</w:t>
      </w:r>
      <w:r w:rsidR="00342403" w:rsidRPr="00816A48">
        <w:rPr>
          <w:rFonts w:ascii="Times New Roman" w:hAnsi="Times New Roman"/>
          <w:lang w:val="lt-LT"/>
        </w:rPr>
        <w:t>lankstelių, bet ne šlaunikaulio</w:t>
      </w:r>
      <w:r w:rsidRPr="00816A48">
        <w:rPr>
          <w:rFonts w:ascii="Times New Roman" w:hAnsi="Times New Roman"/>
          <w:lang w:val="lt-LT"/>
        </w:rPr>
        <w:t xml:space="preserve"> lūžių riziką.</w:t>
      </w:r>
    </w:p>
    <w:p w14:paraId="185FBB67" w14:textId="77777777" w:rsidR="007750B7" w:rsidRPr="00816A48" w:rsidRDefault="007750B7" w:rsidP="000A0BCD">
      <w:pPr>
        <w:autoSpaceDE w:val="0"/>
        <w:autoSpaceDN w:val="0"/>
        <w:adjustRightInd w:val="0"/>
        <w:spacing w:after="0" w:line="240" w:lineRule="auto"/>
        <w:rPr>
          <w:rFonts w:ascii="Times New Roman" w:hAnsi="Times New Roman"/>
          <w:lang w:val="lt-LT"/>
        </w:rPr>
      </w:pPr>
    </w:p>
    <w:p w14:paraId="2BA525D4" w14:textId="77777777" w:rsidR="007750B7" w:rsidRPr="00816A48" w:rsidRDefault="007750B7" w:rsidP="00A761AB">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Osagrand 3 mg injekcinio tirpalo ampulėje yra tirpalo, kurį į veną suleis sveikatos priežiūros specialistas.</w:t>
      </w:r>
      <w:r w:rsidR="000F0A27" w:rsidRPr="00816A48">
        <w:rPr>
          <w:rFonts w:ascii="Times New Roman" w:hAnsi="Times New Roman"/>
          <w:b/>
          <w:bCs/>
          <w:lang w:val="lt-LT"/>
        </w:rPr>
        <w:t xml:space="preserve"> </w:t>
      </w:r>
      <w:r w:rsidRPr="00816A48">
        <w:rPr>
          <w:rFonts w:ascii="Times New Roman" w:hAnsi="Times New Roman"/>
          <w:b/>
          <w:lang w:val="lt-LT"/>
        </w:rPr>
        <w:t>Osagrand negalima leistis savarankiškai</w:t>
      </w:r>
      <w:r w:rsidRPr="00816A48">
        <w:rPr>
          <w:rFonts w:ascii="Times New Roman" w:hAnsi="Times New Roman"/>
          <w:lang w:val="lt-LT"/>
        </w:rPr>
        <w:t>.</w:t>
      </w:r>
    </w:p>
    <w:p w14:paraId="79A8ED76" w14:textId="77777777" w:rsidR="007750B7" w:rsidRPr="00816A48" w:rsidRDefault="007750B7" w:rsidP="00821B28">
      <w:pPr>
        <w:autoSpaceDE w:val="0"/>
        <w:autoSpaceDN w:val="0"/>
        <w:adjustRightInd w:val="0"/>
        <w:spacing w:after="0" w:line="240" w:lineRule="auto"/>
        <w:rPr>
          <w:rFonts w:ascii="Times New Roman" w:hAnsi="Times New Roman"/>
          <w:lang w:val="lt-LT"/>
        </w:rPr>
      </w:pPr>
    </w:p>
    <w:p w14:paraId="60AAB197" w14:textId="77777777" w:rsidR="007750B7" w:rsidRPr="00816A48" w:rsidRDefault="007750B7" w:rsidP="0062444B">
      <w:pPr>
        <w:autoSpaceDE w:val="0"/>
        <w:autoSpaceDN w:val="0"/>
        <w:adjustRightInd w:val="0"/>
        <w:spacing w:after="0" w:line="240" w:lineRule="auto"/>
        <w:rPr>
          <w:rFonts w:ascii="Times New Roman" w:hAnsi="Times New Roman"/>
          <w:lang w:val="lt-LT"/>
        </w:rPr>
      </w:pPr>
      <w:r w:rsidRPr="00816A48">
        <w:rPr>
          <w:rFonts w:ascii="Times New Roman" w:hAnsi="Times New Roman"/>
          <w:b/>
          <w:lang w:val="lt-LT"/>
        </w:rPr>
        <w:t>Osagrand skiriamas osteoporozei po menopauzės gydyti, kai yra padidėjusi kaulų lūžių rizika</w:t>
      </w:r>
      <w:r w:rsidRPr="00816A48">
        <w:rPr>
          <w:rFonts w:ascii="Times New Roman" w:hAnsi="Times New Roman"/>
          <w:lang w:val="lt-LT"/>
        </w:rPr>
        <w:t>. Osteoporozė – tai kaulų išretėjimas ir susilpnėjimas, kuris dažnai pasireiškia moterims po menopauzės. Menopauzė pasireiškia, kai moters kiaušidės nustoja gaminti moteriškąjį lytinį hormoną estrogeną, kuris padeda palaikyti sveikus kaulus.</w:t>
      </w:r>
      <w:r w:rsidR="007A328D" w:rsidRPr="00816A48">
        <w:rPr>
          <w:rFonts w:ascii="Times New Roman" w:hAnsi="Times New Roman"/>
          <w:lang w:val="lt-LT"/>
        </w:rPr>
        <w:t xml:space="preserve"> Kuo anksčiau moteriai pasireiškia menopauzė, tuo didesnė su osteoporoze susijusių kaulų lūžių rizika.</w:t>
      </w:r>
    </w:p>
    <w:p w14:paraId="0F6BD316" w14:textId="77777777" w:rsidR="007750B7" w:rsidRPr="00816A48" w:rsidRDefault="007750B7" w:rsidP="00947F45">
      <w:pPr>
        <w:autoSpaceDE w:val="0"/>
        <w:autoSpaceDN w:val="0"/>
        <w:adjustRightInd w:val="0"/>
        <w:spacing w:after="0" w:line="240" w:lineRule="auto"/>
        <w:rPr>
          <w:rFonts w:ascii="Times New Roman" w:hAnsi="Times New Roman"/>
          <w:lang w:val="lt-LT"/>
        </w:rPr>
      </w:pPr>
    </w:p>
    <w:p w14:paraId="368DB5AE" w14:textId="77777777" w:rsidR="007750B7" w:rsidRPr="00816A48" w:rsidRDefault="007750B7"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Kiti kaulų lūžių riziką didinantys veiksniai yra šie:</w:t>
      </w:r>
    </w:p>
    <w:p w14:paraId="757FA102" w14:textId="0D1129E2" w:rsidR="007750B7" w:rsidRPr="00816A48" w:rsidRDefault="007750B7" w:rsidP="003D3259">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nepakankamas kalcio ir vitamino</w:t>
      </w:r>
      <w:r w:rsidR="00171B01">
        <w:rPr>
          <w:rFonts w:ascii="Times New Roman" w:hAnsi="Times New Roman"/>
          <w:lang w:val="lt-LT"/>
        </w:rPr>
        <w:t> </w:t>
      </w:r>
      <w:r w:rsidRPr="00816A48">
        <w:rPr>
          <w:rFonts w:ascii="Times New Roman" w:hAnsi="Times New Roman"/>
          <w:lang w:val="lt-LT"/>
        </w:rPr>
        <w:t>D kiekis maiste;</w:t>
      </w:r>
    </w:p>
    <w:p w14:paraId="3C50D0E6" w14:textId="77777777" w:rsidR="007750B7" w:rsidRPr="00816A48" w:rsidRDefault="007750B7" w:rsidP="003D3259">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rūkymas arba per gausus alkoholio vartojimas;</w:t>
      </w:r>
    </w:p>
    <w:p w14:paraId="036AD51C" w14:textId="77777777" w:rsidR="007750B7" w:rsidRPr="00816A48" w:rsidRDefault="007750B7" w:rsidP="003D3259">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nepakankamas vaikščiojimas arba daroma per mažai kitų kūno masę reguliuojančių pratimų;</w:t>
      </w:r>
    </w:p>
    <w:p w14:paraId="347E4693" w14:textId="77777777" w:rsidR="007750B7" w:rsidRPr="00816A48" w:rsidRDefault="007750B7" w:rsidP="003D3259">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kraujo giminaičiams buvusi osteoporozė.</w:t>
      </w:r>
    </w:p>
    <w:p w14:paraId="6B66401B"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4CB62952" w14:textId="77777777" w:rsidR="000F0A27" w:rsidRPr="00816A48" w:rsidRDefault="007750B7"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b/>
          <w:lang w:val="lt-LT"/>
        </w:rPr>
        <w:t>Sveikas gyvenimo būdas</w:t>
      </w:r>
      <w:r w:rsidRPr="00816A48">
        <w:rPr>
          <w:rFonts w:ascii="Times New Roman" w:hAnsi="Times New Roman"/>
          <w:lang w:val="lt-LT"/>
        </w:rPr>
        <w:t xml:space="preserve"> irgi padės gauti daugiau naudos iš gydymo. Tai yra</w:t>
      </w:r>
      <w:r w:rsidR="000F0A27" w:rsidRPr="00816A48">
        <w:rPr>
          <w:rFonts w:ascii="Times New Roman" w:hAnsi="Times New Roman"/>
          <w:lang w:val="lt-LT"/>
        </w:rPr>
        <w:t>:</w:t>
      </w:r>
      <w:r w:rsidRPr="00816A48">
        <w:rPr>
          <w:rFonts w:ascii="Times New Roman" w:hAnsi="Times New Roman"/>
          <w:lang w:val="lt-LT"/>
        </w:rPr>
        <w:t xml:space="preserve"> </w:t>
      </w:r>
    </w:p>
    <w:p w14:paraId="035BFCA5" w14:textId="66806963" w:rsidR="000F0A27" w:rsidRPr="00816A48" w:rsidRDefault="007750B7" w:rsidP="00CD0447">
      <w:pPr>
        <w:numPr>
          <w:ilvl w:val="0"/>
          <w:numId w:val="42"/>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subalansuota mityba (daug kalcio ir vitamino</w:t>
      </w:r>
      <w:r w:rsidR="00171B01">
        <w:rPr>
          <w:rFonts w:ascii="Times New Roman" w:hAnsi="Times New Roman"/>
          <w:lang w:val="lt-LT"/>
        </w:rPr>
        <w:t> </w:t>
      </w:r>
      <w:r w:rsidRPr="00816A48">
        <w:rPr>
          <w:rFonts w:ascii="Times New Roman" w:hAnsi="Times New Roman"/>
          <w:lang w:val="lt-LT"/>
        </w:rPr>
        <w:t>D turintis maistas)</w:t>
      </w:r>
      <w:r w:rsidR="000F0A27" w:rsidRPr="00816A48">
        <w:rPr>
          <w:rFonts w:ascii="Times New Roman" w:hAnsi="Times New Roman"/>
          <w:lang w:val="lt-LT"/>
        </w:rPr>
        <w:t>;</w:t>
      </w:r>
      <w:r w:rsidRPr="00816A48">
        <w:rPr>
          <w:rFonts w:ascii="Times New Roman" w:hAnsi="Times New Roman"/>
          <w:lang w:val="lt-LT"/>
        </w:rPr>
        <w:t xml:space="preserve"> </w:t>
      </w:r>
    </w:p>
    <w:p w14:paraId="7AF7EED9" w14:textId="77777777" w:rsidR="000F0A27" w:rsidRPr="00816A48" w:rsidRDefault="007750B7" w:rsidP="00CD0447">
      <w:pPr>
        <w:numPr>
          <w:ilvl w:val="0"/>
          <w:numId w:val="42"/>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vaikščiojimas arba kitokia kūno masę reguliuojanti mankšta</w:t>
      </w:r>
      <w:r w:rsidR="000F0A27" w:rsidRPr="00816A48">
        <w:rPr>
          <w:rFonts w:ascii="Times New Roman" w:hAnsi="Times New Roman"/>
          <w:lang w:val="lt-LT"/>
        </w:rPr>
        <w:t>;</w:t>
      </w:r>
      <w:r w:rsidRPr="00816A48">
        <w:rPr>
          <w:rFonts w:ascii="Times New Roman" w:hAnsi="Times New Roman"/>
          <w:lang w:val="lt-LT"/>
        </w:rPr>
        <w:t xml:space="preserve"> </w:t>
      </w:r>
    </w:p>
    <w:p w14:paraId="149301C8" w14:textId="77777777" w:rsidR="007750B7" w:rsidRPr="00816A48" w:rsidRDefault="007750B7" w:rsidP="00CD0447">
      <w:pPr>
        <w:numPr>
          <w:ilvl w:val="0"/>
          <w:numId w:val="42"/>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nerūkymas ir didelių alkoholio kiekių nevartojimas.</w:t>
      </w:r>
    </w:p>
    <w:p w14:paraId="66B80E60" w14:textId="77777777" w:rsidR="007750B7" w:rsidRPr="00816A48" w:rsidRDefault="007750B7" w:rsidP="000F0A27">
      <w:pPr>
        <w:autoSpaceDE w:val="0"/>
        <w:autoSpaceDN w:val="0"/>
        <w:adjustRightInd w:val="0"/>
        <w:spacing w:after="0" w:line="240" w:lineRule="auto"/>
        <w:rPr>
          <w:rFonts w:ascii="Times New Roman" w:hAnsi="Times New Roman"/>
          <w:lang w:val="lt-LT"/>
        </w:rPr>
      </w:pPr>
    </w:p>
    <w:p w14:paraId="3E0C65F9" w14:textId="77777777" w:rsidR="007750B7" w:rsidRPr="00816A48" w:rsidRDefault="007750B7" w:rsidP="000A0BCD">
      <w:pPr>
        <w:autoSpaceDE w:val="0"/>
        <w:autoSpaceDN w:val="0"/>
        <w:adjustRightInd w:val="0"/>
        <w:spacing w:after="0" w:line="240" w:lineRule="auto"/>
        <w:rPr>
          <w:rFonts w:ascii="Times New Roman" w:hAnsi="Times New Roman"/>
          <w:lang w:val="lt-LT"/>
        </w:rPr>
      </w:pPr>
    </w:p>
    <w:p w14:paraId="7CB0C6EA" w14:textId="77777777" w:rsidR="007750B7" w:rsidRPr="00816A48" w:rsidRDefault="007750B7" w:rsidP="00A761AB">
      <w:pPr>
        <w:autoSpaceDE w:val="0"/>
        <w:autoSpaceDN w:val="0"/>
        <w:adjustRightInd w:val="0"/>
        <w:spacing w:after="0" w:line="240" w:lineRule="auto"/>
        <w:ind w:left="540" w:hanging="540"/>
        <w:rPr>
          <w:rFonts w:ascii="Times New Roman" w:hAnsi="Times New Roman"/>
          <w:b/>
          <w:bCs/>
          <w:lang w:val="lt-LT"/>
        </w:rPr>
      </w:pPr>
      <w:r w:rsidRPr="00816A48">
        <w:rPr>
          <w:rFonts w:ascii="Times New Roman" w:hAnsi="Times New Roman"/>
          <w:b/>
          <w:bCs/>
          <w:lang w:val="lt-LT"/>
        </w:rPr>
        <w:t>2.</w:t>
      </w:r>
      <w:r w:rsidRPr="00816A48">
        <w:rPr>
          <w:rFonts w:ascii="Times New Roman" w:hAnsi="Times New Roman"/>
          <w:b/>
          <w:bCs/>
          <w:lang w:val="lt-LT"/>
        </w:rPr>
        <w:tab/>
        <w:t>K</w:t>
      </w:r>
      <w:r w:rsidR="00006A13" w:rsidRPr="00816A48">
        <w:rPr>
          <w:rFonts w:ascii="Times New Roman" w:hAnsi="Times New Roman"/>
          <w:b/>
          <w:bCs/>
          <w:lang w:val="lt-LT"/>
        </w:rPr>
        <w:t>as žinotina prieš vartojant Osagrand</w:t>
      </w:r>
    </w:p>
    <w:p w14:paraId="24CBE776" w14:textId="77777777" w:rsidR="007750B7" w:rsidRPr="00816A48" w:rsidRDefault="007750B7" w:rsidP="00A761AB">
      <w:pPr>
        <w:autoSpaceDE w:val="0"/>
        <w:autoSpaceDN w:val="0"/>
        <w:adjustRightInd w:val="0"/>
        <w:spacing w:after="0" w:line="240" w:lineRule="auto"/>
        <w:rPr>
          <w:rFonts w:ascii="Times New Roman" w:hAnsi="Times New Roman"/>
          <w:lang w:val="lt-LT"/>
        </w:rPr>
      </w:pPr>
    </w:p>
    <w:p w14:paraId="3D7B5570" w14:textId="446418D1" w:rsidR="007750B7" w:rsidRPr="00816A48" w:rsidRDefault="007750B7" w:rsidP="00A761AB">
      <w:pPr>
        <w:autoSpaceDE w:val="0"/>
        <w:autoSpaceDN w:val="0"/>
        <w:adjustRightInd w:val="0"/>
        <w:spacing w:after="0" w:line="240" w:lineRule="auto"/>
        <w:rPr>
          <w:rFonts w:ascii="Times New Roman" w:hAnsi="Times New Roman"/>
          <w:b/>
          <w:lang w:val="lt-LT"/>
        </w:rPr>
      </w:pPr>
      <w:r w:rsidRPr="00816A48">
        <w:rPr>
          <w:rFonts w:ascii="Times New Roman" w:hAnsi="Times New Roman"/>
          <w:b/>
          <w:lang w:val="lt-LT"/>
        </w:rPr>
        <w:t xml:space="preserve">Osagrand vartoti </w:t>
      </w:r>
      <w:r w:rsidR="00AC02F2">
        <w:rPr>
          <w:rFonts w:ascii="Times New Roman" w:hAnsi="Times New Roman"/>
          <w:b/>
          <w:lang w:val="lt-LT"/>
        </w:rPr>
        <w:t>draudžiama</w:t>
      </w:r>
      <w:r w:rsidRPr="00816A48">
        <w:rPr>
          <w:rFonts w:ascii="Times New Roman" w:hAnsi="Times New Roman"/>
          <w:b/>
          <w:lang w:val="lt-LT"/>
        </w:rPr>
        <w:t>:</w:t>
      </w:r>
    </w:p>
    <w:p w14:paraId="3F896CAC" w14:textId="77777777" w:rsidR="007750B7" w:rsidRPr="00816A48" w:rsidRDefault="007750B7" w:rsidP="0062444B">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r>
      <w:r w:rsidRPr="00816A48">
        <w:rPr>
          <w:rFonts w:ascii="Times New Roman" w:hAnsi="Times New Roman"/>
          <w:b/>
          <w:lang w:val="lt-LT"/>
        </w:rPr>
        <w:t>jeigu kraujyje yra arba anksčiau buvo maža kalcio koncentracija</w:t>
      </w:r>
      <w:r w:rsidRPr="00816A48">
        <w:rPr>
          <w:rFonts w:ascii="Times New Roman" w:hAnsi="Times New Roman"/>
          <w:lang w:val="lt-LT"/>
        </w:rPr>
        <w:t>. Turite pasitarti su savo gydytoju;</w:t>
      </w:r>
    </w:p>
    <w:p w14:paraId="161AEB29" w14:textId="77777777" w:rsidR="007750B7" w:rsidRPr="00816A48" w:rsidRDefault="007750B7" w:rsidP="00947F45">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lastRenderedPageBreak/>
        <w:t>-</w:t>
      </w:r>
      <w:r w:rsidRPr="00816A48">
        <w:rPr>
          <w:rFonts w:ascii="Times New Roman" w:hAnsi="Times New Roman"/>
          <w:lang w:val="lt-LT"/>
        </w:rPr>
        <w:tab/>
        <w:t xml:space="preserve">jeigu yra alergija ibandrono rūgščiai arba bet kuriai pagalbinei </w:t>
      </w:r>
      <w:r w:rsidR="0019644F" w:rsidRPr="00816A48">
        <w:rPr>
          <w:rFonts w:ascii="Times New Roman" w:hAnsi="Times New Roman"/>
          <w:lang w:val="lt-LT"/>
        </w:rPr>
        <w:t xml:space="preserve">šio vaisto </w:t>
      </w:r>
      <w:r w:rsidRPr="00816A48">
        <w:rPr>
          <w:rFonts w:ascii="Times New Roman" w:hAnsi="Times New Roman"/>
          <w:lang w:val="lt-LT"/>
        </w:rPr>
        <w:t>medžiagai</w:t>
      </w:r>
      <w:r w:rsidR="007A328D" w:rsidRPr="00816A48">
        <w:rPr>
          <w:rFonts w:ascii="Times New Roman" w:hAnsi="Times New Roman"/>
          <w:lang w:val="lt-LT"/>
        </w:rPr>
        <w:t xml:space="preserve"> (jos išvardytos 6 skyriuje)</w:t>
      </w:r>
      <w:r w:rsidRPr="00816A48">
        <w:rPr>
          <w:rFonts w:ascii="Times New Roman" w:hAnsi="Times New Roman"/>
          <w:lang w:val="lt-LT"/>
        </w:rPr>
        <w:t>.</w:t>
      </w:r>
    </w:p>
    <w:p w14:paraId="21BC5438" w14:textId="77777777" w:rsidR="007750B7" w:rsidRPr="00816A48" w:rsidRDefault="007750B7" w:rsidP="003D3259">
      <w:pPr>
        <w:autoSpaceDE w:val="0"/>
        <w:autoSpaceDN w:val="0"/>
        <w:adjustRightInd w:val="0"/>
        <w:spacing w:after="0" w:line="240" w:lineRule="auto"/>
        <w:ind w:left="540" w:hanging="540"/>
        <w:rPr>
          <w:rFonts w:ascii="Times New Roman" w:hAnsi="Times New Roman"/>
          <w:lang w:val="lt-LT"/>
        </w:rPr>
      </w:pPr>
    </w:p>
    <w:p w14:paraId="50F7B764" w14:textId="77777777" w:rsidR="007750B7" w:rsidRPr="00816A48" w:rsidRDefault="00B36CB2" w:rsidP="003D3259">
      <w:pPr>
        <w:autoSpaceDE w:val="0"/>
        <w:autoSpaceDN w:val="0"/>
        <w:adjustRightInd w:val="0"/>
        <w:spacing w:after="0" w:line="240" w:lineRule="auto"/>
        <w:rPr>
          <w:rFonts w:ascii="Times New Roman" w:hAnsi="Times New Roman"/>
          <w:b/>
          <w:lang w:val="lt-LT"/>
        </w:rPr>
      </w:pPr>
      <w:r w:rsidRPr="00816A48">
        <w:rPr>
          <w:rFonts w:ascii="Times New Roman" w:hAnsi="Times New Roman"/>
          <w:b/>
          <w:bCs/>
          <w:lang w:val="lt-LT"/>
        </w:rPr>
        <w:t>Įspėjimai ir</w:t>
      </w:r>
      <w:r w:rsidRPr="00816A48">
        <w:rPr>
          <w:rFonts w:ascii="Times New Roman" w:hAnsi="Times New Roman"/>
          <w:b/>
          <w:lang w:val="lt-LT"/>
        </w:rPr>
        <w:t xml:space="preserve"> atsargumo </w:t>
      </w:r>
      <w:r w:rsidRPr="00816A48">
        <w:rPr>
          <w:rFonts w:ascii="Times New Roman" w:hAnsi="Times New Roman"/>
          <w:b/>
          <w:bCs/>
          <w:lang w:val="lt-LT"/>
        </w:rPr>
        <w:t>priemonės</w:t>
      </w:r>
    </w:p>
    <w:p w14:paraId="4A43695E" w14:textId="77777777" w:rsidR="00AE3A01" w:rsidRPr="00816A48" w:rsidRDefault="006A5F5F" w:rsidP="00AE3A0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Vaistui patekus į rinką gauta labai retų pranešimų apie Osagrand </w:t>
      </w:r>
      <w:r w:rsidR="00AE3A01" w:rsidRPr="00816A48">
        <w:rPr>
          <w:rFonts w:ascii="Times New Roman" w:hAnsi="Times New Roman"/>
          <w:lang w:val="lt-LT"/>
        </w:rPr>
        <w:t xml:space="preserve">nuo osteoporozės vartojantiems pacientams </w:t>
      </w:r>
      <w:r w:rsidRPr="00816A48">
        <w:rPr>
          <w:rFonts w:ascii="Times New Roman" w:hAnsi="Times New Roman"/>
          <w:lang w:val="lt-LT"/>
        </w:rPr>
        <w:t>pasireiškusį šalutinį poveikį</w:t>
      </w:r>
      <w:r w:rsidR="00AE3A01" w:rsidRPr="00816A48">
        <w:rPr>
          <w:rFonts w:ascii="Times New Roman" w:hAnsi="Times New Roman"/>
          <w:lang w:val="lt-LT"/>
        </w:rPr>
        <w:t xml:space="preserve">, </w:t>
      </w:r>
      <w:r w:rsidRPr="00816A48">
        <w:rPr>
          <w:rFonts w:ascii="Times New Roman" w:hAnsi="Times New Roman"/>
          <w:lang w:val="lt-LT"/>
        </w:rPr>
        <w:t>vadinamą</w:t>
      </w:r>
      <w:r w:rsidR="00AE3A01" w:rsidRPr="00816A48">
        <w:rPr>
          <w:rFonts w:ascii="Times New Roman" w:hAnsi="Times New Roman"/>
          <w:lang w:val="lt-LT"/>
        </w:rPr>
        <w:t xml:space="preserve"> žandikaulio osteonekroze (ŽON) (</w:t>
      </w:r>
      <w:r w:rsidRPr="00816A48">
        <w:rPr>
          <w:rFonts w:ascii="Times New Roman" w:hAnsi="Times New Roman"/>
          <w:lang w:val="lt-LT"/>
        </w:rPr>
        <w:t xml:space="preserve">kaulo pažaida žandikaulyje). </w:t>
      </w:r>
      <w:r w:rsidR="00AE3A01" w:rsidRPr="00816A48">
        <w:rPr>
          <w:rFonts w:ascii="Times New Roman" w:hAnsi="Times New Roman"/>
          <w:lang w:val="lt-LT"/>
        </w:rPr>
        <w:t>ŽON taip pat gali pasireikšti po gydymo nutraukimo.</w:t>
      </w:r>
    </w:p>
    <w:p w14:paraId="172E2686" w14:textId="77777777" w:rsidR="00AE3A01" w:rsidRPr="00816A48" w:rsidRDefault="00AE3A01" w:rsidP="00AE3A01">
      <w:pPr>
        <w:autoSpaceDE w:val="0"/>
        <w:autoSpaceDN w:val="0"/>
        <w:adjustRightInd w:val="0"/>
        <w:spacing w:after="0" w:line="240" w:lineRule="auto"/>
        <w:rPr>
          <w:rFonts w:ascii="Times New Roman" w:hAnsi="Times New Roman"/>
          <w:lang w:val="lt-LT"/>
        </w:rPr>
      </w:pPr>
    </w:p>
    <w:p w14:paraId="6088A151" w14:textId="77777777" w:rsidR="00AE3A01" w:rsidRPr="00816A48" w:rsidRDefault="00AE3A01" w:rsidP="00AE3A0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Svarbu stengtis išvengti ŽON atsiradimo, nes tai yra skausminga būklė, kurią gali būti sunku gydyti. Norint sumažinti žandikaulio osteonekrozės atsiradimo pavojų, yra keletas atsargumo priemonių, kurių Jums reikia imtis.</w:t>
      </w:r>
    </w:p>
    <w:p w14:paraId="74A19AEE" w14:textId="362DD560" w:rsidR="00AE3A01" w:rsidRDefault="00AE3A01" w:rsidP="00AE3A01">
      <w:pPr>
        <w:autoSpaceDE w:val="0"/>
        <w:autoSpaceDN w:val="0"/>
        <w:adjustRightInd w:val="0"/>
        <w:spacing w:after="0" w:line="240" w:lineRule="auto"/>
        <w:rPr>
          <w:rFonts w:ascii="Times New Roman" w:hAnsi="Times New Roman"/>
          <w:lang w:val="lt-LT"/>
        </w:rPr>
      </w:pPr>
    </w:p>
    <w:p w14:paraId="175F897C" w14:textId="2A9262E2" w:rsidR="008A082A" w:rsidRDefault="008A082A" w:rsidP="00AE3A01">
      <w:pPr>
        <w:autoSpaceDE w:val="0"/>
        <w:autoSpaceDN w:val="0"/>
        <w:adjustRightInd w:val="0"/>
        <w:spacing w:after="0" w:line="240" w:lineRule="auto"/>
        <w:rPr>
          <w:rFonts w:ascii="Times New Roman" w:hAnsi="Times New Roman"/>
          <w:lang w:val="lt-LT"/>
        </w:rPr>
      </w:pPr>
      <w:r w:rsidRPr="008A082A">
        <w:rPr>
          <w:rFonts w:ascii="Times New Roman" w:hAnsi="Times New Roman"/>
          <w:lang w:val="lt-LT"/>
        </w:rPr>
        <w:t>Ilgai ibandronatu gydomiems pacientams taip pat buvo pastebėta netipinių ilgųjų kaulų, pavyzdžiui,</w:t>
      </w:r>
      <w:r>
        <w:rPr>
          <w:rFonts w:ascii="Times New Roman" w:hAnsi="Times New Roman"/>
          <w:lang w:val="lt-LT"/>
        </w:rPr>
        <w:t xml:space="preserve"> </w:t>
      </w:r>
      <w:r w:rsidRPr="008A082A">
        <w:rPr>
          <w:rFonts w:ascii="Times New Roman" w:hAnsi="Times New Roman"/>
          <w:lang w:val="lt-LT"/>
        </w:rPr>
        <w:t>alkūnkaulio ir blauzdikaulio, lūžių. Šie lūžiai įvyksta po mažos traumos arba ne dėl jos, o kai kurie</w:t>
      </w:r>
      <w:r>
        <w:rPr>
          <w:rFonts w:ascii="Times New Roman" w:hAnsi="Times New Roman"/>
          <w:lang w:val="lt-LT"/>
        </w:rPr>
        <w:t xml:space="preserve"> </w:t>
      </w:r>
      <w:r w:rsidRPr="008A082A">
        <w:rPr>
          <w:rFonts w:ascii="Times New Roman" w:hAnsi="Times New Roman"/>
          <w:lang w:val="lt-LT"/>
        </w:rPr>
        <w:t>pacientai jaučia skausmą lūžio vietoje prieš įvykstant pilnam lūžiui.</w:t>
      </w:r>
    </w:p>
    <w:p w14:paraId="4CE84461" w14:textId="77777777" w:rsidR="008A082A" w:rsidRPr="00816A48" w:rsidRDefault="008A082A" w:rsidP="00AE3A01">
      <w:pPr>
        <w:autoSpaceDE w:val="0"/>
        <w:autoSpaceDN w:val="0"/>
        <w:adjustRightInd w:val="0"/>
        <w:spacing w:after="0" w:line="240" w:lineRule="auto"/>
        <w:rPr>
          <w:rFonts w:ascii="Times New Roman" w:hAnsi="Times New Roman"/>
          <w:lang w:val="lt-LT"/>
        </w:rPr>
      </w:pPr>
    </w:p>
    <w:p w14:paraId="76C19BFC" w14:textId="77777777" w:rsidR="00AE3A01" w:rsidRPr="00816A48" w:rsidRDefault="00AE3A01" w:rsidP="00AE3A0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Prieš pradėdami gydytis pasakykite gydytojui ar slaugytojui (sveikatos priežiūros specialistui), jeigu:</w:t>
      </w:r>
    </w:p>
    <w:p w14:paraId="7C8A18BD" w14:textId="77777777" w:rsidR="00AE3A01" w:rsidRPr="00B27D19" w:rsidRDefault="00AE3A01" w:rsidP="006A5F5F">
      <w:pPr>
        <w:pStyle w:val="Sraopastraipa"/>
        <w:numPr>
          <w:ilvl w:val="0"/>
          <w:numId w:val="51"/>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 xml:space="preserve">turite kokių nors burnos </w:t>
      </w:r>
      <w:r w:rsidR="006A5F5F" w:rsidRPr="00816A48">
        <w:rPr>
          <w:rFonts w:ascii="Times New Roman" w:hAnsi="Times New Roman"/>
          <w:lang w:val="lt-LT"/>
        </w:rPr>
        <w:t xml:space="preserve">ertmės </w:t>
      </w:r>
      <w:r w:rsidRPr="00816A48">
        <w:rPr>
          <w:rFonts w:ascii="Times New Roman" w:hAnsi="Times New Roman"/>
          <w:lang w:val="lt-LT"/>
        </w:rPr>
        <w:t>ar dantų problemų, tokių kaip prasta dantų būklė, dantenų liga ar</w:t>
      </w:r>
      <w:r w:rsidR="006A5F5F" w:rsidRPr="00816A48">
        <w:rPr>
          <w:rFonts w:ascii="Times New Roman" w:hAnsi="Times New Roman"/>
          <w:lang w:val="lt-LT"/>
        </w:rPr>
        <w:t xml:space="preserve"> </w:t>
      </w:r>
      <w:r w:rsidRPr="00B27D19">
        <w:rPr>
          <w:rFonts w:ascii="Times New Roman" w:hAnsi="Times New Roman"/>
          <w:lang w:val="lt-LT"/>
        </w:rPr>
        <w:t>planuojamas danties ištraukimas;</w:t>
      </w:r>
    </w:p>
    <w:p w14:paraId="58E41726" w14:textId="77777777" w:rsidR="00AE3A01" w:rsidRPr="00816A48" w:rsidRDefault="006A5F5F" w:rsidP="00CE74AB">
      <w:pPr>
        <w:pStyle w:val="Sraopastraipa"/>
        <w:numPr>
          <w:ilvl w:val="0"/>
          <w:numId w:val="51"/>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ne kiekvieną dieną valote dantis</w:t>
      </w:r>
      <w:r w:rsidR="00AE3A01" w:rsidRPr="00816A48">
        <w:rPr>
          <w:rFonts w:ascii="Times New Roman" w:hAnsi="Times New Roman"/>
          <w:lang w:val="lt-LT"/>
        </w:rPr>
        <w:t xml:space="preserve"> arba </w:t>
      </w:r>
      <w:r w:rsidRPr="00816A48">
        <w:rPr>
          <w:rFonts w:ascii="Times New Roman" w:hAnsi="Times New Roman"/>
          <w:lang w:val="lt-LT"/>
        </w:rPr>
        <w:t>ilgą laiką netikrinote dantų būklės</w:t>
      </w:r>
      <w:r w:rsidR="00AE3A01" w:rsidRPr="00816A48">
        <w:rPr>
          <w:rFonts w:ascii="Times New Roman" w:hAnsi="Times New Roman"/>
          <w:lang w:val="lt-LT"/>
        </w:rPr>
        <w:t>;</w:t>
      </w:r>
    </w:p>
    <w:p w14:paraId="4158FCD3" w14:textId="77777777" w:rsidR="00AE3A01" w:rsidRPr="00816A48" w:rsidRDefault="00AE3A01" w:rsidP="00CE74AB">
      <w:pPr>
        <w:pStyle w:val="Sraopastraipa"/>
        <w:numPr>
          <w:ilvl w:val="0"/>
          <w:numId w:val="51"/>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esate rūkalius (rū</w:t>
      </w:r>
      <w:r w:rsidR="006A5F5F" w:rsidRPr="00816A48">
        <w:rPr>
          <w:rFonts w:ascii="Times New Roman" w:hAnsi="Times New Roman"/>
          <w:lang w:val="lt-LT"/>
        </w:rPr>
        <w:t xml:space="preserve">kymas gali padidinti dantų ligų </w:t>
      </w:r>
      <w:r w:rsidRPr="00816A48">
        <w:rPr>
          <w:rFonts w:ascii="Times New Roman" w:hAnsi="Times New Roman"/>
          <w:lang w:val="lt-LT"/>
        </w:rPr>
        <w:t>pavojų);</w:t>
      </w:r>
    </w:p>
    <w:p w14:paraId="0DE7F356" w14:textId="77777777" w:rsidR="00AE3A01" w:rsidRPr="00816A48" w:rsidRDefault="00AE3A01" w:rsidP="00CE74AB">
      <w:pPr>
        <w:pStyle w:val="Sraopastraipa"/>
        <w:numPr>
          <w:ilvl w:val="0"/>
          <w:numId w:val="51"/>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anksčiau buvote gydomas bisfosfonatais (jie vartojami gydyti arba užkirsti kelią kaulų ligoms);</w:t>
      </w:r>
    </w:p>
    <w:p w14:paraId="166EE510" w14:textId="77777777" w:rsidR="00AE3A01" w:rsidRPr="00816A48" w:rsidRDefault="00AE3A01" w:rsidP="00CE74AB">
      <w:pPr>
        <w:pStyle w:val="Sraopastraipa"/>
        <w:numPr>
          <w:ilvl w:val="0"/>
          <w:numId w:val="51"/>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vartojate vaistus, vadinamus kortikosteroidais (pavyzdžiui, prednizolono arba deksametazono);</w:t>
      </w:r>
    </w:p>
    <w:p w14:paraId="375660D8" w14:textId="77777777" w:rsidR="00AE3A01" w:rsidRPr="00816A48" w:rsidRDefault="00AE3A01" w:rsidP="00CE74AB">
      <w:pPr>
        <w:pStyle w:val="Sraopastraipa"/>
        <w:numPr>
          <w:ilvl w:val="0"/>
          <w:numId w:val="51"/>
        </w:numPr>
        <w:autoSpaceDE w:val="0"/>
        <w:autoSpaceDN w:val="0"/>
        <w:adjustRightInd w:val="0"/>
        <w:spacing w:after="0" w:line="240" w:lineRule="auto"/>
        <w:ind w:left="567" w:hanging="567"/>
        <w:rPr>
          <w:rFonts w:ascii="Times New Roman" w:hAnsi="Times New Roman"/>
          <w:lang w:val="lt-LT"/>
        </w:rPr>
      </w:pPr>
      <w:r w:rsidRPr="00816A48">
        <w:rPr>
          <w:rFonts w:ascii="Times New Roman" w:hAnsi="Times New Roman"/>
          <w:lang w:val="lt-LT"/>
        </w:rPr>
        <w:t>sergate vėžiu.</w:t>
      </w:r>
    </w:p>
    <w:p w14:paraId="07CE03A2" w14:textId="77777777" w:rsidR="00AE3A01" w:rsidRPr="00816A48" w:rsidRDefault="00AE3A01" w:rsidP="00AE3A01">
      <w:pPr>
        <w:autoSpaceDE w:val="0"/>
        <w:autoSpaceDN w:val="0"/>
        <w:adjustRightInd w:val="0"/>
        <w:spacing w:after="0" w:line="240" w:lineRule="auto"/>
        <w:rPr>
          <w:rFonts w:ascii="Times New Roman" w:hAnsi="Times New Roman"/>
          <w:lang w:val="lt-LT"/>
        </w:rPr>
      </w:pPr>
    </w:p>
    <w:p w14:paraId="056E0412" w14:textId="77777777" w:rsidR="00AE3A01" w:rsidRPr="00816A48" w:rsidRDefault="00AE3A01" w:rsidP="00AE3A0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Prieš paskirdamas gydymą Osagrand gydytojas gali Jūsų paprašyti pasitikrinti dantis.</w:t>
      </w:r>
    </w:p>
    <w:p w14:paraId="689ECC13" w14:textId="77777777" w:rsidR="00AE3A01" w:rsidRPr="00816A48" w:rsidRDefault="00AE3A01" w:rsidP="00AE3A01">
      <w:pPr>
        <w:autoSpaceDE w:val="0"/>
        <w:autoSpaceDN w:val="0"/>
        <w:adjustRightInd w:val="0"/>
        <w:spacing w:after="0" w:line="240" w:lineRule="auto"/>
        <w:rPr>
          <w:rFonts w:ascii="Times New Roman" w:hAnsi="Times New Roman"/>
          <w:lang w:val="lt-LT"/>
        </w:rPr>
      </w:pPr>
    </w:p>
    <w:p w14:paraId="2F07F52E" w14:textId="77777777" w:rsidR="00AE3A01" w:rsidRPr="00816A48" w:rsidRDefault="00AE3A01" w:rsidP="00AE3A01">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Gydymo metu Jūs turite palaikyti gerą burnos higieną (įskaitant ir reguliarų dantų valymą) ir reguliariai tikrintis dantis. Jeigu naudojate dantų protezus, Jūs turite juos tinkamai pritaikyti. Jeigu gydotės dantis a</w:t>
      </w:r>
      <w:r w:rsidR="000F7545">
        <w:rPr>
          <w:rFonts w:ascii="Times New Roman" w:hAnsi="Times New Roman"/>
          <w:lang w:val="lt-LT"/>
        </w:rPr>
        <w:t>rba ruošiatės</w:t>
      </w:r>
      <w:r w:rsidRPr="00816A48">
        <w:rPr>
          <w:rFonts w:ascii="Times New Roman" w:hAnsi="Times New Roman"/>
          <w:lang w:val="lt-LT"/>
        </w:rPr>
        <w:t xml:space="preserve"> odontologinei operacijai (pvz., dantų traukimui), apie tai praneškite savo gydytojui ir pasakykite odontologui, kad esate gydomi Osagrand.</w:t>
      </w:r>
    </w:p>
    <w:p w14:paraId="5F55BE59" w14:textId="77777777" w:rsidR="00AE3A01" w:rsidRPr="00816A48" w:rsidRDefault="00AE3A01" w:rsidP="00AE3A01">
      <w:pPr>
        <w:autoSpaceDE w:val="0"/>
        <w:autoSpaceDN w:val="0"/>
        <w:adjustRightInd w:val="0"/>
        <w:spacing w:after="0" w:line="240" w:lineRule="auto"/>
        <w:rPr>
          <w:rFonts w:ascii="Times New Roman" w:hAnsi="Times New Roman"/>
          <w:lang w:val="lt-LT"/>
        </w:rPr>
      </w:pPr>
    </w:p>
    <w:p w14:paraId="777457F6" w14:textId="77777777" w:rsidR="00AE3A01" w:rsidRPr="00816A48" w:rsidRDefault="000F7545" w:rsidP="00AE3A01">
      <w:pPr>
        <w:autoSpaceDE w:val="0"/>
        <w:autoSpaceDN w:val="0"/>
        <w:adjustRightInd w:val="0"/>
        <w:spacing w:after="0" w:line="240" w:lineRule="auto"/>
        <w:rPr>
          <w:rFonts w:ascii="Times New Roman" w:hAnsi="Times New Roman"/>
          <w:lang w:val="lt-LT"/>
        </w:rPr>
      </w:pPr>
      <w:r>
        <w:rPr>
          <w:rFonts w:ascii="Times New Roman" w:hAnsi="Times New Roman"/>
          <w:lang w:val="lt-LT"/>
        </w:rPr>
        <w:t>Pasireiškus bet kokiems burnos ar dantų negalavimams, tokiems</w:t>
      </w:r>
      <w:r w:rsidR="00AE3A01" w:rsidRPr="00816A48">
        <w:rPr>
          <w:rFonts w:ascii="Times New Roman" w:hAnsi="Times New Roman"/>
          <w:lang w:val="lt-LT"/>
        </w:rPr>
        <w:t xml:space="preserve"> kaip dantų išk</w:t>
      </w:r>
      <w:r w:rsidR="00816A48" w:rsidRPr="00816A48">
        <w:rPr>
          <w:rFonts w:ascii="Times New Roman" w:hAnsi="Times New Roman"/>
          <w:lang w:val="lt-LT"/>
        </w:rPr>
        <w:t xml:space="preserve">ritimas, skausmas ar patinimas, </w:t>
      </w:r>
      <w:r w:rsidR="00AE3A01" w:rsidRPr="00816A48">
        <w:rPr>
          <w:rFonts w:ascii="Times New Roman" w:hAnsi="Times New Roman"/>
          <w:lang w:val="lt-LT"/>
        </w:rPr>
        <w:t xml:space="preserve">negyjančios opelės arba išskyros, nedelsdami kreipkitės į gydytoją ir </w:t>
      </w:r>
      <w:r>
        <w:rPr>
          <w:rFonts w:ascii="Times New Roman" w:hAnsi="Times New Roman"/>
          <w:lang w:val="lt-LT"/>
        </w:rPr>
        <w:t>odontologą, nes tai gali</w:t>
      </w:r>
      <w:r w:rsidR="00816A48" w:rsidRPr="00816A48">
        <w:rPr>
          <w:rFonts w:ascii="Times New Roman" w:hAnsi="Times New Roman"/>
          <w:lang w:val="lt-LT"/>
        </w:rPr>
        <w:t xml:space="preserve"> būti </w:t>
      </w:r>
      <w:r w:rsidR="00AE3A01" w:rsidRPr="00816A48">
        <w:rPr>
          <w:rFonts w:ascii="Times New Roman" w:hAnsi="Times New Roman"/>
          <w:lang w:val="lt-LT"/>
        </w:rPr>
        <w:t>žandikaulio osteonekrozės požymiai</w:t>
      </w:r>
      <w:r w:rsidR="00816A48" w:rsidRPr="00816A48">
        <w:rPr>
          <w:rFonts w:ascii="Times New Roman" w:hAnsi="Times New Roman"/>
          <w:lang w:val="lt-LT"/>
        </w:rPr>
        <w:t>.</w:t>
      </w:r>
    </w:p>
    <w:p w14:paraId="455F6D55" w14:textId="77777777" w:rsidR="00AE3A01" w:rsidRPr="00816A48" w:rsidRDefault="00AE3A01" w:rsidP="00861232">
      <w:pPr>
        <w:autoSpaceDE w:val="0"/>
        <w:autoSpaceDN w:val="0"/>
        <w:adjustRightInd w:val="0"/>
        <w:spacing w:after="0" w:line="240" w:lineRule="auto"/>
        <w:rPr>
          <w:rFonts w:ascii="Times New Roman" w:hAnsi="Times New Roman"/>
          <w:lang w:val="lt-LT"/>
        </w:rPr>
      </w:pPr>
    </w:p>
    <w:p w14:paraId="78F21E2E" w14:textId="77777777" w:rsidR="007750B7" w:rsidRPr="00816A48" w:rsidRDefault="007750B7" w:rsidP="00861232">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Kai kurie žmonės vartodami Osagrand turi būti labai atsargūs. </w:t>
      </w:r>
      <w:r w:rsidR="00B36CB2" w:rsidRPr="00816A48">
        <w:rPr>
          <w:rFonts w:ascii="Times New Roman" w:hAnsi="Times New Roman"/>
          <w:noProof/>
          <w:lang w:val="lt-LT"/>
        </w:rPr>
        <w:t xml:space="preserve">Pasitarkite su gydytoju, prieš pradėdami vartoti </w:t>
      </w:r>
      <w:r w:rsidR="00342403" w:rsidRPr="00816A48">
        <w:rPr>
          <w:rFonts w:ascii="Times New Roman" w:hAnsi="Times New Roman"/>
          <w:lang w:val="lt-LT"/>
        </w:rPr>
        <w:t>Osagrand:</w:t>
      </w:r>
    </w:p>
    <w:p w14:paraId="7B7CD5C6" w14:textId="77777777" w:rsidR="007750B7" w:rsidRPr="00816A48" w:rsidRDefault="007750B7" w:rsidP="00177670">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jeigu yra arba buvo inkstų funkcijos sutrikimas, inkstų nepakankamumas arba būtinos dializės, arba sergate kita liga, kuri gali paveikti inkstus;</w:t>
      </w:r>
    </w:p>
    <w:p w14:paraId="7F2211ED" w14:textId="6757F432" w:rsidR="007750B7" w:rsidRPr="00816A48" w:rsidRDefault="007750B7" w:rsidP="005F68E5">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jeigu yra koks nors mineralinių medžiagų apykaitos sutrikimas (pvz., vitamino</w:t>
      </w:r>
      <w:r w:rsidR="00171B01">
        <w:rPr>
          <w:rFonts w:ascii="Times New Roman" w:hAnsi="Times New Roman"/>
          <w:lang w:val="lt-LT"/>
        </w:rPr>
        <w:t> </w:t>
      </w:r>
      <w:r w:rsidRPr="00816A48">
        <w:rPr>
          <w:rFonts w:ascii="Times New Roman" w:hAnsi="Times New Roman"/>
          <w:lang w:val="lt-LT"/>
        </w:rPr>
        <w:t>D trūkumas);</w:t>
      </w:r>
    </w:p>
    <w:p w14:paraId="59169AD2" w14:textId="77777777" w:rsidR="007750B7" w:rsidRPr="00816A48" w:rsidRDefault="007750B7" w:rsidP="00720F9C">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vartojant Osagrand, būtina vartoti kalcį ir vitamino D papildus</w:t>
      </w:r>
      <w:r w:rsidR="00FD6E07" w:rsidRPr="00816A48">
        <w:rPr>
          <w:rFonts w:ascii="Times New Roman" w:hAnsi="Times New Roman"/>
          <w:lang w:val="lt-LT"/>
        </w:rPr>
        <w:t>. Jeigu to padaryti negalite, praneškite gydytojui</w:t>
      </w:r>
      <w:r w:rsidRPr="00816A48">
        <w:rPr>
          <w:rFonts w:ascii="Times New Roman" w:hAnsi="Times New Roman"/>
          <w:lang w:val="lt-LT"/>
        </w:rPr>
        <w:t>;</w:t>
      </w:r>
    </w:p>
    <w:p w14:paraId="533E4F84" w14:textId="77777777" w:rsidR="007A328D" w:rsidRPr="00816A48" w:rsidRDefault="003553A5" w:rsidP="003D3259">
      <w:pPr>
        <w:tabs>
          <w:tab w:val="left" w:pos="0"/>
          <w:tab w:val="left" w:pos="567"/>
        </w:tabs>
        <w:autoSpaceDE w:val="0"/>
        <w:autoSpaceDN w:val="0"/>
        <w:adjustRightInd w:val="0"/>
        <w:spacing w:after="0" w:line="240" w:lineRule="auto"/>
        <w:rPr>
          <w:rFonts w:ascii="Times New Roman" w:hAnsi="Times New Roman"/>
          <w:lang w:val="lt-LT"/>
        </w:rPr>
      </w:pPr>
      <w:r w:rsidRPr="00816A48">
        <w:rPr>
          <w:rFonts w:ascii="Times New Roman" w:eastAsia="MS Mincho" w:hAnsi="Times New Roman"/>
          <w:lang w:val="lt-LT" w:eastAsia="fr-FR"/>
        </w:rPr>
        <w:t>-</w:t>
      </w:r>
      <w:r w:rsidRPr="00816A48">
        <w:rPr>
          <w:rFonts w:ascii="Times New Roman" w:eastAsia="MS Mincho" w:hAnsi="Times New Roman"/>
          <w:lang w:val="lt-LT" w:eastAsia="fr-FR"/>
        </w:rPr>
        <w:tab/>
        <w:t>jeigu sergate širdies liga ir gydytojas Jums rekomendavo mažinti skysčių kiekį.</w:t>
      </w:r>
    </w:p>
    <w:p w14:paraId="187D6401" w14:textId="77777777" w:rsidR="007A328D" w:rsidRPr="00816A48" w:rsidRDefault="007A328D" w:rsidP="00177670">
      <w:pPr>
        <w:autoSpaceDE w:val="0"/>
        <w:autoSpaceDN w:val="0"/>
        <w:adjustRightInd w:val="0"/>
        <w:spacing w:after="0" w:line="240" w:lineRule="auto"/>
        <w:ind w:left="540" w:hanging="540"/>
        <w:rPr>
          <w:rFonts w:ascii="Times New Roman" w:hAnsi="Times New Roman"/>
          <w:lang w:val="lt-LT"/>
        </w:rPr>
      </w:pPr>
    </w:p>
    <w:p w14:paraId="1D72472B" w14:textId="77777777" w:rsidR="007A328D" w:rsidRPr="00816A48" w:rsidRDefault="007B3C6B" w:rsidP="003D3259">
      <w:pPr>
        <w:autoSpaceDE w:val="0"/>
        <w:autoSpaceDN w:val="0"/>
        <w:adjustRightInd w:val="0"/>
        <w:spacing w:after="0" w:line="240" w:lineRule="auto"/>
        <w:rPr>
          <w:rFonts w:ascii="Times New Roman" w:hAnsi="Times New Roman"/>
          <w:bCs/>
          <w:lang w:val="lt-LT"/>
        </w:rPr>
      </w:pPr>
      <w:r w:rsidRPr="00816A48">
        <w:rPr>
          <w:rFonts w:ascii="Times New Roman" w:hAnsi="Times New Roman"/>
          <w:bCs/>
          <w:lang w:val="lt-LT"/>
        </w:rPr>
        <w:t xml:space="preserve">Aprašyti sunkūs, kartais mirtini alerginių reakcijų atvejai, pasireiškę gydytiems injekcine ibandrono rūgštimi. Jei Jums pasireiškė nors vienas iš toliau išvardytų simptomų, pvz., dusulys, pasunkėjęs kvėpavimas, spaudimas gerklėje, liežuvio paburkimas, </w:t>
      </w:r>
      <w:r w:rsidR="000A0BCD" w:rsidRPr="00816A48">
        <w:rPr>
          <w:rFonts w:ascii="Times New Roman" w:hAnsi="Times New Roman"/>
          <w:bCs/>
          <w:lang w:val="lt-LT"/>
        </w:rPr>
        <w:t>svaigulys</w:t>
      </w:r>
      <w:r w:rsidRPr="00816A48">
        <w:rPr>
          <w:rFonts w:ascii="Times New Roman" w:hAnsi="Times New Roman"/>
          <w:bCs/>
          <w:lang w:val="lt-LT"/>
        </w:rPr>
        <w:t xml:space="preserve">, sąmonės netekimo jausmas, veido paraudimas ar </w:t>
      </w:r>
      <w:r w:rsidR="000A0BCD" w:rsidRPr="00816A48">
        <w:rPr>
          <w:rFonts w:ascii="Times New Roman" w:hAnsi="Times New Roman"/>
          <w:bCs/>
          <w:lang w:val="lt-LT"/>
        </w:rPr>
        <w:t>patinimas</w:t>
      </w:r>
      <w:r w:rsidRPr="00816A48">
        <w:rPr>
          <w:rFonts w:ascii="Times New Roman" w:hAnsi="Times New Roman"/>
          <w:bCs/>
          <w:lang w:val="lt-LT"/>
        </w:rPr>
        <w:t>, kūno išbėrimas, pykinimas ir vėmimas, būtina nedelsiant kreiptis į gydytoją ar slaugytoją (žr.4</w:t>
      </w:r>
      <w:r w:rsidR="00B36CB2" w:rsidRPr="00816A48">
        <w:rPr>
          <w:rFonts w:ascii="Times New Roman" w:hAnsi="Times New Roman"/>
          <w:bCs/>
          <w:lang w:val="lt-LT"/>
        </w:rPr>
        <w:t> </w:t>
      </w:r>
      <w:r w:rsidRPr="00816A48">
        <w:rPr>
          <w:rFonts w:ascii="Times New Roman" w:hAnsi="Times New Roman"/>
          <w:bCs/>
          <w:lang w:val="lt-LT"/>
        </w:rPr>
        <w:t xml:space="preserve">skyrių). </w:t>
      </w:r>
    </w:p>
    <w:p w14:paraId="4420F711" w14:textId="77777777" w:rsidR="007B3C6B" w:rsidRPr="00816A48" w:rsidRDefault="007B3C6B" w:rsidP="00177670">
      <w:pPr>
        <w:autoSpaceDE w:val="0"/>
        <w:autoSpaceDN w:val="0"/>
        <w:adjustRightInd w:val="0"/>
        <w:spacing w:after="0" w:line="240" w:lineRule="auto"/>
        <w:ind w:left="540" w:hanging="540"/>
        <w:rPr>
          <w:rFonts w:ascii="Times New Roman" w:hAnsi="Times New Roman"/>
          <w:lang w:val="lt-LT"/>
        </w:rPr>
      </w:pPr>
    </w:p>
    <w:p w14:paraId="3FB314BA" w14:textId="77777777" w:rsidR="007750B7" w:rsidRPr="00816A48" w:rsidRDefault="007B3C6B" w:rsidP="00177670">
      <w:pP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Vaika</w:t>
      </w:r>
      <w:r w:rsidR="00B36CB2" w:rsidRPr="00816A48">
        <w:rPr>
          <w:rFonts w:ascii="Times New Roman" w:hAnsi="Times New Roman"/>
          <w:b/>
          <w:lang w:val="lt-LT"/>
        </w:rPr>
        <w:t>ms</w:t>
      </w:r>
      <w:r w:rsidRPr="00816A48">
        <w:rPr>
          <w:rFonts w:ascii="Times New Roman" w:hAnsi="Times New Roman"/>
          <w:b/>
          <w:lang w:val="lt-LT"/>
        </w:rPr>
        <w:t xml:space="preserve"> ir paauglia</w:t>
      </w:r>
      <w:r w:rsidR="00B36CB2" w:rsidRPr="00816A48">
        <w:rPr>
          <w:rFonts w:ascii="Times New Roman" w:hAnsi="Times New Roman"/>
          <w:b/>
          <w:lang w:val="lt-LT"/>
        </w:rPr>
        <w:t>ms</w:t>
      </w:r>
    </w:p>
    <w:p w14:paraId="542EFD55" w14:textId="77777777" w:rsidR="007B3C6B" w:rsidRPr="00816A48" w:rsidRDefault="007B3C6B" w:rsidP="00D42B82">
      <w:pPr>
        <w:autoSpaceDE w:val="0"/>
        <w:autoSpaceDN w:val="0"/>
        <w:adjustRightInd w:val="0"/>
        <w:spacing w:after="0" w:line="240" w:lineRule="auto"/>
        <w:rPr>
          <w:rFonts w:ascii="Times New Roman" w:hAnsi="Times New Roman"/>
          <w:bCs/>
          <w:lang w:val="lt-LT"/>
        </w:rPr>
      </w:pPr>
      <w:r w:rsidRPr="00816A48">
        <w:rPr>
          <w:rFonts w:ascii="Times New Roman" w:hAnsi="Times New Roman"/>
          <w:bCs/>
          <w:lang w:val="lt-LT"/>
        </w:rPr>
        <w:t>Jaunesniems, kaip 18 metų vaikams ar paaugliams Osagrand vartoti draudžiama.</w:t>
      </w:r>
    </w:p>
    <w:p w14:paraId="29B996F3" w14:textId="77777777" w:rsidR="007B3C6B" w:rsidRPr="00816A48" w:rsidRDefault="007B3C6B" w:rsidP="005F68E5">
      <w:pPr>
        <w:autoSpaceDE w:val="0"/>
        <w:autoSpaceDN w:val="0"/>
        <w:adjustRightInd w:val="0"/>
        <w:spacing w:after="0" w:line="240" w:lineRule="auto"/>
        <w:rPr>
          <w:rFonts w:ascii="Times New Roman" w:hAnsi="Times New Roman"/>
          <w:bCs/>
          <w:lang w:val="lt-LT"/>
        </w:rPr>
      </w:pPr>
    </w:p>
    <w:p w14:paraId="4FE09F6D" w14:textId="77777777" w:rsidR="007750B7" w:rsidRPr="00816A48" w:rsidRDefault="007750B7" w:rsidP="00F55F27">
      <w:pPr>
        <w:keepNext/>
        <w:autoSpaceDE w:val="0"/>
        <w:autoSpaceDN w:val="0"/>
        <w:adjustRightInd w:val="0"/>
        <w:spacing w:after="0" w:line="240" w:lineRule="auto"/>
        <w:rPr>
          <w:rFonts w:ascii="Times New Roman" w:hAnsi="Times New Roman"/>
          <w:b/>
          <w:bCs/>
          <w:lang w:val="lt-LT"/>
        </w:rPr>
      </w:pPr>
      <w:r w:rsidRPr="00816A48">
        <w:rPr>
          <w:rFonts w:ascii="Times New Roman" w:hAnsi="Times New Roman"/>
          <w:b/>
          <w:bCs/>
          <w:lang w:val="lt-LT"/>
        </w:rPr>
        <w:lastRenderedPageBreak/>
        <w:t>Kit</w:t>
      </w:r>
      <w:r w:rsidR="00B36CB2" w:rsidRPr="00816A48">
        <w:rPr>
          <w:rFonts w:ascii="Times New Roman" w:hAnsi="Times New Roman"/>
          <w:b/>
          <w:bCs/>
          <w:lang w:val="lt-LT"/>
        </w:rPr>
        <w:t xml:space="preserve">i vaistai ir </w:t>
      </w:r>
      <w:r w:rsidR="00B36CB2" w:rsidRPr="00816A48">
        <w:rPr>
          <w:rFonts w:ascii="Times New Roman" w:hAnsi="Times New Roman"/>
          <w:b/>
          <w:lang w:val="lt-LT"/>
        </w:rPr>
        <w:t>Osagrand</w:t>
      </w:r>
      <w:r w:rsidR="00B36CB2" w:rsidRPr="00816A48" w:rsidDel="00B36CB2">
        <w:rPr>
          <w:rFonts w:ascii="Times New Roman" w:hAnsi="Times New Roman"/>
          <w:b/>
          <w:bCs/>
          <w:lang w:val="lt-LT"/>
        </w:rPr>
        <w:t xml:space="preserve"> </w:t>
      </w:r>
    </w:p>
    <w:p w14:paraId="7750E672" w14:textId="77777777" w:rsidR="007750B7" w:rsidRPr="00816A48" w:rsidRDefault="007750B7" w:rsidP="005F68E5">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Jeigu vartojate arba neseniai vartojote kitų vaistų</w:t>
      </w:r>
      <w:r w:rsidR="00571BA1" w:rsidRPr="00816A48">
        <w:rPr>
          <w:rFonts w:ascii="Times New Roman" w:hAnsi="Times New Roman"/>
          <w:lang w:val="lt-LT"/>
        </w:rPr>
        <w:t xml:space="preserve"> arba dėl to nesate tikri</w:t>
      </w:r>
      <w:r w:rsidRPr="00816A48">
        <w:rPr>
          <w:rFonts w:ascii="Times New Roman" w:hAnsi="Times New Roman"/>
          <w:lang w:val="lt-LT"/>
        </w:rPr>
        <w:t xml:space="preserve">, </w:t>
      </w:r>
      <w:r w:rsidR="00571BA1" w:rsidRPr="00816A48">
        <w:rPr>
          <w:rFonts w:ascii="Times New Roman" w:hAnsi="Times New Roman"/>
          <w:lang w:val="lt-LT"/>
        </w:rPr>
        <w:t>apie tai pasakykite gydytojui</w:t>
      </w:r>
      <w:r w:rsidR="000A0BCD" w:rsidRPr="00816A48">
        <w:rPr>
          <w:rFonts w:ascii="Times New Roman" w:hAnsi="Times New Roman"/>
          <w:lang w:val="lt-LT"/>
        </w:rPr>
        <w:t xml:space="preserve">, </w:t>
      </w:r>
      <w:r w:rsidR="00571BA1" w:rsidRPr="00816A48">
        <w:rPr>
          <w:rFonts w:ascii="Times New Roman" w:hAnsi="Times New Roman"/>
          <w:lang w:val="lt-LT"/>
        </w:rPr>
        <w:t>vaistininkui</w:t>
      </w:r>
      <w:r w:rsidR="000A0BCD" w:rsidRPr="00816A48">
        <w:rPr>
          <w:rFonts w:ascii="Times New Roman" w:hAnsi="Times New Roman"/>
          <w:lang w:val="lt-LT"/>
        </w:rPr>
        <w:t xml:space="preserve"> ar</w:t>
      </w:r>
      <w:r w:rsidR="009A769A" w:rsidRPr="00816A48">
        <w:rPr>
          <w:rFonts w:ascii="Times New Roman" w:hAnsi="Times New Roman"/>
          <w:lang w:val="lt-LT"/>
        </w:rPr>
        <w:t>ba</w:t>
      </w:r>
      <w:r w:rsidR="000A0BCD" w:rsidRPr="00816A48">
        <w:rPr>
          <w:rFonts w:ascii="Times New Roman" w:hAnsi="Times New Roman"/>
          <w:lang w:val="lt-LT"/>
        </w:rPr>
        <w:t xml:space="preserve"> slaugytojui</w:t>
      </w:r>
      <w:r w:rsidR="00571BA1" w:rsidRPr="00816A48">
        <w:rPr>
          <w:rFonts w:ascii="Times New Roman" w:hAnsi="Times New Roman"/>
          <w:lang w:val="lt-LT"/>
        </w:rPr>
        <w:t>.</w:t>
      </w:r>
    </w:p>
    <w:p w14:paraId="75A5990C" w14:textId="77777777" w:rsidR="007750B7" w:rsidRPr="00816A48" w:rsidRDefault="007750B7" w:rsidP="00720F9C">
      <w:pPr>
        <w:autoSpaceDE w:val="0"/>
        <w:autoSpaceDN w:val="0"/>
        <w:adjustRightInd w:val="0"/>
        <w:spacing w:after="0" w:line="240" w:lineRule="auto"/>
        <w:rPr>
          <w:rFonts w:ascii="Times New Roman" w:hAnsi="Times New Roman"/>
          <w:b/>
          <w:lang w:val="lt-LT"/>
        </w:rPr>
      </w:pPr>
    </w:p>
    <w:p w14:paraId="6CED6874" w14:textId="77777777" w:rsidR="007750B7" w:rsidRPr="00816A48" w:rsidRDefault="007750B7" w:rsidP="00CE74AB">
      <w:pPr>
        <w:keepNext/>
        <w:keepLines/>
        <w:autoSpaceDE w:val="0"/>
        <w:autoSpaceDN w:val="0"/>
        <w:adjustRightInd w:val="0"/>
        <w:spacing w:after="0" w:line="240" w:lineRule="auto"/>
        <w:rPr>
          <w:rFonts w:ascii="Times New Roman" w:hAnsi="Times New Roman"/>
          <w:b/>
          <w:lang w:val="lt-LT"/>
        </w:rPr>
      </w:pPr>
      <w:r w:rsidRPr="00816A48">
        <w:rPr>
          <w:rFonts w:ascii="Times New Roman" w:hAnsi="Times New Roman"/>
          <w:b/>
          <w:lang w:val="lt-LT"/>
        </w:rPr>
        <w:t>Nėštumas</w:t>
      </w:r>
      <w:r w:rsidR="00571BA1" w:rsidRPr="00816A48">
        <w:rPr>
          <w:rFonts w:ascii="Times New Roman" w:hAnsi="Times New Roman"/>
          <w:b/>
          <w:bCs/>
          <w:lang w:val="lt-LT"/>
        </w:rPr>
        <w:t>,</w:t>
      </w:r>
      <w:r w:rsidRPr="00816A48">
        <w:rPr>
          <w:rFonts w:ascii="Times New Roman" w:hAnsi="Times New Roman"/>
          <w:b/>
          <w:lang w:val="lt-LT"/>
        </w:rPr>
        <w:t xml:space="preserve"> žindymo laikotarpis</w:t>
      </w:r>
      <w:r w:rsidR="00571BA1" w:rsidRPr="00816A48">
        <w:rPr>
          <w:rFonts w:ascii="Times New Roman" w:hAnsi="Times New Roman"/>
          <w:b/>
          <w:bCs/>
          <w:lang w:val="lt-LT"/>
        </w:rPr>
        <w:t xml:space="preserve"> ir vaisingumas</w:t>
      </w:r>
    </w:p>
    <w:p w14:paraId="6ACD1729" w14:textId="77777777" w:rsidR="00571BA1" w:rsidRPr="00816A48" w:rsidRDefault="00571BA1" w:rsidP="00CE74AB">
      <w:pPr>
        <w:keepNext/>
        <w:keepLines/>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Osagrand gali vartoti tik moterys po menopauzės</w:t>
      </w:r>
      <w:r w:rsidR="000A0BCD" w:rsidRPr="00816A48">
        <w:rPr>
          <w:rFonts w:ascii="Times New Roman" w:hAnsi="Times New Roman"/>
          <w:lang w:val="lt-LT"/>
        </w:rPr>
        <w:t xml:space="preserve">. </w:t>
      </w:r>
      <w:r w:rsidRPr="00816A48">
        <w:rPr>
          <w:rFonts w:ascii="Times New Roman" w:hAnsi="Times New Roman"/>
          <w:lang w:val="lt-LT"/>
        </w:rPr>
        <w:t>Vaisingo amžiaus moterims Osagrand vartoti</w:t>
      </w:r>
      <w:r w:rsidR="000A0BCD" w:rsidRPr="00816A48">
        <w:rPr>
          <w:rFonts w:ascii="Times New Roman" w:hAnsi="Times New Roman"/>
          <w:lang w:val="lt-LT"/>
        </w:rPr>
        <w:t xml:space="preserve"> negalima</w:t>
      </w:r>
      <w:r w:rsidRPr="00816A48">
        <w:rPr>
          <w:rFonts w:ascii="Times New Roman" w:hAnsi="Times New Roman"/>
          <w:lang w:val="lt-LT"/>
        </w:rPr>
        <w:t>.</w:t>
      </w:r>
    </w:p>
    <w:p w14:paraId="58FE64D2" w14:textId="77777777" w:rsidR="00571BA1" w:rsidRPr="00816A48" w:rsidRDefault="00571BA1" w:rsidP="007A65B4">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Jei esate nėščia ar žindote kūdikį, Osagrand vartoti negalima. </w:t>
      </w:r>
    </w:p>
    <w:p w14:paraId="326EBFE8" w14:textId="77777777" w:rsidR="00571BA1" w:rsidRPr="00816A48" w:rsidRDefault="007750B7" w:rsidP="00331125">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Prieš vartojant </w:t>
      </w:r>
      <w:r w:rsidR="00DD7336" w:rsidRPr="00816A48">
        <w:rPr>
          <w:rFonts w:ascii="Times New Roman" w:hAnsi="Times New Roman"/>
          <w:lang w:val="lt-LT"/>
        </w:rPr>
        <w:t>šį</w:t>
      </w:r>
      <w:r w:rsidRPr="00816A48">
        <w:rPr>
          <w:rFonts w:ascii="Times New Roman" w:hAnsi="Times New Roman"/>
          <w:lang w:val="lt-LT"/>
        </w:rPr>
        <w:t xml:space="preserve"> vaistą, būtina pasitarti su gydytoju ar vaistininku.</w:t>
      </w:r>
    </w:p>
    <w:p w14:paraId="5DC4E52C" w14:textId="77777777" w:rsidR="007750B7" w:rsidRPr="00816A48" w:rsidRDefault="007750B7" w:rsidP="00DA1B4A">
      <w:pPr>
        <w:autoSpaceDE w:val="0"/>
        <w:autoSpaceDN w:val="0"/>
        <w:adjustRightInd w:val="0"/>
        <w:spacing w:after="0" w:line="240" w:lineRule="auto"/>
        <w:rPr>
          <w:rFonts w:ascii="Times New Roman" w:hAnsi="Times New Roman"/>
          <w:lang w:val="lt-LT"/>
        </w:rPr>
      </w:pPr>
    </w:p>
    <w:p w14:paraId="6598A42C" w14:textId="77777777" w:rsidR="007750B7" w:rsidRPr="00816A48" w:rsidRDefault="007750B7" w:rsidP="00DA1B4A">
      <w:pPr>
        <w:autoSpaceDE w:val="0"/>
        <w:autoSpaceDN w:val="0"/>
        <w:adjustRightInd w:val="0"/>
        <w:spacing w:after="0" w:line="240" w:lineRule="auto"/>
        <w:rPr>
          <w:rFonts w:ascii="Times New Roman" w:hAnsi="Times New Roman"/>
          <w:b/>
          <w:lang w:val="lt-LT"/>
        </w:rPr>
      </w:pPr>
      <w:r w:rsidRPr="00816A48">
        <w:rPr>
          <w:rFonts w:ascii="Times New Roman" w:hAnsi="Times New Roman"/>
          <w:b/>
          <w:lang w:val="lt-LT"/>
        </w:rPr>
        <w:t>Vairavimas ir mechanizmų valdymas</w:t>
      </w:r>
    </w:p>
    <w:p w14:paraId="2BDF07FF" w14:textId="77777777" w:rsidR="00BE39EE" w:rsidRPr="00816A48" w:rsidRDefault="007750B7" w:rsidP="000F0A27">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lang w:val="lt-LT"/>
        </w:rPr>
        <w:t xml:space="preserve">Galite vairuoti ir valdyti mechanizmus, nes </w:t>
      </w:r>
      <w:r w:rsidR="000A0BCD" w:rsidRPr="00816A48">
        <w:rPr>
          <w:rFonts w:ascii="Times New Roman" w:hAnsi="Times New Roman"/>
          <w:lang w:val="lt-LT"/>
        </w:rPr>
        <w:t xml:space="preserve">manoma, kad </w:t>
      </w:r>
      <w:r w:rsidRPr="00816A48">
        <w:rPr>
          <w:rFonts w:ascii="Times New Roman" w:hAnsi="Times New Roman"/>
          <w:lang w:val="lt-LT"/>
        </w:rPr>
        <w:t xml:space="preserve">Osagrand </w:t>
      </w:r>
      <w:r w:rsidR="00BE39EE" w:rsidRPr="00816A48">
        <w:rPr>
          <w:rFonts w:ascii="Times New Roman" w:hAnsi="Times New Roman"/>
          <w:color w:val="000000"/>
          <w:lang w:val="lt-LT"/>
        </w:rPr>
        <w:t>gebėjimo vairuoti ir valdyti mechanizmus neveikia arba veikia nereikšmingai.</w:t>
      </w:r>
    </w:p>
    <w:p w14:paraId="26429D93" w14:textId="77777777" w:rsidR="007750B7" w:rsidRPr="00816A48" w:rsidRDefault="007750B7" w:rsidP="002D4654">
      <w:pPr>
        <w:autoSpaceDE w:val="0"/>
        <w:autoSpaceDN w:val="0"/>
        <w:adjustRightInd w:val="0"/>
        <w:spacing w:after="0" w:line="240" w:lineRule="auto"/>
        <w:rPr>
          <w:rFonts w:ascii="Times New Roman" w:hAnsi="Times New Roman"/>
          <w:color w:val="000000"/>
          <w:lang w:val="lt-LT"/>
        </w:rPr>
      </w:pPr>
    </w:p>
    <w:p w14:paraId="64A3E55E" w14:textId="1AD808CE" w:rsidR="007750B7" w:rsidRPr="00816A48" w:rsidRDefault="000A0BCD" w:rsidP="009A769A">
      <w:pPr>
        <w:autoSpaceDE w:val="0"/>
        <w:autoSpaceDN w:val="0"/>
        <w:adjustRightInd w:val="0"/>
        <w:spacing w:after="0" w:line="240" w:lineRule="auto"/>
        <w:rPr>
          <w:rFonts w:ascii="Times New Roman" w:hAnsi="Times New Roman"/>
          <w:lang w:val="lt-LT"/>
        </w:rPr>
      </w:pPr>
      <w:r w:rsidRPr="00816A48">
        <w:rPr>
          <w:rFonts w:ascii="Times New Roman" w:hAnsi="Times New Roman"/>
          <w:b/>
          <w:lang w:val="lt-LT"/>
        </w:rPr>
        <w:t>Osagrand</w:t>
      </w:r>
      <w:r w:rsidR="007750B7" w:rsidRPr="00816A48">
        <w:rPr>
          <w:rFonts w:ascii="Times New Roman" w:hAnsi="Times New Roman"/>
          <w:b/>
          <w:lang w:val="lt-LT"/>
        </w:rPr>
        <w:t xml:space="preserve"> </w:t>
      </w:r>
      <w:r w:rsidR="00AC02F2">
        <w:rPr>
          <w:rFonts w:ascii="Times New Roman" w:hAnsi="Times New Roman"/>
          <w:b/>
          <w:lang w:val="lt-LT"/>
        </w:rPr>
        <w:t>dozėje (</w:t>
      </w:r>
      <w:r w:rsidR="00AC02F2" w:rsidRPr="00CD0447">
        <w:rPr>
          <w:rFonts w:ascii="Times New Roman" w:hAnsi="Times New Roman"/>
          <w:b/>
          <w:lang w:val="lt-LT"/>
        </w:rPr>
        <w:t>3</w:t>
      </w:r>
      <w:r w:rsidR="00AC02F2">
        <w:rPr>
          <w:rFonts w:ascii="Times New Roman" w:hAnsi="Times New Roman"/>
          <w:b/>
          <w:lang w:val="lt-LT"/>
        </w:rPr>
        <w:t xml:space="preserve"> ml) </w:t>
      </w:r>
      <w:r w:rsidR="007750B7" w:rsidRPr="00816A48">
        <w:rPr>
          <w:rFonts w:ascii="Times New Roman" w:hAnsi="Times New Roman"/>
          <w:b/>
          <w:lang w:val="lt-LT"/>
        </w:rPr>
        <w:t>yra mažiau kaip 1</w:t>
      </w:r>
      <w:r w:rsidR="009274F5">
        <w:rPr>
          <w:rFonts w:ascii="Times New Roman" w:hAnsi="Times New Roman"/>
          <w:b/>
          <w:lang w:val="lt-LT"/>
        </w:rPr>
        <w:t> </w:t>
      </w:r>
      <w:r w:rsidR="007750B7" w:rsidRPr="00816A48">
        <w:rPr>
          <w:rFonts w:ascii="Times New Roman" w:hAnsi="Times New Roman"/>
          <w:b/>
          <w:lang w:val="lt-LT"/>
        </w:rPr>
        <w:t>mmol (23</w:t>
      </w:r>
      <w:r w:rsidR="009274F5">
        <w:rPr>
          <w:rFonts w:ascii="Times New Roman" w:hAnsi="Times New Roman"/>
          <w:b/>
          <w:lang w:val="lt-LT"/>
        </w:rPr>
        <w:t> </w:t>
      </w:r>
      <w:r w:rsidR="007750B7" w:rsidRPr="00816A48">
        <w:rPr>
          <w:rFonts w:ascii="Times New Roman" w:hAnsi="Times New Roman"/>
          <w:b/>
          <w:lang w:val="lt-LT"/>
        </w:rPr>
        <w:t>mg) natrio,</w:t>
      </w:r>
      <w:r w:rsidR="009A769A" w:rsidRPr="00816A48">
        <w:rPr>
          <w:rFonts w:ascii="Times New Roman" w:hAnsi="Times New Roman"/>
          <w:lang w:val="lt-LT"/>
        </w:rPr>
        <w:t xml:space="preserve"> t.y. jis beveik neturi</w:t>
      </w:r>
      <w:r w:rsidR="009A769A" w:rsidRPr="00816A48">
        <w:rPr>
          <w:rFonts w:ascii="Times New Roman" w:eastAsia="MS Mincho" w:hAnsi="Times New Roman"/>
          <w:lang w:val="lt-LT" w:eastAsia="ja-JP"/>
        </w:rPr>
        <w:t xml:space="preserve"> </w:t>
      </w:r>
      <w:r w:rsidR="007750B7" w:rsidRPr="00816A48">
        <w:rPr>
          <w:rFonts w:ascii="Times New Roman" w:hAnsi="Times New Roman"/>
          <w:lang w:val="lt-LT"/>
        </w:rPr>
        <w:t>reikšmės.</w:t>
      </w:r>
    </w:p>
    <w:p w14:paraId="7EA34699" w14:textId="77777777" w:rsidR="007750B7" w:rsidRPr="00816A48" w:rsidRDefault="007750B7" w:rsidP="00A761AB">
      <w:pPr>
        <w:autoSpaceDE w:val="0"/>
        <w:autoSpaceDN w:val="0"/>
        <w:adjustRightInd w:val="0"/>
        <w:spacing w:after="0" w:line="240" w:lineRule="auto"/>
        <w:rPr>
          <w:rFonts w:ascii="Times New Roman" w:hAnsi="Times New Roman"/>
          <w:lang w:val="lt-LT"/>
        </w:rPr>
      </w:pPr>
    </w:p>
    <w:p w14:paraId="58D85AA9" w14:textId="77777777" w:rsidR="007750B7" w:rsidRPr="00816A48" w:rsidRDefault="007750B7" w:rsidP="00A761AB">
      <w:pPr>
        <w:autoSpaceDE w:val="0"/>
        <w:autoSpaceDN w:val="0"/>
        <w:adjustRightInd w:val="0"/>
        <w:spacing w:after="0" w:line="240" w:lineRule="auto"/>
        <w:rPr>
          <w:rFonts w:ascii="Times New Roman" w:hAnsi="Times New Roman"/>
          <w:lang w:val="lt-LT"/>
        </w:rPr>
      </w:pPr>
    </w:p>
    <w:p w14:paraId="7F1AE1A1" w14:textId="77777777" w:rsidR="007750B7" w:rsidRPr="00816A48" w:rsidRDefault="007750B7" w:rsidP="00A761AB">
      <w:pP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3.</w:t>
      </w:r>
      <w:r w:rsidRPr="00816A48">
        <w:rPr>
          <w:rFonts w:ascii="Times New Roman" w:hAnsi="Times New Roman"/>
          <w:b/>
          <w:lang w:val="lt-LT"/>
        </w:rPr>
        <w:tab/>
      </w:r>
      <w:r w:rsidRPr="00816A48">
        <w:rPr>
          <w:rFonts w:ascii="Times New Roman" w:hAnsi="Times New Roman"/>
          <w:b/>
          <w:bCs/>
          <w:lang w:val="lt-LT"/>
        </w:rPr>
        <w:t>K</w:t>
      </w:r>
      <w:r w:rsidR="00006A13" w:rsidRPr="00816A48">
        <w:rPr>
          <w:rFonts w:ascii="Times New Roman" w:hAnsi="Times New Roman"/>
          <w:b/>
          <w:bCs/>
          <w:lang w:val="lt-LT"/>
        </w:rPr>
        <w:t>ai</w:t>
      </w:r>
      <w:r w:rsidR="00864C17" w:rsidRPr="00816A48">
        <w:rPr>
          <w:rFonts w:ascii="Times New Roman" w:hAnsi="Times New Roman"/>
          <w:b/>
          <w:bCs/>
          <w:lang w:val="lt-LT"/>
        </w:rPr>
        <w:t>p</w:t>
      </w:r>
      <w:r w:rsidR="00006A13" w:rsidRPr="00816A48">
        <w:rPr>
          <w:rFonts w:ascii="Times New Roman" w:hAnsi="Times New Roman"/>
          <w:b/>
          <w:bCs/>
          <w:lang w:val="lt-LT"/>
        </w:rPr>
        <w:t xml:space="preserve"> vartoti Osagrand</w:t>
      </w:r>
    </w:p>
    <w:p w14:paraId="454ECE55" w14:textId="77777777" w:rsidR="007750B7" w:rsidRPr="00816A48" w:rsidRDefault="007750B7" w:rsidP="0062444B">
      <w:pPr>
        <w:autoSpaceDE w:val="0"/>
        <w:autoSpaceDN w:val="0"/>
        <w:adjustRightInd w:val="0"/>
        <w:spacing w:after="0" w:line="240" w:lineRule="auto"/>
        <w:rPr>
          <w:rFonts w:ascii="Times New Roman" w:hAnsi="Times New Roman"/>
          <w:lang w:val="lt-LT"/>
        </w:rPr>
      </w:pPr>
    </w:p>
    <w:p w14:paraId="7B4E5BA2" w14:textId="6CD69895" w:rsidR="007750B7" w:rsidRPr="00816A48" w:rsidRDefault="007750B7"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Rekomenduojama Osagrand injekcijos į veną dozė yra 3 mg (1</w:t>
      </w:r>
      <w:r w:rsidR="009274F5">
        <w:rPr>
          <w:rFonts w:ascii="Times New Roman" w:hAnsi="Times New Roman"/>
          <w:lang w:val="lt-LT"/>
        </w:rPr>
        <w:t> </w:t>
      </w:r>
      <w:r w:rsidRPr="00816A48">
        <w:rPr>
          <w:rFonts w:ascii="Times New Roman" w:hAnsi="Times New Roman"/>
          <w:lang w:val="lt-LT"/>
        </w:rPr>
        <w:t>ampulė) vieną kartą kas 3 mėnesius.</w:t>
      </w:r>
    </w:p>
    <w:p w14:paraId="081E3E01" w14:textId="77777777" w:rsidR="007750B7" w:rsidRPr="00816A48" w:rsidRDefault="007750B7" w:rsidP="003D3259">
      <w:pPr>
        <w:autoSpaceDE w:val="0"/>
        <w:autoSpaceDN w:val="0"/>
        <w:adjustRightInd w:val="0"/>
        <w:spacing w:after="0" w:line="240" w:lineRule="auto"/>
        <w:rPr>
          <w:rFonts w:ascii="Times New Roman" w:hAnsi="Times New Roman"/>
          <w:b/>
          <w:lang w:val="lt-LT"/>
        </w:rPr>
      </w:pPr>
      <w:r w:rsidRPr="00816A48">
        <w:rPr>
          <w:rFonts w:ascii="Times New Roman" w:hAnsi="Times New Roman"/>
          <w:lang w:val="lt-LT"/>
        </w:rPr>
        <w:t>Osagrand į veną turi suleis</w:t>
      </w:r>
      <w:r w:rsidR="002D4654" w:rsidRPr="00816A48">
        <w:rPr>
          <w:rFonts w:ascii="Times New Roman" w:hAnsi="Times New Roman"/>
          <w:lang w:val="lt-LT"/>
        </w:rPr>
        <w:t>ti gydytojas arba kvalifikuotas</w:t>
      </w:r>
      <w:r w:rsidR="00923385" w:rsidRPr="00816A48">
        <w:rPr>
          <w:rFonts w:ascii="Times New Roman" w:hAnsi="Times New Roman"/>
          <w:lang w:val="lt-LT"/>
        </w:rPr>
        <w:t xml:space="preserve"> </w:t>
      </w:r>
      <w:r w:rsidR="001B2712" w:rsidRPr="00816A48">
        <w:rPr>
          <w:rFonts w:ascii="Times New Roman" w:hAnsi="Times New Roman"/>
          <w:lang w:val="lt-LT"/>
        </w:rPr>
        <w:t>i</w:t>
      </w:r>
      <w:r w:rsidR="00923385" w:rsidRPr="00816A48">
        <w:rPr>
          <w:rFonts w:ascii="Times New Roman" w:hAnsi="Times New Roman"/>
          <w:lang w:val="lt-LT"/>
        </w:rPr>
        <w:t>r</w:t>
      </w:r>
      <w:r w:rsidRPr="00816A48">
        <w:rPr>
          <w:rFonts w:ascii="Times New Roman" w:hAnsi="Times New Roman"/>
          <w:lang w:val="lt-LT"/>
        </w:rPr>
        <w:t xml:space="preserve"> apmokytas sveikatos priežiūros darbuotojas. Osagrand negalima leistis savarankiškai.</w:t>
      </w:r>
    </w:p>
    <w:p w14:paraId="0B3D726D" w14:textId="77777777" w:rsidR="007750B7" w:rsidRPr="00816A48" w:rsidRDefault="007750B7"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Injekcinis tirpalas turi būti suleistas </w:t>
      </w:r>
      <w:r w:rsidRPr="00816A48">
        <w:rPr>
          <w:rFonts w:ascii="Times New Roman" w:hAnsi="Times New Roman"/>
          <w:b/>
          <w:lang w:val="lt-LT"/>
        </w:rPr>
        <w:t>tik į veną</w:t>
      </w:r>
      <w:r w:rsidRPr="00816A48">
        <w:rPr>
          <w:rFonts w:ascii="Times New Roman" w:hAnsi="Times New Roman"/>
          <w:lang w:val="lt-LT"/>
        </w:rPr>
        <w:t>, o ne į kurią nors kitą kūno vietą.</w:t>
      </w:r>
    </w:p>
    <w:p w14:paraId="4F5B6CB4"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01661C92" w14:textId="77777777" w:rsidR="007750B7" w:rsidRPr="00816A48" w:rsidRDefault="007750B7" w:rsidP="003D3259">
      <w:pPr>
        <w:tabs>
          <w:tab w:val="left" w:pos="3189"/>
        </w:tabs>
        <w:autoSpaceDE w:val="0"/>
        <w:autoSpaceDN w:val="0"/>
        <w:adjustRightInd w:val="0"/>
        <w:spacing w:after="0" w:line="240" w:lineRule="auto"/>
        <w:rPr>
          <w:rFonts w:ascii="Times New Roman" w:hAnsi="Times New Roman"/>
          <w:b/>
          <w:lang w:val="lt-LT"/>
        </w:rPr>
      </w:pPr>
      <w:r w:rsidRPr="00816A48">
        <w:rPr>
          <w:rFonts w:ascii="Times New Roman" w:hAnsi="Times New Roman"/>
          <w:b/>
          <w:lang w:val="lt-LT"/>
        </w:rPr>
        <w:t>Osagrand vartojimo trukmė</w:t>
      </w:r>
    </w:p>
    <w:p w14:paraId="4562C516" w14:textId="7FA86C7C" w:rsidR="007750B7" w:rsidRPr="00816A48" w:rsidRDefault="007750B7"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Kad gydymas būtų kuo veiksmingesnis, svarbu Osagrand suleisti kas 3 mėnesius tol, kol skiria gydytojas. Osagrand gali gydyti osteoporozę tik tol, kol taikomas gydymas, net jeigu nepastebite ir nejaučiate skirtumo.</w:t>
      </w:r>
      <w:r w:rsidR="007A328D" w:rsidRPr="00816A48">
        <w:rPr>
          <w:rFonts w:ascii="Times New Roman" w:eastAsia="MS Mincho" w:hAnsi="Times New Roman"/>
          <w:lang w:val="lt-LT" w:eastAsia="fr-FR"/>
        </w:rPr>
        <w:t xml:space="preserve"> </w:t>
      </w:r>
      <w:r w:rsidR="00006A13" w:rsidRPr="00816A48">
        <w:rPr>
          <w:rFonts w:ascii="Times New Roman" w:eastAsia="MS Mincho" w:hAnsi="Times New Roman"/>
          <w:lang w:val="lt-LT" w:eastAsia="fr-FR"/>
        </w:rPr>
        <w:t>Po 5</w:t>
      </w:r>
      <w:r w:rsidR="009274F5">
        <w:rPr>
          <w:rFonts w:ascii="Times New Roman" w:eastAsia="MS Mincho" w:hAnsi="Times New Roman"/>
          <w:lang w:val="lt-LT" w:eastAsia="fr-FR"/>
        </w:rPr>
        <w:t> </w:t>
      </w:r>
      <w:r w:rsidR="00006A13" w:rsidRPr="00816A48">
        <w:rPr>
          <w:rFonts w:ascii="Times New Roman" w:eastAsia="MS Mincho" w:hAnsi="Times New Roman"/>
          <w:lang w:val="lt-LT" w:eastAsia="fr-FR"/>
        </w:rPr>
        <w:t>metų Osagrand vartojimo pasitarkite su gydytoju, ar Jums reikia toliau vartoti</w:t>
      </w:r>
      <w:r w:rsidR="00DD7336" w:rsidRPr="00816A48">
        <w:rPr>
          <w:rFonts w:ascii="Times New Roman" w:eastAsia="MS Mincho" w:hAnsi="Times New Roman"/>
          <w:lang w:val="lt-LT" w:eastAsia="fr-FR"/>
        </w:rPr>
        <w:t xml:space="preserve"> vaisto</w:t>
      </w:r>
      <w:r w:rsidR="00006A13" w:rsidRPr="00816A48">
        <w:rPr>
          <w:rFonts w:ascii="Times New Roman" w:eastAsia="MS Mincho" w:hAnsi="Times New Roman"/>
          <w:lang w:val="lt-LT" w:eastAsia="fr-FR"/>
        </w:rPr>
        <w:t>.</w:t>
      </w:r>
    </w:p>
    <w:p w14:paraId="792FB1BC"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35C26F4F" w14:textId="7B56C1A9" w:rsidR="007750B7" w:rsidRPr="00816A48" w:rsidRDefault="007750B7"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Turite gerti kalcio ir vitamino</w:t>
      </w:r>
      <w:r w:rsidR="009274F5">
        <w:rPr>
          <w:rFonts w:ascii="Times New Roman" w:hAnsi="Times New Roman"/>
          <w:lang w:val="lt-LT"/>
        </w:rPr>
        <w:t> </w:t>
      </w:r>
      <w:r w:rsidRPr="00816A48">
        <w:rPr>
          <w:rFonts w:ascii="Times New Roman" w:hAnsi="Times New Roman"/>
          <w:lang w:val="lt-LT"/>
        </w:rPr>
        <w:t>D papildų pagal savo gydytojo rekomendacijas.</w:t>
      </w:r>
    </w:p>
    <w:p w14:paraId="7F3506D5"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3054111E" w14:textId="77777777" w:rsidR="007750B7" w:rsidRPr="00816A48" w:rsidRDefault="009A769A" w:rsidP="009A769A">
      <w:pPr>
        <w:autoSpaceDE w:val="0"/>
        <w:autoSpaceDN w:val="0"/>
        <w:adjustRightInd w:val="0"/>
        <w:spacing w:after="0" w:line="240" w:lineRule="auto"/>
        <w:rPr>
          <w:rFonts w:ascii="Times New Roman" w:hAnsi="Times New Roman"/>
          <w:b/>
          <w:lang w:val="lt-LT"/>
        </w:rPr>
      </w:pPr>
      <w:r w:rsidRPr="00816A48">
        <w:rPr>
          <w:rFonts w:ascii="Times New Roman" w:hAnsi="Times New Roman"/>
          <w:b/>
          <w:bCs/>
          <w:lang w:val="lt-LT"/>
        </w:rPr>
        <w:t>Ką daryti p</w:t>
      </w:r>
      <w:r w:rsidR="007750B7" w:rsidRPr="00816A48">
        <w:rPr>
          <w:rFonts w:ascii="Times New Roman" w:hAnsi="Times New Roman"/>
          <w:b/>
          <w:bCs/>
          <w:lang w:val="lt-LT"/>
        </w:rPr>
        <w:t>avartojus</w:t>
      </w:r>
      <w:r w:rsidR="007750B7" w:rsidRPr="00816A48">
        <w:rPr>
          <w:rFonts w:ascii="Times New Roman" w:hAnsi="Times New Roman"/>
          <w:b/>
          <w:lang w:val="lt-LT"/>
        </w:rPr>
        <w:t xml:space="preserve"> per didelę Osagrand dozę</w:t>
      </w:r>
      <w:r w:rsidRPr="00816A48">
        <w:rPr>
          <w:rFonts w:ascii="Times New Roman" w:hAnsi="Times New Roman"/>
          <w:b/>
          <w:bCs/>
          <w:lang w:val="lt-LT"/>
        </w:rPr>
        <w:t>?</w:t>
      </w:r>
    </w:p>
    <w:p w14:paraId="24216991" w14:textId="77777777" w:rsidR="007750B7" w:rsidRPr="00816A48" w:rsidRDefault="007750B7" w:rsidP="00A761AB">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Gali sumažėti kalcio, fosforo arba magnio koncentracijos kraujyje. Jūsų gydytojas gali imtis priemonių šiems pokyčiams koreguoti ir skirti preparatų, kurių sudėtyje yra šių mineralų, injekcijas į veną.</w:t>
      </w:r>
    </w:p>
    <w:p w14:paraId="30DBA5F6" w14:textId="77777777" w:rsidR="007750B7" w:rsidRPr="00816A48" w:rsidRDefault="007750B7" w:rsidP="00A761AB">
      <w:pPr>
        <w:autoSpaceDE w:val="0"/>
        <w:autoSpaceDN w:val="0"/>
        <w:adjustRightInd w:val="0"/>
        <w:spacing w:after="0" w:line="240" w:lineRule="auto"/>
        <w:rPr>
          <w:rFonts w:ascii="Times New Roman" w:hAnsi="Times New Roman"/>
          <w:lang w:val="lt-LT"/>
        </w:rPr>
      </w:pPr>
    </w:p>
    <w:p w14:paraId="757A9060" w14:textId="77777777" w:rsidR="007750B7" w:rsidRPr="00816A48" w:rsidRDefault="007750B7" w:rsidP="00A761AB">
      <w:pPr>
        <w:keepNext/>
        <w:tabs>
          <w:tab w:val="left" w:pos="567"/>
        </w:tabs>
        <w:spacing w:after="0" w:line="240" w:lineRule="auto"/>
        <w:rPr>
          <w:rFonts w:ascii="Times New Roman" w:hAnsi="Times New Roman"/>
          <w:b/>
          <w:lang w:val="lt-LT"/>
        </w:rPr>
      </w:pPr>
      <w:r w:rsidRPr="00816A48">
        <w:rPr>
          <w:rFonts w:ascii="Times New Roman" w:hAnsi="Times New Roman"/>
          <w:b/>
          <w:lang w:val="lt-LT"/>
        </w:rPr>
        <w:t>Pamiršus pavartoti Osagrand</w:t>
      </w:r>
    </w:p>
    <w:p w14:paraId="7A01B40C" w14:textId="4A5070E5" w:rsidR="007750B7" w:rsidRPr="00816A48" w:rsidRDefault="007750B7" w:rsidP="0062444B">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Turite nedelsdami užsiregistruoti kitai injekcijai. Vėliau tęskite injekcijas kas 3</w:t>
      </w:r>
      <w:r w:rsidR="009274F5">
        <w:rPr>
          <w:rFonts w:ascii="Times New Roman" w:hAnsi="Times New Roman"/>
          <w:lang w:val="lt-LT"/>
        </w:rPr>
        <w:t> </w:t>
      </w:r>
      <w:r w:rsidRPr="00816A48">
        <w:rPr>
          <w:rFonts w:ascii="Times New Roman" w:hAnsi="Times New Roman"/>
          <w:lang w:val="lt-LT"/>
        </w:rPr>
        <w:t>mėnesius, skaičiuojant nuo paskutiniosios injekcijos datos.</w:t>
      </w:r>
    </w:p>
    <w:p w14:paraId="2E653642" w14:textId="77777777" w:rsidR="007750B7" w:rsidRPr="00816A48" w:rsidRDefault="007750B7" w:rsidP="00947F45">
      <w:pPr>
        <w:autoSpaceDE w:val="0"/>
        <w:autoSpaceDN w:val="0"/>
        <w:adjustRightInd w:val="0"/>
        <w:spacing w:after="0" w:line="240" w:lineRule="auto"/>
        <w:rPr>
          <w:rFonts w:ascii="Times New Roman" w:hAnsi="Times New Roman"/>
          <w:lang w:val="lt-LT"/>
        </w:rPr>
      </w:pPr>
    </w:p>
    <w:p w14:paraId="7BDF4C3A"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407C4D7F" w14:textId="77777777" w:rsidR="007750B7" w:rsidRPr="00816A48" w:rsidRDefault="007750B7" w:rsidP="003D3259">
      <w:pPr>
        <w:autoSpaceDE w:val="0"/>
        <w:autoSpaceDN w:val="0"/>
        <w:adjustRightInd w:val="0"/>
        <w:spacing w:after="0" w:line="240" w:lineRule="auto"/>
        <w:ind w:left="540" w:hanging="540"/>
        <w:rPr>
          <w:rFonts w:ascii="Times New Roman" w:hAnsi="Times New Roman"/>
          <w:b/>
          <w:bCs/>
          <w:lang w:val="lt-LT"/>
        </w:rPr>
      </w:pPr>
      <w:r w:rsidRPr="00816A48">
        <w:rPr>
          <w:rFonts w:ascii="Times New Roman" w:hAnsi="Times New Roman"/>
          <w:b/>
          <w:bCs/>
          <w:lang w:val="lt-LT"/>
        </w:rPr>
        <w:t>4.</w:t>
      </w:r>
      <w:r w:rsidRPr="00816A48">
        <w:rPr>
          <w:rFonts w:ascii="Times New Roman" w:hAnsi="Times New Roman"/>
          <w:b/>
          <w:bCs/>
          <w:lang w:val="lt-LT"/>
        </w:rPr>
        <w:tab/>
      </w:r>
      <w:r w:rsidR="00DD7336" w:rsidRPr="00816A48">
        <w:rPr>
          <w:rFonts w:ascii="Times New Roman" w:hAnsi="Times New Roman"/>
          <w:b/>
          <w:bCs/>
          <w:lang w:val="lt-LT"/>
        </w:rPr>
        <w:t>Galimas šalutinis poveikis</w:t>
      </w:r>
    </w:p>
    <w:p w14:paraId="7BB5E7DC"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0C8CE440" w14:textId="77777777" w:rsidR="007750B7" w:rsidRPr="00816A48" w:rsidRDefault="003C4DA8" w:rsidP="003C4DA8">
      <w:pPr>
        <w:autoSpaceDE w:val="0"/>
        <w:autoSpaceDN w:val="0"/>
        <w:adjustRightInd w:val="0"/>
        <w:spacing w:after="0" w:line="240" w:lineRule="auto"/>
        <w:rPr>
          <w:rFonts w:ascii="Times New Roman" w:hAnsi="Times New Roman"/>
          <w:lang w:val="lt-LT"/>
        </w:rPr>
      </w:pPr>
      <w:r w:rsidRPr="00816A48">
        <w:rPr>
          <w:rFonts w:ascii="Times New Roman" w:eastAsia="MS Mincho" w:hAnsi="Times New Roman"/>
          <w:lang w:val="lt-LT" w:eastAsia="ja-JP"/>
        </w:rPr>
        <w:t>Šis vaistas</w:t>
      </w:r>
      <w:r w:rsidRPr="00816A48">
        <w:rPr>
          <w:rFonts w:ascii="Times New Roman" w:hAnsi="Times New Roman"/>
          <w:lang w:val="lt-LT"/>
        </w:rPr>
        <w:t xml:space="preserve">, kaip ir </w:t>
      </w:r>
      <w:r w:rsidRPr="00816A48">
        <w:rPr>
          <w:rFonts w:ascii="Times New Roman" w:eastAsia="MS Mincho" w:hAnsi="Times New Roman"/>
          <w:lang w:val="lt-LT" w:eastAsia="ja-JP"/>
        </w:rPr>
        <w:t xml:space="preserve">visi </w:t>
      </w:r>
      <w:r w:rsidRPr="00816A48">
        <w:rPr>
          <w:rFonts w:ascii="Times New Roman" w:hAnsi="Times New Roman"/>
          <w:lang w:val="lt-LT"/>
        </w:rPr>
        <w:t>kiti,</w:t>
      </w:r>
      <w:r w:rsidR="007750B7" w:rsidRPr="00816A48">
        <w:rPr>
          <w:rFonts w:ascii="Times New Roman" w:hAnsi="Times New Roman"/>
          <w:lang w:val="lt-LT"/>
        </w:rPr>
        <w:t xml:space="preserve"> gali sukelti šalutinį poveikį, nors jis pasireiškia ne visiems žmonėms.</w:t>
      </w:r>
    </w:p>
    <w:p w14:paraId="141D3283" w14:textId="77777777" w:rsidR="007750B7" w:rsidRPr="00816A48" w:rsidRDefault="007750B7" w:rsidP="00A761AB">
      <w:pPr>
        <w:autoSpaceDE w:val="0"/>
        <w:autoSpaceDN w:val="0"/>
        <w:adjustRightInd w:val="0"/>
        <w:spacing w:after="0" w:line="240" w:lineRule="auto"/>
        <w:rPr>
          <w:rFonts w:ascii="Times New Roman" w:hAnsi="Times New Roman"/>
          <w:b/>
          <w:lang w:val="lt-LT"/>
        </w:rPr>
      </w:pPr>
    </w:p>
    <w:p w14:paraId="3F27751A" w14:textId="77777777" w:rsidR="007750B7" w:rsidRPr="00816A48" w:rsidRDefault="007750B7" w:rsidP="00A761AB">
      <w:pPr>
        <w:autoSpaceDE w:val="0"/>
        <w:autoSpaceDN w:val="0"/>
        <w:adjustRightInd w:val="0"/>
        <w:spacing w:after="0" w:line="240" w:lineRule="auto"/>
        <w:rPr>
          <w:rFonts w:ascii="Times New Roman" w:hAnsi="Times New Roman"/>
          <w:b/>
          <w:lang w:val="lt-LT"/>
        </w:rPr>
      </w:pPr>
      <w:r w:rsidRPr="00816A48">
        <w:rPr>
          <w:rFonts w:ascii="Times New Roman" w:hAnsi="Times New Roman"/>
          <w:b/>
          <w:lang w:val="lt-LT"/>
        </w:rPr>
        <w:t>Jeigu pastebėjote bet kurį iš šių sunkių šalutinių poveikių, nedelsdami pasakykite slaugytojui</w:t>
      </w:r>
    </w:p>
    <w:p w14:paraId="67C4320C" w14:textId="77777777" w:rsidR="007750B7" w:rsidRPr="00816A48" w:rsidRDefault="007750B7" w:rsidP="00A761AB">
      <w:pPr>
        <w:autoSpaceDE w:val="0"/>
        <w:autoSpaceDN w:val="0"/>
        <w:adjustRightInd w:val="0"/>
        <w:spacing w:after="0" w:line="240" w:lineRule="auto"/>
        <w:rPr>
          <w:rFonts w:ascii="Times New Roman" w:hAnsi="Times New Roman"/>
          <w:b/>
          <w:lang w:val="lt-LT"/>
        </w:rPr>
      </w:pPr>
      <w:r w:rsidRPr="00816A48">
        <w:rPr>
          <w:rFonts w:ascii="Times New Roman" w:hAnsi="Times New Roman"/>
          <w:b/>
          <w:lang w:val="lt-LT"/>
        </w:rPr>
        <w:t>arba gydytojui, nes Jums gali reikė</w:t>
      </w:r>
      <w:r w:rsidR="002D4654" w:rsidRPr="00816A48">
        <w:rPr>
          <w:rFonts w:ascii="Times New Roman" w:hAnsi="Times New Roman"/>
          <w:b/>
          <w:lang w:val="lt-LT"/>
        </w:rPr>
        <w:t>ti skubios medicininės pagalbos</w:t>
      </w:r>
      <w:r w:rsidR="002D4654" w:rsidRPr="00816A48">
        <w:rPr>
          <w:rFonts w:ascii="Times New Roman" w:eastAsia="MS Mincho" w:hAnsi="Times New Roman"/>
          <w:b/>
          <w:bCs/>
          <w:lang w:val="lt-LT" w:eastAsia="ja-JP"/>
        </w:rPr>
        <w:t>.</w:t>
      </w:r>
    </w:p>
    <w:p w14:paraId="6CC0DAC3" w14:textId="5E1ABFA2" w:rsidR="00006A13" w:rsidRDefault="00006A13" w:rsidP="0062444B">
      <w:pPr>
        <w:tabs>
          <w:tab w:val="left" w:pos="0"/>
        </w:tabs>
        <w:autoSpaceDE w:val="0"/>
        <w:autoSpaceDN w:val="0"/>
        <w:adjustRightInd w:val="0"/>
        <w:spacing w:after="0" w:line="240" w:lineRule="auto"/>
        <w:ind w:right="-20"/>
        <w:rPr>
          <w:rFonts w:ascii="Times New Roman" w:eastAsia="MS Mincho" w:hAnsi="Times New Roman"/>
          <w:bCs/>
          <w:color w:val="000000"/>
          <w:lang w:val="lt-LT" w:eastAsia="ja-JP"/>
        </w:rPr>
      </w:pPr>
    </w:p>
    <w:p w14:paraId="2FC5A5FA" w14:textId="77777777" w:rsidR="008A082A" w:rsidRPr="007D6EA1" w:rsidRDefault="008A082A" w:rsidP="008A082A">
      <w:pPr>
        <w:autoSpaceDE w:val="0"/>
        <w:autoSpaceDN w:val="0"/>
        <w:adjustRightInd w:val="0"/>
        <w:spacing w:after="0" w:line="240" w:lineRule="auto"/>
        <w:ind w:left="520" w:right="-20" w:hanging="520"/>
        <w:rPr>
          <w:rFonts w:ascii="Times New Roman" w:hAnsi="Times New Roman"/>
          <w:b/>
          <w:bCs/>
          <w:color w:val="000000"/>
          <w:lang w:val="lt-LT"/>
        </w:rPr>
      </w:pPr>
      <w:r w:rsidRPr="007D6EA1">
        <w:rPr>
          <w:rFonts w:ascii="Times New Roman" w:hAnsi="Times New Roman"/>
          <w:b/>
          <w:bCs/>
          <w:color w:val="000000"/>
          <w:lang w:val="lt-LT"/>
        </w:rPr>
        <w:t>Nedažni šalutinio poveikio reiškiniai (</w:t>
      </w:r>
      <w:r w:rsidRPr="007D6EA1">
        <w:rPr>
          <w:rFonts w:ascii="Times New Roman" w:eastAsia="MS Mincho" w:hAnsi="Times New Roman"/>
          <w:b/>
          <w:bCs/>
          <w:color w:val="000000"/>
          <w:lang w:val="lt-LT" w:eastAsia="ja-JP"/>
        </w:rPr>
        <w:t>gali pasireikšti rečiau</w:t>
      </w:r>
      <w:r w:rsidRPr="007D6EA1">
        <w:rPr>
          <w:rFonts w:ascii="Times New Roman" w:hAnsi="Times New Roman"/>
          <w:b/>
          <w:bCs/>
          <w:color w:val="000000"/>
          <w:lang w:val="lt-LT"/>
        </w:rPr>
        <w:t xml:space="preserve"> kaip 1 iš 100 asmenų): </w:t>
      </w:r>
    </w:p>
    <w:p w14:paraId="52385D7D" w14:textId="77777777" w:rsidR="008A082A" w:rsidRPr="00AC02F2" w:rsidRDefault="008A082A" w:rsidP="008A082A">
      <w:pPr>
        <w:numPr>
          <w:ilvl w:val="0"/>
          <w:numId w:val="39"/>
        </w:numPr>
        <w:autoSpaceDE w:val="0"/>
        <w:autoSpaceDN w:val="0"/>
        <w:adjustRightInd w:val="0"/>
        <w:spacing w:after="0" w:line="240" w:lineRule="auto"/>
        <w:ind w:left="567" w:hanging="567"/>
        <w:rPr>
          <w:rFonts w:ascii="Times New Roman" w:eastAsia="MS Mincho" w:hAnsi="Times New Roman"/>
          <w:color w:val="000000"/>
          <w:lang w:val="lt-LT" w:eastAsia="ja-JP"/>
        </w:rPr>
      </w:pPr>
      <w:r w:rsidRPr="00AC02F2">
        <w:rPr>
          <w:rFonts w:ascii="Times New Roman" w:eastAsia="MS Mincho" w:hAnsi="Times New Roman"/>
          <w:color w:val="000000"/>
          <w:lang w:val="lt-LT" w:eastAsia="ja-JP"/>
        </w:rPr>
        <w:t>mažo kalcio kiekio kraujyje simptomai (hipokalcemija), įskaitant raumenų mėšlungį ar spazmus</w:t>
      </w:r>
      <w:r>
        <w:rPr>
          <w:rFonts w:ascii="Times New Roman" w:eastAsia="MS Mincho" w:hAnsi="Times New Roman"/>
          <w:color w:val="000000"/>
          <w:lang w:val="lt-LT" w:eastAsia="ja-JP"/>
        </w:rPr>
        <w:t xml:space="preserve"> </w:t>
      </w:r>
      <w:r w:rsidRPr="00AC02F2">
        <w:rPr>
          <w:rFonts w:ascii="Times New Roman" w:eastAsia="MS Mincho" w:hAnsi="Times New Roman"/>
          <w:color w:val="000000"/>
          <w:lang w:val="lt-LT" w:eastAsia="ja-JP"/>
        </w:rPr>
        <w:t>ir (arba) dilgčiojimo pojūtį pirštuose ar aplink burną.</w:t>
      </w:r>
    </w:p>
    <w:p w14:paraId="2E3663E3" w14:textId="77777777" w:rsidR="008A082A" w:rsidRPr="00816A48" w:rsidRDefault="008A082A" w:rsidP="0062444B">
      <w:pPr>
        <w:tabs>
          <w:tab w:val="left" w:pos="0"/>
        </w:tabs>
        <w:autoSpaceDE w:val="0"/>
        <w:autoSpaceDN w:val="0"/>
        <w:adjustRightInd w:val="0"/>
        <w:spacing w:after="0" w:line="240" w:lineRule="auto"/>
        <w:ind w:right="-20"/>
        <w:rPr>
          <w:rFonts w:ascii="Times New Roman" w:eastAsia="MS Mincho" w:hAnsi="Times New Roman"/>
          <w:bCs/>
          <w:color w:val="000000"/>
          <w:lang w:val="lt-LT" w:eastAsia="ja-JP"/>
        </w:rPr>
      </w:pPr>
    </w:p>
    <w:p w14:paraId="3D9553F7" w14:textId="52CFA3BB" w:rsidR="00006A13" w:rsidRPr="00F55F27" w:rsidRDefault="00006A13" w:rsidP="003D3259">
      <w:pPr>
        <w:tabs>
          <w:tab w:val="left" w:pos="0"/>
          <w:tab w:val="left" w:pos="567"/>
        </w:tabs>
        <w:autoSpaceDE w:val="0"/>
        <w:autoSpaceDN w:val="0"/>
        <w:adjustRightInd w:val="0"/>
        <w:spacing w:after="0" w:line="240" w:lineRule="auto"/>
        <w:rPr>
          <w:rFonts w:ascii="Times New Roman" w:eastAsia="MS Mincho" w:hAnsi="Times New Roman"/>
          <w:b/>
          <w:color w:val="000000"/>
          <w:lang w:val="lt-LT" w:eastAsia="ja-JP"/>
        </w:rPr>
      </w:pPr>
      <w:r w:rsidRPr="00F55F27">
        <w:rPr>
          <w:rFonts w:ascii="Times New Roman" w:eastAsia="MS Mincho" w:hAnsi="Times New Roman"/>
          <w:b/>
          <w:color w:val="000000"/>
          <w:lang w:val="lt-LT" w:eastAsia="ja-JP"/>
        </w:rPr>
        <w:t xml:space="preserve">Reti </w:t>
      </w:r>
      <w:r w:rsidR="00E632E6" w:rsidRPr="00F55F27">
        <w:rPr>
          <w:rFonts w:ascii="Times New Roman" w:eastAsia="MS Mincho" w:hAnsi="Times New Roman"/>
          <w:b/>
          <w:color w:val="000000"/>
          <w:lang w:val="lt-LT" w:eastAsia="ja-JP"/>
        </w:rPr>
        <w:t xml:space="preserve">šalutinio poveikio reiškiniai </w:t>
      </w:r>
      <w:r w:rsidRPr="00F55F27">
        <w:rPr>
          <w:rFonts w:ascii="Times New Roman" w:eastAsia="MS Mincho" w:hAnsi="Times New Roman"/>
          <w:b/>
          <w:color w:val="000000"/>
          <w:lang w:val="lt-LT" w:eastAsia="ja-JP"/>
        </w:rPr>
        <w:t xml:space="preserve">(gali pasireikšti </w:t>
      </w:r>
      <w:r w:rsidR="002B592C" w:rsidRPr="00F55F27">
        <w:rPr>
          <w:rFonts w:ascii="Times New Roman" w:eastAsia="MS Mincho" w:hAnsi="Times New Roman"/>
          <w:b/>
          <w:color w:val="000000"/>
          <w:lang w:val="lt-LT" w:eastAsia="ja-JP"/>
        </w:rPr>
        <w:t>rečiau</w:t>
      </w:r>
      <w:r w:rsidRPr="00F55F27">
        <w:rPr>
          <w:rFonts w:ascii="Times New Roman" w:eastAsia="MS Mincho" w:hAnsi="Times New Roman"/>
          <w:b/>
          <w:color w:val="000000"/>
          <w:lang w:val="lt-LT" w:eastAsia="ja-JP"/>
        </w:rPr>
        <w:t xml:space="preserve"> kaip 1 iš 1</w:t>
      </w:r>
      <w:r w:rsidR="00AC02F2" w:rsidRPr="00F55F27">
        <w:rPr>
          <w:rFonts w:ascii="Times New Roman" w:eastAsia="MS Mincho" w:hAnsi="Times New Roman"/>
          <w:b/>
          <w:color w:val="000000"/>
          <w:lang w:val="lt-LT" w:eastAsia="ja-JP"/>
        </w:rPr>
        <w:t> </w:t>
      </w:r>
      <w:r w:rsidRPr="00F55F27">
        <w:rPr>
          <w:rFonts w:ascii="Times New Roman" w:eastAsia="MS Mincho" w:hAnsi="Times New Roman"/>
          <w:b/>
          <w:color w:val="000000"/>
          <w:lang w:val="lt-LT" w:eastAsia="ja-JP"/>
        </w:rPr>
        <w:t xml:space="preserve">000 </w:t>
      </w:r>
      <w:r w:rsidR="00AC02F2" w:rsidRPr="00F55F27">
        <w:rPr>
          <w:rFonts w:ascii="Times New Roman" w:eastAsia="MS Mincho" w:hAnsi="Times New Roman"/>
          <w:b/>
          <w:color w:val="000000"/>
          <w:lang w:val="lt-LT" w:eastAsia="ja-JP"/>
        </w:rPr>
        <w:t>asmenų</w:t>
      </w:r>
      <w:r w:rsidRPr="00F55F27">
        <w:rPr>
          <w:rFonts w:ascii="Times New Roman" w:eastAsia="MS Mincho" w:hAnsi="Times New Roman"/>
          <w:b/>
          <w:color w:val="000000"/>
          <w:lang w:val="lt-LT" w:eastAsia="ja-JP"/>
        </w:rPr>
        <w:t xml:space="preserve">): </w:t>
      </w:r>
    </w:p>
    <w:p w14:paraId="24C2FE94" w14:textId="77777777" w:rsidR="00006A13" w:rsidRPr="00816A48" w:rsidRDefault="00006A13" w:rsidP="00861232">
      <w:pPr>
        <w:tabs>
          <w:tab w:val="left" w:pos="0"/>
          <w:tab w:val="left" w:pos="567"/>
        </w:tabs>
        <w:autoSpaceDE w:val="0"/>
        <w:autoSpaceDN w:val="0"/>
        <w:adjustRightInd w:val="0"/>
        <w:spacing w:after="0" w:line="240" w:lineRule="auto"/>
        <w:rPr>
          <w:rFonts w:ascii="Times New Roman" w:hAnsi="Times New Roman"/>
          <w:color w:val="000000"/>
          <w:lang w:val="lt-LT"/>
        </w:rPr>
      </w:pPr>
      <w:r w:rsidRPr="00816A48">
        <w:rPr>
          <w:rFonts w:ascii="Times New Roman" w:eastAsia="MS Mincho" w:hAnsi="Times New Roman"/>
          <w:bCs/>
          <w:color w:val="000000"/>
          <w:lang w:val="lt-LT" w:eastAsia="ja-JP"/>
        </w:rPr>
        <w:t>-</w:t>
      </w:r>
      <w:r w:rsidRPr="00816A48">
        <w:rPr>
          <w:rFonts w:ascii="Times New Roman" w:eastAsia="MS Mincho" w:hAnsi="Times New Roman"/>
          <w:bCs/>
          <w:color w:val="000000"/>
          <w:lang w:val="lt-LT" w:eastAsia="ja-JP"/>
        </w:rPr>
        <w:tab/>
        <w:t>niežulys</w:t>
      </w:r>
      <w:r w:rsidRPr="00816A48">
        <w:rPr>
          <w:rFonts w:ascii="Times New Roman" w:hAnsi="Times New Roman"/>
          <w:color w:val="000000"/>
          <w:lang w:val="lt-LT"/>
        </w:rPr>
        <w:t xml:space="preserve">, veido, lūpų, liežuvio </w:t>
      </w:r>
      <w:r w:rsidRPr="00816A48">
        <w:rPr>
          <w:rFonts w:ascii="Times New Roman" w:eastAsia="MS Mincho" w:hAnsi="Times New Roman"/>
          <w:bCs/>
          <w:color w:val="000000"/>
          <w:lang w:val="lt-LT" w:eastAsia="ja-JP"/>
        </w:rPr>
        <w:t>ir ryklės</w:t>
      </w:r>
      <w:r w:rsidRPr="00816A48">
        <w:rPr>
          <w:rFonts w:ascii="Times New Roman" w:hAnsi="Times New Roman"/>
          <w:color w:val="000000"/>
          <w:lang w:val="lt-LT"/>
        </w:rPr>
        <w:t xml:space="preserve"> </w:t>
      </w:r>
      <w:r w:rsidR="003C4DA8" w:rsidRPr="00816A48">
        <w:rPr>
          <w:rFonts w:ascii="Times New Roman" w:hAnsi="Times New Roman"/>
          <w:color w:val="000000"/>
          <w:lang w:val="lt-LT"/>
        </w:rPr>
        <w:t>patinimas</w:t>
      </w:r>
      <w:r w:rsidR="003C4DA8" w:rsidRPr="00816A48">
        <w:rPr>
          <w:rFonts w:ascii="Times New Roman" w:eastAsia="MS Mincho" w:hAnsi="Times New Roman"/>
          <w:bCs/>
          <w:color w:val="000000"/>
          <w:lang w:val="lt-LT" w:eastAsia="ja-JP"/>
        </w:rPr>
        <w:t xml:space="preserve"> </w:t>
      </w:r>
      <w:r w:rsidRPr="00816A48">
        <w:rPr>
          <w:rFonts w:ascii="Times New Roman" w:eastAsia="MS Mincho" w:hAnsi="Times New Roman"/>
          <w:bCs/>
          <w:color w:val="000000"/>
          <w:lang w:val="lt-LT" w:eastAsia="ja-JP"/>
        </w:rPr>
        <w:t>su kvėpavimo pasunkėjimu;</w:t>
      </w:r>
    </w:p>
    <w:p w14:paraId="67AD310E" w14:textId="77777777" w:rsidR="00006A13" w:rsidRPr="00816A48" w:rsidRDefault="00006A13" w:rsidP="003D3259">
      <w:pPr>
        <w:tabs>
          <w:tab w:val="left" w:pos="0"/>
          <w:tab w:val="left" w:pos="567"/>
        </w:tabs>
        <w:autoSpaceDE w:val="0"/>
        <w:autoSpaceDN w:val="0"/>
        <w:adjustRightInd w:val="0"/>
        <w:spacing w:after="0" w:line="240" w:lineRule="auto"/>
        <w:rPr>
          <w:rFonts w:ascii="Times New Roman" w:eastAsia="MS Mincho" w:hAnsi="Times New Roman"/>
          <w:bCs/>
          <w:color w:val="000000"/>
          <w:lang w:val="lt-LT" w:eastAsia="ja-JP"/>
        </w:rPr>
      </w:pPr>
      <w:r w:rsidRPr="00816A48">
        <w:rPr>
          <w:rFonts w:ascii="Times New Roman" w:eastAsia="MS Mincho" w:hAnsi="Times New Roman"/>
          <w:bCs/>
          <w:color w:val="000000"/>
          <w:lang w:val="lt-LT" w:eastAsia="ja-JP"/>
        </w:rPr>
        <w:t>-</w:t>
      </w:r>
      <w:r w:rsidRPr="00816A48">
        <w:rPr>
          <w:rFonts w:ascii="Times New Roman" w:eastAsia="MS Mincho" w:hAnsi="Times New Roman"/>
          <w:bCs/>
          <w:color w:val="000000"/>
          <w:lang w:val="lt-LT" w:eastAsia="ja-JP"/>
        </w:rPr>
        <w:tab/>
        <w:t xml:space="preserve">nuolatinis </w:t>
      </w:r>
      <w:r w:rsidRPr="00816A48">
        <w:rPr>
          <w:rFonts w:ascii="Times New Roman" w:hAnsi="Times New Roman"/>
          <w:color w:val="000000"/>
          <w:lang w:val="lt-LT"/>
        </w:rPr>
        <w:t xml:space="preserve">akių skausmas ir uždegimas (jei ilgai </w:t>
      </w:r>
      <w:r w:rsidRPr="00816A48">
        <w:rPr>
          <w:rFonts w:ascii="Times New Roman" w:eastAsia="MS Mincho" w:hAnsi="Times New Roman"/>
          <w:bCs/>
          <w:color w:val="000000"/>
          <w:lang w:val="lt-LT" w:eastAsia="ja-JP"/>
        </w:rPr>
        <w:t>trunka);</w:t>
      </w:r>
    </w:p>
    <w:p w14:paraId="7A3FD640" w14:textId="77777777" w:rsidR="00006A13" w:rsidRPr="00816A48" w:rsidRDefault="00006A13" w:rsidP="003D3259">
      <w:pPr>
        <w:tabs>
          <w:tab w:val="left" w:pos="567"/>
        </w:tabs>
        <w:autoSpaceDE w:val="0"/>
        <w:autoSpaceDN w:val="0"/>
        <w:adjustRightInd w:val="0"/>
        <w:spacing w:after="0" w:line="240" w:lineRule="auto"/>
        <w:ind w:left="567" w:hanging="567"/>
        <w:rPr>
          <w:rFonts w:ascii="Times New Roman" w:eastAsia="MS Mincho" w:hAnsi="Times New Roman"/>
          <w:bCs/>
          <w:color w:val="000000"/>
          <w:lang w:val="lt-LT" w:eastAsia="ja-JP"/>
        </w:rPr>
      </w:pPr>
      <w:r w:rsidRPr="00816A48">
        <w:rPr>
          <w:rFonts w:ascii="Times New Roman" w:eastAsia="MS Mincho" w:hAnsi="Times New Roman"/>
          <w:bCs/>
          <w:color w:val="000000"/>
          <w:lang w:val="lt-LT" w:eastAsia="ja-JP"/>
        </w:rPr>
        <w:t>-</w:t>
      </w:r>
      <w:r w:rsidRPr="00816A48">
        <w:rPr>
          <w:rFonts w:ascii="Times New Roman" w:eastAsia="MS Mincho" w:hAnsi="Times New Roman"/>
          <w:bCs/>
          <w:color w:val="000000"/>
          <w:lang w:val="lt-LT" w:eastAsia="ja-JP"/>
        </w:rPr>
        <w:tab/>
        <w:t xml:space="preserve">naujai pasireiškęs skausmas, </w:t>
      </w:r>
      <w:r w:rsidR="00BB4832" w:rsidRPr="00816A48">
        <w:rPr>
          <w:rFonts w:ascii="Times New Roman" w:eastAsia="MS Mincho" w:hAnsi="Times New Roman"/>
          <w:bCs/>
          <w:color w:val="000000"/>
          <w:lang w:val="lt-LT" w:eastAsia="ja-JP"/>
        </w:rPr>
        <w:t xml:space="preserve">šlaunų, klubo ar kirkšnies </w:t>
      </w:r>
      <w:r w:rsidRPr="00816A48">
        <w:rPr>
          <w:rFonts w:ascii="Times New Roman" w:eastAsia="MS Mincho" w:hAnsi="Times New Roman"/>
          <w:bCs/>
          <w:color w:val="000000"/>
          <w:lang w:val="lt-LT" w:eastAsia="ja-JP"/>
        </w:rPr>
        <w:t xml:space="preserve">silpnumas </w:t>
      </w:r>
      <w:r w:rsidR="003C4DA8" w:rsidRPr="00816A48">
        <w:rPr>
          <w:rFonts w:ascii="Times New Roman" w:eastAsia="MS Mincho" w:hAnsi="Times New Roman"/>
          <w:bCs/>
          <w:color w:val="000000"/>
          <w:lang w:val="lt-LT" w:eastAsia="ja-JP"/>
        </w:rPr>
        <w:t>a</w:t>
      </w:r>
      <w:r w:rsidRPr="00816A48">
        <w:rPr>
          <w:rFonts w:ascii="Times New Roman" w:eastAsia="MS Mincho" w:hAnsi="Times New Roman"/>
          <w:bCs/>
          <w:color w:val="000000"/>
          <w:lang w:val="lt-LT" w:eastAsia="ja-JP"/>
        </w:rPr>
        <w:t>r diskomfortas</w:t>
      </w:r>
      <w:r w:rsidR="00BB4832" w:rsidRPr="00816A48">
        <w:rPr>
          <w:rFonts w:ascii="Times New Roman" w:eastAsia="MS Mincho" w:hAnsi="Times New Roman"/>
          <w:bCs/>
          <w:color w:val="000000"/>
          <w:lang w:val="lt-LT" w:eastAsia="ja-JP"/>
        </w:rPr>
        <w:t>. Tai gali būti ankstyvi neįprasto šlaunikaulio lūžimo</w:t>
      </w:r>
      <w:r w:rsidR="00DC1CA0" w:rsidRPr="00816A48">
        <w:rPr>
          <w:rFonts w:ascii="Times New Roman" w:eastAsia="MS Mincho" w:hAnsi="Times New Roman"/>
          <w:bCs/>
          <w:color w:val="000000"/>
          <w:lang w:val="lt-LT" w:eastAsia="ja-JP"/>
        </w:rPr>
        <w:t xml:space="preserve"> požymiai</w:t>
      </w:r>
      <w:r w:rsidR="00BB4832" w:rsidRPr="00816A48">
        <w:rPr>
          <w:rFonts w:ascii="Times New Roman" w:eastAsia="MS Mincho" w:hAnsi="Times New Roman"/>
          <w:bCs/>
          <w:color w:val="000000"/>
          <w:lang w:val="lt-LT" w:eastAsia="ja-JP"/>
        </w:rPr>
        <w:t>.</w:t>
      </w:r>
      <w:r w:rsidRPr="00816A48">
        <w:rPr>
          <w:rFonts w:ascii="Times New Roman" w:eastAsia="MS Mincho" w:hAnsi="Times New Roman"/>
          <w:bCs/>
          <w:color w:val="000000"/>
          <w:lang w:val="lt-LT" w:eastAsia="ja-JP"/>
        </w:rPr>
        <w:t xml:space="preserve"> </w:t>
      </w:r>
    </w:p>
    <w:p w14:paraId="7E0B523A" w14:textId="77777777" w:rsidR="00006A13" w:rsidRPr="00816A48" w:rsidRDefault="00006A13" w:rsidP="003D3259">
      <w:pPr>
        <w:tabs>
          <w:tab w:val="left" w:pos="0"/>
          <w:tab w:val="left" w:pos="567"/>
        </w:tabs>
        <w:autoSpaceDE w:val="0"/>
        <w:autoSpaceDN w:val="0"/>
        <w:adjustRightInd w:val="0"/>
        <w:spacing w:after="0" w:line="240" w:lineRule="auto"/>
        <w:rPr>
          <w:rFonts w:ascii="Times New Roman" w:eastAsia="MS Mincho" w:hAnsi="Times New Roman"/>
          <w:bCs/>
          <w:color w:val="000000"/>
          <w:lang w:val="lt-LT" w:eastAsia="ja-JP"/>
        </w:rPr>
      </w:pPr>
    </w:p>
    <w:p w14:paraId="135E7A60" w14:textId="02C92AC8" w:rsidR="00006A13" w:rsidRPr="00F55F27" w:rsidRDefault="00BB4832" w:rsidP="003D3259">
      <w:pPr>
        <w:tabs>
          <w:tab w:val="left" w:pos="0"/>
          <w:tab w:val="left" w:pos="567"/>
        </w:tabs>
        <w:autoSpaceDE w:val="0"/>
        <w:autoSpaceDN w:val="0"/>
        <w:adjustRightInd w:val="0"/>
        <w:spacing w:after="0" w:line="240" w:lineRule="auto"/>
        <w:rPr>
          <w:rFonts w:ascii="Times New Roman" w:eastAsia="MS Mincho" w:hAnsi="Times New Roman"/>
          <w:b/>
          <w:color w:val="000000"/>
          <w:lang w:val="lt-LT" w:eastAsia="ja-JP"/>
        </w:rPr>
      </w:pPr>
      <w:r w:rsidRPr="00F55F27">
        <w:rPr>
          <w:rFonts w:ascii="Times New Roman" w:eastAsia="MS Mincho" w:hAnsi="Times New Roman"/>
          <w:b/>
          <w:color w:val="000000"/>
          <w:lang w:val="lt-LT" w:eastAsia="ja-JP"/>
        </w:rPr>
        <w:t>Labai reti</w:t>
      </w:r>
      <w:r w:rsidR="00E632E6" w:rsidRPr="00F55F27">
        <w:rPr>
          <w:rFonts w:ascii="Times New Roman" w:eastAsia="MS Mincho" w:hAnsi="Times New Roman"/>
          <w:b/>
          <w:color w:val="000000"/>
          <w:lang w:val="lt-LT" w:eastAsia="ja-JP"/>
        </w:rPr>
        <w:t xml:space="preserve"> šalutinio poveikio reiškiniai</w:t>
      </w:r>
      <w:r w:rsidRPr="00F55F27">
        <w:rPr>
          <w:rFonts w:ascii="Times New Roman" w:eastAsia="MS Mincho" w:hAnsi="Times New Roman"/>
          <w:b/>
          <w:color w:val="000000"/>
          <w:lang w:val="lt-LT" w:eastAsia="ja-JP"/>
        </w:rPr>
        <w:t xml:space="preserve"> (gali pasireikšti </w:t>
      </w:r>
      <w:r w:rsidR="002B592C" w:rsidRPr="00F55F27">
        <w:rPr>
          <w:rFonts w:ascii="Times New Roman" w:eastAsia="MS Mincho" w:hAnsi="Times New Roman"/>
          <w:b/>
          <w:color w:val="000000"/>
          <w:lang w:val="lt-LT" w:eastAsia="ja-JP"/>
        </w:rPr>
        <w:t>rečiau</w:t>
      </w:r>
      <w:r w:rsidRPr="00F55F27">
        <w:rPr>
          <w:rFonts w:ascii="Times New Roman" w:eastAsia="MS Mincho" w:hAnsi="Times New Roman"/>
          <w:b/>
          <w:color w:val="000000"/>
          <w:lang w:val="lt-LT" w:eastAsia="ja-JP"/>
        </w:rPr>
        <w:t xml:space="preserve"> kaip 1 iš 10</w:t>
      </w:r>
      <w:r w:rsidR="00691E9C" w:rsidRPr="00F55F27">
        <w:rPr>
          <w:rFonts w:ascii="Times New Roman" w:eastAsia="MS Mincho" w:hAnsi="Times New Roman"/>
          <w:b/>
          <w:color w:val="000000"/>
          <w:lang w:val="lt-LT" w:eastAsia="ja-JP"/>
        </w:rPr>
        <w:t xml:space="preserve"> </w:t>
      </w:r>
      <w:r w:rsidRPr="00F55F27">
        <w:rPr>
          <w:rFonts w:ascii="Times New Roman" w:eastAsia="MS Mincho" w:hAnsi="Times New Roman"/>
          <w:b/>
          <w:color w:val="000000"/>
          <w:lang w:val="lt-LT" w:eastAsia="ja-JP"/>
        </w:rPr>
        <w:t xml:space="preserve">000 </w:t>
      </w:r>
      <w:r w:rsidR="00E632E6" w:rsidRPr="00F55F27">
        <w:rPr>
          <w:rFonts w:ascii="Times New Roman" w:eastAsia="MS Mincho" w:hAnsi="Times New Roman"/>
          <w:b/>
          <w:color w:val="000000"/>
          <w:lang w:val="lt-LT" w:eastAsia="ja-JP"/>
        </w:rPr>
        <w:t>asmenų</w:t>
      </w:r>
      <w:r w:rsidRPr="00F55F27">
        <w:rPr>
          <w:rFonts w:ascii="Times New Roman" w:eastAsia="MS Mincho" w:hAnsi="Times New Roman"/>
          <w:b/>
          <w:color w:val="000000"/>
          <w:lang w:val="lt-LT" w:eastAsia="ja-JP"/>
        </w:rPr>
        <w:t>):</w:t>
      </w:r>
    </w:p>
    <w:p w14:paraId="2A897FBB" w14:textId="77777777" w:rsidR="00BB4832" w:rsidRPr="00816A48" w:rsidRDefault="00BB4832" w:rsidP="003C4DA8">
      <w:pPr>
        <w:numPr>
          <w:ilvl w:val="0"/>
          <w:numId w:val="49"/>
        </w:numPr>
        <w:tabs>
          <w:tab w:val="left" w:pos="567"/>
        </w:tabs>
        <w:autoSpaceDE w:val="0"/>
        <w:autoSpaceDN w:val="0"/>
        <w:adjustRightInd w:val="0"/>
        <w:spacing w:after="0" w:line="240" w:lineRule="auto"/>
        <w:ind w:left="567" w:hanging="567"/>
        <w:rPr>
          <w:rFonts w:ascii="Times New Roman" w:eastAsia="MS Mincho" w:hAnsi="Times New Roman"/>
          <w:bCs/>
          <w:color w:val="000000"/>
          <w:lang w:val="lt-LT" w:eastAsia="ja-JP"/>
        </w:rPr>
      </w:pPr>
      <w:r w:rsidRPr="00816A48">
        <w:rPr>
          <w:rFonts w:ascii="Times New Roman" w:eastAsia="MS Mincho" w:hAnsi="Times New Roman"/>
          <w:bCs/>
          <w:color w:val="000000"/>
          <w:lang w:val="lt-LT" w:eastAsia="ja-JP"/>
        </w:rPr>
        <w:t xml:space="preserve">burnos ar žandikaulio skausmas arba opa. </w:t>
      </w:r>
      <w:r w:rsidR="003C4DA8" w:rsidRPr="00816A48">
        <w:rPr>
          <w:rFonts w:ascii="Times New Roman" w:eastAsia="MS Mincho" w:hAnsi="Times New Roman"/>
          <w:bCs/>
          <w:color w:val="000000"/>
          <w:lang w:val="lt-LT" w:eastAsia="ja-JP"/>
        </w:rPr>
        <w:t>Tai gali būti ankstyvieji sunkios žandikaulio ligos (nekrozės (žuvusio kaulinio audinio) žandikaulyje</w:t>
      </w:r>
      <w:r w:rsidR="002D4654" w:rsidRPr="00816A48">
        <w:rPr>
          <w:rFonts w:ascii="Times New Roman" w:eastAsia="MS Mincho" w:hAnsi="Times New Roman"/>
          <w:bCs/>
          <w:color w:val="000000"/>
          <w:lang w:val="lt-LT" w:eastAsia="ja-JP"/>
        </w:rPr>
        <w:t>) požymiai</w:t>
      </w:r>
      <w:r w:rsidRPr="00816A48">
        <w:rPr>
          <w:rFonts w:ascii="Times New Roman" w:eastAsia="MS Mincho" w:hAnsi="Times New Roman"/>
          <w:bCs/>
          <w:color w:val="000000"/>
          <w:lang w:val="lt-LT" w:eastAsia="ja-JP"/>
        </w:rPr>
        <w:t>;</w:t>
      </w:r>
    </w:p>
    <w:p w14:paraId="30B8FB6D" w14:textId="69609AC9" w:rsidR="00C63ED2" w:rsidRPr="00816A48" w:rsidRDefault="008A082A" w:rsidP="00C63ED2">
      <w:pPr>
        <w:numPr>
          <w:ilvl w:val="0"/>
          <w:numId w:val="49"/>
        </w:numPr>
        <w:tabs>
          <w:tab w:val="left" w:pos="567"/>
        </w:tabs>
        <w:autoSpaceDE w:val="0"/>
        <w:autoSpaceDN w:val="0"/>
        <w:adjustRightInd w:val="0"/>
        <w:spacing w:after="0" w:line="240" w:lineRule="auto"/>
        <w:ind w:left="567" w:hanging="567"/>
        <w:rPr>
          <w:rFonts w:ascii="Times New Roman" w:hAnsi="Times New Roman"/>
          <w:color w:val="000000"/>
          <w:lang w:val="lt-LT"/>
        </w:rPr>
      </w:pPr>
      <w:r>
        <w:rPr>
          <w:rFonts w:ascii="Times New Roman" w:eastAsia="MS Mincho" w:hAnsi="Times New Roman"/>
          <w:bCs/>
          <w:color w:val="000000"/>
          <w:lang w:val="lt-LT" w:eastAsia="ja-JP"/>
        </w:rPr>
        <w:t>p</w:t>
      </w:r>
      <w:r w:rsidR="00C63ED2" w:rsidRPr="00816A48">
        <w:rPr>
          <w:rFonts w:ascii="Times New Roman" w:hAnsi="Times New Roman"/>
          <w:color w:val="000000"/>
          <w:lang w:val="lt-LT"/>
        </w:rPr>
        <w:t>asikalbėkite su savo gydytoju, jeigu Jums skauda ausį, iš ausies teka išskyros ir (arba) Jums prasidėjęs ausies uždegimas. Tai gali būtų ausyje esančio kaulo pažeidimo požymiai</w:t>
      </w:r>
      <w:r w:rsidR="00BE33F9" w:rsidRPr="00816A48">
        <w:rPr>
          <w:rFonts w:ascii="Times New Roman" w:hAnsi="Times New Roman"/>
          <w:color w:val="000000"/>
          <w:lang w:val="lt-LT"/>
        </w:rPr>
        <w:t>;</w:t>
      </w:r>
    </w:p>
    <w:p w14:paraId="2E4BE4A9" w14:textId="77777777" w:rsidR="008A082A" w:rsidRPr="00816A48" w:rsidRDefault="008A082A" w:rsidP="008A082A">
      <w:pPr>
        <w:numPr>
          <w:ilvl w:val="0"/>
          <w:numId w:val="49"/>
        </w:numPr>
        <w:tabs>
          <w:tab w:val="left" w:pos="0"/>
          <w:tab w:val="left" w:pos="567"/>
        </w:tabs>
        <w:autoSpaceDE w:val="0"/>
        <w:autoSpaceDN w:val="0"/>
        <w:adjustRightInd w:val="0"/>
        <w:spacing w:after="0" w:line="240" w:lineRule="auto"/>
        <w:ind w:left="0" w:firstLine="0"/>
        <w:rPr>
          <w:rFonts w:ascii="Times New Roman" w:hAnsi="Times New Roman"/>
          <w:color w:val="000000"/>
          <w:lang w:val="lt-LT"/>
        </w:rPr>
      </w:pPr>
      <w:r w:rsidRPr="00816A48">
        <w:rPr>
          <w:rFonts w:ascii="Times New Roman" w:eastAsia="MS Mincho" w:hAnsi="Times New Roman"/>
          <w:bCs/>
          <w:color w:val="000000"/>
          <w:lang w:val="lt-LT" w:eastAsia="ja-JP"/>
        </w:rPr>
        <w:t>sunki, gyvybei pavojinga alerginė reakcija (žr. 2 skyrių</w:t>
      </w:r>
      <w:r w:rsidRPr="00816A48">
        <w:rPr>
          <w:rFonts w:ascii="Times New Roman" w:hAnsi="Times New Roman"/>
          <w:color w:val="000000"/>
          <w:lang w:val="lt-LT"/>
        </w:rPr>
        <w:t>);</w:t>
      </w:r>
    </w:p>
    <w:p w14:paraId="439254B2" w14:textId="77777777" w:rsidR="00BE33F9" w:rsidRPr="00816A48" w:rsidRDefault="00BE33F9" w:rsidP="00C63ED2">
      <w:pPr>
        <w:numPr>
          <w:ilvl w:val="0"/>
          <w:numId w:val="49"/>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816A48">
        <w:rPr>
          <w:rFonts w:ascii="Times New Roman" w:hAnsi="Times New Roman"/>
          <w:color w:val="000000"/>
          <w:lang w:val="lt-LT"/>
        </w:rPr>
        <w:t>sunkios nepageidaujamos odos reakcijos.</w:t>
      </w:r>
    </w:p>
    <w:p w14:paraId="5FC8112C" w14:textId="77777777" w:rsidR="00BB4832" w:rsidRPr="00816A48" w:rsidRDefault="00BB4832" w:rsidP="00861232">
      <w:pPr>
        <w:tabs>
          <w:tab w:val="left" w:pos="0"/>
          <w:tab w:val="left" w:pos="567"/>
        </w:tabs>
        <w:autoSpaceDE w:val="0"/>
        <w:autoSpaceDN w:val="0"/>
        <w:adjustRightInd w:val="0"/>
        <w:spacing w:after="0" w:line="240" w:lineRule="auto"/>
        <w:rPr>
          <w:rFonts w:ascii="Times New Roman" w:hAnsi="Times New Roman"/>
          <w:b/>
          <w:color w:val="000000"/>
          <w:lang w:val="lt-LT"/>
        </w:rPr>
      </w:pPr>
    </w:p>
    <w:p w14:paraId="19479D07" w14:textId="77777777" w:rsidR="007750B7" w:rsidRPr="00816A48" w:rsidRDefault="007750B7" w:rsidP="00861232">
      <w:pPr>
        <w:tabs>
          <w:tab w:val="left" w:pos="0"/>
          <w:tab w:val="left" w:pos="567"/>
        </w:tabs>
        <w:autoSpaceDE w:val="0"/>
        <w:autoSpaceDN w:val="0"/>
        <w:adjustRightInd w:val="0"/>
        <w:spacing w:after="0" w:line="240" w:lineRule="auto"/>
        <w:rPr>
          <w:rFonts w:ascii="Times New Roman" w:hAnsi="Times New Roman"/>
          <w:color w:val="000000"/>
          <w:lang w:val="lt-LT"/>
        </w:rPr>
      </w:pPr>
      <w:r w:rsidRPr="00816A48">
        <w:rPr>
          <w:rFonts w:ascii="Times New Roman" w:hAnsi="Times New Roman"/>
          <w:b/>
          <w:color w:val="000000"/>
          <w:lang w:val="lt-LT"/>
        </w:rPr>
        <w:t xml:space="preserve">Kiti galimi šalutiniai poveikiai </w:t>
      </w:r>
    </w:p>
    <w:p w14:paraId="6B5FD96D" w14:textId="7A7AF911" w:rsidR="00DC1CA0" w:rsidRPr="00F55F27" w:rsidRDefault="00DC1CA0" w:rsidP="00861232">
      <w:pPr>
        <w:tabs>
          <w:tab w:val="left" w:pos="0"/>
          <w:tab w:val="left" w:pos="567"/>
        </w:tabs>
        <w:autoSpaceDE w:val="0"/>
        <w:autoSpaceDN w:val="0"/>
        <w:adjustRightInd w:val="0"/>
        <w:spacing w:after="0" w:line="240" w:lineRule="auto"/>
        <w:rPr>
          <w:rFonts w:ascii="Times New Roman" w:hAnsi="Times New Roman"/>
          <w:b/>
          <w:bCs/>
          <w:color w:val="000000"/>
          <w:lang w:val="lt-LT"/>
        </w:rPr>
      </w:pPr>
      <w:r w:rsidRPr="00F55F27">
        <w:rPr>
          <w:rFonts w:ascii="Times New Roman" w:hAnsi="Times New Roman"/>
          <w:b/>
          <w:bCs/>
          <w:color w:val="000000"/>
          <w:lang w:val="lt-LT"/>
        </w:rPr>
        <w:t>Dažni</w:t>
      </w:r>
      <w:r w:rsidR="00E632E6" w:rsidRPr="00F55F27">
        <w:rPr>
          <w:rFonts w:ascii="Times New Roman" w:hAnsi="Times New Roman"/>
          <w:b/>
          <w:bCs/>
          <w:color w:val="000000"/>
          <w:lang w:val="lt-LT"/>
        </w:rPr>
        <w:t xml:space="preserve"> šalutinio poveikio reiškiniai</w:t>
      </w:r>
      <w:r w:rsidRPr="00F55F27">
        <w:rPr>
          <w:rFonts w:ascii="Times New Roman" w:hAnsi="Times New Roman"/>
          <w:b/>
          <w:bCs/>
          <w:color w:val="000000"/>
          <w:lang w:val="lt-LT"/>
        </w:rPr>
        <w:t xml:space="preserve"> (</w:t>
      </w:r>
      <w:r w:rsidR="003C4DA8" w:rsidRPr="00F55F27">
        <w:rPr>
          <w:rFonts w:ascii="Times New Roman" w:eastAsia="MS Mincho" w:hAnsi="Times New Roman"/>
          <w:b/>
          <w:bCs/>
          <w:color w:val="000000"/>
          <w:lang w:val="lt-LT" w:eastAsia="ja-JP"/>
        </w:rPr>
        <w:t xml:space="preserve">gali pasireikšti </w:t>
      </w:r>
      <w:r w:rsidR="002B592C" w:rsidRPr="00F55F27">
        <w:rPr>
          <w:rFonts w:ascii="Times New Roman" w:eastAsia="MS Mincho" w:hAnsi="Times New Roman"/>
          <w:b/>
          <w:bCs/>
          <w:color w:val="000000"/>
          <w:lang w:val="lt-LT" w:eastAsia="ja-JP"/>
        </w:rPr>
        <w:t>rečiau</w:t>
      </w:r>
      <w:r w:rsidR="003C4DA8" w:rsidRPr="00F55F27">
        <w:rPr>
          <w:rFonts w:ascii="Times New Roman" w:hAnsi="Times New Roman"/>
          <w:b/>
          <w:bCs/>
          <w:color w:val="000000"/>
          <w:lang w:val="lt-LT"/>
        </w:rPr>
        <w:t xml:space="preserve"> kaip</w:t>
      </w:r>
      <w:r w:rsidRPr="00F55F27">
        <w:rPr>
          <w:rFonts w:ascii="Times New Roman" w:hAnsi="Times New Roman"/>
          <w:b/>
          <w:bCs/>
          <w:color w:val="000000"/>
          <w:lang w:val="lt-LT"/>
        </w:rPr>
        <w:t xml:space="preserve"> 1 iš 10 </w:t>
      </w:r>
      <w:r w:rsidR="00E632E6" w:rsidRPr="00F55F27">
        <w:rPr>
          <w:rFonts w:ascii="Times New Roman" w:hAnsi="Times New Roman"/>
          <w:b/>
          <w:bCs/>
          <w:color w:val="000000"/>
          <w:lang w:val="lt-LT"/>
        </w:rPr>
        <w:t>asmenų</w:t>
      </w:r>
      <w:r w:rsidRPr="00F55F27">
        <w:rPr>
          <w:rFonts w:ascii="Times New Roman" w:hAnsi="Times New Roman"/>
          <w:b/>
          <w:bCs/>
          <w:color w:val="000000"/>
          <w:lang w:val="lt-LT"/>
        </w:rPr>
        <w:t xml:space="preserve">): </w:t>
      </w:r>
    </w:p>
    <w:p w14:paraId="57251A2A" w14:textId="77777777" w:rsidR="00DC1CA0" w:rsidRPr="00816A48" w:rsidRDefault="00DC1CA0" w:rsidP="00861232">
      <w:pPr>
        <w:numPr>
          <w:ilvl w:val="0"/>
          <w:numId w:val="49"/>
        </w:numPr>
        <w:tabs>
          <w:tab w:val="left" w:pos="0"/>
          <w:tab w:val="left" w:pos="567"/>
        </w:tabs>
        <w:autoSpaceDE w:val="0"/>
        <w:autoSpaceDN w:val="0"/>
        <w:adjustRightInd w:val="0"/>
        <w:spacing w:after="0" w:line="240" w:lineRule="auto"/>
        <w:ind w:left="0" w:firstLine="0"/>
        <w:rPr>
          <w:rFonts w:ascii="Times New Roman" w:hAnsi="Times New Roman"/>
          <w:color w:val="000000"/>
          <w:lang w:val="lt-LT"/>
        </w:rPr>
      </w:pPr>
      <w:r w:rsidRPr="00816A48">
        <w:rPr>
          <w:rFonts w:ascii="Times New Roman" w:hAnsi="Times New Roman"/>
          <w:color w:val="000000"/>
          <w:lang w:val="lt-LT"/>
        </w:rPr>
        <w:t>galvos skausmas;</w:t>
      </w:r>
    </w:p>
    <w:p w14:paraId="4569A8EE" w14:textId="77777777" w:rsidR="00DC1CA0" w:rsidRPr="00816A48" w:rsidRDefault="00DC1CA0" w:rsidP="00861232">
      <w:pPr>
        <w:numPr>
          <w:ilvl w:val="0"/>
          <w:numId w:val="49"/>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816A48">
        <w:rPr>
          <w:rFonts w:ascii="Times New Roman" w:hAnsi="Times New Roman"/>
          <w:color w:val="000000"/>
          <w:lang w:val="lt-LT"/>
        </w:rPr>
        <w:t>skrandžio skausmas (</w:t>
      </w:r>
      <w:r w:rsidR="002D4654" w:rsidRPr="00816A48">
        <w:rPr>
          <w:rFonts w:ascii="Times New Roman" w:eastAsia="MS Mincho" w:hAnsi="Times New Roman"/>
          <w:color w:val="000000"/>
          <w:lang w:val="lt-LT" w:eastAsia="ja-JP"/>
        </w:rPr>
        <w:t>gali būti dėl skrandžio uždegimo</w:t>
      </w:r>
      <w:r w:rsidRPr="00816A48">
        <w:rPr>
          <w:rFonts w:ascii="Times New Roman" w:eastAsia="MS Mincho" w:hAnsi="Times New Roman"/>
          <w:color w:val="000000"/>
          <w:lang w:val="lt-LT" w:eastAsia="ja-JP"/>
        </w:rPr>
        <w:t>) arba pilvo skausmas,</w:t>
      </w:r>
      <w:r w:rsidRPr="00816A48">
        <w:rPr>
          <w:rFonts w:ascii="Times New Roman" w:hAnsi="Times New Roman"/>
          <w:color w:val="000000"/>
          <w:lang w:val="lt-LT"/>
        </w:rPr>
        <w:t xml:space="preserve"> nevirškinimas, pykinimas, </w:t>
      </w:r>
      <w:r w:rsidR="00907CA9" w:rsidRPr="00816A48">
        <w:rPr>
          <w:rFonts w:ascii="Times New Roman" w:hAnsi="Times New Roman"/>
          <w:color w:val="000000"/>
          <w:lang w:val="lt-LT"/>
        </w:rPr>
        <w:t xml:space="preserve">viduriavimas </w:t>
      </w:r>
      <w:r w:rsidR="00907CA9" w:rsidRPr="00816A48">
        <w:rPr>
          <w:rFonts w:ascii="Times New Roman" w:eastAsia="MS Mincho" w:hAnsi="Times New Roman"/>
          <w:color w:val="000000"/>
          <w:lang w:val="lt-LT" w:eastAsia="ja-JP"/>
        </w:rPr>
        <w:t>(laisvi viduriai)</w:t>
      </w:r>
      <w:r w:rsidRPr="00816A48">
        <w:rPr>
          <w:rFonts w:ascii="Times New Roman" w:eastAsia="MS Mincho" w:hAnsi="Times New Roman"/>
          <w:color w:val="000000"/>
          <w:lang w:val="lt-LT" w:eastAsia="ja-JP"/>
        </w:rPr>
        <w:t xml:space="preserve"> arba </w:t>
      </w:r>
      <w:r w:rsidRPr="00816A48">
        <w:rPr>
          <w:rFonts w:ascii="Times New Roman" w:hAnsi="Times New Roman"/>
          <w:color w:val="000000"/>
          <w:lang w:val="lt-LT"/>
        </w:rPr>
        <w:t>vidurių užkietėjimas;</w:t>
      </w:r>
    </w:p>
    <w:p w14:paraId="01828CFA" w14:textId="77777777" w:rsidR="00DC1CA0" w:rsidRPr="00816A48" w:rsidRDefault="00DC1CA0" w:rsidP="00861232">
      <w:pPr>
        <w:numPr>
          <w:ilvl w:val="0"/>
          <w:numId w:val="49"/>
        </w:numPr>
        <w:tabs>
          <w:tab w:val="left" w:pos="0"/>
          <w:tab w:val="left" w:pos="567"/>
        </w:tabs>
        <w:autoSpaceDE w:val="0"/>
        <w:autoSpaceDN w:val="0"/>
        <w:adjustRightInd w:val="0"/>
        <w:spacing w:after="0" w:line="240" w:lineRule="auto"/>
        <w:ind w:left="0" w:firstLine="0"/>
        <w:rPr>
          <w:rFonts w:ascii="Times New Roman" w:hAnsi="Times New Roman"/>
          <w:color w:val="000000"/>
          <w:lang w:val="lt-LT"/>
        </w:rPr>
      </w:pPr>
      <w:r w:rsidRPr="00816A48">
        <w:rPr>
          <w:rFonts w:ascii="Times New Roman" w:hAnsi="Times New Roman"/>
          <w:color w:val="000000"/>
          <w:lang w:val="lt-LT"/>
        </w:rPr>
        <w:t>raumenų, sąnarių ar nugaros skausmas;</w:t>
      </w:r>
    </w:p>
    <w:p w14:paraId="0867167C" w14:textId="77777777" w:rsidR="00DC1CA0" w:rsidRPr="00816A48" w:rsidRDefault="00DC1CA0" w:rsidP="003D3259">
      <w:pPr>
        <w:numPr>
          <w:ilvl w:val="0"/>
          <w:numId w:val="49"/>
        </w:numPr>
        <w:tabs>
          <w:tab w:val="left" w:pos="0"/>
          <w:tab w:val="left" w:pos="567"/>
        </w:tabs>
        <w:autoSpaceDE w:val="0"/>
        <w:autoSpaceDN w:val="0"/>
        <w:adjustRightInd w:val="0"/>
        <w:spacing w:after="0" w:line="240" w:lineRule="auto"/>
        <w:ind w:left="0" w:firstLine="0"/>
        <w:rPr>
          <w:rFonts w:ascii="Times New Roman" w:eastAsia="MS Mincho" w:hAnsi="Times New Roman"/>
          <w:color w:val="000000"/>
          <w:lang w:val="lt-LT" w:eastAsia="ja-JP"/>
        </w:rPr>
      </w:pPr>
      <w:r w:rsidRPr="00816A48">
        <w:rPr>
          <w:rFonts w:ascii="Times New Roman" w:eastAsia="MS Mincho" w:hAnsi="Times New Roman"/>
          <w:color w:val="000000"/>
          <w:lang w:val="lt-LT" w:eastAsia="ja-JP"/>
        </w:rPr>
        <w:t>nuovargio ir išsekimo pojūtis;</w:t>
      </w:r>
    </w:p>
    <w:p w14:paraId="75D64758" w14:textId="77777777" w:rsidR="006C4AC2" w:rsidRPr="00816A48" w:rsidRDefault="00DC1CA0" w:rsidP="00861232">
      <w:pPr>
        <w:numPr>
          <w:ilvl w:val="0"/>
          <w:numId w:val="49"/>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816A48">
        <w:rPr>
          <w:rFonts w:ascii="Times New Roman" w:hAnsi="Times New Roman"/>
          <w:color w:val="000000"/>
          <w:lang w:val="lt-LT"/>
        </w:rPr>
        <w:t>į gripą panašūs simptomai</w:t>
      </w:r>
      <w:r w:rsidRPr="00816A48">
        <w:rPr>
          <w:rFonts w:ascii="Times New Roman" w:eastAsia="MS Mincho" w:hAnsi="Times New Roman"/>
          <w:color w:val="000000"/>
          <w:lang w:val="lt-LT" w:eastAsia="ja-JP"/>
        </w:rPr>
        <w:t>,</w:t>
      </w:r>
      <w:r w:rsidR="002D4654" w:rsidRPr="00816A48">
        <w:rPr>
          <w:rFonts w:ascii="Times New Roman" w:eastAsia="MS Mincho" w:hAnsi="Times New Roman"/>
          <w:color w:val="000000"/>
          <w:lang w:val="lt-LT" w:eastAsia="ja-JP"/>
        </w:rPr>
        <w:t xml:space="preserve"> įskaitant karščiavimą, drebulį</w:t>
      </w:r>
      <w:r w:rsidRPr="00816A48">
        <w:rPr>
          <w:rFonts w:ascii="Times New Roman" w:eastAsia="MS Mincho" w:hAnsi="Times New Roman"/>
          <w:color w:val="000000"/>
          <w:lang w:val="lt-LT" w:eastAsia="ja-JP"/>
        </w:rPr>
        <w:t>, šiurpulį</w:t>
      </w:r>
      <w:r w:rsidRPr="00816A48">
        <w:rPr>
          <w:rFonts w:ascii="Times New Roman" w:hAnsi="Times New Roman"/>
          <w:color w:val="000000"/>
          <w:lang w:val="lt-LT"/>
        </w:rPr>
        <w:t>, diskomforto jausmas, kaulų skausmas</w:t>
      </w:r>
      <w:r w:rsidRPr="00816A48">
        <w:rPr>
          <w:rFonts w:ascii="Times New Roman" w:eastAsia="MS Mincho" w:hAnsi="Times New Roman"/>
          <w:color w:val="000000"/>
          <w:lang w:val="lt-LT" w:eastAsia="ja-JP"/>
        </w:rPr>
        <w:t>,</w:t>
      </w:r>
      <w:r w:rsidRPr="00816A48">
        <w:rPr>
          <w:rFonts w:ascii="Times New Roman" w:hAnsi="Times New Roman"/>
          <w:color w:val="000000"/>
          <w:lang w:val="lt-LT"/>
        </w:rPr>
        <w:t xml:space="preserve"> raumenų ir sąnarių gėla</w:t>
      </w:r>
      <w:r w:rsidRPr="00816A48">
        <w:rPr>
          <w:rFonts w:ascii="Times New Roman" w:eastAsia="MS Mincho" w:hAnsi="Times New Roman"/>
          <w:color w:val="000000"/>
          <w:lang w:val="lt-LT" w:eastAsia="ja-JP"/>
        </w:rPr>
        <w:t xml:space="preserve">. Jei nors vienas iš simptomų </w:t>
      </w:r>
      <w:r w:rsidR="001360D3" w:rsidRPr="00816A48">
        <w:rPr>
          <w:rFonts w:ascii="Times New Roman" w:eastAsia="MS Mincho" w:hAnsi="Times New Roman"/>
          <w:color w:val="000000"/>
          <w:lang w:val="lt-LT" w:eastAsia="ja-JP"/>
        </w:rPr>
        <w:t>pasunkėja</w:t>
      </w:r>
      <w:r w:rsidRPr="00816A48">
        <w:rPr>
          <w:rFonts w:ascii="Times New Roman" w:eastAsia="MS Mincho" w:hAnsi="Times New Roman"/>
          <w:color w:val="000000"/>
          <w:lang w:val="lt-LT" w:eastAsia="ja-JP"/>
        </w:rPr>
        <w:t xml:space="preserve"> arba tęsiasi </w:t>
      </w:r>
      <w:r w:rsidR="006C4AC2" w:rsidRPr="00816A48">
        <w:rPr>
          <w:rFonts w:ascii="Times New Roman" w:eastAsia="MS Mincho" w:hAnsi="Times New Roman"/>
          <w:color w:val="000000"/>
          <w:lang w:val="lt-LT" w:eastAsia="ja-JP"/>
        </w:rPr>
        <w:t xml:space="preserve">porą parų, pasakykite </w:t>
      </w:r>
      <w:r w:rsidR="00907CA9" w:rsidRPr="00816A48">
        <w:rPr>
          <w:rFonts w:ascii="Times New Roman" w:eastAsia="MS Mincho" w:hAnsi="Times New Roman"/>
          <w:color w:val="000000"/>
          <w:lang w:val="lt-LT" w:eastAsia="ja-JP"/>
        </w:rPr>
        <w:t xml:space="preserve">slaugytojui arba </w:t>
      </w:r>
      <w:r w:rsidR="006C4AC2" w:rsidRPr="00816A48">
        <w:rPr>
          <w:rFonts w:ascii="Times New Roman" w:eastAsia="MS Mincho" w:hAnsi="Times New Roman"/>
          <w:color w:val="000000"/>
          <w:lang w:val="lt-LT" w:eastAsia="ja-JP"/>
        </w:rPr>
        <w:t>gydytojui;</w:t>
      </w:r>
    </w:p>
    <w:p w14:paraId="387BFE6E" w14:textId="77777777" w:rsidR="00DC1CA0" w:rsidRPr="00816A48" w:rsidRDefault="001360D3" w:rsidP="003D3259">
      <w:pPr>
        <w:numPr>
          <w:ilvl w:val="0"/>
          <w:numId w:val="49"/>
        </w:numPr>
        <w:tabs>
          <w:tab w:val="left" w:pos="0"/>
          <w:tab w:val="left" w:pos="567"/>
        </w:tabs>
        <w:autoSpaceDE w:val="0"/>
        <w:autoSpaceDN w:val="0"/>
        <w:adjustRightInd w:val="0"/>
        <w:spacing w:after="0" w:line="240" w:lineRule="auto"/>
        <w:ind w:left="0" w:firstLine="0"/>
        <w:rPr>
          <w:rFonts w:ascii="Times New Roman" w:eastAsia="MS Mincho" w:hAnsi="Times New Roman"/>
          <w:color w:val="000000"/>
          <w:lang w:val="lt-LT" w:eastAsia="ja-JP"/>
        </w:rPr>
      </w:pPr>
      <w:r w:rsidRPr="00816A48">
        <w:rPr>
          <w:rFonts w:ascii="Times New Roman" w:eastAsia="MS Mincho" w:hAnsi="Times New Roman"/>
          <w:color w:val="000000"/>
          <w:lang w:val="lt-LT" w:eastAsia="ja-JP"/>
        </w:rPr>
        <w:t>iš</w:t>
      </w:r>
      <w:r w:rsidR="006C4AC2" w:rsidRPr="00816A48">
        <w:rPr>
          <w:rFonts w:ascii="Times New Roman" w:eastAsia="MS Mincho" w:hAnsi="Times New Roman"/>
          <w:color w:val="000000"/>
          <w:lang w:val="lt-LT" w:eastAsia="ja-JP"/>
        </w:rPr>
        <w:t>bėrimas.</w:t>
      </w:r>
      <w:r w:rsidR="00DC1CA0" w:rsidRPr="00816A48">
        <w:rPr>
          <w:rFonts w:ascii="Times New Roman" w:eastAsia="MS Mincho" w:hAnsi="Times New Roman"/>
          <w:color w:val="000000"/>
          <w:lang w:val="lt-LT" w:eastAsia="ja-JP"/>
        </w:rPr>
        <w:t xml:space="preserve"> </w:t>
      </w:r>
    </w:p>
    <w:p w14:paraId="07DCA326" w14:textId="77777777" w:rsidR="00DC1CA0" w:rsidRPr="00816A48" w:rsidRDefault="00DC1CA0" w:rsidP="00177670">
      <w:pPr>
        <w:tabs>
          <w:tab w:val="left" w:pos="0"/>
          <w:tab w:val="left" w:pos="567"/>
        </w:tabs>
        <w:autoSpaceDE w:val="0"/>
        <w:autoSpaceDN w:val="0"/>
        <w:adjustRightInd w:val="0"/>
        <w:spacing w:after="0" w:line="240" w:lineRule="auto"/>
        <w:rPr>
          <w:rFonts w:ascii="Times New Roman" w:eastAsia="MS Mincho" w:hAnsi="Times New Roman"/>
          <w:color w:val="000000"/>
          <w:lang w:val="lt-LT" w:eastAsia="ja-JP"/>
        </w:rPr>
      </w:pPr>
    </w:p>
    <w:p w14:paraId="366B8C79" w14:textId="5AB20D25" w:rsidR="007750B7" w:rsidRPr="00F55F27" w:rsidRDefault="007750B7" w:rsidP="00177670">
      <w:pPr>
        <w:autoSpaceDE w:val="0"/>
        <w:autoSpaceDN w:val="0"/>
        <w:adjustRightInd w:val="0"/>
        <w:spacing w:after="0" w:line="240" w:lineRule="auto"/>
        <w:ind w:left="520" w:right="-20" w:hanging="520"/>
        <w:rPr>
          <w:rFonts w:ascii="Times New Roman" w:hAnsi="Times New Roman"/>
          <w:b/>
          <w:bCs/>
          <w:color w:val="000000"/>
          <w:lang w:val="lt-LT"/>
        </w:rPr>
      </w:pPr>
      <w:r w:rsidRPr="00F55F27">
        <w:rPr>
          <w:rFonts w:ascii="Times New Roman" w:hAnsi="Times New Roman"/>
          <w:b/>
          <w:bCs/>
          <w:color w:val="000000"/>
          <w:lang w:val="lt-LT"/>
        </w:rPr>
        <w:t>Nedažni</w:t>
      </w:r>
      <w:r w:rsidR="00E632E6" w:rsidRPr="00F55F27">
        <w:rPr>
          <w:rFonts w:ascii="Times New Roman" w:hAnsi="Times New Roman"/>
          <w:b/>
          <w:bCs/>
          <w:color w:val="000000"/>
          <w:lang w:val="lt-LT"/>
        </w:rPr>
        <w:t xml:space="preserve"> šalutinio poveikio reiškiniai</w:t>
      </w:r>
      <w:r w:rsidRPr="00F55F27">
        <w:rPr>
          <w:rFonts w:ascii="Times New Roman" w:hAnsi="Times New Roman"/>
          <w:b/>
          <w:bCs/>
          <w:color w:val="000000"/>
          <w:lang w:val="lt-LT"/>
        </w:rPr>
        <w:t xml:space="preserve"> (</w:t>
      </w:r>
      <w:r w:rsidR="00A761AB" w:rsidRPr="00F55F27">
        <w:rPr>
          <w:rFonts w:ascii="Times New Roman" w:eastAsia="MS Mincho" w:hAnsi="Times New Roman"/>
          <w:b/>
          <w:bCs/>
          <w:color w:val="000000"/>
          <w:lang w:val="lt-LT" w:eastAsia="ja-JP"/>
        </w:rPr>
        <w:t xml:space="preserve">gali pasireikšti </w:t>
      </w:r>
      <w:r w:rsidR="002B592C" w:rsidRPr="00F55F27">
        <w:rPr>
          <w:rFonts w:ascii="Times New Roman" w:eastAsia="MS Mincho" w:hAnsi="Times New Roman"/>
          <w:b/>
          <w:bCs/>
          <w:color w:val="000000"/>
          <w:lang w:val="lt-LT" w:eastAsia="ja-JP"/>
        </w:rPr>
        <w:t>rečiau</w:t>
      </w:r>
      <w:r w:rsidR="00A761AB" w:rsidRPr="00F55F27">
        <w:rPr>
          <w:rFonts w:ascii="Times New Roman" w:hAnsi="Times New Roman"/>
          <w:b/>
          <w:bCs/>
          <w:color w:val="000000"/>
          <w:lang w:val="lt-LT"/>
        </w:rPr>
        <w:t xml:space="preserve"> kaip</w:t>
      </w:r>
      <w:r w:rsidRPr="00F55F27">
        <w:rPr>
          <w:rFonts w:ascii="Times New Roman" w:hAnsi="Times New Roman"/>
          <w:b/>
          <w:bCs/>
          <w:color w:val="000000"/>
          <w:lang w:val="lt-LT"/>
        </w:rPr>
        <w:t xml:space="preserve"> 1 iš 100 </w:t>
      </w:r>
      <w:r w:rsidR="00E632E6" w:rsidRPr="00F55F27">
        <w:rPr>
          <w:rFonts w:ascii="Times New Roman" w:hAnsi="Times New Roman"/>
          <w:b/>
          <w:bCs/>
          <w:color w:val="000000"/>
          <w:lang w:val="lt-LT"/>
        </w:rPr>
        <w:t>asmenų</w:t>
      </w:r>
      <w:r w:rsidRPr="00F55F27">
        <w:rPr>
          <w:rFonts w:ascii="Times New Roman" w:hAnsi="Times New Roman"/>
          <w:b/>
          <w:bCs/>
          <w:color w:val="000000"/>
          <w:lang w:val="lt-LT"/>
        </w:rPr>
        <w:t xml:space="preserve">): </w:t>
      </w:r>
    </w:p>
    <w:p w14:paraId="56F8C31D" w14:textId="77777777" w:rsidR="007A328D" w:rsidRPr="00816A48" w:rsidRDefault="001360D3" w:rsidP="00CD0447">
      <w:pPr>
        <w:numPr>
          <w:ilvl w:val="0"/>
          <w:numId w:val="39"/>
        </w:numPr>
        <w:tabs>
          <w:tab w:val="clear" w:pos="-360"/>
          <w:tab w:val="num" w:pos="-142"/>
        </w:tabs>
        <w:autoSpaceDE w:val="0"/>
        <w:autoSpaceDN w:val="0"/>
        <w:adjustRightInd w:val="0"/>
        <w:spacing w:after="0" w:line="240" w:lineRule="auto"/>
        <w:ind w:left="567" w:hanging="567"/>
        <w:rPr>
          <w:rFonts w:ascii="Times New Roman" w:eastAsia="MS Mincho" w:hAnsi="Times New Roman"/>
          <w:color w:val="000000"/>
          <w:lang w:val="lt-LT" w:eastAsia="ja-JP"/>
        </w:rPr>
      </w:pPr>
      <w:r w:rsidRPr="00816A48">
        <w:rPr>
          <w:rFonts w:ascii="Times New Roman" w:eastAsia="MS Mincho" w:hAnsi="Times New Roman"/>
          <w:color w:val="000000"/>
          <w:lang w:val="lt-LT" w:eastAsia="ja-JP"/>
        </w:rPr>
        <w:t>v</w:t>
      </w:r>
      <w:r w:rsidR="007750B7" w:rsidRPr="00816A48">
        <w:rPr>
          <w:rFonts w:ascii="Times New Roman" w:eastAsia="MS Mincho" w:hAnsi="Times New Roman"/>
          <w:color w:val="000000"/>
          <w:lang w:val="lt-LT" w:eastAsia="ja-JP"/>
        </w:rPr>
        <w:t>enų uždegimas</w:t>
      </w:r>
      <w:r w:rsidR="002D4654" w:rsidRPr="00816A48">
        <w:rPr>
          <w:rFonts w:ascii="Times New Roman" w:eastAsia="MS Mincho" w:hAnsi="Times New Roman"/>
          <w:color w:val="000000"/>
          <w:lang w:val="lt-LT" w:eastAsia="ja-JP"/>
        </w:rPr>
        <w:t>;</w:t>
      </w:r>
      <w:r w:rsidR="007750B7" w:rsidRPr="00816A48" w:rsidDel="003749E0">
        <w:rPr>
          <w:rFonts w:ascii="Times New Roman" w:eastAsia="MS Mincho" w:hAnsi="Times New Roman"/>
          <w:color w:val="000000"/>
          <w:lang w:val="lt-LT" w:eastAsia="ja-JP"/>
        </w:rPr>
        <w:t xml:space="preserve"> </w:t>
      </w:r>
    </w:p>
    <w:p w14:paraId="2062227A" w14:textId="77777777" w:rsidR="007A328D" w:rsidRPr="00816A48" w:rsidRDefault="007750B7" w:rsidP="00CD0447">
      <w:pPr>
        <w:numPr>
          <w:ilvl w:val="0"/>
          <w:numId w:val="39"/>
        </w:numPr>
        <w:autoSpaceDE w:val="0"/>
        <w:autoSpaceDN w:val="0"/>
        <w:adjustRightInd w:val="0"/>
        <w:spacing w:after="0" w:line="240" w:lineRule="auto"/>
        <w:ind w:left="567" w:hanging="567"/>
        <w:rPr>
          <w:rFonts w:ascii="Times New Roman" w:eastAsia="MS Mincho" w:hAnsi="Times New Roman"/>
          <w:color w:val="000000"/>
          <w:lang w:val="lt-LT" w:eastAsia="ja-JP"/>
        </w:rPr>
      </w:pPr>
      <w:r w:rsidRPr="00816A48">
        <w:rPr>
          <w:rFonts w:ascii="Times New Roman" w:eastAsia="MS Mincho" w:hAnsi="Times New Roman"/>
          <w:color w:val="000000"/>
          <w:lang w:val="lt-LT" w:eastAsia="ja-JP"/>
        </w:rPr>
        <w:t xml:space="preserve">skausmas </w:t>
      </w:r>
      <w:r w:rsidR="00A761AB" w:rsidRPr="00816A48">
        <w:rPr>
          <w:rFonts w:ascii="Times New Roman" w:eastAsia="MS Mincho" w:hAnsi="Times New Roman"/>
          <w:color w:val="000000"/>
          <w:lang w:val="lt-LT" w:eastAsia="ja-JP"/>
        </w:rPr>
        <w:t xml:space="preserve">ar </w:t>
      </w:r>
      <w:r w:rsidRPr="00816A48">
        <w:rPr>
          <w:rFonts w:ascii="Times New Roman" w:eastAsia="MS Mincho" w:hAnsi="Times New Roman"/>
          <w:color w:val="000000"/>
          <w:lang w:val="lt-LT" w:eastAsia="ja-JP"/>
        </w:rPr>
        <w:t>pažeidimas</w:t>
      </w:r>
      <w:r w:rsidRPr="00816A48">
        <w:rPr>
          <w:rFonts w:ascii="Times New Roman" w:hAnsi="Times New Roman"/>
          <w:lang w:val="lt-LT"/>
        </w:rPr>
        <w:t xml:space="preserve"> injekcijos vietoje</w:t>
      </w:r>
      <w:r w:rsidR="007A328D" w:rsidRPr="00816A48">
        <w:rPr>
          <w:rFonts w:ascii="Times New Roman" w:eastAsia="MS Mincho" w:hAnsi="Times New Roman"/>
          <w:color w:val="000000"/>
          <w:lang w:val="lt-LT" w:eastAsia="ja-JP"/>
        </w:rPr>
        <w:t>;</w:t>
      </w:r>
    </w:p>
    <w:p w14:paraId="6FD16E38" w14:textId="77777777" w:rsidR="006C4AC2" w:rsidRPr="00816A48" w:rsidRDefault="006C4AC2" w:rsidP="00CD0447">
      <w:pPr>
        <w:numPr>
          <w:ilvl w:val="0"/>
          <w:numId w:val="39"/>
        </w:numPr>
        <w:autoSpaceDE w:val="0"/>
        <w:autoSpaceDN w:val="0"/>
        <w:adjustRightInd w:val="0"/>
        <w:spacing w:after="0" w:line="240" w:lineRule="auto"/>
        <w:ind w:left="567" w:hanging="567"/>
        <w:rPr>
          <w:rFonts w:ascii="Times New Roman" w:hAnsi="Times New Roman"/>
          <w:color w:val="000000"/>
          <w:lang w:val="lt-LT"/>
        </w:rPr>
      </w:pPr>
      <w:r w:rsidRPr="00816A48">
        <w:rPr>
          <w:rFonts w:ascii="Times New Roman" w:hAnsi="Times New Roman"/>
          <w:color w:val="000000"/>
          <w:lang w:val="lt-LT"/>
        </w:rPr>
        <w:t>kaulų skausmas;</w:t>
      </w:r>
    </w:p>
    <w:p w14:paraId="507E5A9F" w14:textId="77777777" w:rsidR="006C4AC2" w:rsidRPr="00816A48" w:rsidRDefault="006C4AC2" w:rsidP="00CD0447">
      <w:pPr>
        <w:numPr>
          <w:ilvl w:val="0"/>
          <w:numId w:val="39"/>
        </w:numPr>
        <w:autoSpaceDE w:val="0"/>
        <w:autoSpaceDN w:val="0"/>
        <w:adjustRightInd w:val="0"/>
        <w:spacing w:after="0" w:line="240" w:lineRule="auto"/>
        <w:ind w:left="567" w:hanging="567"/>
        <w:rPr>
          <w:rFonts w:ascii="Times New Roman" w:hAnsi="Times New Roman"/>
          <w:color w:val="000000"/>
          <w:lang w:val="lt-LT"/>
        </w:rPr>
      </w:pPr>
      <w:r w:rsidRPr="00816A48">
        <w:rPr>
          <w:rFonts w:ascii="Times New Roman" w:hAnsi="Times New Roman"/>
          <w:color w:val="000000"/>
          <w:lang w:val="lt-LT"/>
        </w:rPr>
        <w:t xml:space="preserve">silpnumo </w:t>
      </w:r>
      <w:r w:rsidRPr="00816A48">
        <w:rPr>
          <w:rFonts w:ascii="Times New Roman" w:eastAsia="MS Mincho" w:hAnsi="Times New Roman"/>
          <w:color w:val="000000"/>
          <w:lang w:val="lt-LT" w:eastAsia="ja-JP"/>
        </w:rPr>
        <w:t>pojūtis</w:t>
      </w:r>
      <w:r w:rsidRPr="00816A48">
        <w:rPr>
          <w:rFonts w:ascii="Times New Roman" w:hAnsi="Times New Roman"/>
          <w:color w:val="000000"/>
          <w:lang w:val="lt-LT"/>
        </w:rPr>
        <w:t>;</w:t>
      </w:r>
    </w:p>
    <w:p w14:paraId="4E981FC5" w14:textId="3A1EF4AD" w:rsidR="00AC02F2" w:rsidRDefault="006C4AC2" w:rsidP="00CD0447">
      <w:pPr>
        <w:numPr>
          <w:ilvl w:val="0"/>
          <w:numId w:val="39"/>
        </w:numPr>
        <w:autoSpaceDE w:val="0"/>
        <w:autoSpaceDN w:val="0"/>
        <w:adjustRightInd w:val="0"/>
        <w:spacing w:after="0" w:line="240" w:lineRule="auto"/>
        <w:ind w:left="567" w:hanging="567"/>
        <w:rPr>
          <w:rFonts w:ascii="Times New Roman" w:eastAsia="MS Mincho" w:hAnsi="Times New Roman"/>
          <w:color w:val="000000"/>
          <w:lang w:val="lt-LT" w:eastAsia="ja-JP"/>
        </w:rPr>
      </w:pPr>
      <w:r w:rsidRPr="00816A48">
        <w:rPr>
          <w:rFonts w:ascii="Times New Roman" w:eastAsia="MS Mincho" w:hAnsi="Times New Roman"/>
          <w:color w:val="000000"/>
          <w:lang w:val="lt-LT" w:eastAsia="ja-JP"/>
        </w:rPr>
        <w:t>astmos priepuolis</w:t>
      </w:r>
      <w:r w:rsidR="008A082A">
        <w:rPr>
          <w:rFonts w:ascii="Times New Roman" w:eastAsia="MS Mincho" w:hAnsi="Times New Roman"/>
          <w:color w:val="000000"/>
          <w:lang w:val="lt-LT" w:eastAsia="ja-JP"/>
        </w:rPr>
        <w:t>.</w:t>
      </w:r>
    </w:p>
    <w:p w14:paraId="0A9D6AB1" w14:textId="77777777" w:rsidR="007750B7" w:rsidRPr="00816A48" w:rsidRDefault="007750B7" w:rsidP="00177670">
      <w:pPr>
        <w:autoSpaceDE w:val="0"/>
        <w:autoSpaceDN w:val="0"/>
        <w:adjustRightInd w:val="0"/>
        <w:spacing w:after="0" w:line="240" w:lineRule="auto"/>
        <w:ind w:left="480" w:hanging="480"/>
        <w:rPr>
          <w:rFonts w:ascii="Times New Roman" w:eastAsia="MS Mincho" w:hAnsi="Times New Roman"/>
          <w:color w:val="000000"/>
          <w:lang w:val="lt-LT" w:eastAsia="ja-JP"/>
        </w:rPr>
      </w:pPr>
    </w:p>
    <w:p w14:paraId="5412B089" w14:textId="7BAF1AAE" w:rsidR="007750B7" w:rsidRPr="00F55F27" w:rsidRDefault="007750B7" w:rsidP="00177670">
      <w:pPr>
        <w:autoSpaceDE w:val="0"/>
        <w:autoSpaceDN w:val="0"/>
        <w:adjustRightInd w:val="0"/>
        <w:spacing w:after="0" w:line="240" w:lineRule="auto"/>
        <w:ind w:right="-20"/>
        <w:rPr>
          <w:rFonts w:ascii="Times New Roman" w:hAnsi="Times New Roman"/>
          <w:b/>
          <w:bCs/>
          <w:color w:val="000000"/>
          <w:lang w:val="lt-LT"/>
        </w:rPr>
      </w:pPr>
      <w:r w:rsidRPr="00F55F27">
        <w:rPr>
          <w:rFonts w:ascii="Times New Roman" w:hAnsi="Times New Roman"/>
          <w:b/>
          <w:bCs/>
          <w:color w:val="000000"/>
          <w:lang w:val="lt-LT"/>
        </w:rPr>
        <w:t xml:space="preserve">Reti </w:t>
      </w:r>
      <w:r w:rsidR="00E632E6" w:rsidRPr="00F55F27">
        <w:rPr>
          <w:rFonts w:ascii="Times New Roman" w:hAnsi="Times New Roman"/>
          <w:b/>
          <w:bCs/>
          <w:color w:val="000000"/>
          <w:lang w:val="lt-LT"/>
        </w:rPr>
        <w:t xml:space="preserve">šalutinio poveikio reiškiniai </w:t>
      </w:r>
      <w:r w:rsidRPr="00F55F27">
        <w:rPr>
          <w:rFonts w:ascii="Times New Roman" w:hAnsi="Times New Roman"/>
          <w:b/>
          <w:bCs/>
          <w:color w:val="000000"/>
          <w:lang w:val="lt-LT"/>
        </w:rPr>
        <w:t>(</w:t>
      </w:r>
      <w:r w:rsidR="00A761AB" w:rsidRPr="00F55F27">
        <w:rPr>
          <w:rFonts w:ascii="Times New Roman" w:eastAsia="MS Mincho" w:hAnsi="Times New Roman"/>
          <w:b/>
          <w:bCs/>
          <w:color w:val="000000"/>
          <w:lang w:val="lt-LT" w:eastAsia="ja-JP"/>
        </w:rPr>
        <w:t xml:space="preserve">gali pasireikšti </w:t>
      </w:r>
      <w:r w:rsidR="002B592C" w:rsidRPr="00F55F27">
        <w:rPr>
          <w:rFonts w:ascii="Times New Roman" w:eastAsia="MS Mincho" w:hAnsi="Times New Roman"/>
          <w:b/>
          <w:bCs/>
          <w:color w:val="000000"/>
          <w:lang w:val="lt-LT" w:eastAsia="ja-JP"/>
        </w:rPr>
        <w:t>rečiau</w:t>
      </w:r>
      <w:r w:rsidR="00A761AB" w:rsidRPr="00F55F27">
        <w:rPr>
          <w:rFonts w:ascii="Times New Roman" w:hAnsi="Times New Roman"/>
          <w:b/>
          <w:bCs/>
          <w:color w:val="000000"/>
          <w:lang w:val="lt-LT"/>
        </w:rPr>
        <w:t xml:space="preserve"> kaip</w:t>
      </w:r>
      <w:r w:rsidRPr="00F55F27">
        <w:rPr>
          <w:rFonts w:ascii="Times New Roman" w:hAnsi="Times New Roman"/>
          <w:b/>
          <w:bCs/>
          <w:color w:val="000000"/>
          <w:lang w:val="lt-LT"/>
        </w:rPr>
        <w:t xml:space="preserve"> 1 iš 1</w:t>
      </w:r>
      <w:r w:rsidR="00E632E6" w:rsidRPr="00F55F27">
        <w:rPr>
          <w:rFonts w:ascii="Times New Roman" w:hAnsi="Times New Roman"/>
          <w:b/>
          <w:bCs/>
          <w:color w:val="000000"/>
          <w:lang w:val="lt-LT"/>
        </w:rPr>
        <w:t> </w:t>
      </w:r>
      <w:r w:rsidRPr="00F55F27">
        <w:rPr>
          <w:rFonts w:ascii="Times New Roman" w:hAnsi="Times New Roman"/>
          <w:b/>
          <w:bCs/>
          <w:color w:val="000000"/>
          <w:lang w:val="lt-LT"/>
        </w:rPr>
        <w:t xml:space="preserve">000 </w:t>
      </w:r>
      <w:r w:rsidR="00E632E6" w:rsidRPr="00F55F27">
        <w:rPr>
          <w:rFonts w:ascii="Times New Roman" w:hAnsi="Times New Roman"/>
          <w:b/>
          <w:bCs/>
          <w:color w:val="000000"/>
          <w:lang w:val="lt-LT"/>
        </w:rPr>
        <w:t>asmenų</w:t>
      </w:r>
      <w:r w:rsidRPr="00F55F27">
        <w:rPr>
          <w:rFonts w:ascii="Times New Roman" w:hAnsi="Times New Roman"/>
          <w:b/>
          <w:bCs/>
          <w:color w:val="000000"/>
          <w:lang w:val="lt-LT"/>
        </w:rPr>
        <w:t xml:space="preserve">): </w:t>
      </w:r>
    </w:p>
    <w:p w14:paraId="6C0B665C" w14:textId="77777777" w:rsidR="007750B7" w:rsidRPr="00816A48" w:rsidRDefault="00A761AB" w:rsidP="003D3259">
      <w:pPr>
        <w:autoSpaceDE w:val="0"/>
        <w:autoSpaceDN w:val="0"/>
        <w:adjustRightInd w:val="0"/>
        <w:spacing w:after="0" w:line="240" w:lineRule="auto"/>
        <w:ind w:left="567" w:hanging="567"/>
        <w:rPr>
          <w:rFonts w:ascii="Times New Roman" w:eastAsia="MS Mincho" w:hAnsi="Times New Roman"/>
          <w:b/>
          <w:bCs/>
          <w:color w:val="000000"/>
          <w:lang w:val="lt-LT" w:eastAsia="ja-JP"/>
        </w:rPr>
      </w:pPr>
      <w:r w:rsidRPr="00816A48">
        <w:rPr>
          <w:rFonts w:ascii="Times New Roman" w:eastAsia="MS Mincho" w:hAnsi="Times New Roman"/>
          <w:color w:val="000000"/>
          <w:lang w:val="lt-LT" w:eastAsia="ja-JP"/>
        </w:rPr>
        <w:t>-</w:t>
      </w:r>
      <w:r w:rsidR="006C4AC2" w:rsidRPr="00816A48">
        <w:rPr>
          <w:rFonts w:ascii="Times New Roman" w:eastAsia="MS Mincho" w:hAnsi="Times New Roman"/>
          <w:color w:val="000000"/>
          <w:lang w:val="lt-LT" w:eastAsia="ja-JP"/>
        </w:rPr>
        <w:tab/>
        <w:t>dilgėlinė.</w:t>
      </w:r>
    </w:p>
    <w:p w14:paraId="0C62DB86" w14:textId="77777777" w:rsidR="006C4AC2" w:rsidRPr="00816A48" w:rsidRDefault="006C4AC2" w:rsidP="00177670">
      <w:pPr>
        <w:autoSpaceDE w:val="0"/>
        <w:autoSpaceDN w:val="0"/>
        <w:adjustRightInd w:val="0"/>
        <w:spacing w:after="0" w:line="240" w:lineRule="auto"/>
        <w:ind w:left="567" w:hanging="567"/>
        <w:rPr>
          <w:rFonts w:ascii="Times New Roman" w:eastAsia="MS Mincho" w:hAnsi="Times New Roman"/>
          <w:bCs/>
          <w:i/>
          <w:color w:val="000000"/>
          <w:lang w:val="lt-LT" w:eastAsia="ja-JP"/>
        </w:rPr>
      </w:pPr>
    </w:p>
    <w:p w14:paraId="478C6026" w14:textId="77777777" w:rsidR="006C4AC2" w:rsidRPr="00816A48" w:rsidRDefault="006C4AC2" w:rsidP="00177670">
      <w:pPr>
        <w:pStyle w:val="BTEMEASMCA"/>
        <w:tabs>
          <w:tab w:val="left" w:pos="567"/>
        </w:tabs>
        <w:rPr>
          <w:rFonts w:ascii="Times New Roman" w:hAnsi="Times New Roman"/>
          <w:b/>
          <w:i w:val="0"/>
          <w:sz w:val="22"/>
          <w:szCs w:val="22"/>
          <w:lang w:val="lt-LT"/>
        </w:rPr>
      </w:pPr>
      <w:r w:rsidRPr="00816A48">
        <w:rPr>
          <w:rFonts w:ascii="Times New Roman" w:hAnsi="Times New Roman"/>
          <w:b/>
          <w:i w:val="0"/>
          <w:sz w:val="22"/>
          <w:szCs w:val="22"/>
          <w:lang w:val="lt-LT"/>
        </w:rPr>
        <w:t>Pranešimas apie šalutinį poveikį</w:t>
      </w:r>
    </w:p>
    <w:p w14:paraId="6F515BAE" w14:textId="5C1775D7" w:rsidR="006C4AC2" w:rsidRPr="00816A48" w:rsidRDefault="006C4AC2" w:rsidP="00861232">
      <w:pPr>
        <w:pStyle w:val="BTEMEASMCA"/>
        <w:tabs>
          <w:tab w:val="left" w:pos="567"/>
        </w:tabs>
        <w:rPr>
          <w:rFonts w:ascii="Times New Roman" w:hAnsi="Times New Roman"/>
          <w:i w:val="0"/>
          <w:color w:val="000000" w:themeColor="text1"/>
          <w:sz w:val="22"/>
          <w:szCs w:val="22"/>
          <w:lang w:val="lt-LT"/>
        </w:rPr>
      </w:pPr>
      <w:r w:rsidRPr="00816A48">
        <w:rPr>
          <w:rFonts w:ascii="Times New Roman" w:hAnsi="Times New Roman"/>
          <w:i w:val="0"/>
          <w:sz w:val="22"/>
          <w:szCs w:val="22"/>
          <w:lang w:val="lt-LT"/>
        </w:rPr>
        <w:t>Jeigu pasireiškė šalutinis poveikis, įskaitant šiame lapelyje nenurodytą, pasakykite gydytojui</w:t>
      </w:r>
      <w:r w:rsidR="00BD6502" w:rsidRPr="00816A48">
        <w:rPr>
          <w:rFonts w:ascii="Times New Roman" w:hAnsi="Times New Roman"/>
          <w:i w:val="0"/>
          <w:sz w:val="22"/>
          <w:szCs w:val="22"/>
          <w:lang w:val="lt-LT"/>
        </w:rPr>
        <w:t xml:space="preserve">, </w:t>
      </w:r>
      <w:r w:rsidRPr="00816A48">
        <w:rPr>
          <w:rFonts w:ascii="Times New Roman" w:hAnsi="Times New Roman"/>
          <w:i w:val="0"/>
          <w:sz w:val="22"/>
          <w:szCs w:val="22"/>
          <w:lang w:val="lt-LT"/>
        </w:rPr>
        <w:t xml:space="preserve">vaistininkui arba slaugytojui. </w:t>
      </w:r>
      <w:bookmarkStart w:id="7" w:name="_Hlk98758632"/>
      <w:r w:rsidR="0053799D" w:rsidRPr="0053799D">
        <w:rPr>
          <w:rFonts w:ascii="Times New Roman" w:eastAsia="Times New Roman" w:hAnsi="Times New Roman"/>
          <w:i w:val="0"/>
          <w:sz w:val="22"/>
          <w:szCs w:val="22"/>
          <w:lang w:val="lt-LT" w:eastAsia="lt-LT"/>
        </w:rPr>
        <w:t xml:space="preserve">Pranešimą apie šalutinį poveikį galite užpildyti ir pateikti Valstybinės vaistų kontrolės tarnybos prie Lietuvos Respublikos sveikatos apsaugos ministerijos tinklalapyje </w:t>
      </w:r>
      <w:r w:rsidR="0053799D" w:rsidRPr="0053799D">
        <w:rPr>
          <w:rFonts w:ascii="Times New Roman" w:eastAsia="Times New Roman" w:hAnsi="Times New Roman"/>
          <w:i w:val="0"/>
          <w:color w:val="0000EE"/>
          <w:sz w:val="22"/>
          <w:szCs w:val="22"/>
          <w:u w:val="single"/>
          <w:lang w:val="lt-LT" w:eastAsia="lt-LT"/>
        </w:rPr>
        <w:t>https://vvkt.lrv.lt/lt/</w:t>
      </w:r>
      <w:r w:rsidR="0053799D" w:rsidRPr="0053799D">
        <w:rPr>
          <w:rFonts w:ascii="Times New Roman" w:eastAsia="Times New Roman" w:hAnsi="Times New Roman"/>
          <w:i w:val="0"/>
          <w:sz w:val="22"/>
          <w:szCs w:val="22"/>
          <w:lang w:val="lt-LT" w:eastAsia="lt-LT"/>
        </w:rPr>
        <w:t xml:space="preserve"> nurodytais būdais arba paskambinti nemokamu telefonu 8 800 73 568. Pranešdami apie šalutinį poveikį galite mums padėti gauti daugiau informacijos apie šio vaisto saugumą</w:t>
      </w:r>
      <w:bookmarkEnd w:id="7"/>
      <w:r w:rsidR="0073406F" w:rsidRPr="00816A48">
        <w:rPr>
          <w:rFonts w:ascii="Times New Roman" w:hAnsi="Times New Roman"/>
          <w:i w:val="0"/>
          <w:color w:val="000000" w:themeColor="text1"/>
          <w:sz w:val="22"/>
          <w:szCs w:val="22"/>
          <w:lang w:val="lt-LT"/>
        </w:rPr>
        <w:t>.</w:t>
      </w:r>
    </w:p>
    <w:p w14:paraId="1F372629" w14:textId="77777777" w:rsidR="007750B7" w:rsidRPr="00816A48" w:rsidRDefault="007750B7" w:rsidP="005F68E5">
      <w:pPr>
        <w:autoSpaceDE w:val="0"/>
        <w:autoSpaceDN w:val="0"/>
        <w:adjustRightInd w:val="0"/>
        <w:spacing w:after="0" w:line="240" w:lineRule="auto"/>
        <w:rPr>
          <w:rFonts w:ascii="Times New Roman" w:hAnsi="Times New Roman"/>
          <w:color w:val="000000"/>
          <w:lang w:val="lt-LT"/>
        </w:rPr>
      </w:pPr>
    </w:p>
    <w:p w14:paraId="21BFC7CA" w14:textId="77777777" w:rsidR="007750B7" w:rsidRPr="00816A48" w:rsidRDefault="007750B7" w:rsidP="00720F9C">
      <w:pPr>
        <w:autoSpaceDE w:val="0"/>
        <w:autoSpaceDN w:val="0"/>
        <w:adjustRightInd w:val="0"/>
        <w:spacing w:after="0" w:line="240" w:lineRule="auto"/>
        <w:rPr>
          <w:rFonts w:ascii="Times New Roman" w:hAnsi="Times New Roman"/>
          <w:lang w:val="lt-LT"/>
        </w:rPr>
      </w:pPr>
    </w:p>
    <w:p w14:paraId="55606281" w14:textId="77777777" w:rsidR="007750B7" w:rsidRPr="00816A48" w:rsidRDefault="007750B7" w:rsidP="008D33C6">
      <w:pPr>
        <w:autoSpaceDE w:val="0"/>
        <w:autoSpaceDN w:val="0"/>
        <w:adjustRightInd w:val="0"/>
        <w:spacing w:after="0" w:line="240" w:lineRule="auto"/>
        <w:ind w:left="540" w:hanging="540"/>
        <w:rPr>
          <w:rFonts w:ascii="Times New Roman" w:hAnsi="Times New Roman"/>
          <w:b/>
          <w:lang w:val="lt-LT"/>
        </w:rPr>
      </w:pPr>
      <w:r w:rsidRPr="00816A48">
        <w:rPr>
          <w:rFonts w:ascii="Times New Roman" w:hAnsi="Times New Roman"/>
          <w:b/>
          <w:lang w:val="lt-LT"/>
        </w:rPr>
        <w:t>5.</w:t>
      </w:r>
      <w:r w:rsidRPr="00816A48">
        <w:rPr>
          <w:rFonts w:ascii="Times New Roman" w:hAnsi="Times New Roman"/>
          <w:b/>
          <w:lang w:val="lt-LT"/>
        </w:rPr>
        <w:tab/>
      </w:r>
      <w:r w:rsidRPr="00816A48">
        <w:rPr>
          <w:rFonts w:ascii="Times New Roman" w:hAnsi="Times New Roman"/>
          <w:b/>
          <w:bCs/>
          <w:lang w:val="lt-LT"/>
        </w:rPr>
        <w:t>K</w:t>
      </w:r>
      <w:r w:rsidR="00442BCF" w:rsidRPr="00816A48">
        <w:rPr>
          <w:rFonts w:ascii="Times New Roman" w:hAnsi="Times New Roman"/>
          <w:b/>
          <w:bCs/>
          <w:lang w:val="lt-LT"/>
        </w:rPr>
        <w:t xml:space="preserve">aip laikyti </w:t>
      </w:r>
      <w:r w:rsidRPr="00816A48">
        <w:rPr>
          <w:rFonts w:ascii="Times New Roman" w:hAnsi="Times New Roman"/>
          <w:b/>
          <w:bCs/>
          <w:lang w:val="lt-LT"/>
        </w:rPr>
        <w:t>O</w:t>
      </w:r>
      <w:r w:rsidR="00442BCF" w:rsidRPr="00816A48">
        <w:rPr>
          <w:rFonts w:ascii="Times New Roman" w:hAnsi="Times New Roman"/>
          <w:b/>
          <w:bCs/>
          <w:lang w:val="lt-LT"/>
        </w:rPr>
        <w:t>sagrand</w:t>
      </w:r>
    </w:p>
    <w:p w14:paraId="6DAFCBB2" w14:textId="77777777" w:rsidR="007750B7" w:rsidRPr="00816A48" w:rsidRDefault="007750B7" w:rsidP="009B4884">
      <w:pPr>
        <w:autoSpaceDE w:val="0"/>
        <w:autoSpaceDN w:val="0"/>
        <w:adjustRightInd w:val="0"/>
        <w:spacing w:after="0" w:line="240" w:lineRule="auto"/>
        <w:rPr>
          <w:rFonts w:ascii="Times New Roman" w:hAnsi="Times New Roman"/>
          <w:lang w:val="lt-LT"/>
        </w:rPr>
      </w:pPr>
    </w:p>
    <w:p w14:paraId="0C266DE5" w14:textId="77777777" w:rsidR="007750B7" w:rsidRPr="00816A48" w:rsidRDefault="0019644F" w:rsidP="00661507">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Šį vaistą laikykite </w:t>
      </w:r>
      <w:r w:rsidR="007750B7" w:rsidRPr="00816A48">
        <w:rPr>
          <w:rFonts w:ascii="Times New Roman" w:hAnsi="Times New Roman"/>
          <w:lang w:val="lt-LT"/>
        </w:rPr>
        <w:t xml:space="preserve">vaikams </w:t>
      </w:r>
      <w:r w:rsidR="00442BCF" w:rsidRPr="00816A48">
        <w:rPr>
          <w:rFonts w:ascii="Times New Roman" w:hAnsi="Times New Roman"/>
          <w:lang w:val="lt-LT"/>
        </w:rPr>
        <w:t xml:space="preserve">nepastebimoje </w:t>
      </w:r>
      <w:r w:rsidR="007750B7" w:rsidRPr="00816A48">
        <w:rPr>
          <w:rFonts w:ascii="Times New Roman" w:hAnsi="Times New Roman"/>
          <w:lang w:val="lt-LT"/>
        </w:rPr>
        <w:t xml:space="preserve">ir </w:t>
      </w:r>
      <w:r w:rsidR="00442BCF" w:rsidRPr="00816A48">
        <w:rPr>
          <w:rFonts w:ascii="Times New Roman" w:hAnsi="Times New Roman"/>
          <w:lang w:val="lt-LT"/>
        </w:rPr>
        <w:t xml:space="preserve">nepasiekiamoje </w:t>
      </w:r>
      <w:r w:rsidR="007750B7" w:rsidRPr="00816A48">
        <w:rPr>
          <w:rFonts w:ascii="Times New Roman" w:hAnsi="Times New Roman"/>
          <w:lang w:val="lt-LT"/>
        </w:rPr>
        <w:t>vietoje.</w:t>
      </w:r>
    </w:p>
    <w:p w14:paraId="395291FB" w14:textId="77777777" w:rsidR="007750B7" w:rsidRPr="00816A48" w:rsidRDefault="007750B7" w:rsidP="00242DA5">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 xml:space="preserve">Ant kartono dėžutės po ,,Tinka iki“ ir ampulės </w:t>
      </w:r>
      <w:r w:rsidRPr="00816A48">
        <w:rPr>
          <w:rFonts w:ascii="Times New Roman" w:hAnsi="Times New Roman"/>
          <w:highlight w:val="lightGray"/>
          <w:lang w:val="lt-LT"/>
        </w:rPr>
        <w:t>po „EXP“</w:t>
      </w:r>
      <w:r w:rsidRPr="00816A48">
        <w:rPr>
          <w:rFonts w:ascii="Times New Roman" w:hAnsi="Times New Roman"/>
          <w:lang w:val="lt-LT"/>
        </w:rPr>
        <w:t xml:space="preserve"> nurodytam tinkamumo laikui pasibaigus, </w:t>
      </w:r>
      <w:r w:rsidR="00DD7336" w:rsidRPr="00816A48">
        <w:rPr>
          <w:rFonts w:ascii="Times New Roman" w:hAnsi="Times New Roman"/>
          <w:lang w:val="lt-LT"/>
        </w:rPr>
        <w:t>šio vaisto</w:t>
      </w:r>
      <w:r w:rsidRPr="00816A48">
        <w:rPr>
          <w:rFonts w:ascii="Times New Roman" w:hAnsi="Times New Roman"/>
          <w:lang w:val="lt-LT"/>
        </w:rPr>
        <w:t xml:space="preserve"> vartoti negalima. Vaistas tinka</w:t>
      </w:r>
      <w:r w:rsidR="0019644F" w:rsidRPr="00816A48">
        <w:rPr>
          <w:rFonts w:ascii="Times New Roman" w:hAnsi="Times New Roman"/>
          <w:lang w:val="lt-LT"/>
        </w:rPr>
        <w:t>mas</w:t>
      </w:r>
      <w:r w:rsidRPr="00816A48">
        <w:rPr>
          <w:rFonts w:ascii="Times New Roman" w:hAnsi="Times New Roman"/>
          <w:lang w:val="lt-LT"/>
        </w:rPr>
        <w:t xml:space="preserve"> vartoti iki paskutinės nurodyto mėnesio dienos.</w:t>
      </w:r>
    </w:p>
    <w:p w14:paraId="2FB70EF8" w14:textId="282E425C" w:rsidR="007750B7" w:rsidRPr="00816A48" w:rsidRDefault="007750B7" w:rsidP="00331125">
      <w:pPr>
        <w:autoSpaceDE w:val="0"/>
        <w:autoSpaceDN w:val="0"/>
        <w:adjustRightInd w:val="0"/>
        <w:spacing w:after="0" w:line="240" w:lineRule="auto"/>
        <w:rPr>
          <w:rFonts w:ascii="Times New Roman" w:hAnsi="Times New Roman"/>
          <w:lang w:val="lt-LT"/>
        </w:rPr>
      </w:pPr>
      <w:r w:rsidRPr="00E708C1">
        <w:rPr>
          <w:rFonts w:ascii="Times New Roman" w:hAnsi="Times New Roman"/>
          <w:lang w:val="lt-LT"/>
        </w:rPr>
        <w:t>Šiam vaistui specialių</w:t>
      </w:r>
      <w:r w:rsidRPr="00816A48">
        <w:rPr>
          <w:rFonts w:ascii="Times New Roman" w:hAnsi="Times New Roman"/>
          <w:lang w:val="lt-LT"/>
        </w:rPr>
        <w:t xml:space="preserve"> laikymo sąlygų nereikia.</w:t>
      </w:r>
    </w:p>
    <w:p w14:paraId="1CC61032" w14:textId="77777777" w:rsidR="007750B7" w:rsidRPr="00816A48" w:rsidRDefault="007750B7" w:rsidP="00DA1B4A">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Injekciją atlikęs asmuo turi išmesti tirpalo likučius, o panaudotą ampulę išmesti į tam skirtą atliekų talpyklę.</w:t>
      </w:r>
    </w:p>
    <w:p w14:paraId="7568084E" w14:textId="77777777" w:rsidR="007750B7" w:rsidRPr="00816A48" w:rsidRDefault="007750B7" w:rsidP="00DA1B4A">
      <w:pPr>
        <w:autoSpaceDE w:val="0"/>
        <w:autoSpaceDN w:val="0"/>
        <w:adjustRightInd w:val="0"/>
        <w:spacing w:after="0" w:line="240" w:lineRule="auto"/>
        <w:rPr>
          <w:rFonts w:ascii="Times New Roman" w:hAnsi="Times New Roman"/>
          <w:lang w:val="lt-LT"/>
        </w:rPr>
      </w:pPr>
    </w:p>
    <w:p w14:paraId="331396BE" w14:textId="77777777" w:rsidR="007750B7" w:rsidRPr="00816A48" w:rsidRDefault="007750B7" w:rsidP="000F0A27">
      <w:pPr>
        <w:autoSpaceDE w:val="0"/>
        <w:autoSpaceDN w:val="0"/>
        <w:adjustRightInd w:val="0"/>
        <w:spacing w:after="0" w:line="240" w:lineRule="auto"/>
        <w:rPr>
          <w:rFonts w:ascii="Times New Roman" w:hAnsi="Times New Roman"/>
          <w:lang w:val="lt-LT"/>
        </w:rPr>
      </w:pPr>
    </w:p>
    <w:p w14:paraId="118ABAFD" w14:textId="77777777" w:rsidR="007750B7" w:rsidRPr="00816A48" w:rsidRDefault="007750B7" w:rsidP="000F0A27">
      <w:pPr>
        <w:autoSpaceDE w:val="0"/>
        <w:autoSpaceDN w:val="0"/>
        <w:adjustRightInd w:val="0"/>
        <w:spacing w:after="0" w:line="240" w:lineRule="auto"/>
        <w:ind w:left="540" w:hanging="540"/>
        <w:rPr>
          <w:rFonts w:ascii="Times New Roman" w:hAnsi="Times New Roman"/>
          <w:b/>
          <w:bCs/>
          <w:lang w:val="lt-LT"/>
        </w:rPr>
      </w:pPr>
      <w:r w:rsidRPr="00816A48">
        <w:rPr>
          <w:rFonts w:ascii="Times New Roman" w:hAnsi="Times New Roman"/>
          <w:b/>
          <w:bCs/>
          <w:lang w:val="lt-LT"/>
        </w:rPr>
        <w:t>6.</w:t>
      </w:r>
      <w:r w:rsidRPr="00816A48">
        <w:rPr>
          <w:rFonts w:ascii="Times New Roman" w:hAnsi="Times New Roman"/>
          <w:b/>
          <w:bCs/>
          <w:lang w:val="lt-LT"/>
        </w:rPr>
        <w:tab/>
      </w:r>
      <w:r w:rsidR="00442BCF" w:rsidRPr="00816A48">
        <w:rPr>
          <w:rFonts w:ascii="Times New Roman" w:hAnsi="Times New Roman"/>
          <w:b/>
          <w:bCs/>
          <w:lang w:val="lt-LT"/>
        </w:rPr>
        <w:t>Pakuotės turinys ir kita informacija</w:t>
      </w:r>
    </w:p>
    <w:p w14:paraId="123425B9" w14:textId="77777777" w:rsidR="007750B7" w:rsidRPr="00816A48" w:rsidRDefault="007750B7" w:rsidP="000A0BCD">
      <w:pPr>
        <w:autoSpaceDE w:val="0"/>
        <w:autoSpaceDN w:val="0"/>
        <w:adjustRightInd w:val="0"/>
        <w:spacing w:after="0" w:line="240" w:lineRule="auto"/>
        <w:rPr>
          <w:rFonts w:ascii="Times New Roman" w:hAnsi="Times New Roman"/>
          <w:lang w:val="lt-LT"/>
        </w:rPr>
      </w:pPr>
    </w:p>
    <w:p w14:paraId="7597EB51" w14:textId="11B48FED" w:rsidR="007750B7" w:rsidRPr="00816A48" w:rsidRDefault="007750B7" w:rsidP="00A761AB">
      <w:pPr>
        <w:autoSpaceDE w:val="0"/>
        <w:autoSpaceDN w:val="0"/>
        <w:adjustRightInd w:val="0"/>
        <w:spacing w:after="0" w:line="240" w:lineRule="auto"/>
        <w:rPr>
          <w:rFonts w:ascii="Times New Roman" w:hAnsi="Times New Roman"/>
          <w:lang w:val="lt-LT"/>
        </w:rPr>
      </w:pPr>
      <w:r w:rsidRPr="00816A48">
        <w:rPr>
          <w:rFonts w:ascii="Times New Roman" w:hAnsi="Times New Roman"/>
          <w:b/>
          <w:lang w:val="lt-LT"/>
        </w:rPr>
        <w:t>Osagrand 3 mg injekcinio tirpalo sudėtis</w:t>
      </w:r>
    </w:p>
    <w:p w14:paraId="602B7CB5" w14:textId="0BC5DCF2" w:rsidR="007750B7" w:rsidRPr="00816A48" w:rsidRDefault="007750B7" w:rsidP="00A761AB">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 xml:space="preserve">Veiklioji medžiaga yra ibandrono rūgštis. </w:t>
      </w:r>
      <w:r w:rsidR="001F5F21">
        <w:rPr>
          <w:rFonts w:ascii="Times New Roman" w:hAnsi="Times New Roman"/>
          <w:lang w:val="lt-LT"/>
        </w:rPr>
        <w:t>Kiek</w:t>
      </w:r>
      <w:r w:rsidR="001F5F21" w:rsidRPr="00816A48">
        <w:rPr>
          <w:rFonts w:ascii="Times New Roman" w:hAnsi="Times New Roman"/>
          <w:lang w:val="lt-LT"/>
        </w:rPr>
        <w:t xml:space="preserve">vienoje </w:t>
      </w:r>
      <w:r w:rsidRPr="00816A48">
        <w:rPr>
          <w:rFonts w:ascii="Times New Roman" w:hAnsi="Times New Roman"/>
          <w:lang w:val="lt-LT"/>
        </w:rPr>
        <w:t>3 ml tirpalo</w:t>
      </w:r>
      <w:r w:rsidR="005C2F5E" w:rsidRPr="005C2F5E">
        <w:rPr>
          <w:rFonts w:ascii="Times New Roman" w:hAnsi="Times New Roman"/>
          <w:lang w:val="lt-LT"/>
        </w:rPr>
        <w:t xml:space="preserve"> </w:t>
      </w:r>
      <w:r w:rsidR="005C2F5E" w:rsidRPr="00816A48">
        <w:rPr>
          <w:rFonts w:ascii="Times New Roman" w:hAnsi="Times New Roman"/>
          <w:lang w:val="lt-LT"/>
        </w:rPr>
        <w:t>ampulėje</w:t>
      </w:r>
      <w:r w:rsidRPr="00816A48">
        <w:rPr>
          <w:rFonts w:ascii="Times New Roman" w:hAnsi="Times New Roman"/>
          <w:lang w:val="lt-LT"/>
        </w:rPr>
        <w:t xml:space="preserve"> yra 3 mg ibandrono rūgšties (3,375 mg </w:t>
      </w:r>
      <w:r w:rsidRPr="00816A48">
        <w:rPr>
          <w:rFonts w:ascii="Times New Roman" w:hAnsi="Times New Roman"/>
          <w:color w:val="000000"/>
          <w:lang w:val="lt-LT"/>
        </w:rPr>
        <w:t>ibandronato natrio druskos monohidrato pavidalu)</w:t>
      </w:r>
      <w:r w:rsidRPr="00816A48">
        <w:rPr>
          <w:rFonts w:ascii="Times New Roman" w:hAnsi="Times New Roman"/>
          <w:lang w:val="lt-LT"/>
        </w:rPr>
        <w:t>.</w:t>
      </w:r>
    </w:p>
    <w:p w14:paraId="7F5C1660" w14:textId="77777777" w:rsidR="007750B7" w:rsidRPr="00816A48" w:rsidRDefault="007750B7" w:rsidP="00A761AB">
      <w:pPr>
        <w:autoSpaceDE w:val="0"/>
        <w:autoSpaceDN w:val="0"/>
        <w:adjustRightInd w:val="0"/>
        <w:spacing w:after="0" w:line="240" w:lineRule="auto"/>
        <w:ind w:left="540" w:hanging="540"/>
        <w:rPr>
          <w:rFonts w:ascii="Times New Roman" w:hAnsi="Times New Roman"/>
          <w:lang w:val="lt-LT"/>
        </w:rPr>
      </w:pPr>
      <w:r w:rsidRPr="00816A48">
        <w:rPr>
          <w:rFonts w:ascii="Times New Roman" w:hAnsi="Times New Roman"/>
          <w:lang w:val="lt-LT"/>
        </w:rPr>
        <w:t>-</w:t>
      </w:r>
      <w:r w:rsidRPr="00816A48">
        <w:rPr>
          <w:rFonts w:ascii="Times New Roman" w:hAnsi="Times New Roman"/>
          <w:lang w:val="lt-LT"/>
        </w:rPr>
        <w:tab/>
        <w:t xml:space="preserve">Pagalbinės medžiagos yra natrio chloridas, ledinė acto rūgštis, natrio acetatas trihidratas ir injekcinis vanduo. </w:t>
      </w:r>
    </w:p>
    <w:p w14:paraId="0AD34CED" w14:textId="77777777" w:rsidR="007750B7" w:rsidRPr="00816A48" w:rsidRDefault="007750B7" w:rsidP="0062444B">
      <w:pPr>
        <w:autoSpaceDE w:val="0"/>
        <w:autoSpaceDN w:val="0"/>
        <w:adjustRightInd w:val="0"/>
        <w:spacing w:after="0" w:line="240" w:lineRule="auto"/>
        <w:rPr>
          <w:rFonts w:ascii="Times New Roman" w:hAnsi="Times New Roman"/>
          <w:color w:val="000000"/>
          <w:lang w:val="lt-LT"/>
        </w:rPr>
      </w:pPr>
    </w:p>
    <w:p w14:paraId="673AD0E0" w14:textId="40B9E1D1" w:rsidR="007750B7" w:rsidRPr="00E708C1" w:rsidRDefault="007750B7" w:rsidP="00947F45">
      <w:pPr>
        <w:keepNext/>
        <w:tabs>
          <w:tab w:val="left" w:pos="567"/>
        </w:tabs>
        <w:spacing w:after="0" w:line="240" w:lineRule="auto"/>
        <w:rPr>
          <w:rFonts w:ascii="Times New Roman" w:hAnsi="Times New Roman"/>
          <w:b/>
          <w:lang w:val="lt-LT"/>
        </w:rPr>
      </w:pPr>
      <w:r w:rsidRPr="00E708C1">
        <w:rPr>
          <w:rFonts w:ascii="Times New Roman" w:hAnsi="Times New Roman"/>
          <w:b/>
          <w:lang w:val="lt-LT"/>
        </w:rPr>
        <w:lastRenderedPageBreak/>
        <w:t>Osagrand 3 mg injekcinio tirpalo išvaizda ir kiekis pakuotėje</w:t>
      </w:r>
    </w:p>
    <w:p w14:paraId="566C04BB" w14:textId="0B1097BE" w:rsidR="00EE0640" w:rsidRPr="00E708C1" w:rsidRDefault="007750B7" w:rsidP="00EE0640">
      <w:pPr>
        <w:pStyle w:val="Default"/>
        <w:widowControl w:val="0"/>
        <w:suppressAutoHyphens/>
        <w:rPr>
          <w:lang w:val="lt-LT"/>
        </w:rPr>
      </w:pPr>
      <w:r w:rsidRPr="00E708C1">
        <w:rPr>
          <w:lang w:val="lt-LT"/>
        </w:rPr>
        <w:t>Osagrand 3 mg injekcinis tirpalas yra bespalvis tirpalas, kuriame nėra dalelių, bespalvėse stiklo ampulėse.</w:t>
      </w:r>
      <w:r w:rsidR="00EE0640" w:rsidRPr="00E708C1">
        <w:rPr>
          <w:lang w:val="lt-LT"/>
        </w:rPr>
        <w:t xml:space="preserve"> Tirpalo pH – 3,465-4,235, osmoliališkumas – 270-310</w:t>
      </w:r>
      <w:r w:rsidR="009274F5">
        <w:rPr>
          <w:lang w:val="lt-LT"/>
        </w:rPr>
        <w:t> </w:t>
      </w:r>
      <w:r w:rsidR="007D3A37" w:rsidRPr="00E708C1">
        <w:rPr>
          <w:lang w:val="lt-LT"/>
        </w:rPr>
        <w:t>mosmol/kg</w:t>
      </w:r>
      <w:r w:rsidR="00EE0640" w:rsidRPr="00E708C1">
        <w:rPr>
          <w:lang w:val="lt-LT"/>
        </w:rPr>
        <w:t>.</w:t>
      </w:r>
    </w:p>
    <w:p w14:paraId="1F0BEE2D" w14:textId="77777777" w:rsidR="007750B7" w:rsidRPr="00E708C1" w:rsidRDefault="007750B7" w:rsidP="003D3259">
      <w:pPr>
        <w:autoSpaceDE w:val="0"/>
        <w:autoSpaceDN w:val="0"/>
        <w:adjustRightInd w:val="0"/>
        <w:spacing w:after="0" w:line="240" w:lineRule="auto"/>
        <w:rPr>
          <w:rFonts w:ascii="Times New Roman" w:hAnsi="Times New Roman"/>
          <w:lang w:val="lt-LT"/>
        </w:rPr>
      </w:pPr>
    </w:p>
    <w:p w14:paraId="27BCE56D" w14:textId="747E3AAF" w:rsidR="007750B7" w:rsidRPr="00816A48" w:rsidRDefault="00672338" w:rsidP="003D3259">
      <w:pPr>
        <w:autoSpaceDE w:val="0"/>
        <w:autoSpaceDN w:val="0"/>
        <w:adjustRightInd w:val="0"/>
        <w:spacing w:after="0" w:line="240" w:lineRule="auto"/>
        <w:rPr>
          <w:rFonts w:ascii="Times New Roman" w:hAnsi="Times New Roman"/>
          <w:lang w:val="lt-LT"/>
        </w:rPr>
      </w:pPr>
      <w:r w:rsidRPr="00E708C1">
        <w:rPr>
          <w:rFonts w:ascii="Times New Roman" w:hAnsi="Times New Roman"/>
          <w:lang w:val="lt-LT"/>
        </w:rPr>
        <w:t>Kiekv</w:t>
      </w:r>
      <w:r w:rsidR="007750B7" w:rsidRPr="00E708C1">
        <w:rPr>
          <w:rFonts w:ascii="Times New Roman" w:hAnsi="Times New Roman"/>
          <w:lang w:val="lt-LT"/>
        </w:rPr>
        <w:t>ienoje ampulėje yra 3 ml tirpalo.</w:t>
      </w:r>
    </w:p>
    <w:p w14:paraId="14BA5F77"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4CED1C0A" w14:textId="77777777" w:rsidR="007750B7" w:rsidRPr="00816A48" w:rsidRDefault="007750B7" w:rsidP="003D3259">
      <w:pPr>
        <w:autoSpaceDE w:val="0"/>
        <w:autoSpaceDN w:val="0"/>
        <w:adjustRightInd w:val="0"/>
        <w:spacing w:after="0" w:line="240" w:lineRule="auto"/>
        <w:rPr>
          <w:rFonts w:ascii="Times New Roman" w:hAnsi="Times New Roman"/>
          <w:u w:val="single"/>
          <w:lang w:val="lt-LT"/>
        </w:rPr>
      </w:pPr>
      <w:r w:rsidRPr="00816A48">
        <w:rPr>
          <w:rFonts w:ascii="Times New Roman" w:hAnsi="Times New Roman"/>
          <w:u w:val="single"/>
          <w:lang w:val="lt-LT"/>
        </w:rPr>
        <w:t>Pakuočių dydžiai</w:t>
      </w:r>
      <w:r w:rsidR="00BD6502" w:rsidRPr="00816A48">
        <w:rPr>
          <w:rFonts w:ascii="Times New Roman" w:hAnsi="Times New Roman"/>
          <w:u w:val="single"/>
          <w:lang w:val="lt-LT"/>
        </w:rPr>
        <w:t>:</w:t>
      </w:r>
    </w:p>
    <w:p w14:paraId="3F59943C" w14:textId="169A1750" w:rsidR="007750B7" w:rsidRPr="00816A48" w:rsidRDefault="007750B7"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1 arba 4</w:t>
      </w:r>
      <w:r w:rsidR="009274F5">
        <w:rPr>
          <w:rFonts w:ascii="Times New Roman" w:hAnsi="Times New Roman"/>
          <w:lang w:val="lt-LT"/>
        </w:rPr>
        <w:t> </w:t>
      </w:r>
      <w:r w:rsidRPr="00816A48">
        <w:rPr>
          <w:rFonts w:ascii="Times New Roman" w:hAnsi="Times New Roman"/>
          <w:lang w:val="lt-LT"/>
        </w:rPr>
        <w:t>ampulės</w:t>
      </w:r>
    </w:p>
    <w:p w14:paraId="6A988B26"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791F2A56"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Gali būti tiekiamos ne visų dydžių pakuotės.</w:t>
      </w:r>
    </w:p>
    <w:p w14:paraId="3BA816E9" w14:textId="77777777" w:rsidR="007750B7" w:rsidRPr="00816A48" w:rsidRDefault="007750B7" w:rsidP="003D3259">
      <w:pPr>
        <w:autoSpaceDE w:val="0"/>
        <w:autoSpaceDN w:val="0"/>
        <w:adjustRightInd w:val="0"/>
        <w:spacing w:after="0" w:line="240" w:lineRule="auto"/>
        <w:rPr>
          <w:rFonts w:ascii="Times New Roman" w:hAnsi="Times New Roman"/>
          <w:lang w:val="lt-LT"/>
        </w:rPr>
      </w:pPr>
    </w:p>
    <w:p w14:paraId="3A83B140" w14:textId="77777777" w:rsidR="007750B7" w:rsidRDefault="00587B63" w:rsidP="003D3259">
      <w:pPr>
        <w:autoSpaceDE w:val="0"/>
        <w:autoSpaceDN w:val="0"/>
        <w:adjustRightInd w:val="0"/>
        <w:spacing w:after="0" w:line="240" w:lineRule="auto"/>
        <w:rPr>
          <w:rFonts w:ascii="Times New Roman" w:hAnsi="Times New Roman"/>
          <w:b/>
          <w:lang w:val="lt-LT"/>
        </w:rPr>
      </w:pPr>
      <w:r w:rsidRPr="00816A48">
        <w:rPr>
          <w:rFonts w:ascii="Times New Roman" w:hAnsi="Times New Roman"/>
          <w:b/>
          <w:lang w:val="lt-LT"/>
        </w:rPr>
        <w:t>Registruotojas</w:t>
      </w:r>
      <w:r w:rsidR="007750B7" w:rsidRPr="00816A48">
        <w:rPr>
          <w:rFonts w:ascii="Times New Roman" w:hAnsi="Times New Roman"/>
          <w:b/>
          <w:lang w:val="lt-LT"/>
        </w:rPr>
        <w:t xml:space="preserve"> ir gamintojas</w:t>
      </w:r>
    </w:p>
    <w:p w14:paraId="50427091" w14:textId="7B8E66B2" w:rsidR="00B31919" w:rsidRPr="00365C94" w:rsidRDefault="00B31919" w:rsidP="00365C94">
      <w:pPr>
        <w:spacing w:after="0" w:line="240" w:lineRule="auto"/>
        <w:rPr>
          <w:rFonts w:ascii="Times New Roman" w:eastAsia="Times New Roman" w:hAnsi="Times New Roman"/>
          <w:lang w:val="lt-LT"/>
        </w:rPr>
      </w:pPr>
      <w:r w:rsidRPr="00B31919">
        <w:rPr>
          <w:rFonts w:ascii="Times New Roman" w:eastAsia="Times New Roman" w:hAnsi="Times New Roman"/>
          <w:i/>
          <w:lang w:val="lt-LT" w:eastAsia="lt-LT"/>
        </w:rPr>
        <w:t>Registruotojas</w:t>
      </w:r>
    </w:p>
    <w:p w14:paraId="6933BE76" w14:textId="77777777" w:rsidR="007750B7" w:rsidRPr="00816A48" w:rsidRDefault="007750B7" w:rsidP="00861232">
      <w:pPr>
        <w:pStyle w:val="Default"/>
        <w:rPr>
          <w:sz w:val="22"/>
          <w:szCs w:val="22"/>
          <w:lang w:val="lt-LT"/>
        </w:rPr>
      </w:pPr>
      <w:r w:rsidRPr="00816A48">
        <w:rPr>
          <w:sz w:val="22"/>
          <w:szCs w:val="22"/>
          <w:lang w:val="lt-LT"/>
        </w:rPr>
        <w:t>Z</w:t>
      </w:r>
      <w:r w:rsidR="00923385" w:rsidRPr="00816A48">
        <w:rPr>
          <w:sz w:val="22"/>
          <w:szCs w:val="22"/>
          <w:lang w:val="lt-LT"/>
        </w:rPr>
        <w:t>entiva</w:t>
      </w:r>
      <w:r w:rsidRPr="00816A48">
        <w:rPr>
          <w:sz w:val="22"/>
          <w:szCs w:val="22"/>
          <w:lang w:val="lt-LT"/>
        </w:rPr>
        <w:t xml:space="preserve">, k.s. </w:t>
      </w:r>
    </w:p>
    <w:p w14:paraId="011EA963" w14:textId="77777777" w:rsidR="007750B7" w:rsidRPr="00816A48" w:rsidRDefault="007750B7" w:rsidP="00861232">
      <w:pPr>
        <w:pStyle w:val="Default"/>
        <w:rPr>
          <w:sz w:val="22"/>
          <w:szCs w:val="22"/>
          <w:lang w:val="lt-LT"/>
        </w:rPr>
      </w:pPr>
      <w:r w:rsidRPr="00816A48">
        <w:rPr>
          <w:sz w:val="22"/>
          <w:szCs w:val="22"/>
          <w:lang w:val="lt-LT"/>
        </w:rPr>
        <w:t xml:space="preserve">U kabelovny 130 </w:t>
      </w:r>
    </w:p>
    <w:p w14:paraId="1054D964" w14:textId="77777777" w:rsidR="007750B7" w:rsidRPr="00816A48" w:rsidRDefault="007750B7" w:rsidP="00861232">
      <w:pPr>
        <w:pStyle w:val="Default"/>
        <w:rPr>
          <w:sz w:val="22"/>
          <w:szCs w:val="22"/>
          <w:lang w:val="lt-LT"/>
        </w:rPr>
      </w:pPr>
      <w:r w:rsidRPr="00816A48">
        <w:rPr>
          <w:sz w:val="22"/>
          <w:szCs w:val="22"/>
          <w:lang w:val="lt-LT"/>
        </w:rPr>
        <w:t>Dolní Měcholupy</w:t>
      </w:r>
    </w:p>
    <w:p w14:paraId="22247B11" w14:textId="7881C9A8" w:rsidR="007750B7" w:rsidRPr="00816A48" w:rsidRDefault="007750B7" w:rsidP="00861232">
      <w:pPr>
        <w:pStyle w:val="Default"/>
        <w:rPr>
          <w:sz w:val="22"/>
          <w:szCs w:val="22"/>
          <w:lang w:val="lt-LT"/>
        </w:rPr>
      </w:pPr>
      <w:r w:rsidRPr="00816A48">
        <w:rPr>
          <w:sz w:val="22"/>
          <w:szCs w:val="22"/>
          <w:lang w:val="lt-LT"/>
        </w:rPr>
        <w:t>102 37 Praha 10</w:t>
      </w:r>
    </w:p>
    <w:p w14:paraId="6C9200D2" w14:textId="77777777" w:rsidR="007750B7" w:rsidRDefault="007750B7"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Čekija</w:t>
      </w:r>
    </w:p>
    <w:p w14:paraId="608A1DB2" w14:textId="77777777" w:rsidR="00B31919" w:rsidRDefault="00B31919" w:rsidP="003D3259">
      <w:pPr>
        <w:autoSpaceDE w:val="0"/>
        <w:autoSpaceDN w:val="0"/>
        <w:adjustRightInd w:val="0"/>
        <w:spacing w:after="0" w:line="240" w:lineRule="auto"/>
        <w:rPr>
          <w:rFonts w:ascii="Times New Roman" w:hAnsi="Times New Roman"/>
          <w:lang w:val="lt-LT"/>
        </w:rPr>
      </w:pPr>
    </w:p>
    <w:p w14:paraId="2DA224EF" w14:textId="2106C5A9" w:rsidR="00B31919" w:rsidRPr="00365C94" w:rsidRDefault="00B31919" w:rsidP="003D3259">
      <w:pPr>
        <w:autoSpaceDE w:val="0"/>
        <w:autoSpaceDN w:val="0"/>
        <w:adjustRightInd w:val="0"/>
        <w:spacing w:after="0" w:line="240" w:lineRule="auto"/>
        <w:rPr>
          <w:rFonts w:ascii="Times New Roman" w:hAnsi="Times New Roman"/>
          <w:i/>
          <w:lang w:val="lt-LT"/>
        </w:rPr>
      </w:pPr>
      <w:r w:rsidRPr="00365C94">
        <w:rPr>
          <w:rFonts w:ascii="Times New Roman" w:hAnsi="Times New Roman"/>
          <w:i/>
          <w:lang w:val="lt-LT"/>
        </w:rPr>
        <w:t>Gamintojai</w:t>
      </w:r>
    </w:p>
    <w:p w14:paraId="2A5CC86C" w14:textId="77777777" w:rsidR="00B31919" w:rsidRPr="00B31919" w:rsidRDefault="00B31919" w:rsidP="00B31919">
      <w:pPr>
        <w:autoSpaceDE w:val="0"/>
        <w:autoSpaceDN w:val="0"/>
        <w:adjustRightInd w:val="0"/>
        <w:spacing w:after="0" w:line="240" w:lineRule="auto"/>
        <w:rPr>
          <w:rFonts w:ascii="Times New Roman" w:hAnsi="Times New Roman"/>
          <w:lang w:val="lt-LT"/>
        </w:rPr>
      </w:pPr>
      <w:r w:rsidRPr="00B31919">
        <w:rPr>
          <w:rFonts w:ascii="Times New Roman" w:hAnsi="Times New Roman"/>
          <w:lang w:val="lt-LT"/>
        </w:rPr>
        <w:t xml:space="preserve">Zentiva, k.s. </w:t>
      </w:r>
    </w:p>
    <w:p w14:paraId="4481AB3B" w14:textId="77777777" w:rsidR="00B31919" w:rsidRPr="00B31919" w:rsidRDefault="00B31919" w:rsidP="00B31919">
      <w:pPr>
        <w:autoSpaceDE w:val="0"/>
        <w:autoSpaceDN w:val="0"/>
        <w:adjustRightInd w:val="0"/>
        <w:spacing w:after="0" w:line="240" w:lineRule="auto"/>
        <w:rPr>
          <w:rFonts w:ascii="Times New Roman" w:hAnsi="Times New Roman"/>
          <w:lang w:val="lt-LT"/>
        </w:rPr>
      </w:pPr>
      <w:r w:rsidRPr="00B31919">
        <w:rPr>
          <w:rFonts w:ascii="Times New Roman" w:hAnsi="Times New Roman"/>
          <w:lang w:val="lt-LT"/>
        </w:rPr>
        <w:t xml:space="preserve">U kabelovny 130 </w:t>
      </w:r>
    </w:p>
    <w:p w14:paraId="3D92C1A9" w14:textId="77777777" w:rsidR="00B31919" w:rsidRPr="00B31919" w:rsidRDefault="00B31919" w:rsidP="00B31919">
      <w:pPr>
        <w:autoSpaceDE w:val="0"/>
        <w:autoSpaceDN w:val="0"/>
        <w:adjustRightInd w:val="0"/>
        <w:spacing w:after="0" w:line="240" w:lineRule="auto"/>
        <w:rPr>
          <w:rFonts w:ascii="Times New Roman" w:hAnsi="Times New Roman"/>
          <w:lang w:val="lt-LT"/>
        </w:rPr>
      </w:pPr>
      <w:r w:rsidRPr="00B31919">
        <w:rPr>
          <w:rFonts w:ascii="Times New Roman" w:hAnsi="Times New Roman"/>
          <w:lang w:val="lt-LT"/>
        </w:rPr>
        <w:t>Dolní Měcholupy</w:t>
      </w:r>
    </w:p>
    <w:p w14:paraId="421C5852" w14:textId="26222067" w:rsidR="00B31919" w:rsidRPr="00B31919" w:rsidRDefault="00B31919" w:rsidP="00B31919">
      <w:pPr>
        <w:autoSpaceDE w:val="0"/>
        <w:autoSpaceDN w:val="0"/>
        <w:adjustRightInd w:val="0"/>
        <w:spacing w:after="0" w:line="240" w:lineRule="auto"/>
        <w:rPr>
          <w:rFonts w:ascii="Times New Roman" w:hAnsi="Times New Roman"/>
          <w:lang w:val="lt-LT"/>
        </w:rPr>
      </w:pPr>
      <w:r w:rsidRPr="00B31919">
        <w:rPr>
          <w:rFonts w:ascii="Times New Roman" w:hAnsi="Times New Roman"/>
          <w:lang w:val="lt-LT"/>
        </w:rPr>
        <w:t>102 37 Praha 10</w:t>
      </w:r>
    </w:p>
    <w:p w14:paraId="1BD995C6" w14:textId="54751928" w:rsidR="00B31919" w:rsidRDefault="00B31919" w:rsidP="00B31919">
      <w:pPr>
        <w:autoSpaceDE w:val="0"/>
        <w:autoSpaceDN w:val="0"/>
        <w:adjustRightInd w:val="0"/>
        <w:spacing w:after="0" w:line="240" w:lineRule="auto"/>
        <w:rPr>
          <w:rFonts w:ascii="Times New Roman" w:hAnsi="Times New Roman"/>
          <w:lang w:val="lt-LT"/>
        </w:rPr>
      </w:pPr>
      <w:r w:rsidRPr="00B31919">
        <w:rPr>
          <w:rFonts w:ascii="Times New Roman" w:hAnsi="Times New Roman"/>
          <w:lang w:val="lt-LT"/>
        </w:rPr>
        <w:t>Čekija</w:t>
      </w:r>
    </w:p>
    <w:p w14:paraId="2B52E56E" w14:textId="77777777" w:rsidR="00B31919" w:rsidRDefault="00B31919" w:rsidP="00B31919">
      <w:pPr>
        <w:autoSpaceDE w:val="0"/>
        <w:autoSpaceDN w:val="0"/>
        <w:adjustRightInd w:val="0"/>
        <w:spacing w:after="0" w:line="240" w:lineRule="auto"/>
        <w:rPr>
          <w:rFonts w:ascii="Times New Roman" w:hAnsi="Times New Roman"/>
          <w:lang w:val="lt-LT"/>
        </w:rPr>
      </w:pPr>
    </w:p>
    <w:p w14:paraId="263874E5" w14:textId="5EE9370D" w:rsidR="00B31919" w:rsidRDefault="00B31919" w:rsidP="00B31919">
      <w:pPr>
        <w:autoSpaceDE w:val="0"/>
        <w:autoSpaceDN w:val="0"/>
        <w:adjustRightInd w:val="0"/>
        <w:spacing w:after="0" w:line="240" w:lineRule="auto"/>
        <w:rPr>
          <w:rFonts w:ascii="Times New Roman" w:hAnsi="Times New Roman"/>
          <w:lang w:val="lt-LT"/>
        </w:rPr>
      </w:pPr>
      <w:r>
        <w:rPr>
          <w:rFonts w:ascii="Times New Roman" w:hAnsi="Times New Roman"/>
          <w:lang w:val="lt-LT"/>
        </w:rPr>
        <w:t>arba</w:t>
      </w:r>
    </w:p>
    <w:p w14:paraId="05539B4F" w14:textId="77777777" w:rsidR="00B31919" w:rsidRDefault="00B31919" w:rsidP="00B31919">
      <w:pPr>
        <w:autoSpaceDE w:val="0"/>
        <w:autoSpaceDN w:val="0"/>
        <w:adjustRightInd w:val="0"/>
        <w:spacing w:after="0" w:line="240" w:lineRule="auto"/>
        <w:rPr>
          <w:rFonts w:ascii="Times New Roman" w:hAnsi="Times New Roman"/>
          <w:lang w:val="lt-LT"/>
        </w:rPr>
      </w:pPr>
    </w:p>
    <w:p w14:paraId="663E5171" w14:textId="77777777" w:rsidR="00B31919" w:rsidRPr="00B31919" w:rsidRDefault="00B31919" w:rsidP="00B31919">
      <w:pPr>
        <w:autoSpaceDE w:val="0"/>
        <w:autoSpaceDN w:val="0"/>
        <w:adjustRightInd w:val="0"/>
        <w:spacing w:after="0" w:line="240" w:lineRule="auto"/>
        <w:rPr>
          <w:rFonts w:ascii="Times New Roman" w:hAnsi="Times New Roman"/>
          <w:lang w:val="lt-LT"/>
        </w:rPr>
      </w:pPr>
      <w:r w:rsidRPr="00B31919">
        <w:rPr>
          <w:rFonts w:ascii="Times New Roman" w:hAnsi="Times New Roman"/>
          <w:lang w:val="lt-LT"/>
        </w:rPr>
        <w:t>S.C. Zentiva, S.A.</w:t>
      </w:r>
    </w:p>
    <w:p w14:paraId="0B22EBEA" w14:textId="77777777" w:rsidR="00FA22D9" w:rsidRPr="00FA22D9" w:rsidRDefault="00FA22D9" w:rsidP="00FA22D9">
      <w:pPr>
        <w:autoSpaceDE w:val="0"/>
        <w:autoSpaceDN w:val="0"/>
        <w:adjustRightInd w:val="0"/>
        <w:spacing w:after="0" w:line="240" w:lineRule="auto"/>
        <w:rPr>
          <w:rFonts w:ascii="Times New Roman" w:hAnsi="Times New Roman"/>
          <w:lang w:val="lt-LT"/>
        </w:rPr>
      </w:pPr>
      <w:r w:rsidRPr="00FA22D9">
        <w:rPr>
          <w:rFonts w:ascii="Times New Roman" w:hAnsi="Times New Roman"/>
          <w:lang w:val="lt-LT"/>
        </w:rPr>
        <w:t>Theodor Pallady Nr 50</w:t>
      </w:r>
    </w:p>
    <w:p w14:paraId="55C119D1" w14:textId="77777777" w:rsidR="00FA22D9" w:rsidRPr="00FA22D9" w:rsidRDefault="00FA22D9" w:rsidP="00FA22D9">
      <w:pPr>
        <w:autoSpaceDE w:val="0"/>
        <w:autoSpaceDN w:val="0"/>
        <w:adjustRightInd w:val="0"/>
        <w:spacing w:after="0" w:line="240" w:lineRule="auto"/>
        <w:rPr>
          <w:rFonts w:ascii="Times New Roman" w:hAnsi="Times New Roman"/>
          <w:lang w:val="lt-LT"/>
        </w:rPr>
      </w:pPr>
      <w:r w:rsidRPr="00FA22D9">
        <w:rPr>
          <w:rFonts w:ascii="Times New Roman" w:hAnsi="Times New Roman"/>
          <w:lang w:val="lt-LT"/>
        </w:rPr>
        <w:t>032266 Bucharest</w:t>
      </w:r>
    </w:p>
    <w:p w14:paraId="38365EFB" w14:textId="15E3A6D7" w:rsidR="007750B7" w:rsidRPr="00816A48" w:rsidRDefault="00FA22D9" w:rsidP="003D3259">
      <w:pPr>
        <w:autoSpaceDE w:val="0"/>
        <w:autoSpaceDN w:val="0"/>
        <w:adjustRightInd w:val="0"/>
        <w:spacing w:after="0" w:line="240" w:lineRule="auto"/>
        <w:rPr>
          <w:rFonts w:ascii="Times New Roman" w:hAnsi="Times New Roman"/>
          <w:lang w:val="lt-LT"/>
        </w:rPr>
      </w:pPr>
      <w:r w:rsidRPr="00FA22D9">
        <w:rPr>
          <w:rFonts w:ascii="Times New Roman" w:hAnsi="Times New Roman"/>
          <w:lang w:val="lt-LT"/>
        </w:rPr>
        <w:t>Rumunija</w:t>
      </w:r>
    </w:p>
    <w:p w14:paraId="303ED537" w14:textId="77777777" w:rsidR="00BD6502" w:rsidRPr="00816A48" w:rsidRDefault="00BD6502" w:rsidP="00BD6502">
      <w:pPr>
        <w:autoSpaceDE w:val="0"/>
        <w:autoSpaceDN w:val="0"/>
        <w:adjustRightInd w:val="0"/>
        <w:spacing w:after="0" w:line="240" w:lineRule="auto"/>
        <w:rPr>
          <w:rFonts w:ascii="Times New Roman" w:hAnsi="Times New Roman"/>
          <w:lang w:val="lt-LT"/>
        </w:rPr>
      </w:pPr>
    </w:p>
    <w:p w14:paraId="75866629" w14:textId="0641D854" w:rsidR="007750B7" w:rsidRPr="00E708C1" w:rsidRDefault="00587B63" w:rsidP="0062444B">
      <w:pPr>
        <w:autoSpaceDE w:val="0"/>
        <w:autoSpaceDN w:val="0"/>
        <w:adjustRightInd w:val="0"/>
        <w:spacing w:after="0" w:line="240" w:lineRule="auto"/>
        <w:rPr>
          <w:rFonts w:ascii="Times New Roman" w:hAnsi="Times New Roman"/>
          <w:b/>
          <w:bCs/>
          <w:lang w:val="lt-LT"/>
        </w:rPr>
      </w:pPr>
      <w:r w:rsidRPr="00E708C1">
        <w:rPr>
          <w:rFonts w:ascii="Times New Roman" w:hAnsi="Times New Roman"/>
          <w:b/>
          <w:bCs/>
          <w:lang w:val="lt-LT"/>
        </w:rPr>
        <w:t>Šis vaistas E</w:t>
      </w:r>
      <w:r w:rsidR="00AC02F2">
        <w:rPr>
          <w:rFonts w:ascii="Times New Roman" w:hAnsi="Times New Roman"/>
          <w:b/>
          <w:bCs/>
          <w:lang w:val="lt-LT"/>
        </w:rPr>
        <w:t>uropos ekonominės erdvės</w:t>
      </w:r>
      <w:r w:rsidRPr="00E708C1">
        <w:rPr>
          <w:rFonts w:ascii="Times New Roman" w:hAnsi="Times New Roman"/>
          <w:b/>
          <w:bCs/>
          <w:lang w:val="lt-LT"/>
        </w:rPr>
        <w:t xml:space="preserve"> valstybėse narėse registruotas tokiais pavadinimais</w:t>
      </w:r>
      <w:r w:rsidR="00BD6502" w:rsidRPr="00E708C1">
        <w:rPr>
          <w:rFonts w:ascii="Times New Roman" w:hAnsi="Times New Roman"/>
          <w:b/>
          <w:bCs/>
          <w:lang w:val="lt-LT"/>
        </w:rPr>
        <w:t>:</w:t>
      </w:r>
    </w:p>
    <w:p w14:paraId="5FCD750E" w14:textId="53C41E69" w:rsidR="00EE0640" w:rsidRPr="00E708C1" w:rsidRDefault="00EE0640" w:rsidP="0062444B">
      <w:pPr>
        <w:autoSpaceDE w:val="0"/>
        <w:autoSpaceDN w:val="0"/>
        <w:adjustRightInd w:val="0"/>
        <w:spacing w:after="0" w:line="240" w:lineRule="auto"/>
        <w:rPr>
          <w:rFonts w:ascii="Times New Roman" w:hAnsi="Times New Roman"/>
          <w:bCs/>
          <w:lang w:val="lt-LT"/>
        </w:rPr>
      </w:pPr>
      <w:r w:rsidRPr="00E708C1">
        <w:rPr>
          <w:rFonts w:ascii="Times New Roman" w:hAnsi="Times New Roman"/>
          <w:bCs/>
          <w:lang w:val="lt-LT"/>
        </w:rPr>
        <w:t xml:space="preserve">Čekija, </w:t>
      </w:r>
      <w:r w:rsidR="009274F5" w:rsidRPr="00E708C1">
        <w:rPr>
          <w:rFonts w:ascii="Times New Roman" w:hAnsi="Times New Roman"/>
          <w:bCs/>
          <w:lang w:val="lt-LT"/>
        </w:rPr>
        <w:t>Latvija,</w:t>
      </w:r>
      <w:r w:rsidR="009274F5">
        <w:rPr>
          <w:rFonts w:ascii="Times New Roman" w:hAnsi="Times New Roman"/>
          <w:bCs/>
          <w:lang w:val="lt-LT"/>
        </w:rPr>
        <w:t xml:space="preserve"> </w:t>
      </w:r>
      <w:r w:rsidRPr="00E708C1">
        <w:rPr>
          <w:rFonts w:ascii="Times New Roman" w:hAnsi="Times New Roman"/>
          <w:bCs/>
          <w:lang w:val="lt-LT"/>
        </w:rPr>
        <w:t>Lenkija</w:t>
      </w:r>
      <w:r w:rsidR="009274F5">
        <w:rPr>
          <w:rFonts w:ascii="Times New Roman" w:hAnsi="Times New Roman"/>
          <w:bCs/>
          <w:lang w:val="lt-LT"/>
        </w:rPr>
        <w:t>,</w:t>
      </w:r>
      <w:r w:rsidR="009274F5" w:rsidRPr="009274F5">
        <w:rPr>
          <w:rFonts w:ascii="Times New Roman" w:hAnsi="Times New Roman"/>
          <w:bCs/>
          <w:lang w:val="lt-LT"/>
        </w:rPr>
        <w:t xml:space="preserve"> </w:t>
      </w:r>
      <w:r w:rsidR="009274F5" w:rsidRPr="00E708C1">
        <w:rPr>
          <w:rFonts w:ascii="Times New Roman" w:hAnsi="Times New Roman"/>
          <w:bCs/>
          <w:lang w:val="lt-LT"/>
        </w:rPr>
        <w:t>Lietuva</w:t>
      </w:r>
      <w:r w:rsidR="009274F5">
        <w:rPr>
          <w:rFonts w:ascii="Times New Roman" w:hAnsi="Times New Roman"/>
          <w:bCs/>
          <w:lang w:val="lt-LT"/>
        </w:rPr>
        <w:t>,</w:t>
      </w:r>
      <w:r w:rsidR="009274F5" w:rsidRPr="00E708C1">
        <w:rPr>
          <w:rFonts w:ascii="Times New Roman" w:hAnsi="Times New Roman"/>
          <w:bCs/>
          <w:lang w:val="lt-LT"/>
        </w:rPr>
        <w:t xml:space="preserve"> Rumunija</w:t>
      </w:r>
      <w:r w:rsidRPr="00E708C1">
        <w:rPr>
          <w:rFonts w:ascii="Times New Roman" w:hAnsi="Times New Roman"/>
          <w:bCs/>
          <w:lang w:val="lt-LT"/>
        </w:rPr>
        <w:t>:</w:t>
      </w:r>
      <w:r w:rsidRPr="00E708C1">
        <w:rPr>
          <w:rFonts w:ascii="Times New Roman" w:hAnsi="Times New Roman"/>
          <w:bCs/>
          <w:lang w:val="lt-LT"/>
        </w:rPr>
        <w:tab/>
        <w:t>Osagrand</w:t>
      </w:r>
    </w:p>
    <w:p w14:paraId="742543EA" w14:textId="77777777" w:rsidR="007750B7" w:rsidRDefault="007750B7" w:rsidP="00D42B82">
      <w:pPr>
        <w:autoSpaceDE w:val="0"/>
        <w:autoSpaceDN w:val="0"/>
        <w:adjustRightInd w:val="0"/>
        <w:spacing w:after="0" w:line="240" w:lineRule="auto"/>
        <w:rPr>
          <w:rFonts w:ascii="Times New Roman" w:hAnsi="Times New Roman"/>
          <w:b/>
          <w:lang w:val="lt-LT"/>
        </w:rPr>
      </w:pPr>
    </w:p>
    <w:p w14:paraId="6979C990" w14:textId="77777777" w:rsidR="00443856" w:rsidRPr="00816A48" w:rsidRDefault="00443856" w:rsidP="00D42B82">
      <w:pPr>
        <w:autoSpaceDE w:val="0"/>
        <w:autoSpaceDN w:val="0"/>
        <w:adjustRightInd w:val="0"/>
        <w:spacing w:after="0" w:line="240" w:lineRule="auto"/>
        <w:rPr>
          <w:rFonts w:ascii="Times New Roman" w:hAnsi="Times New Roman"/>
          <w:b/>
          <w:lang w:val="lt-LT"/>
        </w:rPr>
      </w:pPr>
    </w:p>
    <w:p w14:paraId="54AB65A9" w14:textId="5B55F96D" w:rsidR="007750B7" w:rsidRPr="00816A48" w:rsidRDefault="007750B7" w:rsidP="005F68E5">
      <w:pPr>
        <w:autoSpaceDE w:val="0"/>
        <w:autoSpaceDN w:val="0"/>
        <w:adjustRightInd w:val="0"/>
        <w:spacing w:after="0" w:line="240" w:lineRule="auto"/>
        <w:rPr>
          <w:rFonts w:ascii="Times New Roman" w:hAnsi="Times New Roman"/>
          <w:b/>
          <w:lang w:val="lt-LT"/>
        </w:rPr>
      </w:pPr>
      <w:r w:rsidRPr="00816A48">
        <w:rPr>
          <w:rFonts w:ascii="Times New Roman" w:hAnsi="Times New Roman"/>
          <w:b/>
          <w:lang w:val="lt-LT"/>
        </w:rPr>
        <w:t xml:space="preserve">Šis pakuotės lapelis paskutinį kartą </w:t>
      </w:r>
      <w:r w:rsidR="00567435" w:rsidRPr="00816A48">
        <w:rPr>
          <w:rFonts w:ascii="Times New Roman" w:hAnsi="Times New Roman"/>
          <w:b/>
          <w:bCs/>
          <w:lang w:val="lt-LT"/>
        </w:rPr>
        <w:t xml:space="preserve">peržiūrėtas </w:t>
      </w:r>
      <w:r w:rsidR="008C50FF">
        <w:rPr>
          <w:rFonts w:ascii="Times New Roman" w:hAnsi="Times New Roman"/>
          <w:b/>
          <w:bCs/>
          <w:lang w:val="lt-LT"/>
        </w:rPr>
        <w:t>20</w:t>
      </w:r>
      <w:r w:rsidR="006A3C8C">
        <w:rPr>
          <w:rFonts w:ascii="Times New Roman" w:hAnsi="Times New Roman"/>
          <w:b/>
          <w:bCs/>
          <w:lang w:val="lt-LT"/>
        </w:rPr>
        <w:t>2</w:t>
      </w:r>
      <w:r w:rsidR="008A082A">
        <w:rPr>
          <w:rFonts w:ascii="Times New Roman" w:hAnsi="Times New Roman"/>
          <w:b/>
          <w:bCs/>
          <w:lang w:val="lt-LT"/>
        </w:rPr>
        <w:t>4</w:t>
      </w:r>
      <w:r w:rsidR="00BC6C65">
        <w:rPr>
          <w:rFonts w:ascii="Times New Roman" w:hAnsi="Times New Roman"/>
          <w:b/>
          <w:bCs/>
          <w:lang w:val="lt-LT"/>
        </w:rPr>
        <w:t>-08-22</w:t>
      </w:r>
      <w:r w:rsidR="00301C06">
        <w:rPr>
          <w:rFonts w:ascii="Times New Roman" w:hAnsi="Times New Roman"/>
          <w:b/>
          <w:bCs/>
          <w:lang w:val="lt-LT"/>
        </w:rPr>
        <w:t>.</w:t>
      </w:r>
    </w:p>
    <w:p w14:paraId="4E67F5C3" w14:textId="77777777" w:rsidR="007750B7" w:rsidRDefault="007750B7" w:rsidP="008D33C6">
      <w:pPr>
        <w:autoSpaceDE w:val="0"/>
        <w:autoSpaceDN w:val="0"/>
        <w:adjustRightInd w:val="0"/>
        <w:spacing w:after="0" w:line="240" w:lineRule="auto"/>
        <w:rPr>
          <w:rFonts w:ascii="Times New Roman" w:hAnsi="Times New Roman"/>
          <w:b/>
          <w:lang w:val="lt-LT"/>
        </w:rPr>
      </w:pPr>
    </w:p>
    <w:p w14:paraId="00368942" w14:textId="77777777" w:rsidR="00443856" w:rsidRPr="00816A48" w:rsidRDefault="00443856" w:rsidP="008D33C6">
      <w:pPr>
        <w:autoSpaceDE w:val="0"/>
        <w:autoSpaceDN w:val="0"/>
        <w:adjustRightInd w:val="0"/>
        <w:spacing w:after="0" w:line="240" w:lineRule="auto"/>
        <w:rPr>
          <w:rFonts w:ascii="Times New Roman" w:hAnsi="Times New Roman"/>
          <w:b/>
          <w:lang w:val="lt-LT"/>
        </w:rPr>
      </w:pPr>
    </w:p>
    <w:p w14:paraId="054C0CDD" w14:textId="48758488" w:rsidR="007750B7" w:rsidRPr="00816A48" w:rsidRDefault="00471F62" w:rsidP="009B4884">
      <w:pPr>
        <w:autoSpaceDE w:val="0"/>
        <w:autoSpaceDN w:val="0"/>
        <w:adjustRightInd w:val="0"/>
        <w:spacing w:after="0" w:line="240" w:lineRule="auto"/>
        <w:rPr>
          <w:rFonts w:ascii="Times New Roman" w:hAnsi="Times New Roman"/>
          <w:color w:val="0000FF"/>
          <w:u w:val="single"/>
          <w:lang w:val="lt-LT"/>
        </w:rPr>
      </w:pPr>
      <w:r w:rsidRPr="00816A48">
        <w:rPr>
          <w:rFonts w:ascii="Times New Roman" w:hAnsi="Times New Roman"/>
          <w:color w:val="000000"/>
          <w:lang w:val="lt-LT"/>
        </w:rPr>
        <w:t>Išsami informacija apie šį vaistą</w:t>
      </w:r>
      <w:r w:rsidR="007750B7" w:rsidRPr="00816A48">
        <w:rPr>
          <w:rFonts w:ascii="Times New Roman" w:hAnsi="Times New Roman"/>
          <w:color w:val="000000"/>
          <w:lang w:val="lt-LT"/>
        </w:rPr>
        <w:t xml:space="preserve"> pateikiama Valstybinės vaistų kontrolės tarnybos prie Lietuvos Respublikos sveikatos apsaugos ministerijos </w:t>
      </w:r>
      <w:r w:rsidRPr="00816A48">
        <w:rPr>
          <w:rFonts w:ascii="Times New Roman" w:hAnsi="Times New Roman"/>
          <w:color w:val="000000"/>
          <w:lang w:val="lt-LT"/>
        </w:rPr>
        <w:t>tinklalapyje</w:t>
      </w:r>
      <w:r w:rsidR="007750B7" w:rsidRPr="00816A48">
        <w:rPr>
          <w:rFonts w:ascii="Times New Roman" w:hAnsi="Times New Roman"/>
          <w:lang w:val="lt-LT"/>
        </w:rPr>
        <w:t xml:space="preserve"> </w:t>
      </w:r>
      <w:r w:rsidR="0053799D" w:rsidRPr="0053799D">
        <w:rPr>
          <w:rFonts w:ascii="Times New Roman" w:eastAsia="Times New Roman" w:hAnsi="Times New Roman"/>
          <w:color w:val="0000EE"/>
          <w:u w:val="single"/>
          <w:lang w:val="lt-LT" w:eastAsia="lt-LT"/>
        </w:rPr>
        <w:t>https://vvkt.lrv.lt/lt/</w:t>
      </w:r>
      <w:r w:rsidR="0053799D" w:rsidRPr="0053799D">
        <w:rPr>
          <w:rFonts w:ascii="Times New Roman" w:eastAsia="Times New Roman" w:hAnsi="Times New Roman"/>
          <w:lang w:val="lt-LT" w:eastAsia="lt-LT"/>
        </w:rPr>
        <w:t>.</w:t>
      </w:r>
    </w:p>
    <w:p w14:paraId="519637A7" w14:textId="77777777" w:rsidR="007750B7" w:rsidRPr="00816A48" w:rsidRDefault="007750B7" w:rsidP="007A65B4">
      <w:pPr>
        <w:pBdr>
          <w:bottom w:val="single" w:sz="4" w:space="1" w:color="auto"/>
        </w:pBdr>
        <w:autoSpaceDE w:val="0"/>
        <w:autoSpaceDN w:val="0"/>
        <w:adjustRightInd w:val="0"/>
        <w:spacing w:after="0" w:line="240" w:lineRule="auto"/>
        <w:rPr>
          <w:rFonts w:ascii="Times New Roman" w:hAnsi="Times New Roman"/>
          <w:u w:val="single"/>
          <w:lang w:val="lt-LT"/>
        </w:rPr>
      </w:pPr>
    </w:p>
    <w:p w14:paraId="0AE1D272" w14:textId="77777777" w:rsidR="007750B7" w:rsidRPr="00816A48" w:rsidRDefault="007750B7" w:rsidP="00661507">
      <w:pPr>
        <w:pBdr>
          <w:bottom w:val="single" w:sz="4" w:space="1" w:color="auto"/>
        </w:pBdr>
        <w:autoSpaceDE w:val="0"/>
        <w:autoSpaceDN w:val="0"/>
        <w:adjustRightInd w:val="0"/>
        <w:spacing w:after="0" w:line="240" w:lineRule="auto"/>
        <w:rPr>
          <w:rFonts w:ascii="Times New Roman" w:hAnsi="Times New Roman"/>
          <w:u w:val="single"/>
          <w:lang w:val="lt-LT"/>
        </w:rPr>
      </w:pPr>
    </w:p>
    <w:p w14:paraId="14530B8D" w14:textId="77777777" w:rsidR="007750B7" w:rsidRPr="00816A48" w:rsidRDefault="007750B7" w:rsidP="00604FE8">
      <w:pPr>
        <w:autoSpaceDE w:val="0"/>
        <w:autoSpaceDN w:val="0"/>
        <w:adjustRightInd w:val="0"/>
        <w:spacing w:after="0" w:line="240" w:lineRule="auto"/>
        <w:rPr>
          <w:rFonts w:ascii="Times New Roman" w:hAnsi="Times New Roman"/>
          <w:b/>
          <w:color w:val="000000"/>
          <w:lang w:val="lt-LT"/>
        </w:rPr>
      </w:pPr>
      <w:r w:rsidRPr="00816A48">
        <w:rPr>
          <w:rFonts w:ascii="Times New Roman" w:hAnsi="Times New Roman"/>
          <w:b/>
          <w:color w:val="000000"/>
          <w:lang w:val="lt-LT"/>
        </w:rPr>
        <w:t>INFORMACIJA SVEIKATOS PRIEŽIŪROS SPECIALISTAMS</w:t>
      </w:r>
    </w:p>
    <w:p w14:paraId="50EED32C" w14:textId="77777777" w:rsidR="007750B7" w:rsidRPr="00816A48" w:rsidRDefault="007750B7" w:rsidP="00242DA5">
      <w:pPr>
        <w:autoSpaceDE w:val="0"/>
        <w:autoSpaceDN w:val="0"/>
        <w:adjustRightInd w:val="0"/>
        <w:spacing w:after="0" w:line="240" w:lineRule="auto"/>
        <w:rPr>
          <w:rFonts w:ascii="Times New Roman" w:hAnsi="Times New Roman"/>
          <w:color w:val="000000"/>
          <w:lang w:val="lt-LT"/>
        </w:rPr>
      </w:pPr>
    </w:p>
    <w:p w14:paraId="75282C9A" w14:textId="77777777" w:rsidR="007750B7" w:rsidRPr="00816A48" w:rsidRDefault="007750B7" w:rsidP="00331125">
      <w:pPr>
        <w:autoSpaceDE w:val="0"/>
        <w:autoSpaceDN w:val="0"/>
        <w:adjustRightInd w:val="0"/>
        <w:spacing w:after="0" w:line="240" w:lineRule="auto"/>
        <w:rPr>
          <w:rFonts w:ascii="Times New Roman" w:hAnsi="Times New Roman"/>
          <w:b/>
          <w:color w:val="000000"/>
          <w:lang w:val="lt-LT"/>
        </w:rPr>
      </w:pPr>
      <w:r w:rsidRPr="00816A48">
        <w:rPr>
          <w:rFonts w:ascii="Times New Roman" w:hAnsi="Times New Roman"/>
          <w:b/>
          <w:color w:val="000000"/>
          <w:lang w:val="lt-LT"/>
        </w:rPr>
        <w:t>Daugiau informacijos žr. preparato charakteristikų santraukoje.</w:t>
      </w:r>
    </w:p>
    <w:p w14:paraId="2144062F" w14:textId="77777777" w:rsidR="007750B7" w:rsidRPr="00816A48" w:rsidRDefault="007750B7" w:rsidP="00DA1B4A">
      <w:pPr>
        <w:autoSpaceDE w:val="0"/>
        <w:autoSpaceDN w:val="0"/>
        <w:adjustRightInd w:val="0"/>
        <w:spacing w:after="0" w:line="240" w:lineRule="auto"/>
        <w:rPr>
          <w:rFonts w:ascii="Times New Roman" w:hAnsi="Times New Roman"/>
          <w:color w:val="000000"/>
          <w:lang w:val="lt-LT"/>
        </w:rPr>
      </w:pPr>
    </w:p>
    <w:p w14:paraId="49AE04D4" w14:textId="1EF7EDE1" w:rsidR="007750B7" w:rsidRPr="00816A48" w:rsidRDefault="007750B7" w:rsidP="000F0A27">
      <w:pPr>
        <w:autoSpaceDE w:val="0"/>
        <w:autoSpaceDN w:val="0"/>
        <w:adjustRightInd w:val="0"/>
        <w:spacing w:after="0" w:line="240" w:lineRule="auto"/>
        <w:rPr>
          <w:rFonts w:ascii="Times New Roman" w:hAnsi="Times New Roman"/>
          <w:b/>
          <w:color w:val="000000"/>
          <w:lang w:val="lt-LT"/>
        </w:rPr>
      </w:pPr>
      <w:r w:rsidRPr="00816A48">
        <w:rPr>
          <w:rFonts w:ascii="Times New Roman" w:hAnsi="Times New Roman"/>
          <w:b/>
          <w:lang w:val="lt-LT"/>
        </w:rPr>
        <w:t>Osagrand 3 mg injekcinio tirpalo vartojimas</w:t>
      </w:r>
    </w:p>
    <w:p w14:paraId="33FC04FE" w14:textId="286D9E11" w:rsidR="007750B7" w:rsidRPr="00816A48" w:rsidRDefault="007750B7" w:rsidP="000A0BCD">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lang w:val="lt-LT"/>
        </w:rPr>
        <w:t xml:space="preserve">Osagrand 3 mg injekcinį tirpalą reikia suleisti į veną per </w:t>
      </w:r>
      <w:r w:rsidRPr="00816A48">
        <w:rPr>
          <w:rFonts w:ascii="Times New Roman" w:hAnsi="Times New Roman"/>
          <w:color w:val="000000"/>
          <w:lang w:val="lt-LT"/>
        </w:rPr>
        <w:t>15</w:t>
      </w:r>
      <w:r w:rsidRPr="00816A48">
        <w:rPr>
          <w:rFonts w:ascii="Times New Roman" w:hAnsi="Times New Roman"/>
          <w:color w:val="000000"/>
          <w:lang w:val="lt-LT"/>
        </w:rPr>
        <w:noBreakHyphen/>
        <w:t>30 sekundžių.</w:t>
      </w:r>
    </w:p>
    <w:p w14:paraId="66586527" w14:textId="77777777" w:rsidR="007750B7" w:rsidRPr="00816A48" w:rsidRDefault="007750B7" w:rsidP="00A761AB">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Tirpalas sukelia dirginimą, todėl svarbu, kad vaistinis preparatas būtų suleistas tik į veną. Atsitiktinai suleidus vaistinio preparato šalia venos, pacientui gali pasireikšti lokalus dirginimas, skausmas ir uždegimas injekcijos vietoje.</w:t>
      </w:r>
    </w:p>
    <w:p w14:paraId="682D840C" w14:textId="5F6A3683" w:rsidR="007750B7" w:rsidRPr="00816A48" w:rsidRDefault="007750B7" w:rsidP="00A761AB">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lang w:val="lt-LT"/>
        </w:rPr>
        <w:t>Osagrand 3 mg injekcinio tirpalo negalima maišyti su tirpalais, kurių sudėtyje yra kalcio</w:t>
      </w:r>
      <w:r w:rsidRPr="00816A48">
        <w:rPr>
          <w:rFonts w:ascii="Times New Roman" w:hAnsi="Times New Roman"/>
          <w:color w:val="000000"/>
          <w:lang w:val="lt-LT"/>
        </w:rPr>
        <w:t xml:space="preserve"> (pvz.: Ringerio laktato tirpalu, heparino kalcio druska) arba kitais į veną leidžiamasis vaistiniais preparatais. </w:t>
      </w:r>
      <w:r w:rsidRPr="00816A48">
        <w:rPr>
          <w:rFonts w:ascii="Times New Roman" w:hAnsi="Times New Roman"/>
          <w:color w:val="000000"/>
          <w:lang w:val="lt-LT"/>
        </w:rPr>
        <w:lastRenderedPageBreak/>
        <w:t xml:space="preserve">Jeigu </w:t>
      </w:r>
      <w:r w:rsidRPr="00816A48">
        <w:rPr>
          <w:rFonts w:ascii="Times New Roman" w:hAnsi="Times New Roman"/>
          <w:lang w:val="lt-LT"/>
        </w:rPr>
        <w:t>Osagrand</w:t>
      </w:r>
      <w:r w:rsidRPr="00816A48">
        <w:rPr>
          <w:rFonts w:ascii="Times New Roman" w:hAnsi="Times New Roman"/>
          <w:color w:val="000000"/>
          <w:lang w:val="lt-LT"/>
        </w:rPr>
        <w:t xml:space="preserve"> suleidžiamas į veną per esamą infuzinę sistemą, infuzijai į veną gali būti leidžiamas tik fiziologinis tirpalas arba 50 mg/ml (5</w:t>
      </w:r>
      <w:r w:rsidR="009274F5">
        <w:rPr>
          <w:rFonts w:ascii="Times New Roman" w:hAnsi="Times New Roman"/>
          <w:color w:val="000000"/>
          <w:lang w:val="lt-LT"/>
        </w:rPr>
        <w:t> </w:t>
      </w:r>
      <w:r w:rsidRPr="00816A48">
        <w:rPr>
          <w:rFonts w:ascii="Times New Roman" w:hAnsi="Times New Roman"/>
          <w:color w:val="000000"/>
          <w:lang w:val="lt-LT"/>
        </w:rPr>
        <w:t>%) gliukozės tirpalas.</w:t>
      </w:r>
    </w:p>
    <w:p w14:paraId="352FBC5E" w14:textId="77777777" w:rsidR="007750B7" w:rsidRPr="00816A48" w:rsidRDefault="007750B7" w:rsidP="0062444B">
      <w:pPr>
        <w:autoSpaceDE w:val="0"/>
        <w:autoSpaceDN w:val="0"/>
        <w:adjustRightInd w:val="0"/>
        <w:spacing w:after="0" w:line="240" w:lineRule="auto"/>
        <w:rPr>
          <w:rFonts w:ascii="Times New Roman" w:hAnsi="Times New Roman"/>
          <w:color w:val="000000"/>
          <w:lang w:val="lt-LT"/>
        </w:rPr>
      </w:pPr>
    </w:p>
    <w:p w14:paraId="035A2D3B" w14:textId="77777777" w:rsidR="007750B7" w:rsidRPr="00816A48" w:rsidRDefault="007750B7" w:rsidP="00947F45">
      <w:pPr>
        <w:autoSpaceDE w:val="0"/>
        <w:autoSpaceDN w:val="0"/>
        <w:adjustRightInd w:val="0"/>
        <w:spacing w:after="0" w:line="240" w:lineRule="auto"/>
        <w:rPr>
          <w:rFonts w:ascii="Times New Roman" w:hAnsi="Times New Roman"/>
          <w:b/>
          <w:color w:val="000000"/>
          <w:lang w:val="lt-LT"/>
        </w:rPr>
      </w:pPr>
      <w:r w:rsidRPr="00816A48">
        <w:rPr>
          <w:rFonts w:ascii="Times New Roman" w:hAnsi="Times New Roman"/>
          <w:b/>
          <w:color w:val="000000"/>
          <w:lang w:val="lt-LT"/>
        </w:rPr>
        <w:t>Praleidus dozę</w:t>
      </w:r>
    </w:p>
    <w:p w14:paraId="3585E40F" w14:textId="77777777" w:rsidR="007750B7" w:rsidRPr="00816A48" w:rsidRDefault="007750B7" w:rsidP="003D3259">
      <w:pPr>
        <w:autoSpaceDE w:val="0"/>
        <w:autoSpaceDN w:val="0"/>
        <w:adjustRightInd w:val="0"/>
        <w:spacing w:after="0" w:line="240" w:lineRule="auto"/>
        <w:rPr>
          <w:rFonts w:ascii="Times New Roman" w:hAnsi="Times New Roman"/>
          <w:lang w:val="lt-LT"/>
        </w:rPr>
      </w:pPr>
      <w:r w:rsidRPr="00816A48">
        <w:rPr>
          <w:rFonts w:ascii="Times New Roman" w:hAnsi="Times New Roman"/>
          <w:lang w:val="lt-LT"/>
        </w:rPr>
        <w:t>Jeigu buvo praleista dozė, vaistinį preparatą reikia suleisti kiek galima greičiau. Vėliau vaistinį preparatą reikia leisti pagal planą kas 3 mėnesius, skaičiuojant nuo paskutiniosios injekcijos datos.</w:t>
      </w:r>
    </w:p>
    <w:p w14:paraId="6C8AF30E"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299B5799" w14:textId="77777777" w:rsidR="007750B7" w:rsidRPr="00816A48" w:rsidRDefault="007750B7" w:rsidP="00CE74AB">
      <w:pPr>
        <w:keepNext/>
        <w:keepLines/>
        <w:autoSpaceDE w:val="0"/>
        <w:autoSpaceDN w:val="0"/>
        <w:adjustRightInd w:val="0"/>
        <w:spacing w:after="0" w:line="240" w:lineRule="auto"/>
        <w:rPr>
          <w:rFonts w:ascii="Times New Roman" w:hAnsi="Times New Roman"/>
          <w:b/>
          <w:color w:val="000000"/>
          <w:lang w:val="lt-LT"/>
        </w:rPr>
      </w:pPr>
      <w:r w:rsidRPr="00816A48">
        <w:rPr>
          <w:rFonts w:ascii="Times New Roman" w:hAnsi="Times New Roman"/>
          <w:b/>
          <w:color w:val="000000"/>
          <w:lang w:val="lt-LT"/>
        </w:rPr>
        <w:t>Perdozavimas</w:t>
      </w:r>
    </w:p>
    <w:p w14:paraId="477C57A2" w14:textId="77777777" w:rsidR="007750B7" w:rsidRPr="00816A48" w:rsidRDefault="007750B7" w:rsidP="00CE74AB">
      <w:pPr>
        <w:keepNext/>
        <w:keepLines/>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Specifinės informacijos apie ibandrono rūgšties perdozavimo gydymą nėra. Vis dėlto, remiantis duomenimis apie šios grupės medžiagas, suleidus per didelę vaistinio preparato dozę į veną, gali pasireikšti hipokalcemija, hipofosfatemija ir hipomagnemija, o tai gali sukelti paresteziją. Sunkiais atvejais gali prireikti reikiamų kalcio gliukonato, kalio arba natrio fosfato bei magnio sulfato infuzijų į veną.</w:t>
      </w:r>
    </w:p>
    <w:p w14:paraId="083AAD88"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p>
    <w:p w14:paraId="4E1FFF6A" w14:textId="77777777" w:rsidR="007750B7" w:rsidRPr="00816A48" w:rsidRDefault="007750B7" w:rsidP="003D3259">
      <w:pPr>
        <w:autoSpaceDE w:val="0"/>
        <w:autoSpaceDN w:val="0"/>
        <w:adjustRightInd w:val="0"/>
        <w:spacing w:after="0" w:line="240" w:lineRule="auto"/>
        <w:rPr>
          <w:rFonts w:ascii="Times New Roman" w:hAnsi="Times New Roman"/>
          <w:b/>
          <w:color w:val="000000"/>
          <w:lang w:val="lt-LT"/>
        </w:rPr>
      </w:pPr>
      <w:r w:rsidRPr="00816A48">
        <w:rPr>
          <w:rFonts w:ascii="Times New Roman" w:hAnsi="Times New Roman"/>
          <w:b/>
          <w:color w:val="000000"/>
          <w:lang w:val="lt-LT"/>
        </w:rPr>
        <w:t>Bendrieji patarimai</w:t>
      </w:r>
    </w:p>
    <w:p w14:paraId="3C966A83" w14:textId="435BAB56"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lang w:val="lt-LT"/>
        </w:rPr>
        <w:t>Osagrand 3 mg injekcinis tirpalas, kaip ir kiti į veną leidžiami bisfosfonatai</w:t>
      </w:r>
      <w:r w:rsidRPr="00816A48">
        <w:rPr>
          <w:rFonts w:ascii="Times New Roman" w:hAnsi="Times New Roman"/>
          <w:color w:val="000000"/>
          <w:lang w:val="lt-LT"/>
        </w:rPr>
        <w:t>, gali trumpam sumažinti kalcio koncentracijas serume.</w:t>
      </w:r>
    </w:p>
    <w:p w14:paraId="7180F7BB" w14:textId="68C447BB"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 xml:space="preserve">Reikia įvertinti hipokalcemiją bei kitus kaulų ir mineralų metabolizmo sutrikimus ir juos veiksmingai gydyti prieš pradedant gydymą </w:t>
      </w:r>
      <w:r w:rsidRPr="00816A48">
        <w:rPr>
          <w:rFonts w:ascii="Times New Roman" w:hAnsi="Times New Roman"/>
          <w:lang w:val="lt-LT"/>
        </w:rPr>
        <w:t>Osagrand 3 mg injekcijomis</w:t>
      </w:r>
      <w:r w:rsidRPr="00816A48">
        <w:rPr>
          <w:rFonts w:ascii="Times New Roman" w:hAnsi="Times New Roman"/>
          <w:color w:val="000000"/>
          <w:lang w:val="lt-LT"/>
        </w:rPr>
        <w:t>. Svarbu visiems pacientams vartoti pakankamai kalcio ir vitamino</w:t>
      </w:r>
      <w:r w:rsidR="009274F5">
        <w:rPr>
          <w:rFonts w:ascii="Times New Roman" w:hAnsi="Times New Roman"/>
          <w:color w:val="000000"/>
          <w:lang w:val="lt-LT"/>
        </w:rPr>
        <w:t> </w:t>
      </w:r>
      <w:r w:rsidRPr="00816A48">
        <w:rPr>
          <w:rFonts w:ascii="Times New Roman" w:hAnsi="Times New Roman"/>
          <w:color w:val="000000"/>
          <w:lang w:val="lt-LT"/>
        </w:rPr>
        <w:t>D. Visi pacientai turi vartoti kalcio ir vitamino</w:t>
      </w:r>
      <w:r w:rsidR="009274F5">
        <w:rPr>
          <w:rFonts w:ascii="Times New Roman" w:hAnsi="Times New Roman"/>
          <w:color w:val="000000"/>
          <w:lang w:val="lt-LT"/>
        </w:rPr>
        <w:t> </w:t>
      </w:r>
      <w:r w:rsidRPr="00816A48">
        <w:rPr>
          <w:rFonts w:ascii="Times New Roman" w:hAnsi="Times New Roman"/>
          <w:color w:val="000000"/>
          <w:lang w:val="lt-LT"/>
        </w:rPr>
        <w:t>D papildų.</w:t>
      </w:r>
    </w:p>
    <w:p w14:paraId="7BACC075"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Atsižvelgiant į geros medicininės praktikos rekomendacijas, pacientų, kurie serga gretutinėmis ligomis arba vartoja vaistinių preparatų, kurie gali nepalankiai veikti inkstus, gydymas turi būti reguliariai peržiūrimas gydymo metu.</w:t>
      </w:r>
    </w:p>
    <w:p w14:paraId="2D604EB4" w14:textId="77777777" w:rsidR="007750B7" w:rsidRPr="00816A48" w:rsidRDefault="007750B7" w:rsidP="003D3259">
      <w:pPr>
        <w:autoSpaceDE w:val="0"/>
        <w:autoSpaceDN w:val="0"/>
        <w:adjustRightInd w:val="0"/>
        <w:spacing w:after="0" w:line="240" w:lineRule="auto"/>
        <w:rPr>
          <w:rFonts w:ascii="Times New Roman" w:hAnsi="Times New Roman"/>
          <w:color w:val="000000"/>
          <w:lang w:val="lt-LT"/>
        </w:rPr>
      </w:pPr>
      <w:r w:rsidRPr="00816A48">
        <w:rPr>
          <w:rFonts w:ascii="Times New Roman" w:hAnsi="Times New Roman"/>
          <w:color w:val="000000"/>
          <w:lang w:val="lt-LT"/>
        </w:rPr>
        <w:t>Nesuvartotą injekcinį tirpalą ir ampules reikia tvarkyti laikantis vietinių reikalavimų.</w:t>
      </w:r>
    </w:p>
    <w:p w14:paraId="62B80F27" w14:textId="77777777" w:rsidR="008C1A8A" w:rsidRPr="00816A48" w:rsidRDefault="008C1A8A" w:rsidP="003D3259">
      <w:pPr>
        <w:autoSpaceDE w:val="0"/>
        <w:autoSpaceDN w:val="0"/>
        <w:adjustRightInd w:val="0"/>
        <w:spacing w:after="0" w:line="240" w:lineRule="auto"/>
        <w:rPr>
          <w:rFonts w:ascii="Times New Roman" w:hAnsi="Times New Roman"/>
          <w:color w:val="000000"/>
          <w:lang w:val="lt-LT"/>
        </w:rPr>
      </w:pPr>
    </w:p>
    <w:sectPr w:rsidR="008C1A8A" w:rsidRPr="00816A48" w:rsidSect="005B1BA4">
      <w:footerReference w:type="default" r:id="rId9"/>
      <w:pgSz w:w="11907" w:h="16840"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2B6C1" w14:textId="77777777" w:rsidR="005761B7" w:rsidRDefault="005761B7" w:rsidP="0012465A">
      <w:pPr>
        <w:spacing w:after="0" w:line="240" w:lineRule="auto"/>
      </w:pPr>
      <w:r>
        <w:separator/>
      </w:r>
    </w:p>
  </w:endnote>
  <w:endnote w:type="continuationSeparator" w:id="0">
    <w:p w14:paraId="0CF6930A" w14:textId="77777777" w:rsidR="005761B7" w:rsidRDefault="005761B7" w:rsidP="0012465A">
      <w:pPr>
        <w:spacing w:after="0" w:line="240" w:lineRule="auto"/>
      </w:pPr>
      <w:r>
        <w:continuationSeparator/>
      </w:r>
    </w:p>
  </w:endnote>
  <w:endnote w:type="continuationNotice" w:id="1">
    <w:p w14:paraId="6E65076E" w14:textId="77777777" w:rsidR="005761B7" w:rsidRDefault="00576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5B301" w14:textId="231FAAD2" w:rsidR="00FA22D9" w:rsidRPr="004D194D" w:rsidRDefault="00FA22D9" w:rsidP="004D194D">
    <w:pPr>
      <w:jc w:val="center"/>
      <w:rPr>
        <w:rFonts w:ascii="Times New Roman" w:hAnsi="Times New Roman"/>
      </w:rPr>
    </w:pPr>
    <w:r w:rsidRPr="004D194D">
      <w:rPr>
        <w:rFonts w:ascii="Times New Roman" w:hAnsi="Times New Roman"/>
      </w:rPr>
      <w:fldChar w:fldCharType="begin"/>
    </w:r>
    <w:r w:rsidRPr="004D194D">
      <w:rPr>
        <w:rFonts w:ascii="Times New Roman" w:hAnsi="Times New Roman"/>
      </w:rPr>
      <w:instrText xml:space="preserve"> PAGE </w:instrText>
    </w:r>
    <w:r w:rsidRPr="004D194D">
      <w:rPr>
        <w:rFonts w:ascii="Times New Roman" w:hAnsi="Times New Roman"/>
      </w:rPr>
      <w:fldChar w:fldCharType="separate"/>
    </w:r>
    <w:r w:rsidR="007221BC">
      <w:rPr>
        <w:rFonts w:ascii="Times New Roman" w:hAnsi="Times New Roman"/>
        <w:noProof/>
      </w:rPr>
      <w:t>2</w:t>
    </w:r>
    <w:r w:rsidRPr="004D194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4DE95" w14:textId="77777777" w:rsidR="005761B7" w:rsidRDefault="005761B7" w:rsidP="0012465A">
      <w:pPr>
        <w:spacing w:after="0" w:line="240" w:lineRule="auto"/>
      </w:pPr>
      <w:r>
        <w:separator/>
      </w:r>
    </w:p>
  </w:footnote>
  <w:footnote w:type="continuationSeparator" w:id="0">
    <w:p w14:paraId="5AC60451" w14:textId="77777777" w:rsidR="005761B7" w:rsidRDefault="005761B7" w:rsidP="0012465A">
      <w:pPr>
        <w:spacing w:after="0" w:line="240" w:lineRule="auto"/>
      </w:pPr>
      <w:r>
        <w:continuationSeparator/>
      </w:r>
    </w:p>
  </w:footnote>
  <w:footnote w:type="continuationNotice" w:id="1">
    <w:p w14:paraId="1FDA7931" w14:textId="77777777" w:rsidR="005761B7" w:rsidRDefault="005761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3A9CD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5B8F5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9ACDA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09E5ED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E245D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685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22FD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464A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8AFED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02476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5B7CCB"/>
    <w:multiLevelType w:val="hybridMultilevel"/>
    <w:tmpl w:val="80B07D3C"/>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318669F"/>
    <w:multiLevelType w:val="hybridMultilevel"/>
    <w:tmpl w:val="66288B7E"/>
    <w:lvl w:ilvl="0" w:tplc="FA5AF16E">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F22D02"/>
    <w:multiLevelType w:val="hybridMultilevel"/>
    <w:tmpl w:val="AB9866F2"/>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F56340"/>
    <w:multiLevelType w:val="hybridMultilevel"/>
    <w:tmpl w:val="6F94F888"/>
    <w:lvl w:ilvl="0" w:tplc="17BAC00E">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43788E"/>
    <w:multiLevelType w:val="hybridMultilevel"/>
    <w:tmpl w:val="0FDE163E"/>
    <w:lvl w:ilvl="0" w:tplc="9BCEC410">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B750776"/>
    <w:multiLevelType w:val="hybridMultilevel"/>
    <w:tmpl w:val="BB8A1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8F784A"/>
    <w:multiLevelType w:val="hybridMultilevel"/>
    <w:tmpl w:val="E1E0F9E6"/>
    <w:lvl w:ilvl="0" w:tplc="FFFFFFFF">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352846"/>
    <w:multiLevelType w:val="hybridMultilevel"/>
    <w:tmpl w:val="08B0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BA63A4"/>
    <w:multiLevelType w:val="hybridMultilevel"/>
    <w:tmpl w:val="AE94F3F2"/>
    <w:lvl w:ilvl="0" w:tplc="A290FFAA">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5127D1"/>
    <w:multiLevelType w:val="hybridMultilevel"/>
    <w:tmpl w:val="8CF28E30"/>
    <w:lvl w:ilvl="0" w:tplc="287EF61E">
      <w:numFmt w:val="bullet"/>
      <w:lvlText w:val="-"/>
      <w:lvlJc w:val="left"/>
      <w:pPr>
        <w:ind w:left="1110" w:hanging="75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95B90"/>
    <w:multiLevelType w:val="hybridMultilevel"/>
    <w:tmpl w:val="E4846228"/>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F8620C"/>
    <w:multiLevelType w:val="hybridMultilevel"/>
    <w:tmpl w:val="805E2B9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4D4298"/>
    <w:multiLevelType w:val="hybridMultilevel"/>
    <w:tmpl w:val="2056D5E2"/>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F0F66D4"/>
    <w:multiLevelType w:val="hybridMultilevel"/>
    <w:tmpl w:val="5FB4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B51D9C"/>
    <w:multiLevelType w:val="hybridMultilevel"/>
    <w:tmpl w:val="3938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CA64DD"/>
    <w:multiLevelType w:val="hybridMultilevel"/>
    <w:tmpl w:val="9CEECE4E"/>
    <w:lvl w:ilvl="0" w:tplc="FA5AF16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C54FF8"/>
    <w:multiLevelType w:val="hybridMultilevel"/>
    <w:tmpl w:val="4200898E"/>
    <w:lvl w:ilvl="0" w:tplc="A1C0C3A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AF25FB3"/>
    <w:multiLevelType w:val="hybridMultilevel"/>
    <w:tmpl w:val="44F8427C"/>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BD72BB8"/>
    <w:multiLevelType w:val="hybridMultilevel"/>
    <w:tmpl w:val="BC047EC0"/>
    <w:lvl w:ilvl="0" w:tplc="3E500A98">
      <w:start w:val="3"/>
      <w:numFmt w:val="bullet"/>
      <w:lvlText w:val="-"/>
      <w:lvlJc w:val="left"/>
      <w:pPr>
        <w:ind w:left="720" w:hanging="360"/>
      </w:pPr>
      <w:rPr>
        <w:rFonts w:ascii="Times New Roman" w:eastAsia="MS Mincho"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F11C75"/>
    <w:multiLevelType w:val="hybridMultilevel"/>
    <w:tmpl w:val="3CE6C25E"/>
    <w:lvl w:ilvl="0" w:tplc="77AA4ADC">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E90269C"/>
    <w:multiLevelType w:val="hybridMultilevel"/>
    <w:tmpl w:val="6EA2C66C"/>
    <w:lvl w:ilvl="0" w:tplc="A8D6B398">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0160F38"/>
    <w:multiLevelType w:val="hybridMultilevel"/>
    <w:tmpl w:val="F424AEFC"/>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3134A42"/>
    <w:multiLevelType w:val="hybridMultilevel"/>
    <w:tmpl w:val="2084BF64"/>
    <w:lvl w:ilvl="0" w:tplc="FA5AF16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60C5C5D"/>
    <w:multiLevelType w:val="hybridMultilevel"/>
    <w:tmpl w:val="A93AA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BF1A1D"/>
    <w:multiLevelType w:val="hybridMultilevel"/>
    <w:tmpl w:val="F7004CDE"/>
    <w:lvl w:ilvl="0" w:tplc="FA5AF16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A5B2532"/>
    <w:multiLevelType w:val="hybridMultilevel"/>
    <w:tmpl w:val="52C85D2A"/>
    <w:lvl w:ilvl="0" w:tplc="FBEE898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8A4F21"/>
    <w:multiLevelType w:val="hybridMultilevel"/>
    <w:tmpl w:val="C8B2C70A"/>
    <w:lvl w:ilvl="0" w:tplc="A1C0C3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CA489F"/>
    <w:multiLevelType w:val="hybridMultilevel"/>
    <w:tmpl w:val="969A1F7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F161E7"/>
    <w:multiLevelType w:val="hybridMultilevel"/>
    <w:tmpl w:val="2A4E7C8E"/>
    <w:lvl w:ilvl="0" w:tplc="04270003">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2777EC"/>
    <w:multiLevelType w:val="hybridMultilevel"/>
    <w:tmpl w:val="0EA66BB4"/>
    <w:lvl w:ilvl="0" w:tplc="165C1B0C">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D023D75"/>
    <w:multiLevelType w:val="hybridMultilevel"/>
    <w:tmpl w:val="F104C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FA309C5"/>
    <w:multiLevelType w:val="multilevel"/>
    <w:tmpl w:val="52C85D2A"/>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6A41F8"/>
    <w:multiLevelType w:val="hybridMultilevel"/>
    <w:tmpl w:val="338E20D0"/>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4E73D7"/>
    <w:multiLevelType w:val="hybridMultilevel"/>
    <w:tmpl w:val="8368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3C20BC"/>
    <w:multiLevelType w:val="hybridMultilevel"/>
    <w:tmpl w:val="BCC20CF0"/>
    <w:lvl w:ilvl="0" w:tplc="FBEE898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7A3BDB"/>
    <w:multiLevelType w:val="hybridMultilevel"/>
    <w:tmpl w:val="1276954C"/>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8D0114D"/>
    <w:multiLevelType w:val="hybridMultilevel"/>
    <w:tmpl w:val="E730D92A"/>
    <w:lvl w:ilvl="0" w:tplc="CE2A9F04">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A100D28"/>
    <w:multiLevelType w:val="hybridMultilevel"/>
    <w:tmpl w:val="781E7CE8"/>
    <w:lvl w:ilvl="0" w:tplc="FD788292">
      <w:start w:val="1"/>
      <w:numFmt w:val="upperLetter"/>
      <w:lvlText w:val="%1."/>
      <w:lvlJc w:val="left"/>
      <w:pPr>
        <w:ind w:left="5670" w:hanging="5670"/>
      </w:pPr>
      <w:rPr>
        <w:rFonts w:hint="default"/>
        <w:b/>
      </w:rPr>
    </w:lvl>
    <w:lvl w:ilvl="1" w:tplc="5EC2A79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0" w15:restartNumberingAfterBreak="0">
    <w:nsid w:val="7B8A3FA9"/>
    <w:multiLevelType w:val="hybridMultilevel"/>
    <w:tmpl w:val="EAB0F6D4"/>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8"/>
  </w:num>
  <w:num w:numId="2">
    <w:abstractNumId w:val="13"/>
  </w:num>
  <w:num w:numId="3">
    <w:abstractNumId w:val="11"/>
  </w:num>
  <w:num w:numId="4">
    <w:abstractNumId w:val="39"/>
  </w:num>
  <w:num w:numId="5">
    <w:abstractNumId w:val="44"/>
  </w:num>
  <w:num w:numId="6">
    <w:abstractNumId w:val="50"/>
  </w:num>
  <w:num w:numId="7">
    <w:abstractNumId w:val="24"/>
  </w:num>
  <w:num w:numId="8">
    <w:abstractNumId w:val="28"/>
  </w:num>
  <w:num w:numId="9">
    <w:abstractNumId w:val="33"/>
  </w:num>
  <w:num w:numId="10">
    <w:abstractNumId w:val="47"/>
  </w:num>
  <w:num w:numId="11">
    <w:abstractNumId w:val="38"/>
  </w:num>
  <w:num w:numId="12">
    <w:abstractNumId w:val="21"/>
  </w:num>
  <w:num w:numId="13">
    <w:abstractNumId w:val="26"/>
  </w:num>
  <w:num w:numId="14">
    <w:abstractNumId w:val="19"/>
  </w:num>
  <w:num w:numId="15">
    <w:abstractNumId w:val="45"/>
  </w:num>
  <w:num w:numId="16">
    <w:abstractNumId w:val="25"/>
  </w:num>
  <w:num w:numId="17">
    <w:abstractNumId w:val="17"/>
  </w:num>
  <w:num w:numId="18">
    <w:abstractNumId w:val="3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3"/>
  </w:num>
  <w:num w:numId="30">
    <w:abstractNumId w:val="10"/>
    <w:lvlOverride w:ilvl="0">
      <w:lvl w:ilvl="0">
        <w:start w:val="1"/>
        <w:numFmt w:val="bullet"/>
        <w:lvlText w:val="-"/>
        <w:legacy w:legacy="1" w:legacySpace="0" w:legacyIndent="360"/>
        <w:lvlJc w:val="left"/>
        <w:pPr>
          <w:ind w:left="360" w:hanging="360"/>
        </w:pPr>
      </w:lvl>
    </w:lvlOverride>
  </w:num>
  <w:num w:numId="31">
    <w:abstractNumId w:val="18"/>
  </w:num>
  <w:num w:numId="32">
    <w:abstractNumId w:val="46"/>
  </w:num>
  <w:num w:numId="33">
    <w:abstractNumId w:val="37"/>
  </w:num>
  <w:num w:numId="34">
    <w:abstractNumId w:val="43"/>
  </w:num>
  <w:num w:numId="35">
    <w:abstractNumId w:val="40"/>
  </w:num>
  <w:num w:numId="36">
    <w:abstractNumId w:val="16"/>
  </w:num>
  <w:num w:numId="37">
    <w:abstractNumId w:val="12"/>
  </w:num>
  <w:num w:numId="38">
    <w:abstractNumId w:val="36"/>
  </w:num>
  <w:num w:numId="39">
    <w:abstractNumId w:val="29"/>
  </w:num>
  <w:num w:numId="40">
    <w:abstractNumId w:val="27"/>
  </w:num>
  <w:num w:numId="41">
    <w:abstractNumId w:val="34"/>
  </w:num>
  <w:num w:numId="42">
    <w:abstractNumId w:val="10"/>
    <w:lvlOverride w:ilvl="0">
      <w:lvl w:ilvl="0">
        <w:start w:val="1"/>
        <w:numFmt w:val="bullet"/>
        <w:lvlText w:val="-"/>
        <w:lvlJc w:val="left"/>
        <w:pPr>
          <w:ind w:left="360" w:hanging="360"/>
        </w:pPr>
      </w:lvl>
    </w:lvlOverride>
  </w:num>
  <w:num w:numId="43">
    <w:abstractNumId w:val="20"/>
  </w:num>
  <w:num w:numId="44">
    <w:abstractNumId w:val="14"/>
  </w:num>
  <w:num w:numId="45">
    <w:abstractNumId w:val="41"/>
  </w:num>
  <w:num w:numId="46">
    <w:abstractNumId w:val="15"/>
  </w:num>
  <w:num w:numId="47">
    <w:abstractNumId w:val="31"/>
  </w:num>
  <w:num w:numId="48">
    <w:abstractNumId w:val="32"/>
  </w:num>
  <w:num w:numId="49">
    <w:abstractNumId w:val="30"/>
  </w:num>
  <w:num w:numId="50">
    <w:abstractNumId w:val="22"/>
  </w:num>
  <w:num w:numId="51">
    <w:abstractNumId w:val="42"/>
  </w:num>
  <w:num w:numId="52">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0"/>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12"/>
    <w:rsid w:val="00001291"/>
    <w:rsid w:val="00006A13"/>
    <w:rsid w:val="000129EA"/>
    <w:rsid w:val="000132AA"/>
    <w:rsid w:val="00022DA7"/>
    <w:rsid w:val="00024E72"/>
    <w:rsid w:val="00027794"/>
    <w:rsid w:val="00030FEE"/>
    <w:rsid w:val="00036005"/>
    <w:rsid w:val="000409A4"/>
    <w:rsid w:val="00041772"/>
    <w:rsid w:val="00042F39"/>
    <w:rsid w:val="00046138"/>
    <w:rsid w:val="0004653E"/>
    <w:rsid w:val="00052932"/>
    <w:rsid w:val="00053018"/>
    <w:rsid w:val="00055954"/>
    <w:rsid w:val="00062356"/>
    <w:rsid w:val="000654E7"/>
    <w:rsid w:val="000742BF"/>
    <w:rsid w:val="00094C1E"/>
    <w:rsid w:val="000A0BCD"/>
    <w:rsid w:val="000A365B"/>
    <w:rsid w:val="000A6A0F"/>
    <w:rsid w:val="000B5E3D"/>
    <w:rsid w:val="000C08F1"/>
    <w:rsid w:val="000C24FD"/>
    <w:rsid w:val="000C5D06"/>
    <w:rsid w:val="000E0795"/>
    <w:rsid w:val="000E71DE"/>
    <w:rsid w:val="000E78AC"/>
    <w:rsid w:val="000F0A27"/>
    <w:rsid w:val="000F6907"/>
    <w:rsid w:val="000F7545"/>
    <w:rsid w:val="001062EE"/>
    <w:rsid w:val="00110FF5"/>
    <w:rsid w:val="00111AAC"/>
    <w:rsid w:val="00112BCC"/>
    <w:rsid w:val="001208F8"/>
    <w:rsid w:val="00122E4E"/>
    <w:rsid w:val="00123269"/>
    <w:rsid w:val="0012465A"/>
    <w:rsid w:val="0012675D"/>
    <w:rsid w:val="001276B0"/>
    <w:rsid w:val="001279BC"/>
    <w:rsid w:val="00134457"/>
    <w:rsid w:val="001360D3"/>
    <w:rsid w:val="001418CB"/>
    <w:rsid w:val="00141E65"/>
    <w:rsid w:val="001423F8"/>
    <w:rsid w:val="00145E0B"/>
    <w:rsid w:val="00160154"/>
    <w:rsid w:val="00171B01"/>
    <w:rsid w:val="00171DAD"/>
    <w:rsid w:val="00171FFB"/>
    <w:rsid w:val="00172FF7"/>
    <w:rsid w:val="00175819"/>
    <w:rsid w:val="00177670"/>
    <w:rsid w:val="00177A98"/>
    <w:rsid w:val="0018052E"/>
    <w:rsid w:val="00180B65"/>
    <w:rsid w:val="00180BE0"/>
    <w:rsid w:val="00184805"/>
    <w:rsid w:val="00184D2F"/>
    <w:rsid w:val="00185617"/>
    <w:rsid w:val="0019644F"/>
    <w:rsid w:val="001A6428"/>
    <w:rsid w:val="001B08CC"/>
    <w:rsid w:val="001B2712"/>
    <w:rsid w:val="001C2911"/>
    <w:rsid w:val="001C3D1D"/>
    <w:rsid w:val="001C66C5"/>
    <w:rsid w:val="001D12BD"/>
    <w:rsid w:val="001E05A6"/>
    <w:rsid w:val="001E5D63"/>
    <w:rsid w:val="001F0CC5"/>
    <w:rsid w:val="001F43E7"/>
    <w:rsid w:val="001F5F21"/>
    <w:rsid w:val="002037B2"/>
    <w:rsid w:val="002058C4"/>
    <w:rsid w:val="00205D6F"/>
    <w:rsid w:val="002073FF"/>
    <w:rsid w:val="00213440"/>
    <w:rsid w:val="00216F78"/>
    <w:rsid w:val="0023307C"/>
    <w:rsid w:val="00236264"/>
    <w:rsid w:val="0024014A"/>
    <w:rsid w:val="00242DA5"/>
    <w:rsid w:val="002459D3"/>
    <w:rsid w:val="00245E9F"/>
    <w:rsid w:val="002774FD"/>
    <w:rsid w:val="00280A92"/>
    <w:rsid w:val="0028319C"/>
    <w:rsid w:val="00291EB6"/>
    <w:rsid w:val="00292170"/>
    <w:rsid w:val="00293644"/>
    <w:rsid w:val="002A1A02"/>
    <w:rsid w:val="002A1C96"/>
    <w:rsid w:val="002A2BC5"/>
    <w:rsid w:val="002B2284"/>
    <w:rsid w:val="002B592C"/>
    <w:rsid w:val="002C0BAE"/>
    <w:rsid w:val="002C2425"/>
    <w:rsid w:val="002C6AA4"/>
    <w:rsid w:val="002C6CB0"/>
    <w:rsid w:val="002C70CD"/>
    <w:rsid w:val="002D409F"/>
    <w:rsid w:val="002D4654"/>
    <w:rsid w:val="002D5154"/>
    <w:rsid w:val="002D5BC0"/>
    <w:rsid w:val="002E2C3D"/>
    <w:rsid w:val="002E3DF8"/>
    <w:rsid w:val="002F1A32"/>
    <w:rsid w:val="002F5D53"/>
    <w:rsid w:val="00301C06"/>
    <w:rsid w:val="00304E05"/>
    <w:rsid w:val="00311919"/>
    <w:rsid w:val="00323470"/>
    <w:rsid w:val="00326DCE"/>
    <w:rsid w:val="003275CC"/>
    <w:rsid w:val="00331125"/>
    <w:rsid w:val="00332A82"/>
    <w:rsid w:val="00335495"/>
    <w:rsid w:val="00335C18"/>
    <w:rsid w:val="00336CE2"/>
    <w:rsid w:val="00336DD6"/>
    <w:rsid w:val="00342403"/>
    <w:rsid w:val="00354014"/>
    <w:rsid w:val="003553A5"/>
    <w:rsid w:val="00355C23"/>
    <w:rsid w:val="0035711A"/>
    <w:rsid w:val="00365C94"/>
    <w:rsid w:val="003749E0"/>
    <w:rsid w:val="00392293"/>
    <w:rsid w:val="003935EB"/>
    <w:rsid w:val="003A15DE"/>
    <w:rsid w:val="003A581E"/>
    <w:rsid w:val="003A72D2"/>
    <w:rsid w:val="003B287F"/>
    <w:rsid w:val="003B4BAF"/>
    <w:rsid w:val="003B6D1C"/>
    <w:rsid w:val="003B7A95"/>
    <w:rsid w:val="003C0219"/>
    <w:rsid w:val="003C4DA8"/>
    <w:rsid w:val="003D0F33"/>
    <w:rsid w:val="003D3259"/>
    <w:rsid w:val="003E17E1"/>
    <w:rsid w:val="003F25F6"/>
    <w:rsid w:val="00407E25"/>
    <w:rsid w:val="004100AB"/>
    <w:rsid w:val="004114AB"/>
    <w:rsid w:val="00411AD6"/>
    <w:rsid w:val="00434166"/>
    <w:rsid w:val="00442BCF"/>
    <w:rsid w:val="00443856"/>
    <w:rsid w:val="00444E1B"/>
    <w:rsid w:val="004462C0"/>
    <w:rsid w:val="00454E27"/>
    <w:rsid w:val="00466C81"/>
    <w:rsid w:val="00471F62"/>
    <w:rsid w:val="00474472"/>
    <w:rsid w:val="00474A1A"/>
    <w:rsid w:val="00482738"/>
    <w:rsid w:val="00482B5D"/>
    <w:rsid w:val="00482BBE"/>
    <w:rsid w:val="004833C8"/>
    <w:rsid w:val="004837AC"/>
    <w:rsid w:val="00486A14"/>
    <w:rsid w:val="0049205B"/>
    <w:rsid w:val="004932DC"/>
    <w:rsid w:val="004A1DAB"/>
    <w:rsid w:val="004B0597"/>
    <w:rsid w:val="004B6E63"/>
    <w:rsid w:val="004C1395"/>
    <w:rsid w:val="004C3A39"/>
    <w:rsid w:val="004C525F"/>
    <w:rsid w:val="004C582A"/>
    <w:rsid w:val="004C5E00"/>
    <w:rsid w:val="004C761F"/>
    <w:rsid w:val="004D194D"/>
    <w:rsid w:val="004D1DB2"/>
    <w:rsid w:val="004D54F0"/>
    <w:rsid w:val="004D6A68"/>
    <w:rsid w:val="004D752B"/>
    <w:rsid w:val="004E0544"/>
    <w:rsid w:val="004E466E"/>
    <w:rsid w:val="004F76D3"/>
    <w:rsid w:val="00501B31"/>
    <w:rsid w:val="00502A0F"/>
    <w:rsid w:val="0050427E"/>
    <w:rsid w:val="00505790"/>
    <w:rsid w:val="00506F83"/>
    <w:rsid w:val="00511730"/>
    <w:rsid w:val="005127ED"/>
    <w:rsid w:val="00516D1F"/>
    <w:rsid w:val="00517830"/>
    <w:rsid w:val="0052024B"/>
    <w:rsid w:val="00522FEF"/>
    <w:rsid w:val="00525330"/>
    <w:rsid w:val="00527701"/>
    <w:rsid w:val="00527BF4"/>
    <w:rsid w:val="00530AD8"/>
    <w:rsid w:val="00530CDE"/>
    <w:rsid w:val="0053145A"/>
    <w:rsid w:val="0053799D"/>
    <w:rsid w:val="00540EF9"/>
    <w:rsid w:val="00556478"/>
    <w:rsid w:val="00567435"/>
    <w:rsid w:val="00571BA1"/>
    <w:rsid w:val="005761B7"/>
    <w:rsid w:val="00580894"/>
    <w:rsid w:val="0058164E"/>
    <w:rsid w:val="00582230"/>
    <w:rsid w:val="00587B63"/>
    <w:rsid w:val="00590333"/>
    <w:rsid w:val="00591BCC"/>
    <w:rsid w:val="00593985"/>
    <w:rsid w:val="005A01AB"/>
    <w:rsid w:val="005A0A8F"/>
    <w:rsid w:val="005A2A51"/>
    <w:rsid w:val="005B0895"/>
    <w:rsid w:val="005B1BA4"/>
    <w:rsid w:val="005C2F5E"/>
    <w:rsid w:val="005C4B1A"/>
    <w:rsid w:val="005D203D"/>
    <w:rsid w:val="005F3678"/>
    <w:rsid w:val="005F56A5"/>
    <w:rsid w:val="005F68E5"/>
    <w:rsid w:val="0060384A"/>
    <w:rsid w:val="00604FE8"/>
    <w:rsid w:val="0061168F"/>
    <w:rsid w:val="00614CC6"/>
    <w:rsid w:val="0061558F"/>
    <w:rsid w:val="0062285B"/>
    <w:rsid w:val="00622EA9"/>
    <w:rsid w:val="0062444B"/>
    <w:rsid w:val="00637F81"/>
    <w:rsid w:val="0064232C"/>
    <w:rsid w:val="0065216B"/>
    <w:rsid w:val="006570D1"/>
    <w:rsid w:val="00660B89"/>
    <w:rsid w:val="006614F4"/>
    <w:rsid w:val="00661507"/>
    <w:rsid w:val="00664646"/>
    <w:rsid w:val="00664DC7"/>
    <w:rsid w:val="00666783"/>
    <w:rsid w:val="00667DB0"/>
    <w:rsid w:val="00672338"/>
    <w:rsid w:val="0067491A"/>
    <w:rsid w:val="00676CBC"/>
    <w:rsid w:val="006779AD"/>
    <w:rsid w:val="00687465"/>
    <w:rsid w:val="00691E9C"/>
    <w:rsid w:val="006943EA"/>
    <w:rsid w:val="006A128B"/>
    <w:rsid w:val="006A3C8C"/>
    <w:rsid w:val="006A5F5F"/>
    <w:rsid w:val="006B6338"/>
    <w:rsid w:val="006C294E"/>
    <w:rsid w:val="006C4AC2"/>
    <w:rsid w:val="006D58CB"/>
    <w:rsid w:val="006E137D"/>
    <w:rsid w:val="006E6311"/>
    <w:rsid w:val="006E7D3D"/>
    <w:rsid w:val="00701E42"/>
    <w:rsid w:val="00702557"/>
    <w:rsid w:val="00702EE8"/>
    <w:rsid w:val="007176F4"/>
    <w:rsid w:val="00720B76"/>
    <w:rsid w:val="00720F9C"/>
    <w:rsid w:val="007221BC"/>
    <w:rsid w:val="00731890"/>
    <w:rsid w:val="0073406F"/>
    <w:rsid w:val="00735AD3"/>
    <w:rsid w:val="00741DEE"/>
    <w:rsid w:val="007540AF"/>
    <w:rsid w:val="007612AC"/>
    <w:rsid w:val="00771D5A"/>
    <w:rsid w:val="007750B7"/>
    <w:rsid w:val="0077569F"/>
    <w:rsid w:val="00777628"/>
    <w:rsid w:val="007922FA"/>
    <w:rsid w:val="007976E7"/>
    <w:rsid w:val="007A328D"/>
    <w:rsid w:val="007A4A3B"/>
    <w:rsid w:val="007A65B4"/>
    <w:rsid w:val="007A7898"/>
    <w:rsid w:val="007B1BB9"/>
    <w:rsid w:val="007B3C6B"/>
    <w:rsid w:val="007B59A9"/>
    <w:rsid w:val="007C6C47"/>
    <w:rsid w:val="007D0093"/>
    <w:rsid w:val="007D1C91"/>
    <w:rsid w:val="007D3A37"/>
    <w:rsid w:val="007D5758"/>
    <w:rsid w:val="007D7015"/>
    <w:rsid w:val="007D72F6"/>
    <w:rsid w:val="007E127E"/>
    <w:rsid w:val="007E30BF"/>
    <w:rsid w:val="007E3605"/>
    <w:rsid w:val="007F4ECD"/>
    <w:rsid w:val="007F5B79"/>
    <w:rsid w:val="00800ED2"/>
    <w:rsid w:val="0080172B"/>
    <w:rsid w:val="00803F8C"/>
    <w:rsid w:val="00811C82"/>
    <w:rsid w:val="0081242F"/>
    <w:rsid w:val="00812E9D"/>
    <w:rsid w:val="00815AF3"/>
    <w:rsid w:val="008164A8"/>
    <w:rsid w:val="00816A48"/>
    <w:rsid w:val="008171CA"/>
    <w:rsid w:val="008178E5"/>
    <w:rsid w:val="00817AB7"/>
    <w:rsid w:val="00821B28"/>
    <w:rsid w:val="008232BA"/>
    <w:rsid w:val="00824698"/>
    <w:rsid w:val="0082780A"/>
    <w:rsid w:val="00827832"/>
    <w:rsid w:val="00832E85"/>
    <w:rsid w:val="00835771"/>
    <w:rsid w:val="00835779"/>
    <w:rsid w:val="008373C9"/>
    <w:rsid w:val="00841E59"/>
    <w:rsid w:val="008426F1"/>
    <w:rsid w:val="0084435C"/>
    <w:rsid w:val="0084495E"/>
    <w:rsid w:val="0084657A"/>
    <w:rsid w:val="00847F0A"/>
    <w:rsid w:val="008566CC"/>
    <w:rsid w:val="00860808"/>
    <w:rsid w:val="00861232"/>
    <w:rsid w:val="00864C17"/>
    <w:rsid w:val="00864C5A"/>
    <w:rsid w:val="00870616"/>
    <w:rsid w:val="0087493E"/>
    <w:rsid w:val="00874A8D"/>
    <w:rsid w:val="00874AB7"/>
    <w:rsid w:val="00874BDE"/>
    <w:rsid w:val="00875130"/>
    <w:rsid w:val="00880279"/>
    <w:rsid w:val="00884047"/>
    <w:rsid w:val="008840B6"/>
    <w:rsid w:val="00885085"/>
    <w:rsid w:val="0089081A"/>
    <w:rsid w:val="00895565"/>
    <w:rsid w:val="00895C11"/>
    <w:rsid w:val="008A082A"/>
    <w:rsid w:val="008A5D77"/>
    <w:rsid w:val="008A6277"/>
    <w:rsid w:val="008B49EB"/>
    <w:rsid w:val="008C1A8A"/>
    <w:rsid w:val="008C50FF"/>
    <w:rsid w:val="008C72E7"/>
    <w:rsid w:val="008C7DB4"/>
    <w:rsid w:val="008D33C6"/>
    <w:rsid w:val="008E2941"/>
    <w:rsid w:val="008E2A25"/>
    <w:rsid w:val="008E513B"/>
    <w:rsid w:val="008E603E"/>
    <w:rsid w:val="00900FAE"/>
    <w:rsid w:val="00903AC2"/>
    <w:rsid w:val="00904C59"/>
    <w:rsid w:val="00905B23"/>
    <w:rsid w:val="00907CA9"/>
    <w:rsid w:val="00913927"/>
    <w:rsid w:val="009224E2"/>
    <w:rsid w:val="00923385"/>
    <w:rsid w:val="009274F5"/>
    <w:rsid w:val="009374E0"/>
    <w:rsid w:val="00940FEB"/>
    <w:rsid w:val="009411A0"/>
    <w:rsid w:val="00945A7F"/>
    <w:rsid w:val="00947F45"/>
    <w:rsid w:val="00951238"/>
    <w:rsid w:val="0095712C"/>
    <w:rsid w:val="00961529"/>
    <w:rsid w:val="00962ECB"/>
    <w:rsid w:val="00963BE3"/>
    <w:rsid w:val="00966221"/>
    <w:rsid w:val="00971FFA"/>
    <w:rsid w:val="00980825"/>
    <w:rsid w:val="00980E05"/>
    <w:rsid w:val="00985BF9"/>
    <w:rsid w:val="00991122"/>
    <w:rsid w:val="00996007"/>
    <w:rsid w:val="009A6CA0"/>
    <w:rsid w:val="009A769A"/>
    <w:rsid w:val="009B4884"/>
    <w:rsid w:val="009B7540"/>
    <w:rsid w:val="009C1532"/>
    <w:rsid w:val="009C663B"/>
    <w:rsid w:val="009D592C"/>
    <w:rsid w:val="009E2B3D"/>
    <w:rsid w:val="009E2CBF"/>
    <w:rsid w:val="009E4F9D"/>
    <w:rsid w:val="009F5C32"/>
    <w:rsid w:val="009F6619"/>
    <w:rsid w:val="00A01825"/>
    <w:rsid w:val="00A14B64"/>
    <w:rsid w:val="00A14D06"/>
    <w:rsid w:val="00A21AF6"/>
    <w:rsid w:val="00A22971"/>
    <w:rsid w:val="00A25D61"/>
    <w:rsid w:val="00A42E3C"/>
    <w:rsid w:val="00A433F9"/>
    <w:rsid w:val="00A44050"/>
    <w:rsid w:val="00A446EE"/>
    <w:rsid w:val="00A57CF9"/>
    <w:rsid w:val="00A60C6C"/>
    <w:rsid w:val="00A61CF4"/>
    <w:rsid w:val="00A6437B"/>
    <w:rsid w:val="00A668C3"/>
    <w:rsid w:val="00A67356"/>
    <w:rsid w:val="00A72904"/>
    <w:rsid w:val="00A761AB"/>
    <w:rsid w:val="00A90A70"/>
    <w:rsid w:val="00A921E4"/>
    <w:rsid w:val="00A953C9"/>
    <w:rsid w:val="00A95A8D"/>
    <w:rsid w:val="00A974EC"/>
    <w:rsid w:val="00AA35EE"/>
    <w:rsid w:val="00AB05CF"/>
    <w:rsid w:val="00AB17C8"/>
    <w:rsid w:val="00AB18E1"/>
    <w:rsid w:val="00AB4349"/>
    <w:rsid w:val="00AB52F4"/>
    <w:rsid w:val="00AC02F2"/>
    <w:rsid w:val="00AC0380"/>
    <w:rsid w:val="00AD017A"/>
    <w:rsid w:val="00AD0812"/>
    <w:rsid w:val="00AD1EBF"/>
    <w:rsid w:val="00AD78A8"/>
    <w:rsid w:val="00AE2AF9"/>
    <w:rsid w:val="00AE3A01"/>
    <w:rsid w:val="00AF30C9"/>
    <w:rsid w:val="00AF3F9F"/>
    <w:rsid w:val="00B0061E"/>
    <w:rsid w:val="00B007FD"/>
    <w:rsid w:val="00B271A3"/>
    <w:rsid w:val="00B27D19"/>
    <w:rsid w:val="00B307FC"/>
    <w:rsid w:val="00B31919"/>
    <w:rsid w:val="00B36CB2"/>
    <w:rsid w:val="00B42221"/>
    <w:rsid w:val="00B51C3E"/>
    <w:rsid w:val="00B6493A"/>
    <w:rsid w:val="00B73A6F"/>
    <w:rsid w:val="00B75A67"/>
    <w:rsid w:val="00B829AF"/>
    <w:rsid w:val="00B834B6"/>
    <w:rsid w:val="00B84B5D"/>
    <w:rsid w:val="00B852CF"/>
    <w:rsid w:val="00B85E5C"/>
    <w:rsid w:val="00B92772"/>
    <w:rsid w:val="00BA1B08"/>
    <w:rsid w:val="00BB1CBC"/>
    <w:rsid w:val="00BB4832"/>
    <w:rsid w:val="00BB7FC9"/>
    <w:rsid w:val="00BC4C33"/>
    <w:rsid w:val="00BC69B8"/>
    <w:rsid w:val="00BC6C65"/>
    <w:rsid w:val="00BD54EC"/>
    <w:rsid w:val="00BD6502"/>
    <w:rsid w:val="00BE16CB"/>
    <w:rsid w:val="00BE33F9"/>
    <w:rsid w:val="00BE39EE"/>
    <w:rsid w:val="00BF7524"/>
    <w:rsid w:val="00BF7DA2"/>
    <w:rsid w:val="00C004D5"/>
    <w:rsid w:val="00C03E34"/>
    <w:rsid w:val="00C1249E"/>
    <w:rsid w:val="00C214DC"/>
    <w:rsid w:val="00C22CE3"/>
    <w:rsid w:val="00C40640"/>
    <w:rsid w:val="00C42C9B"/>
    <w:rsid w:val="00C4580F"/>
    <w:rsid w:val="00C54898"/>
    <w:rsid w:val="00C556B2"/>
    <w:rsid w:val="00C5643B"/>
    <w:rsid w:val="00C63ED2"/>
    <w:rsid w:val="00C71B10"/>
    <w:rsid w:val="00C738AF"/>
    <w:rsid w:val="00C75921"/>
    <w:rsid w:val="00C76F55"/>
    <w:rsid w:val="00C8084E"/>
    <w:rsid w:val="00C824D6"/>
    <w:rsid w:val="00C86D20"/>
    <w:rsid w:val="00C95154"/>
    <w:rsid w:val="00CA5948"/>
    <w:rsid w:val="00CA6139"/>
    <w:rsid w:val="00CA66E2"/>
    <w:rsid w:val="00CB0021"/>
    <w:rsid w:val="00CB2BE8"/>
    <w:rsid w:val="00CB52DE"/>
    <w:rsid w:val="00CD0401"/>
    <w:rsid w:val="00CD0447"/>
    <w:rsid w:val="00CD1718"/>
    <w:rsid w:val="00CE11DA"/>
    <w:rsid w:val="00CE691F"/>
    <w:rsid w:val="00CE74AB"/>
    <w:rsid w:val="00D01232"/>
    <w:rsid w:val="00D05B24"/>
    <w:rsid w:val="00D0715D"/>
    <w:rsid w:val="00D07A2C"/>
    <w:rsid w:val="00D1299D"/>
    <w:rsid w:val="00D132F5"/>
    <w:rsid w:val="00D16638"/>
    <w:rsid w:val="00D21F07"/>
    <w:rsid w:val="00D25FB3"/>
    <w:rsid w:val="00D30845"/>
    <w:rsid w:val="00D42B82"/>
    <w:rsid w:val="00D50527"/>
    <w:rsid w:val="00D52CC0"/>
    <w:rsid w:val="00D539B8"/>
    <w:rsid w:val="00D5610F"/>
    <w:rsid w:val="00D60EEB"/>
    <w:rsid w:val="00D63E81"/>
    <w:rsid w:val="00D70450"/>
    <w:rsid w:val="00D71E7B"/>
    <w:rsid w:val="00D725AD"/>
    <w:rsid w:val="00D805C9"/>
    <w:rsid w:val="00D850C2"/>
    <w:rsid w:val="00D96590"/>
    <w:rsid w:val="00D97699"/>
    <w:rsid w:val="00DA1B4A"/>
    <w:rsid w:val="00DA257B"/>
    <w:rsid w:val="00DA3400"/>
    <w:rsid w:val="00DA4556"/>
    <w:rsid w:val="00DA565D"/>
    <w:rsid w:val="00DA5CB8"/>
    <w:rsid w:val="00DB2C7C"/>
    <w:rsid w:val="00DC1CA0"/>
    <w:rsid w:val="00DD079D"/>
    <w:rsid w:val="00DD3C35"/>
    <w:rsid w:val="00DD6F03"/>
    <w:rsid w:val="00DD7336"/>
    <w:rsid w:val="00DE170C"/>
    <w:rsid w:val="00DE2C12"/>
    <w:rsid w:val="00DF13B7"/>
    <w:rsid w:val="00E05366"/>
    <w:rsid w:val="00E12F03"/>
    <w:rsid w:val="00E13CA5"/>
    <w:rsid w:val="00E17364"/>
    <w:rsid w:val="00E21319"/>
    <w:rsid w:val="00E22836"/>
    <w:rsid w:val="00E2294D"/>
    <w:rsid w:val="00E26D07"/>
    <w:rsid w:val="00E274F5"/>
    <w:rsid w:val="00E3009D"/>
    <w:rsid w:val="00E32FE2"/>
    <w:rsid w:val="00E34C85"/>
    <w:rsid w:val="00E365CD"/>
    <w:rsid w:val="00E4242E"/>
    <w:rsid w:val="00E42DD7"/>
    <w:rsid w:val="00E4598C"/>
    <w:rsid w:val="00E632E6"/>
    <w:rsid w:val="00E671D3"/>
    <w:rsid w:val="00E708C1"/>
    <w:rsid w:val="00E71E89"/>
    <w:rsid w:val="00E72356"/>
    <w:rsid w:val="00E7657E"/>
    <w:rsid w:val="00E808F3"/>
    <w:rsid w:val="00E82D66"/>
    <w:rsid w:val="00E864FB"/>
    <w:rsid w:val="00E97081"/>
    <w:rsid w:val="00EA15FC"/>
    <w:rsid w:val="00EA1FA9"/>
    <w:rsid w:val="00EA65AD"/>
    <w:rsid w:val="00EB648C"/>
    <w:rsid w:val="00EC7DCE"/>
    <w:rsid w:val="00ED1244"/>
    <w:rsid w:val="00EE0640"/>
    <w:rsid w:val="00EE0A9B"/>
    <w:rsid w:val="00EE285E"/>
    <w:rsid w:val="00EE7599"/>
    <w:rsid w:val="00EF0B56"/>
    <w:rsid w:val="00EF0C6C"/>
    <w:rsid w:val="00EF1F43"/>
    <w:rsid w:val="00EF2476"/>
    <w:rsid w:val="00EF6E01"/>
    <w:rsid w:val="00F059EA"/>
    <w:rsid w:val="00F06C37"/>
    <w:rsid w:val="00F15907"/>
    <w:rsid w:val="00F16036"/>
    <w:rsid w:val="00F20CB9"/>
    <w:rsid w:val="00F26B91"/>
    <w:rsid w:val="00F301B7"/>
    <w:rsid w:val="00F335A1"/>
    <w:rsid w:val="00F51D27"/>
    <w:rsid w:val="00F51D37"/>
    <w:rsid w:val="00F52312"/>
    <w:rsid w:val="00F54EFD"/>
    <w:rsid w:val="00F54FB3"/>
    <w:rsid w:val="00F55F27"/>
    <w:rsid w:val="00F56BC3"/>
    <w:rsid w:val="00F60B8C"/>
    <w:rsid w:val="00F61DEE"/>
    <w:rsid w:val="00F62B06"/>
    <w:rsid w:val="00F64CE1"/>
    <w:rsid w:val="00F64E89"/>
    <w:rsid w:val="00F67AD6"/>
    <w:rsid w:val="00F745F2"/>
    <w:rsid w:val="00F7589B"/>
    <w:rsid w:val="00F7595A"/>
    <w:rsid w:val="00F774FE"/>
    <w:rsid w:val="00F77893"/>
    <w:rsid w:val="00F8314D"/>
    <w:rsid w:val="00F83DEF"/>
    <w:rsid w:val="00F91F7D"/>
    <w:rsid w:val="00FA0E49"/>
    <w:rsid w:val="00FA1308"/>
    <w:rsid w:val="00FA22D9"/>
    <w:rsid w:val="00FB3672"/>
    <w:rsid w:val="00FB4082"/>
    <w:rsid w:val="00FB6575"/>
    <w:rsid w:val="00FB6D73"/>
    <w:rsid w:val="00FD03A7"/>
    <w:rsid w:val="00FD198F"/>
    <w:rsid w:val="00FD6E07"/>
    <w:rsid w:val="00FE3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040D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5C94"/>
    <w:pPr>
      <w:spacing w:after="200" w:line="276" w:lineRule="auto"/>
    </w:pPr>
    <w:rPr>
      <w:sz w:val="22"/>
      <w:szCs w:val="22"/>
      <w:lang w:val="en-US" w:eastAsia="en-US"/>
    </w:rPr>
  </w:style>
  <w:style w:type="paragraph" w:styleId="Antrat2">
    <w:name w:val="heading 2"/>
    <w:basedOn w:val="prastasis"/>
    <w:next w:val="prastasis"/>
    <w:link w:val="Antrat2Diagrama"/>
    <w:uiPriority w:val="99"/>
    <w:qFormat/>
    <w:rsid w:val="00951238"/>
    <w:pPr>
      <w:keepNext/>
      <w:spacing w:before="240" w:after="60"/>
      <w:outlineLvl w:val="1"/>
    </w:pPr>
    <w:rPr>
      <w:rFonts w:ascii="Cambria" w:eastAsia="MS Gothic" w:hAnsi="Cambria"/>
      <w:b/>
      <w:bCs/>
      <w:i/>
      <w:iCs/>
      <w:sz w:val="28"/>
      <w:szCs w:val="28"/>
      <w:lang w:val="x-none"/>
    </w:rPr>
  </w:style>
  <w:style w:type="paragraph" w:styleId="Antrat3">
    <w:name w:val="heading 3"/>
    <w:basedOn w:val="prastasis"/>
    <w:next w:val="prastasis"/>
    <w:link w:val="Antrat3Diagrama"/>
    <w:uiPriority w:val="99"/>
    <w:qFormat/>
    <w:rsid w:val="00951238"/>
    <w:pPr>
      <w:keepNext/>
      <w:spacing w:before="240" w:after="60"/>
      <w:outlineLvl w:val="2"/>
    </w:pPr>
    <w:rPr>
      <w:rFonts w:ascii="Cambria" w:eastAsia="MS Gothic" w:hAnsi="Cambria"/>
      <w:b/>
      <w:bCs/>
      <w:sz w:val="26"/>
      <w:szCs w:val="26"/>
      <w:lang w:val="x-none"/>
    </w:rPr>
  </w:style>
  <w:style w:type="paragraph" w:styleId="Antrat4">
    <w:name w:val="heading 4"/>
    <w:basedOn w:val="prastasis"/>
    <w:next w:val="prastasis"/>
    <w:link w:val="Antrat4Diagrama"/>
    <w:semiHidden/>
    <w:unhideWhenUsed/>
    <w:qFormat/>
    <w:rsid w:val="00A90A70"/>
    <w:pPr>
      <w:keepNext/>
      <w:spacing w:before="240" w:after="60"/>
      <w:outlineLvl w:val="3"/>
    </w:pPr>
    <w:rPr>
      <w:rFonts w:eastAsia="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D01232"/>
    <w:rPr>
      <w:rFonts w:ascii="Cambria" w:eastAsia="MS Gothic" w:hAnsi="Cambria" w:cs="Times New Roman"/>
      <w:b/>
      <w:bCs/>
      <w:i/>
      <w:iCs/>
      <w:sz w:val="28"/>
      <w:szCs w:val="28"/>
      <w:lang w:eastAsia="en-US"/>
    </w:rPr>
  </w:style>
  <w:style w:type="character" w:customStyle="1" w:styleId="Antrat3Diagrama">
    <w:name w:val="Antraštė 3 Diagrama"/>
    <w:link w:val="Antrat3"/>
    <w:uiPriority w:val="99"/>
    <w:locked/>
    <w:rsid w:val="00D01232"/>
    <w:rPr>
      <w:rFonts w:ascii="Cambria" w:eastAsia="MS Gothic" w:hAnsi="Cambria" w:cs="Times New Roman"/>
      <w:b/>
      <w:bCs/>
      <w:sz w:val="26"/>
      <w:szCs w:val="26"/>
      <w:lang w:eastAsia="en-US"/>
    </w:rPr>
  </w:style>
  <w:style w:type="paragraph" w:customStyle="1" w:styleId="Default">
    <w:name w:val="Default"/>
    <w:uiPriority w:val="99"/>
    <w:rsid w:val="00365C94"/>
    <w:pPr>
      <w:autoSpaceDE w:val="0"/>
      <w:autoSpaceDN w:val="0"/>
      <w:adjustRightInd w:val="0"/>
    </w:pPr>
    <w:rPr>
      <w:rFonts w:ascii="Times New Roman" w:hAnsi="Times New Roman"/>
      <w:color w:val="000000"/>
      <w:sz w:val="24"/>
      <w:szCs w:val="24"/>
      <w:lang w:val="cs-CZ" w:eastAsia="en-US"/>
    </w:rPr>
  </w:style>
  <w:style w:type="paragraph" w:styleId="Porat">
    <w:name w:val="footer"/>
    <w:basedOn w:val="prastasis"/>
    <w:link w:val="PoratDiagrama"/>
    <w:uiPriority w:val="99"/>
    <w:rsid w:val="00F52312"/>
    <w:pPr>
      <w:tabs>
        <w:tab w:val="center" w:pos="4536"/>
        <w:tab w:val="right" w:pos="9072"/>
      </w:tabs>
    </w:pPr>
    <w:rPr>
      <w:noProof/>
      <w:sz w:val="20"/>
      <w:szCs w:val="20"/>
      <w:lang w:val="en-GB" w:eastAsia="x-none"/>
    </w:rPr>
  </w:style>
  <w:style w:type="character" w:customStyle="1" w:styleId="PoratDiagrama">
    <w:name w:val="Poraštė Diagrama"/>
    <w:link w:val="Porat"/>
    <w:uiPriority w:val="99"/>
    <w:locked/>
    <w:rsid w:val="00F52312"/>
    <w:rPr>
      <w:rFonts w:ascii="Calibri" w:hAnsi="Calibri" w:cs="Times New Roman"/>
      <w:noProof/>
      <w:lang w:val="en-GB"/>
    </w:rPr>
  </w:style>
  <w:style w:type="paragraph" w:styleId="Debesliotekstas">
    <w:name w:val="Balloon Text"/>
    <w:basedOn w:val="prastasis"/>
    <w:link w:val="DebesliotekstasDiagrama"/>
    <w:uiPriority w:val="99"/>
    <w:semiHidden/>
    <w:rsid w:val="00F52312"/>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locked/>
    <w:rsid w:val="00F52312"/>
    <w:rPr>
      <w:rFonts w:ascii="Tahoma" w:hAnsi="Tahoma" w:cs="Tahoma"/>
      <w:sz w:val="16"/>
      <w:szCs w:val="16"/>
    </w:rPr>
  </w:style>
  <w:style w:type="paragraph" w:styleId="prastojitrauka">
    <w:name w:val="Normal Indent"/>
    <w:basedOn w:val="prastasis"/>
    <w:uiPriority w:val="99"/>
    <w:rsid w:val="00F52312"/>
    <w:pPr>
      <w:spacing w:after="0" w:line="240" w:lineRule="auto"/>
      <w:ind w:left="1304"/>
    </w:pPr>
    <w:rPr>
      <w:rFonts w:ascii="Times New Roman" w:eastAsia="Times New Roman" w:hAnsi="Times New Roman"/>
      <w:sz w:val="24"/>
      <w:szCs w:val="20"/>
      <w:lang w:val="fi-FI" w:eastAsia="fi-FI"/>
    </w:rPr>
  </w:style>
  <w:style w:type="character" w:styleId="Hipersaitas">
    <w:name w:val="Hyperlink"/>
    <w:uiPriority w:val="99"/>
    <w:semiHidden/>
    <w:rsid w:val="00F52312"/>
    <w:rPr>
      <w:rFonts w:cs="Times New Roman"/>
      <w:color w:val="F17C0E"/>
      <w:u w:val="none"/>
      <w:effect w:val="none"/>
    </w:rPr>
  </w:style>
  <w:style w:type="paragraph" w:styleId="Antrats">
    <w:name w:val="header"/>
    <w:basedOn w:val="prastasis"/>
    <w:link w:val="AntratsDiagrama"/>
    <w:uiPriority w:val="99"/>
    <w:semiHidden/>
    <w:rsid w:val="00F52312"/>
    <w:pPr>
      <w:tabs>
        <w:tab w:val="center" w:pos="4703"/>
        <w:tab w:val="right" w:pos="9406"/>
      </w:tabs>
    </w:pPr>
    <w:rPr>
      <w:sz w:val="20"/>
      <w:szCs w:val="20"/>
      <w:lang w:val="x-none" w:eastAsia="x-none"/>
    </w:rPr>
  </w:style>
  <w:style w:type="character" w:customStyle="1" w:styleId="AntratsDiagrama">
    <w:name w:val="Antraštės Diagrama"/>
    <w:link w:val="Antrats"/>
    <w:uiPriority w:val="99"/>
    <w:semiHidden/>
    <w:locked/>
    <w:rsid w:val="00F52312"/>
    <w:rPr>
      <w:rFonts w:ascii="Calibri" w:hAnsi="Calibri" w:cs="Times New Roman"/>
    </w:rPr>
  </w:style>
  <w:style w:type="paragraph" w:styleId="Dokumentoinaostekstas">
    <w:name w:val="endnote text"/>
    <w:basedOn w:val="prastasis"/>
    <w:link w:val="DokumentoinaostekstasDiagrama"/>
    <w:uiPriority w:val="99"/>
    <w:rsid w:val="00EE7599"/>
    <w:pPr>
      <w:tabs>
        <w:tab w:val="left" w:pos="567"/>
      </w:tabs>
      <w:spacing w:after="0" w:line="240" w:lineRule="auto"/>
    </w:pPr>
    <w:rPr>
      <w:sz w:val="20"/>
      <w:szCs w:val="20"/>
      <w:lang w:val="x-none"/>
    </w:rPr>
  </w:style>
  <w:style w:type="character" w:customStyle="1" w:styleId="DokumentoinaostekstasDiagrama">
    <w:name w:val="Dokumento išnašos tekstas Diagrama"/>
    <w:link w:val="Dokumentoinaostekstas"/>
    <w:uiPriority w:val="99"/>
    <w:locked/>
    <w:rsid w:val="00D01232"/>
    <w:rPr>
      <w:rFonts w:cs="Times New Roman"/>
      <w:sz w:val="20"/>
      <w:szCs w:val="20"/>
      <w:lang w:eastAsia="en-US"/>
    </w:rPr>
  </w:style>
  <w:style w:type="character" w:styleId="Grietas">
    <w:name w:val="Strong"/>
    <w:uiPriority w:val="99"/>
    <w:qFormat/>
    <w:rsid w:val="004114AB"/>
    <w:rPr>
      <w:rFonts w:cs="Times New Roman"/>
      <w:b/>
      <w:bCs/>
    </w:rPr>
  </w:style>
  <w:style w:type="paragraph" w:styleId="Pagrindinistekstas">
    <w:name w:val="Body Text"/>
    <w:basedOn w:val="prastasis"/>
    <w:link w:val="PagrindinistekstasDiagrama"/>
    <w:uiPriority w:val="99"/>
    <w:rsid w:val="00C22CE3"/>
    <w:pPr>
      <w:spacing w:after="0" w:line="240" w:lineRule="auto"/>
    </w:pPr>
    <w:rPr>
      <w:sz w:val="20"/>
      <w:szCs w:val="20"/>
      <w:lang w:val="x-none"/>
    </w:rPr>
  </w:style>
  <w:style w:type="character" w:customStyle="1" w:styleId="PagrindinistekstasDiagrama">
    <w:name w:val="Pagrindinis tekstas Diagrama"/>
    <w:link w:val="Pagrindinistekstas"/>
    <w:uiPriority w:val="99"/>
    <w:locked/>
    <w:rsid w:val="00D01232"/>
    <w:rPr>
      <w:rFonts w:cs="Times New Roman"/>
      <w:lang w:eastAsia="en-US"/>
    </w:rPr>
  </w:style>
  <w:style w:type="character" w:customStyle="1" w:styleId="hps">
    <w:name w:val="hps"/>
    <w:uiPriority w:val="99"/>
    <w:rsid w:val="00C004D5"/>
    <w:rPr>
      <w:rFonts w:cs="Times New Roman"/>
    </w:rPr>
  </w:style>
  <w:style w:type="paragraph" w:customStyle="1" w:styleId="PI-1EMEASMCA">
    <w:name w:val="PI-1 EMEA_SMCA"/>
    <w:basedOn w:val="Antrat2"/>
    <w:autoRedefine/>
    <w:uiPriority w:val="99"/>
    <w:rsid w:val="00951238"/>
    <w:pPr>
      <w:spacing w:before="0" w:after="0" w:line="240" w:lineRule="auto"/>
      <w:ind w:left="567" w:hanging="567"/>
    </w:pPr>
    <w:rPr>
      <w:rFonts w:ascii="Times New Roman" w:eastAsia="Times New Roman" w:hAnsi="Times New Roman"/>
      <w:bCs w:val="0"/>
      <w:i w:val="0"/>
      <w:iCs w:val="0"/>
      <w:sz w:val="22"/>
      <w:szCs w:val="22"/>
      <w:lang w:val="lt-LT"/>
    </w:rPr>
  </w:style>
  <w:style w:type="paragraph" w:customStyle="1" w:styleId="PI-2EMEASMCA">
    <w:name w:val="PI-2 EMEA_SMCA"/>
    <w:basedOn w:val="Antrat3"/>
    <w:autoRedefine/>
    <w:uiPriority w:val="99"/>
    <w:rsid w:val="00951238"/>
    <w:pPr>
      <w:keepLines/>
      <w:spacing w:before="0" w:after="0" w:line="240" w:lineRule="auto"/>
      <w:ind w:left="567" w:hanging="567"/>
    </w:pPr>
    <w:rPr>
      <w:rFonts w:ascii="Times New Roman" w:eastAsia="Times New Roman" w:hAnsi="Times New Roman"/>
      <w:bCs w:val="0"/>
      <w:kern w:val="28"/>
      <w:sz w:val="22"/>
      <w:szCs w:val="22"/>
      <w:lang w:val="lt-LT"/>
    </w:rPr>
  </w:style>
  <w:style w:type="paragraph" w:customStyle="1" w:styleId="BTEMEASMCA">
    <w:name w:val="BT EMEA_SMCA"/>
    <w:basedOn w:val="prastasis"/>
    <w:link w:val="BTEMEASMCAChar"/>
    <w:autoRedefine/>
    <w:uiPriority w:val="99"/>
    <w:rsid w:val="00B51C3E"/>
    <w:pPr>
      <w:spacing w:after="0" w:line="240" w:lineRule="auto"/>
    </w:pPr>
    <w:rPr>
      <w:rFonts w:eastAsia="Arial Unicode MS"/>
      <w:i/>
      <w:sz w:val="20"/>
      <w:szCs w:val="20"/>
      <w:lang w:val="x-none"/>
    </w:rPr>
  </w:style>
  <w:style w:type="character" w:customStyle="1" w:styleId="BTEMEASMCAChar">
    <w:name w:val="BT EMEA_SMCA Char"/>
    <w:link w:val="BTEMEASMCA"/>
    <w:uiPriority w:val="99"/>
    <w:locked/>
    <w:rsid w:val="00951238"/>
    <w:rPr>
      <w:rFonts w:eastAsia="Arial Unicode MS"/>
      <w:i/>
      <w:sz w:val="20"/>
      <w:lang w:eastAsia="en-US"/>
    </w:rPr>
  </w:style>
  <w:style w:type="character" w:styleId="Emfaz">
    <w:name w:val="Emphasis"/>
    <w:uiPriority w:val="99"/>
    <w:qFormat/>
    <w:rsid w:val="00323470"/>
    <w:rPr>
      <w:rFonts w:cs="Times New Roman"/>
      <w:b/>
      <w:bCs/>
    </w:rPr>
  </w:style>
  <w:style w:type="character" w:styleId="Komentaronuoroda">
    <w:name w:val="annotation reference"/>
    <w:uiPriority w:val="99"/>
    <w:semiHidden/>
    <w:rsid w:val="00E13CA5"/>
    <w:rPr>
      <w:rFonts w:cs="Times New Roman"/>
      <w:sz w:val="16"/>
      <w:szCs w:val="16"/>
    </w:rPr>
  </w:style>
  <w:style w:type="paragraph" w:styleId="Komentarotekstas">
    <w:name w:val="annotation text"/>
    <w:basedOn w:val="prastasis"/>
    <w:link w:val="KomentarotekstasDiagrama"/>
    <w:uiPriority w:val="99"/>
    <w:semiHidden/>
    <w:rsid w:val="00E13CA5"/>
    <w:rPr>
      <w:sz w:val="20"/>
      <w:szCs w:val="20"/>
      <w:lang w:val="x-none"/>
    </w:rPr>
  </w:style>
  <w:style w:type="character" w:customStyle="1" w:styleId="KomentarotekstasDiagrama">
    <w:name w:val="Komentaro tekstas Diagrama"/>
    <w:link w:val="Komentarotekstas"/>
    <w:uiPriority w:val="99"/>
    <w:semiHidden/>
    <w:locked/>
    <w:rsid w:val="00D01232"/>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E13CA5"/>
    <w:rPr>
      <w:b/>
      <w:bCs/>
    </w:rPr>
  </w:style>
  <w:style w:type="character" w:customStyle="1" w:styleId="KomentarotemaDiagrama">
    <w:name w:val="Komentaro tema Diagrama"/>
    <w:link w:val="Komentarotema"/>
    <w:uiPriority w:val="99"/>
    <w:semiHidden/>
    <w:locked/>
    <w:rsid w:val="00D01232"/>
    <w:rPr>
      <w:rFonts w:cs="Times New Roman"/>
      <w:b/>
      <w:bCs/>
      <w:sz w:val="20"/>
      <w:szCs w:val="20"/>
      <w:lang w:eastAsia="en-US"/>
    </w:rPr>
  </w:style>
  <w:style w:type="character" w:customStyle="1" w:styleId="Antrat4Diagrama">
    <w:name w:val="Antraštė 4 Diagrama"/>
    <w:link w:val="Antrat4"/>
    <w:semiHidden/>
    <w:rsid w:val="00A90A70"/>
    <w:rPr>
      <w:rFonts w:ascii="Calibri" w:eastAsia="Times New Roman" w:hAnsi="Calibri" w:cs="Times New Roman"/>
      <w:b/>
      <w:bCs/>
      <w:sz w:val="28"/>
      <w:szCs w:val="28"/>
      <w:lang w:val="en-US" w:eastAsia="en-US"/>
    </w:rPr>
  </w:style>
  <w:style w:type="numbering" w:customStyle="1" w:styleId="Sraonra1">
    <w:name w:val="Sąrašo nėra1"/>
    <w:next w:val="Sraonra"/>
    <w:uiPriority w:val="99"/>
    <w:semiHidden/>
    <w:unhideWhenUsed/>
    <w:rsid w:val="00D539B8"/>
  </w:style>
  <w:style w:type="paragraph" w:styleId="Pataisymai">
    <w:name w:val="Revision"/>
    <w:hidden/>
    <w:uiPriority w:val="99"/>
    <w:semiHidden/>
    <w:rsid w:val="00365C94"/>
    <w:rPr>
      <w:sz w:val="22"/>
      <w:szCs w:val="22"/>
      <w:lang w:val="en-US" w:eastAsia="en-US"/>
    </w:rPr>
  </w:style>
  <w:style w:type="paragraph" w:styleId="Sraopastraipa">
    <w:name w:val="List Paragraph"/>
    <w:basedOn w:val="prastasis"/>
    <w:uiPriority w:val="34"/>
    <w:qFormat/>
    <w:rsid w:val="00AE3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761070">
      <w:marLeft w:val="0"/>
      <w:marRight w:val="0"/>
      <w:marTop w:val="0"/>
      <w:marBottom w:val="0"/>
      <w:divBdr>
        <w:top w:val="none" w:sz="0" w:space="0" w:color="auto"/>
        <w:left w:val="none" w:sz="0" w:space="0" w:color="auto"/>
        <w:bottom w:val="none" w:sz="0" w:space="0" w:color="auto"/>
        <w:right w:val="none" w:sz="0" w:space="0" w:color="auto"/>
      </w:divBdr>
    </w:div>
    <w:div w:id="1228761071">
      <w:marLeft w:val="0"/>
      <w:marRight w:val="0"/>
      <w:marTop w:val="0"/>
      <w:marBottom w:val="0"/>
      <w:divBdr>
        <w:top w:val="none" w:sz="0" w:space="0" w:color="auto"/>
        <w:left w:val="none" w:sz="0" w:space="0" w:color="auto"/>
        <w:bottom w:val="none" w:sz="0" w:space="0" w:color="auto"/>
        <w:right w:val="none" w:sz="0" w:space="0" w:color="auto"/>
      </w:divBdr>
    </w:div>
    <w:div w:id="1228761072">
      <w:marLeft w:val="0"/>
      <w:marRight w:val="0"/>
      <w:marTop w:val="0"/>
      <w:marBottom w:val="0"/>
      <w:divBdr>
        <w:top w:val="none" w:sz="0" w:space="0" w:color="auto"/>
        <w:left w:val="none" w:sz="0" w:space="0" w:color="auto"/>
        <w:bottom w:val="none" w:sz="0" w:space="0" w:color="auto"/>
        <w:right w:val="none" w:sz="0" w:space="0" w:color="auto"/>
      </w:divBdr>
    </w:div>
    <w:div w:id="12287610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37377-F478-42D0-A8A5-6B3428F5C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7352</Words>
  <Characters>48775</Characters>
  <Application>Microsoft Office Word</Application>
  <DocSecurity>4</DocSecurity>
  <Lines>406</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56015</CharactersWithSpaces>
  <SharedDoc>false</SharedDoc>
  <HLinks>
    <vt:vector size="24" baseType="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2024-09-12T10:20:00Z</dcterms:created>
  <dcterms:modified xsi:type="dcterms:W3CDTF">2024-09-12T10:20:00Z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2024-06-11T08:26:19Z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c9497b16-60b2-4cbe-8d64-9ed94c5365e1</vt:lpwstr>
  </property>
  <property fmtid="{D5CDD505-2E9C-101B-9397-08002B2CF9AE}" pid="8" name="MSIP_Label_c63a0701-319b-41bf-8431-58956e491e60_ContentBits">
    <vt:lpwstr>0</vt:lpwstr>
  </property>
</Properties>
</file>