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C98" w:rsidRPr="00660C98" w:rsidRDefault="00660C98" w:rsidP="00660C98">
      <w:pPr>
        <w:tabs>
          <w:tab w:val="left" w:pos="1725"/>
        </w:tabs>
        <w:spacing w:after="0" w:line="240" w:lineRule="auto"/>
        <w:rPr>
          <w:rFonts w:ascii="Times New Roman" w:eastAsia="Times New Roman" w:hAnsi="Times New Roman"/>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r w:rsidRPr="00660C98">
        <w:rPr>
          <w:rFonts w:ascii="Times New Roman" w:eastAsia="Times New Roman" w:hAnsi="Times New Roman"/>
          <w:b/>
          <w:lang w:val="lt-LT"/>
        </w:rPr>
        <w:t>I PRIEDAS</w:t>
      </w: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r w:rsidRPr="00660C98">
        <w:rPr>
          <w:rFonts w:ascii="Times New Roman" w:eastAsia="Times New Roman" w:hAnsi="Times New Roman"/>
          <w:b/>
          <w:lang w:val="lt-LT"/>
        </w:rPr>
        <w:t>PREPARATO CHARAKTERISTIKŲ SANTRAUKA</w:t>
      </w: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br w:type="page"/>
      </w:r>
      <w:r w:rsidRPr="00660C98">
        <w:rPr>
          <w:rFonts w:ascii="Times New Roman" w:eastAsia="Times New Roman" w:hAnsi="Times New Roman"/>
          <w:b/>
          <w:lang w:val="lt-LT"/>
        </w:rPr>
        <w:lastRenderedPageBreak/>
        <w:t>1.</w:t>
      </w:r>
      <w:r w:rsidRPr="00660C98">
        <w:rPr>
          <w:rFonts w:ascii="Times New Roman" w:eastAsia="Times New Roman" w:hAnsi="Times New Roman"/>
          <w:b/>
          <w:lang w:val="lt-LT"/>
        </w:rPr>
        <w:tab/>
        <w:t>VAISTINIO PREPARATO PAVADINIMAS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50 mg dengtos tabletės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2.</w:t>
      </w:r>
      <w:r w:rsidRPr="00660C98">
        <w:rPr>
          <w:rFonts w:ascii="Times New Roman" w:eastAsia="Times New Roman" w:hAnsi="Times New Roman"/>
          <w:b/>
          <w:lang w:val="lt-LT"/>
        </w:rPr>
        <w:tab/>
        <w:t>KOKYBINĖ IR KIEKYBINĖ SUDĖTIS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Kiekvienoje dengtoje tabletėje yra 50 mg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kalio druskos.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7E5A4D">
        <w:rPr>
          <w:rFonts w:ascii="Times New Roman" w:eastAsia="Times New Roman" w:hAnsi="Times New Roman"/>
          <w:lang w:val="lt-LT"/>
        </w:rPr>
        <w:t>Pagalbinė medžiaga</w:t>
      </w:r>
      <w:r w:rsidRPr="00660C98">
        <w:rPr>
          <w:rFonts w:ascii="Times New Roman" w:eastAsia="Times New Roman" w:hAnsi="Times New Roman"/>
          <w:lang w:val="lt-LT"/>
        </w:rPr>
        <w:t>: kiekvienoje tabletėje yra 67 mg sacharozės.</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Visos pagalbinės medžiagos išvardytos 6.1 skyriuje.</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3.</w:t>
      </w:r>
      <w:r w:rsidRPr="00660C98">
        <w:rPr>
          <w:rFonts w:ascii="Times New Roman" w:eastAsia="Times New Roman" w:hAnsi="Times New Roman"/>
          <w:b/>
          <w:lang w:val="lt-LT"/>
        </w:rPr>
        <w:tab/>
        <w:t>FARMACINĖ FORMA</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Dengta tabletė.</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Tabletės yra rusvos, apvalios, abipus išgaubtos.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w:t>
      </w:r>
      <w:r w:rsidRPr="00660C98">
        <w:rPr>
          <w:rFonts w:ascii="Times New Roman" w:eastAsia="Times New Roman" w:hAnsi="Times New Roman"/>
          <w:b/>
          <w:lang w:val="lt-LT"/>
        </w:rPr>
        <w:tab/>
        <w:t>KLINIKINĖ INFORMACIJA</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b/>
          <w:lang w:val="lt-LT"/>
        </w:rPr>
        <w:t>4.1</w:t>
      </w:r>
      <w:r w:rsidRPr="00660C98">
        <w:rPr>
          <w:rFonts w:ascii="Times New Roman" w:eastAsia="Times New Roman" w:hAnsi="Times New Roman"/>
          <w:b/>
          <w:lang w:val="lt-LT"/>
        </w:rPr>
        <w:tab/>
        <w:t>Terapinės indikacijos</w:t>
      </w: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p>
    <w:p w:rsidR="00660C98" w:rsidRPr="00660C98" w:rsidRDefault="00660C98" w:rsidP="00660C98">
      <w:pPr>
        <w:widowControl w:val="0"/>
        <w:autoSpaceDE w:val="0"/>
        <w:autoSpaceDN w:val="0"/>
        <w:adjustRightInd w:val="0"/>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Trumpalaikis ūminio skausmo ir(ar) uždegimo (po traumos, chirurginės operacijos, esant nugaros skausmui ar minkštųjų audinių uždegiminėms ligoms, pirminei </w:t>
      </w:r>
      <w:proofErr w:type="spellStart"/>
      <w:r w:rsidRPr="00660C98">
        <w:rPr>
          <w:rFonts w:ascii="Times New Roman" w:eastAsia="Times New Roman" w:hAnsi="Times New Roman"/>
          <w:lang w:val="lt-LT"/>
        </w:rPr>
        <w:t>dismenorėjai</w:t>
      </w:r>
      <w:proofErr w:type="spellEnd"/>
      <w:r w:rsidRPr="00660C98">
        <w:rPr>
          <w:rFonts w:ascii="Times New Roman" w:eastAsia="Times New Roman" w:hAnsi="Times New Roman"/>
          <w:lang w:val="lt-LT"/>
        </w:rPr>
        <w:t>, pasireiškus migrenos priepuoliams) slopinimas.</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4.2</w:t>
      </w:r>
      <w:r w:rsidRPr="00660C98">
        <w:rPr>
          <w:rFonts w:ascii="Times New Roman" w:eastAsia="Times New Roman" w:hAnsi="Times New Roman"/>
          <w:b/>
          <w:lang w:val="lt-LT"/>
        </w:rPr>
        <w:tab/>
        <w:t>Dozavimas ir vartojimo metodas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Nepageidaujamas poveikis gali pasireikšti rečiau vartojant mažiausią veiksmingą dozę per trumpiausią laikotarpį, reikalingą ligos simptomams kontroliuoti (žr. 4.4 skyrių „Specialūs įspėjimai ir atsargumo priemonės“).</w:t>
      </w:r>
    </w:p>
    <w:p w:rsidR="00B51442" w:rsidRPr="00660C98" w:rsidRDefault="00B51442"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Tabletes reikia nuryti nekramčius ir nedalijant, užsigeriant skysčiu, geriausia prieš valgį.</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Bendroji tikslinė populiacija</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Rekomenduojama pradinė paros dozė yra 100–150 mg. Jei liga vidutinio sunkumo, paprastai pakanka per parą išgerti 50–100 mg preparato. </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Paprastai visą paros dozę reikia padalyti į lygias dalis ir išgerti per 2 – 3 kartus.</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reikia gydyti pirminę </w:t>
      </w:r>
      <w:proofErr w:type="spellStart"/>
      <w:r w:rsidRPr="00660C98">
        <w:rPr>
          <w:rFonts w:ascii="Times New Roman" w:eastAsia="Times New Roman" w:hAnsi="Times New Roman"/>
          <w:lang w:val="lt-LT"/>
        </w:rPr>
        <w:t>dismenorėją</w:t>
      </w:r>
      <w:proofErr w:type="spellEnd"/>
      <w:r w:rsidRPr="00660C98">
        <w:rPr>
          <w:rFonts w:ascii="Times New Roman" w:eastAsia="Times New Roman" w:hAnsi="Times New Roman"/>
          <w:lang w:val="lt-LT"/>
        </w:rPr>
        <w:t>, paros dozė nustatoma individualiai. Paprastai paros dozė būna 50–150 mg. Pradžioje per parą reikėtų gerti 50–100 mg ir, jei būtina, dozę didinti per kelis ciklus iki didžiausios, t.y. per parą vartoti 150 mg preparato.</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Gydymą reikia pradėti pasireiškus pirmiems simptomams ir priklausomai nuo jų sunkumo vaisto vartoti kelias dienas.</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Jeigu reikia šalinti migrenos priepuolį, pradinė dozė turėtų būti 50 mg. Ją reikia išgerti, kai tik atsiranda gresiančio priepuolio pirmieji simptomai. Jei po pirmos dozės 2 valandų laikotarpiu skausmas sumažėja nepakankamai, galima vartoti kitą 50 mg dozę. Prireikus tokią dozę galima gerti kas 4 – 6 valandas, tačiau per parą daugiau kaip 150 mg preparato vartoti negalima. </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Ypatingos pacientų populiacijos</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Vaikai ir paaugliai</w:t>
      </w:r>
    </w:p>
    <w:p w:rsid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lastRenderedPageBreak/>
        <w:t>Cataflam</w:t>
      </w:r>
      <w:proofErr w:type="spellEnd"/>
      <w:r w:rsidRPr="00660C98">
        <w:rPr>
          <w:rFonts w:ascii="Times New Roman" w:eastAsia="Times New Roman" w:hAnsi="Times New Roman"/>
          <w:lang w:val="lt-LT"/>
        </w:rPr>
        <w:t xml:space="preserve"> tablečių vartoti vaikams ir paaugliams iki 14</w:t>
      </w:r>
      <w:r w:rsidR="00B51442">
        <w:rPr>
          <w:rFonts w:ascii="Times New Roman" w:eastAsia="Times New Roman" w:hAnsi="Times New Roman"/>
          <w:lang w:val="lt-LT"/>
        </w:rPr>
        <w:t> </w:t>
      </w:r>
      <w:r w:rsidRPr="00660C98">
        <w:rPr>
          <w:rFonts w:ascii="Times New Roman" w:eastAsia="Times New Roman" w:hAnsi="Times New Roman"/>
          <w:lang w:val="lt-LT"/>
        </w:rPr>
        <w:t xml:space="preserve">metų nerekomenduojama. Paprastai paaugliams virš 14 metų pakanka vartoti 50-100 mg paros dozę. Paprastai visą paros dozę reikia padalyti į lygias dalis ir išgerti per 2–3 kartus. </w:t>
      </w:r>
    </w:p>
    <w:p w:rsidR="00B51442" w:rsidRPr="00660C98" w:rsidRDefault="00B51442"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Didžiausios 150 mg paros dozės viršyti negalima. </w:t>
      </w:r>
    </w:p>
    <w:p w:rsidR="00B51442" w:rsidRPr="00660C98" w:rsidRDefault="00B51442"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Visų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formų poveikis vaikams ir paaugliams migrenos priepuolio metu netirtas.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720"/>
        </w:tabs>
        <w:spacing w:after="0" w:line="240" w:lineRule="auto"/>
        <w:rPr>
          <w:rFonts w:ascii="Times New Roman" w:eastAsia="Times New Roman" w:hAnsi="Times New Roman"/>
          <w:i/>
          <w:lang w:val="lt-LT"/>
        </w:rPr>
      </w:pPr>
      <w:r w:rsidRPr="00660C98">
        <w:rPr>
          <w:rFonts w:ascii="Times New Roman" w:eastAsia="Times New Roman" w:hAnsi="Times New Roman"/>
          <w:i/>
          <w:lang w:val="lt-LT"/>
        </w:rPr>
        <w:t>Senyvi (65 metų ir vyresni) pacientai</w:t>
      </w:r>
    </w:p>
    <w:p w:rsid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Senyvi pacientai į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poveikį gali labiau reaguoti nei kiti suaugę žmonės. Todėl senyviems pacientams rekomenduojama vartoti mažiausią dozę, kuri palengvina simptomus. Skiriant gydymą NVNU reikia pacientus stebėti dėl kraujavimo iš virškinimo trakto.</w:t>
      </w:r>
    </w:p>
    <w:p w:rsidR="00E216D7" w:rsidRPr="00660C98" w:rsidRDefault="00E216D7"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Pradinės dozės senyviems žmonėms koreguoti nereikia (žr. 4.4 skyrių</w:t>
      </w:r>
      <w:r w:rsidRPr="00660C98">
        <w:rPr>
          <w:rFonts w:ascii="Times New Roman" w:eastAsia="Times New Roman" w:hAnsi="Times New Roman"/>
          <w:b/>
          <w:lang w:val="lt-LT"/>
        </w:rPr>
        <w:t xml:space="preserve"> </w:t>
      </w:r>
      <w:r w:rsidRPr="00660C98">
        <w:rPr>
          <w:rFonts w:ascii="Times New Roman" w:eastAsia="Times New Roman" w:hAnsi="Times New Roman"/>
          <w:lang w:val="lt-LT"/>
        </w:rPr>
        <w:t>„Specialūs įspėjimai ir atsargumo priemonės”).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lang w:val="lt-LT"/>
        </w:rPr>
      </w:pPr>
      <w:r w:rsidRPr="00660C98">
        <w:rPr>
          <w:rFonts w:ascii="Times New Roman" w:eastAsia="Times New Roman" w:hAnsi="Times New Roman"/>
          <w:i/>
          <w:lang w:val="lt-LT"/>
        </w:rPr>
        <w:t>Pacientai, sergantys širdies ir kraujagyslių ligomis</w:t>
      </w:r>
    </w:p>
    <w:p w:rsidR="00660C98" w:rsidRPr="00660C98" w:rsidRDefault="00660C98" w:rsidP="00660C98">
      <w:pPr>
        <w:spacing w:after="0" w:line="240" w:lineRule="auto"/>
        <w:rPr>
          <w:rFonts w:ascii="Times New Roman" w:hAnsi="Times New Roman"/>
          <w:lang w:val="lt-LT"/>
        </w:rPr>
      </w:pPr>
      <w:r w:rsidRPr="00660C98">
        <w:rPr>
          <w:rFonts w:ascii="Times New Roman" w:hAnsi="Times New Roman"/>
          <w:lang w:val="lt-LT"/>
        </w:rPr>
        <w:t>Pacientams, turintiems reikšmingų širdies ir kraujagyslių sutrikimų pasireiškimo rizikos veiksnių, žr.</w:t>
      </w:r>
      <w:r w:rsidR="00B17840">
        <w:rPr>
          <w:rFonts w:ascii="Times New Roman" w:hAnsi="Times New Roman"/>
          <w:lang w:val="lt-LT"/>
        </w:rPr>
        <w:t> </w:t>
      </w:r>
      <w:r w:rsidRPr="00660C98">
        <w:rPr>
          <w:rFonts w:ascii="Times New Roman" w:hAnsi="Times New Roman"/>
          <w:lang w:val="lt-LT"/>
        </w:rPr>
        <w:t>4.4</w:t>
      </w:r>
      <w:r w:rsidR="00E66E50">
        <w:rPr>
          <w:rFonts w:ascii="Times New Roman" w:hAnsi="Times New Roman"/>
          <w:lang w:val="lt-LT"/>
        </w:rPr>
        <w:t> </w:t>
      </w:r>
      <w:r w:rsidRPr="00660C98">
        <w:rPr>
          <w:rFonts w:ascii="Times New Roman" w:hAnsi="Times New Roman"/>
          <w:lang w:val="lt-LT"/>
        </w:rPr>
        <w:t>skyrių „Specialūs įspėjimai ir atsargumo priemonės”.</w:t>
      </w:r>
    </w:p>
    <w:p w:rsidR="00660C98" w:rsidRPr="00660C98" w:rsidRDefault="00660C98" w:rsidP="00660C98">
      <w:pPr>
        <w:spacing w:after="0" w:line="240" w:lineRule="auto"/>
        <w:rPr>
          <w:rFonts w:ascii="Times New Roman" w:eastAsia="Times New Roman" w:hAnsi="Times New Roman"/>
          <w:i/>
          <w:color w:val="000000"/>
          <w:lang w:val="lt-LT" w:eastAsia="x-none"/>
        </w:rPr>
      </w:pPr>
    </w:p>
    <w:p w:rsidR="00660C98" w:rsidRPr="00660C98" w:rsidRDefault="00660C98" w:rsidP="00660C98">
      <w:pPr>
        <w:spacing w:after="0" w:line="240" w:lineRule="auto"/>
        <w:rPr>
          <w:rFonts w:ascii="Times New Roman" w:eastAsia="Times New Roman" w:hAnsi="Times New Roman"/>
          <w:i/>
          <w:color w:val="000000"/>
          <w:lang w:val="lt-LT" w:eastAsia="x-none"/>
        </w:rPr>
      </w:pPr>
      <w:r w:rsidRPr="00660C98">
        <w:rPr>
          <w:rFonts w:ascii="Times New Roman" w:eastAsia="Times New Roman" w:hAnsi="Times New Roman"/>
          <w:i/>
          <w:color w:val="000000"/>
          <w:lang w:val="lt-LT" w:eastAsia="x-none"/>
        </w:rPr>
        <w:t>Pacientai, kurių inkstų funkcija sutrikusi</w:t>
      </w:r>
    </w:p>
    <w:p w:rsidR="00660C98" w:rsidRPr="00660C98" w:rsidRDefault="00660C98" w:rsidP="00660C98">
      <w:pPr>
        <w:tabs>
          <w:tab w:val="left" w:pos="720"/>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Pacientams, kuriems yra sunkus inkstų nepakankamumas,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vartoti draudžiama (žr. 4.3 skyrių „Kontraindikacijos“).</w:t>
      </w:r>
    </w:p>
    <w:p w:rsidR="00660C98" w:rsidRPr="00660C98" w:rsidRDefault="00660C98" w:rsidP="00660C98">
      <w:pPr>
        <w:tabs>
          <w:tab w:val="left" w:pos="720"/>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color w:val="222222"/>
          <w:lang w:val="lt-LT"/>
        </w:rPr>
        <w:t xml:space="preserve">Jokių tyrimų nebuvo atlikta pacientams, kurių inkstų funkcija yra sutrikusi, todėl jokių dozės koregavimo rekomendacijų pateikti negalima. </w:t>
      </w:r>
      <w:proofErr w:type="spellStart"/>
      <w:r w:rsidRPr="00660C98">
        <w:rPr>
          <w:rFonts w:ascii="Times New Roman" w:eastAsia="Times New Roman" w:hAnsi="Times New Roman"/>
          <w:color w:val="222222"/>
          <w:lang w:val="lt-LT"/>
        </w:rPr>
        <w:t>Cataflam</w:t>
      </w:r>
      <w:proofErr w:type="spellEnd"/>
      <w:r w:rsidRPr="00660C98">
        <w:rPr>
          <w:rFonts w:ascii="Times New Roman" w:eastAsia="Times New Roman" w:hAnsi="Times New Roman"/>
          <w:color w:val="222222"/>
          <w:lang w:val="lt-LT"/>
        </w:rPr>
        <w:t xml:space="preserve"> patartina skirti atsargiai pacientams, kuriems yra lengvas ar vidutinio sunkumo inkstų funkcijos sutrikimas (</w:t>
      </w:r>
      <w:r w:rsidRPr="00660C98">
        <w:rPr>
          <w:rFonts w:ascii="Times New Roman" w:eastAsia="Times New Roman" w:hAnsi="Times New Roman"/>
          <w:lang w:val="lt-LT"/>
        </w:rPr>
        <w:t>žr. 4.4 skyrių</w:t>
      </w:r>
      <w:r w:rsidRPr="00660C98">
        <w:rPr>
          <w:rFonts w:ascii="Times New Roman" w:eastAsia="Times New Roman" w:hAnsi="Times New Roman"/>
          <w:b/>
          <w:lang w:val="lt-LT"/>
        </w:rPr>
        <w:t xml:space="preserve"> </w:t>
      </w:r>
      <w:r w:rsidRPr="00660C98">
        <w:rPr>
          <w:rFonts w:ascii="Times New Roman" w:eastAsia="Times New Roman" w:hAnsi="Times New Roman"/>
          <w:lang w:val="lt-LT"/>
        </w:rPr>
        <w:t>„Specialūs įspėjimai ir atsargumo priemonės”).</w:t>
      </w:r>
    </w:p>
    <w:p w:rsidR="00660C98" w:rsidRPr="00660C98" w:rsidRDefault="00660C98" w:rsidP="00660C98">
      <w:pPr>
        <w:spacing w:after="0" w:line="240" w:lineRule="auto"/>
        <w:rPr>
          <w:rFonts w:ascii="Times New Roman" w:eastAsia="Times New Roman" w:hAnsi="Times New Roman"/>
          <w:color w:val="000000"/>
          <w:lang w:val="lt-LT" w:eastAsia="x-none"/>
        </w:rPr>
      </w:pPr>
    </w:p>
    <w:p w:rsidR="00660C98" w:rsidRPr="00660C98" w:rsidRDefault="00660C98" w:rsidP="00660C98">
      <w:pPr>
        <w:tabs>
          <w:tab w:val="left" w:pos="720"/>
        </w:tabs>
        <w:spacing w:after="0" w:line="240" w:lineRule="auto"/>
        <w:rPr>
          <w:rFonts w:ascii="Times New Roman" w:eastAsia="Times New Roman" w:hAnsi="Times New Roman"/>
          <w:i/>
          <w:lang w:val="lt-LT"/>
        </w:rPr>
      </w:pPr>
      <w:r w:rsidRPr="00660C98">
        <w:rPr>
          <w:rFonts w:ascii="Times New Roman" w:eastAsia="Times New Roman" w:hAnsi="Times New Roman"/>
          <w:i/>
          <w:lang w:val="lt-LT"/>
        </w:rPr>
        <w:t>Pacientai, kurių kepenų funkcija sutrikusi</w:t>
      </w:r>
    </w:p>
    <w:p w:rsidR="00660C98" w:rsidRPr="00660C98" w:rsidRDefault="00660C98" w:rsidP="00660C98">
      <w:pPr>
        <w:tabs>
          <w:tab w:val="left" w:pos="720"/>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Pacientams, kuriems yra sunkus kepenų nepakankamumas,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vartoti draudžiama (žr. 4.3 skyrių „Kontraindikacijos“).</w:t>
      </w:r>
    </w:p>
    <w:p w:rsidR="00660C98" w:rsidRPr="00660C98" w:rsidRDefault="00660C98" w:rsidP="00660C98">
      <w:pPr>
        <w:tabs>
          <w:tab w:val="left" w:pos="720"/>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color w:val="222222"/>
          <w:lang w:val="lt-LT"/>
        </w:rPr>
        <w:t xml:space="preserve">Jokių tyrimų nebuvo atlikta pacientams, kurių kepenų funkcija yra sutrikusi, todėl jokių dozės koregavimo rekomendacijų pateikti negalima. </w:t>
      </w:r>
      <w:proofErr w:type="spellStart"/>
      <w:r w:rsidRPr="00660C98">
        <w:rPr>
          <w:rFonts w:ascii="Times New Roman" w:eastAsia="Times New Roman" w:hAnsi="Times New Roman"/>
          <w:color w:val="222222"/>
          <w:lang w:val="lt-LT"/>
        </w:rPr>
        <w:t>Cataflam</w:t>
      </w:r>
      <w:proofErr w:type="spellEnd"/>
      <w:r w:rsidRPr="00660C98">
        <w:rPr>
          <w:rFonts w:ascii="Times New Roman" w:eastAsia="Times New Roman" w:hAnsi="Times New Roman"/>
          <w:color w:val="222222"/>
          <w:lang w:val="lt-LT"/>
        </w:rPr>
        <w:t xml:space="preserve"> patartina skirti atsargiai pacientams, kuriems yra lengvas ar vidutinio sunkumo kepenų funkcijos sutrikimas (</w:t>
      </w:r>
      <w:r w:rsidRPr="00660C98">
        <w:rPr>
          <w:rFonts w:ascii="Times New Roman" w:eastAsia="Times New Roman" w:hAnsi="Times New Roman"/>
          <w:lang w:val="lt-LT"/>
        </w:rPr>
        <w:t>žr. 4.4 skyrių</w:t>
      </w:r>
      <w:r w:rsidRPr="00660C98">
        <w:rPr>
          <w:rFonts w:ascii="Times New Roman" w:eastAsia="Times New Roman" w:hAnsi="Times New Roman"/>
          <w:b/>
          <w:lang w:val="lt-LT"/>
        </w:rPr>
        <w:t xml:space="preserve"> </w:t>
      </w:r>
      <w:r w:rsidRPr="00660C98">
        <w:rPr>
          <w:rFonts w:ascii="Times New Roman" w:eastAsia="Times New Roman" w:hAnsi="Times New Roman"/>
          <w:lang w:val="lt-LT"/>
        </w:rPr>
        <w:t>„Specialūs įspėjimai ir atsargumo priemonės”).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4.3</w:t>
      </w:r>
      <w:r w:rsidRPr="00660C98">
        <w:rPr>
          <w:rFonts w:ascii="Times New Roman" w:eastAsia="Times New Roman" w:hAnsi="Times New Roman"/>
          <w:b/>
          <w:lang w:val="lt-LT"/>
        </w:rPr>
        <w:tab/>
        <w:t>Kontraindikacijos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numPr>
          <w:ilvl w:val="0"/>
          <w:numId w:val="17"/>
        </w:num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Padidėjęs jautrumas veikliajai arba bet kuriai pagalbinei medžiagai. </w:t>
      </w:r>
    </w:p>
    <w:p w:rsidR="00660C98" w:rsidRPr="00660C98" w:rsidRDefault="00660C98" w:rsidP="00660C98">
      <w:pPr>
        <w:numPr>
          <w:ilvl w:val="0"/>
          <w:numId w:val="17"/>
        </w:num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Pasikartojanti skrandžio ar žarnyno opa, kraujavimas arba perforacija </w:t>
      </w:r>
      <w:r w:rsidRPr="00660C98">
        <w:rPr>
          <w:rFonts w:ascii="Times New Roman" w:eastAsia="Times New Roman" w:hAnsi="Times New Roman"/>
          <w:spacing w:val="-3"/>
          <w:lang w:val="lt-LT"/>
        </w:rPr>
        <w:t>(žr. 4.4 ir 4.8 skyrius)</w:t>
      </w:r>
      <w:r w:rsidRPr="00660C98">
        <w:rPr>
          <w:rFonts w:ascii="Times New Roman" w:eastAsia="Times New Roman" w:hAnsi="Times New Roman"/>
          <w:lang w:val="lt-LT"/>
        </w:rPr>
        <w:t>.</w:t>
      </w:r>
    </w:p>
    <w:p w:rsidR="00660C98" w:rsidRPr="00660C98" w:rsidRDefault="00660C98" w:rsidP="00660C98">
      <w:pPr>
        <w:numPr>
          <w:ilvl w:val="0"/>
          <w:numId w:val="17"/>
        </w:num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Trečias nėštumo trimestras (žr. 4.6 skyrių).</w:t>
      </w:r>
    </w:p>
    <w:p w:rsidR="00660C98" w:rsidRPr="00660C98" w:rsidRDefault="00660C98" w:rsidP="00660C98">
      <w:pPr>
        <w:numPr>
          <w:ilvl w:val="0"/>
          <w:numId w:val="17"/>
        </w:numPr>
        <w:spacing w:after="0" w:line="240" w:lineRule="auto"/>
        <w:rPr>
          <w:rFonts w:ascii="Times New Roman" w:eastAsia="Times New Roman" w:hAnsi="Times New Roman"/>
          <w:spacing w:val="-3"/>
          <w:lang w:val="lt-LT"/>
        </w:rPr>
      </w:pPr>
      <w:r w:rsidRPr="00660C98">
        <w:rPr>
          <w:rFonts w:ascii="Times New Roman" w:eastAsia="Times New Roman" w:hAnsi="Times New Roman"/>
          <w:lang w:val="lt-LT"/>
        </w:rPr>
        <w:t>Sunkus širdies nepakankamumas.</w:t>
      </w:r>
    </w:p>
    <w:p w:rsidR="00660C98" w:rsidRPr="00660C98" w:rsidRDefault="00660C98" w:rsidP="00660C98">
      <w:pPr>
        <w:numPr>
          <w:ilvl w:val="0"/>
          <w:numId w:val="17"/>
        </w:num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Sunkus kepenų nepakankamumas.</w:t>
      </w:r>
    </w:p>
    <w:p w:rsidR="00660C98" w:rsidRPr="00660C98" w:rsidRDefault="00660C98" w:rsidP="00660C98">
      <w:pPr>
        <w:numPr>
          <w:ilvl w:val="0"/>
          <w:numId w:val="17"/>
        </w:num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Sunkus inkstų nepakankamumas.</w:t>
      </w:r>
    </w:p>
    <w:p w:rsidR="00660C98" w:rsidRPr="00660C98" w:rsidRDefault="00660C98" w:rsidP="00660C98">
      <w:pPr>
        <w:numPr>
          <w:ilvl w:val="0"/>
          <w:numId w:val="17"/>
        </w:num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kaip ir kitų nesteroidinių vaistų nuo uždegimo (NVNU), draudžiama vartoti žmonėms, kuriems </w:t>
      </w:r>
      <w:proofErr w:type="spellStart"/>
      <w:r w:rsidRPr="00660C98">
        <w:rPr>
          <w:rFonts w:ascii="Times New Roman" w:eastAsia="Times New Roman" w:hAnsi="Times New Roman"/>
          <w:lang w:val="lt-LT"/>
        </w:rPr>
        <w:t>acetilsalicilo</w:t>
      </w:r>
      <w:proofErr w:type="spellEnd"/>
      <w:r w:rsidRPr="00660C98">
        <w:rPr>
          <w:rFonts w:ascii="Times New Roman" w:eastAsia="Times New Roman" w:hAnsi="Times New Roman"/>
          <w:lang w:val="lt-LT"/>
        </w:rPr>
        <w:t xml:space="preserve"> rūgštis arba kiti NVNU sukelia astmos priepuolį, dilgėlinę arba ūminį rinitą </w:t>
      </w:r>
      <w:r w:rsidRPr="00660C98">
        <w:rPr>
          <w:rFonts w:ascii="Times New Roman" w:eastAsia="Times New Roman" w:hAnsi="Times New Roman"/>
          <w:spacing w:val="-3"/>
          <w:lang w:val="lt-LT"/>
        </w:rPr>
        <w:t>(žr. 4.4 ir 4.8 skyrius)</w:t>
      </w:r>
      <w:r w:rsidRPr="00660C98">
        <w:rPr>
          <w:rFonts w:ascii="Times New Roman" w:eastAsia="Times New Roman" w:hAnsi="Times New Roman"/>
          <w:lang w:val="lt-LT"/>
        </w:rPr>
        <w:t xml:space="preserve">. </w:t>
      </w:r>
    </w:p>
    <w:p w:rsidR="00660C98" w:rsidRPr="00660C98" w:rsidRDefault="00660C98" w:rsidP="00660C98">
      <w:pPr>
        <w:numPr>
          <w:ilvl w:val="0"/>
          <w:numId w:val="17"/>
        </w:num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Bet koks kraujavimas, kraujavimas iš virškinimo trakto arba virškinimo trakto perforacija, susiję arba ne su NVNU vartojimu. Esanti ar pasikartojanti </w:t>
      </w:r>
      <w:proofErr w:type="spellStart"/>
      <w:r w:rsidRPr="00660C98">
        <w:rPr>
          <w:rFonts w:ascii="Times New Roman" w:eastAsia="Times New Roman" w:hAnsi="Times New Roman"/>
          <w:lang w:val="lt-LT"/>
        </w:rPr>
        <w:t>pepsinė</w:t>
      </w:r>
      <w:proofErr w:type="spellEnd"/>
      <w:r w:rsidRPr="00660C98">
        <w:rPr>
          <w:rFonts w:ascii="Times New Roman" w:eastAsia="Times New Roman" w:hAnsi="Times New Roman"/>
          <w:lang w:val="lt-LT"/>
        </w:rPr>
        <w:t xml:space="preserve"> opa/kraujavimas (du ar daugiau atskirų išopėjimo ar kraujavimo epizodų).</w:t>
      </w:r>
    </w:p>
    <w:p w:rsidR="00660C98" w:rsidRPr="00660C98" w:rsidRDefault="00660C98" w:rsidP="00660C98">
      <w:pPr>
        <w:numPr>
          <w:ilvl w:val="0"/>
          <w:numId w:val="17"/>
        </w:num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Nustatytas </w:t>
      </w:r>
      <w:proofErr w:type="spellStart"/>
      <w:r w:rsidRPr="00660C98">
        <w:rPr>
          <w:rFonts w:ascii="Times New Roman" w:eastAsia="Times New Roman" w:hAnsi="Times New Roman"/>
          <w:lang w:val="lt-LT"/>
        </w:rPr>
        <w:t>stazinis</w:t>
      </w:r>
      <w:proofErr w:type="spellEnd"/>
      <w:r w:rsidRPr="00660C98">
        <w:rPr>
          <w:rFonts w:ascii="Times New Roman" w:eastAsia="Times New Roman" w:hAnsi="Times New Roman"/>
          <w:lang w:val="lt-LT"/>
        </w:rPr>
        <w:t xml:space="preserve"> širdies nepakankamumas (II-IV</w:t>
      </w:r>
      <w:r w:rsidR="00B51442">
        <w:rPr>
          <w:rFonts w:ascii="Times New Roman" w:eastAsia="Times New Roman" w:hAnsi="Times New Roman"/>
          <w:lang w:val="lt-LT"/>
        </w:rPr>
        <w:t> </w:t>
      </w:r>
      <w:r w:rsidRPr="00660C98">
        <w:rPr>
          <w:rFonts w:ascii="Times New Roman" w:eastAsia="Times New Roman" w:hAnsi="Times New Roman"/>
          <w:lang w:val="lt-LT"/>
        </w:rPr>
        <w:t>stadijos pagal NYHA klasifikaciją), išeminė širdies liga, periferinių arterijų liga ir(arba) galvos smegenų kraujotakos sutrikimas.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4.4</w:t>
      </w:r>
      <w:r w:rsidRPr="00660C98">
        <w:rPr>
          <w:rFonts w:ascii="Times New Roman" w:eastAsia="Times New Roman" w:hAnsi="Times New Roman"/>
          <w:b/>
          <w:lang w:val="lt-LT"/>
        </w:rPr>
        <w:tab/>
        <w:t>Specialūs įspėjimai ir atsargumo priemonės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lastRenderedPageBreak/>
        <w:t>Bendros</w:t>
      </w: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Nepageidaujamas poveikis gali sumažėti, vartojant mažiausią veiksmingą vaisto dozę trumpiausią laiką, būtiną simptomų kontrolei (žr. 4.2 skyrių ir žemiau aprašytą pavojų virškinimo traktui bei širdies ir kraujagyslių sistemai).</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eastAsia="lt-LT"/>
        </w:rPr>
      </w:pPr>
      <w:r w:rsidRPr="00660C98">
        <w:rPr>
          <w:rFonts w:ascii="Times New Roman" w:eastAsia="Times New Roman" w:hAnsi="Times New Roman"/>
          <w:i/>
          <w:iCs/>
          <w:u w:val="single"/>
          <w:lang w:val="lt-LT" w:eastAsia="lt-LT"/>
        </w:rPr>
        <w:t>Sąveika su NVNU</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Būtina vengti vartoti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kartu su sisteminiais NVNU, įskaitant selektyvius COX-2 inhibitorius, dėl duomenų, įrodančių galimą naudą ir papildomų nepageidaujamų reiškinių riziką, nebuvimo (žr. 4.5 skyrių).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eastAsia="lt-LT"/>
        </w:rPr>
      </w:pPr>
      <w:r w:rsidRPr="00660C98">
        <w:rPr>
          <w:rFonts w:ascii="Times New Roman" w:eastAsia="Times New Roman" w:hAnsi="Times New Roman"/>
          <w:i/>
          <w:iCs/>
          <w:u w:val="single"/>
          <w:lang w:val="lt-LT" w:eastAsia="lt-LT"/>
        </w:rPr>
        <w:t>Senyvi žmonės</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Būtina atidžiai sekti pagyvenusius pacientus. Jiems, ypač silpniems ir mažai sveriantiems, rekomenduojama vartoti mažiausią efektyvią preparato dozę.</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Retai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kaip ir kiti NVNU gali sukelti alerginę reakciją, įskaitant anafilaksinę arba </w:t>
      </w:r>
      <w:proofErr w:type="spellStart"/>
      <w:r w:rsidRPr="00660C98">
        <w:rPr>
          <w:rFonts w:ascii="Times New Roman" w:eastAsia="Times New Roman" w:hAnsi="Times New Roman"/>
          <w:lang w:val="lt-LT"/>
        </w:rPr>
        <w:t>anafilaktoidinę</w:t>
      </w:r>
      <w:proofErr w:type="spellEnd"/>
      <w:r w:rsidRPr="00660C98">
        <w:rPr>
          <w:rFonts w:ascii="Times New Roman" w:eastAsia="Times New Roman" w:hAnsi="Times New Roman"/>
          <w:lang w:val="lt-LT"/>
        </w:rPr>
        <w:t xml:space="preserve"> reakciją, net tiems žmonėms, kurie anksčiau jo nevartojo. </w:t>
      </w:r>
    </w:p>
    <w:p w:rsidR="00E216D7" w:rsidRPr="00660C98" w:rsidRDefault="00E216D7"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Vartojant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kaip ir kitokių NVNU, dėl jų </w:t>
      </w:r>
      <w:proofErr w:type="spellStart"/>
      <w:r w:rsidRPr="00660C98">
        <w:rPr>
          <w:rFonts w:ascii="Times New Roman" w:eastAsia="Times New Roman" w:hAnsi="Times New Roman"/>
          <w:lang w:val="lt-LT"/>
        </w:rPr>
        <w:t>farmakodinaminių</w:t>
      </w:r>
      <w:proofErr w:type="spellEnd"/>
      <w:r w:rsidRPr="00660C98">
        <w:rPr>
          <w:rFonts w:ascii="Times New Roman" w:eastAsia="Times New Roman" w:hAnsi="Times New Roman"/>
          <w:lang w:val="lt-LT"/>
        </w:rPr>
        <w:t xml:space="preserve"> savybių gali būti nepastebimi infekcinės ligos požymiai.</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i/>
          <w:iCs/>
          <w:u w:val="single"/>
          <w:lang w:val="lt-LT"/>
        </w:rPr>
      </w:pPr>
      <w:r w:rsidRPr="00660C98">
        <w:rPr>
          <w:rFonts w:ascii="Times New Roman" w:eastAsia="Times New Roman" w:hAnsi="Times New Roman"/>
          <w:i/>
          <w:iCs/>
          <w:u w:val="single"/>
          <w:lang w:val="lt-LT"/>
        </w:rPr>
        <w:t xml:space="preserve">Mažų </w:t>
      </w:r>
      <w:proofErr w:type="spellStart"/>
      <w:r w:rsidRPr="00660C98">
        <w:rPr>
          <w:rFonts w:ascii="Times New Roman" w:eastAsia="Times New Roman" w:hAnsi="Times New Roman"/>
          <w:i/>
          <w:iCs/>
          <w:u w:val="single"/>
          <w:lang w:val="lt-LT"/>
        </w:rPr>
        <w:t>diklofenako</w:t>
      </w:r>
      <w:proofErr w:type="spellEnd"/>
      <w:r w:rsidRPr="00660C98">
        <w:rPr>
          <w:rFonts w:ascii="Times New Roman" w:eastAsia="Times New Roman" w:hAnsi="Times New Roman"/>
          <w:i/>
          <w:iCs/>
          <w:u w:val="single"/>
          <w:lang w:val="lt-LT"/>
        </w:rPr>
        <w:t xml:space="preserve"> dozių vartojimas trumpą laiką galvos skausmo malšinimui</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Ilgalaikis bet kokių skausmą malšinančių vaistų vartojimas galvos skausmo malšinimui, būklę gali dar labiau pabloginti. Jeigu dėl vaisto vartojimo būklė pablogėja arba įtariama, kad taip gali atsitikti, reikia kreiptis į gydytoją ir gydymą nutraukti. Medikamentų perdozavimo sukeltas galvos skausmas – MPGS – tai diagnozė, kurią reikėtų apsvarstyti pacientams, besiskundžiantiems dažnais ar kasdieniais galvos skausmais, nepaisant (ar dėl) vaistų nuo galvos skausmo vartojimo.</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sudėtyje yra sacharozės. Šio vaisto nerekomenduojama vartoti pacientams, kuriems nustatytas retas paveldimas sutrikimas – fruktozės netoleravimas, gliukozės ir </w:t>
      </w:r>
      <w:proofErr w:type="spellStart"/>
      <w:r w:rsidRPr="00660C98">
        <w:rPr>
          <w:rFonts w:ascii="Times New Roman" w:eastAsia="Times New Roman" w:hAnsi="Times New Roman"/>
          <w:lang w:val="lt-LT"/>
        </w:rPr>
        <w:t>galaktozės</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malabsorbcija</w:t>
      </w:r>
      <w:proofErr w:type="spellEnd"/>
      <w:r w:rsidRPr="00660C98">
        <w:rPr>
          <w:rFonts w:ascii="Times New Roman" w:eastAsia="Times New Roman" w:hAnsi="Times New Roman"/>
          <w:lang w:val="lt-LT"/>
        </w:rPr>
        <w:t xml:space="preserve"> arba sacharozės ir </w:t>
      </w:r>
      <w:proofErr w:type="spellStart"/>
      <w:r w:rsidRPr="00660C98">
        <w:rPr>
          <w:rFonts w:ascii="Times New Roman" w:eastAsia="Times New Roman" w:hAnsi="Times New Roman"/>
          <w:lang w:val="lt-LT"/>
        </w:rPr>
        <w:t>izomaltazės</w:t>
      </w:r>
      <w:proofErr w:type="spellEnd"/>
      <w:r w:rsidRPr="00660C98">
        <w:rPr>
          <w:rFonts w:ascii="Times New Roman" w:eastAsia="Times New Roman" w:hAnsi="Times New Roman"/>
          <w:lang w:val="lt-LT"/>
        </w:rPr>
        <w:t xml:space="preserve"> stygius.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Virškinimo trakto reiškiniai</w:t>
      </w:r>
    </w:p>
    <w:p w:rsidR="00660C98" w:rsidRPr="00660C98" w:rsidRDefault="00660C98" w:rsidP="00660C98">
      <w:pPr>
        <w:tabs>
          <w:tab w:val="left" w:pos="567"/>
        </w:tabs>
        <w:spacing w:after="0" w:line="240" w:lineRule="auto"/>
        <w:rPr>
          <w:rFonts w:ascii="Times New Roman" w:eastAsia="Times New Roman" w:hAnsi="Times New Roman"/>
          <w:lang w:val="lt-LT" w:eastAsia="lt-LT"/>
        </w:rPr>
      </w:pPr>
      <w:r w:rsidRPr="00660C98">
        <w:rPr>
          <w:rFonts w:ascii="Times New Roman" w:eastAsia="Times New Roman" w:hAnsi="Times New Roman"/>
          <w:lang w:val="lt-LT" w:eastAsia="lt-LT"/>
        </w:rPr>
        <w:t xml:space="preserve">Pranešama, kad vartojant bet kokių NVNU, įskaitant </w:t>
      </w:r>
      <w:proofErr w:type="spellStart"/>
      <w:r w:rsidRPr="00660C98">
        <w:rPr>
          <w:rFonts w:ascii="Times New Roman" w:eastAsia="Times New Roman" w:hAnsi="Times New Roman"/>
          <w:lang w:val="lt-LT" w:eastAsia="lt-LT"/>
        </w:rPr>
        <w:t>diklofenaką</w:t>
      </w:r>
      <w:proofErr w:type="spellEnd"/>
      <w:r w:rsidRPr="00660C98">
        <w:rPr>
          <w:rFonts w:ascii="Times New Roman" w:eastAsia="Times New Roman" w:hAnsi="Times New Roman"/>
          <w:lang w:val="lt-LT" w:eastAsia="lt-LT"/>
        </w:rPr>
        <w:t xml:space="preserve">, bet kuriuo metu gali prasidėti kraujavimas į virškinimo traktą, atsirasti opa arba perforacija ir šie reiškiniai gali būti mirtini. Taip gali atsitikti, pasireiškus įspėjamiesiems simptomams arba be jų arba net anksčiau nesirgus virškinimo trakto liga. Paprastai pagyvenusiems žmonėms tokios komplikacijos padariniai yra daug sunkesni. Jei, vartojant </w:t>
      </w:r>
      <w:proofErr w:type="spellStart"/>
      <w:r w:rsidRPr="00660C98">
        <w:rPr>
          <w:rFonts w:ascii="Times New Roman" w:eastAsia="Times New Roman" w:hAnsi="Times New Roman"/>
          <w:lang w:val="lt-LT" w:eastAsia="lt-LT"/>
        </w:rPr>
        <w:t>Cataflam</w:t>
      </w:r>
      <w:proofErr w:type="spellEnd"/>
      <w:r w:rsidRPr="00660C98">
        <w:rPr>
          <w:rFonts w:ascii="Times New Roman" w:eastAsia="Times New Roman" w:hAnsi="Times New Roman"/>
          <w:lang w:val="lt-LT" w:eastAsia="lt-LT"/>
        </w:rPr>
        <w:t xml:space="preserve">, prasideda kraujavimas į virškinimo traktą arba jame atsiranda opų, preparato vartojimą būtina nedelsiant nutraukti. </w:t>
      </w: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p>
    <w:p w:rsid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kaip ir visus 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xml:space="preserve">, vartojančius pacientus, kuriems yra virškinimo trakto sutrikimo simptomų arba </w:t>
      </w:r>
      <w:proofErr w:type="spellStart"/>
      <w:r w:rsidRPr="00660C98">
        <w:rPr>
          <w:rFonts w:ascii="Times New Roman" w:eastAsia="Times New Roman" w:hAnsi="Times New Roman"/>
          <w:lang w:val="lt-LT"/>
        </w:rPr>
        <w:t>anamnezėje</w:t>
      </w:r>
      <w:proofErr w:type="spellEnd"/>
      <w:r w:rsidRPr="00660C98">
        <w:rPr>
          <w:rFonts w:ascii="Times New Roman" w:eastAsia="Times New Roman" w:hAnsi="Times New Roman"/>
          <w:lang w:val="lt-LT"/>
        </w:rPr>
        <w:t xml:space="preserve"> buvę skrandžio ar žarnyno opaligė, kraujavimas arba perforacija (žr. 4.8</w:t>
      </w:r>
      <w:r w:rsidR="00E66E50">
        <w:rPr>
          <w:rFonts w:ascii="Times New Roman" w:eastAsia="Times New Roman" w:hAnsi="Times New Roman"/>
          <w:lang w:val="lt-LT"/>
        </w:rPr>
        <w:t> </w:t>
      </w:r>
      <w:r w:rsidRPr="00660C98">
        <w:rPr>
          <w:rFonts w:ascii="Times New Roman" w:eastAsia="Times New Roman" w:hAnsi="Times New Roman"/>
          <w:lang w:val="lt-LT"/>
        </w:rPr>
        <w:t>skyrių), būtina atidžiai sekti ir kreipti į juos ypatingą dėmesį. Virškinamojo trakto kraujavimo tikimybė yra didesnė, vartojant didesnes NVNU dozes pacientams, sirgusiems virškinamojo trakto opalige, ypač komplikuota kraujavimu ar perforacija. Vyresnio amžiaus pacientams išauga nepageidaujamų reakcijų dažnis į NVNU preparatus, ypač kraujavimas į virškinamąjį traktą ir perforacija, kuri gali būti mirtina.</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Pacientams, sirgusiems virškinamojo trakto opalige, ypač komplikuota kraujavimu ar perforacija bei vyresnio amžiaus žmonėms gydymas turi būti pradėtas ir tęsiamas mažiausia efektyviausia doze. </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Tokiems pacientams bei pacientams, kuriems skiriami preparatai su mažomis </w:t>
      </w:r>
      <w:proofErr w:type="spellStart"/>
      <w:r w:rsidRPr="00660C98">
        <w:rPr>
          <w:rFonts w:ascii="Times New Roman" w:eastAsia="Times New Roman" w:hAnsi="Times New Roman"/>
          <w:lang w:val="lt-LT"/>
        </w:rPr>
        <w:t>acetilsalicilo</w:t>
      </w:r>
      <w:proofErr w:type="spellEnd"/>
      <w:r w:rsidRPr="00660C98">
        <w:rPr>
          <w:rFonts w:ascii="Times New Roman" w:eastAsia="Times New Roman" w:hAnsi="Times New Roman"/>
          <w:lang w:val="lt-LT"/>
        </w:rPr>
        <w:t xml:space="preserve"> rūgšties dozėmis ar kiti vaistai, galintys sukelti pavojų virškinimo traktui, turi būti svarstoma dėl papildomo apsaugančių preparatų vartojimo (pvz., </w:t>
      </w:r>
      <w:proofErr w:type="spellStart"/>
      <w:r w:rsidRPr="00660C98">
        <w:rPr>
          <w:rFonts w:ascii="Times New Roman" w:eastAsia="Times New Roman" w:hAnsi="Times New Roman"/>
          <w:lang w:val="lt-LT"/>
        </w:rPr>
        <w:t>mizoprostolio</w:t>
      </w:r>
      <w:proofErr w:type="spellEnd"/>
      <w:r w:rsidRPr="00660C98">
        <w:rPr>
          <w:rFonts w:ascii="Times New Roman" w:eastAsia="Times New Roman" w:hAnsi="Times New Roman"/>
          <w:lang w:val="lt-LT"/>
        </w:rPr>
        <w:t xml:space="preserve"> ar protonų siurblio inhibitorių).</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Pacientai, ypač vyresnio amžiaus, sirgę virškinamojo trakto sutrikimais, turi pranešti gydytojui apie bet kokius neįprastus virškinamojo trakto simptomus (ypač virškinamojo trakto kraujavimą). </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lastRenderedPageBreak/>
        <w:t xml:space="preserve">Pacientus, kartu vartojančius preparatų, galinčių padidinti virškinamojo trakto opaligės ar kraujavimo tikimybę, pvz., geriamųjų kortikosteroidų, antikoaguliantų, trombocitų </w:t>
      </w:r>
      <w:proofErr w:type="spellStart"/>
      <w:r w:rsidRPr="00660C98">
        <w:rPr>
          <w:rFonts w:ascii="Times New Roman" w:eastAsia="Times New Roman" w:hAnsi="Times New Roman"/>
          <w:lang w:val="lt-LT"/>
        </w:rPr>
        <w:t>agregaciją</w:t>
      </w:r>
      <w:proofErr w:type="spellEnd"/>
      <w:r w:rsidRPr="00660C98">
        <w:rPr>
          <w:rFonts w:ascii="Times New Roman" w:eastAsia="Times New Roman" w:hAnsi="Times New Roman"/>
          <w:lang w:val="lt-LT"/>
        </w:rPr>
        <w:t xml:space="preserve"> slopinančių vaistų arba selektyvių </w:t>
      </w:r>
      <w:proofErr w:type="spellStart"/>
      <w:r w:rsidRPr="00660C98">
        <w:rPr>
          <w:rFonts w:ascii="Times New Roman" w:eastAsia="Times New Roman" w:hAnsi="Times New Roman"/>
          <w:lang w:val="lt-LT"/>
        </w:rPr>
        <w:t>serotonino</w:t>
      </w:r>
      <w:proofErr w:type="spellEnd"/>
      <w:r w:rsidRPr="00660C98">
        <w:rPr>
          <w:rFonts w:ascii="Times New Roman" w:eastAsia="Times New Roman" w:hAnsi="Times New Roman"/>
          <w:lang w:val="lt-LT"/>
        </w:rPr>
        <w:t xml:space="preserve"> reabsorbcijos inhibitorių, būtina atidžiai stebėti (žr. 4.5 skyrių).</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C10856">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pacientui, vartojančiam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atsiranda opa ar kraujavimas iš virškinimo trakto, gydymas turi būti nutrauktas.</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Pacientus, sergančius opiniu kolitu arba Krono liga, būtina atidžiai sekti ir kreipti į juos ypatingą d</w:t>
      </w:r>
      <w:r w:rsidR="0003477F">
        <w:rPr>
          <w:rFonts w:ascii="Times New Roman" w:eastAsia="Times New Roman" w:hAnsi="Times New Roman"/>
          <w:lang w:val="lt-LT"/>
        </w:rPr>
        <w:t>ė</w:t>
      </w:r>
      <w:r w:rsidRPr="00660C98">
        <w:rPr>
          <w:rFonts w:ascii="Times New Roman" w:eastAsia="Times New Roman" w:hAnsi="Times New Roman"/>
          <w:lang w:val="lt-LT"/>
        </w:rPr>
        <w:t>m</w:t>
      </w:r>
      <w:r w:rsidR="0003477F">
        <w:rPr>
          <w:rFonts w:ascii="Times New Roman" w:eastAsia="Times New Roman" w:hAnsi="Times New Roman"/>
          <w:lang w:val="lt-LT"/>
        </w:rPr>
        <w:t>e</w:t>
      </w:r>
      <w:r w:rsidRPr="00660C98">
        <w:rPr>
          <w:rFonts w:ascii="Times New Roman" w:eastAsia="Times New Roman" w:hAnsi="Times New Roman"/>
          <w:lang w:val="lt-LT"/>
        </w:rPr>
        <w:t>sį, nes jų būklė gali paūmėti (žr. 4.8 skyrių).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Širdies ir kraujagyslių reiškiniai</w:t>
      </w:r>
    </w:p>
    <w:p w:rsidR="00660C98" w:rsidRPr="00660C98" w:rsidRDefault="00660C98" w:rsidP="00660C98">
      <w:pPr>
        <w:spacing w:after="0" w:line="240" w:lineRule="auto"/>
        <w:rPr>
          <w:rFonts w:ascii="Times New Roman" w:eastAsia="Times New Roman" w:hAnsi="Times New Roman"/>
          <w:strike/>
          <w:lang w:val="lt-LT"/>
        </w:rPr>
      </w:pPr>
      <w:r w:rsidRPr="00660C98">
        <w:rPr>
          <w:rFonts w:ascii="Times New Roman" w:eastAsia="Times New Roman" w:hAnsi="Times New Roman"/>
          <w:lang w:val="lt-LT"/>
        </w:rPr>
        <w:t xml:space="preserve">Klinikiniai tyrimai ir epidemiologiniai duomenys patvirtina, kad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vartojimas, ypač didelėmis dozėmis (150 mg per parą) ir ilgą laiką, gali būti susijęs su nedideliu arterijų trombozės reiškinių (pvz., miokardo infarkto arba insulto) rizikos padidėjimu. </w:t>
      </w:r>
    </w:p>
    <w:p w:rsidR="00660C98" w:rsidRPr="00660C98" w:rsidRDefault="00660C98" w:rsidP="00660C98">
      <w:pPr>
        <w:autoSpaceDE w:val="0"/>
        <w:autoSpaceDN w:val="0"/>
        <w:adjustRightInd w:val="0"/>
        <w:spacing w:after="0" w:line="240" w:lineRule="auto"/>
        <w:rPr>
          <w:rFonts w:ascii="Times New Roman" w:hAnsi="Times New Roman"/>
          <w:color w:val="000000"/>
          <w:lang w:val="lt-LT"/>
        </w:rPr>
      </w:pPr>
      <w:r w:rsidRPr="00660C98">
        <w:rPr>
          <w:rFonts w:ascii="Times New Roman" w:hAnsi="Times New Roman"/>
          <w:color w:val="000000"/>
          <w:lang w:val="lt-LT"/>
        </w:rPr>
        <w:t xml:space="preserve">Pacientams, kuriems yra reikšmingų širdies ir kraujagyslių sutrikimų pasireiškimo rizikos veiksnių (pvz., hipertenzija, </w:t>
      </w:r>
      <w:proofErr w:type="spellStart"/>
      <w:r w:rsidRPr="00660C98">
        <w:rPr>
          <w:rFonts w:ascii="Times New Roman" w:hAnsi="Times New Roman"/>
          <w:color w:val="000000"/>
          <w:lang w:val="lt-LT"/>
        </w:rPr>
        <w:t>hiperlipidemija</w:t>
      </w:r>
      <w:proofErr w:type="spellEnd"/>
      <w:r w:rsidRPr="00660C98">
        <w:rPr>
          <w:rFonts w:ascii="Times New Roman" w:hAnsi="Times New Roman"/>
          <w:color w:val="000000"/>
          <w:lang w:val="lt-LT"/>
        </w:rPr>
        <w:t xml:space="preserve">, cukrinis diabetas, rūkymas), </w:t>
      </w:r>
      <w:proofErr w:type="spellStart"/>
      <w:r w:rsidRPr="00660C98">
        <w:rPr>
          <w:rFonts w:ascii="Times New Roman" w:hAnsi="Times New Roman"/>
          <w:color w:val="000000"/>
          <w:lang w:val="lt-LT"/>
        </w:rPr>
        <w:t>diklofenako</w:t>
      </w:r>
      <w:proofErr w:type="spellEnd"/>
      <w:r w:rsidRPr="00660C98">
        <w:rPr>
          <w:rFonts w:ascii="Times New Roman" w:hAnsi="Times New Roman"/>
          <w:color w:val="000000"/>
          <w:lang w:val="lt-LT"/>
        </w:rPr>
        <w:t xml:space="preserve"> galima skirti tik prieš tai atidžiai apsvarsčius. </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Kadangi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rsidR="00660C98" w:rsidRPr="00660C98" w:rsidRDefault="00660C98" w:rsidP="00660C98">
      <w:pPr>
        <w:spacing w:after="0" w:line="240" w:lineRule="auto"/>
        <w:rPr>
          <w:rFonts w:ascii="Times New Roman" w:eastAsia="Times New Roman" w:hAnsi="Times New Roman"/>
          <w:color w:val="222222"/>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color w:val="222222"/>
          <w:lang w:val="lt-LT"/>
        </w:rPr>
        <w:t>Pacientai turi būti perspėti apie sunkių arterijų trombozės reiškinių požymius ir simptomus (pvz., krūtinės skausmas, dusulys, silpnumas, neaiški kalba), kurie gali atsirasti netikėtai. Pacientai turi būti įspėti, kad nedelsiant kreiptųsi į gydytoją, pasireiškus bet kuriam iš šių reiškinių.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Kepenų, tulžies pūslės ir latakų sistemos reiškiniai</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Pacientus, kurių kepenų funkcija sutrikusi, vartojančius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būtina atidžiai stebėti, nes jų būklė gali paūmėti. </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kaip ir kiti 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xml:space="preserve">, sukelia vienos arba kelių kepenų fermentų rūšių aktyvumo padidėjimą. Ilgai vartojant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reikia laikytis atsargumo priemonių (reguliariai sekti kepenų funkcijos rodmenis). Jei kepenų funkcijos rodmenys yra nukrypę nuo normos, jie nesunormalėja arba dar sunkėja, klinikiniai simptomai rodo, kad kepenų liga sunkėja, atsiranda kitokių pokyčių (pvz., </w:t>
      </w:r>
      <w:proofErr w:type="spellStart"/>
      <w:r w:rsidRPr="00660C98">
        <w:rPr>
          <w:rFonts w:ascii="Times New Roman" w:eastAsia="Times New Roman" w:hAnsi="Times New Roman"/>
          <w:lang w:val="lt-LT"/>
        </w:rPr>
        <w:t>eozinofilija</w:t>
      </w:r>
      <w:proofErr w:type="spellEnd"/>
      <w:r w:rsidRPr="00660C98">
        <w:rPr>
          <w:rFonts w:ascii="Times New Roman" w:eastAsia="Times New Roman" w:hAnsi="Times New Roman"/>
          <w:lang w:val="lt-LT"/>
        </w:rPr>
        <w:t xml:space="preserve">, odos išbėrimas),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vartojimą būtina nutraukti. Hepatitas gali pasireikšti ir neatsiradus </w:t>
      </w:r>
      <w:proofErr w:type="spellStart"/>
      <w:r w:rsidRPr="00660C98">
        <w:rPr>
          <w:rFonts w:ascii="Times New Roman" w:eastAsia="Times New Roman" w:hAnsi="Times New Roman"/>
          <w:lang w:val="lt-LT"/>
        </w:rPr>
        <w:t>prodromui</w:t>
      </w:r>
      <w:proofErr w:type="spellEnd"/>
      <w:r w:rsidRPr="00660C98">
        <w:rPr>
          <w:rFonts w:ascii="Times New Roman" w:eastAsia="Times New Roman" w:hAnsi="Times New Roman"/>
          <w:lang w:val="lt-LT"/>
        </w:rPr>
        <w:t xml:space="preserve">. </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Žmonėms, sergantiems </w:t>
      </w:r>
      <w:proofErr w:type="spellStart"/>
      <w:r w:rsidRPr="00660C98">
        <w:rPr>
          <w:rFonts w:ascii="Times New Roman" w:eastAsia="Times New Roman" w:hAnsi="Times New Roman"/>
          <w:lang w:val="lt-LT"/>
        </w:rPr>
        <w:t>hepatine</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porfirija</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vartoti reikia atsargiai, kadangi jis gali sukelti </w:t>
      </w:r>
      <w:proofErr w:type="spellStart"/>
      <w:r w:rsidRPr="00660C98">
        <w:rPr>
          <w:rFonts w:ascii="Times New Roman" w:eastAsia="Times New Roman" w:hAnsi="Times New Roman"/>
          <w:lang w:val="lt-LT"/>
        </w:rPr>
        <w:t>porfirijos</w:t>
      </w:r>
      <w:proofErr w:type="spellEnd"/>
      <w:r w:rsidRPr="00660C98">
        <w:rPr>
          <w:rFonts w:ascii="Times New Roman" w:eastAsia="Times New Roman" w:hAnsi="Times New Roman"/>
          <w:lang w:val="lt-LT"/>
        </w:rPr>
        <w:t xml:space="preserve"> priepuolį.</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Inkstų sistemos reiškiniai</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Vartojant 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pasireiškia skysčių susilaikymas organizme ir edema.</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Ypač atsargiai vaisto turi vartoti pacientai, kurių inkstų arba širdies funkcija yra sutrikusi, sergantys hipertenzija, pagyvenę bei diuretikų arba kitų vaistų, kurie gali ženkliai įtakoti inkstų funkciją, vartojantys žmonės ir tie ligoniai, kuriems dėl įvairių priežasčių, pvz., prieš didelę operaciją ar po jos yra labai sumažėjęs tarpląstelinio skysčio tūris, kadangi yra pranešta apie skysčių susilaikymą ir edemą, susijusius su 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vartojimu (žr. 4.3</w:t>
      </w:r>
      <w:r w:rsidR="00E66E50">
        <w:rPr>
          <w:rFonts w:ascii="Times New Roman" w:eastAsia="Times New Roman" w:hAnsi="Times New Roman"/>
          <w:lang w:val="lt-LT"/>
        </w:rPr>
        <w:t> </w:t>
      </w:r>
      <w:r w:rsidRPr="00660C98">
        <w:rPr>
          <w:rFonts w:ascii="Times New Roman" w:eastAsia="Times New Roman" w:hAnsi="Times New Roman"/>
          <w:lang w:val="lt-LT"/>
        </w:rPr>
        <w:t xml:space="preserve">skyrių „Kontraindikacijos“). Jei tokiais atvejais pacientas vartoja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rekomenduojama nuolat sekti inkstų funkciją. Paprastai, nutraukus gydymą inkstų funkcija sunormalėja.</w:t>
      </w:r>
    </w:p>
    <w:p w:rsidR="00660C98" w:rsidRPr="00660C98" w:rsidRDefault="00660C98" w:rsidP="00660C98">
      <w:pPr>
        <w:tabs>
          <w:tab w:val="left" w:pos="567"/>
        </w:tabs>
        <w:spacing w:after="0" w:line="240" w:lineRule="auto"/>
        <w:rPr>
          <w:rFonts w:ascii="Times New Roman" w:eastAsia="Times New Roman" w:hAnsi="Times New Roman"/>
          <w:i/>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Odos reiškiniai</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Yra pranešta apie labai retas su NVNU, tame tarpe ir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vartojimu susijusias sunkias odos reakcijas, kai kurios iš jų mirtinos, įskaitant </w:t>
      </w:r>
      <w:proofErr w:type="spellStart"/>
      <w:r w:rsidRPr="00660C98">
        <w:rPr>
          <w:rFonts w:ascii="Times New Roman" w:eastAsia="Times New Roman" w:hAnsi="Times New Roman"/>
          <w:lang w:val="lt-LT"/>
        </w:rPr>
        <w:t>eksfoliacinį</w:t>
      </w:r>
      <w:proofErr w:type="spellEnd"/>
      <w:r w:rsidRPr="00660C98">
        <w:rPr>
          <w:rFonts w:ascii="Times New Roman" w:eastAsia="Times New Roman" w:hAnsi="Times New Roman"/>
          <w:lang w:val="lt-LT"/>
        </w:rPr>
        <w:t xml:space="preserve"> dermatitą, </w:t>
      </w:r>
      <w:proofErr w:type="spellStart"/>
      <w:r w:rsidRPr="00660C98">
        <w:rPr>
          <w:rFonts w:ascii="Times New Roman" w:eastAsia="Times New Roman" w:hAnsi="Times New Roman"/>
          <w:i/>
          <w:lang w:val="lt-LT"/>
        </w:rPr>
        <w:t>Stevens-Johnson</w:t>
      </w:r>
      <w:proofErr w:type="spellEnd"/>
      <w:r w:rsidRPr="00660C98">
        <w:rPr>
          <w:rFonts w:ascii="Times New Roman" w:eastAsia="Times New Roman" w:hAnsi="Times New Roman"/>
          <w:lang w:val="lt-LT"/>
        </w:rPr>
        <w:t xml:space="preserve"> sindromą ir toksinę epidermio </w:t>
      </w:r>
      <w:proofErr w:type="spellStart"/>
      <w:r w:rsidRPr="00660C98">
        <w:rPr>
          <w:rFonts w:ascii="Times New Roman" w:eastAsia="Times New Roman" w:hAnsi="Times New Roman"/>
          <w:lang w:val="lt-LT"/>
        </w:rPr>
        <w:t>nekrolizę</w:t>
      </w:r>
      <w:proofErr w:type="spellEnd"/>
      <w:r w:rsidRPr="00660C98">
        <w:rPr>
          <w:rFonts w:ascii="Times New Roman" w:eastAsia="Times New Roman" w:hAnsi="Times New Roman"/>
          <w:lang w:val="lt-LT"/>
        </w:rPr>
        <w:t xml:space="preserve"> (žr. 4.8 skyrių). Didžiausia šių reakcijų rizika pacientams yra ankstyvuoju gydymo laikotarpiu, daugiausia atvejų pirmąjį gydymo mėnesį. Pastebėjus odos bėrimą, gleivinės pažeidimus ar bet kurį kitą padidėjusio jautrumo požymių,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vartojimą reikia nutraukti.</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hAnsi="Times New Roman"/>
          <w:color w:val="222222"/>
          <w:lang w:val="lt-LT"/>
        </w:rPr>
      </w:pPr>
      <w:r w:rsidRPr="00660C98">
        <w:rPr>
          <w:rFonts w:ascii="Times New Roman" w:hAnsi="Times New Roman"/>
          <w:color w:val="222222"/>
          <w:lang w:val="lt-LT"/>
        </w:rPr>
        <w:lastRenderedPageBreak/>
        <w:t>Kaip ir vartojant kitus</w:t>
      </w:r>
      <w:r w:rsidRPr="00660C98">
        <w:rPr>
          <w:rFonts w:ascii="Times New Roman" w:eastAsia="Times New Roman" w:hAnsi="Times New Roman"/>
          <w:color w:val="222222"/>
          <w:lang w:val="lt-LT"/>
        </w:rPr>
        <w:t xml:space="preserve"> </w:t>
      </w:r>
      <w:r w:rsidRPr="00660C98">
        <w:rPr>
          <w:rFonts w:ascii="Times New Roman" w:hAnsi="Times New Roman"/>
          <w:color w:val="222222"/>
          <w:lang w:val="lt-LT"/>
        </w:rPr>
        <w:t>NVNU</w:t>
      </w:r>
      <w:r w:rsidRPr="00660C98">
        <w:rPr>
          <w:rFonts w:ascii="Times New Roman" w:eastAsia="Times New Roman" w:hAnsi="Times New Roman"/>
          <w:color w:val="222222"/>
          <w:lang w:val="lt-LT"/>
        </w:rPr>
        <w:t xml:space="preserve">, taip ir vartojant </w:t>
      </w:r>
      <w:proofErr w:type="spellStart"/>
      <w:r w:rsidRPr="00660C98">
        <w:rPr>
          <w:rFonts w:ascii="Times New Roman" w:eastAsia="Times New Roman" w:hAnsi="Times New Roman"/>
          <w:color w:val="222222"/>
          <w:lang w:val="lt-LT"/>
        </w:rPr>
        <w:t>diklofenako</w:t>
      </w:r>
      <w:proofErr w:type="spellEnd"/>
      <w:r w:rsidRPr="00660C98">
        <w:rPr>
          <w:rFonts w:ascii="Times New Roman" w:eastAsia="Times New Roman" w:hAnsi="Times New Roman"/>
          <w:color w:val="222222"/>
          <w:lang w:val="lt-LT"/>
        </w:rPr>
        <w:t xml:space="preserve">, retais atvejais gali atsirasti alerginės reakcijos, įskaitant </w:t>
      </w:r>
      <w:r w:rsidRPr="00660C98">
        <w:rPr>
          <w:rFonts w:ascii="Times New Roman" w:hAnsi="Times New Roman"/>
          <w:color w:val="222222"/>
          <w:lang w:val="lt-LT"/>
        </w:rPr>
        <w:t>anafilaksines/</w:t>
      </w:r>
      <w:proofErr w:type="spellStart"/>
      <w:r w:rsidRPr="00660C98">
        <w:rPr>
          <w:rFonts w:ascii="Times New Roman" w:hAnsi="Times New Roman"/>
          <w:color w:val="222222"/>
          <w:lang w:val="lt-LT"/>
        </w:rPr>
        <w:t>anafilaktoidines</w:t>
      </w:r>
      <w:proofErr w:type="spellEnd"/>
      <w:r w:rsidRPr="00660C98">
        <w:rPr>
          <w:rFonts w:ascii="Times New Roman" w:hAnsi="Times New Roman"/>
          <w:color w:val="222222"/>
          <w:lang w:val="lt-LT"/>
        </w:rPr>
        <w:t xml:space="preserve"> reakcijas, kurios anksčiau nebuvo pasireiškusios šiam vaistui.</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Kraujo sistemos reiškiniai</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Rekomenduojamas tik trumpalaikis gydymas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Tačiau, jei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vartojama ilgiau, rekomenduojama, kaip ir vartojant kitų NVNU, matuoti kraujo ląstelių kiekį. </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kaip ir kiti NVNU, gali laikinai slopinti trombocitų </w:t>
      </w:r>
      <w:proofErr w:type="spellStart"/>
      <w:r w:rsidRPr="00660C98">
        <w:rPr>
          <w:rFonts w:ascii="Times New Roman" w:eastAsia="Times New Roman" w:hAnsi="Times New Roman"/>
          <w:lang w:val="lt-LT"/>
        </w:rPr>
        <w:t>agregaciją</w:t>
      </w:r>
      <w:proofErr w:type="spellEnd"/>
      <w:r w:rsidRPr="00660C98">
        <w:rPr>
          <w:rFonts w:ascii="Times New Roman" w:eastAsia="Times New Roman" w:hAnsi="Times New Roman"/>
          <w:lang w:val="lt-LT"/>
        </w:rPr>
        <w:t xml:space="preserve"> todėl pacientus, kurių hemostazė sutrikusi, būtina atidžiai sekti.</w:t>
      </w: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Kvėpavimo sistemos sutrikimai (</w:t>
      </w:r>
      <w:proofErr w:type="spellStart"/>
      <w:r w:rsidRPr="00660C98">
        <w:rPr>
          <w:rFonts w:ascii="Times New Roman" w:eastAsia="Times New Roman" w:hAnsi="Times New Roman"/>
          <w:i/>
          <w:u w:val="single"/>
          <w:lang w:val="lt-LT"/>
        </w:rPr>
        <w:t>priešastminė</w:t>
      </w:r>
      <w:proofErr w:type="spellEnd"/>
      <w:r w:rsidRPr="00660C98">
        <w:rPr>
          <w:rFonts w:ascii="Times New Roman" w:eastAsia="Times New Roman" w:hAnsi="Times New Roman"/>
          <w:i/>
          <w:u w:val="single"/>
          <w:lang w:val="lt-LT"/>
        </w:rPr>
        <w:t xml:space="preserve"> būklė)</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Reakcijos į NVNU, tokios kaip astmos paūmėjimas (taip pat vadinamas analgetikų netoleravimu arba </w:t>
      </w:r>
      <w:proofErr w:type="spellStart"/>
      <w:r w:rsidRPr="00660C98">
        <w:rPr>
          <w:rFonts w:ascii="Times New Roman" w:eastAsia="Times New Roman" w:hAnsi="Times New Roman"/>
          <w:lang w:val="lt-LT"/>
        </w:rPr>
        <w:t>analgetine</w:t>
      </w:r>
      <w:proofErr w:type="spellEnd"/>
      <w:r w:rsidRPr="00660C98">
        <w:rPr>
          <w:rFonts w:ascii="Times New Roman" w:eastAsia="Times New Roman" w:hAnsi="Times New Roman"/>
          <w:lang w:val="lt-LT"/>
        </w:rPr>
        <w:t xml:space="preserve"> astma), </w:t>
      </w:r>
      <w:proofErr w:type="spellStart"/>
      <w:r w:rsidRPr="00660C98">
        <w:rPr>
          <w:rFonts w:ascii="Times New Roman" w:eastAsia="Times New Roman" w:hAnsi="Times New Roman"/>
          <w:lang w:val="lt-LT"/>
        </w:rPr>
        <w:t>Kvinkės</w:t>
      </w:r>
      <w:proofErr w:type="spellEnd"/>
      <w:r w:rsidRPr="00660C98">
        <w:rPr>
          <w:rFonts w:ascii="Times New Roman" w:eastAsia="Times New Roman" w:hAnsi="Times New Roman"/>
          <w:lang w:val="lt-LT"/>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iCs/>
          <w:lang w:val="lt-LT"/>
        </w:rPr>
      </w:pPr>
      <w:r w:rsidRPr="00660C98">
        <w:rPr>
          <w:rFonts w:ascii="Times New Roman" w:eastAsia="Times New Roman" w:hAnsi="Times New Roman"/>
          <w:i/>
          <w:iCs/>
          <w:lang w:val="lt-LT"/>
        </w:rPr>
        <w:t>SRV ir kitos jungiamojo audinio ligos</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Kadangi yra buvę keli </w:t>
      </w:r>
      <w:proofErr w:type="spellStart"/>
      <w:r w:rsidRPr="00660C98">
        <w:rPr>
          <w:rFonts w:ascii="Times New Roman" w:eastAsia="Times New Roman" w:hAnsi="Times New Roman"/>
          <w:lang w:val="lt-LT"/>
        </w:rPr>
        <w:t>aseptinio</w:t>
      </w:r>
      <w:proofErr w:type="spellEnd"/>
      <w:r w:rsidRPr="00660C98">
        <w:rPr>
          <w:rFonts w:ascii="Times New Roman" w:eastAsia="Times New Roman" w:hAnsi="Times New Roman"/>
          <w:lang w:val="lt-LT"/>
        </w:rPr>
        <w:t xml:space="preserve"> meningito atvejai, ligoniai, sergantys </w:t>
      </w:r>
      <w:proofErr w:type="spellStart"/>
      <w:r w:rsidRPr="00660C98">
        <w:rPr>
          <w:rFonts w:ascii="Times New Roman" w:eastAsia="Times New Roman" w:hAnsi="Times New Roman"/>
          <w:lang w:val="lt-LT"/>
        </w:rPr>
        <w:t>kolagenoze</w:t>
      </w:r>
      <w:proofErr w:type="spellEnd"/>
      <w:r w:rsidRPr="00660C98">
        <w:rPr>
          <w:rFonts w:ascii="Times New Roman" w:eastAsia="Times New Roman" w:hAnsi="Times New Roman"/>
          <w:lang w:val="lt-LT"/>
        </w:rPr>
        <w:t xml:space="preserve">, sistemine raudonąja vilklige,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ir kitų nesteroidinių vaistų nuo uždegimo turėtų vartoti atsargiai (žr. 4.8 skyrių).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4.5</w:t>
      </w:r>
      <w:r w:rsidRPr="00660C98">
        <w:rPr>
          <w:rFonts w:ascii="Times New Roman" w:eastAsia="Times New Roman" w:hAnsi="Times New Roman"/>
          <w:b/>
          <w:lang w:val="lt-LT"/>
        </w:rPr>
        <w:tab/>
        <w:t>Sąveika su kitais vaistiniais preparatais ir kitokia sąveika</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Toliau išvardytos sąveikos, įskaitant pastebėtas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ir(arba) kitų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formų sąveikas su kitais medikamentais.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C10856">
      <w:pPr>
        <w:spacing w:after="0" w:line="240" w:lineRule="auto"/>
        <w:rPr>
          <w:rFonts w:ascii="Times New Roman" w:eastAsia="Times New Roman" w:hAnsi="Times New Roman"/>
          <w:lang w:val="lt-LT"/>
        </w:rPr>
      </w:pPr>
      <w:r w:rsidRPr="00660C98">
        <w:rPr>
          <w:rFonts w:ascii="Times New Roman" w:eastAsia="Times New Roman" w:hAnsi="Times New Roman"/>
          <w:i/>
          <w:u w:val="single"/>
          <w:lang w:val="lt-LT"/>
        </w:rPr>
        <w:t>Pastebėta sąveika, į kurią būtina atsižvelgti</w:t>
      </w:r>
    </w:p>
    <w:p w:rsidR="00660C98" w:rsidRPr="00660C98" w:rsidRDefault="00660C98" w:rsidP="00660C98">
      <w:pPr>
        <w:spacing w:after="0" w:line="240" w:lineRule="auto"/>
        <w:rPr>
          <w:rFonts w:ascii="Times New Roman" w:hAnsi="Times New Roman"/>
          <w:lang w:val="lt-LT" w:eastAsia="x-none"/>
        </w:rPr>
      </w:pPr>
      <w:r w:rsidRPr="00660C98">
        <w:rPr>
          <w:rFonts w:ascii="Times New Roman" w:hAnsi="Times New Roman"/>
          <w:i/>
          <w:lang w:val="lt-LT" w:eastAsia="x-none"/>
        </w:rPr>
        <w:t>Stiprūs CYP2C9 inhibitoriai.</w:t>
      </w:r>
      <w:r w:rsidRPr="00660C98">
        <w:rPr>
          <w:rFonts w:ascii="Times New Roman" w:hAnsi="Times New Roman"/>
          <w:lang w:val="lt-LT" w:eastAsia="x-none"/>
        </w:rPr>
        <w:t xml:space="preserve"> </w:t>
      </w:r>
      <w:proofErr w:type="spellStart"/>
      <w:r w:rsidRPr="00660C98">
        <w:rPr>
          <w:rFonts w:ascii="Times New Roman" w:hAnsi="Times New Roman"/>
          <w:lang w:val="lt-LT" w:eastAsia="x-none"/>
        </w:rPr>
        <w:t>Diklofenako</w:t>
      </w:r>
      <w:proofErr w:type="spellEnd"/>
      <w:r w:rsidRPr="00660C98">
        <w:rPr>
          <w:rFonts w:ascii="Times New Roman" w:hAnsi="Times New Roman"/>
          <w:lang w:val="lt-LT" w:eastAsia="x-none"/>
        </w:rPr>
        <w:t xml:space="preserve"> rekomenduojama atsargiai skirti kartu su stipriais CYP2C9 </w:t>
      </w:r>
      <w:proofErr w:type="spellStart"/>
      <w:r w:rsidRPr="00660C98">
        <w:rPr>
          <w:rFonts w:ascii="Times New Roman" w:hAnsi="Times New Roman"/>
          <w:lang w:val="lt-LT" w:eastAsia="x-none"/>
        </w:rPr>
        <w:t>izofermento</w:t>
      </w:r>
      <w:proofErr w:type="spellEnd"/>
      <w:r w:rsidRPr="00660C98">
        <w:rPr>
          <w:rFonts w:ascii="Times New Roman" w:hAnsi="Times New Roman"/>
          <w:lang w:val="lt-LT" w:eastAsia="x-none"/>
        </w:rPr>
        <w:t xml:space="preserve"> inhibitoriais (pavyzdžiui, </w:t>
      </w:r>
      <w:proofErr w:type="spellStart"/>
      <w:r w:rsidRPr="00660C98">
        <w:rPr>
          <w:rFonts w:ascii="Times New Roman" w:hAnsi="Times New Roman"/>
          <w:lang w:val="lt-LT" w:eastAsia="x-none"/>
        </w:rPr>
        <w:t>vorikonazolu</w:t>
      </w:r>
      <w:proofErr w:type="spellEnd"/>
      <w:r w:rsidRPr="00660C98">
        <w:rPr>
          <w:rFonts w:ascii="Times New Roman" w:hAnsi="Times New Roman"/>
          <w:lang w:val="lt-LT" w:eastAsia="x-none"/>
        </w:rPr>
        <w:t xml:space="preserve">), kadangi dėl </w:t>
      </w:r>
      <w:proofErr w:type="spellStart"/>
      <w:r w:rsidRPr="00660C98">
        <w:rPr>
          <w:rFonts w:ascii="Times New Roman" w:hAnsi="Times New Roman"/>
          <w:lang w:val="lt-LT" w:eastAsia="x-none"/>
        </w:rPr>
        <w:t>diklofenako</w:t>
      </w:r>
      <w:proofErr w:type="spellEnd"/>
      <w:r w:rsidRPr="00660C98">
        <w:rPr>
          <w:rFonts w:ascii="Times New Roman" w:hAnsi="Times New Roman"/>
          <w:lang w:val="lt-LT" w:eastAsia="x-none"/>
        </w:rPr>
        <w:t xml:space="preserve"> metabolizmo slopinimo gali reikšmingai padidėti didžiausia </w:t>
      </w:r>
      <w:proofErr w:type="spellStart"/>
      <w:r w:rsidRPr="00660C98">
        <w:rPr>
          <w:rFonts w:ascii="Times New Roman" w:hAnsi="Times New Roman"/>
          <w:lang w:val="lt-LT" w:eastAsia="x-none"/>
        </w:rPr>
        <w:t>diklofenako</w:t>
      </w:r>
      <w:proofErr w:type="spellEnd"/>
      <w:r w:rsidRPr="00660C98">
        <w:rPr>
          <w:rFonts w:ascii="Times New Roman" w:hAnsi="Times New Roman"/>
          <w:lang w:val="lt-LT" w:eastAsia="x-none"/>
        </w:rPr>
        <w:t xml:space="preserve"> koncentracija plazmoje ir jo ekspozicija.</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i/>
          <w:lang w:val="lt-LT"/>
        </w:rPr>
        <w:t xml:space="preserve">Litis. </w:t>
      </w:r>
      <w:r w:rsidRPr="00660C98">
        <w:rPr>
          <w:rFonts w:ascii="Times New Roman" w:eastAsia="Times New Roman" w:hAnsi="Times New Roman"/>
          <w:lang w:val="lt-LT"/>
        </w:rPr>
        <w:t xml:space="preserve">Vartojant kartu,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gali didinti ličio koncentraciją kraujo plazmoje. </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Rekomenduojama matuoti ličio koncentraciją kraujo plazmoje.</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i/>
          <w:lang w:val="lt-LT"/>
        </w:rPr>
        <w:t>Dioksinas.</w:t>
      </w:r>
      <w:r w:rsidRPr="00660C98">
        <w:rPr>
          <w:rFonts w:ascii="Times New Roman" w:eastAsia="Times New Roman" w:hAnsi="Times New Roman"/>
          <w:lang w:val="lt-LT"/>
        </w:rPr>
        <w:t xml:space="preserve"> Vartojant kartu,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gali didinti </w:t>
      </w:r>
      <w:proofErr w:type="spellStart"/>
      <w:r w:rsidRPr="00660C98">
        <w:rPr>
          <w:rFonts w:ascii="Times New Roman" w:eastAsia="Times New Roman" w:hAnsi="Times New Roman"/>
          <w:lang w:val="lt-LT"/>
        </w:rPr>
        <w:t>digoksino</w:t>
      </w:r>
      <w:proofErr w:type="spellEnd"/>
      <w:r w:rsidRPr="00660C98">
        <w:rPr>
          <w:rFonts w:ascii="Times New Roman" w:eastAsia="Times New Roman" w:hAnsi="Times New Roman"/>
          <w:lang w:val="lt-LT"/>
        </w:rPr>
        <w:t xml:space="preserve"> koncentraciją kraujo plazmoje. </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Rekomenduojama matuoti </w:t>
      </w:r>
      <w:proofErr w:type="spellStart"/>
      <w:r w:rsidRPr="00660C98">
        <w:rPr>
          <w:rFonts w:ascii="Times New Roman" w:eastAsia="Times New Roman" w:hAnsi="Times New Roman"/>
          <w:lang w:val="lt-LT"/>
        </w:rPr>
        <w:t>digoksino</w:t>
      </w:r>
      <w:proofErr w:type="spellEnd"/>
      <w:r w:rsidRPr="00660C98">
        <w:rPr>
          <w:rFonts w:ascii="Times New Roman" w:eastAsia="Times New Roman" w:hAnsi="Times New Roman"/>
          <w:lang w:val="lt-LT"/>
        </w:rPr>
        <w:t xml:space="preserve"> koncentraciją kraujo plazmoje.</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i/>
          <w:lang w:val="lt-LT"/>
        </w:rPr>
        <w:t>Diuretikai ir kraujospūdį mažinantys vaistai.</w:t>
      </w:r>
      <w:r w:rsidRPr="00660C98">
        <w:rPr>
          <w:rFonts w:ascii="Times New Roman" w:eastAsia="Times New Roman" w:hAnsi="Times New Roman"/>
          <w:lang w:val="lt-LT"/>
        </w:rPr>
        <w:t xml:space="preserve"> Kartu vartojant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kaip ir kitų NVNU, su diuretikais arba </w:t>
      </w:r>
      <w:proofErr w:type="spellStart"/>
      <w:r w:rsidRPr="00660C98">
        <w:rPr>
          <w:rFonts w:ascii="Times New Roman" w:eastAsia="Times New Roman" w:hAnsi="Times New Roman"/>
          <w:lang w:val="lt-LT"/>
        </w:rPr>
        <w:t>antihipertenziniais</w:t>
      </w:r>
      <w:proofErr w:type="spellEnd"/>
      <w:r w:rsidRPr="00660C98">
        <w:rPr>
          <w:rFonts w:ascii="Times New Roman" w:eastAsia="Times New Roman" w:hAnsi="Times New Roman"/>
          <w:lang w:val="lt-LT"/>
        </w:rPr>
        <w:t xml:space="preserve"> preparatais (pvz., beta </w:t>
      </w:r>
      <w:proofErr w:type="spellStart"/>
      <w:r w:rsidRPr="00660C98">
        <w:rPr>
          <w:rFonts w:ascii="Times New Roman" w:eastAsia="Times New Roman" w:hAnsi="Times New Roman"/>
          <w:lang w:val="lt-LT"/>
        </w:rPr>
        <w:t>blokeriais</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angiotenziną</w:t>
      </w:r>
      <w:proofErr w:type="spellEnd"/>
      <w:r w:rsidRPr="00660C98">
        <w:rPr>
          <w:rFonts w:ascii="Times New Roman" w:eastAsia="Times New Roman" w:hAnsi="Times New Roman"/>
          <w:lang w:val="lt-LT"/>
        </w:rPr>
        <w:t xml:space="preserve"> konvertuojančių fermentų (ACE) inhibitoriais) gali susilpnėti jų </w:t>
      </w:r>
      <w:proofErr w:type="spellStart"/>
      <w:r w:rsidRPr="00660C98">
        <w:rPr>
          <w:rFonts w:ascii="Times New Roman" w:eastAsia="Times New Roman" w:hAnsi="Times New Roman"/>
          <w:lang w:val="lt-LT"/>
        </w:rPr>
        <w:t>antihipertenzinis</w:t>
      </w:r>
      <w:proofErr w:type="spellEnd"/>
      <w:r w:rsidRPr="00660C98">
        <w:rPr>
          <w:rFonts w:ascii="Times New Roman" w:eastAsia="Times New Roman" w:hAnsi="Times New Roman"/>
          <w:lang w:val="lt-LT"/>
        </w:rPr>
        <w:t xml:space="preserve"> poveikis. Todėl, pacientams, ypač vyresnio amžiaus, kuriems skiriamas toks gydymo derinys, būtina periodiškai matuoti kraujo spaudimą. Dėl padidėjusios inkstų pažeidimo rizikos pacientai turi vartoti pakankamai skysčių ir pradėjus gydymą ir toliau periodiškai tikrinti inkstų funkciją, ypač vartojant diuretikų ir ACE inhibitorių, </w:t>
      </w:r>
      <w:proofErr w:type="spellStart"/>
      <w:r w:rsidRPr="00660C98">
        <w:rPr>
          <w:rFonts w:ascii="Times New Roman" w:eastAsia="Times New Roman" w:hAnsi="Times New Roman"/>
          <w:lang w:val="lt-LT"/>
        </w:rPr>
        <w:t>angiotenzino</w:t>
      </w:r>
      <w:proofErr w:type="spellEnd"/>
      <w:r w:rsidRPr="00660C98">
        <w:rPr>
          <w:rFonts w:ascii="Times New Roman" w:eastAsia="Times New Roman" w:hAnsi="Times New Roman"/>
          <w:lang w:val="lt-LT"/>
        </w:rPr>
        <w:t xml:space="preserve"> II antagonistų (žr. 4.4 skyrių).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proofErr w:type="spellStart"/>
      <w:r w:rsidRPr="00660C98">
        <w:rPr>
          <w:rFonts w:ascii="Times New Roman" w:eastAsia="Times New Roman" w:hAnsi="Times New Roman"/>
          <w:i/>
          <w:lang w:val="lt-LT"/>
        </w:rPr>
        <w:t>Hiperkalemiją</w:t>
      </w:r>
      <w:proofErr w:type="spellEnd"/>
      <w:r w:rsidRPr="00660C98">
        <w:rPr>
          <w:rFonts w:ascii="Times New Roman" w:eastAsia="Times New Roman" w:hAnsi="Times New Roman"/>
          <w:i/>
          <w:lang w:val="lt-LT"/>
        </w:rPr>
        <w:t xml:space="preserve"> sukeliantys vaistiniai preparatai. </w:t>
      </w:r>
      <w:r w:rsidRPr="00660C98">
        <w:rPr>
          <w:rFonts w:ascii="Times New Roman" w:eastAsia="Times New Roman" w:hAnsi="Times New Roman"/>
          <w:lang w:val="lt-LT"/>
        </w:rPr>
        <w:t xml:space="preserve">Jei kartu su </w:t>
      </w:r>
      <w:proofErr w:type="spellStart"/>
      <w:r w:rsidRPr="00660C98">
        <w:rPr>
          <w:rFonts w:ascii="Times New Roman" w:eastAsia="Times New Roman" w:hAnsi="Times New Roman"/>
          <w:lang w:val="lt-LT"/>
        </w:rPr>
        <w:t>diklofenaku</w:t>
      </w:r>
      <w:proofErr w:type="spellEnd"/>
      <w:r w:rsidRPr="00660C98">
        <w:rPr>
          <w:rFonts w:ascii="Times New Roman" w:eastAsia="Times New Roman" w:hAnsi="Times New Roman"/>
          <w:lang w:val="lt-LT"/>
        </w:rPr>
        <w:t xml:space="preserve"> vartojama kalį organizme sulaikančių diuretikų, </w:t>
      </w:r>
      <w:proofErr w:type="spellStart"/>
      <w:r w:rsidRPr="00660C98">
        <w:rPr>
          <w:rFonts w:ascii="Times New Roman" w:eastAsia="Times New Roman" w:hAnsi="Times New Roman"/>
          <w:lang w:val="lt-LT"/>
        </w:rPr>
        <w:t>ciklosporino</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takrolimuzo</w:t>
      </w:r>
      <w:proofErr w:type="spellEnd"/>
      <w:r w:rsidRPr="00660C98">
        <w:rPr>
          <w:rFonts w:ascii="Times New Roman" w:eastAsia="Times New Roman" w:hAnsi="Times New Roman"/>
          <w:lang w:val="lt-LT"/>
        </w:rPr>
        <w:t xml:space="preserve"> ar </w:t>
      </w:r>
      <w:proofErr w:type="spellStart"/>
      <w:r w:rsidRPr="00660C98">
        <w:rPr>
          <w:rFonts w:ascii="Times New Roman" w:eastAsia="Times New Roman" w:hAnsi="Times New Roman"/>
          <w:lang w:val="lt-LT"/>
        </w:rPr>
        <w:t>trimetoprimo</w:t>
      </w:r>
      <w:proofErr w:type="spellEnd"/>
      <w:r w:rsidRPr="00660C98">
        <w:rPr>
          <w:rFonts w:ascii="Times New Roman" w:eastAsia="Times New Roman" w:hAnsi="Times New Roman"/>
          <w:lang w:val="lt-LT"/>
        </w:rPr>
        <w:t>, gali didėti kalio koncentracija serume, todėl ją reikia dažnai matuoti (žr. 4.4 skyrių).</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proofErr w:type="spellStart"/>
      <w:r w:rsidRPr="00660C98">
        <w:rPr>
          <w:rFonts w:ascii="Times New Roman" w:eastAsia="Times New Roman" w:hAnsi="Times New Roman"/>
          <w:i/>
          <w:lang w:val="lt-LT"/>
        </w:rPr>
        <w:t>Chinolonų</w:t>
      </w:r>
      <w:proofErr w:type="spellEnd"/>
      <w:r w:rsidRPr="00660C98">
        <w:rPr>
          <w:rFonts w:ascii="Times New Roman" w:eastAsia="Times New Roman" w:hAnsi="Times New Roman"/>
          <w:i/>
          <w:lang w:val="lt-LT"/>
        </w:rPr>
        <w:t xml:space="preserve"> grupės antimikrobiniai </w:t>
      </w:r>
      <w:proofErr w:type="spellStart"/>
      <w:r w:rsidRPr="00660C98">
        <w:rPr>
          <w:rFonts w:ascii="Times New Roman" w:eastAsia="Times New Roman" w:hAnsi="Times New Roman"/>
          <w:i/>
          <w:lang w:val="lt-LT"/>
        </w:rPr>
        <w:t>preparata</w:t>
      </w:r>
      <w:proofErr w:type="spellEnd"/>
      <w:r w:rsidRPr="00660C98">
        <w:rPr>
          <w:rFonts w:ascii="Times New Roman" w:eastAsia="Times New Roman" w:hAnsi="Times New Roman"/>
          <w:i/>
          <w:lang w:val="lt-LT"/>
        </w:rPr>
        <w:t>.</w:t>
      </w:r>
      <w:r w:rsidRPr="00660C98">
        <w:rPr>
          <w:rFonts w:ascii="Times New Roman" w:eastAsia="Times New Roman" w:hAnsi="Times New Roman"/>
          <w:lang w:val="lt-LT"/>
        </w:rPr>
        <w:t xml:space="preserve"> Gauta pavienių pranešimų apie traukulius, kuriuos galėjo sukelti </w:t>
      </w:r>
      <w:proofErr w:type="spellStart"/>
      <w:r w:rsidRPr="00660C98">
        <w:rPr>
          <w:rFonts w:ascii="Times New Roman" w:eastAsia="Times New Roman" w:hAnsi="Times New Roman"/>
          <w:lang w:val="lt-LT"/>
        </w:rPr>
        <w:t>chinolonų</w:t>
      </w:r>
      <w:proofErr w:type="spellEnd"/>
      <w:r w:rsidRPr="00660C98">
        <w:rPr>
          <w:rFonts w:ascii="Times New Roman" w:eastAsia="Times New Roman" w:hAnsi="Times New Roman"/>
          <w:lang w:val="lt-LT"/>
        </w:rPr>
        <w:t xml:space="preserve"> ir NVNU vartojimas vienu metu. </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Tikėtina sąveika, į kurią būtina atsižvelgti</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i/>
          <w:lang w:val="lt-LT"/>
        </w:rPr>
        <w:t>Kiti NVNU ir kortikosteroidai.</w:t>
      </w:r>
      <w:r w:rsidRPr="00660C98">
        <w:rPr>
          <w:rFonts w:ascii="Times New Roman" w:eastAsia="Times New Roman" w:hAnsi="Times New Roman"/>
          <w:lang w:val="lt-LT"/>
        </w:rPr>
        <w:t xml:space="preserve"> Kartu su </w:t>
      </w:r>
      <w:proofErr w:type="spellStart"/>
      <w:r w:rsidRPr="00660C98">
        <w:rPr>
          <w:rFonts w:ascii="Times New Roman" w:eastAsia="Times New Roman" w:hAnsi="Times New Roman"/>
          <w:lang w:val="lt-LT"/>
        </w:rPr>
        <w:t>diklofenaku</w:t>
      </w:r>
      <w:proofErr w:type="spellEnd"/>
      <w:r w:rsidRPr="00660C98">
        <w:rPr>
          <w:rFonts w:ascii="Times New Roman" w:eastAsia="Times New Roman" w:hAnsi="Times New Roman"/>
          <w:lang w:val="lt-LT"/>
        </w:rPr>
        <w:t xml:space="preserve"> vartojant kitų sisteminio poveikio NVNU arba kortikosteroidų, gali dažnėti virškinamojo trakto nepageidaujamų poveikių rizika (žr. 4.4 skyrių).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i/>
          <w:lang w:val="lt-LT"/>
        </w:rPr>
        <w:t xml:space="preserve">Antikoaguliantai ir trombocitų </w:t>
      </w:r>
      <w:proofErr w:type="spellStart"/>
      <w:r w:rsidRPr="00660C98">
        <w:rPr>
          <w:rFonts w:ascii="Times New Roman" w:eastAsia="Times New Roman" w:hAnsi="Times New Roman"/>
          <w:i/>
          <w:lang w:val="lt-LT"/>
        </w:rPr>
        <w:t>agregaciją</w:t>
      </w:r>
      <w:proofErr w:type="spellEnd"/>
      <w:r w:rsidRPr="00660C98">
        <w:rPr>
          <w:rFonts w:ascii="Times New Roman" w:eastAsia="Times New Roman" w:hAnsi="Times New Roman"/>
          <w:i/>
          <w:lang w:val="lt-LT"/>
        </w:rPr>
        <w:t xml:space="preserve"> slopinantys vaistai. </w:t>
      </w:r>
      <w:r w:rsidRPr="00660C98">
        <w:rPr>
          <w:rFonts w:ascii="Times New Roman" w:eastAsia="Times New Roman" w:hAnsi="Times New Roman"/>
          <w:lang w:val="lt-LT"/>
        </w:rPr>
        <w:t xml:space="preserve">Vartojant kartu su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padidėja virškinamojo trakto kraujavimo rizika (žr. 4.8</w:t>
      </w:r>
      <w:r w:rsidR="00E66E50">
        <w:rPr>
          <w:rFonts w:ascii="Times New Roman" w:eastAsia="Times New Roman" w:hAnsi="Times New Roman"/>
          <w:lang w:val="lt-LT"/>
        </w:rPr>
        <w:t> </w:t>
      </w:r>
      <w:r w:rsidRPr="00660C98">
        <w:rPr>
          <w:rFonts w:ascii="Times New Roman" w:eastAsia="Times New Roman" w:hAnsi="Times New Roman"/>
          <w:lang w:val="lt-LT"/>
        </w:rPr>
        <w:t xml:space="preserve">skyrių). Nors klinikinių tyrimų metu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poveikio antikoaguliantams nepastebėta, tačiau buvo pranešimų apie kraujavimo pavojaus pacientams, vartojantiems šių vaistų kartu, atsiradimą, todėl tokius pacientus rekomenduojama nuolat stebėti.</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i/>
          <w:lang w:val="lt-LT"/>
        </w:rPr>
        <w:t xml:space="preserve">Selektyvūs </w:t>
      </w:r>
      <w:proofErr w:type="spellStart"/>
      <w:r w:rsidRPr="00660C98">
        <w:rPr>
          <w:rFonts w:ascii="Times New Roman" w:eastAsia="Times New Roman" w:hAnsi="Times New Roman"/>
          <w:i/>
          <w:lang w:val="lt-LT"/>
        </w:rPr>
        <w:t>serotonino</w:t>
      </w:r>
      <w:proofErr w:type="spellEnd"/>
      <w:r w:rsidRPr="00660C98">
        <w:rPr>
          <w:rFonts w:ascii="Times New Roman" w:eastAsia="Times New Roman" w:hAnsi="Times New Roman"/>
          <w:i/>
          <w:lang w:val="lt-LT"/>
        </w:rPr>
        <w:t xml:space="preserve"> reabsorbcijos inhibitoriai.</w:t>
      </w:r>
      <w:r w:rsidRPr="00660C98">
        <w:rPr>
          <w:rFonts w:ascii="Times New Roman" w:eastAsia="Times New Roman" w:hAnsi="Times New Roman"/>
          <w:lang w:val="lt-LT"/>
        </w:rPr>
        <w:t xml:space="preserve"> Vartojant kartu su sisteminio poveikio 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padidėja virškinamojo trakto kraujavimo rizika (žr. 4.8 skyrių).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i/>
          <w:lang w:val="lt-LT"/>
        </w:rPr>
        <w:t>Vaistai nuo diabeto.</w:t>
      </w:r>
      <w:r w:rsidRPr="00660C98">
        <w:rPr>
          <w:rFonts w:ascii="Times New Roman" w:eastAsia="Times New Roman" w:hAnsi="Times New Roman"/>
          <w:lang w:val="lt-LT"/>
        </w:rPr>
        <w:t xml:space="preserve"> Klinikiniai tyrimai parodė, kad vartoti kartu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ir geriamųjų vaistinių preparatų nuo diabeto galima, nes klinikiniam poveikiui šie medikamentai įtakos nedaro. </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Vis dėlto buvo pavienių atvejų, vartojant minėtų preparatų kartu, kai pasireiškė ir hipoglikemija, ir hiperglikemija, dėl kurių prireikė koreguoti vaistų nuo diabeto dozę kartu vartojant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Dėl šios priežasties, kartu vartojant šių vaistų, rekomenduojama matuoti gliukozės koncentraciją kraujyje.</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i/>
          <w:lang w:val="lt-LT"/>
        </w:rPr>
        <w:t>Metotreksatas</w:t>
      </w:r>
      <w:proofErr w:type="spellEnd"/>
      <w:r w:rsidRPr="00660C98">
        <w:rPr>
          <w:rFonts w:ascii="Times New Roman" w:eastAsia="Times New Roman" w:hAnsi="Times New Roman"/>
          <w:i/>
          <w:lang w:val="lt-LT"/>
        </w:rPr>
        <w:t>.</w:t>
      </w:r>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gali slopinti </w:t>
      </w:r>
      <w:proofErr w:type="spellStart"/>
      <w:r w:rsidRPr="00660C98">
        <w:rPr>
          <w:rFonts w:ascii="Times New Roman" w:eastAsia="Times New Roman" w:hAnsi="Times New Roman"/>
          <w:lang w:val="lt-LT"/>
        </w:rPr>
        <w:t>metotreksato</w:t>
      </w:r>
      <w:proofErr w:type="spellEnd"/>
      <w:r w:rsidRPr="00660C98">
        <w:rPr>
          <w:rFonts w:ascii="Times New Roman" w:eastAsia="Times New Roman" w:hAnsi="Times New Roman"/>
          <w:lang w:val="lt-LT"/>
        </w:rPr>
        <w:t xml:space="preserve"> klirensą inkstuose, tokiu būdu padidindamas </w:t>
      </w:r>
      <w:proofErr w:type="spellStart"/>
      <w:r w:rsidRPr="00660C98">
        <w:rPr>
          <w:rFonts w:ascii="Times New Roman" w:eastAsia="Times New Roman" w:hAnsi="Times New Roman"/>
          <w:lang w:val="lt-LT"/>
        </w:rPr>
        <w:t>metotreksato</w:t>
      </w:r>
      <w:proofErr w:type="spellEnd"/>
      <w:r w:rsidRPr="00660C98">
        <w:rPr>
          <w:rFonts w:ascii="Times New Roman" w:eastAsia="Times New Roman" w:hAnsi="Times New Roman"/>
          <w:lang w:val="lt-LT"/>
        </w:rPr>
        <w:t xml:space="preserve"> kiekį kraujo plazmoje. Jei 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vartojama likus mažiau negu 24</w:t>
      </w:r>
      <w:r w:rsidR="00D32FD6">
        <w:rPr>
          <w:rFonts w:ascii="Times New Roman" w:eastAsia="Times New Roman" w:hAnsi="Times New Roman"/>
          <w:lang w:val="lt-LT"/>
        </w:rPr>
        <w:t> </w:t>
      </w:r>
      <w:r w:rsidRPr="00660C98">
        <w:rPr>
          <w:rFonts w:ascii="Times New Roman" w:eastAsia="Times New Roman" w:hAnsi="Times New Roman"/>
          <w:lang w:val="lt-LT"/>
        </w:rPr>
        <w:t xml:space="preserve">valandoms iki </w:t>
      </w:r>
      <w:proofErr w:type="spellStart"/>
      <w:r w:rsidRPr="00660C98">
        <w:rPr>
          <w:rFonts w:ascii="Times New Roman" w:eastAsia="Times New Roman" w:hAnsi="Times New Roman"/>
          <w:lang w:val="lt-LT"/>
        </w:rPr>
        <w:t>metotreksato</w:t>
      </w:r>
      <w:proofErr w:type="spellEnd"/>
      <w:r w:rsidRPr="00660C98">
        <w:rPr>
          <w:rFonts w:ascii="Times New Roman" w:eastAsia="Times New Roman" w:hAnsi="Times New Roman"/>
          <w:lang w:val="lt-LT"/>
        </w:rPr>
        <w:t xml:space="preserve"> vartojimo arba praėjus mažiau nei 24</w:t>
      </w:r>
      <w:r w:rsidR="00D32FD6">
        <w:rPr>
          <w:rFonts w:ascii="Times New Roman" w:eastAsia="Times New Roman" w:hAnsi="Times New Roman"/>
          <w:lang w:val="lt-LT"/>
        </w:rPr>
        <w:t> </w:t>
      </w:r>
      <w:r w:rsidRPr="00660C98">
        <w:rPr>
          <w:rFonts w:ascii="Times New Roman" w:eastAsia="Times New Roman" w:hAnsi="Times New Roman"/>
          <w:lang w:val="lt-LT"/>
        </w:rPr>
        <w:t xml:space="preserve">valandoms po jo,  rekomenduojama laikytis atsargumo priemonių, kadangi kraujyje gali padidėti </w:t>
      </w:r>
      <w:proofErr w:type="spellStart"/>
      <w:r w:rsidRPr="00660C98">
        <w:rPr>
          <w:rFonts w:ascii="Times New Roman" w:eastAsia="Times New Roman" w:hAnsi="Times New Roman"/>
          <w:lang w:val="lt-LT"/>
        </w:rPr>
        <w:t>metotreksato</w:t>
      </w:r>
      <w:proofErr w:type="spellEnd"/>
      <w:r w:rsidRPr="00660C98">
        <w:rPr>
          <w:rFonts w:ascii="Times New Roman" w:eastAsia="Times New Roman" w:hAnsi="Times New Roman"/>
          <w:lang w:val="lt-LT"/>
        </w:rPr>
        <w:t xml:space="preserve"> koncentracija ir sustiprėti toksinis jo poveikis.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i/>
          <w:lang w:val="lt-LT"/>
        </w:rPr>
        <w:t>Ciklosporinas</w:t>
      </w:r>
      <w:proofErr w:type="spellEnd"/>
      <w:r w:rsidRPr="00660C98">
        <w:rPr>
          <w:rFonts w:ascii="Times New Roman" w:eastAsia="Times New Roman" w:hAnsi="Times New Roman"/>
          <w:i/>
          <w:lang w:val="lt-LT"/>
        </w:rPr>
        <w:t>.</w:t>
      </w:r>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kaip ir kiti NVNU, gali stiprinti toksinį </w:t>
      </w:r>
      <w:proofErr w:type="spellStart"/>
      <w:r w:rsidRPr="00660C98">
        <w:rPr>
          <w:rFonts w:ascii="Times New Roman" w:eastAsia="Times New Roman" w:hAnsi="Times New Roman"/>
          <w:lang w:val="lt-LT"/>
        </w:rPr>
        <w:t>ciklosporinų</w:t>
      </w:r>
      <w:proofErr w:type="spellEnd"/>
      <w:r w:rsidRPr="00660C98">
        <w:rPr>
          <w:rFonts w:ascii="Times New Roman" w:eastAsia="Times New Roman" w:hAnsi="Times New Roman"/>
          <w:lang w:val="lt-LT"/>
        </w:rPr>
        <w:t xml:space="preserve"> poveikį inkstams dėl poveikio inkstų prostaglandinams. Todėl, jis turi būti skiriamas mažesnėmis dozėmis, negu skiriant pacientams, nevartojantiems </w:t>
      </w:r>
      <w:proofErr w:type="spellStart"/>
      <w:r w:rsidRPr="00660C98">
        <w:rPr>
          <w:rFonts w:ascii="Times New Roman" w:eastAsia="Times New Roman" w:hAnsi="Times New Roman"/>
          <w:lang w:val="lt-LT"/>
        </w:rPr>
        <w:t>ciklosporino</w:t>
      </w:r>
      <w:proofErr w:type="spellEnd"/>
      <w:r w:rsidRPr="00660C98">
        <w:rPr>
          <w:rFonts w:ascii="Times New Roman" w:eastAsia="Times New Roman" w:hAnsi="Times New Roman"/>
          <w:lang w:val="lt-LT"/>
        </w:rPr>
        <w:t>.</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i/>
          <w:lang w:val="lt-LT"/>
        </w:rPr>
        <w:t>Kolestipolis</w:t>
      </w:r>
      <w:proofErr w:type="spellEnd"/>
      <w:r w:rsidRPr="00660C98">
        <w:rPr>
          <w:rFonts w:ascii="Times New Roman" w:eastAsia="Times New Roman" w:hAnsi="Times New Roman"/>
          <w:i/>
          <w:lang w:val="lt-LT"/>
        </w:rPr>
        <w:t xml:space="preserve"> ir </w:t>
      </w:r>
      <w:proofErr w:type="spellStart"/>
      <w:r w:rsidRPr="00660C98">
        <w:rPr>
          <w:rFonts w:ascii="Times New Roman" w:eastAsia="Times New Roman" w:hAnsi="Times New Roman"/>
          <w:i/>
          <w:lang w:val="lt-LT"/>
        </w:rPr>
        <w:t>cholestiraminas</w:t>
      </w:r>
      <w:proofErr w:type="spellEnd"/>
      <w:r w:rsidRPr="00660C98">
        <w:rPr>
          <w:rFonts w:ascii="Times New Roman" w:eastAsia="Times New Roman" w:hAnsi="Times New Roman"/>
          <w:i/>
          <w:lang w:val="lt-LT"/>
        </w:rPr>
        <w:t xml:space="preserve">. </w:t>
      </w:r>
      <w:r w:rsidRPr="00660C98">
        <w:rPr>
          <w:rFonts w:ascii="Times New Roman" w:eastAsia="Times New Roman" w:hAnsi="Times New Roman"/>
          <w:lang w:val="lt-LT"/>
        </w:rPr>
        <w:t xml:space="preserve">Šie preparatai gali sulėtinti ir sumažinti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įsisavinimą. Todėl rekomenduojama vartoti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xml:space="preserve"> vieną valandą prieš ar nuo 4 iki 6 valandų po </w:t>
      </w:r>
      <w:proofErr w:type="spellStart"/>
      <w:r w:rsidRPr="00660C98">
        <w:rPr>
          <w:rFonts w:ascii="Times New Roman" w:eastAsia="Times New Roman" w:hAnsi="Times New Roman"/>
          <w:lang w:val="lt-LT"/>
        </w:rPr>
        <w:t>kolestipolio</w:t>
      </w:r>
      <w:proofErr w:type="spellEnd"/>
      <w:r w:rsidRPr="00660C98">
        <w:rPr>
          <w:rFonts w:ascii="Times New Roman" w:eastAsia="Times New Roman" w:hAnsi="Times New Roman"/>
          <w:lang w:val="lt-LT"/>
        </w:rPr>
        <w:t>/</w:t>
      </w:r>
      <w:proofErr w:type="spellStart"/>
      <w:r w:rsidRPr="00660C98">
        <w:rPr>
          <w:rFonts w:ascii="Times New Roman" w:eastAsia="Times New Roman" w:hAnsi="Times New Roman"/>
          <w:lang w:val="lt-LT"/>
        </w:rPr>
        <w:t>cholestiramino</w:t>
      </w:r>
      <w:proofErr w:type="spellEnd"/>
      <w:r w:rsidRPr="00660C98">
        <w:rPr>
          <w:rFonts w:ascii="Times New Roman" w:eastAsia="Times New Roman" w:hAnsi="Times New Roman"/>
          <w:lang w:val="lt-LT"/>
        </w:rPr>
        <w:t xml:space="preserve"> vartojimo.</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hAnsi="Times New Roman"/>
          <w:lang w:val="x-none" w:eastAsia="x-none"/>
        </w:rPr>
      </w:pPr>
      <w:proofErr w:type="spellStart"/>
      <w:r w:rsidRPr="00660C98">
        <w:rPr>
          <w:rFonts w:ascii="Times New Roman" w:hAnsi="Times New Roman"/>
          <w:i/>
          <w:lang w:val="x-none" w:eastAsia="x-none"/>
        </w:rPr>
        <w:t>Fenitoinas</w:t>
      </w:r>
      <w:proofErr w:type="spellEnd"/>
      <w:r w:rsidRPr="00660C98">
        <w:rPr>
          <w:rFonts w:ascii="Times New Roman" w:hAnsi="Times New Roman"/>
          <w:i/>
          <w:lang w:val="x-none" w:eastAsia="x-none"/>
        </w:rPr>
        <w:t>.</w:t>
      </w:r>
      <w:r w:rsidRPr="00660C98">
        <w:rPr>
          <w:rFonts w:ascii="Times New Roman" w:hAnsi="Times New Roman"/>
          <w:lang w:val="x-none" w:eastAsia="x-none"/>
        </w:rPr>
        <w:t xml:space="preserve"> </w:t>
      </w:r>
      <w:proofErr w:type="spellStart"/>
      <w:r w:rsidRPr="00660C98">
        <w:rPr>
          <w:rFonts w:ascii="Times New Roman" w:hAnsi="Times New Roman"/>
          <w:lang w:val="x-none" w:eastAsia="x-none"/>
        </w:rPr>
        <w:t>Fenitoino</w:t>
      </w:r>
      <w:proofErr w:type="spellEnd"/>
      <w:r w:rsidRPr="00660C98">
        <w:rPr>
          <w:rFonts w:ascii="Times New Roman" w:hAnsi="Times New Roman"/>
          <w:lang w:val="x-none" w:eastAsia="x-none"/>
        </w:rPr>
        <w:t xml:space="preserve"> vartojant kartu su </w:t>
      </w:r>
      <w:proofErr w:type="spellStart"/>
      <w:r w:rsidRPr="00660C98">
        <w:rPr>
          <w:rFonts w:ascii="Times New Roman" w:hAnsi="Times New Roman"/>
          <w:lang w:val="x-none" w:eastAsia="x-none"/>
        </w:rPr>
        <w:t>diklofenaku</w:t>
      </w:r>
      <w:proofErr w:type="spellEnd"/>
      <w:r w:rsidRPr="00660C98">
        <w:rPr>
          <w:rFonts w:ascii="Times New Roman" w:hAnsi="Times New Roman"/>
          <w:lang w:val="x-none" w:eastAsia="x-none"/>
        </w:rPr>
        <w:t xml:space="preserve">, rekomenduojama stebėti </w:t>
      </w:r>
      <w:proofErr w:type="spellStart"/>
      <w:r w:rsidRPr="00660C98">
        <w:rPr>
          <w:rFonts w:ascii="Times New Roman" w:hAnsi="Times New Roman"/>
          <w:lang w:val="x-none" w:eastAsia="x-none"/>
        </w:rPr>
        <w:t>fenitoino</w:t>
      </w:r>
      <w:proofErr w:type="spellEnd"/>
      <w:r w:rsidRPr="00660C98">
        <w:rPr>
          <w:rFonts w:ascii="Times New Roman" w:hAnsi="Times New Roman"/>
          <w:lang w:val="x-none" w:eastAsia="x-none"/>
        </w:rPr>
        <w:t xml:space="preserve"> koncentraciją plazmoje, kadangi tikėtina padidėjusi </w:t>
      </w:r>
      <w:proofErr w:type="spellStart"/>
      <w:r w:rsidRPr="00660C98">
        <w:rPr>
          <w:rFonts w:ascii="Times New Roman" w:hAnsi="Times New Roman"/>
          <w:lang w:val="x-none" w:eastAsia="x-none"/>
        </w:rPr>
        <w:t>fenitoino</w:t>
      </w:r>
      <w:proofErr w:type="spellEnd"/>
      <w:r w:rsidRPr="00660C98">
        <w:rPr>
          <w:rFonts w:ascii="Times New Roman" w:hAnsi="Times New Roman"/>
          <w:lang w:val="x-none" w:eastAsia="x-none"/>
        </w:rPr>
        <w:t xml:space="preserve"> ekspozicija.</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keepNext/>
        <w:keepLines/>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4.6</w:t>
      </w:r>
      <w:r w:rsidRPr="00660C98">
        <w:rPr>
          <w:rFonts w:ascii="Times New Roman" w:eastAsia="Times New Roman" w:hAnsi="Times New Roman"/>
          <w:b/>
          <w:lang w:val="lt-LT"/>
        </w:rPr>
        <w:tab/>
        <w:t>Vaisingumas,</w:t>
      </w:r>
      <w:r w:rsidRPr="00660C98" w:rsidDel="00FB15CA">
        <w:rPr>
          <w:rFonts w:ascii="Times New Roman" w:eastAsia="Times New Roman" w:hAnsi="Times New Roman"/>
          <w:b/>
          <w:lang w:val="lt-LT"/>
        </w:rPr>
        <w:t xml:space="preserve"> </w:t>
      </w:r>
      <w:r w:rsidRPr="00660C98">
        <w:rPr>
          <w:rFonts w:ascii="Times New Roman" w:eastAsia="Times New Roman" w:hAnsi="Times New Roman"/>
          <w:b/>
          <w:lang w:val="lt-LT"/>
        </w:rPr>
        <w:t>nėštumo ir žindymo laikotarpis</w:t>
      </w:r>
    </w:p>
    <w:p w:rsidR="00660C98" w:rsidRPr="00660C98" w:rsidRDefault="00660C98" w:rsidP="00660C98">
      <w:pPr>
        <w:keepNext/>
        <w:keepLines/>
        <w:tabs>
          <w:tab w:val="left" w:pos="567"/>
        </w:tabs>
        <w:spacing w:after="0" w:line="240" w:lineRule="auto"/>
        <w:rPr>
          <w:rFonts w:ascii="Times New Roman" w:eastAsia="Times New Roman" w:hAnsi="Times New Roman"/>
          <w:b/>
          <w:lang w:val="lt-LT"/>
        </w:rPr>
      </w:pPr>
    </w:p>
    <w:p w:rsidR="00660C98" w:rsidRPr="00660C98" w:rsidRDefault="00660C98" w:rsidP="00660C98">
      <w:pPr>
        <w:spacing w:after="0" w:line="240" w:lineRule="auto"/>
        <w:jc w:val="both"/>
        <w:rPr>
          <w:rFonts w:ascii="Times New Roman" w:eastAsia="Times New Roman" w:hAnsi="Times New Roman"/>
          <w:i/>
          <w:iCs/>
          <w:lang w:val="lt-LT" w:eastAsia="lt-LT"/>
        </w:rPr>
      </w:pPr>
      <w:r w:rsidRPr="00660C98">
        <w:rPr>
          <w:rFonts w:ascii="Times New Roman" w:eastAsia="Times New Roman" w:hAnsi="Times New Roman"/>
          <w:i/>
          <w:iCs/>
          <w:lang w:val="lt-LT" w:eastAsia="lt-LT"/>
        </w:rPr>
        <w:t>Vaisingo amžiaus moterys</w:t>
      </w:r>
    </w:p>
    <w:p w:rsidR="00660C98" w:rsidRPr="00660C98" w:rsidRDefault="00660C98" w:rsidP="00660C98">
      <w:pPr>
        <w:spacing w:after="0" w:line="240" w:lineRule="auto"/>
        <w:jc w:val="both"/>
        <w:rPr>
          <w:rFonts w:ascii="Times New Roman" w:eastAsia="Times New Roman" w:hAnsi="Times New Roman"/>
          <w:bCs/>
          <w:lang w:val="lt-LT" w:eastAsia="lt-LT"/>
        </w:rPr>
      </w:pPr>
      <w:r w:rsidRPr="00660C98">
        <w:rPr>
          <w:rFonts w:ascii="Times New Roman" w:eastAsia="Times New Roman" w:hAnsi="Times New Roman"/>
          <w:bCs/>
          <w:lang w:val="lt-LT" w:eastAsia="lt-LT"/>
        </w:rPr>
        <w:t>Duomenų, kuriais remiantis būtų galima pateikti rekomendacijų vaisingo amžiaus moterims, nėra.</w:t>
      </w:r>
    </w:p>
    <w:p w:rsidR="00660C98" w:rsidRPr="00660C98" w:rsidRDefault="00660C98" w:rsidP="00660C98">
      <w:pPr>
        <w:keepNext/>
        <w:keepLines/>
        <w:tabs>
          <w:tab w:val="left" w:pos="567"/>
        </w:tabs>
        <w:spacing w:after="0" w:line="240" w:lineRule="auto"/>
        <w:rPr>
          <w:rFonts w:ascii="Times New Roman" w:eastAsia="Times New Roman" w:hAnsi="Times New Roman"/>
          <w:i/>
          <w:u w:val="single"/>
          <w:lang w:val="lt-LT"/>
        </w:rPr>
      </w:pPr>
    </w:p>
    <w:p w:rsidR="00660C98" w:rsidRPr="00660C98" w:rsidRDefault="00660C98" w:rsidP="00660C98">
      <w:pPr>
        <w:keepNext/>
        <w:keepLines/>
        <w:tabs>
          <w:tab w:val="left" w:pos="567"/>
        </w:tabs>
        <w:spacing w:after="0" w:line="240" w:lineRule="auto"/>
        <w:rPr>
          <w:rFonts w:ascii="Times New Roman" w:eastAsia="Times New Roman" w:hAnsi="Times New Roman"/>
          <w:i/>
          <w:iCs/>
          <w:lang w:val="lt-LT"/>
        </w:rPr>
      </w:pPr>
      <w:r w:rsidRPr="00660C98">
        <w:rPr>
          <w:rFonts w:ascii="Times New Roman" w:eastAsia="Times New Roman" w:hAnsi="Times New Roman"/>
          <w:i/>
          <w:iCs/>
          <w:lang w:val="lt-LT"/>
        </w:rPr>
        <w:t>Nėštumas</w:t>
      </w:r>
    </w:p>
    <w:p w:rsidR="00660C98" w:rsidRDefault="00660C98" w:rsidP="00660C98">
      <w:pPr>
        <w:spacing w:after="0" w:line="240" w:lineRule="auto"/>
        <w:rPr>
          <w:rFonts w:ascii="Times New Roman" w:eastAsia="Times New Roman" w:hAnsi="Times New Roman"/>
          <w:lang w:val="lt-LT" w:eastAsia="lt-LT"/>
        </w:rPr>
      </w:pPr>
      <w:r w:rsidRPr="00660C98">
        <w:rPr>
          <w:rFonts w:ascii="Times New Roman" w:eastAsia="Times New Roman" w:hAnsi="Times New Roman"/>
          <w:lang w:val="lt-LT" w:eastAsia="lt-LT"/>
        </w:rPr>
        <w:t xml:space="preserve">Duomenų apie </w:t>
      </w:r>
      <w:proofErr w:type="spellStart"/>
      <w:r w:rsidRPr="00660C98">
        <w:rPr>
          <w:rFonts w:ascii="Times New Roman" w:eastAsia="Times New Roman" w:hAnsi="Times New Roman"/>
          <w:lang w:val="lt-LT" w:eastAsia="lt-LT"/>
        </w:rPr>
        <w:t>diklofenako</w:t>
      </w:r>
      <w:proofErr w:type="spellEnd"/>
      <w:r w:rsidRPr="00660C98">
        <w:rPr>
          <w:rFonts w:ascii="Times New Roman" w:eastAsia="Times New Roman" w:hAnsi="Times New Roman"/>
          <w:lang w:val="lt-LT" w:eastAsia="lt-LT"/>
        </w:rPr>
        <w:t xml:space="preserve"> vartojimą nėštumo metu nepakanka.</w:t>
      </w:r>
    </w:p>
    <w:p w:rsidR="00E216D7" w:rsidRPr="00660C98" w:rsidRDefault="00E216D7" w:rsidP="00660C98">
      <w:pPr>
        <w:spacing w:after="0" w:line="240" w:lineRule="auto"/>
        <w:rPr>
          <w:rFonts w:ascii="Times New Roman" w:eastAsia="Times New Roman" w:hAnsi="Times New Roman"/>
          <w:lang w:val="lt-LT" w:eastAsia="lt-LT"/>
        </w:rPr>
      </w:pPr>
    </w:p>
    <w:p w:rsidR="00660C98" w:rsidRDefault="00660C98" w:rsidP="00660C98">
      <w:pPr>
        <w:spacing w:after="0" w:line="240" w:lineRule="auto"/>
        <w:rPr>
          <w:rFonts w:ascii="Times New Roman" w:eastAsia="Times New Roman" w:hAnsi="Times New Roman"/>
          <w:lang w:val="lt-LT" w:eastAsia="lt-LT"/>
        </w:rPr>
      </w:pPr>
      <w:r w:rsidRPr="00660C98">
        <w:rPr>
          <w:rFonts w:ascii="Times New Roman" w:eastAsia="Times New Roman" w:hAnsi="Times New Roman"/>
          <w:lang w:val="lt-LT" w:eastAsia="lt-LT"/>
        </w:rPr>
        <w:t xml:space="preserve">Moterims per pirmuosius 6 nėštumo mėnesius </w:t>
      </w:r>
      <w:proofErr w:type="spellStart"/>
      <w:r w:rsidRPr="00660C98">
        <w:rPr>
          <w:rFonts w:ascii="Times New Roman" w:eastAsia="Times New Roman" w:hAnsi="Times New Roman"/>
          <w:lang w:val="lt-LT" w:eastAsia="lt-LT"/>
        </w:rPr>
        <w:t>diklofenako</w:t>
      </w:r>
      <w:proofErr w:type="spellEnd"/>
      <w:r w:rsidRPr="00660C98">
        <w:rPr>
          <w:rFonts w:ascii="Times New Roman" w:eastAsia="Times New Roman" w:hAnsi="Times New Roman"/>
          <w:lang w:val="lt-LT" w:eastAsia="lt-LT"/>
        </w:rPr>
        <w:t xml:space="preserve"> galima vartoti tik būtiniausiu atveju. Jei ketinančiai pastoti ar nėščiai moteriai per pirmuosius 6 nėštumo mėnesius būtina vartoti </w:t>
      </w:r>
      <w:proofErr w:type="spellStart"/>
      <w:r w:rsidRPr="00660C98">
        <w:rPr>
          <w:rFonts w:ascii="Times New Roman" w:eastAsia="Times New Roman" w:hAnsi="Times New Roman"/>
          <w:lang w:val="lt-LT" w:eastAsia="lt-LT"/>
        </w:rPr>
        <w:t>diklofenako</w:t>
      </w:r>
      <w:proofErr w:type="spellEnd"/>
      <w:r w:rsidRPr="00660C98">
        <w:rPr>
          <w:rFonts w:ascii="Times New Roman" w:eastAsia="Times New Roman" w:hAnsi="Times New Roman"/>
          <w:lang w:val="lt-LT" w:eastAsia="lt-LT"/>
        </w:rPr>
        <w:t>, turi būti palaikoma kiek galima mažesnė vaisto dozė ir kiek įmanoma trumpesnė gydymo trukmė.</w:t>
      </w:r>
    </w:p>
    <w:p w:rsidR="00E216D7" w:rsidRPr="00660C98" w:rsidRDefault="00E216D7" w:rsidP="00660C98">
      <w:pPr>
        <w:spacing w:after="0" w:line="240" w:lineRule="auto"/>
        <w:rPr>
          <w:rFonts w:ascii="Times New Roman" w:eastAsia="Times New Roman" w:hAnsi="Times New Roman"/>
          <w:lang w:val="lt-LT" w:eastAsia="lt-LT"/>
        </w:rPr>
      </w:pPr>
    </w:p>
    <w:p w:rsidR="00660C98" w:rsidRPr="00660C98" w:rsidRDefault="00660C98" w:rsidP="00660C98">
      <w:pPr>
        <w:tabs>
          <w:tab w:val="left" w:pos="567"/>
        </w:tabs>
        <w:spacing w:after="0" w:line="240" w:lineRule="auto"/>
        <w:rPr>
          <w:rFonts w:ascii="Times New Roman" w:eastAsia="Times New Roman" w:hAnsi="Times New Roman"/>
          <w:color w:val="222222"/>
          <w:lang w:val="lt-LT"/>
        </w:rPr>
      </w:pP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kaip ir kitų NVNU</w:t>
      </w:r>
      <w:r w:rsidRPr="00660C98">
        <w:rPr>
          <w:rFonts w:ascii="Times New Roman" w:eastAsia="Times New Roman" w:hAnsi="Times New Roman"/>
          <w:color w:val="222222"/>
          <w:lang w:val="lt-LT"/>
        </w:rPr>
        <w:t xml:space="preserve">, </w:t>
      </w:r>
      <w:r w:rsidRPr="00660C98">
        <w:rPr>
          <w:rFonts w:ascii="Times New Roman" w:eastAsia="Times New Roman" w:hAnsi="Times New Roman"/>
          <w:lang w:val="lt-LT"/>
        </w:rPr>
        <w:t xml:space="preserve">paskutiniuosius tris nėštumo mėnesius </w:t>
      </w:r>
      <w:r w:rsidRPr="00660C98">
        <w:rPr>
          <w:rFonts w:ascii="Times New Roman" w:eastAsia="Times New Roman" w:hAnsi="Times New Roman"/>
          <w:color w:val="222222"/>
          <w:lang w:val="lt-LT"/>
        </w:rPr>
        <w:t>vartoti draudžiama dėl galimo gimdos susitraukimų slopinimo ir / ar priešlaikinio arterinio latako užsidarymo</w:t>
      </w:r>
      <w:r w:rsidRPr="00660C98">
        <w:rPr>
          <w:rFonts w:ascii="Times New Roman" w:eastAsia="Times New Roman" w:hAnsi="Times New Roman"/>
          <w:lang w:val="lt-LT"/>
        </w:rPr>
        <w:t xml:space="preserve"> (žr. 4.3 skyrių „Kontraindikacijos“ ir 5.3 skyrių „</w:t>
      </w:r>
      <w:proofErr w:type="spellStart"/>
      <w:r w:rsidRPr="00660C98">
        <w:rPr>
          <w:rFonts w:ascii="Times New Roman" w:eastAsia="Times New Roman" w:hAnsi="Times New Roman"/>
          <w:lang w:val="lt-LT"/>
        </w:rPr>
        <w:t>Ikiklinikinių</w:t>
      </w:r>
      <w:proofErr w:type="spellEnd"/>
      <w:r w:rsidRPr="00660C98">
        <w:rPr>
          <w:rFonts w:ascii="Times New Roman" w:eastAsia="Times New Roman" w:hAnsi="Times New Roman"/>
          <w:lang w:val="lt-LT"/>
        </w:rPr>
        <w:t xml:space="preserve"> saugumo tyrimų duomenys“)</w:t>
      </w:r>
      <w:r w:rsidRPr="00660C98">
        <w:rPr>
          <w:rFonts w:ascii="Times New Roman" w:eastAsia="Times New Roman" w:hAnsi="Times New Roman"/>
          <w:color w:val="222222"/>
          <w:lang w:val="lt-LT"/>
        </w:rPr>
        <w:t>.</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iCs/>
          <w:lang w:val="lt-LT"/>
        </w:rPr>
      </w:pPr>
      <w:r w:rsidRPr="00660C98">
        <w:rPr>
          <w:rFonts w:ascii="Times New Roman" w:eastAsia="Times New Roman" w:hAnsi="Times New Roman"/>
          <w:i/>
          <w:iCs/>
          <w:lang w:val="lt-LT"/>
        </w:rPr>
        <w:t>Žindymas</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kaip ir kitų NVNU, prasiskverbia į motinos pieną mažais kiekiais. Todėl,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draudžiama vartoti žindymo laikotarpiu, kad būtų išvengta nepageidaujamo poveikio kūdikiui.</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iCs/>
          <w:lang w:val="lt-LT"/>
        </w:rPr>
      </w:pPr>
      <w:r w:rsidRPr="00660C98">
        <w:rPr>
          <w:rFonts w:ascii="Times New Roman" w:eastAsia="Times New Roman" w:hAnsi="Times New Roman"/>
          <w:i/>
          <w:iCs/>
          <w:lang w:val="lt-LT"/>
        </w:rPr>
        <w:t>Vaisingumas</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kaip ir kitų NVNU, vartojimas gali sutrikdyti moters vaisingumą ir jo nerekomenduojama vartoti moterims, ketinančioms pastoti. Reikia svarstyti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vartojimo nutraukimą moterims, kurios turi problemų dėl pastojimo arba tiriasi dėl nevaisingumo.</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4.7</w:t>
      </w:r>
      <w:r w:rsidRPr="00660C98">
        <w:rPr>
          <w:rFonts w:ascii="Times New Roman" w:eastAsia="Times New Roman" w:hAnsi="Times New Roman"/>
          <w:b/>
          <w:lang w:val="lt-LT"/>
        </w:rPr>
        <w:tab/>
        <w:t>Poveikis gebėjimui vairuoti ir valdyti mechanizmus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poveikis gebėjimui vairuoti ar valdyti mechanizmus netirtas.</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vartojant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pacientui atsirado regos sutrikimų, galvos svaigimas, mieguistumas arba kitų centrinės nervų sistemos sutrikimų, reikia nevairuoti ir nevaldyti veikiančių mechanizmų.</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4.8</w:t>
      </w:r>
      <w:r w:rsidRPr="00660C98">
        <w:rPr>
          <w:rFonts w:ascii="Times New Roman" w:eastAsia="Times New Roman" w:hAnsi="Times New Roman"/>
          <w:b/>
          <w:lang w:val="lt-LT"/>
        </w:rPr>
        <w:tab/>
        <w:t>Nepageidaujamas poveikis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Nepageidaujamų reakcijų į vaistinį preparatą apibendrinimas lentelės forma</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Nepageidaujamos reakcijos, duomenys apie kurias gauti klinikinių tyrimų metu ir (arba) iš spontaninių pranešimų ar mokslinėje literatūroje aprašytų atvejų (1 lentelė), suskirstyti pagal </w:t>
      </w:r>
      <w:proofErr w:type="spellStart"/>
      <w:r w:rsidRPr="00660C98">
        <w:rPr>
          <w:rFonts w:ascii="Times New Roman" w:eastAsia="Times New Roman" w:hAnsi="Times New Roman"/>
          <w:i/>
          <w:iCs/>
          <w:lang w:val="lt-LT"/>
        </w:rPr>
        <w:t>MedDRA</w:t>
      </w:r>
      <w:proofErr w:type="spellEnd"/>
      <w:r w:rsidRPr="00660C98">
        <w:rPr>
          <w:rFonts w:ascii="Times New Roman" w:eastAsia="Times New Roman" w:hAnsi="Times New Roman"/>
          <w:lang w:val="lt-LT"/>
        </w:rPr>
        <w:t xml:space="preserve"> organų sistemų klases. Kiekvienoje organų sistemų klasėje nepageidaujamos reakcijos suskirstytos pagal dažnį (dažnesnės paminėtos pirmiau). Kiekvienoje dažnio grupėje nepageidaujamas poveikis pateikiamas mažėjančia sunkumo tvarka. Be to, pagal dažnį nepageidaujamų reakcijų atvejai, remiantis CIOMC III sistema, suskirstyti taip: labai dažni (</w:t>
      </w:r>
      <w:r w:rsidRPr="00660C98">
        <w:rPr>
          <w:rFonts w:ascii="Times New Roman" w:eastAsia="Times New Roman" w:hAnsi="Times New Roman"/>
          <w:u w:val="single"/>
          <w:lang w:val="lt-LT"/>
        </w:rPr>
        <w:t>&gt;</w:t>
      </w:r>
      <w:r w:rsidRPr="00660C98">
        <w:rPr>
          <w:rFonts w:ascii="Times New Roman" w:eastAsia="Times New Roman" w:hAnsi="Times New Roman"/>
          <w:lang w:val="lt-LT"/>
        </w:rPr>
        <w:t xml:space="preserve">1/10), dažni (nuo </w:t>
      </w:r>
      <w:r w:rsidRPr="00660C98">
        <w:rPr>
          <w:rFonts w:ascii="Times New Roman" w:eastAsia="Times New Roman" w:hAnsi="Times New Roman"/>
          <w:u w:val="single"/>
          <w:lang w:val="lt-LT"/>
        </w:rPr>
        <w:t>&gt;</w:t>
      </w:r>
      <w:r w:rsidRPr="00660C98">
        <w:rPr>
          <w:rFonts w:ascii="Times New Roman" w:eastAsia="Times New Roman" w:hAnsi="Times New Roman"/>
          <w:lang w:val="lt-LT"/>
        </w:rPr>
        <w:t xml:space="preserve">1/100 iki &lt;1/10), nedažni (nuo </w:t>
      </w:r>
      <w:r w:rsidRPr="00660C98">
        <w:rPr>
          <w:rFonts w:ascii="Times New Roman" w:eastAsia="Times New Roman" w:hAnsi="Times New Roman"/>
          <w:u w:val="single"/>
          <w:lang w:val="lt-LT"/>
        </w:rPr>
        <w:t>&gt;</w:t>
      </w:r>
      <w:r w:rsidRPr="00660C98">
        <w:rPr>
          <w:rFonts w:ascii="Times New Roman" w:eastAsia="Times New Roman" w:hAnsi="Times New Roman"/>
          <w:lang w:val="lt-LT"/>
        </w:rPr>
        <w:t xml:space="preserve">1/1 000 iki &lt;1/100), reti (nuo </w:t>
      </w:r>
      <w:r w:rsidRPr="00660C98">
        <w:rPr>
          <w:rFonts w:ascii="Times New Roman" w:eastAsia="Times New Roman" w:hAnsi="Times New Roman"/>
          <w:u w:val="single"/>
          <w:lang w:val="lt-LT"/>
        </w:rPr>
        <w:t>&gt;</w:t>
      </w:r>
      <w:r w:rsidRPr="00660C98">
        <w:rPr>
          <w:rFonts w:ascii="Times New Roman" w:eastAsia="Times New Roman" w:hAnsi="Times New Roman"/>
          <w:lang w:val="lt-LT"/>
        </w:rPr>
        <w:t>1/10 000 iki&lt;1/1 000), labai reti (&lt;1/10 000).</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Toliau pateikti nepageidaujami poveikiai, sukelti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ir/arba kitų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formų, vartojant trumpą ar ilgą laiką.</w:t>
      </w:r>
    </w:p>
    <w:p w:rsidR="00660C98" w:rsidRPr="00660C98" w:rsidRDefault="00660C98" w:rsidP="00660C98">
      <w:pPr>
        <w:tabs>
          <w:tab w:val="left" w:pos="567"/>
        </w:tabs>
        <w:spacing w:after="0" w:line="240" w:lineRule="auto"/>
        <w:rPr>
          <w:rFonts w:ascii="Times New Roman" w:eastAsia="Times New Roman" w:hAnsi="Times New Roman"/>
          <w:u w:val="single"/>
          <w:lang w:val="lt-LT"/>
        </w:rPr>
      </w:pPr>
    </w:p>
    <w:p w:rsidR="00660C98" w:rsidRPr="00660C98" w:rsidRDefault="00660C98" w:rsidP="00660C98">
      <w:pPr>
        <w:tabs>
          <w:tab w:val="left" w:pos="567"/>
        </w:tabs>
        <w:spacing w:after="0" w:line="240" w:lineRule="auto"/>
        <w:rPr>
          <w:rFonts w:ascii="Times New Roman" w:eastAsia="Times New Roman" w:hAnsi="Times New Roman"/>
          <w:i/>
          <w:lang w:val="lt-LT"/>
        </w:rPr>
      </w:pPr>
      <w:r w:rsidRPr="00660C98">
        <w:rPr>
          <w:rFonts w:ascii="Times New Roman" w:eastAsia="Times New Roman" w:hAnsi="Times New Roman"/>
          <w:i/>
          <w:lang w:val="lt-LT"/>
        </w:rPr>
        <w:t>1</w:t>
      </w:r>
      <w:r w:rsidR="00746CCA">
        <w:rPr>
          <w:rFonts w:ascii="Times New Roman" w:eastAsia="Times New Roman" w:hAnsi="Times New Roman"/>
          <w:i/>
          <w:lang w:val="lt-LT"/>
        </w:rPr>
        <w:t> </w:t>
      </w:r>
      <w:r w:rsidRPr="00660C98">
        <w:rPr>
          <w:rFonts w:ascii="Times New Roman" w:eastAsia="Times New Roman" w:hAnsi="Times New Roman"/>
          <w:i/>
          <w:lang w:val="lt-LT"/>
        </w:rPr>
        <w:t>lentelė.</w:t>
      </w:r>
      <w:r w:rsidRPr="00660C98">
        <w:rPr>
          <w:rFonts w:ascii="Times New Roman" w:eastAsia="Times New Roman" w:hAnsi="Times New Roman"/>
          <w:i/>
          <w:u w:val="single"/>
          <w:lang w:val="lt-LT"/>
        </w:rPr>
        <w:t xml:space="preserve"> Nepageidaujamos reakcijos į vaistinį preparatą</w:t>
      </w:r>
    </w:p>
    <w:p w:rsidR="00660C98" w:rsidRPr="00660C98" w:rsidRDefault="00660C98" w:rsidP="00660C98">
      <w:pPr>
        <w:tabs>
          <w:tab w:val="left" w:pos="567"/>
        </w:tabs>
        <w:spacing w:after="0" w:line="240" w:lineRule="auto"/>
        <w:rPr>
          <w:rFonts w:ascii="Times New Roman" w:eastAsia="Times New Roman" w:hAnsi="Times New Roman"/>
          <w:lang w:val="lt-LT"/>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5953"/>
      </w:tblGrid>
      <w:tr w:rsidR="00660C98" w:rsidRPr="00C10856" w:rsidTr="00D204E7">
        <w:trPr>
          <w:cantSplit/>
        </w:trPr>
        <w:tc>
          <w:tcPr>
            <w:tcW w:w="9072" w:type="dxa"/>
            <w:gridSpan w:val="3"/>
            <w:tcBorders>
              <w:top w:val="single" w:sz="4" w:space="0" w:color="auto"/>
            </w:tcBorders>
          </w:tcPr>
          <w:p w:rsidR="00660C98" w:rsidRPr="00660C98" w:rsidRDefault="00660C98" w:rsidP="00660C98">
            <w:pPr>
              <w:tabs>
                <w:tab w:val="left" w:pos="284"/>
              </w:tabs>
              <w:spacing w:before="40" w:after="20" w:line="240" w:lineRule="auto"/>
              <w:rPr>
                <w:rFonts w:ascii="Times New Roman" w:hAnsi="Times New Roman"/>
                <w:i/>
                <w:lang w:val="pt-BR"/>
              </w:rPr>
            </w:pPr>
            <w:r w:rsidRPr="00660C98">
              <w:rPr>
                <w:rFonts w:ascii="Times New Roman" w:hAnsi="Times New Roman"/>
                <w:i/>
                <w:snapToGrid w:val="0"/>
                <w:lang w:val="lt-LT"/>
              </w:rPr>
              <w:t>Kraujo</w:t>
            </w:r>
            <w:r w:rsidRPr="00660C98">
              <w:rPr>
                <w:rFonts w:ascii="Times New Roman" w:hAnsi="Times New Roman"/>
                <w:i/>
                <w:snapToGrid w:val="0"/>
                <w:lang w:val="pt-BR"/>
              </w:rPr>
              <w:t xml:space="preserve"> </w:t>
            </w:r>
            <w:r w:rsidRPr="00660C98">
              <w:rPr>
                <w:rFonts w:ascii="Times New Roman" w:hAnsi="Times New Roman"/>
                <w:i/>
                <w:snapToGrid w:val="0"/>
                <w:lang w:val="lt-LT"/>
              </w:rPr>
              <w:t>ir</w:t>
            </w:r>
            <w:r w:rsidRPr="00660C98">
              <w:rPr>
                <w:rFonts w:ascii="Times New Roman" w:hAnsi="Times New Roman"/>
                <w:i/>
                <w:snapToGrid w:val="0"/>
                <w:lang w:val="pt-BR"/>
              </w:rPr>
              <w:t xml:space="preserve"> </w:t>
            </w:r>
            <w:r w:rsidRPr="00660C98">
              <w:rPr>
                <w:rFonts w:ascii="Times New Roman" w:hAnsi="Times New Roman"/>
                <w:i/>
                <w:snapToGrid w:val="0"/>
                <w:lang w:val="lt-LT"/>
              </w:rPr>
              <w:t>limfinės sistemos sutrikimai</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pt-BR"/>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pt-BR"/>
              </w:rPr>
            </w:pPr>
            <w:proofErr w:type="spellStart"/>
            <w:r w:rsidRPr="00660C98">
              <w:rPr>
                <w:rFonts w:ascii="Times New Roman" w:hAnsi="Times New Roman"/>
                <w:lang w:val="lt-LT"/>
              </w:rPr>
              <w:t>Trombocitopenija</w:t>
            </w:r>
            <w:proofErr w:type="spellEnd"/>
            <w:r w:rsidRPr="00660C98">
              <w:rPr>
                <w:rFonts w:ascii="Times New Roman" w:hAnsi="Times New Roman"/>
                <w:lang w:val="pt-BR"/>
              </w:rPr>
              <w:t xml:space="preserve">, </w:t>
            </w:r>
            <w:proofErr w:type="spellStart"/>
            <w:r w:rsidRPr="00660C98">
              <w:rPr>
                <w:rFonts w:ascii="Times New Roman" w:hAnsi="Times New Roman"/>
                <w:lang w:val="lt-LT"/>
              </w:rPr>
              <w:t>leukopenija</w:t>
            </w:r>
            <w:proofErr w:type="spellEnd"/>
            <w:r w:rsidRPr="00660C98">
              <w:rPr>
                <w:rFonts w:ascii="Times New Roman" w:hAnsi="Times New Roman"/>
                <w:lang w:val="pt-BR"/>
              </w:rPr>
              <w:t xml:space="preserve">, </w:t>
            </w:r>
            <w:r w:rsidRPr="00660C98">
              <w:rPr>
                <w:rFonts w:ascii="Times New Roman" w:hAnsi="Times New Roman"/>
                <w:lang w:val="lt-LT"/>
              </w:rPr>
              <w:t>anemija</w:t>
            </w:r>
            <w:r w:rsidRPr="00660C98">
              <w:rPr>
                <w:rFonts w:ascii="Times New Roman" w:hAnsi="Times New Roman"/>
                <w:lang w:val="pt-BR"/>
              </w:rPr>
              <w:t xml:space="preserve"> (tame </w:t>
            </w:r>
            <w:r w:rsidRPr="00660C98">
              <w:rPr>
                <w:rFonts w:ascii="Times New Roman" w:hAnsi="Times New Roman"/>
                <w:lang w:val="lt-LT"/>
              </w:rPr>
              <w:t>tarpe</w:t>
            </w:r>
            <w:r w:rsidRPr="00660C98">
              <w:rPr>
                <w:rFonts w:ascii="Times New Roman" w:hAnsi="Times New Roman"/>
                <w:lang w:val="pt-BR"/>
              </w:rPr>
              <w:t xml:space="preserve"> </w:t>
            </w:r>
            <w:r w:rsidRPr="00660C98">
              <w:rPr>
                <w:rFonts w:ascii="Times New Roman" w:hAnsi="Times New Roman"/>
                <w:lang w:val="lt-LT"/>
              </w:rPr>
              <w:t>hemolizinė</w:t>
            </w:r>
            <w:r w:rsidRPr="00660C98">
              <w:rPr>
                <w:rFonts w:ascii="Times New Roman" w:hAnsi="Times New Roman"/>
                <w:lang w:val="pt-BR"/>
              </w:rPr>
              <w:t xml:space="preserve"> </w:t>
            </w:r>
            <w:r w:rsidRPr="00660C98">
              <w:rPr>
                <w:rFonts w:ascii="Times New Roman" w:hAnsi="Times New Roman"/>
                <w:lang w:val="lt-LT"/>
              </w:rPr>
              <w:t>ir</w:t>
            </w:r>
            <w:r w:rsidRPr="00660C98">
              <w:rPr>
                <w:rFonts w:ascii="Times New Roman" w:hAnsi="Times New Roman"/>
                <w:lang w:val="pt-BR"/>
              </w:rPr>
              <w:t xml:space="preserve"> </w:t>
            </w:r>
            <w:proofErr w:type="spellStart"/>
            <w:r w:rsidRPr="00660C98">
              <w:rPr>
                <w:rFonts w:ascii="Times New Roman" w:hAnsi="Times New Roman"/>
                <w:lang w:val="lt-LT"/>
              </w:rPr>
              <w:t>aplastinė</w:t>
            </w:r>
            <w:proofErr w:type="spellEnd"/>
            <w:r w:rsidRPr="00660C98">
              <w:rPr>
                <w:rFonts w:ascii="Times New Roman" w:hAnsi="Times New Roman"/>
                <w:lang w:val="pt-BR"/>
              </w:rPr>
              <w:t xml:space="preserve">), </w:t>
            </w:r>
            <w:proofErr w:type="spellStart"/>
            <w:r w:rsidRPr="00660C98">
              <w:rPr>
                <w:rFonts w:ascii="Times New Roman" w:hAnsi="Times New Roman"/>
                <w:lang w:val="lt-LT"/>
              </w:rPr>
              <w:t>agranulocitozė</w:t>
            </w:r>
            <w:proofErr w:type="spellEnd"/>
            <w:r w:rsidRPr="00660C98">
              <w:rPr>
                <w:rFonts w:ascii="Times New Roman" w:hAnsi="Times New Roman"/>
                <w:lang w:val="pt-BR"/>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en-GB"/>
              </w:rPr>
            </w:pPr>
            <w:r w:rsidRPr="00660C98">
              <w:rPr>
                <w:rFonts w:ascii="Times New Roman" w:hAnsi="Times New Roman"/>
                <w:bCs/>
                <w:i/>
                <w:snapToGrid w:val="0"/>
                <w:lang w:val="lt-LT"/>
              </w:rPr>
              <w:t>Imuninės</w:t>
            </w:r>
            <w:r w:rsidRPr="00660C98">
              <w:rPr>
                <w:rFonts w:ascii="Times New Roman" w:hAnsi="Times New Roman"/>
                <w:bCs/>
                <w:i/>
                <w:snapToGrid w:val="0"/>
                <w:lang w:val="en-GB"/>
              </w:rPr>
              <w:t xml:space="preserve"> </w:t>
            </w:r>
            <w:r w:rsidRPr="00660C98">
              <w:rPr>
                <w:rFonts w:ascii="Times New Roman" w:hAnsi="Times New Roman"/>
                <w:bCs/>
                <w:i/>
                <w:snapToGrid w:val="0"/>
                <w:lang w:val="lt-LT"/>
              </w:rPr>
              <w:t>sistemos</w:t>
            </w:r>
            <w:r w:rsidRPr="00660C98">
              <w:rPr>
                <w:rFonts w:ascii="Times New Roman" w:hAnsi="Times New Roman"/>
                <w:bCs/>
                <w:i/>
                <w:snapToGrid w:val="0"/>
                <w:lang w:val="en-GB"/>
              </w:rPr>
              <w:t xml:space="preserve"> </w:t>
            </w:r>
            <w:r w:rsidRPr="00660C98">
              <w:rPr>
                <w:rFonts w:ascii="Times New Roman" w:hAnsi="Times New Roman"/>
                <w:bCs/>
                <w:i/>
                <w:snapToGrid w:val="0"/>
                <w:lang w:val="lt-LT"/>
              </w:rPr>
              <w:t>sutrikimai</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Reti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jc w:val="both"/>
              <w:rPr>
                <w:rFonts w:ascii="Times New Roman" w:hAnsi="Times New Roman"/>
                <w:lang w:val="en-GB"/>
              </w:rPr>
            </w:pPr>
            <w:r w:rsidRPr="00660C98">
              <w:rPr>
                <w:rFonts w:ascii="Times New Roman" w:hAnsi="Times New Roman"/>
                <w:lang w:val="lt-LT"/>
              </w:rPr>
              <w:t>Padidėjusio</w:t>
            </w:r>
            <w:r w:rsidRPr="00660C98">
              <w:rPr>
                <w:rFonts w:ascii="Times New Roman" w:hAnsi="Times New Roman"/>
                <w:lang w:val="en-GB"/>
              </w:rPr>
              <w:t xml:space="preserve"> </w:t>
            </w:r>
            <w:r w:rsidRPr="00660C98">
              <w:rPr>
                <w:rFonts w:ascii="Times New Roman" w:hAnsi="Times New Roman"/>
                <w:lang w:val="lt-LT"/>
              </w:rPr>
              <w:t>jautrumo</w:t>
            </w:r>
            <w:r w:rsidRPr="00660C98">
              <w:rPr>
                <w:rFonts w:ascii="Times New Roman" w:hAnsi="Times New Roman"/>
                <w:lang w:val="en-GB"/>
              </w:rPr>
              <w:t xml:space="preserve">, </w:t>
            </w:r>
            <w:r w:rsidRPr="00660C98">
              <w:rPr>
                <w:rFonts w:ascii="Times New Roman" w:hAnsi="Times New Roman"/>
                <w:lang w:val="lt-LT"/>
              </w:rPr>
              <w:t>anafilaksinė</w:t>
            </w:r>
            <w:r w:rsidRPr="00660C98">
              <w:rPr>
                <w:rFonts w:ascii="Times New Roman" w:hAnsi="Times New Roman"/>
                <w:lang w:val="en-GB"/>
              </w:rPr>
              <w:t xml:space="preserve"> </w:t>
            </w:r>
            <w:r w:rsidRPr="00660C98">
              <w:rPr>
                <w:rFonts w:ascii="Times New Roman" w:hAnsi="Times New Roman"/>
                <w:lang w:val="lt-LT"/>
              </w:rPr>
              <w:t>ir</w:t>
            </w:r>
            <w:r w:rsidRPr="00660C98">
              <w:rPr>
                <w:rFonts w:ascii="Times New Roman" w:hAnsi="Times New Roman"/>
                <w:lang w:val="en-GB"/>
              </w:rPr>
              <w:t xml:space="preserve"> </w:t>
            </w:r>
            <w:proofErr w:type="spellStart"/>
            <w:r w:rsidRPr="00660C98">
              <w:rPr>
                <w:rFonts w:ascii="Times New Roman" w:hAnsi="Times New Roman"/>
                <w:lang w:val="lt-LT"/>
              </w:rPr>
              <w:t>anafilaktoidinė</w:t>
            </w:r>
            <w:proofErr w:type="spellEnd"/>
            <w:r w:rsidRPr="00660C98">
              <w:rPr>
                <w:rFonts w:ascii="Times New Roman" w:hAnsi="Times New Roman"/>
                <w:lang w:val="en-GB"/>
              </w:rPr>
              <w:t xml:space="preserve"> </w:t>
            </w:r>
            <w:r w:rsidRPr="00660C98">
              <w:rPr>
                <w:rFonts w:ascii="Times New Roman" w:hAnsi="Times New Roman"/>
                <w:lang w:val="lt-LT"/>
              </w:rPr>
              <w:t>reakcijos</w:t>
            </w:r>
            <w:r w:rsidRPr="00660C98">
              <w:rPr>
                <w:rFonts w:ascii="Times New Roman" w:hAnsi="Times New Roman"/>
                <w:lang w:val="en-GB"/>
              </w:rPr>
              <w:t xml:space="preserve"> (tame </w:t>
            </w:r>
            <w:r w:rsidRPr="00660C98">
              <w:rPr>
                <w:rFonts w:ascii="Times New Roman" w:hAnsi="Times New Roman"/>
                <w:lang w:val="lt-LT"/>
              </w:rPr>
              <w:t>tarpe</w:t>
            </w:r>
            <w:r w:rsidRPr="00660C98">
              <w:rPr>
                <w:rFonts w:ascii="Times New Roman" w:hAnsi="Times New Roman"/>
                <w:lang w:val="en-GB"/>
              </w:rPr>
              <w:t xml:space="preserve"> </w:t>
            </w:r>
            <w:proofErr w:type="spellStart"/>
            <w:r w:rsidRPr="00660C98">
              <w:rPr>
                <w:rFonts w:ascii="Times New Roman" w:hAnsi="Times New Roman"/>
                <w:lang w:val="lt-LT"/>
              </w:rPr>
              <w:t>hipotenziją</w:t>
            </w:r>
            <w:proofErr w:type="spellEnd"/>
            <w:r w:rsidRPr="00660C98">
              <w:rPr>
                <w:rFonts w:ascii="Times New Roman" w:hAnsi="Times New Roman"/>
                <w:lang w:val="en-GB"/>
              </w:rPr>
              <w:t xml:space="preserve"> </w:t>
            </w:r>
            <w:r w:rsidRPr="00660C98">
              <w:rPr>
                <w:rFonts w:ascii="Times New Roman" w:hAnsi="Times New Roman"/>
                <w:lang w:val="lt-LT"/>
              </w:rPr>
              <w:t>ir</w:t>
            </w:r>
            <w:r w:rsidRPr="00660C98">
              <w:rPr>
                <w:rFonts w:ascii="Times New Roman" w:hAnsi="Times New Roman"/>
                <w:lang w:val="en-GB"/>
              </w:rPr>
              <w:t xml:space="preserve"> </w:t>
            </w:r>
            <w:r w:rsidRPr="00660C98">
              <w:rPr>
                <w:rFonts w:ascii="Times New Roman" w:hAnsi="Times New Roman"/>
                <w:lang w:val="lt-LT"/>
              </w:rPr>
              <w:t>šokas</w:t>
            </w:r>
            <w:r w:rsidRPr="00660C98">
              <w:rPr>
                <w:rFonts w:ascii="Times New Roman" w:hAnsi="Times New Roman"/>
                <w:lang w:val="en-GB"/>
              </w:rPr>
              <w:t>).</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fi-FI"/>
              </w:rPr>
            </w:pPr>
            <w:proofErr w:type="spellStart"/>
            <w:r w:rsidRPr="00660C98">
              <w:rPr>
                <w:rFonts w:ascii="Times New Roman" w:hAnsi="Times New Roman"/>
                <w:lang w:val="lt-LT"/>
              </w:rPr>
              <w:t>Angioedema</w:t>
            </w:r>
            <w:proofErr w:type="spellEnd"/>
            <w:r w:rsidRPr="00660C98">
              <w:rPr>
                <w:rFonts w:ascii="Times New Roman" w:hAnsi="Times New Roman"/>
                <w:lang w:val="fi-FI"/>
              </w:rPr>
              <w:t xml:space="preserve"> (</w:t>
            </w:r>
            <w:r w:rsidRPr="00660C98">
              <w:rPr>
                <w:rFonts w:ascii="Times New Roman" w:hAnsi="Times New Roman"/>
                <w:lang w:val="lt-LT"/>
              </w:rPr>
              <w:t>įskaitant</w:t>
            </w:r>
            <w:r w:rsidRPr="00660C98">
              <w:rPr>
                <w:rFonts w:ascii="Times New Roman" w:hAnsi="Times New Roman"/>
                <w:lang w:val="fi-FI"/>
              </w:rPr>
              <w:t xml:space="preserve"> </w:t>
            </w:r>
            <w:r w:rsidRPr="00660C98">
              <w:rPr>
                <w:rFonts w:ascii="Times New Roman" w:hAnsi="Times New Roman"/>
                <w:lang w:val="lt-LT"/>
              </w:rPr>
              <w:t>veido</w:t>
            </w:r>
            <w:r w:rsidRPr="00660C98">
              <w:rPr>
                <w:rFonts w:ascii="Times New Roman" w:hAnsi="Times New Roman"/>
                <w:lang w:val="fi-FI"/>
              </w:rPr>
              <w:t xml:space="preserve"> </w:t>
            </w:r>
            <w:r w:rsidRPr="00660C98">
              <w:rPr>
                <w:rFonts w:ascii="Times New Roman" w:hAnsi="Times New Roman"/>
                <w:lang w:val="lt-LT"/>
              </w:rPr>
              <w:t>edemą</w:t>
            </w:r>
            <w:r w:rsidRPr="00660C98">
              <w:rPr>
                <w:rFonts w:ascii="Times New Roman" w:hAnsi="Times New Roman"/>
                <w:lang w:val="fi-FI"/>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en-GB"/>
              </w:rPr>
            </w:pPr>
            <w:r w:rsidRPr="00660C98">
              <w:rPr>
                <w:rFonts w:ascii="Times New Roman" w:hAnsi="Times New Roman"/>
                <w:i/>
                <w:snapToGrid w:val="0"/>
                <w:lang w:val="lt-LT"/>
              </w:rPr>
              <w:t>Psichikos</w:t>
            </w:r>
            <w:r w:rsidRPr="00660C98">
              <w:rPr>
                <w:rFonts w:ascii="Times New Roman" w:hAnsi="Times New Roman"/>
                <w:i/>
                <w:snapToGrid w:val="0"/>
                <w:lang w:val="en-GB"/>
              </w:rPr>
              <w:t xml:space="preserve"> </w:t>
            </w:r>
            <w:r w:rsidRPr="00660C98">
              <w:rPr>
                <w:rFonts w:ascii="Times New Roman" w:hAnsi="Times New Roman"/>
                <w:i/>
                <w:snapToGrid w:val="0"/>
                <w:lang w:val="lt-LT"/>
              </w:rPr>
              <w:t>sutrikimai</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Dezorientacija</w:t>
            </w:r>
            <w:r w:rsidRPr="00660C98">
              <w:rPr>
                <w:rFonts w:ascii="Times New Roman" w:hAnsi="Times New Roman"/>
                <w:lang w:val="fi-FI"/>
              </w:rPr>
              <w:t xml:space="preserve">, </w:t>
            </w:r>
            <w:r w:rsidRPr="00660C98">
              <w:rPr>
                <w:rFonts w:ascii="Times New Roman" w:hAnsi="Times New Roman"/>
                <w:lang w:val="lt-LT"/>
              </w:rPr>
              <w:t>depresija</w:t>
            </w:r>
            <w:r w:rsidRPr="00660C98">
              <w:rPr>
                <w:rFonts w:ascii="Times New Roman" w:hAnsi="Times New Roman"/>
                <w:lang w:val="fi-FI"/>
              </w:rPr>
              <w:t xml:space="preserve">, </w:t>
            </w:r>
            <w:r w:rsidRPr="00660C98">
              <w:rPr>
                <w:rFonts w:ascii="Times New Roman" w:hAnsi="Times New Roman"/>
                <w:lang w:val="lt-LT"/>
              </w:rPr>
              <w:t>nemiga</w:t>
            </w:r>
            <w:r w:rsidRPr="00660C98">
              <w:rPr>
                <w:rFonts w:ascii="Times New Roman" w:hAnsi="Times New Roman"/>
                <w:lang w:val="fi-FI"/>
              </w:rPr>
              <w:t xml:space="preserve">, </w:t>
            </w:r>
            <w:r w:rsidRPr="00660C98">
              <w:rPr>
                <w:rFonts w:ascii="Times New Roman" w:hAnsi="Times New Roman"/>
                <w:lang w:val="lt-LT"/>
              </w:rPr>
              <w:t>nakties</w:t>
            </w:r>
            <w:r w:rsidRPr="00660C98">
              <w:rPr>
                <w:rFonts w:ascii="Times New Roman" w:hAnsi="Times New Roman"/>
                <w:lang w:val="fi-FI"/>
              </w:rPr>
              <w:t xml:space="preserve"> </w:t>
            </w:r>
            <w:r w:rsidRPr="00660C98">
              <w:rPr>
                <w:rFonts w:ascii="Times New Roman" w:hAnsi="Times New Roman"/>
                <w:lang w:val="lt-LT"/>
              </w:rPr>
              <w:t>košmarai</w:t>
            </w:r>
            <w:r w:rsidRPr="00660C98">
              <w:rPr>
                <w:rFonts w:ascii="Times New Roman" w:hAnsi="Times New Roman"/>
                <w:lang w:val="fi-FI"/>
              </w:rPr>
              <w:t xml:space="preserve">, </w:t>
            </w:r>
            <w:r w:rsidRPr="00660C98">
              <w:rPr>
                <w:rFonts w:ascii="Times New Roman" w:hAnsi="Times New Roman"/>
                <w:lang w:val="lt-LT"/>
              </w:rPr>
              <w:t>dirglumas</w:t>
            </w:r>
            <w:r w:rsidRPr="00660C98">
              <w:rPr>
                <w:rFonts w:ascii="Times New Roman" w:hAnsi="Times New Roman"/>
                <w:lang w:val="fi-FI"/>
              </w:rPr>
              <w:t xml:space="preserve">, </w:t>
            </w:r>
            <w:proofErr w:type="spellStart"/>
            <w:r w:rsidRPr="00660C98">
              <w:rPr>
                <w:rFonts w:ascii="Times New Roman" w:hAnsi="Times New Roman"/>
                <w:lang w:val="lt-LT"/>
              </w:rPr>
              <w:t>psichozinė</w:t>
            </w:r>
            <w:proofErr w:type="spellEnd"/>
            <w:r w:rsidRPr="00660C98">
              <w:rPr>
                <w:rFonts w:ascii="Times New Roman" w:hAnsi="Times New Roman"/>
                <w:lang w:val="fi-FI"/>
              </w:rPr>
              <w:t xml:space="preserve"> </w:t>
            </w:r>
            <w:r w:rsidRPr="00660C98">
              <w:rPr>
                <w:rFonts w:ascii="Times New Roman" w:hAnsi="Times New Roman"/>
                <w:lang w:val="lt-LT"/>
              </w:rPr>
              <w:t>reakcija</w:t>
            </w:r>
            <w:r w:rsidRPr="00660C98">
              <w:rPr>
                <w:rFonts w:ascii="Times New Roman" w:hAnsi="Times New Roman"/>
                <w:lang w:val="fi-FI"/>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jc w:val="both"/>
              <w:rPr>
                <w:rFonts w:ascii="Times New Roman" w:hAnsi="Times New Roman"/>
                <w:i/>
                <w:lang w:val="en-GB"/>
              </w:rPr>
            </w:pPr>
            <w:r w:rsidRPr="00660C98">
              <w:rPr>
                <w:rFonts w:ascii="Times New Roman" w:hAnsi="Times New Roman"/>
                <w:i/>
                <w:snapToGrid w:val="0"/>
                <w:lang w:val="lt-LT"/>
              </w:rPr>
              <w:t>Nervų</w:t>
            </w:r>
            <w:r w:rsidRPr="00660C98">
              <w:rPr>
                <w:rFonts w:ascii="Times New Roman" w:hAnsi="Times New Roman"/>
                <w:i/>
                <w:snapToGrid w:val="0"/>
                <w:lang w:val="en-GB"/>
              </w:rPr>
              <w:t xml:space="preserve"> </w:t>
            </w:r>
            <w:r w:rsidRPr="00660C98">
              <w:rPr>
                <w:rFonts w:ascii="Times New Roman" w:hAnsi="Times New Roman"/>
                <w:i/>
                <w:snapToGrid w:val="0"/>
                <w:lang w:val="lt-LT"/>
              </w:rPr>
              <w:t>sistemos</w:t>
            </w:r>
            <w:r w:rsidRPr="00660C98">
              <w:rPr>
                <w:rFonts w:ascii="Times New Roman" w:hAnsi="Times New Roman"/>
                <w:i/>
                <w:snapToGrid w:val="0"/>
                <w:lang w:val="en-GB"/>
              </w:rPr>
              <w:t xml:space="preserve"> </w:t>
            </w:r>
            <w:r w:rsidRPr="00660C98">
              <w:rPr>
                <w:rFonts w:ascii="Times New Roman" w:hAnsi="Times New Roman"/>
                <w:i/>
                <w:snapToGrid w:val="0"/>
                <w:lang w:val="lt-LT"/>
              </w:rPr>
              <w:t>sutrikimai</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Dažni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jc w:val="both"/>
              <w:rPr>
                <w:rFonts w:ascii="Times New Roman" w:hAnsi="Times New Roman"/>
                <w:lang w:val="en-GB"/>
              </w:rPr>
            </w:pPr>
            <w:r w:rsidRPr="00660C98">
              <w:rPr>
                <w:rFonts w:ascii="Times New Roman" w:hAnsi="Times New Roman"/>
                <w:lang w:val="lt-LT"/>
              </w:rPr>
              <w:t>Galvos</w:t>
            </w:r>
            <w:r w:rsidRPr="00660C98">
              <w:rPr>
                <w:rFonts w:ascii="Times New Roman" w:hAnsi="Times New Roman"/>
                <w:lang w:val="en-GB"/>
              </w:rPr>
              <w:t xml:space="preserve"> </w:t>
            </w:r>
            <w:r w:rsidRPr="00660C98">
              <w:rPr>
                <w:rFonts w:ascii="Times New Roman" w:hAnsi="Times New Roman"/>
                <w:lang w:val="lt-LT"/>
              </w:rPr>
              <w:t>skausmas</w:t>
            </w:r>
            <w:r w:rsidRPr="00660C98">
              <w:rPr>
                <w:rFonts w:ascii="Times New Roman" w:hAnsi="Times New Roman"/>
                <w:lang w:val="en-GB"/>
              </w:rPr>
              <w:t xml:space="preserve">, </w:t>
            </w:r>
            <w:r w:rsidRPr="00660C98">
              <w:rPr>
                <w:rFonts w:ascii="Times New Roman" w:hAnsi="Times New Roman"/>
                <w:lang w:val="lt-LT"/>
              </w:rPr>
              <w:t>galvos</w:t>
            </w:r>
            <w:r w:rsidRPr="00660C98">
              <w:rPr>
                <w:rFonts w:ascii="Times New Roman" w:hAnsi="Times New Roman"/>
                <w:lang w:val="en-GB"/>
              </w:rPr>
              <w:t xml:space="preserve"> </w:t>
            </w:r>
            <w:r w:rsidRPr="00660C98">
              <w:rPr>
                <w:rFonts w:ascii="Times New Roman" w:hAnsi="Times New Roman"/>
                <w:lang w:val="lt-LT"/>
              </w:rPr>
              <w:t>svaigimas</w:t>
            </w:r>
            <w:r w:rsidRPr="00660C98">
              <w:rPr>
                <w:rFonts w:ascii="Times New Roman" w:hAnsi="Times New Roman"/>
                <w:lang w:val="en-GB"/>
              </w:rPr>
              <w:t>.</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Reti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jc w:val="both"/>
              <w:rPr>
                <w:rFonts w:ascii="Times New Roman" w:hAnsi="Times New Roman"/>
                <w:lang w:val="en-GB"/>
              </w:rPr>
            </w:pPr>
            <w:r w:rsidRPr="00660C98">
              <w:rPr>
                <w:rFonts w:ascii="Times New Roman" w:hAnsi="Times New Roman"/>
                <w:lang w:val="lt-LT"/>
              </w:rPr>
              <w:t>Mieguistumas</w:t>
            </w:r>
            <w:r w:rsidRPr="00660C98">
              <w:rPr>
                <w:rFonts w:ascii="Times New Roman" w:hAnsi="Times New Roman"/>
                <w:lang w:val="en-GB"/>
              </w:rPr>
              <w:t>.</w:t>
            </w:r>
          </w:p>
        </w:tc>
      </w:tr>
      <w:tr w:rsidR="00660C98" w:rsidRPr="00C10856" w:rsidTr="00D204E7">
        <w:tc>
          <w:tcPr>
            <w:tcW w:w="567" w:type="dxa"/>
          </w:tcPr>
          <w:p w:rsidR="00660C98" w:rsidRPr="00660C98" w:rsidRDefault="00660C98" w:rsidP="00660C98">
            <w:pPr>
              <w:tabs>
                <w:tab w:val="left" w:pos="284"/>
              </w:tabs>
              <w:spacing w:after="0" w:line="240" w:lineRule="auto"/>
              <w:rPr>
                <w:rFonts w:ascii="Times New Roman" w:hAnsi="Times New Roman"/>
                <w:lang w:val="en-GB"/>
              </w:rPr>
            </w:pPr>
          </w:p>
        </w:tc>
        <w:tc>
          <w:tcPr>
            <w:tcW w:w="2552" w:type="dxa"/>
          </w:tcPr>
          <w:p w:rsidR="00660C98" w:rsidRPr="00660C98" w:rsidRDefault="00660C98" w:rsidP="00660C98">
            <w:pPr>
              <w:tabs>
                <w:tab w:val="left" w:pos="284"/>
              </w:tabs>
              <w:spacing w:after="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keepNext/>
              <w:keepLines/>
              <w:tabs>
                <w:tab w:val="left" w:pos="284"/>
              </w:tabs>
              <w:spacing w:before="40" w:after="20" w:line="240" w:lineRule="auto"/>
              <w:rPr>
                <w:rFonts w:ascii="Times New Roman" w:hAnsi="Times New Roman"/>
                <w:lang w:val="fi-FI"/>
              </w:rPr>
            </w:pPr>
            <w:proofErr w:type="spellStart"/>
            <w:r w:rsidRPr="00660C98">
              <w:rPr>
                <w:rFonts w:ascii="Times New Roman" w:hAnsi="Times New Roman"/>
                <w:lang w:val="lt-LT"/>
              </w:rPr>
              <w:t>Parestezija</w:t>
            </w:r>
            <w:proofErr w:type="spellEnd"/>
            <w:r w:rsidRPr="00660C98">
              <w:rPr>
                <w:rFonts w:ascii="Times New Roman" w:hAnsi="Times New Roman"/>
                <w:lang w:val="fi-FI"/>
              </w:rPr>
              <w:t xml:space="preserve">, </w:t>
            </w:r>
            <w:r w:rsidRPr="00660C98">
              <w:rPr>
                <w:rFonts w:ascii="Times New Roman" w:hAnsi="Times New Roman"/>
                <w:lang w:val="lt-LT"/>
              </w:rPr>
              <w:t>atminties</w:t>
            </w:r>
            <w:r w:rsidRPr="00660C98">
              <w:rPr>
                <w:rFonts w:ascii="Times New Roman" w:hAnsi="Times New Roman"/>
                <w:lang w:val="fi-FI"/>
              </w:rPr>
              <w:t xml:space="preserve"> </w:t>
            </w:r>
            <w:r w:rsidRPr="00660C98">
              <w:rPr>
                <w:rFonts w:ascii="Times New Roman" w:hAnsi="Times New Roman"/>
                <w:lang w:val="lt-LT"/>
              </w:rPr>
              <w:t>sutrikimas</w:t>
            </w:r>
            <w:r w:rsidRPr="00660C98">
              <w:rPr>
                <w:rFonts w:ascii="Times New Roman" w:hAnsi="Times New Roman"/>
                <w:lang w:val="fi-FI"/>
              </w:rPr>
              <w:t xml:space="preserve">, </w:t>
            </w:r>
            <w:r w:rsidRPr="00660C98">
              <w:rPr>
                <w:rFonts w:ascii="Times New Roman" w:hAnsi="Times New Roman"/>
                <w:lang w:val="lt-LT"/>
              </w:rPr>
              <w:t>traukuliai</w:t>
            </w:r>
            <w:r w:rsidRPr="00660C98">
              <w:rPr>
                <w:rFonts w:ascii="Times New Roman" w:hAnsi="Times New Roman"/>
                <w:lang w:val="fi-FI"/>
              </w:rPr>
              <w:t xml:space="preserve">, </w:t>
            </w:r>
            <w:r w:rsidRPr="00660C98">
              <w:rPr>
                <w:rFonts w:ascii="Times New Roman" w:hAnsi="Times New Roman"/>
                <w:lang w:val="lt-LT"/>
              </w:rPr>
              <w:t>nerimas</w:t>
            </w:r>
            <w:r w:rsidRPr="00660C98">
              <w:rPr>
                <w:rFonts w:ascii="Times New Roman" w:hAnsi="Times New Roman"/>
                <w:lang w:val="fi-FI"/>
              </w:rPr>
              <w:t xml:space="preserve">, </w:t>
            </w:r>
            <w:proofErr w:type="spellStart"/>
            <w:r w:rsidRPr="00660C98">
              <w:rPr>
                <w:rFonts w:ascii="Times New Roman" w:hAnsi="Times New Roman"/>
                <w:lang w:val="lt-LT"/>
              </w:rPr>
              <w:t>tremoras</w:t>
            </w:r>
            <w:proofErr w:type="spellEnd"/>
            <w:r w:rsidRPr="00660C98">
              <w:rPr>
                <w:rFonts w:ascii="Times New Roman" w:hAnsi="Times New Roman"/>
                <w:lang w:val="fi-FI"/>
              </w:rPr>
              <w:t xml:space="preserve">, </w:t>
            </w:r>
            <w:proofErr w:type="spellStart"/>
            <w:r w:rsidRPr="00660C98">
              <w:rPr>
                <w:rFonts w:ascii="Times New Roman" w:hAnsi="Times New Roman"/>
                <w:lang w:val="lt-LT"/>
              </w:rPr>
              <w:t>aseptinis</w:t>
            </w:r>
            <w:proofErr w:type="spellEnd"/>
            <w:r w:rsidRPr="00660C98">
              <w:rPr>
                <w:rFonts w:ascii="Times New Roman" w:hAnsi="Times New Roman"/>
                <w:lang w:val="fi-FI"/>
              </w:rPr>
              <w:t xml:space="preserve"> </w:t>
            </w:r>
            <w:r w:rsidRPr="00660C98">
              <w:rPr>
                <w:rFonts w:ascii="Times New Roman" w:hAnsi="Times New Roman"/>
                <w:lang w:val="lt-LT"/>
              </w:rPr>
              <w:t>meningitas</w:t>
            </w:r>
            <w:r w:rsidRPr="00660C98">
              <w:rPr>
                <w:rFonts w:ascii="Times New Roman" w:hAnsi="Times New Roman"/>
                <w:lang w:val="fi-FI"/>
              </w:rPr>
              <w:t xml:space="preserve">, disgeuzija, </w:t>
            </w:r>
            <w:proofErr w:type="spellStart"/>
            <w:r w:rsidRPr="00660C98">
              <w:rPr>
                <w:rFonts w:ascii="Times New Roman" w:hAnsi="Times New Roman"/>
                <w:lang w:val="lt-LT"/>
              </w:rPr>
              <w:t>cerebrovaskuliniai</w:t>
            </w:r>
            <w:proofErr w:type="spellEnd"/>
            <w:r w:rsidRPr="00660C98">
              <w:rPr>
                <w:rFonts w:ascii="Times New Roman" w:hAnsi="Times New Roman"/>
                <w:lang w:val="fi-FI"/>
              </w:rPr>
              <w:t xml:space="preserve"> </w:t>
            </w:r>
            <w:r w:rsidRPr="00660C98">
              <w:rPr>
                <w:rFonts w:ascii="Times New Roman" w:hAnsi="Times New Roman"/>
                <w:lang w:val="lt-LT"/>
              </w:rPr>
              <w:t>reiškiniai</w:t>
            </w:r>
            <w:r w:rsidRPr="00660C98">
              <w:rPr>
                <w:rFonts w:ascii="Times New Roman" w:hAnsi="Times New Roman"/>
                <w:lang w:val="fi-FI"/>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en-GB"/>
              </w:rPr>
            </w:pPr>
            <w:r w:rsidRPr="00660C98">
              <w:rPr>
                <w:rFonts w:ascii="Times New Roman" w:hAnsi="Times New Roman"/>
                <w:i/>
                <w:snapToGrid w:val="0"/>
                <w:lang w:val="lt-LT"/>
              </w:rPr>
              <w:t>Akių sutrikimai</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bCs/>
                <w:lang w:val="sv-SE"/>
              </w:rPr>
            </w:pPr>
            <w:r w:rsidRPr="00660C98">
              <w:rPr>
                <w:rFonts w:ascii="Times New Roman" w:hAnsi="Times New Roman"/>
                <w:bCs/>
                <w:lang w:val="lt-LT"/>
              </w:rPr>
              <w:t>Regos</w:t>
            </w:r>
            <w:r w:rsidRPr="00660C98">
              <w:rPr>
                <w:rFonts w:ascii="Times New Roman" w:hAnsi="Times New Roman"/>
                <w:bCs/>
                <w:lang w:val="sv-SE"/>
              </w:rPr>
              <w:t xml:space="preserve"> </w:t>
            </w:r>
            <w:r w:rsidRPr="00660C98">
              <w:rPr>
                <w:rFonts w:ascii="Times New Roman" w:hAnsi="Times New Roman"/>
                <w:bCs/>
                <w:lang w:val="lt-LT"/>
              </w:rPr>
              <w:t>sutrikimas</w:t>
            </w:r>
            <w:r w:rsidRPr="00660C98">
              <w:rPr>
                <w:rFonts w:ascii="Times New Roman" w:hAnsi="Times New Roman"/>
                <w:bCs/>
                <w:lang w:val="sv-SE"/>
              </w:rPr>
              <w:t xml:space="preserve">, </w:t>
            </w:r>
            <w:r w:rsidRPr="00660C98">
              <w:rPr>
                <w:rFonts w:ascii="Times New Roman" w:hAnsi="Times New Roman"/>
                <w:bCs/>
                <w:lang w:val="lt-LT"/>
              </w:rPr>
              <w:t>matymas</w:t>
            </w:r>
            <w:r w:rsidRPr="00660C98">
              <w:rPr>
                <w:rFonts w:ascii="Times New Roman" w:hAnsi="Times New Roman"/>
                <w:bCs/>
                <w:lang w:val="sv-SE"/>
              </w:rPr>
              <w:t xml:space="preserve"> </w:t>
            </w:r>
            <w:r w:rsidRPr="00660C98">
              <w:rPr>
                <w:rFonts w:ascii="Times New Roman" w:hAnsi="Times New Roman"/>
                <w:bCs/>
                <w:lang w:val="lt-LT"/>
              </w:rPr>
              <w:t>lyg</w:t>
            </w:r>
            <w:r w:rsidRPr="00660C98">
              <w:rPr>
                <w:rFonts w:ascii="Times New Roman" w:hAnsi="Times New Roman"/>
                <w:bCs/>
                <w:lang w:val="sv-SE"/>
              </w:rPr>
              <w:t xml:space="preserve"> per </w:t>
            </w:r>
            <w:r w:rsidRPr="00660C98">
              <w:rPr>
                <w:rFonts w:ascii="Times New Roman" w:hAnsi="Times New Roman"/>
                <w:bCs/>
                <w:lang w:val="lt-LT"/>
              </w:rPr>
              <w:t>miglą</w:t>
            </w:r>
            <w:r w:rsidRPr="00660C98">
              <w:rPr>
                <w:rFonts w:ascii="Times New Roman" w:hAnsi="Times New Roman"/>
                <w:bCs/>
                <w:lang w:val="sv-SE"/>
              </w:rPr>
              <w:t xml:space="preserve">, </w:t>
            </w:r>
            <w:r w:rsidRPr="00660C98">
              <w:rPr>
                <w:rFonts w:ascii="Times New Roman" w:hAnsi="Times New Roman"/>
                <w:bCs/>
                <w:lang w:val="lt-LT"/>
              </w:rPr>
              <w:t>dvejinimasis</w:t>
            </w:r>
            <w:r w:rsidRPr="00660C98">
              <w:rPr>
                <w:rFonts w:ascii="Times New Roman" w:hAnsi="Times New Roman"/>
                <w:bCs/>
                <w:lang w:val="sv-SE"/>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en-GB"/>
              </w:rPr>
            </w:pPr>
            <w:r w:rsidRPr="00660C98">
              <w:rPr>
                <w:rFonts w:ascii="Times New Roman" w:hAnsi="Times New Roman"/>
                <w:i/>
                <w:snapToGrid w:val="0"/>
                <w:lang w:val="lt-LT"/>
              </w:rPr>
              <w:t>Ausų</w:t>
            </w:r>
            <w:r w:rsidRPr="00660C98">
              <w:rPr>
                <w:rFonts w:ascii="Times New Roman" w:hAnsi="Times New Roman"/>
                <w:i/>
                <w:snapToGrid w:val="0"/>
                <w:lang w:val="en-GB"/>
              </w:rPr>
              <w:t xml:space="preserve"> </w:t>
            </w:r>
            <w:r w:rsidRPr="00660C98">
              <w:rPr>
                <w:rFonts w:ascii="Times New Roman" w:hAnsi="Times New Roman"/>
                <w:i/>
                <w:snapToGrid w:val="0"/>
                <w:lang w:val="lt-LT"/>
              </w:rPr>
              <w:t>ir</w:t>
            </w:r>
            <w:r w:rsidRPr="00660C98">
              <w:rPr>
                <w:rFonts w:ascii="Times New Roman" w:hAnsi="Times New Roman"/>
                <w:i/>
                <w:snapToGrid w:val="0"/>
                <w:lang w:val="en-GB"/>
              </w:rPr>
              <w:t xml:space="preserve"> </w:t>
            </w:r>
            <w:r w:rsidRPr="00660C98">
              <w:rPr>
                <w:rFonts w:ascii="Times New Roman" w:hAnsi="Times New Roman"/>
                <w:i/>
                <w:snapToGrid w:val="0"/>
                <w:lang w:val="lt-LT"/>
              </w:rPr>
              <w:t>labirintų</w:t>
            </w:r>
            <w:r w:rsidRPr="00660C98">
              <w:rPr>
                <w:rFonts w:ascii="Times New Roman" w:hAnsi="Times New Roman"/>
                <w:i/>
                <w:snapToGrid w:val="0"/>
                <w:lang w:val="en-GB"/>
              </w:rPr>
              <w:t xml:space="preserve"> </w:t>
            </w:r>
            <w:r w:rsidRPr="00660C98">
              <w:rPr>
                <w:rFonts w:ascii="Times New Roman" w:hAnsi="Times New Roman"/>
                <w:i/>
                <w:snapToGrid w:val="0"/>
                <w:lang w:val="lt-LT"/>
              </w:rPr>
              <w:t>sutrikimai</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Dažni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Galvos</w:t>
            </w:r>
            <w:r w:rsidRPr="00660C98">
              <w:rPr>
                <w:rFonts w:ascii="Times New Roman" w:hAnsi="Times New Roman"/>
                <w:lang w:val="en-GB"/>
              </w:rPr>
              <w:t xml:space="preserve"> </w:t>
            </w:r>
            <w:r w:rsidRPr="00660C98">
              <w:rPr>
                <w:rFonts w:ascii="Times New Roman" w:hAnsi="Times New Roman"/>
                <w:lang w:val="lt-LT"/>
              </w:rPr>
              <w:t>svaigimas</w:t>
            </w:r>
            <w:r w:rsidRPr="00660C98">
              <w:rPr>
                <w:rFonts w:ascii="Times New Roman" w:hAnsi="Times New Roman"/>
                <w:lang w:val="en-GB"/>
              </w:rPr>
              <w:t>.</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Spengimas</w:t>
            </w:r>
            <w:r w:rsidRPr="00660C98">
              <w:rPr>
                <w:rFonts w:ascii="Times New Roman" w:hAnsi="Times New Roman"/>
                <w:lang w:val="en-GB"/>
              </w:rPr>
              <w:t xml:space="preserve"> </w:t>
            </w:r>
            <w:r w:rsidRPr="00660C98">
              <w:rPr>
                <w:rFonts w:ascii="Times New Roman" w:hAnsi="Times New Roman"/>
                <w:lang w:val="lt-LT"/>
              </w:rPr>
              <w:t>ausyse</w:t>
            </w:r>
            <w:r w:rsidRPr="00660C98">
              <w:rPr>
                <w:rFonts w:ascii="Times New Roman" w:hAnsi="Times New Roman"/>
                <w:lang w:val="en-GB"/>
              </w:rPr>
              <w:t xml:space="preserve">, </w:t>
            </w:r>
            <w:r w:rsidRPr="00660C98">
              <w:rPr>
                <w:rFonts w:ascii="Times New Roman" w:hAnsi="Times New Roman"/>
                <w:lang w:val="lt-LT"/>
              </w:rPr>
              <w:t>klausos</w:t>
            </w:r>
            <w:r w:rsidRPr="00660C98">
              <w:rPr>
                <w:rFonts w:ascii="Times New Roman" w:hAnsi="Times New Roman"/>
                <w:lang w:val="en-GB"/>
              </w:rPr>
              <w:t xml:space="preserve"> </w:t>
            </w:r>
            <w:r w:rsidRPr="00660C98">
              <w:rPr>
                <w:rFonts w:ascii="Times New Roman" w:hAnsi="Times New Roman"/>
                <w:lang w:val="lt-LT"/>
              </w:rPr>
              <w:t>susilpnėjimas</w:t>
            </w:r>
            <w:r w:rsidRPr="00660C98">
              <w:rPr>
                <w:rFonts w:ascii="Times New Roman" w:hAnsi="Times New Roman"/>
                <w:lang w:val="en-GB"/>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en-GB"/>
              </w:rPr>
            </w:pPr>
            <w:r w:rsidRPr="00660C98">
              <w:rPr>
                <w:rFonts w:ascii="Times New Roman" w:hAnsi="Times New Roman"/>
                <w:i/>
                <w:snapToGrid w:val="0"/>
                <w:lang w:val="lt-LT"/>
              </w:rPr>
              <w:t>Širdies</w:t>
            </w:r>
            <w:r w:rsidRPr="00660C98">
              <w:rPr>
                <w:rFonts w:ascii="Times New Roman" w:hAnsi="Times New Roman"/>
                <w:i/>
                <w:snapToGrid w:val="0"/>
                <w:lang w:val="en-GB"/>
              </w:rPr>
              <w:t xml:space="preserve"> </w:t>
            </w:r>
            <w:r w:rsidRPr="00660C98">
              <w:rPr>
                <w:rFonts w:ascii="Times New Roman" w:hAnsi="Times New Roman"/>
                <w:i/>
                <w:snapToGrid w:val="0"/>
                <w:lang w:val="lt-LT"/>
              </w:rPr>
              <w:t>sutrikimai</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Nedažni</w:t>
            </w:r>
            <w:r w:rsidRPr="00660C98">
              <w:rPr>
                <w:rFonts w:ascii="Times New Roman" w:hAnsi="Times New Roman"/>
              </w:rPr>
              <w:t>*</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 xml:space="preserve">Miokardo infarktas, širdies nepakankamumas, </w:t>
            </w:r>
            <w:proofErr w:type="spellStart"/>
            <w:r w:rsidRPr="00660C98">
              <w:rPr>
                <w:rFonts w:ascii="Times New Roman" w:hAnsi="Times New Roman"/>
                <w:lang w:val="lt-LT"/>
              </w:rPr>
              <w:t>palpitatacija</w:t>
            </w:r>
            <w:proofErr w:type="spellEnd"/>
            <w:r w:rsidRPr="00660C98">
              <w:rPr>
                <w:rFonts w:ascii="Times New Roman" w:hAnsi="Times New Roman"/>
                <w:lang w:val="fi-FI"/>
              </w:rPr>
              <w:t xml:space="preserve">, </w:t>
            </w:r>
            <w:r w:rsidRPr="00660C98">
              <w:rPr>
                <w:rFonts w:ascii="Times New Roman" w:hAnsi="Times New Roman"/>
                <w:lang w:val="lt-LT"/>
              </w:rPr>
              <w:t>krūtinės</w:t>
            </w:r>
            <w:r w:rsidRPr="00660C98">
              <w:rPr>
                <w:rFonts w:ascii="Times New Roman" w:hAnsi="Times New Roman"/>
                <w:lang w:val="fi-FI"/>
              </w:rPr>
              <w:t xml:space="preserve"> </w:t>
            </w:r>
            <w:r w:rsidRPr="00660C98">
              <w:rPr>
                <w:rFonts w:ascii="Times New Roman" w:hAnsi="Times New Roman"/>
                <w:lang w:val="lt-LT"/>
              </w:rPr>
              <w:t>skausmas</w:t>
            </w:r>
            <w:r w:rsidRPr="00660C98">
              <w:rPr>
                <w:rFonts w:ascii="Times New Roman" w:hAnsi="Times New Roman"/>
                <w:lang w:val="fi-FI"/>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en-GB"/>
              </w:rPr>
            </w:pPr>
            <w:r w:rsidRPr="00660C98">
              <w:rPr>
                <w:rFonts w:ascii="Times New Roman" w:hAnsi="Times New Roman"/>
                <w:i/>
                <w:snapToGrid w:val="0"/>
                <w:lang w:val="lt-LT"/>
              </w:rPr>
              <w:t>Kraujagyslių</w:t>
            </w:r>
            <w:r w:rsidRPr="00660C98">
              <w:rPr>
                <w:rFonts w:ascii="Times New Roman" w:hAnsi="Times New Roman"/>
                <w:i/>
                <w:snapToGrid w:val="0"/>
                <w:lang w:val="en-GB"/>
              </w:rPr>
              <w:t xml:space="preserve"> </w:t>
            </w:r>
            <w:r w:rsidRPr="00660C98">
              <w:rPr>
                <w:rFonts w:ascii="Times New Roman" w:hAnsi="Times New Roman"/>
                <w:i/>
                <w:snapToGrid w:val="0"/>
                <w:lang w:val="lt-LT"/>
              </w:rPr>
              <w:t>sutrikimai</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Hipertenzija</w:t>
            </w:r>
            <w:r w:rsidRPr="00660C98">
              <w:rPr>
                <w:rFonts w:ascii="Times New Roman" w:hAnsi="Times New Roman"/>
                <w:lang w:val="en-GB"/>
              </w:rPr>
              <w:t xml:space="preserve">, </w:t>
            </w:r>
            <w:proofErr w:type="spellStart"/>
            <w:r w:rsidRPr="00660C98">
              <w:rPr>
                <w:rFonts w:ascii="Times New Roman" w:hAnsi="Times New Roman"/>
                <w:lang w:val="lt-LT"/>
              </w:rPr>
              <w:t>vaskulitas</w:t>
            </w:r>
            <w:proofErr w:type="spellEnd"/>
            <w:r w:rsidRPr="00660C98">
              <w:rPr>
                <w:rFonts w:ascii="Times New Roman" w:hAnsi="Times New Roman"/>
                <w:lang w:val="en-GB"/>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lt-LT"/>
              </w:rPr>
            </w:pPr>
            <w:r w:rsidRPr="00660C98">
              <w:rPr>
                <w:rFonts w:ascii="Times New Roman" w:hAnsi="Times New Roman"/>
                <w:i/>
                <w:snapToGrid w:val="0"/>
                <w:lang w:val="lt-LT"/>
              </w:rPr>
              <w:t>Kvėpavimo sistemos, krūtinės ląstos ir tarpuplaučio sutrikimai</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lt-LT"/>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Reti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Astma</w:t>
            </w:r>
            <w:r w:rsidRPr="00660C98">
              <w:rPr>
                <w:rFonts w:ascii="Times New Roman" w:hAnsi="Times New Roman"/>
                <w:lang w:val="en-GB"/>
              </w:rPr>
              <w:t xml:space="preserve"> (</w:t>
            </w:r>
            <w:r w:rsidRPr="00660C98">
              <w:rPr>
                <w:rFonts w:ascii="Times New Roman" w:hAnsi="Times New Roman"/>
                <w:lang w:val="lt-LT"/>
              </w:rPr>
              <w:t>įskaitant</w:t>
            </w:r>
            <w:r w:rsidRPr="00660C98">
              <w:rPr>
                <w:rFonts w:ascii="Times New Roman" w:hAnsi="Times New Roman"/>
                <w:lang w:val="en-GB"/>
              </w:rPr>
              <w:t xml:space="preserve"> </w:t>
            </w:r>
            <w:proofErr w:type="spellStart"/>
            <w:r w:rsidRPr="00660C98">
              <w:rPr>
                <w:rFonts w:ascii="Times New Roman" w:hAnsi="Times New Roman"/>
                <w:lang w:val="lt-LT"/>
              </w:rPr>
              <w:t>dispnėją</w:t>
            </w:r>
            <w:proofErr w:type="spellEnd"/>
            <w:r w:rsidRPr="00660C98">
              <w:rPr>
                <w:rFonts w:ascii="Times New Roman" w:hAnsi="Times New Roman"/>
                <w:lang w:val="en-GB"/>
              </w:rPr>
              <w:t>).</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n-GB"/>
              </w:rPr>
            </w:pPr>
            <w:proofErr w:type="spellStart"/>
            <w:r w:rsidRPr="00660C98">
              <w:rPr>
                <w:rFonts w:ascii="Times New Roman" w:hAnsi="Times New Roman"/>
                <w:lang w:val="lt-LT"/>
              </w:rPr>
              <w:t>Pneumonitas</w:t>
            </w:r>
            <w:proofErr w:type="spellEnd"/>
            <w:r w:rsidRPr="00660C98">
              <w:rPr>
                <w:rFonts w:ascii="Times New Roman" w:hAnsi="Times New Roman"/>
                <w:lang w:val="en-GB"/>
              </w:rPr>
              <w:t>.</w:t>
            </w:r>
          </w:p>
          <w:p w:rsidR="00660C98" w:rsidRPr="00660C98" w:rsidRDefault="00660C98" w:rsidP="00660C98">
            <w:pPr>
              <w:tabs>
                <w:tab w:val="left" w:pos="284"/>
              </w:tabs>
              <w:spacing w:before="40" w:after="20" w:line="240" w:lineRule="auto"/>
              <w:rPr>
                <w:rFonts w:ascii="Times New Roman" w:hAnsi="Times New Roman"/>
                <w:lang w:val="en-GB"/>
              </w:rPr>
            </w:pP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en-GB"/>
              </w:rPr>
            </w:pPr>
            <w:r w:rsidRPr="00660C98">
              <w:rPr>
                <w:rFonts w:ascii="Times New Roman" w:hAnsi="Times New Roman"/>
                <w:i/>
                <w:snapToGrid w:val="0"/>
                <w:lang w:val="lt-LT"/>
              </w:rPr>
              <w:t>Virškinimo</w:t>
            </w:r>
            <w:r w:rsidRPr="00660C98">
              <w:rPr>
                <w:rFonts w:ascii="Times New Roman" w:hAnsi="Times New Roman"/>
                <w:i/>
                <w:snapToGrid w:val="0"/>
                <w:lang w:val="en-GB"/>
              </w:rPr>
              <w:t xml:space="preserve"> </w:t>
            </w:r>
            <w:r w:rsidRPr="00660C98">
              <w:rPr>
                <w:rFonts w:ascii="Times New Roman" w:hAnsi="Times New Roman"/>
                <w:i/>
                <w:snapToGrid w:val="0"/>
                <w:lang w:val="lt-LT"/>
              </w:rPr>
              <w:t>trakto</w:t>
            </w:r>
            <w:r w:rsidRPr="00660C98">
              <w:rPr>
                <w:rFonts w:ascii="Times New Roman" w:hAnsi="Times New Roman"/>
                <w:i/>
                <w:snapToGrid w:val="0"/>
                <w:lang w:val="en-GB"/>
              </w:rPr>
              <w:t xml:space="preserve"> </w:t>
            </w:r>
            <w:r w:rsidRPr="00660C98">
              <w:rPr>
                <w:rFonts w:ascii="Times New Roman" w:hAnsi="Times New Roman"/>
                <w:i/>
                <w:snapToGrid w:val="0"/>
                <w:lang w:val="lt-LT"/>
              </w:rPr>
              <w:t>sutrikimai</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Dažni</w:t>
            </w:r>
            <w:r w:rsidRPr="00660C98">
              <w:rPr>
                <w:rFonts w:ascii="Times New Roman" w:hAnsi="Times New Roman"/>
                <w:lang w:val="en-GB"/>
              </w:rPr>
              <w:t>:</w:t>
            </w:r>
          </w:p>
        </w:tc>
        <w:tc>
          <w:tcPr>
            <w:tcW w:w="5953" w:type="dxa"/>
          </w:tcPr>
          <w:p w:rsidR="00660C98" w:rsidRPr="00660C98" w:rsidRDefault="00660C98" w:rsidP="00660C98">
            <w:pPr>
              <w:tabs>
                <w:tab w:val="left" w:pos="284"/>
              </w:tabs>
              <w:spacing w:after="0" w:line="240" w:lineRule="auto"/>
              <w:rPr>
                <w:rFonts w:ascii="Times New Roman" w:hAnsi="Times New Roman"/>
                <w:lang w:val="es-ES"/>
              </w:rPr>
            </w:pPr>
            <w:r w:rsidRPr="00660C98">
              <w:rPr>
                <w:rFonts w:ascii="Times New Roman" w:hAnsi="Times New Roman"/>
                <w:lang w:val="lt-LT"/>
              </w:rPr>
              <w:t>Pykinimas</w:t>
            </w:r>
            <w:r w:rsidRPr="00660C98">
              <w:rPr>
                <w:rFonts w:ascii="Times New Roman" w:hAnsi="Times New Roman"/>
                <w:lang w:val="es-ES"/>
              </w:rPr>
              <w:t xml:space="preserve">, </w:t>
            </w:r>
            <w:r w:rsidRPr="00660C98">
              <w:rPr>
                <w:rFonts w:ascii="Times New Roman" w:hAnsi="Times New Roman"/>
                <w:lang w:val="lt-LT"/>
              </w:rPr>
              <w:t>vėmimas</w:t>
            </w:r>
            <w:r w:rsidRPr="00660C98">
              <w:rPr>
                <w:rFonts w:ascii="Times New Roman" w:hAnsi="Times New Roman"/>
                <w:lang w:val="es-ES"/>
              </w:rPr>
              <w:t xml:space="preserve">, </w:t>
            </w:r>
            <w:r w:rsidRPr="00660C98">
              <w:rPr>
                <w:rFonts w:ascii="Times New Roman" w:hAnsi="Times New Roman"/>
                <w:lang w:val="lt-LT"/>
              </w:rPr>
              <w:t>viduriavimas</w:t>
            </w:r>
            <w:r w:rsidRPr="00660C98">
              <w:rPr>
                <w:rFonts w:ascii="Times New Roman" w:hAnsi="Times New Roman"/>
                <w:lang w:val="es-ES"/>
              </w:rPr>
              <w:t xml:space="preserve">, </w:t>
            </w:r>
            <w:r w:rsidRPr="00660C98">
              <w:rPr>
                <w:rFonts w:ascii="Times New Roman" w:hAnsi="Times New Roman"/>
                <w:lang w:val="lt-LT"/>
              </w:rPr>
              <w:t>dispepsija</w:t>
            </w:r>
            <w:r w:rsidRPr="00660C98">
              <w:rPr>
                <w:rFonts w:ascii="Times New Roman" w:hAnsi="Times New Roman"/>
                <w:lang w:val="es-ES"/>
              </w:rPr>
              <w:t xml:space="preserve">, </w:t>
            </w:r>
            <w:r w:rsidRPr="00660C98">
              <w:rPr>
                <w:rFonts w:ascii="Times New Roman" w:hAnsi="Times New Roman"/>
                <w:lang w:val="lt-LT"/>
              </w:rPr>
              <w:t>pilvo</w:t>
            </w:r>
            <w:r w:rsidRPr="00660C98">
              <w:rPr>
                <w:rFonts w:ascii="Times New Roman" w:hAnsi="Times New Roman"/>
                <w:lang w:val="es-ES"/>
              </w:rPr>
              <w:t xml:space="preserve"> </w:t>
            </w:r>
            <w:r w:rsidRPr="00660C98">
              <w:rPr>
                <w:rFonts w:ascii="Times New Roman" w:hAnsi="Times New Roman"/>
                <w:lang w:val="lt-LT"/>
              </w:rPr>
              <w:t>skausmas</w:t>
            </w:r>
            <w:r w:rsidRPr="00660C98">
              <w:rPr>
                <w:rFonts w:ascii="Times New Roman" w:hAnsi="Times New Roman"/>
                <w:lang w:val="es-ES"/>
              </w:rPr>
              <w:t xml:space="preserve">, </w:t>
            </w:r>
            <w:r w:rsidRPr="00660C98">
              <w:rPr>
                <w:rFonts w:ascii="Times New Roman" w:hAnsi="Times New Roman"/>
                <w:lang w:val="lt-LT"/>
              </w:rPr>
              <w:t>vidurių</w:t>
            </w:r>
            <w:r w:rsidRPr="00660C98">
              <w:rPr>
                <w:rFonts w:ascii="Times New Roman" w:hAnsi="Times New Roman"/>
                <w:lang w:val="es-ES"/>
              </w:rPr>
              <w:t xml:space="preserve"> </w:t>
            </w:r>
            <w:r w:rsidRPr="00660C98">
              <w:rPr>
                <w:rFonts w:ascii="Times New Roman" w:hAnsi="Times New Roman"/>
                <w:lang w:val="lt-LT"/>
              </w:rPr>
              <w:t>pūtimas</w:t>
            </w:r>
            <w:r w:rsidRPr="00660C98">
              <w:rPr>
                <w:rFonts w:ascii="Times New Roman" w:hAnsi="Times New Roman"/>
                <w:lang w:val="es-ES"/>
              </w:rPr>
              <w:t xml:space="preserve">, </w:t>
            </w:r>
            <w:r w:rsidRPr="00660C98">
              <w:rPr>
                <w:rFonts w:ascii="Times New Roman" w:hAnsi="Times New Roman"/>
                <w:lang w:val="lt-LT" w:eastAsia="x-none"/>
              </w:rPr>
              <w:t>apetito sumažėjimas</w:t>
            </w:r>
            <w:r w:rsidRPr="00660C98">
              <w:rPr>
                <w:rFonts w:ascii="Times New Roman" w:hAnsi="Times New Roman"/>
                <w:lang w:val="es-ES"/>
              </w:rPr>
              <w:t>.</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s-ES"/>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Reti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Gastritas</w:t>
            </w:r>
            <w:r w:rsidRPr="00660C98">
              <w:rPr>
                <w:rFonts w:ascii="Times New Roman" w:hAnsi="Times New Roman"/>
                <w:lang w:val="en-GB"/>
              </w:rPr>
              <w:t xml:space="preserve">, </w:t>
            </w:r>
            <w:r w:rsidRPr="00660C98">
              <w:rPr>
                <w:rFonts w:ascii="Times New Roman" w:hAnsi="Times New Roman"/>
                <w:lang w:val="lt-LT"/>
              </w:rPr>
              <w:t>kraujavimas</w:t>
            </w:r>
            <w:r w:rsidRPr="00660C98">
              <w:rPr>
                <w:rFonts w:ascii="Times New Roman" w:hAnsi="Times New Roman"/>
                <w:lang w:val="en-GB"/>
              </w:rPr>
              <w:t xml:space="preserve"> į </w:t>
            </w:r>
            <w:r w:rsidRPr="00660C98">
              <w:rPr>
                <w:rFonts w:ascii="Times New Roman" w:hAnsi="Times New Roman"/>
                <w:lang w:val="lt-LT"/>
              </w:rPr>
              <w:t>virškinimo</w:t>
            </w:r>
            <w:r w:rsidRPr="00660C98">
              <w:rPr>
                <w:rFonts w:ascii="Times New Roman" w:hAnsi="Times New Roman"/>
                <w:lang w:val="en-GB"/>
              </w:rPr>
              <w:t xml:space="preserve"> </w:t>
            </w:r>
            <w:r w:rsidRPr="00660C98">
              <w:rPr>
                <w:rFonts w:ascii="Times New Roman" w:hAnsi="Times New Roman"/>
                <w:lang w:val="lt-LT"/>
              </w:rPr>
              <w:t>traktą</w:t>
            </w:r>
            <w:r w:rsidRPr="00660C98">
              <w:rPr>
                <w:rFonts w:ascii="Times New Roman" w:hAnsi="Times New Roman"/>
                <w:lang w:val="en-GB"/>
              </w:rPr>
              <w:t xml:space="preserve">, </w:t>
            </w:r>
            <w:r w:rsidRPr="00660C98">
              <w:rPr>
                <w:rFonts w:ascii="Times New Roman" w:hAnsi="Times New Roman"/>
                <w:lang w:val="lt-LT"/>
              </w:rPr>
              <w:t>vėmimas</w:t>
            </w:r>
            <w:r w:rsidRPr="00660C98">
              <w:rPr>
                <w:rFonts w:ascii="Times New Roman" w:hAnsi="Times New Roman"/>
                <w:lang w:val="en-GB"/>
              </w:rPr>
              <w:t xml:space="preserve"> </w:t>
            </w:r>
            <w:r w:rsidRPr="00660C98">
              <w:rPr>
                <w:rFonts w:ascii="Times New Roman" w:hAnsi="Times New Roman"/>
                <w:lang w:val="lt-LT"/>
              </w:rPr>
              <w:t>krauju</w:t>
            </w:r>
            <w:r w:rsidRPr="00660C98">
              <w:rPr>
                <w:rFonts w:ascii="Times New Roman" w:hAnsi="Times New Roman"/>
                <w:lang w:val="en-GB"/>
              </w:rPr>
              <w:t xml:space="preserve">, </w:t>
            </w:r>
            <w:r w:rsidRPr="00660C98">
              <w:rPr>
                <w:rFonts w:ascii="Times New Roman" w:hAnsi="Times New Roman"/>
                <w:lang w:val="lt-LT"/>
              </w:rPr>
              <w:t>viduriavimas</w:t>
            </w:r>
            <w:r w:rsidRPr="00660C98">
              <w:rPr>
                <w:rFonts w:ascii="Times New Roman" w:hAnsi="Times New Roman"/>
                <w:lang w:val="en-GB"/>
              </w:rPr>
              <w:t xml:space="preserve"> </w:t>
            </w:r>
            <w:r w:rsidRPr="00660C98">
              <w:rPr>
                <w:rFonts w:ascii="Times New Roman" w:hAnsi="Times New Roman"/>
                <w:lang w:val="lt-LT"/>
              </w:rPr>
              <w:t>kraujingomis</w:t>
            </w:r>
            <w:r w:rsidRPr="00660C98">
              <w:rPr>
                <w:rFonts w:ascii="Times New Roman" w:hAnsi="Times New Roman"/>
                <w:lang w:val="en-GB"/>
              </w:rPr>
              <w:t xml:space="preserve"> </w:t>
            </w:r>
            <w:r w:rsidRPr="00660C98">
              <w:rPr>
                <w:rFonts w:ascii="Times New Roman" w:hAnsi="Times New Roman"/>
                <w:lang w:val="lt-LT"/>
              </w:rPr>
              <w:t>išmatomis</w:t>
            </w:r>
            <w:r w:rsidRPr="00660C98">
              <w:rPr>
                <w:rFonts w:ascii="Times New Roman" w:hAnsi="Times New Roman"/>
                <w:lang w:val="en-GB"/>
              </w:rPr>
              <w:t xml:space="preserve">, </w:t>
            </w:r>
            <w:proofErr w:type="spellStart"/>
            <w:r w:rsidRPr="00660C98">
              <w:rPr>
                <w:rFonts w:ascii="Times New Roman" w:hAnsi="Times New Roman"/>
                <w:lang w:val="lt-LT"/>
              </w:rPr>
              <w:t>melena</w:t>
            </w:r>
            <w:proofErr w:type="spellEnd"/>
            <w:r w:rsidRPr="00660C98">
              <w:rPr>
                <w:rFonts w:ascii="Times New Roman" w:hAnsi="Times New Roman"/>
                <w:lang w:val="en-GB"/>
              </w:rPr>
              <w:t xml:space="preserve">, </w:t>
            </w:r>
            <w:r w:rsidRPr="00660C98">
              <w:rPr>
                <w:rFonts w:ascii="Times New Roman" w:hAnsi="Times New Roman"/>
                <w:lang w:val="lt-LT"/>
              </w:rPr>
              <w:t>virškinimo</w:t>
            </w:r>
            <w:r w:rsidRPr="00660C98">
              <w:rPr>
                <w:rFonts w:ascii="Times New Roman" w:hAnsi="Times New Roman"/>
                <w:lang w:val="en-GB"/>
              </w:rPr>
              <w:t xml:space="preserve"> </w:t>
            </w:r>
            <w:r w:rsidRPr="00660C98">
              <w:rPr>
                <w:rFonts w:ascii="Times New Roman" w:hAnsi="Times New Roman"/>
                <w:lang w:val="lt-LT"/>
              </w:rPr>
              <w:t>trakto</w:t>
            </w:r>
            <w:r w:rsidRPr="00660C98">
              <w:rPr>
                <w:rFonts w:ascii="Times New Roman" w:hAnsi="Times New Roman"/>
                <w:lang w:val="en-GB"/>
              </w:rPr>
              <w:t xml:space="preserve"> </w:t>
            </w:r>
            <w:r w:rsidRPr="00660C98">
              <w:rPr>
                <w:rFonts w:ascii="Times New Roman" w:hAnsi="Times New Roman"/>
                <w:lang w:val="lt-LT"/>
              </w:rPr>
              <w:t>opa</w:t>
            </w:r>
            <w:r w:rsidRPr="00660C98">
              <w:rPr>
                <w:rFonts w:ascii="Times New Roman" w:hAnsi="Times New Roman"/>
                <w:lang w:val="en-GB"/>
              </w:rPr>
              <w:t xml:space="preserve"> (</w:t>
            </w:r>
            <w:r w:rsidRPr="00660C98">
              <w:rPr>
                <w:rFonts w:ascii="Times New Roman" w:hAnsi="Times New Roman"/>
                <w:lang w:val="lt-LT"/>
              </w:rPr>
              <w:t>kartu</w:t>
            </w:r>
            <w:r w:rsidRPr="00660C98">
              <w:rPr>
                <w:rFonts w:ascii="Times New Roman" w:hAnsi="Times New Roman"/>
                <w:lang w:val="en-GB"/>
              </w:rPr>
              <w:t xml:space="preserve"> </w:t>
            </w:r>
            <w:r w:rsidRPr="00660C98">
              <w:rPr>
                <w:rFonts w:ascii="Times New Roman" w:hAnsi="Times New Roman"/>
                <w:lang w:val="lt-LT"/>
              </w:rPr>
              <w:t>su</w:t>
            </w:r>
            <w:r w:rsidRPr="00660C98">
              <w:rPr>
                <w:rFonts w:ascii="Times New Roman" w:hAnsi="Times New Roman"/>
                <w:lang w:val="en-GB"/>
              </w:rPr>
              <w:t xml:space="preserve"> </w:t>
            </w:r>
            <w:r w:rsidRPr="00660C98">
              <w:rPr>
                <w:rFonts w:ascii="Times New Roman" w:hAnsi="Times New Roman"/>
                <w:lang w:val="lt-LT"/>
              </w:rPr>
              <w:t>kraujavimu</w:t>
            </w:r>
            <w:r w:rsidRPr="00660C98">
              <w:rPr>
                <w:rFonts w:ascii="Times New Roman" w:hAnsi="Times New Roman"/>
                <w:lang w:val="en-GB"/>
              </w:rPr>
              <w:t xml:space="preserve"> </w:t>
            </w:r>
            <w:r w:rsidRPr="00660C98">
              <w:rPr>
                <w:rFonts w:ascii="Times New Roman" w:hAnsi="Times New Roman"/>
                <w:lang w:val="lt-LT"/>
              </w:rPr>
              <w:t>arba</w:t>
            </w:r>
            <w:r w:rsidRPr="00660C98">
              <w:rPr>
                <w:rFonts w:ascii="Times New Roman" w:hAnsi="Times New Roman"/>
                <w:lang w:val="en-GB"/>
              </w:rPr>
              <w:t xml:space="preserve"> </w:t>
            </w:r>
            <w:proofErr w:type="spellStart"/>
            <w:r w:rsidRPr="00660C98">
              <w:rPr>
                <w:rFonts w:ascii="Times New Roman" w:hAnsi="Times New Roman"/>
                <w:lang w:val="lt-LT"/>
              </w:rPr>
              <w:t>peforacija</w:t>
            </w:r>
            <w:proofErr w:type="spellEnd"/>
            <w:r w:rsidRPr="00660C98">
              <w:rPr>
                <w:rFonts w:ascii="Times New Roman" w:hAnsi="Times New Roman"/>
                <w:lang w:val="en-GB"/>
              </w:rPr>
              <w:t xml:space="preserve"> </w:t>
            </w:r>
            <w:r w:rsidRPr="00660C98">
              <w:rPr>
                <w:rFonts w:ascii="Times New Roman" w:hAnsi="Times New Roman"/>
                <w:lang w:val="lt-LT"/>
              </w:rPr>
              <w:t>arba</w:t>
            </w:r>
            <w:r w:rsidRPr="00660C98">
              <w:rPr>
                <w:rFonts w:ascii="Times New Roman" w:hAnsi="Times New Roman"/>
                <w:lang w:val="en-GB"/>
              </w:rPr>
              <w:t xml:space="preserve"> be </w:t>
            </w:r>
            <w:r w:rsidRPr="00660C98">
              <w:rPr>
                <w:rFonts w:ascii="Times New Roman" w:hAnsi="Times New Roman"/>
                <w:lang w:val="lt-LT"/>
              </w:rPr>
              <w:t>jų</w:t>
            </w:r>
            <w:r w:rsidRPr="00660C98">
              <w:rPr>
                <w:rFonts w:ascii="Times New Roman" w:hAnsi="Times New Roman"/>
                <w:lang w:val="en-GB"/>
              </w:rPr>
              <w:t>).</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Kolitas</w:t>
            </w:r>
            <w:r w:rsidRPr="00660C98">
              <w:rPr>
                <w:rFonts w:ascii="Times New Roman" w:hAnsi="Times New Roman"/>
                <w:lang w:val="fi-FI"/>
              </w:rPr>
              <w:t xml:space="preserve"> (tame </w:t>
            </w:r>
            <w:r w:rsidRPr="00660C98">
              <w:rPr>
                <w:rFonts w:ascii="Times New Roman" w:hAnsi="Times New Roman"/>
                <w:lang w:val="lt-LT"/>
              </w:rPr>
              <w:t>tarpe</w:t>
            </w:r>
            <w:r w:rsidRPr="00660C98">
              <w:rPr>
                <w:rFonts w:ascii="Times New Roman" w:hAnsi="Times New Roman"/>
                <w:lang w:val="fi-FI"/>
              </w:rPr>
              <w:t xml:space="preserve"> </w:t>
            </w:r>
            <w:r w:rsidRPr="00660C98">
              <w:rPr>
                <w:rFonts w:ascii="Times New Roman" w:hAnsi="Times New Roman"/>
                <w:lang w:val="lt-LT"/>
              </w:rPr>
              <w:t>hemoraginis</w:t>
            </w:r>
            <w:r w:rsidRPr="00660C98">
              <w:rPr>
                <w:rFonts w:ascii="Times New Roman" w:hAnsi="Times New Roman"/>
                <w:lang w:val="fi-FI"/>
              </w:rPr>
              <w:t xml:space="preserve"> </w:t>
            </w:r>
            <w:r w:rsidRPr="00660C98">
              <w:rPr>
                <w:rFonts w:ascii="Times New Roman" w:hAnsi="Times New Roman"/>
                <w:lang w:val="lt-LT"/>
              </w:rPr>
              <w:t>kolitas</w:t>
            </w:r>
            <w:r w:rsidRPr="00660C98">
              <w:rPr>
                <w:rFonts w:ascii="Times New Roman" w:hAnsi="Times New Roman"/>
                <w:lang w:val="fi-FI"/>
              </w:rPr>
              <w:t xml:space="preserve"> </w:t>
            </w:r>
            <w:r w:rsidRPr="00660C98">
              <w:rPr>
                <w:rFonts w:ascii="Times New Roman" w:hAnsi="Times New Roman"/>
                <w:lang w:val="lt-LT"/>
              </w:rPr>
              <w:t>ir</w:t>
            </w:r>
            <w:r w:rsidRPr="00660C98">
              <w:rPr>
                <w:rFonts w:ascii="Times New Roman" w:hAnsi="Times New Roman"/>
                <w:lang w:val="fi-FI"/>
              </w:rPr>
              <w:t xml:space="preserve"> </w:t>
            </w:r>
            <w:r w:rsidRPr="00660C98">
              <w:rPr>
                <w:rFonts w:ascii="Times New Roman" w:hAnsi="Times New Roman"/>
                <w:lang w:val="lt-LT"/>
              </w:rPr>
              <w:t>opinio</w:t>
            </w:r>
            <w:r w:rsidRPr="00660C98">
              <w:rPr>
                <w:rFonts w:ascii="Times New Roman" w:hAnsi="Times New Roman"/>
                <w:lang w:val="fi-FI"/>
              </w:rPr>
              <w:t xml:space="preserve"> </w:t>
            </w:r>
            <w:r w:rsidRPr="00660C98">
              <w:rPr>
                <w:rFonts w:ascii="Times New Roman" w:hAnsi="Times New Roman"/>
                <w:lang w:val="lt-LT"/>
              </w:rPr>
              <w:t>kolito</w:t>
            </w:r>
            <w:r w:rsidRPr="00660C98">
              <w:rPr>
                <w:rFonts w:ascii="Times New Roman" w:hAnsi="Times New Roman"/>
                <w:lang w:val="fi-FI"/>
              </w:rPr>
              <w:t xml:space="preserve"> </w:t>
            </w:r>
            <w:r w:rsidRPr="00660C98">
              <w:rPr>
                <w:rFonts w:ascii="Times New Roman" w:hAnsi="Times New Roman"/>
                <w:lang w:val="lt-LT"/>
              </w:rPr>
              <w:t>arba</w:t>
            </w:r>
            <w:r w:rsidRPr="00660C98">
              <w:rPr>
                <w:rFonts w:ascii="Times New Roman" w:hAnsi="Times New Roman"/>
                <w:lang w:val="fi-FI"/>
              </w:rPr>
              <w:t xml:space="preserve"> </w:t>
            </w:r>
            <w:r w:rsidRPr="00660C98">
              <w:rPr>
                <w:rFonts w:ascii="Times New Roman" w:hAnsi="Times New Roman"/>
                <w:lang w:val="lt-LT"/>
              </w:rPr>
              <w:t>Krono</w:t>
            </w:r>
            <w:r w:rsidRPr="00660C98">
              <w:rPr>
                <w:rFonts w:ascii="Times New Roman" w:hAnsi="Times New Roman"/>
                <w:lang w:val="fi-FI"/>
              </w:rPr>
              <w:t xml:space="preserve"> </w:t>
            </w:r>
            <w:r w:rsidRPr="00660C98">
              <w:rPr>
                <w:rFonts w:ascii="Times New Roman" w:hAnsi="Times New Roman"/>
                <w:lang w:val="lt-LT"/>
              </w:rPr>
              <w:t>ligos</w:t>
            </w:r>
            <w:r w:rsidRPr="00660C98">
              <w:rPr>
                <w:rFonts w:ascii="Times New Roman" w:hAnsi="Times New Roman"/>
                <w:lang w:val="fi-FI"/>
              </w:rPr>
              <w:t xml:space="preserve"> </w:t>
            </w:r>
            <w:r w:rsidRPr="00660C98">
              <w:rPr>
                <w:rFonts w:ascii="Times New Roman" w:hAnsi="Times New Roman"/>
                <w:lang w:val="lt-LT"/>
              </w:rPr>
              <w:t>paūmėjimas</w:t>
            </w:r>
            <w:r w:rsidRPr="00660C98">
              <w:rPr>
                <w:rFonts w:ascii="Times New Roman" w:hAnsi="Times New Roman"/>
                <w:lang w:val="fi-FI"/>
              </w:rPr>
              <w:t xml:space="preserve">), </w:t>
            </w:r>
            <w:r w:rsidRPr="00660C98">
              <w:rPr>
                <w:rFonts w:ascii="Times New Roman" w:hAnsi="Times New Roman"/>
                <w:lang w:val="lt-LT"/>
              </w:rPr>
              <w:t>vidurių</w:t>
            </w:r>
            <w:r w:rsidRPr="00660C98">
              <w:rPr>
                <w:rFonts w:ascii="Times New Roman" w:hAnsi="Times New Roman"/>
                <w:lang w:val="fi-FI"/>
              </w:rPr>
              <w:t xml:space="preserve"> </w:t>
            </w:r>
            <w:r w:rsidRPr="00660C98">
              <w:rPr>
                <w:rFonts w:ascii="Times New Roman" w:hAnsi="Times New Roman"/>
                <w:lang w:val="lt-LT"/>
              </w:rPr>
              <w:t>užkietėjimas</w:t>
            </w:r>
            <w:r w:rsidRPr="00660C98">
              <w:rPr>
                <w:rFonts w:ascii="Times New Roman" w:hAnsi="Times New Roman"/>
                <w:lang w:val="fi-FI"/>
              </w:rPr>
              <w:t xml:space="preserve">, </w:t>
            </w:r>
            <w:r w:rsidRPr="00660C98">
              <w:rPr>
                <w:rFonts w:ascii="Times New Roman" w:hAnsi="Times New Roman"/>
                <w:lang w:val="lt-LT"/>
              </w:rPr>
              <w:t>stomatitas (įskaitant opinį stomatitą)</w:t>
            </w:r>
            <w:r w:rsidRPr="00660C98">
              <w:rPr>
                <w:rFonts w:ascii="Times New Roman" w:hAnsi="Times New Roman"/>
                <w:lang w:val="fi-FI"/>
              </w:rPr>
              <w:t xml:space="preserve">, </w:t>
            </w:r>
            <w:r w:rsidRPr="00660C98">
              <w:rPr>
                <w:rFonts w:ascii="Times New Roman" w:hAnsi="Times New Roman"/>
                <w:lang w:val="lt-LT"/>
              </w:rPr>
              <w:t>glositas</w:t>
            </w:r>
            <w:r w:rsidRPr="00660C98">
              <w:rPr>
                <w:rFonts w:ascii="Times New Roman" w:hAnsi="Times New Roman"/>
                <w:lang w:val="fi-FI"/>
              </w:rPr>
              <w:t xml:space="preserve">, </w:t>
            </w:r>
            <w:r w:rsidRPr="00660C98">
              <w:rPr>
                <w:rFonts w:ascii="Times New Roman" w:hAnsi="Times New Roman"/>
                <w:lang w:val="lt-LT"/>
              </w:rPr>
              <w:t>stemplės</w:t>
            </w:r>
            <w:r w:rsidRPr="00660C98">
              <w:rPr>
                <w:rFonts w:ascii="Times New Roman" w:hAnsi="Times New Roman"/>
                <w:lang w:val="fi-FI"/>
              </w:rPr>
              <w:t xml:space="preserve"> </w:t>
            </w:r>
            <w:r w:rsidRPr="00660C98">
              <w:rPr>
                <w:rFonts w:ascii="Times New Roman" w:hAnsi="Times New Roman"/>
                <w:lang w:val="lt-LT"/>
              </w:rPr>
              <w:t>pažeidimas</w:t>
            </w:r>
            <w:r w:rsidRPr="00660C98">
              <w:rPr>
                <w:rFonts w:ascii="Times New Roman" w:hAnsi="Times New Roman"/>
                <w:lang w:val="fi-FI"/>
              </w:rPr>
              <w:t xml:space="preserve">, </w:t>
            </w:r>
            <w:r w:rsidRPr="00660C98">
              <w:rPr>
                <w:rFonts w:ascii="Times New Roman" w:hAnsi="Times New Roman"/>
                <w:lang w:val="lt-LT"/>
              </w:rPr>
              <w:t>diafragminė žarnyno liga</w:t>
            </w:r>
            <w:r w:rsidRPr="00660C98">
              <w:rPr>
                <w:rFonts w:ascii="Times New Roman" w:hAnsi="Times New Roman"/>
                <w:lang w:val="fi-FI"/>
              </w:rPr>
              <w:t xml:space="preserve">, </w:t>
            </w:r>
            <w:r w:rsidRPr="00660C98">
              <w:rPr>
                <w:rFonts w:ascii="Times New Roman" w:hAnsi="Times New Roman"/>
                <w:lang w:val="lt-LT"/>
              </w:rPr>
              <w:t>pankreatitas</w:t>
            </w:r>
            <w:r w:rsidRPr="00660C98">
              <w:rPr>
                <w:rFonts w:ascii="Times New Roman" w:hAnsi="Times New Roman"/>
                <w:lang w:val="fi-FI"/>
              </w:rPr>
              <w:t>.</w:t>
            </w:r>
          </w:p>
        </w:tc>
      </w:tr>
      <w:tr w:rsidR="00D204E7" w:rsidRPr="00465315" w:rsidTr="00D204E7">
        <w:tc>
          <w:tcPr>
            <w:tcW w:w="567" w:type="dxa"/>
          </w:tcPr>
          <w:p w:rsidR="00D204E7" w:rsidRPr="00C10856" w:rsidRDefault="00D204E7" w:rsidP="00660C98">
            <w:pPr>
              <w:tabs>
                <w:tab w:val="left" w:pos="284"/>
              </w:tabs>
              <w:spacing w:before="40" w:after="20" w:line="240" w:lineRule="auto"/>
              <w:rPr>
                <w:rFonts w:ascii="Times New Roman" w:hAnsi="Times New Roman"/>
                <w:lang w:val="fi-FI"/>
              </w:rPr>
            </w:pPr>
          </w:p>
        </w:tc>
        <w:tc>
          <w:tcPr>
            <w:tcW w:w="2552" w:type="dxa"/>
          </w:tcPr>
          <w:p w:rsidR="00D204E7" w:rsidRPr="00660C98" w:rsidRDefault="00D204E7" w:rsidP="00660C98">
            <w:pPr>
              <w:tabs>
                <w:tab w:val="left" w:pos="284"/>
              </w:tabs>
              <w:spacing w:before="40" w:after="20" w:line="240" w:lineRule="auto"/>
              <w:rPr>
                <w:rFonts w:ascii="Times New Roman" w:hAnsi="Times New Roman"/>
                <w:lang w:val="lt-LT"/>
              </w:rPr>
            </w:pPr>
            <w:r>
              <w:rPr>
                <w:rFonts w:ascii="Times New Roman" w:hAnsi="Times New Roman"/>
                <w:lang w:val="lt-LT"/>
              </w:rPr>
              <w:t>Dažnis nežinomas:</w:t>
            </w:r>
          </w:p>
        </w:tc>
        <w:tc>
          <w:tcPr>
            <w:tcW w:w="5953" w:type="dxa"/>
          </w:tcPr>
          <w:p w:rsidR="00D204E7" w:rsidRPr="00660C98" w:rsidRDefault="00D204E7" w:rsidP="00660C98">
            <w:pPr>
              <w:tabs>
                <w:tab w:val="left" w:pos="284"/>
              </w:tabs>
              <w:spacing w:before="40" w:after="20" w:line="240" w:lineRule="auto"/>
              <w:rPr>
                <w:rFonts w:ascii="Times New Roman" w:hAnsi="Times New Roman"/>
                <w:lang w:val="lt-LT"/>
              </w:rPr>
            </w:pPr>
            <w:r>
              <w:rPr>
                <w:rFonts w:ascii="Times New Roman" w:hAnsi="Times New Roman"/>
                <w:lang w:val="lt-LT"/>
              </w:rPr>
              <w:t>Išeminis kolitas.</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bCs/>
                <w:i/>
                <w:lang w:val="fi-FI"/>
              </w:rPr>
            </w:pPr>
            <w:r w:rsidRPr="00660C98">
              <w:rPr>
                <w:rFonts w:ascii="Times New Roman" w:hAnsi="Times New Roman"/>
                <w:bCs/>
                <w:i/>
                <w:snapToGrid w:val="0"/>
                <w:lang w:val="lt-LT"/>
              </w:rPr>
              <w:t>Kepenų,</w:t>
            </w:r>
            <w:r w:rsidRPr="00660C98">
              <w:rPr>
                <w:rFonts w:ascii="Times New Roman" w:hAnsi="Times New Roman"/>
                <w:bCs/>
                <w:i/>
                <w:snapToGrid w:val="0"/>
                <w:lang w:val="fi-FI"/>
              </w:rPr>
              <w:t xml:space="preserve"> </w:t>
            </w:r>
            <w:r w:rsidRPr="00660C98">
              <w:rPr>
                <w:rFonts w:ascii="Times New Roman" w:hAnsi="Times New Roman"/>
                <w:bCs/>
                <w:i/>
                <w:snapToGrid w:val="0"/>
                <w:lang w:val="lt-LT"/>
              </w:rPr>
              <w:t>tulžies pūslės ir latakų</w:t>
            </w:r>
            <w:r w:rsidRPr="00660C98">
              <w:rPr>
                <w:rFonts w:ascii="Times New Roman" w:hAnsi="Times New Roman"/>
                <w:bCs/>
                <w:i/>
                <w:snapToGrid w:val="0"/>
                <w:lang w:val="fi-FI"/>
              </w:rPr>
              <w:t xml:space="preserve"> </w:t>
            </w:r>
            <w:r w:rsidRPr="00660C98">
              <w:rPr>
                <w:rFonts w:ascii="Times New Roman" w:hAnsi="Times New Roman"/>
                <w:bCs/>
                <w:i/>
                <w:snapToGrid w:val="0"/>
                <w:lang w:val="lt-LT"/>
              </w:rPr>
              <w:t>sutrikimai</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bCs/>
                <w:lang w:val="fi-FI"/>
              </w:rPr>
            </w:pPr>
          </w:p>
        </w:tc>
        <w:tc>
          <w:tcPr>
            <w:tcW w:w="2552" w:type="dxa"/>
          </w:tcPr>
          <w:p w:rsidR="00660C98" w:rsidRPr="00660C98" w:rsidRDefault="00660C98" w:rsidP="00660C98">
            <w:pPr>
              <w:tabs>
                <w:tab w:val="left" w:pos="284"/>
              </w:tabs>
              <w:spacing w:before="40" w:after="20" w:line="240" w:lineRule="auto"/>
              <w:rPr>
                <w:rFonts w:ascii="Times New Roman" w:hAnsi="Times New Roman"/>
                <w:bCs/>
                <w:lang w:val="en-GB"/>
              </w:rPr>
            </w:pPr>
            <w:r w:rsidRPr="00660C98">
              <w:rPr>
                <w:rFonts w:ascii="Times New Roman" w:hAnsi="Times New Roman"/>
                <w:bCs/>
                <w:lang w:val="lt-LT"/>
              </w:rPr>
              <w:t>Dažni</w:t>
            </w:r>
            <w:r w:rsidRPr="00660C98">
              <w:rPr>
                <w:rFonts w:ascii="Times New Roman" w:hAnsi="Times New Roman"/>
                <w:bCs/>
                <w:lang w:val="en-GB"/>
              </w:rPr>
              <w:t>:</w:t>
            </w:r>
          </w:p>
        </w:tc>
        <w:tc>
          <w:tcPr>
            <w:tcW w:w="5953" w:type="dxa"/>
          </w:tcPr>
          <w:p w:rsidR="00660C98" w:rsidRPr="00660C98" w:rsidRDefault="00660C98" w:rsidP="00660C98">
            <w:pPr>
              <w:tabs>
                <w:tab w:val="left" w:pos="284"/>
              </w:tabs>
              <w:spacing w:before="40" w:after="20" w:line="240" w:lineRule="auto"/>
              <w:rPr>
                <w:rFonts w:ascii="Times New Roman" w:hAnsi="Times New Roman"/>
                <w:bCs/>
                <w:lang w:val="es-ES"/>
              </w:rPr>
            </w:pPr>
            <w:proofErr w:type="spellStart"/>
            <w:r w:rsidRPr="00660C98">
              <w:rPr>
                <w:rFonts w:ascii="Times New Roman" w:hAnsi="Times New Roman"/>
                <w:lang w:val="lt-LT"/>
              </w:rPr>
              <w:t>Transaminazių</w:t>
            </w:r>
            <w:proofErr w:type="spellEnd"/>
            <w:r w:rsidRPr="00660C98">
              <w:rPr>
                <w:rFonts w:ascii="Times New Roman" w:hAnsi="Times New Roman"/>
                <w:lang w:val="es-ES"/>
              </w:rPr>
              <w:t xml:space="preserve"> </w:t>
            </w:r>
            <w:r w:rsidRPr="00660C98">
              <w:rPr>
                <w:rFonts w:ascii="Times New Roman" w:hAnsi="Times New Roman"/>
                <w:lang w:val="lt-LT"/>
              </w:rPr>
              <w:t>aktyvumo</w:t>
            </w:r>
            <w:r w:rsidRPr="00660C98">
              <w:rPr>
                <w:rFonts w:ascii="Times New Roman" w:hAnsi="Times New Roman"/>
                <w:lang w:val="es-ES"/>
              </w:rPr>
              <w:t xml:space="preserve"> </w:t>
            </w:r>
            <w:r w:rsidRPr="00660C98">
              <w:rPr>
                <w:rFonts w:ascii="Times New Roman" w:hAnsi="Times New Roman"/>
                <w:lang w:val="lt-LT"/>
              </w:rPr>
              <w:t>kraujo</w:t>
            </w:r>
            <w:r w:rsidRPr="00660C98">
              <w:rPr>
                <w:rFonts w:ascii="Times New Roman" w:hAnsi="Times New Roman"/>
                <w:lang w:val="es-ES"/>
              </w:rPr>
              <w:t xml:space="preserve"> </w:t>
            </w:r>
            <w:r w:rsidRPr="00660C98">
              <w:rPr>
                <w:rFonts w:ascii="Times New Roman" w:hAnsi="Times New Roman"/>
                <w:lang w:val="lt-LT"/>
              </w:rPr>
              <w:t>serume</w:t>
            </w:r>
            <w:r w:rsidRPr="00660C98">
              <w:rPr>
                <w:rFonts w:ascii="Times New Roman" w:hAnsi="Times New Roman"/>
                <w:lang w:val="es-ES"/>
              </w:rPr>
              <w:t xml:space="preserve"> </w:t>
            </w:r>
            <w:r w:rsidRPr="00660C98">
              <w:rPr>
                <w:rFonts w:ascii="Times New Roman" w:hAnsi="Times New Roman"/>
                <w:lang w:val="lt-LT"/>
              </w:rPr>
              <w:t>padidėjimas</w:t>
            </w:r>
            <w:r w:rsidRPr="00660C98">
              <w:rPr>
                <w:rFonts w:ascii="Times New Roman" w:hAnsi="Times New Roman"/>
                <w:lang w:val="es-ES"/>
              </w:rPr>
              <w:t>.</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s-ES"/>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Reti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s-ES"/>
              </w:rPr>
            </w:pPr>
            <w:r w:rsidRPr="00660C98">
              <w:rPr>
                <w:rFonts w:ascii="Times New Roman" w:hAnsi="Times New Roman"/>
                <w:lang w:val="lt-LT"/>
              </w:rPr>
              <w:t>Hepatitas</w:t>
            </w:r>
            <w:r w:rsidRPr="00660C98">
              <w:rPr>
                <w:rFonts w:ascii="Times New Roman" w:hAnsi="Times New Roman"/>
                <w:lang w:val="es-ES"/>
              </w:rPr>
              <w:t xml:space="preserve">, </w:t>
            </w:r>
            <w:r w:rsidRPr="00660C98">
              <w:rPr>
                <w:rFonts w:ascii="Times New Roman" w:hAnsi="Times New Roman"/>
                <w:lang w:val="lt-LT"/>
              </w:rPr>
              <w:t>gelta</w:t>
            </w:r>
            <w:r w:rsidRPr="00660C98">
              <w:rPr>
                <w:rFonts w:ascii="Times New Roman" w:hAnsi="Times New Roman"/>
                <w:lang w:val="es-ES"/>
              </w:rPr>
              <w:t xml:space="preserve">, </w:t>
            </w:r>
            <w:r w:rsidRPr="00660C98">
              <w:rPr>
                <w:rFonts w:ascii="Times New Roman" w:hAnsi="Times New Roman"/>
                <w:lang w:val="lt-LT"/>
              </w:rPr>
              <w:t>kepenų</w:t>
            </w:r>
            <w:r w:rsidRPr="00660C98">
              <w:rPr>
                <w:rFonts w:ascii="Times New Roman" w:hAnsi="Times New Roman"/>
                <w:lang w:val="es-ES"/>
              </w:rPr>
              <w:t xml:space="preserve"> </w:t>
            </w:r>
            <w:r w:rsidRPr="00660C98">
              <w:rPr>
                <w:rFonts w:ascii="Times New Roman" w:hAnsi="Times New Roman"/>
                <w:lang w:val="lt-LT"/>
              </w:rPr>
              <w:t>funkcijos</w:t>
            </w:r>
            <w:r w:rsidRPr="00660C98">
              <w:rPr>
                <w:rFonts w:ascii="Times New Roman" w:hAnsi="Times New Roman"/>
                <w:lang w:val="es-ES"/>
              </w:rPr>
              <w:t xml:space="preserve"> </w:t>
            </w:r>
            <w:r w:rsidRPr="00660C98">
              <w:rPr>
                <w:rFonts w:ascii="Times New Roman" w:hAnsi="Times New Roman"/>
                <w:lang w:val="lt-LT"/>
              </w:rPr>
              <w:t>sutrikimas</w:t>
            </w:r>
            <w:r w:rsidRPr="00660C98">
              <w:rPr>
                <w:rFonts w:ascii="Times New Roman" w:hAnsi="Times New Roman"/>
                <w:lang w:val="es-ES"/>
              </w:rPr>
              <w:t>.</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s-ES"/>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Žaibinis</w:t>
            </w:r>
            <w:r w:rsidRPr="00660C98">
              <w:rPr>
                <w:rFonts w:ascii="Times New Roman" w:hAnsi="Times New Roman"/>
                <w:lang w:val="fi-FI"/>
              </w:rPr>
              <w:t xml:space="preserve"> </w:t>
            </w:r>
            <w:r w:rsidRPr="00660C98">
              <w:rPr>
                <w:rFonts w:ascii="Times New Roman" w:hAnsi="Times New Roman"/>
                <w:lang w:val="lt-LT"/>
              </w:rPr>
              <w:t>hepatitas, kepenų nekrozė, kepenų nepakankamumas</w:t>
            </w:r>
            <w:r w:rsidRPr="00660C98">
              <w:rPr>
                <w:rFonts w:ascii="Times New Roman" w:hAnsi="Times New Roman"/>
                <w:lang w:val="fi-FI"/>
              </w:rPr>
              <w:t>.</w:t>
            </w:r>
          </w:p>
        </w:tc>
      </w:tr>
      <w:tr w:rsidR="00660C98" w:rsidRPr="00465315"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pt-BR"/>
              </w:rPr>
            </w:pPr>
            <w:r w:rsidRPr="00660C98">
              <w:rPr>
                <w:rFonts w:ascii="Times New Roman" w:hAnsi="Times New Roman"/>
                <w:i/>
                <w:snapToGrid w:val="0"/>
                <w:lang w:val="lt-LT"/>
              </w:rPr>
              <w:t>Odos</w:t>
            </w:r>
            <w:r w:rsidRPr="00660C98">
              <w:rPr>
                <w:rFonts w:ascii="Times New Roman" w:hAnsi="Times New Roman"/>
                <w:i/>
                <w:snapToGrid w:val="0"/>
                <w:lang w:val="pt-BR"/>
              </w:rPr>
              <w:t xml:space="preserve"> </w:t>
            </w:r>
            <w:r w:rsidRPr="00660C98">
              <w:rPr>
                <w:rFonts w:ascii="Times New Roman" w:hAnsi="Times New Roman"/>
                <w:i/>
                <w:snapToGrid w:val="0"/>
                <w:lang w:val="lt-LT"/>
              </w:rPr>
              <w:t>ir</w:t>
            </w:r>
            <w:r w:rsidRPr="00660C98">
              <w:rPr>
                <w:rFonts w:ascii="Times New Roman" w:hAnsi="Times New Roman"/>
                <w:i/>
                <w:snapToGrid w:val="0"/>
                <w:lang w:val="pt-BR"/>
              </w:rPr>
              <w:t xml:space="preserve"> </w:t>
            </w:r>
            <w:r w:rsidRPr="00660C98">
              <w:rPr>
                <w:rFonts w:ascii="Times New Roman" w:hAnsi="Times New Roman"/>
                <w:i/>
                <w:snapToGrid w:val="0"/>
                <w:lang w:val="lt-LT"/>
              </w:rPr>
              <w:t>poodinio</w:t>
            </w:r>
            <w:r w:rsidRPr="00660C98">
              <w:rPr>
                <w:rFonts w:ascii="Times New Roman" w:hAnsi="Times New Roman"/>
                <w:i/>
                <w:snapToGrid w:val="0"/>
                <w:lang w:val="pt-BR"/>
              </w:rPr>
              <w:t xml:space="preserve"> </w:t>
            </w:r>
            <w:r w:rsidRPr="00660C98">
              <w:rPr>
                <w:rFonts w:ascii="Times New Roman" w:hAnsi="Times New Roman"/>
                <w:i/>
                <w:snapToGrid w:val="0"/>
                <w:lang w:val="lt-LT"/>
              </w:rPr>
              <w:t>audinio</w:t>
            </w:r>
            <w:r w:rsidRPr="00660C98">
              <w:rPr>
                <w:rFonts w:ascii="Times New Roman" w:hAnsi="Times New Roman"/>
                <w:i/>
                <w:snapToGrid w:val="0"/>
                <w:lang w:val="pt-BR"/>
              </w:rPr>
              <w:t xml:space="preserve"> </w:t>
            </w:r>
            <w:r w:rsidRPr="00660C98">
              <w:rPr>
                <w:rFonts w:ascii="Times New Roman" w:hAnsi="Times New Roman"/>
                <w:i/>
                <w:snapToGrid w:val="0"/>
                <w:lang w:val="lt-LT"/>
              </w:rPr>
              <w:t>sutrikimai</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pt-BR"/>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Dažni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Išbėrimas</w:t>
            </w:r>
            <w:r w:rsidRPr="00660C98">
              <w:rPr>
                <w:rFonts w:ascii="Times New Roman" w:hAnsi="Times New Roman"/>
                <w:lang w:val="en-GB"/>
              </w:rPr>
              <w:t>.</w:t>
            </w:r>
          </w:p>
        </w:tc>
      </w:tr>
      <w:tr w:rsidR="00660C98" w:rsidRPr="00465315"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Reti</w:t>
            </w:r>
            <w:r w:rsidRPr="00660C98">
              <w:rPr>
                <w:rFonts w:ascii="Times New Roman" w:hAnsi="Times New Roman"/>
                <w:lang w:val="en-GB"/>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en-GB"/>
              </w:rPr>
            </w:pPr>
            <w:proofErr w:type="spellStart"/>
            <w:r w:rsidRPr="00660C98">
              <w:rPr>
                <w:rFonts w:ascii="Times New Roman" w:hAnsi="Times New Roman"/>
                <w:lang w:val="lt-LT"/>
              </w:rPr>
              <w:t>Dilgelinė</w:t>
            </w:r>
            <w:proofErr w:type="spellEnd"/>
            <w:r w:rsidRPr="00660C98">
              <w:rPr>
                <w:rFonts w:ascii="Times New Roman" w:hAnsi="Times New Roman"/>
                <w:lang w:val="en-GB"/>
              </w:rPr>
              <w:t>.</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en-GB"/>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fi-FI"/>
              </w:rPr>
            </w:pPr>
            <w:proofErr w:type="spellStart"/>
            <w:r w:rsidRPr="00660C98">
              <w:rPr>
                <w:rFonts w:ascii="Times New Roman" w:hAnsi="Times New Roman"/>
                <w:lang w:val="lt-LT"/>
              </w:rPr>
              <w:t>Pūslinis</w:t>
            </w:r>
            <w:proofErr w:type="spellEnd"/>
            <w:r w:rsidRPr="00660C98">
              <w:rPr>
                <w:rFonts w:ascii="Times New Roman" w:hAnsi="Times New Roman"/>
                <w:lang w:val="fi-FI"/>
              </w:rPr>
              <w:t xml:space="preserve"> dermatitas, </w:t>
            </w:r>
            <w:r w:rsidRPr="00660C98">
              <w:rPr>
                <w:rFonts w:ascii="Times New Roman" w:hAnsi="Times New Roman"/>
                <w:lang w:val="lt-LT"/>
              </w:rPr>
              <w:t>egzema</w:t>
            </w:r>
            <w:r w:rsidRPr="00660C98">
              <w:rPr>
                <w:rFonts w:ascii="Times New Roman" w:hAnsi="Times New Roman"/>
                <w:lang w:val="fi-FI"/>
              </w:rPr>
              <w:t xml:space="preserve">, </w:t>
            </w:r>
            <w:proofErr w:type="spellStart"/>
            <w:r w:rsidRPr="00660C98">
              <w:rPr>
                <w:rFonts w:ascii="Times New Roman" w:hAnsi="Times New Roman"/>
                <w:lang w:val="lt-LT"/>
              </w:rPr>
              <w:t>eritema</w:t>
            </w:r>
            <w:proofErr w:type="spellEnd"/>
            <w:r w:rsidRPr="00660C98">
              <w:rPr>
                <w:rFonts w:ascii="Times New Roman" w:hAnsi="Times New Roman"/>
                <w:lang w:val="fi-FI"/>
              </w:rPr>
              <w:t xml:space="preserve">, </w:t>
            </w:r>
            <w:r w:rsidRPr="00660C98">
              <w:rPr>
                <w:rFonts w:ascii="Times New Roman" w:hAnsi="Times New Roman"/>
                <w:lang w:val="lt-LT"/>
              </w:rPr>
              <w:t>daugiaformė</w:t>
            </w:r>
            <w:r w:rsidRPr="00660C98">
              <w:rPr>
                <w:rFonts w:ascii="Times New Roman" w:hAnsi="Times New Roman"/>
                <w:lang w:val="fi-FI"/>
              </w:rPr>
              <w:t xml:space="preserve"> </w:t>
            </w:r>
            <w:proofErr w:type="spellStart"/>
            <w:r w:rsidRPr="00660C98">
              <w:rPr>
                <w:rFonts w:ascii="Times New Roman" w:hAnsi="Times New Roman"/>
                <w:lang w:val="lt-LT"/>
              </w:rPr>
              <w:t>eritema</w:t>
            </w:r>
            <w:proofErr w:type="spellEnd"/>
            <w:r w:rsidRPr="00660C98">
              <w:rPr>
                <w:rFonts w:ascii="Times New Roman" w:hAnsi="Times New Roman"/>
                <w:lang w:val="fi-FI"/>
              </w:rPr>
              <w:t xml:space="preserve">, </w:t>
            </w:r>
            <w:r w:rsidRPr="00660C98">
              <w:rPr>
                <w:rFonts w:ascii="Times New Roman" w:hAnsi="Times New Roman"/>
                <w:i/>
                <w:lang w:val="x-none" w:eastAsia="x-none"/>
              </w:rPr>
              <w:t>Stevens-Jonson</w:t>
            </w:r>
            <w:r w:rsidRPr="00660C98">
              <w:rPr>
                <w:rFonts w:ascii="Times New Roman" w:hAnsi="Times New Roman"/>
                <w:b/>
                <w:i/>
                <w:lang w:val="x-none" w:eastAsia="x-none"/>
              </w:rPr>
              <w:t xml:space="preserve"> </w:t>
            </w:r>
            <w:r w:rsidRPr="00660C98">
              <w:rPr>
                <w:rFonts w:ascii="Times New Roman" w:hAnsi="Times New Roman"/>
                <w:lang w:val="fi-FI"/>
              </w:rPr>
              <w:t xml:space="preserve"> </w:t>
            </w:r>
            <w:r w:rsidRPr="00660C98">
              <w:rPr>
                <w:rFonts w:ascii="Times New Roman" w:hAnsi="Times New Roman"/>
                <w:lang w:val="lt-LT"/>
              </w:rPr>
              <w:t>sindromas</w:t>
            </w:r>
            <w:r w:rsidRPr="00660C98">
              <w:rPr>
                <w:rFonts w:ascii="Times New Roman" w:hAnsi="Times New Roman"/>
                <w:lang w:val="fi-FI"/>
              </w:rPr>
              <w:t xml:space="preserve">, </w:t>
            </w:r>
            <w:r w:rsidRPr="00660C98">
              <w:rPr>
                <w:rFonts w:ascii="Times New Roman" w:hAnsi="Times New Roman"/>
                <w:lang w:val="lt-LT"/>
              </w:rPr>
              <w:t>toksinė</w:t>
            </w:r>
            <w:r w:rsidRPr="00660C98">
              <w:rPr>
                <w:rFonts w:ascii="Times New Roman" w:hAnsi="Times New Roman"/>
                <w:lang w:val="fi-FI"/>
              </w:rPr>
              <w:t xml:space="preserve"> </w:t>
            </w:r>
            <w:r w:rsidRPr="00660C98">
              <w:rPr>
                <w:rFonts w:ascii="Times New Roman" w:hAnsi="Times New Roman"/>
                <w:lang w:val="lt-LT"/>
              </w:rPr>
              <w:t>epidermio</w:t>
            </w:r>
            <w:r w:rsidRPr="00660C98">
              <w:rPr>
                <w:rFonts w:ascii="Times New Roman" w:hAnsi="Times New Roman"/>
                <w:lang w:val="fi-FI"/>
              </w:rPr>
              <w:t xml:space="preserve"> </w:t>
            </w:r>
            <w:proofErr w:type="spellStart"/>
            <w:r w:rsidRPr="00660C98">
              <w:rPr>
                <w:rFonts w:ascii="Times New Roman" w:hAnsi="Times New Roman"/>
                <w:lang w:val="lt-LT"/>
              </w:rPr>
              <w:t>nekrolizė</w:t>
            </w:r>
            <w:proofErr w:type="spellEnd"/>
            <w:r w:rsidRPr="00660C98">
              <w:rPr>
                <w:rFonts w:ascii="Times New Roman" w:hAnsi="Times New Roman"/>
                <w:lang w:val="fi-FI"/>
              </w:rPr>
              <w:t xml:space="preserve"> (</w:t>
            </w:r>
            <w:proofErr w:type="spellStart"/>
            <w:r w:rsidRPr="00660C98">
              <w:rPr>
                <w:rFonts w:ascii="Times New Roman" w:hAnsi="Times New Roman"/>
                <w:lang w:val="lt-LT"/>
              </w:rPr>
              <w:t>Lajelio</w:t>
            </w:r>
            <w:proofErr w:type="spellEnd"/>
            <w:r w:rsidRPr="00660C98">
              <w:rPr>
                <w:rFonts w:ascii="Times New Roman" w:hAnsi="Times New Roman"/>
                <w:lang w:val="fi-FI"/>
              </w:rPr>
              <w:t xml:space="preserve"> </w:t>
            </w:r>
            <w:r w:rsidRPr="00660C98">
              <w:rPr>
                <w:rFonts w:ascii="Times New Roman" w:hAnsi="Times New Roman"/>
                <w:lang w:val="lt-LT"/>
              </w:rPr>
              <w:t>sindromas</w:t>
            </w:r>
            <w:r w:rsidRPr="00660C98">
              <w:rPr>
                <w:rFonts w:ascii="Times New Roman" w:hAnsi="Times New Roman"/>
                <w:lang w:val="fi-FI"/>
              </w:rPr>
              <w:t xml:space="preserve">), </w:t>
            </w:r>
            <w:proofErr w:type="spellStart"/>
            <w:r w:rsidRPr="00660C98">
              <w:rPr>
                <w:rFonts w:ascii="Times New Roman" w:hAnsi="Times New Roman"/>
                <w:lang w:val="lt-LT"/>
              </w:rPr>
              <w:t>eksfoliacinis</w:t>
            </w:r>
            <w:proofErr w:type="spellEnd"/>
            <w:r w:rsidRPr="00660C98">
              <w:rPr>
                <w:rFonts w:ascii="Times New Roman" w:hAnsi="Times New Roman"/>
                <w:lang w:val="fi-FI"/>
              </w:rPr>
              <w:t xml:space="preserve"> </w:t>
            </w:r>
            <w:r w:rsidRPr="00660C98">
              <w:rPr>
                <w:rFonts w:ascii="Times New Roman" w:hAnsi="Times New Roman"/>
                <w:lang w:val="lt-LT"/>
              </w:rPr>
              <w:t>dermatitas</w:t>
            </w:r>
            <w:r w:rsidRPr="00660C98">
              <w:rPr>
                <w:rFonts w:ascii="Times New Roman" w:hAnsi="Times New Roman"/>
                <w:lang w:val="fi-FI"/>
              </w:rPr>
              <w:t xml:space="preserve">, alopecija, </w:t>
            </w:r>
            <w:r w:rsidRPr="00660C98">
              <w:rPr>
                <w:rFonts w:ascii="Times New Roman" w:hAnsi="Times New Roman"/>
                <w:lang w:val="lt-LT"/>
              </w:rPr>
              <w:t>padidėjęs</w:t>
            </w:r>
            <w:r w:rsidRPr="00660C98">
              <w:rPr>
                <w:rFonts w:ascii="Times New Roman" w:hAnsi="Times New Roman"/>
                <w:lang w:val="fi-FI"/>
              </w:rPr>
              <w:t xml:space="preserve"> </w:t>
            </w:r>
            <w:r w:rsidRPr="00660C98">
              <w:rPr>
                <w:rFonts w:ascii="Times New Roman" w:hAnsi="Times New Roman"/>
                <w:lang w:val="lt-LT"/>
              </w:rPr>
              <w:t>jautrumas</w:t>
            </w:r>
            <w:r w:rsidRPr="00660C98">
              <w:rPr>
                <w:rFonts w:ascii="Times New Roman" w:hAnsi="Times New Roman"/>
                <w:lang w:val="fi-FI"/>
              </w:rPr>
              <w:t xml:space="preserve"> </w:t>
            </w:r>
            <w:r w:rsidRPr="00660C98">
              <w:rPr>
                <w:rFonts w:ascii="Times New Roman" w:hAnsi="Times New Roman"/>
                <w:lang w:val="lt-LT"/>
              </w:rPr>
              <w:t>šviesai</w:t>
            </w:r>
            <w:r w:rsidRPr="00660C98">
              <w:rPr>
                <w:rFonts w:ascii="Times New Roman" w:hAnsi="Times New Roman"/>
                <w:lang w:val="fi-FI"/>
              </w:rPr>
              <w:t xml:space="preserve">, </w:t>
            </w:r>
            <w:r w:rsidRPr="00660C98">
              <w:rPr>
                <w:rFonts w:ascii="Times New Roman" w:hAnsi="Times New Roman"/>
                <w:lang w:val="lt-LT"/>
              </w:rPr>
              <w:t>purpura</w:t>
            </w:r>
            <w:r w:rsidRPr="00660C98">
              <w:rPr>
                <w:rFonts w:ascii="Times New Roman" w:hAnsi="Times New Roman"/>
                <w:lang w:val="fi-FI"/>
              </w:rPr>
              <w:t xml:space="preserve">, </w:t>
            </w:r>
            <w:proofErr w:type="spellStart"/>
            <w:r w:rsidRPr="00660C98">
              <w:rPr>
                <w:rFonts w:ascii="Times New Roman" w:hAnsi="Times New Roman"/>
                <w:i/>
                <w:lang w:val="lt-LT" w:eastAsia="x-none"/>
              </w:rPr>
              <w:t>Henoch-Schonlein</w:t>
            </w:r>
            <w:proofErr w:type="spellEnd"/>
            <w:r w:rsidRPr="00660C98">
              <w:rPr>
                <w:rFonts w:ascii="Times New Roman" w:hAnsi="Times New Roman"/>
                <w:lang w:val="fi-FI"/>
              </w:rPr>
              <w:t xml:space="preserve"> </w:t>
            </w:r>
            <w:r w:rsidRPr="00660C98">
              <w:rPr>
                <w:rFonts w:ascii="Times New Roman" w:hAnsi="Times New Roman"/>
                <w:lang w:val="lt-LT"/>
              </w:rPr>
              <w:t>purpura</w:t>
            </w:r>
            <w:r w:rsidRPr="00660C98">
              <w:rPr>
                <w:rFonts w:ascii="Times New Roman" w:hAnsi="Times New Roman"/>
                <w:lang w:val="fi-FI"/>
              </w:rPr>
              <w:t xml:space="preserve">, </w:t>
            </w:r>
            <w:r w:rsidRPr="00660C98">
              <w:rPr>
                <w:rFonts w:ascii="Times New Roman" w:hAnsi="Times New Roman"/>
                <w:lang w:val="lt-LT"/>
              </w:rPr>
              <w:t>niežulys</w:t>
            </w:r>
            <w:r w:rsidRPr="00660C98">
              <w:rPr>
                <w:rFonts w:ascii="Times New Roman" w:hAnsi="Times New Roman"/>
                <w:lang w:val="fi-FI"/>
              </w:rPr>
              <w:t>.</w:t>
            </w:r>
          </w:p>
        </w:tc>
      </w:tr>
      <w:tr w:rsidR="00660C98" w:rsidRPr="00C10856"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bCs/>
                <w:i/>
                <w:lang w:val="fi-FI"/>
              </w:rPr>
            </w:pPr>
            <w:r w:rsidRPr="00660C98">
              <w:rPr>
                <w:rFonts w:ascii="Times New Roman" w:hAnsi="Times New Roman"/>
                <w:bCs/>
                <w:i/>
                <w:snapToGrid w:val="0"/>
                <w:lang w:val="lt-LT"/>
              </w:rPr>
              <w:t>Inkstų</w:t>
            </w:r>
            <w:r w:rsidRPr="00660C98">
              <w:rPr>
                <w:rFonts w:ascii="Times New Roman" w:hAnsi="Times New Roman"/>
                <w:bCs/>
                <w:i/>
                <w:snapToGrid w:val="0"/>
                <w:lang w:val="fi-FI"/>
              </w:rPr>
              <w:t xml:space="preserve"> </w:t>
            </w:r>
            <w:r w:rsidRPr="00660C98">
              <w:rPr>
                <w:rFonts w:ascii="Times New Roman" w:hAnsi="Times New Roman"/>
                <w:bCs/>
                <w:i/>
                <w:snapToGrid w:val="0"/>
                <w:lang w:val="lt-LT"/>
              </w:rPr>
              <w:t>ir</w:t>
            </w:r>
            <w:r w:rsidRPr="00660C98">
              <w:rPr>
                <w:rFonts w:ascii="Times New Roman" w:hAnsi="Times New Roman"/>
                <w:bCs/>
                <w:i/>
                <w:snapToGrid w:val="0"/>
                <w:lang w:val="fi-FI"/>
              </w:rPr>
              <w:t xml:space="preserve"> </w:t>
            </w:r>
            <w:r w:rsidRPr="00660C98">
              <w:rPr>
                <w:rFonts w:ascii="Times New Roman" w:hAnsi="Times New Roman"/>
                <w:bCs/>
                <w:i/>
                <w:snapToGrid w:val="0"/>
                <w:lang w:val="lt-LT"/>
              </w:rPr>
              <w:t>šlapimo</w:t>
            </w:r>
            <w:r w:rsidRPr="00660C98">
              <w:rPr>
                <w:rFonts w:ascii="Times New Roman" w:hAnsi="Times New Roman"/>
                <w:bCs/>
                <w:i/>
                <w:snapToGrid w:val="0"/>
                <w:lang w:val="fi-FI"/>
              </w:rPr>
              <w:t xml:space="preserve"> </w:t>
            </w:r>
            <w:r w:rsidRPr="00660C98">
              <w:rPr>
                <w:rFonts w:ascii="Times New Roman" w:hAnsi="Times New Roman"/>
                <w:bCs/>
                <w:i/>
                <w:snapToGrid w:val="0"/>
                <w:lang w:val="lt-LT"/>
              </w:rPr>
              <w:t>takų</w:t>
            </w:r>
            <w:r w:rsidRPr="00660C98">
              <w:rPr>
                <w:rFonts w:ascii="Times New Roman" w:hAnsi="Times New Roman"/>
                <w:bCs/>
                <w:i/>
                <w:snapToGrid w:val="0"/>
                <w:lang w:val="fi-FI"/>
              </w:rPr>
              <w:t xml:space="preserve"> </w:t>
            </w:r>
            <w:r w:rsidRPr="00660C98">
              <w:rPr>
                <w:rFonts w:ascii="Times New Roman" w:hAnsi="Times New Roman"/>
                <w:bCs/>
                <w:i/>
                <w:snapToGrid w:val="0"/>
                <w:lang w:val="lt-LT"/>
              </w:rPr>
              <w:t>sutrikimai</w:t>
            </w:r>
          </w:p>
        </w:tc>
      </w:tr>
      <w:tr w:rsidR="00660C98" w:rsidRPr="00C10856" w:rsidTr="00D204E7">
        <w:tc>
          <w:tcPr>
            <w:tcW w:w="567" w:type="dxa"/>
          </w:tcPr>
          <w:p w:rsidR="00660C98" w:rsidRPr="00660C98" w:rsidRDefault="00660C98" w:rsidP="00660C98">
            <w:pPr>
              <w:tabs>
                <w:tab w:val="left" w:pos="284"/>
              </w:tabs>
              <w:spacing w:before="40" w:after="20" w:line="240" w:lineRule="auto"/>
              <w:rPr>
                <w:rFonts w:ascii="Times New Roman" w:hAnsi="Times New Roman"/>
                <w:lang w:val="fi-FI"/>
              </w:rPr>
            </w:pPr>
          </w:p>
        </w:tc>
        <w:tc>
          <w:tcPr>
            <w:tcW w:w="2552"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Labai</w:t>
            </w:r>
            <w:r w:rsidRPr="00660C98">
              <w:rPr>
                <w:rFonts w:ascii="Times New Roman" w:hAnsi="Times New Roman"/>
                <w:lang w:val="fi-FI"/>
              </w:rPr>
              <w:t xml:space="preserve"> </w:t>
            </w:r>
            <w:r w:rsidRPr="00660C98">
              <w:rPr>
                <w:rFonts w:ascii="Times New Roman" w:hAnsi="Times New Roman"/>
                <w:lang w:val="lt-LT"/>
              </w:rPr>
              <w:t>reti</w:t>
            </w:r>
            <w:r w:rsidRPr="00660C98">
              <w:rPr>
                <w:rFonts w:ascii="Times New Roman" w:hAnsi="Times New Roman"/>
                <w:lang w:val="fi-FI"/>
              </w:rPr>
              <w:t>:</w:t>
            </w:r>
          </w:p>
        </w:tc>
        <w:tc>
          <w:tcPr>
            <w:tcW w:w="5953" w:type="dxa"/>
          </w:tcPr>
          <w:p w:rsidR="00660C98" w:rsidRPr="00660C98" w:rsidRDefault="00660C98" w:rsidP="00660C98">
            <w:pPr>
              <w:tabs>
                <w:tab w:val="left" w:pos="284"/>
              </w:tabs>
              <w:spacing w:before="40" w:after="20" w:line="240" w:lineRule="auto"/>
              <w:rPr>
                <w:rFonts w:ascii="Times New Roman" w:hAnsi="Times New Roman"/>
                <w:lang w:val="fi-FI"/>
              </w:rPr>
            </w:pPr>
            <w:r w:rsidRPr="00660C98">
              <w:rPr>
                <w:rFonts w:ascii="Times New Roman" w:hAnsi="Times New Roman"/>
                <w:lang w:val="lt-LT"/>
              </w:rPr>
              <w:t>Ūminis</w:t>
            </w:r>
            <w:r w:rsidRPr="00660C98">
              <w:rPr>
                <w:rFonts w:ascii="Times New Roman" w:hAnsi="Times New Roman"/>
                <w:lang w:val="fi-FI"/>
              </w:rPr>
              <w:t xml:space="preserve"> </w:t>
            </w:r>
            <w:r w:rsidRPr="00660C98">
              <w:rPr>
                <w:rFonts w:ascii="Times New Roman" w:hAnsi="Times New Roman"/>
                <w:lang w:val="lt-LT"/>
              </w:rPr>
              <w:t>inkstų</w:t>
            </w:r>
            <w:r w:rsidRPr="00660C98">
              <w:rPr>
                <w:rFonts w:ascii="Times New Roman" w:hAnsi="Times New Roman"/>
                <w:lang w:val="fi-FI"/>
              </w:rPr>
              <w:t xml:space="preserve"> </w:t>
            </w:r>
            <w:r w:rsidRPr="00660C98">
              <w:rPr>
                <w:rFonts w:ascii="Times New Roman" w:hAnsi="Times New Roman"/>
                <w:lang w:val="lt-LT"/>
              </w:rPr>
              <w:t>funkcijos</w:t>
            </w:r>
            <w:r w:rsidRPr="00660C98">
              <w:rPr>
                <w:rFonts w:ascii="Times New Roman" w:hAnsi="Times New Roman"/>
                <w:lang w:val="fi-FI"/>
              </w:rPr>
              <w:t xml:space="preserve"> </w:t>
            </w:r>
            <w:r w:rsidRPr="00660C98">
              <w:rPr>
                <w:rFonts w:ascii="Times New Roman" w:hAnsi="Times New Roman"/>
                <w:lang w:val="lt-LT"/>
              </w:rPr>
              <w:t>nepakankamumas</w:t>
            </w:r>
            <w:r w:rsidRPr="00660C98">
              <w:rPr>
                <w:rFonts w:ascii="Times New Roman" w:hAnsi="Times New Roman"/>
                <w:lang w:val="fi-FI"/>
              </w:rPr>
              <w:t xml:space="preserve">, </w:t>
            </w:r>
            <w:proofErr w:type="spellStart"/>
            <w:r w:rsidRPr="00660C98">
              <w:rPr>
                <w:rFonts w:ascii="Times New Roman" w:hAnsi="Times New Roman"/>
                <w:lang w:val="lt-LT"/>
              </w:rPr>
              <w:t>hematurija</w:t>
            </w:r>
            <w:proofErr w:type="spellEnd"/>
            <w:r w:rsidRPr="00660C98">
              <w:rPr>
                <w:rFonts w:ascii="Times New Roman" w:hAnsi="Times New Roman"/>
                <w:lang w:val="fi-FI"/>
              </w:rPr>
              <w:t xml:space="preserve">, </w:t>
            </w:r>
            <w:proofErr w:type="spellStart"/>
            <w:r w:rsidRPr="00660C98">
              <w:rPr>
                <w:rFonts w:ascii="Times New Roman" w:hAnsi="Times New Roman"/>
                <w:lang w:val="lt-LT"/>
              </w:rPr>
              <w:t>proteinurija</w:t>
            </w:r>
            <w:proofErr w:type="spellEnd"/>
            <w:r w:rsidRPr="00660C98">
              <w:rPr>
                <w:rFonts w:ascii="Times New Roman" w:hAnsi="Times New Roman"/>
                <w:lang w:val="fi-FI"/>
              </w:rPr>
              <w:t xml:space="preserve">, </w:t>
            </w:r>
            <w:proofErr w:type="spellStart"/>
            <w:r w:rsidRPr="00660C98">
              <w:rPr>
                <w:rFonts w:ascii="Times New Roman" w:hAnsi="Times New Roman"/>
                <w:lang w:val="lt-LT"/>
              </w:rPr>
              <w:t>nefrozinis</w:t>
            </w:r>
            <w:proofErr w:type="spellEnd"/>
            <w:r w:rsidRPr="00660C98">
              <w:rPr>
                <w:rFonts w:ascii="Times New Roman" w:hAnsi="Times New Roman"/>
                <w:lang w:val="fi-FI"/>
              </w:rPr>
              <w:t xml:space="preserve"> </w:t>
            </w:r>
            <w:r w:rsidRPr="00660C98">
              <w:rPr>
                <w:rFonts w:ascii="Times New Roman" w:hAnsi="Times New Roman"/>
                <w:lang w:val="lt-LT"/>
              </w:rPr>
              <w:t>sindromas</w:t>
            </w:r>
            <w:r w:rsidRPr="00660C98">
              <w:rPr>
                <w:rFonts w:ascii="Times New Roman" w:hAnsi="Times New Roman"/>
                <w:lang w:val="fi-FI"/>
              </w:rPr>
              <w:t>, tubulo</w:t>
            </w:r>
            <w:proofErr w:type="spellStart"/>
            <w:r w:rsidRPr="00660C98">
              <w:rPr>
                <w:rFonts w:ascii="Times New Roman" w:hAnsi="Times New Roman"/>
                <w:lang w:val="lt-LT"/>
              </w:rPr>
              <w:t>intersticinis</w:t>
            </w:r>
            <w:proofErr w:type="spellEnd"/>
            <w:r w:rsidRPr="00660C98">
              <w:rPr>
                <w:rFonts w:ascii="Times New Roman" w:hAnsi="Times New Roman"/>
                <w:lang w:val="fi-FI"/>
              </w:rPr>
              <w:t xml:space="preserve"> </w:t>
            </w:r>
            <w:r w:rsidRPr="00660C98">
              <w:rPr>
                <w:rFonts w:ascii="Times New Roman" w:hAnsi="Times New Roman"/>
                <w:lang w:val="lt-LT"/>
              </w:rPr>
              <w:t>nefritas</w:t>
            </w:r>
            <w:r w:rsidRPr="00660C98">
              <w:rPr>
                <w:rFonts w:ascii="Times New Roman" w:hAnsi="Times New Roman"/>
                <w:lang w:val="fi-FI"/>
              </w:rPr>
              <w:t xml:space="preserve">, </w:t>
            </w:r>
            <w:r w:rsidRPr="00660C98">
              <w:rPr>
                <w:rFonts w:ascii="Times New Roman" w:hAnsi="Times New Roman"/>
                <w:lang w:val="lt-LT"/>
              </w:rPr>
              <w:t>inkstų</w:t>
            </w:r>
            <w:r w:rsidRPr="00660C98">
              <w:rPr>
                <w:rFonts w:ascii="Times New Roman" w:hAnsi="Times New Roman"/>
                <w:lang w:val="fi-FI"/>
              </w:rPr>
              <w:t xml:space="preserve"> </w:t>
            </w:r>
            <w:r w:rsidRPr="00660C98">
              <w:rPr>
                <w:rFonts w:ascii="Times New Roman" w:hAnsi="Times New Roman"/>
                <w:lang w:val="lt-LT"/>
              </w:rPr>
              <w:t>spenelių</w:t>
            </w:r>
            <w:r w:rsidRPr="00660C98">
              <w:rPr>
                <w:rFonts w:ascii="Times New Roman" w:hAnsi="Times New Roman"/>
                <w:lang w:val="fi-FI"/>
              </w:rPr>
              <w:t xml:space="preserve"> </w:t>
            </w:r>
            <w:r w:rsidRPr="00660C98">
              <w:rPr>
                <w:rFonts w:ascii="Times New Roman" w:hAnsi="Times New Roman"/>
                <w:lang w:val="lt-LT"/>
              </w:rPr>
              <w:t>nekrozė</w:t>
            </w:r>
            <w:r w:rsidRPr="00660C98">
              <w:rPr>
                <w:rFonts w:ascii="Times New Roman" w:hAnsi="Times New Roman"/>
                <w:lang w:val="fi-FI"/>
              </w:rPr>
              <w:t>.</w:t>
            </w:r>
          </w:p>
        </w:tc>
      </w:tr>
      <w:tr w:rsidR="00660C98" w:rsidRPr="00C10856" w:rsidTr="00D204E7">
        <w:trPr>
          <w:cantSplit/>
        </w:trPr>
        <w:tc>
          <w:tcPr>
            <w:tcW w:w="9072" w:type="dxa"/>
            <w:gridSpan w:val="3"/>
          </w:tcPr>
          <w:p w:rsidR="00660C98" w:rsidRPr="00660C98" w:rsidRDefault="00660C98" w:rsidP="00660C98">
            <w:pPr>
              <w:tabs>
                <w:tab w:val="left" w:pos="284"/>
              </w:tabs>
              <w:spacing w:before="40" w:after="20" w:line="240" w:lineRule="auto"/>
              <w:rPr>
                <w:rFonts w:ascii="Times New Roman" w:hAnsi="Times New Roman"/>
                <w:i/>
                <w:lang w:val="pt-BR"/>
              </w:rPr>
            </w:pPr>
            <w:r w:rsidRPr="00660C98">
              <w:rPr>
                <w:rFonts w:ascii="Times New Roman" w:hAnsi="Times New Roman"/>
                <w:i/>
                <w:snapToGrid w:val="0"/>
                <w:lang w:val="lt-LT"/>
              </w:rPr>
              <w:t>Bendrieji</w:t>
            </w:r>
            <w:r w:rsidRPr="00660C98">
              <w:rPr>
                <w:rFonts w:ascii="Times New Roman" w:hAnsi="Times New Roman"/>
                <w:i/>
                <w:snapToGrid w:val="0"/>
                <w:lang w:val="pt-BR"/>
              </w:rPr>
              <w:t xml:space="preserve"> </w:t>
            </w:r>
            <w:r w:rsidRPr="00660C98">
              <w:rPr>
                <w:rFonts w:ascii="Times New Roman" w:hAnsi="Times New Roman"/>
                <w:i/>
                <w:snapToGrid w:val="0"/>
                <w:lang w:val="lt-LT"/>
              </w:rPr>
              <w:t>sutrikimai</w:t>
            </w:r>
            <w:r w:rsidRPr="00660C98">
              <w:rPr>
                <w:rFonts w:ascii="Times New Roman" w:hAnsi="Times New Roman"/>
                <w:i/>
                <w:snapToGrid w:val="0"/>
                <w:lang w:val="pt-BR"/>
              </w:rPr>
              <w:t xml:space="preserve"> </w:t>
            </w:r>
            <w:r w:rsidRPr="00660C98">
              <w:rPr>
                <w:rFonts w:ascii="Times New Roman" w:hAnsi="Times New Roman"/>
                <w:i/>
                <w:snapToGrid w:val="0"/>
                <w:lang w:val="lt-LT"/>
              </w:rPr>
              <w:t>ir</w:t>
            </w:r>
            <w:r w:rsidRPr="00660C98">
              <w:rPr>
                <w:rFonts w:ascii="Times New Roman" w:hAnsi="Times New Roman"/>
                <w:i/>
                <w:snapToGrid w:val="0"/>
                <w:lang w:val="pt-BR"/>
              </w:rPr>
              <w:t xml:space="preserve"> </w:t>
            </w:r>
            <w:r w:rsidRPr="00660C98">
              <w:rPr>
                <w:rFonts w:ascii="Times New Roman" w:hAnsi="Times New Roman"/>
                <w:i/>
                <w:snapToGrid w:val="0"/>
                <w:lang w:val="lt-LT"/>
              </w:rPr>
              <w:t>vartojimo</w:t>
            </w:r>
            <w:r w:rsidRPr="00660C98">
              <w:rPr>
                <w:rFonts w:ascii="Times New Roman" w:hAnsi="Times New Roman"/>
                <w:i/>
                <w:snapToGrid w:val="0"/>
                <w:lang w:val="pt-BR"/>
              </w:rPr>
              <w:t xml:space="preserve"> </w:t>
            </w:r>
            <w:r w:rsidRPr="00660C98">
              <w:rPr>
                <w:rFonts w:ascii="Times New Roman" w:hAnsi="Times New Roman"/>
                <w:i/>
                <w:snapToGrid w:val="0"/>
                <w:lang w:val="lt-LT"/>
              </w:rPr>
              <w:t>vietos</w:t>
            </w:r>
            <w:r w:rsidRPr="00660C98">
              <w:rPr>
                <w:rFonts w:ascii="Times New Roman" w:hAnsi="Times New Roman"/>
                <w:i/>
                <w:snapToGrid w:val="0"/>
                <w:lang w:val="pt-BR"/>
              </w:rPr>
              <w:t xml:space="preserve"> </w:t>
            </w:r>
            <w:r w:rsidRPr="00660C98">
              <w:rPr>
                <w:rFonts w:ascii="Times New Roman" w:hAnsi="Times New Roman"/>
                <w:i/>
                <w:snapToGrid w:val="0"/>
                <w:lang w:val="lt-LT"/>
              </w:rPr>
              <w:t>pažeidimai</w:t>
            </w:r>
          </w:p>
        </w:tc>
      </w:tr>
      <w:tr w:rsidR="00660C98" w:rsidRPr="00465315" w:rsidTr="00D204E7">
        <w:tc>
          <w:tcPr>
            <w:tcW w:w="567" w:type="dxa"/>
            <w:tcBorders>
              <w:bottom w:val="single" w:sz="4" w:space="0" w:color="auto"/>
            </w:tcBorders>
          </w:tcPr>
          <w:p w:rsidR="00660C98" w:rsidRPr="00660C98" w:rsidRDefault="00660C98" w:rsidP="00660C98">
            <w:pPr>
              <w:tabs>
                <w:tab w:val="left" w:pos="284"/>
              </w:tabs>
              <w:spacing w:before="40" w:after="20" w:line="240" w:lineRule="auto"/>
              <w:rPr>
                <w:rFonts w:ascii="Times New Roman" w:hAnsi="Times New Roman"/>
                <w:lang w:val="pt-BR"/>
              </w:rPr>
            </w:pPr>
          </w:p>
        </w:tc>
        <w:tc>
          <w:tcPr>
            <w:tcW w:w="2552" w:type="dxa"/>
            <w:tcBorders>
              <w:bottom w:val="single" w:sz="4" w:space="0" w:color="auto"/>
            </w:tcBorders>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Reti</w:t>
            </w:r>
            <w:r w:rsidRPr="00660C98">
              <w:rPr>
                <w:rFonts w:ascii="Times New Roman" w:hAnsi="Times New Roman"/>
                <w:lang w:val="en-GB"/>
              </w:rPr>
              <w:t>:</w:t>
            </w:r>
          </w:p>
        </w:tc>
        <w:tc>
          <w:tcPr>
            <w:tcW w:w="5953" w:type="dxa"/>
            <w:tcBorders>
              <w:bottom w:val="single" w:sz="4" w:space="0" w:color="auto"/>
            </w:tcBorders>
          </w:tcPr>
          <w:p w:rsidR="00660C98" w:rsidRPr="00660C98" w:rsidRDefault="00660C98" w:rsidP="00660C98">
            <w:pPr>
              <w:tabs>
                <w:tab w:val="left" w:pos="284"/>
              </w:tabs>
              <w:spacing w:before="40" w:after="20" w:line="240" w:lineRule="auto"/>
              <w:rPr>
                <w:rFonts w:ascii="Times New Roman" w:hAnsi="Times New Roman"/>
                <w:lang w:val="en-GB"/>
              </w:rPr>
            </w:pPr>
            <w:r w:rsidRPr="00660C98">
              <w:rPr>
                <w:rFonts w:ascii="Times New Roman" w:hAnsi="Times New Roman"/>
                <w:lang w:val="lt-LT"/>
              </w:rPr>
              <w:t>Edema</w:t>
            </w:r>
            <w:r w:rsidRPr="00660C98">
              <w:rPr>
                <w:rFonts w:ascii="Times New Roman" w:hAnsi="Times New Roman"/>
                <w:lang w:val="en-GB"/>
              </w:rPr>
              <w:t>.</w:t>
            </w:r>
          </w:p>
        </w:tc>
      </w:tr>
    </w:tbl>
    <w:p w:rsidR="00660C98" w:rsidRPr="00660C98" w:rsidRDefault="00660C98" w:rsidP="00660C98">
      <w:pPr>
        <w:tabs>
          <w:tab w:val="left" w:pos="567"/>
        </w:tabs>
        <w:spacing w:after="0" w:line="240" w:lineRule="auto"/>
        <w:rPr>
          <w:rFonts w:ascii="Times New Roman" w:eastAsia="Times New Roman" w:hAnsi="Times New Roman"/>
          <w:color w:val="222222"/>
          <w:lang w:val="lt-LT"/>
        </w:rPr>
      </w:pPr>
      <w:r w:rsidRPr="00660C98">
        <w:rPr>
          <w:rFonts w:ascii="Times New Roman" w:eastAsia="Times New Roman" w:hAnsi="Times New Roman"/>
          <w:lang w:val="lt-LT"/>
        </w:rPr>
        <w:t>*</w:t>
      </w:r>
      <w:r w:rsidRPr="00660C98">
        <w:rPr>
          <w:rFonts w:ascii="Times New Roman" w:eastAsia="Times New Roman" w:hAnsi="Times New Roman"/>
          <w:color w:val="222222"/>
          <w:lang w:val="lt-LT"/>
        </w:rPr>
        <w:t>Dažnis apibūdinamas remiantis duomenimis, gautais skiriant ilgalaikį gydymą didele doze (150 mg per parą)</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keepNext/>
        <w:widowControl w:val="0"/>
        <w:spacing w:after="0" w:line="240" w:lineRule="auto"/>
        <w:contextualSpacing/>
        <w:rPr>
          <w:rFonts w:ascii="Times New Roman" w:hAnsi="Times New Roman"/>
          <w:u w:val="single"/>
          <w:lang w:val="lt-LT" w:eastAsia="x-none"/>
        </w:rPr>
      </w:pPr>
      <w:r w:rsidRPr="00660C98">
        <w:rPr>
          <w:rFonts w:ascii="Times New Roman" w:hAnsi="Times New Roman"/>
          <w:u w:val="single"/>
          <w:lang w:val="lt-LT" w:eastAsia="x-none"/>
        </w:rPr>
        <w:t>Atrinktų nepageidaujamų reakcijų apibūdinimas</w:t>
      </w:r>
    </w:p>
    <w:p w:rsidR="00660C98" w:rsidRPr="00660C98" w:rsidRDefault="00660C98" w:rsidP="00660C98">
      <w:pPr>
        <w:keepNext/>
        <w:widowControl w:val="0"/>
        <w:spacing w:after="0" w:line="240" w:lineRule="auto"/>
        <w:contextualSpacing/>
        <w:rPr>
          <w:rFonts w:ascii="Times New Roman" w:hAnsi="Times New Roman"/>
          <w:lang w:val="lt-LT" w:eastAsia="x-none"/>
        </w:rPr>
      </w:pPr>
    </w:p>
    <w:p w:rsidR="00660C98" w:rsidRPr="00660C98" w:rsidRDefault="00660C98" w:rsidP="00660C98">
      <w:pPr>
        <w:autoSpaceDE w:val="0"/>
        <w:autoSpaceDN w:val="0"/>
        <w:adjustRightInd w:val="0"/>
        <w:spacing w:after="0" w:line="240" w:lineRule="auto"/>
        <w:jc w:val="both"/>
        <w:rPr>
          <w:rFonts w:ascii="Times New Roman" w:eastAsia="Times New Roman" w:hAnsi="Times New Roman"/>
          <w:i/>
          <w:noProof/>
          <w:u w:val="single"/>
          <w:lang w:val="lt-LT"/>
        </w:rPr>
      </w:pPr>
      <w:r w:rsidRPr="00660C98">
        <w:rPr>
          <w:rFonts w:ascii="Times New Roman" w:eastAsia="Times New Roman" w:hAnsi="Times New Roman"/>
          <w:i/>
          <w:color w:val="222222"/>
          <w:lang w:val="lt-LT"/>
        </w:rPr>
        <w:t>Arterijų trombozės reiškiniai</w:t>
      </w:r>
    </w:p>
    <w:p w:rsidR="00660C98" w:rsidRDefault="00660C98" w:rsidP="00660C98">
      <w:pPr>
        <w:tabs>
          <w:tab w:val="left" w:pos="567"/>
        </w:tabs>
        <w:spacing w:after="0" w:line="240" w:lineRule="auto"/>
        <w:rPr>
          <w:rFonts w:ascii="Times New Roman" w:eastAsia="Times New Roman" w:hAnsi="Times New Roman"/>
          <w:lang w:val="lt-LT"/>
        </w:rPr>
      </w:pPr>
      <w:r w:rsidRPr="00C10856">
        <w:rPr>
          <w:rFonts w:ascii="Times New Roman" w:eastAsia="Times New Roman" w:hAnsi="Times New Roman"/>
          <w:noProof/>
          <w:lang w:val="lt-LT"/>
        </w:rPr>
        <w:t>M</w:t>
      </w:r>
      <w:r w:rsidRPr="00660C98">
        <w:rPr>
          <w:rFonts w:ascii="Times New Roman" w:eastAsia="Times New Roman" w:hAnsi="Times New Roman"/>
          <w:color w:val="222222"/>
          <w:lang w:val="lt-LT"/>
        </w:rPr>
        <w:t xml:space="preserve">eta-analizės ir </w:t>
      </w:r>
      <w:proofErr w:type="spellStart"/>
      <w:r w:rsidRPr="00660C98">
        <w:rPr>
          <w:rFonts w:ascii="Times New Roman" w:eastAsia="Times New Roman" w:hAnsi="Times New Roman"/>
          <w:color w:val="222222"/>
          <w:lang w:val="lt-LT"/>
        </w:rPr>
        <w:t>farmakoepidemiologinių</w:t>
      </w:r>
      <w:proofErr w:type="spellEnd"/>
      <w:r w:rsidRPr="00660C98">
        <w:rPr>
          <w:rFonts w:ascii="Times New Roman" w:eastAsia="Times New Roman" w:hAnsi="Times New Roman"/>
          <w:color w:val="222222"/>
          <w:lang w:val="lt-LT"/>
        </w:rPr>
        <w:t xml:space="preserve"> tyrimų duomenys rodo, kad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vartojimas ypač didelėmis dozėmis (150 mg per parą) ir ilgą laiką, gali būti susijęs su nedideliu arterijų trombozės reiškinių (pvz., miokardo infarkto) rizikos padidėjimu</w:t>
      </w:r>
      <w:r w:rsidRPr="00660C98">
        <w:rPr>
          <w:rFonts w:ascii="Times New Roman" w:eastAsia="Times New Roman" w:hAnsi="Times New Roman"/>
          <w:color w:val="222222"/>
          <w:lang w:val="lt-LT"/>
        </w:rPr>
        <w:t xml:space="preserve"> (</w:t>
      </w:r>
      <w:r w:rsidRPr="00660C98">
        <w:rPr>
          <w:rFonts w:ascii="Times New Roman" w:eastAsia="Times New Roman" w:hAnsi="Times New Roman"/>
          <w:lang w:val="lt-LT"/>
        </w:rPr>
        <w:t>žr. 4.4 skyrių</w:t>
      </w:r>
      <w:r w:rsidRPr="00660C98">
        <w:rPr>
          <w:rFonts w:ascii="Times New Roman" w:eastAsia="Times New Roman" w:hAnsi="Times New Roman"/>
          <w:b/>
          <w:lang w:val="lt-LT"/>
        </w:rPr>
        <w:t xml:space="preserve"> </w:t>
      </w:r>
      <w:r w:rsidRPr="00660C98">
        <w:rPr>
          <w:rFonts w:ascii="Times New Roman" w:eastAsia="Times New Roman" w:hAnsi="Times New Roman"/>
          <w:lang w:val="lt-LT"/>
        </w:rPr>
        <w:t>„Specialūs įspėjimai ir atsargumo priemonės”).</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Pastebėta, kad vartojant NVNU gali pasireikšti edema, padidėjęs kraujospūdis ir širdies nepakankamumas.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Klinikinių tyrimų ir epidemiologiniai duomenys nuosekliai rodo, kad vartojant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ypatingai didelę jo dozę (150 mg per parą) ir ilgą laikotarpį, didėja arterinių </w:t>
      </w:r>
      <w:proofErr w:type="spellStart"/>
      <w:r w:rsidRPr="00660C98">
        <w:rPr>
          <w:rFonts w:ascii="Times New Roman" w:eastAsia="Times New Roman" w:hAnsi="Times New Roman"/>
          <w:lang w:val="lt-LT"/>
        </w:rPr>
        <w:t>trombozinių</w:t>
      </w:r>
      <w:proofErr w:type="spellEnd"/>
      <w:r w:rsidRPr="00660C98">
        <w:rPr>
          <w:rFonts w:ascii="Times New Roman" w:eastAsia="Times New Roman" w:hAnsi="Times New Roman"/>
          <w:lang w:val="lt-LT"/>
        </w:rPr>
        <w:t xml:space="preserve"> reiškinių (pavyzdžiui, miokardo infarkto ar insulto) atsiradimo rizika (žr. 4.3 ir 4.4 skyrius).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E216D7">
      <w:pPr>
        <w:autoSpaceDE w:val="0"/>
        <w:autoSpaceDN w:val="0"/>
        <w:adjustRightInd w:val="0"/>
        <w:spacing w:after="0" w:line="240" w:lineRule="auto"/>
        <w:rPr>
          <w:rFonts w:ascii="Times New Roman" w:eastAsia="Times New Roman" w:hAnsi="Times New Roman"/>
          <w:u w:val="single"/>
          <w:lang w:val="lt-LT"/>
        </w:rPr>
      </w:pPr>
      <w:r w:rsidRPr="00660C98">
        <w:rPr>
          <w:rFonts w:ascii="Times New Roman" w:eastAsia="Times New Roman" w:hAnsi="Times New Roman"/>
          <w:noProof/>
          <w:u w:val="single"/>
          <w:lang w:val="lt-LT"/>
        </w:rPr>
        <w:t>Pranešimas apie įtariamas nepageidaujamas reakcijas</w:t>
      </w:r>
    </w:p>
    <w:p w:rsidR="00660C98" w:rsidRPr="00660C98" w:rsidRDefault="00660C98" w:rsidP="00660C98">
      <w:pPr>
        <w:autoSpaceDE w:val="0"/>
        <w:autoSpaceDN w:val="0"/>
        <w:adjustRightInd w:val="0"/>
        <w:spacing w:after="0" w:line="240" w:lineRule="auto"/>
        <w:jc w:val="both"/>
        <w:rPr>
          <w:rFonts w:ascii="Times New Roman" w:eastAsia="Times New Roman" w:hAnsi="Times New Roman"/>
          <w:noProof/>
          <w:lang w:val="lt-LT"/>
        </w:rPr>
      </w:pPr>
      <w:r w:rsidRPr="00660C98">
        <w:rPr>
          <w:rFonts w:ascii="Times New Roman" w:eastAsia="Times New Roman" w:hAnsi="Times New Roman"/>
          <w:noProof/>
          <w:lang w:val="lt-LT"/>
        </w:rPr>
        <w:t>Svarbu pranešti apie įtariamas nepageidaujamas reakcijas, pastebėtas po vaistinio preparato pateikimo į rinką, nes tai leidžia nuolat stebėti vaistinio preparato naudos ir rizikos santykį.</w:t>
      </w:r>
      <w:r w:rsidRPr="00660C98">
        <w:rPr>
          <w:rFonts w:ascii="Times New Roman" w:eastAsia="Times New Roman" w:hAnsi="Times New Roman"/>
          <w:lang w:val="lt-LT"/>
        </w:rPr>
        <w:t xml:space="preserve"> </w:t>
      </w:r>
      <w:r w:rsidRPr="00660C98">
        <w:rPr>
          <w:rFonts w:ascii="Times New Roman" w:eastAsia="Times New Roman" w:hAnsi="Times New Roman"/>
          <w:noProof/>
          <w:lang w:val="lt-LT"/>
        </w:rPr>
        <w:t>Sveikatos priežiūros specialistai turi pranešti apie bet kokias įtariamas nepageidaujamas reakcijas, užpildę interneto svetainėje http://</w:t>
      </w:r>
      <w:hyperlink r:id="rId7" w:history="1">
        <w:r w:rsidRPr="00660C98">
          <w:rPr>
            <w:rFonts w:ascii="Times New Roman" w:eastAsia="SimSun" w:hAnsi="Times New Roman"/>
            <w:noProof/>
            <w:color w:val="0000FF"/>
            <w:u w:val="single"/>
            <w:lang w:val="lt-LT"/>
          </w:rPr>
          <w:t>www.vvkt.lt</w:t>
        </w:r>
      </w:hyperlink>
      <w:r w:rsidRPr="00660C98">
        <w:rPr>
          <w:rFonts w:ascii="Times New Roman" w:eastAsia="Times New Roman" w:hAnsi="Times New Roman"/>
          <w:noProof/>
          <w:lang w:val="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660C98">
          <w:rPr>
            <w:rFonts w:ascii="Times New Roman" w:eastAsia="SimSun" w:hAnsi="Times New Roman"/>
            <w:noProof/>
            <w:color w:val="0000FF"/>
            <w:u w:val="single"/>
            <w:lang w:val="lt-LT"/>
          </w:rPr>
          <w:t>NepageidaujamaR@vvkt.lt</w:t>
        </w:r>
      </w:hyperlink>
      <w:r w:rsidRPr="00660C98">
        <w:rPr>
          <w:rFonts w:ascii="Times New Roman" w:eastAsia="Times New Roman" w:hAnsi="Times New Roman"/>
          <w:noProof/>
          <w:lang w:val="lt-LT"/>
        </w:rPr>
        <w:t>.</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keepNext/>
        <w:keepLines/>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4.9</w:t>
      </w:r>
      <w:r w:rsidRPr="00660C98">
        <w:rPr>
          <w:rFonts w:ascii="Times New Roman" w:eastAsia="Times New Roman" w:hAnsi="Times New Roman"/>
          <w:b/>
          <w:lang w:val="lt-LT"/>
        </w:rPr>
        <w:tab/>
        <w:t>Perdozavimas</w:t>
      </w:r>
    </w:p>
    <w:p w:rsidR="00660C98" w:rsidRPr="00660C98" w:rsidRDefault="00660C98" w:rsidP="00660C98">
      <w:pPr>
        <w:keepNext/>
        <w:keepLines/>
        <w:tabs>
          <w:tab w:val="left" w:pos="567"/>
        </w:tabs>
        <w:spacing w:after="0" w:line="240" w:lineRule="auto"/>
        <w:rPr>
          <w:rFonts w:ascii="Times New Roman" w:eastAsia="Times New Roman" w:hAnsi="Times New Roman"/>
          <w:b/>
          <w:lang w:val="lt-LT"/>
        </w:rPr>
      </w:pPr>
    </w:p>
    <w:p w:rsidR="00660C98" w:rsidRPr="00660C98" w:rsidRDefault="00660C98" w:rsidP="00660C98">
      <w:pPr>
        <w:keepNext/>
        <w:keepLines/>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Simptomai</w:t>
      </w:r>
    </w:p>
    <w:p w:rsidR="00660C98" w:rsidRPr="00660C98" w:rsidRDefault="00660C98" w:rsidP="00660C98">
      <w:pPr>
        <w:keepNext/>
        <w:keepLines/>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Būdingos būklės, pasireiškiančios perdozavus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nebūna. Dėl perdozavimo gali atsirasti tokių simptomų, kaip vėmimas, kraujavimas į virškinimo traktą, viduriavimas, galvos svaigimas, spengimas ausyse arba traukuliai. Jei ženkliai perdozuojama, gali atsirasti ūminis inkstų funkcijos nepakankamumas ir kepenų pažeidimas.</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 </w:t>
      </w: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r w:rsidRPr="00660C98">
        <w:rPr>
          <w:rFonts w:ascii="Times New Roman" w:eastAsia="Times New Roman" w:hAnsi="Times New Roman"/>
          <w:i/>
          <w:u w:val="single"/>
          <w:lang w:val="lt-LT"/>
        </w:rPr>
        <w:t>Gydymas</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Ūmaus apsinuodijimo 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gydymą sudaro palaikomosios priemonės ir simptominis gydymas.</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Turi būti taikomos palaikomosios priemonės ir simptominis komplikacijų (</w:t>
      </w:r>
      <w:proofErr w:type="spellStart"/>
      <w:r w:rsidRPr="00660C98">
        <w:rPr>
          <w:rFonts w:ascii="Times New Roman" w:eastAsia="Times New Roman" w:hAnsi="Times New Roman"/>
          <w:lang w:val="lt-LT"/>
        </w:rPr>
        <w:t>hipotenzijos</w:t>
      </w:r>
      <w:proofErr w:type="spellEnd"/>
      <w:r w:rsidRPr="00660C98">
        <w:rPr>
          <w:rFonts w:ascii="Times New Roman" w:eastAsia="Times New Roman" w:hAnsi="Times New Roman"/>
          <w:lang w:val="lt-LT"/>
        </w:rPr>
        <w:t>, inkstų funkcijos nepakankamumo, traukulių, virškinimo trakto funkcijos sutrikimo ir kvėpavimo slopinimo) gydymas.</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Tokiomis specifinėmis priemonėmis, kaip forsuota diureze, dialize arba </w:t>
      </w:r>
      <w:proofErr w:type="spellStart"/>
      <w:r w:rsidRPr="00660C98">
        <w:rPr>
          <w:rFonts w:ascii="Times New Roman" w:eastAsia="Times New Roman" w:hAnsi="Times New Roman"/>
          <w:lang w:val="lt-LT"/>
        </w:rPr>
        <w:t>hemoperfuzija</w:t>
      </w:r>
      <w:proofErr w:type="spellEnd"/>
      <w:r w:rsidRPr="00660C98">
        <w:rPr>
          <w:rFonts w:ascii="Times New Roman" w:eastAsia="Times New Roman" w:hAnsi="Times New Roman"/>
          <w:lang w:val="lt-LT"/>
        </w:rPr>
        <w:t xml:space="preserve">, tikriausiai 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xml:space="preserve">, iš organizmo pašalinti neįmanoma, kadangi didelė dozės dalis jungiasi su baltymais ir daug jos </w:t>
      </w:r>
      <w:proofErr w:type="spellStart"/>
      <w:r w:rsidRPr="00660C98">
        <w:rPr>
          <w:rFonts w:ascii="Times New Roman" w:eastAsia="Times New Roman" w:hAnsi="Times New Roman"/>
          <w:lang w:val="lt-LT"/>
        </w:rPr>
        <w:t>metabolizuojama</w:t>
      </w:r>
      <w:proofErr w:type="spellEnd"/>
      <w:r w:rsidRPr="00660C98">
        <w:rPr>
          <w:rFonts w:ascii="Times New Roman" w:eastAsia="Times New Roman" w:hAnsi="Times New Roman"/>
          <w:lang w:val="lt-LT"/>
        </w:rPr>
        <w:t>.</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 nuryta per didelė toksinė dozė, galima skirti aktyvuotos anglies ir, jei nuryta gyvybei pavojinga dozė, galima plauti skrandį (pvz., sukelti vėmimą, atlikti skrandžio plovimą).</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5.</w:t>
      </w:r>
      <w:r w:rsidRPr="00660C98">
        <w:rPr>
          <w:rFonts w:ascii="Times New Roman" w:eastAsia="Times New Roman" w:hAnsi="Times New Roman"/>
          <w:b/>
          <w:lang w:val="lt-LT"/>
        </w:rPr>
        <w:tab/>
        <w:t>FARMAKOLOGINĖS SAVYBĖS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5.1</w:t>
      </w:r>
      <w:r w:rsidRPr="00660C98">
        <w:rPr>
          <w:rFonts w:ascii="Times New Roman" w:eastAsia="Times New Roman" w:hAnsi="Times New Roman"/>
          <w:b/>
          <w:lang w:val="lt-LT"/>
        </w:rPr>
        <w:tab/>
      </w:r>
      <w:proofErr w:type="spellStart"/>
      <w:r w:rsidRPr="00660C98">
        <w:rPr>
          <w:rFonts w:ascii="Times New Roman" w:eastAsia="Times New Roman" w:hAnsi="Times New Roman"/>
          <w:b/>
          <w:lang w:val="lt-LT"/>
        </w:rPr>
        <w:t>Farmakodinaminės</w:t>
      </w:r>
      <w:proofErr w:type="spellEnd"/>
      <w:r w:rsidRPr="00660C98">
        <w:rPr>
          <w:rFonts w:ascii="Times New Roman" w:eastAsia="Times New Roman" w:hAnsi="Times New Roman"/>
          <w:b/>
          <w:lang w:val="lt-LT"/>
        </w:rPr>
        <w:t xml:space="preserve"> savybės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i/>
          <w:lang w:val="lt-LT"/>
        </w:rPr>
      </w:pPr>
      <w:proofErr w:type="spellStart"/>
      <w:r w:rsidRPr="00660C98">
        <w:rPr>
          <w:rFonts w:ascii="Times New Roman" w:eastAsia="Times New Roman" w:hAnsi="Times New Roman"/>
          <w:lang w:val="lt-LT"/>
        </w:rPr>
        <w:t>Farmakoterapinė</w:t>
      </w:r>
      <w:proofErr w:type="spellEnd"/>
      <w:r w:rsidRPr="00660C98">
        <w:rPr>
          <w:rFonts w:ascii="Times New Roman" w:eastAsia="Times New Roman" w:hAnsi="Times New Roman"/>
          <w:lang w:val="lt-LT"/>
        </w:rPr>
        <w:t xml:space="preserve"> grupė</w:t>
      </w:r>
      <w:r w:rsidRPr="00660C98">
        <w:rPr>
          <w:rFonts w:ascii="Times New Roman" w:eastAsia="Times New Roman" w:hAnsi="Times New Roman"/>
          <w:i/>
          <w:lang w:val="lt-LT"/>
        </w:rPr>
        <w:t xml:space="preserve"> - </w:t>
      </w:r>
      <w:r w:rsidRPr="00660C98">
        <w:rPr>
          <w:rFonts w:ascii="Times New Roman" w:eastAsia="Times New Roman" w:hAnsi="Times New Roman"/>
          <w:lang w:val="lt-LT"/>
        </w:rPr>
        <w:t xml:space="preserve">Nesteroidiniai priešuždegiminiai ir </w:t>
      </w:r>
      <w:proofErr w:type="spellStart"/>
      <w:r w:rsidRPr="00660C98">
        <w:rPr>
          <w:rFonts w:ascii="Times New Roman" w:eastAsia="Times New Roman" w:hAnsi="Times New Roman"/>
          <w:lang w:val="lt-LT"/>
        </w:rPr>
        <w:t>priešreumatiniai</w:t>
      </w:r>
      <w:proofErr w:type="spellEnd"/>
      <w:r w:rsidRPr="00660C98">
        <w:rPr>
          <w:rFonts w:ascii="Times New Roman" w:eastAsia="Times New Roman" w:hAnsi="Times New Roman"/>
          <w:lang w:val="lt-LT"/>
        </w:rPr>
        <w:t xml:space="preserve"> vaistai, ATC kodas</w:t>
      </w:r>
      <w:r w:rsidRPr="00660C98">
        <w:rPr>
          <w:rFonts w:ascii="Times New Roman" w:eastAsia="Times New Roman" w:hAnsi="Times New Roman"/>
          <w:i/>
          <w:lang w:val="lt-LT"/>
        </w:rPr>
        <w:t xml:space="preserve"> - </w:t>
      </w:r>
      <w:r w:rsidRPr="00660C98">
        <w:rPr>
          <w:rFonts w:ascii="Times New Roman" w:eastAsia="Times New Roman" w:hAnsi="Times New Roman"/>
          <w:lang w:val="lt-LT"/>
        </w:rPr>
        <w:t>M01AB05.</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u w:val="single"/>
          <w:lang w:val="lt-LT"/>
        </w:rPr>
      </w:pPr>
      <w:r w:rsidRPr="00660C98">
        <w:rPr>
          <w:rFonts w:ascii="Times New Roman" w:eastAsia="Times New Roman" w:hAnsi="Times New Roman"/>
          <w:u w:val="single"/>
          <w:lang w:val="lt-LT"/>
        </w:rPr>
        <w:t>Veikimo mechanizmas</w:t>
      </w:r>
    </w:p>
    <w:p w:rsid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sudėtyje yra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kalio druska. Tai nesteroidinis preparatas, aktyviai malšinantis reumatinius simptomus, mažinantis uždegimą ir karščiavimą. Svarbiausias preparato veikimo būdas, įrodytas eksperimentais, yra prostaglandinų </w:t>
      </w:r>
      <w:proofErr w:type="spellStart"/>
      <w:r w:rsidRPr="00660C98">
        <w:rPr>
          <w:rFonts w:ascii="Times New Roman" w:eastAsia="Times New Roman" w:hAnsi="Times New Roman"/>
          <w:lang w:val="lt-LT"/>
        </w:rPr>
        <w:t>biosintezės</w:t>
      </w:r>
      <w:proofErr w:type="spellEnd"/>
      <w:r w:rsidRPr="00660C98">
        <w:rPr>
          <w:rFonts w:ascii="Times New Roman" w:eastAsia="Times New Roman" w:hAnsi="Times New Roman"/>
          <w:lang w:val="lt-LT"/>
        </w:rPr>
        <w:t xml:space="preserve"> slopinimas. Prostaglandinai yra svarbūs uždegimo, skausmo ir karščiavimo sukėlimo faktoriai. </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tablečių poveikis prasideda greitai, ypač jos tinka ūminiam skausmui malšinti bei uždegimui mažinti.</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Atliekant tyrimus </w:t>
      </w:r>
      <w:proofErr w:type="spellStart"/>
      <w:r w:rsidRPr="00660C98">
        <w:rPr>
          <w:rFonts w:ascii="Times New Roman" w:eastAsia="Times New Roman" w:hAnsi="Times New Roman"/>
          <w:i/>
          <w:lang w:val="lt-LT"/>
        </w:rPr>
        <w:t>in</w:t>
      </w:r>
      <w:proofErr w:type="spellEnd"/>
      <w:r w:rsidRPr="00660C98">
        <w:rPr>
          <w:rFonts w:ascii="Times New Roman" w:eastAsia="Times New Roman" w:hAnsi="Times New Roman"/>
          <w:i/>
          <w:lang w:val="lt-LT"/>
        </w:rPr>
        <w:t xml:space="preserve"> </w:t>
      </w:r>
      <w:proofErr w:type="spellStart"/>
      <w:r w:rsidRPr="00660C98">
        <w:rPr>
          <w:rFonts w:ascii="Times New Roman" w:eastAsia="Times New Roman" w:hAnsi="Times New Roman"/>
          <w:i/>
          <w:lang w:val="lt-LT"/>
        </w:rPr>
        <w:t>vitro</w:t>
      </w:r>
      <w:proofErr w:type="spellEnd"/>
      <w:r w:rsidRPr="00660C98">
        <w:rPr>
          <w:rFonts w:ascii="Times New Roman" w:eastAsia="Times New Roman" w:hAnsi="Times New Roman"/>
          <w:lang w:val="lt-LT"/>
        </w:rPr>
        <w:t xml:space="preserve">, nustatyta, kad tokia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kalio koncentracija, kuri atsiranda žmogaus organizme gydymo metu, kremzlėje </w:t>
      </w:r>
      <w:proofErr w:type="spellStart"/>
      <w:r w:rsidRPr="00660C98">
        <w:rPr>
          <w:rFonts w:ascii="Times New Roman" w:eastAsia="Times New Roman" w:hAnsi="Times New Roman"/>
          <w:lang w:val="lt-LT"/>
        </w:rPr>
        <w:t>proteoglikano</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biosintezės</w:t>
      </w:r>
      <w:proofErr w:type="spellEnd"/>
      <w:r w:rsidRPr="00660C98">
        <w:rPr>
          <w:rFonts w:ascii="Times New Roman" w:eastAsia="Times New Roman" w:hAnsi="Times New Roman"/>
          <w:lang w:val="lt-LT"/>
        </w:rPr>
        <w:t xml:space="preserve"> neslopina.</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Nustatyta, kad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labai veiksmingai malšina vidutinio sunkumo ir stiprų skausmą. Jei pasireiškia sukeltas traumos arba atsiradęs po operacijos uždegimas, preparatas greitai slopina ir spontaninį, ir judesių sukeltą skausmą, mažina uždegimo sukeltą patinimą ir dėl žaizdos atsiradusią edemą. Klinikiniai tyrimai parodė, kad pirminės </w:t>
      </w:r>
      <w:proofErr w:type="spellStart"/>
      <w:r w:rsidRPr="00660C98">
        <w:rPr>
          <w:rFonts w:ascii="Times New Roman" w:eastAsia="Times New Roman" w:hAnsi="Times New Roman"/>
          <w:lang w:val="lt-LT"/>
        </w:rPr>
        <w:t>dismenorėjos</w:t>
      </w:r>
      <w:proofErr w:type="spellEnd"/>
      <w:r w:rsidRPr="00660C98">
        <w:rPr>
          <w:rFonts w:ascii="Times New Roman" w:eastAsia="Times New Roman" w:hAnsi="Times New Roman"/>
          <w:lang w:val="lt-LT"/>
        </w:rPr>
        <w:t xml:space="preserve"> metu veiklioji vaistinio preparato medžiaga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malšina skausmą ir mažina kraujavimą. Migrenos priepuolio metu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efektyviai mažina galvos skausmą ir slopina kartu pasireiškiančius simptomus: pykinimą ir vėmimą.  </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5.2</w:t>
      </w:r>
      <w:r w:rsidRPr="00660C98">
        <w:rPr>
          <w:rFonts w:ascii="Times New Roman" w:eastAsia="Times New Roman" w:hAnsi="Times New Roman"/>
          <w:b/>
          <w:lang w:val="lt-LT"/>
        </w:rPr>
        <w:tab/>
      </w:r>
      <w:proofErr w:type="spellStart"/>
      <w:r w:rsidRPr="00660C98">
        <w:rPr>
          <w:rFonts w:ascii="Times New Roman" w:eastAsia="Times New Roman" w:hAnsi="Times New Roman"/>
          <w:b/>
          <w:lang w:val="lt-LT"/>
        </w:rPr>
        <w:t>Farmakokinetinės</w:t>
      </w:r>
      <w:proofErr w:type="spellEnd"/>
      <w:r w:rsidRPr="00660C98">
        <w:rPr>
          <w:rFonts w:ascii="Times New Roman" w:eastAsia="Times New Roman" w:hAnsi="Times New Roman"/>
          <w:b/>
          <w:lang w:val="lt-LT"/>
        </w:rPr>
        <w:t xml:space="preserve"> savybės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u w:val="single"/>
          <w:lang w:val="lt-LT"/>
        </w:rPr>
      </w:pPr>
      <w:r w:rsidRPr="00660C98">
        <w:rPr>
          <w:rFonts w:ascii="Times New Roman" w:eastAsia="Times New Roman" w:hAnsi="Times New Roman"/>
          <w:u w:val="single"/>
          <w:lang w:val="lt-LT"/>
        </w:rPr>
        <w:t>Absorbcija</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kalio tabletės, virškinimo trakte greitai ir visiškai rezorbuojamos. Išgėrus vaisto, </w:t>
      </w:r>
      <w:proofErr w:type="spellStart"/>
      <w:r w:rsidRPr="00660C98">
        <w:rPr>
          <w:rFonts w:ascii="Times New Roman" w:eastAsia="Times New Roman" w:hAnsi="Times New Roman"/>
          <w:lang w:val="lt-LT"/>
        </w:rPr>
        <w:t>rezorbcija</w:t>
      </w:r>
      <w:proofErr w:type="spellEnd"/>
      <w:r w:rsidRPr="00660C98">
        <w:rPr>
          <w:rFonts w:ascii="Times New Roman" w:eastAsia="Times New Roman" w:hAnsi="Times New Roman"/>
          <w:lang w:val="lt-LT"/>
        </w:rPr>
        <w:t xml:space="preserve"> prasideda tuoj pat, rezorbuojamas toks pats jo kiekis, kaip ir pavartojus tokią pačią dozę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natrio tablečių su skrandžio </w:t>
      </w:r>
      <w:proofErr w:type="spellStart"/>
      <w:r w:rsidRPr="00660C98">
        <w:rPr>
          <w:rFonts w:ascii="Times New Roman" w:eastAsia="Times New Roman" w:hAnsi="Times New Roman"/>
          <w:lang w:val="lt-LT"/>
        </w:rPr>
        <w:t>sultims</w:t>
      </w:r>
      <w:proofErr w:type="spellEnd"/>
      <w:r w:rsidRPr="00660C98">
        <w:rPr>
          <w:rFonts w:ascii="Times New Roman" w:eastAsia="Times New Roman" w:hAnsi="Times New Roman"/>
          <w:lang w:val="lt-LT"/>
        </w:rPr>
        <w:t xml:space="preserve"> atspariu apvalkalu. Išgėrus 50 mg tabletę, po 20 – 60</w:t>
      </w:r>
      <w:r w:rsidR="00D32FD6">
        <w:rPr>
          <w:rFonts w:ascii="Times New Roman" w:eastAsia="Times New Roman" w:hAnsi="Times New Roman"/>
          <w:lang w:val="lt-LT"/>
        </w:rPr>
        <w:t> </w:t>
      </w:r>
      <w:r w:rsidRPr="00660C98">
        <w:rPr>
          <w:rFonts w:ascii="Times New Roman" w:eastAsia="Times New Roman" w:hAnsi="Times New Roman"/>
          <w:lang w:val="lt-LT"/>
        </w:rPr>
        <w:t>minučių kraujo plazmoje atsiranda vidutinė didžiausia, t.y. 3,8 </w:t>
      </w:r>
      <w:r w:rsidRPr="00660C98">
        <w:rPr>
          <w:rFonts w:ascii="Times New Roman" w:eastAsia="Times New Roman" w:hAnsi="Times New Roman"/>
          <w:lang w:val="lt-LT"/>
        </w:rPr>
        <w:sym w:font="Symbol" w:char="F06D"/>
      </w:r>
      <w:proofErr w:type="spellStart"/>
      <w:r w:rsidRPr="00660C98">
        <w:rPr>
          <w:rFonts w:ascii="Times New Roman" w:eastAsia="Times New Roman" w:hAnsi="Times New Roman"/>
          <w:lang w:val="lt-LT"/>
        </w:rPr>
        <w:t>mol</w:t>
      </w:r>
      <w:proofErr w:type="spellEnd"/>
      <w:r w:rsidRPr="00660C98">
        <w:rPr>
          <w:rFonts w:ascii="Times New Roman" w:eastAsia="Times New Roman" w:hAnsi="Times New Roman"/>
          <w:lang w:val="lt-LT"/>
        </w:rPr>
        <w:t xml:space="preserve">/l, vaisto koncentracija. Jei vaistinio preparato vartojama kartu su maistu, rezorbuojamo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kiekiui tai įtakos nedaro, tačiau </w:t>
      </w:r>
      <w:proofErr w:type="spellStart"/>
      <w:r w:rsidRPr="00660C98">
        <w:rPr>
          <w:rFonts w:ascii="Times New Roman" w:eastAsia="Times New Roman" w:hAnsi="Times New Roman"/>
          <w:lang w:val="lt-LT"/>
        </w:rPr>
        <w:t>rezorbcijos</w:t>
      </w:r>
      <w:proofErr w:type="spellEnd"/>
      <w:r w:rsidRPr="00660C98">
        <w:rPr>
          <w:rFonts w:ascii="Times New Roman" w:eastAsia="Times New Roman" w:hAnsi="Times New Roman"/>
          <w:lang w:val="lt-LT"/>
        </w:rPr>
        <w:t xml:space="preserve"> pradžia ir greitis gali šiek tiek sulėtėti.</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Absorbsijos</w:t>
      </w:r>
      <w:proofErr w:type="spellEnd"/>
      <w:r w:rsidRPr="00660C98">
        <w:rPr>
          <w:rFonts w:ascii="Times New Roman" w:eastAsia="Times New Roman" w:hAnsi="Times New Roman"/>
          <w:lang w:val="lt-LT"/>
        </w:rPr>
        <w:t xml:space="preserve"> dydžio priklausomumas nuo dozės yra linijinis.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Kadangi maždaug pusė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dozės </w:t>
      </w:r>
      <w:proofErr w:type="spellStart"/>
      <w:r w:rsidRPr="00660C98">
        <w:rPr>
          <w:rFonts w:ascii="Times New Roman" w:eastAsia="Times New Roman" w:hAnsi="Times New Roman"/>
          <w:lang w:val="lt-LT"/>
        </w:rPr>
        <w:t>metabolizuojama</w:t>
      </w:r>
      <w:proofErr w:type="spellEnd"/>
      <w:r w:rsidRPr="00660C98">
        <w:rPr>
          <w:rFonts w:ascii="Times New Roman" w:eastAsia="Times New Roman" w:hAnsi="Times New Roman"/>
          <w:lang w:val="lt-LT"/>
        </w:rPr>
        <w:t xml:space="preserve"> pirmo prasiskverbimo per kepenis metu, išgertos arba į </w:t>
      </w:r>
      <w:proofErr w:type="spellStart"/>
      <w:r w:rsidRPr="00660C98">
        <w:rPr>
          <w:rFonts w:ascii="Times New Roman" w:eastAsia="Times New Roman" w:hAnsi="Times New Roman"/>
          <w:lang w:val="lt-LT"/>
        </w:rPr>
        <w:t>įšangę</w:t>
      </w:r>
      <w:proofErr w:type="spellEnd"/>
      <w:r w:rsidRPr="00660C98">
        <w:rPr>
          <w:rFonts w:ascii="Times New Roman" w:eastAsia="Times New Roman" w:hAnsi="Times New Roman"/>
          <w:lang w:val="lt-LT"/>
        </w:rPr>
        <w:t xml:space="preserve"> pavartotos dozės AUC yra 50 </w:t>
      </w:r>
      <w:r w:rsidRPr="00660C98">
        <w:rPr>
          <w:rFonts w:ascii="Times New Roman" w:eastAsia="Times New Roman" w:hAnsi="Times New Roman"/>
          <w:lang w:val="lt-LT"/>
        </w:rPr>
        <w:sym w:font="Symbol" w:char="F025"/>
      </w:r>
      <w:r w:rsidRPr="00660C98">
        <w:rPr>
          <w:rFonts w:ascii="Times New Roman" w:eastAsia="Times New Roman" w:hAnsi="Times New Roman"/>
          <w:lang w:val="lt-LT"/>
        </w:rPr>
        <w:t xml:space="preserve"> mažesnis negu tokios pačios dozės, pavartotos </w:t>
      </w:r>
      <w:proofErr w:type="spellStart"/>
      <w:r w:rsidRPr="00660C98">
        <w:rPr>
          <w:rFonts w:ascii="Times New Roman" w:eastAsia="Times New Roman" w:hAnsi="Times New Roman"/>
          <w:lang w:val="lt-LT"/>
        </w:rPr>
        <w:t>parenteraliniu</w:t>
      </w:r>
      <w:proofErr w:type="spellEnd"/>
      <w:r w:rsidRPr="00660C98">
        <w:rPr>
          <w:rFonts w:ascii="Times New Roman" w:eastAsia="Times New Roman" w:hAnsi="Times New Roman"/>
          <w:lang w:val="lt-LT"/>
        </w:rPr>
        <w:t xml:space="preserve"> būdu.</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Pakartotinai vartojamo preparato </w:t>
      </w:r>
      <w:proofErr w:type="spellStart"/>
      <w:r w:rsidRPr="00660C98">
        <w:rPr>
          <w:rFonts w:ascii="Times New Roman" w:eastAsia="Times New Roman" w:hAnsi="Times New Roman"/>
          <w:lang w:val="lt-LT"/>
        </w:rPr>
        <w:t>farmakokinetika</w:t>
      </w:r>
      <w:proofErr w:type="spellEnd"/>
      <w:r w:rsidRPr="00660C98">
        <w:rPr>
          <w:rFonts w:ascii="Times New Roman" w:eastAsia="Times New Roman" w:hAnsi="Times New Roman"/>
          <w:lang w:val="lt-LT"/>
        </w:rPr>
        <w:t xml:space="preserve"> nekinta.</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 vaistinio preparato rekomenduojama dozė vartojama nurodytais intervalais, jis organizme nesikaupia.</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u w:val="single"/>
          <w:lang w:val="lt-LT"/>
        </w:rPr>
        <w:t xml:space="preserve">Pasiskirstymas </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99,7 </w:t>
      </w:r>
      <w:r w:rsidRPr="00660C98">
        <w:rPr>
          <w:rFonts w:ascii="Times New Roman" w:eastAsia="Times New Roman" w:hAnsi="Times New Roman"/>
          <w:lang w:val="lt-LT"/>
        </w:rPr>
        <w:sym w:font="Symbol" w:char="F025"/>
      </w:r>
      <w:r w:rsidRPr="00660C98">
        <w:rPr>
          <w:rFonts w:ascii="Times New Roman" w:eastAsia="Times New Roman" w:hAnsi="Times New Roman"/>
          <w:lang w:val="lt-LT"/>
        </w:rPr>
        <w:t xml:space="preserve"> pavartotos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dozės jungiasi su kraujo serumo baltymais, daugiausia (99,4 </w:t>
      </w:r>
      <w:r w:rsidRPr="00660C98">
        <w:rPr>
          <w:rFonts w:ascii="Times New Roman" w:eastAsia="Times New Roman" w:hAnsi="Times New Roman"/>
          <w:lang w:val="lt-LT"/>
        </w:rPr>
        <w:sym w:font="Symbol" w:char="F025"/>
      </w:r>
      <w:r w:rsidRPr="00660C98">
        <w:rPr>
          <w:rFonts w:ascii="Times New Roman" w:eastAsia="Times New Roman" w:hAnsi="Times New Roman"/>
          <w:lang w:val="lt-LT"/>
        </w:rPr>
        <w:t xml:space="preserve">) su </w:t>
      </w:r>
      <w:proofErr w:type="spellStart"/>
      <w:r w:rsidRPr="00660C98">
        <w:rPr>
          <w:rFonts w:ascii="Times New Roman" w:eastAsia="Times New Roman" w:hAnsi="Times New Roman"/>
          <w:lang w:val="lt-LT"/>
        </w:rPr>
        <w:t>albuminais</w:t>
      </w:r>
      <w:proofErr w:type="spellEnd"/>
      <w:r w:rsidRPr="00660C98">
        <w:rPr>
          <w:rFonts w:ascii="Times New Roman" w:eastAsia="Times New Roman" w:hAnsi="Times New Roman"/>
          <w:lang w:val="lt-LT"/>
        </w:rPr>
        <w:t xml:space="preserve"> . Tariamasis vaisto pasiskirstymo tūris yra 0,12 – 0,17 l/kg.</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patenka į </w:t>
      </w:r>
      <w:proofErr w:type="spellStart"/>
      <w:r w:rsidRPr="00660C98">
        <w:rPr>
          <w:rFonts w:ascii="Times New Roman" w:eastAsia="Times New Roman" w:hAnsi="Times New Roman"/>
          <w:lang w:val="lt-LT"/>
        </w:rPr>
        <w:t>sinoviją</w:t>
      </w:r>
      <w:proofErr w:type="spellEnd"/>
      <w:r w:rsidRPr="00660C98">
        <w:rPr>
          <w:rFonts w:ascii="Times New Roman" w:eastAsia="Times New Roman" w:hAnsi="Times New Roman"/>
          <w:lang w:val="lt-LT"/>
        </w:rPr>
        <w:t>, kurioje jo didžiausia koncentracija atsiranda praėjus 2 – 4 valandoms po to, kai plazmoje koncentracija tampa didžiausia.</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Pusinės eliminacijos laikas </w:t>
      </w:r>
      <w:proofErr w:type="spellStart"/>
      <w:r w:rsidRPr="00660C98">
        <w:rPr>
          <w:rFonts w:ascii="Times New Roman" w:eastAsia="Times New Roman" w:hAnsi="Times New Roman"/>
          <w:lang w:val="lt-LT"/>
        </w:rPr>
        <w:t>sinovijoje</w:t>
      </w:r>
      <w:proofErr w:type="spellEnd"/>
      <w:r w:rsidRPr="00660C98">
        <w:rPr>
          <w:rFonts w:ascii="Times New Roman" w:eastAsia="Times New Roman" w:hAnsi="Times New Roman"/>
          <w:lang w:val="lt-LT"/>
        </w:rPr>
        <w:t xml:space="preserve"> yra 3 – 6 valandos. </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Praėjus 2 val. po to, kai plazmoje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koncentracija tampa didžiausia, </w:t>
      </w:r>
      <w:proofErr w:type="spellStart"/>
      <w:r w:rsidRPr="00660C98">
        <w:rPr>
          <w:rFonts w:ascii="Times New Roman" w:eastAsia="Times New Roman" w:hAnsi="Times New Roman"/>
          <w:lang w:val="lt-LT"/>
        </w:rPr>
        <w:t>sinovijoje</w:t>
      </w:r>
      <w:proofErr w:type="spellEnd"/>
      <w:r w:rsidRPr="00660C98">
        <w:rPr>
          <w:rFonts w:ascii="Times New Roman" w:eastAsia="Times New Roman" w:hAnsi="Times New Roman"/>
          <w:lang w:val="lt-LT"/>
        </w:rPr>
        <w:t xml:space="preserve"> ji būna didesnė negu plazmoje ir tokia išlieka ne mažiau kaip 12 valandų.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u w:val="single"/>
          <w:lang w:val="lt-LT"/>
        </w:rPr>
      </w:pPr>
      <w:proofErr w:type="spellStart"/>
      <w:r w:rsidRPr="00660C98">
        <w:rPr>
          <w:rFonts w:ascii="Times New Roman" w:eastAsia="Times New Roman" w:hAnsi="Times New Roman"/>
          <w:u w:val="single"/>
          <w:lang w:val="lt-LT"/>
        </w:rPr>
        <w:t>Biotransformacija</w:t>
      </w:r>
      <w:proofErr w:type="spellEnd"/>
      <w:r w:rsidRPr="00660C98">
        <w:rPr>
          <w:rFonts w:ascii="Times New Roman" w:eastAsia="Times New Roman" w:hAnsi="Times New Roman"/>
          <w:u w:val="single"/>
          <w:lang w:val="lt-LT"/>
        </w:rPr>
        <w:t xml:space="preserve"> </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metabolizmas vyksta iš dalies </w:t>
      </w:r>
      <w:proofErr w:type="spellStart"/>
      <w:r w:rsidRPr="00660C98">
        <w:rPr>
          <w:rFonts w:ascii="Times New Roman" w:eastAsia="Times New Roman" w:hAnsi="Times New Roman"/>
          <w:lang w:val="lt-LT"/>
        </w:rPr>
        <w:t>gliukuronizuojant</w:t>
      </w:r>
      <w:proofErr w:type="spellEnd"/>
      <w:r w:rsidRPr="00660C98">
        <w:rPr>
          <w:rFonts w:ascii="Times New Roman" w:eastAsia="Times New Roman" w:hAnsi="Times New Roman"/>
          <w:lang w:val="lt-LT"/>
        </w:rPr>
        <w:t xml:space="preserve"> nepakitusią molekulę, tačiau daugiausiai medikamento </w:t>
      </w:r>
      <w:proofErr w:type="spellStart"/>
      <w:r w:rsidRPr="00660C98">
        <w:rPr>
          <w:rFonts w:ascii="Times New Roman" w:eastAsia="Times New Roman" w:hAnsi="Times New Roman"/>
          <w:lang w:val="lt-LT"/>
        </w:rPr>
        <w:t>metabolizuojama</w:t>
      </w:r>
      <w:proofErr w:type="spellEnd"/>
      <w:r w:rsidRPr="00660C98">
        <w:rPr>
          <w:rFonts w:ascii="Times New Roman" w:eastAsia="Times New Roman" w:hAnsi="Times New Roman"/>
          <w:lang w:val="lt-LT"/>
        </w:rPr>
        <w:t xml:space="preserve"> vienkartinio arba daugkartinio </w:t>
      </w:r>
      <w:proofErr w:type="spellStart"/>
      <w:r w:rsidRPr="00660C98">
        <w:rPr>
          <w:rFonts w:ascii="Times New Roman" w:eastAsia="Times New Roman" w:hAnsi="Times New Roman"/>
          <w:lang w:val="lt-LT"/>
        </w:rPr>
        <w:t>hidroksilinimo</w:t>
      </w:r>
      <w:proofErr w:type="spellEnd"/>
      <w:r w:rsidRPr="00660C98">
        <w:rPr>
          <w:rFonts w:ascii="Times New Roman" w:eastAsia="Times New Roman" w:hAnsi="Times New Roman"/>
          <w:lang w:val="lt-LT"/>
        </w:rPr>
        <w:t xml:space="preserve"> ir </w:t>
      </w:r>
      <w:proofErr w:type="spellStart"/>
      <w:r w:rsidRPr="00660C98">
        <w:rPr>
          <w:rFonts w:ascii="Times New Roman" w:eastAsia="Times New Roman" w:hAnsi="Times New Roman"/>
          <w:lang w:val="lt-LT"/>
        </w:rPr>
        <w:t>metoksilinimo</w:t>
      </w:r>
      <w:proofErr w:type="spellEnd"/>
      <w:r w:rsidRPr="00660C98">
        <w:rPr>
          <w:rFonts w:ascii="Times New Roman" w:eastAsia="Times New Roman" w:hAnsi="Times New Roman"/>
          <w:lang w:val="lt-LT"/>
        </w:rPr>
        <w:t xml:space="preserve"> būdu. Šio proceso rezultatas - kelių rūšių </w:t>
      </w:r>
      <w:proofErr w:type="spellStart"/>
      <w:r w:rsidRPr="00660C98">
        <w:rPr>
          <w:rFonts w:ascii="Times New Roman" w:eastAsia="Times New Roman" w:hAnsi="Times New Roman"/>
          <w:lang w:val="lt-LT"/>
        </w:rPr>
        <w:t>fenolio</w:t>
      </w:r>
      <w:proofErr w:type="spellEnd"/>
      <w:r w:rsidRPr="00660C98">
        <w:rPr>
          <w:rFonts w:ascii="Times New Roman" w:eastAsia="Times New Roman" w:hAnsi="Times New Roman"/>
          <w:lang w:val="lt-LT"/>
        </w:rPr>
        <w:t xml:space="preserve"> metabolitai: 3</w:t>
      </w:r>
      <w:r w:rsidRPr="00660C98">
        <w:rPr>
          <w:rFonts w:ascii="Times New Roman" w:eastAsia="Times New Roman" w:hAnsi="Times New Roman"/>
          <w:lang w:val="lt-LT"/>
        </w:rPr>
        <w:sym w:font="Symbol" w:char="F0A2"/>
      </w:r>
      <w:r w:rsidRPr="00660C98">
        <w:rPr>
          <w:rFonts w:ascii="Times New Roman" w:eastAsia="Times New Roman" w:hAnsi="Times New Roman"/>
          <w:lang w:val="lt-LT"/>
        </w:rPr>
        <w:t>-</w:t>
      </w:r>
      <w:proofErr w:type="spellStart"/>
      <w:r w:rsidRPr="00660C98">
        <w:rPr>
          <w:rFonts w:ascii="Times New Roman" w:eastAsia="Times New Roman" w:hAnsi="Times New Roman"/>
          <w:lang w:val="lt-LT"/>
        </w:rPr>
        <w:t>hidroksi</w:t>
      </w:r>
      <w:proofErr w:type="spellEnd"/>
      <w:r w:rsidRPr="00660C98">
        <w:rPr>
          <w:rFonts w:ascii="Times New Roman" w:eastAsia="Times New Roman" w:hAnsi="Times New Roman"/>
          <w:lang w:val="lt-LT"/>
        </w:rPr>
        <w:t>-, 4</w:t>
      </w:r>
      <w:r w:rsidRPr="00660C98">
        <w:rPr>
          <w:rFonts w:ascii="Times New Roman" w:eastAsia="Times New Roman" w:hAnsi="Times New Roman"/>
          <w:lang w:val="lt-LT"/>
        </w:rPr>
        <w:sym w:font="Symbol" w:char="F0A2"/>
      </w:r>
      <w:r w:rsidRPr="00660C98">
        <w:rPr>
          <w:rFonts w:ascii="Times New Roman" w:eastAsia="Times New Roman" w:hAnsi="Times New Roman"/>
          <w:lang w:val="lt-LT"/>
        </w:rPr>
        <w:t>-</w:t>
      </w:r>
      <w:proofErr w:type="spellStart"/>
      <w:r w:rsidRPr="00660C98">
        <w:rPr>
          <w:rFonts w:ascii="Times New Roman" w:eastAsia="Times New Roman" w:hAnsi="Times New Roman"/>
          <w:lang w:val="lt-LT"/>
        </w:rPr>
        <w:t>hidroksi</w:t>
      </w:r>
      <w:proofErr w:type="spellEnd"/>
      <w:r w:rsidRPr="00660C98">
        <w:rPr>
          <w:rFonts w:ascii="Times New Roman" w:eastAsia="Times New Roman" w:hAnsi="Times New Roman"/>
          <w:lang w:val="lt-LT"/>
        </w:rPr>
        <w:t>-, 5-hidroksi-, 4</w:t>
      </w:r>
      <w:r w:rsidRPr="00660C98">
        <w:rPr>
          <w:rFonts w:ascii="Times New Roman" w:eastAsia="Times New Roman" w:hAnsi="Times New Roman"/>
          <w:lang w:val="lt-LT"/>
        </w:rPr>
        <w:sym w:font="Symbol" w:char="F0A2"/>
      </w:r>
      <w:r w:rsidRPr="00660C98">
        <w:rPr>
          <w:rFonts w:ascii="Times New Roman" w:eastAsia="Times New Roman" w:hAnsi="Times New Roman"/>
          <w:lang w:val="lt-LT"/>
        </w:rPr>
        <w:t>5-dihidroksi, 3</w:t>
      </w:r>
      <w:r w:rsidRPr="00660C98">
        <w:rPr>
          <w:rFonts w:ascii="Times New Roman" w:eastAsia="Times New Roman" w:hAnsi="Times New Roman"/>
          <w:lang w:val="lt-LT"/>
        </w:rPr>
        <w:sym w:font="Symbol" w:char="F0A2"/>
      </w:r>
      <w:r w:rsidRPr="00660C98">
        <w:rPr>
          <w:rFonts w:ascii="Times New Roman" w:eastAsia="Times New Roman" w:hAnsi="Times New Roman"/>
          <w:lang w:val="lt-LT"/>
        </w:rPr>
        <w:t>-hidroksi-4</w:t>
      </w:r>
      <w:r w:rsidRPr="00660C98">
        <w:rPr>
          <w:rFonts w:ascii="Times New Roman" w:eastAsia="Times New Roman" w:hAnsi="Times New Roman"/>
          <w:lang w:val="lt-LT"/>
        </w:rPr>
        <w:sym w:font="Symbol" w:char="F0A2"/>
      </w:r>
      <w:r w:rsidRPr="00660C98">
        <w:rPr>
          <w:rFonts w:ascii="Times New Roman" w:eastAsia="Times New Roman" w:hAnsi="Times New Roman"/>
          <w:lang w:val="lt-LT"/>
        </w:rPr>
        <w:t>-</w:t>
      </w:r>
      <w:proofErr w:type="spellStart"/>
      <w:r w:rsidRPr="00660C98">
        <w:rPr>
          <w:rFonts w:ascii="Times New Roman" w:eastAsia="Times New Roman" w:hAnsi="Times New Roman"/>
          <w:lang w:val="lt-LT"/>
        </w:rPr>
        <w:t>metoksi-diklofenakas</w:t>
      </w:r>
      <w:proofErr w:type="spellEnd"/>
      <w:r w:rsidRPr="00660C98">
        <w:rPr>
          <w:rFonts w:ascii="Times New Roman" w:eastAsia="Times New Roman" w:hAnsi="Times New Roman"/>
          <w:lang w:val="lt-LT"/>
        </w:rPr>
        <w:t xml:space="preserve">. Dauguma metabolitų verčiama </w:t>
      </w:r>
      <w:proofErr w:type="spellStart"/>
      <w:r w:rsidRPr="00660C98">
        <w:rPr>
          <w:rFonts w:ascii="Times New Roman" w:eastAsia="Times New Roman" w:hAnsi="Times New Roman"/>
          <w:lang w:val="lt-LT"/>
        </w:rPr>
        <w:t>gliukuronidų</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konjugatais</w:t>
      </w:r>
      <w:proofErr w:type="spellEnd"/>
      <w:r w:rsidRPr="00660C98">
        <w:rPr>
          <w:rFonts w:ascii="Times New Roman" w:eastAsia="Times New Roman" w:hAnsi="Times New Roman"/>
          <w:lang w:val="lt-LT"/>
        </w:rPr>
        <w:t xml:space="preserve">. Du iš </w:t>
      </w:r>
      <w:proofErr w:type="spellStart"/>
      <w:r w:rsidRPr="00660C98">
        <w:rPr>
          <w:rFonts w:ascii="Times New Roman" w:eastAsia="Times New Roman" w:hAnsi="Times New Roman"/>
          <w:lang w:val="lt-LT"/>
        </w:rPr>
        <w:t>fenolinių</w:t>
      </w:r>
      <w:proofErr w:type="spellEnd"/>
      <w:r w:rsidRPr="00660C98">
        <w:rPr>
          <w:rFonts w:ascii="Times New Roman" w:eastAsia="Times New Roman" w:hAnsi="Times New Roman"/>
          <w:lang w:val="lt-LT"/>
        </w:rPr>
        <w:t xml:space="preserve"> metabolitų yra aktyvūs, tačiau jų poveikis daug silpnesnis negu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u w:val="single"/>
          <w:lang w:val="lt-LT"/>
        </w:rPr>
      </w:pPr>
      <w:r w:rsidRPr="00660C98">
        <w:rPr>
          <w:rFonts w:ascii="Times New Roman" w:eastAsia="Times New Roman" w:hAnsi="Times New Roman"/>
          <w:u w:val="single"/>
          <w:lang w:val="lt-LT"/>
        </w:rPr>
        <w:t>Eliminacija</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Bendras sisteminis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klirensas iš plazmos yra 263</w:t>
      </w:r>
      <w:r w:rsidR="00A63616">
        <w:rPr>
          <w:rFonts w:ascii="Times New Roman" w:eastAsia="Times New Roman" w:hAnsi="Times New Roman"/>
          <w:lang w:val="lt-LT"/>
        </w:rPr>
        <w:t> </w:t>
      </w:r>
      <w:r w:rsidRPr="00660C98">
        <w:rPr>
          <w:rFonts w:ascii="Times New Roman" w:eastAsia="Times New Roman" w:hAnsi="Times New Roman"/>
          <w:lang w:val="lt-LT"/>
        </w:rPr>
        <w:t>(</w:t>
      </w:r>
      <w:r w:rsidRPr="00660C98">
        <w:rPr>
          <w:rFonts w:ascii="Times New Roman" w:eastAsia="Times New Roman" w:hAnsi="Times New Roman"/>
          <w:lang w:val="lt-LT"/>
        </w:rPr>
        <w:sym w:font="Symbol" w:char="F0B1"/>
      </w:r>
      <w:r w:rsidRPr="00660C98">
        <w:rPr>
          <w:rFonts w:ascii="Times New Roman" w:eastAsia="Times New Roman" w:hAnsi="Times New Roman"/>
          <w:lang w:val="lt-LT"/>
        </w:rPr>
        <w:t xml:space="preserve"> 56)</w:t>
      </w:r>
      <w:r w:rsidR="00A63616">
        <w:rPr>
          <w:rFonts w:ascii="Times New Roman" w:eastAsia="Times New Roman" w:hAnsi="Times New Roman"/>
          <w:lang w:val="lt-LT"/>
        </w:rPr>
        <w:t> </w:t>
      </w:r>
      <w:r w:rsidRPr="00660C98">
        <w:rPr>
          <w:rFonts w:ascii="Times New Roman" w:eastAsia="Times New Roman" w:hAnsi="Times New Roman"/>
          <w:lang w:val="lt-LT"/>
        </w:rPr>
        <w:t xml:space="preserve">ml/min. (vidutinis dydis </w:t>
      </w:r>
      <w:r w:rsidRPr="00660C98">
        <w:rPr>
          <w:rFonts w:ascii="Times New Roman" w:eastAsia="Times New Roman" w:hAnsi="Times New Roman"/>
          <w:lang w:val="lt-LT"/>
        </w:rPr>
        <w:sym w:font="Symbol" w:char="F0B1"/>
      </w:r>
      <w:r w:rsidRPr="00660C98">
        <w:rPr>
          <w:rFonts w:ascii="Times New Roman" w:eastAsia="Times New Roman" w:hAnsi="Times New Roman"/>
          <w:lang w:val="lt-LT"/>
        </w:rPr>
        <w:t xml:space="preserve"> SD). Galutinis pusinės eliminacijos periodas iš plazmos yra 1–2 val. 4</w:t>
      </w:r>
      <w:r w:rsidR="00D32FD6">
        <w:rPr>
          <w:rFonts w:ascii="Times New Roman" w:eastAsia="Times New Roman" w:hAnsi="Times New Roman"/>
          <w:lang w:val="lt-LT"/>
        </w:rPr>
        <w:t> </w:t>
      </w:r>
      <w:r w:rsidRPr="00660C98">
        <w:rPr>
          <w:rFonts w:ascii="Times New Roman" w:eastAsia="Times New Roman" w:hAnsi="Times New Roman"/>
          <w:lang w:val="lt-LT"/>
        </w:rPr>
        <w:t>metabolitų, įskaitant dviejų aktyviausių, pusinės eliminacijos periodas yra taip pat trumpas, t.y. 1 – 3 val. Vieno metabolito, t.y. 3</w:t>
      </w:r>
      <w:r w:rsidRPr="00660C98">
        <w:rPr>
          <w:rFonts w:ascii="Times New Roman" w:eastAsia="Times New Roman" w:hAnsi="Times New Roman"/>
          <w:lang w:val="lt-LT"/>
        </w:rPr>
        <w:sym w:font="Symbol" w:char="F0A2"/>
      </w:r>
      <w:r w:rsidRPr="00660C98">
        <w:rPr>
          <w:rFonts w:ascii="Times New Roman" w:eastAsia="Times New Roman" w:hAnsi="Times New Roman"/>
          <w:lang w:val="lt-LT"/>
        </w:rPr>
        <w:t>-hidroksi-4</w:t>
      </w:r>
      <w:r w:rsidRPr="00660C98">
        <w:rPr>
          <w:rFonts w:ascii="Times New Roman" w:eastAsia="Times New Roman" w:hAnsi="Times New Roman"/>
          <w:lang w:val="lt-LT"/>
        </w:rPr>
        <w:sym w:font="Symbol" w:char="F0A2"/>
      </w:r>
      <w:r w:rsidRPr="00660C98">
        <w:rPr>
          <w:rFonts w:ascii="Times New Roman" w:eastAsia="Times New Roman" w:hAnsi="Times New Roman"/>
          <w:lang w:val="lt-LT"/>
        </w:rPr>
        <w:t>-</w:t>
      </w:r>
      <w:proofErr w:type="spellStart"/>
      <w:r w:rsidRPr="00660C98">
        <w:rPr>
          <w:rFonts w:ascii="Times New Roman" w:eastAsia="Times New Roman" w:hAnsi="Times New Roman"/>
          <w:lang w:val="lt-LT"/>
        </w:rPr>
        <w:t>metoksi-diklofenako</w:t>
      </w:r>
      <w:proofErr w:type="spellEnd"/>
      <w:r w:rsidRPr="00660C98">
        <w:rPr>
          <w:rFonts w:ascii="Times New Roman" w:eastAsia="Times New Roman" w:hAnsi="Times New Roman"/>
          <w:lang w:val="lt-LT"/>
        </w:rPr>
        <w:t>, pusinės eliminacijos periodas iš plazmos yra daug ilgesnis, tačiau šis metabolitas yra neaktyvus.</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Apie 60 </w:t>
      </w:r>
      <w:r w:rsidRPr="00660C98">
        <w:rPr>
          <w:rFonts w:ascii="Times New Roman" w:eastAsia="Times New Roman" w:hAnsi="Times New Roman"/>
          <w:lang w:val="lt-LT"/>
        </w:rPr>
        <w:sym w:font="Symbol" w:char="F025"/>
      </w:r>
      <w:r w:rsidRPr="00660C98">
        <w:rPr>
          <w:rFonts w:ascii="Times New Roman" w:eastAsia="Times New Roman" w:hAnsi="Times New Roman"/>
          <w:lang w:val="lt-LT"/>
        </w:rPr>
        <w:t xml:space="preserve"> pavartotos dozės išsiskiria su šlapimu </w:t>
      </w:r>
      <w:proofErr w:type="spellStart"/>
      <w:r w:rsidRPr="00660C98">
        <w:rPr>
          <w:rFonts w:ascii="Times New Roman" w:eastAsia="Times New Roman" w:hAnsi="Times New Roman"/>
          <w:lang w:val="lt-LT"/>
        </w:rPr>
        <w:t>gliukuronidų</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konjugatų</w:t>
      </w:r>
      <w:proofErr w:type="spellEnd"/>
      <w:r w:rsidRPr="00660C98">
        <w:rPr>
          <w:rFonts w:ascii="Times New Roman" w:eastAsia="Times New Roman" w:hAnsi="Times New Roman"/>
          <w:lang w:val="lt-LT"/>
        </w:rPr>
        <w:t xml:space="preserve"> su nepakitusia molekule pavidalu arba metabolitų, kurių dauguma irgi yra </w:t>
      </w:r>
      <w:proofErr w:type="spellStart"/>
      <w:r w:rsidRPr="00660C98">
        <w:rPr>
          <w:rFonts w:ascii="Times New Roman" w:eastAsia="Times New Roman" w:hAnsi="Times New Roman"/>
          <w:lang w:val="lt-LT"/>
        </w:rPr>
        <w:t>gliukuronidų</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konjugatai</w:t>
      </w:r>
      <w:proofErr w:type="spellEnd"/>
      <w:r w:rsidRPr="00660C98">
        <w:rPr>
          <w:rFonts w:ascii="Times New Roman" w:eastAsia="Times New Roman" w:hAnsi="Times New Roman"/>
          <w:lang w:val="lt-LT"/>
        </w:rPr>
        <w:t>, pavidalu.</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Mažiau kaip 1 </w:t>
      </w:r>
      <w:r w:rsidRPr="00660C98">
        <w:rPr>
          <w:rFonts w:ascii="Times New Roman" w:eastAsia="Times New Roman" w:hAnsi="Times New Roman"/>
          <w:lang w:val="lt-LT"/>
        </w:rPr>
        <w:sym w:font="Symbol" w:char="F025"/>
      </w:r>
      <w:r w:rsidRPr="00660C98">
        <w:rPr>
          <w:rFonts w:ascii="Times New Roman" w:eastAsia="Times New Roman" w:hAnsi="Times New Roman"/>
          <w:lang w:val="lt-LT"/>
        </w:rPr>
        <w:t xml:space="preserve"> preparato išsiskiria nepakitusio. Likęs kiekis išsiskiria metabolitų pavidalu su tulžimi ir išmatomis.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u w:val="single"/>
          <w:lang w:val="lt-LT"/>
        </w:rPr>
        <w:t>Farmakokinetika</w:t>
      </w:r>
      <w:proofErr w:type="spellEnd"/>
      <w:r w:rsidRPr="00660C98">
        <w:rPr>
          <w:rFonts w:ascii="Times New Roman" w:eastAsia="Times New Roman" w:hAnsi="Times New Roman"/>
          <w:u w:val="single"/>
          <w:lang w:val="lt-LT"/>
        </w:rPr>
        <w:t xml:space="preserve"> specialių grupių ligonių organizme</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Išgerto vaisto </w:t>
      </w:r>
      <w:proofErr w:type="spellStart"/>
      <w:r w:rsidRPr="00660C98">
        <w:rPr>
          <w:rFonts w:ascii="Times New Roman" w:eastAsia="Times New Roman" w:hAnsi="Times New Roman"/>
          <w:lang w:val="lt-LT"/>
        </w:rPr>
        <w:t>rezorbcija</w:t>
      </w:r>
      <w:proofErr w:type="spellEnd"/>
      <w:r w:rsidRPr="00660C98">
        <w:rPr>
          <w:rFonts w:ascii="Times New Roman" w:eastAsia="Times New Roman" w:hAnsi="Times New Roman"/>
          <w:lang w:val="lt-LT"/>
        </w:rPr>
        <w:t>, metabolizmas ar išsiskyrimas nuo amžiaus beveik nepriklauso.</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Vienkartinės dozės kinetikos tyrimo duomenys rodo, kad vartojant rekomenduojamą dozę žmonių, sergančių inkstų funkcijos nepakankamumu, organizme veiklioji medžiaga kauptis neturėtų. Jei </w:t>
      </w:r>
      <w:proofErr w:type="spellStart"/>
      <w:r w:rsidRPr="00660C98">
        <w:rPr>
          <w:rFonts w:ascii="Times New Roman" w:eastAsia="Times New Roman" w:hAnsi="Times New Roman"/>
          <w:lang w:val="lt-LT"/>
        </w:rPr>
        <w:t>kreatinino</w:t>
      </w:r>
      <w:proofErr w:type="spellEnd"/>
      <w:r w:rsidRPr="00660C98">
        <w:rPr>
          <w:rFonts w:ascii="Times New Roman" w:eastAsia="Times New Roman" w:hAnsi="Times New Roman"/>
          <w:lang w:val="lt-LT"/>
        </w:rPr>
        <w:t xml:space="preserve"> klirensas yra mažesnis kaip 10 ml/min., apskaičiuotas </w:t>
      </w:r>
      <w:proofErr w:type="spellStart"/>
      <w:r w:rsidRPr="00660C98">
        <w:rPr>
          <w:rFonts w:ascii="Times New Roman" w:eastAsia="Times New Roman" w:hAnsi="Times New Roman"/>
          <w:lang w:val="lt-LT"/>
        </w:rPr>
        <w:t>hidroksi</w:t>
      </w:r>
      <w:proofErr w:type="spellEnd"/>
      <w:r w:rsidRPr="00660C98">
        <w:rPr>
          <w:rFonts w:ascii="Times New Roman" w:eastAsia="Times New Roman" w:hAnsi="Times New Roman"/>
          <w:lang w:val="lt-LT"/>
        </w:rPr>
        <w:t>-metabolitų kiekis plazmoje tuo metu, kai koncentracija pastovi, yra 4 kartus didesnis negu sveikų žmonių. Tačiau metabolitai gausiai išskiriami su tulžimi.</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Ligonių, sergančių lėtiniu hepatitu arba </w:t>
      </w:r>
      <w:proofErr w:type="spellStart"/>
      <w:r w:rsidRPr="00660C98">
        <w:rPr>
          <w:rFonts w:ascii="Times New Roman" w:eastAsia="Times New Roman" w:hAnsi="Times New Roman"/>
          <w:lang w:val="lt-LT"/>
        </w:rPr>
        <w:t>nedekompensuota</w:t>
      </w:r>
      <w:proofErr w:type="spellEnd"/>
      <w:r w:rsidRPr="00660C98">
        <w:rPr>
          <w:rFonts w:ascii="Times New Roman" w:eastAsia="Times New Roman" w:hAnsi="Times New Roman"/>
          <w:lang w:val="lt-LT"/>
        </w:rPr>
        <w:t xml:space="preserve"> kepenų ciroze, organizme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farmakokinetika</w:t>
      </w:r>
      <w:proofErr w:type="spellEnd"/>
      <w:r w:rsidRPr="00660C98">
        <w:rPr>
          <w:rFonts w:ascii="Times New Roman" w:eastAsia="Times New Roman" w:hAnsi="Times New Roman"/>
          <w:lang w:val="lt-LT"/>
        </w:rPr>
        <w:t xml:space="preserve"> yra tokia pati kaip žmonių, kurie kepenų liga neserga. </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5.3</w:t>
      </w:r>
      <w:r w:rsidRPr="00660C98">
        <w:rPr>
          <w:rFonts w:ascii="Times New Roman" w:eastAsia="Times New Roman" w:hAnsi="Times New Roman"/>
          <w:b/>
          <w:lang w:val="lt-LT"/>
        </w:rPr>
        <w:tab/>
      </w:r>
      <w:proofErr w:type="spellStart"/>
      <w:r w:rsidRPr="00660C98">
        <w:rPr>
          <w:rFonts w:ascii="Times New Roman" w:eastAsia="Times New Roman" w:hAnsi="Times New Roman"/>
          <w:b/>
          <w:lang w:val="lt-LT"/>
        </w:rPr>
        <w:t>Ikiklinikinių</w:t>
      </w:r>
      <w:proofErr w:type="spellEnd"/>
      <w:r w:rsidRPr="00660C98">
        <w:rPr>
          <w:rFonts w:ascii="Times New Roman" w:eastAsia="Times New Roman" w:hAnsi="Times New Roman"/>
          <w:b/>
          <w:lang w:val="lt-LT"/>
        </w:rPr>
        <w:t xml:space="preserve"> saugumo tyrimų duomenys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Įvertinus </w:t>
      </w:r>
      <w:proofErr w:type="spellStart"/>
      <w:r w:rsidRPr="00660C98">
        <w:rPr>
          <w:rFonts w:ascii="Times New Roman" w:eastAsia="Times New Roman" w:hAnsi="Times New Roman"/>
          <w:lang w:val="lt-LT"/>
        </w:rPr>
        <w:t>ikiklinikinių</w:t>
      </w:r>
      <w:proofErr w:type="spellEnd"/>
      <w:r w:rsidRPr="00660C98">
        <w:rPr>
          <w:rFonts w:ascii="Times New Roman" w:eastAsia="Times New Roman" w:hAnsi="Times New Roman"/>
          <w:lang w:val="lt-LT"/>
        </w:rPr>
        <w:t xml:space="preserve"> pradinių ir kartotinų preparato dozių toksinio poveikio, taip pat ir </w:t>
      </w:r>
      <w:proofErr w:type="spellStart"/>
      <w:r w:rsidRPr="00660C98">
        <w:rPr>
          <w:rFonts w:ascii="Times New Roman" w:eastAsia="Times New Roman" w:hAnsi="Times New Roman"/>
          <w:lang w:val="lt-LT"/>
        </w:rPr>
        <w:t>genotoksinio</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mutageninio</w:t>
      </w:r>
      <w:proofErr w:type="spellEnd"/>
      <w:r w:rsidRPr="00660C98">
        <w:rPr>
          <w:rFonts w:ascii="Times New Roman" w:eastAsia="Times New Roman" w:hAnsi="Times New Roman"/>
          <w:lang w:val="lt-LT"/>
        </w:rPr>
        <w:t xml:space="preserve"> ir </w:t>
      </w:r>
      <w:proofErr w:type="spellStart"/>
      <w:r w:rsidRPr="00660C98">
        <w:rPr>
          <w:rFonts w:ascii="Times New Roman" w:eastAsia="Times New Roman" w:hAnsi="Times New Roman"/>
          <w:lang w:val="lt-LT"/>
        </w:rPr>
        <w:t>karcinogeninio</w:t>
      </w:r>
      <w:proofErr w:type="spellEnd"/>
      <w:r w:rsidRPr="00660C98">
        <w:rPr>
          <w:rFonts w:ascii="Times New Roman" w:eastAsia="Times New Roman" w:hAnsi="Times New Roman"/>
          <w:lang w:val="lt-LT"/>
        </w:rPr>
        <w:t xml:space="preserve">, tyrimų su </w:t>
      </w:r>
      <w:proofErr w:type="spellStart"/>
      <w:r w:rsidRPr="00660C98">
        <w:rPr>
          <w:rFonts w:ascii="Times New Roman" w:eastAsia="Times New Roman" w:hAnsi="Times New Roman"/>
          <w:lang w:val="lt-LT"/>
        </w:rPr>
        <w:t>diklofenaku</w:t>
      </w:r>
      <w:proofErr w:type="spellEnd"/>
      <w:r w:rsidRPr="00660C98">
        <w:rPr>
          <w:rFonts w:ascii="Times New Roman" w:eastAsia="Times New Roman" w:hAnsi="Times New Roman"/>
          <w:lang w:val="lt-LT"/>
        </w:rPr>
        <w:t xml:space="preserve"> duomenis buvo nustatyta, kad nėra specifinio pavojaus žmogui, vartojant vaisto įprastinėmis dozėmis. Įprastinių </w:t>
      </w:r>
      <w:proofErr w:type="spellStart"/>
      <w:r w:rsidRPr="00660C98">
        <w:rPr>
          <w:rFonts w:ascii="Times New Roman" w:eastAsia="Times New Roman" w:hAnsi="Times New Roman"/>
          <w:lang w:val="lt-LT"/>
        </w:rPr>
        <w:t>ikiklinikinių</w:t>
      </w:r>
      <w:proofErr w:type="spellEnd"/>
      <w:r w:rsidRPr="00660C98">
        <w:rPr>
          <w:rFonts w:ascii="Times New Roman" w:eastAsia="Times New Roman" w:hAnsi="Times New Roman"/>
          <w:lang w:val="lt-LT"/>
        </w:rPr>
        <w:t xml:space="preserve"> tyrimų su gyvūnais metu negauta įrodymų, kad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gali veikti </w:t>
      </w:r>
      <w:proofErr w:type="spellStart"/>
      <w:r w:rsidRPr="00660C98">
        <w:rPr>
          <w:rFonts w:ascii="Times New Roman" w:eastAsia="Times New Roman" w:hAnsi="Times New Roman"/>
          <w:lang w:val="lt-LT"/>
        </w:rPr>
        <w:t>teratogeniškai</w:t>
      </w:r>
      <w:proofErr w:type="spellEnd"/>
      <w:r w:rsidRPr="00660C98">
        <w:rPr>
          <w:rFonts w:ascii="Times New Roman" w:eastAsia="Times New Roman" w:hAnsi="Times New Roman"/>
          <w:lang w:val="lt-LT"/>
        </w:rPr>
        <w:t xml:space="preserve"> peles, žiurkes ar triušius.</w:t>
      </w:r>
    </w:p>
    <w:p w:rsidR="00E216D7" w:rsidRPr="00660C98" w:rsidRDefault="00E216D7"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nedaro įtakos žiurkių vaisingumui. Palikuonių </w:t>
      </w:r>
      <w:proofErr w:type="spellStart"/>
      <w:r w:rsidRPr="00660C98">
        <w:rPr>
          <w:rFonts w:ascii="Times New Roman" w:eastAsia="Times New Roman" w:hAnsi="Times New Roman"/>
          <w:lang w:val="lt-LT"/>
        </w:rPr>
        <w:t>prenatalinis</w:t>
      </w:r>
      <w:proofErr w:type="spellEnd"/>
      <w:r w:rsidRPr="00660C98">
        <w:rPr>
          <w:rFonts w:ascii="Times New Roman" w:eastAsia="Times New Roman" w:hAnsi="Times New Roman"/>
          <w:lang w:val="lt-LT"/>
        </w:rPr>
        <w:t xml:space="preserve">, perinatalinis bei </w:t>
      </w:r>
      <w:proofErr w:type="spellStart"/>
      <w:r w:rsidRPr="00660C98">
        <w:rPr>
          <w:rFonts w:ascii="Times New Roman" w:eastAsia="Times New Roman" w:hAnsi="Times New Roman"/>
          <w:lang w:val="lt-LT"/>
        </w:rPr>
        <w:t>postnatalinis</w:t>
      </w:r>
      <w:proofErr w:type="spellEnd"/>
      <w:r w:rsidRPr="00660C98">
        <w:rPr>
          <w:rFonts w:ascii="Times New Roman" w:eastAsia="Times New Roman" w:hAnsi="Times New Roman"/>
          <w:lang w:val="lt-LT"/>
        </w:rPr>
        <w:t xml:space="preserve"> vystymasis nesutriko, išskyrus minimalų poveikį vaisiui, kai vartota patelei toksinį poveikį sukelianti dozė. </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NVNU, įskaitant </w:t>
      </w:r>
      <w:proofErr w:type="spellStart"/>
      <w:r w:rsidRPr="00660C98">
        <w:rPr>
          <w:rFonts w:ascii="Times New Roman" w:eastAsia="Times New Roman" w:hAnsi="Times New Roman"/>
          <w:lang w:val="lt-LT"/>
        </w:rPr>
        <w:t>diklofenaką</w:t>
      </w:r>
      <w:proofErr w:type="spellEnd"/>
      <w:r w:rsidRPr="00660C98">
        <w:rPr>
          <w:rFonts w:ascii="Times New Roman" w:eastAsia="Times New Roman" w:hAnsi="Times New Roman"/>
          <w:lang w:val="lt-LT"/>
        </w:rPr>
        <w:t xml:space="preserve">, slopino ovuliaciją triušių patelėms, implantaciją ir placentos atsiradimą žiurkėms bei sukėlė per ankstyvą arterinio latako užsidarymą tyrimų su vaikingomis žiurkėmis metu. Žiurkių patelėms toksinį poveikį sukeliančios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dozės sukėlė </w:t>
      </w:r>
      <w:proofErr w:type="spellStart"/>
      <w:r w:rsidRPr="00660C98">
        <w:rPr>
          <w:rFonts w:ascii="Times New Roman" w:eastAsia="Times New Roman" w:hAnsi="Times New Roman"/>
          <w:lang w:val="lt-LT"/>
        </w:rPr>
        <w:t>distociją</w:t>
      </w:r>
      <w:proofErr w:type="spellEnd"/>
      <w:r w:rsidRPr="00660C98">
        <w:rPr>
          <w:rFonts w:ascii="Times New Roman" w:eastAsia="Times New Roman" w:hAnsi="Times New Roman"/>
          <w:lang w:val="lt-LT"/>
        </w:rPr>
        <w:t xml:space="preserve">, ilgino vaikingumo laikotarpį, sukeldavo dažnesnę vaisiaus žūtį ir slopino jo augimą. Nestiprus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poveikis reprodukcijos parametrams bei jauniklių atsivedimui ir arterinio latako užsidarymas gimdoje yra susijęs su farmakologiniu prostaglandinų sintezės inhibitorių klasės vaistinių preparatų poveikiu (žr. 4.3 ir 4.6 skyrius). </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keepNext/>
        <w:keepLines/>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6.</w:t>
      </w:r>
      <w:r w:rsidRPr="00660C98">
        <w:rPr>
          <w:rFonts w:ascii="Times New Roman" w:eastAsia="Times New Roman" w:hAnsi="Times New Roman"/>
          <w:b/>
          <w:lang w:val="lt-LT"/>
        </w:rPr>
        <w:tab/>
        <w:t>FARMACINĖ INFORMACIJA</w:t>
      </w:r>
    </w:p>
    <w:p w:rsidR="00660C98" w:rsidRPr="00660C98" w:rsidRDefault="00660C98" w:rsidP="00660C98">
      <w:pPr>
        <w:keepNext/>
        <w:keepLines/>
        <w:tabs>
          <w:tab w:val="left" w:pos="567"/>
        </w:tabs>
        <w:spacing w:after="0" w:line="240" w:lineRule="auto"/>
        <w:rPr>
          <w:rFonts w:ascii="Times New Roman" w:eastAsia="Times New Roman" w:hAnsi="Times New Roman"/>
          <w:b/>
          <w:lang w:val="lt-LT"/>
        </w:rPr>
      </w:pPr>
    </w:p>
    <w:p w:rsidR="00660C98" w:rsidRPr="00660C98" w:rsidRDefault="00660C98" w:rsidP="00660C98">
      <w:pPr>
        <w:keepNext/>
        <w:keepLines/>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b/>
          <w:lang w:val="lt-LT"/>
        </w:rPr>
        <w:t>6. 1</w:t>
      </w:r>
      <w:r w:rsidRPr="00660C98">
        <w:rPr>
          <w:rFonts w:ascii="Times New Roman" w:eastAsia="Times New Roman" w:hAnsi="Times New Roman"/>
          <w:b/>
          <w:lang w:val="lt-LT"/>
        </w:rPr>
        <w:tab/>
        <w:t>Pagalbinių medžiagų sąrašas</w:t>
      </w: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p>
    <w:p w:rsidR="00660C98" w:rsidRPr="00660C98" w:rsidRDefault="00660C98" w:rsidP="00660C98">
      <w:pPr>
        <w:tabs>
          <w:tab w:val="left" w:pos="567"/>
        </w:tabs>
        <w:spacing w:after="0" w:line="240" w:lineRule="auto"/>
        <w:jc w:val="both"/>
        <w:rPr>
          <w:rFonts w:ascii="Times New Roman" w:eastAsia="Times New Roman" w:hAnsi="Times New Roman"/>
          <w:lang w:val="lt-LT"/>
        </w:rPr>
      </w:pPr>
      <w:r w:rsidRPr="00660C98">
        <w:rPr>
          <w:rFonts w:ascii="Times New Roman" w:eastAsia="Times New Roman" w:hAnsi="Times New Roman"/>
          <w:u w:val="single"/>
          <w:lang w:val="lt-LT"/>
        </w:rPr>
        <w:t>Tabletės šerdis</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r w:rsidRPr="00660C98">
        <w:rPr>
          <w:rFonts w:ascii="Times New Roman" w:eastAsia="Times New Roman" w:hAnsi="Times New Roman"/>
          <w:lang w:val="lt-LT"/>
        </w:rPr>
        <w:t>Koloidinis bevandenis silicio dioksidas</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r w:rsidRPr="00660C98">
        <w:rPr>
          <w:rFonts w:ascii="Times New Roman" w:eastAsia="Times New Roman" w:hAnsi="Times New Roman"/>
          <w:lang w:val="lt-LT"/>
        </w:rPr>
        <w:t>Kalcio fosfatas</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r w:rsidRPr="00660C98">
        <w:rPr>
          <w:rFonts w:ascii="Times New Roman" w:eastAsia="Times New Roman" w:hAnsi="Times New Roman"/>
          <w:lang w:val="lt-LT"/>
        </w:rPr>
        <w:t xml:space="preserve">Magnio </w:t>
      </w:r>
      <w:proofErr w:type="spellStart"/>
      <w:r w:rsidRPr="00660C98">
        <w:rPr>
          <w:rFonts w:ascii="Times New Roman" w:eastAsia="Times New Roman" w:hAnsi="Times New Roman"/>
          <w:lang w:val="lt-LT"/>
        </w:rPr>
        <w:t>stearatas</w:t>
      </w:r>
      <w:proofErr w:type="spellEnd"/>
    </w:p>
    <w:p w:rsidR="00660C98" w:rsidRPr="00660C98" w:rsidRDefault="00660C98" w:rsidP="00660C98">
      <w:pPr>
        <w:tabs>
          <w:tab w:val="left" w:pos="567"/>
        </w:tabs>
        <w:spacing w:after="0" w:line="240" w:lineRule="auto"/>
        <w:jc w:val="both"/>
        <w:rPr>
          <w:rFonts w:ascii="Times New Roman" w:eastAsia="Times New Roman" w:hAnsi="Times New Roman"/>
          <w:lang w:val="lt-LT"/>
        </w:rPr>
      </w:pPr>
      <w:r w:rsidRPr="00660C98">
        <w:rPr>
          <w:rFonts w:ascii="Times New Roman" w:eastAsia="Times New Roman" w:hAnsi="Times New Roman"/>
          <w:lang w:val="lt-LT"/>
        </w:rPr>
        <w:t>Kukurūzų krakmolas</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proofErr w:type="spellStart"/>
      <w:r w:rsidRPr="00660C98">
        <w:rPr>
          <w:rFonts w:ascii="Times New Roman" w:eastAsia="Times New Roman" w:hAnsi="Times New Roman"/>
          <w:lang w:val="lt-LT"/>
        </w:rPr>
        <w:t>Povidonas</w:t>
      </w:r>
      <w:proofErr w:type="spellEnd"/>
    </w:p>
    <w:p w:rsidR="00660C98" w:rsidRPr="00660C98" w:rsidRDefault="00660C98" w:rsidP="00660C98">
      <w:pPr>
        <w:tabs>
          <w:tab w:val="left" w:pos="567"/>
        </w:tabs>
        <w:spacing w:after="0" w:line="240" w:lineRule="auto"/>
        <w:jc w:val="both"/>
        <w:rPr>
          <w:rFonts w:ascii="Times New Roman" w:eastAsia="Times New Roman" w:hAnsi="Times New Roman"/>
          <w:lang w:val="lt-LT"/>
        </w:rPr>
      </w:pPr>
      <w:proofErr w:type="spellStart"/>
      <w:r w:rsidRPr="00660C98">
        <w:rPr>
          <w:rFonts w:ascii="Times New Roman" w:eastAsia="Times New Roman" w:hAnsi="Times New Roman"/>
          <w:lang w:val="lt-LT"/>
        </w:rPr>
        <w:t>Karboksimetilkrakmolo</w:t>
      </w:r>
      <w:proofErr w:type="spellEnd"/>
      <w:r w:rsidRPr="00660C98">
        <w:rPr>
          <w:rFonts w:ascii="Times New Roman" w:eastAsia="Times New Roman" w:hAnsi="Times New Roman"/>
          <w:lang w:val="lt-LT"/>
        </w:rPr>
        <w:t xml:space="preserve"> natrio druska</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u w:val="single"/>
          <w:lang w:val="lt-LT"/>
        </w:rPr>
      </w:pPr>
      <w:r w:rsidRPr="00660C98">
        <w:rPr>
          <w:rFonts w:ascii="Times New Roman" w:eastAsia="Times New Roman" w:hAnsi="Times New Roman"/>
          <w:u w:val="single"/>
          <w:lang w:val="lt-LT"/>
        </w:rPr>
        <w:t>Tabletės plėvelė</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Mikrokristalinė</w:t>
      </w:r>
      <w:proofErr w:type="spellEnd"/>
      <w:r w:rsidRPr="00660C98">
        <w:rPr>
          <w:rFonts w:ascii="Times New Roman" w:eastAsia="Times New Roman" w:hAnsi="Times New Roman"/>
          <w:lang w:val="lt-LT"/>
        </w:rPr>
        <w:t xml:space="preserve"> celiuliozė</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Makrogolis</w:t>
      </w:r>
      <w:proofErr w:type="spellEnd"/>
      <w:r w:rsidRPr="00660C98">
        <w:rPr>
          <w:rFonts w:ascii="Times New Roman" w:eastAsia="Times New Roman" w:hAnsi="Times New Roman"/>
          <w:lang w:val="lt-LT"/>
        </w:rPr>
        <w:t xml:space="preserve"> 8000 </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Povidonas</w:t>
      </w:r>
      <w:proofErr w:type="spellEnd"/>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Sacharozė</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Talkas</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Raudonasis geležies oksidas (E172)</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Titano dioksidas (E171)</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b/>
          <w:lang w:val="lt-LT"/>
        </w:rPr>
        <w:t>6.2</w:t>
      </w:r>
      <w:r w:rsidRPr="00660C98">
        <w:rPr>
          <w:rFonts w:ascii="Times New Roman" w:eastAsia="Times New Roman" w:hAnsi="Times New Roman"/>
          <w:b/>
          <w:lang w:val="lt-LT"/>
        </w:rPr>
        <w:tab/>
        <w:t>Nesuderinamumas</w:t>
      </w: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p>
    <w:p w:rsidR="00660C98" w:rsidRPr="00660C98" w:rsidRDefault="00660C98" w:rsidP="00660C98">
      <w:pPr>
        <w:tabs>
          <w:tab w:val="left" w:pos="567"/>
        </w:tabs>
        <w:spacing w:after="0" w:line="240" w:lineRule="auto"/>
        <w:jc w:val="both"/>
        <w:rPr>
          <w:rFonts w:ascii="Times New Roman" w:eastAsia="Times New Roman" w:hAnsi="Times New Roman"/>
          <w:lang w:val="lt-LT"/>
        </w:rPr>
      </w:pPr>
      <w:r w:rsidRPr="00660C98">
        <w:rPr>
          <w:rFonts w:ascii="Times New Roman" w:eastAsia="Times New Roman" w:hAnsi="Times New Roman"/>
          <w:lang w:val="lt-LT"/>
        </w:rPr>
        <w:t>Duomenys nebūtini.</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b/>
          <w:lang w:val="lt-LT"/>
        </w:rPr>
        <w:t>6.3</w:t>
      </w:r>
      <w:r w:rsidRPr="00660C98">
        <w:rPr>
          <w:rFonts w:ascii="Times New Roman" w:eastAsia="Times New Roman" w:hAnsi="Times New Roman"/>
          <w:b/>
          <w:lang w:val="lt-LT"/>
        </w:rPr>
        <w:tab/>
        <w:t>Tinkamumo laikas</w:t>
      </w: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p>
    <w:p w:rsidR="00660C98" w:rsidRPr="00660C98" w:rsidRDefault="00660C98" w:rsidP="00660C98">
      <w:pPr>
        <w:tabs>
          <w:tab w:val="left" w:pos="567"/>
        </w:tabs>
        <w:spacing w:after="0" w:line="240" w:lineRule="auto"/>
        <w:jc w:val="both"/>
        <w:rPr>
          <w:rFonts w:ascii="Times New Roman" w:eastAsia="Times New Roman" w:hAnsi="Times New Roman"/>
          <w:lang w:val="lt-LT"/>
        </w:rPr>
      </w:pPr>
      <w:r w:rsidRPr="00660C98">
        <w:rPr>
          <w:rFonts w:ascii="Times New Roman" w:eastAsia="Times New Roman" w:hAnsi="Times New Roman"/>
          <w:lang w:val="lt-LT"/>
        </w:rPr>
        <w:t>3</w:t>
      </w:r>
      <w:r w:rsidR="00E216D7">
        <w:rPr>
          <w:rFonts w:ascii="Times New Roman" w:eastAsia="Times New Roman" w:hAnsi="Times New Roman"/>
          <w:lang w:val="lt-LT"/>
        </w:rPr>
        <w:t> </w:t>
      </w:r>
      <w:r w:rsidRPr="00660C98">
        <w:rPr>
          <w:rFonts w:ascii="Times New Roman" w:eastAsia="Times New Roman" w:hAnsi="Times New Roman"/>
          <w:lang w:val="lt-LT"/>
        </w:rPr>
        <w:t>metai</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b/>
          <w:lang w:val="lt-LT"/>
        </w:rPr>
        <w:t>6.4</w:t>
      </w:r>
      <w:r w:rsidRPr="00660C98">
        <w:rPr>
          <w:rFonts w:ascii="Times New Roman" w:eastAsia="Times New Roman" w:hAnsi="Times New Roman"/>
          <w:b/>
          <w:lang w:val="lt-LT"/>
        </w:rPr>
        <w:tab/>
        <w:t>Specialios laikymo sąlygos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Laikyti ne aukštesnėje kaip 30 </w:t>
      </w:r>
      <w:r w:rsidRPr="00660C98">
        <w:rPr>
          <w:rFonts w:ascii="Times New Roman" w:eastAsia="Times New Roman" w:hAnsi="Times New Roman"/>
          <w:lang w:val="lt-LT"/>
        </w:rPr>
        <w:sym w:font="Symbol" w:char="F0B0"/>
      </w:r>
      <w:r w:rsidRPr="00660C98">
        <w:rPr>
          <w:rFonts w:ascii="Times New Roman" w:eastAsia="Times New Roman" w:hAnsi="Times New Roman"/>
          <w:lang w:val="lt-LT"/>
        </w:rPr>
        <w:t>C temperatūroje.</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Laikyti gamintojo pakuotėje, kad preparatas būtų apsaugotas nuo drėgmės.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6.5</w:t>
      </w:r>
      <w:r w:rsidRPr="00660C98">
        <w:rPr>
          <w:rFonts w:ascii="Times New Roman" w:eastAsia="Times New Roman" w:hAnsi="Times New Roman"/>
          <w:b/>
          <w:lang w:val="lt-LT"/>
        </w:rPr>
        <w:tab/>
      </w:r>
      <w:proofErr w:type="spellStart"/>
      <w:r w:rsidRPr="00660C98">
        <w:rPr>
          <w:rFonts w:ascii="Times New Roman" w:eastAsia="Times New Roman" w:hAnsi="Times New Roman"/>
          <w:b/>
          <w:lang w:val="lt-LT"/>
        </w:rPr>
        <w:t>Talpyklės</w:t>
      </w:r>
      <w:proofErr w:type="spellEnd"/>
      <w:r w:rsidRPr="00660C98">
        <w:rPr>
          <w:rFonts w:ascii="Times New Roman" w:eastAsia="Times New Roman" w:hAnsi="Times New Roman"/>
          <w:b/>
          <w:lang w:val="lt-LT"/>
        </w:rPr>
        <w:t xml:space="preserve"> pobūdis ir jos turinys</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PVC/PVDC/Al lizdinė plokštelė.</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Pakuotėje yra 20</w:t>
      </w:r>
      <w:r w:rsidR="00D32FD6">
        <w:rPr>
          <w:rFonts w:ascii="Times New Roman" w:eastAsia="Times New Roman" w:hAnsi="Times New Roman"/>
          <w:lang w:val="lt-LT"/>
        </w:rPr>
        <w:t> </w:t>
      </w:r>
      <w:r w:rsidRPr="00660C98">
        <w:rPr>
          <w:rFonts w:ascii="Times New Roman" w:eastAsia="Times New Roman" w:hAnsi="Times New Roman"/>
          <w:lang w:val="lt-LT"/>
        </w:rPr>
        <w:t>dengtų tablečių.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6.6</w:t>
      </w:r>
      <w:r w:rsidRPr="00660C98">
        <w:rPr>
          <w:rFonts w:ascii="Times New Roman" w:eastAsia="Times New Roman" w:hAnsi="Times New Roman"/>
          <w:b/>
          <w:lang w:val="lt-LT"/>
        </w:rPr>
        <w:tab/>
        <w:t xml:space="preserve">Specialūs reikalavimai atliekoms tvarkyti </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Specialių reikalavimų nėra.</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keepNext/>
        <w:keepLines/>
        <w:widowControl w:val="0"/>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b/>
          <w:lang w:val="lt-LT"/>
        </w:rPr>
        <w:t>7.</w:t>
      </w:r>
      <w:r w:rsidRPr="00660C98">
        <w:rPr>
          <w:rFonts w:ascii="Times New Roman" w:eastAsia="Times New Roman" w:hAnsi="Times New Roman"/>
          <w:b/>
          <w:lang w:val="lt-LT"/>
        </w:rPr>
        <w:tab/>
        <w:t xml:space="preserve">RINKODAROS TEISĖS TURĖTOJAS </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pt-BR"/>
        </w:rPr>
      </w:pPr>
      <w:r w:rsidRPr="00660C98">
        <w:rPr>
          <w:rFonts w:ascii="Times New Roman" w:eastAsia="Times New Roman" w:hAnsi="Times New Roman"/>
          <w:lang w:val="pt-BR"/>
        </w:rPr>
        <w:t>Novartis Finland Oy</w:t>
      </w:r>
    </w:p>
    <w:p w:rsidR="00660C98" w:rsidRPr="00660C98" w:rsidRDefault="00660C98" w:rsidP="00660C98">
      <w:pPr>
        <w:spacing w:after="0" w:line="240" w:lineRule="auto"/>
        <w:rPr>
          <w:rFonts w:ascii="Times New Roman" w:eastAsia="Times New Roman" w:hAnsi="Times New Roman"/>
          <w:bCs/>
          <w:lang w:val="pt-BR"/>
        </w:rPr>
      </w:pPr>
      <w:r w:rsidRPr="00660C98">
        <w:rPr>
          <w:rFonts w:ascii="Times New Roman" w:eastAsia="Times New Roman" w:hAnsi="Times New Roman"/>
          <w:bCs/>
          <w:lang w:val="pt-BR"/>
        </w:rPr>
        <w:t>Metsänneidonkuja 10, 02130 Espoo, Suomija</w:t>
      </w:r>
    </w:p>
    <w:p w:rsidR="00660C98" w:rsidRPr="00660C98" w:rsidRDefault="00660C98" w:rsidP="00660C98">
      <w:pPr>
        <w:tabs>
          <w:tab w:val="center" w:pos="4153"/>
          <w:tab w:val="right" w:pos="8306"/>
        </w:tabs>
        <w:spacing w:after="0" w:line="240" w:lineRule="auto"/>
        <w:rPr>
          <w:rFonts w:ascii="Times New Roman" w:eastAsia="Times New Roman" w:hAnsi="Times New Roman"/>
          <w:lang w:val="pt-BR" w:eastAsia="lt-LT"/>
        </w:rPr>
      </w:pP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8.</w:t>
      </w:r>
      <w:r w:rsidRPr="00660C98">
        <w:rPr>
          <w:rFonts w:ascii="Times New Roman" w:eastAsia="Times New Roman" w:hAnsi="Times New Roman"/>
          <w:b/>
          <w:lang w:val="lt-LT"/>
        </w:rPr>
        <w:tab/>
        <w:t xml:space="preserve">RINKODAROS PAŽYMĖJIMO NUMERIS (-IAI) </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LT/1/94/0948/002</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927E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b/>
          <w:lang w:val="lt-LT"/>
        </w:rPr>
        <w:t>9.</w:t>
      </w:r>
      <w:r w:rsidRPr="00660C98">
        <w:rPr>
          <w:rFonts w:ascii="Times New Roman" w:eastAsia="Times New Roman" w:hAnsi="Times New Roman"/>
          <w:b/>
          <w:lang w:val="lt-LT"/>
        </w:rPr>
        <w:tab/>
        <w:t>RINKODAROS TEISĖS SUTEIKIMO / ATNAUJINIMO DATA</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tabs>
          <w:tab w:val="left" w:pos="567"/>
        </w:tabs>
        <w:spacing w:after="0" w:line="240" w:lineRule="auto"/>
        <w:jc w:val="both"/>
        <w:rPr>
          <w:rFonts w:ascii="Times New Roman" w:eastAsia="Times New Roman" w:hAnsi="Times New Roman"/>
          <w:lang w:val="lt-LT"/>
        </w:rPr>
      </w:pPr>
      <w:r w:rsidRPr="00660C98">
        <w:rPr>
          <w:rFonts w:ascii="Times New Roman" w:eastAsia="Times New Roman" w:hAnsi="Times New Roman"/>
          <w:lang w:val="lt-LT"/>
        </w:rPr>
        <w:t>Rinkodaros teisė pirmą kartą suteikta 1994 m. gegužės mėn. 5 d.</w:t>
      </w: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lang w:val="lt-LT"/>
        </w:rPr>
        <w:t>Rinkodaros teisė paskutinį kartą atnaujinta 2012 m. gegužės mėn. 21 d.</w:t>
      </w: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b/>
          <w:lang w:val="lt-LT"/>
        </w:rPr>
        <w:t>10.</w:t>
      </w:r>
      <w:r w:rsidRPr="00660C98">
        <w:rPr>
          <w:rFonts w:ascii="Times New Roman" w:eastAsia="Times New Roman" w:hAnsi="Times New Roman"/>
          <w:b/>
          <w:lang w:val="lt-LT"/>
        </w:rPr>
        <w:tab/>
        <w:t xml:space="preserve">TEKSTO PERŽIŪROS DATA </w:t>
      </w: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p>
    <w:p w:rsidR="00660C98" w:rsidRPr="00660C98" w:rsidRDefault="0051205A" w:rsidP="00660C98">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2016-10-05</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spacing w:after="0" w:line="240" w:lineRule="auto"/>
        <w:rPr>
          <w:rFonts w:ascii="Times New Roman" w:hAnsi="Times New Roman"/>
          <w:color w:val="0000FF"/>
          <w:lang w:val="x-none" w:eastAsia="x-none"/>
        </w:rPr>
      </w:pPr>
      <w:r w:rsidRPr="00660C98">
        <w:rPr>
          <w:rFonts w:ascii="Times New Roman" w:hAnsi="Times New Roman"/>
          <w:noProof/>
          <w:lang w:val="lt-LT" w:eastAsia="x-none"/>
        </w:rPr>
        <w:t>Išsami informacija apie šį vaistinį preparatą pateikiama Valstybinės vaistų kontrolės tarnybos prie Lietuvos Respublikos sveikatos apsaugos ministerijos tinklalapyje</w:t>
      </w:r>
      <w:r w:rsidRPr="00660C98">
        <w:rPr>
          <w:rFonts w:ascii="Times New Roman" w:hAnsi="Times New Roman"/>
          <w:lang w:val="lt-LT" w:eastAsia="x-none"/>
        </w:rPr>
        <w:t xml:space="preserve"> </w:t>
      </w:r>
      <w:hyperlink r:id="rId9" w:history="1">
        <w:r w:rsidRPr="00660C98">
          <w:rPr>
            <w:rFonts w:ascii="Times New Roman" w:hAnsi="Times New Roman"/>
            <w:color w:val="0000FF"/>
            <w:u w:val="single"/>
            <w:lang w:val="x-none" w:eastAsia="x-none"/>
          </w:rPr>
          <w:t>http://www.vvkt.lt/</w:t>
        </w:r>
      </w:hyperlink>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ind w:left="360"/>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b/>
          <w:lang w:val="lt-LT"/>
        </w:rPr>
      </w:pPr>
    </w:p>
    <w:p w:rsidR="00660C98" w:rsidRDefault="00660C98"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Default="00C10856" w:rsidP="00660C98">
      <w:pPr>
        <w:spacing w:after="0" w:line="240" w:lineRule="auto"/>
        <w:jc w:val="center"/>
        <w:rPr>
          <w:rFonts w:ascii="Times New Roman" w:eastAsia="Times New Roman" w:hAnsi="Times New Roman"/>
          <w:b/>
          <w:lang w:val="lt-LT"/>
        </w:rPr>
      </w:pPr>
    </w:p>
    <w:p w:rsidR="00C10856" w:rsidRPr="00660C98" w:rsidRDefault="00C10856"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lang w:val="lt-LT"/>
        </w:rPr>
      </w:pPr>
      <w:r w:rsidRPr="00660C98">
        <w:rPr>
          <w:rFonts w:ascii="Times New Roman" w:eastAsia="Times New Roman" w:hAnsi="Times New Roman"/>
          <w:b/>
          <w:lang w:val="lt-LT"/>
        </w:rPr>
        <w:t>II PRIEDAS</w:t>
      </w:r>
    </w:p>
    <w:p w:rsidR="00660C98" w:rsidRPr="00660C98" w:rsidRDefault="00660C98" w:rsidP="00660C98">
      <w:pPr>
        <w:tabs>
          <w:tab w:val="left" w:pos="567"/>
        </w:tabs>
        <w:spacing w:after="0" w:line="240" w:lineRule="auto"/>
        <w:ind w:left="567" w:hanging="567"/>
        <w:jc w:val="center"/>
        <w:outlineLvl w:val="0"/>
        <w:rPr>
          <w:rFonts w:ascii="Times New Roman" w:hAnsi="Times New Roman"/>
          <w:b/>
          <w:caps/>
          <w:lang w:val="lt-LT" w:eastAsia="x-none"/>
        </w:rPr>
      </w:pPr>
    </w:p>
    <w:p w:rsidR="00660C98" w:rsidRPr="00660C98" w:rsidRDefault="00660C98" w:rsidP="00660C98">
      <w:pPr>
        <w:tabs>
          <w:tab w:val="left" w:pos="567"/>
        </w:tabs>
        <w:spacing w:after="0" w:line="240" w:lineRule="auto"/>
        <w:ind w:left="567" w:hanging="567"/>
        <w:jc w:val="center"/>
        <w:outlineLvl w:val="0"/>
        <w:rPr>
          <w:rFonts w:ascii="Times New Roman" w:hAnsi="Times New Roman"/>
          <w:b/>
          <w:caps/>
          <w:lang w:val="lt-LT" w:eastAsia="x-none"/>
        </w:rPr>
      </w:pPr>
      <w:r w:rsidRPr="00660C98">
        <w:rPr>
          <w:rFonts w:ascii="Times New Roman" w:hAnsi="Times New Roman"/>
          <w:b/>
          <w:caps/>
          <w:lang w:val="lt-LT" w:eastAsia="x-none"/>
        </w:rPr>
        <w:t>RINKODAROS SĄLYGOS</w:t>
      </w:r>
    </w:p>
    <w:p w:rsidR="00660C98" w:rsidRPr="00660C98" w:rsidRDefault="00660C98" w:rsidP="00660C98">
      <w:pPr>
        <w:spacing w:after="0" w:line="240" w:lineRule="auto"/>
        <w:ind w:left="1701" w:right="1416" w:hanging="567"/>
        <w:jc w:val="center"/>
        <w:rPr>
          <w:rFonts w:ascii="Times New Roman" w:eastAsia="Times New Roman" w:hAnsi="Times New Roman"/>
          <w:highlight w:val="yellow"/>
          <w:lang w:val="lt-LT"/>
        </w:rPr>
      </w:pPr>
    </w:p>
    <w:p w:rsidR="00660C98" w:rsidRPr="00660C98" w:rsidRDefault="00660C98" w:rsidP="00660C98">
      <w:pPr>
        <w:tabs>
          <w:tab w:val="left" w:pos="1701"/>
        </w:tabs>
        <w:spacing w:after="0" w:line="240" w:lineRule="auto"/>
        <w:ind w:left="1701" w:hanging="567"/>
        <w:rPr>
          <w:rFonts w:ascii="Times New Roman" w:eastAsia="Times New Roman" w:hAnsi="Times New Roman"/>
          <w:b/>
          <w:highlight w:val="yellow"/>
          <w:lang w:val="lt-LT" w:eastAsia="lt-LT"/>
        </w:rPr>
      </w:pPr>
      <w:r w:rsidRPr="00660C98">
        <w:rPr>
          <w:rFonts w:ascii="Times New Roman" w:eastAsia="Times New Roman" w:hAnsi="Times New Roman"/>
          <w:b/>
          <w:lang w:val="lt-LT" w:eastAsia="lt-LT"/>
        </w:rPr>
        <w:t>A.</w:t>
      </w:r>
      <w:r w:rsidRPr="00660C98">
        <w:rPr>
          <w:rFonts w:ascii="Times New Roman" w:eastAsia="Times New Roman" w:hAnsi="Times New Roman"/>
          <w:b/>
          <w:lang w:val="lt-LT" w:eastAsia="lt-LT"/>
        </w:rPr>
        <w:tab/>
        <w:t>GAMINTOJAS, ATSAKINGAS UŽ SERIJŲ IŠLEIDIMĄ</w:t>
      </w:r>
    </w:p>
    <w:p w:rsidR="00660C98" w:rsidRPr="00660C98" w:rsidRDefault="00660C98" w:rsidP="00660C98">
      <w:pPr>
        <w:spacing w:after="0" w:line="240" w:lineRule="auto"/>
        <w:rPr>
          <w:rFonts w:ascii="Times New Roman" w:hAnsi="Times New Roman"/>
          <w:highlight w:val="yellow"/>
          <w:lang w:val="x-none" w:eastAsia="x-none"/>
        </w:rPr>
      </w:pPr>
    </w:p>
    <w:p w:rsidR="00660C98" w:rsidRPr="00660C98" w:rsidRDefault="00660C98" w:rsidP="00660C98">
      <w:pPr>
        <w:tabs>
          <w:tab w:val="left" w:pos="1701"/>
        </w:tabs>
        <w:spacing w:after="0" w:line="240" w:lineRule="auto"/>
        <w:ind w:left="1701" w:hanging="567"/>
        <w:rPr>
          <w:rFonts w:ascii="Times New Roman" w:eastAsia="Times New Roman" w:hAnsi="Times New Roman"/>
          <w:b/>
          <w:lang w:val="lt-LT" w:eastAsia="lt-LT"/>
        </w:rPr>
      </w:pPr>
      <w:r w:rsidRPr="00660C98">
        <w:rPr>
          <w:rFonts w:ascii="Times New Roman" w:eastAsia="Times New Roman" w:hAnsi="Times New Roman"/>
          <w:b/>
          <w:lang w:val="lt-LT" w:eastAsia="lt-LT"/>
        </w:rPr>
        <w:t>B.</w:t>
      </w:r>
      <w:r w:rsidRPr="00660C98">
        <w:rPr>
          <w:rFonts w:ascii="Times New Roman" w:eastAsia="Times New Roman" w:hAnsi="Times New Roman"/>
          <w:b/>
          <w:lang w:val="lt-LT" w:eastAsia="lt-LT"/>
        </w:rPr>
        <w:tab/>
      </w:r>
      <w:r w:rsidRPr="00660C98">
        <w:rPr>
          <w:rFonts w:ascii="Times New Roman" w:eastAsia="Times New Roman" w:hAnsi="Times New Roman"/>
          <w:b/>
          <w:lang w:val="es-ES" w:eastAsia="lt-LT"/>
        </w:rPr>
        <w:t>TIEKIMO IR VARTOJIMO SĄLYGOS AR APRIBOJIMAI</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b/>
          <w:lang w:val="lt-LT"/>
        </w:rPr>
      </w:pPr>
      <w:r w:rsidRPr="00660C98">
        <w:rPr>
          <w:rFonts w:ascii="Times New Roman" w:eastAsia="Times New Roman" w:hAnsi="Times New Roman"/>
          <w:lang w:val="lt-LT"/>
        </w:rPr>
        <w:br w:type="page"/>
      </w:r>
    </w:p>
    <w:p w:rsidR="00660C98" w:rsidRPr="00660C98" w:rsidRDefault="00660C98" w:rsidP="00660C98">
      <w:pPr>
        <w:spacing w:after="0" w:line="240" w:lineRule="auto"/>
        <w:ind w:left="540" w:hanging="540"/>
        <w:jc w:val="both"/>
        <w:rPr>
          <w:rFonts w:ascii="Times New Roman" w:eastAsia="Times New Roman" w:hAnsi="Times New Roman"/>
          <w:b/>
          <w:lang w:val="lt-LT" w:eastAsia="lt-LT"/>
        </w:rPr>
      </w:pPr>
      <w:r w:rsidRPr="00660C98">
        <w:rPr>
          <w:rFonts w:ascii="Times New Roman" w:eastAsia="Times New Roman" w:hAnsi="Times New Roman"/>
          <w:b/>
          <w:lang w:val="lt-LT" w:eastAsia="lt-LT"/>
        </w:rPr>
        <w:t>A.</w:t>
      </w:r>
      <w:r w:rsidRPr="00660C98">
        <w:rPr>
          <w:rFonts w:ascii="Times New Roman" w:eastAsia="Times New Roman" w:hAnsi="Times New Roman"/>
          <w:b/>
          <w:lang w:val="lt-LT" w:eastAsia="lt-LT"/>
        </w:rPr>
        <w:tab/>
        <w:t>GAMINTOJAS, ATSAKINGAS UŽ SERIJŲ IŠLEIDIMĄ</w:t>
      </w:r>
    </w:p>
    <w:p w:rsidR="00660C98" w:rsidRPr="00660C98" w:rsidRDefault="00660C98" w:rsidP="00660C98">
      <w:pPr>
        <w:spacing w:after="0" w:line="240" w:lineRule="auto"/>
        <w:jc w:val="both"/>
        <w:rPr>
          <w:rFonts w:ascii="Times New Roman" w:eastAsia="Times New Roman" w:hAnsi="Times New Roman"/>
          <w:lang w:val="lt-LT" w:eastAsia="lt-LT"/>
        </w:rPr>
      </w:pPr>
    </w:p>
    <w:p w:rsidR="00660C98" w:rsidRPr="00660C98" w:rsidRDefault="00660C98" w:rsidP="00660C98">
      <w:pPr>
        <w:spacing w:after="0" w:line="240" w:lineRule="auto"/>
        <w:jc w:val="both"/>
        <w:rPr>
          <w:rFonts w:ascii="Times New Roman" w:eastAsia="Times New Roman" w:hAnsi="Times New Roman"/>
          <w:u w:val="single"/>
          <w:lang w:val="lt-LT" w:eastAsia="lt-LT"/>
        </w:rPr>
      </w:pPr>
      <w:r w:rsidRPr="00660C98">
        <w:rPr>
          <w:rFonts w:ascii="Times New Roman" w:eastAsia="Times New Roman" w:hAnsi="Times New Roman"/>
          <w:u w:val="single"/>
          <w:lang w:val="lt-LT" w:eastAsia="lt-LT"/>
        </w:rPr>
        <w:t>Gamintojo, atsakingo už serijų išleidimą, pavadinimas ir adresas</w:t>
      </w:r>
    </w:p>
    <w:p w:rsidR="00660C98" w:rsidRPr="00660C98" w:rsidRDefault="00660C98" w:rsidP="00660C98">
      <w:pPr>
        <w:spacing w:after="0" w:line="240" w:lineRule="auto"/>
        <w:rPr>
          <w:rFonts w:ascii="Times New Roman" w:eastAsia="Times New Roman" w:hAnsi="Times New Roman"/>
          <w:highlight w:val="yellow"/>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Novartis Pharma </w:t>
      </w:r>
      <w:proofErr w:type="spellStart"/>
      <w:r w:rsidRPr="00660C98">
        <w:rPr>
          <w:rFonts w:ascii="Times New Roman" w:eastAsia="Times New Roman" w:hAnsi="Times New Roman"/>
          <w:lang w:val="lt-LT"/>
        </w:rPr>
        <w:t>GmbH</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Roonstrasse</w:t>
      </w:r>
      <w:proofErr w:type="spellEnd"/>
      <w:r w:rsidRPr="00660C98">
        <w:rPr>
          <w:rFonts w:ascii="Times New Roman" w:eastAsia="Times New Roman" w:hAnsi="Times New Roman"/>
          <w:lang w:val="lt-LT"/>
        </w:rPr>
        <w:t xml:space="preserve"> 25 </w:t>
      </w:r>
      <w:proofErr w:type="spellStart"/>
      <w:r w:rsidRPr="00660C98">
        <w:rPr>
          <w:rFonts w:ascii="Times New Roman" w:eastAsia="Times New Roman" w:hAnsi="Times New Roman"/>
          <w:lang w:val="lt-LT"/>
        </w:rPr>
        <w:t>and</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Obere</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Turnstrasse</w:t>
      </w:r>
      <w:proofErr w:type="spellEnd"/>
      <w:r w:rsidRPr="00660C98">
        <w:rPr>
          <w:rFonts w:ascii="Times New Roman" w:eastAsia="Times New Roman" w:hAnsi="Times New Roman"/>
          <w:lang w:val="lt-LT"/>
        </w:rPr>
        <w:t xml:space="preserve"> 8, D-90429 </w:t>
      </w:r>
      <w:proofErr w:type="spellStart"/>
      <w:r w:rsidRPr="00660C98">
        <w:rPr>
          <w:rFonts w:ascii="Times New Roman" w:eastAsia="Times New Roman" w:hAnsi="Times New Roman"/>
          <w:lang w:val="lt-LT"/>
        </w:rPr>
        <w:t>Nürnberg</w:t>
      </w:r>
      <w:proofErr w:type="spellEnd"/>
      <w:r w:rsidRPr="00660C98">
        <w:rPr>
          <w:rFonts w:ascii="Times New Roman" w:eastAsia="Times New Roman" w:hAnsi="Times New Roman"/>
          <w:lang w:val="lt-LT"/>
        </w:rPr>
        <w:t>, Vokietija</w:t>
      </w:r>
    </w:p>
    <w:p w:rsidR="00660C98" w:rsidRPr="00660C98" w:rsidRDefault="00660C98" w:rsidP="00660C98">
      <w:pPr>
        <w:spacing w:after="0" w:line="240" w:lineRule="auto"/>
        <w:rPr>
          <w:rFonts w:ascii="Times New Roman" w:eastAsia="Times New Roman" w:hAnsi="Times New Roman"/>
          <w:highlight w:val="yellow"/>
          <w:lang w:val="lt-LT"/>
        </w:rPr>
      </w:pPr>
    </w:p>
    <w:p w:rsidR="00660C98" w:rsidRPr="00660C98" w:rsidRDefault="00660C98" w:rsidP="00660C98">
      <w:pPr>
        <w:spacing w:after="0" w:line="240" w:lineRule="auto"/>
        <w:rPr>
          <w:rFonts w:ascii="Times New Roman" w:eastAsia="Times New Roman" w:hAnsi="Times New Roman"/>
          <w:highlight w:val="yellow"/>
          <w:lang w:val="lt-LT"/>
        </w:rPr>
      </w:pPr>
    </w:p>
    <w:p w:rsidR="00660C98" w:rsidRPr="00660C98" w:rsidRDefault="00660C98" w:rsidP="00660C98">
      <w:pPr>
        <w:spacing w:after="0" w:line="240" w:lineRule="auto"/>
        <w:ind w:left="540" w:hanging="540"/>
        <w:jc w:val="both"/>
        <w:rPr>
          <w:rFonts w:ascii="Times New Roman" w:eastAsia="Times New Roman" w:hAnsi="Times New Roman"/>
          <w:lang w:val="lt-LT" w:eastAsia="lt-LT"/>
        </w:rPr>
      </w:pPr>
      <w:r w:rsidRPr="00660C98">
        <w:rPr>
          <w:rFonts w:ascii="Times New Roman" w:eastAsia="Times New Roman" w:hAnsi="Times New Roman"/>
          <w:b/>
          <w:lang w:val="lt-LT" w:eastAsia="lt-LT"/>
        </w:rPr>
        <w:t>B.</w:t>
      </w:r>
      <w:r w:rsidRPr="00660C98">
        <w:rPr>
          <w:rFonts w:ascii="Times New Roman" w:eastAsia="Times New Roman" w:hAnsi="Times New Roman"/>
          <w:b/>
          <w:lang w:val="lt-LT" w:eastAsia="lt-LT"/>
        </w:rPr>
        <w:tab/>
        <w:t xml:space="preserve">TIEKIMO IR VARTOJIMO SĄLYGOS AR APRIBOJIMAI </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numPr>
          <w:ilvl w:val="12"/>
          <w:numId w:val="0"/>
        </w:numPr>
        <w:spacing w:after="0" w:line="240" w:lineRule="auto"/>
        <w:jc w:val="both"/>
        <w:rPr>
          <w:rFonts w:ascii="Times New Roman" w:eastAsia="Times New Roman" w:hAnsi="Times New Roman"/>
          <w:lang w:val="lt-LT"/>
        </w:rPr>
      </w:pPr>
      <w:r w:rsidRPr="00660C98">
        <w:rPr>
          <w:rFonts w:ascii="Times New Roman" w:eastAsia="Times New Roman" w:hAnsi="Times New Roman"/>
          <w:lang w:val="lt-LT"/>
        </w:rPr>
        <w:t>Receptinis vaistinis preparatas.</w:t>
      </w:r>
    </w:p>
    <w:p w:rsidR="00660C98" w:rsidRPr="00660C98" w:rsidRDefault="00660C98" w:rsidP="00660C98">
      <w:pPr>
        <w:numPr>
          <w:ilvl w:val="12"/>
          <w:numId w:val="0"/>
        </w:numPr>
        <w:spacing w:after="0" w:line="240" w:lineRule="auto"/>
        <w:rPr>
          <w:rFonts w:ascii="Times New Roman" w:eastAsia="Times New Roman" w:hAnsi="Times New Roman"/>
          <w:highlight w:val="yellow"/>
          <w:lang w:val="lt-LT"/>
        </w:rPr>
      </w:pPr>
    </w:p>
    <w:p w:rsidR="00660C98" w:rsidRPr="00660C98" w:rsidRDefault="00660C98" w:rsidP="00660C98">
      <w:pPr>
        <w:numPr>
          <w:ilvl w:val="12"/>
          <w:numId w:val="0"/>
        </w:numPr>
        <w:spacing w:after="0" w:line="240" w:lineRule="auto"/>
        <w:rPr>
          <w:rFonts w:ascii="Times New Roman" w:eastAsia="Times New Roman" w:hAnsi="Times New Roman"/>
          <w:highlight w:val="yellow"/>
          <w:lang w:val="lt-LT"/>
        </w:rPr>
      </w:pPr>
    </w:p>
    <w:p w:rsidR="00660C98" w:rsidRPr="00660C98" w:rsidRDefault="00660C98" w:rsidP="00660C98">
      <w:pPr>
        <w:spacing w:after="0" w:line="240" w:lineRule="auto"/>
        <w:ind w:right="-1"/>
        <w:rPr>
          <w:rFonts w:ascii="Times New Roman" w:eastAsia="Times New Roman" w:hAnsi="Times New Roman"/>
          <w:b/>
          <w:lang w:val="lt-LT"/>
        </w:rPr>
      </w:pPr>
      <w:r w:rsidRPr="00660C98">
        <w:rPr>
          <w:rFonts w:ascii="Times New Roman" w:eastAsia="Times New Roman" w:hAnsi="Times New Roman"/>
          <w:highlight w:val="yellow"/>
          <w:lang w:val="lt-LT"/>
        </w:rPr>
        <w:br w:type="page"/>
      </w: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r w:rsidRPr="00660C98">
        <w:rPr>
          <w:rFonts w:ascii="Times New Roman" w:eastAsia="Times New Roman" w:hAnsi="Times New Roman"/>
          <w:b/>
          <w:lang w:val="lt-LT"/>
        </w:rPr>
        <w:t>III PRIEDAS</w:t>
      </w: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r w:rsidRPr="00660C98">
        <w:rPr>
          <w:rFonts w:ascii="Times New Roman" w:eastAsia="Times New Roman" w:hAnsi="Times New Roman"/>
          <w:b/>
          <w:lang w:val="lt-LT"/>
        </w:rPr>
        <w:t>ŽENKLINIMAS IR PAKUOTĖS LAPELIS</w:t>
      </w: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r w:rsidRPr="00660C98">
        <w:rPr>
          <w:rFonts w:ascii="Times New Roman" w:eastAsia="Times New Roman" w:hAnsi="Times New Roman"/>
          <w:lang w:val="lt-LT"/>
        </w:rPr>
        <w:br w:type="page"/>
      </w: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p>
    <w:p w:rsidR="00660C98" w:rsidRPr="00660C98" w:rsidRDefault="00660C98" w:rsidP="00660C98">
      <w:pPr>
        <w:spacing w:after="0" w:line="240" w:lineRule="auto"/>
        <w:ind w:firstLine="720"/>
        <w:jc w:val="center"/>
        <w:rPr>
          <w:rFonts w:ascii="Times New Roman" w:eastAsia="Times New Roman" w:hAnsi="Times New Roman"/>
          <w:b/>
          <w:lang w:val="lt-LT"/>
        </w:rPr>
      </w:pPr>
      <w:r w:rsidRPr="00660C98">
        <w:rPr>
          <w:rFonts w:ascii="Times New Roman" w:eastAsia="Times New Roman" w:hAnsi="Times New Roman"/>
          <w:b/>
          <w:lang w:val="lt-LT"/>
        </w:rPr>
        <w:t>A. ŽENKLINIMAS</w:t>
      </w:r>
    </w:p>
    <w:p w:rsidR="00660C98" w:rsidRPr="00660C98" w:rsidRDefault="00660C98" w:rsidP="00660C98">
      <w:pPr>
        <w:spacing w:after="0" w:line="240" w:lineRule="auto"/>
        <w:ind w:firstLine="720"/>
        <w:rPr>
          <w:rFonts w:ascii="Times New Roman" w:eastAsia="Times New Roman" w:hAnsi="Times New Roman"/>
          <w:lang w:val="lt-LT"/>
        </w:rPr>
      </w:pPr>
      <w:r w:rsidRPr="00660C98">
        <w:rPr>
          <w:rFonts w:ascii="Times New Roman" w:eastAsia="Times New Roman" w:hAnsi="Times New Roman"/>
          <w:lang w:val="lt-LT"/>
        </w:rPr>
        <w:br w:type="page"/>
      </w: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660C98">
        <w:rPr>
          <w:rFonts w:ascii="Times New Roman" w:eastAsia="Times New Roman" w:hAnsi="Times New Roman"/>
          <w:b/>
          <w:caps/>
          <w:lang w:val="lt-LT"/>
        </w:rPr>
        <w:t xml:space="preserve">Informacija ant </w:t>
      </w:r>
      <w:r w:rsidRPr="00660C98">
        <w:rPr>
          <w:rFonts w:ascii="Times New Roman" w:eastAsia="Times New Roman" w:hAnsi="Times New Roman"/>
          <w:b/>
          <w:lang w:val="lt-LT"/>
        </w:rPr>
        <w:t>IŠORINĖS</w:t>
      </w:r>
      <w:r w:rsidRPr="00660C98">
        <w:rPr>
          <w:rFonts w:ascii="Times New Roman" w:eastAsia="Times New Roman" w:hAnsi="Times New Roman"/>
          <w:lang w:val="lt-LT"/>
        </w:rPr>
        <w:t xml:space="preserve"> </w:t>
      </w:r>
      <w:r w:rsidRPr="00660C98">
        <w:rPr>
          <w:rFonts w:ascii="Times New Roman" w:eastAsia="Times New Roman" w:hAnsi="Times New Roman"/>
          <w:b/>
          <w:caps/>
          <w:lang w:val="lt-LT"/>
        </w:rPr>
        <w:t xml:space="preserve">pakuotės </w:t>
      </w: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660C98">
        <w:rPr>
          <w:rFonts w:ascii="Times New Roman" w:eastAsia="Times New Roman" w:hAnsi="Times New Roman"/>
          <w:b/>
          <w:caps/>
          <w:lang w:val="lt-LT"/>
        </w:rPr>
        <w:t>kartoninė dėžutė</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w:t>
      </w:r>
      <w:r w:rsidRPr="00660C98">
        <w:rPr>
          <w:rFonts w:ascii="Times New Roman" w:eastAsia="Times New Roman" w:hAnsi="Times New Roman"/>
          <w:b/>
          <w:caps/>
          <w:lang w:val="lt-LT"/>
        </w:rPr>
        <w:tab/>
        <w:t>vaistinio preparato pavadinimas</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50 mg dengtos tabletės</w:t>
      </w:r>
    </w:p>
    <w:p w:rsidR="00660C98" w:rsidRPr="00660C98" w:rsidRDefault="00660C98" w:rsidP="00660C98">
      <w:pPr>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Diclofenacum</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kalicum</w:t>
      </w:r>
      <w:proofErr w:type="spellEnd"/>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2.</w:t>
      </w:r>
      <w:r w:rsidRPr="00660C98">
        <w:rPr>
          <w:rFonts w:ascii="Times New Roman" w:eastAsia="Times New Roman" w:hAnsi="Times New Roman"/>
          <w:b/>
          <w:caps/>
          <w:lang w:val="lt-LT"/>
        </w:rPr>
        <w:tab/>
        <w:t>veikliOJI (-IOS) medžiagA (-OS) ir JOS (-Ų) kiekis (-IAI)</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Kiekvienoje dengtoje tabletėje yra 50 mg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kalio druskos.</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3.</w:t>
      </w:r>
      <w:r w:rsidRPr="00660C98">
        <w:rPr>
          <w:rFonts w:ascii="Times New Roman" w:eastAsia="Times New Roman" w:hAnsi="Times New Roman"/>
          <w:b/>
          <w:caps/>
          <w:lang w:val="lt-LT"/>
        </w:rPr>
        <w:tab/>
        <w:t>pagalbinių medžiagų sąrašas</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Sudėtyje yra sacharozės.</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4.</w:t>
      </w:r>
      <w:r w:rsidRPr="00660C98">
        <w:rPr>
          <w:rFonts w:ascii="Times New Roman" w:eastAsia="Times New Roman" w:hAnsi="Times New Roman"/>
          <w:b/>
          <w:caps/>
          <w:lang w:val="lt-LT"/>
        </w:rPr>
        <w:tab/>
        <w:t>FARMACINĖ forma ir KIEKIS PAKUOTĖJE</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20</w:t>
      </w:r>
      <w:r w:rsidR="00D97EAF">
        <w:rPr>
          <w:rFonts w:ascii="Times New Roman" w:eastAsia="Times New Roman" w:hAnsi="Times New Roman"/>
          <w:lang w:val="lt-LT"/>
        </w:rPr>
        <w:t> </w:t>
      </w:r>
      <w:r w:rsidRPr="00660C98">
        <w:rPr>
          <w:rFonts w:ascii="Times New Roman" w:eastAsia="Times New Roman" w:hAnsi="Times New Roman"/>
          <w:lang w:val="lt-LT"/>
        </w:rPr>
        <w:t xml:space="preserve">dengtų tablečių. </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5.</w:t>
      </w:r>
      <w:r w:rsidRPr="00660C98">
        <w:rPr>
          <w:rFonts w:ascii="Times New Roman" w:eastAsia="Times New Roman" w:hAnsi="Times New Roman"/>
          <w:b/>
          <w:caps/>
          <w:lang w:val="lt-LT"/>
        </w:rPr>
        <w:tab/>
        <w:t>vartojimo METODAS IR būdas (-AI)</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Vartoti per burną.</w:t>
      </w: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Prieš vartojimą atidžiai perskaitykite pakuotės lapelį.</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lang w:val="lt-LT"/>
        </w:rPr>
      </w:pPr>
      <w:r w:rsidRPr="00660C98">
        <w:rPr>
          <w:rFonts w:ascii="Times New Roman" w:eastAsia="Times New Roman" w:hAnsi="Times New Roman"/>
          <w:b/>
          <w:caps/>
          <w:lang w:val="lt-LT"/>
        </w:rPr>
        <w:t>6.</w:t>
      </w:r>
      <w:r w:rsidRPr="00660C98">
        <w:rPr>
          <w:rFonts w:ascii="Times New Roman" w:eastAsia="Times New Roman" w:hAnsi="Times New Roman"/>
          <w:b/>
          <w:caps/>
          <w:lang w:val="lt-LT"/>
        </w:rPr>
        <w:tab/>
        <w:t>SPECIALUS Įspėjimas</w:t>
      </w:r>
      <w:r w:rsidRPr="00660C98">
        <w:rPr>
          <w:rFonts w:ascii="Times New Roman" w:eastAsia="Times New Roman" w:hAnsi="Times New Roman"/>
          <w:lang w:val="lt-LT"/>
        </w:rPr>
        <w:t xml:space="preserve">, </w:t>
      </w:r>
      <w:r w:rsidRPr="00660C98">
        <w:rPr>
          <w:rFonts w:ascii="Times New Roman" w:eastAsia="Times New Roman" w:hAnsi="Times New Roman"/>
          <w:b/>
          <w:lang w:val="lt-LT"/>
        </w:rPr>
        <w:t xml:space="preserve">KAD VAISTINĮ PREPARATĄ BŪTINA LAIKYTI </w:t>
      </w:r>
      <w:r w:rsidRPr="00660C98">
        <w:rPr>
          <w:rFonts w:ascii="Times New Roman" w:eastAsia="Times New Roman" w:hAnsi="Times New Roman"/>
          <w:b/>
          <w:caps/>
          <w:lang w:val="lt-LT"/>
        </w:rPr>
        <w:t>vaikams nepastebimoje ir nepasiekiamoje vietoje</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outlineLvl w:val="0"/>
        <w:rPr>
          <w:rFonts w:ascii="Times New Roman" w:eastAsia="Times New Roman" w:hAnsi="Times New Roman"/>
          <w:lang w:val="lt-LT"/>
        </w:rPr>
      </w:pPr>
      <w:r w:rsidRPr="00660C98">
        <w:rPr>
          <w:rFonts w:ascii="Times New Roman" w:eastAsia="Times New Roman" w:hAnsi="Times New Roman"/>
          <w:lang w:val="lt-LT"/>
        </w:rPr>
        <w:t>Laikyti vaikams nepastebimoje ir nepasiekiamoje vietoje.</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7.</w:t>
      </w:r>
      <w:r w:rsidRPr="00660C98">
        <w:rPr>
          <w:rFonts w:ascii="Times New Roman" w:eastAsia="Times New Roman" w:hAnsi="Times New Roman"/>
          <w:b/>
          <w:caps/>
          <w:lang w:val="lt-LT"/>
        </w:rPr>
        <w:tab/>
        <w:t>kitas (-I) specialus (-ŪS) Įspėjimas (-AI) (jei reikia)</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8.</w:t>
      </w:r>
      <w:r w:rsidRPr="00660C98">
        <w:rPr>
          <w:rFonts w:ascii="Times New Roman" w:eastAsia="Times New Roman" w:hAnsi="Times New Roman"/>
          <w:b/>
          <w:caps/>
          <w:lang w:val="lt-LT"/>
        </w:rPr>
        <w:tab/>
        <w:t>tinkamumo laikas</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outlineLvl w:val="0"/>
        <w:rPr>
          <w:rFonts w:ascii="Times New Roman" w:eastAsia="Times New Roman" w:hAnsi="Times New Roman"/>
          <w:lang w:val="lt-LT"/>
        </w:rPr>
      </w:pPr>
      <w:r w:rsidRPr="00660C98">
        <w:rPr>
          <w:rFonts w:ascii="Times New Roman" w:eastAsia="Times New Roman" w:hAnsi="Times New Roman"/>
          <w:lang w:val="lt-LT"/>
        </w:rPr>
        <w:t>Tinka iki {mm MMMM}</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9.</w:t>
      </w:r>
      <w:r w:rsidRPr="00660C98">
        <w:rPr>
          <w:rFonts w:ascii="Times New Roman" w:eastAsia="Times New Roman" w:hAnsi="Times New Roman"/>
          <w:b/>
          <w:caps/>
          <w:lang w:val="lt-LT"/>
        </w:rPr>
        <w:tab/>
        <w:t>SPECIALIOS laikymo sąlygos</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Laikyti ne aukštesnėje kaip 30</w:t>
      </w:r>
      <w:r w:rsidR="00777238">
        <w:rPr>
          <w:rFonts w:ascii="Times New Roman" w:eastAsia="Times New Roman" w:hAnsi="Times New Roman"/>
          <w:lang w:val="lt-LT"/>
        </w:rPr>
        <w:t> </w:t>
      </w:r>
      <w:r w:rsidRPr="00660C98">
        <w:rPr>
          <w:rFonts w:ascii="Times New Roman" w:eastAsia="Times New Roman" w:hAnsi="Times New Roman"/>
          <w:lang w:val="lt-LT"/>
        </w:rPr>
        <w:t>ºC temperatūroje.</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Laikyti gamintojo pakuotėje, kad preparatas būtų apsaugotas nuo drėgmės.</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10.</w:t>
      </w:r>
      <w:r w:rsidRPr="00660C98">
        <w:rPr>
          <w:rFonts w:ascii="Times New Roman" w:eastAsia="Times New Roman" w:hAnsi="Times New Roman"/>
          <w:b/>
          <w:caps/>
          <w:lang w:val="lt-LT"/>
        </w:rPr>
        <w:tab/>
        <w:t>specialios atsargumo priemonės</w:t>
      </w:r>
      <w:r w:rsidRPr="00660C98">
        <w:rPr>
          <w:rFonts w:ascii="Times New Roman" w:eastAsia="Times New Roman" w:hAnsi="Times New Roman"/>
          <w:b/>
          <w:lang w:val="lt-LT"/>
        </w:rPr>
        <w:t xml:space="preserve"> DĖL NESUVARTOTO</w:t>
      </w:r>
      <w:r w:rsidRPr="00660C98">
        <w:rPr>
          <w:rFonts w:ascii="Times New Roman" w:eastAsia="Times New Roman" w:hAnsi="Times New Roman"/>
          <w:b/>
          <w:caps/>
          <w:lang w:val="lt-LT"/>
        </w:rPr>
        <w:t xml:space="preserve"> VAISTINIO PREPARATO AR JO ATLIEKŲ</w:t>
      </w:r>
      <w:r w:rsidRPr="00660C98">
        <w:rPr>
          <w:rFonts w:ascii="Times New Roman" w:eastAsia="Times New Roman" w:hAnsi="Times New Roman"/>
          <w:caps/>
          <w:lang w:val="lt-LT"/>
        </w:rPr>
        <w:t xml:space="preserve"> </w:t>
      </w:r>
      <w:r w:rsidRPr="00660C98">
        <w:rPr>
          <w:rFonts w:ascii="Times New Roman" w:eastAsia="Times New Roman" w:hAnsi="Times New Roman"/>
          <w:b/>
          <w:bCs/>
          <w:caps/>
          <w:lang w:val="lt-LT"/>
        </w:rPr>
        <w:t>TVARKYMO</w:t>
      </w:r>
      <w:r w:rsidRPr="00660C98">
        <w:rPr>
          <w:rFonts w:ascii="Times New Roman" w:eastAsia="Times New Roman" w:hAnsi="Times New Roman"/>
          <w:caps/>
          <w:lang w:val="lt-LT"/>
        </w:rPr>
        <w:t xml:space="preserve"> </w:t>
      </w:r>
      <w:r w:rsidRPr="00660C98">
        <w:rPr>
          <w:rFonts w:ascii="Times New Roman" w:eastAsia="Times New Roman" w:hAnsi="Times New Roman"/>
          <w:b/>
          <w:caps/>
          <w:lang w:val="lt-LT"/>
        </w:rPr>
        <w:t>(jei reikia)</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11.</w:t>
      </w:r>
      <w:r w:rsidRPr="00660C98">
        <w:rPr>
          <w:rFonts w:ascii="Times New Roman" w:eastAsia="Times New Roman" w:hAnsi="Times New Roman"/>
          <w:b/>
          <w:caps/>
          <w:lang w:val="lt-LT"/>
        </w:rPr>
        <w:tab/>
        <w:t>RINKODAROS TEISĖS turėtojo pavadinimas ir adresas</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tabs>
          <w:tab w:val="center" w:pos="4153"/>
          <w:tab w:val="right" w:pos="8306"/>
        </w:tabs>
        <w:spacing w:after="0" w:line="240" w:lineRule="auto"/>
        <w:rPr>
          <w:rFonts w:ascii="Times New Roman" w:eastAsia="Times New Roman" w:hAnsi="Times New Roman"/>
          <w:lang w:val="pt-BR" w:eastAsia="lt-LT"/>
        </w:rPr>
      </w:pPr>
      <w:r w:rsidRPr="00660C98">
        <w:rPr>
          <w:rFonts w:ascii="Times New Roman" w:eastAsia="Times New Roman" w:hAnsi="Times New Roman"/>
          <w:lang w:val="pt-BR" w:eastAsia="lt-LT"/>
        </w:rPr>
        <w:t>Novartis Finland Oy</w:t>
      </w:r>
    </w:p>
    <w:p w:rsidR="00660C98" w:rsidRPr="00660C98" w:rsidRDefault="00660C98" w:rsidP="00660C98">
      <w:pPr>
        <w:spacing w:after="0" w:line="240" w:lineRule="auto"/>
        <w:jc w:val="both"/>
        <w:rPr>
          <w:rFonts w:ascii="Times New Roman" w:eastAsia="Times New Roman" w:hAnsi="Times New Roman"/>
          <w:lang w:val="pt-BR" w:eastAsia="lt-LT"/>
        </w:rPr>
      </w:pPr>
      <w:r w:rsidRPr="00660C98">
        <w:rPr>
          <w:rFonts w:ascii="Times New Roman" w:eastAsia="Times New Roman" w:hAnsi="Times New Roman"/>
          <w:lang w:val="pt-BR" w:eastAsia="lt-LT"/>
        </w:rPr>
        <w:t>Metsänneidonkuja 10, 02130 Espoo, Suomija</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12.</w:t>
      </w:r>
      <w:r w:rsidRPr="00660C98">
        <w:rPr>
          <w:rFonts w:ascii="Times New Roman" w:eastAsia="Times New Roman" w:hAnsi="Times New Roman"/>
          <w:b/>
          <w:caps/>
          <w:lang w:val="lt-LT"/>
        </w:rPr>
        <w:tab/>
        <w:t>RINKODAROS TEISĖS numeris (-IAI)</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LT/1/94/0948/002</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13.</w:t>
      </w:r>
      <w:r w:rsidRPr="00660C98">
        <w:rPr>
          <w:rFonts w:ascii="Times New Roman" w:eastAsia="Times New Roman" w:hAnsi="Times New Roman"/>
          <w:b/>
          <w:caps/>
          <w:lang w:val="lt-LT"/>
        </w:rPr>
        <w:tab/>
        <w:t>serijos numeris</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Serija {numeris}</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14.</w:t>
      </w:r>
      <w:r w:rsidRPr="00660C98">
        <w:rPr>
          <w:rFonts w:ascii="Times New Roman" w:eastAsia="Times New Roman" w:hAnsi="Times New Roman"/>
          <w:b/>
          <w:caps/>
          <w:lang w:val="lt-LT"/>
        </w:rPr>
        <w:tab/>
        <w:t>PARDAVIMO (IŠDAVIMO) tvarka</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Receptinis vaistinis preparatas.</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15.</w:t>
      </w:r>
      <w:r w:rsidRPr="00660C98">
        <w:rPr>
          <w:rFonts w:ascii="Times New Roman" w:eastAsia="Times New Roman" w:hAnsi="Times New Roman"/>
          <w:b/>
          <w:caps/>
          <w:lang w:val="lt-LT"/>
        </w:rPr>
        <w:tab/>
        <w:t>vartojimo instrukcijA</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16.</w:t>
      </w:r>
      <w:r w:rsidRPr="00660C98">
        <w:rPr>
          <w:rFonts w:ascii="Times New Roman" w:eastAsia="Times New Roman" w:hAnsi="Times New Roman"/>
          <w:b/>
          <w:caps/>
          <w:lang w:val="lt-LT"/>
        </w:rPr>
        <w:tab/>
        <w:t>INFORMACIJA BRAILIO RAŠTU</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b/>
          <w:lang w:val="lt-LT"/>
        </w:rPr>
      </w:pPr>
      <w:r w:rsidRPr="00660C98">
        <w:rPr>
          <w:rFonts w:ascii="Times New Roman" w:eastAsia="Times New Roman" w:hAnsi="Times New Roman"/>
          <w:lang w:val="lt-LT"/>
        </w:rPr>
        <w:br w:type="page"/>
      </w: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660C98">
        <w:rPr>
          <w:rFonts w:ascii="Times New Roman" w:eastAsia="Times New Roman" w:hAnsi="Times New Roman"/>
          <w:b/>
          <w:caps/>
          <w:lang w:val="lt-LT"/>
        </w:rPr>
        <w:t>MINIMALI Informacija ant lizdiniŲ plokštelių</w:t>
      </w: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660C98">
        <w:rPr>
          <w:rFonts w:ascii="Times New Roman" w:eastAsia="Times New Roman" w:hAnsi="Times New Roman"/>
          <w:b/>
          <w:lang w:val="lt-LT"/>
        </w:rPr>
        <w:t>LIZDINĖ PLOKŠTELĖ</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1.</w:t>
      </w:r>
      <w:r w:rsidRPr="00660C98">
        <w:rPr>
          <w:rFonts w:ascii="Times New Roman" w:eastAsia="Times New Roman" w:hAnsi="Times New Roman"/>
          <w:b/>
          <w:caps/>
          <w:lang w:val="lt-LT"/>
        </w:rPr>
        <w:tab/>
        <w:t xml:space="preserve">vaistinio preparato pavadinimas </w:t>
      </w:r>
    </w:p>
    <w:p w:rsidR="00660C98" w:rsidRPr="00660C98" w:rsidRDefault="00660C98" w:rsidP="00660C98">
      <w:pPr>
        <w:spacing w:after="0" w:line="240" w:lineRule="auto"/>
        <w:ind w:left="567" w:hanging="567"/>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50 mg dengtos tabletės</w:t>
      </w:r>
    </w:p>
    <w:p w:rsidR="00660C98" w:rsidRPr="00660C98" w:rsidRDefault="00660C98" w:rsidP="00660C98">
      <w:pPr>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Diclofenacum</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kalicum</w:t>
      </w:r>
      <w:proofErr w:type="spellEnd"/>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2.</w:t>
      </w:r>
      <w:r w:rsidRPr="00660C98">
        <w:rPr>
          <w:rFonts w:ascii="Times New Roman" w:eastAsia="Times New Roman" w:hAnsi="Times New Roman"/>
          <w:b/>
          <w:caps/>
          <w:lang w:val="lt-LT"/>
        </w:rPr>
        <w:tab/>
        <w:t xml:space="preserve">RINKODAROS TEISĖS turėtojo pavadinimas </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Novartis </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3.</w:t>
      </w:r>
      <w:r w:rsidRPr="00660C98">
        <w:rPr>
          <w:rFonts w:ascii="Times New Roman" w:eastAsia="Times New Roman" w:hAnsi="Times New Roman"/>
          <w:b/>
          <w:caps/>
          <w:lang w:val="lt-LT"/>
        </w:rPr>
        <w:tab/>
        <w:t>Tinkamumo laikas</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outlineLvl w:val="0"/>
        <w:rPr>
          <w:rFonts w:ascii="Times New Roman" w:eastAsia="Times New Roman" w:hAnsi="Times New Roman"/>
          <w:lang w:val="lt-LT"/>
        </w:rPr>
      </w:pPr>
      <w:r w:rsidRPr="00660C98">
        <w:rPr>
          <w:rFonts w:ascii="Times New Roman" w:eastAsia="Times New Roman" w:hAnsi="Times New Roman"/>
          <w:lang w:val="lt-LT"/>
        </w:rPr>
        <w:t>EXP {mm MMMM}</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4.</w:t>
      </w:r>
      <w:r w:rsidRPr="00660C98">
        <w:rPr>
          <w:rFonts w:ascii="Times New Roman" w:eastAsia="Times New Roman" w:hAnsi="Times New Roman"/>
          <w:b/>
          <w:caps/>
          <w:lang w:val="lt-LT"/>
        </w:rPr>
        <w:tab/>
        <w:t>SERIJOS NUMERIS</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Lot {numeris}</w:t>
      </w:r>
    </w:p>
    <w:p w:rsidR="00660C98" w:rsidRPr="00660C98" w:rsidRDefault="00660C98" w:rsidP="00660C98">
      <w:pPr>
        <w:spacing w:after="0" w:line="240" w:lineRule="auto"/>
        <w:ind w:left="567" w:hanging="567"/>
        <w:rPr>
          <w:rFonts w:ascii="Times New Roman" w:eastAsia="Times New Roman" w:hAnsi="Times New Roman"/>
          <w:caps/>
          <w:lang w:val="lt-LT"/>
        </w:rPr>
      </w:pPr>
    </w:p>
    <w:p w:rsidR="00660C98" w:rsidRPr="00660C98" w:rsidRDefault="00660C98" w:rsidP="00660C98">
      <w:pPr>
        <w:spacing w:after="0" w:line="240" w:lineRule="auto"/>
        <w:ind w:firstLine="720"/>
        <w:rPr>
          <w:rFonts w:ascii="Times New Roman" w:eastAsia="Times New Roman" w:hAnsi="Times New Roman"/>
          <w:lang w:val="lt-LT"/>
        </w:rPr>
      </w:pPr>
    </w:p>
    <w:p w:rsidR="00660C98" w:rsidRPr="00660C98" w:rsidRDefault="00660C98" w:rsidP="00660C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rPr>
      </w:pPr>
      <w:r w:rsidRPr="00660C98">
        <w:rPr>
          <w:rFonts w:ascii="Times New Roman" w:eastAsia="Times New Roman" w:hAnsi="Times New Roman"/>
          <w:b/>
          <w:caps/>
          <w:lang w:val="lt-LT"/>
        </w:rPr>
        <w:t>5.</w:t>
      </w:r>
      <w:r w:rsidRPr="00660C98">
        <w:rPr>
          <w:rFonts w:ascii="Times New Roman" w:eastAsia="Times New Roman" w:hAnsi="Times New Roman"/>
          <w:b/>
          <w:caps/>
          <w:lang w:val="lt-LT"/>
        </w:rPr>
        <w:tab/>
        <w:t>KITA</w:t>
      </w:r>
    </w:p>
    <w:p w:rsidR="00660C98" w:rsidRPr="00660C98" w:rsidRDefault="00660C98" w:rsidP="00660C98">
      <w:pPr>
        <w:tabs>
          <w:tab w:val="left" w:pos="567"/>
        </w:tabs>
        <w:spacing w:after="0" w:line="240" w:lineRule="auto"/>
        <w:jc w:val="both"/>
        <w:rPr>
          <w:rFonts w:ascii="Times New Roman" w:eastAsia="Times New Roman" w:hAnsi="Times New Roman"/>
          <w:lang w:val="lt-LT"/>
        </w:rPr>
      </w:pPr>
    </w:p>
    <w:p w:rsidR="00660C98" w:rsidRPr="00660C98" w:rsidRDefault="00660C98" w:rsidP="00660C98">
      <w:pPr>
        <w:tabs>
          <w:tab w:val="left" w:pos="567"/>
        </w:tabs>
        <w:spacing w:after="0" w:line="240" w:lineRule="auto"/>
        <w:jc w:val="both"/>
        <w:rPr>
          <w:rFonts w:ascii="Times New Roman" w:eastAsia="Times New Roman" w:hAnsi="Times New Roman"/>
          <w:b/>
          <w:lang w:val="lt-LT"/>
        </w:rPr>
      </w:pPr>
      <w:r w:rsidRPr="00660C98">
        <w:rPr>
          <w:rFonts w:ascii="Times New Roman" w:eastAsia="Times New Roman" w:hAnsi="Times New Roman"/>
          <w:lang w:val="lt-LT"/>
        </w:rPr>
        <w:br w:type="page"/>
      </w: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center"/>
        <w:rPr>
          <w:rFonts w:ascii="Times New Roman" w:eastAsia="Times New Roman" w:hAnsi="Times New Roman"/>
          <w:b/>
          <w:lang w:val="lt-LT"/>
        </w:rPr>
      </w:pPr>
      <w:r w:rsidRPr="00660C98">
        <w:rPr>
          <w:rFonts w:ascii="Times New Roman" w:eastAsia="Times New Roman" w:hAnsi="Times New Roman"/>
          <w:b/>
          <w:lang w:val="lt-LT"/>
        </w:rPr>
        <w:t>B. PAKUOTĖS LAPELIS</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ind w:left="4536" w:firstLine="1"/>
        <w:rPr>
          <w:rFonts w:ascii="Times New Roman" w:eastAsia="Times New Roman" w:hAnsi="Times New Roman"/>
          <w:b/>
          <w:lang w:val="lt-LT"/>
        </w:rPr>
      </w:pPr>
      <w:r w:rsidRPr="00660C98">
        <w:rPr>
          <w:rFonts w:ascii="Times New Roman" w:eastAsia="Times New Roman" w:hAnsi="Times New Roman"/>
          <w:lang w:val="lt-LT"/>
        </w:rPr>
        <w:br w:type="page"/>
      </w:r>
    </w:p>
    <w:p w:rsidR="00660C98" w:rsidRPr="00660C98" w:rsidRDefault="00660C98" w:rsidP="00660C98">
      <w:pPr>
        <w:tabs>
          <w:tab w:val="left" w:pos="567"/>
        </w:tabs>
        <w:spacing w:after="0" w:line="240" w:lineRule="auto"/>
        <w:jc w:val="center"/>
        <w:rPr>
          <w:rFonts w:ascii="Times New Roman" w:eastAsia="Times New Roman" w:hAnsi="Times New Roman"/>
          <w:b/>
          <w:lang w:val="lt-LT"/>
        </w:rPr>
      </w:pPr>
      <w:r w:rsidRPr="00660C98">
        <w:rPr>
          <w:rFonts w:ascii="Times New Roman" w:eastAsia="Times New Roman" w:hAnsi="Times New Roman"/>
          <w:b/>
          <w:lang w:val="lt-LT"/>
        </w:rPr>
        <w:t>Pakuotės lapelis: informacija vartotojui</w:t>
      </w:r>
    </w:p>
    <w:p w:rsidR="00660C98" w:rsidRPr="00660C98" w:rsidRDefault="00660C98" w:rsidP="00660C98">
      <w:pPr>
        <w:tabs>
          <w:tab w:val="left" w:pos="567"/>
        </w:tabs>
        <w:spacing w:after="0" w:line="240" w:lineRule="auto"/>
        <w:jc w:val="center"/>
        <w:rPr>
          <w:rFonts w:ascii="Times New Roman" w:eastAsia="Times New Roman" w:hAnsi="Times New Roman"/>
          <w:b/>
          <w:lang w:val="lt-LT"/>
        </w:rPr>
      </w:pPr>
    </w:p>
    <w:p w:rsidR="00660C98" w:rsidRPr="00660C98" w:rsidRDefault="00660C98" w:rsidP="00660C98">
      <w:pPr>
        <w:tabs>
          <w:tab w:val="left" w:pos="567"/>
        </w:tabs>
        <w:spacing w:after="0" w:line="240" w:lineRule="auto"/>
        <w:jc w:val="center"/>
        <w:rPr>
          <w:rFonts w:ascii="Times New Roman" w:eastAsia="Times New Roman" w:hAnsi="Times New Roman"/>
          <w:b/>
          <w:lang w:val="lt-LT"/>
        </w:rPr>
      </w:pPr>
      <w:proofErr w:type="spellStart"/>
      <w:r w:rsidRPr="00660C98">
        <w:rPr>
          <w:rFonts w:ascii="Times New Roman" w:eastAsia="Times New Roman" w:hAnsi="Times New Roman"/>
          <w:b/>
          <w:lang w:val="lt-LT"/>
        </w:rPr>
        <w:t>Cataflam</w:t>
      </w:r>
      <w:proofErr w:type="spellEnd"/>
      <w:r w:rsidRPr="00660C98">
        <w:rPr>
          <w:rFonts w:ascii="Times New Roman" w:eastAsia="Times New Roman" w:hAnsi="Times New Roman"/>
          <w:b/>
          <w:lang w:val="lt-LT"/>
        </w:rPr>
        <w:t xml:space="preserve"> 50 mg dengtos tabletės</w:t>
      </w:r>
    </w:p>
    <w:p w:rsidR="00660C98" w:rsidRPr="00660C98" w:rsidRDefault="00660C98" w:rsidP="00660C98">
      <w:pPr>
        <w:spacing w:after="0" w:line="240" w:lineRule="auto"/>
        <w:jc w:val="center"/>
        <w:rPr>
          <w:rFonts w:ascii="Times New Roman" w:eastAsia="Times New Roman" w:hAnsi="Times New Roman"/>
          <w:lang w:val="lt-LT"/>
        </w:rPr>
      </w:pP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kalio druska </w:t>
      </w:r>
      <w:r w:rsidRPr="00660C98">
        <w:rPr>
          <w:rFonts w:ascii="Times New Roman" w:eastAsia="Times New Roman" w:hAnsi="Times New Roman"/>
          <w:i/>
          <w:lang w:val="lt-LT"/>
        </w:rPr>
        <w:t>(</w:t>
      </w:r>
      <w:proofErr w:type="spellStart"/>
      <w:r w:rsidRPr="00660C98">
        <w:rPr>
          <w:rFonts w:ascii="Times New Roman" w:eastAsia="Times New Roman" w:hAnsi="Times New Roman"/>
          <w:i/>
          <w:lang w:val="lt-LT"/>
        </w:rPr>
        <w:t>Diclofenacum</w:t>
      </w:r>
      <w:proofErr w:type="spellEnd"/>
      <w:r w:rsidRPr="00660C98">
        <w:rPr>
          <w:rFonts w:ascii="Times New Roman" w:eastAsia="Times New Roman" w:hAnsi="Times New Roman"/>
          <w:i/>
          <w:lang w:val="lt-LT"/>
        </w:rPr>
        <w:t xml:space="preserve"> </w:t>
      </w:r>
      <w:proofErr w:type="spellStart"/>
      <w:r w:rsidRPr="00660C98">
        <w:rPr>
          <w:rFonts w:ascii="Times New Roman" w:eastAsia="Times New Roman" w:hAnsi="Times New Roman"/>
          <w:i/>
          <w:lang w:val="lt-LT"/>
        </w:rPr>
        <w:t>kalicum</w:t>
      </w:r>
      <w:proofErr w:type="spellEnd"/>
      <w:r w:rsidRPr="00660C98">
        <w:rPr>
          <w:rFonts w:ascii="Times New Roman" w:eastAsia="Times New Roman" w:hAnsi="Times New Roman"/>
          <w:i/>
          <w:lang w:val="lt-LT"/>
        </w:rPr>
        <w:t>)</w:t>
      </w:r>
    </w:p>
    <w:p w:rsidR="00660C98" w:rsidRPr="00660C98" w:rsidRDefault="00660C98" w:rsidP="00660C98">
      <w:pPr>
        <w:tabs>
          <w:tab w:val="left" w:pos="567"/>
        </w:tabs>
        <w:spacing w:after="0" w:line="240" w:lineRule="auto"/>
        <w:jc w:val="center"/>
        <w:rPr>
          <w:rFonts w:ascii="Times New Roman" w:eastAsia="Times New Roman" w:hAnsi="Times New Roman"/>
          <w:lang w:val="lt-LT"/>
        </w:rPr>
      </w:pPr>
    </w:p>
    <w:p w:rsidR="00660C98" w:rsidRPr="00660C98" w:rsidRDefault="00660C98" w:rsidP="00660C98">
      <w:pPr>
        <w:tabs>
          <w:tab w:val="left" w:pos="567"/>
        </w:tabs>
        <w:spacing w:after="0" w:line="240" w:lineRule="auto"/>
        <w:jc w:val="center"/>
        <w:rPr>
          <w:rFonts w:ascii="Times New Roman" w:eastAsia="Times New Roman" w:hAnsi="Times New Roman"/>
          <w:b/>
          <w:lang w:val="lt-LT"/>
        </w:rPr>
      </w:pPr>
    </w:p>
    <w:p w:rsidR="00660C98" w:rsidRPr="00660C98" w:rsidRDefault="00660C98" w:rsidP="00660C98">
      <w:pPr>
        <w:spacing w:after="0" w:line="240" w:lineRule="auto"/>
        <w:jc w:val="both"/>
        <w:rPr>
          <w:rFonts w:ascii="Times New Roman" w:eastAsia="Times New Roman" w:hAnsi="Times New Roman"/>
          <w:b/>
          <w:lang w:val="lt-LT" w:eastAsia="lt-LT"/>
        </w:rPr>
      </w:pPr>
      <w:r w:rsidRPr="00660C98">
        <w:rPr>
          <w:rFonts w:ascii="Times New Roman" w:eastAsia="Times New Roman" w:hAnsi="Times New Roman"/>
          <w:b/>
          <w:lang w:val="lt-LT" w:eastAsia="lt-LT"/>
        </w:rPr>
        <w:t>Atidžiai perskaitykite visą šį lapelį, prieš pradėdami vartoti vaistą, nes jame pateikiama Jums svarbi informacija.</w:t>
      </w:r>
    </w:p>
    <w:p w:rsidR="00660C98" w:rsidRPr="00660C98" w:rsidRDefault="00660C98" w:rsidP="00660C98">
      <w:pPr>
        <w:spacing w:after="0" w:line="240" w:lineRule="auto"/>
        <w:ind w:left="720" w:hanging="360"/>
        <w:jc w:val="both"/>
        <w:rPr>
          <w:rFonts w:ascii="Times New Roman" w:eastAsia="Times New Roman" w:hAnsi="Times New Roman"/>
          <w:lang w:val="lt-LT" w:eastAsia="lt-LT"/>
        </w:rPr>
      </w:pPr>
      <w:r w:rsidRPr="00660C98">
        <w:rPr>
          <w:rFonts w:ascii="Times New Roman" w:eastAsia="Times New Roman" w:hAnsi="Times New Roman"/>
          <w:lang w:val="lt-LT" w:eastAsia="lt-LT"/>
        </w:rPr>
        <w:t>-</w:t>
      </w:r>
      <w:r w:rsidRPr="00660C98">
        <w:rPr>
          <w:rFonts w:ascii="Times New Roman" w:eastAsia="Times New Roman" w:hAnsi="Times New Roman"/>
          <w:lang w:val="lt-LT" w:eastAsia="lt-LT"/>
        </w:rPr>
        <w:tab/>
        <w:t>Neišmeskite šio lapelio, nes vėl gali prireikti jį perskaityti.</w:t>
      </w:r>
    </w:p>
    <w:p w:rsidR="00660C98" w:rsidRPr="00660C98" w:rsidRDefault="00660C98" w:rsidP="00660C98">
      <w:pPr>
        <w:spacing w:after="0" w:line="240" w:lineRule="auto"/>
        <w:ind w:left="720" w:hanging="360"/>
        <w:rPr>
          <w:rFonts w:ascii="Times New Roman" w:eastAsia="Times New Roman" w:hAnsi="Times New Roman"/>
          <w:lang w:val="lt-LT" w:eastAsia="lt-LT"/>
        </w:rPr>
      </w:pPr>
      <w:r w:rsidRPr="00660C98">
        <w:rPr>
          <w:rFonts w:ascii="Times New Roman" w:eastAsia="Times New Roman" w:hAnsi="Times New Roman"/>
          <w:lang w:val="lt-LT" w:eastAsia="lt-LT"/>
        </w:rPr>
        <w:t>-</w:t>
      </w:r>
      <w:r w:rsidRPr="00660C98">
        <w:rPr>
          <w:rFonts w:ascii="Times New Roman" w:eastAsia="Times New Roman" w:hAnsi="Times New Roman"/>
          <w:lang w:val="lt-LT" w:eastAsia="lt-LT"/>
        </w:rPr>
        <w:tab/>
        <w:t>Jeigu kiltų daugiau klausimų, kreipkitės į gydytoją arba vaistininką.</w:t>
      </w:r>
    </w:p>
    <w:p w:rsidR="00660C98" w:rsidRPr="00660C98" w:rsidRDefault="00660C98" w:rsidP="00660C98">
      <w:pPr>
        <w:spacing w:after="0" w:line="240" w:lineRule="auto"/>
        <w:ind w:left="720" w:hanging="360"/>
        <w:rPr>
          <w:rFonts w:ascii="Times New Roman" w:eastAsia="Times New Roman" w:hAnsi="Times New Roman"/>
          <w:lang w:val="lt-LT" w:eastAsia="lt-LT"/>
        </w:rPr>
      </w:pPr>
      <w:r w:rsidRPr="00660C98">
        <w:rPr>
          <w:rFonts w:ascii="Times New Roman" w:eastAsia="Times New Roman" w:hAnsi="Times New Roman"/>
          <w:lang w:val="lt-LT" w:eastAsia="lt-LT"/>
        </w:rPr>
        <w:t>-</w:t>
      </w:r>
      <w:r w:rsidRPr="00660C98">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rsidR="00660C98" w:rsidRPr="00660C98" w:rsidRDefault="00660C98" w:rsidP="00660C98">
      <w:pPr>
        <w:spacing w:after="0" w:line="240" w:lineRule="auto"/>
        <w:ind w:left="720" w:hanging="360"/>
        <w:rPr>
          <w:rFonts w:ascii="Times New Roman" w:eastAsia="Times New Roman" w:hAnsi="Times New Roman"/>
          <w:lang w:val="lt-LT" w:eastAsia="lt-LT"/>
        </w:rPr>
      </w:pPr>
      <w:r w:rsidRPr="00660C98">
        <w:rPr>
          <w:rFonts w:ascii="Times New Roman" w:eastAsia="Times New Roman" w:hAnsi="Times New Roman"/>
          <w:lang w:val="lt-LT" w:eastAsia="lt-LT"/>
        </w:rPr>
        <w:t>-</w:t>
      </w:r>
      <w:r w:rsidRPr="00660C98">
        <w:rPr>
          <w:rFonts w:ascii="Times New Roman" w:eastAsia="Times New Roman" w:hAnsi="Times New Roman"/>
          <w:lang w:val="lt-LT" w:eastAsia="lt-LT"/>
        </w:rPr>
        <w:tab/>
        <w:t>Jeigu pasireiškė šalutinis poveikis (net jeigu jis šiame lapelyje nenurodytas), kreipkitės į gydytoją arba vaistininką. Žr. 4</w:t>
      </w:r>
      <w:r w:rsidRPr="00660C98">
        <w:rPr>
          <w:rFonts w:ascii="Times New Roman" w:eastAsia="Times New Roman" w:hAnsi="Times New Roman"/>
          <w:b/>
          <w:lang w:val="lt-LT" w:eastAsia="lt-LT"/>
        </w:rPr>
        <w:t> </w:t>
      </w:r>
      <w:r w:rsidRPr="00660C98">
        <w:rPr>
          <w:rFonts w:ascii="Times New Roman" w:eastAsia="Times New Roman" w:hAnsi="Times New Roman"/>
          <w:lang w:val="lt-LT" w:eastAsia="lt-LT"/>
        </w:rPr>
        <w:t>skyrių.</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Default="00660C98" w:rsidP="00660C98">
      <w:pPr>
        <w:keepNext/>
        <w:spacing w:before="240" w:after="60" w:line="240" w:lineRule="auto"/>
        <w:outlineLvl w:val="3"/>
        <w:rPr>
          <w:rFonts w:ascii="Times New Roman" w:eastAsia="Times New Roman" w:hAnsi="Times New Roman"/>
          <w:b/>
          <w:bCs/>
          <w:lang w:val="lt-LT" w:eastAsia="x-none"/>
        </w:rPr>
      </w:pPr>
      <w:r w:rsidRPr="00660C98">
        <w:rPr>
          <w:rFonts w:ascii="Times New Roman" w:eastAsia="Times New Roman" w:hAnsi="Times New Roman"/>
          <w:b/>
          <w:bCs/>
          <w:lang w:val="lt-LT" w:eastAsia="x-none"/>
        </w:rPr>
        <w:t>Apie ką rašoma šiame lapelyje?</w:t>
      </w:r>
    </w:p>
    <w:p w:rsidR="00C10856" w:rsidRPr="00660C98" w:rsidRDefault="00C10856" w:rsidP="00660C98">
      <w:pPr>
        <w:keepNext/>
        <w:spacing w:before="240" w:after="60" w:line="240" w:lineRule="auto"/>
        <w:outlineLvl w:val="3"/>
        <w:rPr>
          <w:rFonts w:ascii="Times New Roman" w:eastAsia="Times New Roman" w:hAnsi="Times New Roman"/>
          <w:b/>
          <w:bCs/>
          <w:lang w:val="lt-LT" w:eastAsia="x-none"/>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1.</w:t>
      </w:r>
      <w:r w:rsidRPr="00660C98">
        <w:rPr>
          <w:rFonts w:ascii="Times New Roman" w:eastAsia="Times New Roman" w:hAnsi="Times New Roman"/>
          <w:lang w:val="lt-LT"/>
        </w:rPr>
        <w:tab/>
        <w:t xml:space="preserve">Kas yra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ir kam jis vartojamas</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2.</w:t>
      </w:r>
      <w:r w:rsidRPr="00660C98">
        <w:rPr>
          <w:rFonts w:ascii="Times New Roman" w:eastAsia="Times New Roman" w:hAnsi="Times New Roman"/>
          <w:lang w:val="lt-LT"/>
        </w:rPr>
        <w:tab/>
        <w:t xml:space="preserve">Kas žinotina prieš vartojant </w:t>
      </w:r>
      <w:proofErr w:type="spellStart"/>
      <w:r w:rsidRPr="00660C98">
        <w:rPr>
          <w:rFonts w:ascii="Times New Roman" w:eastAsia="Times New Roman" w:hAnsi="Times New Roman"/>
          <w:lang w:val="lt-LT"/>
        </w:rPr>
        <w:t>Cataflam</w:t>
      </w:r>
      <w:proofErr w:type="spellEnd"/>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3.</w:t>
      </w:r>
      <w:r w:rsidRPr="00660C98">
        <w:rPr>
          <w:rFonts w:ascii="Times New Roman" w:eastAsia="Times New Roman" w:hAnsi="Times New Roman"/>
          <w:lang w:val="lt-LT"/>
        </w:rPr>
        <w:tab/>
        <w:t xml:space="preserve">Kaip vartoti </w:t>
      </w:r>
      <w:proofErr w:type="spellStart"/>
      <w:r w:rsidRPr="00660C98">
        <w:rPr>
          <w:rFonts w:ascii="Times New Roman" w:eastAsia="Times New Roman" w:hAnsi="Times New Roman"/>
          <w:lang w:val="lt-LT"/>
        </w:rPr>
        <w:t>Cataflam</w:t>
      </w:r>
      <w:proofErr w:type="spellEnd"/>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4.</w:t>
      </w:r>
      <w:r w:rsidRPr="00660C98">
        <w:rPr>
          <w:rFonts w:ascii="Times New Roman" w:eastAsia="Times New Roman" w:hAnsi="Times New Roman"/>
          <w:lang w:val="lt-LT"/>
        </w:rPr>
        <w:tab/>
        <w:t xml:space="preserve">Galimas šalutinis poveikis </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5.</w:t>
      </w:r>
      <w:r w:rsidRPr="00660C98">
        <w:rPr>
          <w:rFonts w:ascii="Times New Roman" w:eastAsia="Times New Roman" w:hAnsi="Times New Roman"/>
          <w:lang w:val="lt-LT"/>
        </w:rPr>
        <w:tab/>
        <w:t xml:space="preserve">Kaip laikyti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6.</w:t>
      </w:r>
      <w:r w:rsidRPr="00660C98">
        <w:rPr>
          <w:rFonts w:ascii="Times New Roman" w:eastAsia="Times New Roman" w:hAnsi="Times New Roman"/>
          <w:lang w:val="lt-LT"/>
        </w:rPr>
        <w:tab/>
        <w:t>Pakuotės turinys ir kita informacija</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1.</w:t>
      </w:r>
      <w:r w:rsidRPr="00660C98">
        <w:rPr>
          <w:rFonts w:ascii="Times New Roman" w:eastAsia="Times New Roman" w:hAnsi="Times New Roman"/>
          <w:b/>
          <w:lang w:val="lt-LT"/>
        </w:rPr>
        <w:tab/>
        <w:t xml:space="preserve">Kas yra </w:t>
      </w:r>
      <w:proofErr w:type="spellStart"/>
      <w:r w:rsidRPr="00660C98">
        <w:rPr>
          <w:rFonts w:ascii="Times New Roman" w:eastAsia="Times New Roman" w:hAnsi="Times New Roman"/>
          <w:b/>
          <w:lang w:val="lt-LT"/>
        </w:rPr>
        <w:t>Cataflam</w:t>
      </w:r>
      <w:proofErr w:type="spellEnd"/>
      <w:r w:rsidRPr="00660C98">
        <w:rPr>
          <w:rFonts w:ascii="Times New Roman" w:eastAsia="Times New Roman" w:hAnsi="Times New Roman"/>
          <w:b/>
          <w:lang w:val="lt-LT"/>
        </w:rPr>
        <w:t xml:space="preserve"> ir kam jis vartojamas</w:t>
      </w:r>
      <w:r w:rsidRPr="00660C98" w:rsidDel="00B46C53">
        <w:rPr>
          <w:rFonts w:ascii="Times New Roman" w:eastAsia="Times New Roman" w:hAnsi="Times New Roman"/>
          <w:b/>
          <w:lang w:val="lt-LT"/>
        </w:rPr>
        <w:t xml:space="preserve"> </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priklauso medikamentų, vadinamųjų nesteroidinių priešuždegiminių vaistų, grupei (NVNU). Šie preparatai malšina skausmą ir mažina uždegimą.</w:t>
      </w:r>
    </w:p>
    <w:p w:rsidR="00E52342" w:rsidRPr="00660C98" w:rsidRDefault="00E52342"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mažina uždegimo sukeltus simptomus: skausmą ir patinimą, taip pat karščiavimą, nes slopina medžiagų, sukeliančių uždegimą, skausmą ir karščiavimą (prostaglandinų) susidarymą. Preparatas neveikia priežasties, sukėlusios uždegimą ar karščiavimą.</w:t>
      </w:r>
    </w:p>
    <w:p w:rsidR="00E52342" w:rsidRPr="00660C98" w:rsidRDefault="00E52342"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cs-CZ"/>
        </w:rPr>
      </w:pPr>
      <w:r w:rsidRPr="00660C98">
        <w:rPr>
          <w:rFonts w:ascii="Times New Roman" w:eastAsia="Times New Roman" w:hAnsi="Times New Roman"/>
          <w:lang w:val="lt-LT"/>
        </w:rPr>
        <w:t>Preparatas skiriamas:</w:t>
      </w:r>
      <w:r w:rsidRPr="00660C98">
        <w:rPr>
          <w:rFonts w:ascii="Times New Roman" w:eastAsia="Times New Roman" w:hAnsi="Times New Roman"/>
          <w:lang w:val="cs-CZ"/>
        </w:rPr>
        <w:t xml:space="preserve"> trumpalaikiam ūminio skausmo ir (ar) uždegimo slopinimui po traumos, chirurginės operacijos, esant nugaros skausmui ar minkštųjų audinių uždegiminėms ligoms, </w:t>
      </w:r>
      <w:r w:rsidRPr="00660C98">
        <w:rPr>
          <w:rFonts w:ascii="Times New Roman" w:eastAsia="Times New Roman" w:hAnsi="Times New Roman"/>
          <w:lang w:val="lt-LT"/>
        </w:rPr>
        <w:t>skausmingoms mėnesinėms,</w:t>
      </w:r>
      <w:r w:rsidRPr="00660C98">
        <w:rPr>
          <w:rFonts w:ascii="Times New Roman" w:eastAsia="Times New Roman" w:hAnsi="Times New Roman"/>
          <w:lang w:val="cs-CZ"/>
        </w:rPr>
        <w:t xml:space="preserve"> pasireiškus migrenos priepuoliams.</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Jeigu Jums nustatytos širdies ir kraujagyslių ligos arba turite reikšmingų širdies ir kraujagyslių sutrikimų pasireiškimo rizikos faktorių (kaip antai hipertenzija, </w:t>
      </w:r>
      <w:proofErr w:type="spellStart"/>
      <w:r w:rsidRPr="00660C98">
        <w:rPr>
          <w:rFonts w:ascii="Times New Roman" w:eastAsia="Times New Roman" w:hAnsi="Times New Roman"/>
          <w:lang w:val="lt-LT"/>
        </w:rPr>
        <w:t>hiperlipidemija</w:t>
      </w:r>
      <w:proofErr w:type="spellEnd"/>
      <w:r w:rsidRPr="00660C98">
        <w:rPr>
          <w:rFonts w:ascii="Times New Roman" w:eastAsia="Times New Roman" w:hAnsi="Times New Roman"/>
          <w:lang w:val="lt-LT"/>
        </w:rPr>
        <w:t xml:space="preserve">, cukrinis diabetas ar rūkymas), Jūsų gydytojas periodiškai iš naujo įvertins kaip ilgai Jūs turite vartoti </w:t>
      </w:r>
      <w:proofErr w:type="spellStart"/>
      <w:r w:rsidRPr="00660C98">
        <w:rPr>
          <w:rFonts w:ascii="Times New Roman" w:eastAsia="Times New Roman" w:hAnsi="Times New Roman"/>
          <w:lang w:val="lt-LT"/>
        </w:rPr>
        <w:t>Cataflam</w:t>
      </w:r>
      <w:proofErr w:type="spellEnd"/>
      <w:r w:rsidRPr="00660C98">
        <w:rPr>
          <w:rFonts w:ascii="Times New Roman" w:hAnsi="Times New Roman"/>
          <w:color w:val="222222"/>
          <w:lang w:val="lt-LT"/>
        </w:rPr>
        <w:t>.</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Jeigu Jums kyla klausimų dėl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veikimo arba kodėl jis buvo Jums paskirtas, klauskite gydytojo.</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2.</w:t>
      </w:r>
      <w:r w:rsidRPr="00660C98">
        <w:rPr>
          <w:rFonts w:ascii="Times New Roman" w:eastAsia="Times New Roman" w:hAnsi="Times New Roman"/>
          <w:b/>
          <w:lang w:val="lt-LT"/>
        </w:rPr>
        <w:tab/>
        <w:t xml:space="preserve">Kas žinotina prieš vartojant </w:t>
      </w:r>
      <w:proofErr w:type="spellStart"/>
      <w:r w:rsidRPr="00660C98">
        <w:rPr>
          <w:rFonts w:ascii="Times New Roman" w:eastAsia="Times New Roman" w:hAnsi="Times New Roman"/>
          <w:b/>
          <w:lang w:val="lt-LT"/>
        </w:rPr>
        <w:t>Cataflam</w:t>
      </w:r>
      <w:proofErr w:type="spellEnd"/>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Tiksliai laikykitės visų gydytojo nurodymų. Jie gali skirtis nuo šiame lapelyje pateiktos informacijos.</w:t>
      </w:r>
    </w:p>
    <w:p w:rsidR="00E52342" w:rsidRPr="00660C98" w:rsidRDefault="00E52342"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lang w:val="lt-LT"/>
        </w:rPr>
      </w:pPr>
      <w:proofErr w:type="spellStart"/>
      <w:r w:rsidRPr="00660C98">
        <w:rPr>
          <w:rFonts w:ascii="Times New Roman" w:eastAsia="Times New Roman" w:hAnsi="Times New Roman"/>
          <w:b/>
          <w:lang w:val="lt-LT"/>
        </w:rPr>
        <w:t>Cataflam</w:t>
      </w:r>
      <w:proofErr w:type="spellEnd"/>
      <w:r w:rsidRPr="00660C98">
        <w:rPr>
          <w:rFonts w:ascii="Times New Roman" w:eastAsia="Times New Roman" w:hAnsi="Times New Roman"/>
          <w:b/>
          <w:lang w:val="lt-LT"/>
        </w:rPr>
        <w:t xml:space="preserve"> vartoti negalima:</w:t>
      </w:r>
      <w:r w:rsidRPr="00660C98">
        <w:rPr>
          <w:rFonts w:ascii="Times New Roman" w:eastAsia="Times New Roman" w:hAnsi="Times New Roman"/>
          <w:i/>
          <w:lang w:val="lt-LT"/>
        </w:rPr>
        <w:t xml:space="preserve"> </w:t>
      </w:r>
    </w:p>
    <w:p w:rsidR="00660C98" w:rsidRPr="00660C98" w:rsidRDefault="00660C98" w:rsidP="00660C98">
      <w:pPr>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 xml:space="preserve">jeigu yra alergija (padidėjęs jautrumas) </w:t>
      </w:r>
      <w:proofErr w:type="spellStart"/>
      <w:r w:rsidRPr="00660C98">
        <w:rPr>
          <w:rFonts w:ascii="Times New Roman" w:eastAsia="Times New Roman" w:hAnsi="Times New Roman"/>
          <w:lang w:val="lt-LT"/>
        </w:rPr>
        <w:t>diklofenakui</w:t>
      </w:r>
      <w:proofErr w:type="spellEnd"/>
      <w:r w:rsidRPr="00660C98">
        <w:rPr>
          <w:rFonts w:ascii="Times New Roman" w:eastAsia="Times New Roman" w:hAnsi="Times New Roman"/>
          <w:lang w:val="lt-LT"/>
        </w:rPr>
        <w:t xml:space="preserve"> arba bet kuriai pagalbinei šio vaisto medžiagai (jos išvardytos 6 skyriuje);</w:t>
      </w:r>
    </w:p>
    <w:p w:rsidR="00660C98" w:rsidRPr="00660C98" w:rsidRDefault="00660C98" w:rsidP="00660C98">
      <w:pPr>
        <w:tabs>
          <w:tab w:val="left" w:pos="0"/>
          <w:tab w:val="left" w:pos="56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 xml:space="preserve">jeigu Jums kada nors buvo pasireiškusi alerginė reakcija, pavartojus medikamentų nuo uždegimo, skausmo arba karščiavimo tokių kaip,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ibuprofenas</w:t>
      </w:r>
      <w:proofErr w:type="spellEnd"/>
      <w:r w:rsidRPr="00660C98">
        <w:rPr>
          <w:rFonts w:ascii="Times New Roman" w:eastAsia="Times New Roman" w:hAnsi="Times New Roman"/>
          <w:lang w:val="lt-LT"/>
        </w:rPr>
        <w:t xml:space="preserve"> arba </w:t>
      </w:r>
      <w:proofErr w:type="spellStart"/>
      <w:r w:rsidRPr="00660C98">
        <w:rPr>
          <w:rFonts w:ascii="Times New Roman" w:eastAsia="Times New Roman" w:hAnsi="Times New Roman"/>
          <w:lang w:val="lt-LT"/>
        </w:rPr>
        <w:t>acetilsalicilo</w:t>
      </w:r>
      <w:proofErr w:type="spellEnd"/>
      <w:r w:rsidRPr="00660C98">
        <w:rPr>
          <w:rFonts w:ascii="Times New Roman" w:eastAsia="Times New Roman" w:hAnsi="Times New Roman"/>
          <w:lang w:val="lt-LT"/>
        </w:rPr>
        <w:t xml:space="preserve"> rūgštis (medžiaga, taip pat mažinanti kraujo krešumą). Reakcija galėjo pasireikšti astma, švokštimu, odos bėrimu, veido patinimu, sloga. Jeigu Jūs manote, kad galite būti alergiški, pasitarkite su gydytoju;</w:t>
      </w:r>
    </w:p>
    <w:p w:rsidR="00660C98" w:rsidRPr="00660C98" w:rsidRDefault="00660C98" w:rsidP="00660C98">
      <w:pPr>
        <w:tabs>
          <w:tab w:val="left" w:pos="0"/>
          <w:tab w:val="left" w:pos="56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jeigu Jums nustatyta širdies liga ir(arba) galvos smegenų kraujagyslių liga, pavyzdžiui, jeigu Jūs patyrėte širdies smūgį, insultą, „</w:t>
      </w:r>
      <w:proofErr w:type="spellStart"/>
      <w:r w:rsidRPr="00660C98">
        <w:rPr>
          <w:rFonts w:ascii="Times New Roman" w:eastAsia="Times New Roman" w:hAnsi="Times New Roman"/>
          <w:lang w:val="lt-LT"/>
        </w:rPr>
        <w:t>mikroinsultą</w:t>
      </w:r>
      <w:proofErr w:type="spellEnd"/>
      <w:r w:rsidRPr="00660C98">
        <w:rPr>
          <w:rFonts w:ascii="Times New Roman" w:eastAsia="Times New Roman" w:hAnsi="Times New Roman"/>
          <w:lang w:val="lt-LT"/>
        </w:rPr>
        <w:t xml:space="preserve">“ (praeinantį smegenų išemijos priepuolį) arba Jums buvo užsikimšusios širdies ar galvos smegenų kraujagyslės, arba Jums buvo atlikta operacija siekiant išvalyti arba šuntuoti užsikimšusias kraujagysles; </w:t>
      </w:r>
    </w:p>
    <w:p w:rsidR="00660C98" w:rsidRPr="00660C98" w:rsidRDefault="00660C98" w:rsidP="00660C98">
      <w:pPr>
        <w:tabs>
          <w:tab w:val="left" w:pos="0"/>
          <w:tab w:val="left" w:pos="56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jeigu Jums yra arba anksčiau buvo sutrikusi kraujotaka (periferinių arterijų liga);</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jeigu yra ar yra buvę skrandžio arba žarnyno opų; jos kraujavo ar buvo prakiurę;</w:t>
      </w:r>
    </w:p>
    <w:p w:rsidR="00660C98" w:rsidRPr="00660C98" w:rsidRDefault="00660C98" w:rsidP="00660C98">
      <w:pPr>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jeigu Jums kraujuoja į virškinimo traktą ar jis prakiuręs. Tai pasireiškia kraujo atsiradimu išmatose arba jos yra juodos;</w:t>
      </w:r>
    </w:p>
    <w:p w:rsidR="00660C98" w:rsidRPr="00660C98" w:rsidRDefault="00660C98" w:rsidP="00660C98">
      <w:pPr>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 xml:space="preserve">jeigu yra buvęs kraujavimas iš virškinimo trakto ar perforacija, susiję su ankstesniu medikamentų nuo skausmo, uždegimo arba karščiavimo pavyzdžiui tokių kaip, </w:t>
      </w:r>
      <w:proofErr w:type="spellStart"/>
      <w:r w:rsidRPr="00660C98">
        <w:rPr>
          <w:rFonts w:ascii="Times New Roman" w:eastAsia="Times New Roman" w:hAnsi="Times New Roman"/>
          <w:lang w:val="lt-LT"/>
        </w:rPr>
        <w:t>diklofenakas</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ibuprofenas</w:t>
      </w:r>
      <w:proofErr w:type="spellEnd"/>
      <w:r w:rsidRPr="00660C98">
        <w:rPr>
          <w:rFonts w:ascii="Times New Roman" w:eastAsia="Times New Roman" w:hAnsi="Times New Roman"/>
          <w:lang w:val="lt-LT"/>
        </w:rPr>
        <w:t xml:space="preserve"> vartojimu. Esanti ar buvusi pasikartojanti skrandžio opa/ kraujavimas (</w:t>
      </w:r>
      <w:r w:rsidRPr="00660C98">
        <w:rPr>
          <w:rFonts w:ascii="Times New Roman" w:eastAsia="Times New Roman" w:hAnsi="Times New Roman"/>
          <w:color w:val="000000"/>
          <w:lang w:val="lt-LT"/>
        </w:rPr>
        <w:t>buvę du ar daugiau atskirų, opų susidarymo ar kraujavimo epizodų);</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jeigu Jūs sergate sunkia inkstų arba kepenų liga;</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jeigu Jūs sergate sunkiu širdies nepakankamumu;</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jeigu Jūs esate trečiame nėštumo trimestre.</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autoSpaceDE w:val="0"/>
        <w:autoSpaceDN w:val="0"/>
        <w:adjustRightInd w:val="0"/>
        <w:spacing w:after="0" w:line="240" w:lineRule="auto"/>
        <w:rPr>
          <w:rFonts w:ascii="Times New Roman" w:hAnsi="Times New Roman"/>
          <w:color w:val="000000"/>
          <w:lang w:val="lt-LT"/>
        </w:rPr>
      </w:pPr>
      <w:r w:rsidRPr="00660C98">
        <w:rPr>
          <w:rFonts w:ascii="Times New Roman" w:hAnsi="Times New Roman"/>
          <w:color w:val="000000"/>
          <w:lang w:val="lt-LT"/>
        </w:rPr>
        <w:t xml:space="preserve">Įsitikinkite, kad prieš Jums paskirdamas </w:t>
      </w:r>
      <w:proofErr w:type="spellStart"/>
      <w:r w:rsidRPr="00660C98">
        <w:rPr>
          <w:rFonts w:ascii="Times New Roman" w:hAnsi="Times New Roman"/>
          <w:color w:val="000000"/>
          <w:lang w:val="lt-LT"/>
        </w:rPr>
        <w:t>diklofenako</w:t>
      </w:r>
      <w:proofErr w:type="spellEnd"/>
      <w:r w:rsidRPr="00660C98">
        <w:rPr>
          <w:rFonts w:ascii="Times New Roman" w:hAnsi="Times New Roman"/>
          <w:color w:val="000000"/>
          <w:lang w:val="lt-LT"/>
        </w:rPr>
        <w:t xml:space="preserve"> gydytojas žino, jog Jūs: </w:t>
      </w:r>
    </w:p>
    <w:p w:rsidR="00660C98" w:rsidRPr="00660C98" w:rsidRDefault="00660C98" w:rsidP="00660C98">
      <w:pPr>
        <w:tabs>
          <w:tab w:val="left" w:pos="567"/>
        </w:tabs>
        <w:autoSpaceDE w:val="0"/>
        <w:autoSpaceDN w:val="0"/>
        <w:adjustRightInd w:val="0"/>
        <w:spacing w:after="0" w:line="240" w:lineRule="auto"/>
        <w:rPr>
          <w:rFonts w:ascii="Times New Roman" w:hAnsi="Times New Roman"/>
          <w:color w:val="000000"/>
          <w:lang w:val="lt-LT"/>
        </w:rPr>
      </w:pPr>
      <w:r w:rsidRPr="00660C98">
        <w:rPr>
          <w:rFonts w:ascii="Times New Roman" w:hAnsi="Times New Roman"/>
          <w:color w:val="000000"/>
          <w:lang w:val="lt-LT"/>
        </w:rPr>
        <w:t>-</w:t>
      </w:r>
      <w:r w:rsidRPr="00660C98">
        <w:rPr>
          <w:rFonts w:ascii="Times New Roman" w:hAnsi="Times New Roman"/>
          <w:color w:val="000000"/>
          <w:lang w:val="lt-LT"/>
        </w:rPr>
        <w:tab/>
        <w:t xml:space="preserve">rūkote; </w:t>
      </w:r>
    </w:p>
    <w:p w:rsidR="00660C98" w:rsidRPr="00660C98" w:rsidRDefault="00660C98" w:rsidP="00660C98">
      <w:pPr>
        <w:tabs>
          <w:tab w:val="left" w:pos="567"/>
        </w:tabs>
        <w:autoSpaceDE w:val="0"/>
        <w:autoSpaceDN w:val="0"/>
        <w:adjustRightInd w:val="0"/>
        <w:spacing w:after="0" w:line="240" w:lineRule="auto"/>
        <w:rPr>
          <w:rFonts w:ascii="Times New Roman" w:hAnsi="Times New Roman"/>
          <w:color w:val="000000"/>
          <w:lang w:val="lt-LT"/>
        </w:rPr>
      </w:pPr>
      <w:r w:rsidRPr="00660C98">
        <w:rPr>
          <w:rFonts w:ascii="Times New Roman" w:hAnsi="Times New Roman"/>
          <w:color w:val="000000"/>
          <w:lang w:val="lt-LT"/>
        </w:rPr>
        <w:t>-</w:t>
      </w:r>
      <w:r w:rsidRPr="00660C98">
        <w:rPr>
          <w:rFonts w:ascii="Times New Roman" w:hAnsi="Times New Roman"/>
          <w:color w:val="000000"/>
          <w:lang w:val="lt-LT"/>
        </w:rPr>
        <w:tab/>
        <w:t xml:space="preserve">sergate cukriniu diabetu; </w:t>
      </w:r>
    </w:p>
    <w:p w:rsidR="00660C98" w:rsidRPr="00660C98" w:rsidRDefault="00660C98" w:rsidP="00660C98">
      <w:pPr>
        <w:autoSpaceDE w:val="0"/>
        <w:autoSpaceDN w:val="0"/>
        <w:adjustRightInd w:val="0"/>
        <w:spacing w:after="0" w:line="240" w:lineRule="auto"/>
        <w:ind w:left="567" w:hanging="567"/>
        <w:rPr>
          <w:rFonts w:ascii="Times New Roman" w:hAnsi="Times New Roman"/>
          <w:color w:val="000000"/>
          <w:lang w:val="lt-LT"/>
        </w:rPr>
      </w:pPr>
      <w:r w:rsidRPr="00660C98">
        <w:rPr>
          <w:rFonts w:ascii="Times New Roman" w:hAnsi="Times New Roman"/>
          <w:color w:val="000000"/>
          <w:lang w:val="lt-LT"/>
        </w:rPr>
        <w:t>-</w:t>
      </w:r>
      <w:r w:rsidRPr="00660C98">
        <w:rPr>
          <w:rFonts w:ascii="Times New Roman" w:hAnsi="Times New Roman"/>
          <w:color w:val="000000"/>
          <w:lang w:val="lt-LT"/>
        </w:rPr>
        <w:tab/>
        <w:t xml:space="preserve">sergate krūtinės angina arba Jums yra susidarę kraujo krešulių, padidėjęs kraujospūdis, padidėjęs cholesterolio kiekis ar padidėjęs </w:t>
      </w:r>
      <w:proofErr w:type="spellStart"/>
      <w:r w:rsidRPr="00660C98">
        <w:rPr>
          <w:rFonts w:ascii="Times New Roman" w:hAnsi="Times New Roman"/>
          <w:color w:val="000000"/>
          <w:lang w:val="lt-LT"/>
        </w:rPr>
        <w:t>trigliceridų</w:t>
      </w:r>
      <w:proofErr w:type="spellEnd"/>
      <w:r w:rsidRPr="00660C98">
        <w:rPr>
          <w:rFonts w:ascii="Times New Roman" w:hAnsi="Times New Roman"/>
          <w:color w:val="000000"/>
          <w:lang w:val="lt-LT"/>
        </w:rPr>
        <w:t xml:space="preserve"> kiekis. </w:t>
      </w:r>
    </w:p>
    <w:p w:rsidR="00660C98" w:rsidRPr="00660C98" w:rsidRDefault="00660C98" w:rsidP="00660C98">
      <w:pPr>
        <w:autoSpaceDE w:val="0"/>
        <w:autoSpaceDN w:val="0"/>
        <w:adjustRightInd w:val="0"/>
        <w:spacing w:after="0" w:line="240" w:lineRule="auto"/>
        <w:rPr>
          <w:rFonts w:ascii="Times New Roman" w:hAnsi="Times New Roman"/>
          <w:color w:val="000000"/>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Šalutinis poveikis gali pasireikšti rečiau, jeigu vartosite mažiausią veiksmingą dozę kiek įmanoma trumpiausią laikotarpį.</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Jeigu bet kuris iš šių teiginių Jums tinka, nevartokite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ir pasitarkite su gydytoju.</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 manote, kad galite būti alergiškas, pasitarkite su gydytoju.</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Įspėjimai ir atsargumo priemonės</w:t>
      </w:r>
    </w:p>
    <w:p w:rsidR="00660C98" w:rsidRPr="00660C98" w:rsidRDefault="00660C98" w:rsidP="00660C98">
      <w:pPr>
        <w:numPr>
          <w:ilvl w:val="12"/>
          <w:numId w:val="0"/>
        </w:numPr>
        <w:spacing w:after="0" w:line="240" w:lineRule="auto"/>
        <w:ind w:right="-2"/>
        <w:rPr>
          <w:rFonts w:ascii="Times New Roman" w:eastAsia="Times New Roman" w:hAnsi="Times New Roman"/>
          <w:lang w:val="lt-LT"/>
        </w:rPr>
      </w:pPr>
      <w:r w:rsidRPr="00660C98">
        <w:rPr>
          <w:rFonts w:ascii="Times New Roman" w:eastAsia="Times New Roman" w:hAnsi="Times New Roman"/>
          <w:lang w:val="lt-LT"/>
        </w:rPr>
        <w:t>Pasitarkite su gydytoju arba vaistininku</w:t>
      </w:r>
      <w:r w:rsidR="00AA5DA7">
        <w:rPr>
          <w:rFonts w:ascii="Times New Roman" w:eastAsia="Times New Roman" w:hAnsi="Times New Roman"/>
          <w:lang w:val="lt-LT"/>
        </w:rPr>
        <w:t>,</w:t>
      </w:r>
      <w:r w:rsidRPr="00660C98">
        <w:rPr>
          <w:rFonts w:ascii="Times New Roman" w:eastAsia="Times New Roman" w:hAnsi="Times New Roman"/>
          <w:lang w:val="lt-LT"/>
        </w:rPr>
        <w:t xml:space="preserve"> prieš pradėdami vartoti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Atsargumas būtinas:</w:t>
      </w:r>
    </w:p>
    <w:p w:rsidR="00660C98" w:rsidRPr="00660C98" w:rsidRDefault="00660C98" w:rsidP="00660C98">
      <w:pPr>
        <w:numPr>
          <w:ilvl w:val="0"/>
          <w:numId w:val="21"/>
        </w:num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color w:val="222222"/>
          <w:lang w:val="lt-LT"/>
        </w:rPr>
        <w:t xml:space="preserve">paprastai yra svarbu vartoti mažiausią </w:t>
      </w:r>
      <w:r w:rsidRPr="00660C98">
        <w:rPr>
          <w:rFonts w:ascii="Times New Roman" w:eastAsia="Times New Roman" w:hAnsi="Times New Roman"/>
          <w:lang w:val="lt-LT"/>
        </w:rPr>
        <w:t xml:space="preserve">veiksmingą </w:t>
      </w:r>
      <w:proofErr w:type="spellStart"/>
      <w:r w:rsidRPr="00660C98">
        <w:rPr>
          <w:rFonts w:ascii="Times New Roman" w:eastAsia="Times New Roman" w:hAnsi="Times New Roman"/>
          <w:color w:val="222222"/>
          <w:lang w:val="lt-LT"/>
        </w:rPr>
        <w:t>Cataflam</w:t>
      </w:r>
      <w:proofErr w:type="spellEnd"/>
      <w:r w:rsidRPr="00660C98">
        <w:rPr>
          <w:rFonts w:ascii="Times New Roman" w:eastAsia="Times New Roman" w:hAnsi="Times New Roman"/>
          <w:color w:val="222222"/>
          <w:lang w:val="lt-LT"/>
        </w:rPr>
        <w:t xml:space="preserve"> dozę, kuri sumažintų skausmą ir / arba patinimą, ir vartoti trumpiausią įmanomą laiką, siekiant kuo </w:t>
      </w:r>
      <w:r w:rsidRPr="00660C98">
        <w:rPr>
          <w:rFonts w:ascii="Times New Roman" w:eastAsia="Times New Roman" w:hAnsi="Times New Roman"/>
          <w:lang w:val="lt-LT"/>
        </w:rPr>
        <w:t>mažesnės nepageidaujamo poveikio rizikos širdies ir kraujagyslių sistemai</w:t>
      </w:r>
      <w:r w:rsidRPr="00660C98">
        <w:rPr>
          <w:rFonts w:ascii="Times New Roman" w:eastAsia="Times New Roman" w:hAnsi="Times New Roman"/>
          <w:color w:val="222222"/>
          <w:lang w:val="lt-LT"/>
        </w:rPr>
        <w:t>;</w:t>
      </w:r>
    </w:p>
    <w:p w:rsidR="00660C98" w:rsidRPr="00660C98" w:rsidRDefault="00660C98" w:rsidP="00660C98">
      <w:pPr>
        <w:numPr>
          <w:ilvl w:val="0"/>
          <w:numId w:val="21"/>
        </w:num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jeigu Jūs vartojate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kartu su kitais nesteroidiniais priešuždegiminiais vaistais (pvz., </w:t>
      </w:r>
      <w:proofErr w:type="spellStart"/>
      <w:r w:rsidRPr="00660C98">
        <w:rPr>
          <w:rFonts w:ascii="Times New Roman" w:eastAsia="Times New Roman" w:hAnsi="Times New Roman"/>
          <w:lang w:val="lt-LT"/>
        </w:rPr>
        <w:t>acetilsalicilo</w:t>
      </w:r>
      <w:proofErr w:type="spellEnd"/>
      <w:r w:rsidRPr="00660C98">
        <w:rPr>
          <w:rFonts w:ascii="Times New Roman" w:eastAsia="Times New Roman" w:hAnsi="Times New Roman"/>
          <w:lang w:val="lt-LT"/>
        </w:rPr>
        <w:t xml:space="preserve"> rūgštis), kortikosteroidais, trombocitų </w:t>
      </w:r>
      <w:proofErr w:type="spellStart"/>
      <w:r w:rsidRPr="00660C98">
        <w:rPr>
          <w:rFonts w:ascii="Times New Roman" w:eastAsia="Times New Roman" w:hAnsi="Times New Roman"/>
          <w:lang w:val="lt-LT"/>
        </w:rPr>
        <w:t>agregaciją</w:t>
      </w:r>
      <w:proofErr w:type="spellEnd"/>
      <w:r w:rsidRPr="00660C98">
        <w:rPr>
          <w:rFonts w:ascii="Times New Roman" w:eastAsia="Times New Roman" w:hAnsi="Times New Roman"/>
          <w:lang w:val="lt-LT"/>
        </w:rPr>
        <w:t xml:space="preserve"> slopinančiais vaistais arba selektyviais </w:t>
      </w:r>
      <w:proofErr w:type="spellStart"/>
      <w:r w:rsidRPr="00660C98">
        <w:rPr>
          <w:rFonts w:ascii="Times New Roman" w:eastAsia="Times New Roman" w:hAnsi="Times New Roman"/>
          <w:lang w:val="lt-LT"/>
        </w:rPr>
        <w:t>serotonino</w:t>
      </w:r>
      <w:proofErr w:type="spellEnd"/>
      <w:r w:rsidRPr="00660C98">
        <w:rPr>
          <w:rFonts w:ascii="Times New Roman" w:eastAsia="Times New Roman" w:hAnsi="Times New Roman"/>
          <w:lang w:val="lt-LT"/>
        </w:rPr>
        <w:t xml:space="preserve"> reabsorbcijos inhibitoriais (žr. „Kitų vaistų vartojimas“);</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Jūs sergate astma arba šienlige (sezoninis alerginis rinitas);</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jeigu Jūs kada nors turėjote virškinimo trakto sutrikimų, tokių kaip skrandžio opa, kraujavimas arba juodos išmatos; </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Jums pasireiškė anksčiau nemalonus pojūtis skrandyje ar rėmuo, pavartojus nesteroidinių priešuždegiminių vaistų;</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Jūs sirgote gaubtinės žarnos (opinis kolitas) arba plonojo žarnyno (Krono liga) uždegimu;</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kai sutrikusi kepenų arba inkstų veikla;</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Jūs galite būti netekę daug skysčių (pvz., dėl ligos, viduriavimo, prieš ar po sunkios operacijos);</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kai patinusios pėdos;</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kai yra sutrikęs kraujavimas ar yra kitų kraujo sutrikimų, tame tarpe ir reta kepenų funkcijos patologija vadinama </w:t>
      </w:r>
      <w:proofErr w:type="spellStart"/>
      <w:r w:rsidRPr="00660C98">
        <w:rPr>
          <w:rFonts w:ascii="Times New Roman" w:eastAsia="Times New Roman" w:hAnsi="Times New Roman"/>
          <w:lang w:val="lt-LT"/>
        </w:rPr>
        <w:t>porfirija</w:t>
      </w:r>
      <w:proofErr w:type="spellEnd"/>
      <w:r w:rsidRPr="00660C98">
        <w:rPr>
          <w:rFonts w:ascii="Times New Roman" w:eastAsia="Times New Roman" w:hAnsi="Times New Roman"/>
          <w:lang w:val="lt-LT"/>
        </w:rPr>
        <w:t>;</w:t>
      </w:r>
    </w:p>
    <w:p w:rsidR="00660C98" w:rsidRPr="00660C98" w:rsidRDefault="00660C98" w:rsidP="00660C98">
      <w:pPr>
        <w:numPr>
          <w:ilvl w:val="0"/>
          <w:numId w:val="21"/>
        </w:num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atsirado rimta odos reakcija.</w:t>
      </w:r>
    </w:p>
    <w:p w:rsidR="00660C98" w:rsidRPr="00660C98" w:rsidRDefault="00660C98" w:rsidP="00660C98">
      <w:pPr>
        <w:tabs>
          <w:tab w:val="left" w:pos="0"/>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Jeigu bet kuris iš šių teiginių Jums tinka, prieš vartodami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pasakykite apie tai gydytojui. </w:t>
      </w:r>
    </w:p>
    <w:p w:rsidR="00660C98" w:rsidRPr="00660C98" w:rsidRDefault="00660C98" w:rsidP="00660C98">
      <w:pPr>
        <w:tabs>
          <w:tab w:val="left" w:pos="0"/>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color w:val="222222"/>
          <w:lang w:val="lt-LT"/>
        </w:rPr>
      </w:pPr>
      <w:r w:rsidRPr="00660C98">
        <w:rPr>
          <w:rFonts w:ascii="Times New Roman" w:eastAsia="Times New Roman" w:hAnsi="Times New Roman"/>
          <w:color w:val="222222"/>
          <w:lang w:val="lt-LT"/>
        </w:rPr>
        <w:t xml:space="preserve">Jei bet kuriuo metu, kol vartojate </w:t>
      </w:r>
      <w:proofErr w:type="spellStart"/>
      <w:r w:rsidRPr="00660C98">
        <w:rPr>
          <w:rFonts w:ascii="Times New Roman" w:eastAsia="Times New Roman" w:hAnsi="Times New Roman"/>
          <w:color w:val="222222"/>
          <w:lang w:val="lt-LT"/>
        </w:rPr>
        <w:t>Cataflam</w:t>
      </w:r>
      <w:proofErr w:type="spellEnd"/>
      <w:r w:rsidRPr="00660C98">
        <w:rPr>
          <w:rFonts w:ascii="Times New Roman" w:eastAsia="Times New Roman" w:hAnsi="Times New Roman"/>
          <w:color w:val="222222"/>
          <w:lang w:val="lt-LT"/>
        </w:rPr>
        <w:t xml:space="preserve"> atsirastų kokių nors požymių ar simptomų susijusių su Jūsų širdimi ar kraujagyslėmis, pavyzdžiui, krūtinės skausmas, dusulys, silpnumas ar kalbos sutrikimas, nedelsiant kreipkitės į gydytoją.</w:t>
      </w:r>
    </w:p>
    <w:p w:rsidR="00660C98" w:rsidRPr="00660C98" w:rsidRDefault="00660C98" w:rsidP="00660C98">
      <w:pPr>
        <w:tabs>
          <w:tab w:val="left" w:pos="0"/>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Labai retai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kaip ir kiti nesteroidiniai priešuždegiminiai vaistai, gali sukelti sunkias alergines odos reakcijas (pvz., bėrimą).</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Jums atsirado bet kuris aukščiau aprašytas simptomas</w:t>
      </w:r>
      <w:r w:rsidRPr="00660C98">
        <w:rPr>
          <w:rFonts w:ascii="Times New Roman" w:eastAsia="Times New Roman" w:hAnsi="Times New Roman"/>
          <w:b/>
          <w:bCs/>
          <w:lang w:val="lt-LT"/>
        </w:rPr>
        <w:t>, nedelsdamas kreipkitės į gydytoją.</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Ilgalaikis bet kokių skausmą malšinančių vaistų vartojimas galvos skausmo malšinimui, būklę gali dar labiau pabloginti. Jeigu manote, kad dėl vaisto vartojimo Jūsų būklė pablogėjo kreipkitės į gydytoją.</w:t>
      </w:r>
    </w:p>
    <w:p w:rsidR="00660C98" w:rsidRPr="00660C98" w:rsidRDefault="00660C98" w:rsidP="00660C98">
      <w:pPr>
        <w:tabs>
          <w:tab w:val="left" w:pos="0"/>
          <w:tab w:val="left" w:pos="567"/>
        </w:tabs>
        <w:spacing w:after="0" w:line="240" w:lineRule="auto"/>
        <w:ind w:left="720" w:hanging="720"/>
        <w:rPr>
          <w:rFonts w:ascii="Times New Roman" w:eastAsia="Times New Roman" w:hAnsi="Times New Roman"/>
          <w:b/>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Tokie vaistai, kaip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gali būti susiję su nedideliu širdies priepuolio („miokardo infarkto“) ar insulto pavojaus padidėjimu. Bet koks pavojus yra labiau tikėtinas ilgą laiką vartojant vaistą didelėmis dozėmis. Neviršykite rekomenduotos dozės ar gydymo laiko.</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jc w:val="both"/>
        <w:rPr>
          <w:rFonts w:ascii="Times New Roman" w:eastAsia="Times New Roman" w:hAnsi="Times New Roman"/>
          <w:i/>
          <w:iCs/>
          <w:lang w:val="lt-LT" w:eastAsia="lt-LT"/>
        </w:rPr>
      </w:pPr>
      <w:r w:rsidRPr="00660C98">
        <w:rPr>
          <w:rFonts w:ascii="Times New Roman" w:eastAsia="Times New Roman" w:hAnsi="Times New Roman"/>
          <w:i/>
          <w:iCs/>
          <w:lang w:val="lt-LT" w:eastAsia="lt-LT"/>
        </w:rPr>
        <w:t xml:space="preserve">Senyvi žmonės </w:t>
      </w: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Vyresnio amžiaus žmonės gali būti labiau jautrūs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kaip ir kitų vaistų nuo skausmo poveikiui nei suaugę žmonės. Laikykitės vartojimo nurodymų ir vartokite mažiausią vaisto kiekį, kuris malšina skausmą. Vyresnio amžiaus žmonėms labai svarbu skubiai pranešti gydytojui apie pastebėtus nepageidaujamus reiškinius.</w:t>
      </w:r>
    </w:p>
    <w:p w:rsidR="00660C98" w:rsidRPr="00660C98" w:rsidRDefault="00660C98" w:rsidP="00660C98">
      <w:pPr>
        <w:tabs>
          <w:tab w:val="left" w:pos="0"/>
          <w:tab w:val="left" w:pos="567"/>
        </w:tabs>
        <w:spacing w:after="0" w:line="240" w:lineRule="auto"/>
        <w:rPr>
          <w:rFonts w:ascii="Times New Roman" w:eastAsia="Times New Roman" w:hAnsi="Times New Roman"/>
          <w:i/>
          <w:iCs/>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i/>
          <w:iCs/>
          <w:lang w:val="lt-LT"/>
        </w:rPr>
      </w:pPr>
      <w:r w:rsidRPr="00660C98">
        <w:rPr>
          <w:rFonts w:ascii="Times New Roman" w:eastAsia="Times New Roman" w:hAnsi="Times New Roman"/>
          <w:i/>
          <w:iCs/>
          <w:lang w:val="lt-LT"/>
        </w:rPr>
        <w:t xml:space="preserve">Jūsų būklės stebėjimas gydymo </w:t>
      </w:r>
      <w:proofErr w:type="spellStart"/>
      <w:r w:rsidRPr="00660C98">
        <w:rPr>
          <w:rFonts w:ascii="Times New Roman" w:eastAsia="Times New Roman" w:hAnsi="Times New Roman"/>
          <w:i/>
          <w:iCs/>
          <w:lang w:val="lt-LT"/>
        </w:rPr>
        <w:t>Cataflam</w:t>
      </w:r>
      <w:proofErr w:type="spellEnd"/>
      <w:r w:rsidRPr="00660C98">
        <w:rPr>
          <w:rFonts w:ascii="Times New Roman" w:eastAsia="Times New Roman" w:hAnsi="Times New Roman"/>
          <w:i/>
          <w:iCs/>
          <w:lang w:val="lt-LT"/>
        </w:rPr>
        <w:t xml:space="preserve"> metu</w:t>
      </w:r>
    </w:p>
    <w:p w:rsidR="00660C98" w:rsidRPr="00660C98" w:rsidRDefault="00660C98" w:rsidP="00AA5DA7">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 Jums yra bet kokių kepenų, inkstų ar kraujo sutrikimų, gydymo metu Jums bus atliekami kraujo tyrimai. Bus stebima arba kepenų funkcija (</w:t>
      </w:r>
      <w:proofErr w:type="spellStart"/>
      <w:r w:rsidRPr="00660C98">
        <w:rPr>
          <w:rFonts w:ascii="Times New Roman" w:eastAsia="Times New Roman" w:hAnsi="Times New Roman"/>
          <w:lang w:val="lt-LT"/>
        </w:rPr>
        <w:t>transaminazių</w:t>
      </w:r>
      <w:proofErr w:type="spellEnd"/>
      <w:r w:rsidRPr="00660C98">
        <w:rPr>
          <w:rFonts w:ascii="Times New Roman" w:eastAsia="Times New Roman" w:hAnsi="Times New Roman"/>
          <w:lang w:val="lt-LT"/>
        </w:rPr>
        <w:t xml:space="preserve"> kiekis), arba inkstų funkcija (</w:t>
      </w:r>
      <w:proofErr w:type="spellStart"/>
      <w:r w:rsidRPr="00660C98">
        <w:rPr>
          <w:rFonts w:ascii="Times New Roman" w:eastAsia="Times New Roman" w:hAnsi="Times New Roman"/>
          <w:lang w:val="lt-LT"/>
        </w:rPr>
        <w:t>kreatinino</w:t>
      </w:r>
      <w:proofErr w:type="spellEnd"/>
      <w:r w:rsidRPr="00660C98">
        <w:rPr>
          <w:rFonts w:ascii="Times New Roman" w:eastAsia="Times New Roman" w:hAnsi="Times New Roman"/>
          <w:lang w:val="lt-LT"/>
        </w:rPr>
        <w:t xml:space="preserve"> kiekis), arba kraujo ląstelių kiekis (baltųjų ir raudonųjų kraujo ląstelių bei kraujo plokštelių kiekis). Remdamasis šiais kraujo tyrimų rezultatais, gydytojas priims sprendimą, ar nereikia nutraukti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vartojimo ar pakeisti dozės.</w:t>
      </w:r>
    </w:p>
    <w:p w:rsidR="00660C98" w:rsidRPr="00660C98" w:rsidRDefault="00660C98" w:rsidP="00C14C7C">
      <w:pPr>
        <w:spacing w:after="0" w:line="240" w:lineRule="auto"/>
        <w:rPr>
          <w:rFonts w:ascii="Times New Roman" w:eastAsia="Times New Roman" w:hAnsi="Times New Roman"/>
          <w:lang w:val="lt-LT"/>
        </w:rPr>
      </w:pPr>
    </w:p>
    <w:p w:rsidR="00660C98" w:rsidRPr="00660C98" w:rsidRDefault="00660C98" w:rsidP="00C10856">
      <w:pPr>
        <w:keepNext/>
        <w:spacing w:after="0" w:line="240" w:lineRule="auto"/>
        <w:outlineLvl w:val="3"/>
        <w:rPr>
          <w:rFonts w:ascii="Times New Roman" w:eastAsia="Times New Roman" w:hAnsi="Times New Roman"/>
          <w:b/>
          <w:bCs/>
          <w:lang w:val="lt-LT" w:eastAsia="x-none"/>
        </w:rPr>
      </w:pPr>
      <w:r w:rsidRPr="00660C98">
        <w:rPr>
          <w:rFonts w:ascii="Times New Roman" w:eastAsia="Times New Roman" w:hAnsi="Times New Roman"/>
          <w:b/>
          <w:bCs/>
          <w:lang w:val="lt-LT" w:eastAsia="x-none"/>
        </w:rPr>
        <w:t>Vaikams ir paaugliams</w:t>
      </w: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Vaikams ir paaugliams iki 14 metų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tablečių vartoti nerekomenduojama.</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Vyresniems kaip 14 metų vaikams (žr. 3 skyrių).</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Vaikams ir paaugliams (mažiau 18 metų) draudžiama vartoti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migrenai gydyti.</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keepNext/>
        <w:keepLines/>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b/>
          <w:lang w:val="lt-LT"/>
        </w:rPr>
        <w:t xml:space="preserve">Kiti vaistai ir </w:t>
      </w:r>
      <w:proofErr w:type="spellStart"/>
      <w:r w:rsidRPr="00660C98">
        <w:rPr>
          <w:rFonts w:ascii="Times New Roman" w:eastAsia="Times New Roman" w:hAnsi="Times New Roman"/>
          <w:b/>
          <w:lang w:val="lt-LT"/>
        </w:rPr>
        <w:t>Cataflam</w:t>
      </w:r>
      <w:proofErr w:type="spellEnd"/>
    </w:p>
    <w:p w:rsidR="00660C98" w:rsidRPr="00660C98" w:rsidRDefault="00660C98" w:rsidP="00660C98">
      <w:pPr>
        <w:numPr>
          <w:ilvl w:val="12"/>
          <w:numId w:val="0"/>
        </w:numPr>
        <w:spacing w:after="0" w:line="240" w:lineRule="auto"/>
        <w:ind w:right="-2"/>
        <w:rPr>
          <w:rFonts w:ascii="Times New Roman" w:eastAsia="Times New Roman" w:hAnsi="Times New Roman"/>
          <w:lang w:val="lt-LT"/>
        </w:rPr>
      </w:pPr>
      <w:r w:rsidRPr="00660C98">
        <w:rPr>
          <w:rFonts w:ascii="Times New Roman" w:eastAsia="Times New Roman" w:hAnsi="Times New Roman"/>
          <w:lang w:val="lt-LT"/>
        </w:rPr>
        <w:t>Jeigu vartojate ar neseniai vartojote kitų vaistų arba dėl to nesate tikri, apie tai pasakykite gydytojui arba vaistininkui.</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Ypač svarbu pasakyti gydytojui, jei vartojate toliau išvardytų vaistų:</w:t>
      </w:r>
    </w:p>
    <w:p w:rsidR="00660C98" w:rsidRPr="00660C98" w:rsidRDefault="00660C98" w:rsidP="00660C98">
      <w:pPr>
        <w:tabs>
          <w:tab w:val="left" w:pos="-623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sym w:font="Symbol" w:char="F0B7"/>
      </w:r>
      <w:r w:rsidRPr="00660C98">
        <w:rPr>
          <w:rFonts w:ascii="Times New Roman" w:eastAsia="Times New Roman" w:hAnsi="Times New Roman"/>
          <w:lang w:val="lt-LT"/>
        </w:rPr>
        <w:tab/>
        <w:t xml:space="preserve">ličio preparatų arba selektyvių </w:t>
      </w:r>
      <w:proofErr w:type="spellStart"/>
      <w:r w:rsidRPr="00660C98">
        <w:rPr>
          <w:rFonts w:ascii="Times New Roman" w:eastAsia="Times New Roman" w:hAnsi="Times New Roman"/>
          <w:lang w:val="lt-LT"/>
        </w:rPr>
        <w:t>serotonino</w:t>
      </w:r>
      <w:proofErr w:type="spellEnd"/>
      <w:r w:rsidRPr="00660C98">
        <w:rPr>
          <w:rFonts w:ascii="Times New Roman" w:eastAsia="Times New Roman" w:hAnsi="Times New Roman"/>
          <w:lang w:val="lt-LT"/>
        </w:rPr>
        <w:t xml:space="preserve"> reabsorbcijos inhibitorių (SSRI) (vaistai, vartojami gydyti kai kurias depresijos rūšis); </w:t>
      </w:r>
    </w:p>
    <w:p w:rsidR="00660C98" w:rsidRPr="00660C98" w:rsidRDefault="00660C98" w:rsidP="00660C98">
      <w:pPr>
        <w:numPr>
          <w:ilvl w:val="0"/>
          <w:numId w:val="22"/>
        </w:numPr>
        <w:tabs>
          <w:tab w:val="clear" w:pos="357"/>
          <w:tab w:val="left" w:pos="-6237"/>
        </w:tabs>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digoksino</w:t>
      </w:r>
      <w:proofErr w:type="spellEnd"/>
      <w:r w:rsidRPr="00660C98">
        <w:rPr>
          <w:rFonts w:ascii="Times New Roman" w:eastAsia="Times New Roman" w:hAnsi="Times New Roman"/>
          <w:lang w:val="lt-LT"/>
        </w:rPr>
        <w:t xml:space="preserve"> (vaistas, vartojamas širdies ligoms gydyti);</w:t>
      </w:r>
    </w:p>
    <w:p w:rsidR="00660C98" w:rsidRPr="00660C98" w:rsidRDefault="00660C98" w:rsidP="00660C98">
      <w:pPr>
        <w:numPr>
          <w:ilvl w:val="0"/>
          <w:numId w:val="22"/>
        </w:numPr>
        <w:tabs>
          <w:tab w:val="clear" w:pos="357"/>
          <w:tab w:val="num" w:pos="-623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diuretikų (vaistai, didinantys šlapimo išsiskyrimą);</w:t>
      </w:r>
    </w:p>
    <w:p w:rsidR="00660C98" w:rsidRPr="00660C98" w:rsidRDefault="00660C98" w:rsidP="00660C98">
      <w:pPr>
        <w:numPr>
          <w:ilvl w:val="0"/>
          <w:numId w:val="22"/>
        </w:numPr>
        <w:tabs>
          <w:tab w:val="clear" w:pos="357"/>
          <w:tab w:val="num" w:pos="-623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 xml:space="preserve">ACE inhibitorių arba beta </w:t>
      </w:r>
      <w:proofErr w:type="spellStart"/>
      <w:r w:rsidRPr="00660C98">
        <w:rPr>
          <w:rFonts w:ascii="Times New Roman" w:eastAsia="Times New Roman" w:hAnsi="Times New Roman"/>
          <w:lang w:val="lt-LT"/>
        </w:rPr>
        <w:t>blokerių</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angiotenzino</w:t>
      </w:r>
      <w:proofErr w:type="spellEnd"/>
      <w:r w:rsidRPr="00660C98">
        <w:rPr>
          <w:rFonts w:ascii="Times New Roman" w:eastAsia="Times New Roman" w:hAnsi="Times New Roman"/>
          <w:lang w:val="lt-LT"/>
        </w:rPr>
        <w:t xml:space="preserve"> II antagonistų (vaistų grupės, vartojamos aukštam kraujospūdžiui ir širdies nepakankamumui gydyti);</w:t>
      </w:r>
    </w:p>
    <w:p w:rsidR="00660C98" w:rsidRPr="00660C98" w:rsidRDefault="00660C98" w:rsidP="00660C98">
      <w:pPr>
        <w:numPr>
          <w:ilvl w:val="0"/>
          <w:numId w:val="22"/>
        </w:numPr>
        <w:tabs>
          <w:tab w:val="clear" w:pos="357"/>
          <w:tab w:val="left" w:pos="-623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 xml:space="preserve">kitokių nesteroidinių priešuždegiminių vaistų, pvz., </w:t>
      </w:r>
      <w:proofErr w:type="spellStart"/>
      <w:r w:rsidRPr="00660C98">
        <w:rPr>
          <w:rFonts w:ascii="Times New Roman" w:eastAsia="Times New Roman" w:hAnsi="Times New Roman"/>
          <w:lang w:val="lt-LT"/>
        </w:rPr>
        <w:t>acetilsalicilo</w:t>
      </w:r>
      <w:proofErr w:type="spellEnd"/>
      <w:r w:rsidRPr="00660C98">
        <w:rPr>
          <w:rFonts w:ascii="Times New Roman" w:eastAsia="Times New Roman" w:hAnsi="Times New Roman"/>
          <w:lang w:val="lt-LT"/>
        </w:rPr>
        <w:t xml:space="preserve"> rūgšties arba </w:t>
      </w:r>
      <w:proofErr w:type="spellStart"/>
      <w:r w:rsidRPr="00660C98">
        <w:rPr>
          <w:rFonts w:ascii="Times New Roman" w:eastAsia="Times New Roman" w:hAnsi="Times New Roman"/>
          <w:lang w:val="lt-LT"/>
        </w:rPr>
        <w:t>ibuprofeno</w:t>
      </w:r>
      <w:proofErr w:type="spellEnd"/>
      <w:r w:rsidRPr="00660C98">
        <w:rPr>
          <w:rFonts w:ascii="Times New Roman" w:eastAsia="Times New Roman" w:hAnsi="Times New Roman"/>
          <w:lang w:val="lt-LT"/>
        </w:rPr>
        <w:t>;</w:t>
      </w:r>
    </w:p>
    <w:p w:rsidR="00660C98" w:rsidRPr="00660C98" w:rsidRDefault="00660C98" w:rsidP="00660C98">
      <w:pPr>
        <w:numPr>
          <w:ilvl w:val="0"/>
          <w:numId w:val="22"/>
        </w:numPr>
        <w:tabs>
          <w:tab w:val="clear" w:pos="357"/>
          <w:tab w:val="num" w:pos="-623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kortikosteroidų (vaistai, vartojami uždegimui palengvinti);</w:t>
      </w:r>
    </w:p>
    <w:p w:rsidR="00660C98" w:rsidRPr="00660C98" w:rsidRDefault="00660C98" w:rsidP="00660C98">
      <w:pPr>
        <w:numPr>
          <w:ilvl w:val="0"/>
          <w:numId w:val="22"/>
        </w:numPr>
        <w:tabs>
          <w:tab w:val="clear" w:pos="357"/>
          <w:tab w:val="num" w:pos="-623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 xml:space="preserve">kraujo krešėjimą mažinančių vaistų (vaistai, vartojami mažinant kraujo krešėjimą arba antikoaguliantai); </w:t>
      </w:r>
    </w:p>
    <w:p w:rsidR="00660C98" w:rsidRPr="00660C98" w:rsidRDefault="00660C98" w:rsidP="00660C98">
      <w:pPr>
        <w:tabs>
          <w:tab w:val="left" w:pos="-623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sym w:font="Symbol" w:char="F0B7"/>
      </w:r>
      <w:r w:rsidRPr="00660C98">
        <w:rPr>
          <w:rFonts w:ascii="Times New Roman" w:eastAsia="Times New Roman" w:hAnsi="Times New Roman"/>
          <w:lang w:val="lt-LT"/>
        </w:rPr>
        <w:tab/>
        <w:t>vaistų nuo diabeto, išskyrus insuliną;</w:t>
      </w:r>
    </w:p>
    <w:p w:rsidR="00660C98" w:rsidRPr="00660C98" w:rsidRDefault="00660C98" w:rsidP="00660C98">
      <w:pPr>
        <w:numPr>
          <w:ilvl w:val="0"/>
          <w:numId w:val="22"/>
        </w:numPr>
        <w:tabs>
          <w:tab w:val="clear" w:pos="357"/>
          <w:tab w:val="left" w:pos="-6237"/>
        </w:tabs>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metotreksato</w:t>
      </w:r>
      <w:proofErr w:type="spellEnd"/>
      <w:r w:rsidRPr="00660C98">
        <w:rPr>
          <w:rFonts w:ascii="Times New Roman" w:eastAsia="Times New Roman" w:hAnsi="Times New Roman"/>
          <w:lang w:val="lt-LT"/>
        </w:rPr>
        <w:t xml:space="preserve"> (vaistas nuo kai kurių vėžio rūšių arba artrito); </w:t>
      </w:r>
    </w:p>
    <w:p w:rsidR="00660C98" w:rsidRPr="00660C98" w:rsidRDefault="00660C98" w:rsidP="00660C98">
      <w:pPr>
        <w:numPr>
          <w:ilvl w:val="0"/>
          <w:numId w:val="22"/>
        </w:numPr>
        <w:tabs>
          <w:tab w:val="clear" w:pos="357"/>
          <w:tab w:val="num" w:pos="-6237"/>
        </w:tabs>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ciklosporino</w:t>
      </w:r>
      <w:proofErr w:type="spellEnd"/>
      <w:r w:rsidRPr="00660C98">
        <w:rPr>
          <w:rFonts w:ascii="Times New Roman" w:eastAsia="Times New Roman" w:hAnsi="Times New Roman"/>
          <w:lang w:val="lt-LT"/>
        </w:rPr>
        <w:t xml:space="preserve"> ir </w:t>
      </w:r>
      <w:proofErr w:type="spellStart"/>
      <w:r w:rsidRPr="00660C98">
        <w:rPr>
          <w:rFonts w:ascii="Times New Roman" w:eastAsia="Times New Roman" w:hAnsi="Times New Roman"/>
          <w:lang w:val="lt-LT"/>
        </w:rPr>
        <w:t>takrolimuzo</w:t>
      </w:r>
      <w:proofErr w:type="spellEnd"/>
      <w:r w:rsidRPr="00660C98">
        <w:rPr>
          <w:rFonts w:ascii="Times New Roman" w:eastAsia="Times New Roman" w:hAnsi="Times New Roman"/>
          <w:lang w:val="lt-LT"/>
        </w:rPr>
        <w:t xml:space="preserve"> (vaistas, pirmiausiai vartojamas pacientų, kuriems persodinti organai);</w:t>
      </w:r>
    </w:p>
    <w:p w:rsidR="00660C98" w:rsidRPr="00660C98" w:rsidRDefault="00660C98" w:rsidP="00660C98">
      <w:pPr>
        <w:numPr>
          <w:ilvl w:val="0"/>
          <w:numId w:val="22"/>
        </w:numPr>
        <w:tabs>
          <w:tab w:val="clear" w:pos="357"/>
          <w:tab w:val="left" w:pos="-2268"/>
        </w:tabs>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trimetoprimo</w:t>
      </w:r>
      <w:proofErr w:type="spellEnd"/>
      <w:r w:rsidRPr="00660C98">
        <w:rPr>
          <w:rFonts w:ascii="Times New Roman" w:eastAsia="Times New Roman" w:hAnsi="Times New Roman"/>
          <w:lang w:val="lt-LT"/>
        </w:rPr>
        <w:t xml:space="preserve"> (vaisto šlapimo takų infekcijai gydyti ar jos profilaktikai);</w:t>
      </w:r>
    </w:p>
    <w:p w:rsidR="00660C98" w:rsidRPr="00660C98" w:rsidRDefault="00660C98" w:rsidP="00660C98">
      <w:pPr>
        <w:numPr>
          <w:ilvl w:val="0"/>
          <w:numId w:val="22"/>
        </w:numPr>
        <w:tabs>
          <w:tab w:val="clear" w:pos="357"/>
          <w:tab w:val="num" w:pos="-6237"/>
        </w:tabs>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chinolonų</w:t>
      </w:r>
      <w:proofErr w:type="spellEnd"/>
      <w:r w:rsidRPr="00660C98">
        <w:rPr>
          <w:rFonts w:ascii="Times New Roman" w:eastAsia="Times New Roman" w:hAnsi="Times New Roman"/>
          <w:lang w:val="lt-LT"/>
        </w:rPr>
        <w:t xml:space="preserve"> grupės antibakterinių vaistų (vaistų nuo infekcijos);</w:t>
      </w:r>
    </w:p>
    <w:p w:rsidR="00660C98" w:rsidRPr="00660C98" w:rsidRDefault="00660C98" w:rsidP="00660C98">
      <w:pPr>
        <w:numPr>
          <w:ilvl w:val="0"/>
          <w:numId w:val="22"/>
        </w:numPr>
        <w:tabs>
          <w:tab w:val="clear" w:pos="357"/>
          <w:tab w:val="num" w:pos="-6237"/>
        </w:tabs>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vorikonazolo</w:t>
      </w:r>
      <w:proofErr w:type="spellEnd"/>
      <w:r w:rsidRPr="00660C98">
        <w:rPr>
          <w:rFonts w:ascii="Times New Roman" w:eastAsia="Times New Roman" w:hAnsi="Times New Roman"/>
          <w:lang w:val="lt-LT"/>
        </w:rPr>
        <w:t xml:space="preserve"> (vaistas, skirtas grybelinėms infekcijoms gydyti);</w:t>
      </w:r>
    </w:p>
    <w:p w:rsidR="00660C98" w:rsidRPr="00660C98" w:rsidRDefault="00660C98" w:rsidP="00660C98">
      <w:pPr>
        <w:numPr>
          <w:ilvl w:val="0"/>
          <w:numId w:val="22"/>
        </w:numPr>
        <w:tabs>
          <w:tab w:val="clear" w:pos="357"/>
          <w:tab w:val="num" w:pos="540"/>
        </w:tabs>
        <w:spacing w:after="0" w:line="240" w:lineRule="auto"/>
        <w:ind w:left="540" w:hanging="540"/>
        <w:rPr>
          <w:rFonts w:ascii="Times New Roman" w:eastAsia="Times New Roman" w:hAnsi="Times New Roman"/>
          <w:lang w:val="lt-LT"/>
        </w:rPr>
      </w:pPr>
      <w:proofErr w:type="spellStart"/>
      <w:r w:rsidRPr="00660C98">
        <w:rPr>
          <w:rFonts w:ascii="Times New Roman" w:eastAsia="Times New Roman" w:hAnsi="Times New Roman"/>
          <w:lang w:val="lt-LT"/>
        </w:rPr>
        <w:t>fenitoino</w:t>
      </w:r>
      <w:proofErr w:type="spellEnd"/>
      <w:r w:rsidRPr="00660C98">
        <w:rPr>
          <w:rFonts w:ascii="Times New Roman" w:eastAsia="Times New Roman" w:hAnsi="Times New Roman"/>
          <w:lang w:val="lt-LT"/>
        </w:rPr>
        <w:t xml:space="preserve"> (vaistas, vartojamas epilepsijai gydyti);</w:t>
      </w:r>
    </w:p>
    <w:p w:rsidR="00660C98" w:rsidRPr="00660C98" w:rsidRDefault="00660C98" w:rsidP="00660C98">
      <w:pPr>
        <w:numPr>
          <w:ilvl w:val="0"/>
          <w:numId w:val="22"/>
        </w:numPr>
        <w:tabs>
          <w:tab w:val="clear" w:pos="357"/>
          <w:tab w:val="num" w:pos="540"/>
        </w:tabs>
        <w:spacing w:after="0" w:line="240" w:lineRule="auto"/>
        <w:ind w:left="540" w:hanging="540"/>
        <w:rPr>
          <w:rFonts w:ascii="Times New Roman" w:eastAsia="Times New Roman" w:hAnsi="Times New Roman"/>
          <w:lang w:val="lt-LT"/>
        </w:rPr>
      </w:pPr>
      <w:proofErr w:type="spellStart"/>
      <w:r w:rsidRPr="00660C98">
        <w:rPr>
          <w:rFonts w:ascii="Times New Roman" w:eastAsia="Times New Roman" w:hAnsi="Times New Roman"/>
          <w:lang w:val="lt-LT"/>
        </w:rPr>
        <w:t>kolestipolio</w:t>
      </w:r>
      <w:proofErr w:type="spellEnd"/>
      <w:r w:rsidRPr="00660C98">
        <w:rPr>
          <w:rFonts w:ascii="Times New Roman" w:eastAsia="Times New Roman" w:hAnsi="Times New Roman"/>
          <w:lang w:val="lt-LT"/>
        </w:rPr>
        <w:t xml:space="preserve"> ir </w:t>
      </w:r>
      <w:proofErr w:type="spellStart"/>
      <w:r w:rsidRPr="00660C98">
        <w:rPr>
          <w:rFonts w:ascii="Times New Roman" w:eastAsia="Times New Roman" w:hAnsi="Times New Roman"/>
          <w:lang w:val="lt-LT"/>
        </w:rPr>
        <w:t>cholestiramino</w:t>
      </w:r>
      <w:proofErr w:type="spellEnd"/>
      <w:r w:rsidRPr="00660C98">
        <w:rPr>
          <w:rFonts w:ascii="Times New Roman" w:eastAsia="Times New Roman" w:hAnsi="Times New Roman"/>
          <w:lang w:val="lt-LT"/>
        </w:rPr>
        <w:t xml:space="preserve"> (vartojami cholesterolio kiekio kraujyje reguliavimui).</w:t>
      </w:r>
    </w:p>
    <w:p w:rsidR="00660C98" w:rsidRPr="00660C98" w:rsidRDefault="00660C98" w:rsidP="00660C98">
      <w:pPr>
        <w:tabs>
          <w:tab w:val="left" w:pos="0"/>
          <w:tab w:val="left" w:pos="567"/>
        </w:tabs>
        <w:spacing w:after="0" w:line="240" w:lineRule="auto"/>
        <w:ind w:left="567" w:hanging="567"/>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bCs/>
          <w:lang w:val="lt-LT"/>
        </w:rPr>
      </w:pPr>
      <w:proofErr w:type="spellStart"/>
      <w:r w:rsidRPr="00660C98">
        <w:rPr>
          <w:rFonts w:ascii="Times New Roman" w:eastAsia="Times New Roman" w:hAnsi="Times New Roman"/>
          <w:b/>
          <w:bCs/>
          <w:lang w:val="lt-LT"/>
        </w:rPr>
        <w:t>Cataflam</w:t>
      </w:r>
      <w:proofErr w:type="spellEnd"/>
      <w:r w:rsidRPr="00660C98">
        <w:rPr>
          <w:rFonts w:ascii="Times New Roman" w:eastAsia="Times New Roman" w:hAnsi="Times New Roman"/>
          <w:b/>
          <w:bCs/>
          <w:lang w:val="lt-LT"/>
        </w:rPr>
        <w:t xml:space="preserve"> vartojimas su maistu ir gėrimais</w:t>
      </w:r>
    </w:p>
    <w:p w:rsidR="00660C98" w:rsidRPr="00660C98" w:rsidRDefault="00660C98" w:rsidP="00660C98">
      <w:pPr>
        <w:numPr>
          <w:ilvl w:val="0"/>
          <w:numId w:val="22"/>
        </w:numPr>
        <w:tabs>
          <w:tab w:val="clear" w:pos="357"/>
        </w:tabs>
        <w:spacing w:after="0" w:line="240" w:lineRule="auto"/>
        <w:ind w:left="567" w:hanging="567"/>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dengtą tabletę nuryti visą, užsigeriant stikline vandens ar kitokio skysčio.</w:t>
      </w:r>
    </w:p>
    <w:p w:rsidR="00660C98" w:rsidRPr="00660C98" w:rsidRDefault="00660C98" w:rsidP="00660C98">
      <w:pPr>
        <w:numPr>
          <w:ilvl w:val="0"/>
          <w:numId w:val="22"/>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 xml:space="preserve">Patariama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dengtą tabletę vartoti prieš valgį ar nevalgius.</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Nėštumas, žindymo laikotarpis ir vaisingumas</w:t>
      </w:r>
    </w:p>
    <w:p w:rsid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Jūs esate nėščia, žindote kūdikį, manote, kad galbūt esate nėščia</w:t>
      </w:r>
      <w:r w:rsidR="00AA5DA7">
        <w:rPr>
          <w:rFonts w:ascii="Times New Roman" w:eastAsia="Times New Roman" w:hAnsi="Times New Roman"/>
          <w:lang w:val="lt-LT"/>
        </w:rPr>
        <w:t>,</w:t>
      </w:r>
      <w:r w:rsidRPr="00660C98">
        <w:rPr>
          <w:rFonts w:ascii="Times New Roman" w:eastAsia="Times New Roman" w:hAnsi="Times New Roman"/>
          <w:lang w:val="lt-LT"/>
        </w:rPr>
        <w:t xml:space="preserve"> arba planuojate pastoti, tai prieš vartodama šį vaistą</w:t>
      </w:r>
      <w:r w:rsidR="00AA5DA7">
        <w:rPr>
          <w:rFonts w:ascii="Times New Roman" w:eastAsia="Times New Roman" w:hAnsi="Times New Roman"/>
          <w:lang w:val="lt-LT"/>
        </w:rPr>
        <w:t>,</w:t>
      </w:r>
      <w:r w:rsidRPr="00660C98">
        <w:rPr>
          <w:rFonts w:ascii="Times New Roman" w:eastAsia="Times New Roman" w:hAnsi="Times New Roman"/>
          <w:lang w:val="lt-LT"/>
        </w:rPr>
        <w:t xml:space="preserve"> pasitarkite su gydytoju.</w:t>
      </w:r>
    </w:p>
    <w:p w:rsidR="00AA5DA7" w:rsidRPr="00660C98" w:rsidRDefault="00AA5DA7" w:rsidP="00660C98">
      <w:pPr>
        <w:tabs>
          <w:tab w:val="left" w:pos="0"/>
          <w:tab w:val="left" w:pos="567"/>
        </w:tabs>
        <w:spacing w:after="0" w:line="240" w:lineRule="auto"/>
        <w:rPr>
          <w:rFonts w:ascii="Times New Roman" w:eastAsia="Times New Roman" w:hAnsi="Times New Roman"/>
          <w:lang w:val="lt-LT"/>
        </w:rPr>
      </w:pPr>
    </w:p>
    <w:p w:rsidR="00660C98" w:rsidRDefault="00660C98" w:rsidP="00660C98">
      <w:pPr>
        <w:tabs>
          <w:tab w:val="left" w:pos="0"/>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pirmus šešis nėštumo mėnesius vartoti draudžiama, išskyrus būtinus atvejus.</w:t>
      </w:r>
    </w:p>
    <w:p w:rsidR="00AA5DA7" w:rsidRPr="00660C98" w:rsidRDefault="00AA5DA7" w:rsidP="00660C98">
      <w:pPr>
        <w:tabs>
          <w:tab w:val="left" w:pos="0"/>
          <w:tab w:val="left" w:pos="567"/>
        </w:tabs>
        <w:spacing w:after="0" w:line="240" w:lineRule="auto"/>
        <w:rPr>
          <w:rFonts w:ascii="Times New Roman" w:eastAsia="Times New Roman" w:hAnsi="Times New Roman"/>
          <w:i/>
          <w:lang w:val="lt-LT"/>
        </w:rPr>
      </w:pPr>
    </w:p>
    <w:p w:rsidR="00660C98" w:rsidRDefault="00660C98" w:rsidP="00660C98">
      <w:pPr>
        <w:tabs>
          <w:tab w:val="left" w:pos="0"/>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kaip ir kitų nesteroidinių priešuždegiminių vaistų, draudžiama vartoti paskutinių 3 nėštumo mėnesių laikotarpiu, nes gali būti labai pažeistas vaisius arba pasunkėti gimdymas.</w:t>
      </w:r>
    </w:p>
    <w:p w:rsidR="00AA5DA7" w:rsidRPr="00660C98" w:rsidRDefault="00AA5DA7"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Dėl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vartojimo gali būti sunkiau pastoti. Nevartokite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jei planuojate pastoti ar jei Jums sunku pastoti, išskyrus būtinus atvejus. </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vartojate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žindyti draudžiama, nes tai gali būti žalinga kūdikiui.</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Prieš vartojant bet kokį vaistą, būtina pasitarti su gydytoju arba vaistininku.</w:t>
      </w:r>
    </w:p>
    <w:p w:rsidR="00660C98" w:rsidRPr="00660C98" w:rsidRDefault="00660C98" w:rsidP="00660C98">
      <w:pPr>
        <w:spacing w:after="0" w:line="240" w:lineRule="auto"/>
        <w:rPr>
          <w:rFonts w:ascii="Times New Roman" w:eastAsia="Times New Roman" w:hAnsi="Times New Roman"/>
          <w:b/>
          <w:lang w:val="lt-LT"/>
        </w:rPr>
      </w:pPr>
      <w:r w:rsidRPr="00660C98">
        <w:rPr>
          <w:rFonts w:ascii="Times New Roman" w:eastAsia="Times New Roman" w:hAnsi="Times New Roman"/>
          <w:lang w:val="lt-LT"/>
        </w:rPr>
        <w:t xml:space="preserve">Gydytojas su Jumis aptars galimą su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vartojimu nėštumo ar žindymo laikotarpiu susijusią riziką.</w:t>
      </w: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i/>
          <w:lang w:val="lt-LT"/>
        </w:rPr>
      </w:pPr>
      <w:r w:rsidRPr="00660C98">
        <w:rPr>
          <w:rFonts w:ascii="Times New Roman" w:eastAsia="Times New Roman" w:hAnsi="Times New Roman"/>
          <w:b/>
          <w:lang w:val="lt-LT"/>
        </w:rPr>
        <w:t xml:space="preserve">Vairavimas ir mechanizmų valdymas </w:t>
      </w:r>
    </w:p>
    <w:p w:rsidR="00660C98" w:rsidRDefault="00660C98" w:rsidP="00660C98">
      <w:pPr>
        <w:tabs>
          <w:tab w:val="left" w:pos="0"/>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neturėtų sukelti poveikio gebėjimui vairuoti, valdyti mechanizmus ar atlikti kitokius dėmesio reikalaujančius veiksmus.</w:t>
      </w:r>
    </w:p>
    <w:p w:rsidR="00AA5DA7" w:rsidRPr="00660C98" w:rsidRDefault="00AA5DA7"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Labai retai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vartojantiems žmonėms gali atsirasti galvos svaigimas, mieguistumas arba sutrikti rega. Jei toks poveikis pasireiškia, reikia susilaikyti nuo automobilio vairavimo ar darbo su veikiančiais mechanizmais ar kitokių, dėmesio reikalaujančių veiksmų.</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 xml:space="preserve">Svarbi informacija apie kai kurias pagalbines </w:t>
      </w:r>
      <w:proofErr w:type="spellStart"/>
      <w:r w:rsidRPr="00660C98">
        <w:rPr>
          <w:rFonts w:ascii="Times New Roman" w:eastAsia="Times New Roman" w:hAnsi="Times New Roman"/>
          <w:b/>
          <w:lang w:val="lt-LT"/>
        </w:rPr>
        <w:t>Cataflam</w:t>
      </w:r>
      <w:proofErr w:type="spellEnd"/>
      <w:r w:rsidRPr="00660C98">
        <w:rPr>
          <w:rFonts w:ascii="Times New Roman" w:eastAsia="Times New Roman" w:hAnsi="Times New Roman"/>
          <w:b/>
          <w:lang w:val="lt-LT"/>
        </w:rPr>
        <w:t xml:space="preserve"> medžiagas</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50 mg dengtose tabletėse yra sacharozės (cukraus). Jeigu gydytojas Jums yra sakęs, kad netoleruojate kokių nors angliavandenių, kreipkitės į jį prieš pradėdami vartoti šį vaistą.</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3.</w:t>
      </w:r>
      <w:r w:rsidRPr="00660C98">
        <w:rPr>
          <w:rFonts w:ascii="Times New Roman" w:eastAsia="Times New Roman" w:hAnsi="Times New Roman"/>
          <w:b/>
          <w:lang w:val="lt-LT"/>
        </w:rPr>
        <w:tab/>
        <w:t xml:space="preserve">Kaip vartoti </w:t>
      </w:r>
      <w:proofErr w:type="spellStart"/>
      <w:r w:rsidRPr="00660C98">
        <w:rPr>
          <w:rFonts w:ascii="Times New Roman" w:eastAsia="Times New Roman" w:hAnsi="Times New Roman"/>
          <w:b/>
          <w:lang w:val="lt-LT"/>
        </w:rPr>
        <w:t>Cataflam</w:t>
      </w:r>
      <w:proofErr w:type="spellEnd"/>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visada vartokite tiksliai, kaip nurodė gydytojas. Nepasitarus su gydytoju, dozės keisti negalima. Jeigu abejojate, kreipkitės į gydytoją arba vaistininką.</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Cs/>
          <w:i/>
          <w:iCs/>
          <w:lang w:val="lt-LT"/>
        </w:rPr>
      </w:pPr>
      <w:r w:rsidRPr="00660C98">
        <w:rPr>
          <w:rFonts w:ascii="Times New Roman" w:eastAsia="Times New Roman" w:hAnsi="Times New Roman"/>
          <w:bCs/>
          <w:i/>
          <w:iCs/>
          <w:lang w:val="lt-LT"/>
        </w:rPr>
        <w:t>Kokią dozę gerti</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Paskirtos dozės viršyti negalima. Svarbu vartoti mažiausią dozę, kuri kontroliuoja Jūsų skausmą ir negerti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ilgiau negu reikia.</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Gydytojas pasakys Jums kiek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reikia gerti. Priklausomai nuo to, kaip Jūs reaguosite į gydymą, gydytojas gali padidinti arba sumažinti dozę.</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Cs/>
          <w:i/>
          <w:iCs/>
          <w:lang w:val="lt-LT"/>
        </w:rPr>
      </w:pPr>
      <w:r w:rsidRPr="00660C98">
        <w:rPr>
          <w:rFonts w:ascii="Times New Roman" w:eastAsia="Times New Roman" w:hAnsi="Times New Roman"/>
          <w:bCs/>
          <w:i/>
          <w:iCs/>
          <w:lang w:val="lt-LT"/>
        </w:rPr>
        <w:t>Suaugę žmonės</w:t>
      </w: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Paprastai gydymo pradžioje paros dozė yra 100 – 150 mg. Jei liga vidutinio sunkumo, paprastai pakanka per parą 50 – 100 mg preparato. Paprastai visą paros dozę reikia padalyti į lygias dalis ir išgerti per 2 – 3 kartus. Nevartokite daugiau kaip 150 mg per parą.</w:t>
      </w:r>
    </w:p>
    <w:p w:rsidR="00D32FD6" w:rsidRPr="00660C98" w:rsidRDefault="00D32FD6" w:rsidP="00660C98">
      <w:pPr>
        <w:tabs>
          <w:tab w:val="left" w:pos="567"/>
        </w:tabs>
        <w:spacing w:after="0" w:line="240" w:lineRule="auto"/>
        <w:rPr>
          <w:rFonts w:ascii="Times New Roman" w:eastAsia="Times New Roman" w:hAnsi="Times New Roman"/>
          <w:lang w:val="lt-LT"/>
        </w:rPr>
      </w:pPr>
    </w:p>
    <w:p w:rsid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reikia gydyti mėnesinių sukeltą skausmą, kai tik pajuntami pirmieji simptomai, pradžioje </w:t>
      </w:r>
      <w:r w:rsidR="00D32FD6">
        <w:rPr>
          <w:rFonts w:ascii="Times New Roman" w:eastAsia="Times New Roman" w:hAnsi="Times New Roman"/>
          <w:lang w:val="lt-LT"/>
        </w:rPr>
        <w:t xml:space="preserve"> </w:t>
      </w:r>
      <w:r w:rsidRPr="00660C98">
        <w:rPr>
          <w:rFonts w:ascii="Times New Roman" w:eastAsia="Times New Roman" w:hAnsi="Times New Roman"/>
          <w:lang w:val="lt-LT"/>
        </w:rPr>
        <w:t>reikia išgerti vieną 50 –100 mg dozę. Prireikus, vaisto galima gerti po 50 mg tris kartus per parą kelias dienas. Nevartokite daugiau kaip 150 mg per parą.</w:t>
      </w:r>
    </w:p>
    <w:p w:rsidR="00D32FD6" w:rsidRPr="00660C98" w:rsidRDefault="00D32FD6"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Migrenos priepuolį pradėkite gydyti vienkartine 50 mg doze iš karto, kai tik atsiranda pirmųjų priepuolio simptomų. Jei po pirmos dozės per 2 valandas skausmas sumažėja nepakankamai, galima vartoti kitą 50 mg dozę. Būtinu atveju tokią dozę galima vartoti kas 4 – 6 valandas. Nevartokite daugiau kaip 150 mg per parą.</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Cs/>
          <w:i/>
          <w:iCs/>
          <w:u w:val="single"/>
          <w:lang w:val="lt-LT"/>
        </w:rPr>
      </w:pPr>
      <w:r w:rsidRPr="00660C98">
        <w:rPr>
          <w:rFonts w:ascii="Times New Roman" w:eastAsia="Times New Roman" w:hAnsi="Times New Roman"/>
          <w:bCs/>
          <w:i/>
          <w:iCs/>
          <w:lang w:val="lt-LT"/>
        </w:rPr>
        <w:t>Vaikai ir paaugliai</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Paaugliams virš 14 metų paprastai pakanka vartoti 50-100 mg per parą.</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Paprastai visą paros dozę reikia padalyti į lygias dalis ir išgerti per 2 – 3 kartus. Nevartokite daugiau kaip 150 mg per parą.</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ind w:left="720" w:hanging="720"/>
        <w:rPr>
          <w:rFonts w:ascii="Times New Roman" w:eastAsia="Times New Roman" w:hAnsi="Times New Roman"/>
          <w:bCs/>
          <w:i/>
          <w:iCs/>
          <w:lang w:val="lt-LT"/>
        </w:rPr>
      </w:pPr>
      <w:r w:rsidRPr="00660C98">
        <w:rPr>
          <w:rFonts w:ascii="Times New Roman" w:eastAsia="Times New Roman" w:hAnsi="Times New Roman"/>
          <w:bCs/>
          <w:i/>
          <w:iCs/>
          <w:lang w:val="lt-LT"/>
        </w:rPr>
        <w:t>Senyvi žmonės</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Senyvi pacientai į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poveikį gali labiau reaguoti nei kiti suaugę žmonės. Todėl, jie turi tiksliai laikytis gydytojo nurodymų ir vartoti mažiausią dozę, kuri palengvina simptomus. Labai svarbu, kad atsiradus šalutiniam poveikiui pagyvenęs pacientas apie tai nedelsdamas pasakytų gydytojui.</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Cs/>
          <w:i/>
          <w:iCs/>
          <w:lang w:val="lt-LT"/>
        </w:rPr>
      </w:pPr>
      <w:r w:rsidRPr="00660C98">
        <w:rPr>
          <w:rFonts w:ascii="Times New Roman" w:eastAsia="Times New Roman" w:hAnsi="Times New Roman"/>
          <w:bCs/>
          <w:i/>
          <w:iCs/>
          <w:lang w:val="lt-LT"/>
        </w:rPr>
        <w:t xml:space="preserve">Kaip vartoti </w:t>
      </w:r>
      <w:proofErr w:type="spellStart"/>
      <w:r w:rsidRPr="00660C98">
        <w:rPr>
          <w:rFonts w:ascii="Times New Roman" w:eastAsia="Times New Roman" w:hAnsi="Times New Roman"/>
          <w:bCs/>
          <w:i/>
          <w:iCs/>
          <w:lang w:val="lt-LT"/>
        </w:rPr>
        <w:t>Cataflam</w:t>
      </w:r>
      <w:proofErr w:type="spellEnd"/>
    </w:p>
    <w:p w:rsidR="00660C98" w:rsidRPr="00660C98" w:rsidRDefault="00660C98" w:rsidP="00660C98">
      <w:pPr>
        <w:tabs>
          <w:tab w:val="left" w:pos="567"/>
        </w:tabs>
        <w:spacing w:after="0" w:line="240" w:lineRule="auto"/>
        <w:rPr>
          <w:rFonts w:ascii="Times New Roman" w:eastAsia="Times New Roman" w:hAnsi="Times New Roman"/>
          <w:b/>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dengtas tabletes reikia gerti sveikas, užgeriant stikline vandens ar kitokio skysčio. Geriau gerti prieš valgį ar nevalgius. Negalima tablečių dalinti arba kramtyti.</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i/>
          <w:lang w:val="lt-LT"/>
        </w:rPr>
      </w:pPr>
      <w:r w:rsidRPr="00660C98">
        <w:rPr>
          <w:rFonts w:ascii="Times New Roman" w:eastAsia="Times New Roman" w:hAnsi="Times New Roman"/>
          <w:b/>
          <w:lang w:val="lt-LT"/>
        </w:rPr>
        <w:t xml:space="preserve">Ką daryti pavartojus per didelę </w:t>
      </w:r>
      <w:proofErr w:type="spellStart"/>
      <w:r w:rsidRPr="00660C98">
        <w:rPr>
          <w:rFonts w:ascii="Times New Roman" w:eastAsia="Times New Roman" w:hAnsi="Times New Roman"/>
          <w:b/>
          <w:lang w:val="lt-LT"/>
        </w:rPr>
        <w:t>Cataflam</w:t>
      </w:r>
      <w:proofErr w:type="spellEnd"/>
      <w:r w:rsidRPr="00660C98">
        <w:rPr>
          <w:rFonts w:ascii="Times New Roman" w:eastAsia="Times New Roman" w:hAnsi="Times New Roman"/>
          <w:b/>
          <w:lang w:val="lt-LT"/>
        </w:rPr>
        <w:t xml:space="preserve"> dozę?</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atsitiktinai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dengtų tablečių pavartojama daugiau, negu nurodyta, pirmiausiai kreipkitės į gydytoją arba vaistininką arba važiuokite į greitosios pagalbos skyrių. </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Jums gali prireikti medicinos pagalbos.</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 xml:space="preserve">Pamiršus pavartoti </w:t>
      </w:r>
      <w:proofErr w:type="spellStart"/>
      <w:r w:rsidRPr="00660C98">
        <w:rPr>
          <w:rFonts w:ascii="Times New Roman" w:eastAsia="Times New Roman" w:hAnsi="Times New Roman"/>
          <w:b/>
          <w:lang w:val="lt-LT"/>
        </w:rPr>
        <w:t>Cataflam</w:t>
      </w:r>
      <w:proofErr w:type="spellEnd"/>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 pamiršote išgerti vaisto, išgerkite, kai tik prisiminėte. Jei artėja laikas gerti sekančią dozę, pamirštosios gerti nereikia. Negalima vartoti dvigubos dozės norint kompensuoti praleistą dozę.</w:t>
      </w:r>
    </w:p>
    <w:p w:rsidR="00660C98" w:rsidRPr="00660C98" w:rsidRDefault="00660C98" w:rsidP="00660C98">
      <w:pPr>
        <w:tabs>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 xml:space="preserve">Nustojus vartoti </w:t>
      </w:r>
      <w:proofErr w:type="spellStart"/>
      <w:r w:rsidRPr="00660C98">
        <w:rPr>
          <w:rFonts w:ascii="Times New Roman" w:eastAsia="Times New Roman" w:hAnsi="Times New Roman"/>
          <w:b/>
          <w:lang w:val="lt-LT"/>
        </w:rPr>
        <w:t>Cataflam</w:t>
      </w:r>
      <w:proofErr w:type="spellEnd"/>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Tiksliai laikykitės visų gydytojo nurodymų.</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Jeigu manote, kad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veikia per stipriai arba per silpnai, kreipkitės į gydytoją arba vaistininką.</w:t>
      </w:r>
    </w:p>
    <w:p w:rsidR="00660C98" w:rsidRPr="00660C98" w:rsidRDefault="00660C98" w:rsidP="00660C98">
      <w:pPr>
        <w:tabs>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kiltų daugiau klausimų dėl šio vaisto vartojimo, kreipkitės į gydytoją arba vaistininką.</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spacing w:after="0" w:line="240" w:lineRule="auto"/>
        <w:ind w:left="720" w:hanging="720"/>
        <w:rPr>
          <w:rFonts w:ascii="Times New Roman" w:eastAsia="Times New Roman" w:hAnsi="Times New Roman"/>
          <w:b/>
          <w:bCs/>
          <w:lang w:val="lt-LT"/>
        </w:rPr>
      </w:pPr>
      <w:r w:rsidRPr="00660C98">
        <w:rPr>
          <w:rFonts w:ascii="Times New Roman" w:eastAsia="Times New Roman" w:hAnsi="Times New Roman"/>
          <w:b/>
          <w:lang w:val="lt-LT"/>
        </w:rPr>
        <w:t>4.</w:t>
      </w:r>
      <w:r w:rsidRPr="00660C98">
        <w:rPr>
          <w:rFonts w:ascii="Times New Roman" w:eastAsia="Times New Roman" w:hAnsi="Times New Roman"/>
          <w:b/>
          <w:lang w:val="lt-LT"/>
        </w:rPr>
        <w:tab/>
      </w:r>
      <w:r w:rsidRPr="00660C98">
        <w:rPr>
          <w:rFonts w:ascii="Times New Roman" w:eastAsia="Times New Roman" w:hAnsi="Times New Roman"/>
          <w:b/>
          <w:bCs/>
          <w:lang w:val="lt-LT"/>
        </w:rPr>
        <w:t>Galimas šalutinis poveikis</w:t>
      </w: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Šis vaistas, kaip ir visi kiti, gali sukelti šalutinį poveikį, nors jis pasireiškia ne visiems žmonėms.</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1A6251" w:rsidP="00660C98">
      <w:pPr>
        <w:spacing w:after="0" w:line="240" w:lineRule="auto"/>
        <w:ind w:left="567" w:hanging="567"/>
        <w:rPr>
          <w:rFonts w:ascii="Times New Roman" w:eastAsia="Times New Roman" w:hAnsi="Times New Roman"/>
          <w:bCs/>
          <w:iCs/>
          <w:lang w:val="lt-LT"/>
        </w:rPr>
      </w:pPr>
      <w:r>
        <w:rPr>
          <w:rFonts w:ascii="Times New Roman" w:eastAsia="Times New Roman" w:hAnsi="Times New Roman"/>
          <w:bCs/>
          <w:iCs/>
          <w:lang w:val="lt-LT"/>
        </w:rPr>
        <w:t xml:space="preserve">Kai </w:t>
      </w:r>
      <w:r w:rsidRPr="00660C98">
        <w:rPr>
          <w:rFonts w:ascii="Times New Roman" w:eastAsia="Times New Roman" w:hAnsi="Times New Roman"/>
          <w:bCs/>
          <w:iCs/>
          <w:lang w:val="lt-LT"/>
        </w:rPr>
        <w:t>kuri</w:t>
      </w:r>
      <w:r w:rsidR="00E00708">
        <w:rPr>
          <w:rFonts w:ascii="Times New Roman" w:eastAsia="Times New Roman" w:hAnsi="Times New Roman"/>
          <w:bCs/>
          <w:iCs/>
          <w:lang w:val="lt-LT"/>
        </w:rPr>
        <w:t>s</w:t>
      </w:r>
      <w:r w:rsidRPr="00660C98">
        <w:rPr>
          <w:rFonts w:ascii="Times New Roman" w:eastAsia="Times New Roman" w:hAnsi="Times New Roman"/>
          <w:bCs/>
          <w:iCs/>
          <w:lang w:val="lt-LT"/>
        </w:rPr>
        <w:t xml:space="preserve"> </w:t>
      </w:r>
      <w:r>
        <w:rPr>
          <w:rFonts w:ascii="Times New Roman" w:eastAsia="Times New Roman" w:hAnsi="Times New Roman"/>
          <w:bCs/>
          <w:iCs/>
          <w:lang w:val="lt-LT"/>
        </w:rPr>
        <w:t>š</w:t>
      </w:r>
      <w:r w:rsidR="00660C98" w:rsidRPr="00660C98">
        <w:rPr>
          <w:rFonts w:ascii="Times New Roman" w:eastAsia="Times New Roman" w:hAnsi="Times New Roman"/>
          <w:bCs/>
          <w:iCs/>
          <w:lang w:val="lt-LT"/>
        </w:rPr>
        <w:t>alutini</w:t>
      </w:r>
      <w:r w:rsidR="009A5C86">
        <w:rPr>
          <w:rFonts w:ascii="Times New Roman" w:eastAsia="Times New Roman" w:hAnsi="Times New Roman"/>
          <w:bCs/>
          <w:iCs/>
          <w:lang w:val="lt-LT"/>
        </w:rPr>
        <w:t>s</w:t>
      </w:r>
      <w:r w:rsidR="00660C98" w:rsidRPr="00660C98">
        <w:rPr>
          <w:rFonts w:ascii="Times New Roman" w:eastAsia="Times New Roman" w:hAnsi="Times New Roman"/>
          <w:bCs/>
          <w:iCs/>
          <w:lang w:val="lt-LT"/>
        </w:rPr>
        <w:t xml:space="preserve"> poveiki</w:t>
      </w:r>
      <w:r w:rsidR="009A5C86">
        <w:rPr>
          <w:rFonts w:ascii="Times New Roman" w:eastAsia="Times New Roman" w:hAnsi="Times New Roman"/>
          <w:bCs/>
          <w:iCs/>
          <w:lang w:val="lt-LT"/>
        </w:rPr>
        <w:t>s</w:t>
      </w:r>
      <w:r w:rsidR="00660C98" w:rsidRPr="00660C98">
        <w:rPr>
          <w:rFonts w:ascii="Times New Roman" w:eastAsia="Times New Roman" w:hAnsi="Times New Roman"/>
          <w:bCs/>
          <w:iCs/>
          <w:lang w:val="lt-LT"/>
        </w:rPr>
        <w:t xml:space="preserve"> gali būti sunk</w:t>
      </w:r>
      <w:r w:rsidR="00E00708">
        <w:rPr>
          <w:rFonts w:ascii="Times New Roman" w:eastAsia="Times New Roman" w:hAnsi="Times New Roman"/>
          <w:bCs/>
          <w:iCs/>
          <w:lang w:val="lt-LT"/>
        </w:rPr>
        <w:t>u</w:t>
      </w:r>
      <w:r w:rsidR="00660C98" w:rsidRPr="00660C98">
        <w:rPr>
          <w:rFonts w:ascii="Times New Roman" w:eastAsia="Times New Roman" w:hAnsi="Times New Roman"/>
          <w:bCs/>
          <w:iCs/>
          <w:lang w:val="lt-LT"/>
        </w:rPr>
        <w:t>s</w:t>
      </w:r>
      <w:r>
        <w:rPr>
          <w:rFonts w:ascii="Times New Roman" w:eastAsia="Times New Roman" w:hAnsi="Times New Roman"/>
          <w:bCs/>
          <w:iCs/>
          <w:lang w:val="lt-LT"/>
        </w:rPr>
        <w:t>.</w:t>
      </w:r>
    </w:p>
    <w:p w:rsidR="001A6251" w:rsidRDefault="001A6251" w:rsidP="001A6251">
      <w:pPr>
        <w:tabs>
          <w:tab w:val="left" w:pos="0"/>
          <w:tab w:val="left" w:pos="567"/>
        </w:tabs>
        <w:spacing w:after="0" w:line="240" w:lineRule="auto"/>
        <w:rPr>
          <w:rFonts w:ascii="Times New Roman" w:eastAsia="Times New Roman" w:hAnsi="Times New Roman"/>
          <w:lang w:val="lt-LT"/>
        </w:rPr>
      </w:pPr>
    </w:p>
    <w:p w:rsidR="001A6251" w:rsidRDefault="001A6251" w:rsidP="001A6251">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Nebevartokite </w:t>
      </w:r>
      <w:proofErr w:type="spellStart"/>
      <w:r>
        <w:rPr>
          <w:rFonts w:ascii="Times New Roman" w:eastAsia="Times New Roman" w:hAnsi="Times New Roman"/>
          <w:lang w:val="lt-LT"/>
        </w:rPr>
        <w:t>Cataflam</w:t>
      </w:r>
      <w:proofErr w:type="spellEnd"/>
      <w:r>
        <w:rPr>
          <w:rFonts w:ascii="Times New Roman" w:eastAsia="Times New Roman" w:hAnsi="Times New Roman"/>
          <w:lang w:val="lt-LT"/>
        </w:rPr>
        <w:t xml:space="preserve"> ir nedelsdami pasakykite savo gydytojui, jeigu pastebėtumėte, kad pasireiškė toliau nurodyti reiškiniai:</w:t>
      </w:r>
    </w:p>
    <w:p w:rsidR="001A6251" w:rsidRPr="00650B71" w:rsidRDefault="001A6251" w:rsidP="001A6251">
      <w:pPr>
        <w:pStyle w:val="Sraopastraipa"/>
        <w:numPr>
          <w:ilvl w:val="0"/>
          <w:numId w:val="30"/>
        </w:numPr>
        <w:tabs>
          <w:tab w:val="left" w:pos="0"/>
          <w:tab w:val="left" w:pos="567"/>
        </w:tabs>
        <w:spacing w:after="0" w:line="240" w:lineRule="auto"/>
        <w:ind w:left="567" w:hanging="567"/>
        <w:rPr>
          <w:rFonts w:ascii="Times New Roman" w:eastAsia="Times New Roman" w:hAnsi="Times New Roman"/>
          <w:lang w:val="lt-LT"/>
        </w:rPr>
      </w:pPr>
      <w:r w:rsidRPr="00650B71">
        <w:rPr>
          <w:rFonts w:ascii="Times New Roman" w:eastAsia="Times New Roman" w:hAnsi="Times New Roman"/>
          <w:lang w:val="lt-LT"/>
        </w:rPr>
        <w:t xml:space="preserve">Nestiprūs pilvo diegliai ir skausmingumas pilvo srityje, prasidedantys netrukus po to, kai pradedamas gydymas </w:t>
      </w:r>
      <w:proofErr w:type="spellStart"/>
      <w:r w:rsidRPr="00650B71">
        <w:rPr>
          <w:rFonts w:ascii="Times New Roman" w:eastAsia="Times New Roman" w:hAnsi="Times New Roman"/>
          <w:lang w:val="lt-LT"/>
        </w:rPr>
        <w:t>Cataflam</w:t>
      </w:r>
      <w:proofErr w:type="spellEnd"/>
      <w:r w:rsidRPr="00650B71">
        <w:rPr>
          <w:rFonts w:ascii="Times New Roman" w:eastAsia="Times New Roman" w:hAnsi="Times New Roman"/>
          <w:lang w:val="lt-LT"/>
        </w:rPr>
        <w:t>, po kurių, paprastai per 24 valandas nuo pilvo skausmo atsiradimo, prasideda kraujavimas iš tiesiosios žarnos arba viduriavimas su krauju (dažnis nežinomas, negali būti įvertintas pagal turimus duomenis).</w:t>
      </w:r>
    </w:p>
    <w:p w:rsidR="00660C98" w:rsidRPr="00660C98" w:rsidRDefault="00660C98" w:rsidP="00660C98">
      <w:pPr>
        <w:spacing w:after="0" w:line="240" w:lineRule="auto"/>
        <w:ind w:left="567" w:hanging="567"/>
        <w:rPr>
          <w:rFonts w:ascii="Times New Roman" w:eastAsia="Times New Roman" w:hAnsi="Times New Roman"/>
          <w:bCs/>
          <w:iCs/>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i/>
          <w:iCs/>
          <w:lang w:val="lt-LT"/>
        </w:rPr>
      </w:pPr>
      <w:r w:rsidRPr="00660C98">
        <w:rPr>
          <w:rFonts w:ascii="Times New Roman" w:eastAsia="Times New Roman" w:hAnsi="Times New Roman"/>
          <w:i/>
          <w:iCs/>
          <w:lang w:val="lt-LT"/>
        </w:rPr>
        <w:t>Nedažnas šalutinis poveikis (galintis pasireikšti mažiau negu 1</w:t>
      </w:r>
      <w:r w:rsidRPr="00660C98">
        <w:rPr>
          <w:rFonts w:ascii="Times New Roman" w:eastAsia="Times New Roman" w:hAnsi="Times New Roman"/>
          <w:i/>
          <w:iCs/>
          <w:lang w:val="lt-LT"/>
        </w:rPr>
        <w:noBreakHyphen/>
        <w:t>10 iš 1000 pacientų, ypač vartojant didelę dozę per parą (150 mg) ir ilgą laiką</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Staigus ir spaudžiantis krūtinės skausmas (miokardo infarkto arba širdies priepuolio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color w:val="222222"/>
          <w:lang w:val="lt-LT"/>
        </w:rPr>
        <w:t>Dusulys, kvėpavimo pasunkėjimas gulint, pėdų ar kojų patinimas (širdies nepakankamumo požymiai).</w:t>
      </w:r>
    </w:p>
    <w:p w:rsidR="00660C98" w:rsidRPr="00660C98" w:rsidRDefault="00660C98" w:rsidP="00660C98">
      <w:pPr>
        <w:spacing w:after="0" w:line="240" w:lineRule="auto"/>
        <w:ind w:left="567" w:hanging="567"/>
        <w:rPr>
          <w:rFonts w:ascii="Times New Roman" w:eastAsia="Times New Roman" w:hAnsi="Times New Roman"/>
          <w:bCs/>
          <w:i/>
          <w:iCs/>
          <w:lang w:val="lt-LT"/>
        </w:rPr>
      </w:pPr>
    </w:p>
    <w:p w:rsidR="00660C98" w:rsidRPr="00660C98" w:rsidRDefault="00660C98" w:rsidP="00660C98">
      <w:pPr>
        <w:spacing w:after="0" w:line="240" w:lineRule="auto"/>
        <w:ind w:left="567" w:hanging="567"/>
        <w:rPr>
          <w:rFonts w:ascii="Times New Roman" w:eastAsia="Times New Roman" w:hAnsi="Times New Roman"/>
          <w:bCs/>
          <w:i/>
          <w:iCs/>
          <w:lang w:val="lt-LT"/>
        </w:rPr>
      </w:pPr>
      <w:r w:rsidRPr="00660C98">
        <w:rPr>
          <w:rFonts w:ascii="Times New Roman" w:eastAsia="Times New Roman" w:hAnsi="Times New Roman"/>
          <w:bCs/>
          <w:i/>
          <w:iCs/>
          <w:lang w:val="lt-LT"/>
        </w:rPr>
        <w:t>Retas arba labai retas šalutinis poveikis (galintis pasireikšti mažiau negu 1</w:t>
      </w:r>
      <w:r w:rsidRPr="00660C98">
        <w:rPr>
          <w:rFonts w:ascii="Times New Roman" w:eastAsia="Times New Roman" w:hAnsi="Times New Roman"/>
          <w:bCs/>
          <w:i/>
          <w:iCs/>
          <w:lang w:val="lt-LT"/>
        </w:rPr>
        <w:noBreakHyphen/>
        <w:t>10 iš 10000</w:t>
      </w:r>
      <w:r w:rsidR="00E66E50">
        <w:rPr>
          <w:rFonts w:ascii="Times New Roman" w:eastAsia="Times New Roman" w:hAnsi="Times New Roman"/>
          <w:bCs/>
          <w:i/>
          <w:iCs/>
          <w:lang w:val="lt-LT"/>
        </w:rPr>
        <w:t> </w:t>
      </w:r>
      <w:r w:rsidRPr="00660C98">
        <w:rPr>
          <w:rFonts w:ascii="Times New Roman" w:eastAsia="Times New Roman" w:hAnsi="Times New Roman"/>
          <w:bCs/>
          <w:i/>
          <w:iCs/>
          <w:lang w:val="lt-LT"/>
        </w:rPr>
        <w:t>pacientų)</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Spontaninis kraujavimas arba kraujosruvų atsiradimas (</w:t>
      </w:r>
      <w:proofErr w:type="spellStart"/>
      <w:r w:rsidRPr="00660C98">
        <w:rPr>
          <w:rFonts w:ascii="Times New Roman" w:eastAsia="Times New Roman" w:hAnsi="Times New Roman"/>
          <w:lang w:val="lt-LT"/>
        </w:rPr>
        <w:t>trombocitopenijos</w:t>
      </w:r>
      <w:proofErr w:type="spellEnd"/>
      <w:r w:rsidRPr="00660C98">
        <w:rPr>
          <w:rFonts w:ascii="Times New Roman" w:eastAsia="Times New Roman" w:hAnsi="Times New Roman"/>
          <w:lang w:val="lt-LT"/>
        </w:rPr>
        <w:t xml:space="preserve">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Karščiavimas, dažnos infekcijos, nuolatinis gerklės skausmas (</w:t>
      </w:r>
      <w:proofErr w:type="spellStart"/>
      <w:r w:rsidRPr="00660C98">
        <w:rPr>
          <w:rFonts w:ascii="Times New Roman" w:eastAsia="Times New Roman" w:hAnsi="Times New Roman"/>
          <w:lang w:val="lt-LT"/>
        </w:rPr>
        <w:t>agranulocitozės</w:t>
      </w:r>
      <w:proofErr w:type="spellEnd"/>
      <w:r w:rsidRPr="00660C98">
        <w:rPr>
          <w:rFonts w:ascii="Times New Roman" w:eastAsia="Times New Roman" w:hAnsi="Times New Roman"/>
          <w:lang w:val="lt-LT"/>
        </w:rPr>
        <w:t xml:space="preserve">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 xml:space="preserve">Kvėpavimo ar rijimo pasunkėjimas, išbėrimas, niežulys, dilgėlinė, svaigulys (padidėjusio jautrumo, anafilaksinės arba </w:t>
      </w:r>
      <w:proofErr w:type="spellStart"/>
      <w:r w:rsidRPr="00660C98">
        <w:rPr>
          <w:rFonts w:ascii="Times New Roman" w:eastAsia="Times New Roman" w:hAnsi="Times New Roman"/>
          <w:lang w:val="lt-LT"/>
        </w:rPr>
        <w:t>anafilaktoidinės</w:t>
      </w:r>
      <w:proofErr w:type="spellEnd"/>
      <w:r w:rsidRPr="00660C98">
        <w:rPr>
          <w:rFonts w:ascii="Times New Roman" w:eastAsia="Times New Roman" w:hAnsi="Times New Roman"/>
          <w:lang w:val="lt-LT"/>
        </w:rPr>
        <w:t xml:space="preserve"> reakcijos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Patinimas, daugiausia veido ir gerklės (</w:t>
      </w:r>
      <w:proofErr w:type="spellStart"/>
      <w:r w:rsidRPr="00660C98">
        <w:rPr>
          <w:rFonts w:ascii="Times New Roman" w:eastAsia="Times New Roman" w:hAnsi="Times New Roman"/>
          <w:lang w:val="lt-LT"/>
        </w:rPr>
        <w:t>angioedemos</w:t>
      </w:r>
      <w:proofErr w:type="spellEnd"/>
      <w:r w:rsidRPr="00660C98">
        <w:rPr>
          <w:rFonts w:ascii="Times New Roman" w:eastAsia="Times New Roman" w:hAnsi="Times New Roman"/>
          <w:lang w:val="lt-LT"/>
        </w:rPr>
        <w:t xml:space="preserve">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Mąstymo ar nuotaikos sutrikimai (psichikos sutrikimo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Atminties pablogėjimas (atminties pablogėjimo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Traukuliai (traukulių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Nerimas.</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Sustingęs kaklas, karščiavimas, pykinimas, vėmimas, galvos skausmas (</w:t>
      </w:r>
      <w:proofErr w:type="spellStart"/>
      <w:r w:rsidRPr="00660C98">
        <w:rPr>
          <w:rFonts w:ascii="Times New Roman" w:eastAsia="Times New Roman" w:hAnsi="Times New Roman"/>
          <w:lang w:val="lt-LT"/>
        </w:rPr>
        <w:t>aseptinio</w:t>
      </w:r>
      <w:proofErr w:type="spellEnd"/>
      <w:r w:rsidRPr="00660C98">
        <w:rPr>
          <w:rFonts w:ascii="Times New Roman" w:eastAsia="Times New Roman" w:hAnsi="Times New Roman"/>
          <w:lang w:val="lt-LT"/>
        </w:rPr>
        <w:t xml:space="preserve"> meningito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Staigus ir stiprus galvos skausmas, pykinimas, svaigulys, sustingimas, negalėjimas kalbėti arba kalbos sutrikimas, galūnių ar veido silpnumas ar paralyžius (širdies ir kraujagyslių sutrikimo ar insulto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Klausos pablogėjimas (klausos sutrikimo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Galvos skausmas, svaigulys (didelio kraujospūdžio, t. y. hipertenzijos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Išbėrimas, purpurinės ar raudonos dėmės, karščiavimas, niežulys (kraujagyslių uždegimo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 xml:space="preserve">Staigus kvėpavimo pasunkėjimas ir ankštumo krūtinėje pojūtis, kartu pasireiškiant švokštimui ar kosuliui (astmos ar </w:t>
      </w:r>
      <w:proofErr w:type="spellStart"/>
      <w:r w:rsidRPr="00660C98">
        <w:rPr>
          <w:rFonts w:ascii="Times New Roman" w:eastAsia="Times New Roman" w:hAnsi="Times New Roman"/>
          <w:lang w:val="lt-LT"/>
        </w:rPr>
        <w:t>pneumonito</w:t>
      </w:r>
      <w:proofErr w:type="spellEnd"/>
      <w:r w:rsidRPr="00660C98">
        <w:rPr>
          <w:rFonts w:ascii="Times New Roman" w:eastAsia="Times New Roman" w:hAnsi="Times New Roman"/>
          <w:lang w:val="lt-LT"/>
        </w:rPr>
        <w:t xml:space="preserve"> (jei karščiuojama)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Vėmimas krauju (</w:t>
      </w:r>
      <w:proofErr w:type="spellStart"/>
      <w:r w:rsidRPr="00660C98">
        <w:rPr>
          <w:rFonts w:ascii="Times New Roman" w:eastAsia="Times New Roman" w:hAnsi="Times New Roman"/>
          <w:lang w:val="lt-LT"/>
        </w:rPr>
        <w:t>hematemezės</w:t>
      </w:r>
      <w:proofErr w:type="spellEnd"/>
      <w:r w:rsidRPr="00660C98">
        <w:rPr>
          <w:rFonts w:ascii="Times New Roman" w:eastAsia="Times New Roman" w:hAnsi="Times New Roman"/>
          <w:lang w:val="lt-LT"/>
        </w:rPr>
        <w:t xml:space="preserve"> požymis) ir (arba) juodos arba kruvinos išmatos (virškinimo trakto kraujavimo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Viduriavimas kraujingomis išmatomis (hemoraginio viduriavimo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Juodos išmatos (</w:t>
      </w:r>
      <w:proofErr w:type="spellStart"/>
      <w:r w:rsidRPr="00660C98">
        <w:rPr>
          <w:rFonts w:ascii="Times New Roman" w:eastAsia="Times New Roman" w:hAnsi="Times New Roman"/>
          <w:lang w:val="lt-LT"/>
        </w:rPr>
        <w:t>melenos</w:t>
      </w:r>
      <w:proofErr w:type="spellEnd"/>
      <w:r w:rsidRPr="00660C98">
        <w:rPr>
          <w:rFonts w:ascii="Times New Roman" w:eastAsia="Times New Roman" w:hAnsi="Times New Roman"/>
          <w:lang w:val="lt-LT"/>
        </w:rPr>
        <w:t xml:space="preserve">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Pilvo skausmas ir pykinimas (virškinimo trakto opų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Viduriavimas, pilvo skausmas, karščiavimas, pykinimas, vėmimas (gaubtinės žarnos uždegimo, įskaitant su kraujavimu susijusį storosios žarnos uždegimą ar Krono ligą,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Stiprus viršutinės pilvo dalies skausmas (kasos uždegimo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Odos ar akių pageltimas (geltos požymiai), pykinimas, apetito netekimas, šlapimo patamsėjimas (kepenų uždegimo ar nepakankamumo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Į gripą panašūs simptomai, nuovargio pojūtis, raumenų maudimas, kraujo tyrimais nustatomas kepenų fermentų kiekio padidėjimas (kepenų sutrikimo, įskaitant žaibinį kepenų uždegimą, kepenų nekrozę ir nepakankamumą,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Pūslių atsiradimas (</w:t>
      </w:r>
      <w:proofErr w:type="spellStart"/>
      <w:r w:rsidRPr="00660C98">
        <w:rPr>
          <w:rFonts w:ascii="Times New Roman" w:eastAsia="Times New Roman" w:hAnsi="Times New Roman"/>
          <w:lang w:val="lt-LT"/>
        </w:rPr>
        <w:t>pūslinio</w:t>
      </w:r>
      <w:proofErr w:type="spellEnd"/>
      <w:r w:rsidRPr="00660C98">
        <w:rPr>
          <w:rFonts w:ascii="Times New Roman" w:eastAsia="Times New Roman" w:hAnsi="Times New Roman"/>
          <w:lang w:val="lt-LT"/>
        </w:rPr>
        <w:t xml:space="preserve"> odos uždegimo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 xml:space="preserve">Raudona arba purpurinė oda (galimas kraujagyslių uždegimo požymis), pūslių atsiradimas lūpose, akyse ir burnoje, odos uždegimas su pleiskanojimu arba lupimusi (daugiaformės </w:t>
      </w:r>
      <w:proofErr w:type="spellStart"/>
      <w:r w:rsidRPr="00660C98">
        <w:rPr>
          <w:rFonts w:ascii="Times New Roman" w:eastAsia="Times New Roman" w:hAnsi="Times New Roman"/>
          <w:lang w:val="lt-LT"/>
        </w:rPr>
        <w:t>eritemos</w:t>
      </w:r>
      <w:proofErr w:type="spellEnd"/>
      <w:r w:rsidRPr="00660C98">
        <w:rPr>
          <w:rFonts w:ascii="Times New Roman" w:eastAsia="Times New Roman" w:hAnsi="Times New Roman"/>
          <w:lang w:val="lt-LT"/>
        </w:rPr>
        <w:t xml:space="preserve"> ar (jei karščiuojama) </w:t>
      </w:r>
      <w:proofErr w:type="spellStart"/>
      <w:r w:rsidRPr="00660C98">
        <w:rPr>
          <w:rFonts w:ascii="Times New Roman" w:eastAsia="Times New Roman" w:hAnsi="Times New Roman"/>
          <w:i/>
          <w:lang w:val="lt-LT"/>
        </w:rPr>
        <w:t>Stevens-Johnson</w:t>
      </w:r>
      <w:proofErr w:type="spellEnd"/>
      <w:r w:rsidRPr="00660C98">
        <w:rPr>
          <w:rFonts w:ascii="Times New Roman" w:eastAsia="Times New Roman" w:hAnsi="Times New Roman"/>
          <w:lang w:val="lt-LT"/>
        </w:rPr>
        <w:t xml:space="preserve"> sindromo ar toksinės epidermio </w:t>
      </w:r>
      <w:proofErr w:type="spellStart"/>
      <w:r w:rsidRPr="00660C98">
        <w:rPr>
          <w:rFonts w:ascii="Times New Roman" w:eastAsia="Times New Roman" w:hAnsi="Times New Roman"/>
          <w:lang w:val="lt-LT"/>
        </w:rPr>
        <w:t>nekrolizės</w:t>
      </w:r>
      <w:proofErr w:type="spellEnd"/>
      <w:r w:rsidRPr="00660C98">
        <w:rPr>
          <w:rFonts w:ascii="Times New Roman" w:eastAsia="Times New Roman" w:hAnsi="Times New Roman"/>
          <w:lang w:val="lt-LT"/>
        </w:rPr>
        <w:t xml:space="preserve">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Odos išbėrimas su pleiskanojimu ar lupimusi (</w:t>
      </w:r>
      <w:proofErr w:type="spellStart"/>
      <w:r w:rsidRPr="00660C98">
        <w:rPr>
          <w:rFonts w:ascii="Times New Roman" w:eastAsia="Times New Roman" w:hAnsi="Times New Roman"/>
          <w:lang w:val="lt-LT"/>
        </w:rPr>
        <w:t>eksfoliacinio</w:t>
      </w:r>
      <w:proofErr w:type="spellEnd"/>
      <w:r w:rsidRPr="00660C98">
        <w:rPr>
          <w:rFonts w:ascii="Times New Roman" w:eastAsia="Times New Roman" w:hAnsi="Times New Roman"/>
          <w:lang w:val="lt-LT"/>
        </w:rPr>
        <w:t xml:space="preserve"> odos uždegimo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Padidėjęs odos jautrumas šviesai (jautrumo šviesai reakcijos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 xml:space="preserve">Violetinės odos dėmės (purpuros ar </w:t>
      </w:r>
      <w:proofErr w:type="spellStart"/>
      <w:r w:rsidRPr="00660C98">
        <w:rPr>
          <w:rFonts w:ascii="Times New Roman" w:eastAsia="Times New Roman" w:hAnsi="Times New Roman"/>
          <w:i/>
          <w:lang w:val="lt-LT"/>
        </w:rPr>
        <w:t>Henoch-Schonlein</w:t>
      </w:r>
      <w:proofErr w:type="spellEnd"/>
      <w:r w:rsidRPr="00660C98">
        <w:rPr>
          <w:rFonts w:ascii="Times New Roman" w:eastAsia="Times New Roman" w:hAnsi="Times New Roman"/>
          <w:lang w:val="lt-LT"/>
        </w:rPr>
        <w:t xml:space="preserve"> purpuros, jei ją sukėlė alergija,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Patinimas, silpnumo pojūtis ar nenormalus šlapinimasis (ūminio inkstų nepakankamumo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Didelis baltymo kiekis šlapime (</w:t>
      </w:r>
      <w:proofErr w:type="spellStart"/>
      <w:r w:rsidRPr="00660C98">
        <w:rPr>
          <w:rFonts w:ascii="Times New Roman" w:eastAsia="Times New Roman" w:hAnsi="Times New Roman"/>
          <w:lang w:val="lt-LT"/>
        </w:rPr>
        <w:t>proteinurijos</w:t>
      </w:r>
      <w:proofErr w:type="spellEnd"/>
      <w:r w:rsidRPr="00660C98">
        <w:rPr>
          <w:rFonts w:ascii="Times New Roman" w:eastAsia="Times New Roman" w:hAnsi="Times New Roman"/>
          <w:lang w:val="lt-LT"/>
        </w:rPr>
        <w:t xml:space="preserve">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Veido ar pilvo patinimas, didelis kraujospūdis (</w:t>
      </w:r>
      <w:proofErr w:type="spellStart"/>
      <w:r w:rsidRPr="00660C98">
        <w:rPr>
          <w:rFonts w:ascii="Times New Roman" w:eastAsia="Times New Roman" w:hAnsi="Times New Roman"/>
          <w:lang w:val="lt-LT"/>
        </w:rPr>
        <w:t>nefrozinio</w:t>
      </w:r>
      <w:proofErr w:type="spellEnd"/>
      <w:r w:rsidRPr="00660C98">
        <w:rPr>
          <w:rFonts w:ascii="Times New Roman" w:eastAsia="Times New Roman" w:hAnsi="Times New Roman"/>
          <w:lang w:val="lt-LT"/>
        </w:rPr>
        <w:t xml:space="preserve"> sindromo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Padidėjęs ar sumažėjęs išskiriamo šlapimo kiekis, apsnūdimas, minčių susipainiojimas, pykinimas (</w:t>
      </w:r>
      <w:proofErr w:type="spellStart"/>
      <w:r w:rsidRPr="00660C98">
        <w:rPr>
          <w:rFonts w:ascii="Times New Roman" w:eastAsia="Times New Roman" w:hAnsi="Times New Roman"/>
          <w:lang w:val="lt-LT"/>
        </w:rPr>
        <w:t>tubulointersticinio</w:t>
      </w:r>
      <w:proofErr w:type="spellEnd"/>
      <w:r w:rsidRPr="00660C98">
        <w:rPr>
          <w:rFonts w:ascii="Times New Roman" w:eastAsia="Times New Roman" w:hAnsi="Times New Roman"/>
          <w:lang w:val="lt-LT"/>
        </w:rPr>
        <w:t xml:space="preserve"> inkstų uždegimo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Labai sumažėjęs išskiriamo šlapimo kiekis (inkstų spenelių (inkstų audinio) žūties požymiai).</w:t>
      </w:r>
    </w:p>
    <w:p w:rsidR="00660C98" w:rsidRPr="00660C98" w:rsidRDefault="00660C98" w:rsidP="00660C98">
      <w:pPr>
        <w:numPr>
          <w:ilvl w:val="0"/>
          <w:numId w:val="23"/>
        </w:numPr>
        <w:tabs>
          <w:tab w:val="clear" w:pos="357"/>
        </w:tabs>
        <w:spacing w:after="0" w:line="240" w:lineRule="auto"/>
        <w:ind w:left="567" w:hanging="567"/>
        <w:rPr>
          <w:rFonts w:ascii="Times New Roman" w:eastAsia="Times New Roman" w:hAnsi="Times New Roman"/>
          <w:lang w:val="lt-LT"/>
        </w:rPr>
      </w:pPr>
      <w:r w:rsidRPr="00660C98">
        <w:rPr>
          <w:rFonts w:ascii="Times New Roman" w:eastAsia="Times New Roman" w:hAnsi="Times New Roman"/>
          <w:lang w:val="lt-LT"/>
        </w:rPr>
        <w:t>Išplitęs patinimas (edemos požymiai).</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atsirado bet kuris paminėtas šalutinis poveikis, </w:t>
      </w:r>
      <w:r w:rsidRPr="00660C98">
        <w:rPr>
          <w:rFonts w:ascii="Times New Roman" w:eastAsia="Times New Roman" w:hAnsi="Times New Roman"/>
          <w:b/>
          <w:bCs/>
          <w:lang w:val="lt-LT"/>
        </w:rPr>
        <w:t>nedelsdamas kreipkitės į gydytoją</w:t>
      </w:r>
      <w:r w:rsidRPr="00660C98">
        <w:rPr>
          <w:rFonts w:ascii="Times New Roman" w:eastAsia="Times New Roman" w:hAnsi="Times New Roman"/>
          <w:lang w:val="lt-LT"/>
        </w:rPr>
        <w:t>.</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i/>
          <w:iCs/>
          <w:lang w:val="lt-LT"/>
        </w:rPr>
      </w:pPr>
      <w:r w:rsidRPr="00660C98">
        <w:rPr>
          <w:rFonts w:ascii="Times New Roman" w:eastAsia="Times New Roman" w:hAnsi="Times New Roman"/>
          <w:i/>
          <w:iCs/>
          <w:lang w:val="lt-LT"/>
        </w:rPr>
        <w:t>Dažnas šalutinis poveikis (galintis pasireikšti 1</w:t>
      </w:r>
      <w:r w:rsidRPr="00660C98">
        <w:rPr>
          <w:rFonts w:ascii="Times New Roman" w:eastAsia="Times New Roman" w:hAnsi="Times New Roman"/>
          <w:i/>
          <w:iCs/>
          <w:lang w:val="lt-LT"/>
        </w:rPr>
        <w:noBreakHyphen/>
        <w:t>10 iš 100</w:t>
      </w:r>
      <w:r w:rsidR="00D32FD6">
        <w:rPr>
          <w:rFonts w:ascii="Times New Roman" w:eastAsia="Times New Roman" w:hAnsi="Times New Roman"/>
          <w:i/>
          <w:iCs/>
          <w:lang w:val="lt-LT"/>
        </w:rPr>
        <w:t> </w:t>
      </w:r>
      <w:r w:rsidRPr="00660C98">
        <w:rPr>
          <w:rFonts w:ascii="Times New Roman" w:eastAsia="Times New Roman" w:hAnsi="Times New Roman"/>
          <w:i/>
          <w:iCs/>
          <w:lang w:val="lt-LT"/>
        </w:rPr>
        <w:t>pacientų)</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Galvos skausmas, svaigulys, galvos sukimasis, pykinimas, vėmimas, viduriavimas, virškinimo sutrikimas (dispepsijos požymiai), pilvo skausmas, pilvo pūtimas, apetito netekimas (apetito netekimo požymiai), nenormalūs kepenų funkcijos tyrimo rezultatai (pvz., kepenų fermentų kiekio padidėjimas), odos bėrimas.</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Cs/>
          <w:i/>
          <w:iCs/>
          <w:lang w:val="lt-LT"/>
        </w:rPr>
      </w:pPr>
      <w:r w:rsidRPr="00660C98">
        <w:rPr>
          <w:rFonts w:ascii="Times New Roman" w:eastAsia="Times New Roman" w:hAnsi="Times New Roman"/>
          <w:i/>
          <w:iCs/>
          <w:lang w:val="lt-LT"/>
        </w:rPr>
        <w:t>Retas šalutinis poveikis (</w:t>
      </w:r>
      <w:r w:rsidRPr="00660C98">
        <w:rPr>
          <w:rFonts w:ascii="Times New Roman" w:eastAsia="Times New Roman" w:hAnsi="Times New Roman"/>
          <w:bCs/>
          <w:i/>
          <w:iCs/>
          <w:lang w:val="lt-LT"/>
        </w:rPr>
        <w:t>galintis pasireikšti mažiau negu 1</w:t>
      </w:r>
      <w:r w:rsidRPr="00660C98">
        <w:rPr>
          <w:rFonts w:ascii="Times New Roman" w:eastAsia="Times New Roman" w:hAnsi="Times New Roman"/>
          <w:bCs/>
          <w:i/>
          <w:iCs/>
          <w:lang w:val="lt-LT"/>
        </w:rPr>
        <w:noBreakHyphen/>
        <w:t>10 iš 10000</w:t>
      </w:r>
      <w:r w:rsidR="00D32FD6">
        <w:rPr>
          <w:rFonts w:ascii="Times New Roman" w:eastAsia="Times New Roman" w:hAnsi="Times New Roman"/>
          <w:bCs/>
          <w:i/>
          <w:iCs/>
          <w:lang w:val="lt-LT"/>
        </w:rPr>
        <w:t> </w:t>
      </w:r>
      <w:r w:rsidRPr="00660C98">
        <w:rPr>
          <w:rFonts w:ascii="Times New Roman" w:eastAsia="Times New Roman" w:hAnsi="Times New Roman"/>
          <w:bCs/>
          <w:i/>
          <w:iCs/>
          <w:lang w:val="lt-LT"/>
        </w:rPr>
        <w:t>pacientų)</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Apsnūdimas (stipraus mieguistumo požymiai), pilvo skausmas (skrandžio uždegimo požymiai), kepenų sutrikimas, išbėrimas su niežuliu (dilgėlinės požymiai).</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Cs/>
          <w:i/>
          <w:iCs/>
          <w:lang w:val="lt-LT"/>
        </w:rPr>
      </w:pPr>
      <w:r w:rsidRPr="00660C98">
        <w:rPr>
          <w:rFonts w:ascii="Times New Roman" w:eastAsia="Times New Roman" w:hAnsi="Times New Roman"/>
          <w:i/>
          <w:iCs/>
          <w:lang w:val="lt-LT"/>
        </w:rPr>
        <w:t>Labai retas šalutinis poveikis (</w:t>
      </w:r>
      <w:r w:rsidRPr="00660C98">
        <w:rPr>
          <w:rFonts w:ascii="Times New Roman" w:eastAsia="Times New Roman" w:hAnsi="Times New Roman"/>
          <w:bCs/>
          <w:i/>
          <w:iCs/>
          <w:lang w:val="lt-LT"/>
        </w:rPr>
        <w:t>galintis pasireikšti mažiau negu 1 iš 10000 pacientų)</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Mažas raudonųjų kraujo ląstelių kiekis (mažakraujystė), mažas baltųjų kraujo ląstelių kiekis (</w:t>
      </w:r>
      <w:proofErr w:type="spellStart"/>
      <w:r w:rsidRPr="00660C98">
        <w:rPr>
          <w:rFonts w:ascii="Times New Roman" w:eastAsia="Times New Roman" w:hAnsi="Times New Roman"/>
          <w:lang w:val="lt-LT"/>
        </w:rPr>
        <w:t>leukopenija</w:t>
      </w:r>
      <w:proofErr w:type="spellEnd"/>
      <w:r w:rsidRPr="00660C98">
        <w:rPr>
          <w:rFonts w:ascii="Times New Roman" w:eastAsia="Times New Roman" w:hAnsi="Times New Roman"/>
          <w:lang w:val="lt-LT"/>
        </w:rPr>
        <w:t>), dezorientacija, depresija, miego sutrikimas (nemigos požymiai), košmariški sapnai, irzlumas, plaštakų ar pėdų dilgčiojimas ar tirpimas (</w:t>
      </w:r>
      <w:proofErr w:type="spellStart"/>
      <w:r w:rsidRPr="00660C98">
        <w:rPr>
          <w:rFonts w:ascii="Times New Roman" w:eastAsia="Times New Roman" w:hAnsi="Times New Roman"/>
          <w:lang w:val="lt-LT"/>
        </w:rPr>
        <w:t>parestezijos</w:t>
      </w:r>
      <w:proofErr w:type="spellEnd"/>
      <w:r w:rsidRPr="00660C98">
        <w:rPr>
          <w:rFonts w:ascii="Times New Roman" w:eastAsia="Times New Roman" w:hAnsi="Times New Roman"/>
          <w:lang w:val="lt-LT"/>
        </w:rPr>
        <w:t xml:space="preserve"> požymiai), drebulys (</w:t>
      </w:r>
      <w:proofErr w:type="spellStart"/>
      <w:r w:rsidRPr="00660C98">
        <w:rPr>
          <w:rFonts w:ascii="Times New Roman" w:eastAsia="Times New Roman" w:hAnsi="Times New Roman"/>
          <w:lang w:val="lt-LT"/>
        </w:rPr>
        <w:t>tremoro</w:t>
      </w:r>
      <w:proofErr w:type="spellEnd"/>
      <w:r w:rsidRPr="00660C98">
        <w:rPr>
          <w:rFonts w:ascii="Times New Roman" w:eastAsia="Times New Roman" w:hAnsi="Times New Roman"/>
          <w:lang w:val="lt-LT"/>
        </w:rPr>
        <w:t xml:space="preserve"> požymiai), skonio jutimo pokytis (</w:t>
      </w:r>
      <w:proofErr w:type="spellStart"/>
      <w:r w:rsidRPr="00660C98">
        <w:rPr>
          <w:rFonts w:ascii="Times New Roman" w:eastAsia="Times New Roman" w:hAnsi="Times New Roman"/>
          <w:lang w:val="lt-LT"/>
        </w:rPr>
        <w:t>disgeuzijos</w:t>
      </w:r>
      <w:proofErr w:type="spellEnd"/>
      <w:r w:rsidRPr="00660C98">
        <w:rPr>
          <w:rFonts w:ascii="Times New Roman" w:eastAsia="Times New Roman" w:hAnsi="Times New Roman"/>
          <w:lang w:val="lt-LT"/>
        </w:rPr>
        <w:t xml:space="preserve"> požymiai), regos sutrikimai (regos pablogėjimo požymiai, neryškus matomas vaizdas, matomo vaizdo dvigubinimasis), spengimas ausyse, 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(pertvarėlių žarnyne susidarymo - diafragminės žarnyno ligos požymiai), juntamas širdies plakimas, krūtinės skausmas, išbėrimas su niežuliu, paraudimu ir deginimu (egzemos požymiai), odos paraudimas (raudonės požymiai), plaukų slinkimas (</w:t>
      </w:r>
      <w:proofErr w:type="spellStart"/>
      <w:r w:rsidRPr="00660C98">
        <w:rPr>
          <w:rFonts w:ascii="Times New Roman" w:eastAsia="Times New Roman" w:hAnsi="Times New Roman"/>
          <w:lang w:val="lt-LT"/>
        </w:rPr>
        <w:t>alopecija</w:t>
      </w:r>
      <w:proofErr w:type="spellEnd"/>
      <w:r w:rsidRPr="00660C98">
        <w:rPr>
          <w:rFonts w:ascii="Times New Roman" w:eastAsia="Times New Roman" w:hAnsi="Times New Roman"/>
          <w:lang w:val="lt-LT"/>
        </w:rPr>
        <w:t>), niežulys (niežulio požymiai), kraujas šlapime (</w:t>
      </w:r>
      <w:proofErr w:type="spellStart"/>
      <w:r w:rsidRPr="00660C98">
        <w:rPr>
          <w:rFonts w:ascii="Times New Roman" w:eastAsia="Times New Roman" w:hAnsi="Times New Roman"/>
          <w:lang w:val="lt-LT"/>
        </w:rPr>
        <w:t>hematurija</w:t>
      </w:r>
      <w:proofErr w:type="spellEnd"/>
      <w:r w:rsidRPr="00660C98">
        <w:rPr>
          <w:rFonts w:ascii="Times New Roman" w:eastAsia="Times New Roman" w:hAnsi="Times New Roman"/>
          <w:lang w:val="lt-LT"/>
        </w:rPr>
        <w:t>).</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pasireiškė bet kuris minėtas šalutinis poveikis ir jis yra sunkus, </w:t>
      </w:r>
      <w:r w:rsidRPr="00660C98">
        <w:rPr>
          <w:rFonts w:ascii="Times New Roman" w:eastAsia="Times New Roman" w:hAnsi="Times New Roman"/>
          <w:b/>
          <w:bCs/>
          <w:lang w:val="lt-LT"/>
        </w:rPr>
        <w:t>pasakykite gydytojui</w:t>
      </w:r>
      <w:r w:rsidRPr="00660C98">
        <w:rPr>
          <w:rFonts w:ascii="Times New Roman" w:eastAsia="Times New Roman" w:hAnsi="Times New Roman"/>
          <w:lang w:val="lt-LT"/>
        </w:rPr>
        <w:t>.</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atsiranda šiame lapelyje neminėtas šalutinis poveikis, pasakykite gydytojui arba vaistininkui.</w:t>
      </w:r>
    </w:p>
    <w:p w:rsidR="00660C98" w:rsidRPr="00660C98" w:rsidRDefault="00660C98" w:rsidP="00660C98">
      <w:pPr>
        <w:spacing w:after="0" w:line="240" w:lineRule="auto"/>
        <w:jc w:val="both"/>
        <w:rPr>
          <w:rFonts w:ascii="Times New Roman" w:eastAsia="Times New Roman" w:hAnsi="Times New Roman"/>
          <w:b/>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bCs/>
          <w:lang w:val="lt-LT"/>
        </w:rPr>
        <w:t xml:space="preserve">Jeigu </w:t>
      </w:r>
      <w:proofErr w:type="spellStart"/>
      <w:r w:rsidRPr="00660C98">
        <w:rPr>
          <w:rFonts w:ascii="Times New Roman" w:eastAsia="Times New Roman" w:hAnsi="Times New Roman"/>
          <w:bCs/>
          <w:lang w:val="lt-LT"/>
        </w:rPr>
        <w:t>Cataflam</w:t>
      </w:r>
      <w:proofErr w:type="spellEnd"/>
      <w:r w:rsidRPr="00660C98">
        <w:rPr>
          <w:rFonts w:ascii="Times New Roman" w:eastAsia="Times New Roman" w:hAnsi="Times New Roman"/>
          <w:bCs/>
          <w:lang w:val="lt-LT"/>
        </w:rPr>
        <w:t xml:space="preserve"> vartojate ilgiau kaip kelias savaites, būtina reguliariai lankytis pas gydytoją, kad jis patikrintų, ar neatsirado nepastebimas šalutinis poveikis.</w:t>
      </w:r>
    </w:p>
    <w:p w:rsidR="00D204E7" w:rsidRPr="00660C98" w:rsidRDefault="00D204E7"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 Jums pasireiškė bet kuris iš čia minėtų šalutinių poveikių, pasakykite gydytojui.</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Pranešimas apie šalutinį poveikį</w:t>
      </w:r>
    </w:p>
    <w:p w:rsidR="00660C98" w:rsidRPr="00660C98" w:rsidRDefault="00660C98" w:rsidP="00660C98">
      <w:pPr>
        <w:spacing w:after="0" w:line="240" w:lineRule="auto"/>
        <w:ind w:right="-449"/>
        <w:rPr>
          <w:rFonts w:ascii="Times New Roman" w:eastAsia="Times New Roman" w:hAnsi="Times New Roman"/>
          <w:noProof/>
          <w:lang w:val="lt-LT"/>
        </w:rPr>
      </w:pPr>
      <w:r w:rsidRPr="00660C98">
        <w:rPr>
          <w:rFonts w:ascii="Times New Roman" w:eastAsia="Times New Roman" w:hAnsi="Times New Roman"/>
          <w:noProof/>
          <w:lang w:val="lt-LT"/>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660C98">
          <w:rPr>
            <w:rFonts w:ascii="Times New Roman" w:eastAsia="SimSun" w:hAnsi="Times New Roman"/>
            <w:noProof/>
            <w:color w:val="0000FF"/>
            <w:u w:val="single"/>
            <w:lang w:val="lt-LT"/>
          </w:rPr>
          <w:t>www.vvkt.lt</w:t>
        </w:r>
      </w:hyperlink>
      <w:r w:rsidRPr="00660C98">
        <w:rPr>
          <w:rFonts w:ascii="Times New Roman" w:eastAsia="Times New Roman" w:hAnsi="Times New Roman"/>
          <w:noProof/>
          <w:lang w:val="lt-LT"/>
        </w:rPr>
        <w:t xml:space="preserve"> esančią formą, paštu Valstybinei vaistų kontrolės tarnybai prie Lietuvos Respublikos sveikatos apsaugos ministerijos, Žirmūnų g. 139A, LT 09120 Vilnius, t</w:t>
      </w:r>
      <w:r w:rsidRPr="00660C98">
        <w:rPr>
          <w:rFonts w:ascii="Times New Roman" w:hAnsi="Times New Roman"/>
          <w:noProof/>
          <w:lang w:val="lt-LT" w:eastAsia="zh-CN"/>
        </w:rPr>
        <w:t xml:space="preserve">el: 8 800 73568, </w:t>
      </w:r>
      <w:r w:rsidRPr="00660C98">
        <w:rPr>
          <w:rFonts w:ascii="Times New Roman" w:eastAsia="Times New Roman" w:hAnsi="Times New Roman"/>
          <w:noProof/>
          <w:lang w:val="lt-LT"/>
        </w:rPr>
        <w:t xml:space="preserve">faksu 8 800 20131 arba el. paštu </w:t>
      </w:r>
      <w:hyperlink r:id="rId11" w:history="1">
        <w:r w:rsidRPr="00660C98">
          <w:rPr>
            <w:rFonts w:ascii="Times New Roman" w:eastAsia="SimSun" w:hAnsi="Times New Roman"/>
            <w:noProof/>
            <w:color w:val="0000FF"/>
            <w:u w:val="single"/>
            <w:lang w:val="lt-LT"/>
          </w:rPr>
          <w:t>NepageidaujamaR@vvkt.lt</w:t>
        </w:r>
      </w:hyperlink>
      <w:r w:rsidRPr="00660C98">
        <w:rPr>
          <w:rFonts w:ascii="Times New Roman" w:eastAsia="Times New Roman" w:hAnsi="Times New Roman"/>
          <w:noProof/>
          <w:lang w:val="lt-LT"/>
        </w:rPr>
        <w:t>. Pranešdami apie šalutinį poveikį galite mums padėti gauti daugiau informacijos apie šio vaisto saugumą.</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Jei Jūs vartojate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dengtas tabletes ilgiau nei keletą savaičių, tuomet turėtumėte reguliariai tikrintis pas savo gydytoją, norint išvengti nenumatytų neigiamų reakcijų.</w:t>
      </w: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5.</w:t>
      </w:r>
      <w:r w:rsidRPr="00660C98">
        <w:rPr>
          <w:rFonts w:ascii="Times New Roman" w:eastAsia="Times New Roman" w:hAnsi="Times New Roman"/>
          <w:b/>
          <w:lang w:val="lt-LT"/>
        </w:rPr>
        <w:tab/>
        <w:t xml:space="preserve">Kaip laikyti </w:t>
      </w:r>
      <w:proofErr w:type="spellStart"/>
      <w:r w:rsidRPr="00660C98">
        <w:rPr>
          <w:rFonts w:ascii="Times New Roman" w:eastAsia="Times New Roman" w:hAnsi="Times New Roman"/>
          <w:b/>
          <w:lang w:val="lt-LT"/>
        </w:rPr>
        <w:t>Cataflam</w:t>
      </w:r>
      <w:proofErr w:type="spellEnd"/>
      <w:r w:rsidRPr="00660C98">
        <w:rPr>
          <w:rFonts w:ascii="Times New Roman" w:eastAsia="Times New Roman" w:hAnsi="Times New Roman"/>
          <w:b/>
          <w:lang w:val="lt-LT"/>
        </w:rPr>
        <w:t xml:space="preserve"> </w:t>
      </w: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Laikyti vaikams nepastebimoje ir nepasiekiamoje</w:t>
      </w:r>
      <w:r w:rsidRPr="00660C98" w:rsidDel="00A0374C">
        <w:rPr>
          <w:rFonts w:ascii="Times New Roman" w:eastAsia="Times New Roman" w:hAnsi="Times New Roman"/>
          <w:lang w:val="lt-LT"/>
        </w:rPr>
        <w:t xml:space="preserve"> </w:t>
      </w:r>
      <w:r w:rsidRPr="00660C98">
        <w:rPr>
          <w:rFonts w:ascii="Times New Roman" w:eastAsia="Times New Roman" w:hAnsi="Times New Roman"/>
          <w:lang w:val="lt-LT"/>
        </w:rPr>
        <w:t>vietoje.</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Ant dėžutės ir lizdinės plokštelės po „Tinka iki/EXP“ nurodytam tinkamumo laikui pasibaigus, </w:t>
      </w: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vartoti negalima. Vaistas tinkamas vartoti iki paskutinės nurodyto mėnesio dienos. </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Laikyti ne aukštesnėje kaip 30 </w:t>
      </w:r>
      <w:r w:rsidRPr="00660C98">
        <w:rPr>
          <w:rFonts w:ascii="Times New Roman" w:eastAsia="Times New Roman" w:hAnsi="Times New Roman"/>
          <w:lang w:val="lt-LT"/>
        </w:rPr>
        <w:sym w:font="Symbol" w:char="F0B0"/>
      </w:r>
      <w:r w:rsidRPr="00660C98">
        <w:rPr>
          <w:rFonts w:ascii="Times New Roman" w:eastAsia="Times New Roman" w:hAnsi="Times New Roman"/>
          <w:lang w:val="lt-LT"/>
        </w:rPr>
        <w:t>C temperatūroje.</w:t>
      </w:r>
    </w:p>
    <w:p w:rsidR="00660C98" w:rsidRPr="00660C98" w:rsidRDefault="00660C98" w:rsidP="00660C98">
      <w:pPr>
        <w:tabs>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Laikyti gamintojo pakuotėje, kad preparatas būtų apsaugotas nuo drėgmės.</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Vaistų negalima išmesti į kanalizaciją arba su buitinėmis atliekomis. Kaip išmesti nereikalingus vaistus, klauskite vaistininko. Šios priemonės padės apsaugoti aplinką. </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6.</w:t>
      </w:r>
      <w:r w:rsidRPr="00660C98">
        <w:rPr>
          <w:rFonts w:ascii="Times New Roman" w:eastAsia="Times New Roman" w:hAnsi="Times New Roman"/>
          <w:b/>
          <w:lang w:val="lt-LT"/>
        </w:rPr>
        <w:tab/>
        <w:t>Pakuotės turinys ir kita informacija</w:t>
      </w: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roofErr w:type="spellStart"/>
      <w:r w:rsidRPr="00660C98">
        <w:rPr>
          <w:rFonts w:ascii="Times New Roman" w:eastAsia="Times New Roman" w:hAnsi="Times New Roman"/>
          <w:b/>
          <w:lang w:val="lt-LT"/>
        </w:rPr>
        <w:t>Cataflam</w:t>
      </w:r>
      <w:proofErr w:type="spellEnd"/>
      <w:r w:rsidRPr="00660C98">
        <w:rPr>
          <w:rFonts w:ascii="Times New Roman" w:eastAsia="Times New Roman" w:hAnsi="Times New Roman"/>
          <w:b/>
          <w:lang w:val="lt-LT"/>
        </w:rPr>
        <w:t xml:space="preserve"> sudėtis</w:t>
      </w:r>
    </w:p>
    <w:p w:rsidR="00660C98" w:rsidRPr="00660C98" w:rsidRDefault="00660C98" w:rsidP="00660C98">
      <w:pPr>
        <w:spacing w:after="0" w:line="240" w:lineRule="auto"/>
        <w:ind w:left="720" w:hanging="360"/>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 xml:space="preserve">Veiklioji medžiaga yra </w:t>
      </w:r>
      <w:proofErr w:type="spellStart"/>
      <w:r w:rsidRPr="00660C98">
        <w:rPr>
          <w:rFonts w:ascii="Times New Roman" w:eastAsia="Times New Roman" w:hAnsi="Times New Roman"/>
          <w:lang w:val="lt-LT"/>
        </w:rPr>
        <w:t>diklofenako</w:t>
      </w:r>
      <w:proofErr w:type="spellEnd"/>
      <w:r w:rsidRPr="00660C98">
        <w:rPr>
          <w:rFonts w:ascii="Times New Roman" w:eastAsia="Times New Roman" w:hAnsi="Times New Roman"/>
          <w:lang w:val="lt-LT"/>
        </w:rPr>
        <w:t xml:space="preserve"> kalio druska. Kiekvienoje dengtoje tabletėje jo yra 50 mg.</w:t>
      </w:r>
    </w:p>
    <w:p w:rsidR="00660C98" w:rsidRPr="00660C98" w:rsidRDefault="00660C98" w:rsidP="00660C98">
      <w:pPr>
        <w:spacing w:after="0" w:line="240" w:lineRule="auto"/>
        <w:ind w:left="720" w:hanging="360"/>
        <w:rPr>
          <w:rFonts w:ascii="Times New Roman" w:eastAsia="Times New Roman" w:hAnsi="Times New Roman"/>
          <w:lang w:val="lt-LT"/>
        </w:rPr>
      </w:pPr>
      <w:r w:rsidRPr="00660C98">
        <w:rPr>
          <w:rFonts w:ascii="Times New Roman" w:eastAsia="Times New Roman" w:hAnsi="Times New Roman"/>
          <w:lang w:val="lt-LT"/>
        </w:rPr>
        <w:t>-</w:t>
      </w:r>
      <w:r w:rsidRPr="00660C98">
        <w:rPr>
          <w:rFonts w:ascii="Times New Roman" w:eastAsia="Times New Roman" w:hAnsi="Times New Roman"/>
          <w:lang w:val="lt-LT"/>
        </w:rPr>
        <w:tab/>
        <w:t xml:space="preserve">Pagalbinės medžiagos tabletės branduolyje yra koloidinis bevandenis silicio dioksidas, kalcio fosfatas, magnio </w:t>
      </w:r>
      <w:proofErr w:type="spellStart"/>
      <w:r w:rsidRPr="00660C98">
        <w:rPr>
          <w:rFonts w:ascii="Times New Roman" w:eastAsia="Times New Roman" w:hAnsi="Times New Roman"/>
          <w:lang w:val="lt-LT"/>
        </w:rPr>
        <w:t>stearatas</w:t>
      </w:r>
      <w:proofErr w:type="spellEnd"/>
      <w:r w:rsidRPr="00660C98">
        <w:rPr>
          <w:rFonts w:ascii="Times New Roman" w:eastAsia="Times New Roman" w:hAnsi="Times New Roman"/>
          <w:lang w:val="lt-LT"/>
        </w:rPr>
        <w:t xml:space="preserve">, kukurūzų krakmolas, </w:t>
      </w:r>
      <w:proofErr w:type="spellStart"/>
      <w:r w:rsidRPr="00660C98">
        <w:rPr>
          <w:rFonts w:ascii="Times New Roman" w:eastAsia="Times New Roman" w:hAnsi="Times New Roman"/>
          <w:lang w:val="lt-LT"/>
        </w:rPr>
        <w:t>povidonas</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karboksimetilkrakmolo</w:t>
      </w:r>
      <w:proofErr w:type="spellEnd"/>
      <w:r w:rsidRPr="00660C98">
        <w:rPr>
          <w:rFonts w:ascii="Times New Roman" w:eastAsia="Times New Roman" w:hAnsi="Times New Roman"/>
          <w:lang w:val="lt-LT"/>
        </w:rPr>
        <w:t xml:space="preserve"> natrio druska; tabletės dangale yra </w:t>
      </w:r>
      <w:proofErr w:type="spellStart"/>
      <w:r w:rsidRPr="00660C98">
        <w:rPr>
          <w:rFonts w:ascii="Times New Roman" w:eastAsia="Times New Roman" w:hAnsi="Times New Roman"/>
          <w:lang w:val="lt-LT"/>
        </w:rPr>
        <w:t>mikrokristalinė</w:t>
      </w:r>
      <w:proofErr w:type="spellEnd"/>
      <w:r w:rsidRPr="00660C98">
        <w:rPr>
          <w:rFonts w:ascii="Times New Roman" w:eastAsia="Times New Roman" w:hAnsi="Times New Roman"/>
          <w:lang w:val="lt-LT"/>
        </w:rPr>
        <w:t xml:space="preserve"> celiuliozė, </w:t>
      </w:r>
      <w:proofErr w:type="spellStart"/>
      <w:r w:rsidRPr="00660C98">
        <w:rPr>
          <w:rFonts w:ascii="Times New Roman" w:eastAsia="Times New Roman" w:hAnsi="Times New Roman"/>
          <w:lang w:val="lt-LT"/>
        </w:rPr>
        <w:t>povidonas</w:t>
      </w:r>
      <w:proofErr w:type="spellEnd"/>
      <w:r w:rsidRPr="00660C98">
        <w:rPr>
          <w:rFonts w:ascii="Times New Roman" w:eastAsia="Times New Roman" w:hAnsi="Times New Roman"/>
          <w:lang w:val="lt-LT"/>
        </w:rPr>
        <w:t>, sacharozė, talkas, raudonasis geležies oksidas (E172), titano dioksidas (E171).</w:t>
      </w:r>
    </w:p>
    <w:p w:rsidR="00660C98" w:rsidRPr="00660C98" w:rsidRDefault="00660C98" w:rsidP="00660C98">
      <w:pPr>
        <w:spacing w:after="0" w:line="240" w:lineRule="auto"/>
        <w:rPr>
          <w:rFonts w:ascii="Times New Roman" w:eastAsia="Times New Roman" w:hAnsi="Times New Roman"/>
          <w:lang w:val="lt-LT"/>
        </w:rPr>
      </w:pPr>
    </w:p>
    <w:p w:rsidR="00660C98" w:rsidRPr="00660C98" w:rsidRDefault="00660C98" w:rsidP="00660C98">
      <w:pPr>
        <w:spacing w:after="0" w:line="220" w:lineRule="exact"/>
        <w:rPr>
          <w:rFonts w:ascii="Times New Roman" w:eastAsia="Times New Roman" w:hAnsi="Times New Roman"/>
          <w:b/>
          <w:bCs/>
          <w:lang w:val="lt-LT"/>
        </w:rPr>
      </w:pPr>
      <w:proofErr w:type="spellStart"/>
      <w:r w:rsidRPr="00660C98">
        <w:rPr>
          <w:rFonts w:ascii="Times New Roman" w:eastAsia="Times New Roman" w:hAnsi="Times New Roman"/>
          <w:b/>
          <w:bCs/>
          <w:lang w:val="lt-LT"/>
        </w:rPr>
        <w:t>Cataflam</w:t>
      </w:r>
      <w:proofErr w:type="spellEnd"/>
      <w:r w:rsidRPr="00660C98">
        <w:rPr>
          <w:rFonts w:ascii="Times New Roman" w:eastAsia="Times New Roman" w:hAnsi="Times New Roman"/>
          <w:b/>
          <w:bCs/>
          <w:lang w:val="lt-LT"/>
        </w:rPr>
        <w:t xml:space="preserve"> išvaizda ir kiekis pakuotėje</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50 mg tabletės yra rusvos, apvalios, abipus išgaubtos. </w:t>
      </w:r>
    </w:p>
    <w:p w:rsidR="00660C98" w:rsidRPr="00660C98" w:rsidRDefault="00660C98" w:rsidP="00660C98">
      <w:pPr>
        <w:tabs>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Cataflam</w:t>
      </w:r>
      <w:proofErr w:type="spellEnd"/>
      <w:r w:rsidRPr="00660C98">
        <w:rPr>
          <w:rFonts w:ascii="Times New Roman" w:eastAsia="Times New Roman" w:hAnsi="Times New Roman"/>
          <w:lang w:val="lt-LT"/>
        </w:rPr>
        <w:t xml:space="preserve"> tabletės supakuotos į lizdines plokšteles. Kartono dėžutėje yra 20</w:t>
      </w:r>
      <w:r w:rsidR="00D32FD6">
        <w:rPr>
          <w:rFonts w:ascii="Times New Roman" w:eastAsia="Times New Roman" w:hAnsi="Times New Roman"/>
          <w:lang w:val="lt-LT"/>
        </w:rPr>
        <w:t> </w:t>
      </w:r>
      <w:r w:rsidRPr="00660C98">
        <w:rPr>
          <w:rFonts w:ascii="Times New Roman" w:eastAsia="Times New Roman" w:hAnsi="Times New Roman"/>
          <w:lang w:val="lt-LT"/>
        </w:rPr>
        <w:t xml:space="preserve">dengtų tablečių. </w:t>
      </w: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p>
    <w:p w:rsidR="00660C98" w:rsidRPr="00660C98" w:rsidRDefault="00660C98" w:rsidP="00660C98">
      <w:pPr>
        <w:keepNext/>
        <w:tabs>
          <w:tab w:val="left" w:pos="567"/>
        </w:tabs>
        <w:spacing w:after="0" w:line="240" w:lineRule="auto"/>
        <w:outlineLvl w:val="0"/>
        <w:rPr>
          <w:rFonts w:ascii="Times New Roman" w:eastAsia="Times New Roman" w:hAnsi="Times New Roman"/>
          <w:b/>
          <w:bCs/>
          <w:lang w:val="lt-LT" w:eastAsia="lt-LT"/>
        </w:rPr>
      </w:pPr>
      <w:r w:rsidRPr="00660C98">
        <w:rPr>
          <w:rFonts w:ascii="Times New Roman" w:eastAsia="Times New Roman" w:hAnsi="Times New Roman"/>
          <w:b/>
          <w:bCs/>
          <w:lang w:val="lt-LT" w:eastAsia="lt-LT"/>
        </w:rPr>
        <w:t>Rinkodaros teisės turėtojas</w:t>
      </w:r>
    </w:p>
    <w:p w:rsidR="00660C98" w:rsidRPr="00660C98" w:rsidRDefault="00660C98" w:rsidP="00660C98">
      <w:pPr>
        <w:tabs>
          <w:tab w:val="center" w:pos="4153"/>
          <w:tab w:val="right" w:pos="8306"/>
        </w:tabs>
        <w:spacing w:after="0" w:line="240" w:lineRule="auto"/>
        <w:rPr>
          <w:rFonts w:ascii="Times New Roman" w:eastAsia="Times New Roman" w:hAnsi="Times New Roman"/>
          <w:lang w:val="pt-BR" w:eastAsia="lt-LT"/>
        </w:rPr>
      </w:pPr>
      <w:r w:rsidRPr="00660C98">
        <w:rPr>
          <w:rFonts w:ascii="Times New Roman" w:eastAsia="Times New Roman" w:hAnsi="Times New Roman"/>
          <w:lang w:val="pt-BR" w:eastAsia="lt-LT"/>
        </w:rPr>
        <w:t>Novartis Finland Oy</w:t>
      </w:r>
    </w:p>
    <w:p w:rsidR="00660C98" w:rsidRPr="00660C98" w:rsidRDefault="00660C98" w:rsidP="00660C98">
      <w:pPr>
        <w:spacing w:after="0" w:line="240" w:lineRule="auto"/>
        <w:jc w:val="both"/>
        <w:rPr>
          <w:rFonts w:ascii="Times New Roman" w:eastAsia="Times New Roman" w:hAnsi="Times New Roman"/>
          <w:lang w:val="pt-BR" w:eastAsia="lt-LT"/>
        </w:rPr>
      </w:pPr>
      <w:r w:rsidRPr="00660C98">
        <w:rPr>
          <w:rFonts w:ascii="Times New Roman" w:eastAsia="Times New Roman" w:hAnsi="Times New Roman"/>
          <w:lang w:val="pt-BR" w:eastAsia="lt-LT"/>
        </w:rPr>
        <w:t>Metsänneidonkuja 10</w:t>
      </w:r>
    </w:p>
    <w:p w:rsidR="00660C98" w:rsidRPr="00660C98" w:rsidRDefault="00660C98" w:rsidP="00660C98">
      <w:pPr>
        <w:spacing w:after="0" w:line="240" w:lineRule="auto"/>
        <w:jc w:val="both"/>
        <w:rPr>
          <w:rFonts w:ascii="Times New Roman" w:eastAsia="Times New Roman" w:hAnsi="Times New Roman"/>
          <w:lang w:val="pt-BR" w:eastAsia="lt-LT"/>
        </w:rPr>
      </w:pPr>
      <w:r w:rsidRPr="00660C98">
        <w:rPr>
          <w:rFonts w:ascii="Times New Roman" w:eastAsia="Times New Roman" w:hAnsi="Times New Roman"/>
          <w:lang w:val="pt-BR" w:eastAsia="lt-LT"/>
        </w:rPr>
        <w:t>02130 Espoo</w:t>
      </w:r>
    </w:p>
    <w:p w:rsidR="00660C98" w:rsidRPr="00660C98" w:rsidRDefault="00660C98" w:rsidP="00660C98">
      <w:pPr>
        <w:spacing w:after="0" w:line="240" w:lineRule="auto"/>
        <w:jc w:val="both"/>
        <w:rPr>
          <w:rFonts w:ascii="Times New Roman" w:eastAsia="Times New Roman" w:hAnsi="Times New Roman"/>
          <w:lang w:val="lt-LT" w:eastAsia="lt-LT"/>
        </w:rPr>
      </w:pPr>
      <w:r w:rsidRPr="00660C98">
        <w:rPr>
          <w:rFonts w:ascii="Times New Roman" w:eastAsia="Times New Roman" w:hAnsi="Times New Roman"/>
          <w:lang w:val="pt-BR" w:eastAsia="lt-LT"/>
        </w:rPr>
        <w:t>Suomija</w:t>
      </w:r>
    </w:p>
    <w:p w:rsidR="00660C98" w:rsidRPr="00660C98" w:rsidRDefault="00660C98" w:rsidP="00660C98">
      <w:pPr>
        <w:keepNext/>
        <w:tabs>
          <w:tab w:val="left" w:pos="-3060"/>
        </w:tabs>
        <w:spacing w:after="0" w:line="240" w:lineRule="auto"/>
        <w:outlineLvl w:val="0"/>
        <w:rPr>
          <w:rFonts w:ascii="Times New Roman" w:eastAsia="Times New Roman" w:hAnsi="Times New Roman"/>
          <w:b/>
          <w:bCs/>
          <w:lang w:val="lt-LT" w:eastAsia="lt-LT"/>
        </w:rPr>
      </w:pPr>
    </w:p>
    <w:p w:rsidR="00660C98" w:rsidRPr="00660C98" w:rsidRDefault="00660C98" w:rsidP="00660C98">
      <w:pPr>
        <w:spacing w:after="0" w:line="240" w:lineRule="auto"/>
        <w:rPr>
          <w:rFonts w:ascii="Times New Roman" w:eastAsia="Times New Roman" w:hAnsi="Times New Roman"/>
          <w:b/>
          <w:bCs/>
          <w:lang w:val="lt-LT"/>
        </w:rPr>
      </w:pPr>
      <w:r w:rsidRPr="00660C98">
        <w:rPr>
          <w:rFonts w:ascii="Times New Roman" w:eastAsia="Times New Roman" w:hAnsi="Times New Roman"/>
          <w:b/>
          <w:bCs/>
          <w:lang w:val="lt-LT"/>
        </w:rPr>
        <w:t>Gamintojas</w:t>
      </w: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Novartis Pharma </w:t>
      </w:r>
      <w:proofErr w:type="spellStart"/>
      <w:r w:rsidRPr="00660C98">
        <w:rPr>
          <w:rFonts w:ascii="Times New Roman" w:eastAsia="Times New Roman" w:hAnsi="Times New Roman"/>
          <w:lang w:val="lt-LT"/>
        </w:rPr>
        <w:t>GmbH</w:t>
      </w:r>
      <w:proofErr w:type="spellEnd"/>
    </w:p>
    <w:p w:rsidR="00660C98" w:rsidRPr="00660C98" w:rsidRDefault="00660C98" w:rsidP="00660C98">
      <w:pPr>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Roonstrasse</w:t>
      </w:r>
      <w:proofErr w:type="spellEnd"/>
      <w:r w:rsidRPr="00660C98">
        <w:rPr>
          <w:rFonts w:ascii="Times New Roman" w:eastAsia="Times New Roman" w:hAnsi="Times New Roman"/>
          <w:lang w:val="lt-LT"/>
        </w:rPr>
        <w:t xml:space="preserve"> 25 </w:t>
      </w:r>
      <w:proofErr w:type="spellStart"/>
      <w:r w:rsidRPr="00660C98">
        <w:rPr>
          <w:rFonts w:ascii="Times New Roman" w:eastAsia="Times New Roman" w:hAnsi="Times New Roman"/>
          <w:lang w:val="lt-LT"/>
        </w:rPr>
        <w:t>and</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Obere</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Turnstrasse</w:t>
      </w:r>
      <w:proofErr w:type="spellEnd"/>
      <w:r w:rsidRPr="00660C98">
        <w:rPr>
          <w:rFonts w:ascii="Times New Roman" w:eastAsia="Times New Roman" w:hAnsi="Times New Roman"/>
          <w:lang w:val="lt-LT"/>
        </w:rPr>
        <w:t xml:space="preserve"> 8</w:t>
      </w:r>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D-90429 </w:t>
      </w:r>
      <w:proofErr w:type="spellStart"/>
      <w:r w:rsidRPr="00660C98">
        <w:rPr>
          <w:rFonts w:ascii="Times New Roman" w:eastAsia="Times New Roman" w:hAnsi="Times New Roman"/>
          <w:lang w:val="lt-LT"/>
        </w:rPr>
        <w:t>Nürnberg</w:t>
      </w:r>
      <w:proofErr w:type="spellEnd"/>
    </w:p>
    <w:p w:rsidR="00660C98" w:rsidRPr="00660C98" w:rsidRDefault="00660C98" w:rsidP="00660C98">
      <w:pPr>
        <w:spacing w:after="0" w:line="240" w:lineRule="auto"/>
        <w:rPr>
          <w:rFonts w:ascii="Times New Roman" w:eastAsia="Times New Roman" w:hAnsi="Times New Roman"/>
          <w:lang w:val="lt-LT"/>
        </w:rPr>
      </w:pPr>
      <w:r w:rsidRPr="00660C98">
        <w:rPr>
          <w:rFonts w:ascii="Times New Roman" w:eastAsia="Times New Roman" w:hAnsi="Times New Roman"/>
          <w:lang w:val="lt-LT"/>
        </w:rPr>
        <w:t>Vokietija</w:t>
      </w:r>
    </w:p>
    <w:p w:rsidR="00660C98" w:rsidRPr="00660C98" w:rsidRDefault="00660C98" w:rsidP="00660C98">
      <w:pPr>
        <w:tabs>
          <w:tab w:val="left" w:pos="567"/>
        </w:tabs>
        <w:spacing w:after="0" w:line="240" w:lineRule="auto"/>
        <w:rPr>
          <w:rFonts w:ascii="Times New Roman" w:eastAsia="Times New Roman" w:hAnsi="Times New Roman"/>
          <w:i/>
          <w:u w:val="single"/>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Jeigu apie šį vaistą norite sužinoti daugiau, kreipkitės į vietinį rinkodaros teisės turėtojo atstovą:</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 xml:space="preserve">Novartis Pharma </w:t>
      </w:r>
      <w:proofErr w:type="spellStart"/>
      <w:r w:rsidRPr="00660C98">
        <w:rPr>
          <w:rFonts w:ascii="Times New Roman" w:eastAsia="Times New Roman" w:hAnsi="Times New Roman"/>
          <w:lang w:val="lt-LT"/>
        </w:rPr>
        <w:t>Services</w:t>
      </w:r>
      <w:proofErr w:type="spellEnd"/>
      <w:r w:rsidRPr="00660C98">
        <w:rPr>
          <w:rFonts w:ascii="Times New Roman" w:eastAsia="Times New Roman" w:hAnsi="Times New Roman"/>
          <w:lang w:val="lt-LT"/>
        </w:rPr>
        <w:t xml:space="preserve"> </w:t>
      </w:r>
      <w:proofErr w:type="spellStart"/>
      <w:r w:rsidRPr="00660C98">
        <w:rPr>
          <w:rFonts w:ascii="Times New Roman" w:eastAsia="Times New Roman" w:hAnsi="Times New Roman"/>
          <w:lang w:val="lt-LT"/>
        </w:rPr>
        <w:t>Inc</w:t>
      </w:r>
      <w:proofErr w:type="spellEnd"/>
      <w:r w:rsidRPr="00660C98">
        <w:rPr>
          <w:rFonts w:ascii="Times New Roman" w:eastAsia="Times New Roman" w:hAnsi="Times New Roman"/>
          <w:lang w:val="lt-LT"/>
        </w:rPr>
        <w:t xml:space="preserve">. </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Atstovybė Lietuvoje</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Konstitucijos pr. 7,</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Vilnius, LT-09308.</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r w:rsidRPr="00660C98">
        <w:rPr>
          <w:rFonts w:ascii="Times New Roman" w:eastAsia="Times New Roman" w:hAnsi="Times New Roman"/>
          <w:lang w:val="lt-LT"/>
        </w:rPr>
        <w:t>Tel. +370 5 269 16 50</w:t>
      </w:r>
    </w:p>
    <w:p w:rsidR="00660C98" w:rsidRPr="00660C98" w:rsidRDefault="00660C98" w:rsidP="00660C98">
      <w:pPr>
        <w:tabs>
          <w:tab w:val="left" w:pos="0"/>
          <w:tab w:val="left" w:pos="567"/>
        </w:tabs>
        <w:spacing w:after="0" w:line="240" w:lineRule="auto"/>
        <w:rPr>
          <w:rFonts w:ascii="Times New Roman" w:eastAsia="Times New Roman" w:hAnsi="Times New Roman"/>
          <w:lang w:val="lt-LT"/>
        </w:rPr>
      </w:pPr>
      <w:proofErr w:type="spellStart"/>
      <w:r w:rsidRPr="00660C98">
        <w:rPr>
          <w:rFonts w:ascii="Times New Roman" w:eastAsia="Times New Roman" w:hAnsi="Times New Roman"/>
          <w:lang w:val="lt-LT"/>
        </w:rPr>
        <w:t>Fax</w:t>
      </w:r>
      <w:proofErr w:type="spellEnd"/>
      <w:r w:rsidRPr="00660C98">
        <w:rPr>
          <w:rFonts w:ascii="Times New Roman" w:eastAsia="Times New Roman" w:hAnsi="Times New Roman"/>
          <w:lang w:val="lt-LT"/>
        </w:rPr>
        <w:t>: +370 5 249 63 38</w:t>
      </w: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r w:rsidRPr="00660C98">
        <w:rPr>
          <w:rFonts w:ascii="Times New Roman" w:eastAsia="Times New Roman" w:hAnsi="Times New Roman"/>
          <w:b/>
          <w:lang w:val="lt-LT"/>
        </w:rPr>
        <w:t xml:space="preserve">Šis pakuotės lapelis paskutinį kartą peržiūrėtas </w:t>
      </w:r>
      <w:r w:rsidR="00826048">
        <w:rPr>
          <w:rFonts w:ascii="Times New Roman" w:eastAsia="Times New Roman" w:hAnsi="Times New Roman"/>
          <w:b/>
          <w:lang w:val="lt-LT"/>
        </w:rPr>
        <w:t>2016-10-05</w:t>
      </w:r>
    </w:p>
    <w:p w:rsidR="00660C98" w:rsidRPr="00660C98" w:rsidRDefault="00660C98" w:rsidP="00660C98">
      <w:pPr>
        <w:tabs>
          <w:tab w:val="left" w:pos="0"/>
          <w:tab w:val="left" w:pos="567"/>
        </w:tabs>
        <w:spacing w:after="0" w:line="240" w:lineRule="auto"/>
        <w:rPr>
          <w:rFonts w:ascii="Times New Roman" w:eastAsia="Times New Roman" w:hAnsi="Times New Roman"/>
          <w:b/>
          <w:lang w:val="lt-LT"/>
        </w:rPr>
      </w:pPr>
    </w:p>
    <w:p w:rsidR="00660C98" w:rsidRPr="00660C98" w:rsidRDefault="00660C98" w:rsidP="00660C98">
      <w:pPr>
        <w:spacing w:after="0" w:line="240" w:lineRule="auto"/>
        <w:rPr>
          <w:rFonts w:ascii="Times New Roman" w:hAnsi="Times New Roman"/>
          <w:color w:val="0000FF"/>
          <w:u w:val="single"/>
          <w:lang w:val="lt-LT"/>
        </w:rPr>
      </w:pPr>
      <w:r w:rsidRPr="00660C98">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12" w:history="1">
        <w:r w:rsidRPr="00660C98">
          <w:rPr>
            <w:rFonts w:ascii="Times New Roman" w:hAnsi="Times New Roman"/>
            <w:color w:val="0000FF"/>
            <w:u w:val="single"/>
            <w:lang w:val="lt-LT"/>
          </w:rPr>
          <w:t>http://www.vvkt.lt/</w:t>
        </w:r>
      </w:hyperlink>
      <w:r w:rsidRPr="00660C98">
        <w:rPr>
          <w:rFonts w:ascii="Times New Roman" w:hAnsi="Times New Roman"/>
          <w:color w:val="0000FF"/>
          <w:u w:val="single"/>
          <w:lang w:val="lt-LT"/>
        </w:rPr>
        <w:t>.</w:t>
      </w:r>
    </w:p>
    <w:p w:rsidR="00660C98" w:rsidRPr="00660C98" w:rsidRDefault="00660C98" w:rsidP="00660C98">
      <w:pPr>
        <w:spacing w:after="0" w:line="240" w:lineRule="auto"/>
        <w:rPr>
          <w:rFonts w:ascii="Times New Roman" w:eastAsia="Times New Roman" w:hAnsi="Times New Roman"/>
          <w:lang w:val="lt-LT"/>
        </w:rPr>
      </w:pPr>
    </w:p>
    <w:p w:rsidR="00D204E7" w:rsidRPr="00660C98" w:rsidRDefault="00D204E7">
      <w:pPr>
        <w:rPr>
          <w:lang w:val="lt-LT"/>
        </w:rPr>
      </w:pPr>
      <w:bookmarkStart w:id="0" w:name="_GoBack"/>
      <w:bookmarkEnd w:id="0"/>
      <w:permStart w:id="2060744624" w:edGrp="everyone"/>
      <w:permEnd w:id="2060744624"/>
    </w:p>
    <w:sectPr w:rsidR="00D204E7" w:rsidRPr="00660C98" w:rsidSect="00D204E7">
      <w:headerReference w:type="even" r:id="rId13"/>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560" w:rsidRDefault="00120560">
      <w:pPr>
        <w:spacing w:after="0" w:line="240" w:lineRule="auto"/>
      </w:pPr>
      <w:r>
        <w:separator/>
      </w:r>
    </w:p>
  </w:endnote>
  <w:endnote w:type="continuationSeparator" w:id="0">
    <w:p w:rsidR="00120560" w:rsidRDefault="0012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708" w:rsidRDefault="00E007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00708" w:rsidRDefault="00E0070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708" w:rsidRDefault="00E007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6048">
      <w:rPr>
        <w:rStyle w:val="Puslapionumeris"/>
        <w:noProof/>
      </w:rPr>
      <w:t>28</w:t>
    </w:r>
    <w:r>
      <w:rPr>
        <w:rStyle w:val="Puslapionumeris"/>
      </w:rPr>
      <w:fldChar w:fldCharType="end"/>
    </w:r>
  </w:p>
  <w:p w:rsidR="00E00708" w:rsidRDefault="00E00708">
    <w:pPr>
      <w:pStyle w:val="Por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560" w:rsidRDefault="00120560">
      <w:pPr>
        <w:spacing w:after="0" w:line="240" w:lineRule="auto"/>
      </w:pPr>
      <w:r>
        <w:separator/>
      </w:r>
    </w:p>
  </w:footnote>
  <w:footnote w:type="continuationSeparator" w:id="0">
    <w:p w:rsidR="00120560" w:rsidRDefault="00120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708" w:rsidRDefault="00E007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00708" w:rsidRDefault="00E007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708" w:rsidRDefault="00E00708">
    <w:pPr>
      <w:pStyle w:val="Antrats"/>
      <w:framePr w:wrap="around" w:vAnchor="text" w:hAnchor="margin" w:xAlign="center" w:y="1"/>
      <w:rPr>
        <w:rStyle w:val="Puslapionumeris"/>
      </w:rPr>
    </w:pPr>
  </w:p>
  <w:p w:rsidR="00E00708" w:rsidRDefault="00E007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CC41F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70F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2F7298"/>
    <w:multiLevelType w:val="hybridMultilevel"/>
    <w:tmpl w:val="54DE63EA"/>
    <w:lvl w:ilvl="0" w:tplc="00867B30">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00A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BA65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9A2C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2A4AE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EFC2D9C"/>
    <w:multiLevelType w:val="hybridMultilevel"/>
    <w:tmpl w:val="D9C889A8"/>
    <w:lvl w:ilvl="0" w:tplc="580C5E08">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B57365"/>
    <w:multiLevelType w:val="hybridMultilevel"/>
    <w:tmpl w:val="1AE64C14"/>
    <w:lvl w:ilvl="0" w:tplc="724090F2">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201C"/>
    <w:multiLevelType w:val="hybridMultilevel"/>
    <w:tmpl w:val="0E0A057E"/>
    <w:lvl w:ilvl="0" w:tplc="580C5E08">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848F0"/>
    <w:multiLevelType w:val="hybridMultilevel"/>
    <w:tmpl w:val="773E07F8"/>
    <w:lvl w:ilvl="0" w:tplc="96388FC2">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3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730C58"/>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6" w15:restartNumberingAfterBreak="0">
    <w:nsid w:val="44262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98686B"/>
    <w:multiLevelType w:val="hybridMultilevel"/>
    <w:tmpl w:val="171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8271E"/>
    <w:multiLevelType w:val="hybridMultilevel"/>
    <w:tmpl w:val="AEFC6EE0"/>
    <w:lvl w:ilvl="0" w:tplc="C70CB47C">
      <w:start w:val="1"/>
      <w:numFmt w:val="bullet"/>
      <w:lvlText w:val=""/>
      <w:lvlJc w:val="left"/>
      <w:pPr>
        <w:tabs>
          <w:tab w:val="num" w:pos="786"/>
        </w:tabs>
        <w:ind w:left="786" w:hanging="360"/>
      </w:pPr>
      <w:rPr>
        <w:rFonts w:ascii="Symbol" w:hAnsi="Symbol" w:hint="default"/>
        <w:color w:val="auto"/>
      </w:rPr>
    </w:lvl>
    <w:lvl w:ilvl="1" w:tplc="04270003" w:tentative="1">
      <w:start w:val="1"/>
      <w:numFmt w:val="bullet"/>
      <w:lvlText w:val="o"/>
      <w:lvlJc w:val="left"/>
      <w:pPr>
        <w:tabs>
          <w:tab w:val="num" w:pos="655"/>
        </w:tabs>
        <w:ind w:left="655" w:hanging="360"/>
      </w:pPr>
      <w:rPr>
        <w:rFonts w:ascii="Courier New" w:hAnsi="Courier New" w:hint="default"/>
      </w:rPr>
    </w:lvl>
    <w:lvl w:ilvl="2" w:tplc="04270005" w:tentative="1">
      <w:start w:val="1"/>
      <w:numFmt w:val="bullet"/>
      <w:lvlText w:val=""/>
      <w:lvlJc w:val="left"/>
      <w:pPr>
        <w:tabs>
          <w:tab w:val="num" w:pos="1375"/>
        </w:tabs>
        <w:ind w:left="1375" w:hanging="360"/>
      </w:pPr>
      <w:rPr>
        <w:rFonts w:ascii="Wingdings" w:hAnsi="Wingdings" w:hint="default"/>
      </w:rPr>
    </w:lvl>
    <w:lvl w:ilvl="3" w:tplc="04270001" w:tentative="1">
      <w:start w:val="1"/>
      <w:numFmt w:val="bullet"/>
      <w:lvlText w:val=""/>
      <w:lvlJc w:val="left"/>
      <w:pPr>
        <w:tabs>
          <w:tab w:val="num" w:pos="2095"/>
        </w:tabs>
        <w:ind w:left="2095" w:hanging="360"/>
      </w:pPr>
      <w:rPr>
        <w:rFonts w:ascii="Symbol" w:hAnsi="Symbol" w:hint="default"/>
      </w:rPr>
    </w:lvl>
    <w:lvl w:ilvl="4" w:tplc="04270003" w:tentative="1">
      <w:start w:val="1"/>
      <w:numFmt w:val="bullet"/>
      <w:lvlText w:val="o"/>
      <w:lvlJc w:val="left"/>
      <w:pPr>
        <w:tabs>
          <w:tab w:val="num" w:pos="2815"/>
        </w:tabs>
        <w:ind w:left="2815" w:hanging="360"/>
      </w:pPr>
      <w:rPr>
        <w:rFonts w:ascii="Courier New" w:hAnsi="Courier New" w:hint="default"/>
      </w:rPr>
    </w:lvl>
    <w:lvl w:ilvl="5" w:tplc="04270005" w:tentative="1">
      <w:start w:val="1"/>
      <w:numFmt w:val="bullet"/>
      <w:lvlText w:val=""/>
      <w:lvlJc w:val="left"/>
      <w:pPr>
        <w:tabs>
          <w:tab w:val="num" w:pos="3535"/>
        </w:tabs>
        <w:ind w:left="3535" w:hanging="360"/>
      </w:pPr>
      <w:rPr>
        <w:rFonts w:ascii="Wingdings" w:hAnsi="Wingdings" w:hint="default"/>
      </w:rPr>
    </w:lvl>
    <w:lvl w:ilvl="6" w:tplc="04270001" w:tentative="1">
      <w:start w:val="1"/>
      <w:numFmt w:val="bullet"/>
      <w:lvlText w:val=""/>
      <w:lvlJc w:val="left"/>
      <w:pPr>
        <w:tabs>
          <w:tab w:val="num" w:pos="4255"/>
        </w:tabs>
        <w:ind w:left="4255" w:hanging="360"/>
      </w:pPr>
      <w:rPr>
        <w:rFonts w:ascii="Symbol" w:hAnsi="Symbol" w:hint="default"/>
      </w:rPr>
    </w:lvl>
    <w:lvl w:ilvl="7" w:tplc="04270003" w:tentative="1">
      <w:start w:val="1"/>
      <w:numFmt w:val="bullet"/>
      <w:lvlText w:val="o"/>
      <w:lvlJc w:val="left"/>
      <w:pPr>
        <w:tabs>
          <w:tab w:val="num" w:pos="4975"/>
        </w:tabs>
        <w:ind w:left="4975" w:hanging="360"/>
      </w:pPr>
      <w:rPr>
        <w:rFonts w:ascii="Courier New" w:hAnsi="Courier New" w:hint="default"/>
      </w:rPr>
    </w:lvl>
    <w:lvl w:ilvl="8" w:tplc="04270005" w:tentative="1">
      <w:start w:val="1"/>
      <w:numFmt w:val="bullet"/>
      <w:lvlText w:val=""/>
      <w:lvlJc w:val="left"/>
      <w:pPr>
        <w:tabs>
          <w:tab w:val="num" w:pos="5695"/>
        </w:tabs>
        <w:ind w:left="5695" w:hanging="360"/>
      </w:pPr>
      <w:rPr>
        <w:rFonts w:ascii="Wingdings" w:hAnsi="Wingdings" w:hint="default"/>
      </w:rPr>
    </w:lvl>
  </w:abstractNum>
  <w:abstractNum w:abstractNumId="19" w15:restartNumberingAfterBreak="0">
    <w:nsid w:val="5E505DE3"/>
    <w:multiLevelType w:val="singleLevel"/>
    <w:tmpl w:val="47D62B58"/>
    <w:lvl w:ilvl="0">
      <w:start w:val="1"/>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20" w15:restartNumberingAfterBreak="0">
    <w:nsid w:val="5FDC5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0351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D97516"/>
    <w:multiLevelType w:val="hybridMultilevel"/>
    <w:tmpl w:val="671AE5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C54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0C71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557F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73B5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27"/>
  </w:num>
  <w:num w:numId="4">
    <w:abstractNumId w:val="14"/>
  </w:num>
  <w:num w:numId="5">
    <w:abstractNumId w:val="16"/>
  </w:num>
  <w:num w:numId="6">
    <w:abstractNumId w:val="20"/>
  </w:num>
  <w:num w:numId="7">
    <w:abstractNumId w:val="26"/>
  </w:num>
  <w:num w:numId="8">
    <w:abstractNumId w:val="24"/>
  </w:num>
  <w:num w:numId="9">
    <w:abstractNumId w:val="23"/>
  </w:num>
  <w:num w:numId="10">
    <w:abstractNumId w:val="5"/>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9"/>
  </w:num>
  <w:num w:numId="13">
    <w:abstractNumId w:val="3"/>
  </w:num>
  <w:num w:numId="14">
    <w:abstractNumId w:val="15"/>
  </w:num>
  <w:num w:numId="15">
    <w:abstractNumId w:val="8"/>
  </w:num>
  <w:num w:numId="16">
    <w:abstractNumId w:val="7"/>
  </w:num>
  <w:num w:numId="17">
    <w:abstractNumId w:val="2"/>
  </w:num>
  <w:num w:numId="18">
    <w:abstractNumId w:val="11"/>
  </w:num>
  <w:num w:numId="19">
    <w:abstractNumId w:val="13"/>
  </w:num>
  <w:num w:numId="20">
    <w:abstractNumId w:val="4"/>
  </w:num>
  <w:num w:numId="21">
    <w:abstractNumId w:val="29"/>
  </w:num>
  <w:num w:numId="22">
    <w:abstractNumId w:val="28"/>
  </w:num>
  <w:num w:numId="23">
    <w:abstractNumId w:val="25"/>
  </w:num>
  <w:num w:numId="24">
    <w:abstractNumId w:val="10"/>
  </w:num>
  <w:num w:numId="25">
    <w:abstractNumId w:val="12"/>
  </w:num>
  <w:num w:numId="26">
    <w:abstractNumId w:val="0"/>
  </w:num>
  <w:num w:numId="27">
    <w:abstractNumId w:val="22"/>
  </w:num>
  <w:num w:numId="28">
    <w:abstractNumId w:val="18"/>
  </w:num>
  <w:num w:numId="29">
    <w:abstractNumId w:val="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RsC7EsJjUJN5S0q1H8qcMd1Ll3c1NkN13Zcrb0wnsHbFVcDcK2ifsjPgNSaKua2g0/crXjohxze0JAVRmkPlQ==" w:salt="CltQRIjb5qr//B74zDC7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98"/>
    <w:rsid w:val="0003477F"/>
    <w:rsid w:val="00093DC2"/>
    <w:rsid w:val="00120560"/>
    <w:rsid w:val="001A6251"/>
    <w:rsid w:val="002448D2"/>
    <w:rsid w:val="00267ED1"/>
    <w:rsid w:val="00276D49"/>
    <w:rsid w:val="00355122"/>
    <w:rsid w:val="00410C61"/>
    <w:rsid w:val="00465315"/>
    <w:rsid w:val="004A4C76"/>
    <w:rsid w:val="00500B11"/>
    <w:rsid w:val="0051205A"/>
    <w:rsid w:val="00650B71"/>
    <w:rsid w:val="00660C98"/>
    <w:rsid w:val="006927E8"/>
    <w:rsid w:val="006D485C"/>
    <w:rsid w:val="00712D3A"/>
    <w:rsid w:val="0073410D"/>
    <w:rsid w:val="00746CCA"/>
    <w:rsid w:val="00777238"/>
    <w:rsid w:val="007B2FF1"/>
    <w:rsid w:val="007D1585"/>
    <w:rsid w:val="007E5A4D"/>
    <w:rsid w:val="00826048"/>
    <w:rsid w:val="008A0AA7"/>
    <w:rsid w:val="009A5C86"/>
    <w:rsid w:val="00A63616"/>
    <w:rsid w:val="00A81B00"/>
    <w:rsid w:val="00A92C1F"/>
    <w:rsid w:val="00AA250E"/>
    <w:rsid w:val="00AA5DA7"/>
    <w:rsid w:val="00AE1749"/>
    <w:rsid w:val="00B17840"/>
    <w:rsid w:val="00B51442"/>
    <w:rsid w:val="00B97EDE"/>
    <w:rsid w:val="00C0032E"/>
    <w:rsid w:val="00C10856"/>
    <w:rsid w:val="00C14C7C"/>
    <w:rsid w:val="00CB6866"/>
    <w:rsid w:val="00D204E7"/>
    <w:rsid w:val="00D32FD6"/>
    <w:rsid w:val="00D97EAF"/>
    <w:rsid w:val="00DB16A7"/>
    <w:rsid w:val="00E00708"/>
    <w:rsid w:val="00E216D7"/>
    <w:rsid w:val="00E52342"/>
    <w:rsid w:val="00E66E50"/>
    <w:rsid w:val="00E95116"/>
    <w:rsid w:val="00FA653E"/>
    <w:rsid w:val="00FD3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3178D7-EF39-406C-AE36-5F5F76D9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660C98"/>
    <w:pPr>
      <w:keepNext/>
      <w:tabs>
        <w:tab w:val="left" w:pos="567"/>
      </w:tabs>
      <w:spacing w:after="0" w:line="240" w:lineRule="auto"/>
      <w:jc w:val="center"/>
      <w:outlineLvl w:val="0"/>
    </w:pPr>
    <w:rPr>
      <w:rFonts w:ascii="Times New Roman" w:eastAsia="Times New Roman" w:hAnsi="Times New Roman"/>
      <w:b/>
      <w:bCs/>
      <w:sz w:val="20"/>
      <w:szCs w:val="20"/>
      <w:lang w:val="lt-LT" w:eastAsia="lt-LT"/>
    </w:rPr>
  </w:style>
  <w:style w:type="paragraph" w:styleId="Antrat3">
    <w:name w:val="heading 3"/>
    <w:basedOn w:val="prastasis"/>
    <w:next w:val="prastasis"/>
    <w:link w:val="Antrat3Diagrama"/>
    <w:uiPriority w:val="99"/>
    <w:qFormat/>
    <w:rsid w:val="00660C98"/>
    <w:pPr>
      <w:keepNext/>
      <w:spacing w:after="0" w:line="240" w:lineRule="auto"/>
      <w:outlineLvl w:val="2"/>
    </w:pPr>
    <w:rPr>
      <w:rFonts w:ascii="Times New Roman" w:eastAsia="Times New Roman" w:hAnsi="Times New Roman"/>
      <w:bCs/>
      <w:sz w:val="24"/>
      <w:szCs w:val="20"/>
      <w:lang w:val="lt-LT" w:eastAsia="lt-LT"/>
    </w:rPr>
  </w:style>
  <w:style w:type="paragraph" w:styleId="Antrat4">
    <w:name w:val="heading 4"/>
    <w:basedOn w:val="prastasis"/>
    <w:next w:val="prastasis"/>
    <w:link w:val="Antrat4Diagrama"/>
    <w:uiPriority w:val="9"/>
    <w:qFormat/>
    <w:rsid w:val="00660C98"/>
    <w:pPr>
      <w:keepNext/>
      <w:spacing w:before="240" w:after="60" w:line="240" w:lineRule="auto"/>
      <w:outlineLvl w:val="3"/>
    </w:pPr>
    <w:rPr>
      <w:rFonts w:eastAsia="Times New Roman"/>
      <w:b/>
      <w:bCs/>
      <w:sz w:val="28"/>
      <w:szCs w:val="28"/>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60C98"/>
    <w:rPr>
      <w:rFonts w:ascii="Times New Roman" w:eastAsia="Times New Roman" w:hAnsi="Times New Roman" w:cs="Times New Roman"/>
      <w:b/>
      <w:bCs/>
      <w:sz w:val="20"/>
      <w:szCs w:val="20"/>
      <w:lang w:val="lt-LT" w:eastAsia="lt-LT"/>
    </w:rPr>
  </w:style>
  <w:style w:type="character" w:customStyle="1" w:styleId="Antrat3Diagrama">
    <w:name w:val="Antraštė 3 Diagrama"/>
    <w:link w:val="Antrat3"/>
    <w:uiPriority w:val="99"/>
    <w:rsid w:val="00660C98"/>
    <w:rPr>
      <w:rFonts w:ascii="Times New Roman" w:eastAsia="Times New Roman" w:hAnsi="Times New Roman" w:cs="Times New Roman"/>
      <w:bCs/>
      <w:sz w:val="24"/>
      <w:szCs w:val="20"/>
      <w:lang w:val="lt-LT" w:eastAsia="lt-LT"/>
    </w:rPr>
  </w:style>
  <w:style w:type="character" w:customStyle="1" w:styleId="Antrat4Diagrama">
    <w:name w:val="Antraštė 4 Diagrama"/>
    <w:link w:val="Antrat4"/>
    <w:uiPriority w:val="9"/>
    <w:rsid w:val="00660C98"/>
    <w:rPr>
      <w:rFonts w:ascii="Calibri" w:eastAsia="Times New Roman" w:hAnsi="Calibri" w:cs="Times New Roman"/>
      <w:b/>
      <w:bCs/>
      <w:sz w:val="28"/>
      <w:szCs w:val="28"/>
      <w:lang w:val="lt-LT" w:eastAsia="x-none"/>
    </w:rPr>
  </w:style>
  <w:style w:type="numbering" w:customStyle="1" w:styleId="NoList1">
    <w:name w:val="No List1"/>
    <w:next w:val="Sraonra"/>
    <w:uiPriority w:val="99"/>
    <w:semiHidden/>
    <w:unhideWhenUsed/>
    <w:rsid w:val="00660C98"/>
  </w:style>
  <w:style w:type="character" w:styleId="Puslapionumeris">
    <w:name w:val="page number"/>
    <w:uiPriority w:val="99"/>
    <w:rsid w:val="00660C98"/>
    <w:rPr>
      <w:rFonts w:cs="Times New Roman"/>
    </w:rPr>
  </w:style>
  <w:style w:type="paragraph" w:styleId="Antrats">
    <w:name w:val="header"/>
    <w:basedOn w:val="prastasis"/>
    <w:link w:val="AntratsDiagrama"/>
    <w:uiPriority w:val="99"/>
    <w:rsid w:val="00660C98"/>
    <w:pPr>
      <w:tabs>
        <w:tab w:val="center" w:pos="4153"/>
        <w:tab w:val="right" w:pos="8306"/>
      </w:tabs>
      <w:spacing w:after="0" w:line="240" w:lineRule="auto"/>
    </w:pPr>
    <w:rPr>
      <w:rFonts w:ascii="TimesLT" w:eastAsia="Times New Roman" w:hAnsi="TimesLT"/>
      <w:sz w:val="20"/>
      <w:szCs w:val="20"/>
      <w:lang w:val="lt-LT" w:eastAsia="lt-LT"/>
    </w:rPr>
  </w:style>
  <w:style w:type="character" w:customStyle="1" w:styleId="AntratsDiagrama">
    <w:name w:val="Antraštės Diagrama"/>
    <w:link w:val="Antrats"/>
    <w:uiPriority w:val="99"/>
    <w:rsid w:val="00660C98"/>
    <w:rPr>
      <w:rFonts w:ascii="TimesLT" w:eastAsia="Times New Roman" w:hAnsi="TimesLT" w:cs="Times New Roman"/>
      <w:sz w:val="20"/>
      <w:szCs w:val="20"/>
      <w:lang w:val="lt-LT" w:eastAsia="lt-LT"/>
    </w:rPr>
  </w:style>
  <w:style w:type="paragraph" w:styleId="Porat">
    <w:name w:val="footer"/>
    <w:basedOn w:val="prastasis"/>
    <w:link w:val="PoratDiagrama"/>
    <w:uiPriority w:val="99"/>
    <w:rsid w:val="00660C98"/>
    <w:pPr>
      <w:tabs>
        <w:tab w:val="center" w:pos="4153"/>
        <w:tab w:val="right" w:pos="8306"/>
      </w:tabs>
      <w:spacing w:after="0" w:line="240" w:lineRule="auto"/>
    </w:pPr>
    <w:rPr>
      <w:rFonts w:ascii="Times New Roman" w:eastAsia="Times New Roman" w:hAnsi="Times New Roman"/>
      <w:sz w:val="20"/>
      <w:szCs w:val="20"/>
      <w:lang w:val="en-AU" w:eastAsia="lt-LT"/>
    </w:rPr>
  </w:style>
  <w:style w:type="character" w:customStyle="1" w:styleId="PoratDiagrama">
    <w:name w:val="Poraštė Diagrama"/>
    <w:link w:val="Porat"/>
    <w:uiPriority w:val="99"/>
    <w:rsid w:val="00660C98"/>
    <w:rPr>
      <w:rFonts w:ascii="Times New Roman" w:eastAsia="Times New Roman" w:hAnsi="Times New Roman" w:cs="Times New Roman"/>
      <w:sz w:val="20"/>
      <w:szCs w:val="20"/>
      <w:lang w:val="en-AU" w:eastAsia="lt-LT"/>
    </w:rPr>
  </w:style>
  <w:style w:type="paragraph" w:styleId="Pagrindinistekstas">
    <w:name w:val="Body Text"/>
    <w:basedOn w:val="prastasis"/>
    <w:link w:val="PagrindinistekstasDiagrama"/>
    <w:uiPriority w:val="99"/>
    <w:rsid w:val="00660C98"/>
    <w:pPr>
      <w:spacing w:after="0" w:line="240" w:lineRule="auto"/>
      <w:jc w:val="both"/>
    </w:pPr>
    <w:rPr>
      <w:rFonts w:ascii="Times New Roman" w:eastAsia="Times New Roman" w:hAnsi="Times New Roman"/>
      <w:sz w:val="24"/>
      <w:szCs w:val="20"/>
      <w:lang w:val="lt-LT" w:eastAsia="lt-LT"/>
    </w:rPr>
  </w:style>
  <w:style w:type="character" w:customStyle="1" w:styleId="PagrindinistekstasDiagrama">
    <w:name w:val="Pagrindinis tekstas Diagrama"/>
    <w:link w:val="Pagrindinistekstas"/>
    <w:uiPriority w:val="99"/>
    <w:rsid w:val="00660C98"/>
    <w:rPr>
      <w:rFonts w:ascii="Times New Roman" w:eastAsia="Times New Roman" w:hAnsi="Times New Roman" w:cs="Times New Roman"/>
      <w:sz w:val="24"/>
      <w:szCs w:val="20"/>
      <w:lang w:val="lt-LT" w:eastAsia="lt-LT"/>
    </w:rPr>
  </w:style>
  <w:style w:type="paragraph" w:customStyle="1" w:styleId="Table">
    <w:name w:val="Table"/>
    <w:basedOn w:val="prastasis"/>
    <w:link w:val="TableChar"/>
    <w:uiPriority w:val="99"/>
    <w:rsid w:val="00660C98"/>
    <w:pPr>
      <w:keepNext/>
      <w:keepLines/>
      <w:tabs>
        <w:tab w:val="left" w:pos="284"/>
      </w:tabs>
      <w:spacing w:before="40" w:after="20" w:line="240" w:lineRule="auto"/>
    </w:pPr>
    <w:rPr>
      <w:rFonts w:ascii="Arial" w:hAnsi="Arial"/>
      <w:b/>
      <w:sz w:val="20"/>
      <w:szCs w:val="20"/>
      <w:lang w:val="x-none" w:eastAsia="x-none"/>
    </w:rPr>
  </w:style>
  <w:style w:type="character" w:customStyle="1" w:styleId="TableChar">
    <w:name w:val="Table Char"/>
    <w:link w:val="Table"/>
    <w:uiPriority w:val="99"/>
    <w:locked/>
    <w:rsid w:val="00660C98"/>
    <w:rPr>
      <w:rFonts w:ascii="Arial" w:eastAsia="Calibri" w:hAnsi="Arial" w:cs="Times New Roman"/>
      <w:b/>
      <w:sz w:val="20"/>
      <w:szCs w:val="20"/>
      <w:lang w:val="x-none" w:eastAsia="x-none"/>
    </w:rPr>
  </w:style>
  <w:style w:type="paragraph" w:customStyle="1" w:styleId="BTEMEASMCA">
    <w:name w:val="BT EMEA_SMCA"/>
    <w:basedOn w:val="prastasis"/>
    <w:link w:val="BTEMEASMCAChar"/>
    <w:autoRedefine/>
    <w:uiPriority w:val="99"/>
    <w:rsid w:val="00660C98"/>
    <w:pPr>
      <w:spacing w:after="0" w:line="240" w:lineRule="auto"/>
    </w:pPr>
    <w:rPr>
      <w:rFonts w:ascii="Times New Roman" w:hAnsi="Times New Roman"/>
      <w:sz w:val="20"/>
      <w:szCs w:val="20"/>
      <w:lang w:val="x-none" w:eastAsia="x-none"/>
    </w:rPr>
  </w:style>
  <w:style w:type="character" w:customStyle="1" w:styleId="BTEMEASMCAChar">
    <w:name w:val="BT EMEA_SMCA Char"/>
    <w:link w:val="BTEMEASMCA"/>
    <w:uiPriority w:val="99"/>
    <w:locked/>
    <w:rsid w:val="00660C98"/>
    <w:rPr>
      <w:rFonts w:ascii="Times New Roman" w:eastAsia="Calibri" w:hAnsi="Times New Roman" w:cs="Times New Roman"/>
      <w:sz w:val="20"/>
      <w:szCs w:val="20"/>
      <w:lang w:val="x-none" w:eastAsia="x-none"/>
    </w:rPr>
  </w:style>
  <w:style w:type="character" w:styleId="Hipersaitas">
    <w:name w:val="Hyperlink"/>
    <w:uiPriority w:val="99"/>
    <w:rsid w:val="00660C98"/>
    <w:rPr>
      <w:rFonts w:cs="Times New Roman"/>
      <w:color w:val="0000FF"/>
      <w:u w:val="single"/>
    </w:rPr>
  </w:style>
  <w:style w:type="paragraph" w:customStyle="1" w:styleId="PI-3EMEASMCA">
    <w:name w:val="PI-3 EMEA_SMCA"/>
    <w:basedOn w:val="prastasis"/>
    <w:autoRedefine/>
    <w:uiPriority w:val="99"/>
    <w:rsid w:val="00660C98"/>
    <w:pPr>
      <w:spacing w:after="0" w:line="220" w:lineRule="exact"/>
    </w:pPr>
    <w:rPr>
      <w:rFonts w:ascii="Times New Roman" w:eastAsia="Times New Roman" w:hAnsi="Times New Roman"/>
      <w:b/>
      <w:bCs/>
      <w:lang w:val="lt-LT"/>
    </w:rPr>
  </w:style>
  <w:style w:type="paragraph" w:customStyle="1" w:styleId="Text">
    <w:name w:val="Text"/>
    <w:aliases w:val="Graphic,Graphic Char Char,Graphic Char Char Char Char Char,Graphic Char Char Char Char Char Char Char C"/>
    <w:basedOn w:val="prastasis"/>
    <w:link w:val="TextChar"/>
    <w:qFormat/>
    <w:rsid w:val="00660C98"/>
    <w:pPr>
      <w:spacing w:before="120" w:after="0" w:line="240" w:lineRule="auto"/>
      <w:jc w:val="both"/>
    </w:pPr>
    <w:rPr>
      <w:rFonts w:ascii="Times New Roman" w:hAnsi="Times New Roman"/>
      <w:sz w:val="20"/>
      <w:szCs w:val="20"/>
      <w:lang w:val="x-none" w:eastAsia="x-none"/>
    </w:rPr>
  </w:style>
  <w:style w:type="character" w:customStyle="1" w:styleId="TextChar">
    <w:name w:val="Text Char"/>
    <w:link w:val="Text"/>
    <w:locked/>
    <w:rsid w:val="00660C98"/>
    <w:rPr>
      <w:rFonts w:ascii="Times New Roman" w:eastAsia="Calibri" w:hAnsi="Times New Roman" w:cs="Times New Roman"/>
      <w:sz w:val="20"/>
      <w:szCs w:val="20"/>
      <w:lang w:val="x-none" w:eastAsia="x-none"/>
    </w:rPr>
  </w:style>
  <w:style w:type="paragraph" w:styleId="Debesliotekstas">
    <w:name w:val="Balloon Text"/>
    <w:basedOn w:val="prastasis"/>
    <w:link w:val="DebesliotekstasDiagrama"/>
    <w:uiPriority w:val="99"/>
    <w:semiHidden/>
    <w:rsid w:val="00660C98"/>
    <w:pPr>
      <w:spacing w:after="0" w:line="240" w:lineRule="auto"/>
    </w:pPr>
    <w:rPr>
      <w:rFonts w:ascii="Tahoma" w:eastAsia="Times New Roman" w:hAnsi="Tahoma"/>
      <w:sz w:val="16"/>
      <w:szCs w:val="16"/>
      <w:lang w:val="lt-LT" w:eastAsia="lt-LT"/>
    </w:rPr>
  </w:style>
  <w:style w:type="character" w:customStyle="1" w:styleId="DebesliotekstasDiagrama">
    <w:name w:val="Debesėlio tekstas Diagrama"/>
    <w:link w:val="Debesliotekstas"/>
    <w:uiPriority w:val="99"/>
    <w:semiHidden/>
    <w:rsid w:val="00660C98"/>
    <w:rPr>
      <w:rFonts w:ascii="Tahoma" w:eastAsia="Times New Roman" w:hAnsi="Tahoma" w:cs="Times New Roman"/>
      <w:sz w:val="16"/>
      <w:szCs w:val="16"/>
      <w:lang w:val="lt-LT" w:eastAsia="lt-LT"/>
    </w:rPr>
  </w:style>
  <w:style w:type="character" w:styleId="Komentaronuoroda">
    <w:name w:val="annotation reference"/>
    <w:uiPriority w:val="99"/>
    <w:semiHidden/>
    <w:rsid w:val="00660C98"/>
    <w:rPr>
      <w:rFonts w:cs="Times New Roman"/>
      <w:sz w:val="18"/>
    </w:rPr>
  </w:style>
  <w:style w:type="paragraph" w:styleId="Komentarotekstas">
    <w:name w:val="annotation text"/>
    <w:basedOn w:val="prastasis"/>
    <w:link w:val="KomentarotekstasDiagrama"/>
    <w:uiPriority w:val="99"/>
    <w:rsid w:val="00660C98"/>
    <w:pPr>
      <w:spacing w:after="0" w:line="240" w:lineRule="auto"/>
    </w:pPr>
    <w:rPr>
      <w:rFonts w:ascii="Times New Roman" w:eastAsia="Times New Roman" w:hAnsi="Times New Roman"/>
      <w:sz w:val="24"/>
      <w:szCs w:val="24"/>
      <w:lang w:val="lt-LT" w:eastAsia="lt-LT"/>
    </w:rPr>
  </w:style>
  <w:style w:type="character" w:customStyle="1" w:styleId="KomentarotekstasDiagrama">
    <w:name w:val="Komentaro tekstas Diagrama"/>
    <w:link w:val="Komentarotekstas"/>
    <w:uiPriority w:val="99"/>
    <w:rsid w:val="00660C98"/>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rsid w:val="00660C98"/>
    <w:rPr>
      <w:b/>
      <w:bCs/>
    </w:rPr>
  </w:style>
  <w:style w:type="character" w:customStyle="1" w:styleId="KomentarotemaDiagrama">
    <w:name w:val="Komentaro tema Diagrama"/>
    <w:link w:val="Komentarotema"/>
    <w:uiPriority w:val="99"/>
    <w:semiHidden/>
    <w:rsid w:val="00660C98"/>
    <w:rPr>
      <w:rFonts w:ascii="Times New Roman" w:eastAsia="Times New Roman" w:hAnsi="Times New Roman" w:cs="Times New Roman"/>
      <w:b/>
      <w:bCs/>
      <w:sz w:val="24"/>
      <w:szCs w:val="24"/>
      <w:lang w:val="lt-LT" w:eastAsia="lt-LT"/>
    </w:rPr>
  </w:style>
  <w:style w:type="paragraph" w:customStyle="1" w:styleId="BTAnIIEMEASMCA">
    <w:name w:val="BT(AnII) EMEA_SMCA"/>
    <w:basedOn w:val="Debesliotekstas"/>
    <w:uiPriority w:val="99"/>
    <w:rsid w:val="00660C98"/>
    <w:pPr>
      <w:tabs>
        <w:tab w:val="left" w:pos="1701"/>
      </w:tabs>
      <w:ind w:left="1701" w:hanging="567"/>
    </w:pPr>
    <w:rPr>
      <w:rFonts w:ascii="Times New Roman" w:hAnsi="Times New Roman"/>
      <w:b/>
      <w:sz w:val="22"/>
      <w:szCs w:val="22"/>
      <w:lang w:val="en-GB"/>
    </w:rPr>
  </w:style>
  <w:style w:type="paragraph" w:customStyle="1" w:styleId="Docstatus">
    <w:name w:val="Docstatus"/>
    <w:basedOn w:val="prastasis"/>
    <w:uiPriority w:val="99"/>
    <w:rsid w:val="00660C98"/>
    <w:pPr>
      <w:keepNext/>
      <w:tabs>
        <w:tab w:val="left" w:pos="2268"/>
      </w:tabs>
      <w:spacing w:before="240" w:after="0" w:line="240" w:lineRule="auto"/>
    </w:pPr>
    <w:rPr>
      <w:rFonts w:ascii="Arial" w:eastAsia="Times New Roman" w:hAnsi="Arial"/>
      <w:szCs w:val="20"/>
    </w:rPr>
  </w:style>
  <w:style w:type="paragraph" w:customStyle="1" w:styleId="TTEMEASMCA">
    <w:name w:val="TT EMEA_SMCA"/>
    <w:basedOn w:val="Antrat1"/>
    <w:link w:val="TTEMEASMCAChar"/>
    <w:autoRedefine/>
    <w:uiPriority w:val="99"/>
    <w:rsid w:val="00660C98"/>
    <w:pPr>
      <w:keepNext w:val="0"/>
      <w:ind w:left="567" w:hanging="567"/>
    </w:pPr>
    <w:rPr>
      <w:rFonts w:eastAsia="Calibri"/>
      <w:bCs w:val="0"/>
      <w:caps/>
      <w:lang w:val="x-none" w:eastAsia="x-none"/>
    </w:rPr>
  </w:style>
  <w:style w:type="character" w:customStyle="1" w:styleId="TTEMEASMCAChar">
    <w:name w:val="TT EMEA_SMCA Char"/>
    <w:link w:val="TTEMEASMCA"/>
    <w:uiPriority w:val="99"/>
    <w:locked/>
    <w:rsid w:val="00660C98"/>
    <w:rPr>
      <w:rFonts w:ascii="Times New Roman" w:eastAsia="Calibri" w:hAnsi="Times New Roman" w:cs="Times New Roman"/>
      <w:b/>
      <w:caps/>
      <w:sz w:val="20"/>
      <w:szCs w:val="20"/>
      <w:lang w:val="x-none" w:eastAsia="x-none"/>
    </w:rPr>
  </w:style>
  <w:style w:type="paragraph" w:customStyle="1" w:styleId="PI-2EMEASMCA">
    <w:name w:val="PI-2 EMEA_SMCA"/>
    <w:basedOn w:val="Antrat3"/>
    <w:autoRedefine/>
    <w:uiPriority w:val="99"/>
    <w:rsid w:val="00660C98"/>
    <w:pPr>
      <w:keepLines/>
      <w:tabs>
        <w:tab w:val="left" w:pos="567"/>
      </w:tabs>
      <w:ind w:left="567" w:hanging="567"/>
    </w:pPr>
    <w:rPr>
      <w:b/>
      <w:bCs w:val="0"/>
      <w:kern w:val="28"/>
      <w:sz w:val="22"/>
      <w:szCs w:val="22"/>
    </w:rPr>
  </w:style>
  <w:style w:type="paragraph" w:customStyle="1" w:styleId="prastasiniatinklio1">
    <w:name w:val="Įprastas (žiniatinklio)1"/>
    <w:basedOn w:val="prastasis"/>
    <w:uiPriority w:val="99"/>
    <w:rsid w:val="00660C98"/>
    <w:pPr>
      <w:spacing w:before="100" w:beforeAutospacing="1" w:after="75" w:line="240" w:lineRule="auto"/>
    </w:pPr>
    <w:rPr>
      <w:rFonts w:ascii="Times New Roman" w:eastAsia="Times New Roman" w:hAnsi="Times New Roman"/>
      <w:color w:val="000000"/>
      <w:sz w:val="24"/>
      <w:szCs w:val="24"/>
    </w:rPr>
  </w:style>
  <w:style w:type="paragraph" w:styleId="Pagrindinistekstas2">
    <w:name w:val="Body Text 2"/>
    <w:basedOn w:val="prastasis"/>
    <w:link w:val="Pagrindinistekstas2Diagrama"/>
    <w:uiPriority w:val="99"/>
    <w:semiHidden/>
    <w:unhideWhenUsed/>
    <w:rsid w:val="00660C98"/>
    <w:pPr>
      <w:spacing w:after="120" w:line="480" w:lineRule="auto"/>
    </w:pPr>
    <w:rPr>
      <w:rFonts w:ascii="Times New Roman" w:eastAsia="Times New Roman" w:hAnsi="Times New Roman"/>
      <w:sz w:val="20"/>
      <w:szCs w:val="20"/>
      <w:lang w:val="lt-LT" w:eastAsia="x-none"/>
    </w:rPr>
  </w:style>
  <w:style w:type="character" w:customStyle="1" w:styleId="Pagrindinistekstas2Diagrama">
    <w:name w:val="Pagrindinis tekstas 2 Diagrama"/>
    <w:link w:val="Pagrindinistekstas2"/>
    <w:uiPriority w:val="99"/>
    <w:semiHidden/>
    <w:rsid w:val="00660C98"/>
    <w:rPr>
      <w:rFonts w:ascii="Times New Roman" w:eastAsia="Times New Roman" w:hAnsi="Times New Roman" w:cs="Times New Roman"/>
      <w:sz w:val="20"/>
      <w:szCs w:val="20"/>
      <w:lang w:val="lt-LT" w:eastAsia="x-none"/>
    </w:rPr>
  </w:style>
  <w:style w:type="paragraph" w:customStyle="1" w:styleId="Default">
    <w:name w:val="Default"/>
    <w:rsid w:val="00660C98"/>
    <w:pPr>
      <w:autoSpaceDE w:val="0"/>
      <w:autoSpaceDN w:val="0"/>
      <w:adjustRightInd w:val="0"/>
    </w:pPr>
    <w:rPr>
      <w:rFonts w:ascii="Verdana" w:hAnsi="Verdana" w:cs="Verdana"/>
      <w:color w:val="000000"/>
      <w:sz w:val="24"/>
      <w:szCs w:val="24"/>
      <w:lang w:val="en-US" w:eastAsia="en-US"/>
    </w:rPr>
  </w:style>
  <w:style w:type="character" w:customStyle="1" w:styleId="hps">
    <w:name w:val="hps"/>
    <w:rsid w:val="00660C98"/>
  </w:style>
  <w:style w:type="character" w:customStyle="1" w:styleId="atn">
    <w:name w:val="atn"/>
    <w:rsid w:val="00660C98"/>
  </w:style>
  <w:style w:type="paragraph" w:styleId="Paprastasistekstas">
    <w:name w:val="Plain Text"/>
    <w:basedOn w:val="prastasis"/>
    <w:link w:val="PaprastasistekstasDiagrama"/>
    <w:uiPriority w:val="99"/>
    <w:semiHidden/>
    <w:unhideWhenUsed/>
    <w:rsid w:val="00660C98"/>
    <w:pPr>
      <w:spacing w:after="0" w:line="240" w:lineRule="auto"/>
    </w:pPr>
    <w:rPr>
      <w:szCs w:val="21"/>
    </w:rPr>
  </w:style>
  <w:style w:type="character" w:customStyle="1" w:styleId="PaprastasistekstasDiagrama">
    <w:name w:val="Paprastasis tekstas Diagrama"/>
    <w:link w:val="Paprastasistekstas"/>
    <w:uiPriority w:val="99"/>
    <w:semiHidden/>
    <w:rsid w:val="00660C98"/>
    <w:rPr>
      <w:rFonts w:ascii="Calibri" w:eastAsia="Calibri" w:hAnsi="Calibri" w:cs="Times New Roman"/>
      <w:szCs w:val="21"/>
    </w:rPr>
  </w:style>
  <w:style w:type="paragraph" w:styleId="Sraopastraipa">
    <w:name w:val="List Paragraph"/>
    <w:basedOn w:val="prastasis"/>
    <w:uiPriority w:val="34"/>
    <w:qFormat/>
    <w:rsid w:val="00650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38362</Words>
  <Characters>21867</Characters>
  <Application>Microsoft Office Word</Application>
  <DocSecurity>8</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60109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cp:lastModifiedBy>Albina Burkauskaitė</cp:lastModifiedBy>
  <cp:revision>3</cp:revision>
  <dcterms:created xsi:type="dcterms:W3CDTF">2016-10-06T07:27:00Z</dcterms:created>
  <dcterms:modified xsi:type="dcterms:W3CDTF">2016-10-06T07:28:00Z</dcterms:modified>
</cp:coreProperties>
</file>