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68D6" w:rsidRPr="00CB1011" w:rsidRDefault="005268D6" w:rsidP="005268D6">
      <w:pPr>
        <w:spacing w:after="0" w:line="240" w:lineRule="auto"/>
        <w:jc w:val="center"/>
        <w:rPr>
          <w:rFonts w:ascii="Times New Roman" w:hAnsi="Times New Roman" w:cs="Times New Roman"/>
          <w:b/>
          <w:lang w:val="lt-LT"/>
        </w:rPr>
      </w:pPr>
      <w:r w:rsidRPr="00CB1011">
        <w:rPr>
          <w:rFonts w:ascii="Times New Roman" w:hAnsi="Times New Roman" w:cs="Times New Roman"/>
          <w:b/>
          <w:lang w:val="lt-LT"/>
        </w:rPr>
        <w:t>Pakuotės lapelis: informacija vartotojui</w:t>
      </w:r>
    </w:p>
    <w:p w:rsidR="005268D6" w:rsidRPr="00CB1011" w:rsidRDefault="005268D6" w:rsidP="005268D6">
      <w:pPr>
        <w:spacing w:after="0" w:line="240" w:lineRule="auto"/>
        <w:jc w:val="center"/>
        <w:rPr>
          <w:rFonts w:ascii="Times New Roman" w:hAnsi="Times New Roman" w:cs="Times New Roman"/>
          <w:lang w:val="lt-LT"/>
        </w:rPr>
      </w:pPr>
    </w:p>
    <w:p w:rsidR="005268D6" w:rsidRPr="00CB1011" w:rsidRDefault="005268D6" w:rsidP="005268D6">
      <w:pPr>
        <w:keepNext/>
        <w:spacing w:after="0" w:line="240" w:lineRule="auto"/>
        <w:jc w:val="center"/>
        <w:outlineLvl w:val="0"/>
        <w:rPr>
          <w:rFonts w:ascii="Times New Roman" w:hAnsi="Times New Roman" w:cs="Times New Roman"/>
          <w:b/>
          <w:lang w:val="lt-LT"/>
        </w:rPr>
      </w:pPr>
      <w:r w:rsidRPr="00CB1011">
        <w:rPr>
          <w:rFonts w:ascii="Times New Roman" w:hAnsi="Times New Roman" w:cs="Times New Roman"/>
          <w:b/>
          <w:lang w:val="lt-LT"/>
        </w:rPr>
        <w:t>Glypressin 1 mg injekcinis tirpalas</w:t>
      </w:r>
    </w:p>
    <w:p w:rsidR="005268D6" w:rsidRPr="00CB1011" w:rsidRDefault="005268D6" w:rsidP="005268D6">
      <w:pPr>
        <w:spacing w:after="0" w:line="240" w:lineRule="auto"/>
        <w:jc w:val="center"/>
        <w:rPr>
          <w:rFonts w:ascii="Times New Roman" w:hAnsi="Times New Roman" w:cs="Times New Roman"/>
          <w:lang w:val="lt-LT"/>
        </w:rPr>
      </w:pPr>
      <w:r>
        <w:rPr>
          <w:rFonts w:ascii="Times New Roman" w:hAnsi="Times New Roman" w:cs="Times New Roman"/>
          <w:lang w:val="lt-LT"/>
        </w:rPr>
        <w:t>t</w:t>
      </w:r>
      <w:r w:rsidRPr="00CB1011">
        <w:rPr>
          <w:rFonts w:ascii="Times New Roman" w:hAnsi="Times New Roman" w:cs="Times New Roman"/>
          <w:lang w:val="lt-LT"/>
        </w:rPr>
        <w:t>erlipresino acetatas</w:t>
      </w:r>
    </w:p>
    <w:p w:rsidR="005268D6" w:rsidRPr="00CB1011" w:rsidRDefault="005268D6" w:rsidP="005268D6">
      <w:pPr>
        <w:keepNext/>
        <w:spacing w:after="0" w:line="240" w:lineRule="auto"/>
        <w:outlineLvl w:val="0"/>
        <w:rPr>
          <w:rFonts w:ascii="Times New Roman" w:hAnsi="Times New Roman" w:cs="Times New Roman"/>
          <w:lang w:val="lt-LT"/>
        </w:rPr>
      </w:pPr>
    </w:p>
    <w:p w:rsidR="005268D6" w:rsidRPr="00CB1011" w:rsidRDefault="005268D6" w:rsidP="005268D6">
      <w:pPr>
        <w:keepNext/>
        <w:spacing w:after="0" w:line="240" w:lineRule="auto"/>
        <w:outlineLvl w:val="0"/>
        <w:rPr>
          <w:rFonts w:ascii="Times New Roman" w:hAnsi="Times New Roman" w:cs="Times New Roman"/>
          <w:b/>
          <w:lang w:val="lt-LT"/>
        </w:rPr>
      </w:pPr>
      <w:r w:rsidRPr="00CB1011">
        <w:rPr>
          <w:rFonts w:ascii="Times New Roman" w:hAnsi="Times New Roman" w:cs="Times New Roman"/>
          <w:b/>
          <w:lang w:val="lt-LT"/>
        </w:rPr>
        <w:t>Atidžiai perskaitykite visą šį lapelį, prieš pradėdami vartoti vaistą, nes jame pateikiama Jums svarbi informacija.</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Neišmeskite šio lapelio, nes vėl gali prireikti jį perskaityti.</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Jeigu kiltų daugiau klausimų, kreipkitės į gydytoją.</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Jeigu pasireiškė šalutinis poveikis (net jeigu jis šiame lapelyje nenurodytas), kreipkitės į gydytoją. Žr. 4 skyrių.</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keepNext/>
        <w:keepLines/>
        <w:spacing w:after="0" w:line="240" w:lineRule="auto"/>
        <w:outlineLvl w:val="3"/>
        <w:rPr>
          <w:rFonts w:ascii="Times New Roman" w:hAnsi="Times New Roman" w:cs="Times New Roman"/>
          <w:b/>
          <w:lang w:val="lt-LT"/>
        </w:rPr>
      </w:pPr>
      <w:r w:rsidRPr="00CB1011">
        <w:rPr>
          <w:rFonts w:ascii="Times New Roman" w:hAnsi="Times New Roman" w:cs="Times New Roman"/>
          <w:b/>
          <w:lang w:val="lt-LT"/>
        </w:rPr>
        <w:t>Apie ką rašoma šiame lapelyje?</w:t>
      </w:r>
    </w:p>
    <w:p w:rsidR="005268D6" w:rsidRPr="00CB1011" w:rsidRDefault="005268D6" w:rsidP="005268D6">
      <w:pPr>
        <w:numPr>
          <w:ilvl w:val="1"/>
          <w:numId w:val="1"/>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Kas yra Glypressin ir kam jis vartojamas</w:t>
      </w:r>
    </w:p>
    <w:p w:rsidR="005268D6" w:rsidRPr="00CB1011" w:rsidRDefault="005268D6" w:rsidP="005268D6">
      <w:pPr>
        <w:numPr>
          <w:ilvl w:val="1"/>
          <w:numId w:val="1"/>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 xml:space="preserve">Kas žinotina prieš vartojant Glypressin </w:t>
      </w:r>
    </w:p>
    <w:p w:rsidR="005268D6" w:rsidRPr="00CB1011" w:rsidRDefault="005268D6" w:rsidP="005268D6">
      <w:pPr>
        <w:numPr>
          <w:ilvl w:val="1"/>
          <w:numId w:val="1"/>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 xml:space="preserve">Kaip vartoti Glypressin </w:t>
      </w:r>
    </w:p>
    <w:p w:rsidR="005268D6" w:rsidRPr="00CB1011" w:rsidRDefault="005268D6" w:rsidP="005268D6">
      <w:pPr>
        <w:numPr>
          <w:ilvl w:val="1"/>
          <w:numId w:val="1"/>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Galimas šalutinis poveikis</w:t>
      </w:r>
    </w:p>
    <w:p w:rsidR="005268D6" w:rsidRPr="00CB1011" w:rsidRDefault="005268D6" w:rsidP="005268D6">
      <w:pPr>
        <w:numPr>
          <w:ilvl w:val="1"/>
          <w:numId w:val="1"/>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 xml:space="preserve">Kaip laikyti Glypressin </w:t>
      </w:r>
    </w:p>
    <w:p w:rsidR="005268D6" w:rsidRPr="00CB1011" w:rsidRDefault="005268D6" w:rsidP="005268D6">
      <w:pPr>
        <w:numPr>
          <w:ilvl w:val="1"/>
          <w:numId w:val="1"/>
        </w:numPr>
        <w:spacing w:after="0" w:line="240" w:lineRule="auto"/>
        <w:ind w:left="567" w:hanging="567"/>
        <w:rPr>
          <w:rFonts w:ascii="Times New Roman" w:hAnsi="Times New Roman" w:cs="Times New Roman"/>
          <w:lang w:val="lt-LT"/>
        </w:rPr>
      </w:pPr>
      <w:r w:rsidRPr="00CB1011">
        <w:rPr>
          <w:rFonts w:ascii="Times New Roman" w:hAnsi="Times New Roman" w:cs="Times New Roman"/>
          <w:lang w:val="lt-LT"/>
        </w:rPr>
        <w:t>Pakuotės turinys ir kita informacija</w:t>
      </w:r>
    </w:p>
    <w:p w:rsidR="005268D6" w:rsidRPr="00CB1011" w:rsidRDefault="005268D6" w:rsidP="005268D6">
      <w:pPr>
        <w:spacing w:after="0" w:line="240" w:lineRule="auto"/>
        <w:rPr>
          <w:rFonts w:ascii="Times New Roman" w:hAnsi="Times New Roman" w:cs="Times New Roman"/>
          <w:lang w:val="lt-LT"/>
        </w:rPr>
      </w:pPr>
    </w:p>
    <w:p w:rsidR="005268D6" w:rsidRPr="00756968"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1.</w:t>
      </w:r>
      <w:r w:rsidRPr="00CB1011">
        <w:rPr>
          <w:rFonts w:ascii="Times New Roman" w:hAnsi="Times New Roman" w:cs="Times New Roman"/>
          <w:b/>
          <w:lang w:val="lt-LT"/>
        </w:rPr>
        <w:tab/>
        <w:t>Kas yra Glypressin ir kam jis vartojamas</w:t>
      </w:r>
    </w:p>
    <w:p w:rsidR="005268D6" w:rsidRPr="00756968"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Glypressin injekcinio tirpalo sudėtyje yra veikliosios medžiagos terlipresino acetato.</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 xml:space="preserve">Glypressin vartojamas kraujavimui iš stemplės veninių mazgų stabdyti. </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Stemplės veniniai (varikoziniai) mazgai yra išsiplėtusios kraujagyslės, kurios atsiranda stemplėje kaip kepenų ligų komplikacija. Jie gali pratrūkti ir kraujuoti, sukeliant sunkią ir kritišką būklę.</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Sušvirkštus į kraujotaką, aktyvi medžiaga, terlipresinas, suardomas ir susidaro medžiaga, vadinama lizino vazopresinu. Ši medžiaga veikia į kraujagyslių sieneles, sukelia jų susiaurėjimą ir apriboja kraujo tekėjimą į pakenktas venas, todėl kraujavimas sumažėja.</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2.</w:t>
      </w:r>
      <w:r w:rsidRPr="00CB1011">
        <w:rPr>
          <w:rFonts w:ascii="Times New Roman" w:hAnsi="Times New Roman" w:cs="Times New Roman"/>
          <w:b/>
          <w:lang w:val="lt-LT"/>
        </w:rPr>
        <w:tab/>
        <w:t>Kas žinotina prieš vartojant Glypressin</w:t>
      </w:r>
    </w:p>
    <w:p w:rsidR="005268D6" w:rsidRPr="00CB1011" w:rsidRDefault="005268D6" w:rsidP="005268D6">
      <w:pPr>
        <w:spacing w:after="0" w:line="240" w:lineRule="auto"/>
        <w:rPr>
          <w:rFonts w:ascii="Times New Roman" w:hAnsi="Times New Roman" w:cs="Times New Roman"/>
          <w:b/>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 xml:space="preserve">Glypressin vartoti </w:t>
      </w:r>
      <w:r>
        <w:rPr>
          <w:rFonts w:ascii="Times New Roman" w:hAnsi="Times New Roman" w:cs="Times New Roman"/>
          <w:b/>
          <w:lang w:val="lt-LT"/>
        </w:rPr>
        <w:t>draudžiama</w:t>
      </w:r>
      <w:r w:rsidRPr="00CB1011">
        <w:rPr>
          <w:rFonts w:ascii="Times New Roman" w:hAnsi="Times New Roman" w:cs="Times New Roman"/>
          <w:b/>
          <w:lang w:val="lt-LT"/>
        </w:rPr>
        <w:t>:</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 xml:space="preserve">jeigu yra </w:t>
      </w:r>
      <w:r w:rsidRPr="00CB1011">
        <w:rPr>
          <w:rFonts w:ascii="Times New Roman" w:hAnsi="Times New Roman" w:cs="Times New Roman"/>
          <w:b/>
          <w:lang w:val="lt-LT"/>
        </w:rPr>
        <w:t>alergija terlipresino</w:t>
      </w:r>
      <w:r w:rsidRPr="00CB1011">
        <w:rPr>
          <w:rFonts w:ascii="Times New Roman" w:hAnsi="Times New Roman" w:cs="Times New Roman"/>
          <w:lang w:val="lt-LT"/>
        </w:rPr>
        <w:t xml:space="preserve"> acetatui arba bet kuriai pagalbinei šio vaisto medžiagai (jos išvardytos 6 skyriuje);</w:t>
      </w:r>
    </w:p>
    <w:p w:rsidR="005268D6" w:rsidRPr="00B51E1D"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 xml:space="preserve">jeigu esate </w:t>
      </w:r>
      <w:r w:rsidRPr="00CB1011">
        <w:rPr>
          <w:rFonts w:ascii="Times New Roman" w:hAnsi="Times New Roman" w:cs="Times New Roman"/>
          <w:b/>
          <w:lang w:val="lt-LT"/>
        </w:rPr>
        <w:t>nėščia</w:t>
      </w:r>
      <w:r w:rsidRPr="00B51E1D">
        <w:rPr>
          <w:rFonts w:ascii="Times New Roman" w:hAnsi="Times New Roman" w:cs="Times New Roman"/>
          <w:lang w:val="lt-LT"/>
        </w:rPr>
        <w:t xml:space="preserve">. </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Įspėjimai ir atsargumo priemonės</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eastAsia="Times New Roman" w:hAnsi="Times New Roman" w:cs="Times New Roman"/>
          <w:snapToGrid w:val="0"/>
          <w:lang w:val="lt-LT"/>
        </w:rPr>
        <w:t>Pasitarkite su gydytoju, prieš pradėdami vartoti Glypressin</w:t>
      </w:r>
      <w:r w:rsidRPr="00CB1011">
        <w:rPr>
          <w:rFonts w:ascii="Times New Roman" w:hAnsi="Times New Roman" w:cs="Times New Roman"/>
          <w:lang w:val="lt-LT"/>
        </w:rPr>
        <w:t>:</w:t>
      </w:r>
    </w:p>
    <w:p w:rsidR="005268D6" w:rsidRPr="002C7F0D" w:rsidRDefault="005268D6" w:rsidP="005268D6">
      <w:pPr>
        <w:numPr>
          <w:ilvl w:val="0"/>
          <w:numId w:val="1"/>
        </w:numPr>
        <w:spacing w:after="0" w:line="240" w:lineRule="auto"/>
        <w:rPr>
          <w:rFonts w:ascii="Times New Roman" w:hAnsi="Times New Roman" w:cs="Times New Roman"/>
          <w:lang w:val="lt-LT"/>
        </w:rPr>
      </w:pPr>
      <w:r w:rsidRPr="002C7F0D">
        <w:rPr>
          <w:rFonts w:ascii="Times New Roman" w:hAnsi="Times New Roman" w:cs="Times New Roman"/>
          <w:lang w:val="lt-LT"/>
        </w:rPr>
        <w:t xml:space="preserve">jeigu Jūsų </w:t>
      </w:r>
      <w:r w:rsidRPr="002C7F0D">
        <w:rPr>
          <w:rFonts w:ascii="Times New Roman" w:hAnsi="Times New Roman" w:cs="Times New Roman"/>
          <w:b/>
          <w:lang w:val="lt-LT"/>
        </w:rPr>
        <w:t>kraujospūdis yra aukštas</w:t>
      </w:r>
      <w:r w:rsidRPr="002C7F0D">
        <w:rPr>
          <w:rFonts w:ascii="Times New Roman" w:hAnsi="Times New Roman" w:cs="Times New Roman"/>
          <w:lang w:val="lt-LT"/>
        </w:rPr>
        <w:t>;</w:t>
      </w:r>
    </w:p>
    <w:p w:rsidR="005268D6" w:rsidRPr="002C7F0D" w:rsidRDefault="005268D6" w:rsidP="005268D6">
      <w:pPr>
        <w:numPr>
          <w:ilvl w:val="0"/>
          <w:numId w:val="1"/>
        </w:numPr>
        <w:spacing w:after="0" w:line="240" w:lineRule="auto"/>
        <w:rPr>
          <w:rFonts w:ascii="Times New Roman" w:hAnsi="Times New Roman" w:cs="Times New Roman"/>
          <w:lang w:val="lt-LT"/>
        </w:rPr>
      </w:pPr>
      <w:r w:rsidRPr="002C7F0D">
        <w:rPr>
          <w:rFonts w:ascii="Times New Roman" w:hAnsi="Times New Roman" w:cs="Times New Roman"/>
          <w:lang w:val="lt-LT"/>
        </w:rPr>
        <w:t xml:space="preserve">jeigu Jūs sergate </w:t>
      </w:r>
      <w:r w:rsidRPr="002C7F0D">
        <w:rPr>
          <w:rFonts w:ascii="Times New Roman" w:hAnsi="Times New Roman" w:cs="Times New Roman"/>
          <w:b/>
          <w:lang w:val="lt-LT"/>
        </w:rPr>
        <w:t>širdies arba plaučių ligomis</w:t>
      </w:r>
      <w:r w:rsidRPr="002C7F0D">
        <w:rPr>
          <w:rFonts w:ascii="Times New Roman" w:hAnsi="Times New Roman" w:cs="Times New Roman"/>
          <w:lang w:val="lt-LT"/>
        </w:rPr>
        <w:t>;</w:t>
      </w:r>
    </w:p>
    <w:p w:rsidR="005268D6" w:rsidRPr="002C7F0D" w:rsidRDefault="005268D6" w:rsidP="005268D6">
      <w:pPr>
        <w:numPr>
          <w:ilvl w:val="0"/>
          <w:numId w:val="1"/>
        </w:numPr>
        <w:spacing w:after="0" w:line="240" w:lineRule="auto"/>
        <w:rPr>
          <w:rFonts w:ascii="Times New Roman" w:hAnsi="Times New Roman" w:cs="Times New Roman"/>
          <w:lang w:val="lt-LT"/>
        </w:rPr>
      </w:pPr>
      <w:r w:rsidRPr="002C7F0D">
        <w:rPr>
          <w:rFonts w:ascii="Times New Roman" w:hAnsi="Times New Roman"/>
          <w:lang w:val="lt-LT"/>
        </w:rPr>
        <w:t xml:space="preserve">jeigu sergate </w:t>
      </w:r>
      <w:r w:rsidRPr="002C7F0D">
        <w:rPr>
          <w:rFonts w:ascii="Times New Roman" w:hAnsi="Times New Roman"/>
          <w:b/>
          <w:bCs/>
          <w:lang w:val="lt-LT"/>
        </w:rPr>
        <w:t>cukriniu diabetu</w:t>
      </w:r>
      <w:r w:rsidRPr="002C7F0D">
        <w:rPr>
          <w:rFonts w:ascii="Times New Roman" w:hAnsi="Times New Roman"/>
          <w:lang w:val="lt-LT"/>
        </w:rPr>
        <w:t>;</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b/>
          <w:lang w:val="lt-LT"/>
        </w:rPr>
        <w:t>vaikams ir senyviems</w:t>
      </w:r>
      <w:r w:rsidRPr="00CB1011">
        <w:rPr>
          <w:rFonts w:ascii="Times New Roman" w:hAnsi="Times New Roman" w:cs="Times New Roman"/>
          <w:lang w:val="lt-LT"/>
        </w:rPr>
        <w:t xml:space="preserve"> pacientams dėl ribotos vartojimo patirties;</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 xml:space="preserve">esant </w:t>
      </w:r>
      <w:r w:rsidRPr="00CB1011">
        <w:rPr>
          <w:rFonts w:ascii="Times New Roman" w:hAnsi="Times New Roman" w:cs="Times New Roman"/>
          <w:b/>
          <w:lang w:val="lt-LT"/>
        </w:rPr>
        <w:t>septiniam šokui</w:t>
      </w:r>
      <w:r w:rsidRPr="00CB1011">
        <w:rPr>
          <w:rFonts w:ascii="Times New Roman" w:hAnsi="Times New Roman" w:cs="Times New Roman"/>
          <w:lang w:val="lt-LT"/>
        </w:rPr>
        <w:t>. Septinis šokas yra sunki būklė, kuri pasireiškia, kai pagrindinė infekcija sukelia kraujospūdžio sumažėjimą ir kraujotakos pablogėjimą.</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lang w:val="lt-LT"/>
        </w:rPr>
        <w:t>Gydant Glypressin</w:t>
      </w:r>
      <w:r w:rsidRPr="00CB1011">
        <w:rPr>
          <w:rFonts w:ascii="Times New Roman" w:hAnsi="Times New Roman" w:cs="Times New Roman"/>
          <w:b/>
          <w:lang w:val="lt-LT"/>
        </w:rPr>
        <w:t>, pastoviai turi būti tikrinamas Jūsų kraujospūdis, pulso dažnis ir skysčių balansas.</w:t>
      </w:r>
    </w:p>
    <w:p w:rsidR="005268D6" w:rsidRPr="00CB1011" w:rsidRDefault="005268D6" w:rsidP="005268D6">
      <w:pPr>
        <w:spacing w:after="0" w:line="240" w:lineRule="auto"/>
        <w:rPr>
          <w:rFonts w:ascii="Times New Roman" w:hAnsi="Times New Roman" w:cs="Times New Roman"/>
          <w:b/>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Glypressin sudėtyje yra pagalbinės medžiagos natrio</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Kiekvienoje šio vaisto ampulėje yra 30,7 mg natrio (valgomosios druskos sudedamosios dalies). Tai atitinka 1,5 % didžiausios rekomenduojamos natrio paros normos suaugusiesiems.</w:t>
      </w:r>
      <w:r w:rsidRPr="00CB1011" w:rsidDel="00E33EE7">
        <w:rPr>
          <w:rFonts w:ascii="Times New Roman" w:hAnsi="Times New Roman" w:cs="Times New Roman"/>
          <w:lang w:val="lt-LT"/>
        </w:rPr>
        <w:t xml:space="preserve"> </w:t>
      </w:r>
      <w:r w:rsidRPr="00CB1011">
        <w:rPr>
          <w:rFonts w:ascii="Times New Roman" w:hAnsi="Times New Roman" w:cs="Times New Roman"/>
          <w:lang w:val="lt-LT"/>
        </w:rPr>
        <w:t xml:space="preserve">Pasakykite savo gydytojui, jeigu kontroliuojate natrio kiekį maiste. </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Kiti vaistai ir Glypressin</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Jeigu vartojate ar neseniai vartojote kitų vaistų, įskaitant įsigytus be recepto, arba dėl to nesate tikri, apie tai pasakykite gydytojui arba slaugytojui. Jeigu vartojate bet kokios rūšies širdį veikiančių vaistų (pvz., beta adrenoblokatorių), labai svarbu apie tai pranešti savo gydytojui, kadangi kartu vartojant Glypressin, jų poveikis gali sustiprėti.</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Nedelsiant praneškite gydytojui, jeigu vartojate bet kurį iš išvardytų vaistų:</w:t>
      </w: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Vaistų, kurie gali sukelti nereguliarų širdies plakimą (aritmijas), pavyzdžiui šiuos vaistus:</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antiaritminius vaistus, kurie vadinami IA klasės (chinidinas, prokainamidas, dizopiramidas) ir III klasės (amjodaronas, sotalolis, ibutilidas, dofetilidas);</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eritromiciną (antibiotiką);</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antihistaminus (dažniausiai vartojamus alergijų gydymui, tačiau jų yra ir tam tikruose vaistuose nuo kosulio ir peršalimo);</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triciklius antidepresantus, vartojamus depresijos gydymui;</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vaistus, kurie keičia druskų ir elektrolitų kiekį kraujyje, ypatingai diuretikus (vandens išsiskyrimą skatinančios tabletės, vartojamos aukšto kraujospūdžio ir širdies nepakankamumo gydymui).</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Nėštumas ir žindymo laikotarpis</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Glypressin vartoti nėščiosioms negalima.</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Glypressin negalima vartoti žindymo laikotarpiu, kadangi nežinoma, ar Glypressin patenka į motinos pieną.</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 xml:space="preserve">Vairavimas ir mechanizmų valdymas </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Duomenų nėra. Glypressin skiriamas tik ligoninės sąlygomis.</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3.</w:t>
      </w:r>
      <w:r w:rsidRPr="00CB1011">
        <w:rPr>
          <w:rFonts w:ascii="Times New Roman" w:hAnsi="Times New Roman" w:cs="Times New Roman"/>
          <w:b/>
          <w:lang w:val="lt-LT"/>
        </w:rPr>
        <w:tab/>
        <w:t>Kaip vartoti Glypressin</w:t>
      </w:r>
    </w:p>
    <w:p w:rsidR="005268D6" w:rsidRPr="00756968"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Glypressin vartojamas tik ligoninės sąlygomis ir turi būti skiriamas tik kvalifikuoto personalo. </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Tirpalas švirkščiamas į veną (tiesiai į kraujotaką).</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Esant ūmiam kraujavimui iš stemplės veninių mazgų, paprastai pradinė dozė yra 2 miligramai (mg) Glypressin. Toliau dozė paprastai yra 1-2 mg kas 4 valandas iki kraujavimo sustabdymo 24 valandas. Gydymas gali būti tęsiamas ne ilgiau kaip 48 val. Po pradinės dozės Jūsų dozė gali būti pakoreguota, atsižvelgiant i Jūsų kūno svorį arba jaučiamą bet kokį šalutinį poveikį.</w:t>
      </w:r>
    </w:p>
    <w:p w:rsidR="005268D6" w:rsidRPr="00CB1011" w:rsidRDefault="005268D6" w:rsidP="005268D6">
      <w:pPr>
        <w:spacing w:after="0" w:line="240" w:lineRule="auto"/>
        <w:rPr>
          <w:rFonts w:ascii="Times New Roman" w:hAnsi="Times New Roman" w:cs="Times New Roman"/>
          <w:lang w:val="lt-LT"/>
        </w:rPr>
      </w:pPr>
    </w:p>
    <w:p w:rsidR="005268D6" w:rsidRPr="00756968"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4.</w:t>
      </w:r>
      <w:r w:rsidRPr="00CB1011">
        <w:rPr>
          <w:rFonts w:ascii="Times New Roman" w:hAnsi="Times New Roman" w:cs="Times New Roman"/>
          <w:b/>
          <w:lang w:val="lt-LT"/>
        </w:rPr>
        <w:tab/>
        <w:t>Galimas šalutinis poveikis</w:t>
      </w:r>
    </w:p>
    <w:p w:rsidR="005268D6" w:rsidRPr="00CB1011" w:rsidRDefault="005268D6" w:rsidP="005268D6">
      <w:pPr>
        <w:spacing w:after="0" w:line="240" w:lineRule="auto"/>
        <w:rPr>
          <w:rFonts w:ascii="Times New Roman" w:hAnsi="Times New Roman" w:cs="Times New Roman"/>
          <w:lang w:val="lt-LT"/>
        </w:rPr>
      </w:pPr>
    </w:p>
    <w:p w:rsidR="005268D6" w:rsidRPr="00EF0B3D" w:rsidRDefault="005268D6" w:rsidP="005268D6">
      <w:pPr>
        <w:spacing w:after="0" w:line="240" w:lineRule="auto"/>
        <w:rPr>
          <w:rFonts w:ascii="Times New Roman" w:hAnsi="Times New Roman" w:cs="Times New Roman"/>
          <w:lang w:val="lt-LT"/>
        </w:rPr>
      </w:pPr>
      <w:r w:rsidRPr="00EF0B3D">
        <w:rPr>
          <w:rFonts w:ascii="Times New Roman" w:hAnsi="Times New Roman" w:cs="Times New Roman"/>
          <w:lang w:val="lt-LT"/>
        </w:rPr>
        <w:t>Šis vaistas, kaip ir visi kiti, gali sukelti šalutinį poveikį, nors jis pasireiškia ne visiems žmonėms.</w:t>
      </w:r>
    </w:p>
    <w:p w:rsidR="005268D6" w:rsidRPr="00EF0B3D" w:rsidRDefault="005268D6" w:rsidP="005268D6">
      <w:pPr>
        <w:spacing w:after="0" w:line="240" w:lineRule="auto"/>
        <w:rPr>
          <w:rFonts w:ascii="Times New Roman" w:hAnsi="Times New Roman"/>
          <w:lang w:val="lt-LT"/>
        </w:rPr>
      </w:pPr>
    </w:p>
    <w:p w:rsidR="005268D6" w:rsidRPr="00EF0B3D" w:rsidRDefault="005268D6" w:rsidP="005268D6">
      <w:pPr>
        <w:spacing w:after="0" w:line="240" w:lineRule="auto"/>
        <w:rPr>
          <w:rFonts w:ascii="Times New Roman" w:hAnsi="Times New Roman"/>
          <w:lang w:val="lt-LT"/>
        </w:rPr>
      </w:pPr>
      <w:r w:rsidRPr="00EF0B3D">
        <w:rPr>
          <w:rFonts w:ascii="Times New Roman" w:hAnsi="Times New Roman"/>
          <w:b/>
          <w:lang w:val="lt-LT"/>
        </w:rPr>
        <w:t>Labai dažni</w:t>
      </w:r>
      <w:r w:rsidRPr="00EF0B3D">
        <w:rPr>
          <w:rFonts w:ascii="Times New Roman" w:hAnsi="Times New Roman"/>
          <w:lang w:val="lt-LT"/>
        </w:rPr>
        <w:t xml:space="preserve"> </w:t>
      </w:r>
      <w:r w:rsidRPr="00EF0B3D">
        <w:rPr>
          <w:rFonts w:ascii="Times New Roman" w:hAnsi="Times New Roman"/>
          <w:b/>
          <w:lang w:val="lt-LT"/>
        </w:rPr>
        <w:t xml:space="preserve">šalutinio poveikio reiškiniai </w:t>
      </w:r>
      <w:r w:rsidRPr="00EF0B3D">
        <w:rPr>
          <w:rFonts w:ascii="Times New Roman" w:hAnsi="Times New Roman"/>
          <w:lang w:val="lt-LT"/>
        </w:rPr>
        <w:t>(gali pasireikšti ne rečiau kaip 1 iš 10 asmenų):</w:t>
      </w:r>
    </w:p>
    <w:p w:rsidR="005268D6" w:rsidRPr="00EF0B3D" w:rsidRDefault="005268D6" w:rsidP="005268D6">
      <w:pPr>
        <w:numPr>
          <w:ilvl w:val="0"/>
          <w:numId w:val="2"/>
        </w:numPr>
        <w:tabs>
          <w:tab w:val="num" w:pos="540"/>
        </w:tabs>
        <w:spacing w:after="0" w:line="240" w:lineRule="auto"/>
        <w:ind w:left="540"/>
        <w:rPr>
          <w:rFonts w:ascii="Times New Roman" w:hAnsi="Times New Roman"/>
          <w:lang w:val="lt-LT"/>
        </w:rPr>
      </w:pPr>
      <w:r w:rsidRPr="00EF0B3D">
        <w:rPr>
          <w:rFonts w:ascii="Times New Roman" w:hAnsi="Times New Roman"/>
          <w:lang w:val="lt-LT"/>
        </w:rPr>
        <w:t>Skrandžio skausmas</w:t>
      </w:r>
    </w:p>
    <w:p w:rsidR="005268D6" w:rsidRPr="00EF0B3D" w:rsidRDefault="005268D6" w:rsidP="005268D6">
      <w:pPr>
        <w:spacing w:after="0" w:line="240" w:lineRule="auto"/>
        <w:rPr>
          <w:rFonts w:ascii="Times New Roman" w:hAnsi="Times New Roman" w:cs="Times New Roman"/>
          <w:lang w:val="lt-LT"/>
        </w:rPr>
      </w:pPr>
    </w:p>
    <w:p w:rsidR="005268D6" w:rsidRPr="00EF0B3D" w:rsidRDefault="005268D6" w:rsidP="005268D6">
      <w:pPr>
        <w:spacing w:after="0" w:line="240" w:lineRule="auto"/>
        <w:rPr>
          <w:rFonts w:ascii="Times New Roman" w:hAnsi="Times New Roman" w:cs="Times New Roman"/>
          <w:lang w:val="lt-LT"/>
        </w:rPr>
      </w:pPr>
      <w:r w:rsidRPr="00EF0B3D">
        <w:rPr>
          <w:rFonts w:ascii="Times New Roman" w:hAnsi="Times New Roman" w:cs="Times New Roman"/>
          <w:b/>
          <w:lang w:val="lt-LT"/>
        </w:rPr>
        <w:t>Dažni</w:t>
      </w:r>
      <w:r w:rsidRPr="00EF0B3D">
        <w:rPr>
          <w:rFonts w:ascii="Times New Roman" w:hAnsi="Times New Roman" w:cs="Times New Roman"/>
          <w:lang w:val="lt-LT"/>
        </w:rPr>
        <w:t xml:space="preserve"> </w:t>
      </w:r>
      <w:r w:rsidRPr="00EF0B3D">
        <w:rPr>
          <w:rFonts w:ascii="Times New Roman" w:hAnsi="Times New Roman" w:cs="Times New Roman"/>
          <w:b/>
          <w:lang w:val="lt-LT"/>
        </w:rPr>
        <w:t xml:space="preserve">šalutinio poveikio reiškiniai </w:t>
      </w:r>
      <w:r w:rsidRPr="00EF0B3D">
        <w:rPr>
          <w:rFonts w:ascii="Times New Roman" w:hAnsi="Times New Roman" w:cs="Times New Roman"/>
          <w:lang w:val="lt-LT"/>
        </w:rPr>
        <w:t>(gali pasireikši rečiau kaip 1 iš 10 asmenų):</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 xml:space="preserve">Mažas natrio kiekis kraujyje </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Galvos skausmas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Krūtinės skausmas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Bradikardija (labai lėtas širdies plakimas)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Padažnėjęs pulsas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Kraujagyslių susitraukimas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Cianozė (deguonies stoka, dėl ko išblykšta oda)</w:t>
      </w:r>
    </w:p>
    <w:p w:rsidR="005268D6" w:rsidRPr="00EF0B3D" w:rsidRDefault="005268D6" w:rsidP="005268D6">
      <w:pPr>
        <w:numPr>
          <w:ilvl w:val="0"/>
          <w:numId w:val="2"/>
        </w:numPr>
        <w:tabs>
          <w:tab w:val="num" w:pos="540"/>
        </w:tabs>
        <w:spacing w:after="0" w:line="240" w:lineRule="auto"/>
        <w:ind w:left="540"/>
        <w:rPr>
          <w:rFonts w:ascii="Times New Roman" w:hAnsi="Times New Roman"/>
          <w:lang w:val="lt-LT"/>
        </w:rPr>
      </w:pPr>
      <w:r w:rsidRPr="00EF0B3D">
        <w:rPr>
          <w:rFonts w:ascii="Times New Roman" w:hAnsi="Times New Roman"/>
          <w:lang w:val="lt-LT"/>
        </w:rPr>
        <w:t>Skystis plaučiuose</w:t>
      </w:r>
    </w:p>
    <w:p w:rsidR="005268D6" w:rsidRPr="00EF0B3D" w:rsidRDefault="005268D6" w:rsidP="005268D6">
      <w:pPr>
        <w:numPr>
          <w:ilvl w:val="0"/>
          <w:numId w:val="2"/>
        </w:numPr>
        <w:tabs>
          <w:tab w:val="num" w:pos="540"/>
        </w:tabs>
        <w:spacing w:after="0" w:line="240" w:lineRule="auto"/>
        <w:ind w:left="540"/>
        <w:rPr>
          <w:rFonts w:ascii="Times New Roman" w:hAnsi="Times New Roman"/>
          <w:lang w:val="lt-LT"/>
        </w:rPr>
      </w:pPr>
      <w:r w:rsidRPr="00EF0B3D">
        <w:rPr>
          <w:rFonts w:ascii="Times New Roman" w:hAnsi="Times New Roman"/>
          <w:lang w:val="lt-LT"/>
        </w:rPr>
        <w:t>Dusulys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Nepakankamas kraujo pritekėjimas į galūnes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Išblyškimas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Padidėjęs kraujospūdis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Viduriavimas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Pykinimas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Vėmimas</w:t>
      </w:r>
    </w:p>
    <w:p w:rsidR="005268D6" w:rsidRPr="00EF0B3D" w:rsidRDefault="005268D6" w:rsidP="005268D6">
      <w:pPr>
        <w:spacing w:after="0" w:line="240" w:lineRule="auto"/>
        <w:rPr>
          <w:rFonts w:ascii="Times New Roman" w:hAnsi="Times New Roman" w:cs="Times New Roman"/>
          <w:lang w:val="lt-LT"/>
        </w:rPr>
      </w:pPr>
    </w:p>
    <w:p w:rsidR="005268D6" w:rsidRPr="00EF0B3D" w:rsidRDefault="005268D6" w:rsidP="005268D6">
      <w:pPr>
        <w:spacing w:after="0" w:line="240" w:lineRule="auto"/>
        <w:rPr>
          <w:rFonts w:ascii="Times New Roman" w:hAnsi="Times New Roman" w:cs="Times New Roman"/>
          <w:lang w:val="lt-LT"/>
        </w:rPr>
      </w:pPr>
      <w:r w:rsidRPr="00EF0B3D">
        <w:rPr>
          <w:rFonts w:ascii="Times New Roman" w:hAnsi="Times New Roman" w:cs="Times New Roman"/>
          <w:b/>
          <w:lang w:val="lt-LT"/>
        </w:rPr>
        <w:t>Nedažni šalutinio poveiki reiškiniai</w:t>
      </w:r>
      <w:r w:rsidRPr="00EF0B3D">
        <w:rPr>
          <w:rFonts w:ascii="Times New Roman" w:hAnsi="Times New Roman" w:cs="Times New Roman"/>
          <w:lang w:val="lt-LT"/>
        </w:rPr>
        <w:t xml:space="preserve"> (gali pasireikši rečiau kaip 1 iš 100 asmenų)</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Neritmingas širdies plakimas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Miokardo infarktas (širdies smūgis)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i/>
          <w:lang w:val="lt-LT"/>
        </w:rPr>
        <w:t>Torsades de pointes</w:t>
      </w:r>
      <w:r w:rsidRPr="00EF0B3D">
        <w:rPr>
          <w:rFonts w:ascii="Times New Roman" w:hAnsi="Times New Roman" w:cs="Times New Roman"/>
          <w:lang w:val="lt-LT"/>
        </w:rPr>
        <w:t xml:space="preserve"> (ūminis širdies veiklos sutrikimas)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Širdies nepakankamumas (jo simptomai yra dusulys, nuovargis ir patinusios kulkšnys)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Sumažėjęs kraujo pritekėjimas į žarnyną</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Karščio pylimas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Kvėpavimo sutrikimas ir kvėpavimo nepakankamumas (apsunkintas kvėpavimas)</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Odos nekrozė (negyva oda)</w:t>
      </w:r>
    </w:p>
    <w:p w:rsidR="005268D6" w:rsidRPr="00EF0B3D" w:rsidRDefault="005268D6" w:rsidP="005268D6">
      <w:pPr>
        <w:numPr>
          <w:ilvl w:val="0"/>
          <w:numId w:val="2"/>
        </w:numPr>
        <w:tabs>
          <w:tab w:val="num" w:pos="540"/>
        </w:tabs>
        <w:spacing w:after="0" w:line="240" w:lineRule="auto"/>
        <w:ind w:left="540"/>
        <w:rPr>
          <w:rFonts w:ascii="Times New Roman" w:hAnsi="Times New Roman" w:cs="Times New Roman"/>
          <w:lang w:val="lt-LT"/>
        </w:rPr>
      </w:pPr>
      <w:r w:rsidRPr="00EF0B3D">
        <w:rPr>
          <w:rFonts w:ascii="Times New Roman" w:hAnsi="Times New Roman" w:cs="Times New Roman"/>
          <w:lang w:val="lt-LT"/>
        </w:rPr>
        <w:t>Injekcijos vietos nekrozė (negyva oda)</w:t>
      </w:r>
    </w:p>
    <w:p w:rsidR="005268D6" w:rsidRPr="00EF0B3D" w:rsidRDefault="005268D6" w:rsidP="005268D6">
      <w:pPr>
        <w:spacing w:after="0" w:line="240" w:lineRule="auto"/>
        <w:rPr>
          <w:rFonts w:ascii="Times New Roman" w:hAnsi="Times New Roman" w:cs="Times New Roman"/>
          <w:lang w:val="lt-LT"/>
        </w:rPr>
      </w:pPr>
    </w:p>
    <w:p w:rsidR="005268D6" w:rsidRPr="00EF0B3D" w:rsidRDefault="005268D6" w:rsidP="005268D6">
      <w:pPr>
        <w:spacing w:after="0" w:line="240" w:lineRule="auto"/>
        <w:rPr>
          <w:rFonts w:ascii="Times New Roman" w:hAnsi="Times New Roman"/>
          <w:lang w:val="lt-LT"/>
        </w:rPr>
      </w:pPr>
      <w:r w:rsidRPr="00EF0B3D">
        <w:rPr>
          <w:rFonts w:ascii="Times New Roman" w:eastAsia="Times New Roman" w:hAnsi="Times New Roman"/>
          <w:b/>
          <w:bCs/>
          <w:lang w:val="lt-LT"/>
        </w:rPr>
        <w:t xml:space="preserve">Šalutinio poveikio reiškiniai, kurių dažnis nežinomas (negali būti apskaičiuotas pagal turimus duomenis): </w:t>
      </w:r>
    </w:p>
    <w:p w:rsidR="005268D6" w:rsidRPr="00EF0B3D" w:rsidRDefault="005268D6" w:rsidP="005268D6">
      <w:pPr>
        <w:numPr>
          <w:ilvl w:val="0"/>
          <w:numId w:val="3"/>
        </w:numPr>
        <w:tabs>
          <w:tab w:val="clear" w:pos="1287"/>
          <w:tab w:val="num" w:pos="567"/>
        </w:tabs>
        <w:spacing w:after="0" w:line="240" w:lineRule="auto"/>
        <w:ind w:left="567"/>
        <w:rPr>
          <w:rFonts w:ascii="Times New Roman" w:hAnsi="Times New Roman"/>
          <w:lang w:val="lt-LT"/>
        </w:rPr>
      </w:pPr>
      <w:r w:rsidRPr="00EF0B3D">
        <w:rPr>
          <w:rFonts w:ascii="Times New Roman" w:hAnsi="Times New Roman"/>
          <w:lang w:val="lt-LT"/>
        </w:rPr>
        <w:t>Gimdos susitraukimai</w:t>
      </w:r>
    </w:p>
    <w:p w:rsidR="005268D6" w:rsidRPr="00EF0B3D" w:rsidRDefault="005268D6" w:rsidP="005268D6">
      <w:pPr>
        <w:numPr>
          <w:ilvl w:val="0"/>
          <w:numId w:val="3"/>
        </w:numPr>
        <w:tabs>
          <w:tab w:val="clear" w:pos="1287"/>
          <w:tab w:val="num" w:pos="567"/>
        </w:tabs>
        <w:spacing w:after="0" w:line="240" w:lineRule="auto"/>
        <w:ind w:left="567"/>
        <w:rPr>
          <w:rFonts w:ascii="Times New Roman" w:hAnsi="Times New Roman"/>
          <w:lang w:val="lt-LT"/>
        </w:rPr>
      </w:pPr>
      <w:r w:rsidRPr="00EF0B3D">
        <w:rPr>
          <w:rFonts w:ascii="Times New Roman" w:hAnsi="Times New Roman"/>
          <w:lang w:val="lt-LT"/>
        </w:rPr>
        <w:t>Pablogėjusi gimdos kraujotaka</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Pranešimas apie šalutinį poveikį</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Jeigu pasireiškė šalutinis poveikis, įskaitant šiame lapelyje nenurodytą, pasakykite gydytojui arba slaugytojui. </w:t>
      </w:r>
      <w:r w:rsidRPr="00756968">
        <w:rPr>
          <w:rFonts w:ascii="Times New Roman" w:hAnsi="Times New Roman"/>
          <w:szCs w:val="24"/>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w:t>
      </w:r>
      <w:r w:rsidRPr="00756968">
        <w:rPr>
          <w:rFonts w:ascii="Times New Roman" w:hAnsi="Times New Roman" w:cs="Times New Roman"/>
          <w:lang w:val="lt-LT"/>
        </w:rPr>
        <w:t>Pranešdami apie šalutinį poveikį galite mums padėti gauti daugiau informacijos apie šio vaisto saugumą.</w:t>
      </w:r>
    </w:p>
    <w:p w:rsidR="005268D6" w:rsidRPr="00756968" w:rsidRDefault="005268D6" w:rsidP="005268D6">
      <w:pPr>
        <w:spacing w:after="0" w:line="240" w:lineRule="auto"/>
        <w:rPr>
          <w:rFonts w:ascii="Times New Roman" w:hAnsi="Times New Roman" w:cs="Times New Roman"/>
          <w:lang w:val="lt-LT"/>
        </w:rPr>
      </w:pPr>
    </w:p>
    <w:p w:rsidR="005268D6" w:rsidRPr="00756968"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5.</w:t>
      </w:r>
      <w:r w:rsidRPr="00CB1011">
        <w:rPr>
          <w:rFonts w:ascii="Times New Roman" w:hAnsi="Times New Roman" w:cs="Times New Roman"/>
          <w:b/>
          <w:lang w:val="lt-LT"/>
        </w:rPr>
        <w:tab/>
        <w:t>Kaip laikyti Glypressin</w:t>
      </w:r>
    </w:p>
    <w:p w:rsidR="005268D6" w:rsidRPr="00756968"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Šį vaistą laikykite vaikams nepastebimoje ir nepasiekiamoje vietoje.</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Ant pakuotės po „EXP“ nurodytam tinkamumo laikui pasibaigus, šio vaisto vartoti negalima. Vaistas tinkamas vartoti iki paskutinės nurodyto mėnesio dienos.</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Laikyti šaldytuve (2 °C – 8 °C). Ampules laikyti išorinėje dėžutėje, kad vaistas būtų apsaugotas nuo šviesos.</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ind w:left="540" w:hanging="540"/>
        <w:rPr>
          <w:rFonts w:ascii="Times New Roman" w:hAnsi="Times New Roman" w:cs="Times New Roman"/>
          <w:b/>
          <w:lang w:val="lt-LT"/>
        </w:rPr>
      </w:pPr>
      <w:r w:rsidRPr="00CB1011">
        <w:rPr>
          <w:rFonts w:ascii="Times New Roman" w:hAnsi="Times New Roman" w:cs="Times New Roman"/>
          <w:b/>
          <w:lang w:val="lt-LT"/>
        </w:rPr>
        <w:t>6.</w:t>
      </w:r>
      <w:r w:rsidRPr="00CB1011">
        <w:rPr>
          <w:rFonts w:ascii="Times New Roman" w:hAnsi="Times New Roman" w:cs="Times New Roman"/>
          <w:b/>
          <w:lang w:val="lt-LT"/>
        </w:rPr>
        <w:tab/>
        <w:t>Pakuotės turinys ir kita informacija</w:t>
      </w:r>
    </w:p>
    <w:p w:rsidR="005268D6" w:rsidRPr="00CB1011" w:rsidRDefault="005268D6" w:rsidP="005268D6">
      <w:pPr>
        <w:spacing w:after="0" w:line="240" w:lineRule="auto"/>
        <w:rPr>
          <w:rFonts w:ascii="Times New Roman" w:hAnsi="Times New Roman" w:cs="Times New Roman"/>
          <w:b/>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b/>
          <w:lang w:val="lt-LT"/>
        </w:rPr>
        <w:t>Glypressin sudėtis</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Veiklioji medžiaga yra terlipresinas. Vienoje 8,5 ml ampulėje yra 1 mg terlipresino acetato, atitinkančio 0,85 mg terlipresino.</w:t>
      </w:r>
      <w:r w:rsidRPr="00CB1011">
        <w:rPr>
          <w:rFonts w:ascii="Times New Roman" w:hAnsi="Times New Roman" w:cs="Times New Roman"/>
          <w:lang w:val="lt-LT"/>
        </w:rPr>
        <w:br/>
        <w:t>1 ml yra 0,12 mg terlipresino acetato,</w:t>
      </w:r>
      <w:r w:rsidRPr="00CB1011">
        <w:rPr>
          <w:rFonts w:ascii="Times New Roman" w:hAnsi="Times New Roman" w:cs="Times New Roman"/>
          <w:b/>
          <w:i/>
          <w:lang w:val="lt-LT"/>
        </w:rPr>
        <w:t xml:space="preserve"> </w:t>
      </w:r>
      <w:r w:rsidRPr="00CB1011">
        <w:rPr>
          <w:rFonts w:ascii="Times New Roman" w:hAnsi="Times New Roman" w:cs="Times New Roman"/>
          <w:lang w:val="lt-LT"/>
        </w:rPr>
        <w:t>atitinkančio 0,1 mg terlipresino.</w:t>
      </w:r>
    </w:p>
    <w:p w:rsidR="005268D6" w:rsidRPr="00CB1011" w:rsidRDefault="005268D6" w:rsidP="005268D6">
      <w:pPr>
        <w:numPr>
          <w:ilvl w:val="0"/>
          <w:numId w:val="1"/>
        </w:numPr>
        <w:spacing w:after="0" w:line="240" w:lineRule="auto"/>
        <w:rPr>
          <w:rFonts w:ascii="Times New Roman" w:hAnsi="Times New Roman" w:cs="Times New Roman"/>
          <w:lang w:val="lt-LT"/>
        </w:rPr>
      </w:pPr>
      <w:r w:rsidRPr="00CB1011">
        <w:rPr>
          <w:rFonts w:ascii="Times New Roman" w:hAnsi="Times New Roman" w:cs="Times New Roman"/>
          <w:lang w:val="lt-LT"/>
        </w:rPr>
        <w:t>Pagalbinės medžiagos yra:</w:t>
      </w:r>
      <w:r w:rsidRPr="00CB1011">
        <w:rPr>
          <w:rFonts w:ascii="Times New Roman" w:hAnsi="Times New Roman" w:cs="Times New Roman"/>
          <w:lang w:val="lt-LT"/>
        </w:rPr>
        <w:br/>
        <w:t>natrio chloridas, acto rūgštis, natrio acetatas trihidratas, injekcinis vanduo.</w:t>
      </w:r>
    </w:p>
    <w:p w:rsidR="005268D6" w:rsidRPr="00756968"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Glypressin išvaizda ir kiekis pakuotėje</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Glypressin yra skaidrus, bespalvis injekcinis tirpalas.</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Glypressin pakuotėje yra 5 ampulės po 8,5 ml tirpalo.</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keepNext/>
        <w:spacing w:after="0" w:line="240" w:lineRule="auto"/>
        <w:rPr>
          <w:rFonts w:ascii="Times New Roman" w:hAnsi="Times New Roman" w:cs="Times New Roman"/>
          <w:b/>
          <w:lang w:val="lt-LT"/>
        </w:rPr>
      </w:pPr>
      <w:r w:rsidRPr="00CB1011">
        <w:rPr>
          <w:rFonts w:ascii="Times New Roman" w:hAnsi="Times New Roman" w:cs="Times New Roman"/>
          <w:b/>
          <w:lang w:val="lt-LT"/>
        </w:rPr>
        <w:t>Registruotojas ir gamintojas</w:t>
      </w:r>
    </w:p>
    <w:p w:rsidR="005268D6" w:rsidRPr="00756968" w:rsidRDefault="005268D6" w:rsidP="005268D6">
      <w:pPr>
        <w:keepNext/>
        <w:spacing w:after="0" w:line="240" w:lineRule="auto"/>
        <w:rPr>
          <w:rFonts w:ascii="Times New Roman" w:hAnsi="Times New Roman" w:cs="Times New Roman"/>
          <w:lang w:val="lt-LT"/>
        </w:rPr>
      </w:pPr>
    </w:p>
    <w:p w:rsidR="005268D6" w:rsidRPr="00CB1011" w:rsidRDefault="005268D6" w:rsidP="005268D6">
      <w:pPr>
        <w:keepNext/>
        <w:spacing w:after="0" w:line="240" w:lineRule="auto"/>
        <w:rPr>
          <w:rFonts w:ascii="Times New Roman" w:hAnsi="Times New Roman" w:cs="Times New Roman"/>
          <w:i/>
          <w:lang w:val="lt-LT"/>
        </w:rPr>
      </w:pPr>
      <w:r w:rsidRPr="00CB1011">
        <w:rPr>
          <w:rFonts w:ascii="Times New Roman" w:hAnsi="Times New Roman" w:cs="Times New Roman"/>
          <w:i/>
          <w:lang w:val="lt-LT"/>
        </w:rPr>
        <w:t xml:space="preserve">Registruotojas </w:t>
      </w:r>
    </w:p>
    <w:p w:rsidR="005268D6" w:rsidRPr="00CB1011" w:rsidRDefault="005268D6" w:rsidP="005268D6">
      <w:pPr>
        <w:keepNext/>
        <w:spacing w:after="0"/>
        <w:rPr>
          <w:rFonts w:ascii="Times New Roman" w:eastAsia="MS Mincho" w:hAnsi="Times New Roman" w:cs="Times New Roman"/>
          <w:lang w:val="lt-LT"/>
        </w:rPr>
      </w:pPr>
      <w:r w:rsidRPr="00CB1011">
        <w:rPr>
          <w:rFonts w:ascii="Times New Roman" w:eastAsia="MS Mincho" w:hAnsi="Times New Roman" w:cs="Times New Roman"/>
          <w:lang w:val="lt-LT"/>
        </w:rPr>
        <w:t>Ferring GmbH</w:t>
      </w:r>
    </w:p>
    <w:p w:rsidR="005268D6" w:rsidRPr="00CB1011" w:rsidRDefault="005268D6" w:rsidP="005268D6">
      <w:pPr>
        <w:keepNext/>
        <w:spacing w:after="0"/>
        <w:rPr>
          <w:rFonts w:ascii="Times New Roman" w:eastAsia="MS Mincho" w:hAnsi="Times New Roman" w:cs="Times New Roman"/>
          <w:lang w:val="lt-LT"/>
        </w:rPr>
      </w:pPr>
      <w:r w:rsidRPr="00CB1011">
        <w:rPr>
          <w:rFonts w:ascii="Times New Roman" w:eastAsia="MS Mincho" w:hAnsi="Times New Roman" w:cs="Times New Roman"/>
          <w:lang w:val="lt-LT"/>
        </w:rPr>
        <w:t>Wittland 11</w:t>
      </w:r>
    </w:p>
    <w:p w:rsidR="005268D6" w:rsidRPr="00CB1011" w:rsidRDefault="005268D6" w:rsidP="005268D6">
      <w:pPr>
        <w:keepNext/>
        <w:spacing w:after="0"/>
        <w:rPr>
          <w:rFonts w:ascii="Times New Roman" w:eastAsia="MS Mincho" w:hAnsi="Times New Roman" w:cs="Times New Roman"/>
          <w:lang w:val="lt-LT"/>
        </w:rPr>
      </w:pPr>
      <w:r w:rsidRPr="00CB1011">
        <w:rPr>
          <w:rFonts w:ascii="Times New Roman" w:eastAsia="MS Mincho" w:hAnsi="Times New Roman" w:cs="Times New Roman"/>
          <w:lang w:val="lt-LT"/>
        </w:rPr>
        <w:t>D-24109 Kiel</w:t>
      </w:r>
    </w:p>
    <w:p w:rsidR="005268D6" w:rsidRPr="00CB1011" w:rsidRDefault="005268D6" w:rsidP="005268D6">
      <w:pPr>
        <w:keepNext/>
        <w:spacing w:after="0" w:line="240" w:lineRule="auto"/>
        <w:rPr>
          <w:rFonts w:ascii="Times New Roman" w:hAnsi="Times New Roman" w:cs="Times New Roman"/>
          <w:color w:val="000000"/>
          <w:lang w:val="lt-LT"/>
        </w:rPr>
      </w:pPr>
      <w:r w:rsidRPr="00CB1011">
        <w:rPr>
          <w:rFonts w:ascii="Times New Roman" w:eastAsia="MS Mincho" w:hAnsi="Times New Roman" w:cs="Times New Roman"/>
          <w:lang w:val="lt-LT"/>
        </w:rPr>
        <w:t>Vokietija</w:t>
      </w:r>
      <w:r w:rsidRPr="00CB1011" w:rsidDel="00184C5F">
        <w:rPr>
          <w:rFonts w:ascii="Times New Roman" w:hAnsi="Times New Roman" w:cs="Times New Roman"/>
          <w:color w:val="000000"/>
          <w:lang w:val="lt-LT"/>
        </w:rPr>
        <w:t xml:space="preserve"> </w:t>
      </w:r>
    </w:p>
    <w:p w:rsidR="005268D6" w:rsidRPr="00CB1011" w:rsidRDefault="005268D6" w:rsidP="005268D6">
      <w:pPr>
        <w:keepNext/>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i/>
          <w:lang w:val="lt-LT"/>
        </w:rPr>
      </w:pPr>
      <w:r w:rsidRPr="00CB1011">
        <w:rPr>
          <w:rFonts w:ascii="Times New Roman" w:hAnsi="Times New Roman" w:cs="Times New Roman"/>
          <w:i/>
          <w:lang w:val="lt-LT"/>
        </w:rPr>
        <w:t>Gamintojas</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Ferring - Lečiva, a.s.</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K. Rybniku 475</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252 42 Jesenice u Prahy</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Čekija</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arba</w:t>
      </w: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Ferring GmbH </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Wittland 11 </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 xml:space="preserve">D-24109 Kiel </w:t>
      </w:r>
    </w:p>
    <w:p w:rsidR="005268D6" w:rsidRPr="00CB1011" w:rsidRDefault="005268D6" w:rsidP="005268D6">
      <w:pPr>
        <w:spacing w:after="0" w:line="240" w:lineRule="auto"/>
        <w:rPr>
          <w:rFonts w:ascii="Times New Roman" w:hAnsi="Times New Roman" w:cs="Times New Roman"/>
          <w:lang w:val="lt-LT"/>
        </w:rPr>
      </w:pPr>
      <w:r w:rsidRPr="00CB1011">
        <w:rPr>
          <w:rFonts w:ascii="Times New Roman" w:hAnsi="Times New Roman" w:cs="Times New Roman"/>
          <w:lang w:val="lt-LT"/>
        </w:rPr>
        <w:t>Vokietija</w:t>
      </w:r>
    </w:p>
    <w:p w:rsidR="005268D6" w:rsidRPr="00756968"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lang w:val="lt-LT"/>
        </w:rPr>
      </w:pPr>
    </w:p>
    <w:p w:rsidR="005268D6" w:rsidRPr="00CB1011" w:rsidRDefault="005268D6" w:rsidP="005268D6">
      <w:pPr>
        <w:spacing w:after="0" w:line="240" w:lineRule="auto"/>
        <w:rPr>
          <w:rFonts w:ascii="Times New Roman" w:hAnsi="Times New Roman" w:cs="Times New Roman"/>
          <w:b/>
          <w:lang w:val="lt-LT"/>
        </w:rPr>
      </w:pPr>
      <w:r w:rsidRPr="00CB1011">
        <w:rPr>
          <w:rFonts w:ascii="Times New Roman" w:hAnsi="Times New Roman" w:cs="Times New Roman"/>
          <w:b/>
          <w:lang w:val="lt-LT"/>
        </w:rPr>
        <w:t xml:space="preserve">Šis pakuotės lapelis paskutinį kartą peržiūrėtas </w:t>
      </w:r>
      <w:r>
        <w:rPr>
          <w:rFonts w:ascii="Times New Roman" w:hAnsi="Times New Roman" w:cs="Times New Roman"/>
          <w:b/>
          <w:lang w:val="lt-LT"/>
        </w:rPr>
        <w:t>2024-05-15.</w:t>
      </w:r>
    </w:p>
    <w:p w:rsidR="005268D6" w:rsidRPr="00756968" w:rsidRDefault="005268D6" w:rsidP="005268D6">
      <w:pPr>
        <w:spacing w:after="0" w:line="240" w:lineRule="auto"/>
        <w:jc w:val="both"/>
        <w:rPr>
          <w:rFonts w:ascii="Times New Roman" w:hAnsi="Times New Roman" w:cs="Times New Roman"/>
          <w:caps/>
          <w:lang w:val="lt-LT"/>
        </w:rPr>
      </w:pPr>
    </w:p>
    <w:p w:rsidR="005268D6" w:rsidRPr="00756968" w:rsidRDefault="005268D6" w:rsidP="005268D6">
      <w:pPr>
        <w:spacing w:after="0" w:line="240" w:lineRule="auto"/>
        <w:jc w:val="both"/>
        <w:rPr>
          <w:rFonts w:ascii="Times New Roman" w:hAnsi="Times New Roman" w:cs="Times New Roman"/>
          <w:caps/>
          <w:lang w:val="lt-LT"/>
        </w:rPr>
      </w:pPr>
    </w:p>
    <w:p w:rsidR="005268D6" w:rsidRDefault="005268D6" w:rsidP="005268D6">
      <w:pPr>
        <w:spacing w:after="0"/>
        <w:rPr>
          <w:rFonts w:ascii="Times New Roman" w:hAnsi="Times New Roman" w:cs="Times New Roman"/>
          <w:lang w:val="lt-LT"/>
        </w:rPr>
      </w:pPr>
      <w:r w:rsidRPr="00CB1011">
        <w:rPr>
          <w:rFonts w:ascii="Times New Roman" w:hAnsi="Times New Roman" w:cs="Times New Roman"/>
          <w:lang w:val="lt-LT"/>
        </w:rPr>
        <w:t xml:space="preserve">Išsami informacija apie šį vaistą pateikiama Valstybinės vaistų kontrolės tarnybos prie Lietuvos Respublikos sveikatos apsaugos ministerijos tinklalapyje </w:t>
      </w:r>
      <w:hyperlink r:id="rId5" w:history="1">
        <w:r w:rsidRPr="00376755">
          <w:rPr>
            <w:rStyle w:val="Hipersaitas"/>
            <w:rFonts w:ascii="Times New Roman" w:hAnsi="Times New Roman" w:cs="Times New Roman"/>
            <w:lang w:val="lt-LT"/>
          </w:rPr>
          <w:t>http://www.vvkt.lt/</w:t>
        </w:r>
      </w:hyperlink>
      <w:r w:rsidRPr="00CB1011">
        <w:rPr>
          <w:rFonts w:ascii="Times New Roman" w:hAnsi="Times New Roman" w:cs="Times New Roman"/>
          <w:lang w:val="lt-LT"/>
        </w:rPr>
        <w:t>.</w:t>
      </w:r>
    </w:p>
    <w:p w:rsidR="005268D6" w:rsidRPr="00CB1011" w:rsidRDefault="005268D6" w:rsidP="005268D6">
      <w:pPr>
        <w:spacing w:after="0"/>
        <w:rPr>
          <w:lang w:val="lt-LT"/>
        </w:rPr>
      </w:pPr>
    </w:p>
    <w:p w:rsidR="00BA6577" w:rsidRDefault="00BA6577">
      <w:bookmarkStart w:id="0" w:name="_GoBack"/>
      <w:bookmarkEnd w:id="0"/>
    </w:p>
    <w:sectPr w:rsidR="00BA6577" w:rsidSect="00756968">
      <w:footerReference w:type="even"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62EC" w:rsidRDefault="005268D6" w:rsidP="00C262E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C262EC" w:rsidRDefault="005268D6" w:rsidP="00C262EC">
    <w:pPr>
      <w:pStyle w:val="Por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262EC" w:rsidRPr="00CB0C82" w:rsidRDefault="005268D6" w:rsidP="00C262EC">
    <w:pPr>
      <w:pStyle w:val="Porat"/>
      <w:framePr w:wrap="around" w:vAnchor="text" w:hAnchor="margin" w:xAlign="right" w:y="1"/>
      <w:rPr>
        <w:rStyle w:val="Puslapionumeris"/>
        <w:b/>
        <w:i/>
      </w:rPr>
    </w:pPr>
    <w:r w:rsidRPr="00CB0C82">
      <w:rPr>
        <w:rStyle w:val="Puslapionumeris"/>
        <w:b/>
        <w:i/>
      </w:rPr>
      <w:fldChar w:fldCharType="begin"/>
    </w:r>
    <w:r w:rsidRPr="0063341D">
      <w:rPr>
        <w:rStyle w:val="Puslapionumeris"/>
      </w:rPr>
      <w:instrText xml:space="preserve">PAGE  </w:instrText>
    </w:r>
    <w:r w:rsidRPr="00CB0C82">
      <w:rPr>
        <w:rStyle w:val="Puslapionumeris"/>
        <w:b/>
        <w:i/>
      </w:rPr>
      <w:fldChar w:fldCharType="separate"/>
    </w:r>
    <w:r>
      <w:rPr>
        <w:rStyle w:val="Puslapionumeris"/>
        <w:noProof/>
      </w:rPr>
      <w:t>1</w:t>
    </w:r>
    <w:r w:rsidRPr="00CB0C82">
      <w:rPr>
        <w:rStyle w:val="Puslapionumeris"/>
        <w:b/>
        <w:i/>
      </w:rPr>
      <w:fldChar w:fldCharType="end"/>
    </w:r>
  </w:p>
  <w:p w:rsidR="00C262EC" w:rsidRDefault="005268D6" w:rsidP="00C262EC">
    <w:pPr>
      <w:pStyle w:val="Porat"/>
      <w:ind w:right="360" w:firstLine="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DE4E53"/>
    <w:multiLevelType w:val="hybridMultilevel"/>
    <w:tmpl w:val="370C4E62"/>
    <w:lvl w:ilvl="0" w:tplc="B824F1F8">
      <w:start w:val="2"/>
      <w:numFmt w:val="bullet"/>
      <w:lvlText w:val="-"/>
      <w:lvlJc w:val="left"/>
      <w:pPr>
        <w:tabs>
          <w:tab w:val="num" w:pos="1287"/>
        </w:tabs>
        <w:ind w:left="1287" w:hanging="567"/>
      </w:p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1" w15:restartNumberingAfterBreak="0">
    <w:nsid w:val="28475CE3"/>
    <w:multiLevelType w:val="hybridMultilevel"/>
    <w:tmpl w:val="C6787F32"/>
    <w:lvl w:ilvl="0" w:tplc="B824F1F8">
      <w:start w:val="2"/>
      <w:numFmt w:val="bullet"/>
      <w:lvlText w:val="-"/>
      <w:lvlJc w:val="left"/>
      <w:pPr>
        <w:tabs>
          <w:tab w:val="num" w:pos="567"/>
        </w:tabs>
        <w:ind w:left="567" w:hanging="567"/>
      </w:pPr>
    </w:lvl>
    <w:lvl w:ilvl="1" w:tplc="04090003">
      <w:start w:val="1"/>
      <w:numFmt w:val="decimal"/>
      <w:lvlText w:val="%2."/>
      <w:lvlJc w:val="left"/>
      <w:pPr>
        <w:tabs>
          <w:tab w:val="num" w:pos="1353"/>
        </w:tabs>
        <w:ind w:left="1353"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 w15:restartNumberingAfterBreak="0">
    <w:nsid w:val="57046B13"/>
    <w:multiLevelType w:val="hybridMultilevel"/>
    <w:tmpl w:val="071614E8"/>
    <w:lvl w:ilvl="0" w:tplc="B824F1F8">
      <w:start w:val="2"/>
      <w:numFmt w:val="bullet"/>
      <w:lvlText w:val="-"/>
      <w:lvlJc w:val="left"/>
      <w:pPr>
        <w:tabs>
          <w:tab w:val="num" w:pos="1827"/>
        </w:tabs>
        <w:ind w:left="1827" w:hanging="567"/>
      </w:p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68D6"/>
    <w:rsid w:val="00072F85"/>
    <w:rsid w:val="00181364"/>
    <w:rsid w:val="00305C48"/>
    <w:rsid w:val="003362C6"/>
    <w:rsid w:val="005268D6"/>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9B914D-F691-4FFC-AB90-23CF3D7C6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268D6"/>
    <w:pPr>
      <w:spacing w:after="200" w:line="276" w:lineRule="auto"/>
    </w:pPr>
    <w:rPr>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5268D6"/>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5268D6"/>
    <w:rPr>
      <w:lang w:val="en-US"/>
    </w:rPr>
  </w:style>
  <w:style w:type="character" w:styleId="Puslapionumeris">
    <w:name w:val="page number"/>
    <w:basedOn w:val="Numatytasispastraiposriftas"/>
    <w:uiPriority w:val="99"/>
    <w:rsid w:val="005268D6"/>
    <w:rPr>
      <w:rFonts w:cs="Times New Roman"/>
    </w:rPr>
  </w:style>
  <w:style w:type="character" w:styleId="Hipersaitas">
    <w:name w:val="Hyperlink"/>
    <w:uiPriority w:val="99"/>
    <w:unhideWhenUsed/>
    <w:rsid w:val="005268D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4993</Words>
  <Characters>2847</Characters>
  <Application>Microsoft Office Word</Application>
  <DocSecurity>0</DocSecurity>
  <Lines>23</Lines>
  <Paragraphs>15</Paragraphs>
  <ScaleCrop>false</ScaleCrop>
  <HeadingPairs>
    <vt:vector size="4" baseType="variant">
      <vt:variant>
        <vt:lpstr>Pavadinimas</vt:lpstr>
      </vt:variant>
      <vt:variant>
        <vt:i4>1</vt:i4>
      </vt:variant>
      <vt:variant>
        <vt:lpstr>Antraštės</vt:lpstr>
      </vt:variant>
      <vt:variant>
        <vt:i4>3</vt:i4>
      </vt:variant>
    </vt:vector>
  </HeadingPairs>
  <TitlesOfParts>
    <vt:vector size="4" baseType="lpstr">
      <vt:lpstr/>
      <vt:lpstr>Glypressin 1 mg injekcinis tirpalas</vt:lpstr>
      <vt:lpstr/>
      <vt:lpstr>Atidžiai perskaitykite visą šį lapelį, prieš pradėdami vartoti vaistą, nes jame </vt:lpstr>
    </vt:vector>
  </TitlesOfParts>
  <Company/>
  <LinksUpToDate>false</LinksUpToDate>
  <CharactersWithSpaces>7825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2024-05-28T12:52:00Z</dcterms:created>
  <dcterms:modified xsi:type="dcterms:W3CDTF">2024-05-28T12:53:00Z</dcterms:modified>
</cp:coreProperties>
</file>