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CF9" w:rsidRPr="000846BE" w:rsidRDefault="00AA2CF9" w:rsidP="00AA2C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lt-LT"/>
        </w:rPr>
      </w:pPr>
      <w:r w:rsidRPr="000846BE">
        <w:rPr>
          <w:rFonts w:ascii="Times New Roman" w:eastAsia="Times New Roman" w:hAnsi="Times New Roman" w:cs="Times New Roman"/>
          <w:b/>
          <w:bCs/>
          <w:iCs/>
          <w:lang w:eastAsia="lt-LT"/>
        </w:rPr>
        <w:t>Pakuotės lapelis: informacija vartotojui</w:t>
      </w:r>
    </w:p>
    <w:p w:rsidR="00AA2CF9" w:rsidRPr="000846BE" w:rsidRDefault="00AA2CF9" w:rsidP="00AA2C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11,6 mg/g gelis</w:t>
      </w:r>
    </w:p>
    <w:p w:rsidR="00AA2CF9" w:rsidRPr="000846BE" w:rsidRDefault="00AA2CF9" w:rsidP="00AA2CF9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d</w:t>
      </w:r>
      <w:r w:rsidRPr="000846BE">
        <w:rPr>
          <w:rFonts w:ascii="Times New Roman" w:eastAsia="Times New Roman" w:hAnsi="Times New Roman" w:cs="Times New Roman"/>
          <w:lang w:eastAsia="lt-LT"/>
        </w:rPr>
        <w:t>iklofenako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dietilaminas</w:t>
      </w:r>
      <w:proofErr w:type="spellEnd"/>
    </w:p>
    <w:p w:rsidR="00AA2CF9" w:rsidRPr="000846BE" w:rsidRDefault="00AA2CF9" w:rsidP="00AA2C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0846BE">
        <w:rPr>
          <w:rFonts w:ascii="Times New Roman" w:eastAsia="Times New Roman" w:hAnsi="Times New Roman" w:cs="Times New Roman"/>
          <w:b/>
          <w:lang w:eastAsia="lt-LT"/>
        </w:rPr>
        <w:t>Atidžiai perskaitykite visą šį lapelį, prieš pradėdami vartoti šį vaistą, nes jame pateikiama Jums svarbi informacija.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Visada vartokite šį vaistą tiksliai kaip aprašyta šiame lapelyje arba kaip nurodė gydytojas arba vaistininkas.</w:t>
      </w:r>
    </w:p>
    <w:p w:rsidR="00AA2CF9" w:rsidRPr="000C305F" w:rsidRDefault="00AA2CF9" w:rsidP="00AA2CF9">
      <w:pPr>
        <w:pStyle w:val="Sraopastraipa"/>
        <w:numPr>
          <w:ilvl w:val="0"/>
          <w:numId w:val="3"/>
        </w:numPr>
        <w:rPr>
          <w:noProof/>
        </w:rPr>
      </w:pPr>
      <w:r w:rsidRPr="000C305F">
        <w:rPr>
          <w:noProof/>
        </w:rPr>
        <w:t>Neišmeskite šio lapelio, nes vėl gali prireikti jį perskaityti.</w:t>
      </w:r>
    </w:p>
    <w:p w:rsidR="00AA2CF9" w:rsidRPr="000C305F" w:rsidRDefault="00AA2CF9" w:rsidP="00AA2CF9">
      <w:pPr>
        <w:pStyle w:val="Sraopastraipa"/>
        <w:numPr>
          <w:ilvl w:val="0"/>
          <w:numId w:val="3"/>
        </w:numPr>
        <w:rPr>
          <w:noProof/>
        </w:rPr>
      </w:pPr>
      <w:r w:rsidRPr="000C305F">
        <w:rPr>
          <w:noProof/>
        </w:rPr>
        <w:t>Jeigu norite sužinoti daugiau arba pasitarti, kreipkitės į vaistininką.</w:t>
      </w:r>
    </w:p>
    <w:p w:rsidR="00AA2CF9" w:rsidRPr="000C305F" w:rsidRDefault="00AA2CF9" w:rsidP="00AA2CF9">
      <w:pPr>
        <w:pStyle w:val="Sraopastraipa"/>
        <w:numPr>
          <w:ilvl w:val="0"/>
          <w:numId w:val="3"/>
        </w:numPr>
        <w:rPr>
          <w:noProof/>
        </w:rPr>
      </w:pPr>
      <w:r w:rsidRPr="000C305F">
        <w:rPr>
          <w:noProof/>
        </w:rPr>
        <w:t>Jeigu pasireiškė šalutinis poveikis (net jeigu jis šiame lapelyje nenurodytas), kreipkitės į gydytoją arba vaistininką. Žr. 4 skyrių.</w:t>
      </w:r>
    </w:p>
    <w:p w:rsidR="00AA2CF9" w:rsidRPr="000C305F" w:rsidRDefault="00AA2CF9" w:rsidP="00AA2CF9">
      <w:pPr>
        <w:pStyle w:val="Sraopastraipa"/>
        <w:numPr>
          <w:ilvl w:val="0"/>
          <w:numId w:val="3"/>
        </w:numPr>
        <w:rPr>
          <w:noProof/>
        </w:rPr>
      </w:pPr>
      <w:r w:rsidRPr="000C305F">
        <w:rPr>
          <w:noProof/>
        </w:rPr>
        <w:t>Jeigu per 7 dienas savijauta nepagerėjo arba net pablogėjo, kreipkitės į gydytoją.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lang w:eastAsia="lt-LT"/>
        </w:rPr>
      </w:pPr>
      <w:r w:rsidRPr="000846BE">
        <w:rPr>
          <w:rFonts w:ascii="Times New Roman" w:eastAsia="Times New Roman" w:hAnsi="Times New Roman" w:cs="Times New Roman"/>
          <w:b/>
          <w:lang w:eastAsia="lt-LT"/>
        </w:rPr>
        <w:t>Apie ką rašoma šiame lapelyje?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1.</w:t>
      </w:r>
      <w:r w:rsidRPr="000846BE">
        <w:rPr>
          <w:rFonts w:ascii="Times New Roman" w:eastAsia="Times New Roman" w:hAnsi="Times New Roman" w:cs="Times New Roman"/>
          <w:lang w:eastAsia="lt-LT"/>
        </w:rPr>
        <w:tab/>
        <w:t xml:space="preserve">Kas yra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ir kam jis vartojamas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2.</w:t>
      </w:r>
      <w:r w:rsidRPr="000846BE">
        <w:rPr>
          <w:rFonts w:ascii="Times New Roman" w:eastAsia="Times New Roman" w:hAnsi="Times New Roman" w:cs="Times New Roman"/>
          <w:lang w:eastAsia="lt-LT"/>
        </w:rPr>
        <w:tab/>
        <w:t xml:space="preserve">Kas žinotina prieš vartojant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3.</w:t>
      </w:r>
      <w:r w:rsidRPr="000846BE">
        <w:rPr>
          <w:rFonts w:ascii="Times New Roman" w:eastAsia="Times New Roman" w:hAnsi="Times New Roman" w:cs="Times New Roman"/>
          <w:lang w:eastAsia="lt-LT"/>
        </w:rPr>
        <w:tab/>
        <w:t xml:space="preserve">Kaip vartoti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4.</w:t>
      </w:r>
      <w:r w:rsidRPr="000846BE">
        <w:rPr>
          <w:rFonts w:ascii="Times New Roman" w:eastAsia="Times New Roman" w:hAnsi="Times New Roman" w:cs="Times New Roman"/>
          <w:lang w:eastAsia="lt-LT"/>
        </w:rPr>
        <w:tab/>
        <w:t>Galimas šalutinis poveikis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5.</w:t>
      </w:r>
      <w:r w:rsidRPr="000846BE">
        <w:rPr>
          <w:rFonts w:ascii="Times New Roman" w:eastAsia="Times New Roman" w:hAnsi="Times New Roman" w:cs="Times New Roman"/>
          <w:lang w:eastAsia="lt-LT"/>
        </w:rPr>
        <w:tab/>
        <w:t xml:space="preserve">Kaip laikyti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6.</w:t>
      </w:r>
      <w:r w:rsidRPr="000846BE">
        <w:rPr>
          <w:rFonts w:ascii="Times New Roman" w:eastAsia="Times New Roman" w:hAnsi="Times New Roman" w:cs="Times New Roman"/>
          <w:lang w:eastAsia="lt-LT"/>
        </w:rPr>
        <w:tab/>
        <w:t>Pakuotės turinys ir kita informacija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  <w:caps/>
        </w:rPr>
      </w:pPr>
      <w:r w:rsidRPr="000846BE">
        <w:rPr>
          <w:rFonts w:ascii="Times New Roman" w:eastAsia="Times New Roman" w:hAnsi="Times New Roman" w:cs="Times New Roman"/>
          <w:b/>
          <w:bCs/>
        </w:rPr>
        <w:t>1.</w:t>
      </w:r>
      <w:r w:rsidRPr="000846BE">
        <w:rPr>
          <w:rFonts w:ascii="Times New Roman" w:eastAsia="Times New Roman" w:hAnsi="Times New Roman" w:cs="Times New Roman"/>
          <w:b/>
          <w:bCs/>
        </w:rPr>
        <w:tab/>
        <w:t xml:space="preserve">Kas yra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b/>
          <w:bCs/>
        </w:rPr>
        <w:t xml:space="preserve"> 11,6 mg/g ir kam jis vartojamas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gelio sudėtyje yra veikliosios medžiagos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, kuris priklauso nesteroidinių vaistų nuo uždegimo (NVNU) grupei. 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gelis vartojamas skausmui malšinti, patinimui mažinti ir uždegimui gydyti esant įvairioms būklėms, kurios sukelia sąnarių ir raumenų skausmą.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vartojamas žemiau nurodytais atvejais.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i/>
          <w:iCs/>
          <w:lang w:eastAsia="lt-LT"/>
        </w:rPr>
      </w:pPr>
      <w:r w:rsidRPr="000846BE">
        <w:rPr>
          <w:rFonts w:ascii="Times New Roman" w:eastAsia="Times New Roman" w:hAnsi="Times New Roman" w:cs="Times New Roman"/>
          <w:i/>
          <w:iCs/>
          <w:lang w:eastAsia="lt-LT"/>
        </w:rPr>
        <w:t>Suaugusiesiems ir 14</w:t>
      </w:r>
      <w:r>
        <w:rPr>
          <w:rFonts w:ascii="Times New Roman" w:eastAsia="Times New Roman" w:hAnsi="Times New Roman" w:cs="Times New Roman"/>
          <w:i/>
          <w:iCs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i/>
          <w:iCs/>
          <w:lang w:eastAsia="lt-LT"/>
        </w:rPr>
        <w:t>metų bei vyresniems paaugliams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Raumenų ir sąnarių sužalojimų sukeltam skausmui malšinti ir uždegimui slopinti, pavyzdžiui, dėl patempimo, sumušimo, nuo sausgyslės uždegimo (pvz., „tenisininko“ alkūnė), nugaros skausmo.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i/>
          <w:iCs/>
          <w:lang w:eastAsia="lt-LT"/>
        </w:rPr>
      </w:pPr>
      <w:r w:rsidRPr="000846BE">
        <w:rPr>
          <w:rFonts w:ascii="Times New Roman" w:eastAsia="Times New Roman" w:hAnsi="Times New Roman" w:cs="Times New Roman"/>
          <w:i/>
          <w:iCs/>
          <w:lang w:eastAsia="lt-LT"/>
        </w:rPr>
        <w:t>Tik suaugusiems (18</w:t>
      </w:r>
      <w:r>
        <w:rPr>
          <w:rFonts w:ascii="Times New Roman" w:eastAsia="Times New Roman" w:hAnsi="Times New Roman" w:cs="Times New Roman"/>
          <w:i/>
          <w:iCs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i/>
          <w:iCs/>
          <w:lang w:eastAsia="lt-LT"/>
        </w:rPr>
        <w:t>metų ir vyresniems)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Sąnarių (pvz., kelių) uždegimo sukeltam skausmui malšinti.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noProof/>
          <w:lang w:eastAsia="lt-LT"/>
        </w:rPr>
        <w:t>Jeigu per 7</w:t>
      </w:r>
      <w:r>
        <w:rPr>
          <w:rFonts w:ascii="Times New Roman" w:eastAsia="Times New Roman" w:hAnsi="Times New Roman" w:cs="Times New Roman"/>
          <w:noProof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noProof/>
          <w:lang w:eastAsia="lt-LT"/>
        </w:rPr>
        <w:t>dienas Jūsų savijauta nepagerėjo arba net pablogėjo, kreipkitės į gydytoją.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</w:rPr>
      </w:pPr>
      <w:r w:rsidRPr="000846BE">
        <w:rPr>
          <w:rFonts w:ascii="Times New Roman" w:eastAsia="Times New Roman" w:hAnsi="Times New Roman" w:cs="Times New Roman"/>
          <w:b/>
          <w:bCs/>
        </w:rPr>
        <w:t>2.</w:t>
      </w:r>
      <w:r w:rsidRPr="000846BE">
        <w:rPr>
          <w:rFonts w:ascii="Times New Roman" w:eastAsia="Times New Roman" w:hAnsi="Times New Roman" w:cs="Times New Roman"/>
          <w:b/>
          <w:bCs/>
        </w:rPr>
        <w:tab/>
        <w:t xml:space="preserve">Kas žinotina prieš vartojant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b/>
          <w:bCs/>
        </w:rPr>
        <w:t xml:space="preserve"> 11,6 mg/g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caps/>
          <w:lang w:eastAsia="lt-LT"/>
        </w:rPr>
      </w:pP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 w:rsidRPr="000846BE">
        <w:rPr>
          <w:rFonts w:ascii="Times New Roman" w:eastAsia="Times New Roman" w:hAnsi="Times New Roman" w:cs="Times New Roman"/>
          <w:b/>
          <w:lang w:eastAsia="lt-LT"/>
        </w:rPr>
        <w:t xml:space="preserve">11,6 mg/g </w:t>
      </w:r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vartoti </w:t>
      </w:r>
      <w:r>
        <w:rPr>
          <w:rFonts w:ascii="Times New Roman" w:eastAsia="Times New Roman" w:hAnsi="Times New Roman" w:cs="Times New Roman"/>
          <w:b/>
          <w:bCs/>
          <w:lang w:eastAsia="lt-LT"/>
        </w:rPr>
        <w:t>draudžiama</w:t>
      </w:r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:</w:t>
      </w:r>
    </w:p>
    <w:p w:rsidR="00AA2CF9" w:rsidRPr="000846BE" w:rsidRDefault="00AA2CF9" w:rsidP="00AA2CF9">
      <w:pPr>
        <w:numPr>
          <w:ilvl w:val="12"/>
          <w:numId w:val="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-</w:t>
      </w:r>
      <w:r w:rsidRPr="000846BE">
        <w:rPr>
          <w:rFonts w:ascii="Times New Roman" w:eastAsia="Times New Roman" w:hAnsi="Times New Roman" w:cs="Times New Roman"/>
          <w:lang w:eastAsia="lt-LT"/>
        </w:rPr>
        <w:tab/>
      </w:r>
      <w:r w:rsidRPr="000846BE">
        <w:rPr>
          <w:rFonts w:ascii="Times New Roman" w:eastAsia="Times New Roman" w:hAnsi="Times New Roman" w:cs="Times New Roman"/>
          <w:noProof/>
          <w:lang w:eastAsia="lt-LT"/>
        </w:rPr>
        <w:t>jeigu yra alergija veikliajai medžiagai arba bet kuriai pagalbinei šio vaisto medžiagai (jos išvardytos 6</w:t>
      </w:r>
      <w:r>
        <w:rPr>
          <w:rFonts w:ascii="Times New Roman" w:eastAsia="Times New Roman" w:hAnsi="Times New Roman" w:cs="Times New Roman"/>
          <w:noProof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noProof/>
          <w:lang w:eastAsia="lt-LT"/>
        </w:rPr>
        <w:t>skyriuje);</w:t>
      </w:r>
    </w:p>
    <w:p w:rsidR="00AA2CF9" w:rsidRPr="000846BE" w:rsidRDefault="00AA2CF9" w:rsidP="00AA2CF9">
      <w:pPr>
        <w:numPr>
          <w:ilvl w:val="12"/>
          <w:numId w:val="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lastRenderedPageBreak/>
        <w:t>-</w:t>
      </w:r>
      <w:r w:rsidRPr="000846BE">
        <w:rPr>
          <w:rFonts w:ascii="Times New Roman" w:eastAsia="Times New Roman" w:hAnsi="Times New Roman" w:cs="Times New Roman"/>
          <w:lang w:eastAsia="lt-LT"/>
        </w:rPr>
        <w:tab/>
        <w:t xml:space="preserve">jeigu </w:t>
      </w:r>
      <w:r w:rsidRPr="000846BE">
        <w:rPr>
          <w:rFonts w:ascii="Times New Roman" w:eastAsia="Times New Roman" w:hAnsi="Times New Roman" w:cs="Times New Roman"/>
          <w:noProof/>
          <w:lang w:eastAsia="lt-LT"/>
        </w:rPr>
        <w:t xml:space="preserve">yra alergija </w:t>
      </w:r>
      <w:r w:rsidRPr="000846BE">
        <w:rPr>
          <w:rFonts w:ascii="Times New Roman" w:eastAsia="Times New Roman" w:hAnsi="Times New Roman" w:cs="Times New Roman"/>
          <w:lang w:eastAsia="lt-LT"/>
        </w:rPr>
        <w:t xml:space="preserve">kitiems vaistams nuo skausmo, karščiavimo arba uždegimo, pavyzdžiui,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ibuprofenui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arba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acetilsalicilo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rūgščiai (šis vaistas vartojamas profilaktiškai nuo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trombų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susidarymo). Jeigu abejojate, kreipkitės į gydytoją arba vaistininką.</w:t>
      </w:r>
    </w:p>
    <w:p w:rsidR="00AA2CF9" w:rsidRPr="000846BE" w:rsidRDefault="00AA2CF9" w:rsidP="00AA2CF9">
      <w:pPr>
        <w:numPr>
          <w:ilvl w:val="12"/>
          <w:numId w:val="0"/>
        </w:numPr>
        <w:spacing w:after="0" w:line="240" w:lineRule="auto"/>
        <w:ind w:left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Šio vaisto sukeltos alerginės reakcijos simptomai: dusulys arba pasunkėjęs kvėpavimas (astma);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pūslinis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odos išbėrimas ar dilgėlinė; veido arba liežuvio patinimas; sloga;</w:t>
      </w:r>
    </w:p>
    <w:p w:rsidR="00AA2CF9" w:rsidRPr="000846BE" w:rsidRDefault="00AA2CF9" w:rsidP="00AA2CF9">
      <w:pPr>
        <w:numPr>
          <w:ilvl w:val="12"/>
          <w:numId w:val="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-</w:t>
      </w:r>
      <w:r w:rsidRPr="000846BE">
        <w:rPr>
          <w:rFonts w:ascii="Times New Roman" w:eastAsia="Times New Roman" w:hAnsi="Times New Roman" w:cs="Times New Roman"/>
          <w:lang w:eastAsia="lt-LT"/>
        </w:rPr>
        <w:tab/>
      </w:r>
      <w:r w:rsidRPr="00456CF0">
        <w:rPr>
          <w:rFonts w:ascii="Times New Roman" w:eastAsia="Times New Roman" w:hAnsi="Times New Roman" w:cs="Times New Roman"/>
          <w:lang w:eastAsia="lt-LT"/>
        </w:rPr>
        <w:t>paskutiniųjų 3 nėštumo mėnesių metu;</w:t>
      </w:r>
    </w:p>
    <w:p w:rsidR="00AA2CF9" w:rsidRPr="00AB2BF8" w:rsidRDefault="00AA2CF9" w:rsidP="00AA2CF9">
      <w:pPr>
        <w:pStyle w:val="Sraopastraipa"/>
        <w:numPr>
          <w:ilvl w:val="0"/>
          <w:numId w:val="4"/>
        </w:numPr>
        <w:ind w:left="540" w:hanging="540"/>
        <w:rPr>
          <w:noProof/>
        </w:rPr>
      </w:pPr>
      <w:r w:rsidRPr="00AB2BF8">
        <w:rPr>
          <w:noProof/>
        </w:rPr>
        <w:t>jeigu esate jaunesnis kaip 14 metų.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AA2CF9" w:rsidRPr="000846BE" w:rsidRDefault="00AA2CF9" w:rsidP="00AA2CF9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SimSun" w:hAnsi="Times New Roman" w:cs="Times New Roman"/>
          <w:b/>
        </w:rPr>
      </w:pPr>
      <w:r w:rsidRPr="000846BE">
        <w:rPr>
          <w:rFonts w:ascii="Times New Roman" w:eastAsia="SimSun" w:hAnsi="Times New Roman" w:cs="Times New Roman"/>
          <w:b/>
        </w:rPr>
        <w:t xml:space="preserve">Įspėjimai ir atsargumo priemonės </w:t>
      </w:r>
    </w:p>
    <w:p w:rsidR="00AA2CF9" w:rsidRPr="000846BE" w:rsidRDefault="00AA2CF9" w:rsidP="00AA2CF9">
      <w:pPr>
        <w:tabs>
          <w:tab w:val="left" w:pos="720"/>
        </w:tabs>
        <w:spacing w:after="0" w:line="240" w:lineRule="auto"/>
        <w:ind w:left="714" w:hanging="714"/>
        <w:rPr>
          <w:rFonts w:ascii="Times New Roman" w:eastAsia="Times New Roman" w:hAnsi="Times New Roman" w:cs="Times New Roman"/>
          <w:noProof/>
        </w:rPr>
      </w:pPr>
      <w:r w:rsidRPr="000846BE">
        <w:rPr>
          <w:rFonts w:ascii="Times New Roman" w:eastAsia="Times New Roman" w:hAnsi="Times New Roman" w:cs="Times New Roman"/>
          <w:noProof/>
        </w:rPr>
        <w:t>Pasitarkite su gydytoju arba vaistininku, prieš pradėdami vartoti Voltaren Emulgel 11,6 mg/g:</w:t>
      </w:r>
    </w:p>
    <w:p w:rsidR="00AA2CF9" w:rsidRPr="009A6883" w:rsidRDefault="00AA2CF9" w:rsidP="00AA2CF9">
      <w:pPr>
        <w:pStyle w:val="Sraopastraipa"/>
        <w:numPr>
          <w:ilvl w:val="0"/>
          <w:numId w:val="2"/>
        </w:numPr>
        <w:rPr>
          <w:noProof/>
        </w:rPr>
      </w:pPr>
      <w:r w:rsidRPr="009A6883">
        <w:rPr>
          <w:noProof/>
        </w:rPr>
        <w:t>Voltaren Emulgel 11,6 mg/g negalima tepti ant pažeistos odos, atviros žaizdos, odos išbėrimo ar egzemos vietos. Jeigu pasitepus preparatu pasireiškia išbėrimas, gydymą nutraukti.</w:t>
      </w:r>
    </w:p>
    <w:p w:rsidR="00AA2CF9" w:rsidRPr="00AF591B" w:rsidRDefault="00AA2CF9" w:rsidP="00AA2CF9">
      <w:pPr>
        <w:pStyle w:val="Sraopastraipa"/>
        <w:numPr>
          <w:ilvl w:val="0"/>
          <w:numId w:val="2"/>
        </w:numPr>
        <w:rPr>
          <w:noProof/>
        </w:rPr>
      </w:pPr>
      <w:r w:rsidRPr="00580941">
        <w:rPr>
          <w:noProof/>
        </w:rPr>
        <w:t>Nevartokite vaisto didesnėmis dozėmis ir ilgesnį laiko tarpą, nei yra nurodyta, nebent gydytojas nurodė kitaip.</w:t>
      </w:r>
    </w:p>
    <w:p w:rsidR="00AA2CF9" w:rsidRPr="00AF591B" w:rsidRDefault="00AA2CF9" w:rsidP="00AA2CF9">
      <w:pPr>
        <w:pStyle w:val="Sraopastraipa"/>
        <w:numPr>
          <w:ilvl w:val="0"/>
          <w:numId w:val="2"/>
        </w:numPr>
        <w:rPr>
          <w:noProof/>
        </w:rPr>
      </w:pPr>
      <w:r w:rsidRPr="00AF591B">
        <w:rPr>
          <w:noProof/>
        </w:rPr>
        <w:t>Voltaren Emulgel 11,6 mg/g galima tepti tik odą. Šiuo vaistu negalima tepti burnos. Draudžiama vaisto nuryti. Po naudojimo nusiplauti rankas. Saugokitės, kad Voltaren Emulgel 11,6 mg/g nepatektų į akis. Jeigu taip atsitiktų, akis skalaukite švariu vandeniu. Jeigu nemalonus pojūtis akyse nepraeina, kreipkitės į gydytoją arba vaistininką.</w:t>
      </w:r>
    </w:p>
    <w:p w:rsidR="00AA2CF9" w:rsidRDefault="00AA2CF9" w:rsidP="00AA2CF9">
      <w:pPr>
        <w:pStyle w:val="Sraopastraipa"/>
        <w:numPr>
          <w:ilvl w:val="0"/>
          <w:numId w:val="2"/>
        </w:numPr>
        <w:rPr>
          <w:noProof/>
        </w:rPr>
      </w:pPr>
      <w:r w:rsidRPr="009A6883">
        <w:rPr>
          <w:noProof/>
        </w:rPr>
        <w:t>Voltaren Emulgel 11,6 mg/g galima naudoti kartu su dažnai naudojamais įtvarais pvz. patempimų gydymui. Negalima naudoti su oro nepraleidžiančiais (plastikiniais) tvarsčiais.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i/>
          <w:iCs/>
          <w:u w:val="single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iCs/>
          <w:lang w:eastAsia="lt-LT"/>
        </w:rPr>
      </w:pPr>
      <w:r w:rsidRPr="000846BE">
        <w:rPr>
          <w:rFonts w:ascii="Times New Roman" w:eastAsia="Times New Roman" w:hAnsi="Times New Roman" w:cs="Times New Roman"/>
          <w:b/>
          <w:lang w:eastAsia="lt-LT"/>
        </w:rPr>
        <w:t>Vaikams ir paaugliams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Duomenų apie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saugumą ir veiksmingumą jaunesniems kaip 14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>metų vaikams nepakanka (žr. skyrelį „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vartoti negalima“).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Jeigu 14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>metų ir vyresniems paaugliams šio vaisto reikia vartoti ilgiau kaip 7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>dienas skausmui malšinti arba jeigu simptomai pasunkėja, pacientas ar jo tėvai turi kreiptis į gydytoją.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SimSun" w:hAnsi="Times New Roman" w:cs="Times New Roman"/>
          <w:b/>
        </w:rPr>
      </w:pPr>
      <w:r w:rsidRPr="000846BE">
        <w:rPr>
          <w:rFonts w:ascii="Times New Roman" w:eastAsia="SimSun" w:hAnsi="Times New Roman" w:cs="Times New Roman"/>
          <w:b/>
        </w:rPr>
        <w:t xml:space="preserve">Kiti vaistai ir </w:t>
      </w:r>
      <w:proofErr w:type="spellStart"/>
      <w:r w:rsidRPr="000846BE">
        <w:rPr>
          <w:rFonts w:ascii="Times New Roman" w:eastAsia="SimSun" w:hAnsi="Times New Roman" w:cs="Times New Roman"/>
          <w:b/>
        </w:rPr>
        <w:t>Voltaren</w:t>
      </w:r>
      <w:proofErr w:type="spellEnd"/>
      <w:r w:rsidRPr="000846BE">
        <w:rPr>
          <w:rFonts w:ascii="Times New Roman" w:eastAsia="SimSun" w:hAnsi="Times New Roman" w:cs="Times New Roman"/>
          <w:b/>
        </w:rPr>
        <w:t xml:space="preserve"> </w:t>
      </w:r>
      <w:proofErr w:type="spellStart"/>
      <w:r w:rsidRPr="000846BE">
        <w:rPr>
          <w:rFonts w:ascii="Times New Roman" w:eastAsia="SimSun" w:hAnsi="Times New Roman" w:cs="Times New Roman"/>
          <w:b/>
        </w:rPr>
        <w:t>Emulgel</w:t>
      </w:r>
      <w:proofErr w:type="spellEnd"/>
      <w:r w:rsidRPr="000846BE">
        <w:rPr>
          <w:rFonts w:ascii="Times New Roman" w:eastAsia="SimSun" w:hAnsi="Times New Roman" w:cs="Times New Roman"/>
          <w:b/>
        </w:rPr>
        <w:t xml:space="preserve"> 11,6 mg/g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Jeigu vartojate arba neseniai vartojote kitų vaistų arba dėl to nesate tikri, apie tai pasakykite gydytojui arba vaistininkui.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Vartojant ant odos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į sisteminę kraujotaką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patenka labai mažai, todėl tokia sąveika mažai tikėtina.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eastAsia="lt-LT"/>
        </w:rPr>
      </w:pPr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Nėštumas, žindymo laikotarpis ir vaisingumas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Jeigu esate nėščia, žindote kūdikį, manote, kad gal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būt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esate nėščia arba planuojate pastoti, tai prieš vartodama šį vaistą, pasitarkite su gydytoju arba vaistininku.</w:t>
      </w:r>
    </w:p>
    <w:p w:rsidR="00AA2CF9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456CF0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456CF0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456CF0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456CF0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456CF0">
        <w:rPr>
          <w:rFonts w:ascii="Times New Roman" w:eastAsia="Times New Roman" w:hAnsi="Times New Roman" w:cs="Times New Roman"/>
          <w:lang w:eastAsia="lt-LT"/>
        </w:rPr>
        <w:t xml:space="preserve"> 11,6 mg/g vartoti draudžiama paskutiniųjų 3 nėštumo mėnesių metu.</w:t>
      </w:r>
    </w:p>
    <w:p w:rsidR="00AA2CF9" w:rsidRPr="00456CF0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456CF0">
        <w:rPr>
          <w:rFonts w:ascii="Times New Roman" w:eastAsia="Times New Roman" w:hAnsi="Times New Roman" w:cs="Times New Roman"/>
          <w:lang w:eastAsia="lt-LT"/>
        </w:rPr>
        <w:t xml:space="preserve">Nevartokite </w:t>
      </w:r>
      <w:proofErr w:type="spellStart"/>
      <w:r w:rsidRPr="00456CF0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456CF0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456CF0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456CF0">
        <w:rPr>
          <w:rFonts w:ascii="Times New Roman" w:eastAsia="Times New Roman" w:hAnsi="Times New Roman" w:cs="Times New Roman"/>
          <w:lang w:eastAsia="lt-LT"/>
        </w:rPr>
        <w:t xml:space="preserve"> 11,6 mg/g pirmųjų 6 nėštumo mėnesių metu, nebent akivaizdžiai būtina ir nurodo gydytojas. Jei šiuo laikotarpiu Jus būtina gydyti šiuo vaistu, reikia vartoti kuo mažesnę dozę kuo trumpesnį laiką.</w:t>
      </w:r>
      <w:r w:rsidRPr="00456CF0" w:rsidDel="00E31231">
        <w:rPr>
          <w:rFonts w:ascii="Times New Roman" w:eastAsia="Times New Roman" w:hAnsi="Times New Roman" w:cs="Times New Roman"/>
          <w:lang w:eastAsia="lt-LT"/>
        </w:rPr>
        <w:t xml:space="preserve"> </w:t>
      </w:r>
    </w:p>
    <w:p w:rsidR="00AA2CF9" w:rsidRPr="00337088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456CF0">
        <w:rPr>
          <w:rFonts w:ascii="Times New Roman" w:eastAsia="Times New Roman" w:hAnsi="Times New Roman" w:cs="Times New Roman"/>
          <w:lang w:eastAsia="lt-LT"/>
        </w:rPr>
        <w:t xml:space="preserve">Per burną vartojamos </w:t>
      </w:r>
      <w:proofErr w:type="spellStart"/>
      <w:r w:rsidRPr="00456CF0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456CF0">
        <w:rPr>
          <w:rFonts w:ascii="Times New Roman" w:eastAsia="Times New Roman" w:hAnsi="Times New Roman" w:cs="Times New Roman"/>
          <w:lang w:eastAsia="lt-LT"/>
        </w:rPr>
        <w:t xml:space="preserve"> vaisto formos (pvz., tabletės) gali sukelti nepageidaujamą poveikį Jūsų vaisiui (negimusiam kūdikiui). Nėra žinoma, ar </w:t>
      </w:r>
      <w:proofErr w:type="spellStart"/>
      <w:r w:rsidRPr="00456CF0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456CF0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456CF0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456CF0">
        <w:rPr>
          <w:rFonts w:ascii="Times New Roman" w:eastAsia="Times New Roman" w:hAnsi="Times New Roman" w:cs="Times New Roman"/>
          <w:lang w:eastAsia="lt-LT"/>
        </w:rPr>
        <w:t xml:space="preserve"> kelią tokią pačią riziką vartojant ant odos.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žindymo laikotarpiu galima vartoti tik gydytojui leidus, kadangi nedidelis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kiekis patenka į motinos pieną. Jei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būtina vartoti, jo negalima tepti ant krūtų ar didelių odos plotų bei naudoti ilgą laiką.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0846BE">
        <w:rPr>
          <w:rFonts w:ascii="Times New Roman" w:eastAsia="Times New Roman" w:hAnsi="Times New Roman" w:cs="Times New Roman"/>
          <w:b/>
          <w:bCs/>
        </w:rPr>
        <w:t>Vairavimas ir mechanizmų valdymas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Ant odos tepamas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gelis gebėjimo vairuoti ir valdyti mechanizmus neveikia.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eastAsia="lt-LT"/>
        </w:rPr>
      </w:pP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11,6 mg/g sudėtyje yra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propilenglikolio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ir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benzilbenzoato</w:t>
      </w:r>
      <w:proofErr w:type="spellEnd"/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Kiekviename šio vaisto grame yra 50 mg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propilenglikolio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.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Propilenglikolis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gali sukelti odos sudirginimą.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Šio vaisto kvapiosios medžiagos sudėtyje yra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benzilbenzoato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.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Benzilbenzoatas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gali sukelti alerginių reakcijų.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AA2CF9" w:rsidRPr="000846BE" w:rsidRDefault="00AA2CF9" w:rsidP="00AA2CF9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</w:rPr>
      </w:pPr>
      <w:r w:rsidRPr="000846BE">
        <w:rPr>
          <w:rFonts w:ascii="Times New Roman" w:eastAsia="Times New Roman" w:hAnsi="Times New Roman" w:cs="Times New Roman"/>
          <w:b/>
          <w:bCs/>
        </w:rPr>
        <w:t>3.</w:t>
      </w:r>
      <w:r w:rsidRPr="000846BE">
        <w:rPr>
          <w:rFonts w:ascii="Times New Roman" w:eastAsia="Times New Roman" w:hAnsi="Times New Roman" w:cs="Times New Roman"/>
          <w:b/>
          <w:bCs/>
        </w:rPr>
        <w:tab/>
        <w:t xml:space="preserve">Kaip vartoti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</w:rPr>
        <w:t xml:space="preserve"> </w:t>
      </w:r>
      <w:r w:rsidRPr="000846BE">
        <w:rPr>
          <w:rFonts w:ascii="Times New Roman" w:eastAsia="Times New Roman" w:hAnsi="Times New Roman" w:cs="Times New Roman"/>
          <w:b/>
        </w:rPr>
        <w:t>11,6 </w:t>
      </w:r>
      <w:r w:rsidRPr="000846BE">
        <w:rPr>
          <w:rFonts w:ascii="Times New Roman" w:eastAsia="Times New Roman" w:hAnsi="Times New Roman" w:cs="Times New Roman"/>
          <w:b/>
          <w:bCs/>
        </w:rPr>
        <w:t>mg/g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Visada vartokite šį vaistą tiksliai kaip </w:t>
      </w:r>
      <w:r w:rsidRPr="000846BE">
        <w:rPr>
          <w:rFonts w:ascii="Times New Roman" w:eastAsia="Times New Roman" w:hAnsi="Times New Roman" w:cs="Times New Roman"/>
          <w:noProof/>
          <w:lang w:eastAsia="lt-LT"/>
        </w:rPr>
        <w:t xml:space="preserve">aprašyta </w:t>
      </w:r>
      <w:r w:rsidRPr="000846BE">
        <w:rPr>
          <w:rFonts w:ascii="Times New Roman" w:eastAsia="Times New Roman" w:hAnsi="Times New Roman" w:cs="Times New Roman"/>
          <w:lang w:eastAsia="lt-LT"/>
        </w:rPr>
        <w:t>šiame lapelyje arba kaip nurodė gydytojas arba vaistininkas. Jeigu abejojate, kreipkitės į gydytoją arba vaistininką.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AA2CF9" w:rsidRPr="00E15314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iCs/>
          <w:lang w:eastAsia="lt-LT"/>
        </w:rPr>
      </w:pPr>
      <w:r w:rsidRPr="00E15314">
        <w:rPr>
          <w:rFonts w:ascii="Times New Roman" w:eastAsia="Times New Roman" w:hAnsi="Times New Roman" w:cs="Times New Roman"/>
          <w:b/>
          <w:iCs/>
          <w:lang w:eastAsia="lt-LT"/>
        </w:rPr>
        <w:t>Vartojimas suaugusiesiems ir 14 metų bei vyresniems paaugliams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Skaudamą vietą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geliu tepkite 3-4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 xml:space="preserve">kartus per </w:t>
      </w:r>
      <w:r>
        <w:rPr>
          <w:rFonts w:ascii="Times New Roman" w:eastAsia="Times New Roman" w:hAnsi="Times New Roman" w:cs="Times New Roman"/>
          <w:lang w:eastAsia="lt-LT"/>
        </w:rPr>
        <w:t>parą</w:t>
      </w:r>
      <w:r w:rsidRPr="000846BE">
        <w:rPr>
          <w:rFonts w:ascii="Times New Roman" w:eastAsia="Times New Roman" w:hAnsi="Times New Roman" w:cs="Times New Roman"/>
          <w:lang w:eastAsia="lt-LT"/>
        </w:rPr>
        <w:t>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E15314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E15314">
        <w:rPr>
          <w:rFonts w:ascii="Times New Roman" w:eastAsia="Times New Roman" w:hAnsi="Times New Roman" w:cs="Times New Roman"/>
          <w:b/>
          <w:bCs/>
          <w:lang w:eastAsia="lt-LT"/>
        </w:rPr>
        <w:t xml:space="preserve">Kaip vartoti </w:t>
      </w:r>
      <w:proofErr w:type="spellStart"/>
      <w:r w:rsidRPr="00E15314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E15314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E15314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E15314">
        <w:rPr>
          <w:rFonts w:ascii="Times New Roman" w:eastAsia="Times New Roman" w:hAnsi="Times New Roman" w:cs="Times New Roman"/>
          <w:b/>
          <w:bCs/>
          <w:lang w:eastAsia="lt-LT"/>
        </w:rPr>
        <w:t xml:space="preserve"> 11,6 </w:t>
      </w:r>
      <w:r w:rsidRPr="00E15314">
        <w:rPr>
          <w:rFonts w:ascii="Times New Roman" w:eastAsia="Times New Roman" w:hAnsi="Times New Roman" w:cs="Times New Roman"/>
          <w:b/>
          <w:lang w:eastAsia="lt-LT"/>
        </w:rPr>
        <w:t>mg/g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1. Pirmą kartą naudojant vaistą, reikia nuimti apsauginę tūbelės membraną: atsukti ir nuimti dangtelį; išorinę dangtelio pusę pradurti, pasukti ir nuimti apsauginę membraną nuo tūbelės. 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Pakuotė su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aplikatoriumi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(žr. 1</w:t>
      </w:r>
      <w:r>
        <w:rPr>
          <w:rFonts w:ascii="Times New Roman" w:eastAsia="Times New Roman" w:hAnsi="Times New Roman" w:cs="Times New Roman"/>
          <w:highlight w:val="lightGray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paveikslėlį): 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Pirmą kartą naudojant vaistą, reikia nuimti apsauginį tūbelės dangtelį: nuimti permatomą apsauginį dangtelį ir po to atsukti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. Apsauginio tūbelės dangtelio nuėmimui naudoti ant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šono esantį žvaigždės formos griovelį. Prieš gelio naudojimą, užsukti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atgal ant tūbelės.</w:t>
      </w:r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slėginėje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talpyklėje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gali būti naudojamas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talpyklę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apvertus dugnu aukštyn. Spauskite pompos rankenėlę tiek, kad išspaustumėte reikiamą kiekį gelio.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2. Švelniai įtrinkite nedidelį kiekį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 xml:space="preserve">mg/g gelio į skaudamos arba patinusios vietos odą. 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Pakuotė su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aplikatoriumi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(žr. 1</w:t>
      </w:r>
      <w:r>
        <w:rPr>
          <w:rFonts w:ascii="Times New Roman" w:eastAsia="Times New Roman" w:hAnsi="Times New Roman" w:cs="Times New Roman"/>
          <w:highlight w:val="lightGray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paveikslėlį): 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Norint atidaryti tūbelę, reikia paprasčiausiai pasukti baltą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dalį. Švelniai spustelėti tūbelę, kad ant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paviršiaus išsispaustų gelio. Tūbelę su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aplikatoriumi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naudoti vietoje savo pirštų, švelniai ir lėtai įtrinti gelį į skaudamos arba patinusios vietos odą. Nedidelis spaudimas įtrinant gelį automatiškai uždarys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.</w:t>
      </w:r>
      <w:r w:rsidRPr="000846BE">
        <w:rPr>
          <w:rFonts w:ascii="Times New Roman" w:eastAsia="Times New Roman" w:hAnsi="Times New Roman" w:cs="Times New Roman"/>
          <w:lang w:eastAsia="lt-LT"/>
        </w:rPr>
        <w:t xml:space="preserve"> Kiek vaisto reikia tepti, priklauso nuo skausmo stiprumo arba patinimo laipsnio. Paprastai pakanka vyšnios ar graikinio riešuto dydžio gelio kiekio. Įtrynus gelį juntamas švelnus šaldomasis poveikis.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3. </w:t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Pakuotė su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aplikatoriumi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(žr. 1</w:t>
      </w:r>
      <w:r>
        <w:rPr>
          <w:rFonts w:ascii="Times New Roman" w:eastAsia="Times New Roman" w:hAnsi="Times New Roman" w:cs="Times New Roman"/>
          <w:highlight w:val="lightGray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paveikslėlį): 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Po naudojimo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nuvalyti popieriniu rankšluosčiu ar sugeriamuoju popieriumi, kad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aplikatorius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būtų sausas ir švarus. Neįmerkti ir neskalauti vandeniu.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paviršiaus valymui nenaudoti jokių tirpiklių ar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skalbiklių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. Nuvalius uždėti permatomą apsauginį dangtelį ant tūbelės. Pakartotinai su kita tūbele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nenaudoti. Tūbelę kartu su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aplikatoriumi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išmesti laikantis vaistų šalinimo reikalavimų.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1</w:t>
      </w:r>
      <w:r>
        <w:rPr>
          <w:rFonts w:ascii="Times New Roman" w:eastAsia="Times New Roman" w:hAnsi="Times New Roman" w:cs="Times New Roman"/>
          <w:highlight w:val="lightGray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paveikslėlis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0846BE"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4ADC5E8C" wp14:editId="03240DD9">
            <wp:extent cx="967740" cy="739140"/>
            <wp:effectExtent l="0" t="0" r="381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ab/>
        <w:t>Nuimti permatomą apsauginį dangtelį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0846BE"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1933E5B2" wp14:editId="76FFA96A">
            <wp:extent cx="929640" cy="762000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ab/>
        <w:t xml:space="preserve">Atsukti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0846BE"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491350DA" wp14:editId="05119317">
            <wp:extent cx="914400" cy="739140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ab/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dangtelio užraktu nuimti žvaigždės formos apsauginį dangtelį nuo tūbelės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0846BE"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0E448F4F" wp14:editId="773A74C8">
            <wp:extent cx="914400" cy="7315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ab/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Aplikatoriaus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dangtelį užsukti atgal ant tūbelės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0846BE"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189F0782" wp14:editId="27EFBA9A">
            <wp:extent cx="922020" cy="7391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ab/>
        <w:t xml:space="preserve">Atidaryti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truktelint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baltą dalį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0846BE"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32D67E83" wp14:editId="69C035E3">
            <wp:extent cx="944880" cy="716280"/>
            <wp:effectExtent l="0" t="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ab/>
        <w:t>Spustelti tūbelę, kad išsispaustų reikiamas gelio kiekis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r w:rsidRPr="000846BE"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0DE03E8D" wp14:editId="6ECC6F14">
            <wp:extent cx="929640" cy="716280"/>
            <wp:effectExtent l="0" t="0" r="381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ab/>
        <w:t>Tepti ant odos, dangtelis užsidarys tepant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33CE3386" wp14:editId="089B6CD5">
            <wp:extent cx="914400" cy="7315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ab/>
        <w:t xml:space="preserve">Po naudojimo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aplikatorių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nuvalyti popieriniu rankšluosčiu ar sugeriamuoju popieriumi, kad </w:t>
      </w:r>
      <w:proofErr w:type="spellStart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>aplikatorius</w:t>
      </w:r>
      <w:proofErr w:type="spellEnd"/>
      <w:r w:rsidRPr="000846BE">
        <w:rPr>
          <w:rFonts w:ascii="Times New Roman" w:eastAsia="Times New Roman" w:hAnsi="Times New Roman" w:cs="Times New Roman"/>
          <w:highlight w:val="lightGray"/>
          <w:lang w:eastAsia="lt-LT"/>
        </w:rPr>
        <w:t xml:space="preserve"> būtų sausas ir švarus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eastAsia="lt-LT"/>
        </w:rPr>
      </w:pP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galima vartoti tik ant odos. 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Pasitepę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mg/g:</w:t>
      </w:r>
    </w:p>
    <w:p w:rsidR="00AA2CF9" w:rsidRPr="000846BE" w:rsidRDefault="00AA2CF9" w:rsidP="00AA2CF9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Nušluostykite rankas, pavyzdžiui, popierine servetėle, po to nusiplaukite, išskyrus tuos atvejus, jei gydote rankas. Popierinę servetėlę po naudojimo reikia išmesti su buitinėmis atliekomis.</w:t>
      </w:r>
    </w:p>
    <w:p w:rsidR="00AA2CF9" w:rsidRPr="000846BE" w:rsidRDefault="00AA2CF9" w:rsidP="00AA2CF9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Prieš prausimąsi duše ar vonioje, palaukite, kol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 gelis išdžius.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u w:val="single"/>
          <w:lang w:eastAsia="lt-LT"/>
        </w:rPr>
        <w:t xml:space="preserve">Nenaudokite </w:t>
      </w:r>
      <w:proofErr w:type="spellStart"/>
      <w:r w:rsidRPr="000846BE">
        <w:rPr>
          <w:rFonts w:ascii="Times New Roman" w:eastAsia="Times New Roman" w:hAnsi="Times New Roman" w:cs="Times New Roman"/>
          <w:u w:val="single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u w:val="single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u w:val="single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u w:val="single"/>
          <w:lang w:eastAsia="lt-LT"/>
        </w:rPr>
        <w:t xml:space="preserve"> 11,6 </w:t>
      </w:r>
      <w:r w:rsidRPr="000E4DE6">
        <w:rPr>
          <w:rFonts w:ascii="Times New Roman" w:eastAsia="Times New Roman" w:hAnsi="Times New Roman" w:cs="Times New Roman"/>
          <w:u w:val="single"/>
          <w:lang w:eastAsia="lt-LT"/>
        </w:rPr>
        <w:t>mg/g</w:t>
      </w:r>
      <w:r w:rsidRPr="000846BE">
        <w:rPr>
          <w:rFonts w:ascii="Times New Roman" w:eastAsia="Times New Roman" w:hAnsi="Times New Roman" w:cs="Times New Roman"/>
          <w:u w:val="single"/>
          <w:lang w:eastAsia="lt-LT"/>
        </w:rPr>
        <w:t xml:space="preserve"> ilgiau kaip</w:t>
      </w:r>
      <w:r w:rsidRPr="000846BE">
        <w:rPr>
          <w:rFonts w:ascii="Times New Roman" w:eastAsia="Times New Roman" w:hAnsi="Times New Roman" w:cs="Times New Roman"/>
          <w:lang w:eastAsia="lt-LT"/>
        </w:rPr>
        <w:t>: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i/>
          <w:iCs/>
          <w:lang w:eastAsia="lt-LT"/>
        </w:rPr>
      </w:pPr>
      <w:r w:rsidRPr="000846BE">
        <w:rPr>
          <w:rFonts w:ascii="Times New Roman" w:eastAsia="Times New Roman" w:hAnsi="Times New Roman" w:cs="Times New Roman"/>
          <w:i/>
          <w:iCs/>
          <w:lang w:eastAsia="lt-LT"/>
        </w:rPr>
        <w:t>Suaugusie</w:t>
      </w:r>
      <w:r>
        <w:rPr>
          <w:rFonts w:ascii="Times New Roman" w:eastAsia="Times New Roman" w:hAnsi="Times New Roman" w:cs="Times New Roman"/>
          <w:i/>
          <w:iCs/>
          <w:lang w:eastAsia="lt-LT"/>
        </w:rPr>
        <w:t>sie</w:t>
      </w:r>
      <w:r w:rsidRPr="000846BE">
        <w:rPr>
          <w:rFonts w:ascii="Times New Roman" w:eastAsia="Times New Roman" w:hAnsi="Times New Roman" w:cs="Times New Roman"/>
          <w:i/>
          <w:iCs/>
          <w:lang w:eastAsia="lt-LT"/>
        </w:rPr>
        <w:t>ms, 14</w:t>
      </w:r>
      <w:r>
        <w:rPr>
          <w:rFonts w:ascii="Times New Roman" w:eastAsia="Times New Roman" w:hAnsi="Times New Roman" w:cs="Times New Roman"/>
          <w:i/>
          <w:iCs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i/>
          <w:iCs/>
          <w:lang w:eastAsia="lt-LT"/>
        </w:rPr>
        <w:t>metų bei vyresniems paaugliams</w:t>
      </w:r>
    </w:p>
    <w:p w:rsidR="00AA2CF9" w:rsidRPr="000846BE" w:rsidRDefault="00AA2CF9" w:rsidP="00AA2CF9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2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>savaites nuo raumenų ir sąnarių sužalojimų (pvz., patempimo, išnirimo, sumušimo).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i/>
          <w:iCs/>
          <w:lang w:eastAsia="lt-LT"/>
        </w:rPr>
      </w:pPr>
      <w:r w:rsidRPr="000846BE">
        <w:rPr>
          <w:rFonts w:ascii="Times New Roman" w:eastAsia="Times New Roman" w:hAnsi="Times New Roman" w:cs="Times New Roman"/>
          <w:i/>
          <w:iCs/>
          <w:lang w:eastAsia="lt-LT"/>
        </w:rPr>
        <w:t>Tik suaugusie</w:t>
      </w:r>
      <w:r>
        <w:rPr>
          <w:rFonts w:ascii="Times New Roman" w:eastAsia="Times New Roman" w:hAnsi="Times New Roman" w:cs="Times New Roman"/>
          <w:i/>
          <w:iCs/>
          <w:lang w:eastAsia="lt-LT"/>
        </w:rPr>
        <w:t>siems</w:t>
      </w:r>
      <w:r w:rsidRPr="000846BE">
        <w:rPr>
          <w:rFonts w:ascii="Times New Roman" w:eastAsia="Times New Roman" w:hAnsi="Times New Roman" w:cs="Times New Roman"/>
          <w:i/>
          <w:iCs/>
          <w:lang w:eastAsia="lt-LT"/>
        </w:rPr>
        <w:t xml:space="preserve"> (18</w:t>
      </w:r>
      <w:r>
        <w:rPr>
          <w:rFonts w:ascii="Times New Roman" w:eastAsia="Times New Roman" w:hAnsi="Times New Roman" w:cs="Times New Roman"/>
          <w:i/>
          <w:iCs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i/>
          <w:iCs/>
          <w:lang w:eastAsia="lt-LT"/>
        </w:rPr>
        <w:t>metų ir vyresniems)</w:t>
      </w:r>
    </w:p>
    <w:p w:rsidR="00AA2CF9" w:rsidRPr="000846BE" w:rsidRDefault="00AA2CF9" w:rsidP="00AA2CF9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3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>savaites nuo sausgyslių uždegimo.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Gydytojas gali rekomenduoti ilgesnį gydymo laikotarpį.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Jei per 7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>vaisto vartojimo dienas simptomai nesusilpnėja arba labiau sustiprėja, kreipkitės į gydytoją.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highlight w:val="green"/>
          <w:lang w:eastAsia="lt-LT"/>
        </w:rPr>
      </w:pPr>
    </w:p>
    <w:p w:rsidR="00AA2CF9" w:rsidRPr="000846BE" w:rsidRDefault="00AA2CF9" w:rsidP="00AA2CF9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SimSun" w:hAnsi="Times New Roman" w:cs="Times New Roman"/>
          <w:b/>
        </w:rPr>
      </w:pPr>
      <w:r w:rsidRPr="000846BE">
        <w:rPr>
          <w:rFonts w:ascii="Times New Roman" w:eastAsia="SimSun" w:hAnsi="Times New Roman" w:cs="Times New Roman"/>
          <w:b/>
        </w:rPr>
        <w:t xml:space="preserve">Ką daryti pavartojus per didelę </w:t>
      </w:r>
      <w:proofErr w:type="spellStart"/>
      <w:r w:rsidRPr="000846BE">
        <w:rPr>
          <w:rFonts w:ascii="Times New Roman" w:eastAsia="SimSun" w:hAnsi="Times New Roman" w:cs="Times New Roman"/>
          <w:b/>
        </w:rPr>
        <w:t>Voltaren</w:t>
      </w:r>
      <w:proofErr w:type="spellEnd"/>
      <w:r w:rsidRPr="000846BE">
        <w:rPr>
          <w:rFonts w:ascii="Times New Roman" w:eastAsia="SimSun" w:hAnsi="Times New Roman" w:cs="Times New Roman"/>
          <w:b/>
        </w:rPr>
        <w:t xml:space="preserve"> </w:t>
      </w:r>
      <w:proofErr w:type="spellStart"/>
      <w:r w:rsidRPr="000846BE">
        <w:rPr>
          <w:rFonts w:ascii="Times New Roman" w:eastAsia="SimSun" w:hAnsi="Times New Roman" w:cs="Times New Roman"/>
          <w:b/>
        </w:rPr>
        <w:t>Emulgel</w:t>
      </w:r>
      <w:proofErr w:type="spellEnd"/>
      <w:r w:rsidRPr="000846BE">
        <w:rPr>
          <w:rFonts w:ascii="Times New Roman" w:eastAsia="SimSun" w:hAnsi="Times New Roman" w:cs="Times New Roman"/>
          <w:b/>
        </w:rPr>
        <w:t xml:space="preserve"> 11,6 mg/g dozę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Jeigu pavartojote didesnį nei rekomenduojama gelio kiekį, perteklių pašalinkite, pavyzdžiui, popierine servetėle.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Jeigu Jūs nurijote šio vaisto, nedelsdami kreipkitės į gydytoją.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Pamiršus pavartoti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11,6 mg/g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Jeigu reikiamu laiku pamiršote pasitepti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mg/g, padarykite tai, kai tik prisiminsite. Toliau vartokite įprasta tvarka.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Negalima vartoti dvigubos dozės norint kompensuoti praleistą dozę.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Jeigu kiltų daugiau klausimų dėl šio vaisto vartojimo, kreipkitės į gydytoją arba vaistininką.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</w:rPr>
      </w:pPr>
      <w:r w:rsidRPr="000846BE">
        <w:rPr>
          <w:rFonts w:ascii="Times New Roman" w:eastAsia="Times New Roman" w:hAnsi="Times New Roman" w:cs="Times New Roman"/>
          <w:b/>
          <w:bCs/>
        </w:rPr>
        <w:t>4.</w:t>
      </w:r>
      <w:r w:rsidRPr="000846BE">
        <w:rPr>
          <w:rFonts w:ascii="Times New Roman" w:eastAsia="Times New Roman" w:hAnsi="Times New Roman" w:cs="Times New Roman"/>
          <w:b/>
          <w:bCs/>
        </w:rPr>
        <w:tab/>
        <w:t>Galimas šalutinis poveikis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Šis vaistas, kaip ir visi kiti, gali sukelti šalutinį poveikį, nors jis pasireiškia ne visiems žmonėms.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Cs/>
          <w:lang w:eastAsia="lt-LT"/>
        </w:rPr>
      </w:pPr>
      <w:r w:rsidRPr="000846BE">
        <w:rPr>
          <w:rFonts w:ascii="Times New Roman" w:eastAsia="Times New Roman" w:hAnsi="Times New Roman" w:cs="Times New Roman"/>
          <w:bCs/>
          <w:lang w:eastAsia="lt-LT"/>
        </w:rPr>
        <w:t>Kai kurie reti ar labai reti šalutiniai poveikiai gali būti rimti.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Jeigu Jums pasireiškė bet kokie iš toliau išvardintų reiškinių, nedelsiant nutraukite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vartojimą ir kreipkitės į gydytoją arba vaistininką:</w:t>
      </w:r>
    </w:p>
    <w:p w:rsidR="00AA2CF9" w:rsidRPr="000846BE" w:rsidRDefault="00AA2CF9" w:rsidP="00AA2CF9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atsiranda odos išbėrimas su pūslėmis arba be; dilgėlinė (gali pasireikšti nuo 1 iki 10 iš 10 000 žmonių);</w:t>
      </w:r>
    </w:p>
    <w:p w:rsidR="00AA2CF9" w:rsidRPr="000846BE" w:rsidRDefault="00AA2CF9" w:rsidP="00AA2CF9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atsiranda dusulys, pasunkėja kvėpavimas arba jaučiamas sunkumas krūtinėje (astma) (gali pasireikšti mažiau kaip 1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>žmogui iš 10 000);</w:t>
      </w:r>
    </w:p>
    <w:p w:rsidR="00AA2CF9" w:rsidRPr="000846BE" w:rsidRDefault="00AA2CF9" w:rsidP="00AA2CF9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patinsta veidas, lūpos, liežuvis arba gerklė (gali pasireikšti mažiau kaip 1 iš 10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>000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>žmonių).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Kiti galimi šalutinio poveikio sukeliami reiškiniai paprastai būna lengvi, trumpalaikiai ir nežalingi. Jeigu dėl jų nerimaujate, nedelsiant pasakykite gydytojui arba vaistininkui.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 w:rsidRPr="00E15314">
        <w:rPr>
          <w:rFonts w:ascii="Times New Roman" w:eastAsia="Times New Roman" w:hAnsi="Times New Roman" w:cs="Times New Roman"/>
          <w:b/>
          <w:bCs/>
          <w:noProof/>
          <w:snapToGrid w:val="0"/>
        </w:rPr>
        <w:t>Dažni šalutinio poveikio reiškiniai (gali pasireikšti rečiau kaip 1 iš 10 asmenų)</w:t>
      </w:r>
      <w:r>
        <w:rPr>
          <w:rFonts w:ascii="Times New Roman" w:eastAsia="Times New Roman" w:hAnsi="Times New Roman" w:cs="Times New Roman"/>
          <w:b/>
          <w:bCs/>
          <w:noProof/>
          <w:snapToGrid w:val="0"/>
        </w:rPr>
        <w:t>:</w:t>
      </w:r>
    </w:p>
    <w:p w:rsidR="00AA2CF9" w:rsidRPr="000846BE" w:rsidRDefault="00AA2CF9" w:rsidP="00AA2CF9">
      <w:pPr>
        <w:tabs>
          <w:tab w:val="num" w:pos="567"/>
          <w:tab w:val="num" w:pos="720"/>
        </w:tabs>
        <w:spacing w:after="0" w:line="240" w:lineRule="auto"/>
        <w:ind w:left="714" w:hanging="714"/>
        <w:rPr>
          <w:rFonts w:ascii="Times New Roman" w:eastAsia="Times New Roman" w:hAnsi="Times New Roman" w:cs="Times New Roman"/>
        </w:rPr>
      </w:pPr>
      <w:r w:rsidRPr="000846BE">
        <w:rPr>
          <w:rFonts w:ascii="Times New Roman" w:eastAsia="Times New Roman" w:hAnsi="Times New Roman" w:cs="Times New Roman"/>
          <w:noProof/>
        </w:rPr>
        <w:t>Odos išbėrimas, niežulys, paraudimas.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tabs>
          <w:tab w:val="num" w:pos="540"/>
        </w:tabs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 w:rsidRPr="00E15314">
        <w:rPr>
          <w:rFonts w:ascii="Times New Roman" w:eastAsia="Times New Roman" w:hAnsi="Times New Roman" w:cs="Times New Roman"/>
          <w:b/>
          <w:bCs/>
          <w:noProof/>
          <w:snapToGrid w:val="0"/>
        </w:rPr>
        <w:t>Labai reti šalutinio poveikio reiškiniai (gali pasireikšti rečiau kaip 1 iš 10</w:t>
      </w:r>
      <w:r>
        <w:rPr>
          <w:rFonts w:ascii="Times New Roman" w:eastAsia="Times New Roman" w:hAnsi="Times New Roman" w:cs="Times New Roman"/>
          <w:b/>
          <w:bCs/>
          <w:noProof/>
          <w:snapToGrid w:val="0"/>
        </w:rPr>
        <w:t> </w:t>
      </w:r>
      <w:r w:rsidRPr="00E15314">
        <w:rPr>
          <w:rFonts w:ascii="Times New Roman" w:eastAsia="Times New Roman" w:hAnsi="Times New Roman" w:cs="Times New Roman"/>
          <w:b/>
          <w:bCs/>
          <w:noProof/>
          <w:snapToGrid w:val="0"/>
        </w:rPr>
        <w:t>000 asmenų</w:t>
      </w:r>
      <w:r w:rsidRPr="00E15314">
        <w:rPr>
          <w:rFonts w:ascii="Times New Roman" w:eastAsia="Times New Roman" w:hAnsi="Times New Roman" w:cs="Times New Roman"/>
          <w:b/>
          <w:iCs/>
          <w:lang w:eastAsia="lt-LT"/>
        </w:rPr>
        <w:t>):</w:t>
      </w:r>
    </w:p>
    <w:p w:rsidR="00AA2CF9" w:rsidRPr="000846BE" w:rsidRDefault="00AA2CF9" w:rsidP="00AA2CF9">
      <w:pPr>
        <w:tabs>
          <w:tab w:val="num" w:pos="540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Padidėjęs odos jautrumas saulės šviesai. Tokio poveikio požymiai yra nudegimas, lydimas niežėjimo, patinimo ir pūslių atsiradimu.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 w:rsidRPr="00E15314">
        <w:rPr>
          <w:rFonts w:ascii="Times New Roman" w:eastAsia="Times New Roman" w:hAnsi="Times New Roman" w:cs="Times New Roman"/>
          <w:b/>
          <w:bCs/>
          <w:noProof/>
          <w:snapToGrid w:val="0"/>
        </w:rPr>
        <w:t>Šalutinio poveikio reiškiniai, kurių dažnis nežinomas (negali būti apskaičiuotas pagal turimus duomenis):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Deginimo pojūtis vartojimo vietoje, sausa oda.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0846BE">
        <w:rPr>
          <w:rFonts w:ascii="Times New Roman" w:eastAsia="Times New Roman" w:hAnsi="Times New Roman" w:cs="Times New Roman"/>
          <w:b/>
          <w:noProof/>
          <w:lang w:eastAsia="lt-LT"/>
        </w:rPr>
        <w:t>Pranešimas apie šalutinį poveikį</w:t>
      </w:r>
    </w:p>
    <w:p w:rsidR="00AA2CF9" w:rsidRPr="000846BE" w:rsidRDefault="00AA2CF9" w:rsidP="00AA2CF9">
      <w:pPr>
        <w:spacing w:after="0" w:line="240" w:lineRule="auto"/>
        <w:ind w:right="-449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Jeigu pasireiškė šalutinis poveikis, įskaitant šiame lapelyje nenurodytą, pasakykite gydytojui arba vaistininkui. </w:t>
      </w:r>
      <w:r w:rsidRPr="00F4099D">
        <w:rPr>
          <w:rFonts w:ascii="Times New Roman" w:eastAsia="Times New Roman" w:hAnsi="Times New Roman" w:cs="Times New Roman"/>
          <w:snapToGrid w:val="0"/>
          <w:szCs w:val="20"/>
        </w:rPr>
        <w:t>Pranešimą apie šalutinį poveikį galite užpildyti ir pateikti Valstybinės vaistų kontrolės tarnybos prie Lietuvos Respublikos sveikatos apsaugos ministerijos tinklalapyje https://vvkt.lrv.lt/lt/ nurodytais būdais arba paskambinti nemokamu telefonu 8 800 73 568. Pranešdami apie šalutinį poveikį galite mums padėti gauti daugiau informacijos apie šio vaisto saugumą.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</w:rPr>
      </w:pPr>
      <w:r w:rsidRPr="000846BE">
        <w:rPr>
          <w:rFonts w:ascii="Times New Roman" w:eastAsia="Times New Roman" w:hAnsi="Times New Roman" w:cs="Times New Roman"/>
          <w:b/>
          <w:bCs/>
        </w:rPr>
        <w:t>5.</w:t>
      </w:r>
      <w:r w:rsidRPr="000846BE">
        <w:rPr>
          <w:rFonts w:ascii="Times New Roman" w:eastAsia="Times New Roman" w:hAnsi="Times New Roman" w:cs="Times New Roman"/>
          <w:b/>
          <w:bCs/>
        </w:rPr>
        <w:tab/>
        <w:t xml:space="preserve">Kaip laikyti </w:t>
      </w:r>
      <w:proofErr w:type="spellStart"/>
      <w:r w:rsidRPr="000846BE">
        <w:rPr>
          <w:rFonts w:ascii="Times New Roman" w:eastAsia="SimSun" w:hAnsi="Times New Roman" w:cs="Times New Roman"/>
          <w:b/>
          <w:bCs/>
        </w:rPr>
        <w:t>Voltaren</w:t>
      </w:r>
      <w:proofErr w:type="spellEnd"/>
      <w:r w:rsidRPr="000846BE">
        <w:rPr>
          <w:rFonts w:ascii="Times New Roman" w:eastAsia="SimSun" w:hAnsi="Times New Roman" w:cs="Times New Roman"/>
          <w:b/>
          <w:bCs/>
        </w:rPr>
        <w:t xml:space="preserve"> </w:t>
      </w:r>
      <w:proofErr w:type="spellStart"/>
      <w:r w:rsidRPr="000846BE">
        <w:rPr>
          <w:rFonts w:ascii="Times New Roman" w:eastAsia="SimSun" w:hAnsi="Times New Roman" w:cs="Times New Roman"/>
          <w:b/>
          <w:bCs/>
        </w:rPr>
        <w:t>Emulgel</w:t>
      </w:r>
      <w:proofErr w:type="spellEnd"/>
      <w:r w:rsidRPr="000846BE">
        <w:rPr>
          <w:rFonts w:ascii="Times New Roman" w:eastAsia="SimSun" w:hAnsi="Times New Roman" w:cs="Times New Roman"/>
          <w:b/>
          <w:bCs/>
        </w:rPr>
        <w:t xml:space="preserve"> 11,6 </w:t>
      </w:r>
      <w:r w:rsidRPr="000846BE">
        <w:rPr>
          <w:rFonts w:ascii="Times New Roman" w:eastAsia="Times New Roman" w:hAnsi="Times New Roman" w:cs="Times New Roman"/>
          <w:b/>
          <w:bCs/>
        </w:rPr>
        <w:t>mg/g</w:t>
      </w:r>
    </w:p>
    <w:p w:rsidR="00AA2CF9" w:rsidRPr="000846BE" w:rsidRDefault="00AA2CF9" w:rsidP="00AA2CF9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Šį vaistą laikykite vaikams nepastebimoje ir nepasiekiamoje vietoje.</w:t>
      </w:r>
    </w:p>
    <w:p w:rsidR="00AA2CF9" w:rsidRPr="000846BE" w:rsidRDefault="00AA2CF9" w:rsidP="00AA2CF9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Laikyti ne aukštesnėje kaip </w:t>
      </w:r>
      <w:r>
        <w:rPr>
          <w:rFonts w:ascii="Times New Roman" w:eastAsia="Times New Roman" w:hAnsi="Times New Roman" w:cs="Times New Roman"/>
          <w:lang w:eastAsia="lt-LT"/>
        </w:rPr>
        <w:t>25</w:t>
      </w:r>
      <w:r w:rsidRPr="000846BE">
        <w:rPr>
          <w:rFonts w:ascii="Times New Roman" w:eastAsia="Times New Roman" w:hAnsi="Times New Roman" w:cs="Times New Roman"/>
          <w:lang w:eastAsia="lt-LT"/>
        </w:rPr>
        <w:t> °C temperatūroje.</w:t>
      </w:r>
    </w:p>
    <w:p w:rsidR="00AA2CF9" w:rsidRPr="000846BE" w:rsidRDefault="00AA2CF9" w:rsidP="00AA2CF9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Ant dėžutės, tūbelės ar slėginės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talpyklės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po „Tinka iki“ nurodytam tinkamumo laikui pasibaigus, šio vaisto vartoti negalima. Vaistas tinkamas vartoti iki paskutinės nurodyto mėnesio dienos.</w:t>
      </w:r>
    </w:p>
    <w:p w:rsidR="00AA2CF9" w:rsidRPr="000846BE" w:rsidRDefault="00AA2CF9" w:rsidP="00AA2CF9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 xml:space="preserve">Slėginę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talpyklę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reikia saugoti nuo tiesioginių saulės spindulių. Tuščios nedeginti ir nepradurti.</w:t>
      </w:r>
    </w:p>
    <w:p w:rsidR="00AA2CF9" w:rsidRPr="000846BE" w:rsidRDefault="00AA2CF9" w:rsidP="00AA2CF9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Vaistų negalima išmesti į kanalizaciją arba su buitinėmis atliekomis. Kaip išmesti nereikalingus vaistus, klauskite vaistininko. Šios priemonės padės apsaugoti aplinką.</w:t>
      </w:r>
    </w:p>
    <w:p w:rsidR="00AA2CF9" w:rsidRPr="000846BE" w:rsidRDefault="00AA2CF9" w:rsidP="00AA2CF9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keepNext/>
        <w:tabs>
          <w:tab w:val="left" w:pos="567"/>
        </w:tabs>
        <w:spacing w:after="0" w:line="240" w:lineRule="auto"/>
        <w:ind w:left="142" w:hanging="142"/>
        <w:outlineLvl w:val="1"/>
        <w:rPr>
          <w:rFonts w:ascii="Times New Roman" w:eastAsia="Times New Roman" w:hAnsi="Times New Roman" w:cs="Times New Roman"/>
          <w:b/>
          <w:bCs/>
        </w:rPr>
      </w:pPr>
      <w:r w:rsidRPr="000846BE">
        <w:rPr>
          <w:rFonts w:ascii="Times New Roman" w:eastAsia="Times New Roman" w:hAnsi="Times New Roman" w:cs="Times New Roman"/>
          <w:b/>
          <w:bCs/>
        </w:rPr>
        <w:t>6.</w:t>
      </w:r>
      <w:r w:rsidRPr="000846BE">
        <w:rPr>
          <w:rFonts w:ascii="Times New Roman" w:eastAsia="Times New Roman" w:hAnsi="Times New Roman" w:cs="Times New Roman"/>
          <w:b/>
          <w:bCs/>
        </w:rPr>
        <w:tab/>
        <w:t>Pakuotės turinys ir kita informacija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 w:rsidRPr="000846BE">
        <w:rPr>
          <w:rFonts w:ascii="Times New Roman" w:eastAsia="Times New Roman" w:hAnsi="Times New Roman" w:cs="Times New Roman"/>
          <w:b/>
          <w:lang w:eastAsia="lt-LT"/>
        </w:rPr>
        <w:t xml:space="preserve">11,6 mg/g </w:t>
      </w:r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sudėtis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-</w:t>
      </w:r>
      <w:r w:rsidRPr="000846BE">
        <w:rPr>
          <w:rFonts w:ascii="Times New Roman" w:eastAsia="Times New Roman" w:hAnsi="Times New Roman" w:cs="Times New Roman"/>
          <w:lang w:eastAsia="lt-LT"/>
        </w:rPr>
        <w:tab/>
        <w:t xml:space="preserve">Veiklioji medžiaga yra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dietilaminas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. Viename grame gelio yra 11,6 mg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dietilamino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, kuris atitinka 10 mg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diklofenako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natrio druskos. 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-</w:t>
      </w:r>
      <w:r w:rsidRPr="000846BE">
        <w:rPr>
          <w:rFonts w:ascii="Times New Roman" w:eastAsia="Times New Roman" w:hAnsi="Times New Roman" w:cs="Times New Roman"/>
          <w:lang w:eastAsia="lt-LT"/>
        </w:rPr>
        <w:tab/>
        <w:t xml:space="preserve">Pagalbinės medžiagos: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karbomeras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makrogolio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cetosterilo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eteris,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kokoilo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kaprilokapratas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dietilaminas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izopropilo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alkoholis,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propilenglikolis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, skystasis parafinas, kvapusis kremas 45 (sudėtyje yra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benzilo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benzoato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C67154">
        <w:rPr>
          <w:rFonts w:ascii="Times New Roman" w:eastAsia="Times New Roman" w:hAnsi="Times New Roman" w:cs="Times New Roman"/>
          <w:lang w:eastAsia="lt-LT"/>
        </w:rPr>
        <w:t>benzilo</w:t>
      </w:r>
      <w:proofErr w:type="spellEnd"/>
      <w:r w:rsidRPr="00C67154">
        <w:rPr>
          <w:rFonts w:ascii="Times New Roman" w:eastAsia="Times New Roman" w:hAnsi="Times New Roman" w:cs="Times New Roman"/>
          <w:lang w:eastAsia="lt-LT"/>
        </w:rPr>
        <w:t xml:space="preserve"> alkoholio, </w:t>
      </w:r>
      <w:proofErr w:type="spellStart"/>
      <w:r w:rsidRPr="00C67154">
        <w:rPr>
          <w:rFonts w:ascii="Times New Roman" w:eastAsia="Times New Roman" w:hAnsi="Times New Roman" w:cs="Times New Roman"/>
          <w:lang w:eastAsia="lt-LT"/>
        </w:rPr>
        <w:t>citralio</w:t>
      </w:r>
      <w:proofErr w:type="spellEnd"/>
      <w:r w:rsidRPr="00C67154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C67154">
        <w:rPr>
          <w:rFonts w:ascii="Times New Roman" w:eastAsia="Times New Roman" w:hAnsi="Times New Roman" w:cs="Times New Roman"/>
          <w:lang w:eastAsia="lt-LT"/>
        </w:rPr>
        <w:t>citronelolio</w:t>
      </w:r>
      <w:proofErr w:type="spellEnd"/>
      <w:r w:rsidRPr="00C67154">
        <w:rPr>
          <w:rFonts w:ascii="Times New Roman" w:eastAsia="Times New Roman" w:hAnsi="Times New Roman" w:cs="Times New Roman"/>
          <w:lang w:eastAsia="lt-LT"/>
        </w:rPr>
        <w:t>, kumarino, d-</w:t>
      </w:r>
      <w:proofErr w:type="spellStart"/>
      <w:r w:rsidRPr="00C67154">
        <w:rPr>
          <w:rFonts w:ascii="Times New Roman" w:eastAsia="Times New Roman" w:hAnsi="Times New Roman" w:cs="Times New Roman"/>
          <w:lang w:eastAsia="lt-LT"/>
        </w:rPr>
        <w:t>limoneno</w:t>
      </w:r>
      <w:proofErr w:type="spellEnd"/>
      <w:r w:rsidRPr="00C67154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C67154">
        <w:rPr>
          <w:rFonts w:ascii="Times New Roman" w:eastAsia="Times New Roman" w:hAnsi="Times New Roman" w:cs="Times New Roman"/>
          <w:lang w:eastAsia="lt-LT"/>
        </w:rPr>
        <w:t>eugenolio</w:t>
      </w:r>
      <w:proofErr w:type="spellEnd"/>
      <w:r w:rsidRPr="00C67154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C67154">
        <w:rPr>
          <w:rFonts w:ascii="Times New Roman" w:eastAsia="Times New Roman" w:hAnsi="Times New Roman" w:cs="Times New Roman"/>
          <w:lang w:eastAsia="lt-LT"/>
        </w:rPr>
        <w:t>farnezolio</w:t>
      </w:r>
      <w:proofErr w:type="spellEnd"/>
      <w:r w:rsidRPr="00C67154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C67154">
        <w:rPr>
          <w:rFonts w:ascii="Times New Roman" w:eastAsia="Times New Roman" w:hAnsi="Times New Roman" w:cs="Times New Roman"/>
          <w:lang w:eastAsia="lt-LT"/>
        </w:rPr>
        <w:t>geraniolio</w:t>
      </w:r>
      <w:proofErr w:type="spellEnd"/>
      <w:r w:rsidRPr="00C67154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C67154">
        <w:rPr>
          <w:rFonts w:ascii="Times New Roman" w:eastAsia="Times New Roman" w:hAnsi="Times New Roman" w:cs="Times New Roman"/>
          <w:lang w:eastAsia="lt-LT"/>
        </w:rPr>
        <w:t>linalolio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>), išgrynintas vanduo.</w:t>
      </w:r>
    </w:p>
    <w:p w:rsidR="00AA2CF9" w:rsidRPr="000846BE" w:rsidRDefault="00AA2CF9" w:rsidP="00AA2CF9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:rsidR="00AA2CF9" w:rsidRPr="000846BE" w:rsidRDefault="00AA2CF9" w:rsidP="00AA2CF9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proofErr w:type="spellStart"/>
      <w:r w:rsidRPr="000846BE">
        <w:rPr>
          <w:rFonts w:ascii="Times New Roman" w:eastAsia="Times New Roman" w:hAnsi="Times New Roman" w:cs="Times New Roman"/>
          <w:b/>
          <w:bCs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b/>
          <w:bCs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b/>
          <w:bCs/>
        </w:rPr>
        <w:t xml:space="preserve"> 11,6 mg/g išvaizda ir kiekis pakuotėje</w:t>
      </w:r>
    </w:p>
    <w:p w:rsidR="00AA2CF9" w:rsidRPr="000846BE" w:rsidRDefault="00AA2CF9" w:rsidP="00AA2CF9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Voltaren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Emulgel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11,6 mg/g</w:t>
      </w:r>
      <w:r w:rsidRPr="000846BE">
        <w:rPr>
          <w:rFonts w:ascii="Times New Roman" w:eastAsia="Times New Roman" w:hAnsi="Times New Roman" w:cs="Times New Roman"/>
          <w:b/>
          <w:lang w:eastAsia="lt-LT"/>
        </w:rPr>
        <w:t xml:space="preserve"> </w:t>
      </w:r>
      <w:r w:rsidRPr="000846BE">
        <w:rPr>
          <w:rFonts w:ascii="Times New Roman" w:eastAsia="Times New Roman" w:hAnsi="Times New Roman" w:cs="Times New Roman"/>
          <w:lang w:eastAsia="lt-LT"/>
        </w:rPr>
        <w:t>yra baltos arba beveik baltos spalvos, minkštas, homogeniškas, kreminis</w:t>
      </w:r>
    </w:p>
    <w:p w:rsidR="00AA2CF9" w:rsidRPr="000846BE" w:rsidRDefault="00AA2CF9" w:rsidP="00AA2CF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gelis.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Pakuotėje yra 20 g, 50 g, 75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0846BE">
        <w:rPr>
          <w:rFonts w:ascii="Times New Roman" w:eastAsia="Times New Roman" w:hAnsi="Times New Roman" w:cs="Times New Roman"/>
          <w:lang w:eastAsia="lt-LT"/>
        </w:rPr>
        <w:t xml:space="preserve">g arba 100 g gelio. Slėginėje </w:t>
      </w:r>
      <w:proofErr w:type="spellStart"/>
      <w:r w:rsidRPr="000846BE">
        <w:rPr>
          <w:rFonts w:ascii="Times New Roman" w:eastAsia="Times New Roman" w:hAnsi="Times New Roman" w:cs="Times New Roman"/>
          <w:lang w:eastAsia="lt-LT"/>
        </w:rPr>
        <w:t>talpyklėje</w:t>
      </w:r>
      <w:proofErr w:type="spellEnd"/>
      <w:r w:rsidRPr="000846BE">
        <w:rPr>
          <w:rFonts w:ascii="Times New Roman" w:eastAsia="Times New Roman" w:hAnsi="Times New Roman" w:cs="Times New Roman"/>
          <w:lang w:eastAsia="lt-LT"/>
        </w:rPr>
        <w:t xml:space="preserve"> yra 50 ml, 75 ml arba 100 ml gelio.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Gali būti tiekiamos ne visų dydžių pakuotės.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Registruotojas ir gamintojas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Registruotojas:</w:t>
      </w:r>
    </w:p>
    <w:p w:rsidR="00AA2CF9" w:rsidRPr="00EC6ABA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EC6ABA">
        <w:rPr>
          <w:rFonts w:ascii="Times New Roman" w:eastAsia="Times New Roman" w:hAnsi="Times New Roman" w:cs="Times New Roman"/>
          <w:lang w:eastAsia="lt-LT"/>
        </w:rPr>
        <w:t>Haleon</w:t>
      </w:r>
      <w:proofErr w:type="spellEnd"/>
      <w:r w:rsidRPr="00EC6ABA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EC6ABA">
        <w:rPr>
          <w:rFonts w:ascii="Times New Roman" w:eastAsia="Times New Roman" w:hAnsi="Times New Roman" w:cs="Times New Roman"/>
          <w:lang w:eastAsia="lt-LT"/>
        </w:rPr>
        <w:t>Hungary</w:t>
      </w:r>
      <w:proofErr w:type="spellEnd"/>
      <w:r w:rsidRPr="00EC6ABA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EC6ABA">
        <w:rPr>
          <w:rFonts w:ascii="Times New Roman" w:eastAsia="Times New Roman" w:hAnsi="Times New Roman" w:cs="Times New Roman"/>
          <w:lang w:eastAsia="lt-LT"/>
        </w:rPr>
        <w:t>Kft</w:t>
      </w:r>
      <w:proofErr w:type="spellEnd"/>
      <w:r w:rsidRPr="00EC6ABA">
        <w:rPr>
          <w:rFonts w:ascii="Times New Roman" w:eastAsia="Times New Roman" w:hAnsi="Times New Roman" w:cs="Times New Roman"/>
          <w:lang w:eastAsia="lt-LT"/>
        </w:rPr>
        <w:t xml:space="preserve">. </w:t>
      </w:r>
    </w:p>
    <w:p w:rsidR="00AA2CF9" w:rsidRPr="00EC6ABA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EC6ABA">
        <w:rPr>
          <w:rFonts w:ascii="Times New Roman" w:eastAsia="Times New Roman" w:hAnsi="Times New Roman" w:cs="Times New Roman"/>
          <w:lang w:eastAsia="lt-LT"/>
        </w:rPr>
        <w:t xml:space="preserve">1124 </w:t>
      </w:r>
      <w:proofErr w:type="spellStart"/>
      <w:r w:rsidRPr="00EC6ABA">
        <w:rPr>
          <w:rFonts w:ascii="Times New Roman" w:eastAsia="Times New Roman" w:hAnsi="Times New Roman" w:cs="Times New Roman"/>
          <w:lang w:eastAsia="lt-LT"/>
        </w:rPr>
        <w:t>Budapest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EC6ABA">
        <w:rPr>
          <w:rFonts w:ascii="Times New Roman" w:eastAsia="Times New Roman" w:hAnsi="Times New Roman" w:cs="Times New Roman"/>
          <w:lang w:eastAsia="lt-LT"/>
        </w:rPr>
        <w:t>Csörsz</w:t>
      </w:r>
      <w:proofErr w:type="spellEnd"/>
      <w:r w:rsidRPr="00EC6ABA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EC6ABA">
        <w:rPr>
          <w:rFonts w:ascii="Times New Roman" w:eastAsia="Times New Roman" w:hAnsi="Times New Roman" w:cs="Times New Roman"/>
          <w:lang w:eastAsia="lt-LT"/>
        </w:rPr>
        <w:t>utca</w:t>
      </w:r>
      <w:proofErr w:type="spellEnd"/>
      <w:r w:rsidRPr="00EC6ABA">
        <w:rPr>
          <w:rFonts w:ascii="Times New Roman" w:eastAsia="Times New Roman" w:hAnsi="Times New Roman" w:cs="Times New Roman"/>
          <w:lang w:eastAsia="lt-LT"/>
        </w:rPr>
        <w:t xml:space="preserve"> 43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EC6ABA">
        <w:rPr>
          <w:rFonts w:ascii="Times New Roman" w:eastAsia="Times New Roman" w:hAnsi="Times New Roman" w:cs="Times New Roman"/>
          <w:lang w:eastAsia="lt-LT"/>
        </w:rPr>
        <w:t>Vengrija</w:t>
      </w:r>
      <w:r>
        <w:rPr>
          <w:rFonts w:ascii="Times New Roman" w:eastAsia="Times New Roman" w:hAnsi="Times New Roman" w:cs="Times New Roman"/>
          <w:lang w:eastAsia="lt-LT"/>
        </w:rPr>
        <w:br/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0846BE">
        <w:rPr>
          <w:rFonts w:ascii="Times New Roman" w:eastAsia="Times New Roman" w:hAnsi="Times New Roman" w:cs="Times New Roman"/>
          <w:b/>
          <w:bCs/>
          <w:lang w:eastAsia="lt-LT"/>
        </w:rPr>
        <w:t>Gamintojas:</w:t>
      </w:r>
    </w:p>
    <w:p w:rsidR="00AA2CF9" w:rsidRPr="008E5BE3" w:rsidRDefault="00AA2CF9" w:rsidP="00AA2CF9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8E5BE3">
        <w:rPr>
          <w:rFonts w:ascii="Times New Roman" w:eastAsia="Calibri" w:hAnsi="Times New Roman" w:cs="Times New Roman"/>
        </w:rPr>
        <w:t>Haleon</w:t>
      </w:r>
      <w:proofErr w:type="spellEnd"/>
      <w:r w:rsidRPr="008E5BE3">
        <w:rPr>
          <w:rFonts w:ascii="Times New Roman" w:eastAsia="Calibri" w:hAnsi="Times New Roman" w:cs="Times New Roman"/>
        </w:rPr>
        <w:t xml:space="preserve"> Germany </w:t>
      </w:r>
      <w:proofErr w:type="spellStart"/>
      <w:r w:rsidRPr="008E5BE3">
        <w:rPr>
          <w:rFonts w:ascii="Times New Roman" w:eastAsia="Calibri" w:hAnsi="Times New Roman" w:cs="Times New Roman"/>
        </w:rPr>
        <w:t>GmbH</w:t>
      </w:r>
      <w:proofErr w:type="spellEnd"/>
    </w:p>
    <w:p w:rsidR="00AA2CF9" w:rsidRPr="008E5BE3" w:rsidRDefault="00AA2CF9" w:rsidP="00AA2CF9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8E5BE3">
        <w:rPr>
          <w:rFonts w:ascii="Times New Roman" w:eastAsia="Calibri" w:hAnsi="Times New Roman" w:cs="Times New Roman"/>
        </w:rPr>
        <w:t>Barthstraße</w:t>
      </w:r>
      <w:proofErr w:type="spellEnd"/>
      <w:r w:rsidRPr="008E5BE3">
        <w:rPr>
          <w:rFonts w:ascii="Times New Roman" w:eastAsia="Calibri" w:hAnsi="Times New Roman" w:cs="Times New Roman"/>
        </w:rPr>
        <w:t xml:space="preserve"> 4</w:t>
      </w:r>
    </w:p>
    <w:p w:rsidR="00AA2CF9" w:rsidRPr="008E5BE3" w:rsidRDefault="00AA2CF9" w:rsidP="00AA2CF9">
      <w:pPr>
        <w:spacing w:after="0" w:line="240" w:lineRule="auto"/>
        <w:rPr>
          <w:rFonts w:ascii="Times New Roman" w:eastAsia="Calibri" w:hAnsi="Times New Roman" w:cs="Times New Roman"/>
        </w:rPr>
      </w:pPr>
      <w:r w:rsidRPr="008E5BE3">
        <w:rPr>
          <w:rFonts w:ascii="Times New Roman" w:eastAsia="Calibri" w:hAnsi="Times New Roman" w:cs="Times New Roman"/>
        </w:rPr>
        <w:t xml:space="preserve">80339 </w:t>
      </w:r>
      <w:proofErr w:type="spellStart"/>
      <w:r w:rsidRPr="008E5BE3">
        <w:rPr>
          <w:rFonts w:ascii="Times New Roman" w:eastAsia="Calibri" w:hAnsi="Times New Roman" w:cs="Times New Roman"/>
        </w:rPr>
        <w:t>München</w:t>
      </w:r>
      <w:proofErr w:type="spellEnd"/>
      <w:r w:rsidRPr="008E5BE3">
        <w:rPr>
          <w:rFonts w:ascii="Times New Roman" w:eastAsia="Calibri" w:hAnsi="Times New Roman" w:cs="Times New Roman"/>
        </w:rPr>
        <w:t xml:space="preserve"> </w:t>
      </w:r>
    </w:p>
    <w:p w:rsidR="00AA2CF9" w:rsidRPr="008E5BE3" w:rsidRDefault="00AA2CF9" w:rsidP="00AA2CF9">
      <w:pPr>
        <w:spacing w:after="0" w:line="240" w:lineRule="auto"/>
        <w:rPr>
          <w:rFonts w:ascii="Times New Roman" w:eastAsia="Calibri" w:hAnsi="Times New Roman" w:cs="Times New Roman"/>
        </w:rPr>
      </w:pPr>
      <w:r w:rsidRPr="008E5BE3">
        <w:rPr>
          <w:rFonts w:ascii="Times New Roman" w:eastAsia="Calibri" w:hAnsi="Times New Roman" w:cs="Times New Roman"/>
        </w:rPr>
        <w:t>Vokietija</w:t>
      </w:r>
    </w:p>
    <w:p w:rsidR="00AA2CF9" w:rsidRPr="00580941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580941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580941">
        <w:rPr>
          <w:rFonts w:ascii="Times New Roman" w:eastAsia="Times New Roman" w:hAnsi="Times New Roman" w:cs="Times New Roman"/>
          <w:b/>
          <w:lang w:eastAsia="lt-LT"/>
        </w:rPr>
        <w:t>Šis pakuotės lapelis paskutinį kartą peržiūrėtas</w:t>
      </w:r>
      <w:r>
        <w:rPr>
          <w:rFonts w:ascii="Times New Roman" w:eastAsia="Times New Roman" w:hAnsi="Times New Roman" w:cs="Times New Roman"/>
          <w:b/>
          <w:lang w:eastAsia="lt-LT"/>
        </w:rPr>
        <w:t xml:space="preserve"> 2024-09-12 .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846BE">
        <w:rPr>
          <w:rFonts w:ascii="Times New Roman" w:eastAsia="Times New Roman" w:hAnsi="Times New Roman" w:cs="Times New Roman"/>
          <w:lang w:eastAsia="lt-LT"/>
        </w:rPr>
        <w:t>Išsami informacija apie šį vaistą pateikiama Valstybinės vaistų kontrolės tarnybos prie Lietuvos Respublikos sveikatos apsaugos ministerijos tinklalapyje</w:t>
      </w:r>
      <w:r w:rsidRPr="000846BE">
        <w:rPr>
          <w:rFonts w:ascii="Times New Roman" w:eastAsia="Times New Roman" w:hAnsi="Times New Roman" w:cs="Times New Roman"/>
          <w:i/>
          <w:lang w:eastAsia="lt-LT"/>
        </w:rPr>
        <w:t xml:space="preserve"> </w:t>
      </w:r>
      <w:r w:rsidRPr="00EE4CA4">
        <w:rPr>
          <w:rFonts w:ascii="Times New Roman" w:eastAsia="Times New Roman" w:hAnsi="Times New Roman" w:cs="Times New Roman"/>
          <w:noProof/>
          <w:lang w:eastAsia="lt-LT"/>
        </w:rPr>
        <w:t>https://vvkt.lrv.lt/lt/</w:t>
      </w:r>
      <w:r>
        <w:rPr>
          <w:rFonts w:ascii="Times New Roman" w:eastAsia="Times New Roman" w:hAnsi="Times New Roman" w:cs="Times New Roman"/>
          <w:noProof/>
          <w:lang w:eastAsia="lt-LT"/>
        </w:rPr>
        <w:t>.</w:t>
      </w:r>
      <w:r w:rsidRPr="00EE4CA4">
        <w:rPr>
          <w:rFonts w:ascii="Times New Roman" w:eastAsia="Times New Roman" w:hAnsi="Times New Roman" w:cs="Times New Roman"/>
          <w:noProof/>
          <w:lang w:eastAsia="lt-LT"/>
        </w:rPr>
        <w:t xml:space="preserve"> </w:t>
      </w: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bookmarkStart w:id="0" w:name="_GoBack"/>
      <w:bookmarkEnd w:id="0"/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AA2CF9" w:rsidRPr="000846BE" w:rsidRDefault="00AA2CF9" w:rsidP="00AA2CF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BA6577" w:rsidRDefault="00BA6577"/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BA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5D2904"/>
    <w:multiLevelType w:val="hybridMultilevel"/>
    <w:tmpl w:val="6B344A3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27556"/>
    <w:multiLevelType w:val="hybridMultilevel"/>
    <w:tmpl w:val="8D86C73E"/>
    <w:lvl w:ilvl="0" w:tplc="79C85EF6">
      <w:start w:val="2"/>
      <w:numFmt w:val="bullet"/>
      <w:lvlText w:val="-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220668"/>
    <w:multiLevelType w:val="hybridMultilevel"/>
    <w:tmpl w:val="FE1043A4"/>
    <w:lvl w:ilvl="0" w:tplc="46C42ED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CA0EA8"/>
    <w:multiLevelType w:val="hybridMultilevel"/>
    <w:tmpl w:val="FC1EC00E"/>
    <w:lvl w:ilvl="0" w:tplc="040EF1E8">
      <w:start w:val="2"/>
      <w:numFmt w:val="bullet"/>
      <w:lvlText w:val="-"/>
      <w:lvlJc w:val="left"/>
      <w:pPr>
        <w:ind w:left="720" w:hanging="360"/>
      </w:pPr>
      <w:rPr>
        <w:rFonts w:ascii="Arial" w:eastAsia="Monotype Corsiva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CF9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AA2CF9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2CD90A-6904-47D9-9321-4E82E99EC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A2CF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A2CF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8702</Words>
  <Characters>4961</Characters>
  <Application>Microsoft Office Word</Application>
  <DocSecurity>0</DocSecurity>
  <Lines>41</Lines>
  <Paragraphs>27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6</vt:i4>
      </vt:variant>
    </vt:vector>
  </HeadingPairs>
  <TitlesOfParts>
    <vt:vector size="7" baseType="lpstr">
      <vt:lpstr/>
      <vt:lpstr>    1.	Kas yra Voltaren Emulgel 11,6 mg/g ir kam jis vartojamas</vt:lpstr>
      <vt:lpstr>    2.	Kas žinotina prieš vartojant Voltaren Emulgel 11,6 mg/g</vt:lpstr>
      <vt:lpstr>    3.	Kaip vartoti Voltaren Emulgel 11,6 mg/g</vt:lpstr>
      <vt:lpstr>    4.	Galimas šalutinis poveikis</vt:lpstr>
      <vt:lpstr>    5.	Kaip laikyti Voltaren Emulgel 11,6 mg/g</vt:lpstr>
      <vt:lpstr>    6.	Pakuotės turinys ir kita informacija</vt:lpstr>
    </vt:vector>
  </TitlesOfParts>
  <Company/>
  <LinksUpToDate>false</LinksUpToDate>
  <CharactersWithSpaces>13636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2024-12-30T11:43:00Z</dcterms:created>
  <dcterms:modified xsi:type="dcterms:W3CDTF">2024-12-30T11:44:00Z</dcterms:modified>
</cp:coreProperties>
</file>