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5708" w14:textId="77777777" w:rsidR="00DA4F1F" w:rsidRPr="00DA4F1F" w:rsidRDefault="00DA4F1F" w:rsidP="00DA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iCs/>
          <w:lang w:eastAsia="lt-LT"/>
        </w:rPr>
        <w:t>Pakuotės lapelis: informacija vartotojui</w:t>
      </w:r>
    </w:p>
    <w:p w14:paraId="2DE48967" w14:textId="77777777" w:rsidR="00DA4F1F" w:rsidRPr="00DA4F1F" w:rsidRDefault="00DA4F1F" w:rsidP="00DA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377F070" w14:textId="77777777" w:rsidR="00DA4F1F" w:rsidRPr="00DA4F1F" w:rsidRDefault="00DA4F1F" w:rsidP="00DA4F1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 gelis</w:t>
      </w:r>
    </w:p>
    <w:p w14:paraId="1B4FBF1F" w14:textId="77777777" w:rsidR="00DA4F1F" w:rsidRPr="00DA4F1F" w:rsidRDefault="00DA4F1F" w:rsidP="00DA4F1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</w:p>
    <w:p w14:paraId="5D63D835" w14:textId="77777777" w:rsidR="00DA4F1F" w:rsidRPr="00DA4F1F" w:rsidRDefault="00DA4F1F" w:rsidP="00DA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6A623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45ABB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A4F1F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11D99B5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64294F37" w14:textId="77777777" w:rsidR="00DA4F1F" w:rsidRPr="00DA4F1F" w:rsidRDefault="00DA4F1F" w:rsidP="00DA4F1F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Neišmeskite šio lapelio, nes vėl gali prireikti jį perskaityti.</w:t>
      </w:r>
    </w:p>
    <w:p w14:paraId="1FD0DF6D" w14:textId="77777777" w:rsidR="00DA4F1F" w:rsidRPr="00DA4F1F" w:rsidRDefault="00DA4F1F" w:rsidP="00DA4F1F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Jeigu norite sužinoti daugiau arba pasitarti, kreipkitės į vaistininką.</w:t>
      </w:r>
    </w:p>
    <w:p w14:paraId="2B182866" w14:textId="77777777" w:rsidR="00DA4F1F" w:rsidRPr="00DA4F1F" w:rsidRDefault="00DA4F1F" w:rsidP="00DA4F1F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14:paraId="58D295B0" w14:textId="77777777" w:rsidR="00DA4F1F" w:rsidRPr="00DA4F1F" w:rsidRDefault="00DA4F1F" w:rsidP="00DA4F1F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Jeigu per 7 dienas savijauta nepagerėjo arba net pablogėjo, kreipkitės į gydytoją.</w:t>
      </w:r>
    </w:p>
    <w:p w14:paraId="21C5697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6BBC9E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DA4F1F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192FD0B1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65E13A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1.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ir kam jis vartojamas</w:t>
      </w:r>
    </w:p>
    <w:p w14:paraId="117E607D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2.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38485CE6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3.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4B20B3F4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4.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40A46DA9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5.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7F0FB3F3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6.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18775D0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3890D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18490A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  <w:caps/>
        </w:rPr>
      </w:pPr>
      <w:r w:rsidRPr="00DA4F1F">
        <w:rPr>
          <w:rFonts w:ascii="Times New Roman" w:eastAsia="Times New Roman" w:hAnsi="Times New Roman" w:cs="Times New Roman"/>
          <w:b/>
          <w:bCs/>
        </w:rPr>
        <w:t>1.</w:t>
      </w:r>
      <w:r w:rsidRPr="00DA4F1F">
        <w:rPr>
          <w:rFonts w:ascii="Times New Roman" w:eastAsia="Times New Roman" w:hAnsi="Times New Roman" w:cs="Times New Roman"/>
          <w:b/>
          <w:bCs/>
        </w:rPr>
        <w:tab/>
        <w:t xml:space="preserve">Kas yra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11,6 mg/g ir kam jis vartojamas</w:t>
      </w:r>
    </w:p>
    <w:p w14:paraId="45B6D76E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7365C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gelio sudėtyje yra veikliosios medžiagos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kuris priklauso nesteroidinių vaistų nuo uždegimo (NVNU) grupei. </w:t>
      </w:r>
    </w:p>
    <w:p w14:paraId="7014AD2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43A8E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gelis vartojamas skausmui malšinti, patinimui mažinti ir uždegimui gydyti esant įvairioms būklėms, kurios sukelia sąnarių ir raumenų skausmą.</w:t>
      </w:r>
    </w:p>
    <w:p w14:paraId="12B389F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BFF59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vartojamas žemiau nurodytais atvejais.</w:t>
      </w:r>
    </w:p>
    <w:p w14:paraId="3B3C575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EEE5F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i/>
          <w:iCs/>
          <w:lang w:eastAsia="lt-LT"/>
        </w:rPr>
        <w:t>Suaugusiesiems ir 14 metų bei vyresniems paaugliams</w:t>
      </w:r>
    </w:p>
    <w:p w14:paraId="2BF9144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Raumenų ir sąnarių sužalojimų sukeltam skausmui malšinti ir uždegimui slopinti, pavyzdžiui, dėl patempimo, sumušimo, nuo sausgyslės uždegimo (pvz., „tenisininko“ alkūnė), nugaros skausmo.</w:t>
      </w:r>
    </w:p>
    <w:p w14:paraId="0D8B3EE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F8373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i/>
          <w:iCs/>
          <w:lang w:eastAsia="lt-LT"/>
        </w:rPr>
        <w:t>Tik suaugusiems (18 metų ir vyresniems)</w:t>
      </w:r>
    </w:p>
    <w:p w14:paraId="1A6A63D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Sąnarių (pvz., kelių) uždegimo sukeltam skausmui malšinti.</w:t>
      </w:r>
    </w:p>
    <w:p w14:paraId="7E85E1E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39870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t>Jeigu per 7 dienas Jūsų savijauta nepagerėjo arba net pablogėjo, kreipkitės į gydytoją.</w:t>
      </w:r>
    </w:p>
    <w:p w14:paraId="46FF2064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48A835B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0DE0A89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2.</w:t>
      </w:r>
      <w:r w:rsidRPr="00DA4F1F">
        <w:rPr>
          <w:rFonts w:ascii="Times New Roman" w:eastAsia="Times New Roman" w:hAnsi="Times New Roman" w:cs="Times New Roman"/>
          <w:b/>
          <w:bCs/>
        </w:rPr>
        <w:tab/>
        <w:t xml:space="preserve">Kas žinotina prieš vartojant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11,6 mg/g</w:t>
      </w:r>
    </w:p>
    <w:p w14:paraId="3146E065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1B4621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DA4F1F">
        <w:rPr>
          <w:rFonts w:ascii="Times New Roman" w:eastAsia="Times New Roman" w:hAnsi="Times New Roman" w:cs="Times New Roman"/>
          <w:b/>
          <w:lang w:eastAsia="lt-LT"/>
        </w:rPr>
        <w:t xml:space="preserve">11,6 mg/g </w:t>
      </w: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vartoti draudžiama:</w:t>
      </w:r>
    </w:p>
    <w:p w14:paraId="3C5E25BF" w14:textId="77777777" w:rsidR="00DA4F1F" w:rsidRPr="00DA4F1F" w:rsidRDefault="00DA4F1F" w:rsidP="00DA4F1F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-</w:t>
      </w:r>
      <w:r w:rsidRPr="00DA4F1F">
        <w:rPr>
          <w:rFonts w:ascii="Times New Roman" w:eastAsia="Times New Roman" w:hAnsi="Times New Roman" w:cs="Times New Roman"/>
          <w:lang w:eastAsia="lt-LT"/>
        </w:rPr>
        <w:tab/>
      </w:r>
      <w:r w:rsidRPr="00DA4F1F">
        <w:rPr>
          <w:rFonts w:ascii="Times New Roman" w:eastAsia="Times New Roman" w:hAnsi="Times New Roman" w:cs="Times New Roman"/>
          <w:noProof/>
          <w:lang w:eastAsia="lt-LT"/>
        </w:rPr>
        <w:t>jeigu yra alergija veikliajai medžiagai arba bet kuriai pagalbinei šio vaisto medžiagai (jos išvardytos 6 skyriuje);</w:t>
      </w:r>
    </w:p>
    <w:p w14:paraId="02DAEE5A" w14:textId="77777777" w:rsidR="00DA4F1F" w:rsidRPr="00DA4F1F" w:rsidRDefault="00DA4F1F" w:rsidP="00DA4F1F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lastRenderedPageBreak/>
        <w:t>-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jeigu </w:t>
      </w:r>
      <w:r w:rsidRPr="00DA4F1F">
        <w:rPr>
          <w:rFonts w:ascii="Times New Roman" w:eastAsia="Times New Roman" w:hAnsi="Times New Roman" w:cs="Times New Roman"/>
          <w:noProof/>
          <w:lang w:eastAsia="lt-LT"/>
        </w:rPr>
        <w:t xml:space="preserve">yra alergija </w:t>
      </w:r>
      <w:r w:rsidRPr="00DA4F1F">
        <w:rPr>
          <w:rFonts w:ascii="Times New Roman" w:eastAsia="Times New Roman" w:hAnsi="Times New Roman" w:cs="Times New Roman"/>
          <w:lang w:eastAsia="lt-LT"/>
        </w:rPr>
        <w:t xml:space="preserve">kitiems vaistams nuo skausmo, karščiavimo arba uždegimo, pavyzdžiui,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ibuprofenui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rūgščiai (šis vaistas vartojamas profilaktiškai nuo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trombų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susidarymo). Jeigu abejojate, kreipkitės į gydytoją arba vaistininką.</w:t>
      </w:r>
    </w:p>
    <w:p w14:paraId="23F69DA2" w14:textId="77777777" w:rsidR="00DA4F1F" w:rsidRPr="00DA4F1F" w:rsidRDefault="00DA4F1F" w:rsidP="00DA4F1F">
      <w:pPr>
        <w:numPr>
          <w:ilvl w:val="12"/>
          <w:numId w:val="0"/>
        </w:numPr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Šio vaisto sukeltos alerginės reakcijos simptomai: dusulys arba pasunkėjęs kvėpavimas (astma);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pūslinis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odos išbėrimas ar dilgėlinė; veido arba liežuvio patinimas; sloga;</w:t>
      </w:r>
    </w:p>
    <w:p w14:paraId="470A0667" w14:textId="77777777" w:rsidR="00DA4F1F" w:rsidRPr="00DA4F1F" w:rsidRDefault="00DA4F1F" w:rsidP="00DA4F1F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-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>paskutiniųjų 3 nėštumo mėnesių metu;</w:t>
      </w:r>
    </w:p>
    <w:p w14:paraId="66A470E3" w14:textId="77777777" w:rsidR="00DA4F1F" w:rsidRPr="00DA4F1F" w:rsidRDefault="00DA4F1F" w:rsidP="00DA4F1F">
      <w:pPr>
        <w:pStyle w:val="Sraopastraipa"/>
        <w:numPr>
          <w:ilvl w:val="0"/>
          <w:numId w:val="4"/>
        </w:numPr>
        <w:spacing w:after="0" w:line="240" w:lineRule="auto"/>
        <w:ind w:left="540" w:hanging="540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jeigu esate jaunesnis kaip 14 metų.</w:t>
      </w:r>
    </w:p>
    <w:p w14:paraId="4D8B9BA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FDEC0FC" w14:textId="77777777" w:rsidR="00DA4F1F" w:rsidRPr="00DA4F1F" w:rsidRDefault="00DA4F1F" w:rsidP="00DA4F1F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DA4F1F">
        <w:rPr>
          <w:rFonts w:ascii="Times New Roman" w:eastAsia="SimSun" w:hAnsi="Times New Roman" w:cs="Times New Roman"/>
          <w:b/>
        </w:rPr>
        <w:t xml:space="preserve">Įspėjimai ir atsargumo priemonės </w:t>
      </w:r>
    </w:p>
    <w:p w14:paraId="1F9E7EA8" w14:textId="77777777" w:rsidR="00DA4F1F" w:rsidRPr="00DA4F1F" w:rsidRDefault="00DA4F1F" w:rsidP="00DA4F1F">
      <w:pPr>
        <w:tabs>
          <w:tab w:val="left" w:pos="720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noProof/>
        </w:rPr>
      </w:pPr>
      <w:r w:rsidRPr="00DA4F1F">
        <w:rPr>
          <w:rFonts w:ascii="Times New Roman" w:eastAsia="Times New Roman" w:hAnsi="Times New Roman" w:cs="Times New Roman"/>
          <w:noProof/>
        </w:rPr>
        <w:t>Pasitarkite su gydytoju arba vaistininku, prieš pradėdami vartoti Voltaren Emulgel 11,6 mg/g:</w:t>
      </w:r>
    </w:p>
    <w:p w14:paraId="1E6DB74B" w14:textId="77777777" w:rsidR="00DA4F1F" w:rsidRPr="00DA4F1F" w:rsidRDefault="00DA4F1F" w:rsidP="00DA4F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Voltaren Emulgel 11,6 mg/g negalima tepti ant pažeistos odos, atviros žaizdos, odos išbėrimo ar egzemos vietos. Jeigu pasitepus preparatu pasireiškia išbėrimas, gydymą nutraukti.</w:t>
      </w:r>
    </w:p>
    <w:p w14:paraId="721D7DED" w14:textId="77777777" w:rsidR="00DA4F1F" w:rsidRPr="00DA4F1F" w:rsidRDefault="00DA4F1F" w:rsidP="00DA4F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Nevartokite vaisto didesnėmis dozėmis ir ilgesnį laiko tarpą, nei yra nurodyta, nebent gydytojas nurodė kitaip.</w:t>
      </w:r>
    </w:p>
    <w:p w14:paraId="7074EA73" w14:textId="77777777" w:rsidR="00DA4F1F" w:rsidRPr="00DA4F1F" w:rsidRDefault="00DA4F1F" w:rsidP="00DA4F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Voltaren Emulgel 11,6 mg/g galima tepti tik odą. Šiuo vaistu negalima tepti burnos. Draudžiama vaisto nuryti. Po naudojimo nusiplauti rankas. Saugokitės, kad Voltaren Emulgel 11,6 mg/g nepatektų į akis. Jeigu taip atsitiktų, akis skalaukite švariu vandeniu. Jeigu nemalonus pojūtis akyse nepraeina, kreipkitės į gydytoją arba vaistininką.</w:t>
      </w:r>
    </w:p>
    <w:p w14:paraId="505339A2" w14:textId="77777777" w:rsidR="00DA4F1F" w:rsidRPr="00DA4F1F" w:rsidRDefault="00DA4F1F" w:rsidP="00DA4F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</w:rPr>
      </w:pPr>
      <w:r w:rsidRPr="00DA4F1F">
        <w:rPr>
          <w:rFonts w:ascii="Times New Roman" w:hAnsi="Times New Roman" w:cs="Times New Roman"/>
          <w:noProof/>
        </w:rPr>
        <w:t>Voltaren Emulgel 11,6 mg/g galima naudoti kartu su dažnai naudojamais įtvarais pvz. patempimų gydymui. Negalima naudoti su oro nepraleidžiančiais (plastikiniais) tvarsčiais.</w:t>
      </w:r>
    </w:p>
    <w:p w14:paraId="23D6DF6F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lt-LT"/>
        </w:rPr>
      </w:pPr>
    </w:p>
    <w:p w14:paraId="0546682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7916C7A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Duomenų apie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saugumą ir veiksmingumą jaunesniems kaip 14 metų vaikams nepakanka (žr. skyrelį „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vartoti negalima“).</w:t>
      </w:r>
    </w:p>
    <w:p w14:paraId="79F56A6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005952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Jeigu 14 metų ir vyresniems paaugliams šio vaisto reikia vartoti ilgiau kaip 7 dienas skausmui malšinti arba jeigu simptomai pasunkėja, pacientas ar jo tėvai turi kreiptis į gydytoją.</w:t>
      </w:r>
    </w:p>
    <w:p w14:paraId="436F7F8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7BFE44" w14:textId="77777777" w:rsidR="00DA4F1F" w:rsidRPr="00DA4F1F" w:rsidRDefault="00DA4F1F" w:rsidP="00DA4F1F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DA4F1F">
        <w:rPr>
          <w:rFonts w:ascii="Times New Roman" w:eastAsia="SimSun" w:hAnsi="Times New Roman" w:cs="Times New Roman"/>
          <w:b/>
        </w:rPr>
        <w:t xml:space="preserve">Kiti vaistai ir </w:t>
      </w:r>
      <w:proofErr w:type="spellStart"/>
      <w:r w:rsidRPr="00DA4F1F">
        <w:rPr>
          <w:rFonts w:ascii="Times New Roman" w:eastAsia="SimSun" w:hAnsi="Times New Roman" w:cs="Times New Roman"/>
          <w:b/>
        </w:rPr>
        <w:t>Voltaren</w:t>
      </w:r>
      <w:proofErr w:type="spellEnd"/>
      <w:r w:rsidRPr="00DA4F1F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DA4F1F">
        <w:rPr>
          <w:rFonts w:ascii="Times New Roman" w:eastAsia="SimSun" w:hAnsi="Times New Roman" w:cs="Times New Roman"/>
          <w:b/>
        </w:rPr>
        <w:t>Emulgel</w:t>
      </w:r>
      <w:proofErr w:type="spellEnd"/>
      <w:r w:rsidRPr="00DA4F1F">
        <w:rPr>
          <w:rFonts w:ascii="Times New Roman" w:eastAsia="SimSun" w:hAnsi="Times New Roman" w:cs="Times New Roman"/>
          <w:b/>
        </w:rPr>
        <w:t xml:space="preserve"> 11,6 mg/g</w:t>
      </w:r>
    </w:p>
    <w:p w14:paraId="5AD62E3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14:paraId="65B8316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Vartojant ant odos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į sisteminę kraujotaką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patenka labai mažai, todėl tokia sąveika mažai tikėtina.</w:t>
      </w:r>
    </w:p>
    <w:p w14:paraId="664BF71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2E974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Nėštumas, žindymo laikotarpis ir vaisingumas</w:t>
      </w:r>
    </w:p>
    <w:p w14:paraId="06D2AE2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Jeigu esate nėščia, žindote kūdikį, manote, kad gal būt esate nėščia arba planuojate pastoti, tai prieš vartodama šį vaistą, pasitarkite su gydytoju arba vaistininku.</w:t>
      </w:r>
    </w:p>
    <w:p w14:paraId="5B70E68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490F1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vartoti draudžiama paskutiniųjų 3 nėštumo mėnesių metu.</w:t>
      </w:r>
    </w:p>
    <w:p w14:paraId="2ED44F0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Nevartokite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pirmųjų 6 nėštumo mėnesių metu, nebent akivaizdžiai būtina ir nurodo gydytojas. Jei šiuo laikotarpiu Jus būtina gydyti šiuo vaistu, reikia vartoti kuo mažesnę dozę kuo trumpesnį laiką.</w:t>
      </w:r>
      <w:r w:rsidRPr="00DA4F1F" w:rsidDel="00E31231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1E8947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Per burną vartojamos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vaisto formos (pvz., tabletės) gali sukelti nepageidaujamą poveikį Jūsų vaisiui (negimusiam kūdikiui). Nėra žinoma, ar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kelią tokią pačią riziką vartojant ant odos.</w:t>
      </w:r>
    </w:p>
    <w:p w14:paraId="72935EC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A9080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žindymo laikotarpiu galima vartoti tik gydytojui leidus, kadangi nedidelis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kiekis patenka į motinos pieną. Jei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būtina vartoti, jo negalima tepti ant krūtų ar didelių odos plotų bei naudoti ilgą laiką.</w:t>
      </w:r>
    </w:p>
    <w:p w14:paraId="61A61D3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BB4F39" w14:textId="77777777" w:rsidR="00DA4F1F" w:rsidRPr="00DA4F1F" w:rsidRDefault="00DA4F1F" w:rsidP="00DA4F1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8DB16C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lastRenderedPageBreak/>
        <w:t xml:space="preserve">Ant odos tepamas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gelis gebėjimo vairuoti ir valdyti mechanizmus neveikia.</w:t>
      </w:r>
    </w:p>
    <w:p w14:paraId="080668D4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F042E3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 sudėtyje yra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propilenglikolio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ir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benzilbenzoato</w:t>
      </w:r>
      <w:proofErr w:type="spellEnd"/>
    </w:p>
    <w:p w14:paraId="3442EF4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Kiekviename šio vaisto grame yra 50 mg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propilenglikolio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gali sukelti odos sudirginimą.</w:t>
      </w:r>
    </w:p>
    <w:p w14:paraId="06E3727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Šio vaisto kvapiosios medžiagos sudėtyje yra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benzilbenzoato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Benzilbenzoatas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gali sukelti alerginių reakcijų.</w:t>
      </w:r>
    </w:p>
    <w:p w14:paraId="5EAAB44A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5D36727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A292F11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3.</w:t>
      </w:r>
      <w:r w:rsidRPr="00DA4F1F">
        <w:rPr>
          <w:rFonts w:ascii="Times New Roman" w:eastAsia="Times New Roman" w:hAnsi="Times New Roman" w:cs="Times New Roman"/>
          <w:b/>
          <w:bCs/>
        </w:rPr>
        <w:tab/>
        <w:t xml:space="preserve">Kaip vartoti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</w:rPr>
        <w:t xml:space="preserve"> </w:t>
      </w:r>
      <w:r w:rsidRPr="00DA4F1F">
        <w:rPr>
          <w:rFonts w:ascii="Times New Roman" w:eastAsia="Times New Roman" w:hAnsi="Times New Roman" w:cs="Times New Roman"/>
          <w:b/>
        </w:rPr>
        <w:t>11,6 </w:t>
      </w:r>
      <w:r w:rsidRPr="00DA4F1F">
        <w:rPr>
          <w:rFonts w:ascii="Times New Roman" w:eastAsia="Times New Roman" w:hAnsi="Times New Roman" w:cs="Times New Roman"/>
          <w:b/>
          <w:bCs/>
        </w:rPr>
        <w:t>mg/g</w:t>
      </w:r>
    </w:p>
    <w:p w14:paraId="08FF683C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4E7D1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Visada vartokite šį vaistą tiksliai kaip </w:t>
      </w:r>
      <w:r w:rsidRPr="00DA4F1F">
        <w:rPr>
          <w:rFonts w:ascii="Times New Roman" w:eastAsia="Times New Roman" w:hAnsi="Times New Roman" w:cs="Times New Roman"/>
          <w:noProof/>
          <w:lang w:eastAsia="lt-LT"/>
        </w:rPr>
        <w:t xml:space="preserve">aprašyta </w:t>
      </w:r>
      <w:r w:rsidRPr="00DA4F1F">
        <w:rPr>
          <w:rFonts w:ascii="Times New Roman" w:eastAsia="Times New Roman" w:hAnsi="Times New Roman" w:cs="Times New Roman"/>
          <w:lang w:eastAsia="lt-LT"/>
        </w:rPr>
        <w:t>šiame lapelyje arba kaip nurodė gydytojas arba vaistininkas. Jeigu abejojate, kreipkitės į gydytoją arba vaistininką.</w:t>
      </w:r>
    </w:p>
    <w:p w14:paraId="6321DD8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53B8B4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iCs/>
          <w:lang w:eastAsia="lt-LT"/>
        </w:rPr>
        <w:t>Vartojimas suaugusiesiems ir 14 metų bei vyresniems paaugliams</w:t>
      </w:r>
    </w:p>
    <w:p w14:paraId="785A444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Skaudamą vietą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geliu tepkite 3-4 kartus per parą.</w:t>
      </w:r>
    </w:p>
    <w:p w14:paraId="39FB62A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04F72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Kaip vartoti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11,6 </w:t>
      </w:r>
      <w:r w:rsidRPr="00DA4F1F">
        <w:rPr>
          <w:rFonts w:ascii="Times New Roman" w:eastAsia="Times New Roman" w:hAnsi="Times New Roman" w:cs="Times New Roman"/>
          <w:b/>
          <w:lang w:eastAsia="lt-LT"/>
        </w:rPr>
        <w:t>mg/g</w:t>
      </w:r>
    </w:p>
    <w:p w14:paraId="658BC7B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1. Pirmą kartą naudojant vaistą, reikia nuimti apsauginę tūbelės membraną: atsukti ir nuimti dangtelį; išorinę dangtelio pusę pradurti, pasukti ir nuimti apsauginę membraną nuo tūbelės. </w:t>
      </w:r>
    </w:p>
    <w:p w14:paraId="3E79012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</w:t>
      </w:r>
    </w:p>
    <w:p w14:paraId="432E414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Pirmą kartą naudojant vaistą, reikia nuimti apsauginį tūbelės dangtelį: nuimti permatomą apsauginį dangtelį ir po to atsukti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Apsauginio tūbelės dangtelio nuėmimui naudoti ant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šono esantį žvaigždės formos griovelį. Prieš gelio naudojimą, užsukti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atgal ant tūbelės.</w:t>
      </w:r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slėginėje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gali būti naudojamas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apvertus dugnu aukštyn. Spauskite pompos rankenėlę tiek, kad išspaustumėte reikiamą kiekį gelio.</w:t>
      </w:r>
    </w:p>
    <w:p w14:paraId="608B5A9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205C1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2. Švelniai įtrinkite nedidelį kiekį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gelio į skaudamos arba patinusios vietos odą. </w:t>
      </w:r>
    </w:p>
    <w:p w14:paraId="3D794EB2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</w:t>
      </w:r>
    </w:p>
    <w:p w14:paraId="71CCDDE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Norint atidaryti tūbelę, reikia paprasčiausiai pasukti baltą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dalį. Švelniai spustelėti tūbelę, kad ant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paviršiaus išsispaustų gelio. Tūbelę su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naudoti vietoje savo pirštų, švelniai ir lėtai įtrinti gelį į skaudamos arba patinusios vietos odą. Nedidelis spaudimas įtrinant gelį automatiškai uždarys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.</w:t>
      </w:r>
      <w:r w:rsidRPr="00DA4F1F">
        <w:rPr>
          <w:rFonts w:ascii="Times New Roman" w:eastAsia="Times New Roman" w:hAnsi="Times New Roman" w:cs="Times New Roman"/>
          <w:lang w:eastAsia="lt-LT"/>
        </w:rPr>
        <w:t xml:space="preserve"> Kiek vaisto reikia tepti, priklauso nuo skausmo stiprumo arba patinimo laipsnio. Paprastai pakanka vyšnios ar graikinio riešuto dydžio gelio kiekio. Įtrynus gelį juntamas švelnus šaldomasis poveikis.</w:t>
      </w:r>
    </w:p>
    <w:p w14:paraId="5B6AB01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F1C72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3. </w:t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</w:t>
      </w:r>
    </w:p>
    <w:p w14:paraId="247225D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Po naudojimo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nuvalyti popieriniu rankšluosčiu ar sugeriamuoju popieriumi, kad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būtų sausas ir švarus. Neįmerkti ir neskalauti vandeniu.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paviršiaus valymui nenaudoti jokių tirpiklių ar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skalbiklių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Nuvalius uždėti permatomą apsauginį dangtelį ant tūbelės. Pakartotinai su kita tūbele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nenaudoti. Tūbelę kartu su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išmesti laikantis vaistų šalinimo reikalavimų.</w:t>
      </w:r>
    </w:p>
    <w:p w14:paraId="4A22A0E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2D841BD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1 paveikslėlis</w:t>
      </w:r>
    </w:p>
    <w:p w14:paraId="402D7B2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2BDA2B6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0D52F7FD" wp14:editId="6B9C9903">
            <wp:extent cx="967740" cy="739140"/>
            <wp:effectExtent l="0" t="0" r="3810" b="3810"/>
            <wp:docPr id="8" name="Picture 8" descr="Paveikslėlis, kuriame yra eskizas, Linijinis piešimas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aveikslėlis, kuriame yra eskizas, Linijinis piešimas, piešimas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>Nuimti permatomą apsauginį dangtelį</w:t>
      </w:r>
    </w:p>
    <w:p w14:paraId="6BC117D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69BD719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lastRenderedPageBreak/>
        <w:drawing>
          <wp:inline distT="0" distB="0" distL="0" distR="0" wp14:anchorId="023CBDC2" wp14:editId="71A707C4">
            <wp:extent cx="929640" cy="762000"/>
            <wp:effectExtent l="0" t="0" r="3810" b="0"/>
            <wp:docPr id="7" name="Picture 7" descr="Paveikslėlis, kuriame yra eskizas, Linijinis piešimas, pieš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aveikslėlis, kuriame yra eskizas, Linijinis piešimas, pieš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Atsukti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</w:p>
    <w:p w14:paraId="23BCAFD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18B18A3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47EF62A9" wp14:editId="2FE1D7D3">
            <wp:extent cx="914400" cy="739140"/>
            <wp:effectExtent l="0" t="0" r="0" b="3810"/>
            <wp:docPr id="6" name="Picture 6" descr="Paveikslėlis, kuriame yra eskizas, piešimas, Linijinis piešimas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aveikslėlis, kuriame yra eskizas, piešimas, Linijinis piešimas, anim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dangtelio užraktu nuimti žvaigždės formos apsauginį dangtelį nuo tūbelės</w:t>
      </w:r>
    </w:p>
    <w:p w14:paraId="6E11318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24A6136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77FE4E4F" wp14:editId="424EF202">
            <wp:extent cx="914400" cy="731520"/>
            <wp:effectExtent l="0" t="0" r="0" b="0"/>
            <wp:docPr id="5" name="Picture 5" descr="Paveikslėlis, kuriame yra eskizas, Linijinis piešimas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aveikslėlis, kuriame yra eskizas, Linijinis piešimas, piešimas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dangtelį užsukti atgal ant tūbelės</w:t>
      </w:r>
    </w:p>
    <w:p w14:paraId="1243774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41442B0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4A9972E8" wp14:editId="69A701BA">
            <wp:extent cx="922020" cy="739140"/>
            <wp:effectExtent l="0" t="0" r="0" b="3810"/>
            <wp:docPr id="4" name="Picture 4" descr="Paveikslėlis, kuriame yra eskizas, piešimas, Linijinis piešimas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eikslėlis, kuriame yra eskizas, piešimas, Linijinis piešimas, anim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Atidaryti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truktelint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baltą dalį</w:t>
      </w:r>
    </w:p>
    <w:p w14:paraId="6F344B0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442FBD1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778A5284" wp14:editId="51DECE49">
            <wp:extent cx="944880" cy="716280"/>
            <wp:effectExtent l="0" t="0" r="7620" b="7620"/>
            <wp:docPr id="3" name="Picture 3" descr="Paveikslėlis, kuriame yra eskizas, piešimas, dizain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veikslėlis, kuriame yra eskizas, piešimas, dizain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>Spustelti tūbelę, kad išsispaustų reikiamas gelio kiekis</w:t>
      </w:r>
    </w:p>
    <w:p w14:paraId="7676CC6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468BDD6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79F86F7C" wp14:editId="46FA35F4">
            <wp:extent cx="929640" cy="716280"/>
            <wp:effectExtent l="0" t="0" r="3810" b="7620"/>
            <wp:docPr id="2" name="Picture 2" descr="Paveikslėlis, kuriame yra eskizas, piešimas, apskrit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eskizas, piešimas, apskrit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>Tepti ant odos, dangtelis užsidarys tepant</w:t>
      </w:r>
    </w:p>
    <w:p w14:paraId="7EB9F14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3E699BA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23765F2C" wp14:editId="07F4B560">
            <wp:extent cx="914400" cy="731520"/>
            <wp:effectExtent l="0" t="0" r="0" b="0"/>
            <wp:docPr id="1" name="Picture 1" descr="Paveikslėlis, kuriame yra eskizas, Linijinis piešimas, pieš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Linijinis piešimas, pieš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Po naudojimo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nuvalyti popieriniu rankšluosčiu ar sugeriamuoju popieriumi, kad </w:t>
      </w:r>
      <w:proofErr w:type="spellStart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>aplikatorius</w:t>
      </w:r>
      <w:proofErr w:type="spellEnd"/>
      <w:r w:rsidRPr="00DA4F1F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būtų sausas ir švarus</w:t>
      </w:r>
    </w:p>
    <w:p w14:paraId="74859A3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4479A7BD" w14:textId="77777777" w:rsidR="00DA4F1F" w:rsidRPr="00DA4F1F" w:rsidRDefault="00DA4F1F" w:rsidP="00DA4F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galima vartoti tik ant odos. </w:t>
      </w:r>
    </w:p>
    <w:p w14:paraId="0A24D86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8E999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Gelis plonai tepamas ant gydomų kūno vietų ir švelniai įtrinamas į odą.</w:t>
      </w:r>
    </w:p>
    <w:p w14:paraId="73A8370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55338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Pasitepus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mg/g:</w:t>
      </w:r>
    </w:p>
    <w:p w14:paraId="3AA6D6A0" w14:textId="77777777" w:rsidR="00DA4F1F" w:rsidRPr="00DA4F1F" w:rsidRDefault="00DA4F1F" w:rsidP="00DA4F1F">
      <w:pPr>
        <w:pStyle w:val="Sraopastraipa"/>
        <w:numPr>
          <w:ilvl w:val="0"/>
          <w:numId w:val="1"/>
        </w:numPr>
        <w:tabs>
          <w:tab w:val="clear" w:pos="900"/>
          <w:tab w:val="num" w:pos="36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A4F1F">
        <w:rPr>
          <w:rFonts w:ascii="Times New Roman" w:hAnsi="Times New Roman" w:cs="Times New Roman"/>
        </w:rPr>
        <w:t>Rankas reikia nusišluostyti popieriniu rankšluosčiu ir nusiplauti, nebent rankos yra gydoma sritis. Popierinį rankšluostį reikia išmesti į buitines atliekas, kad nepanaudotas  vaistas nepatektų į vandens aplinką.</w:t>
      </w:r>
    </w:p>
    <w:p w14:paraId="2D849962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lastRenderedPageBreak/>
        <w:t xml:space="preserve">Prieš prausimąsi duše ar vonioje, palaukite, kol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 gelis išdžius.</w:t>
      </w:r>
    </w:p>
    <w:p w14:paraId="52FD1599" w14:textId="77777777" w:rsidR="00DA4F1F" w:rsidRPr="00DA4F1F" w:rsidRDefault="00DA4F1F" w:rsidP="00DA4F1F">
      <w:pPr>
        <w:pStyle w:val="Sraopastraipa"/>
        <w:numPr>
          <w:ilvl w:val="0"/>
          <w:numId w:val="1"/>
        </w:numPr>
        <w:tabs>
          <w:tab w:val="left" w:pos="540"/>
        </w:tabs>
        <w:spacing w:after="0" w:line="240" w:lineRule="auto"/>
        <w:ind w:hanging="900"/>
        <w:rPr>
          <w:rFonts w:ascii="Times New Roman" w:hAnsi="Times New Roman" w:cs="Times New Roman"/>
        </w:rPr>
      </w:pPr>
      <w:r w:rsidRPr="00DA4F1F">
        <w:rPr>
          <w:rFonts w:ascii="Times New Roman" w:hAnsi="Times New Roman" w:cs="Times New Roman"/>
        </w:rPr>
        <w:t>Prieš dedant tvarstį, gelį reikia palikti ant odos kelioms minutėms išdžiūti.</w:t>
      </w:r>
    </w:p>
    <w:p w14:paraId="523275F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E5117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u w:val="single"/>
          <w:lang w:eastAsia="lt-LT"/>
        </w:rPr>
        <w:t xml:space="preserve">Nenaudokite </w:t>
      </w:r>
      <w:proofErr w:type="spellStart"/>
      <w:r w:rsidRPr="00DA4F1F">
        <w:rPr>
          <w:rFonts w:ascii="Times New Roman" w:eastAsia="Times New Roman" w:hAnsi="Times New Roman" w:cs="Times New Roman"/>
          <w:u w:val="single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u w:val="single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u w:val="single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u w:val="single"/>
          <w:lang w:eastAsia="lt-LT"/>
        </w:rPr>
        <w:t xml:space="preserve"> 11,6 mg/g ilgiau kaip</w:t>
      </w:r>
      <w:r w:rsidRPr="00DA4F1F">
        <w:rPr>
          <w:rFonts w:ascii="Times New Roman" w:eastAsia="Times New Roman" w:hAnsi="Times New Roman" w:cs="Times New Roman"/>
          <w:lang w:eastAsia="lt-LT"/>
        </w:rPr>
        <w:t>:</w:t>
      </w:r>
    </w:p>
    <w:p w14:paraId="12DD23E2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B65A8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i/>
          <w:iCs/>
          <w:lang w:eastAsia="lt-LT"/>
        </w:rPr>
        <w:t>Suaugusiesiems, 14 metų bei vyresniems paaugliams</w:t>
      </w:r>
    </w:p>
    <w:p w14:paraId="16BD0867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2 savaites nuo raumenų ir sąnarių sužalojimų (pvz., patempimo, išnirimo, sumušimo).</w:t>
      </w:r>
    </w:p>
    <w:p w14:paraId="6CF812D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F7772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A4F1F">
        <w:rPr>
          <w:rFonts w:ascii="Times New Roman" w:eastAsia="Times New Roman" w:hAnsi="Times New Roman" w:cs="Times New Roman"/>
          <w:i/>
          <w:iCs/>
          <w:lang w:eastAsia="lt-LT"/>
        </w:rPr>
        <w:t>Tik suaugusiesiems (18 metų ir vyresniems)</w:t>
      </w:r>
    </w:p>
    <w:p w14:paraId="47A30416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3 savaites nuo sausgyslių uždegimo.</w:t>
      </w:r>
    </w:p>
    <w:p w14:paraId="53E08F9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083C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Gydytojas gali rekomenduoti ilgesnį gydymo laikotarpį.</w:t>
      </w:r>
    </w:p>
    <w:p w14:paraId="6DFBEB1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 per 7 vaisto vartojimo dienas simptomai nesusilpnėja arba labiau sustiprėja, kreipkitės į gydytoją.</w:t>
      </w:r>
    </w:p>
    <w:p w14:paraId="7476B8F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lt-LT"/>
        </w:rPr>
      </w:pPr>
    </w:p>
    <w:p w14:paraId="09A3571E" w14:textId="77777777" w:rsidR="00DA4F1F" w:rsidRPr="00DA4F1F" w:rsidRDefault="00DA4F1F" w:rsidP="00DA4F1F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DA4F1F">
        <w:rPr>
          <w:rFonts w:ascii="Times New Roman" w:eastAsia="SimSun" w:hAnsi="Times New Roman" w:cs="Times New Roman"/>
          <w:b/>
        </w:rPr>
        <w:t xml:space="preserve">Ką daryti pavartojus per didelę </w:t>
      </w:r>
      <w:proofErr w:type="spellStart"/>
      <w:r w:rsidRPr="00DA4F1F">
        <w:rPr>
          <w:rFonts w:ascii="Times New Roman" w:eastAsia="SimSun" w:hAnsi="Times New Roman" w:cs="Times New Roman"/>
          <w:b/>
        </w:rPr>
        <w:t>Voltaren</w:t>
      </w:r>
      <w:proofErr w:type="spellEnd"/>
      <w:r w:rsidRPr="00DA4F1F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DA4F1F">
        <w:rPr>
          <w:rFonts w:ascii="Times New Roman" w:eastAsia="SimSun" w:hAnsi="Times New Roman" w:cs="Times New Roman"/>
          <w:b/>
        </w:rPr>
        <w:t>Emulgel</w:t>
      </w:r>
      <w:proofErr w:type="spellEnd"/>
      <w:r w:rsidRPr="00DA4F1F">
        <w:rPr>
          <w:rFonts w:ascii="Times New Roman" w:eastAsia="SimSun" w:hAnsi="Times New Roman" w:cs="Times New Roman"/>
          <w:b/>
        </w:rPr>
        <w:t xml:space="preserve"> 11,6 mg/g dozę</w:t>
      </w:r>
    </w:p>
    <w:p w14:paraId="5A51DCF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 netyčia užtepama per daug gelio, jo perteklių reikia nuvalyti popieriniu rankšluosčiu.</w:t>
      </w:r>
    </w:p>
    <w:p w14:paraId="119692A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Popierinį rankšluostį reikia išmesti į buitines atliekas, kad nepanaudotas vaistas nepatektų į vandens aplinką.</w:t>
      </w:r>
    </w:p>
    <w:p w14:paraId="5884B68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5A68A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Jeigu Jūs nurijote šio vaisto, nedelsdami kreipkitės į gydytoją.</w:t>
      </w:r>
    </w:p>
    <w:p w14:paraId="056D96D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FF37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</w:t>
      </w:r>
    </w:p>
    <w:p w14:paraId="286D169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Jeigu reikiamu laiku pamiršote pasitepti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mg/g, padarykite tai, kai tik prisiminsite. Toliau vartokite įprasta tvarka.</w:t>
      </w:r>
    </w:p>
    <w:p w14:paraId="7C09902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14:paraId="15ECF3F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5796CE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41413B65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E90745E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CD42D2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4.</w:t>
      </w:r>
      <w:r w:rsidRPr="00DA4F1F">
        <w:rPr>
          <w:rFonts w:ascii="Times New Roman" w:eastAsia="Times New Roman" w:hAnsi="Times New Roman" w:cs="Times New Roman"/>
          <w:b/>
          <w:bCs/>
        </w:rPr>
        <w:tab/>
        <w:t>Galimas šalutinis poveikis</w:t>
      </w:r>
    </w:p>
    <w:p w14:paraId="0B8931C2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9468D2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2A31646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9A38E0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Cs/>
          <w:lang w:eastAsia="lt-LT"/>
        </w:rPr>
        <w:t>Kai kurie reti ar labai reti šalutiniai poveikiai gali būti rimti.</w:t>
      </w:r>
    </w:p>
    <w:p w14:paraId="58849AC0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231AC7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Jeigu Jums pasireiškė bet kokie iš toliau išvardintų reiškinių, nedelsiant nutraukite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vartojimą ir kreipkitės į gydytoją arba vaistininką:</w:t>
      </w:r>
    </w:p>
    <w:p w14:paraId="76B31119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atsiranda odos išbėrimas su pūslėmis arba be; dilgėlinė (gali pasireikšti nuo 1 iki 10 iš 10 000 žmonių);</w:t>
      </w:r>
    </w:p>
    <w:p w14:paraId="4EA3D641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atsiranda dusulys, pasunkėja kvėpavimas arba jaučiamas sunkumas krūtinėje (astma) (gali pasireikšti mažiau kaip 1 žmogui iš 10 000);</w:t>
      </w:r>
    </w:p>
    <w:p w14:paraId="7E5F6449" w14:textId="77777777" w:rsidR="00DA4F1F" w:rsidRPr="00DA4F1F" w:rsidRDefault="00DA4F1F" w:rsidP="00DA4F1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patinsta veidas, lūpos, liežuvis arba gerklė (gali pasireikšti mažiau kaip 1 iš 10 000 žmonių).</w:t>
      </w:r>
    </w:p>
    <w:p w14:paraId="2C973B3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C72F4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Kiti galimi šalutinio poveikio sukeliami reiškiniai paprastai būna lengvi, trumpalaikiai ir nežalingi. Jeigu dėl jų nerimaujate, nedelsiant pasakykite gydytojui arba vaistininkui.</w:t>
      </w:r>
    </w:p>
    <w:p w14:paraId="346E8F0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1517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664F00DE" w14:textId="77777777" w:rsidR="00DA4F1F" w:rsidRPr="00DA4F1F" w:rsidRDefault="00DA4F1F" w:rsidP="00DA4F1F">
      <w:pPr>
        <w:tabs>
          <w:tab w:val="num" w:pos="567"/>
          <w:tab w:val="num" w:pos="720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A4F1F">
        <w:rPr>
          <w:rFonts w:ascii="Times New Roman" w:eastAsia="Times New Roman" w:hAnsi="Times New Roman" w:cs="Times New Roman"/>
          <w:noProof/>
        </w:rPr>
        <w:t>Odos išbėrimas, niežulys, paraudimas.</w:t>
      </w:r>
    </w:p>
    <w:p w14:paraId="7FE13F2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40BAB1" w14:textId="77777777" w:rsidR="00DA4F1F" w:rsidRPr="00DA4F1F" w:rsidRDefault="00DA4F1F" w:rsidP="00DA4F1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 w:rsidRPr="00DA4F1F">
        <w:rPr>
          <w:rFonts w:ascii="Times New Roman" w:eastAsia="Times New Roman" w:hAnsi="Times New Roman" w:cs="Times New Roman"/>
          <w:b/>
          <w:iCs/>
          <w:lang w:eastAsia="lt-LT"/>
        </w:rPr>
        <w:t>):</w:t>
      </w:r>
    </w:p>
    <w:p w14:paraId="71471E7F" w14:textId="77777777" w:rsidR="00DA4F1F" w:rsidRPr="00DA4F1F" w:rsidRDefault="00DA4F1F" w:rsidP="00DA4F1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lastRenderedPageBreak/>
        <w:t>Padidėjęs odos jautrumas saulės šviesai. Tokio poveikio požymiai yra nudegimas, lydimas niežėjimo, patinimo ir pūslių atsiradimu.</w:t>
      </w:r>
    </w:p>
    <w:p w14:paraId="5069D44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00FE5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14:paraId="4C2AD81A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Deginimo pojūtis vartojimo vietoje, sausa oda.</w:t>
      </w:r>
    </w:p>
    <w:p w14:paraId="22B13EA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BC708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A4F1F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4C35637A" w14:textId="77777777" w:rsidR="00DA4F1F" w:rsidRPr="00DA4F1F" w:rsidRDefault="00DA4F1F" w:rsidP="00DA4F1F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DA4F1F">
        <w:rPr>
          <w:rFonts w:ascii="Times New Roman" w:eastAsia="Times New Roman" w:hAnsi="Times New Roman" w:cs="Times New Roman"/>
          <w:snapToGrid w:val="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14:paraId="37360BE6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734275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5.</w:t>
      </w:r>
      <w:r w:rsidRPr="00DA4F1F">
        <w:rPr>
          <w:rFonts w:ascii="Times New Roman" w:eastAsia="Times New Roman" w:hAnsi="Times New Roman" w:cs="Times New Roman"/>
          <w:b/>
          <w:bCs/>
        </w:rPr>
        <w:tab/>
        <w:t xml:space="preserve">Kaip laikyti </w:t>
      </w:r>
      <w:proofErr w:type="spellStart"/>
      <w:r w:rsidRPr="00DA4F1F">
        <w:rPr>
          <w:rFonts w:ascii="Times New Roman" w:eastAsia="SimSun" w:hAnsi="Times New Roman" w:cs="Times New Roman"/>
          <w:b/>
          <w:bCs/>
        </w:rPr>
        <w:t>Voltaren</w:t>
      </w:r>
      <w:proofErr w:type="spellEnd"/>
      <w:r w:rsidRPr="00DA4F1F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DA4F1F">
        <w:rPr>
          <w:rFonts w:ascii="Times New Roman" w:eastAsia="SimSun" w:hAnsi="Times New Roman" w:cs="Times New Roman"/>
          <w:b/>
          <w:bCs/>
        </w:rPr>
        <w:t>Emulgel</w:t>
      </w:r>
      <w:proofErr w:type="spellEnd"/>
      <w:r w:rsidRPr="00DA4F1F">
        <w:rPr>
          <w:rFonts w:ascii="Times New Roman" w:eastAsia="SimSun" w:hAnsi="Times New Roman" w:cs="Times New Roman"/>
          <w:b/>
          <w:bCs/>
        </w:rPr>
        <w:t xml:space="preserve"> 11,6 </w:t>
      </w:r>
      <w:r w:rsidRPr="00DA4F1F">
        <w:rPr>
          <w:rFonts w:ascii="Times New Roman" w:eastAsia="Times New Roman" w:hAnsi="Times New Roman" w:cs="Times New Roman"/>
          <w:b/>
          <w:bCs/>
        </w:rPr>
        <w:t>mg/g</w:t>
      </w:r>
    </w:p>
    <w:p w14:paraId="73C95C6A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EEB4D8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74096FEE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2917F965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Laikyti ne aukštesnėje kaip 25 °C temperatūroje.</w:t>
      </w:r>
    </w:p>
    <w:p w14:paraId="17C75BF4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561F6553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Ant dėžutės, tūbelės ar slėginės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talpyklės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po „Tinka iki“ nurodytam tinkamumo laikui pasibaigus, šio vaisto vartoti negalima. Vaistas tinkamas vartoti iki paskutinės nurodyto mėnesio dienos.</w:t>
      </w:r>
    </w:p>
    <w:p w14:paraId="0D7EF826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5B0278DC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Slėginę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reikia saugoti nuo tiesioginių saulės spindulių. Tuščios nedeginti ir nepradurti.</w:t>
      </w:r>
    </w:p>
    <w:p w14:paraId="08E36C76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17C4AAD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6EDB720A" w14:textId="77777777" w:rsidR="00DA4F1F" w:rsidRPr="00DA4F1F" w:rsidRDefault="00DA4F1F" w:rsidP="00DA4F1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73B2EBB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09652F" w14:textId="77777777" w:rsidR="00DA4F1F" w:rsidRPr="00DA4F1F" w:rsidRDefault="00DA4F1F" w:rsidP="00DA4F1F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DA4F1F">
        <w:rPr>
          <w:rFonts w:ascii="Times New Roman" w:eastAsia="Times New Roman" w:hAnsi="Times New Roman" w:cs="Times New Roman"/>
          <w:b/>
          <w:bCs/>
        </w:rPr>
        <w:t>6.</w:t>
      </w:r>
      <w:r w:rsidRPr="00DA4F1F">
        <w:rPr>
          <w:rFonts w:ascii="Times New Roman" w:eastAsia="Times New Roman" w:hAnsi="Times New Roman" w:cs="Times New Roman"/>
          <w:b/>
          <w:bCs/>
        </w:rPr>
        <w:tab/>
        <w:t>Pakuotės turinys ir kita informacija</w:t>
      </w:r>
    </w:p>
    <w:p w14:paraId="2D7B7B3D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33B1B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DA4F1F">
        <w:rPr>
          <w:rFonts w:ascii="Times New Roman" w:eastAsia="Times New Roman" w:hAnsi="Times New Roman" w:cs="Times New Roman"/>
          <w:b/>
          <w:lang w:eastAsia="lt-LT"/>
        </w:rPr>
        <w:t xml:space="preserve">11,6 mg/g </w:t>
      </w: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sudėtis</w:t>
      </w:r>
    </w:p>
    <w:p w14:paraId="5B35C28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747110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-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. Viename grame gelio yra 11,6 mg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dietilamino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kuris atitinka 10 mg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natrio druskos. </w:t>
      </w:r>
    </w:p>
    <w:p w14:paraId="6622393E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-</w:t>
      </w:r>
      <w:r w:rsidRPr="00DA4F1F">
        <w:rPr>
          <w:rFonts w:ascii="Times New Roman" w:eastAsia="Times New Roman" w:hAnsi="Times New Roman" w:cs="Times New Roman"/>
          <w:lang w:eastAsia="lt-LT"/>
        </w:rPr>
        <w:tab/>
        <w:t xml:space="preserve">Pagalbinės medžiagos: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karbomeras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makrogolio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cetosterilo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eteris,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kokoilo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kaprilokapratas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izopropilo alkoholis,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skystasis parafinas, kvapusis kremas 45 (sudėtyje yra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benzoato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alkoholio,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citralio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citronelolio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>, kumarino, d-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limoneno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eugenolio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farnezolio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geraniolio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linalolio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>), išgrynintas vanduo.</w:t>
      </w:r>
    </w:p>
    <w:p w14:paraId="49FAF5D6" w14:textId="77777777" w:rsidR="00DA4F1F" w:rsidRPr="00DA4F1F" w:rsidRDefault="00DA4F1F" w:rsidP="00DA4F1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BB5E550" w14:textId="77777777" w:rsidR="00DA4F1F" w:rsidRPr="00DA4F1F" w:rsidRDefault="00DA4F1F" w:rsidP="00DA4F1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b/>
          <w:bCs/>
        </w:rPr>
        <w:t xml:space="preserve"> 11,6 mg/g išvaizda ir kiekis pakuotėje</w:t>
      </w:r>
    </w:p>
    <w:p w14:paraId="4C2B0E58" w14:textId="77777777" w:rsidR="00DA4F1F" w:rsidRPr="00DA4F1F" w:rsidRDefault="00DA4F1F" w:rsidP="00DA4F1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2AD22F78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11,6 mg/g</w:t>
      </w:r>
      <w:r w:rsidRPr="00DA4F1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DA4F1F">
        <w:rPr>
          <w:rFonts w:ascii="Times New Roman" w:eastAsia="Times New Roman" w:hAnsi="Times New Roman" w:cs="Times New Roman"/>
          <w:lang w:eastAsia="lt-LT"/>
        </w:rPr>
        <w:t>yra baltos arba beveik baltos spalvos, minkštas, homogeniškas, kreminis</w:t>
      </w:r>
    </w:p>
    <w:p w14:paraId="5C73DED7" w14:textId="77777777" w:rsidR="00DA4F1F" w:rsidRPr="00DA4F1F" w:rsidRDefault="00DA4F1F" w:rsidP="00DA4F1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gelis.</w:t>
      </w:r>
    </w:p>
    <w:p w14:paraId="6438CC8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Pakuotėje yra 20 g, 50 g, 75 g arba 100 g gelio. Slėginėje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yra 50 ml, 75 ml arba 100 ml gelio.</w:t>
      </w:r>
    </w:p>
    <w:p w14:paraId="720C0D0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5C63D0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1A6E0B1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AAC33BF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Registruotojas ir gamintojas</w:t>
      </w:r>
    </w:p>
    <w:p w14:paraId="0B49D752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AD6095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Registruotojas:</w:t>
      </w:r>
    </w:p>
    <w:p w14:paraId="7031B41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lastRenderedPageBreak/>
        <w:t>Haleon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Hungary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Kft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3DD77E06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 xml:space="preserve">1124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Budapest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Csörsz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A4F1F">
        <w:rPr>
          <w:rFonts w:ascii="Times New Roman" w:eastAsia="Times New Roman" w:hAnsi="Times New Roman" w:cs="Times New Roman"/>
          <w:lang w:eastAsia="lt-LT"/>
        </w:rPr>
        <w:t>utca</w:t>
      </w:r>
      <w:proofErr w:type="spellEnd"/>
      <w:r w:rsidRPr="00DA4F1F">
        <w:rPr>
          <w:rFonts w:ascii="Times New Roman" w:eastAsia="Times New Roman" w:hAnsi="Times New Roman" w:cs="Times New Roman"/>
          <w:lang w:eastAsia="lt-LT"/>
        </w:rPr>
        <w:t xml:space="preserve"> 43</w:t>
      </w:r>
    </w:p>
    <w:p w14:paraId="0F0A7CBB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Vengrija</w:t>
      </w:r>
      <w:r w:rsidRPr="00DA4F1F">
        <w:rPr>
          <w:rFonts w:ascii="Times New Roman" w:eastAsia="Times New Roman" w:hAnsi="Times New Roman" w:cs="Times New Roman"/>
          <w:lang w:eastAsia="lt-LT"/>
        </w:rPr>
        <w:br/>
      </w:r>
    </w:p>
    <w:p w14:paraId="205FCF8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A4F1F">
        <w:rPr>
          <w:rFonts w:ascii="Times New Roman" w:eastAsia="Times New Roman" w:hAnsi="Times New Roman" w:cs="Times New Roman"/>
          <w:b/>
          <w:bCs/>
          <w:lang w:eastAsia="lt-LT"/>
        </w:rPr>
        <w:t>Gamintojas:</w:t>
      </w:r>
    </w:p>
    <w:p w14:paraId="16A92D5C" w14:textId="77777777" w:rsidR="00DA4F1F" w:rsidRPr="00DA4F1F" w:rsidRDefault="00DA4F1F" w:rsidP="00DA4F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DA4F1F">
        <w:rPr>
          <w:rFonts w:ascii="Times New Roman" w:eastAsia="Calibri" w:hAnsi="Times New Roman" w:cs="Times New Roman"/>
        </w:rPr>
        <w:t>Haleon</w:t>
      </w:r>
      <w:proofErr w:type="spellEnd"/>
      <w:r w:rsidRPr="00DA4F1F">
        <w:rPr>
          <w:rFonts w:ascii="Times New Roman" w:eastAsia="Calibri" w:hAnsi="Times New Roman" w:cs="Times New Roman"/>
        </w:rPr>
        <w:t xml:space="preserve"> Germany </w:t>
      </w:r>
      <w:proofErr w:type="spellStart"/>
      <w:r w:rsidRPr="00DA4F1F">
        <w:rPr>
          <w:rFonts w:ascii="Times New Roman" w:eastAsia="Calibri" w:hAnsi="Times New Roman" w:cs="Times New Roman"/>
        </w:rPr>
        <w:t>GmbH</w:t>
      </w:r>
      <w:proofErr w:type="spellEnd"/>
    </w:p>
    <w:p w14:paraId="733DE88D" w14:textId="77777777" w:rsidR="00DA4F1F" w:rsidRPr="00DA4F1F" w:rsidRDefault="00DA4F1F" w:rsidP="00DA4F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DA4F1F">
        <w:rPr>
          <w:rFonts w:ascii="Times New Roman" w:eastAsia="Calibri" w:hAnsi="Times New Roman" w:cs="Times New Roman"/>
        </w:rPr>
        <w:t>Barthstraße</w:t>
      </w:r>
      <w:proofErr w:type="spellEnd"/>
      <w:r w:rsidRPr="00DA4F1F">
        <w:rPr>
          <w:rFonts w:ascii="Times New Roman" w:eastAsia="Calibri" w:hAnsi="Times New Roman" w:cs="Times New Roman"/>
        </w:rPr>
        <w:t xml:space="preserve"> 4</w:t>
      </w:r>
    </w:p>
    <w:p w14:paraId="290F6A07" w14:textId="77777777" w:rsidR="00DA4F1F" w:rsidRPr="00DA4F1F" w:rsidRDefault="00DA4F1F" w:rsidP="00DA4F1F">
      <w:pPr>
        <w:spacing w:after="0" w:line="240" w:lineRule="auto"/>
        <w:rPr>
          <w:rFonts w:ascii="Times New Roman" w:eastAsia="Calibri" w:hAnsi="Times New Roman" w:cs="Times New Roman"/>
        </w:rPr>
      </w:pPr>
      <w:r w:rsidRPr="00DA4F1F">
        <w:rPr>
          <w:rFonts w:ascii="Times New Roman" w:eastAsia="Calibri" w:hAnsi="Times New Roman" w:cs="Times New Roman"/>
        </w:rPr>
        <w:t xml:space="preserve">80339 </w:t>
      </w:r>
      <w:proofErr w:type="spellStart"/>
      <w:r w:rsidRPr="00DA4F1F">
        <w:rPr>
          <w:rFonts w:ascii="Times New Roman" w:eastAsia="Calibri" w:hAnsi="Times New Roman" w:cs="Times New Roman"/>
        </w:rPr>
        <w:t>München</w:t>
      </w:r>
      <w:proofErr w:type="spellEnd"/>
      <w:r w:rsidRPr="00DA4F1F">
        <w:rPr>
          <w:rFonts w:ascii="Times New Roman" w:eastAsia="Calibri" w:hAnsi="Times New Roman" w:cs="Times New Roman"/>
        </w:rPr>
        <w:t xml:space="preserve"> </w:t>
      </w:r>
    </w:p>
    <w:p w14:paraId="4F634B4F" w14:textId="77777777" w:rsidR="00DA4F1F" w:rsidRPr="00DA4F1F" w:rsidRDefault="00DA4F1F" w:rsidP="00DA4F1F">
      <w:pPr>
        <w:spacing w:after="0" w:line="240" w:lineRule="auto"/>
        <w:rPr>
          <w:rFonts w:ascii="Times New Roman" w:eastAsia="Calibri" w:hAnsi="Times New Roman" w:cs="Times New Roman"/>
        </w:rPr>
      </w:pPr>
      <w:r w:rsidRPr="00DA4F1F">
        <w:rPr>
          <w:rFonts w:ascii="Times New Roman" w:eastAsia="Calibri" w:hAnsi="Times New Roman" w:cs="Times New Roman"/>
        </w:rPr>
        <w:t>Vokietija</w:t>
      </w:r>
    </w:p>
    <w:p w14:paraId="2F4CFB74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575E3E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A4F1F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 2025-12-12.</w:t>
      </w:r>
    </w:p>
    <w:p w14:paraId="2DC746D8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F58989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A4F1F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DA4F1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DA4F1F">
        <w:rPr>
          <w:rFonts w:ascii="Times New Roman" w:eastAsia="Times New Roman" w:hAnsi="Times New Roman" w:cs="Times New Roman"/>
          <w:noProof/>
          <w:lang w:eastAsia="lt-LT"/>
        </w:rPr>
        <w:t xml:space="preserve">https://vvkt.lrv.lt/lt/. </w:t>
      </w:r>
    </w:p>
    <w:p w14:paraId="76AA2807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CE9DE2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8BE55C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EAB071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7FDDD5" w14:textId="77777777" w:rsidR="00DA4F1F" w:rsidRPr="00DA4F1F" w:rsidRDefault="00DA4F1F" w:rsidP="00DA4F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6DF4BE" w14:textId="77777777" w:rsidR="00DA4F1F" w:rsidRPr="00DA4F1F" w:rsidRDefault="00DA4F1F" w:rsidP="00DA4F1F">
      <w:pPr>
        <w:rPr>
          <w:rFonts w:ascii="Times New Roman" w:hAnsi="Times New Roman" w:cs="Times New Roman"/>
        </w:rPr>
      </w:pPr>
    </w:p>
    <w:p w14:paraId="71C76842" w14:textId="77777777" w:rsidR="00222FED" w:rsidRPr="00DA4F1F" w:rsidRDefault="00222FED">
      <w:pPr>
        <w:rPr>
          <w:rFonts w:ascii="Times New Roman" w:hAnsi="Times New Roman" w:cs="Times New Roman"/>
        </w:rPr>
      </w:pPr>
    </w:p>
    <w:sectPr w:rsidR="00222FED" w:rsidRPr="00DA4F1F" w:rsidSect="00DA4F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DA59" w14:textId="77777777" w:rsidR="00DA4F1F" w:rsidRDefault="00DA4F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759171"/>
      <w:docPartObj>
        <w:docPartGallery w:val="Page Numbers (Bottom of Page)"/>
        <w:docPartUnique/>
      </w:docPartObj>
    </w:sdtPr>
    <w:sdtContent>
      <w:p w14:paraId="734E77B3" w14:textId="77777777" w:rsidR="00DA4F1F" w:rsidRDefault="00DA4F1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53005F" w14:textId="77777777" w:rsidR="00DA4F1F" w:rsidRDefault="00DA4F1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A701" w14:textId="77777777" w:rsidR="00DA4F1F" w:rsidRDefault="00DA4F1F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7287" w14:textId="77777777" w:rsidR="00DA4F1F" w:rsidRDefault="00DA4F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2A32" w14:textId="77777777" w:rsidR="00DA4F1F" w:rsidRDefault="00DA4F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822B" w14:textId="77777777" w:rsidR="00DA4F1F" w:rsidRDefault="00DA4F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2904"/>
    <w:multiLevelType w:val="hybridMultilevel"/>
    <w:tmpl w:val="6B344A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668"/>
    <w:multiLevelType w:val="hybridMultilevel"/>
    <w:tmpl w:val="FE1043A4"/>
    <w:lvl w:ilvl="0" w:tplc="46C42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A0EA8"/>
    <w:multiLevelType w:val="hybridMultilevel"/>
    <w:tmpl w:val="FC1EC00E"/>
    <w:lvl w:ilvl="0" w:tplc="040EF1E8">
      <w:start w:val="2"/>
      <w:numFmt w:val="bullet"/>
      <w:lvlText w:val="-"/>
      <w:lvlJc w:val="left"/>
      <w:pPr>
        <w:ind w:left="720" w:hanging="360"/>
      </w:pPr>
      <w:rPr>
        <w:rFonts w:ascii="Arial" w:eastAsia="Monotype Corsiv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21960">
    <w:abstractNumId w:val="1"/>
  </w:num>
  <w:num w:numId="2" w16cid:durableId="1472018150">
    <w:abstractNumId w:val="2"/>
  </w:num>
  <w:num w:numId="3" w16cid:durableId="1294025365">
    <w:abstractNumId w:val="0"/>
  </w:num>
  <w:num w:numId="4" w16cid:durableId="194453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1F"/>
    <w:rsid w:val="002229B8"/>
    <w:rsid w:val="00222FED"/>
    <w:rsid w:val="005F173E"/>
    <w:rsid w:val="008B3AD4"/>
    <w:rsid w:val="00984A0A"/>
    <w:rsid w:val="00D047C4"/>
    <w:rsid w:val="00DA4F1F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0E"/>
  <w15:chartTrackingRefBased/>
  <w15:docId w15:val="{3D6C5E1B-56E5-4943-B877-12B48D71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4F1F"/>
    <w:pPr>
      <w:spacing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4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4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4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4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4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4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4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4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4F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4F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4F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4F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4F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4F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4F1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4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4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4F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4F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4F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4F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4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4F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4F1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A4F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A4F1F"/>
    <w:rPr>
      <w:rFonts w:eastAsia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4F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A4F1F"/>
    <w:rPr>
      <w:rFonts w:eastAsia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8871</Words>
  <Characters>5057</Characters>
  <Application>Microsoft Office Word</Application>
  <DocSecurity>0</DocSecurity>
  <Lines>42</Lines>
  <Paragraphs>27</Paragraphs>
  <ScaleCrop>false</ScaleCrop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2025-12-15T12:58:00Z</dcterms:created>
  <dcterms:modified xsi:type="dcterms:W3CDTF">2025-12-15T12:59:00Z</dcterms:modified>
</cp:coreProperties>
</file>