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979" w:rsidRPr="004873B0" w:rsidRDefault="00255979" w:rsidP="00633D05">
      <w:pPr>
        <w:rPr>
          <w:sz w:val="22"/>
          <w:szCs w:val="22"/>
        </w:rPr>
      </w:pPr>
    </w:p>
    <w:p w:rsidR="00255979" w:rsidRPr="004873B0" w:rsidRDefault="00255979" w:rsidP="00633D05">
      <w:pPr>
        <w:rPr>
          <w:sz w:val="22"/>
          <w:szCs w:val="22"/>
        </w:rPr>
      </w:pPr>
    </w:p>
    <w:p w:rsidR="00255979" w:rsidRPr="004873B0" w:rsidRDefault="00255979" w:rsidP="00633D05">
      <w:pPr>
        <w:rPr>
          <w:sz w:val="22"/>
          <w:szCs w:val="22"/>
        </w:rPr>
      </w:pPr>
    </w:p>
    <w:p w:rsidR="00255979" w:rsidRPr="004873B0" w:rsidRDefault="00255979" w:rsidP="00633D05">
      <w:pPr>
        <w:rPr>
          <w:sz w:val="22"/>
          <w:szCs w:val="22"/>
        </w:rPr>
      </w:pPr>
    </w:p>
    <w:p w:rsidR="00255979" w:rsidRPr="004873B0" w:rsidRDefault="00255979" w:rsidP="00633D05">
      <w:pPr>
        <w:rPr>
          <w:sz w:val="22"/>
          <w:szCs w:val="22"/>
        </w:rPr>
      </w:pPr>
    </w:p>
    <w:p w:rsidR="00255979" w:rsidRPr="004873B0" w:rsidRDefault="00255979" w:rsidP="00633D05">
      <w:pPr>
        <w:rPr>
          <w:sz w:val="22"/>
          <w:szCs w:val="22"/>
        </w:rPr>
      </w:pPr>
    </w:p>
    <w:p w:rsidR="00255979" w:rsidRPr="004873B0" w:rsidRDefault="00255979" w:rsidP="00633D05">
      <w:pPr>
        <w:rPr>
          <w:sz w:val="22"/>
          <w:szCs w:val="22"/>
        </w:rPr>
      </w:pPr>
    </w:p>
    <w:p w:rsidR="00255979" w:rsidRPr="004873B0" w:rsidRDefault="00255979" w:rsidP="00633D05">
      <w:pPr>
        <w:rPr>
          <w:sz w:val="22"/>
          <w:szCs w:val="22"/>
        </w:rPr>
      </w:pPr>
    </w:p>
    <w:p w:rsidR="00255979" w:rsidRPr="004873B0" w:rsidRDefault="00255979" w:rsidP="00633D05">
      <w:pPr>
        <w:rPr>
          <w:sz w:val="22"/>
          <w:szCs w:val="22"/>
        </w:rPr>
      </w:pPr>
    </w:p>
    <w:p w:rsidR="00255979" w:rsidRPr="004873B0" w:rsidRDefault="00255979" w:rsidP="00633D05">
      <w:pPr>
        <w:rPr>
          <w:sz w:val="22"/>
          <w:szCs w:val="22"/>
        </w:rPr>
      </w:pPr>
    </w:p>
    <w:p w:rsidR="00255979" w:rsidRPr="004873B0" w:rsidRDefault="00255979" w:rsidP="00633D05">
      <w:pPr>
        <w:pStyle w:val="BTEMEASMCA"/>
        <w:rPr>
          <w:noProof w:val="0"/>
          <w:szCs w:val="22"/>
        </w:rPr>
      </w:pPr>
    </w:p>
    <w:p w:rsidR="00255979" w:rsidRPr="004873B0" w:rsidRDefault="00255979" w:rsidP="00633D05">
      <w:pPr>
        <w:pStyle w:val="BTEMEASMCA"/>
        <w:rPr>
          <w:noProof w:val="0"/>
          <w:szCs w:val="22"/>
        </w:rPr>
      </w:pPr>
    </w:p>
    <w:p w:rsidR="00255979" w:rsidRPr="004873B0" w:rsidRDefault="00255979" w:rsidP="00633D05">
      <w:pPr>
        <w:pStyle w:val="BTEMEASMCA"/>
        <w:rPr>
          <w:noProof w:val="0"/>
          <w:szCs w:val="22"/>
        </w:rPr>
      </w:pPr>
    </w:p>
    <w:p w:rsidR="00255979" w:rsidRPr="004873B0" w:rsidRDefault="00255979" w:rsidP="00633D05">
      <w:pPr>
        <w:pStyle w:val="BTEMEASMCA"/>
        <w:rPr>
          <w:noProof w:val="0"/>
          <w:szCs w:val="22"/>
        </w:rPr>
      </w:pPr>
    </w:p>
    <w:p w:rsidR="00255979" w:rsidRPr="004873B0" w:rsidRDefault="00255979" w:rsidP="00633D05">
      <w:pPr>
        <w:pStyle w:val="BTEMEASMCA"/>
        <w:rPr>
          <w:noProof w:val="0"/>
          <w:szCs w:val="22"/>
        </w:rPr>
      </w:pPr>
    </w:p>
    <w:p w:rsidR="00255979" w:rsidRPr="004873B0" w:rsidRDefault="00255979" w:rsidP="00633D05">
      <w:pPr>
        <w:pStyle w:val="BTEMEASMCA"/>
        <w:rPr>
          <w:noProof w:val="0"/>
          <w:szCs w:val="22"/>
        </w:rPr>
      </w:pPr>
    </w:p>
    <w:p w:rsidR="00255979" w:rsidRPr="004873B0" w:rsidRDefault="00255979" w:rsidP="00633D05">
      <w:pPr>
        <w:pStyle w:val="BTEMEASMCA"/>
        <w:rPr>
          <w:noProof w:val="0"/>
          <w:szCs w:val="22"/>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pPr>
    </w:p>
    <w:p w:rsidR="00255979" w:rsidRPr="00DF4173" w:rsidRDefault="00255979" w:rsidP="00633D05">
      <w:pPr>
        <w:pStyle w:val="TTEMEASMCA"/>
        <w:rPr>
          <w:lang w:val="lt-LT"/>
        </w:rPr>
      </w:pPr>
      <w:bookmarkStart w:id="0" w:name="_Toc129243096"/>
      <w:bookmarkStart w:id="1" w:name="_Toc129243221"/>
      <w:r w:rsidRPr="00DF4173">
        <w:rPr>
          <w:lang w:val="lt-LT"/>
        </w:rPr>
        <w:t>I PRIEDAS</w:t>
      </w:r>
      <w:bookmarkEnd w:id="0"/>
      <w:bookmarkEnd w:id="1"/>
    </w:p>
    <w:p w:rsidR="00255979" w:rsidRPr="00DF4173" w:rsidRDefault="00255979" w:rsidP="00633D05">
      <w:pPr>
        <w:pStyle w:val="BTEMEASMCA"/>
        <w:rPr>
          <w:noProof w:val="0"/>
        </w:rPr>
      </w:pPr>
    </w:p>
    <w:p w:rsidR="00255979" w:rsidRPr="00DF4173" w:rsidRDefault="00255979" w:rsidP="00633D05">
      <w:pPr>
        <w:pStyle w:val="TTEMEASMCA"/>
        <w:rPr>
          <w:lang w:val="lt-LT"/>
        </w:rPr>
      </w:pPr>
      <w:bookmarkStart w:id="2" w:name="_Toc129243097"/>
      <w:bookmarkStart w:id="3" w:name="_Toc129243222"/>
      <w:r w:rsidRPr="00DF4173">
        <w:rPr>
          <w:lang w:val="lt-LT"/>
        </w:rPr>
        <w:t>PREPARATO CHARAKTERISTIKŲ SANTRAUKA</w:t>
      </w:r>
      <w:bookmarkEnd w:id="2"/>
      <w:bookmarkEnd w:id="3"/>
    </w:p>
    <w:p w:rsidR="00255979" w:rsidRPr="00DF4173" w:rsidRDefault="00255979" w:rsidP="00633D05">
      <w:pPr>
        <w:pStyle w:val="PI-1EMEASMCA"/>
      </w:pPr>
      <w:r w:rsidRPr="00DF4173">
        <w:rPr>
          <w:bCs/>
          <w:iCs/>
        </w:rPr>
        <w:br w:type="page"/>
      </w:r>
      <w:bookmarkStart w:id="4" w:name="_Toc129243098"/>
      <w:bookmarkStart w:id="5" w:name="_Toc129243223"/>
      <w:r w:rsidRPr="00DF4173">
        <w:lastRenderedPageBreak/>
        <w:t>1.</w:t>
      </w:r>
      <w:r w:rsidRPr="00DF4173">
        <w:tab/>
        <w:t>VAISTINIO PREPARATO PAVADINIMAS</w:t>
      </w:r>
      <w:bookmarkEnd w:id="4"/>
      <w:bookmarkEnd w:id="5"/>
    </w:p>
    <w:p w:rsidR="00255979" w:rsidRPr="00DF4173" w:rsidRDefault="00255979" w:rsidP="00633D05">
      <w:pPr>
        <w:pStyle w:val="BTEMEASMCA"/>
        <w:rPr>
          <w:noProof w:val="0"/>
        </w:rPr>
      </w:pPr>
    </w:p>
    <w:p w:rsidR="00255979" w:rsidRDefault="00501874" w:rsidP="003A6AEE">
      <w:pPr>
        <w:widowControl w:val="0"/>
        <w:autoSpaceDE w:val="0"/>
        <w:autoSpaceDN w:val="0"/>
        <w:adjustRightInd w:val="0"/>
        <w:rPr>
          <w:rFonts w:eastAsia="MS Mincho"/>
          <w:color w:val="000000"/>
          <w:sz w:val="22"/>
          <w:szCs w:val="22"/>
          <w:lang w:eastAsia="ja-JP" w:bidi="lo-LA"/>
        </w:rPr>
      </w:pPr>
      <w:proofErr w:type="spellStart"/>
      <w:r w:rsidRPr="00501874">
        <w:rPr>
          <w:sz w:val="22"/>
          <w:szCs w:val="22"/>
        </w:rPr>
        <w:t>Oxaliplatin</w:t>
      </w:r>
      <w:proofErr w:type="spellEnd"/>
      <w:r w:rsidRPr="00501874">
        <w:rPr>
          <w:sz w:val="22"/>
          <w:szCs w:val="22"/>
        </w:rPr>
        <w:t xml:space="preserve"> </w:t>
      </w:r>
      <w:proofErr w:type="spellStart"/>
      <w:r w:rsidRPr="00501874">
        <w:rPr>
          <w:sz w:val="22"/>
          <w:szCs w:val="22"/>
        </w:rPr>
        <w:t>Mylan</w:t>
      </w:r>
      <w:proofErr w:type="spellEnd"/>
      <w:r w:rsidRPr="00D646B4">
        <w:rPr>
          <w:sz w:val="20"/>
          <w:szCs w:val="20"/>
        </w:rPr>
        <w:t xml:space="preserve"> </w:t>
      </w:r>
      <w:r w:rsidR="00255979" w:rsidRPr="00CA3872">
        <w:rPr>
          <w:rFonts w:eastAsia="MS Mincho"/>
          <w:color w:val="000000"/>
          <w:sz w:val="22"/>
          <w:szCs w:val="22"/>
          <w:lang w:eastAsia="ja-JP" w:bidi="lo-LA"/>
        </w:rPr>
        <w:t xml:space="preserve">5 mg/ml milteliai infuziniam tirpalui  </w:t>
      </w:r>
    </w:p>
    <w:p w:rsidR="00255979" w:rsidRDefault="00255979" w:rsidP="003A6AEE">
      <w:pPr>
        <w:widowControl w:val="0"/>
        <w:autoSpaceDE w:val="0"/>
        <w:autoSpaceDN w:val="0"/>
        <w:adjustRightInd w:val="0"/>
        <w:rPr>
          <w:rFonts w:eastAsia="MS Mincho"/>
          <w:color w:val="000000"/>
          <w:sz w:val="22"/>
          <w:szCs w:val="22"/>
          <w:lang w:eastAsia="ja-JP" w:bidi="lo-LA"/>
        </w:rPr>
      </w:pPr>
    </w:p>
    <w:p w:rsidR="00255979" w:rsidRPr="00CA3872" w:rsidRDefault="00255979" w:rsidP="003A6AEE">
      <w:pPr>
        <w:widowControl w:val="0"/>
        <w:autoSpaceDE w:val="0"/>
        <w:autoSpaceDN w:val="0"/>
        <w:adjustRightInd w:val="0"/>
        <w:rPr>
          <w:rFonts w:eastAsia="MS Mincho"/>
          <w:color w:val="000000"/>
          <w:sz w:val="22"/>
          <w:szCs w:val="23"/>
          <w:lang w:eastAsia="ja-JP" w:bidi="lo-LA"/>
        </w:rPr>
      </w:pPr>
    </w:p>
    <w:p w:rsidR="00255979" w:rsidRPr="00DF4173" w:rsidRDefault="00255979" w:rsidP="00CA3872">
      <w:pPr>
        <w:pStyle w:val="PI-1EMEASMCA"/>
        <w:ind w:left="0" w:firstLine="0"/>
      </w:pPr>
      <w:bookmarkStart w:id="6" w:name="_Toc129243099"/>
      <w:bookmarkStart w:id="7" w:name="_Toc129243224"/>
      <w:r w:rsidRPr="00DF4173">
        <w:t>2.</w:t>
      </w:r>
      <w:r w:rsidRPr="00DF4173">
        <w:tab/>
        <w:t>KOKYBINĖ IR KIEKYBINĖ SUDĖTIS</w:t>
      </w:r>
      <w:bookmarkEnd w:id="6"/>
      <w:bookmarkEnd w:id="7"/>
    </w:p>
    <w:p w:rsidR="00255979" w:rsidRPr="00DF4173" w:rsidRDefault="00255979" w:rsidP="00754B58">
      <w:pPr>
        <w:pStyle w:val="BTEMEASMCA"/>
        <w:rPr>
          <w:noProof w:val="0"/>
        </w:rPr>
      </w:pPr>
    </w:p>
    <w:p w:rsidR="00255979" w:rsidRDefault="00255979" w:rsidP="003A6AEE">
      <w:pPr>
        <w:pStyle w:val="CM13"/>
        <w:rPr>
          <w:rFonts w:cs="Times New Roman"/>
          <w:sz w:val="22"/>
          <w:szCs w:val="22"/>
          <w:lang w:val="lt-LT"/>
        </w:rPr>
      </w:pPr>
      <w:r w:rsidRPr="00CA3872">
        <w:rPr>
          <w:rFonts w:cs="Times New Roman"/>
          <w:sz w:val="22"/>
          <w:szCs w:val="22"/>
          <w:lang w:val="lt-LT"/>
        </w:rPr>
        <w:t xml:space="preserve">50 mg </w:t>
      </w:r>
      <w:r>
        <w:rPr>
          <w:rFonts w:cs="Times New Roman"/>
          <w:sz w:val="22"/>
          <w:szCs w:val="22"/>
          <w:lang w:val="lt-LT"/>
        </w:rPr>
        <w:t>flakonas</w:t>
      </w:r>
      <w:r w:rsidRPr="00CA3872">
        <w:rPr>
          <w:rFonts w:cs="Times New Roman"/>
          <w:sz w:val="22"/>
          <w:szCs w:val="22"/>
          <w:lang w:val="lt-LT"/>
        </w:rPr>
        <w:t xml:space="preserve">: kiekviename </w:t>
      </w:r>
      <w:r>
        <w:rPr>
          <w:rFonts w:cs="Times New Roman"/>
          <w:sz w:val="22"/>
          <w:szCs w:val="22"/>
          <w:lang w:val="lt-LT"/>
        </w:rPr>
        <w:t>flakone</w:t>
      </w:r>
      <w:r w:rsidRPr="00CA3872">
        <w:rPr>
          <w:rFonts w:cs="Times New Roman"/>
          <w:sz w:val="22"/>
          <w:szCs w:val="22"/>
          <w:lang w:val="lt-LT"/>
        </w:rPr>
        <w:t xml:space="preserve"> yra 50 mg oksaliplatinos, skirtos </w:t>
      </w:r>
      <w:r>
        <w:rPr>
          <w:rFonts w:cs="Times New Roman"/>
          <w:sz w:val="22"/>
          <w:szCs w:val="22"/>
          <w:lang w:val="lt-LT"/>
        </w:rPr>
        <w:t>ištirpinti</w:t>
      </w:r>
      <w:r w:rsidRPr="00CA3872">
        <w:rPr>
          <w:rFonts w:cs="Times New Roman"/>
          <w:sz w:val="22"/>
          <w:szCs w:val="22"/>
          <w:lang w:val="lt-LT"/>
        </w:rPr>
        <w:t xml:space="preserve"> 10 ml </w:t>
      </w:r>
      <w:r>
        <w:rPr>
          <w:rFonts w:cs="Times New Roman"/>
          <w:sz w:val="22"/>
          <w:szCs w:val="22"/>
          <w:lang w:val="lt-LT"/>
        </w:rPr>
        <w:t>tirpiklio</w:t>
      </w:r>
      <w:r w:rsidRPr="00CA3872">
        <w:rPr>
          <w:rFonts w:cs="Times New Roman"/>
          <w:sz w:val="22"/>
          <w:szCs w:val="22"/>
          <w:lang w:val="lt-LT"/>
        </w:rPr>
        <w:t>.</w:t>
      </w:r>
    </w:p>
    <w:p w:rsidR="00255979" w:rsidRPr="00CA3872" w:rsidRDefault="00255979" w:rsidP="003A6AEE">
      <w:pPr>
        <w:pStyle w:val="CM13"/>
        <w:rPr>
          <w:rFonts w:cs="Times New Roman"/>
          <w:sz w:val="22"/>
          <w:szCs w:val="23"/>
          <w:lang w:val="lt-LT"/>
        </w:rPr>
      </w:pPr>
      <w:r w:rsidRPr="00CA3872">
        <w:rPr>
          <w:rFonts w:cs="Times New Roman"/>
          <w:sz w:val="22"/>
          <w:szCs w:val="22"/>
          <w:lang w:val="lt-LT"/>
        </w:rPr>
        <w:t xml:space="preserve">100 mg </w:t>
      </w:r>
      <w:r>
        <w:rPr>
          <w:rFonts w:cs="Times New Roman"/>
          <w:sz w:val="22"/>
          <w:szCs w:val="22"/>
          <w:lang w:val="lt-LT"/>
        </w:rPr>
        <w:t>flakonas</w:t>
      </w:r>
      <w:r w:rsidRPr="00CA3872">
        <w:rPr>
          <w:rFonts w:cs="Times New Roman"/>
          <w:sz w:val="22"/>
          <w:szCs w:val="22"/>
          <w:lang w:val="lt-LT"/>
        </w:rPr>
        <w:t xml:space="preserve">: kiekviename </w:t>
      </w:r>
      <w:r>
        <w:rPr>
          <w:rFonts w:cs="Times New Roman"/>
          <w:sz w:val="22"/>
          <w:szCs w:val="22"/>
          <w:lang w:val="lt-LT"/>
        </w:rPr>
        <w:t>flakone</w:t>
      </w:r>
      <w:r w:rsidRPr="00CA3872">
        <w:rPr>
          <w:rFonts w:cs="Times New Roman"/>
          <w:sz w:val="22"/>
          <w:szCs w:val="22"/>
          <w:lang w:val="lt-LT"/>
        </w:rPr>
        <w:t xml:space="preserve"> yra 100 mg oksaliplatinos, skirtos </w:t>
      </w:r>
      <w:r>
        <w:rPr>
          <w:rFonts w:cs="Times New Roman"/>
          <w:sz w:val="22"/>
          <w:szCs w:val="22"/>
          <w:lang w:val="lt-LT"/>
        </w:rPr>
        <w:t>ištirpinti</w:t>
      </w:r>
      <w:r w:rsidRPr="00CA3872">
        <w:rPr>
          <w:rFonts w:cs="Times New Roman"/>
          <w:sz w:val="22"/>
          <w:szCs w:val="22"/>
          <w:lang w:val="lt-LT"/>
        </w:rPr>
        <w:t xml:space="preserve"> 20 ml </w:t>
      </w:r>
      <w:r>
        <w:rPr>
          <w:rFonts w:cs="Times New Roman"/>
          <w:sz w:val="22"/>
          <w:szCs w:val="22"/>
          <w:lang w:val="lt-LT"/>
        </w:rPr>
        <w:t>tirpiklio</w:t>
      </w:r>
      <w:r w:rsidRPr="00CA3872">
        <w:rPr>
          <w:rFonts w:cs="Times New Roman"/>
          <w:sz w:val="22"/>
          <w:szCs w:val="22"/>
          <w:lang w:val="lt-LT"/>
        </w:rPr>
        <w:t xml:space="preserve">. </w:t>
      </w:r>
    </w:p>
    <w:p w:rsidR="00255979" w:rsidRDefault="00255979" w:rsidP="003A6AEE">
      <w:pPr>
        <w:pStyle w:val="CM13"/>
        <w:rPr>
          <w:rFonts w:cs="Times New Roman"/>
          <w:sz w:val="22"/>
          <w:szCs w:val="22"/>
          <w:lang w:val="lt-LT"/>
        </w:rPr>
      </w:pPr>
    </w:p>
    <w:p w:rsidR="00255979" w:rsidRPr="00CA3872" w:rsidRDefault="00255979" w:rsidP="003A6AEE">
      <w:pPr>
        <w:pStyle w:val="CM13"/>
        <w:rPr>
          <w:rFonts w:cs="Times New Roman"/>
          <w:sz w:val="22"/>
          <w:szCs w:val="23"/>
          <w:lang w:val="lt-LT"/>
        </w:rPr>
      </w:pPr>
      <w:r w:rsidRPr="00CA3872">
        <w:rPr>
          <w:rFonts w:cs="Times New Roman"/>
          <w:sz w:val="22"/>
          <w:szCs w:val="22"/>
          <w:lang w:val="lt-LT"/>
        </w:rPr>
        <w:t xml:space="preserve">1 ml paruošto infuzinio tirpalo yra 5 mg oksaliplatinos. </w:t>
      </w:r>
    </w:p>
    <w:p w:rsidR="00255979" w:rsidRDefault="00255979" w:rsidP="003A6AEE">
      <w:pPr>
        <w:pStyle w:val="CM13"/>
        <w:rPr>
          <w:rFonts w:cs="Times New Roman"/>
          <w:sz w:val="22"/>
          <w:szCs w:val="22"/>
          <w:lang w:val="lt-LT"/>
        </w:rPr>
      </w:pPr>
    </w:p>
    <w:p w:rsidR="00255979" w:rsidRPr="00CA3872" w:rsidRDefault="00255979" w:rsidP="003A6AEE">
      <w:pPr>
        <w:pStyle w:val="CM13"/>
        <w:rPr>
          <w:rFonts w:cs="Times New Roman"/>
          <w:sz w:val="22"/>
          <w:szCs w:val="23"/>
          <w:lang w:val="lt-LT"/>
        </w:rPr>
      </w:pPr>
      <w:r w:rsidRPr="00CA3872">
        <w:rPr>
          <w:rFonts w:cs="Times New Roman"/>
          <w:sz w:val="22"/>
          <w:szCs w:val="22"/>
          <w:lang w:val="lt-LT"/>
        </w:rPr>
        <w:t xml:space="preserve">Viename 50 mg </w:t>
      </w:r>
      <w:r>
        <w:rPr>
          <w:rFonts w:cs="Times New Roman"/>
          <w:sz w:val="22"/>
          <w:szCs w:val="22"/>
          <w:lang w:val="lt-LT"/>
        </w:rPr>
        <w:t>flakone</w:t>
      </w:r>
      <w:r w:rsidRPr="00CA3872">
        <w:rPr>
          <w:rFonts w:cs="Times New Roman"/>
          <w:sz w:val="22"/>
          <w:szCs w:val="22"/>
          <w:lang w:val="lt-LT"/>
        </w:rPr>
        <w:t xml:space="preserve"> yra 450 mg laktozės monohidrato. </w:t>
      </w:r>
      <w:r w:rsidRPr="00CA3872">
        <w:rPr>
          <w:rFonts w:cs="Times New Roman"/>
          <w:sz w:val="22"/>
          <w:szCs w:val="22"/>
          <w:lang w:val="lt-LT"/>
        </w:rPr>
        <w:br/>
        <w:t xml:space="preserve">Viename 100 mg </w:t>
      </w:r>
      <w:r>
        <w:rPr>
          <w:rFonts w:cs="Times New Roman"/>
          <w:sz w:val="22"/>
          <w:szCs w:val="22"/>
          <w:lang w:val="lt-LT"/>
        </w:rPr>
        <w:t>flakone</w:t>
      </w:r>
      <w:r w:rsidRPr="00CA3872">
        <w:rPr>
          <w:rFonts w:cs="Times New Roman"/>
          <w:sz w:val="22"/>
          <w:szCs w:val="22"/>
          <w:lang w:val="lt-LT"/>
        </w:rPr>
        <w:t xml:space="preserve"> yra 900 mg laktozės monohidrato. </w:t>
      </w:r>
    </w:p>
    <w:p w:rsidR="00255979" w:rsidRDefault="00255979" w:rsidP="00754B58">
      <w:pPr>
        <w:pStyle w:val="BTEMEASMCA"/>
      </w:pPr>
    </w:p>
    <w:p w:rsidR="00255979" w:rsidRPr="00CA3872" w:rsidRDefault="00255979" w:rsidP="00754B58">
      <w:pPr>
        <w:pStyle w:val="BTEMEASMCA"/>
        <w:rPr>
          <w:noProof w:val="0"/>
          <w:sz w:val="20"/>
        </w:rPr>
      </w:pPr>
      <w:r w:rsidRPr="00CA3872">
        <w:t xml:space="preserve">Visos pagalbinės medžiagos išvardytos 6.1 skyriuje.  </w:t>
      </w:r>
    </w:p>
    <w:p w:rsidR="00255979" w:rsidRDefault="00255979" w:rsidP="00754B58">
      <w:pPr>
        <w:pStyle w:val="BTEMEASMCA"/>
        <w:rPr>
          <w:noProof w:val="0"/>
        </w:rPr>
      </w:pPr>
    </w:p>
    <w:p w:rsidR="00255979" w:rsidRPr="00DF4173" w:rsidRDefault="00255979" w:rsidP="00754B58">
      <w:pPr>
        <w:pStyle w:val="BTEMEASMCA"/>
        <w:rPr>
          <w:noProof w:val="0"/>
        </w:rPr>
      </w:pPr>
    </w:p>
    <w:p w:rsidR="00255979" w:rsidRPr="00DF4173" w:rsidRDefault="00255979" w:rsidP="00754B58">
      <w:pPr>
        <w:pStyle w:val="PI-1EMEASMCA"/>
      </w:pPr>
      <w:bookmarkStart w:id="8" w:name="_Toc129243100"/>
      <w:bookmarkStart w:id="9" w:name="_Toc129243225"/>
      <w:r w:rsidRPr="00DF4173">
        <w:t>3.</w:t>
      </w:r>
      <w:r w:rsidRPr="00DF4173">
        <w:tab/>
        <w:t>FARMACINĖ FORMA</w:t>
      </w:r>
      <w:bookmarkEnd w:id="8"/>
      <w:bookmarkEnd w:id="9"/>
    </w:p>
    <w:p w:rsidR="00255979" w:rsidRPr="00DF4173" w:rsidRDefault="00255979" w:rsidP="00754B58">
      <w:pPr>
        <w:pStyle w:val="BTEMEASMCA"/>
        <w:rPr>
          <w:noProof w:val="0"/>
        </w:rPr>
      </w:pPr>
    </w:p>
    <w:p w:rsidR="00255979" w:rsidRDefault="00255979" w:rsidP="003A6AEE">
      <w:pPr>
        <w:pStyle w:val="CM13"/>
        <w:rPr>
          <w:rFonts w:cs="Times New Roman"/>
          <w:sz w:val="22"/>
          <w:szCs w:val="22"/>
          <w:lang w:val="lt-LT"/>
        </w:rPr>
      </w:pPr>
      <w:r w:rsidRPr="00CA3872">
        <w:rPr>
          <w:rFonts w:cs="Times New Roman"/>
          <w:sz w:val="22"/>
          <w:szCs w:val="22"/>
          <w:lang w:val="lt-LT"/>
        </w:rPr>
        <w:t xml:space="preserve">Milteliai infuziniam tirpalui. </w:t>
      </w:r>
    </w:p>
    <w:p w:rsidR="00255979" w:rsidRDefault="00255979" w:rsidP="003A6AEE">
      <w:pPr>
        <w:pStyle w:val="CM13"/>
        <w:rPr>
          <w:rFonts w:cs="Times New Roman"/>
          <w:sz w:val="22"/>
          <w:szCs w:val="22"/>
          <w:lang w:val="lt-LT"/>
        </w:rPr>
      </w:pPr>
      <w:r w:rsidRPr="00CA3872">
        <w:rPr>
          <w:rFonts w:cs="Times New Roman"/>
          <w:sz w:val="22"/>
          <w:szCs w:val="22"/>
          <w:lang w:val="lt-LT"/>
        </w:rPr>
        <w:t xml:space="preserve">Balti, liofilizuoti milteliai arba </w:t>
      </w:r>
      <w:r>
        <w:rPr>
          <w:rFonts w:cs="Times New Roman"/>
          <w:sz w:val="22"/>
          <w:szCs w:val="22"/>
          <w:lang w:val="lt-LT"/>
        </w:rPr>
        <w:t>jų gumulėlis</w:t>
      </w:r>
      <w:r w:rsidRPr="00CA3872">
        <w:rPr>
          <w:rFonts w:cs="Times New Roman"/>
          <w:sz w:val="22"/>
          <w:szCs w:val="22"/>
          <w:lang w:val="lt-LT"/>
        </w:rPr>
        <w:t xml:space="preserve">. </w:t>
      </w:r>
    </w:p>
    <w:p w:rsidR="00255979" w:rsidRPr="004873B0" w:rsidRDefault="00255979" w:rsidP="003A6AEE">
      <w:pPr>
        <w:rPr>
          <w:sz w:val="22"/>
          <w:szCs w:val="22"/>
        </w:rPr>
      </w:pPr>
    </w:p>
    <w:p w:rsidR="00255979" w:rsidRPr="004873B0" w:rsidRDefault="00255979" w:rsidP="003A6AEE">
      <w:pPr>
        <w:rPr>
          <w:sz w:val="22"/>
          <w:szCs w:val="22"/>
        </w:rPr>
      </w:pPr>
    </w:p>
    <w:p w:rsidR="00255979" w:rsidRPr="0084041E" w:rsidRDefault="00255979" w:rsidP="00633D05">
      <w:pPr>
        <w:pStyle w:val="PI-1EMEASMCA"/>
      </w:pPr>
      <w:bookmarkStart w:id="10" w:name="_Toc129243101"/>
      <w:bookmarkStart w:id="11" w:name="_Toc129243226"/>
      <w:r w:rsidRPr="0084041E">
        <w:t>4.</w:t>
      </w:r>
      <w:r w:rsidRPr="0084041E">
        <w:tab/>
        <w:t>KLINIKINĖ INFORMACIJA</w:t>
      </w:r>
      <w:bookmarkEnd w:id="10"/>
      <w:bookmarkEnd w:id="11"/>
    </w:p>
    <w:p w:rsidR="00255979" w:rsidRPr="0084041E" w:rsidRDefault="00255979" w:rsidP="00633D05">
      <w:pPr>
        <w:pStyle w:val="BTEMEASMCA"/>
        <w:rPr>
          <w:noProof w:val="0"/>
        </w:rPr>
      </w:pPr>
    </w:p>
    <w:p w:rsidR="00255979" w:rsidRPr="0084041E" w:rsidRDefault="00255979" w:rsidP="00633D05">
      <w:pPr>
        <w:pStyle w:val="PI-2EMEASMCA"/>
      </w:pPr>
      <w:bookmarkStart w:id="12" w:name="_Toc129243102"/>
      <w:bookmarkStart w:id="13" w:name="_Toc129243227"/>
      <w:r w:rsidRPr="0084041E">
        <w:t>4.1</w:t>
      </w:r>
      <w:r w:rsidRPr="0084041E">
        <w:tab/>
        <w:t>Terapinės indikacijos</w:t>
      </w:r>
      <w:bookmarkEnd w:id="12"/>
      <w:bookmarkEnd w:id="13"/>
    </w:p>
    <w:p w:rsidR="00255979" w:rsidRPr="0084041E" w:rsidRDefault="00255979" w:rsidP="00633D05">
      <w:pPr>
        <w:pStyle w:val="BTEMEASMCA"/>
        <w:rPr>
          <w:noProof w:val="0"/>
        </w:rPr>
      </w:pPr>
    </w:p>
    <w:p w:rsidR="00255979" w:rsidRPr="00CA3872" w:rsidRDefault="00255979" w:rsidP="003A6AEE">
      <w:pPr>
        <w:pStyle w:val="CM13"/>
        <w:spacing w:line="278" w:lineRule="atLeast"/>
        <w:rPr>
          <w:rFonts w:cs="Times New Roman"/>
          <w:sz w:val="22"/>
          <w:szCs w:val="23"/>
          <w:lang w:val="lt-LT"/>
        </w:rPr>
      </w:pPr>
      <w:r w:rsidRPr="00CA3872">
        <w:rPr>
          <w:rFonts w:cs="Times New Roman"/>
          <w:sz w:val="22"/>
          <w:szCs w:val="22"/>
          <w:lang w:val="lt-LT"/>
        </w:rPr>
        <w:t xml:space="preserve">Oksaliplatina kartu su 5-fluorouracilu (5-FU) ir </w:t>
      </w:r>
      <w:r w:rsidRPr="00004E62">
        <w:rPr>
          <w:sz w:val="22"/>
          <w:szCs w:val="22"/>
          <w:lang w:val="lt-LT"/>
        </w:rPr>
        <w:t xml:space="preserve">folino </w:t>
      </w:r>
      <w:r w:rsidRPr="00CA3872">
        <w:rPr>
          <w:rFonts w:cs="Times New Roman"/>
          <w:sz w:val="22"/>
          <w:szCs w:val="22"/>
          <w:lang w:val="lt-LT"/>
        </w:rPr>
        <w:t xml:space="preserve">rūgštimi (FR) skiriama: </w:t>
      </w:r>
    </w:p>
    <w:p w:rsidR="00255979" w:rsidRPr="00CA3872" w:rsidRDefault="00255979" w:rsidP="003A6AEE">
      <w:pPr>
        <w:pStyle w:val="Default"/>
        <w:numPr>
          <w:ilvl w:val="0"/>
          <w:numId w:val="11"/>
        </w:numPr>
        <w:ind w:left="270" w:hanging="270"/>
        <w:rPr>
          <w:color w:val="auto"/>
          <w:sz w:val="22"/>
          <w:szCs w:val="23"/>
          <w:lang w:val="lt-LT"/>
        </w:rPr>
      </w:pPr>
      <w:r>
        <w:rPr>
          <w:color w:val="auto"/>
          <w:sz w:val="22"/>
          <w:szCs w:val="22"/>
          <w:lang w:val="lt-LT"/>
        </w:rPr>
        <w:t xml:space="preserve">adjuvantiniam </w:t>
      </w:r>
      <w:r w:rsidRPr="00CA3872">
        <w:rPr>
          <w:color w:val="auto"/>
          <w:sz w:val="22"/>
          <w:szCs w:val="22"/>
          <w:lang w:val="lt-LT"/>
        </w:rPr>
        <w:t xml:space="preserve">III stadijos (C pagal </w:t>
      </w:r>
      <w:r w:rsidRPr="003A6AEE">
        <w:rPr>
          <w:i/>
          <w:color w:val="auto"/>
          <w:sz w:val="22"/>
          <w:szCs w:val="22"/>
          <w:lang w:val="lt-LT"/>
        </w:rPr>
        <w:t>Duke</w:t>
      </w:r>
      <w:r>
        <w:rPr>
          <w:i/>
          <w:color w:val="auto"/>
          <w:sz w:val="22"/>
          <w:szCs w:val="22"/>
          <w:lang w:val="lt-LT"/>
        </w:rPr>
        <w:t>s</w:t>
      </w:r>
      <w:r w:rsidRPr="00CA3872">
        <w:rPr>
          <w:color w:val="auto"/>
          <w:sz w:val="22"/>
          <w:szCs w:val="22"/>
          <w:lang w:val="lt-LT"/>
        </w:rPr>
        <w:t xml:space="preserve"> klasifikaciją) gaubtinės žarnos vėži</w:t>
      </w:r>
      <w:r>
        <w:rPr>
          <w:color w:val="auto"/>
          <w:sz w:val="22"/>
          <w:szCs w:val="22"/>
          <w:lang w:val="lt-LT"/>
        </w:rPr>
        <w:t>o</w:t>
      </w:r>
      <w:r w:rsidRPr="00CA3872">
        <w:rPr>
          <w:color w:val="auto"/>
          <w:sz w:val="22"/>
          <w:szCs w:val="22"/>
          <w:lang w:val="lt-LT"/>
        </w:rPr>
        <w:t xml:space="preserve"> gydy</w:t>
      </w:r>
      <w:r>
        <w:rPr>
          <w:color w:val="auto"/>
          <w:sz w:val="22"/>
          <w:szCs w:val="22"/>
          <w:lang w:val="lt-LT"/>
        </w:rPr>
        <w:t>mui</w:t>
      </w:r>
      <w:r w:rsidRPr="00CA3872">
        <w:rPr>
          <w:color w:val="auto"/>
          <w:sz w:val="22"/>
          <w:szCs w:val="22"/>
          <w:lang w:val="lt-LT"/>
        </w:rPr>
        <w:t xml:space="preserve"> po visiškos pirminio naviko rezekcijos;  </w:t>
      </w:r>
    </w:p>
    <w:p w:rsidR="00255979" w:rsidRPr="00CA3872" w:rsidRDefault="00255979" w:rsidP="004873B0">
      <w:pPr>
        <w:pStyle w:val="Default"/>
        <w:numPr>
          <w:ilvl w:val="0"/>
          <w:numId w:val="11"/>
        </w:numPr>
        <w:ind w:left="270" w:hanging="270"/>
        <w:rPr>
          <w:color w:val="auto"/>
          <w:sz w:val="22"/>
          <w:szCs w:val="23"/>
          <w:lang w:val="lt-LT"/>
        </w:rPr>
      </w:pPr>
      <w:r w:rsidRPr="00CA3872">
        <w:rPr>
          <w:color w:val="auto"/>
          <w:sz w:val="22"/>
          <w:szCs w:val="22"/>
          <w:lang w:val="lt-LT"/>
        </w:rPr>
        <w:t>metastazavusiam gaubtinės ir ti</w:t>
      </w:r>
      <w:r>
        <w:rPr>
          <w:color w:val="auto"/>
          <w:sz w:val="22"/>
          <w:szCs w:val="22"/>
          <w:lang w:val="lt-LT"/>
        </w:rPr>
        <w:t>esiosios žarnos vėžiui gydyti.</w:t>
      </w:r>
    </w:p>
    <w:p w:rsidR="00255979" w:rsidRPr="0084041E" w:rsidRDefault="00255979" w:rsidP="004873B0">
      <w:pPr>
        <w:pStyle w:val="BTEMEASMCA"/>
        <w:rPr>
          <w:noProof w:val="0"/>
        </w:rPr>
      </w:pPr>
    </w:p>
    <w:p w:rsidR="00255979" w:rsidRPr="0084041E" w:rsidRDefault="00255979" w:rsidP="004873B0">
      <w:pPr>
        <w:pStyle w:val="PI-2EMEASMCA"/>
      </w:pPr>
      <w:bookmarkStart w:id="14" w:name="_Toc129243103"/>
      <w:bookmarkStart w:id="15" w:name="_Toc129243228"/>
      <w:r w:rsidRPr="0084041E">
        <w:t>4.2</w:t>
      </w:r>
      <w:r w:rsidRPr="0084041E">
        <w:tab/>
        <w:t>Dozavimas ir vartojimo metodas</w:t>
      </w:r>
      <w:bookmarkEnd w:id="14"/>
      <w:bookmarkEnd w:id="15"/>
    </w:p>
    <w:p w:rsidR="00255979" w:rsidRPr="0084041E" w:rsidRDefault="00255979" w:rsidP="004873B0">
      <w:pPr>
        <w:pStyle w:val="BTEMEASMCA"/>
        <w:rPr>
          <w:noProof w:val="0"/>
        </w:rPr>
      </w:pPr>
    </w:p>
    <w:p w:rsidR="00255979" w:rsidRDefault="00255979" w:rsidP="004873B0">
      <w:pPr>
        <w:pStyle w:val="CM2"/>
        <w:rPr>
          <w:rFonts w:cs="Times New Roman"/>
          <w:sz w:val="22"/>
          <w:szCs w:val="22"/>
          <w:lang w:val="lt-LT"/>
        </w:rPr>
      </w:pPr>
      <w:r w:rsidRPr="00CA3872">
        <w:rPr>
          <w:rFonts w:cs="Times New Roman"/>
          <w:sz w:val="22"/>
          <w:szCs w:val="22"/>
          <w:lang w:val="lt-LT"/>
        </w:rPr>
        <w:t>Injekcinius tirpalus iš citotoksinių medžiagų turi gaminti kvalifikuotas specialistas, žinantis vartojamus vaistus ir tokiomis sąlygomis, kurios garantuoja vaistinio preparato vientisumą, aplinkos ir ypač su vaistais dirbančiojo personalo saugumą, vadovaudamasis ligoninės taisyklėmis. Preparatas turi būti ruošiamas tam skirtoje patalpoje. Šioje patalpoje draud</w:t>
      </w:r>
      <w:r>
        <w:rPr>
          <w:rFonts w:cs="Times New Roman"/>
          <w:sz w:val="22"/>
          <w:szCs w:val="22"/>
          <w:lang w:val="lt-LT"/>
        </w:rPr>
        <w:t>žiama rūkyti, valgyti ar gerti</w:t>
      </w:r>
      <w:r w:rsidRPr="00CA3872">
        <w:rPr>
          <w:rFonts w:cs="Times New Roman"/>
          <w:sz w:val="22"/>
          <w:szCs w:val="22"/>
          <w:lang w:val="lt-LT"/>
        </w:rPr>
        <w:t xml:space="preserve"> (žr. 6.6 skyrių).</w:t>
      </w:r>
    </w:p>
    <w:p w:rsidR="00255979" w:rsidRDefault="00255979" w:rsidP="004873B0">
      <w:pPr>
        <w:pStyle w:val="Default"/>
        <w:rPr>
          <w:lang w:val="lt-LT"/>
        </w:rPr>
      </w:pPr>
    </w:p>
    <w:p w:rsidR="00255979" w:rsidRPr="00CA3872" w:rsidRDefault="00255979" w:rsidP="004873B0">
      <w:pPr>
        <w:pStyle w:val="CM13"/>
        <w:spacing w:after="275"/>
        <w:rPr>
          <w:rFonts w:cs="Times New Roman"/>
          <w:sz w:val="22"/>
          <w:szCs w:val="22"/>
          <w:lang w:val="lt-LT"/>
        </w:rPr>
      </w:pPr>
      <w:r w:rsidRPr="00CA3872">
        <w:rPr>
          <w:rFonts w:cs="Times New Roman"/>
          <w:sz w:val="22"/>
          <w:szCs w:val="22"/>
          <w:u w:val="single"/>
          <w:lang w:val="lt-LT"/>
        </w:rPr>
        <w:t xml:space="preserve">Dozavimas </w:t>
      </w:r>
    </w:p>
    <w:p w:rsidR="00255979" w:rsidRPr="00CA3872" w:rsidRDefault="00255979" w:rsidP="004873B0">
      <w:pPr>
        <w:pStyle w:val="CM13"/>
        <w:spacing w:after="234"/>
        <w:rPr>
          <w:rFonts w:cs="Times New Roman"/>
          <w:sz w:val="22"/>
          <w:szCs w:val="22"/>
          <w:lang w:val="lt-LT"/>
        </w:rPr>
      </w:pPr>
      <w:r w:rsidRPr="00CA3872">
        <w:rPr>
          <w:rFonts w:cs="Times New Roman"/>
          <w:b/>
          <w:bCs/>
          <w:sz w:val="22"/>
          <w:szCs w:val="22"/>
          <w:lang w:val="lt-LT"/>
        </w:rPr>
        <w:t xml:space="preserve">VAISTAS SKIRTAS TIK SUAUGUSIEMS ŽMONĖMS </w:t>
      </w:r>
    </w:p>
    <w:p w:rsidR="00255979" w:rsidRPr="00CA3872" w:rsidRDefault="00255979" w:rsidP="004873B0">
      <w:pPr>
        <w:pStyle w:val="CM13"/>
        <w:spacing w:after="275" w:line="276" w:lineRule="atLeast"/>
        <w:rPr>
          <w:rFonts w:cs="Times New Roman"/>
          <w:sz w:val="22"/>
          <w:szCs w:val="22"/>
          <w:lang w:val="lt-LT"/>
        </w:rPr>
      </w:pPr>
      <w:r w:rsidRPr="00CA3872">
        <w:rPr>
          <w:rFonts w:cs="Times New Roman"/>
          <w:sz w:val="22"/>
          <w:szCs w:val="22"/>
          <w:lang w:val="lt-LT"/>
        </w:rPr>
        <w:t xml:space="preserve">Rekomenduojama oksaliplatinos dozė papildomam gydymui yra 85 mg/m². Jos tirpalas lašinamas į veną kas dvi savaites, 12 ciklų (6 mėnesius).  </w:t>
      </w:r>
    </w:p>
    <w:p w:rsidR="00255979" w:rsidRPr="00CA3872" w:rsidRDefault="00255979" w:rsidP="004873B0">
      <w:pPr>
        <w:pStyle w:val="CM13"/>
        <w:spacing w:after="275" w:line="276" w:lineRule="atLeast"/>
        <w:rPr>
          <w:rFonts w:cs="Times New Roman"/>
          <w:sz w:val="22"/>
          <w:szCs w:val="22"/>
          <w:lang w:val="lt-LT"/>
        </w:rPr>
      </w:pPr>
      <w:r w:rsidRPr="00CA3872">
        <w:rPr>
          <w:rFonts w:cs="Times New Roman"/>
          <w:sz w:val="22"/>
          <w:szCs w:val="22"/>
          <w:lang w:val="lt-LT"/>
        </w:rPr>
        <w:t xml:space="preserve">Rekomenduojama oksaliplatinos dozė metastazavusio kolorektalinio vėžio gydymui yra 85 mg/m², jos tirpalas lašinamas į veną kas 2 savaites iki ligos progresavimo arba nepriimtino toksiškumo. </w:t>
      </w:r>
    </w:p>
    <w:p w:rsidR="00255979" w:rsidRPr="00CA3872" w:rsidRDefault="00255979" w:rsidP="004873B0">
      <w:pPr>
        <w:pStyle w:val="CM13"/>
        <w:spacing w:after="275" w:line="276" w:lineRule="atLeast"/>
        <w:rPr>
          <w:rFonts w:cs="Times New Roman"/>
          <w:sz w:val="22"/>
          <w:szCs w:val="22"/>
          <w:lang w:val="lt-LT"/>
        </w:rPr>
      </w:pPr>
      <w:r w:rsidRPr="00CA3872">
        <w:rPr>
          <w:rFonts w:cs="Times New Roman"/>
          <w:sz w:val="22"/>
          <w:szCs w:val="22"/>
          <w:lang w:val="lt-LT"/>
        </w:rPr>
        <w:t xml:space="preserve">Nustatytą dozę reikia koreguoti atsižvelgiant į vaisto toleravimą (žr. 4.4 skyrių).  </w:t>
      </w:r>
    </w:p>
    <w:p w:rsidR="00255979" w:rsidRPr="00CA3872" w:rsidRDefault="00255979" w:rsidP="004873B0">
      <w:pPr>
        <w:pStyle w:val="CM13"/>
        <w:spacing w:after="234" w:line="276" w:lineRule="atLeast"/>
        <w:rPr>
          <w:rFonts w:cs="Times New Roman"/>
          <w:sz w:val="22"/>
          <w:szCs w:val="22"/>
          <w:lang w:val="lt-LT"/>
        </w:rPr>
      </w:pPr>
      <w:r w:rsidRPr="00CA3872">
        <w:rPr>
          <w:rFonts w:cs="Times New Roman"/>
          <w:b/>
          <w:bCs/>
          <w:sz w:val="22"/>
          <w:szCs w:val="22"/>
          <w:lang w:val="lt-LT"/>
        </w:rPr>
        <w:t xml:space="preserve">Oksaliplatina visada turi būti sulašinama prieš fluoropirimidinus, t. y. 5-fluorouracilą (5FU). </w:t>
      </w:r>
    </w:p>
    <w:p w:rsidR="00255979" w:rsidRPr="00CA3872" w:rsidRDefault="00255979" w:rsidP="004873B0">
      <w:pPr>
        <w:pStyle w:val="CM13"/>
        <w:spacing w:after="275" w:line="276" w:lineRule="atLeast"/>
        <w:rPr>
          <w:rFonts w:cs="Times New Roman"/>
          <w:sz w:val="22"/>
          <w:szCs w:val="22"/>
          <w:lang w:val="lt-LT"/>
        </w:rPr>
      </w:pPr>
      <w:r w:rsidRPr="00CA3872">
        <w:rPr>
          <w:rFonts w:cs="Times New Roman"/>
          <w:sz w:val="22"/>
          <w:szCs w:val="22"/>
          <w:lang w:val="lt-LT"/>
        </w:rPr>
        <w:t xml:space="preserve">Oksaliplatinos intraveninės infuzijos trukmė yra nuo 2 iki 6 valandų. Prieš vartojimą oksaliplatinos </w:t>
      </w:r>
      <w:r w:rsidRPr="00CA3872">
        <w:rPr>
          <w:rFonts w:cs="Times New Roman"/>
          <w:sz w:val="22"/>
          <w:szCs w:val="22"/>
          <w:lang w:val="lt-LT"/>
        </w:rPr>
        <w:lastRenderedPageBreak/>
        <w:t>koncentratas praskiedžiamas 250–500 ml 5 % gliukozės tirpalu, kad paruošto vartojimui oksaliplatinos tirpalo koncentracija būtų nuo 0,20 mg/ml iki 0,70 mg/ml. Didžiausia koncentracija, taikoma klinikinėje praktikoje, kai oksaliplatinos dozė yra 85 mg/m</w:t>
      </w:r>
      <w:r w:rsidRPr="00CA3872">
        <w:rPr>
          <w:rFonts w:cs="Times New Roman"/>
          <w:position w:val="11"/>
          <w:sz w:val="22"/>
          <w:szCs w:val="22"/>
          <w:vertAlign w:val="superscript"/>
          <w:lang w:val="lt-LT"/>
        </w:rPr>
        <w:t>2</w:t>
      </w:r>
      <w:r w:rsidRPr="00CA3872">
        <w:rPr>
          <w:rFonts w:cs="Times New Roman"/>
          <w:sz w:val="22"/>
          <w:szCs w:val="22"/>
          <w:lang w:val="lt-LT"/>
        </w:rPr>
        <w:t xml:space="preserve">, yra 0,70 mg/ml. </w:t>
      </w:r>
    </w:p>
    <w:p w:rsidR="00255979" w:rsidRPr="00CA3872" w:rsidRDefault="00255979" w:rsidP="004873B0">
      <w:pPr>
        <w:pStyle w:val="CM13"/>
        <w:spacing w:after="275" w:line="276" w:lineRule="atLeast"/>
        <w:rPr>
          <w:rFonts w:cs="Times New Roman"/>
          <w:sz w:val="22"/>
          <w:szCs w:val="22"/>
          <w:lang w:val="lt-LT"/>
        </w:rPr>
      </w:pPr>
      <w:r w:rsidRPr="00CA3872">
        <w:rPr>
          <w:rFonts w:cs="Times New Roman"/>
          <w:sz w:val="22"/>
          <w:szCs w:val="22"/>
          <w:lang w:val="lt-LT"/>
        </w:rPr>
        <w:t xml:space="preserve">Oksaliplatina dažniausiai vartojama kartu su ilgalaikėmis infuzijomis 5 fluorouracilo (5FU) pagrindu. Gydymo kurso 5-fluorouracilu dviejų savaičių gydymo plane naudojamas boliuso ir ilgalaikės infuzijos derinys.  </w:t>
      </w:r>
    </w:p>
    <w:p w:rsidR="00255979" w:rsidRPr="00CA3872" w:rsidRDefault="00255979" w:rsidP="004873B0">
      <w:pPr>
        <w:pStyle w:val="CM13"/>
        <w:spacing w:after="275" w:line="276" w:lineRule="atLeast"/>
        <w:rPr>
          <w:rFonts w:cs="Times New Roman"/>
          <w:sz w:val="22"/>
          <w:szCs w:val="22"/>
          <w:lang w:val="lt-LT"/>
        </w:rPr>
      </w:pPr>
      <w:r w:rsidRPr="00CA3872">
        <w:rPr>
          <w:rFonts w:cs="Times New Roman"/>
          <w:sz w:val="22"/>
          <w:szCs w:val="22"/>
          <w:u w:val="single"/>
          <w:lang w:val="lt-LT"/>
        </w:rPr>
        <w:t xml:space="preserve">Ypatingos pacientų grupės </w:t>
      </w:r>
    </w:p>
    <w:p w:rsidR="00255979" w:rsidRPr="00CA3872" w:rsidRDefault="00255979" w:rsidP="004873B0">
      <w:pPr>
        <w:pStyle w:val="CM13"/>
        <w:numPr>
          <w:ilvl w:val="0"/>
          <w:numId w:val="3"/>
        </w:numPr>
        <w:spacing w:after="275" w:line="276" w:lineRule="atLeast"/>
        <w:ind w:left="0"/>
        <w:rPr>
          <w:rFonts w:cs="Times New Roman"/>
          <w:sz w:val="22"/>
          <w:szCs w:val="22"/>
          <w:lang w:val="lt-LT"/>
        </w:rPr>
      </w:pPr>
      <w:r w:rsidRPr="00CA3872">
        <w:rPr>
          <w:rFonts w:cs="Times New Roman"/>
          <w:i/>
          <w:iCs/>
          <w:sz w:val="22"/>
          <w:szCs w:val="22"/>
          <w:lang w:val="lt-LT"/>
        </w:rPr>
        <w:t xml:space="preserve">Pacientai, kurių inkstų funkcija sutrikusi </w:t>
      </w:r>
    </w:p>
    <w:p w:rsidR="00255979" w:rsidRPr="00CA3872" w:rsidRDefault="00255979" w:rsidP="004873B0">
      <w:pPr>
        <w:pStyle w:val="CM13"/>
        <w:spacing w:after="275" w:line="276" w:lineRule="atLeast"/>
        <w:rPr>
          <w:rFonts w:cs="Times New Roman"/>
          <w:sz w:val="22"/>
          <w:szCs w:val="22"/>
          <w:lang w:val="lt-LT"/>
        </w:rPr>
      </w:pPr>
      <w:r w:rsidRPr="00CA3872">
        <w:rPr>
          <w:rFonts w:cs="Times New Roman"/>
          <w:sz w:val="22"/>
          <w:szCs w:val="22"/>
          <w:lang w:val="lt-LT"/>
        </w:rPr>
        <w:t xml:space="preserve">Oksaliplatinos negalima skirti pacientams, sergantiems sunkiu inkstų funkcijos sutrikimu (žr. 4.3 ir 5.2 skyrius). Pacientams, </w:t>
      </w:r>
      <w:r w:rsidRPr="003A6AEE">
        <w:rPr>
          <w:sz w:val="22"/>
          <w:szCs w:val="22"/>
          <w:lang w:val="lt-LT"/>
        </w:rPr>
        <w:t xml:space="preserve">kuriems yra nedidelis arba vidutinio sunkumo inkstų </w:t>
      </w:r>
      <w:r>
        <w:rPr>
          <w:sz w:val="22"/>
          <w:szCs w:val="22"/>
          <w:lang w:val="lt-LT"/>
        </w:rPr>
        <w:t>funkcijos</w:t>
      </w:r>
      <w:r w:rsidRPr="003A6AEE">
        <w:rPr>
          <w:sz w:val="22"/>
          <w:szCs w:val="22"/>
          <w:lang w:val="lt-LT"/>
        </w:rPr>
        <w:t xml:space="preserve"> sutrikimas</w:t>
      </w:r>
      <w:r w:rsidRPr="00CA3872">
        <w:rPr>
          <w:rFonts w:cs="Times New Roman"/>
          <w:sz w:val="22"/>
          <w:szCs w:val="22"/>
          <w:lang w:val="lt-LT"/>
        </w:rPr>
        <w:t>, rekomenduojama oksiplatinos dozė yra 85 mg/m</w:t>
      </w:r>
      <w:r w:rsidRPr="00CA3872">
        <w:rPr>
          <w:rFonts w:cs="Times New Roman"/>
          <w:position w:val="11"/>
          <w:sz w:val="22"/>
          <w:szCs w:val="22"/>
          <w:vertAlign w:val="superscript"/>
          <w:lang w:val="lt-LT"/>
        </w:rPr>
        <w:t>2</w:t>
      </w:r>
      <w:r w:rsidRPr="00CA3872">
        <w:rPr>
          <w:rFonts w:cs="Times New Roman"/>
          <w:sz w:val="22"/>
          <w:szCs w:val="22"/>
          <w:lang w:val="lt-LT"/>
        </w:rPr>
        <w:t xml:space="preserve"> (žr. 4.4 ir 5.2 skyrius). </w:t>
      </w:r>
    </w:p>
    <w:p w:rsidR="00255979" w:rsidRPr="00CA3872" w:rsidRDefault="00255979" w:rsidP="004873B0">
      <w:pPr>
        <w:pStyle w:val="CM13"/>
        <w:numPr>
          <w:ilvl w:val="0"/>
          <w:numId w:val="3"/>
        </w:numPr>
        <w:spacing w:after="275" w:line="276" w:lineRule="atLeast"/>
        <w:ind w:left="0"/>
        <w:rPr>
          <w:rFonts w:cs="Times New Roman"/>
          <w:sz w:val="22"/>
          <w:szCs w:val="22"/>
          <w:lang w:val="lt-LT"/>
        </w:rPr>
      </w:pPr>
      <w:r w:rsidRPr="00CA3872">
        <w:rPr>
          <w:rFonts w:cs="Times New Roman"/>
          <w:i/>
          <w:iCs/>
          <w:sz w:val="22"/>
          <w:szCs w:val="22"/>
          <w:lang w:val="lt-LT"/>
        </w:rPr>
        <w:t xml:space="preserve">Kepenų nepakankamumu sergantys pacientai </w:t>
      </w:r>
    </w:p>
    <w:p w:rsidR="00255979" w:rsidRPr="00CA3872" w:rsidRDefault="00255979" w:rsidP="004873B0">
      <w:pPr>
        <w:pStyle w:val="CM13"/>
        <w:spacing w:after="275" w:line="276" w:lineRule="atLeast"/>
        <w:rPr>
          <w:rFonts w:cs="Times New Roman"/>
          <w:sz w:val="22"/>
          <w:szCs w:val="22"/>
          <w:lang w:val="lt-LT"/>
        </w:rPr>
      </w:pPr>
      <w:r w:rsidRPr="00CA3872">
        <w:rPr>
          <w:rFonts w:cs="Times New Roman"/>
          <w:sz w:val="22"/>
          <w:szCs w:val="22"/>
          <w:lang w:val="lt-LT"/>
        </w:rPr>
        <w:t>I fazės tyrimo metu dalyvavo pacientai, sergantys įvairaus laipsnio kepenų funkcijos sutrikimu. Kepenų ir tulžies pūslės sutrikimų dažn</w:t>
      </w:r>
      <w:r>
        <w:rPr>
          <w:rFonts w:cs="Times New Roman"/>
          <w:sz w:val="22"/>
          <w:szCs w:val="22"/>
          <w:lang w:val="lt-LT"/>
        </w:rPr>
        <w:t>is</w:t>
      </w:r>
      <w:r w:rsidRPr="00CA3872">
        <w:rPr>
          <w:rFonts w:cs="Times New Roman"/>
          <w:sz w:val="22"/>
          <w:szCs w:val="22"/>
          <w:lang w:val="lt-LT"/>
        </w:rPr>
        <w:t xml:space="preserve"> ir sunkumas buvo susiję su progresuojančia liga ir sutrikusios kepenų funkcijos tyrimų pradiniais rodikliais.  Klinikinių tyrimų metu pacientams, kurių kepenų funkcijos tyrimų rodikliai buvo pakitę, vaistinio preparato dozė nebuvo keista.  </w:t>
      </w:r>
    </w:p>
    <w:p w:rsidR="00255979" w:rsidRPr="00CA3872" w:rsidRDefault="00255979" w:rsidP="004873B0">
      <w:pPr>
        <w:pStyle w:val="CM13"/>
        <w:numPr>
          <w:ilvl w:val="0"/>
          <w:numId w:val="3"/>
        </w:numPr>
        <w:spacing w:after="275" w:line="276" w:lineRule="atLeast"/>
        <w:ind w:left="0"/>
        <w:rPr>
          <w:rFonts w:cs="Times New Roman"/>
          <w:sz w:val="22"/>
          <w:szCs w:val="22"/>
          <w:lang w:val="lt-LT"/>
        </w:rPr>
      </w:pPr>
      <w:r w:rsidRPr="00CA3872">
        <w:rPr>
          <w:rFonts w:cs="Times New Roman"/>
          <w:i/>
          <w:iCs/>
          <w:sz w:val="22"/>
          <w:szCs w:val="22"/>
          <w:lang w:val="lt-LT"/>
        </w:rPr>
        <w:t xml:space="preserve">Senyvi pacientai </w:t>
      </w:r>
    </w:p>
    <w:p w:rsidR="00255979" w:rsidRPr="004873B0" w:rsidRDefault="00255979" w:rsidP="004873B0">
      <w:pPr>
        <w:pStyle w:val="CM6"/>
        <w:rPr>
          <w:rFonts w:cs="Times New Roman"/>
          <w:sz w:val="22"/>
          <w:szCs w:val="22"/>
          <w:lang w:val="lt-LT"/>
        </w:rPr>
      </w:pPr>
      <w:r w:rsidRPr="00CA3872">
        <w:rPr>
          <w:rFonts w:cs="Times New Roman"/>
          <w:sz w:val="22"/>
          <w:szCs w:val="22"/>
          <w:lang w:val="lt-LT"/>
        </w:rPr>
        <w:t xml:space="preserve">Preparatą vartojant vyresniems nei 65 metų pacientams, nei gydant vien tik oksaliplatina, nei kartu su 5-fluorouracilu (5FU), stipraus toksinio poveikio padidėjimo pastebėta nebuvo. Vadinasi, specialiai </w:t>
      </w:r>
      <w:r w:rsidRPr="004873B0">
        <w:rPr>
          <w:rFonts w:cs="Times New Roman"/>
          <w:sz w:val="22"/>
          <w:szCs w:val="22"/>
          <w:lang w:val="lt-LT"/>
        </w:rPr>
        <w:t xml:space="preserve">senyviems pacientams dozės koreguoti nereikia.  </w:t>
      </w:r>
    </w:p>
    <w:p w:rsidR="00255979" w:rsidRPr="004873B0" w:rsidRDefault="00255979" w:rsidP="004873B0">
      <w:pPr>
        <w:pStyle w:val="Default"/>
        <w:rPr>
          <w:sz w:val="22"/>
          <w:szCs w:val="22"/>
          <w:lang w:val="lt-LT"/>
        </w:rPr>
      </w:pPr>
    </w:p>
    <w:p w:rsidR="00255979" w:rsidRPr="004873B0" w:rsidRDefault="00255979" w:rsidP="004873B0">
      <w:pPr>
        <w:pStyle w:val="CM13"/>
        <w:numPr>
          <w:ilvl w:val="0"/>
          <w:numId w:val="3"/>
        </w:numPr>
        <w:spacing w:line="276" w:lineRule="atLeast"/>
        <w:ind w:left="0" w:hanging="357"/>
        <w:rPr>
          <w:rFonts w:cs="Times New Roman"/>
          <w:sz w:val="22"/>
          <w:szCs w:val="22"/>
          <w:lang w:val="lt-LT"/>
        </w:rPr>
      </w:pPr>
      <w:r w:rsidRPr="004873B0">
        <w:rPr>
          <w:rFonts w:cs="Times New Roman"/>
          <w:i/>
          <w:iCs/>
          <w:sz w:val="22"/>
          <w:szCs w:val="22"/>
          <w:lang w:val="lt-LT"/>
        </w:rPr>
        <w:t xml:space="preserve">Vaikų populiacija </w:t>
      </w:r>
    </w:p>
    <w:p w:rsidR="00255979" w:rsidRPr="004873B0" w:rsidRDefault="00255979" w:rsidP="004873B0">
      <w:pPr>
        <w:pStyle w:val="CM13"/>
        <w:spacing w:line="278" w:lineRule="atLeast"/>
        <w:rPr>
          <w:rFonts w:cs="Times New Roman"/>
          <w:sz w:val="22"/>
          <w:szCs w:val="22"/>
          <w:lang w:val="lt-LT"/>
        </w:rPr>
      </w:pPr>
      <w:r w:rsidRPr="004873B0">
        <w:rPr>
          <w:rFonts w:cs="Times New Roman"/>
          <w:sz w:val="22"/>
          <w:szCs w:val="22"/>
          <w:lang w:val="lt-LT"/>
        </w:rPr>
        <w:t xml:space="preserve">Vaikams aktualių oksaliplatinos indikacijų nėra. Atskirai vartojamos oksaliplatinos veiksmingumas vaikams, sergantiems solidiniais navikais, nenustatytas (žr. 5.1 skyrių). </w:t>
      </w:r>
    </w:p>
    <w:p w:rsidR="00255979" w:rsidRPr="004873B0" w:rsidRDefault="00255979" w:rsidP="004873B0">
      <w:pPr>
        <w:rPr>
          <w:sz w:val="22"/>
          <w:szCs w:val="22"/>
          <w:lang w:eastAsia="ja-JP" w:bidi="lo-LA"/>
        </w:rPr>
      </w:pPr>
    </w:p>
    <w:p w:rsidR="00255979" w:rsidRPr="004873B0" w:rsidRDefault="00255979" w:rsidP="004873B0">
      <w:pPr>
        <w:pStyle w:val="CM13"/>
        <w:spacing w:line="278" w:lineRule="atLeast"/>
        <w:rPr>
          <w:rFonts w:cs="Times New Roman"/>
          <w:sz w:val="22"/>
          <w:szCs w:val="22"/>
          <w:u w:val="single"/>
          <w:lang w:val="lt-LT"/>
        </w:rPr>
      </w:pPr>
      <w:r w:rsidRPr="004873B0">
        <w:rPr>
          <w:rFonts w:cs="Times New Roman"/>
          <w:sz w:val="22"/>
          <w:szCs w:val="22"/>
          <w:u w:val="single"/>
          <w:lang w:val="lt-LT"/>
        </w:rPr>
        <w:t xml:space="preserve">Vartojimo metodas </w:t>
      </w:r>
    </w:p>
    <w:p w:rsidR="00255979" w:rsidRPr="004873B0" w:rsidRDefault="00255979" w:rsidP="004873B0">
      <w:pPr>
        <w:rPr>
          <w:sz w:val="22"/>
          <w:szCs w:val="22"/>
          <w:lang w:eastAsia="ja-JP" w:bidi="lo-LA"/>
        </w:rPr>
      </w:pPr>
    </w:p>
    <w:p w:rsidR="00255979" w:rsidRPr="004873B0" w:rsidRDefault="00255979" w:rsidP="004873B0">
      <w:pPr>
        <w:pStyle w:val="CM13"/>
        <w:spacing w:line="278" w:lineRule="atLeast"/>
        <w:rPr>
          <w:rFonts w:cs="Times New Roman"/>
          <w:sz w:val="22"/>
          <w:szCs w:val="22"/>
          <w:lang w:val="lt-LT"/>
        </w:rPr>
      </w:pPr>
      <w:r w:rsidRPr="004873B0">
        <w:rPr>
          <w:rFonts w:cs="Times New Roman"/>
          <w:sz w:val="22"/>
          <w:szCs w:val="22"/>
          <w:lang w:val="lt-LT"/>
        </w:rPr>
        <w:t>Oksaliplatina infuzijos būdu vartojama į veną.</w:t>
      </w:r>
    </w:p>
    <w:p w:rsidR="00255979" w:rsidRPr="004873B0" w:rsidRDefault="00255979" w:rsidP="004873B0">
      <w:pPr>
        <w:pStyle w:val="CM13"/>
        <w:spacing w:line="278" w:lineRule="atLeast"/>
        <w:rPr>
          <w:rFonts w:cs="Times New Roman"/>
          <w:sz w:val="22"/>
          <w:szCs w:val="22"/>
          <w:lang w:val="lt-LT"/>
        </w:rPr>
      </w:pPr>
      <w:r w:rsidRPr="004873B0">
        <w:rPr>
          <w:rFonts w:cs="Times New Roman"/>
          <w:sz w:val="22"/>
          <w:szCs w:val="22"/>
          <w:lang w:val="lt-LT"/>
        </w:rPr>
        <w:t xml:space="preserve">Prieš oksaliplatinos infuziją paciento organizmo papildyti skysčiais nebūtina.   </w:t>
      </w:r>
    </w:p>
    <w:p w:rsidR="00255979" w:rsidRPr="004873B0" w:rsidRDefault="00255979" w:rsidP="004873B0">
      <w:pPr>
        <w:pStyle w:val="CM13"/>
        <w:spacing w:line="278" w:lineRule="atLeast"/>
        <w:rPr>
          <w:rFonts w:cs="Times New Roman"/>
          <w:sz w:val="22"/>
          <w:szCs w:val="22"/>
          <w:lang w:val="lt-LT"/>
        </w:rPr>
      </w:pPr>
      <w:r w:rsidRPr="004873B0">
        <w:rPr>
          <w:rFonts w:cs="Times New Roman"/>
          <w:sz w:val="22"/>
          <w:szCs w:val="22"/>
          <w:lang w:val="lt-LT"/>
        </w:rPr>
        <w:t xml:space="preserve">Oksaliplatina, praskiesta 250–500 ml 5 % gliukozės tirpalu (50 mg/ml) taip, kad koncentracija būtų ne mažesnė nei 0,2 mg/ml, turi būti sulašinta į periferinę arba į centrinę veną per 2–6 valandas. Visada būtina pradžioje infuzuoti oksaliplatiną, o po to – 5-fluorouracilą (5FU).  </w:t>
      </w:r>
    </w:p>
    <w:p w:rsidR="00255979" w:rsidRPr="004873B0" w:rsidRDefault="00255979" w:rsidP="004873B0">
      <w:pPr>
        <w:pStyle w:val="CM13"/>
        <w:spacing w:line="278" w:lineRule="atLeast"/>
        <w:rPr>
          <w:rFonts w:cs="Times New Roman"/>
          <w:sz w:val="22"/>
          <w:szCs w:val="22"/>
          <w:lang w:val="lt-LT"/>
        </w:rPr>
      </w:pPr>
      <w:r w:rsidRPr="004873B0">
        <w:rPr>
          <w:rFonts w:cs="Times New Roman"/>
          <w:sz w:val="22"/>
          <w:szCs w:val="22"/>
          <w:lang w:val="lt-LT"/>
        </w:rPr>
        <w:t xml:space="preserve">Įvykus ekstravazacijai infuziją reikia nedelsiant nutraukti.  </w:t>
      </w:r>
    </w:p>
    <w:p w:rsidR="00255979" w:rsidRPr="004873B0" w:rsidRDefault="00255979" w:rsidP="004873B0">
      <w:pPr>
        <w:rPr>
          <w:sz w:val="22"/>
          <w:szCs w:val="22"/>
          <w:lang w:eastAsia="ja-JP" w:bidi="lo-LA"/>
        </w:rPr>
      </w:pPr>
    </w:p>
    <w:p w:rsidR="00255979" w:rsidRPr="004873B0" w:rsidRDefault="00255979" w:rsidP="004873B0">
      <w:pPr>
        <w:pStyle w:val="CM13"/>
        <w:spacing w:line="278" w:lineRule="atLeast"/>
        <w:rPr>
          <w:rFonts w:cs="Times New Roman"/>
          <w:sz w:val="22"/>
          <w:szCs w:val="22"/>
          <w:u w:val="single"/>
          <w:lang w:val="lt-LT"/>
        </w:rPr>
      </w:pPr>
      <w:r w:rsidRPr="004873B0">
        <w:rPr>
          <w:rFonts w:cs="Times New Roman"/>
          <w:sz w:val="22"/>
          <w:szCs w:val="22"/>
          <w:u w:val="single"/>
          <w:lang w:val="lt-LT"/>
        </w:rPr>
        <w:t xml:space="preserve">Naudojimo instrukcijos </w:t>
      </w:r>
    </w:p>
    <w:p w:rsidR="00255979" w:rsidRPr="004873B0" w:rsidRDefault="00255979" w:rsidP="004873B0">
      <w:pPr>
        <w:rPr>
          <w:sz w:val="22"/>
          <w:szCs w:val="22"/>
          <w:lang w:eastAsia="ja-JP" w:bidi="lo-LA"/>
        </w:rPr>
      </w:pPr>
    </w:p>
    <w:p w:rsidR="00255979" w:rsidRPr="004873B0" w:rsidRDefault="00255979" w:rsidP="004873B0">
      <w:pPr>
        <w:pStyle w:val="CM13"/>
        <w:spacing w:line="278" w:lineRule="atLeast"/>
        <w:rPr>
          <w:rFonts w:cs="Times New Roman"/>
          <w:sz w:val="22"/>
          <w:szCs w:val="22"/>
          <w:lang w:val="lt-LT"/>
        </w:rPr>
      </w:pPr>
      <w:r w:rsidRPr="004873B0">
        <w:rPr>
          <w:rFonts w:cs="Times New Roman"/>
          <w:sz w:val="22"/>
          <w:szCs w:val="22"/>
          <w:lang w:val="lt-LT"/>
        </w:rPr>
        <w:t xml:space="preserve">Oksaliplatina tirpinama ir toliau skiedžiama tik prieš pat vartojimą. Tirpinti išdžiovintą šaltyje vaistinį preparatą galima tik gliukozės 5 % tirpalą (50 mg/ml) arba injekcinį vandenį. Skiedimui galima naudoti tik 5 % gliukozę (50 mg/ml) (žr. 6.6 skyrių). </w:t>
      </w:r>
    </w:p>
    <w:p w:rsidR="00255979" w:rsidRPr="004873B0" w:rsidRDefault="00255979" w:rsidP="004873B0">
      <w:pPr>
        <w:pStyle w:val="BTEMEASMCA"/>
        <w:rPr>
          <w:noProof w:val="0"/>
          <w:szCs w:val="22"/>
        </w:rPr>
      </w:pPr>
    </w:p>
    <w:p w:rsidR="00255979" w:rsidRPr="004873B0" w:rsidRDefault="00255979" w:rsidP="004873B0">
      <w:pPr>
        <w:pStyle w:val="PI-2EMEASMCA"/>
      </w:pPr>
      <w:bookmarkStart w:id="16" w:name="_Toc129243104"/>
      <w:bookmarkStart w:id="17" w:name="_Toc129243229"/>
      <w:r w:rsidRPr="004873B0">
        <w:t>4.3</w:t>
      </w:r>
      <w:r w:rsidRPr="004873B0">
        <w:tab/>
        <w:t>Kontraindikacijos</w:t>
      </w:r>
      <w:bookmarkEnd w:id="16"/>
      <w:bookmarkEnd w:id="17"/>
    </w:p>
    <w:p w:rsidR="00255979" w:rsidRPr="004873B0" w:rsidRDefault="00255979" w:rsidP="004873B0">
      <w:pPr>
        <w:pStyle w:val="BTEMEASMCA"/>
        <w:rPr>
          <w:noProof w:val="0"/>
          <w:szCs w:val="22"/>
        </w:rPr>
      </w:pPr>
    </w:p>
    <w:p w:rsidR="00255979" w:rsidRPr="00CA3872" w:rsidRDefault="00255979" w:rsidP="004873B0">
      <w:pPr>
        <w:widowControl w:val="0"/>
        <w:tabs>
          <w:tab w:val="left" w:pos="0"/>
          <w:tab w:val="left" w:pos="180"/>
        </w:tabs>
        <w:autoSpaceDE w:val="0"/>
        <w:autoSpaceDN w:val="0"/>
        <w:adjustRightInd w:val="0"/>
        <w:spacing w:after="275" w:line="278" w:lineRule="atLeast"/>
        <w:rPr>
          <w:rFonts w:eastAsia="MS Mincho"/>
          <w:sz w:val="23"/>
          <w:szCs w:val="23"/>
          <w:lang w:eastAsia="ja-JP" w:bidi="lo-LA"/>
        </w:rPr>
      </w:pPr>
      <w:r w:rsidRPr="00CA3872">
        <w:rPr>
          <w:rFonts w:eastAsia="MS Mincho"/>
          <w:sz w:val="23"/>
          <w:szCs w:val="22"/>
          <w:lang w:eastAsia="ja-JP" w:bidi="lo-LA"/>
        </w:rPr>
        <w:t xml:space="preserve">Oksaliplatiną draudžiama vartoti:  </w:t>
      </w:r>
    </w:p>
    <w:p w:rsidR="00255979" w:rsidRPr="00CA3872" w:rsidRDefault="00255979" w:rsidP="00CA3872">
      <w:pPr>
        <w:widowControl w:val="0"/>
        <w:tabs>
          <w:tab w:val="left" w:pos="180"/>
        </w:tabs>
        <w:autoSpaceDE w:val="0"/>
        <w:autoSpaceDN w:val="0"/>
        <w:adjustRightInd w:val="0"/>
        <w:spacing w:after="275" w:line="276" w:lineRule="atLeast"/>
        <w:ind w:left="180" w:hanging="180"/>
        <w:rPr>
          <w:rFonts w:eastAsia="MS Mincho"/>
          <w:sz w:val="23"/>
          <w:szCs w:val="23"/>
          <w:lang w:eastAsia="ja-JP" w:bidi="lo-LA"/>
        </w:rPr>
      </w:pPr>
      <w:r w:rsidRPr="00CA3872">
        <w:rPr>
          <w:rFonts w:eastAsia="MS Mincho"/>
          <w:sz w:val="23"/>
          <w:szCs w:val="22"/>
          <w:lang w:eastAsia="ja-JP" w:bidi="lo-LA"/>
        </w:rPr>
        <w:lastRenderedPageBreak/>
        <w:t>-</w:t>
      </w:r>
      <w:r w:rsidRPr="00CA3872">
        <w:rPr>
          <w:rFonts w:eastAsia="MS Mincho"/>
          <w:sz w:val="23"/>
          <w:szCs w:val="22"/>
          <w:lang w:eastAsia="ja-JP" w:bidi="lo-LA"/>
        </w:rPr>
        <w:tab/>
        <w:t xml:space="preserve">pacientams, kuriems padidėjęs jautrumas oksaliplatinai arba </w:t>
      </w:r>
      <w:r w:rsidRPr="008F7306">
        <w:rPr>
          <w:sz w:val="22"/>
          <w:szCs w:val="22"/>
        </w:rPr>
        <w:t>bet kuriai pagalbinei medžiagai</w:t>
      </w:r>
      <w:r w:rsidRPr="00CA3872">
        <w:rPr>
          <w:rFonts w:eastAsia="MS Mincho"/>
          <w:sz w:val="23"/>
          <w:szCs w:val="22"/>
          <w:lang w:eastAsia="ja-JP" w:bidi="lo-LA"/>
        </w:rPr>
        <w:t xml:space="preserve">;  </w:t>
      </w:r>
    </w:p>
    <w:p w:rsidR="00255979" w:rsidRPr="00CA3872" w:rsidRDefault="00255979" w:rsidP="00CA3872">
      <w:pPr>
        <w:widowControl w:val="0"/>
        <w:tabs>
          <w:tab w:val="left" w:pos="180"/>
        </w:tabs>
        <w:autoSpaceDE w:val="0"/>
        <w:autoSpaceDN w:val="0"/>
        <w:adjustRightInd w:val="0"/>
        <w:spacing w:after="275" w:line="276" w:lineRule="atLeast"/>
        <w:ind w:left="180" w:hanging="180"/>
        <w:rPr>
          <w:rFonts w:eastAsia="MS Mincho"/>
          <w:sz w:val="23"/>
          <w:szCs w:val="23"/>
          <w:lang w:eastAsia="ja-JP" w:bidi="lo-LA"/>
        </w:rPr>
      </w:pPr>
      <w:r w:rsidRPr="00CA3872">
        <w:rPr>
          <w:rFonts w:eastAsia="MS Mincho"/>
          <w:sz w:val="23"/>
          <w:szCs w:val="22"/>
          <w:lang w:eastAsia="ja-JP" w:bidi="lo-LA"/>
        </w:rPr>
        <w:t>-</w:t>
      </w:r>
      <w:r w:rsidRPr="00CA3872">
        <w:rPr>
          <w:rFonts w:eastAsia="MS Mincho"/>
          <w:sz w:val="23"/>
          <w:szCs w:val="22"/>
          <w:lang w:eastAsia="ja-JP" w:bidi="lo-LA"/>
        </w:rPr>
        <w:tab/>
        <w:t xml:space="preserve">žindymo laikotarpiu; </w:t>
      </w:r>
    </w:p>
    <w:p w:rsidR="00255979" w:rsidRPr="00CA3872" w:rsidRDefault="00255979" w:rsidP="00CA3872">
      <w:pPr>
        <w:widowControl w:val="0"/>
        <w:tabs>
          <w:tab w:val="left" w:pos="180"/>
        </w:tabs>
        <w:autoSpaceDE w:val="0"/>
        <w:autoSpaceDN w:val="0"/>
        <w:adjustRightInd w:val="0"/>
        <w:spacing w:after="275" w:line="276" w:lineRule="atLeast"/>
        <w:ind w:left="180" w:hanging="180"/>
        <w:rPr>
          <w:rFonts w:eastAsia="MS Mincho"/>
          <w:sz w:val="23"/>
          <w:szCs w:val="23"/>
          <w:lang w:eastAsia="ja-JP" w:bidi="lo-LA"/>
        </w:rPr>
      </w:pPr>
      <w:r w:rsidRPr="00CA3872">
        <w:rPr>
          <w:rFonts w:eastAsia="MS Mincho"/>
          <w:sz w:val="23"/>
          <w:szCs w:val="22"/>
          <w:lang w:eastAsia="ja-JP" w:bidi="lo-LA"/>
        </w:rPr>
        <w:t>-</w:t>
      </w:r>
      <w:r w:rsidRPr="00CA3872">
        <w:rPr>
          <w:rFonts w:eastAsia="MS Mincho"/>
          <w:sz w:val="23"/>
          <w:szCs w:val="22"/>
          <w:lang w:eastAsia="ja-JP" w:bidi="lo-LA"/>
        </w:rPr>
        <w:tab/>
        <w:t>esant kaulų čiulpų slopinimui prieš pradedant pirmąjį kursą, kai neutrofilų mažiau negu 2 x 10</w:t>
      </w:r>
      <w:r w:rsidRPr="00CA3872">
        <w:rPr>
          <w:rFonts w:eastAsia="MS Mincho"/>
          <w:position w:val="11"/>
          <w:sz w:val="16"/>
          <w:szCs w:val="16"/>
          <w:vertAlign w:val="superscript"/>
          <w:lang w:eastAsia="ja-JP" w:bidi="lo-LA"/>
        </w:rPr>
        <w:t>9</w:t>
      </w:r>
      <w:r w:rsidRPr="00CA3872">
        <w:rPr>
          <w:rFonts w:eastAsia="MS Mincho"/>
          <w:sz w:val="23"/>
          <w:szCs w:val="22"/>
          <w:lang w:eastAsia="ja-JP" w:bidi="lo-LA"/>
        </w:rPr>
        <w:t>/l ir (arba) trombocitų skaičius mažesnis negu 100 x 10</w:t>
      </w:r>
      <w:r w:rsidRPr="00CA3872">
        <w:rPr>
          <w:rFonts w:eastAsia="MS Mincho"/>
          <w:position w:val="11"/>
          <w:sz w:val="16"/>
          <w:szCs w:val="16"/>
          <w:vertAlign w:val="superscript"/>
          <w:lang w:eastAsia="ja-JP" w:bidi="lo-LA"/>
        </w:rPr>
        <w:t>9</w:t>
      </w:r>
      <w:r w:rsidRPr="00CA3872">
        <w:rPr>
          <w:rFonts w:eastAsia="MS Mincho"/>
          <w:sz w:val="23"/>
          <w:szCs w:val="22"/>
          <w:lang w:eastAsia="ja-JP" w:bidi="lo-LA"/>
        </w:rPr>
        <w:t xml:space="preserve">/l; </w:t>
      </w:r>
    </w:p>
    <w:p w:rsidR="00255979" w:rsidRPr="00CA3872" w:rsidRDefault="00255979" w:rsidP="00CA3872">
      <w:pPr>
        <w:widowControl w:val="0"/>
        <w:tabs>
          <w:tab w:val="left" w:pos="180"/>
        </w:tabs>
        <w:autoSpaceDE w:val="0"/>
        <w:autoSpaceDN w:val="0"/>
        <w:adjustRightInd w:val="0"/>
        <w:spacing w:after="275" w:line="276" w:lineRule="atLeast"/>
        <w:ind w:left="180" w:hanging="180"/>
        <w:rPr>
          <w:rFonts w:eastAsia="MS Mincho"/>
          <w:color w:val="000000"/>
          <w:sz w:val="23"/>
          <w:szCs w:val="23"/>
          <w:lang w:eastAsia="ja-JP" w:bidi="lo-LA"/>
        </w:rPr>
      </w:pPr>
      <w:r w:rsidRPr="00CA3872">
        <w:rPr>
          <w:rFonts w:eastAsia="MS Mincho"/>
          <w:sz w:val="23"/>
          <w:szCs w:val="22"/>
          <w:lang w:eastAsia="ja-JP" w:bidi="lo-LA"/>
        </w:rPr>
        <w:t>-</w:t>
      </w:r>
      <w:r w:rsidRPr="00CA3872">
        <w:rPr>
          <w:rFonts w:eastAsia="MS Mincho"/>
          <w:sz w:val="23"/>
          <w:szCs w:val="22"/>
          <w:lang w:eastAsia="ja-JP" w:bidi="lo-LA"/>
        </w:rPr>
        <w:tab/>
        <w:t>prieš pirmąjį gydymo kursą nustatyta periferinė  sensorinė</w:t>
      </w:r>
      <w:r w:rsidRPr="00CA3872">
        <w:rPr>
          <w:rFonts w:eastAsia="MS Mincho"/>
          <w:color w:val="0000FF"/>
          <w:sz w:val="23"/>
          <w:szCs w:val="22"/>
          <w:lang w:eastAsia="ja-JP" w:bidi="lo-LA"/>
        </w:rPr>
        <w:t xml:space="preserve"> </w:t>
      </w:r>
      <w:r w:rsidRPr="00CA3872">
        <w:rPr>
          <w:rFonts w:eastAsia="MS Mincho"/>
          <w:color w:val="000000"/>
          <w:sz w:val="23"/>
          <w:szCs w:val="22"/>
          <w:lang w:eastAsia="ja-JP" w:bidi="lo-LA"/>
        </w:rPr>
        <w:t xml:space="preserve">neuropatija, sukėlusi funkcijos sutrikimą; </w:t>
      </w:r>
    </w:p>
    <w:p w:rsidR="00255979" w:rsidRPr="00CA3872" w:rsidRDefault="00255979" w:rsidP="004873B0">
      <w:pPr>
        <w:widowControl w:val="0"/>
        <w:tabs>
          <w:tab w:val="left" w:pos="180"/>
        </w:tabs>
        <w:autoSpaceDE w:val="0"/>
        <w:autoSpaceDN w:val="0"/>
        <w:adjustRightInd w:val="0"/>
        <w:spacing w:after="275" w:line="276" w:lineRule="atLeast"/>
        <w:ind w:left="180" w:right="82" w:hanging="180"/>
        <w:rPr>
          <w:rFonts w:eastAsia="MS Mincho"/>
          <w:color w:val="000000"/>
          <w:sz w:val="23"/>
          <w:szCs w:val="23"/>
          <w:lang w:eastAsia="ja-JP" w:bidi="lo-LA"/>
        </w:rPr>
      </w:pPr>
      <w:r w:rsidRPr="00CA3872">
        <w:rPr>
          <w:rFonts w:eastAsia="MS Mincho"/>
          <w:color w:val="000000"/>
          <w:sz w:val="23"/>
          <w:szCs w:val="22"/>
          <w:lang w:eastAsia="ja-JP" w:bidi="lo-LA"/>
        </w:rPr>
        <w:t>-</w:t>
      </w:r>
      <w:r w:rsidRPr="00CA3872">
        <w:rPr>
          <w:rFonts w:eastAsia="MS Mincho"/>
          <w:color w:val="000000"/>
          <w:sz w:val="23"/>
          <w:szCs w:val="22"/>
          <w:lang w:eastAsia="ja-JP" w:bidi="lo-LA"/>
        </w:rPr>
        <w:tab/>
        <w:t xml:space="preserve">esant sunkiam inkstų funkcijos sutrikimui (kreatinino klirensas mažesnis negu 30 ml/min.) (žr. 5.2 skyrių). </w:t>
      </w:r>
    </w:p>
    <w:p w:rsidR="00255979" w:rsidRPr="0084041E" w:rsidRDefault="00255979" w:rsidP="004873B0">
      <w:pPr>
        <w:pStyle w:val="BTEMEASMCA"/>
        <w:rPr>
          <w:noProof w:val="0"/>
        </w:rPr>
      </w:pPr>
    </w:p>
    <w:p w:rsidR="00255979" w:rsidRDefault="00255979" w:rsidP="004873B0">
      <w:pPr>
        <w:pStyle w:val="PI-2EMEASMCA"/>
      </w:pPr>
      <w:bookmarkStart w:id="18" w:name="_Toc129243105"/>
      <w:bookmarkStart w:id="19" w:name="_Toc129243230"/>
      <w:r w:rsidRPr="0084041E">
        <w:t>4.4</w:t>
      </w:r>
      <w:r w:rsidRPr="0084041E">
        <w:tab/>
        <w:t>Specialūs įspėjimai ir atsargumo priemonės</w:t>
      </w:r>
      <w:bookmarkEnd w:id="18"/>
      <w:bookmarkEnd w:id="19"/>
    </w:p>
    <w:p w:rsidR="00255979" w:rsidRPr="0084041E" w:rsidRDefault="00255979" w:rsidP="004873B0">
      <w:pPr>
        <w:pStyle w:val="PI-2EMEASMCA"/>
      </w:pPr>
    </w:p>
    <w:p w:rsidR="00255979" w:rsidRPr="00CA3872" w:rsidRDefault="00255979" w:rsidP="004873B0">
      <w:pPr>
        <w:pStyle w:val="CM6"/>
        <w:pBdr>
          <w:top w:val="single" w:sz="4" w:space="1" w:color="auto"/>
          <w:left w:val="single" w:sz="4" w:space="4" w:color="auto"/>
          <w:bottom w:val="single" w:sz="4" w:space="1" w:color="auto"/>
          <w:right w:val="single" w:sz="4" w:space="4" w:color="auto"/>
        </w:pBdr>
        <w:rPr>
          <w:rFonts w:cs="Times New Roman"/>
          <w:color w:val="000000"/>
          <w:sz w:val="22"/>
          <w:szCs w:val="22"/>
          <w:lang w:val="lt-LT"/>
        </w:rPr>
      </w:pPr>
      <w:r w:rsidRPr="00CA3872">
        <w:rPr>
          <w:rFonts w:cs="Times New Roman"/>
          <w:color w:val="000000"/>
          <w:sz w:val="22"/>
          <w:szCs w:val="22"/>
          <w:lang w:val="lt-LT"/>
        </w:rPr>
        <w:t xml:space="preserve">Oksaliplatiną galima vartoti tik specializuotuose onkologijos skyriuose, prižiūrint patyrusiam gydytojui onkologui. </w:t>
      </w:r>
    </w:p>
    <w:p w:rsidR="00255979" w:rsidRDefault="00255979" w:rsidP="004873B0">
      <w:pPr>
        <w:pStyle w:val="CM6"/>
        <w:rPr>
          <w:rFonts w:cs="Times New Roman"/>
          <w:i/>
          <w:iCs/>
          <w:color w:val="000000"/>
          <w:sz w:val="22"/>
          <w:szCs w:val="22"/>
          <w:u w:val="single"/>
          <w:lang w:val="lt-LT"/>
        </w:rPr>
      </w:pPr>
    </w:p>
    <w:p w:rsidR="00255979" w:rsidRPr="00CA3872" w:rsidRDefault="00255979" w:rsidP="004873B0">
      <w:pPr>
        <w:pStyle w:val="CM6"/>
        <w:rPr>
          <w:rFonts w:cs="Times New Roman"/>
          <w:color w:val="000000"/>
          <w:sz w:val="22"/>
          <w:szCs w:val="22"/>
          <w:lang w:val="lt-LT"/>
        </w:rPr>
      </w:pPr>
      <w:r w:rsidRPr="00CA3872">
        <w:rPr>
          <w:rFonts w:cs="Times New Roman"/>
          <w:i/>
          <w:iCs/>
          <w:color w:val="000000"/>
          <w:sz w:val="22"/>
          <w:szCs w:val="22"/>
          <w:u w:val="single"/>
          <w:lang w:val="lt-LT"/>
        </w:rPr>
        <w:t xml:space="preserve">Pacientai, kurių inkstų funkcija sutrikusi </w:t>
      </w:r>
    </w:p>
    <w:p w:rsidR="00255979" w:rsidRPr="00CA3872" w:rsidRDefault="00255979" w:rsidP="004873B0">
      <w:pPr>
        <w:pStyle w:val="CM13"/>
        <w:spacing w:after="275" w:line="276" w:lineRule="atLeast"/>
        <w:rPr>
          <w:rFonts w:cs="Times New Roman"/>
          <w:color w:val="000000"/>
          <w:sz w:val="22"/>
          <w:szCs w:val="22"/>
          <w:lang w:val="lt-LT"/>
        </w:rPr>
      </w:pPr>
      <w:r w:rsidRPr="00CA3872">
        <w:rPr>
          <w:rFonts w:cs="Times New Roman"/>
          <w:color w:val="000000"/>
          <w:sz w:val="22"/>
          <w:szCs w:val="22"/>
          <w:lang w:val="lt-LT"/>
        </w:rPr>
        <w:t xml:space="preserve">Pacientai, turintys nedidelį ar vidutinį inkstų sutrikimą turėtų būti atidžiai stebimi dėl nepageidaujamų reakcijų, o dozė koreguojama atsižvelgiant į toksinį poveikį (žr. 5.2 skyrių). </w:t>
      </w:r>
    </w:p>
    <w:p w:rsidR="00255979" w:rsidRPr="00CA3872" w:rsidRDefault="00255979" w:rsidP="004873B0">
      <w:pPr>
        <w:pStyle w:val="CM13"/>
        <w:spacing w:after="275" w:line="276" w:lineRule="atLeast"/>
        <w:rPr>
          <w:rFonts w:cs="Times New Roman"/>
          <w:color w:val="000000"/>
          <w:sz w:val="22"/>
          <w:szCs w:val="22"/>
          <w:lang w:val="lt-LT"/>
        </w:rPr>
      </w:pPr>
      <w:r w:rsidRPr="00CA3872">
        <w:rPr>
          <w:rFonts w:cs="Times New Roman"/>
          <w:i/>
          <w:iCs/>
          <w:color w:val="000000"/>
          <w:sz w:val="22"/>
          <w:szCs w:val="22"/>
          <w:u w:val="single"/>
          <w:lang w:val="lt-LT"/>
        </w:rPr>
        <w:t xml:space="preserve">Padidėjusio jautrumo reakcijos </w:t>
      </w:r>
      <w:r w:rsidRPr="00CA3872">
        <w:rPr>
          <w:rFonts w:cs="Times New Roman"/>
          <w:color w:val="000000"/>
          <w:sz w:val="22"/>
          <w:szCs w:val="22"/>
          <w:lang w:val="lt-LT"/>
        </w:rPr>
        <w:t xml:space="preserve">Pacientus, kuriems kiti preparatai, kurių sudėtyje yra platinos, sukėlė alergiją, būtina stebėti dėl galimos alerginės reakcijos.  Jei oksaliplatina sukelia į anafilaksiją panašią reakciją, infuziją reikia nedelsiant nutraukti ir pradėti tinkamą simptominį gydymą. Toliau vartoti oksaliplatiną šiems pacientams negalima. Buvo pranešta apie kryžmines reakcijas, kartais mirtinas, su visais platinos junginiais. </w:t>
      </w:r>
    </w:p>
    <w:p w:rsidR="00255979" w:rsidRPr="00CA3872" w:rsidRDefault="00255979" w:rsidP="004873B0">
      <w:pPr>
        <w:pStyle w:val="CM13"/>
        <w:spacing w:after="275" w:line="276" w:lineRule="atLeast"/>
        <w:rPr>
          <w:rFonts w:cs="Times New Roman"/>
          <w:color w:val="000000"/>
          <w:sz w:val="22"/>
          <w:szCs w:val="22"/>
          <w:lang w:val="lt-LT"/>
        </w:rPr>
      </w:pPr>
      <w:r w:rsidRPr="00CA3872">
        <w:rPr>
          <w:rFonts w:cs="Times New Roman"/>
          <w:color w:val="000000"/>
          <w:sz w:val="22"/>
          <w:szCs w:val="22"/>
          <w:lang w:val="lt-LT"/>
        </w:rPr>
        <w:t xml:space="preserve">Oksaliplatinos ekstravazacijos atveju infuziją reikia nedelsiant nutraukti ir pradėti įprastinį lokalų simptomų gydymą.  </w:t>
      </w:r>
    </w:p>
    <w:p w:rsidR="00255979" w:rsidRPr="00CA3872" w:rsidRDefault="00255979" w:rsidP="004873B0">
      <w:pPr>
        <w:pStyle w:val="CM6"/>
        <w:rPr>
          <w:rFonts w:cs="Times New Roman"/>
          <w:color w:val="000000"/>
          <w:sz w:val="22"/>
          <w:szCs w:val="22"/>
          <w:lang w:val="lt-LT"/>
        </w:rPr>
      </w:pPr>
      <w:r w:rsidRPr="00CA3872">
        <w:rPr>
          <w:rFonts w:cs="Times New Roman"/>
          <w:i/>
          <w:iCs/>
          <w:color w:val="000000"/>
          <w:sz w:val="22"/>
          <w:szCs w:val="22"/>
          <w:u w:val="single"/>
          <w:lang w:val="lt-LT"/>
        </w:rPr>
        <w:t xml:space="preserve">Neurologiniai simptomai </w:t>
      </w:r>
    </w:p>
    <w:p w:rsidR="00255979" w:rsidRPr="00CA3872" w:rsidRDefault="00255979" w:rsidP="004873B0">
      <w:pPr>
        <w:pStyle w:val="CM13"/>
        <w:spacing w:after="275" w:line="276" w:lineRule="atLeast"/>
        <w:rPr>
          <w:rFonts w:cs="Times New Roman"/>
          <w:color w:val="000000"/>
          <w:sz w:val="22"/>
          <w:szCs w:val="22"/>
          <w:lang w:val="lt-LT"/>
        </w:rPr>
      </w:pPr>
      <w:r w:rsidRPr="00CA3872">
        <w:rPr>
          <w:rFonts w:cs="Times New Roman"/>
          <w:color w:val="000000"/>
          <w:sz w:val="22"/>
          <w:szCs w:val="22"/>
          <w:lang w:val="lt-LT"/>
        </w:rPr>
        <w:t xml:space="preserve">Labai svarbu stebėti, ar neryškėja neurotoksinis oksaliplatinos poveikis, ypač jei kartu vartojama kitų vaistinių preparatų, galinčių sukelti tokį poveikį. Prieš kiekvieną infuziją bei vėliau būtina reguliariai tirti neurologinę būklę.  </w:t>
      </w:r>
    </w:p>
    <w:p w:rsidR="00255979" w:rsidRPr="00CA3872" w:rsidRDefault="00255979" w:rsidP="004873B0">
      <w:pPr>
        <w:pStyle w:val="CM13"/>
        <w:spacing w:after="275" w:line="276" w:lineRule="atLeast"/>
        <w:rPr>
          <w:rFonts w:cs="Times New Roman"/>
          <w:color w:val="000000"/>
          <w:sz w:val="22"/>
          <w:szCs w:val="22"/>
          <w:lang w:val="lt-LT"/>
        </w:rPr>
      </w:pPr>
      <w:r w:rsidRPr="00CA3872">
        <w:rPr>
          <w:rFonts w:cs="Times New Roman"/>
          <w:color w:val="000000"/>
          <w:sz w:val="22"/>
          <w:szCs w:val="22"/>
          <w:lang w:val="lt-LT"/>
        </w:rPr>
        <w:t xml:space="preserve">Jei dviejų valandų trukmės infuzijos laiku ar per kelias valandas po jos pasireiškia ūminė ryklės ir gerklų disestezija (žr. 4.8 skyrių), taikant kitus gydymo kursus oksaliplatina turi būti sulašinama per 6 valandas.  </w:t>
      </w:r>
    </w:p>
    <w:p w:rsidR="00255979" w:rsidRPr="00CA3872" w:rsidRDefault="00255979" w:rsidP="004873B0">
      <w:pPr>
        <w:pStyle w:val="CM6"/>
        <w:rPr>
          <w:rFonts w:cs="Times New Roman"/>
          <w:color w:val="000000"/>
          <w:sz w:val="22"/>
          <w:szCs w:val="22"/>
          <w:lang w:val="lt-LT"/>
        </w:rPr>
      </w:pPr>
      <w:r w:rsidRPr="00CA3872">
        <w:rPr>
          <w:rFonts w:cs="Times New Roman"/>
          <w:i/>
          <w:iCs/>
          <w:color w:val="000000"/>
          <w:sz w:val="22"/>
          <w:szCs w:val="22"/>
          <w:u w:val="single"/>
          <w:lang w:val="lt-LT"/>
        </w:rPr>
        <w:t xml:space="preserve">Periferinė neuropatija </w:t>
      </w:r>
    </w:p>
    <w:p w:rsidR="00255979" w:rsidRPr="00CA3872" w:rsidRDefault="00255979" w:rsidP="004873B0">
      <w:pPr>
        <w:pStyle w:val="CM13"/>
        <w:spacing w:after="275" w:line="276" w:lineRule="atLeast"/>
        <w:rPr>
          <w:rFonts w:cs="Times New Roman"/>
          <w:color w:val="000000"/>
          <w:sz w:val="22"/>
          <w:szCs w:val="22"/>
          <w:lang w:val="lt-LT"/>
        </w:rPr>
      </w:pPr>
      <w:r w:rsidRPr="00CA3872">
        <w:rPr>
          <w:rFonts w:cs="Times New Roman"/>
          <w:color w:val="000000"/>
          <w:sz w:val="22"/>
          <w:szCs w:val="22"/>
          <w:lang w:val="lt-LT"/>
        </w:rPr>
        <w:t xml:space="preserve">Jei atsiranda neurologinių simptomų (parestezija, disestezija), oksaliplatinos dozę rekomenduojama koreguoti, atsižvelgiant į šių simptomų trukmę ir sunkumą.  </w:t>
      </w:r>
    </w:p>
    <w:p w:rsidR="00255979" w:rsidRPr="00CA3872" w:rsidRDefault="00255979" w:rsidP="004873B0">
      <w:pPr>
        <w:pStyle w:val="CM13"/>
        <w:tabs>
          <w:tab w:val="left" w:pos="180"/>
        </w:tabs>
        <w:spacing w:after="275" w:line="276" w:lineRule="atLeast"/>
        <w:ind w:left="270" w:hanging="360"/>
        <w:rPr>
          <w:rFonts w:cs="Times New Roman"/>
          <w:color w:val="000000"/>
          <w:sz w:val="22"/>
          <w:szCs w:val="22"/>
          <w:lang w:val="lt-LT"/>
        </w:rPr>
      </w:pPr>
      <w:r w:rsidRPr="00CA3872">
        <w:rPr>
          <w:rFonts w:cs="Times New Roman"/>
          <w:color w:val="000000"/>
          <w:sz w:val="22"/>
          <w:szCs w:val="22"/>
          <w:lang w:val="lt-LT"/>
        </w:rPr>
        <w:t>-</w:t>
      </w:r>
      <w:r w:rsidRPr="00CA3872">
        <w:rPr>
          <w:rFonts w:cs="Times New Roman"/>
          <w:color w:val="000000"/>
          <w:sz w:val="22"/>
          <w:szCs w:val="22"/>
          <w:lang w:val="lt-LT"/>
        </w:rPr>
        <w:tab/>
        <w:t>Jei simptomai trunka ilgiau negu septynias paras ir vargina, tolesnę oksaliplatinos dozę reikia mažinti: lašinti ne 85 mg/m</w:t>
      </w:r>
      <w:r w:rsidRPr="00CA3872">
        <w:rPr>
          <w:rFonts w:cs="Times New Roman"/>
          <w:color w:val="000000"/>
          <w:position w:val="11"/>
          <w:sz w:val="22"/>
          <w:szCs w:val="22"/>
          <w:vertAlign w:val="superscript"/>
          <w:lang w:val="lt-LT"/>
        </w:rPr>
        <w:t xml:space="preserve">2 </w:t>
      </w:r>
      <w:r w:rsidRPr="00CA3872">
        <w:rPr>
          <w:rFonts w:cs="Times New Roman"/>
          <w:color w:val="000000"/>
          <w:sz w:val="22"/>
          <w:szCs w:val="22"/>
          <w:lang w:val="lt-LT"/>
        </w:rPr>
        <w:t xml:space="preserve"> kūno paviršiaus ploto, bet 65 mg/m</w:t>
      </w:r>
      <w:r w:rsidRPr="00CA3872">
        <w:rPr>
          <w:rFonts w:cs="Times New Roman"/>
          <w:color w:val="000000"/>
          <w:position w:val="11"/>
          <w:sz w:val="22"/>
          <w:szCs w:val="22"/>
          <w:vertAlign w:val="superscript"/>
          <w:lang w:val="lt-LT"/>
        </w:rPr>
        <w:t xml:space="preserve">2 </w:t>
      </w:r>
      <w:r w:rsidRPr="00CA3872">
        <w:rPr>
          <w:rFonts w:cs="Times New Roman"/>
          <w:color w:val="000000"/>
          <w:sz w:val="22"/>
          <w:szCs w:val="22"/>
          <w:lang w:val="lt-LT"/>
        </w:rPr>
        <w:t xml:space="preserve"> kūno paviršiaus ploto (metastazavusio vėžio gydymo atveju) arba 75 mg/m</w:t>
      </w:r>
      <w:r w:rsidRPr="00CA3872">
        <w:rPr>
          <w:rFonts w:cs="Times New Roman"/>
          <w:color w:val="000000"/>
          <w:position w:val="11"/>
          <w:sz w:val="22"/>
          <w:szCs w:val="22"/>
          <w:vertAlign w:val="superscript"/>
          <w:lang w:val="lt-LT"/>
        </w:rPr>
        <w:t>2</w:t>
      </w:r>
      <w:r w:rsidRPr="00CA3872">
        <w:rPr>
          <w:rFonts w:cs="Times New Roman"/>
          <w:color w:val="000000"/>
          <w:sz w:val="22"/>
          <w:szCs w:val="22"/>
          <w:lang w:val="lt-LT"/>
        </w:rPr>
        <w:t xml:space="preserve"> kūno paviršiaus ploto (pagalbinio gydymo atveju). </w:t>
      </w:r>
    </w:p>
    <w:p w:rsidR="00255979" w:rsidRPr="00CA3872" w:rsidRDefault="00255979" w:rsidP="004873B0">
      <w:pPr>
        <w:pStyle w:val="CM13"/>
        <w:tabs>
          <w:tab w:val="left" w:pos="180"/>
        </w:tabs>
        <w:spacing w:after="275" w:line="276" w:lineRule="atLeast"/>
        <w:ind w:left="270" w:hanging="360"/>
        <w:rPr>
          <w:rFonts w:cs="Times New Roman"/>
          <w:color w:val="000000"/>
          <w:sz w:val="22"/>
          <w:szCs w:val="22"/>
          <w:lang w:val="lt-LT"/>
        </w:rPr>
      </w:pPr>
      <w:r w:rsidRPr="00CA3872">
        <w:rPr>
          <w:rFonts w:cs="Times New Roman"/>
          <w:color w:val="000000"/>
          <w:sz w:val="22"/>
          <w:szCs w:val="22"/>
          <w:lang w:val="lt-LT"/>
        </w:rPr>
        <w:t>-</w:t>
      </w:r>
      <w:r w:rsidRPr="00CA3872">
        <w:rPr>
          <w:rFonts w:cs="Times New Roman"/>
          <w:color w:val="000000"/>
          <w:sz w:val="22"/>
          <w:szCs w:val="22"/>
          <w:lang w:val="lt-LT"/>
        </w:rPr>
        <w:tab/>
        <w:t xml:space="preserve">Jei parestezija išlieka iki kito gydymo kurso, bet netrikdo funkcijos, tolesnę oksaliplatinos dozę </w:t>
      </w:r>
      <w:r w:rsidRPr="00CA3872">
        <w:rPr>
          <w:rFonts w:cs="Times New Roman"/>
          <w:color w:val="000000"/>
          <w:sz w:val="22"/>
          <w:szCs w:val="22"/>
          <w:lang w:val="lt-LT"/>
        </w:rPr>
        <w:lastRenderedPageBreak/>
        <w:t>reikia mažinti: lašinti ne 85 mg/m</w:t>
      </w:r>
      <w:r w:rsidRPr="00CA3872">
        <w:rPr>
          <w:rFonts w:cs="Times New Roman"/>
          <w:color w:val="000000"/>
          <w:position w:val="11"/>
          <w:sz w:val="22"/>
          <w:szCs w:val="22"/>
          <w:vertAlign w:val="superscript"/>
          <w:lang w:val="lt-LT"/>
        </w:rPr>
        <w:t>2</w:t>
      </w:r>
      <w:r w:rsidRPr="00CA3872">
        <w:rPr>
          <w:rFonts w:cs="Times New Roman"/>
          <w:color w:val="000000"/>
          <w:sz w:val="22"/>
          <w:szCs w:val="22"/>
          <w:lang w:val="lt-LT"/>
        </w:rPr>
        <w:t xml:space="preserve"> kūno paviršiaus ploto, bet 65 mg/m</w:t>
      </w:r>
      <w:r w:rsidRPr="00CA3872">
        <w:rPr>
          <w:rFonts w:cs="Times New Roman"/>
          <w:color w:val="000000"/>
          <w:position w:val="11"/>
          <w:sz w:val="22"/>
          <w:szCs w:val="22"/>
          <w:vertAlign w:val="superscript"/>
          <w:lang w:val="lt-LT"/>
        </w:rPr>
        <w:t>2</w:t>
      </w:r>
      <w:r w:rsidRPr="00CA3872">
        <w:rPr>
          <w:rFonts w:cs="Times New Roman"/>
          <w:color w:val="000000"/>
          <w:sz w:val="22"/>
          <w:szCs w:val="22"/>
          <w:lang w:val="lt-LT"/>
        </w:rPr>
        <w:t xml:space="preserve"> kūno paviršiaus ploto (metastazavusio vėžio gydymo atveju) arba 75 mg/m</w:t>
      </w:r>
      <w:r w:rsidRPr="00CA3872">
        <w:rPr>
          <w:rFonts w:cs="Times New Roman"/>
          <w:color w:val="000000"/>
          <w:position w:val="11"/>
          <w:sz w:val="22"/>
          <w:szCs w:val="22"/>
          <w:vertAlign w:val="superscript"/>
          <w:lang w:val="lt-LT"/>
        </w:rPr>
        <w:t>2</w:t>
      </w:r>
      <w:r w:rsidRPr="00CA3872">
        <w:rPr>
          <w:rFonts w:cs="Times New Roman"/>
          <w:color w:val="000000"/>
          <w:sz w:val="22"/>
          <w:szCs w:val="22"/>
          <w:lang w:val="lt-LT"/>
        </w:rPr>
        <w:t xml:space="preserve"> kūno paviršiaus ploto (pagalbinio gydymo atveju).  </w:t>
      </w:r>
    </w:p>
    <w:p w:rsidR="00255979" w:rsidRPr="00CA3872" w:rsidRDefault="00255979" w:rsidP="004873B0">
      <w:pPr>
        <w:pStyle w:val="CM13"/>
        <w:tabs>
          <w:tab w:val="left" w:pos="180"/>
        </w:tabs>
        <w:spacing w:after="275" w:line="276" w:lineRule="atLeast"/>
        <w:ind w:left="270" w:hanging="360"/>
        <w:rPr>
          <w:rFonts w:cs="Times New Roman"/>
          <w:color w:val="000000"/>
          <w:sz w:val="22"/>
          <w:szCs w:val="22"/>
          <w:lang w:val="lt-LT"/>
        </w:rPr>
      </w:pPr>
      <w:r w:rsidRPr="00CA3872">
        <w:rPr>
          <w:rFonts w:cs="Times New Roman"/>
          <w:color w:val="000000"/>
          <w:sz w:val="22"/>
          <w:szCs w:val="22"/>
          <w:lang w:val="lt-LT"/>
        </w:rPr>
        <w:t>-</w:t>
      </w:r>
      <w:r w:rsidRPr="00CA3872">
        <w:rPr>
          <w:rFonts w:cs="Times New Roman"/>
          <w:color w:val="000000"/>
          <w:sz w:val="22"/>
          <w:szCs w:val="22"/>
          <w:lang w:val="lt-LT"/>
        </w:rPr>
        <w:tab/>
        <w:t xml:space="preserve">Jei parestezija išlieka iki kito gydymo kurso ir trikdo funkciją, gydymą oksaliplatina reikia nutraukti. </w:t>
      </w:r>
    </w:p>
    <w:p w:rsidR="00255979" w:rsidRPr="00CA3872" w:rsidRDefault="00255979" w:rsidP="004873B0">
      <w:pPr>
        <w:pStyle w:val="CM13"/>
        <w:tabs>
          <w:tab w:val="left" w:pos="180"/>
        </w:tabs>
        <w:spacing w:after="275" w:line="276" w:lineRule="atLeast"/>
        <w:ind w:left="270" w:hanging="360"/>
        <w:rPr>
          <w:rFonts w:cs="Times New Roman"/>
          <w:color w:val="000000"/>
          <w:sz w:val="22"/>
          <w:szCs w:val="22"/>
          <w:lang w:val="lt-LT"/>
        </w:rPr>
      </w:pPr>
      <w:r w:rsidRPr="00CA3872">
        <w:rPr>
          <w:rFonts w:cs="Times New Roman"/>
          <w:color w:val="000000"/>
          <w:sz w:val="22"/>
          <w:szCs w:val="22"/>
          <w:lang w:val="lt-LT"/>
        </w:rPr>
        <w:t>-</w:t>
      </w:r>
      <w:r w:rsidRPr="00CA3872">
        <w:rPr>
          <w:rFonts w:cs="Times New Roman"/>
          <w:color w:val="000000"/>
          <w:sz w:val="22"/>
          <w:szCs w:val="22"/>
          <w:lang w:val="lt-LT"/>
        </w:rPr>
        <w:tab/>
        <w:t xml:space="preserve">Jei nutraukus gydymą oksaliplatina minėti simptomai palengvėja, galima svarstyti galimybę atnaujinti gydymą.  </w:t>
      </w:r>
    </w:p>
    <w:p w:rsidR="00255979" w:rsidRPr="00CA3872" w:rsidRDefault="00255979" w:rsidP="004873B0">
      <w:pPr>
        <w:pStyle w:val="CM6"/>
        <w:rPr>
          <w:rFonts w:cs="Times New Roman"/>
          <w:color w:val="000000"/>
          <w:sz w:val="22"/>
          <w:szCs w:val="22"/>
          <w:lang w:val="lt-LT"/>
        </w:rPr>
      </w:pPr>
      <w:r w:rsidRPr="00CA3872">
        <w:rPr>
          <w:rFonts w:cs="Times New Roman"/>
          <w:color w:val="000000"/>
          <w:sz w:val="22"/>
          <w:szCs w:val="22"/>
          <w:lang w:val="lt-LT"/>
        </w:rPr>
        <w:t xml:space="preserve">Reikia informuoti pacientus apie periferinės sensorinės neuropatijos nuolatinių simptomų pasireiškimo galimybę pabaigus gydymą. Lokali vidutinio sunkumo arba funkciją galinti sutrikdyti parestezija, prasidėjusi taikant pagalbinį gydymą, gali išlikti iki trejų metų po gydymo nutraukimo.  </w:t>
      </w:r>
    </w:p>
    <w:p w:rsidR="00255979" w:rsidRPr="00CA3872" w:rsidRDefault="00255979" w:rsidP="004873B0">
      <w:pPr>
        <w:pStyle w:val="CM3"/>
        <w:rPr>
          <w:rFonts w:cs="Times New Roman"/>
          <w:color w:val="000000"/>
          <w:sz w:val="22"/>
          <w:szCs w:val="22"/>
          <w:lang w:val="lt-LT"/>
        </w:rPr>
      </w:pPr>
      <w:r w:rsidRPr="00CA3872">
        <w:rPr>
          <w:rFonts w:cs="Times New Roman"/>
          <w:i/>
          <w:iCs/>
          <w:color w:val="000000"/>
          <w:sz w:val="22"/>
          <w:szCs w:val="22"/>
          <w:u w:val="single"/>
          <w:lang w:val="lt-LT"/>
        </w:rPr>
        <w:br/>
        <w:t xml:space="preserve">Grįžtamos užpakalinės leukoencefalopatijos sindromas (GULS) </w:t>
      </w:r>
    </w:p>
    <w:p w:rsidR="00255979" w:rsidRPr="00CA3872" w:rsidRDefault="00255979" w:rsidP="004873B0">
      <w:pPr>
        <w:pStyle w:val="CM13"/>
        <w:spacing w:after="275" w:line="276" w:lineRule="atLeast"/>
        <w:rPr>
          <w:rFonts w:cs="Times New Roman"/>
          <w:color w:val="000000"/>
          <w:sz w:val="22"/>
          <w:szCs w:val="22"/>
          <w:lang w:val="lt-LT"/>
        </w:rPr>
      </w:pPr>
      <w:r w:rsidRPr="00CA3872">
        <w:rPr>
          <w:rFonts w:cs="Times New Roman"/>
          <w:color w:val="000000"/>
          <w:sz w:val="22"/>
          <w:szCs w:val="22"/>
          <w:lang w:val="lt-LT"/>
        </w:rPr>
        <w:t xml:space="preserve">Grįžtamos užpakalinės leukoencefalopatijos sindromas (GULS, kuris gali būti vadinamas ir užpakalinės grįžtamos encefalopatijos sindromu (UGES)) pasireiškė pacientams, kuriems oksaliplatina buvo skirta kombinuotosios chemoterapijos būdu.  GULS yra reta, grįžtama, greitai besivystanti neurologinė liga, pasireiškianti šiais simptomais: priepuoliais, hipertenzija, galvos skausmu, konfuzija, apakimu bei kitais  regėjimo ir neurologiniais sutrikimais (žr. 4.8 skyrių). GULS diagnozė turi būti patvirtinta tyrimais, kurių metu gaunamas smegenų vaizdas, geriausiai MRT (magnetinio rezonanso tyrimu). </w:t>
      </w:r>
    </w:p>
    <w:p w:rsidR="00255979" w:rsidRPr="00CA3872" w:rsidRDefault="00255979" w:rsidP="004873B0">
      <w:pPr>
        <w:pStyle w:val="CM3"/>
        <w:rPr>
          <w:rFonts w:cs="Times New Roman"/>
          <w:color w:val="000000"/>
          <w:sz w:val="22"/>
          <w:szCs w:val="22"/>
          <w:lang w:val="lt-LT"/>
        </w:rPr>
      </w:pPr>
      <w:r w:rsidRPr="00CA3872">
        <w:rPr>
          <w:rFonts w:cs="Times New Roman"/>
          <w:i/>
          <w:iCs/>
          <w:color w:val="000000"/>
          <w:sz w:val="22"/>
          <w:szCs w:val="22"/>
          <w:u w:val="single"/>
          <w:lang w:val="lt-LT"/>
        </w:rPr>
        <w:t xml:space="preserve">Pykinimas, vėmimas, viduriavimas, dehidratacija ir hemotologiniai pokyčiai </w:t>
      </w:r>
    </w:p>
    <w:p w:rsidR="00255979" w:rsidRPr="00CA3872" w:rsidRDefault="00255979" w:rsidP="004873B0">
      <w:pPr>
        <w:pStyle w:val="CM13"/>
        <w:spacing w:after="275" w:line="276" w:lineRule="atLeast"/>
        <w:rPr>
          <w:rFonts w:cs="Times New Roman"/>
          <w:color w:val="000000"/>
          <w:sz w:val="22"/>
          <w:szCs w:val="22"/>
          <w:lang w:val="lt-LT"/>
        </w:rPr>
      </w:pPr>
      <w:r w:rsidRPr="00CA3872">
        <w:rPr>
          <w:rFonts w:cs="Times New Roman"/>
          <w:color w:val="000000"/>
          <w:sz w:val="22"/>
          <w:szCs w:val="22"/>
          <w:lang w:val="lt-LT"/>
        </w:rPr>
        <w:t xml:space="preserve">Virškinimo trakto toksiškumo, kuris pasireiškia pykinimu ir vėmimu, galima išvengti taikant profilaktiką ir (arba) gydymą antiemetikais (žr. 4.8 skyrių).  </w:t>
      </w:r>
    </w:p>
    <w:p w:rsidR="00255979" w:rsidRPr="00CA3872" w:rsidRDefault="00255979" w:rsidP="004873B0">
      <w:pPr>
        <w:pStyle w:val="CM13"/>
        <w:spacing w:after="275" w:line="276" w:lineRule="atLeast"/>
        <w:rPr>
          <w:rFonts w:cs="Times New Roman"/>
          <w:color w:val="000000"/>
          <w:sz w:val="22"/>
          <w:szCs w:val="22"/>
          <w:lang w:val="lt-LT"/>
        </w:rPr>
      </w:pPr>
      <w:r w:rsidRPr="00CA3872">
        <w:rPr>
          <w:rFonts w:cs="Times New Roman"/>
          <w:color w:val="000000"/>
          <w:sz w:val="22"/>
          <w:szCs w:val="22"/>
          <w:lang w:val="lt-LT"/>
        </w:rPr>
        <w:t xml:space="preserve">Oksaliplatinos, ypač vartojamos kartu su 5-fluorouracilu (5FU), sukeltas sunkus viduriavimas arba vėmimas gali sukelti dehidrataciją, paralyžinį žarnų nepraeinamumą, žarnų obstrukciją, hipokalemiją, metabolinę acidozę ir inkstų funkcijos sutrikimą.  </w:t>
      </w:r>
    </w:p>
    <w:p w:rsidR="00255979" w:rsidRPr="00CA3872" w:rsidRDefault="00255979" w:rsidP="004873B0">
      <w:pPr>
        <w:pStyle w:val="CM13"/>
        <w:spacing w:after="275" w:line="276" w:lineRule="atLeast"/>
        <w:rPr>
          <w:rFonts w:cs="Times New Roman"/>
          <w:color w:val="000000"/>
          <w:sz w:val="22"/>
          <w:szCs w:val="22"/>
          <w:lang w:val="lt-LT"/>
        </w:rPr>
      </w:pPr>
      <w:r w:rsidRPr="00CA3872">
        <w:rPr>
          <w:rFonts w:cs="Times New Roman"/>
          <w:color w:val="000000"/>
          <w:sz w:val="22"/>
          <w:szCs w:val="22"/>
          <w:lang w:val="lt-LT"/>
        </w:rPr>
        <w:t>Jei pasireiškia toksinis poveikis kraujodarai (neutrofilų mažiau negu 1,5 x 10</w:t>
      </w:r>
      <w:r w:rsidRPr="00CA3872">
        <w:rPr>
          <w:rFonts w:cs="Times New Roman"/>
          <w:color w:val="000000"/>
          <w:position w:val="11"/>
          <w:sz w:val="22"/>
          <w:szCs w:val="22"/>
          <w:vertAlign w:val="superscript"/>
          <w:lang w:val="lt-LT"/>
        </w:rPr>
        <w:t>9</w:t>
      </w:r>
      <w:r w:rsidRPr="00CA3872">
        <w:rPr>
          <w:rFonts w:cs="Times New Roman"/>
          <w:color w:val="000000"/>
          <w:sz w:val="22"/>
          <w:szCs w:val="22"/>
          <w:lang w:val="lt-LT"/>
        </w:rPr>
        <w:t>/l arba trombocitų mažiau negu 50 x 10</w:t>
      </w:r>
      <w:r w:rsidRPr="00CA3872">
        <w:rPr>
          <w:rFonts w:cs="Times New Roman"/>
          <w:color w:val="000000"/>
          <w:position w:val="11"/>
          <w:sz w:val="22"/>
          <w:szCs w:val="22"/>
          <w:vertAlign w:val="superscript"/>
          <w:lang w:val="lt-LT"/>
        </w:rPr>
        <w:t>9</w:t>
      </w:r>
      <w:r w:rsidRPr="00CA3872">
        <w:rPr>
          <w:rFonts w:cs="Times New Roman"/>
          <w:color w:val="000000"/>
          <w:sz w:val="22"/>
          <w:szCs w:val="22"/>
          <w:lang w:val="lt-LT"/>
        </w:rPr>
        <w:t xml:space="preserve">/l), kitą gydymo kursą reikia atidėti, kol kraujo tyrimų rodikliai vėl taps priimtini. Prieš pradedant gydyti oksaliplatina ir prieš kiekvieną naują gydymo kursą reikia tikrinti visų kraujo ląstelių kiekį, kartu diferencijuojant leukocitų sudėtį.  </w:t>
      </w:r>
    </w:p>
    <w:p w:rsidR="00255979" w:rsidRPr="00CA3872" w:rsidRDefault="00255979" w:rsidP="004873B0">
      <w:pPr>
        <w:pStyle w:val="CM13"/>
        <w:spacing w:after="275" w:line="276" w:lineRule="atLeast"/>
        <w:rPr>
          <w:rFonts w:cs="Times New Roman"/>
          <w:color w:val="000000"/>
          <w:sz w:val="22"/>
          <w:szCs w:val="22"/>
          <w:lang w:val="lt-LT"/>
        </w:rPr>
      </w:pPr>
      <w:r w:rsidRPr="00CA3872">
        <w:rPr>
          <w:rFonts w:cs="Times New Roman"/>
          <w:color w:val="000000"/>
          <w:sz w:val="22"/>
          <w:szCs w:val="22"/>
          <w:lang w:val="lt-LT"/>
        </w:rPr>
        <w:t>Pacientus reikia perspėti, kad po gydymo oksalplatina ir 5-fluoracilu (5FU) gali prasidėti viduriavimas arba vėmimas, gleivinės uždegimas arba stomatitas ir atsirasti neutropenija, bei nurodyti jiems, kad atsiradus sutrikimų, nedelsdami kreiptųsi į gydytoją, kad būtų suteikta tinkama pagalba. Gleivinės uždegimo, stomatito atvejais su neutropenija arba be jos kitą gydymo kursą rekomenduojama atidėti, kol liga palengvės iki pirmo laipsnio ar dar labiau ir (arba) kol neutrofilų skaičius pasieks 1,5 x 10</w:t>
      </w:r>
      <w:r w:rsidRPr="00CA3872">
        <w:rPr>
          <w:rFonts w:cs="Times New Roman"/>
          <w:color w:val="000000"/>
          <w:position w:val="11"/>
          <w:sz w:val="22"/>
          <w:szCs w:val="22"/>
          <w:vertAlign w:val="superscript"/>
          <w:lang w:val="lt-LT"/>
        </w:rPr>
        <w:t>9</w:t>
      </w:r>
      <w:r w:rsidRPr="00CA3872">
        <w:rPr>
          <w:rFonts w:cs="Times New Roman"/>
          <w:color w:val="000000"/>
          <w:sz w:val="22"/>
          <w:szCs w:val="22"/>
          <w:lang w:val="lt-LT"/>
        </w:rPr>
        <w:t>/l ar daugiau.</w:t>
      </w:r>
    </w:p>
    <w:p w:rsidR="00255979" w:rsidRPr="00CA3872" w:rsidRDefault="00255979" w:rsidP="004873B0">
      <w:pPr>
        <w:pStyle w:val="CM13"/>
        <w:rPr>
          <w:rFonts w:cs="Times New Roman"/>
          <w:color w:val="000000"/>
          <w:sz w:val="22"/>
          <w:szCs w:val="22"/>
          <w:lang w:val="lt-LT"/>
        </w:rPr>
      </w:pPr>
      <w:r w:rsidRPr="00CA3872">
        <w:rPr>
          <w:rFonts w:cs="Times New Roman"/>
          <w:color w:val="000000"/>
          <w:sz w:val="22"/>
          <w:szCs w:val="22"/>
          <w:lang w:val="lt-LT"/>
        </w:rPr>
        <w:t>Pasireiškus su oksaliplatina vartojamo 5-fluorouracilo (5FU) (kartu su foli</w:t>
      </w:r>
      <w:r>
        <w:rPr>
          <w:rFonts w:cs="Times New Roman"/>
          <w:color w:val="000000"/>
          <w:sz w:val="22"/>
          <w:szCs w:val="22"/>
          <w:lang w:val="lt-LT"/>
        </w:rPr>
        <w:t>no</w:t>
      </w:r>
      <w:r w:rsidRPr="00CA3872">
        <w:rPr>
          <w:rFonts w:cs="Times New Roman"/>
          <w:color w:val="000000"/>
          <w:sz w:val="22"/>
          <w:szCs w:val="22"/>
          <w:lang w:val="lt-LT"/>
        </w:rPr>
        <w:t xml:space="preserve"> rūgštimi arba be jos) specifiniam toksiniam poveikiui, reikia keisti tik pastarojo dozę.  </w:t>
      </w:r>
    </w:p>
    <w:p w:rsidR="00255979" w:rsidRDefault="00255979" w:rsidP="004873B0">
      <w:pPr>
        <w:pStyle w:val="CM13"/>
        <w:rPr>
          <w:rFonts w:cs="Times New Roman"/>
          <w:color w:val="000000"/>
          <w:sz w:val="22"/>
          <w:szCs w:val="22"/>
          <w:lang w:val="lt-LT"/>
        </w:rPr>
      </w:pPr>
      <w:r w:rsidRPr="00CA3872">
        <w:rPr>
          <w:rFonts w:cs="Times New Roman"/>
          <w:color w:val="000000"/>
          <w:sz w:val="22"/>
          <w:szCs w:val="22"/>
          <w:lang w:val="lt-LT"/>
        </w:rPr>
        <w:t>Jei nustatomas 4 laipsnio viduriavimas, 3 arba 4 laipsnio neutropenija (neutrofilų mažiau negu 1 x 10</w:t>
      </w:r>
      <w:r w:rsidRPr="00CA3872">
        <w:rPr>
          <w:rFonts w:cs="Times New Roman"/>
          <w:color w:val="000000"/>
          <w:position w:val="11"/>
          <w:sz w:val="22"/>
          <w:szCs w:val="22"/>
          <w:vertAlign w:val="superscript"/>
          <w:lang w:val="lt-LT"/>
        </w:rPr>
        <w:t>9</w:t>
      </w:r>
      <w:r w:rsidRPr="00CA3872">
        <w:rPr>
          <w:rFonts w:cs="Times New Roman"/>
          <w:color w:val="000000"/>
          <w:sz w:val="22"/>
          <w:szCs w:val="22"/>
          <w:lang w:val="lt-LT"/>
        </w:rPr>
        <w:t>/l), 3 arba 4 laipsnio trombocitopenija (trombocitų mažiau negu 50 x 10</w:t>
      </w:r>
      <w:r w:rsidRPr="00CA3872">
        <w:rPr>
          <w:rFonts w:cs="Times New Roman"/>
          <w:color w:val="000000"/>
          <w:position w:val="11"/>
          <w:sz w:val="22"/>
          <w:szCs w:val="22"/>
          <w:vertAlign w:val="superscript"/>
          <w:lang w:val="lt-LT"/>
        </w:rPr>
        <w:t>9</w:t>
      </w:r>
      <w:r w:rsidRPr="00CA3872">
        <w:rPr>
          <w:rFonts w:cs="Times New Roman"/>
          <w:color w:val="000000"/>
          <w:sz w:val="22"/>
          <w:szCs w:val="22"/>
          <w:lang w:val="lt-LT"/>
        </w:rPr>
        <w:t>/l), reikia mažinti oksaliplatinos dozę nuo 85 mg iki 65 mg/m² kūno paviršiaus ploto (gydant metastazavusį vėžį) arba 75 mg /m</w:t>
      </w:r>
      <w:r w:rsidRPr="00CA3872">
        <w:rPr>
          <w:rFonts w:cs="Times New Roman"/>
          <w:color w:val="000000"/>
          <w:position w:val="11"/>
          <w:sz w:val="22"/>
          <w:szCs w:val="22"/>
          <w:vertAlign w:val="superscript"/>
          <w:lang w:val="lt-LT"/>
        </w:rPr>
        <w:t>2</w:t>
      </w:r>
      <w:r w:rsidRPr="00CA3872">
        <w:rPr>
          <w:rFonts w:cs="Times New Roman"/>
          <w:color w:val="000000"/>
          <w:sz w:val="22"/>
          <w:szCs w:val="22"/>
          <w:lang w:val="lt-LT"/>
        </w:rPr>
        <w:t xml:space="preserve"> kūno paviršiaus ploto (taikant pagalbinį gydymą), bei keisti 5-fluorouracilo (5FU) dozavimą.</w:t>
      </w:r>
    </w:p>
    <w:p w:rsidR="00255979" w:rsidRPr="00CA3872" w:rsidRDefault="00255979" w:rsidP="004873B0">
      <w:pPr>
        <w:pStyle w:val="CM13"/>
        <w:rPr>
          <w:rFonts w:cs="Times New Roman"/>
          <w:color w:val="000000"/>
          <w:sz w:val="22"/>
          <w:szCs w:val="22"/>
          <w:lang w:val="lt-LT"/>
        </w:rPr>
      </w:pPr>
      <w:r w:rsidRPr="00CA3872">
        <w:rPr>
          <w:rFonts w:cs="Times New Roman"/>
          <w:color w:val="000000"/>
          <w:sz w:val="22"/>
          <w:szCs w:val="22"/>
          <w:lang w:val="lt-LT"/>
        </w:rPr>
        <w:t xml:space="preserve">  </w:t>
      </w:r>
    </w:p>
    <w:p w:rsidR="00255979" w:rsidRPr="00CA3872" w:rsidRDefault="00255979" w:rsidP="004873B0">
      <w:pPr>
        <w:pStyle w:val="CM3"/>
        <w:rPr>
          <w:rFonts w:cs="Times New Roman"/>
          <w:color w:val="000000"/>
          <w:sz w:val="22"/>
          <w:szCs w:val="22"/>
          <w:lang w:val="lt-LT"/>
        </w:rPr>
      </w:pPr>
      <w:r w:rsidRPr="00CA3872">
        <w:rPr>
          <w:rFonts w:cs="Times New Roman"/>
          <w:i/>
          <w:iCs/>
          <w:color w:val="000000"/>
          <w:sz w:val="22"/>
          <w:szCs w:val="22"/>
          <w:u w:val="single"/>
          <w:lang w:val="lt-LT"/>
        </w:rPr>
        <w:t xml:space="preserve">Plaučių sutrikimai </w:t>
      </w:r>
    </w:p>
    <w:p w:rsidR="00255979" w:rsidRPr="00CA3872" w:rsidRDefault="00255979" w:rsidP="004873B0">
      <w:pPr>
        <w:pStyle w:val="CM3"/>
        <w:rPr>
          <w:rFonts w:cs="Times New Roman"/>
          <w:color w:val="000000"/>
          <w:sz w:val="22"/>
          <w:szCs w:val="22"/>
          <w:lang w:val="lt-LT"/>
        </w:rPr>
      </w:pPr>
      <w:r w:rsidRPr="00CA3872">
        <w:rPr>
          <w:rFonts w:cs="Times New Roman"/>
          <w:color w:val="000000"/>
          <w:sz w:val="22"/>
          <w:szCs w:val="22"/>
          <w:lang w:val="lt-LT"/>
        </w:rPr>
        <w:t xml:space="preserve">Jei atsiranda neaiškios kilmės kvėpavimo organų sistemos simptomų, pvz., sausas kosulys, dispnėja, </w:t>
      </w:r>
      <w:r w:rsidRPr="00CA3872">
        <w:rPr>
          <w:rFonts w:cs="Times New Roman"/>
          <w:color w:val="000000"/>
          <w:sz w:val="22"/>
          <w:szCs w:val="22"/>
          <w:lang w:val="lt-LT"/>
        </w:rPr>
        <w:lastRenderedPageBreak/>
        <w:t xml:space="preserve">karkalai ar rentgenogramoje matyti plaučių infiltratų, gydymą oksaliplatina reikia nutraukti ir ištirti, ar nėra intersticinės plaučių ligos arba plaučių fibrozės (žr. 4.8 skyrių).  </w:t>
      </w:r>
    </w:p>
    <w:p w:rsidR="00255979" w:rsidRDefault="00255979" w:rsidP="004873B0">
      <w:pPr>
        <w:pStyle w:val="CM2"/>
        <w:rPr>
          <w:rFonts w:cs="Times New Roman"/>
          <w:i/>
          <w:iCs/>
          <w:color w:val="000000"/>
          <w:sz w:val="22"/>
          <w:szCs w:val="22"/>
          <w:u w:val="single"/>
          <w:lang w:val="lt-LT"/>
        </w:rPr>
      </w:pPr>
    </w:p>
    <w:p w:rsidR="00255979" w:rsidRPr="00CA3872" w:rsidRDefault="00255979" w:rsidP="004873B0">
      <w:pPr>
        <w:pStyle w:val="CM2"/>
        <w:rPr>
          <w:rFonts w:cs="Times New Roman"/>
          <w:color w:val="000000"/>
          <w:sz w:val="22"/>
          <w:szCs w:val="22"/>
          <w:lang w:val="lt-LT"/>
        </w:rPr>
      </w:pPr>
      <w:r w:rsidRPr="00CA3872">
        <w:rPr>
          <w:rFonts w:cs="Times New Roman"/>
          <w:i/>
          <w:iCs/>
          <w:color w:val="000000"/>
          <w:sz w:val="22"/>
          <w:szCs w:val="22"/>
          <w:u w:val="single"/>
          <w:lang w:val="lt-LT"/>
        </w:rPr>
        <w:t xml:space="preserve">Kepenų sutrikimai </w:t>
      </w:r>
    </w:p>
    <w:p w:rsidR="00255979" w:rsidRPr="00CA3872" w:rsidRDefault="00255979" w:rsidP="004873B0">
      <w:pPr>
        <w:pStyle w:val="CM13"/>
        <w:spacing w:after="275" w:line="278" w:lineRule="atLeast"/>
        <w:rPr>
          <w:rFonts w:cs="Times New Roman"/>
          <w:color w:val="000000"/>
          <w:sz w:val="22"/>
          <w:szCs w:val="22"/>
          <w:lang w:val="lt-LT"/>
        </w:rPr>
      </w:pPr>
      <w:r w:rsidRPr="00CA3872">
        <w:rPr>
          <w:rFonts w:cs="Times New Roman"/>
          <w:color w:val="000000"/>
          <w:sz w:val="22"/>
          <w:szCs w:val="22"/>
          <w:lang w:val="lt-LT"/>
        </w:rPr>
        <w:t xml:space="preserve">Pakitus kepenų funkcijos laboratoriniams rodikliams ar išsivysčius portinei hipertenzijai, kurių priežastis negalėtų būti metastazės kepenyse, reikėtų pagalvoti apie retai pasitaikančius vaistinių preparatų sukeltus kepenų kraujagyslių pažeidimus. </w:t>
      </w:r>
    </w:p>
    <w:p w:rsidR="00255979" w:rsidRPr="00CA3872" w:rsidRDefault="00255979" w:rsidP="004873B0">
      <w:pPr>
        <w:pStyle w:val="CM2"/>
        <w:rPr>
          <w:rFonts w:cs="Times New Roman"/>
          <w:color w:val="000000"/>
          <w:sz w:val="22"/>
          <w:szCs w:val="22"/>
          <w:lang w:val="lt-LT"/>
        </w:rPr>
      </w:pPr>
      <w:r w:rsidRPr="00CA3872">
        <w:rPr>
          <w:rFonts w:cs="Times New Roman"/>
          <w:i/>
          <w:iCs/>
          <w:color w:val="000000"/>
          <w:sz w:val="22"/>
          <w:szCs w:val="22"/>
          <w:u w:val="single"/>
          <w:lang w:val="lt-LT"/>
        </w:rPr>
        <w:t xml:space="preserve">Nėštumas </w:t>
      </w:r>
    </w:p>
    <w:p w:rsidR="00255979" w:rsidRPr="00CA3872" w:rsidRDefault="00255979" w:rsidP="004873B0">
      <w:pPr>
        <w:pStyle w:val="CM13"/>
        <w:spacing w:after="275" w:line="278" w:lineRule="atLeast"/>
        <w:rPr>
          <w:rFonts w:cs="Times New Roman"/>
          <w:color w:val="000000"/>
          <w:sz w:val="22"/>
          <w:szCs w:val="22"/>
          <w:lang w:val="lt-LT"/>
        </w:rPr>
      </w:pPr>
      <w:r w:rsidRPr="00CA3872">
        <w:rPr>
          <w:rFonts w:cs="Times New Roman"/>
          <w:color w:val="000000"/>
          <w:sz w:val="22"/>
          <w:szCs w:val="22"/>
          <w:lang w:val="lt-LT"/>
        </w:rPr>
        <w:t xml:space="preserve">Apie vaistinio preparato vartojimą nėščioms moterims žr. 4.6 skyrių. </w:t>
      </w:r>
    </w:p>
    <w:p w:rsidR="00255979" w:rsidRPr="00CA3872" w:rsidRDefault="00255979" w:rsidP="004873B0">
      <w:pPr>
        <w:pStyle w:val="CM2"/>
        <w:rPr>
          <w:rFonts w:cs="Times New Roman"/>
          <w:color w:val="000000"/>
          <w:sz w:val="22"/>
          <w:szCs w:val="22"/>
          <w:lang w:val="lt-LT"/>
        </w:rPr>
      </w:pPr>
      <w:r w:rsidRPr="00CA3872">
        <w:rPr>
          <w:rFonts w:cs="Times New Roman"/>
          <w:i/>
          <w:iCs/>
          <w:color w:val="000000"/>
          <w:sz w:val="22"/>
          <w:szCs w:val="22"/>
          <w:u w:val="single"/>
          <w:lang w:val="lt-LT"/>
        </w:rPr>
        <w:t xml:space="preserve">Vaisingumas </w:t>
      </w:r>
    </w:p>
    <w:p w:rsidR="00255979" w:rsidRPr="00CA3872" w:rsidRDefault="00255979" w:rsidP="004873B0">
      <w:pPr>
        <w:pStyle w:val="CM13"/>
        <w:spacing w:after="275" w:line="278" w:lineRule="atLeast"/>
        <w:rPr>
          <w:rFonts w:cs="Times New Roman"/>
          <w:color w:val="000000"/>
          <w:sz w:val="22"/>
          <w:szCs w:val="22"/>
          <w:lang w:val="lt-LT"/>
        </w:rPr>
      </w:pPr>
      <w:r w:rsidRPr="00CA3872">
        <w:rPr>
          <w:rFonts w:cs="Times New Roman"/>
          <w:color w:val="000000"/>
          <w:sz w:val="22"/>
          <w:szCs w:val="22"/>
          <w:lang w:val="lt-LT"/>
        </w:rPr>
        <w:t xml:space="preserve">Ikiklinikinių tyrimų su oksaliplatina metu pastebėta genotoksinių reiškinių. Todėl oksaliplatina gydytiems vyrams gydymo metu ir 6 mėnesius po gydymo patariama nepradėti kūdikio ir pasitarti dėl spermos konservavimo prieš pradedant gydymą, kadangi oksaliplatina gali sukelti nepagydomą nevaisingumą.  Moterims gydymo oksaliplatina metu negalima pastoti ir būtina naudoti veiksmingas kontracepcijos priemones (žr. 4.6 skyrių). </w:t>
      </w:r>
    </w:p>
    <w:p w:rsidR="00255979" w:rsidRDefault="00255979" w:rsidP="004873B0">
      <w:pPr>
        <w:pStyle w:val="PI-2EMEASMCA"/>
        <w:ind w:left="0" w:firstLine="0"/>
      </w:pPr>
      <w:bookmarkStart w:id="20" w:name="_Toc129243106"/>
      <w:bookmarkStart w:id="21" w:name="_Toc129243231"/>
      <w:r w:rsidRPr="00E00E61">
        <w:t>4.5</w:t>
      </w:r>
      <w:r w:rsidRPr="0084041E">
        <w:tab/>
        <w:t>Sąveika su kitais vaistiniais preparatais ir kitokia sąveika</w:t>
      </w:r>
      <w:bookmarkEnd w:id="20"/>
      <w:bookmarkEnd w:id="21"/>
    </w:p>
    <w:p w:rsidR="00255979" w:rsidRPr="0084041E" w:rsidRDefault="00255979" w:rsidP="004873B0">
      <w:pPr>
        <w:pStyle w:val="PI-2EMEASMCA"/>
        <w:ind w:left="0" w:firstLine="0"/>
      </w:pPr>
    </w:p>
    <w:p w:rsidR="00255979" w:rsidRDefault="00255979" w:rsidP="004873B0">
      <w:pPr>
        <w:widowControl w:val="0"/>
        <w:autoSpaceDE w:val="0"/>
        <w:autoSpaceDN w:val="0"/>
        <w:adjustRightInd w:val="0"/>
        <w:rPr>
          <w:rFonts w:eastAsia="MS Mincho"/>
          <w:color w:val="000000"/>
          <w:sz w:val="22"/>
          <w:szCs w:val="22"/>
          <w:lang w:eastAsia="ja-JP" w:bidi="lo-LA"/>
        </w:rPr>
      </w:pPr>
      <w:r w:rsidRPr="00CA3872">
        <w:rPr>
          <w:rFonts w:eastAsia="MS Mincho"/>
          <w:color w:val="000000"/>
          <w:sz w:val="22"/>
          <w:szCs w:val="22"/>
          <w:lang w:eastAsia="ja-JP" w:bidi="lo-LA"/>
        </w:rPr>
        <w:t>Nepastebėta, kad prieš pat 5-fluorouracilo injekciją suleidus vienkartinę oksaliplatinos dozę (85 mg/m</w:t>
      </w:r>
      <w:r w:rsidRPr="00CA3872">
        <w:rPr>
          <w:rFonts w:eastAsia="MS Mincho"/>
          <w:color w:val="000000"/>
          <w:position w:val="11"/>
          <w:sz w:val="22"/>
          <w:szCs w:val="22"/>
          <w:vertAlign w:val="superscript"/>
          <w:lang w:eastAsia="ja-JP" w:bidi="lo-LA"/>
        </w:rPr>
        <w:t>2</w:t>
      </w:r>
      <w:r w:rsidRPr="00CA3872">
        <w:rPr>
          <w:rFonts w:eastAsia="MS Mincho"/>
          <w:color w:val="000000"/>
          <w:sz w:val="22"/>
          <w:szCs w:val="22"/>
          <w:lang w:eastAsia="ja-JP" w:bidi="lo-LA"/>
        </w:rPr>
        <w:t xml:space="preserve"> kūno paviršiaus ploto), 5-fluorouracilo (5FU) ekspozicija pakistų. </w:t>
      </w:r>
    </w:p>
    <w:p w:rsidR="00255979" w:rsidRPr="00CA3872" w:rsidRDefault="00255979" w:rsidP="004873B0">
      <w:pPr>
        <w:widowControl w:val="0"/>
        <w:autoSpaceDE w:val="0"/>
        <w:autoSpaceDN w:val="0"/>
        <w:adjustRightInd w:val="0"/>
        <w:rPr>
          <w:rFonts w:eastAsia="MS Mincho"/>
          <w:color w:val="000000"/>
          <w:sz w:val="22"/>
          <w:szCs w:val="22"/>
          <w:lang w:eastAsia="ja-JP" w:bidi="lo-LA"/>
        </w:rPr>
      </w:pPr>
    </w:p>
    <w:p w:rsidR="00255979" w:rsidRDefault="00255979" w:rsidP="004873B0">
      <w:pPr>
        <w:widowControl w:val="0"/>
        <w:autoSpaceDE w:val="0"/>
        <w:autoSpaceDN w:val="0"/>
        <w:adjustRightInd w:val="0"/>
        <w:rPr>
          <w:rFonts w:eastAsia="MS Mincho"/>
          <w:color w:val="000000"/>
          <w:sz w:val="22"/>
          <w:szCs w:val="22"/>
          <w:lang w:eastAsia="ja-JP" w:bidi="lo-LA"/>
        </w:rPr>
      </w:pPr>
      <w:r w:rsidRPr="00CA3872">
        <w:rPr>
          <w:rFonts w:eastAsia="MS Mincho"/>
          <w:sz w:val="22"/>
          <w:szCs w:val="22"/>
          <w:lang w:eastAsia="ja-JP" w:bidi="lo-LA"/>
        </w:rPr>
        <w:t xml:space="preserve">Tyrimų </w:t>
      </w:r>
      <w:r w:rsidRPr="00CA3872">
        <w:rPr>
          <w:rFonts w:eastAsia="MS Mincho"/>
          <w:i/>
          <w:iCs/>
          <w:color w:val="000000"/>
          <w:sz w:val="22"/>
          <w:szCs w:val="22"/>
          <w:lang w:eastAsia="ja-JP" w:bidi="lo-LA"/>
        </w:rPr>
        <w:t>in vitro</w:t>
      </w:r>
      <w:r w:rsidRPr="00CA3872">
        <w:rPr>
          <w:rFonts w:eastAsia="MS Mincho"/>
          <w:color w:val="000000"/>
          <w:sz w:val="22"/>
          <w:szCs w:val="22"/>
          <w:lang w:eastAsia="ja-JP" w:bidi="lo-LA"/>
        </w:rPr>
        <w:t xml:space="preserve"> duomenimis, eritromicinas, salicilatai, granisetronas, paklitakselis bei natrio valproatas oksaliplatinos gebėjimo  jungtis prie plazmos baltymų reikšmingai neveikia.  </w:t>
      </w:r>
    </w:p>
    <w:p w:rsidR="00255979" w:rsidRPr="00CA3872" w:rsidRDefault="00255979" w:rsidP="004873B0">
      <w:pPr>
        <w:widowControl w:val="0"/>
        <w:autoSpaceDE w:val="0"/>
        <w:autoSpaceDN w:val="0"/>
        <w:adjustRightInd w:val="0"/>
        <w:rPr>
          <w:rFonts w:eastAsia="MS Mincho"/>
          <w:color w:val="000000"/>
          <w:sz w:val="22"/>
          <w:szCs w:val="22"/>
          <w:lang w:eastAsia="ja-JP" w:bidi="lo-LA"/>
        </w:rPr>
      </w:pPr>
    </w:p>
    <w:p w:rsidR="00255979" w:rsidRDefault="00255979" w:rsidP="004873B0">
      <w:pPr>
        <w:pStyle w:val="PI-2EMEASMCA"/>
      </w:pPr>
      <w:bookmarkStart w:id="22" w:name="_Toc129243107"/>
      <w:bookmarkStart w:id="23" w:name="_Toc129243232"/>
      <w:r w:rsidRPr="0084041E">
        <w:t>4.6</w:t>
      </w:r>
      <w:r w:rsidRPr="0084041E">
        <w:tab/>
        <w:t>Nėštumo ir žindymo laikotarpis</w:t>
      </w:r>
      <w:bookmarkEnd w:id="22"/>
      <w:bookmarkEnd w:id="23"/>
    </w:p>
    <w:p w:rsidR="00255979" w:rsidRDefault="00255979" w:rsidP="004873B0">
      <w:pPr>
        <w:pStyle w:val="PI-2EMEASMCA"/>
      </w:pPr>
    </w:p>
    <w:p w:rsidR="00255979" w:rsidRPr="00983D39" w:rsidRDefault="00255979" w:rsidP="004873B0">
      <w:pPr>
        <w:pStyle w:val="CM13"/>
        <w:spacing w:after="275" w:line="278" w:lineRule="atLeast"/>
        <w:rPr>
          <w:rFonts w:cs="Times New Roman"/>
          <w:color w:val="000000"/>
          <w:sz w:val="23"/>
          <w:szCs w:val="23"/>
          <w:lang w:val="lt-LT"/>
        </w:rPr>
      </w:pPr>
      <w:r w:rsidRPr="005E4334">
        <w:rPr>
          <w:rFonts w:cs="Times New Roman"/>
          <w:i/>
          <w:color w:val="000000"/>
          <w:sz w:val="23"/>
          <w:szCs w:val="22"/>
          <w:u w:val="single"/>
          <w:lang w:val="lt-LT"/>
        </w:rPr>
        <w:t>Vaisingo amžiau moterys / kontracepcija</w:t>
      </w:r>
      <w:r>
        <w:rPr>
          <w:rFonts w:cs="Times New Roman"/>
          <w:color w:val="000000"/>
          <w:sz w:val="23"/>
          <w:szCs w:val="22"/>
          <w:lang w:val="lt-LT"/>
        </w:rPr>
        <w:br/>
      </w:r>
      <w:r w:rsidRPr="00983D39">
        <w:rPr>
          <w:rFonts w:cs="Times New Roman"/>
          <w:color w:val="000000"/>
          <w:sz w:val="23"/>
          <w:szCs w:val="22"/>
          <w:lang w:val="lt-LT"/>
        </w:rPr>
        <w:t xml:space="preserve">Ikiklinikinių tyrimų metu nustatytas oksaliplatinos genotoksinis poveikis, todėl šiuo vaistu gydomiems vyrams gydymo metu ir maždaug 6 mėnesius po jo patariama nepradėti kūdikio. Moterims gydymo oksaliplatina metu ir jį baigus dar 4 mėnesius pastoti negalima, todėl būtina naudoti kontraceptines priemones.  </w:t>
      </w:r>
    </w:p>
    <w:p w:rsidR="00255979" w:rsidRPr="00983D39" w:rsidRDefault="00255979" w:rsidP="004873B0">
      <w:pPr>
        <w:pStyle w:val="CM13"/>
        <w:spacing w:after="275" w:line="278" w:lineRule="atLeast"/>
        <w:rPr>
          <w:rFonts w:cs="Times New Roman"/>
          <w:color w:val="000000"/>
          <w:sz w:val="23"/>
          <w:szCs w:val="23"/>
          <w:lang w:val="lt-LT"/>
        </w:rPr>
      </w:pPr>
      <w:r w:rsidRPr="005E4334">
        <w:rPr>
          <w:rFonts w:cs="Times New Roman"/>
          <w:i/>
          <w:color w:val="000000"/>
          <w:sz w:val="23"/>
          <w:szCs w:val="22"/>
          <w:u w:val="single"/>
          <w:lang w:val="lt-LT"/>
        </w:rPr>
        <w:t xml:space="preserve">Nėštumas </w:t>
      </w:r>
      <w:r>
        <w:rPr>
          <w:rFonts w:cs="Times New Roman"/>
          <w:color w:val="000000"/>
          <w:sz w:val="23"/>
          <w:szCs w:val="22"/>
          <w:lang w:val="lt-LT"/>
        </w:rPr>
        <w:br/>
      </w:r>
      <w:r w:rsidRPr="00983D39">
        <w:rPr>
          <w:rFonts w:cs="Times New Roman"/>
          <w:color w:val="000000"/>
          <w:sz w:val="23"/>
          <w:szCs w:val="22"/>
          <w:lang w:val="lt-LT"/>
        </w:rPr>
        <w:t xml:space="preserve">Apie oksaliplatinos saugumą gydant nėščias moteris informacijos iki šiol nėra. Tyrimų su gyvūnais metu pastebėtas toksinis poveikis dauginimuisi (žr. 5.3 skyrių). Remiantis tyrimų su gyvūnais duomenimis ir junginio farmakologiniu poveikiu vartoti oksaliplatinos nėštumo metu, ypač pirmuosius tris mėnesius, nepatariama. Gydymas oksaliplatina turėtų būti svarstomas tik įvertinus naudos ir rizikos santykį vaisiui ir gavus </w:t>
      </w:r>
      <w:r>
        <w:rPr>
          <w:rFonts w:cs="Times New Roman"/>
          <w:color w:val="000000"/>
          <w:sz w:val="23"/>
          <w:szCs w:val="22"/>
          <w:lang w:val="lt-LT"/>
        </w:rPr>
        <w:t>pacientės</w:t>
      </w:r>
      <w:r w:rsidRPr="00983D39">
        <w:rPr>
          <w:rFonts w:cs="Times New Roman"/>
          <w:color w:val="000000"/>
          <w:sz w:val="23"/>
          <w:szCs w:val="22"/>
          <w:lang w:val="lt-LT"/>
        </w:rPr>
        <w:t xml:space="preserve"> sutikimą. </w:t>
      </w:r>
    </w:p>
    <w:p w:rsidR="00255979" w:rsidRDefault="00255979" w:rsidP="004873B0">
      <w:pPr>
        <w:pStyle w:val="CM2"/>
        <w:rPr>
          <w:rFonts w:cs="Times New Roman"/>
          <w:color w:val="000000"/>
          <w:sz w:val="23"/>
          <w:szCs w:val="22"/>
          <w:lang w:val="lt-LT"/>
        </w:rPr>
      </w:pPr>
      <w:r w:rsidRPr="005E4334">
        <w:rPr>
          <w:rFonts w:cs="Times New Roman"/>
          <w:i/>
          <w:color w:val="000000"/>
          <w:sz w:val="23"/>
          <w:szCs w:val="22"/>
          <w:u w:val="single"/>
          <w:lang w:val="lt-LT"/>
        </w:rPr>
        <w:t xml:space="preserve">Žindymas </w:t>
      </w:r>
      <w:r>
        <w:rPr>
          <w:rFonts w:cs="Times New Roman"/>
          <w:color w:val="000000"/>
          <w:sz w:val="23"/>
          <w:szCs w:val="22"/>
          <w:lang w:val="lt-LT"/>
        </w:rPr>
        <w:br/>
      </w:r>
      <w:r w:rsidRPr="00983D39">
        <w:rPr>
          <w:rFonts w:cs="Times New Roman"/>
          <w:color w:val="000000"/>
          <w:sz w:val="23"/>
          <w:szCs w:val="22"/>
          <w:lang w:val="lt-LT"/>
        </w:rPr>
        <w:t xml:space="preserve">Ar oksaliplatinos patenka į žindyvės pieną, netirta. Kūdikį krūtimi maitinančias moteris gydyti oksaliplatina draudžiama.   </w:t>
      </w:r>
    </w:p>
    <w:p w:rsidR="00255979" w:rsidRDefault="00255979" w:rsidP="004873B0">
      <w:pPr>
        <w:pStyle w:val="CM2"/>
        <w:rPr>
          <w:rFonts w:cs="Times New Roman"/>
          <w:color w:val="000000"/>
          <w:sz w:val="23"/>
          <w:szCs w:val="22"/>
          <w:lang w:val="lt-LT"/>
        </w:rPr>
      </w:pPr>
    </w:p>
    <w:p w:rsidR="00255979" w:rsidRPr="00983D39" w:rsidRDefault="00255979" w:rsidP="004873B0">
      <w:pPr>
        <w:pStyle w:val="CM2"/>
        <w:rPr>
          <w:rFonts w:cs="Times New Roman"/>
          <w:color w:val="000000"/>
          <w:sz w:val="23"/>
          <w:szCs w:val="23"/>
          <w:lang w:val="lt-LT"/>
        </w:rPr>
      </w:pPr>
      <w:r w:rsidRPr="005E4334">
        <w:rPr>
          <w:rFonts w:cs="Times New Roman"/>
          <w:i/>
          <w:color w:val="000000"/>
          <w:sz w:val="23"/>
          <w:szCs w:val="22"/>
          <w:u w:val="single"/>
          <w:lang w:val="lt-LT"/>
        </w:rPr>
        <w:t xml:space="preserve">Vaisingumas </w:t>
      </w:r>
      <w:r>
        <w:rPr>
          <w:rFonts w:cs="Times New Roman"/>
          <w:color w:val="000000"/>
          <w:sz w:val="23"/>
          <w:szCs w:val="22"/>
          <w:lang w:val="lt-LT"/>
        </w:rPr>
        <w:br/>
      </w:r>
      <w:r w:rsidRPr="00983D39">
        <w:rPr>
          <w:rFonts w:cs="Times New Roman"/>
          <w:color w:val="000000"/>
          <w:sz w:val="23"/>
          <w:szCs w:val="22"/>
          <w:lang w:val="lt-LT"/>
        </w:rPr>
        <w:t xml:space="preserve">Oksaliplatina gali turėti neigiamą poveikį vaisingumui (žr. 4.4 skyrių).  </w:t>
      </w:r>
    </w:p>
    <w:p w:rsidR="00255979" w:rsidRPr="00983D39" w:rsidRDefault="00255979" w:rsidP="004873B0">
      <w:pPr>
        <w:pStyle w:val="CM13"/>
        <w:spacing w:after="275" w:line="276" w:lineRule="atLeast"/>
        <w:ind w:right="870"/>
        <w:rPr>
          <w:rFonts w:cs="Times New Roman"/>
          <w:color w:val="000000"/>
          <w:sz w:val="23"/>
          <w:szCs w:val="23"/>
          <w:lang w:val="lt-LT"/>
        </w:rPr>
      </w:pPr>
      <w:r w:rsidRPr="00983D39">
        <w:rPr>
          <w:rFonts w:cs="Times New Roman"/>
          <w:color w:val="000000"/>
          <w:sz w:val="23"/>
          <w:szCs w:val="22"/>
          <w:lang w:val="lt-LT"/>
        </w:rPr>
        <w:t xml:space="preserve">Remiantis junginio farmakologiniu poveikiu, oksaliplatina gali sukelti nevaisingumą. Vyrams reikalinga konsultacija dėl spermos konservavimo.  </w:t>
      </w:r>
    </w:p>
    <w:p w:rsidR="00255979" w:rsidRPr="0084041E" w:rsidRDefault="00255979" w:rsidP="004873B0">
      <w:pPr>
        <w:pStyle w:val="PI-2EMEASMCA"/>
      </w:pPr>
      <w:bookmarkStart w:id="24" w:name="_Toc129243108"/>
      <w:bookmarkStart w:id="25" w:name="_Toc129243233"/>
      <w:r w:rsidRPr="0084041E">
        <w:t>4.7</w:t>
      </w:r>
      <w:r w:rsidRPr="0084041E">
        <w:tab/>
        <w:t>Poveikis gebėjimui vairuoti ir valdyti mechanizmus</w:t>
      </w:r>
      <w:bookmarkEnd w:id="24"/>
      <w:bookmarkEnd w:id="25"/>
    </w:p>
    <w:p w:rsidR="00255979" w:rsidRPr="0084041E" w:rsidRDefault="00255979" w:rsidP="004873B0">
      <w:pPr>
        <w:pStyle w:val="BTEMEASMCA"/>
        <w:rPr>
          <w:noProof w:val="0"/>
        </w:rPr>
      </w:pPr>
    </w:p>
    <w:p w:rsidR="00255979" w:rsidRPr="00983D39" w:rsidRDefault="00255979" w:rsidP="004873B0">
      <w:pPr>
        <w:pStyle w:val="CM13"/>
        <w:tabs>
          <w:tab w:val="left" w:pos="0"/>
        </w:tabs>
        <w:spacing w:after="275" w:line="278" w:lineRule="atLeast"/>
        <w:rPr>
          <w:rFonts w:cs="Times New Roman"/>
          <w:color w:val="000000"/>
          <w:sz w:val="23"/>
          <w:szCs w:val="23"/>
          <w:lang w:val="lt-LT"/>
        </w:rPr>
      </w:pPr>
      <w:r w:rsidRPr="00983D39">
        <w:rPr>
          <w:rFonts w:cs="Times New Roman"/>
          <w:color w:val="000000"/>
          <w:sz w:val="23"/>
          <w:szCs w:val="22"/>
          <w:lang w:val="lt-LT"/>
        </w:rPr>
        <w:t xml:space="preserve">Poveikio gebėjimui vairuoti ir valdyti mechanizmus tyrimų neatlikta. Tačiau gydantis </w:t>
      </w:r>
      <w:r w:rsidRPr="00983D39">
        <w:rPr>
          <w:rFonts w:cs="Times New Roman"/>
          <w:color w:val="000000"/>
          <w:sz w:val="23"/>
          <w:szCs w:val="22"/>
          <w:lang w:val="lt-LT"/>
        </w:rPr>
        <w:lastRenderedPageBreak/>
        <w:t xml:space="preserve">oksaliplatina gali padidėti galvos svaigimo, pykinimo ir vėmimo pavojus ir atsirasti kiti neurologiniai simptomai, veikiantys eiseną bei pusiausvyrą, dėl to gali pasireikšti nedidelis arba vidutiniškas poveikis gebėjimui vairuoti ir valdyti mechanizmus.  Regos sutrikimai, ypač laikinas apakimas (praeinantis, nutraukus gydymą), gali sutrikdyti paciento gebėjimą vairuoti ir valdyti mechanizmus. Todėl reikia įspėti pacientus apie šių galimų reiškinių įtaką gebėjimui vairuoti ir valdyti mechanizmus. </w:t>
      </w:r>
    </w:p>
    <w:p w:rsidR="00255979" w:rsidRPr="0084041E" w:rsidRDefault="00255979" w:rsidP="00633D05">
      <w:pPr>
        <w:pStyle w:val="PI-2EMEASMCA"/>
      </w:pPr>
      <w:bookmarkStart w:id="26" w:name="_Toc129243109"/>
      <w:bookmarkStart w:id="27" w:name="_Toc129243234"/>
      <w:r w:rsidRPr="004F39A6">
        <w:t>4.8</w:t>
      </w:r>
      <w:r w:rsidRPr="0084041E">
        <w:tab/>
        <w:t>Nepageidaujamas poveikis</w:t>
      </w:r>
      <w:bookmarkEnd w:id="26"/>
      <w:bookmarkEnd w:id="27"/>
    </w:p>
    <w:p w:rsidR="00255979" w:rsidRPr="0084041E" w:rsidRDefault="00255979" w:rsidP="00633D05">
      <w:pPr>
        <w:pStyle w:val="BTEMEASMCA"/>
        <w:rPr>
          <w:noProof w:val="0"/>
        </w:rPr>
      </w:pPr>
    </w:p>
    <w:p w:rsidR="00255979" w:rsidRPr="00CA3872" w:rsidRDefault="00255979" w:rsidP="005E4334">
      <w:pPr>
        <w:pStyle w:val="CM13"/>
        <w:spacing w:after="275" w:line="278" w:lineRule="atLeast"/>
        <w:rPr>
          <w:rFonts w:cs="Times New Roman"/>
          <w:color w:val="000000"/>
          <w:sz w:val="22"/>
          <w:szCs w:val="22"/>
          <w:lang w:val="lt-LT"/>
        </w:rPr>
      </w:pPr>
      <w:r w:rsidRPr="00CA3872">
        <w:rPr>
          <w:rFonts w:cs="Times New Roman"/>
          <w:color w:val="000000"/>
          <w:sz w:val="22"/>
          <w:szCs w:val="22"/>
          <w:lang w:val="lt-LT"/>
        </w:rPr>
        <w:t>Dažniausi nepageidaujami reiškiniai gydant oksaliplatina su 5-fluorouracilu/foli</w:t>
      </w:r>
      <w:r>
        <w:rPr>
          <w:rFonts w:cs="Times New Roman"/>
          <w:color w:val="000000"/>
          <w:sz w:val="22"/>
          <w:szCs w:val="22"/>
          <w:lang w:val="lt-LT"/>
        </w:rPr>
        <w:t>no</w:t>
      </w:r>
      <w:r w:rsidRPr="00CA3872">
        <w:rPr>
          <w:rFonts w:cs="Times New Roman"/>
          <w:color w:val="000000"/>
          <w:sz w:val="22"/>
          <w:szCs w:val="22"/>
          <w:lang w:val="lt-LT"/>
        </w:rPr>
        <w:t xml:space="preserve"> rūgštimi (5-FU/FR) buvo virškinamajam traktui (viduriavimas, pykinimas, vėmimas, mukozitas), kraujodarai (neutropenija, trombocitopenija) ir nervų sistemai (ūmi periferinė sensorinė neuropatija, atsirandanti dėl dozės kumuliacijos). Apskritai šie nepageidaujami reiškiniai buvo dažnesni ir stipresni gydant oksaliplatinos ir 5FU/FR deriniu, negu vien tik su 5FU/FR. </w:t>
      </w:r>
    </w:p>
    <w:p w:rsidR="00255979" w:rsidRPr="00CA3872" w:rsidRDefault="00255979" w:rsidP="005E4334">
      <w:pPr>
        <w:pStyle w:val="CM13"/>
        <w:spacing w:after="275" w:line="278" w:lineRule="atLeast"/>
        <w:rPr>
          <w:rFonts w:cs="Times New Roman"/>
          <w:color w:val="000000"/>
          <w:sz w:val="22"/>
          <w:szCs w:val="22"/>
          <w:lang w:val="lt-LT"/>
        </w:rPr>
      </w:pPr>
      <w:r w:rsidRPr="00CA3872">
        <w:rPr>
          <w:rFonts w:cs="Times New Roman"/>
          <w:color w:val="000000"/>
          <w:sz w:val="22"/>
          <w:szCs w:val="22"/>
          <w:lang w:val="lt-LT"/>
        </w:rPr>
        <w:t xml:space="preserve">Dažniai, nurodyti toliau pateikiamoje lentelėje, yra </w:t>
      </w:r>
      <w:r>
        <w:rPr>
          <w:rFonts w:cs="Times New Roman"/>
          <w:color w:val="000000"/>
          <w:sz w:val="22"/>
          <w:szCs w:val="22"/>
          <w:lang w:val="lt-LT"/>
        </w:rPr>
        <w:t xml:space="preserve">gauti iš klinikinių tyrimų, kuriuose taikytas </w:t>
      </w:r>
      <w:r w:rsidRPr="00CA3872">
        <w:rPr>
          <w:rFonts w:cs="Times New Roman"/>
          <w:color w:val="000000"/>
          <w:sz w:val="22"/>
          <w:szCs w:val="22"/>
          <w:lang w:val="lt-LT"/>
        </w:rPr>
        <w:t xml:space="preserve"> </w:t>
      </w:r>
      <w:r>
        <w:rPr>
          <w:rFonts w:cs="Times New Roman"/>
          <w:color w:val="000000"/>
          <w:sz w:val="22"/>
          <w:szCs w:val="22"/>
          <w:lang w:val="lt-LT"/>
        </w:rPr>
        <w:t>adjuvantinis</w:t>
      </w:r>
      <w:r w:rsidRPr="00CA3872">
        <w:rPr>
          <w:rFonts w:cs="Times New Roman"/>
          <w:color w:val="000000"/>
          <w:sz w:val="22"/>
          <w:szCs w:val="22"/>
          <w:lang w:val="lt-LT"/>
        </w:rPr>
        <w:t xml:space="preserve"> </w:t>
      </w:r>
      <w:r>
        <w:rPr>
          <w:rFonts w:cs="Times New Roman"/>
          <w:color w:val="000000"/>
          <w:sz w:val="22"/>
          <w:szCs w:val="22"/>
          <w:lang w:val="lt-LT"/>
        </w:rPr>
        <w:t>gydymas bei</w:t>
      </w:r>
      <w:r w:rsidRPr="00CA3872">
        <w:rPr>
          <w:rFonts w:cs="Times New Roman"/>
          <w:color w:val="000000"/>
          <w:sz w:val="22"/>
          <w:szCs w:val="22"/>
          <w:lang w:val="lt-LT"/>
        </w:rPr>
        <w:t xml:space="preserve"> metastaz</w:t>
      </w:r>
      <w:r>
        <w:rPr>
          <w:rFonts w:cs="Times New Roman"/>
          <w:color w:val="000000"/>
          <w:sz w:val="22"/>
          <w:szCs w:val="22"/>
          <w:lang w:val="lt-LT"/>
        </w:rPr>
        <w:t>avusio vėžio</w:t>
      </w:r>
      <w:r w:rsidRPr="00CA3872">
        <w:rPr>
          <w:rFonts w:cs="Times New Roman"/>
          <w:color w:val="000000"/>
          <w:sz w:val="22"/>
          <w:szCs w:val="22"/>
          <w:lang w:val="lt-LT"/>
        </w:rPr>
        <w:t xml:space="preserve"> gydym</w:t>
      </w:r>
      <w:r>
        <w:rPr>
          <w:rFonts w:cs="Times New Roman"/>
          <w:color w:val="000000"/>
          <w:sz w:val="22"/>
          <w:szCs w:val="22"/>
          <w:lang w:val="lt-LT"/>
        </w:rPr>
        <w:t>as</w:t>
      </w:r>
      <w:r w:rsidRPr="00CA3872">
        <w:rPr>
          <w:rFonts w:cs="Times New Roman"/>
          <w:color w:val="000000"/>
          <w:sz w:val="22"/>
          <w:szCs w:val="22"/>
          <w:lang w:val="lt-LT"/>
        </w:rPr>
        <w:t xml:space="preserve"> </w:t>
      </w:r>
      <w:r w:rsidRPr="003A6AEE">
        <w:rPr>
          <w:sz w:val="22"/>
          <w:szCs w:val="22"/>
          <w:lang w:val="lt-LT"/>
        </w:rPr>
        <w:t>oksaliplatina ir 5FU/FR</w:t>
      </w:r>
      <w:r w:rsidRPr="00CA3872" w:rsidDel="00AC3D2A">
        <w:rPr>
          <w:rFonts w:cs="Times New Roman"/>
          <w:color w:val="000000"/>
          <w:sz w:val="22"/>
          <w:szCs w:val="22"/>
          <w:lang w:val="lt-LT"/>
        </w:rPr>
        <w:t xml:space="preserve"> </w:t>
      </w:r>
      <w:r>
        <w:rPr>
          <w:rFonts w:cs="Times New Roman"/>
          <w:color w:val="000000"/>
          <w:sz w:val="22"/>
          <w:szCs w:val="22"/>
          <w:lang w:val="lt-LT"/>
        </w:rPr>
        <w:t xml:space="preserve"> </w:t>
      </w:r>
      <w:r w:rsidRPr="00CA3872">
        <w:rPr>
          <w:rFonts w:cs="Times New Roman"/>
          <w:color w:val="000000"/>
          <w:sz w:val="22"/>
          <w:szCs w:val="22"/>
          <w:lang w:val="lt-LT"/>
        </w:rPr>
        <w:t xml:space="preserve">(kuriuose gydymo oksaliplatina ir 5FU/FR grupėse dalyvavo atitinkamai 416 ir 1108 pacientai) ir pagal patirtį vaistui esant rinkoje.  </w:t>
      </w:r>
    </w:p>
    <w:p w:rsidR="00255979" w:rsidRPr="00CA3872" w:rsidRDefault="00255979" w:rsidP="005E4334">
      <w:pPr>
        <w:pStyle w:val="CM13"/>
        <w:spacing w:after="275" w:line="278" w:lineRule="atLeast"/>
        <w:rPr>
          <w:rFonts w:cs="Times New Roman"/>
          <w:color w:val="000000"/>
          <w:sz w:val="22"/>
          <w:szCs w:val="22"/>
          <w:lang w:val="lt-LT"/>
        </w:rPr>
      </w:pPr>
      <w:r w:rsidRPr="00CA3872">
        <w:rPr>
          <w:rFonts w:cs="Times New Roman"/>
          <w:color w:val="000000"/>
          <w:sz w:val="22"/>
          <w:szCs w:val="22"/>
          <w:lang w:val="lt-LT"/>
        </w:rPr>
        <w:t xml:space="preserve">Dažniai lentelėje yra pateikiami pagal tokį apibūdinimą:  labai dažni (≥ 1/10), dažni (nuo ≥ 1/100 iki &lt; 1/10), nedažni (nuo ≥ 1/1000 iki &lt; 1/100), reti (nuo ≥ 1/10 000 iki &lt; 1/1000), labai reti (&lt; 1/10 000), dažnis nežinomas (negali būti įvertintas pagal turimus duomenis). </w:t>
      </w:r>
    </w:p>
    <w:p w:rsidR="00255979" w:rsidRDefault="00255979" w:rsidP="005E4334">
      <w:pPr>
        <w:pStyle w:val="CM14"/>
        <w:spacing w:after="375" w:line="278" w:lineRule="atLeast"/>
        <w:rPr>
          <w:rFonts w:cs="Times New Roman"/>
          <w:color w:val="000000"/>
          <w:sz w:val="22"/>
          <w:szCs w:val="22"/>
          <w:lang w:val="lt-LT"/>
        </w:rPr>
      </w:pPr>
      <w:r w:rsidRPr="00CA3872">
        <w:rPr>
          <w:rFonts w:cs="Times New Roman"/>
          <w:color w:val="000000"/>
          <w:sz w:val="22"/>
          <w:szCs w:val="22"/>
          <w:lang w:val="lt-LT"/>
        </w:rPr>
        <w:t xml:space="preserve">Smulkesnė informacija pateikta po lentele. </w:t>
      </w:r>
    </w:p>
    <w:p w:rsidR="00255979" w:rsidRPr="006F5707" w:rsidRDefault="00255979" w:rsidP="006F5707">
      <w:pPr>
        <w:pStyle w:val="Default"/>
        <w:rPr>
          <w:lang w:val="lt-LT"/>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9"/>
        <w:gridCol w:w="2147"/>
        <w:gridCol w:w="1749"/>
        <w:gridCol w:w="1764"/>
        <w:gridCol w:w="2037"/>
      </w:tblGrid>
      <w:tr w:rsidR="00255979" w:rsidRPr="006F320A" w:rsidTr="006F320A">
        <w:tc>
          <w:tcPr>
            <w:tcW w:w="1737" w:type="dxa"/>
          </w:tcPr>
          <w:p w:rsidR="00255979" w:rsidRPr="006F320A" w:rsidRDefault="00255979" w:rsidP="00CA3872">
            <w:pPr>
              <w:pStyle w:val="Default"/>
              <w:rPr>
                <w:sz w:val="22"/>
                <w:szCs w:val="22"/>
                <w:lang w:val="lt-LT"/>
              </w:rPr>
            </w:pPr>
            <w:r w:rsidRPr="006F320A">
              <w:rPr>
                <w:b/>
                <w:bCs/>
                <w:sz w:val="22"/>
                <w:szCs w:val="22"/>
                <w:lang w:val="lt-LT"/>
              </w:rPr>
              <w:t xml:space="preserve">MedDRA organų sistemų klasė </w:t>
            </w:r>
          </w:p>
        </w:tc>
        <w:tc>
          <w:tcPr>
            <w:tcW w:w="1894" w:type="dxa"/>
          </w:tcPr>
          <w:p w:rsidR="00255979" w:rsidRPr="006F320A" w:rsidRDefault="00255979" w:rsidP="00CA3872">
            <w:pPr>
              <w:pStyle w:val="Default"/>
              <w:rPr>
                <w:sz w:val="22"/>
                <w:szCs w:val="22"/>
                <w:lang w:val="lt-LT"/>
              </w:rPr>
            </w:pPr>
            <w:r w:rsidRPr="006F320A">
              <w:rPr>
                <w:b/>
                <w:bCs/>
                <w:sz w:val="22"/>
                <w:szCs w:val="22"/>
                <w:lang w:val="lt-LT"/>
              </w:rPr>
              <w:t xml:space="preserve">Labai dažni </w:t>
            </w:r>
          </w:p>
        </w:tc>
        <w:tc>
          <w:tcPr>
            <w:tcW w:w="1794" w:type="dxa"/>
          </w:tcPr>
          <w:p w:rsidR="00255979" w:rsidRPr="006F320A" w:rsidRDefault="00255979" w:rsidP="00CA3872">
            <w:pPr>
              <w:pStyle w:val="Default"/>
              <w:rPr>
                <w:sz w:val="22"/>
                <w:szCs w:val="22"/>
                <w:lang w:val="lt-LT"/>
              </w:rPr>
            </w:pPr>
            <w:r w:rsidRPr="006F320A">
              <w:rPr>
                <w:b/>
                <w:bCs/>
                <w:sz w:val="22"/>
                <w:szCs w:val="22"/>
                <w:lang w:val="lt-LT"/>
              </w:rPr>
              <w:t xml:space="preserve">Dažni </w:t>
            </w:r>
          </w:p>
        </w:tc>
        <w:tc>
          <w:tcPr>
            <w:tcW w:w="1824" w:type="dxa"/>
          </w:tcPr>
          <w:p w:rsidR="00255979" w:rsidRPr="006F320A" w:rsidRDefault="00255979" w:rsidP="00CA3872">
            <w:pPr>
              <w:pStyle w:val="Default"/>
              <w:rPr>
                <w:sz w:val="22"/>
                <w:szCs w:val="22"/>
                <w:lang w:val="lt-LT"/>
              </w:rPr>
            </w:pPr>
            <w:r w:rsidRPr="006F320A">
              <w:rPr>
                <w:b/>
                <w:bCs/>
                <w:sz w:val="22"/>
                <w:szCs w:val="22"/>
                <w:lang w:val="lt-LT"/>
              </w:rPr>
              <w:t xml:space="preserve">Nedažni </w:t>
            </w:r>
          </w:p>
        </w:tc>
        <w:tc>
          <w:tcPr>
            <w:tcW w:w="2037" w:type="dxa"/>
          </w:tcPr>
          <w:p w:rsidR="00255979" w:rsidRPr="006F320A" w:rsidRDefault="00255979" w:rsidP="00CA3872">
            <w:pPr>
              <w:pStyle w:val="Default"/>
              <w:rPr>
                <w:sz w:val="22"/>
                <w:szCs w:val="22"/>
                <w:lang w:val="lt-LT"/>
              </w:rPr>
            </w:pPr>
            <w:r w:rsidRPr="006F320A">
              <w:rPr>
                <w:b/>
                <w:bCs/>
                <w:sz w:val="22"/>
                <w:szCs w:val="22"/>
                <w:lang w:val="lt-LT"/>
              </w:rPr>
              <w:t xml:space="preserve">Reti </w:t>
            </w:r>
          </w:p>
        </w:tc>
      </w:tr>
      <w:tr w:rsidR="00255979" w:rsidRPr="006F320A" w:rsidTr="006F320A">
        <w:tc>
          <w:tcPr>
            <w:tcW w:w="1737" w:type="dxa"/>
          </w:tcPr>
          <w:p w:rsidR="00255979" w:rsidRPr="006F320A" w:rsidRDefault="00255979" w:rsidP="00CA3872">
            <w:pPr>
              <w:pStyle w:val="Default"/>
              <w:rPr>
                <w:sz w:val="22"/>
                <w:szCs w:val="22"/>
                <w:lang w:val="lt-LT"/>
              </w:rPr>
            </w:pPr>
            <w:r w:rsidRPr="006F320A">
              <w:rPr>
                <w:b/>
                <w:bCs/>
                <w:sz w:val="22"/>
                <w:szCs w:val="22"/>
                <w:lang w:val="lt-LT"/>
              </w:rPr>
              <w:t xml:space="preserve">Infekcijos ir infestacijos * </w:t>
            </w:r>
          </w:p>
        </w:tc>
        <w:tc>
          <w:tcPr>
            <w:tcW w:w="1894" w:type="dxa"/>
          </w:tcPr>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Infekcija </w:t>
            </w:r>
          </w:p>
        </w:tc>
        <w:tc>
          <w:tcPr>
            <w:tcW w:w="1794" w:type="dxa"/>
          </w:tcPr>
          <w:p w:rsidR="00255979" w:rsidRPr="006F320A" w:rsidRDefault="00255979" w:rsidP="00CA3872">
            <w:pPr>
              <w:pStyle w:val="Default"/>
              <w:rPr>
                <w:sz w:val="22"/>
                <w:szCs w:val="22"/>
                <w:lang w:val="lt-LT"/>
              </w:rPr>
            </w:pPr>
            <w:r w:rsidRPr="006F320A">
              <w:rPr>
                <w:sz w:val="22"/>
                <w:szCs w:val="22"/>
                <w:lang w:val="lt-LT"/>
              </w:rPr>
              <w:t xml:space="preserve">- Rinitas, viršutinių kvėpavimo takų infekcija, neutropeninis sepsis </w:t>
            </w:r>
          </w:p>
        </w:tc>
        <w:tc>
          <w:tcPr>
            <w:tcW w:w="1824" w:type="dxa"/>
          </w:tcPr>
          <w:p w:rsidR="00255979" w:rsidRPr="006F320A" w:rsidRDefault="00255979" w:rsidP="00CA3872">
            <w:pPr>
              <w:pStyle w:val="Default"/>
              <w:rPr>
                <w:color w:val="auto"/>
                <w:sz w:val="22"/>
                <w:szCs w:val="22"/>
                <w:lang w:val="lt-LT"/>
              </w:rPr>
            </w:pPr>
          </w:p>
        </w:tc>
        <w:tc>
          <w:tcPr>
            <w:tcW w:w="2037" w:type="dxa"/>
          </w:tcPr>
          <w:p w:rsidR="00255979" w:rsidRPr="006F320A" w:rsidRDefault="00255979" w:rsidP="00CA3872">
            <w:pPr>
              <w:pStyle w:val="Default"/>
              <w:rPr>
                <w:color w:val="auto"/>
                <w:sz w:val="22"/>
                <w:szCs w:val="22"/>
                <w:lang w:val="lt-LT"/>
              </w:rPr>
            </w:pPr>
          </w:p>
        </w:tc>
      </w:tr>
      <w:tr w:rsidR="00255979" w:rsidRPr="006F320A" w:rsidTr="006F320A">
        <w:trPr>
          <w:trHeight w:val="1265"/>
        </w:trPr>
        <w:tc>
          <w:tcPr>
            <w:tcW w:w="1737" w:type="dxa"/>
            <w:vAlign w:val="center"/>
          </w:tcPr>
          <w:p w:rsidR="00255979" w:rsidRPr="006F320A" w:rsidRDefault="00255979" w:rsidP="00CA3872">
            <w:pPr>
              <w:pStyle w:val="Default"/>
              <w:rPr>
                <w:sz w:val="22"/>
                <w:szCs w:val="22"/>
                <w:lang w:val="lt-LT"/>
              </w:rPr>
            </w:pPr>
            <w:r w:rsidRPr="006F320A">
              <w:rPr>
                <w:b/>
                <w:bCs/>
                <w:sz w:val="22"/>
                <w:szCs w:val="22"/>
                <w:lang w:val="lt-LT"/>
              </w:rPr>
              <w:t xml:space="preserve">Kraujo ir limfinės sistemos sutrikimai* </w:t>
            </w:r>
          </w:p>
        </w:tc>
        <w:tc>
          <w:tcPr>
            <w:tcW w:w="1894" w:type="dxa"/>
            <w:vAlign w:val="center"/>
          </w:tcPr>
          <w:p w:rsidR="00255979" w:rsidRPr="006F320A" w:rsidRDefault="00255979" w:rsidP="00CA3872">
            <w:pPr>
              <w:pStyle w:val="Default"/>
              <w:rPr>
                <w:bCs/>
                <w:sz w:val="22"/>
                <w:szCs w:val="22"/>
                <w:lang w:val="lt-LT"/>
              </w:rPr>
            </w:pPr>
            <w:r w:rsidRPr="006F320A">
              <w:rPr>
                <w:bCs/>
                <w:sz w:val="22"/>
                <w:szCs w:val="22"/>
                <w:lang w:val="lt-LT"/>
              </w:rPr>
              <w:t>-Anemija</w:t>
            </w:r>
          </w:p>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Neutropenija </w:t>
            </w:r>
          </w:p>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Trombocitopenija </w:t>
            </w:r>
            <w:r w:rsidRPr="006F320A">
              <w:rPr>
                <w:b/>
                <w:bCs/>
                <w:sz w:val="22"/>
                <w:szCs w:val="22"/>
                <w:lang w:val="lt-LT"/>
              </w:rPr>
              <w:t>-</w:t>
            </w:r>
            <w:r w:rsidRPr="006F320A">
              <w:rPr>
                <w:sz w:val="22"/>
                <w:szCs w:val="22"/>
                <w:lang w:val="lt-LT"/>
              </w:rPr>
              <w:t xml:space="preserve">Leukopenija </w:t>
            </w:r>
            <w:r w:rsidRPr="006F320A">
              <w:rPr>
                <w:b/>
                <w:bCs/>
                <w:sz w:val="22"/>
                <w:szCs w:val="22"/>
                <w:lang w:val="lt-LT"/>
              </w:rPr>
              <w:t>-</w:t>
            </w:r>
            <w:r w:rsidRPr="006F320A">
              <w:rPr>
                <w:sz w:val="22"/>
                <w:szCs w:val="22"/>
                <w:lang w:val="lt-LT"/>
              </w:rPr>
              <w:t xml:space="preserve">Limfopenija </w:t>
            </w:r>
          </w:p>
        </w:tc>
        <w:tc>
          <w:tcPr>
            <w:tcW w:w="1794" w:type="dxa"/>
            <w:vAlign w:val="center"/>
          </w:tcPr>
          <w:p w:rsidR="00255979" w:rsidRPr="006F320A" w:rsidRDefault="00255979" w:rsidP="00CA3872">
            <w:pPr>
              <w:pStyle w:val="Default"/>
              <w:rPr>
                <w:sz w:val="22"/>
                <w:szCs w:val="22"/>
                <w:lang w:val="lt-LT"/>
              </w:rPr>
            </w:pPr>
            <w:r w:rsidRPr="006F320A">
              <w:rPr>
                <w:sz w:val="22"/>
                <w:szCs w:val="22"/>
                <w:lang w:val="lt-LT"/>
              </w:rPr>
              <w:t xml:space="preserve">- Febrilinė neutropenija  </w:t>
            </w:r>
          </w:p>
        </w:tc>
        <w:tc>
          <w:tcPr>
            <w:tcW w:w="1824" w:type="dxa"/>
          </w:tcPr>
          <w:p w:rsidR="00255979" w:rsidRPr="006F320A" w:rsidRDefault="00255979" w:rsidP="00CA3872">
            <w:pPr>
              <w:pStyle w:val="Default"/>
              <w:rPr>
                <w:color w:val="auto"/>
                <w:sz w:val="22"/>
                <w:szCs w:val="22"/>
                <w:lang w:val="lt-LT"/>
              </w:rPr>
            </w:pPr>
          </w:p>
        </w:tc>
        <w:tc>
          <w:tcPr>
            <w:tcW w:w="2037" w:type="dxa"/>
            <w:vAlign w:val="center"/>
          </w:tcPr>
          <w:p w:rsidR="00255979" w:rsidRPr="006F320A" w:rsidRDefault="00255979" w:rsidP="00CA3872">
            <w:pPr>
              <w:pStyle w:val="Default"/>
              <w:rPr>
                <w:sz w:val="22"/>
                <w:szCs w:val="22"/>
                <w:lang w:val="lt-LT"/>
              </w:rPr>
            </w:pPr>
            <w:r w:rsidRPr="006F320A">
              <w:rPr>
                <w:sz w:val="22"/>
                <w:szCs w:val="22"/>
                <w:lang w:val="lt-LT"/>
              </w:rPr>
              <w:t xml:space="preserve">Imunoalerginė </w:t>
            </w:r>
          </w:p>
          <w:p w:rsidR="00255979" w:rsidRPr="006F320A" w:rsidRDefault="00255979" w:rsidP="00CA3872">
            <w:pPr>
              <w:pStyle w:val="Default"/>
              <w:rPr>
                <w:sz w:val="22"/>
                <w:szCs w:val="22"/>
                <w:lang w:val="lt-LT"/>
              </w:rPr>
            </w:pPr>
            <w:r w:rsidRPr="006F320A">
              <w:rPr>
                <w:sz w:val="22"/>
                <w:szCs w:val="22"/>
                <w:lang w:val="lt-LT"/>
              </w:rPr>
              <w:t xml:space="preserve">trombocitopenija </w:t>
            </w:r>
          </w:p>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Hemolizinė anemija </w:t>
            </w:r>
          </w:p>
        </w:tc>
      </w:tr>
      <w:tr w:rsidR="00255979" w:rsidRPr="006F320A" w:rsidTr="006F320A">
        <w:tc>
          <w:tcPr>
            <w:tcW w:w="1737" w:type="dxa"/>
          </w:tcPr>
          <w:p w:rsidR="00255979" w:rsidRPr="006F320A" w:rsidRDefault="00255979" w:rsidP="00CA3872">
            <w:pPr>
              <w:pStyle w:val="Default"/>
              <w:rPr>
                <w:sz w:val="22"/>
                <w:szCs w:val="22"/>
                <w:lang w:val="lt-LT"/>
              </w:rPr>
            </w:pPr>
            <w:r w:rsidRPr="006F320A">
              <w:rPr>
                <w:b/>
                <w:bCs/>
                <w:sz w:val="22"/>
                <w:szCs w:val="22"/>
                <w:lang w:val="lt-LT"/>
              </w:rPr>
              <w:t xml:space="preserve">Imuninės sistemos sutrikimai* </w:t>
            </w:r>
          </w:p>
        </w:tc>
        <w:tc>
          <w:tcPr>
            <w:tcW w:w="1894" w:type="dxa"/>
          </w:tcPr>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Alergija/ alerginė reakcija+ </w:t>
            </w:r>
          </w:p>
        </w:tc>
        <w:tc>
          <w:tcPr>
            <w:tcW w:w="1794" w:type="dxa"/>
          </w:tcPr>
          <w:p w:rsidR="00255979" w:rsidRPr="006F320A" w:rsidRDefault="00255979" w:rsidP="00CA3872">
            <w:pPr>
              <w:pStyle w:val="Default"/>
              <w:rPr>
                <w:color w:val="auto"/>
                <w:sz w:val="22"/>
                <w:szCs w:val="22"/>
                <w:lang w:val="lt-LT"/>
              </w:rPr>
            </w:pPr>
          </w:p>
        </w:tc>
        <w:tc>
          <w:tcPr>
            <w:tcW w:w="1824" w:type="dxa"/>
          </w:tcPr>
          <w:p w:rsidR="00255979" w:rsidRPr="006F320A" w:rsidRDefault="00255979" w:rsidP="00CA3872">
            <w:pPr>
              <w:pStyle w:val="Default"/>
              <w:rPr>
                <w:color w:val="auto"/>
                <w:sz w:val="22"/>
                <w:szCs w:val="22"/>
                <w:lang w:val="lt-LT"/>
              </w:rPr>
            </w:pPr>
          </w:p>
        </w:tc>
        <w:tc>
          <w:tcPr>
            <w:tcW w:w="2037" w:type="dxa"/>
          </w:tcPr>
          <w:p w:rsidR="00255979" w:rsidRPr="006F320A" w:rsidRDefault="00255979" w:rsidP="00CA3872">
            <w:pPr>
              <w:pStyle w:val="Default"/>
              <w:rPr>
                <w:color w:val="auto"/>
                <w:sz w:val="22"/>
                <w:szCs w:val="22"/>
                <w:lang w:val="lt-LT"/>
              </w:rPr>
            </w:pPr>
          </w:p>
        </w:tc>
      </w:tr>
      <w:tr w:rsidR="00255979" w:rsidRPr="006F320A" w:rsidTr="006F320A">
        <w:trPr>
          <w:trHeight w:val="1265"/>
        </w:trPr>
        <w:tc>
          <w:tcPr>
            <w:tcW w:w="1737" w:type="dxa"/>
            <w:vAlign w:val="center"/>
          </w:tcPr>
          <w:p w:rsidR="00255979" w:rsidRPr="006F320A" w:rsidRDefault="00255979" w:rsidP="00CA3872">
            <w:pPr>
              <w:pStyle w:val="Default"/>
              <w:rPr>
                <w:sz w:val="22"/>
                <w:szCs w:val="22"/>
                <w:lang w:val="lt-LT"/>
              </w:rPr>
            </w:pPr>
            <w:r w:rsidRPr="006F320A">
              <w:rPr>
                <w:b/>
                <w:bCs/>
                <w:sz w:val="22"/>
                <w:szCs w:val="22"/>
                <w:lang w:val="lt-LT"/>
              </w:rPr>
              <w:t xml:space="preserve">Metabolizmo </w:t>
            </w:r>
          </w:p>
          <w:p w:rsidR="00255979" w:rsidRPr="006F320A" w:rsidRDefault="00255979" w:rsidP="00CA3872">
            <w:pPr>
              <w:pStyle w:val="Default"/>
              <w:rPr>
                <w:sz w:val="22"/>
                <w:szCs w:val="22"/>
                <w:lang w:val="lt-LT"/>
              </w:rPr>
            </w:pPr>
            <w:r w:rsidRPr="006F320A">
              <w:rPr>
                <w:b/>
                <w:bCs/>
                <w:sz w:val="22"/>
                <w:szCs w:val="22"/>
                <w:lang w:val="lt-LT"/>
              </w:rPr>
              <w:t xml:space="preserve">ir mitybos </w:t>
            </w:r>
          </w:p>
          <w:p w:rsidR="00255979" w:rsidRPr="006F320A" w:rsidRDefault="00255979" w:rsidP="00CA3872">
            <w:pPr>
              <w:pStyle w:val="Default"/>
              <w:rPr>
                <w:sz w:val="22"/>
                <w:szCs w:val="22"/>
                <w:lang w:val="lt-LT"/>
              </w:rPr>
            </w:pPr>
            <w:r w:rsidRPr="006F320A">
              <w:rPr>
                <w:b/>
                <w:bCs/>
                <w:sz w:val="22"/>
                <w:szCs w:val="22"/>
                <w:lang w:val="lt-LT"/>
              </w:rPr>
              <w:t xml:space="preserve">sutrikimai </w:t>
            </w:r>
          </w:p>
        </w:tc>
        <w:tc>
          <w:tcPr>
            <w:tcW w:w="1894" w:type="dxa"/>
            <w:vAlign w:val="center"/>
          </w:tcPr>
          <w:p w:rsidR="00255979" w:rsidRPr="006F320A" w:rsidRDefault="00255979" w:rsidP="00CA3872">
            <w:pPr>
              <w:pStyle w:val="Default"/>
              <w:rPr>
                <w:sz w:val="22"/>
                <w:szCs w:val="22"/>
                <w:lang w:val="lt-LT"/>
              </w:rPr>
            </w:pPr>
            <w:r w:rsidRPr="006F320A">
              <w:rPr>
                <w:sz w:val="22"/>
                <w:szCs w:val="22"/>
                <w:lang w:val="lt-LT"/>
              </w:rPr>
              <w:t xml:space="preserve">- Anoreksija </w:t>
            </w:r>
          </w:p>
          <w:p w:rsidR="00255979" w:rsidRPr="006F320A" w:rsidRDefault="00255979" w:rsidP="00CA3872">
            <w:pPr>
              <w:pStyle w:val="Default"/>
              <w:rPr>
                <w:sz w:val="22"/>
                <w:szCs w:val="22"/>
                <w:lang w:val="lt-LT"/>
              </w:rPr>
            </w:pPr>
            <w:r w:rsidRPr="006F320A">
              <w:rPr>
                <w:sz w:val="22"/>
                <w:szCs w:val="22"/>
                <w:lang w:val="lt-LT"/>
              </w:rPr>
              <w:t xml:space="preserve">-Hiperglikemija </w:t>
            </w:r>
          </w:p>
          <w:p w:rsidR="00255979" w:rsidRPr="006F320A" w:rsidRDefault="00255979" w:rsidP="00CA3872">
            <w:pPr>
              <w:pStyle w:val="Default"/>
              <w:rPr>
                <w:sz w:val="22"/>
                <w:szCs w:val="22"/>
                <w:lang w:val="lt-LT"/>
              </w:rPr>
            </w:pPr>
            <w:r w:rsidRPr="006F320A">
              <w:rPr>
                <w:sz w:val="22"/>
                <w:szCs w:val="22"/>
                <w:lang w:val="lt-LT"/>
              </w:rPr>
              <w:t xml:space="preserve">- Hipokalemija -Hipernatremija </w:t>
            </w:r>
          </w:p>
        </w:tc>
        <w:tc>
          <w:tcPr>
            <w:tcW w:w="1794" w:type="dxa"/>
            <w:vAlign w:val="center"/>
          </w:tcPr>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Dehidratacija </w:t>
            </w:r>
          </w:p>
        </w:tc>
        <w:tc>
          <w:tcPr>
            <w:tcW w:w="1824" w:type="dxa"/>
            <w:vAlign w:val="center"/>
          </w:tcPr>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Metabolinė acidozė </w:t>
            </w:r>
          </w:p>
        </w:tc>
        <w:tc>
          <w:tcPr>
            <w:tcW w:w="2037" w:type="dxa"/>
          </w:tcPr>
          <w:p w:rsidR="00255979" w:rsidRPr="006F320A" w:rsidRDefault="00255979" w:rsidP="00CA3872">
            <w:pPr>
              <w:pStyle w:val="Default"/>
              <w:rPr>
                <w:color w:val="auto"/>
                <w:sz w:val="22"/>
                <w:szCs w:val="22"/>
                <w:lang w:val="lt-LT"/>
              </w:rPr>
            </w:pPr>
          </w:p>
        </w:tc>
      </w:tr>
      <w:tr w:rsidR="00255979" w:rsidRPr="006F320A" w:rsidTr="006F320A">
        <w:tc>
          <w:tcPr>
            <w:tcW w:w="1737" w:type="dxa"/>
          </w:tcPr>
          <w:p w:rsidR="00255979" w:rsidRPr="006F320A" w:rsidRDefault="00255979" w:rsidP="00CA3872">
            <w:pPr>
              <w:pStyle w:val="Default"/>
              <w:rPr>
                <w:sz w:val="22"/>
                <w:szCs w:val="22"/>
                <w:lang w:val="lt-LT"/>
              </w:rPr>
            </w:pPr>
            <w:r w:rsidRPr="006F320A">
              <w:rPr>
                <w:b/>
                <w:bCs/>
                <w:sz w:val="22"/>
                <w:szCs w:val="22"/>
                <w:lang w:val="lt-LT"/>
              </w:rPr>
              <w:t xml:space="preserve">Psichikos sutrikimai </w:t>
            </w:r>
          </w:p>
        </w:tc>
        <w:tc>
          <w:tcPr>
            <w:tcW w:w="1894" w:type="dxa"/>
          </w:tcPr>
          <w:p w:rsidR="00255979" w:rsidRPr="006F320A" w:rsidRDefault="00255979" w:rsidP="00CA3872">
            <w:pPr>
              <w:pStyle w:val="Default"/>
              <w:rPr>
                <w:color w:val="auto"/>
                <w:sz w:val="22"/>
                <w:szCs w:val="22"/>
                <w:lang w:val="lt-LT"/>
              </w:rPr>
            </w:pPr>
          </w:p>
        </w:tc>
        <w:tc>
          <w:tcPr>
            <w:tcW w:w="1794" w:type="dxa"/>
          </w:tcPr>
          <w:p w:rsidR="00255979" w:rsidRPr="006F320A" w:rsidRDefault="00255979" w:rsidP="00CA3872">
            <w:pPr>
              <w:pStyle w:val="Default"/>
              <w:rPr>
                <w:sz w:val="22"/>
                <w:szCs w:val="22"/>
                <w:lang w:val="lt-LT"/>
              </w:rPr>
            </w:pPr>
            <w:r w:rsidRPr="006F320A">
              <w:rPr>
                <w:sz w:val="22"/>
                <w:szCs w:val="22"/>
                <w:lang w:val="lt-LT"/>
              </w:rPr>
              <w:t xml:space="preserve">- Depresija </w:t>
            </w:r>
          </w:p>
          <w:p w:rsidR="00255979" w:rsidRPr="006F320A" w:rsidRDefault="00255979" w:rsidP="00CA3872">
            <w:pPr>
              <w:pStyle w:val="Default"/>
              <w:rPr>
                <w:sz w:val="22"/>
                <w:szCs w:val="22"/>
                <w:lang w:val="lt-LT"/>
              </w:rPr>
            </w:pPr>
            <w:r w:rsidRPr="006F320A">
              <w:rPr>
                <w:sz w:val="22"/>
                <w:szCs w:val="22"/>
                <w:lang w:val="lt-LT"/>
              </w:rPr>
              <w:t xml:space="preserve">- Nemiga </w:t>
            </w:r>
          </w:p>
        </w:tc>
        <w:tc>
          <w:tcPr>
            <w:tcW w:w="1824" w:type="dxa"/>
          </w:tcPr>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Nervingumas </w:t>
            </w:r>
          </w:p>
        </w:tc>
        <w:tc>
          <w:tcPr>
            <w:tcW w:w="2037" w:type="dxa"/>
          </w:tcPr>
          <w:p w:rsidR="00255979" w:rsidRPr="006F320A" w:rsidRDefault="00255979" w:rsidP="00CA3872">
            <w:pPr>
              <w:pStyle w:val="Default"/>
              <w:rPr>
                <w:color w:val="auto"/>
                <w:sz w:val="22"/>
                <w:szCs w:val="22"/>
                <w:lang w:val="lt-LT"/>
              </w:rPr>
            </w:pPr>
          </w:p>
        </w:tc>
      </w:tr>
      <w:tr w:rsidR="00255979" w:rsidRPr="006F320A" w:rsidTr="006F320A">
        <w:trPr>
          <w:trHeight w:val="2044"/>
        </w:trPr>
        <w:tc>
          <w:tcPr>
            <w:tcW w:w="1737" w:type="dxa"/>
            <w:vAlign w:val="center"/>
          </w:tcPr>
          <w:p w:rsidR="00255979" w:rsidRPr="006F320A" w:rsidRDefault="00255979" w:rsidP="00CA3872">
            <w:pPr>
              <w:pStyle w:val="Default"/>
              <w:rPr>
                <w:sz w:val="22"/>
                <w:szCs w:val="22"/>
                <w:lang w:val="lt-LT"/>
              </w:rPr>
            </w:pPr>
            <w:r w:rsidRPr="006F320A">
              <w:rPr>
                <w:b/>
                <w:bCs/>
                <w:sz w:val="22"/>
                <w:szCs w:val="22"/>
                <w:lang w:val="lt-LT"/>
              </w:rPr>
              <w:lastRenderedPageBreak/>
              <w:t xml:space="preserve">Nervų </w:t>
            </w:r>
          </w:p>
          <w:p w:rsidR="00255979" w:rsidRPr="006F320A" w:rsidRDefault="00255979" w:rsidP="00CA3872">
            <w:pPr>
              <w:pStyle w:val="Default"/>
              <w:rPr>
                <w:sz w:val="22"/>
                <w:szCs w:val="22"/>
                <w:lang w:val="lt-LT"/>
              </w:rPr>
            </w:pPr>
            <w:r w:rsidRPr="006F320A">
              <w:rPr>
                <w:b/>
                <w:bCs/>
                <w:sz w:val="22"/>
                <w:szCs w:val="22"/>
                <w:lang w:val="lt-LT"/>
              </w:rPr>
              <w:t xml:space="preserve">sistemos </w:t>
            </w:r>
          </w:p>
          <w:p w:rsidR="00255979" w:rsidRPr="006F320A" w:rsidRDefault="00255979" w:rsidP="00CA3872">
            <w:pPr>
              <w:pStyle w:val="Default"/>
              <w:rPr>
                <w:sz w:val="22"/>
                <w:szCs w:val="22"/>
                <w:lang w:val="lt-LT"/>
              </w:rPr>
            </w:pPr>
            <w:r w:rsidRPr="006F320A">
              <w:rPr>
                <w:b/>
                <w:bCs/>
                <w:sz w:val="22"/>
                <w:szCs w:val="22"/>
                <w:lang w:val="lt-LT"/>
              </w:rPr>
              <w:t xml:space="preserve">sutrikimai* </w:t>
            </w:r>
          </w:p>
        </w:tc>
        <w:tc>
          <w:tcPr>
            <w:tcW w:w="1894" w:type="dxa"/>
            <w:vAlign w:val="center"/>
          </w:tcPr>
          <w:p w:rsidR="00255979" w:rsidRPr="006F320A" w:rsidRDefault="00255979" w:rsidP="00CA3872">
            <w:pPr>
              <w:pStyle w:val="Default"/>
              <w:rPr>
                <w:sz w:val="22"/>
                <w:szCs w:val="22"/>
                <w:lang w:val="lt-LT"/>
              </w:rPr>
            </w:pPr>
            <w:r w:rsidRPr="006F320A">
              <w:rPr>
                <w:sz w:val="22"/>
                <w:szCs w:val="22"/>
                <w:lang w:val="lt-LT"/>
              </w:rPr>
              <w:t xml:space="preserve">- Periferinė </w:t>
            </w:r>
          </w:p>
          <w:p w:rsidR="00255979" w:rsidRPr="006F320A" w:rsidRDefault="00255979" w:rsidP="00CA3872">
            <w:pPr>
              <w:pStyle w:val="Default"/>
              <w:rPr>
                <w:sz w:val="22"/>
                <w:szCs w:val="22"/>
                <w:lang w:val="lt-LT"/>
              </w:rPr>
            </w:pPr>
            <w:r w:rsidRPr="006F320A">
              <w:rPr>
                <w:sz w:val="22"/>
                <w:szCs w:val="22"/>
                <w:lang w:val="lt-LT"/>
              </w:rPr>
              <w:t xml:space="preserve">sensorinė </w:t>
            </w:r>
          </w:p>
          <w:p w:rsidR="00255979" w:rsidRPr="006F320A" w:rsidRDefault="00255979" w:rsidP="00CA3872">
            <w:pPr>
              <w:pStyle w:val="Default"/>
              <w:rPr>
                <w:sz w:val="22"/>
                <w:szCs w:val="22"/>
                <w:lang w:val="lt-LT"/>
              </w:rPr>
            </w:pPr>
            <w:r w:rsidRPr="006F320A">
              <w:rPr>
                <w:sz w:val="22"/>
                <w:szCs w:val="22"/>
                <w:lang w:val="lt-LT"/>
              </w:rPr>
              <w:t xml:space="preserve">neuropatija </w:t>
            </w:r>
          </w:p>
          <w:p w:rsidR="00255979" w:rsidRPr="006F320A" w:rsidRDefault="00255979" w:rsidP="00CA3872">
            <w:pPr>
              <w:pStyle w:val="Default"/>
              <w:rPr>
                <w:sz w:val="22"/>
                <w:szCs w:val="22"/>
                <w:lang w:val="lt-LT"/>
              </w:rPr>
            </w:pPr>
            <w:r w:rsidRPr="006F320A">
              <w:rPr>
                <w:sz w:val="22"/>
                <w:szCs w:val="22"/>
                <w:lang w:val="lt-LT"/>
              </w:rPr>
              <w:t xml:space="preserve">- Jutimų sutrikimas - Skonio sutrikimas - Galvos skausmas </w:t>
            </w:r>
          </w:p>
        </w:tc>
        <w:tc>
          <w:tcPr>
            <w:tcW w:w="1794" w:type="dxa"/>
            <w:vAlign w:val="center"/>
          </w:tcPr>
          <w:p w:rsidR="00255979" w:rsidRPr="006F320A" w:rsidRDefault="00255979" w:rsidP="00CA3872">
            <w:pPr>
              <w:pStyle w:val="Default"/>
              <w:rPr>
                <w:sz w:val="22"/>
                <w:szCs w:val="22"/>
                <w:lang w:val="lt-LT"/>
              </w:rPr>
            </w:pPr>
            <w:r w:rsidRPr="006F320A">
              <w:rPr>
                <w:sz w:val="22"/>
                <w:szCs w:val="22"/>
                <w:lang w:val="lt-LT"/>
              </w:rPr>
              <w:t xml:space="preserve">- Svaigulys </w:t>
            </w:r>
          </w:p>
          <w:p w:rsidR="00255979" w:rsidRPr="006F320A" w:rsidRDefault="00255979" w:rsidP="00CA3872">
            <w:pPr>
              <w:pStyle w:val="Default"/>
              <w:rPr>
                <w:sz w:val="22"/>
                <w:szCs w:val="22"/>
                <w:lang w:val="lt-LT"/>
              </w:rPr>
            </w:pPr>
            <w:r w:rsidRPr="006F320A">
              <w:rPr>
                <w:sz w:val="22"/>
                <w:szCs w:val="22"/>
                <w:lang w:val="lt-LT"/>
              </w:rPr>
              <w:t xml:space="preserve">- Motorinis neuritas </w:t>
            </w:r>
          </w:p>
          <w:p w:rsidR="00255979" w:rsidRPr="006F320A" w:rsidRDefault="00255979" w:rsidP="00CA3872">
            <w:pPr>
              <w:pStyle w:val="Default"/>
              <w:rPr>
                <w:sz w:val="22"/>
                <w:szCs w:val="22"/>
                <w:lang w:val="lt-LT"/>
              </w:rPr>
            </w:pPr>
            <w:r w:rsidRPr="006F320A">
              <w:rPr>
                <w:sz w:val="22"/>
                <w:szCs w:val="22"/>
                <w:lang w:val="lt-LT"/>
              </w:rPr>
              <w:t xml:space="preserve">- Meningizmas </w:t>
            </w:r>
          </w:p>
        </w:tc>
        <w:tc>
          <w:tcPr>
            <w:tcW w:w="1824" w:type="dxa"/>
          </w:tcPr>
          <w:p w:rsidR="00255979" w:rsidRPr="006F320A" w:rsidRDefault="00255979" w:rsidP="00CA3872">
            <w:pPr>
              <w:pStyle w:val="Default"/>
              <w:rPr>
                <w:color w:val="auto"/>
                <w:sz w:val="22"/>
                <w:szCs w:val="22"/>
                <w:lang w:val="lt-LT"/>
              </w:rPr>
            </w:pPr>
          </w:p>
        </w:tc>
        <w:tc>
          <w:tcPr>
            <w:tcW w:w="2037" w:type="dxa"/>
            <w:vAlign w:val="center"/>
          </w:tcPr>
          <w:p w:rsidR="00255979" w:rsidRPr="006F320A" w:rsidRDefault="00255979" w:rsidP="00CA3872">
            <w:pPr>
              <w:pStyle w:val="Default"/>
              <w:rPr>
                <w:sz w:val="22"/>
                <w:szCs w:val="22"/>
                <w:lang w:val="lt-LT"/>
              </w:rPr>
            </w:pPr>
            <w:r w:rsidRPr="006F320A">
              <w:rPr>
                <w:sz w:val="22"/>
                <w:szCs w:val="22"/>
                <w:lang w:val="lt-LT"/>
              </w:rPr>
              <w:t xml:space="preserve"> - Disartrija </w:t>
            </w:r>
          </w:p>
          <w:p w:rsidR="00255979" w:rsidRPr="006F320A" w:rsidRDefault="00255979" w:rsidP="00CA3872">
            <w:pPr>
              <w:pStyle w:val="Default"/>
              <w:rPr>
                <w:sz w:val="22"/>
                <w:szCs w:val="22"/>
                <w:lang w:val="lt-LT"/>
              </w:rPr>
            </w:pPr>
            <w:r w:rsidRPr="006F320A">
              <w:rPr>
                <w:sz w:val="22"/>
                <w:szCs w:val="22"/>
                <w:lang w:val="lt-LT"/>
              </w:rPr>
              <w:t xml:space="preserve">- Grįžtamos užpakalinės leukoencefalopatijos sindromas (GULS arba UGES)** (žr. 4.4 skyrių) </w:t>
            </w:r>
          </w:p>
        </w:tc>
      </w:tr>
      <w:tr w:rsidR="00255979" w:rsidRPr="006F320A" w:rsidTr="006F320A">
        <w:tc>
          <w:tcPr>
            <w:tcW w:w="1737" w:type="dxa"/>
          </w:tcPr>
          <w:p w:rsidR="00255979" w:rsidRPr="006F320A" w:rsidRDefault="00255979" w:rsidP="00CA3872">
            <w:pPr>
              <w:pStyle w:val="Default"/>
              <w:rPr>
                <w:sz w:val="22"/>
                <w:szCs w:val="22"/>
                <w:lang w:val="lt-LT"/>
              </w:rPr>
            </w:pPr>
            <w:r w:rsidRPr="006F320A">
              <w:rPr>
                <w:b/>
                <w:bCs/>
                <w:sz w:val="22"/>
                <w:szCs w:val="22"/>
                <w:lang w:val="lt-LT"/>
              </w:rPr>
              <w:t>Akių sutrikimai</w:t>
            </w:r>
          </w:p>
        </w:tc>
        <w:tc>
          <w:tcPr>
            <w:tcW w:w="1894" w:type="dxa"/>
          </w:tcPr>
          <w:p w:rsidR="00255979" w:rsidRPr="006F320A" w:rsidRDefault="00255979" w:rsidP="00CA3872">
            <w:pPr>
              <w:pStyle w:val="Default"/>
              <w:rPr>
                <w:color w:val="auto"/>
                <w:sz w:val="22"/>
                <w:szCs w:val="22"/>
                <w:lang w:val="lt-LT"/>
              </w:rPr>
            </w:pPr>
          </w:p>
        </w:tc>
        <w:tc>
          <w:tcPr>
            <w:tcW w:w="1794" w:type="dxa"/>
          </w:tcPr>
          <w:p w:rsidR="00255979" w:rsidRPr="006F320A" w:rsidRDefault="00255979" w:rsidP="00CA3872">
            <w:pPr>
              <w:pStyle w:val="Default"/>
              <w:rPr>
                <w:sz w:val="22"/>
                <w:szCs w:val="22"/>
                <w:lang w:val="lt-LT"/>
              </w:rPr>
            </w:pPr>
            <w:r w:rsidRPr="006F320A">
              <w:rPr>
                <w:sz w:val="22"/>
                <w:szCs w:val="22"/>
                <w:lang w:val="lt-LT"/>
              </w:rPr>
              <w:t xml:space="preserve"> - Konjunktyvitas </w:t>
            </w:r>
          </w:p>
          <w:p w:rsidR="00255979" w:rsidRPr="006F320A" w:rsidRDefault="00255979" w:rsidP="00CA3872">
            <w:pPr>
              <w:pStyle w:val="Default"/>
              <w:rPr>
                <w:sz w:val="22"/>
                <w:szCs w:val="22"/>
                <w:lang w:val="lt-LT"/>
              </w:rPr>
            </w:pPr>
            <w:r w:rsidRPr="006F320A">
              <w:rPr>
                <w:sz w:val="22"/>
                <w:szCs w:val="22"/>
                <w:lang w:val="lt-LT"/>
              </w:rPr>
              <w:t xml:space="preserve">- Nenormali rega </w:t>
            </w:r>
          </w:p>
        </w:tc>
        <w:tc>
          <w:tcPr>
            <w:tcW w:w="1824" w:type="dxa"/>
          </w:tcPr>
          <w:p w:rsidR="00255979" w:rsidRPr="006F320A" w:rsidRDefault="00255979" w:rsidP="00CA3872">
            <w:pPr>
              <w:pStyle w:val="Default"/>
              <w:rPr>
                <w:color w:val="auto"/>
                <w:sz w:val="22"/>
                <w:szCs w:val="22"/>
                <w:lang w:val="lt-LT"/>
              </w:rPr>
            </w:pPr>
          </w:p>
        </w:tc>
        <w:tc>
          <w:tcPr>
            <w:tcW w:w="2037" w:type="dxa"/>
          </w:tcPr>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Trumpalaikis regėjimo aštrumo sutrikimas </w:t>
            </w:r>
          </w:p>
          <w:p w:rsidR="00255979" w:rsidRPr="006F320A" w:rsidRDefault="00255979" w:rsidP="00CA3872">
            <w:pPr>
              <w:pStyle w:val="Default"/>
              <w:rPr>
                <w:sz w:val="22"/>
                <w:szCs w:val="22"/>
                <w:lang w:val="lt-LT"/>
              </w:rPr>
            </w:pPr>
            <w:r w:rsidRPr="006F320A">
              <w:rPr>
                <w:sz w:val="22"/>
                <w:szCs w:val="22"/>
                <w:lang w:val="lt-LT"/>
              </w:rPr>
              <w:t xml:space="preserve">- Regos lauko sutrikimai </w:t>
            </w:r>
          </w:p>
          <w:p w:rsidR="00255979" w:rsidRPr="006F320A" w:rsidRDefault="00255979" w:rsidP="00CA3872">
            <w:pPr>
              <w:pStyle w:val="Default"/>
              <w:rPr>
                <w:sz w:val="22"/>
                <w:szCs w:val="22"/>
                <w:lang w:val="lt-LT"/>
              </w:rPr>
            </w:pPr>
            <w:r w:rsidRPr="006F320A">
              <w:rPr>
                <w:sz w:val="22"/>
                <w:szCs w:val="22"/>
                <w:lang w:val="lt-LT"/>
              </w:rPr>
              <w:t xml:space="preserve">- Optinis neuritas -Laikinas apakimas, praeinantis nutraukus gydymą </w:t>
            </w:r>
          </w:p>
        </w:tc>
      </w:tr>
      <w:tr w:rsidR="00255979" w:rsidRPr="006F320A" w:rsidTr="006F320A">
        <w:tc>
          <w:tcPr>
            <w:tcW w:w="1737" w:type="dxa"/>
          </w:tcPr>
          <w:p w:rsidR="00255979" w:rsidRPr="006F320A" w:rsidRDefault="00255979" w:rsidP="00CA3872">
            <w:pPr>
              <w:pStyle w:val="Default"/>
              <w:rPr>
                <w:sz w:val="22"/>
                <w:szCs w:val="22"/>
                <w:lang w:val="lt-LT"/>
              </w:rPr>
            </w:pPr>
            <w:r w:rsidRPr="006F320A">
              <w:rPr>
                <w:b/>
                <w:bCs/>
                <w:sz w:val="22"/>
                <w:szCs w:val="22"/>
                <w:lang w:val="lt-LT"/>
              </w:rPr>
              <w:t>Aus</w:t>
            </w:r>
            <w:r>
              <w:rPr>
                <w:b/>
                <w:bCs/>
                <w:sz w:val="22"/>
                <w:szCs w:val="22"/>
                <w:lang w:val="lt-LT"/>
              </w:rPr>
              <w:t>ų</w:t>
            </w:r>
            <w:r w:rsidRPr="006F320A">
              <w:rPr>
                <w:b/>
                <w:bCs/>
                <w:sz w:val="22"/>
                <w:szCs w:val="22"/>
                <w:lang w:val="lt-LT"/>
              </w:rPr>
              <w:t xml:space="preserve"> ir labirint</w:t>
            </w:r>
            <w:r>
              <w:rPr>
                <w:b/>
                <w:bCs/>
                <w:sz w:val="22"/>
                <w:szCs w:val="22"/>
                <w:lang w:val="lt-LT"/>
              </w:rPr>
              <w:t>ų</w:t>
            </w:r>
            <w:r w:rsidRPr="006F320A">
              <w:rPr>
                <w:b/>
                <w:bCs/>
                <w:sz w:val="22"/>
                <w:szCs w:val="22"/>
                <w:lang w:val="lt-LT"/>
              </w:rPr>
              <w:t xml:space="preserve"> sutrikimai </w:t>
            </w:r>
          </w:p>
        </w:tc>
        <w:tc>
          <w:tcPr>
            <w:tcW w:w="1894" w:type="dxa"/>
          </w:tcPr>
          <w:p w:rsidR="00255979" w:rsidRPr="006F320A" w:rsidRDefault="00255979" w:rsidP="00CA3872">
            <w:pPr>
              <w:pStyle w:val="Default"/>
              <w:rPr>
                <w:color w:val="auto"/>
                <w:sz w:val="22"/>
                <w:szCs w:val="22"/>
                <w:lang w:val="lt-LT"/>
              </w:rPr>
            </w:pPr>
          </w:p>
        </w:tc>
        <w:tc>
          <w:tcPr>
            <w:tcW w:w="1794" w:type="dxa"/>
          </w:tcPr>
          <w:p w:rsidR="00255979" w:rsidRPr="006F320A" w:rsidRDefault="00255979" w:rsidP="00CA3872">
            <w:pPr>
              <w:pStyle w:val="Default"/>
              <w:rPr>
                <w:color w:val="auto"/>
                <w:sz w:val="22"/>
                <w:szCs w:val="22"/>
                <w:lang w:val="lt-LT"/>
              </w:rPr>
            </w:pPr>
          </w:p>
        </w:tc>
        <w:tc>
          <w:tcPr>
            <w:tcW w:w="1824" w:type="dxa"/>
          </w:tcPr>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Ototoksiškumas </w:t>
            </w:r>
          </w:p>
        </w:tc>
        <w:tc>
          <w:tcPr>
            <w:tcW w:w="2037" w:type="dxa"/>
          </w:tcPr>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Apkurtimas </w:t>
            </w:r>
          </w:p>
        </w:tc>
      </w:tr>
      <w:tr w:rsidR="00255979" w:rsidRPr="006F320A" w:rsidTr="006F320A">
        <w:trPr>
          <w:trHeight w:val="1265"/>
        </w:trPr>
        <w:tc>
          <w:tcPr>
            <w:tcW w:w="1737" w:type="dxa"/>
            <w:vAlign w:val="center"/>
          </w:tcPr>
          <w:p w:rsidR="00255979" w:rsidRPr="006F320A" w:rsidRDefault="00255979" w:rsidP="00CA3872">
            <w:pPr>
              <w:pStyle w:val="Default"/>
              <w:rPr>
                <w:sz w:val="22"/>
                <w:szCs w:val="22"/>
                <w:lang w:val="lt-LT"/>
              </w:rPr>
            </w:pPr>
            <w:r w:rsidRPr="006F320A">
              <w:rPr>
                <w:b/>
                <w:bCs/>
                <w:sz w:val="22"/>
                <w:szCs w:val="22"/>
                <w:lang w:val="lt-LT"/>
              </w:rPr>
              <w:t xml:space="preserve">Kraujagyslių </w:t>
            </w:r>
          </w:p>
          <w:p w:rsidR="00255979" w:rsidRPr="006F320A" w:rsidRDefault="00255979" w:rsidP="00CA3872">
            <w:pPr>
              <w:pStyle w:val="Default"/>
              <w:rPr>
                <w:sz w:val="22"/>
                <w:szCs w:val="22"/>
                <w:lang w:val="lt-LT"/>
              </w:rPr>
            </w:pPr>
            <w:r w:rsidRPr="006F320A">
              <w:rPr>
                <w:b/>
                <w:bCs/>
                <w:sz w:val="22"/>
                <w:szCs w:val="22"/>
                <w:lang w:val="lt-LT"/>
              </w:rPr>
              <w:t>sutrikimai</w:t>
            </w:r>
          </w:p>
        </w:tc>
        <w:tc>
          <w:tcPr>
            <w:tcW w:w="1894" w:type="dxa"/>
          </w:tcPr>
          <w:p w:rsidR="00255979" w:rsidRPr="006F320A" w:rsidRDefault="00255979" w:rsidP="00CA3872">
            <w:pPr>
              <w:pStyle w:val="Default"/>
              <w:rPr>
                <w:color w:val="auto"/>
                <w:sz w:val="22"/>
                <w:szCs w:val="22"/>
                <w:lang w:val="lt-LT"/>
              </w:rPr>
            </w:pPr>
          </w:p>
        </w:tc>
        <w:tc>
          <w:tcPr>
            <w:tcW w:w="1794" w:type="dxa"/>
            <w:vAlign w:val="center"/>
          </w:tcPr>
          <w:p w:rsidR="00255979" w:rsidRPr="006F320A" w:rsidRDefault="00255979" w:rsidP="00CA3872">
            <w:pPr>
              <w:pStyle w:val="Default"/>
              <w:rPr>
                <w:sz w:val="22"/>
                <w:szCs w:val="22"/>
                <w:lang w:val="lt-LT"/>
              </w:rPr>
            </w:pPr>
            <w:r w:rsidRPr="006F320A">
              <w:rPr>
                <w:sz w:val="22"/>
                <w:szCs w:val="22"/>
                <w:lang w:val="lt-LT"/>
              </w:rPr>
              <w:t xml:space="preserve"> - Kraujavimas </w:t>
            </w:r>
          </w:p>
          <w:p w:rsidR="00255979" w:rsidRPr="006F320A" w:rsidRDefault="00255979" w:rsidP="00CA3872">
            <w:pPr>
              <w:pStyle w:val="Default"/>
              <w:rPr>
                <w:sz w:val="22"/>
                <w:szCs w:val="22"/>
                <w:lang w:val="lt-LT"/>
              </w:rPr>
            </w:pPr>
            <w:r w:rsidRPr="006F320A">
              <w:rPr>
                <w:sz w:val="22"/>
                <w:szCs w:val="22"/>
                <w:lang w:val="lt-LT"/>
              </w:rPr>
              <w:t xml:space="preserve">- Kraujo </w:t>
            </w:r>
            <w:r>
              <w:rPr>
                <w:sz w:val="22"/>
                <w:szCs w:val="22"/>
                <w:lang w:val="lt-LT"/>
              </w:rPr>
              <w:t>priplūdimas</w:t>
            </w:r>
            <w:r w:rsidRPr="006F320A">
              <w:rPr>
                <w:sz w:val="22"/>
                <w:szCs w:val="22"/>
                <w:lang w:val="lt-LT"/>
              </w:rPr>
              <w:t xml:space="preserve"> į veidą </w:t>
            </w:r>
          </w:p>
          <w:p w:rsidR="00255979" w:rsidRPr="006F320A" w:rsidRDefault="00255979" w:rsidP="00CA3872">
            <w:pPr>
              <w:pStyle w:val="Default"/>
              <w:rPr>
                <w:sz w:val="22"/>
                <w:szCs w:val="22"/>
                <w:lang w:val="lt-LT"/>
              </w:rPr>
            </w:pPr>
            <w:r w:rsidRPr="006F320A">
              <w:rPr>
                <w:sz w:val="22"/>
                <w:szCs w:val="22"/>
                <w:lang w:val="lt-LT"/>
              </w:rPr>
              <w:t xml:space="preserve">- Giliųjų venų trombozė </w:t>
            </w:r>
          </w:p>
          <w:p w:rsidR="00255979" w:rsidRPr="006F320A" w:rsidRDefault="00255979" w:rsidP="00CA3872">
            <w:pPr>
              <w:pStyle w:val="Default"/>
              <w:rPr>
                <w:sz w:val="22"/>
                <w:szCs w:val="22"/>
                <w:lang w:val="lt-LT"/>
              </w:rPr>
            </w:pPr>
            <w:r w:rsidRPr="006F320A">
              <w:rPr>
                <w:sz w:val="22"/>
                <w:szCs w:val="22"/>
                <w:lang w:val="lt-LT"/>
              </w:rPr>
              <w:t xml:space="preserve">- Hipertenzija </w:t>
            </w:r>
          </w:p>
        </w:tc>
        <w:tc>
          <w:tcPr>
            <w:tcW w:w="1824" w:type="dxa"/>
          </w:tcPr>
          <w:p w:rsidR="00255979" w:rsidRPr="006F320A" w:rsidRDefault="00255979" w:rsidP="00CA3872">
            <w:pPr>
              <w:pStyle w:val="Default"/>
              <w:rPr>
                <w:color w:val="auto"/>
                <w:sz w:val="22"/>
                <w:szCs w:val="22"/>
                <w:lang w:val="lt-LT"/>
              </w:rPr>
            </w:pPr>
          </w:p>
        </w:tc>
        <w:tc>
          <w:tcPr>
            <w:tcW w:w="2037" w:type="dxa"/>
          </w:tcPr>
          <w:p w:rsidR="00255979" w:rsidRPr="006F320A" w:rsidRDefault="00255979" w:rsidP="00CA3872">
            <w:pPr>
              <w:pStyle w:val="Default"/>
              <w:rPr>
                <w:color w:val="auto"/>
                <w:sz w:val="22"/>
                <w:szCs w:val="22"/>
                <w:lang w:val="lt-LT"/>
              </w:rPr>
            </w:pPr>
          </w:p>
        </w:tc>
      </w:tr>
      <w:tr w:rsidR="00255979" w:rsidRPr="006F320A" w:rsidTr="006F320A">
        <w:trPr>
          <w:trHeight w:val="1305"/>
        </w:trPr>
        <w:tc>
          <w:tcPr>
            <w:tcW w:w="1737" w:type="dxa"/>
            <w:vAlign w:val="center"/>
          </w:tcPr>
          <w:p w:rsidR="00255979" w:rsidRPr="006F320A" w:rsidRDefault="00255979" w:rsidP="00CA3872">
            <w:pPr>
              <w:pStyle w:val="Default"/>
              <w:rPr>
                <w:sz w:val="22"/>
                <w:szCs w:val="22"/>
                <w:lang w:val="lt-LT"/>
              </w:rPr>
            </w:pPr>
            <w:r w:rsidRPr="006F320A">
              <w:rPr>
                <w:b/>
                <w:bCs/>
                <w:sz w:val="22"/>
                <w:szCs w:val="22"/>
                <w:lang w:val="lt-LT"/>
              </w:rPr>
              <w:t xml:space="preserve">Kvėpavimo sistemos, </w:t>
            </w:r>
          </w:p>
          <w:p w:rsidR="00255979" w:rsidRPr="006F320A" w:rsidRDefault="00255979" w:rsidP="00CA3872">
            <w:pPr>
              <w:pStyle w:val="Default"/>
              <w:rPr>
                <w:sz w:val="22"/>
                <w:szCs w:val="22"/>
                <w:lang w:val="lt-LT"/>
              </w:rPr>
            </w:pPr>
            <w:r w:rsidRPr="006F320A">
              <w:rPr>
                <w:b/>
                <w:bCs/>
                <w:sz w:val="22"/>
                <w:szCs w:val="22"/>
                <w:lang w:val="lt-LT"/>
              </w:rPr>
              <w:t xml:space="preserve">krūtinės ląstos ir </w:t>
            </w:r>
          </w:p>
          <w:p w:rsidR="00255979" w:rsidRPr="006F320A" w:rsidRDefault="00255979" w:rsidP="00CA3872">
            <w:pPr>
              <w:pStyle w:val="Default"/>
              <w:rPr>
                <w:sz w:val="22"/>
                <w:szCs w:val="22"/>
                <w:lang w:val="lt-LT"/>
              </w:rPr>
            </w:pPr>
            <w:r>
              <w:rPr>
                <w:b/>
                <w:bCs/>
                <w:sz w:val="22"/>
                <w:szCs w:val="22"/>
                <w:lang w:val="lt-LT"/>
              </w:rPr>
              <w:t>tarpuplaučio</w:t>
            </w:r>
            <w:r w:rsidRPr="006F320A">
              <w:rPr>
                <w:b/>
                <w:bCs/>
                <w:sz w:val="22"/>
                <w:szCs w:val="22"/>
                <w:lang w:val="lt-LT"/>
              </w:rPr>
              <w:t xml:space="preserve"> </w:t>
            </w:r>
          </w:p>
          <w:p w:rsidR="00255979" w:rsidRPr="006F320A" w:rsidRDefault="00255979" w:rsidP="00CA3872">
            <w:pPr>
              <w:pStyle w:val="Default"/>
              <w:rPr>
                <w:sz w:val="22"/>
                <w:szCs w:val="22"/>
                <w:lang w:val="lt-LT"/>
              </w:rPr>
            </w:pPr>
            <w:r w:rsidRPr="006F320A">
              <w:rPr>
                <w:b/>
                <w:bCs/>
                <w:sz w:val="22"/>
                <w:szCs w:val="22"/>
                <w:lang w:val="lt-LT"/>
              </w:rPr>
              <w:t xml:space="preserve">sutrikimai </w:t>
            </w:r>
          </w:p>
        </w:tc>
        <w:tc>
          <w:tcPr>
            <w:tcW w:w="1894" w:type="dxa"/>
            <w:vAlign w:val="center"/>
          </w:tcPr>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Dispnėja </w:t>
            </w:r>
          </w:p>
          <w:p w:rsidR="00255979" w:rsidRPr="006F320A" w:rsidRDefault="00255979" w:rsidP="00CA3872">
            <w:pPr>
              <w:pStyle w:val="Default"/>
              <w:rPr>
                <w:sz w:val="22"/>
                <w:szCs w:val="22"/>
                <w:lang w:val="lt-LT"/>
              </w:rPr>
            </w:pPr>
            <w:r w:rsidRPr="006F320A">
              <w:rPr>
                <w:sz w:val="22"/>
                <w:szCs w:val="22"/>
                <w:lang w:val="lt-LT"/>
              </w:rPr>
              <w:t xml:space="preserve">- Kosulys </w:t>
            </w:r>
          </w:p>
          <w:p w:rsidR="00255979" w:rsidRPr="006F320A" w:rsidRDefault="00255979" w:rsidP="00CA3872">
            <w:pPr>
              <w:pStyle w:val="Default"/>
              <w:rPr>
                <w:sz w:val="22"/>
                <w:szCs w:val="22"/>
                <w:lang w:val="lt-LT"/>
              </w:rPr>
            </w:pPr>
            <w:r w:rsidRPr="006F320A">
              <w:rPr>
                <w:sz w:val="22"/>
                <w:szCs w:val="22"/>
                <w:lang w:val="lt-LT"/>
              </w:rPr>
              <w:t xml:space="preserve">- Epistaksė </w:t>
            </w:r>
          </w:p>
        </w:tc>
        <w:tc>
          <w:tcPr>
            <w:tcW w:w="1794" w:type="dxa"/>
            <w:vAlign w:val="center"/>
          </w:tcPr>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Žagsėjimas </w:t>
            </w:r>
          </w:p>
          <w:p w:rsidR="00255979" w:rsidRPr="006F320A" w:rsidRDefault="00255979" w:rsidP="00CA3872">
            <w:pPr>
              <w:pStyle w:val="Default"/>
              <w:rPr>
                <w:sz w:val="22"/>
                <w:szCs w:val="22"/>
                <w:lang w:val="lt-LT"/>
              </w:rPr>
            </w:pPr>
            <w:r w:rsidRPr="006F320A">
              <w:rPr>
                <w:sz w:val="22"/>
                <w:szCs w:val="22"/>
                <w:lang w:val="lt-LT"/>
              </w:rPr>
              <w:t xml:space="preserve">-Plaučių </w:t>
            </w:r>
            <w:r>
              <w:rPr>
                <w:sz w:val="22"/>
                <w:szCs w:val="22"/>
                <w:lang w:val="lt-LT"/>
              </w:rPr>
              <w:t>arterijos</w:t>
            </w:r>
            <w:r w:rsidRPr="006F320A">
              <w:rPr>
                <w:sz w:val="22"/>
                <w:szCs w:val="22"/>
                <w:lang w:val="lt-LT"/>
              </w:rPr>
              <w:t xml:space="preserve"> </w:t>
            </w:r>
          </w:p>
          <w:p w:rsidR="00255979" w:rsidRPr="006F320A" w:rsidRDefault="00255979" w:rsidP="00CA3872">
            <w:pPr>
              <w:pStyle w:val="Default"/>
              <w:rPr>
                <w:sz w:val="22"/>
                <w:szCs w:val="22"/>
                <w:lang w:val="lt-LT"/>
              </w:rPr>
            </w:pPr>
            <w:r w:rsidRPr="006F320A">
              <w:rPr>
                <w:sz w:val="22"/>
                <w:szCs w:val="22"/>
                <w:lang w:val="lt-LT"/>
              </w:rPr>
              <w:t xml:space="preserve">embolija </w:t>
            </w:r>
          </w:p>
        </w:tc>
        <w:tc>
          <w:tcPr>
            <w:tcW w:w="1824" w:type="dxa"/>
          </w:tcPr>
          <w:p w:rsidR="00255979" w:rsidRPr="006F320A" w:rsidRDefault="00255979" w:rsidP="00CA3872">
            <w:pPr>
              <w:pStyle w:val="Default"/>
              <w:rPr>
                <w:color w:val="auto"/>
                <w:sz w:val="22"/>
                <w:szCs w:val="22"/>
                <w:lang w:val="lt-LT"/>
              </w:rPr>
            </w:pPr>
          </w:p>
        </w:tc>
        <w:tc>
          <w:tcPr>
            <w:tcW w:w="2037" w:type="dxa"/>
            <w:vAlign w:val="center"/>
          </w:tcPr>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Intersticinė </w:t>
            </w:r>
          </w:p>
          <w:p w:rsidR="00255979" w:rsidRPr="006F320A" w:rsidRDefault="00255979" w:rsidP="00CA3872">
            <w:pPr>
              <w:pStyle w:val="Default"/>
              <w:rPr>
                <w:sz w:val="22"/>
                <w:szCs w:val="22"/>
                <w:lang w:val="lt-LT"/>
              </w:rPr>
            </w:pPr>
            <w:r w:rsidRPr="006F320A">
              <w:rPr>
                <w:sz w:val="22"/>
                <w:szCs w:val="22"/>
                <w:lang w:val="lt-LT"/>
              </w:rPr>
              <w:t xml:space="preserve">plaučių liga, </w:t>
            </w:r>
          </w:p>
          <w:p w:rsidR="00255979" w:rsidRPr="006F320A" w:rsidRDefault="00255979" w:rsidP="00CA3872">
            <w:pPr>
              <w:pStyle w:val="Default"/>
              <w:rPr>
                <w:sz w:val="22"/>
                <w:szCs w:val="22"/>
                <w:lang w:val="lt-LT"/>
              </w:rPr>
            </w:pPr>
            <w:r w:rsidRPr="006F320A">
              <w:rPr>
                <w:sz w:val="22"/>
                <w:szCs w:val="22"/>
                <w:lang w:val="lt-LT"/>
              </w:rPr>
              <w:t xml:space="preserve">kartais mirtina </w:t>
            </w:r>
          </w:p>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Plaučių fibrozė** </w:t>
            </w:r>
          </w:p>
        </w:tc>
      </w:tr>
      <w:tr w:rsidR="00255979" w:rsidRPr="006F320A" w:rsidTr="006F320A">
        <w:trPr>
          <w:trHeight w:val="1785"/>
        </w:trPr>
        <w:tc>
          <w:tcPr>
            <w:tcW w:w="1737" w:type="dxa"/>
            <w:vAlign w:val="center"/>
          </w:tcPr>
          <w:p w:rsidR="00255979" w:rsidRPr="006F320A" w:rsidRDefault="00255979" w:rsidP="00CA3872">
            <w:pPr>
              <w:pStyle w:val="Default"/>
              <w:rPr>
                <w:sz w:val="22"/>
                <w:szCs w:val="22"/>
                <w:lang w:val="lt-LT"/>
              </w:rPr>
            </w:pPr>
            <w:r w:rsidRPr="006F320A">
              <w:rPr>
                <w:b/>
                <w:bCs/>
                <w:sz w:val="22"/>
                <w:szCs w:val="22"/>
                <w:lang w:val="lt-LT"/>
              </w:rPr>
              <w:t xml:space="preserve">Virškinimo trakto </w:t>
            </w:r>
          </w:p>
          <w:p w:rsidR="00255979" w:rsidRPr="006F320A" w:rsidRDefault="00255979" w:rsidP="00CA3872">
            <w:pPr>
              <w:pStyle w:val="Default"/>
              <w:rPr>
                <w:sz w:val="22"/>
                <w:szCs w:val="22"/>
                <w:lang w:val="lt-LT"/>
              </w:rPr>
            </w:pPr>
            <w:r w:rsidRPr="006F320A">
              <w:rPr>
                <w:b/>
                <w:bCs/>
                <w:sz w:val="22"/>
                <w:szCs w:val="22"/>
                <w:lang w:val="lt-LT"/>
              </w:rPr>
              <w:t xml:space="preserve">sutrikimai* </w:t>
            </w:r>
          </w:p>
        </w:tc>
        <w:tc>
          <w:tcPr>
            <w:tcW w:w="1894" w:type="dxa"/>
            <w:vAlign w:val="center"/>
          </w:tcPr>
          <w:p w:rsidR="00255979" w:rsidRPr="006F320A" w:rsidRDefault="00255979" w:rsidP="00CA3872">
            <w:pPr>
              <w:pStyle w:val="Default"/>
              <w:rPr>
                <w:sz w:val="22"/>
                <w:szCs w:val="22"/>
                <w:lang w:val="lt-LT"/>
              </w:rPr>
            </w:pPr>
            <w:r w:rsidRPr="006F320A">
              <w:rPr>
                <w:sz w:val="22"/>
                <w:szCs w:val="22"/>
                <w:lang w:val="lt-LT"/>
              </w:rPr>
              <w:t xml:space="preserve">- Pykinimas </w:t>
            </w:r>
          </w:p>
          <w:p w:rsidR="00255979" w:rsidRPr="006F320A" w:rsidRDefault="00255979" w:rsidP="00CA3872">
            <w:pPr>
              <w:pStyle w:val="Default"/>
              <w:rPr>
                <w:sz w:val="22"/>
                <w:szCs w:val="22"/>
                <w:lang w:val="lt-LT"/>
              </w:rPr>
            </w:pPr>
            <w:r w:rsidRPr="006F320A">
              <w:rPr>
                <w:sz w:val="22"/>
                <w:szCs w:val="22"/>
                <w:lang w:val="lt-LT"/>
              </w:rPr>
              <w:t xml:space="preserve">- Viduriavimas </w:t>
            </w:r>
          </w:p>
          <w:p w:rsidR="00255979" w:rsidRPr="006F320A" w:rsidRDefault="00255979" w:rsidP="00CA3872">
            <w:pPr>
              <w:pStyle w:val="Default"/>
              <w:rPr>
                <w:sz w:val="22"/>
                <w:szCs w:val="22"/>
                <w:lang w:val="lt-LT"/>
              </w:rPr>
            </w:pPr>
            <w:r w:rsidRPr="006F320A">
              <w:rPr>
                <w:sz w:val="22"/>
                <w:szCs w:val="22"/>
                <w:lang w:val="lt-LT"/>
              </w:rPr>
              <w:t xml:space="preserve">- Vėmimas </w:t>
            </w:r>
          </w:p>
          <w:p w:rsidR="00255979" w:rsidRPr="006F320A" w:rsidRDefault="00255979" w:rsidP="00CA3872">
            <w:pPr>
              <w:pStyle w:val="Default"/>
              <w:rPr>
                <w:sz w:val="22"/>
                <w:szCs w:val="22"/>
                <w:lang w:val="lt-LT"/>
              </w:rPr>
            </w:pPr>
            <w:r w:rsidRPr="006F320A">
              <w:rPr>
                <w:sz w:val="22"/>
                <w:szCs w:val="22"/>
                <w:lang w:val="lt-LT"/>
              </w:rPr>
              <w:t>- Stomatita</w:t>
            </w:r>
            <w:r>
              <w:rPr>
                <w:sz w:val="22"/>
                <w:szCs w:val="22"/>
                <w:lang w:val="lt-LT"/>
              </w:rPr>
              <w:t>s</w:t>
            </w:r>
            <w:r w:rsidRPr="006F320A">
              <w:rPr>
                <w:sz w:val="22"/>
                <w:szCs w:val="22"/>
                <w:lang w:val="lt-LT"/>
              </w:rPr>
              <w:t xml:space="preserve"> /mukozitas </w:t>
            </w:r>
          </w:p>
          <w:p w:rsidR="00255979" w:rsidRPr="006F320A" w:rsidRDefault="00255979" w:rsidP="00CA3872">
            <w:pPr>
              <w:pStyle w:val="Default"/>
              <w:rPr>
                <w:sz w:val="22"/>
                <w:szCs w:val="22"/>
                <w:lang w:val="lt-LT"/>
              </w:rPr>
            </w:pPr>
            <w:r w:rsidRPr="006F320A">
              <w:rPr>
                <w:sz w:val="22"/>
                <w:szCs w:val="22"/>
                <w:lang w:val="lt-LT"/>
              </w:rPr>
              <w:t xml:space="preserve">- Pilvo skausmas </w:t>
            </w:r>
          </w:p>
          <w:p w:rsidR="00255979" w:rsidRPr="006F320A" w:rsidRDefault="00255979" w:rsidP="00CA3872">
            <w:pPr>
              <w:pStyle w:val="Default"/>
              <w:rPr>
                <w:sz w:val="22"/>
                <w:szCs w:val="22"/>
                <w:lang w:val="lt-LT"/>
              </w:rPr>
            </w:pPr>
            <w:r w:rsidRPr="006F320A">
              <w:rPr>
                <w:sz w:val="22"/>
                <w:szCs w:val="22"/>
                <w:lang w:val="lt-LT"/>
              </w:rPr>
              <w:t xml:space="preserve">- Vidurių užkietėjimas </w:t>
            </w:r>
          </w:p>
        </w:tc>
        <w:tc>
          <w:tcPr>
            <w:tcW w:w="1794" w:type="dxa"/>
            <w:vAlign w:val="center"/>
          </w:tcPr>
          <w:p w:rsidR="00255979" w:rsidRPr="006F320A" w:rsidRDefault="00255979" w:rsidP="00CA3872">
            <w:pPr>
              <w:pStyle w:val="Default"/>
              <w:rPr>
                <w:sz w:val="22"/>
                <w:szCs w:val="22"/>
                <w:lang w:val="lt-LT"/>
              </w:rPr>
            </w:pPr>
            <w:r w:rsidRPr="006F320A">
              <w:rPr>
                <w:sz w:val="22"/>
                <w:szCs w:val="22"/>
                <w:lang w:val="lt-LT"/>
              </w:rPr>
              <w:t xml:space="preserve">- Dispepsija </w:t>
            </w:r>
          </w:p>
          <w:p w:rsidR="00255979" w:rsidRPr="006F320A" w:rsidRDefault="00255979" w:rsidP="00CA3872">
            <w:pPr>
              <w:pStyle w:val="Default"/>
              <w:rPr>
                <w:sz w:val="22"/>
                <w:szCs w:val="22"/>
                <w:lang w:val="lt-LT"/>
              </w:rPr>
            </w:pPr>
            <w:r w:rsidRPr="006F320A">
              <w:rPr>
                <w:sz w:val="22"/>
                <w:szCs w:val="22"/>
                <w:lang w:val="lt-LT"/>
              </w:rPr>
              <w:t xml:space="preserve">- Gastroezofaginis refliuksas </w:t>
            </w:r>
          </w:p>
          <w:p w:rsidR="00255979" w:rsidRPr="006F320A" w:rsidRDefault="00255979" w:rsidP="00CA3872">
            <w:pPr>
              <w:pStyle w:val="Default"/>
              <w:rPr>
                <w:sz w:val="22"/>
                <w:szCs w:val="22"/>
                <w:lang w:val="lt-LT"/>
              </w:rPr>
            </w:pPr>
            <w:r w:rsidRPr="006F320A">
              <w:rPr>
                <w:sz w:val="22"/>
                <w:szCs w:val="22"/>
                <w:lang w:val="lt-LT"/>
              </w:rPr>
              <w:t xml:space="preserve">- Rektalinė hemoragija -Virškinamojo trakto kraujavimas </w:t>
            </w:r>
          </w:p>
        </w:tc>
        <w:tc>
          <w:tcPr>
            <w:tcW w:w="1824" w:type="dxa"/>
            <w:vAlign w:val="center"/>
          </w:tcPr>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Žarnų nepraeinamumas </w:t>
            </w:r>
          </w:p>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Žarnyno obstrukcija </w:t>
            </w:r>
          </w:p>
        </w:tc>
        <w:tc>
          <w:tcPr>
            <w:tcW w:w="2037" w:type="dxa"/>
            <w:vAlign w:val="center"/>
          </w:tcPr>
          <w:p w:rsidR="00255979" w:rsidRPr="006F320A" w:rsidRDefault="00255979" w:rsidP="00CA3872">
            <w:pPr>
              <w:pStyle w:val="Default"/>
              <w:rPr>
                <w:sz w:val="22"/>
                <w:szCs w:val="22"/>
                <w:lang w:val="lt-LT"/>
              </w:rPr>
            </w:pPr>
            <w:r w:rsidRPr="006F320A">
              <w:rPr>
                <w:sz w:val="22"/>
                <w:szCs w:val="22"/>
                <w:lang w:val="lt-LT"/>
              </w:rPr>
              <w:t xml:space="preserve">- Kolitas, </w:t>
            </w:r>
          </w:p>
          <w:p w:rsidR="00255979" w:rsidRPr="006F320A" w:rsidRDefault="00255979" w:rsidP="00CA3872">
            <w:pPr>
              <w:pStyle w:val="Default"/>
              <w:rPr>
                <w:sz w:val="22"/>
                <w:szCs w:val="22"/>
                <w:lang w:val="lt-LT"/>
              </w:rPr>
            </w:pPr>
            <w:r w:rsidRPr="006F320A">
              <w:rPr>
                <w:sz w:val="22"/>
                <w:szCs w:val="22"/>
                <w:lang w:val="lt-LT"/>
              </w:rPr>
              <w:t xml:space="preserve">įskaitant </w:t>
            </w:r>
            <w:r w:rsidRPr="006F320A">
              <w:rPr>
                <w:i/>
                <w:iCs/>
                <w:sz w:val="22"/>
                <w:szCs w:val="22"/>
                <w:lang w:val="lt-LT"/>
              </w:rPr>
              <w:t xml:space="preserve">Clostridium difficile </w:t>
            </w:r>
            <w:r>
              <w:rPr>
                <w:iCs/>
                <w:sz w:val="22"/>
                <w:szCs w:val="22"/>
                <w:lang w:val="lt-LT"/>
              </w:rPr>
              <w:t xml:space="preserve">sukeltą </w:t>
            </w:r>
            <w:r w:rsidRPr="006F320A">
              <w:rPr>
                <w:sz w:val="22"/>
                <w:szCs w:val="22"/>
                <w:lang w:val="lt-LT"/>
              </w:rPr>
              <w:t xml:space="preserve">viduriavimą - Pankreatitas </w:t>
            </w:r>
          </w:p>
        </w:tc>
      </w:tr>
      <w:tr w:rsidR="00255979" w:rsidRPr="006F320A" w:rsidTr="006F320A">
        <w:trPr>
          <w:trHeight w:val="2295"/>
        </w:trPr>
        <w:tc>
          <w:tcPr>
            <w:tcW w:w="1737" w:type="dxa"/>
            <w:vAlign w:val="center"/>
          </w:tcPr>
          <w:p w:rsidR="00255979" w:rsidRPr="006F320A" w:rsidRDefault="00255979" w:rsidP="00CA3872">
            <w:pPr>
              <w:pStyle w:val="Default"/>
              <w:rPr>
                <w:sz w:val="22"/>
                <w:szCs w:val="22"/>
                <w:lang w:val="lt-LT"/>
              </w:rPr>
            </w:pPr>
            <w:r w:rsidRPr="006F320A">
              <w:rPr>
                <w:b/>
                <w:bCs/>
                <w:sz w:val="22"/>
                <w:szCs w:val="22"/>
                <w:lang w:val="lt-LT"/>
              </w:rPr>
              <w:t xml:space="preserve">Odos ir </w:t>
            </w:r>
          </w:p>
          <w:p w:rsidR="00255979" w:rsidRPr="006F320A" w:rsidRDefault="00255979" w:rsidP="00CA3872">
            <w:pPr>
              <w:pStyle w:val="Default"/>
              <w:rPr>
                <w:sz w:val="22"/>
                <w:szCs w:val="22"/>
                <w:lang w:val="lt-LT"/>
              </w:rPr>
            </w:pPr>
            <w:r w:rsidRPr="006F320A">
              <w:rPr>
                <w:b/>
                <w:bCs/>
                <w:sz w:val="22"/>
                <w:szCs w:val="22"/>
                <w:lang w:val="lt-LT"/>
              </w:rPr>
              <w:t xml:space="preserve">poodinio </w:t>
            </w:r>
          </w:p>
          <w:p w:rsidR="00255979" w:rsidRPr="006F320A" w:rsidRDefault="00255979" w:rsidP="00CA3872">
            <w:pPr>
              <w:pStyle w:val="Default"/>
              <w:rPr>
                <w:sz w:val="22"/>
                <w:szCs w:val="22"/>
                <w:lang w:val="lt-LT"/>
              </w:rPr>
            </w:pPr>
            <w:r w:rsidRPr="006F320A">
              <w:rPr>
                <w:b/>
                <w:bCs/>
                <w:sz w:val="22"/>
                <w:szCs w:val="22"/>
                <w:lang w:val="lt-LT"/>
              </w:rPr>
              <w:t xml:space="preserve">audinio </w:t>
            </w:r>
          </w:p>
          <w:p w:rsidR="00255979" w:rsidRPr="006F320A" w:rsidRDefault="00255979" w:rsidP="00CA3872">
            <w:pPr>
              <w:pStyle w:val="Default"/>
              <w:rPr>
                <w:sz w:val="22"/>
                <w:szCs w:val="22"/>
                <w:lang w:val="lt-LT"/>
              </w:rPr>
            </w:pPr>
            <w:r w:rsidRPr="006F320A">
              <w:rPr>
                <w:b/>
                <w:bCs/>
                <w:sz w:val="22"/>
                <w:szCs w:val="22"/>
                <w:lang w:val="lt-LT"/>
              </w:rPr>
              <w:t xml:space="preserve">sutrikimai </w:t>
            </w:r>
          </w:p>
        </w:tc>
        <w:tc>
          <w:tcPr>
            <w:tcW w:w="1894" w:type="dxa"/>
            <w:vAlign w:val="center"/>
          </w:tcPr>
          <w:p w:rsidR="00255979" w:rsidRPr="006F320A" w:rsidRDefault="00255979" w:rsidP="00CA3872">
            <w:pPr>
              <w:pStyle w:val="Default"/>
              <w:rPr>
                <w:sz w:val="22"/>
                <w:szCs w:val="22"/>
                <w:lang w:val="lt-LT"/>
              </w:rPr>
            </w:pPr>
            <w:r w:rsidRPr="006F320A">
              <w:rPr>
                <w:b/>
                <w:bCs/>
                <w:sz w:val="22"/>
                <w:szCs w:val="22"/>
                <w:lang w:val="lt-LT"/>
              </w:rPr>
              <w:t>-</w:t>
            </w:r>
            <w:r w:rsidRPr="006F320A">
              <w:rPr>
                <w:sz w:val="22"/>
                <w:szCs w:val="22"/>
                <w:lang w:val="lt-LT"/>
              </w:rPr>
              <w:t xml:space="preserve">Odos sutrikimas </w:t>
            </w:r>
          </w:p>
          <w:p w:rsidR="00255979" w:rsidRPr="006F320A" w:rsidRDefault="00255979" w:rsidP="00CA3872">
            <w:pPr>
              <w:pStyle w:val="Default"/>
              <w:rPr>
                <w:sz w:val="22"/>
                <w:szCs w:val="22"/>
                <w:lang w:val="lt-LT"/>
              </w:rPr>
            </w:pPr>
            <w:r w:rsidRPr="006F320A">
              <w:rPr>
                <w:sz w:val="22"/>
                <w:szCs w:val="22"/>
                <w:lang w:val="lt-LT"/>
              </w:rPr>
              <w:t xml:space="preserve">- Alopecija </w:t>
            </w:r>
          </w:p>
        </w:tc>
        <w:tc>
          <w:tcPr>
            <w:tcW w:w="1794" w:type="dxa"/>
            <w:vAlign w:val="center"/>
          </w:tcPr>
          <w:p w:rsidR="00255979" w:rsidRPr="006F320A" w:rsidRDefault="00255979" w:rsidP="00CA3872">
            <w:pPr>
              <w:pStyle w:val="Default"/>
              <w:rPr>
                <w:sz w:val="22"/>
                <w:szCs w:val="22"/>
                <w:lang w:val="lt-LT"/>
              </w:rPr>
            </w:pPr>
            <w:r w:rsidRPr="006F320A">
              <w:rPr>
                <w:sz w:val="22"/>
                <w:szCs w:val="22"/>
                <w:lang w:val="lt-LT"/>
              </w:rPr>
              <w:t xml:space="preserve">- Odos </w:t>
            </w:r>
          </w:p>
          <w:p w:rsidR="00255979" w:rsidRPr="006F320A" w:rsidRDefault="00255979" w:rsidP="00CA3872">
            <w:pPr>
              <w:pStyle w:val="Default"/>
              <w:rPr>
                <w:sz w:val="22"/>
                <w:szCs w:val="22"/>
                <w:lang w:val="lt-LT"/>
              </w:rPr>
            </w:pPr>
            <w:r w:rsidRPr="006F320A">
              <w:rPr>
                <w:sz w:val="22"/>
                <w:szCs w:val="22"/>
                <w:lang w:val="lt-LT"/>
              </w:rPr>
              <w:t xml:space="preserve">eksfoliacija </w:t>
            </w:r>
          </w:p>
          <w:p w:rsidR="00255979" w:rsidRPr="006F320A" w:rsidRDefault="00255979" w:rsidP="00CA3872">
            <w:pPr>
              <w:pStyle w:val="Default"/>
              <w:rPr>
                <w:sz w:val="22"/>
                <w:szCs w:val="22"/>
                <w:lang w:val="lt-LT"/>
              </w:rPr>
            </w:pPr>
            <w:r w:rsidRPr="006F320A">
              <w:rPr>
                <w:sz w:val="22"/>
                <w:szCs w:val="22"/>
                <w:lang w:val="lt-LT"/>
              </w:rPr>
              <w:t xml:space="preserve">(t. y. rankų ir </w:t>
            </w:r>
          </w:p>
          <w:p w:rsidR="00255979" w:rsidRPr="006F320A" w:rsidRDefault="00255979" w:rsidP="00CA3872">
            <w:pPr>
              <w:pStyle w:val="Default"/>
              <w:rPr>
                <w:sz w:val="22"/>
                <w:szCs w:val="22"/>
                <w:lang w:val="lt-LT"/>
              </w:rPr>
            </w:pPr>
            <w:r w:rsidRPr="006F320A">
              <w:rPr>
                <w:sz w:val="22"/>
                <w:szCs w:val="22"/>
                <w:lang w:val="lt-LT"/>
              </w:rPr>
              <w:t xml:space="preserve">pėdų sindromas) </w:t>
            </w:r>
          </w:p>
          <w:p w:rsidR="00255979" w:rsidRPr="006F320A" w:rsidRDefault="00255979" w:rsidP="00CA3872">
            <w:pPr>
              <w:pStyle w:val="Default"/>
              <w:rPr>
                <w:sz w:val="22"/>
                <w:szCs w:val="22"/>
                <w:lang w:val="lt-LT"/>
              </w:rPr>
            </w:pPr>
            <w:r w:rsidRPr="006F320A">
              <w:rPr>
                <w:sz w:val="22"/>
                <w:szCs w:val="22"/>
                <w:lang w:val="lt-LT"/>
              </w:rPr>
              <w:t xml:space="preserve">- Eriteminis bėrimas </w:t>
            </w:r>
          </w:p>
          <w:p w:rsidR="00255979" w:rsidRPr="006F320A" w:rsidRDefault="00255979" w:rsidP="00CA3872">
            <w:pPr>
              <w:pStyle w:val="Default"/>
              <w:rPr>
                <w:sz w:val="22"/>
                <w:szCs w:val="22"/>
                <w:lang w:val="lt-LT"/>
              </w:rPr>
            </w:pPr>
            <w:r w:rsidRPr="006F320A">
              <w:rPr>
                <w:sz w:val="22"/>
                <w:szCs w:val="22"/>
                <w:lang w:val="lt-LT"/>
              </w:rPr>
              <w:t xml:space="preserve">- Bėrimas </w:t>
            </w:r>
          </w:p>
          <w:p w:rsidR="00255979" w:rsidRPr="006F320A" w:rsidRDefault="00255979" w:rsidP="00CA3872">
            <w:pPr>
              <w:pStyle w:val="Default"/>
              <w:rPr>
                <w:sz w:val="22"/>
                <w:szCs w:val="22"/>
                <w:lang w:val="lt-LT"/>
              </w:rPr>
            </w:pPr>
            <w:r w:rsidRPr="006F320A">
              <w:rPr>
                <w:sz w:val="22"/>
                <w:szCs w:val="22"/>
                <w:lang w:val="lt-LT"/>
              </w:rPr>
              <w:t xml:space="preserve">- Hiperhidrozė </w:t>
            </w:r>
          </w:p>
          <w:p w:rsidR="00255979" w:rsidRPr="006F320A" w:rsidRDefault="00255979" w:rsidP="00CA3872">
            <w:pPr>
              <w:pStyle w:val="Default"/>
              <w:rPr>
                <w:sz w:val="22"/>
                <w:szCs w:val="22"/>
                <w:lang w:val="lt-LT"/>
              </w:rPr>
            </w:pPr>
            <w:r w:rsidRPr="006F320A">
              <w:rPr>
                <w:sz w:val="22"/>
                <w:szCs w:val="22"/>
                <w:lang w:val="lt-LT"/>
              </w:rPr>
              <w:t xml:space="preserve">- Nagų sutrikimai </w:t>
            </w:r>
          </w:p>
        </w:tc>
        <w:tc>
          <w:tcPr>
            <w:tcW w:w="1824" w:type="dxa"/>
          </w:tcPr>
          <w:p w:rsidR="00255979" w:rsidRPr="006F320A" w:rsidRDefault="00255979" w:rsidP="00CA3872">
            <w:pPr>
              <w:pStyle w:val="Default"/>
              <w:rPr>
                <w:color w:val="auto"/>
                <w:sz w:val="22"/>
                <w:szCs w:val="22"/>
                <w:lang w:val="lt-LT"/>
              </w:rPr>
            </w:pPr>
          </w:p>
        </w:tc>
        <w:tc>
          <w:tcPr>
            <w:tcW w:w="2037" w:type="dxa"/>
          </w:tcPr>
          <w:p w:rsidR="00255979" w:rsidRPr="006F320A" w:rsidRDefault="00255979" w:rsidP="00CA3872">
            <w:pPr>
              <w:pStyle w:val="Default"/>
              <w:rPr>
                <w:color w:val="auto"/>
                <w:sz w:val="22"/>
                <w:szCs w:val="22"/>
                <w:lang w:val="lt-LT"/>
              </w:rPr>
            </w:pPr>
          </w:p>
        </w:tc>
      </w:tr>
      <w:tr w:rsidR="00255979" w:rsidRPr="006F320A" w:rsidTr="006F320A">
        <w:tc>
          <w:tcPr>
            <w:tcW w:w="1737" w:type="dxa"/>
          </w:tcPr>
          <w:p w:rsidR="00255979" w:rsidRPr="006F320A" w:rsidRDefault="00255979" w:rsidP="00CA3872">
            <w:pPr>
              <w:pStyle w:val="Default"/>
              <w:rPr>
                <w:sz w:val="22"/>
                <w:szCs w:val="22"/>
                <w:lang w:val="lt-LT"/>
              </w:rPr>
            </w:pPr>
            <w:r>
              <w:rPr>
                <w:b/>
                <w:bCs/>
                <w:sz w:val="22"/>
                <w:szCs w:val="22"/>
                <w:lang w:val="lt-LT"/>
              </w:rPr>
              <w:t>Skeleto, r</w:t>
            </w:r>
            <w:r w:rsidRPr="006F320A">
              <w:rPr>
                <w:b/>
                <w:bCs/>
                <w:sz w:val="22"/>
                <w:szCs w:val="22"/>
                <w:lang w:val="lt-LT"/>
              </w:rPr>
              <w:t xml:space="preserve">aumenų ir jungiamojo audinio sutrikimai </w:t>
            </w:r>
          </w:p>
        </w:tc>
        <w:tc>
          <w:tcPr>
            <w:tcW w:w="1894" w:type="dxa"/>
          </w:tcPr>
          <w:p w:rsidR="00255979" w:rsidRPr="006F320A" w:rsidRDefault="00255979" w:rsidP="00CA3872">
            <w:pPr>
              <w:pStyle w:val="Default"/>
              <w:rPr>
                <w:sz w:val="22"/>
                <w:szCs w:val="22"/>
                <w:lang w:val="lt-LT"/>
              </w:rPr>
            </w:pPr>
            <w:r w:rsidRPr="006F320A">
              <w:rPr>
                <w:sz w:val="22"/>
                <w:szCs w:val="22"/>
                <w:lang w:val="lt-LT"/>
              </w:rPr>
              <w:t xml:space="preserve">- Nugaros skausmas </w:t>
            </w:r>
          </w:p>
        </w:tc>
        <w:tc>
          <w:tcPr>
            <w:tcW w:w="1794" w:type="dxa"/>
          </w:tcPr>
          <w:p w:rsidR="00255979" w:rsidRPr="006F320A" w:rsidRDefault="00255979" w:rsidP="00CA3872">
            <w:pPr>
              <w:pStyle w:val="Default"/>
              <w:rPr>
                <w:sz w:val="22"/>
                <w:szCs w:val="22"/>
                <w:lang w:val="lt-LT"/>
              </w:rPr>
            </w:pPr>
            <w:r w:rsidRPr="006F320A">
              <w:rPr>
                <w:sz w:val="22"/>
                <w:szCs w:val="22"/>
                <w:lang w:val="lt-LT"/>
              </w:rPr>
              <w:t xml:space="preserve">- Artralgija </w:t>
            </w:r>
          </w:p>
          <w:p w:rsidR="00255979" w:rsidRPr="006F320A" w:rsidRDefault="00255979" w:rsidP="00CA3872">
            <w:pPr>
              <w:pStyle w:val="Default"/>
              <w:rPr>
                <w:sz w:val="22"/>
                <w:szCs w:val="22"/>
                <w:lang w:val="lt-LT"/>
              </w:rPr>
            </w:pPr>
            <w:r w:rsidRPr="006F320A">
              <w:rPr>
                <w:sz w:val="22"/>
                <w:szCs w:val="22"/>
                <w:lang w:val="lt-LT"/>
              </w:rPr>
              <w:t xml:space="preserve">- Kaulų skausmas </w:t>
            </w:r>
          </w:p>
        </w:tc>
        <w:tc>
          <w:tcPr>
            <w:tcW w:w="1824" w:type="dxa"/>
          </w:tcPr>
          <w:p w:rsidR="00255979" w:rsidRPr="006F320A" w:rsidRDefault="00255979" w:rsidP="00CA3872">
            <w:pPr>
              <w:pStyle w:val="Default"/>
              <w:rPr>
                <w:color w:val="auto"/>
                <w:sz w:val="22"/>
                <w:szCs w:val="22"/>
                <w:lang w:val="lt-LT"/>
              </w:rPr>
            </w:pPr>
          </w:p>
        </w:tc>
        <w:tc>
          <w:tcPr>
            <w:tcW w:w="2037" w:type="dxa"/>
          </w:tcPr>
          <w:p w:rsidR="00255979" w:rsidRPr="006F320A" w:rsidRDefault="00255979" w:rsidP="00CA3872">
            <w:pPr>
              <w:pStyle w:val="Default"/>
              <w:rPr>
                <w:color w:val="auto"/>
                <w:sz w:val="22"/>
                <w:szCs w:val="22"/>
                <w:lang w:val="lt-LT"/>
              </w:rPr>
            </w:pPr>
          </w:p>
        </w:tc>
      </w:tr>
      <w:tr w:rsidR="00255979" w:rsidRPr="006F320A" w:rsidTr="006F320A">
        <w:tc>
          <w:tcPr>
            <w:tcW w:w="1737" w:type="dxa"/>
          </w:tcPr>
          <w:p w:rsidR="00255979" w:rsidRPr="006F320A" w:rsidRDefault="00255979" w:rsidP="006F320A">
            <w:pPr>
              <w:autoSpaceDE w:val="0"/>
              <w:autoSpaceDN w:val="0"/>
              <w:adjustRightInd w:val="0"/>
              <w:rPr>
                <w:rFonts w:eastAsia="MS Mincho"/>
                <w:b/>
                <w:bCs/>
              </w:rPr>
            </w:pPr>
            <w:r w:rsidRPr="006F320A">
              <w:rPr>
                <w:rFonts w:eastAsia="MS Mincho"/>
                <w:b/>
                <w:bCs/>
                <w:sz w:val="22"/>
                <w:szCs w:val="22"/>
              </w:rPr>
              <w:lastRenderedPageBreak/>
              <w:t>Inkstų ir</w:t>
            </w:r>
          </w:p>
          <w:p w:rsidR="00255979" w:rsidRPr="006F320A" w:rsidRDefault="00255979" w:rsidP="006F320A">
            <w:pPr>
              <w:autoSpaceDE w:val="0"/>
              <w:autoSpaceDN w:val="0"/>
              <w:adjustRightInd w:val="0"/>
              <w:rPr>
                <w:rFonts w:eastAsia="MS Mincho"/>
                <w:b/>
                <w:bCs/>
              </w:rPr>
            </w:pPr>
            <w:r w:rsidRPr="006F320A">
              <w:rPr>
                <w:rFonts w:eastAsia="MS Mincho"/>
                <w:b/>
                <w:bCs/>
                <w:sz w:val="22"/>
                <w:szCs w:val="22"/>
              </w:rPr>
              <w:t>šlapimo takų</w:t>
            </w:r>
          </w:p>
          <w:p w:rsidR="00255979" w:rsidRPr="006F320A" w:rsidRDefault="00255979" w:rsidP="00CA3872">
            <w:pPr>
              <w:pStyle w:val="Default"/>
              <w:rPr>
                <w:sz w:val="22"/>
                <w:szCs w:val="22"/>
                <w:lang w:val="lt-LT"/>
              </w:rPr>
            </w:pPr>
            <w:r w:rsidRPr="006F320A">
              <w:rPr>
                <w:b/>
                <w:bCs/>
                <w:sz w:val="22"/>
                <w:szCs w:val="22"/>
                <w:lang w:val="lt-LT"/>
              </w:rPr>
              <w:t>sutrikimai</w:t>
            </w:r>
          </w:p>
        </w:tc>
        <w:tc>
          <w:tcPr>
            <w:tcW w:w="1894" w:type="dxa"/>
          </w:tcPr>
          <w:p w:rsidR="00255979" w:rsidRPr="006F320A" w:rsidRDefault="00255979" w:rsidP="00CA3872">
            <w:pPr>
              <w:pStyle w:val="Default"/>
              <w:rPr>
                <w:color w:val="auto"/>
                <w:sz w:val="22"/>
                <w:szCs w:val="22"/>
                <w:lang w:val="lt-LT"/>
              </w:rPr>
            </w:pPr>
          </w:p>
        </w:tc>
        <w:tc>
          <w:tcPr>
            <w:tcW w:w="1794" w:type="dxa"/>
          </w:tcPr>
          <w:p w:rsidR="00255979" w:rsidRPr="006F320A" w:rsidRDefault="00255979" w:rsidP="006F320A">
            <w:pPr>
              <w:autoSpaceDE w:val="0"/>
              <w:autoSpaceDN w:val="0"/>
              <w:adjustRightInd w:val="0"/>
              <w:rPr>
                <w:rFonts w:eastAsia="MS Mincho"/>
              </w:rPr>
            </w:pPr>
            <w:r w:rsidRPr="006F320A">
              <w:rPr>
                <w:rFonts w:eastAsia="MS Mincho"/>
                <w:sz w:val="22"/>
                <w:szCs w:val="22"/>
              </w:rPr>
              <w:t>- Hematurija</w:t>
            </w:r>
          </w:p>
          <w:p w:rsidR="00255979" w:rsidRPr="006F320A" w:rsidRDefault="00255979" w:rsidP="00CA3872">
            <w:pPr>
              <w:pStyle w:val="Default"/>
              <w:rPr>
                <w:sz w:val="22"/>
                <w:szCs w:val="22"/>
                <w:lang w:val="lt-LT" w:bidi="ar-SA"/>
              </w:rPr>
            </w:pPr>
            <w:r w:rsidRPr="006F320A">
              <w:rPr>
                <w:sz w:val="22"/>
                <w:szCs w:val="22"/>
                <w:lang w:val="lt-LT"/>
              </w:rPr>
              <w:t>- Disurija</w:t>
            </w:r>
          </w:p>
          <w:p w:rsidR="00255979" w:rsidRPr="006F320A" w:rsidRDefault="00255979" w:rsidP="00CA3872">
            <w:pPr>
              <w:pStyle w:val="Default"/>
              <w:rPr>
                <w:sz w:val="22"/>
                <w:szCs w:val="22"/>
                <w:lang w:val="lt-LT"/>
              </w:rPr>
            </w:pPr>
            <w:r w:rsidRPr="006F320A">
              <w:rPr>
                <w:sz w:val="22"/>
                <w:szCs w:val="22"/>
                <w:lang w:val="lt-LT"/>
              </w:rPr>
              <w:t xml:space="preserve">-Nenormalus šlapinimosi dažnumas </w:t>
            </w:r>
          </w:p>
        </w:tc>
        <w:tc>
          <w:tcPr>
            <w:tcW w:w="1824" w:type="dxa"/>
          </w:tcPr>
          <w:p w:rsidR="00255979" w:rsidRPr="006F320A" w:rsidRDefault="00255979" w:rsidP="00CA3872">
            <w:pPr>
              <w:pStyle w:val="Default"/>
              <w:rPr>
                <w:color w:val="auto"/>
                <w:sz w:val="22"/>
                <w:szCs w:val="22"/>
                <w:lang w:val="lt-LT"/>
              </w:rPr>
            </w:pPr>
          </w:p>
        </w:tc>
        <w:tc>
          <w:tcPr>
            <w:tcW w:w="2037" w:type="dxa"/>
          </w:tcPr>
          <w:p w:rsidR="00255979" w:rsidRPr="006F320A" w:rsidRDefault="00255979" w:rsidP="00CA3872">
            <w:pPr>
              <w:pStyle w:val="Default"/>
              <w:rPr>
                <w:color w:val="auto"/>
                <w:sz w:val="22"/>
                <w:szCs w:val="22"/>
                <w:lang w:val="lt-LT"/>
              </w:rPr>
            </w:pPr>
          </w:p>
        </w:tc>
      </w:tr>
      <w:tr w:rsidR="00255979" w:rsidRPr="006F320A" w:rsidTr="006F320A">
        <w:tc>
          <w:tcPr>
            <w:tcW w:w="1737" w:type="dxa"/>
            <w:vAlign w:val="center"/>
          </w:tcPr>
          <w:p w:rsidR="00255979" w:rsidRPr="006F320A" w:rsidRDefault="00255979" w:rsidP="00CA3872">
            <w:pPr>
              <w:pStyle w:val="Default"/>
              <w:rPr>
                <w:sz w:val="22"/>
                <w:szCs w:val="22"/>
                <w:lang w:val="lt-LT"/>
              </w:rPr>
            </w:pPr>
            <w:r w:rsidRPr="006F320A">
              <w:rPr>
                <w:b/>
                <w:bCs/>
                <w:sz w:val="22"/>
                <w:szCs w:val="22"/>
                <w:lang w:val="lt-LT"/>
              </w:rPr>
              <w:t>Bendrieji sutrikimai ir vartojimo vietos pažeidimai</w:t>
            </w:r>
          </w:p>
        </w:tc>
        <w:tc>
          <w:tcPr>
            <w:tcW w:w="1894" w:type="dxa"/>
            <w:vAlign w:val="center"/>
          </w:tcPr>
          <w:p w:rsidR="00255979" w:rsidRPr="006F320A" w:rsidRDefault="00255979" w:rsidP="006F320A">
            <w:pPr>
              <w:autoSpaceDE w:val="0"/>
              <w:autoSpaceDN w:val="0"/>
              <w:adjustRightInd w:val="0"/>
              <w:rPr>
                <w:rFonts w:eastAsia="MS Mincho"/>
              </w:rPr>
            </w:pPr>
            <w:r w:rsidRPr="006F320A">
              <w:rPr>
                <w:rFonts w:eastAsia="MS Mincho"/>
                <w:sz w:val="22"/>
                <w:szCs w:val="22"/>
              </w:rPr>
              <w:t>- Nuovargis</w:t>
            </w:r>
          </w:p>
          <w:p w:rsidR="00255979" w:rsidRPr="006F320A" w:rsidRDefault="00255979" w:rsidP="006F320A">
            <w:pPr>
              <w:autoSpaceDE w:val="0"/>
              <w:autoSpaceDN w:val="0"/>
              <w:adjustRightInd w:val="0"/>
              <w:rPr>
                <w:rFonts w:eastAsia="MS Mincho"/>
              </w:rPr>
            </w:pPr>
            <w:r w:rsidRPr="006F320A">
              <w:rPr>
                <w:rFonts w:eastAsia="MS Mincho"/>
                <w:sz w:val="22"/>
                <w:szCs w:val="22"/>
              </w:rPr>
              <w:t>- Karščiavimas++</w:t>
            </w:r>
          </w:p>
          <w:p w:rsidR="00255979" w:rsidRPr="006F320A" w:rsidRDefault="00255979" w:rsidP="006F320A">
            <w:pPr>
              <w:autoSpaceDE w:val="0"/>
              <w:autoSpaceDN w:val="0"/>
              <w:adjustRightInd w:val="0"/>
              <w:rPr>
                <w:rFonts w:eastAsia="MS Mincho"/>
              </w:rPr>
            </w:pPr>
            <w:r w:rsidRPr="006F320A">
              <w:rPr>
                <w:rFonts w:eastAsia="MS Mincho"/>
                <w:sz w:val="22"/>
                <w:szCs w:val="22"/>
              </w:rPr>
              <w:t>- Astenija</w:t>
            </w:r>
          </w:p>
          <w:p w:rsidR="00255979" w:rsidRPr="006F320A" w:rsidRDefault="00255979" w:rsidP="006F320A">
            <w:pPr>
              <w:autoSpaceDE w:val="0"/>
              <w:autoSpaceDN w:val="0"/>
              <w:adjustRightInd w:val="0"/>
              <w:rPr>
                <w:rFonts w:eastAsia="MS Mincho"/>
              </w:rPr>
            </w:pPr>
            <w:r w:rsidRPr="006F320A">
              <w:rPr>
                <w:rFonts w:eastAsia="MS Mincho"/>
                <w:sz w:val="22"/>
                <w:szCs w:val="22"/>
              </w:rPr>
              <w:t>- Skausmas</w:t>
            </w:r>
          </w:p>
          <w:p w:rsidR="00255979" w:rsidRPr="006F320A" w:rsidRDefault="00255979" w:rsidP="006F320A">
            <w:pPr>
              <w:autoSpaceDE w:val="0"/>
              <w:autoSpaceDN w:val="0"/>
              <w:adjustRightInd w:val="0"/>
              <w:rPr>
                <w:rFonts w:eastAsia="MS Mincho"/>
              </w:rPr>
            </w:pPr>
            <w:r w:rsidRPr="006F320A">
              <w:rPr>
                <w:rFonts w:eastAsia="MS Mincho"/>
                <w:sz w:val="22"/>
                <w:szCs w:val="22"/>
              </w:rPr>
              <w:t>- Injekcijos vietos</w:t>
            </w:r>
          </w:p>
          <w:p w:rsidR="00255979" w:rsidRPr="006F320A" w:rsidRDefault="00255979" w:rsidP="00CA3872">
            <w:pPr>
              <w:pStyle w:val="Default"/>
              <w:rPr>
                <w:sz w:val="22"/>
                <w:szCs w:val="22"/>
                <w:lang w:val="lt-LT"/>
              </w:rPr>
            </w:pPr>
            <w:r w:rsidRPr="006F320A">
              <w:rPr>
                <w:sz w:val="22"/>
                <w:szCs w:val="22"/>
                <w:lang w:val="lt-LT"/>
              </w:rPr>
              <w:t>reakcija+++</w:t>
            </w:r>
          </w:p>
        </w:tc>
        <w:tc>
          <w:tcPr>
            <w:tcW w:w="1794" w:type="dxa"/>
          </w:tcPr>
          <w:p w:rsidR="00255979" w:rsidRPr="006F320A" w:rsidRDefault="00255979" w:rsidP="00CA3872">
            <w:pPr>
              <w:pStyle w:val="Default"/>
              <w:rPr>
                <w:color w:val="auto"/>
                <w:sz w:val="22"/>
                <w:szCs w:val="22"/>
                <w:lang w:val="lt-LT"/>
              </w:rPr>
            </w:pPr>
          </w:p>
        </w:tc>
        <w:tc>
          <w:tcPr>
            <w:tcW w:w="1824" w:type="dxa"/>
          </w:tcPr>
          <w:p w:rsidR="00255979" w:rsidRPr="006F320A" w:rsidRDefault="00255979" w:rsidP="00CA3872">
            <w:pPr>
              <w:pStyle w:val="Default"/>
              <w:rPr>
                <w:color w:val="auto"/>
                <w:sz w:val="22"/>
                <w:szCs w:val="22"/>
                <w:lang w:val="lt-LT"/>
              </w:rPr>
            </w:pPr>
          </w:p>
        </w:tc>
        <w:tc>
          <w:tcPr>
            <w:tcW w:w="2037" w:type="dxa"/>
          </w:tcPr>
          <w:p w:rsidR="00255979" w:rsidRPr="006F320A" w:rsidRDefault="00255979" w:rsidP="00CA3872">
            <w:pPr>
              <w:pStyle w:val="Default"/>
              <w:rPr>
                <w:color w:val="auto"/>
                <w:sz w:val="22"/>
                <w:szCs w:val="22"/>
                <w:lang w:val="lt-LT"/>
              </w:rPr>
            </w:pPr>
          </w:p>
        </w:tc>
      </w:tr>
      <w:tr w:rsidR="00255979" w:rsidRPr="006F320A" w:rsidTr="006F320A">
        <w:tc>
          <w:tcPr>
            <w:tcW w:w="1737" w:type="dxa"/>
          </w:tcPr>
          <w:p w:rsidR="00255979" w:rsidRPr="006F320A" w:rsidRDefault="00255979" w:rsidP="00CA3872">
            <w:pPr>
              <w:pStyle w:val="Default"/>
              <w:rPr>
                <w:sz w:val="22"/>
                <w:szCs w:val="22"/>
                <w:lang w:val="lt-LT"/>
              </w:rPr>
            </w:pPr>
            <w:r w:rsidRPr="006F320A">
              <w:rPr>
                <w:b/>
                <w:bCs/>
                <w:sz w:val="22"/>
                <w:szCs w:val="22"/>
                <w:lang w:val="lt-LT"/>
              </w:rPr>
              <w:t xml:space="preserve">Tyrimai </w:t>
            </w:r>
          </w:p>
        </w:tc>
        <w:tc>
          <w:tcPr>
            <w:tcW w:w="1894" w:type="dxa"/>
          </w:tcPr>
          <w:p w:rsidR="00255979" w:rsidRPr="006F320A" w:rsidRDefault="00255979" w:rsidP="00CA3872">
            <w:pPr>
              <w:pStyle w:val="Default"/>
              <w:rPr>
                <w:sz w:val="22"/>
                <w:szCs w:val="22"/>
                <w:lang w:val="lt-LT"/>
              </w:rPr>
            </w:pPr>
            <w:r w:rsidRPr="006F320A">
              <w:rPr>
                <w:sz w:val="22"/>
                <w:szCs w:val="22"/>
                <w:lang w:val="lt-LT"/>
              </w:rPr>
              <w:t xml:space="preserve">- Kepenų fermentų </w:t>
            </w:r>
            <w:r>
              <w:rPr>
                <w:sz w:val="22"/>
                <w:szCs w:val="22"/>
                <w:lang w:val="lt-LT"/>
              </w:rPr>
              <w:t xml:space="preserve">aktyvumo </w:t>
            </w:r>
            <w:r w:rsidRPr="006F320A">
              <w:rPr>
                <w:sz w:val="22"/>
                <w:szCs w:val="22"/>
                <w:lang w:val="lt-LT"/>
              </w:rPr>
              <w:t xml:space="preserve">padidėjimas </w:t>
            </w:r>
          </w:p>
          <w:p w:rsidR="00255979" w:rsidRPr="006F320A" w:rsidRDefault="00255979" w:rsidP="00CA3872">
            <w:pPr>
              <w:pStyle w:val="Default"/>
              <w:rPr>
                <w:sz w:val="22"/>
                <w:szCs w:val="22"/>
                <w:lang w:val="lt-LT"/>
              </w:rPr>
            </w:pPr>
            <w:r w:rsidRPr="006F320A">
              <w:rPr>
                <w:sz w:val="22"/>
                <w:szCs w:val="22"/>
                <w:lang w:val="lt-LT"/>
              </w:rPr>
              <w:t xml:space="preserve">- Šarminės fosfotazės </w:t>
            </w:r>
            <w:r>
              <w:rPr>
                <w:sz w:val="22"/>
                <w:szCs w:val="22"/>
                <w:lang w:val="lt-LT"/>
              </w:rPr>
              <w:t xml:space="preserve">aktyvumo </w:t>
            </w:r>
            <w:r w:rsidRPr="006F320A">
              <w:rPr>
                <w:sz w:val="22"/>
                <w:szCs w:val="22"/>
                <w:lang w:val="lt-LT"/>
              </w:rPr>
              <w:t xml:space="preserve">padidėjimas kraujyje </w:t>
            </w:r>
          </w:p>
          <w:p w:rsidR="00255979" w:rsidRPr="006F320A" w:rsidRDefault="00255979" w:rsidP="00CA3872">
            <w:pPr>
              <w:pStyle w:val="Default"/>
              <w:rPr>
                <w:sz w:val="22"/>
                <w:szCs w:val="22"/>
                <w:lang w:val="lt-LT"/>
              </w:rPr>
            </w:pPr>
            <w:r w:rsidRPr="006F320A">
              <w:rPr>
                <w:sz w:val="22"/>
                <w:szCs w:val="22"/>
                <w:lang w:val="lt-LT"/>
              </w:rPr>
              <w:t xml:space="preserve">- Bilirubino kiekio padidėjimas kraujyje </w:t>
            </w:r>
          </w:p>
          <w:p w:rsidR="00255979" w:rsidRPr="006F320A" w:rsidRDefault="00255979" w:rsidP="00CA3872">
            <w:pPr>
              <w:pStyle w:val="Default"/>
              <w:rPr>
                <w:sz w:val="22"/>
                <w:szCs w:val="22"/>
                <w:lang w:val="lt-LT"/>
              </w:rPr>
            </w:pPr>
            <w:r w:rsidRPr="006F320A">
              <w:rPr>
                <w:sz w:val="22"/>
                <w:szCs w:val="22"/>
                <w:lang w:val="lt-LT"/>
              </w:rPr>
              <w:t xml:space="preserve">- Laktatdehidrogenazės </w:t>
            </w:r>
            <w:r>
              <w:rPr>
                <w:sz w:val="22"/>
                <w:szCs w:val="22"/>
                <w:lang w:val="lt-LT"/>
              </w:rPr>
              <w:t xml:space="preserve">(LDH) aktyvumo </w:t>
            </w:r>
            <w:r w:rsidRPr="006F320A">
              <w:rPr>
                <w:sz w:val="22"/>
                <w:szCs w:val="22"/>
                <w:lang w:val="lt-LT"/>
              </w:rPr>
              <w:t xml:space="preserve">padidėjimas kraujyje </w:t>
            </w:r>
          </w:p>
          <w:p w:rsidR="00255979" w:rsidRPr="006F320A" w:rsidRDefault="00255979" w:rsidP="00CA3872">
            <w:pPr>
              <w:pStyle w:val="Default"/>
              <w:rPr>
                <w:sz w:val="22"/>
                <w:szCs w:val="22"/>
                <w:lang w:val="lt-LT"/>
              </w:rPr>
            </w:pPr>
            <w:r w:rsidRPr="006F320A">
              <w:rPr>
                <w:sz w:val="22"/>
                <w:szCs w:val="22"/>
                <w:lang w:val="lt-LT"/>
              </w:rPr>
              <w:t xml:space="preserve">- Svorio padidėjimas (taikant papildomą gydymą) </w:t>
            </w:r>
          </w:p>
        </w:tc>
        <w:tc>
          <w:tcPr>
            <w:tcW w:w="1794" w:type="dxa"/>
          </w:tcPr>
          <w:p w:rsidR="00255979" w:rsidRPr="006F320A" w:rsidRDefault="00255979" w:rsidP="00CA3872">
            <w:pPr>
              <w:pStyle w:val="Default"/>
              <w:rPr>
                <w:sz w:val="22"/>
                <w:szCs w:val="22"/>
                <w:lang w:val="lt-LT"/>
              </w:rPr>
            </w:pPr>
            <w:r w:rsidRPr="006F320A">
              <w:rPr>
                <w:sz w:val="22"/>
                <w:szCs w:val="22"/>
                <w:lang w:val="lt-LT"/>
              </w:rPr>
              <w:t xml:space="preserve">- Kreatinino padidėjimas kraujyje </w:t>
            </w:r>
          </w:p>
          <w:p w:rsidR="00255979" w:rsidRPr="006F320A" w:rsidRDefault="00255979" w:rsidP="00CA3872">
            <w:pPr>
              <w:pStyle w:val="Default"/>
              <w:rPr>
                <w:sz w:val="22"/>
                <w:szCs w:val="22"/>
                <w:lang w:val="lt-LT"/>
              </w:rPr>
            </w:pPr>
            <w:r w:rsidRPr="006F320A">
              <w:rPr>
                <w:sz w:val="22"/>
                <w:szCs w:val="22"/>
                <w:lang w:val="lt-LT"/>
              </w:rPr>
              <w:t>- Svorio sumažėjimas (gydant metastaz</w:t>
            </w:r>
            <w:r>
              <w:rPr>
                <w:sz w:val="22"/>
                <w:szCs w:val="22"/>
                <w:lang w:val="lt-LT"/>
              </w:rPr>
              <w:t>avusį</w:t>
            </w:r>
            <w:r w:rsidRPr="006F320A">
              <w:rPr>
                <w:sz w:val="22"/>
                <w:szCs w:val="22"/>
                <w:lang w:val="lt-LT"/>
              </w:rPr>
              <w:t xml:space="preserve"> vėžį) </w:t>
            </w:r>
          </w:p>
        </w:tc>
        <w:tc>
          <w:tcPr>
            <w:tcW w:w="1824" w:type="dxa"/>
          </w:tcPr>
          <w:p w:rsidR="00255979" w:rsidRPr="006F320A" w:rsidRDefault="00255979" w:rsidP="00CA3872">
            <w:pPr>
              <w:pStyle w:val="Default"/>
              <w:rPr>
                <w:color w:val="auto"/>
                <w:sz w:val="22"/>
                <w:szCs w:val="22"/>
                <w:lang w:val="lt-LT"/>
              </w:rPr>
            </w:pPr>
          </w:p>
        </w:tc>
        <w:tc>
          <w:tcPr>
            <w:tcW w:w="2037" w:type="dxa"/>
          </w:tcPr>
          <w:p w:rsidR="00255979" w:rsidRPr="006F320A" w:rsidRDefault="00255979" w:rsidP="00CA3872">
            <w:pPr>
              <w:pStyle w:val="Default"/>
              <w:rPr>
                <w:color w:val="auto"/>
                <w:sz w:val="22"/>
                <w:szCs w:val="22"/>
                <w:lang w:val="lt-LT"/>
              </w:rPr>
            </w:pPr>
          </w:p>
        </w:tc>
      </w:tr>
    </w:tbl>
    <w:p w:rsidR="00255979" w:rsidRPr="00CA3872" w:rsidRDefault="00255979" w:rsidP="005E4334">
      <w:pPr>
        <w:pStyle w:val="Default"/>
        <w:spacing w:line="276" w:lineRule="atLeast"/>
        <w:ind w:right="98"/>
        <w:rPr>
          <w:color w:val="auto"/>
          <w:sz w:val="22"/>
          <w:szCs w:val="22"/>
          <w:lang w:val="lt-LT"/>
        </w:rPr>
      </w:pPr>
      <w:r w:rsidRPr="00CA3872">
        <w:rPr>
          <w:color w:val="auto"/>
          <w:sz w:val="22"/>
          <w:szCs w:val="22"/>
          <w:lang w:val="lt-LT"/>
        </w:rPr>
        <w:t>* Išsamesnę informaciją žr. tolimesniame skyriuje.</w:t>
      </w:r>
      <w:r w:rsidRPr="00CA3872">
        <w:rPr>
          <w:color w:val="auto"/>
          <w:sz w:val="22"/>
          <w:szCs w:val="22"/>
          <w:lang w:val="lt-LT"/>
        </w:rPr>
        <w:br/>
        <w:t xml:space="preserve">** Žr. 4.4 skyrių. </w:t>
      </w:r>
    </w:p>
    <w:p w:rsidR="00255979" w:rsidRPr="00CA3872" w:rsidRDefault="00255979" w:rsidP="005E4334">
      <w:pPr>
        <w:pStyle w:val="CM13"/>
        <w:spacing w:after="275" w:line="276" w:lineRule="atLeast"/>
        <w:rPr>
          <w:rFonts w:cs="Times New Roman"/>
          <w:sz w:val="22"/>
          <w:szCs w:val="22"/>
          <w:lang w:val="lt-LT"/>
        </w:rPr>
      </w:pPr>
      <w:r w:rsidRPr="00CA3872">
        <w:rPr>
          <w:rFonts w:cs="Times New Roman"/>
          <w:sz w:val="22"/>
          <w:szCs w:val="22"/>
          <w:lang w:val="lt-LT"/>
        </w:rPr>
        <w:t xml:space="preserve">+ Labai dažnos alergijos / alerginės reakcijos, dažniausiai pasireiškiančios infuzuojant, kartais mirtinos. Dažnos alerginės reakcijos, pvz., odos bėrimas (ypač dilgėlinė), konjunktyvitas, rinitas. </w:t>
      </w:r>
      <w:r w:rsidRPr="00CA3872">
        <w:rPr>
          <w:rFonts w:cs="Times New Roman"/>
          <w:sz w:val="22"/>
          <w:szCs w:val="22"/>
          <w:lang w:val="lt-LT"/>
        </w:rPr>
        <w:br/>
        <w:t xml:space="preserve">Dažnai pasireiškia anafilaksinės reakcijos, įskaitant bronchų spazmą, hipotenziją, skausmą krūtinėje ir anafilaksinį šoką. </w:t>
      </w:r>
      <w:r w:rsidRPr="00CA3872">
        <w:rPr>
          <w:rFonts w:cs="Times New Roman"/>
          <w:sz w:val="22"/>
          <w:szCs w:val="22"/>
          <w:lang w:val="lt-LT"/>
        </w:rPr>
        <w:br/>
        <w:t xml:space="preserve">++ Labai dažnai būna karščiavimas, sustingimai (drebuliai), kuriuos sukelia infekcija (esant arba nesant febrilinės neutropenijos), arba imuniniai sutrikimai. </w:t>
      </w:r>
      <w:r w:rsidRPr="00CA3872">
        <w:rPr>
          <w:rFonts w:cs="Times New Roman"/>
          <w:sz w:val="22"/>
          <w:szCs w:val="22"/>
          <w:lang w:val="lt-LT"/>
        </w:rPr>
        <w:br/>
        <w:t xml:space="preserve">+++ Buvo pranešta apie reakcijas injekcijos vietoje, įskaitant lokalų skausmą, paraudimą, patinimą ir trombozę. Ekstravazacijos atvejais galimas lokalus skausmas ir uždegimas, jie gali būti sunkūs ir sukelti komplikacijas, tarp jų ir nekrozę, ypač jei oksaliplatina infuzuojama į periferinę veną (žr. 4.4 skyrių). </w:t>
      </w:r>
    </w:p>
    <w:p w:rsidR="00255979" w:rsidRPr="00CA3872" w:rsidRDefault="00255979" w:rsidP="005E4334">
      <w:pPr>
        <w:pStyle w:val="CM13"/>
        <w:spacing w:after="234" w:line="276" w:lineRule="atLeast"/>
        <w:rPr>
          <w:rFonts w:cs="Times New Roman"/>
          <w:sz w:val="22"/>
          <w:szCs w:val="22"/>
          <w:lang w:val="lt-LT"/>
        </w:rPr>
      </w:pPr>
      <w:r w:rsidRPr="00D746F2">
        <w:rPr>
          <w:rFonts w:cs="Times New Roman"/>
          <w:b/>
          <w:bCs/>
          <w:sz w:val="22"/>
          <w:szCs w:val="22"/>
          <w:lang w:val="lt-LT"/>
        </w:rPr>
        <w:t>Kepenų, tulžies pūslės ir latakų sutrikimai</w:t>
      </w:r>
      <w:r w:rsidRPr="00CA3872">
        <w:rPr>
          <w:rFonts w:cs="Times New Roman"/>
          <w:b/>
          <w:bCs/>
          <w:sz w:val="22"/>
          <w:szCs w:val="22"/>
          <w:lang w:val="lt-LT"/>
        </w:rPr>
        <w:t xml:space="preserve"> </w:t>
      </w:r>
    </w:p>
    <w:p w:rsidR="00255979" w:rsidRPr="00CA3872" w:rsidRDefault="00255979" w:rsidP="005E4334">
      <w:pPr>
        <w:pStyle w:val="CM13"/>
        <w:spacing w:after="275" w:line="276" w:lineRule="atLeast"/>
        <w:rPr>
          <w:rFonts w:cs="Times New Roman"/>
          <w:sz w:val="22"/>
          <w:szCs w:val="22"/>
          <w:lang w:val="lt-LT"/>
        </w:rPr>
      </w:pPr>
      <w:r w:rsidRPr="00CA3872">
        <w:rPr>
          <w:rFonts w:cs="Times New Roman"/>
          <w:sz w:val="22"/>
          <w:szCs w:val="22"/>
          <w:lang w:val="lt-LT"/>
        </w:rPr>
        <w:t xml:space="preserve">Labai reti (≤1/10 000). </w:t>
      </w:r>
    </w:p>
    <w:p w:rsidR="00255979" w:rsidRPr="00CA3872" w:rsidRDefault="00255979" w:rsidP="005E4334">
      <w:pPr>
        <w:pStyle w:val="CM13"/>
        <w:spacing w:after="275" w:line="276" w:lineRule="atLeast"/>
        <w:rPr>
          <w:rFonts w:cs="Times New Roman"/>
          <w:sz w:val="22"/>
          <w:szCs w:val="22"/>
          <w:lang w:val="lt-LT"/>
        </w:rPr>
      </w:pPr>
      <w:r w:rsidRPr="00CA3872">
        <w:rPr>
          <w:rFonts w:cs="Times New Roman"/>
          <w:sz w:val="22"/>
          <w:szCs w:val="22"/>
          <w:lang w:val="lt-LT"/>
        </w:rPr>
        <w:t xml:space="preserve">Kepenų sinusų obstrukcijos sindromas, dar kitaip vadinamas venookliuzine kepenų liga, arba patologinės būklės, susijusios su tokiais kepenų sutrikimais kaip kepenų peliozė, mazginė regeneracinė hiperplazija, perisinusinė fibrozė. Kliniškai šie sutrikimai gali pasireikšti portine hipertenzija ir (arba) transaminazių </w:t>
      </w:r>
      <w:r>
        <w:rPr>
          <w:rFonts w:cs="Times New Roman"/>
          <w:sz w:val="22"/>
          <w:szCs w:val="22"/>
          <w:lang w:val="lt-LT"/>
        </w:rPr>
        <w:t xml:space="preserve">aktyvumo </w:t>
      </w:r>
      <w:r w:rsidRPr="00CA3872">
        <w:rPr>
          <w:rFonts w:cs="Times New Roman"/>
          <w:sz w:val="22"/>
          <w:szCs w:val="22"/>
          <w:lang w:val="lt-LT"/>
        </w:rPr>
        <w:t>padidėjimu.</w:t>
      </w:r>
    </w:p>
    <w:p w:rsidR="00255979" w:rsidRPr="00CA3872" w:rsidRDefault="00255979" w:rsidP="005E4334">
      <w:pPr>
        <w:pStyle w:val="CM13"/>
        <w:spacing w:after="275" w:line="276" w:lineRule="atLeast"/>
        <w:rPr>
          <w:rFonts w:cs="Times New Roman"/>
          <w:sz w:val="22"/>
          <w:szCs w:val="22"/>
          <w:lang w:val="lt-LT"/>
        </w:rPr>
      </w:pPr>
      <w:r w:rsidRPr="00CA3872">
        <w:rPr>
          <w:rFonts w:cs="Times New Roman"/>
          <w:b/>
          <w:bCs/>
          <w:sz w:val="22"/>
          <w:szCs w:val="22"/>
          <w:lang w:val="lt-LT"/>
        </w:rPr>
        <w:t xml:space="preserve">Inkstų ir šlapimo takų sutrikimai </w:t>
      </w:r>
    </w:p>
    <w:p w:rsidR="00255979" w:rsidRPr="00CA3872" w:rsidRDefault="00255979" w:rsidP="005E4334">
      <w:pPr>
        <w:pStyle w:val="CM13"/>
        <w:spacing w:after="275" w:line="276" w:lineRule="atLeast"/>
        <w:rPr>
          <w:rFonts w:cs="Times New Roman"/>
          <w:sz w:val="22"/>
          <w:szCs w:val="22"/>
          <w:lang w:val="lt-LT"/>
        </w:rPr>
      </w:pPr>
      <w:r w:rsidRPr="00CA3872">
        <w:rPr>
          <w:rFonts w:cs="Times New Roman"/>
          <w:sz w:val="22"/>
          <w:szCs w:val="22"/>
          <w:lang w:val="lt-LT"/>
        </w:rPr>
        <w:t xml:space="preserve">Labai reti (≤1/10 000). </w:t>
      </w:r>
    </w:p>
    <w:p w:rsidR="00255979" w:rsidRDefault="00255979" w:rsidP="005E4334">
      <w:pPr>
        <w:pStyle w:val="CM3"/>
        <w:rPr>
          <w:rFonts w:cs="Times New Roman"/>
          <w:sz w:val="22"/>
          <w:szCs w:val="22"/>
          <w:lang w:val="lt-LT"/>
        </w:rPr>
      </w:pPr>
      <w:r w:rsidRPr="00CA3872">
        <w:rPr>
          <w:rFonts w:cs="Times New Roman"/>
          <w:sz w:val="22"/>
          <w:szCs w:val="22"/>
          <w:lang w:val="lt-LT"/>
        </w:rPr>
        <w:t xml:space="preserve">Ūminė kanalėlių nekrozė, ūminis intersticinis nefritas ir ūminis inkstų funkcijos nepakankamumas. </w:t>
      </w:r>
    </w:p>
    <w:p w:rsidR="00255979" w:rsidRDefault="00255979" w:rsidP="006F5707">
      <w:pPr>
        <w:pStyle w:val="CM3"/>
        <w:rPr>
          <w:rFonts w:cs="Times New Roman"/>
          <w:sz w:val="22"/>
          <w:szCs w:val="22"/>
          <w:lang w:val="lt-LT"/>
        </w:rPr>
      </w:pPr>
    </w:p>
    <w:p w:rsidR="00255979" w:rsidRPr="00CA3872" w:rsidRDefault="00255979" w:rsidP="006F5707">
      <w:pPr>
        <w:pStyle w:val="CM3"/>
        <w:rPr>
          <w:rFonts w:cs="Times New Roman"/>
          <w:sz w:val="22"/>
          <w:szCs w:val="22"/>
          <w:lang w:val="lt-LT"/>
        </w:rPr>
      </w:pPr>
      <w:r w:rsidRPr="003E1E4D">
        <w:rPr>
          <w:rFonts w:cs="Times New Roman"/>
          <w:b/>
          <w:bCs/>
          <w:sz w:val="22"/>
          <w:szCs w:val="22"/>
          <w:lang w:val="lt-LT"/>
        </w:rPr>
        <w:lastRenderedPageBreak/>
        <w:t>Kraujo</w:t>
      </w:r>
      <w:r w:rsidRPr="00CA3872">
        <w:rPr>
          <w:rFonts w:cs="Times New Roman"/>
          <w:b/>
          <w:bCs/>
          <w:sz w:val="22"/>
          <w:szCs w:val="22"/>
          <w:lang w:val="lt-LT"/>
        </w:rPr>
        <w:t xml:space="preserve"> ir limfinės sistemos sutrikimai </w:t>
      </w:r>
      <w:r w:rsidRPr="00CA3872">
        <w:rPr>
          <w:rFonts w:cs="Times New Roman"/>
          <w:b/>
          <w:bCs/>
          <w:sz w:val="22"/>
          <w:szCs w:val="22"/>
          <w:lang w:val="lt-LT"/>
        </w:rPr>
        <w:br/>
        <w:t xml:space="preserve">Dažnumas pagal pacientų proc. ir sunkumo laipsnį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1169"/>
        <w:gridCol w:w="1213"/>
        <w:gridCol w:w="1213"/>
        <w:gridCol w:w="1279"/>
        <w:gridCol w:w="1221"/>
        <w:gridCol w:w="1221"/>
      </w:tblGrid>
      <w:tr w:rsidR="00255979" w:rsidRPr="006F320A" w:rsidTr="006F320A">
        <w:tc>
          <w:tcPr>
            <w:tcW w:w="2047"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Oksaliplatina ir 5FU/FR 85 mg/m² kas 2 savaites </w:t>
            </w:r>
          </w:p>
        </w:tc>
        <w:tc>
          <w:tcPr>
            <w:tcW w:w="3862" w:type="dxa"/>
            <w:gridSpan w:val="3"/>
          </w:tcPr>
          <w:p w:rsidR="00255979" w:rsidRPr="006F320A" w:rsidRDefault="00255979" w:rsidP="006F320A">
            <w:pPr>
              <w:pStyle w:val="Default"/>
              <w:jc w:val="center"/>
              <w:rPr>
                <w:sz w:val="22"/>
                <w:szCs w:val="22"/>
                <w:lang w:val="lt-LT"/>
              </w:rPr>
            </w:pPr>
            <w:r w:rsidRPr="006F320A">
              <w:rPr>
                <w:b/>
                <w:bCs/>
                <w:sz w:val="22"/>
                <w:szCs w:val="22"/>
                <w:lang w:val="lt-LT"/>
              </w:rPr>
              <w:t xml:space="preserve">Metastazavusio vėžio gydymas </w:t>
            </w:r>
          </w:p>
        </w:tc>
        <w:tc>
          <w:tcPr>
            <w:tcW w:w="4044" w:type="dxa"/>
            <w:gridSpan w:val="3"/>
          </w:tcPr>
          <w:p w:rsidR="00255979" w:rsidRPr="006F320A" w:rsidRDefault="00255979" w:rsidP="006F320A">
            <w:pPr>
              <w:pStyle w:val="Default"/>
              <w:jc w:val="center"/>
              <w:rPr>
                <w:sz w:val="22"/>
                <w:szCs w:val="22"/>
                <w:lang w:val="lt-LT"/>
              </w:rPr>
            </w:pPr>
            <w:r>
              <w:rPr>
                <w:b/>
                <w:bCs/>
                <w:sz w:val="22"/>
                <w:szCs w:val="22"/>
                <w:lang w:val="lt-LT"/>
              </w:rPr>
              <w:t>Adjuvantinis</w:t>
            </w:r>
            <w:r w:rsidRPr="006F320A">
              <w:rPr>
                <w:b/>
                <w:bCs/>
                <w:sz w:val="22"/>
                <w:szCs w:val="22"/>
                <w:lang w:val="lt-LT"/>
              </w:rPr>
              <w:t xml:space="preserve"> gydymas  </w:t>
            </w:r>
          </w:p>
        </w:tc>
      </w:tr>
      <w:tr w:rsidR="00255979" w:rsidRPr="006F320A" w:rsidTr="006F320A">
        <w:tc>
          <w:tcPr>
            <w:tcW w:w="2047" w:type="dxa"/>
          </w:tcPr>
          <w:p w:rsidR="00255979" w:rsidRPr="006F320A" w:rsidRDefault="00255979" w:rsidP="006F320A">
            <w:pPr>
              <w:pStyle w:val="Default"/>
              <w:jc w:val="center"/>
              <w:rPr>
                <w:color w:val="auto"/>
                <w:sz w:val="22"/>
                <w:szCs w:val="22"/>
                <w:lang w:val="lt-LT"/>
              </w:rPr>
            </w:pPr>
          </w:p>
        </w:tc>
        <w:tc>
          <w:tcPr>
            <w:tcW w:w="1206"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Visų sunkumo laipsnių </w:t>
            </w:r>
          </w:p>
        </w:tc>
        <w:tc>
          <w:tcPr>
            <w:tcW w:w="1328"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3 laipsnio </w:t>
            </w:r>
          </w:p>
        </w:tc>
        <w:tc>
          <w:tcPr>
            <w:tcW w:w="1328"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4 laipsnio </w:t>
            </w:r>
          </w:p>
        </w:tc>
        <w:tc>
          <w:tcPr>
            <w:tcW w:w="1364"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Visų sunkumo laipsnių </w:t>
            </w:r>
          </w:p>
        </w:tc>
        <w:tc>
          <w:tcPr>
            <w:tcW w:w="1340"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3 laipsnio </w:t>
            </w:r>
          </w:p>
        </w:tc>
        <w:tc>
          <w:tcPr>
            <w:tcW w:w="1340"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4 laipsnio </w:t>
            </w:r>
          </w:p>
        </w:tc>
      </w:tr>
      <w:tr w:rsidR="00255979" w:rsidRPr="006F320A" w:rsidTr="006F320A">
        <w:tc>
          <w:tcPr>
            <w:tcW w:w="2047"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Anemija </w:t>
            </w:r>
          </w:p>
        </w:tc>
        <w:tc>
          <w:tcPr>
            <w:tcW w:w="1206"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82,2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3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&lt;1 </w:t>
            </w:r>
          </w:p>
        </w:tc>
        <w:tc>
          <w:tcPr>
            <w:tcW w:w="1364"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75,6 </w:t>
            </w:r>
          </w:p>
        </w:tc>
        <w:tc>
          <w:tcPr>
            <w:tcW w:w="1340"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0,7 </w:t>
            </w:r>
          </w:p>
        </w:tc>
        <w:tc>
          <w:tcPr>
            <w:tcW w:w="1340"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0,1 </w:t>
            </w:r>
          </w:p>
        </w:tc>
      </w:tr>
      <w:tr w:rsidR="00255979" w:rsidRPr="006F320A" w:rsidTr="006F320A">
        <w:tc>
          <w:tcPr>
            <w:tcW w:w="2047"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Neutropenija  </w:t>
            </w:r>
          </w:p>
        </w:tc>
        <w:tc>
          <w:tcPr>
            <w:tcW w:w="1206"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71,4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28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14 </w:t>
            </w:r>
          </w:p>
        </w:tc>
        <w:tc>
          <w:tcPr>
            <w:tcW w:w="1364"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78,9 </w:t>
            </w:r>
          </w:p>
        </w:tc>
        <w:tc>
          <w:tcPr>
            <w:tcW w:w="1340"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28,8 </w:t>
            </w:r>
          </w:p>
        </w:tc>
        <w:tc>
          <w:tcPr>
            <w:tcW w:w="1340"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12,3 </w:t>
            </w:r>
          </w:p>
        </w:tc>
      </w:tr>
      <w:tr w:rsidR="00255979" w:rsidRPr="006F320A" w:rsidTr="006F320A">
        <w:tc>
          <w:tcPr>
            <w:tcW w:w="2047"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Trombocitopenija </w:t>
            </w:r>
          </w:p>
        </w:tc>
        <w:tc>
          <w:tcPr>
            <w:tcW w:w="1206"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71,6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4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&lt;1 </w:t>
            </w:r>
          </w:p>
        </w:tc>
        <w:tc>
          <w:tcPr>
            <w:tcW w:w="1364"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77,4 </w:t>
            </w:r>
          </w:p>
        </w:tc>
        <w:tc>
          <w:tcPr>
            <w:tcW w:w="1340"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1,5 </w:t>
            </w:r>
          </w:p>
        </w:tc>
        <w:tc>
          <w:tcPr>
            <w:tcW w:w="1340"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0,2 </w:t>
            </w:r>
          </w:p>
        </w:tc>
      </w:tr>
      <w:tr w:rsidR="00255979" w:rsidRPr="006F320A" w:rsidTr="006F320A">
        <w:tc>
          <w:tcPr>
            <w:tcW w:w="2047"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Febrilinė neutropenija </w:t>
            </w:r>
          </w:p>
        </w:tc>
        <w:tc>
          <w:tcPr>
            <w:tcW w:w="1206"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5,0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3,6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1,4 </w:t>
            </w:r>
          </w:p>
        </w:tc>
        <w:tc>
          <w:tcPr>
            <w:tcW w:w="1364"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0,7 </w:t>
            </w:r>
          </w:p>
        </w:tc>
        <w:tc>
          <w:tcPr>
            <w:tcW w:w="1340"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0,7 </w:t>
            </w:r>
          </w:p>
        </w:tc>
        <w:tc>
          <w:tcPr>
            <w:tcW w:w="1340"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0,0 </w:t>
            </w:r>
          </w:p>
        </w:tc>
      </w:tr>
      <w:tr w:rsidR="00255979" w:rsidRPr="006F320A" w:rsidTr="006F320A">
        <w:tc>
          <w:tcPr>
            <w:tcW w:w="2047"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Neutropeninis sepsis </w:t>
            </w:r>
          </w:p>
        </w:tc>
        <w:tc>
          <w:tcPr>
            <w:tcW w:w="1206"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1,1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0,7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0,4 </w:t>
            </w:r>
          </w:p>
        </w:tc>
        <w:tc>
          <w:tcPr>
            <w:tcW w:w="1364"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1,1 </w:t>
            </w:r>
          </w:p>
        </w:tc>
        <w:tc>
          <w:tcPr>
            <w:tcW w:w="1340"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0,6 </w:t>
            </w:r>
          </w:p>
        </w:tc>
        <w:tc>
          <w:tcPr>
            <w:tcW w:w="1340"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0,4 </w:t>
            </w:r>
          </w:p>
        </w:tc>
      </w:tr>
    </w:tbl>
    <w:p w:rsidR="00255979" w:rsidRPr="00CA3872" w:rsidRDefault="00255979" w:rsidP="00CA3872">
      <w:pPr>
        <w:pStyle w:val="Default"/>
        <w:rPr>
          <w:color w:val="auto"/>
          <w:sz w:val="22"/>
          <w:szCs w:val="22"/>
          <w:lang w:val="lt-LT"/>
        </w:rPr>
      </w:pPr>
    </w:p>
    <w:p w:rsidR="00255979" w:rsidRPr="00CA3872" w:rsidRDefault="00255979" w:rsidP="00CA3872">
      <w:pPr>
        <w:pStyle w:val="CM3"/>
        <w:rPr>
          <w:rFonts w:cs="Times New Roman"/>
          <w:sz w:val="22"/>
          <w:szCs w:val="22"/>
          <w:lang w:val="lt-LT"/>
        </w:rPr>
      </w:pPr>
      <w:r w:rsidRPr="00CA3872">
        <w:rPr>
          <w:rFonts w:cs="Times New Roman"/>
          <w:sz w:val="22"/>
          <w:szCs w:val="22"/>
          <w:u w:val="single"/>
          <w:lang w:val="lt-LT"/>
        </w:rPr>
        <w:t xml:space="preserve">Patirtis esant vaistui rinkoje, kai dažnis nežinomas </w:t>
      </w:r>
      <w:r w:rsidRPr="00CA3872">
        <w:rPr>
          <w:rFonts w:cs="Times New Roman"/>
          <w:sz w:val="22"/>
          <w:szCs w:val="22"/>
          <w:u w:val="single"/>
          <w:lang w:val="lt-LT"/>
        </w:rPr>
        <w:br/>
      </w:r>
      <w:r w:rsidRPr="00CA3872">
        <w:rPr>
          <w:rFonts w:cs="Times New Roman"/>
          <w:sz w:val="22"/>
          <w:szCs w:val="22"/>
          <w:lang w:val="lt-LT"/>
        </w:rPr>
        <w:t xml:space="preserve">Hemolizinis ureminis sindromas </w:t>
      </w:r>
    </w:p>
    <w:p w:rsidR="00255979" w:rsidRPr="00CA3872" w:rsidRDefault="00255979" w:rsidP="00CA3872">
      <w:pPr>
        <w:pStyle w:val="CM15"/>
        <w:spacing w:after="97" w:line="553" w:lineRule="atLeast"/>
        <w:ind w:right="1387"/>
        <w:rPr>
          <w:rFonts w:cs="Times New Roman"/>
          <w:b/>
          <w:bCs/>
          <w:sz w:val="22"/>
          <w:szCs w:val="22"/>
          <w:lang w:val="lt-LT"/>
        </w:rPr>
      </w:pPr>
      <w:r w:rsidRPr="00CA3872">
        <w:rPr>
          <w:rFonts w:cs="Times New Roman"/>
          <w:b/>
          <w:bCs/>
          <w:sz w:val="22"/>
          <w:szCs w:val="22"/>
          <w:lang w:val="lt-LT"/>
        </w:rPr>
        <w:t xml:space="preserve">Virškinimo </w:t>
      </w:r>
      <w:r>
        <w:rPr>
          <w:rFonts w:cs="Times New Roman"/>
          <w:b/>
          <w:bCs/>
          <w:sz w:val="22"/>
          <w:szCs w:val="22"/>
          <w:lang w:val="lt-LT"/>
        </w:rPr>
        <w:t xml:space="preserve">trakto </w:t>
      </w:r>
      <w:r w:rsidRPr="00CA3872">
        <w:rPr>
          <w:rFonts w:cs="Times New Roman"/>
          <w:b/>
          <w:bCs/>
          <w:sz w:val="22"/>
          <w:szCs w:val="22"/>
          <w:lang w:val="lt-LT"/>
        </w:rPr>
        <w:t xml:space="preserve">sutrikimai </w:t>
      </w:r>
    </w:p>
    <w:p w:rsidR="00255979" w:rsidRPr="00CA3872" w:rsidRDefault="00255979" w:rsidP="00CA3872">
      <w:pPr>
        <w:pStyle w:val="CM15"/>
        <w:spacing w:after="97" w:line="553" w:lineRule="atLeast"/>
        <w:ind w:right="1387"/>
        <w:rPr>
          <w:rFonts w:cs="Times New Roman"/>
          <w:sz w:val="22"/>
          <w:szCs w:val="22"/>
          <w:lang w:val="lt-LT"/>
        </w:rPr>
      </w:pPr>
      <w:r w:rsidRPr="00CA3872">
        <w:rPr>
          <w:rFonts w:cs="Times New Roman"/>
          <w:b/>
          <w:bCs/>
          <w:sz w:val="22"/>
          <w:szCs w:val="22"/>
          <w:lang w:val="lt-LT"/>
        </w:rPr>
        <w:t>Dažn</w:t>
      </w:r>
      <w:r>
        <w:rPr>
          <w:rFonts w:cs="Times New Roman"/>
          <w:b/>
          <w:bCs/>
          <w:sz w:val="22"/>
          <w:szCs w:val="22"/>
          <w:lang w:val="lt-LT"/>
        </w:rPr>
        <w:t>is</w:t>
      </w:r>
      <w:r w:rsidRPr="00CA3872">
        <w:rPr>
          <w:rFonts w:cs="Times New Roman"/>
          <w:b/>
          <w:bCs/>
          <w:sz w:val="22"/>
          <w:szCs w:val="22"/>
          <w:lang w:val="lt-LT"/>
        </w:rPr>
        <w:t xml:space="preserve"> pagal pacientų proc. ir sunkumo laipsnį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7"/>
        <w:gridCol w:w="1174"/>
        <w:gridCol w:w="1227"/>
        <w:gridCol w:w="1227"/>
        <w:gridCol w:w="1289"/>
        <w:gridCol w:w="1236"/>
        <w:gridCol w:w="1236"/>
      </w:tblGrid>
      <w:tr w:rsidR="00255979" w:rsidRPr="006F320A" w:rsidTr="006F320A">
        <w:tc>
          <w:tcPr>
            <w:tcW w:w="2047"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Oksaliplatina ir 5FU/FR 85 mg/m² kas 2 savaites </w:t>
            </w:r>
          </w:p>
        </w:tc>
        <w:tc>
          <w:tcPr>
            <w:tcW w:w="3862" w:type="dxa"/>
            <w:gridSpan w:val="3"/>
          </w:tcPr>
          <w:p w:rsidR="00255979" w:rsidRPr="006F320A" w:rsidRDefault="00255979" w:rsidP="006F320A">
            <w:pPr>
              <w:pStyle w:val="Default"/>
              <w:jc w:val="center"/>
              <w:rPr>
                <w:sz w:val="22"/>
                <w:szCs w:val="22"/>
                <w:lang w:val="lt-LT"/>
              </w:rPr>
            </w:pPr>
            <w:r w:rsidRPr="006F320A">
              <w:rPr>
                <w:b/>
                <w:bCs/>
                <w:sz w:val="22"/>
                <w:szCs w:val="22"/>
                <w:lang w:val="lt-LT"/>
              </w:rPr>
              <w:t xml:space="preserve">Metastazavusio vėžio gydymas </w:t>
            </w:r>
          </w:p>
        </w:tc>
        <w:tc>
          <w:tcPr>
            <w:tcW w:w="4044" w:type="dxa"/>
            <w:gridSpan w:val="3"/>
          </w:tcPr>
          <w:p w:rsidR="00255979" w:rsidRPr="006F320A" w:rsidRDefault="00255979" w:rsidP="006F320A">
            <w:pPr>
              <w:pStyle w:val="Default"/>
              <w:jc w:val="center"/>
              <w:rPr>
                <w:sz w:val="22"/>
                <w:szCs w:val="22"/>
                <w:lang w:val="lt-LT"/>
              </w:rPr>
            </w:pPr>
            <w:r>
              <w:rPr>
                <w:b/>
                <w:bCs/>
                <w:sz w:val="22"/>
                <w:szCs w:val="22"/>
                <w:lang w:val="lt-LT"/>
              </w:rPr>
              <w:t>Adjuvantinis</w:t>
            </w:r>
            <w:r w:rsidRPr="006F320A">
              <w:rPr>
                <w:b/>
                <w:bCs/>
                <w:sz w:val="22"/>
                <w:szCs w:val="22"/>
                <w:lang w:val="lt-LT"/>
              </w:rPr>
              <w:t xml:space="preserve"> gydymas  </w:t>
            </w:r>
          </w:p>
        </w:tc>
      </w:tr>
      <w:tr w:rsidR="00255979" w:rsidRPr="006F320A" w:rsidTr="006F320A">
        <w:tc>
          <w:tcPr>
            <w:tcW w:w="2047" w:type="dxa"/>
          </w:tcPr>
          <w:p w:rsidR="00255979" w:rsidRPr="006F320A" w:rsidRDefault="00255979" w:rsidP="006F320A">
            <w:pPr>
              <w:pStyle w:val="Default"/>
              <w:jc w:val="center"/>
              <w:rPr>
                <w:color w:val="auto"/>
                <w:sz w:val="22"/>
                <w:szCs w:val="22"/>
                <w:lang w:val="lt-LT"/>
              </w:rPr>
            </w:pPr>
          </w:p>
        </w:tc>
        <w:tc>
          <w:tcPr>
            <w:tcW w:w="1206"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Visų sunkumo laipsnių </w:t>
            </w:r>
          </w:p>
        </w:tc>
        <w:tc>
          <w:tcPr>
            <w:tcW w:w="1328"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3 laipsnio </w:t>
            </w:r>
          </w:p>
        </w:tc>
        <w:tc>
          <w:tcPr>
            <w:tcW w:w="1328"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4 laipsnio </w:t>
            </w:r>
          </w:p>
        </w:tc>
        <w:tc>
          <w:tcPr>
            <w:tcW w:w="1364"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Visų sunkumo laipsnių </w:t>
            </w:r>
          </w:p>
        </w:tc>
        <w:tc>
          <w:tcPr>
            <w:tcW w:w="1340"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3 laipsnio </w:t>
            </w:r>
          </w:p>
        </w:tc>
        <w:tc>
          <w:tcPr>
            <w:tcW w:w="1340"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4 laipsnio </w:t>
            </w:r>
          </w:p>
        </w:tc>
      </w:tr>
      <w:tr w:rsidR="00255979" w:rsidRPr="006F320A" w:rsidTr="006F320A">
        <w:tc>
          <w:tcPr>
            <w:tcW w:w="2047" w:type="dxa"/>
            <w:vAlign w:val="center"/>
          </w:tcPr>
          <w:p w:rsidR="00255979" w:rsidRPr="006F320A" w:rsidRDefault="00255979" w:rsidP="00CA3872">
            <w:pPr>
              <w:pStyle w:val="Default"/>
              <w:rPr>
                <w:sz w:val="22"/>
                <w:szCs w:val="22"/>
                <w:lang w:val="lt-LT"/>
              </w:rPr>
            </w:pPr>
            <w:r w:rsidRPr="006F320A">
              <w:rPr>
                <w:sz w:val="22"/>
                <w:szCs w:val="22"/>
                <w:lang w:val="lt-LT"/>
              </w:rPr>
              <w:t xml:space="preserve">Pykinimas </w:t>
            </w:r>
          </w:p>
        </w:tc>
        <w:tc>
          <w:tcPr>
            <w:tcW w:w="1206"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69,9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8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&lt;1 </w:t>
            </w:r>
          </w:p>
        </w:tc>
        <w:tc>
          <w:tcPr>
            <w:tcW w:w="1364"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73,7 </w:t>
            </w:r>
          </w:p>
        </w:tc>
        <w:tc>
          <w:tcPr>
            <w:tcW w:w="1340"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4,8 </w:t>
            </w:r>
          </w:p>
        </w:tc>
        <w:tc>
          <w:tcPr>
            <w:tcW w:w="1340" w:type="dxa"/>
          </w:tcPr>
          <w:p w:rsidR="00255979" w:rsidRPr="006F320A" w:rsidRDefault="00255979" w:rsidP="00CA3872">
            <w:pPr>
              <w:pStyle w:val="Default"/>
              <w:rPr>
                <w:color w:val="auto"/>
                <w:sz w:val="22"/>
                <w:szCs w:val="22"/>
                <w:lang w:val="lt-LT"/>
              </w:rPr>
            </w:pPr>
            <w:r w:rsidRPr="006F320A">
              <w:rPr>
                <w:color w:val="auto"/>
                <w:sz w:val="22"/>
                <w:szCs w:val="22"/>
                <w:lang w:val="lt-LT"/>
              </w:rPr>
              <w:t>0,3</w:t>
            </w:r>
          </w:p>
        </w:tc>
      </w:tr>
      <w:tr w:rsidR="00255979" w:rsidRPr="006F320A" w:rsidTr="006F320A">
        <w:tc>
          <w:tcPr>
            <w:tcW w:w="2047" w:type="dxa"/>
            <w:vAlign w:val="center"/>
          </w:tcPr>
          <w:p w:rsidR="00255979" w:rsidRPr="006F320A" w:rsidRDefault="00255979" w:rsidP="00CA3872">
            <w:pPr>
              <w:pStyle w:val="Default"/>
              <w:rPr>
                <w:sz w:val="22"/>
                <w:szCs w:val="22"/>
                <w:lang w:val="lt-LT"/>
              </w:rPr>
            </w:pPr>
            <w:r w:rsidRPr="006F320A">
              <w:rPr>
                <w:sz w:val="22"/>
                <w:szCs w:val="22"/>
                <w:lang w:val="lt-LT"/>
              </w:rPr>
              <w:t xml:space="preserve">Viduriavimas </w:t>
            </w:r>
          </w:p>
        </w:tc>
        <w:tc>
          <w:tcPr>
            <w:tcW w:w="1206"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60,8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9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2 </w:t>
            </w:r>
          </w:p>
        </w:tc>
        <w:tc>
          <w:tcPr>
            <w:tcW w:w="1364"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56,3 </w:t>
            </w:r>
          </w:p>
        </w:tc>
        <w:tc>
          <w:tcPr>
            <w:tcW w:w="1340"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8,3 </w:t>
            </w:r>
          </w:p>
        </w:tc>
        <w:tc>
          <w:tcPr>
            <w:tcW w:w="1340" w:type="dxa"/>
          </w:tcPr>
          <w:p w:rsidR="00255979" w:rsidRPr="006F320A" w:rsidRDefault="00255979" w:rsidP="00CA3872">
            <w:pPr>
              <w:pStyle w:val="Default"/>
              <w:rPr>
                <w:color w:val="auto"/>
                <w:sz w:val="22"/>
                <w:szCs w:val="22"/>
                <w:lang w:val="lt-LT"/>
              </w:rPr>
            </w:pPr>
            <w:r w:rsidRPr="006F320A">
              <w:rPr>
                <w:color w:val="auto"/>
                <w:sz w:val="22"/>
                <w:szCs w:val="22"/>
                <w:lang w:val="lt-LT"/>
              </w:rPr>
              <w:t>2,5</w:t>
            </w:r>
          </w:p>
        </w:tc>
      </w:tr>
      <w:tr w:rsidR="00255979" w:rsidRPr="006F320A" w:rsidTr="006F320A">
        <w:tc>
          <w:tcPr>
            <w:tcW w:w="2047" w:type="dxa"/>
            <w:vAlign w:val="center"/>
          </w:tcPr>
          <w:p w:rsidR="00255979" w:rsidRPr="006F320A" w:rsidRDefault="00255979" w:rsidP="00CA3872">
            <w:pPr>
              <w:pStyle w:val="Default"/>
              <w:rPr>
                <w:sz w:val="22"/>
                <w:szCs w:val="22"/>
                <w:lang w:val="lt-LT"/>
              </w:rPr>
            </w:pPr>
            <w:r w:rsidRPr="006F320A">
              <w:rPr>
                <w:sz w:val="22"/>
                <w:szCs w:val="22"/>
                <w:lang w:val="lt-LT"/>
              </w:rPr>
              <w:t xml:space="preserve">Vėmimas  </w:t>
            </w:r>
          </w:p>
        </w:tc>
        <w:tc>
          <w:tcPr>
            <w:tcW w:w="1206"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49,0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6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1 </w:t>
            </w:r>
          </w:p>
        </w:tc>
        <w:tc>
          <w:tcPr>
            <w:tcW w:w="1364"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47,2 </w:t>
            </w:r>
          </w:p>
        </w:tc>
        <w:tc>
          <w:tcPr>
            <w:tcW w:w="1340"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5,3 </w:t>
            </w:r>
          </w:p>
        </w:tc>
        <w:tc>
          <w:tcPr>
            <w:tcW w:w="1340" w:type="dxa"/>
          </w:tcPr>
          <w:p w:rsidR="00255979" w:rsidRPr="006F320A" w:rsidRDefault="00255979" w:rsidP="00CA3872">
            <w:pPr>
              <w:pStyle w:val="Default"/>
              <w:rPr>
                <w:color w:val="auto"/>
                <w:sz w:val="22"/>
                <w:szCs w:val="22"/>
                <w:lang w:val="lt-LT"/>
              </w:rPr>
            </w:pPr>
            <w:r w:rsidRPr="006F320A">
              <w:rPr>
                <w:color w:val="auto"/>
                <w:sz w:val="22"/>
                <w:szCs w:val="22"/>
                <w:lang w:val="lt-LT"/>
              </w:rPr>
              <w:t>0,5</w:t>
            </w:r>
          </w:p>
        </w:tc>
      </w:tr>
      <w:tr w:rsidR="00255979" w:rsidRPr="006F320A" w:rsidTr="006F320A">
        <w:tc>
          <w:tcPr>
            <w:tcW w:w="2047" w:type="dxa"/>
            <w:vAlign w:val="center"/>
          </w:tcPr>
          <w:p w:rsidR="00255979" w:rsidRPr="006F320A" w:rsidRDefault="00255979" w:rsidP="00CA3872">
            <w:pPr>
              <w:pStyle w:val="Default"/>
              <w:rPr>
                <w:sz w:val="22"/>
                <w:szCs w:val="22"/>
                <w:lang w:val="lt-LT"/>
              </w:rPr>
            </w:pPr>
            <w:r w:rsidRPr="006F320A">
              <w:rPr>
                <w:sz w:val="22"/>
                <w:szCs w:val="22"/>
                <w:lang w:val="lt-LT"/>
              </w:rPr>
              <w:t xml:space="preserve">Mukozitas / stomatitas </w:t>
            </w:r>
          </w:p>
        </w:tc>
        <w:tc>
          <w:tcPr>
            <w:tcW w:w="1206"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39,9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4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&lt;1 </w:t>
            </w:r>
          </w:p>
        </w:tc>
        <w:tc>
          <w:tcPr>
            <w:tcW w:w="1364"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42,1 </w:t>
            </w:r>
          </w:p>
        </w:tc>
        <w:tc>
          <w:tcPr>
            <w:tcW w:w="1340"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2,8 </w:t>
            </w:r>
          </w:p>
        </w:tc>
        <w:tc>
          <w:tcPr>
            <w:tcW w:w="1340" w:type="dxa"/>
          </w:tcPr>
          <w:p w:rsidR="00255979" w:rsidRPr="006F320A" w:rsidRDefault="00255979" w:rsidP="00CA3872">
            <w:pPr>
              <w:pStyle w:val="Default"/>
              <w:rPr>
                <w:color w:val="auto"/>
                <w:sz w:val="22"/>
                <w:szCs w:val="22"/>
                <w:lang w:val="lt-LT"/>
              </w:rPr>
            </w:pPr>
            <w:r w:rsidRPr="006F320A">
              <w:rPr>
                <w:color w:val="auto"/>
                <w:sz w:val="22"/>
                <w:szCs w:val="22"/>
                <w:lang w:val="lt-LT"/>
              </w:rPr>
              <w:t>0,1</w:t>
            </w:r>
          </w:p>
        </w:tc>
      </w:tr>
    </w:tbl>
    <w:p w:rsidR="00255979" w:rsidRPr="004873B0" w:rsidRDefault="00255979" w:rsidP="005E4334">
      <w:pPr>
        <w:pStyle w:val="CM13"/>
        <w:rPr>
          <w:rFonts w:cs="Times New Roman"/>
          <w:sz w:val="22"/>
          <w:szCs w:val="22"/>
          <w:lang w:val="lt-LT"/>
        </w:rPr>
      </w:pPr>
    </w:p>
    <w:p w:rsidR="00255979" w:rsidRPr="004873B0" w:rsidRDefault="00255979" w:rsidP="005E4334">
      <w:pPr>
        <w:pStyle w:val="CM13"/>
        <w:rPr>
          <w:rFonts w:cs="Times New Roman"/>
          <w:sz w:val="22"/>
          <w:szCs w:val="22"/>
          <w:lang w:val="lt-LT"/>
        </w:rPr>
      </w:pPr>
      <w:r w:rsidRPr="004873B0">
        <w:rPr>
          <w:rFonts w:cs="Times New Roman"/>
          <w:sz w:val="22"/>
          <w:szCs w:val="22"/>
          <w:lang w:val="lt-LT"/>
        </w:rPr>
        <w:t>Reikalinga profilaktika ir (arba) gydymas stipraus poveikio antiemetikais.</w:t>
      </w:r>
    </w:p>
    <w:p w:rsidR="00255979" w:rsidRPr="004873B0" w:rsidRDefault="00255979" w:rsidP="005E4334">
      <w:pPr>
        <w:rPr>
          <w:sz w:val="22"/>
          <w:szCs w:val="22"/>
          <w:lang w:eastAsia="ja-JP" w:bidi="lo-LA"/>
        </w:rPr>
      </w:pPr>
    </w:p>
    <w:p w:rsidR="00255979" w:rsidRPr="004873B0" w:rsidRDefault="00255979" w:rsidP="005E4334">
      <w:pPr>
        <w:pStyle w:val="CM13"/>
        <w:rPr>
          <w:rFonts w:cs="Times New Roman"/>
          <w:sz w:val="22"/>
          <w:szCs w:val="22"/>
          <w:lang w:val="lt-LT"/>
        </w:rPr>
      </w:pPr>
      <w:r w:rsidRPr="004873B0">
        <w:rPr>
          <w:rFonts w:cs="Times New Roman"/>
          <w:sz w:val="22"/>
          <w:szCs w:val="22"/>
          <w:lang w:val="lt-LT"/>
        </w:rPr>
        <w:t>Oksaliplatinos, ypač vartojamos kartu su 5-fluorouracilu, sukeltas sunkus viduriavimas arba vėmimas gali sukelti dehidrataciją, paralyžinį žarnų nepraeinamumą, žarnų obstrukciją, hipokalemiją, metabolinę acidozę ir inkstų funkcijos sutrikimą (žr. 4.4 skyrių).</w:t>
      </w:r>
    </w:p>
    <w:p w:rsidR="00255979" w:rsidRPr="004873B0" w:rsidRDefault="00255979" w:rsidP="005E4334">
      <w:pPr>
        <w:rPr>
          <w:sz w:val="22"/>
          <w:szCs w:val="22"/>
          <w:lang w:eastAsia="ja-JP" w:bidi="lo-LA"/>
        </w:rPr>
      </w:pPr>
    </w:p>
    <w:p w:rsidR="00255979" w:rsidRPr="004873B0" w:rsidRDefault="00255979" w:rsidP="005E4334">
      <w:pPr>
        <w:pStyle w:val="CM6"/>
        <w:spacing w:line="240" w:lineRule="auto"/>
        <w:rPr>
          <w:rFonts w:cs="Times New Roman"/>
          <w:b/>
          <w:bCs/>
          <w:sz w:val="22"/>
          <w:szCs w:val="22"/>
          <w:lang w:val="lt-LT"/>
        </w:rPr>
      </w:pPr>
      <w:r w:rsidRPr="004873B0">
        <w:rPr>
          <w:rFonts w:cs="Times New Roman"/>
          <w:b/>
          <w:bCs/>
          <w:sz w:val="22"/>
          <w:szCs w:val="22"/>
          <w:lang w:val="lt-LT"/>
        </w:rPr>
        <w:t xml:space="preserve">Nervų sistemos sutrikimai </w:t>
      </w:r>
    </w:p>
    <w:p w:rsidR="00255979" w:rsidRPr="004873B0" w:rsidRDefault="00255979" w:rsidP="005E4334">
      <w:pPr>
        <w:pStyle w:val="Default"/>
        <w:rPr>
          <w:sz w:val="22"/>
          <w:szCs w:val="22"/>
          <w:lang w:val="lt-LT"/>
        </w:rPr>
      </w:pPr>
    </w:p>
    <w:p w:rsidR="00255979" w:rsidRPr="004873B0" w:rsidRDefault="00255979" w:rsidP="005E4334">
      <w:pPr>
        <w:pStyle w:val="CM13"/>
        <w:rPr>
          <w:rFonts w:cs="Times New Roman"/>
          <w:sz w:val="22"/>
          <w:szCs w:val="22"/>
          <w:lang w:val="lt-LT"/>
        </w:rPr>
      </w:pPr>
      <w:r w:rsidRPr="004873B0">
        <w:rPr>
          <w:rFonts w:cs="Times New Roman"/>
          <w:sz w:val="22"/>
          <w:szCs w:val="22"/>
          <w:lang w:val="lt-LT"/>
        </w:rPr>
        <w:t>Gydymą oksaliplatina riboja toksinis poveikis nervų sistemai. Dažniausiai pasireiškia periferinė sensorinė neuropatija: jai būdinga galūnių parestezija ir (arba) dizestezija su arba be mėšlungio, kurį dažnai paskatina šaltis. Šie simptomai pasireiškia iki 95 % pacientų, gydomų vaistiniu preparatu. Simptomai per pertrauką tarp gydymo kursų paprastai praeina, kursų daugėjant, jų trukmė ilgėja.</w:t>
      </w:r>
    </w:p>
    <w:p w:rsidR="00255979" w:rsidRPr="004873B0" w:rsidRDefault="00255979" w:rsidP="005E4334">
      <w:pPr>
        <w:rPr>
          <w:sz w:val="22"/>
          <w:szCs w:val="22"/>
          <w:lang w:eastAsia="ja-JP" w:bidi="lo-LA"/>
        </w:rPr>
      </w:pPr>
    </w:p>
    <w:p w:rsidR="00255979" w:rsidRDefault="00255979" w:rsidP="005E4334">
      <w:pPr>
        <w:pStyle w:val="CM6"/>
        <w:spacing w:line="240" w:lineRule="auto"/>
        <w:rPr>
          <w:rFonts w:cs="Times New Roman"/>
          <w:sz w:val="22"/>
          <w:szCs w:val="22"/>
          <w:lang w:val="lt-LT"/>
        </w:rPr>
      </w:pPr>
      <w:r w:rsidRPr="004873B0">
        <w:rPr>
          <w:rFonts w:cs="Times New Roman"/>
          <w:sz w:val="22"/>
          <w:szCs w:val="22"/>
          <w:lang w:val="lt-LT"/>
        </w:rPr>
        <w:t>Skausmas ir (arba) funkcijos sutrikimas, atsižvelgiant į simptomų trukmę, yra priežastis keisti dozę ar</w:t>
      </w:r>
      <w:r w:rsidRPr="00CA3872">
        <w:rPr>
          <w:rFonts w:cs="Times New Roman"/>
          <w:sz w:val="22"/>
          <w:szCs w:val="22"/>
          <w:lang w:val="lt-LT"/>
        </w:rPr>
        <w:t xml:space="preserve"> net nutraukti gydymą (žr. 4.4 skyrių). </w:t>
      </w:r>
    </w:p>
    <w:p w:rsidR="00255979" w:rsidRPr="004873B0" w:rsidRDefault="00255979" w:rsidP="005E4334">
      <w:pPr>
        <w:pStyle w:val="Default"/>
        <w:rPr>
          <w:sz w:val="22"/>
          <w:szCs w:val="22"/>
          <w:lang w:val="lt-LT"/>
        </w:rPr>
      </w:pPr>
    </w:p>
    <w:p w:rsidR="00255979" w:rsidRDefault="00255979" w:rsidP="005E4334">
      <w:pPr>
        <w:pStyle w:val="CM13"/>
        <w:rPr>
          <w:rFonts w:cs="Times New Roman"/>
          <w:sz w:val="22"/>
          <w:szCs w:val="22"/>
          <w:lang w:val="lt-LT"/>
        </w:rPr>
      </w:pPr>
      <w:r w:rsidRPr="00CA3872">
        <w:rPr>
          <w:rFonts w:cs="Times New Roman"/>
          <w:sz w:val="22"/>
          <w:szCs w:val="22"/>
          <w:lang w:val="lt-LT"/>
        </w:rPr>
        <w:t>Funkcij</w:t>
      </w:r>
      <w:r>
        <w:rPr>
          <w:rFonts w:cs="Times New Roman"/>
          <w:sz w:val="22"/>
          <w:szCs w:val="22"/>
          <w:lang w:val="lt-LT"/>
        </w:rPr>
        <w:t>os</w:t>
      </w:r>
      <w:r w:rsidRPr="00CA3872">
        <w:rPr>
          <w:rFonts w:cs="Times New Roman"/>
          <w:sz w:val="22"/>
          <w:szCs w:val="22"/>
          <w:lang w:val="lt-LT"/>
        </w:rPr>
        <w:t xml:space="preserve"> sutrikimas, pvz., gebėjimo atlikti tikslius judesius sutrikimas, gali būti jutimų pažeidimo padarinys. Kai suminė dozė pasiekia 850 mg/m² kūno paviršiaus ploto (10 kursų), funkci</w:t>
      </w:r>
      <w:r>
        <w:rPr>
          <w:rFonts w:cs="Times New Roman"/>
          <w:sz w:val="22"/>
          <w:szCs w:val="22"/>
          <w:lang w:val="lt-LT"/>
        </w:rPr>
        <w:t>jos</w:t>
      </w:r>
      <w:r w:rsidRPr="00CA3872">
        <w:rPr>
          <w:rFonts w:cs="Times New Roman"/>
          <w:sz w:val="22"/>
          <w:szCs w:val="22"/>
          <w:lang w:val="lt-LT"/>
        </w:rPr>
        <w:t xml:space="preserve"> sutrikim</w:t>
      </w:r>
      <w:r>
        <w:rPr>
          <w:rFonts w:cs="Times New Roman"/>
          <w:sz w:val="22"/>
          <w:szCs w:val="22"/>
          <w:lang w:val="lt-LT"/>
        </w:rPr>
        <w:t>as</w:t>
      </w:r>
      <w:r w:rsidRPr="00CA3872">
        <w:rPr>
          <w:rFonts w:cs="Times New Roman"/>
          <w:sz w:val="22"/>
          <w:szCs w:val="22"/>
          <w:lang w:val="lt-LT"/>
        </w:rPr>
        <w:t xml:space="preserve"> gali atsirasti iki 10 % pacientų ir kai pasiekia 1020 mg/m² kūno paviršiaus ploto (12 kursų) </w:t>
      </w:r>
      <w:r>
        <w:rPr>
          <w:rFonts w:cs="Times New Roman"/>
          <w:sz w:val="22"/>
          <w:szCs w:val="22"/>
          <w:lang w:val="lt-LT"/>
        </w:rPr>
        <w:t>atitinkamai iki 20 % pacientų.</w:t>
      </w:r>
    </w:p>
    <w:p w:rsidR="00255979" w:rsidRPr="004873B0" w:rsidRDefault="00255979" w:rsidP="005E4334">
      <w:pPr>
        <w:rPr>
          <w:sz w:val="22"/>
          <w:szCs w:val="22"/>
          <w:lang w:eastAsia="ja-JP" w:bidi="lo-LA"/>
        </w:rPr>
      </w:pPr>
    </w:p>
    <w:p w:rsidR="00255979" w:rsidRPr="004873B0" w:rsidRDefault="00255979" w:rsidP="005E4334">
      <w:pPr>
        <w:pStyle w:val="CM13"/>
        <w:rPr>
          <w:rFonts w:cs="Times New Roman"/>
          <w:sz w:val="22"/>
          <w:szCs w:val="22"/>
          <w:lang w:val="lt-LT"/>
        </w:rPr>
      </w:pPr>
      <w:r w:rsidRPr="004873B0">
        <w:rPr>
          <w:rFonts w:cs="Times New Roman"/>
          <w:sz w:val="22"/>
          <w:szCs w:val="22"/>
          <w:lang w:val="lt-LT"/>
        </w:rPr>
        <w:t>Gydymą nutraukus, daugumai pacientų neurologinio sutrikimo simptomai ir požymiai palengvėja ar visiškai praeina. Nutraukus adjuvatinį gaubtinės žarnos vėžio gydymą vaistiniu preparatu, po 6 mėnesių 87 % pacientams simptomų nebuvo arba jie buvo lengvi. Praėjus dar 3 metams, apie 3 % apžiūrėtų pacientų nustatyta arba nepraeinanti vidutinio intensyvumo lokali parestezija (2,3 %), arba parestezija su funkcijos sutrikimais (0,5 %).</w:t>
      </w:r>
    </w:p>
    <w:p w:rsidR="00255979" w:rsidRPr="004873B0" w:rsidRDefault="00255979" w:rsidP="005E4334">
      <w:pPr>
        <w:rPr>
          <w:sz w:val="22"/>
          <w:szCs w:val="22"/>
          <w:lang w:eastAsia="ja-JP" w:bidi="lo-LA"/>
        </w:rPr>
      </w:pPr>
    </w:p>
    <w:p w:rsidR="00255979" w:rsidRPr="004873B0" w:rsidRDefault="00255979" w:rsidP="005E4334">
      <w:pPr>
        <w:pStyle w:val="CM13"/>
        <w:rPr>
          <w:rFonts w:cs="Times New Roman"/>
          <w:sz w:val="22"/>
          <w:szCs w:val="22"/>
          <w:lang w:val="lt-LT"/>
        </w:rPr>
      </w:pPr>
      <w:r w:rsidRPr="004873B0">
        <w:rPr>
          <w:rFonts w:cs="Times New Roman"/>
          <w:sz w:val="22"/>
          <w:szCs w:val="22"/>
          <w:lang w:val="lt-LT"/>
        </w:rPr>
        <w:t>Pasitaikė ūminių neurosensorinio sutrikimo simptomų atvejų (žr. 5.3 skyrių). Jie paprastai atsiranda per kelias valandas po infuzijos, simptomų atsiradimą dažnai paskatina šaltis. Neurosensoriniam sutrikimui būdinga laikina parestezija, dizestezija ar hipoestezija. Ūminis ryklės ir gerklų dizestezijos sindromas gali pasireikšti 1–2 % pacientų. Jam būdinga subjektyvus rijimo sutrikimo ar dusulio pojūtis be jokių objektyvių kvėpavimo sutrikimo (cianozės ar hipoksijos), gerklų ar bronchų spazmo (stridoro ar dusulio) simptomų. Nors tokiais atvejais buvo gydoma antihistamininiais ir bronchus plečiančiais vaistiniais preparatais, simptomai greitai praeina ir be jokio gydymo. Sindromas pasireiškia rečiau, jei kitą gydymo kursą vaistinis preparatas sulašinamas per ilgesnį laiką (žr. 4.4 skyrių).    Pavieniais atvejais pasireiškė apatinio žandikaulio raumenų spazmas, kitų raumenų spazmai, raumenų nevalingi susitraukimai, raumenų trūkčiojimai, mioklonija, koordinacijos sutrikimas, eisenos sutrikimas, ataksija, pusiausvyros pakitimai, tirpimas, spaudimo jausmas, diskomfortas, skausmas gerklėje ar krūtinėje. Be to, kartu su minėtais simptomais ar kaip atskiras sutrikimas gali išsivystyti galvinių nervų disfunkcija, pvz., ptozė, diplopija, afonija, disfonija, balso užkimimas, kartais aprašomi kaip balso stygų paralyžius, liežuvio jutimų sutrikimas, dizartrija, kartais aprašoma kaip afazija, trišakio nervo neuralgija, veido skausmas, akių skausmas, regėjimo aštrumo ir akipločio pakitimai.</w:t>
      </w:r>
    </w:p>
    <w:p w:rsidR="00255979" w:rsidRPr="004873B0" w:rsidRDefault="00255979" w:rsidP="005E4334">
      <w:pPr>
        <w:rPr>
          <w:sz w:val="22"/>
          <w:szCs w:val="22"/>
          <w:lang w:eastAsia="ja-JP" w:bidi="lo-LA"/>
        </w:rPr>
      </w:pPr>
    </w:p>
    <w:p w:rsidR="00255979" w:rsidRPr="004873B0" w:rsidRDefault="00255979" w:rsidP="005E4334">
      <w:pPr>
        <w:pStyle w:val="CM13"/>
        <w:rPr>
          <w:rFonts w:cs="Times New Roman"/>
          <w:sz w:val="22"/>
          <w:szCs w:val="22"/>
          <w:lang w:val="lt-LT"/>
        </w:rPr>
      </w:pPr>
      <w:r w:rsidRPr="004873B0">
        <w:rPr>
          <w:rFonts w:cs="Times New Roman"/>
          <w:sz w:val="22"/>
          <w:szCs w:val="22"/>
          <w:lang w:val="lt-LT"/>
        </w:rPr>
        <w:t xml:space="preserve">Gydant oksaliplatina, pastebėta ir kitokių neurologinių simptomų, pvz., sutrikdavo kalba, išnykdavo gilieji sausgyslių refleksai, išryškėdavo </w:t>
      </w:r>
      <w:r w:rsidRPr="004873B0">
        <w:rPr>
          <w:rFonts w:cs="Times New Roman"/>
          <w:i/>
          <w:sz w:val="22"/>
          <w:szCs w:val="22"/>
          <w:lang w:val="lt-LT"/>
        </w:rPr>
        <w:t>Lhermitte</w:t>
      </w:r>
      <w:r w:rsidRPr="004873B0">
        <w:rPr>
          <w:rFonts w:cs="Times New Roman"/>
          <w:sz w:val="22"/>
          <w:szCs w:val="22"/>
          <w:lang w:val="lt-LT"/>
        </w:rPr>
        <w:t xml:space="preserve"> simptomas. Be to, pasitaikė pavienių regos nervo uždegimo atvejų.</w:t>
      </w:r>
    </w:p>
    <w:p w:rsidR="00255979" w:rsidRPr="004873B0" w:rsidRDefault="00255979" w:rsidP="005E4334">
      <w:pPr>
        <w:rPr>
          <w:sz w:val="22"/>
          <w:szCs w:val="22"/>
          <w:lang w:eastAsia="ja-JP" w:bidi="lo-LA"/>
        </w:rPr>
      </w:pPr>
    </w:p>
    <w:p w:rsidR="00255979" w:rsidRPr="004873B0" w:rsidRDefault="00255979" w:rsidP="005E4334">
      <w:pPr>
        <w:pStyle w:val="CM13"/>
        <w:rPr>
          <w:rFonts w:cs="Times New Roman"/>
          <w:sz w:val="22"/>
          <w:szCs w:val="22"/>
          <w:lang w:val="lt-LT"/>
        </w:rPr>
      </w:pPr>
      <w:r w:rsidRPr="004873B0">
        <w:rPr>
          <w:rFonts w:cs="Times New Roman"/>
          <w:sz w:val="22"/>
          <w:szCs w:val="22"/>
          <w:u w:val="single"/>
          <w:lang w:val="lt-LT"/>
        </w:rPr>
        <w:t xml:space="preserve">Patirtis esant vaistui rinkoje, kai dažnis nežinomas </w:t>
      </w:r>
      <w:r w:rsidRPr="004873B0">
        <w:rPr>
          <w:rFonts w:cs="Times New Roman"/>
          <w:sz w:val="22"/>
          <w:szCs w:val="22"/>
          <w:u w:val="single"/>
          <w:lang w:val="lt-LT"/>
        </w:rPr>
        <w:br/>
      </w:r>
      <w:r w:rsidRPr="004873B0">
        <w:rPr>
          <w:rFonts w:cs="Times New Roman"/>
          <w:sz w:val="22"/>
          <w:szCs w:val="22"/>
          <w:lang w:val="lt-LT"/>
        </w:rPr>
        <w:t>Konvulsija</w:t>
      </w:r>
    </w:p>
    <w:p w:rsidR="00255979" w:rsidRPr="004873B0" w:rsidRDefault="00255979" w:rsidP="005E4334">
      <w:pPr>
        <w:rPr>
          <w:sz w:val="22"/>
          <w:szCs w:val="22"/>
          <w:lang w:eastAsia="ja-JP" w:bidi="lo-LA"/>
        </w:rPr>
      </w:pPr>
    </w:p>
    <w:p w:rsidR="00255979" w:rsidRPr="00CA3872" w:rsidRDefault="00255979" w:rsidP="00CA3872">
      <w:pPr>
        <w:pStyle w:val="CM13"/>
        <w:spacing w:after="275" w:line="276" w:lineRule="atLeast"/>
        <w:rPr>
          <w:rFonts w:cs="Times New Roman"/>
          <w:sz w:val="22"/>
          <w:szCs w:val="22"/>
          <w:lang w:val="lt-LT"/>
        </w:rPr>
      </w:pPr>
      <w:r w:rsidRPr="004873B0">
        <w:rPr>
          <w:rFonts w:cs="Times New Roman"/>
          <w:b/>
          <w:bCs/>
          <w:sz w:val="22"/>
          <w:szCs w:val="22"/>
          <w:lang w:val="lt-LT"/>
        </w:rPr>
        <w:t>Alerginės</w:t>
      </w:r>
      <w:r w:rsidRPr="00CA3872">
        <w:rPr>
          <w:rFonts w:cs="Times New Roman"/>
          <w:b/>
          <w:bCs/>
          <w:sz w:val="22"/>
          <w:szCs w:val="22"/>
          <w:lang w:val="lt-LT"/>
        </w:rPr>
        <w:t xml:space="preserve"> reakcijos </w:t>
      </w:r>
    </w:p>
    <w:p w:rsidR="00255979" w:rsidRPr="00CA3872" w:rsidRDefault="00255979" w:rsidP="00CA3872">
      <w:pPr>
        <w:pStyle w:val="CM13"/>
        <w:spacing w:after="275" w:line="276" w:lineRule="atLeast"/>
        <w:rPr>
          <w:rFonts w:cs="Times New Roman"/>
          <w:sz w:val="22"/>
          <w:szCs w:val="22"/>
          <w:lang w:val="lt-LT"/>
        </w:rPr>
      </w:pPr>
      <w:r w:rsidRPr="00CA3872">
        <w:rPr>
          <w:rFonts w:cs="Times New Roman"/>
          <w:b/>
          <w:bCs/>
          <w:sz w:val="22"/>
          <w:szCs w:val="22"/>
          <w:lang w:val="lt-LT"/>
        </w:rPr>
        <w:t>Alerginių reakcijų dažn</w:t>
      </w:r>
      <w:r>
        <w:rPr>
          <w:rFonts w:cs="Times New Roman"/>
          <w:b/>
          <w:bCs/>
          <w:sz w:val="22"/>
          <w:szCs w:val="22"/>
          <w:lang w:val="lt-LT"/>
        </w:rPr>
        <w:t>is</w:t>
      </w:r>
      <w:r w:rsidRPr="00CA3872">
        <w:rPr>
          <w:rFonts w:cs="Times New Roman"/>
          <w:b/>
          <w:bCs/>
          <w:sz w:val="22"/>
          <w:szCs w:val="22"/>
          <w:lang w:val="lt-LT"/>
        </w:rPr>
        <w:t xml:space="preserve"> pagal pacientų proc. ir sunkumo laipsnį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7"/>
        <w:gridCol w:w="1174"/>
        <w:gridCol w:w="1227"/>
        <w:gridCol w:w="1227"/>
        <w:gridCol w:w="1289"/>
        <w:gridCol w:w="1236"/>
        <w:gridCol w:w="1236"/>
      </w:tblGrid>
      <w:tr w:rsidR="00255979" w:rsidRPr="006F320A" w:rsidTr="006F320A">
        <w:tc>
          <w:tcPr>
            <w:tcW w:w="2047"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Oksaliplatina ir 5FU/FR 85 mg/m² kas 2 savaites </w:t>
            </w:r>
          </w:p>
        </w:tc>
        <w:tc>
          <w:tcPr>
            <w:tcW w:w="3862" w:type="dxa"/>
            <w:gridSpan w:val="3"/>
          </w:tcPr>
          <w:p w:rsidR="00255979" w:rsidRPr="006F320A" w:rsidRDefault="00255979" w:rsidP="006F320A">
            <w:pPr>
              <w:pStyle w:val="Default"/>
              <w:jc w:val="center"/>
              <w:rPr>
                <w:sz w:val="22"/>
                <w:szCs w:val="22"/>
                <w:lang w:val="lt-LT"/>
              </w:rPr>
            </w:pPr>
            <w:r w:rsidRPr="006F320A">
              <w:rPr>
                <w:b/>
                <w:bCs/>
                <w:sz w:val="22"/>
                <w:szCs w:val="22"/>
                <w:lang w:val="lt-LT"/>
              </w:rPr>
              <w:t xml:space="preserve">Metastazavusio vėžio gydymas </w:t>
            </w:r>
          </w:p>
        </w:tc>
        <w:tc>
          <w:tcPr>
            <w:tcW w:w="4044" w:type="dxa"/>
            <w:gridSpan w:val="3"/>
          </w:tcPr>
          <w:p w:rsidR="00255979" w:rsidRPr="006F320A" w:rsidRDefault="00255979" w:rsidP="006F320A">
            <w:pPr>
              <w:pStyle w:val="Default"/>
              <w:jc w:val="center"/>
              <w:rPr>
                <w:sz w:val="22"/>
                <w:szCs w:val="22"/>
                <w:lang w:val="lt-LT"/>
              </w:rPr>
            </w:pPr>
            <w:r>
              <w:rPr>
                <w:b/>
                <w:bCs/>
                <w:sz w:val="22"/>
                <w:szCs w:val="22"/>
                <w:lang w:val="lt-LT"/>
              </w:rPr>
              <w:t>Adjuvantinis</w:t>
            </w:r>
            <w:r w:rsidRPr="006F320A">
              <w:rPr>
                <w:b/>
                <w:bCs/>
                <w:sz w:val="22"/>
                <w:szCs w:val="22"/>
                <w:lang w:val="lt-LT"/>
              </w:rPr>
              <w:t xml:space="preserve"> gydymas  </w:t>
            </w:r>
          </w:p>
        </w:tc>
      </w:tr>
      <w:tr w:rsidR="00255979" w:rsidRPr="006F320A" w:rsidTr="006F320A">
        <w:tc>
          <w:tcPr>
            <w:tcW w:w="2047" w:type="dxa"/>
          </w:tcPr>
          <w:p w:rsidR="00255979" w:rsidRPr="006F320A" w:rsidRDefault="00255979" w:rsidP="006F320A">
            <w:pPr>
              <w:pStyle w:val="Default"/>
              <w:jc w:val="center"/>
              <w:rPr>
                <w:color w:val="auto"/>
                <w:sz w:val="22"/>
                <w:szCs w:val="22"/>
                <w:lang w:val="lt-LT"/>
              </w:rPr>
            </w:pPr>
          </w:p>
        </w:tc>
        <w:tc>
          <w:tcPr>
            <w:tcW w:w="1206"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Visų sunkumo laipsnių </w:t>
            </w:r>
          </w:p>
        </w:tc>
        <w:tc>
          <w:tcPr>
            <w:tcW w:w="1328"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3 laipsnio </w:t>
            </w:r>
          </w:p>
        </w:tc>
        <w:tc>
          <w:tcPr>
            <w:tcW w:w="1328"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4 laipsnio </w:t>
            </w:r>
          </w:p>
        </w:tc>
        <w:tc>
          <w:tcPr>
            <w:tcW w:w="1364"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Visų sunkumo laipsnių </w:t>
            </w:r>
          </w:p>
        </w:tc>
        <w:tc>
          <w:tcPr>
            <w:tcW w:w="1340"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3 laipsnio </w:t>
            </w:r>
          </w:p>
        </w:tc>
        <w:tc>
          <w:tcPr>
            <w:tcW w:w="1340" w:type="dxa"/>
            <w:vAlign w:val="center"/>
          </w:tcPr>
          <w:p w:rsidR="00255979" w:rsidRPr="006F320A" w:rsidRDefault="00255979" w:rsidP="006F320A">
            <w:pPr>
              <w:pStyle w:val="Default"/>
              <w:jc w:val="center"/>
              <w:rPr>
                <w:sz w:val="22"/>
                <w:szCs w:val="22"/>
                <w:lang w:val="lt-LT"/>
              </w:rPr>
            </w:pPr>
            <w:r w:rsidRPr="006F320A">
              <w:rPr>
                <w:b/>
                <w:bCs/>
                <w:sz w:val="22"/>
                <w:szCs w:val="22"/>
                <w:lang w:val="lt-LT"/>
              </w:rPr>
              <w:t xml:space="preserve">4 laipsnio </w:t>
            </w:r>
          </w:p>
        </w:tc>
      </w:tr>
      <w:tr w:rsidR="00255979" w:rsidRPr="006F320A" w:rsidTr="006F320A">
        <w:tc>
          <w:tcPr>
            <w:tcW w:w="2047" w:type="dxa"/>
            <w:vAlign w:val="center"/>
          </w:tcPr>
          <w:p w:rsidR="00255979" w:rsidRPr="006F320A" w:rsidRDefault="00255979" w:rsidP="00CA3872">
            <w:pPr>
              <w:pStyle w:val="Default"/>
              <w:rPr>
                <w:sz w:val="22"/>
                <w:szCs w:val="22"/>
                <w:lang w:val="lt-LT"/>
              </w:rPr>
            </w:pPr>
            <w:r w:rsidRPr="006F320A">
              <w:rPr>
                <w:sz w:val="22"/>
                <w:szCs w:val="22"/>
                <w:lang w:val="lt-LT"/>
              </w:rPr>
              <w:t>Alerginės reakcijos / alergija</w:t>
            </w:r>
          </w:p>
        </w:tc>
        <w:tc>
          <w:tcPr>
            <w:tcW w:w="1206"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 9,1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1 </w:t>
            </w:r>
          </w:p>
        </w:tc>
        <w:tc>
          <w:tcPr>
            <w:tcW w:w="1328"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&lt;1 </w:t>
            </w:r>
          </w:p>
        </w:tc>
        <w:tc>
          <w:tcPr>
            <w:tcW w:w="1364" w:type="dxa"/>
          </w:tcPr>
          <w:p w:rsidR="00255979" w:rsidRPr="006F320A" w:rsidRDefault="00255979" w:rsidP="00CA3872">
            <w:pPr>
              <w:pStyle w:val="Default"/>
              <w:rPr>
                <w:color w:val="auto"/>
                <w:sz w:val="22"/>
                <w:szCs w:val="22"/>
                <w:lang w:val="lt-LT"/>
              </w:rPr>
            </w:pPr>
          </w:p>
        </w:tc>
        <w:tc>
          <w:tcPr>
            <w:tcW w:w="1340" w:type="dxa"/>
            <w:vAlign w:val="center"/>
          </w:tcPr>
          <w:p w:rsidR="00255979" w:rsidRPr="006F320A" w:rsidRDefault="00255979" w:rsidP="00CA3872">
            <w:pPr>
              <w:pStyle w:val="Default"/>
              <w:rPr>
                <w:sz w:val="22"/>
                <w:szCs w:val="22"/>
                <w:lang w:val="lt-LT"/>
              </w:rPr>
            </w:pPr>
            <w:r w:rsidRPr="006F320A">
              <w:rPr>
                <w:sz w:val="22"/>
                <w:szCs w:val="22"/>
                <w:lang w:val="lt-LT"/>
              </w:rPr>
              <w:t xml:space="preserve">10,3 </w:t>
            </w:r>
          </w:p>
        </w:tc>
        <w:tc>
          <w:tcPr>
            <w:tcW w:w="1340" w:type="dxa"/>
            <w:vAlign w:val="center"/>
          </w:tcPr>
          <w:p w:rsidR="00255979" w:rsidRPr="006F320A" w:rsidRDefault="00255979" w:rsidP="006F320A">
            <w:pPr>
              <w:pStyle w:val="Default"/>
              <w:jc w:val="center"/>
              <w:rPr>
                <w:sz w:val="22"/>
                <w:szCs w:val="22"/>
                <w:lang w:val="lt-LT"/>
              </w:rPr>
            </w:pPr>
            <w:r w:rsidRPr="006F320A">
              <w:rPr>
                <w:sz w:val="22"/>
                <w:szCs w:val="22"/>
                <w:lang w:val="lt-LT"/>
              </w:rPr>
              <w:t xml:space="preserve">2,3 </w:t>
            </w:r>
          </w:p>
        </w:tc>
      </w:tr>
    </w:tbl>
    <w:p w:rsidR="00255979" w:rsidRPr="0084041E" w:rsidRDefault="00255979" w:rsidP="00633D05">
      <w:pPr>
        <w:pStyle w:val="BTEMEASMCA"/>
        <w:rPr>
          <w:noProof w:val="0"/>
        </w:rPr>
      </w:pPr>
    </w:p>
    <w:p w:rsidR="00255979" w:rsidRPr="0084041E" w:rsidRDefault="00255979" w:rsidP="00633D05">
      <w:pPr>
        <w:pStyle w:val="PI-2EMEASMCA"/>
      </w:pPr>
      <w:bookmarkStart w:id="28" w:name="_Toc129243110"/>
      <w:bookmarkStart w:id="29" w:name="_Toc129243235"/>
      <w:r w:rsidRPr="0084041E">
        <w:t>4.9</w:t>
      </w:r>
      <w:r w:rsidRPr="0084041E">
        <w:tab/>
        <w:t>Perdozavimas</w:t>
      </w:r>
      <w:bookmarkEnd w:id="28"/>
      <w:bookmarkEnd w:id="29"/>
    </w:p>
    <w:p w:rsidR="00255979" w:rsidRPr="0084041E" w:rsidRDefault="00255979" w:rsidP="005E4334">
      <w:pPr>
        <w:pStyle w:val="BTEMEASMCA"/>
        <w:rPr>
          <w:noProof w:val="0"/>
        </w:rPr>
      </w:pPr>
    </w:p>
    <w:p w:rsidR="00255979" w:rsidRPr="008168E1" w:rsidRDefault="00255979" w:rsidP="005E4334">
      <w:pPr>
        <w:widowControl w:val="0"/>
        <w:autoSpaceDE w:val="0"/>
        <w:autoSpaceDN w:val="0"/>
        <w:adjustRightInd w:val="0"/>
        <w:rPr>
          <w:rFonts w:eastAsia="MS Mincho"/>
          <w:color w:val="000000"/>
          <w:sz w:val="22"/>
          <w:szCs w:val="23"/>
          <w:lang w:eastAsia="ja-JP" w:bidi="lo-LA"/>
        </w:rPr>
      </w:pPr>
      <w:r w:rsidRPr="008168E1">
        <w:rPr>
          <w:rFonts w:eastAsia="MS Mincho"/>
          <w:color w:val="000000"/>
          <w:sz w:val="22"/>
          <w:szCs w:val="22"/>
          <w:lang w:eastAsia="ja-JP" w:bidi="lo-LA"/>
        </w:rPr>
        <w:t xml:space="preserve">Oksaliplatinos priešnuodis nėra žinomas. Jei preparato perdozuojama, gali pasireikšti sunkesnis nepageidaujamas poveikis. Tokiu atveju būtina stebėti kraujo sudėtį ir taikyti simptominį gydymą. </w:t>
      </w:r>
    </w:p>
    <w:p w:rsidR="00255979" w:rsidRPr="0084041E" w:rsidRDefault="00255979" w:rsidP="005E4334">
      <w:pPr>
        <w:pStyle w:val="BTEMEASMCA"/>
        <w:rPr>
          <w:noProof w:val="0"/>
        </w:rPr>
      </w:pPr>
    </w:p>
    <w:p w:rsidR="00255979" w:rsidRPr="0084041E" w:rsidRDefault="00255979" w:rsidP="00633D05">
      <w:pPr>
        <w:pStyle w:val="BTEMEASMCA"/>
        <w:rPr>
          <w:noProof w:val="0"/>
        </w:rPr>
      </w:pPr>
    </w:p>
    <w:p w:rsidR="00255979" w:rsidRPr="0084041E" w:rsidRDefault="00255979" w:rsidP="00633D05">
      <w:pPr>
        <w:pStyle w:val="PI-1EMEASMCA"/>
      </w:pPr>
      <w:bookmarkStart w:id="30" w:name="_Toc129243111"/>
      <w:bookmarkStart w:id="31" w:name="_Toc129243236"/>
      <w:r w:rsidRPr="005F0E64">
        <w:t>5.</w:t>
      </w:r>
      <w:r w:rsidRPr="0084041E">
        <w:tab/>
        <w:t>FARMAKOLOGINĖS SAVYBĖS</w:t>
      </w:r>
      <w:bookmarkEnd w:id="30"/>
      <w:bookmarkEnd w:id="31"/>
    </w:p>
    <w:p w:rsidR="00255979" w:rsidRPr="0084041E" w:rsidRDefault="00255979" w:rsidP="00633D05">
      <w:pPr>
        <w:pStyle w:val="BTEMEASMCA"/>
        <w:rPr>
          <w:noProof w:val="0"/>
        </w:rPr>
      </w:pPr>
    </w:p>
    <w:p w:rsidR="00255979" w:rsidRPr="0084041E" w:rsidRDefault="00255979" w:rsidP="00633D05">
      <w:pPr>
        <w:pStyle w:val="PI-2EMEASMCA"/>
      </w:pPr>
      <w:bookmarkStart w:id="32" w:name="_Toc129243112"/>
      <w:bookmarkStart w:id="33" w:name="_Toc129243237"/>
      <w:r>
        <w:t>5.1</w:t>
      </w:r>
      <w:r w:rsidRPr="0084041E">
        <w:tab/>
        <w:t>Farmakodinaminės savybės</w:t>
      </w:r>
      <w:bookmarkEnd w:id="32"/>
      <w:bookmarkEnd w:id="33"/>
    </w:p>
    <w:p w:rsidR="00255979" w:rsidRPr="0084041E" w:rsidRDefault="00255979" w:rsidP="00633D05">
      <w:pPr>
        <w:pStyle w:val="BTEMEASMCA"/>
        <w:rPr>
          <w:noProof w:val="0"/>
        </w:rPr>
      </w:pPr>
    </w:p>
    <w:p w:rsidR="00255979" w:rsidRDefault="00255979" w:rsidP="005E4334">
      <w:pPr>
        <w:widowControl w:val="0"/>
        <w:autoSpaceDE w:val="0"/>
        <w:autoSpaceDN w:val="0"/>
        <w:adjustRightInd w:val="0"/>
        <w:rPr>
          <w:rFonts w:eastAsia="MS Mincho"/>
          <w:sz w:val="22"/>
          <w:szCs w:val="22"/>
          <w:lang w:eastAsia="ja-JP" w:bidi="lo-LA"/>
        </w:rPr>
      </w:pPr>
      <w:r w:rsidRPr="008168E1">
        <w:rPr>
          <w:rFonts w:eastAsia="MS Mincho"/>
          <w:sz w:val="22"/>
          <w:szCs w:val="22"/>
          <w:lang w:eastAsia="ja-JP" w:bidi="lo-LA"/>
        </w:rPr>
        <w:t xml:space="preserve">Farmakoterapinė grupė – kiti antinavikiniai vaistiniai </w:t>
      </w:r>
      <w:r>
        <w:rPr>
          <w:rFonts w:eastAsia="MS Mincho"/>
          <w:sz w:val="22"/>
          <w:szCs w:val="22"/>
          <w:lang w:eastAsia="ja-JP" w:bidi="lo-LA"/>
        </w:rPr>
        <w:t xml:space="preserve">preparatai, platinos dariniai, </w:t>
      </w:r>
      <w:r w:rsidRPr="008168E1">
        <w:rPr>
          <w:rFonts w:eastAsia="MS Mincho"/>
          <w:sz w:val="22"/>
          <w:szCs w:val="22"/>
          <w:lang w:eastAsia="ja-JP" w:bidi="lo-LA"/>
        </w:rPr>
        <w:t xml:space="preserve">ATC kodas – L01XA03 </w:t>
      </w:r>
    </w:p>
    <w:p w:rsidR="00255979" w:rsidRPr="008168E1" w:rsidRDefault="00255979" w:rsidP="005E4334">
      <w:pPr>
        <w:widowControl w:val="0"/>
        <w:autoSpaceDE w:val="0"/>
        <w:autoSpaceDN w:val="0"/>
        <w:adjustRightInd w:val="0"/>
        <w:rPr>
          <w:rFonts w:eastAsia="MS Mincho"/>
          <w:sz w:val="22"/>
          <w:szCs w:val="22"/>
          <w:lang w:eastAsia="ja-JP" w:bidi="lo-LA"/>
        </w:rPr>
      </w:pPr>
    </w:p>
    <w:p w:rsidR="00255979" w:rsidRDefault="00255979" w:rsidP="005E4334">
      <w:pPr>
        <w:widowControl w:val="0"/>
        <w:autoSpaceDE w:val="0"/>
        <w:autoSpaceDN w:val="0"/>
        <w:adjustRightInd w:val="0"/>
        <w:rPr>
          <w:rFonts w:eastAsia="MS Mincho"/>
          <w:sz w:val="22"/>
          <w:szCs w:val="22"/>
          <w:lang w:eastAsia="ja-JP" w:bidi="lo-LA"/>
        </w:rPr>
      </w:pPr>
      <w:r w:rsidRPr="008168E1">
        <w:rPr>
          <w:rFonts w:eastAsia="MS Mincho"/>
          <w:sz w:val="22"/>
          <w:szCs w:val="22"/>
          <w:lang w:eastAsia="ja-JP" w:bidi="lo-LA"/>
        </w:rPr>
        <w:lastRenderedPageBreak/>
        <w:t xml:space="preserve">Oksaliplatina yra antinavikinis platinos vaistinių preparatų grupės, kurioje prie platinos atomo prisijungęs 1,2-diaminocikloheksanas (DACH) ir oksalato grupė, atstovas. </w:t>
      </w:r>
    </w:p>
    <w:p w:rsidR="00255979" w:rsidRPr="008168E1" w:rsidRDefault="00255979" w:rsidP="005E4334">
      <w:pPr>
        <w:widowControl w:val="0"/>
        <w:autoSpaceDE w:val="0"/>
        <w:autoSpaceDN w:val="0"/>
        <w:adjustRightInd w:val="0"/>
        <w:rPr>
          <w:rFonts w:eastAsia="MS Mincho"/>
          <w:sz w:val="22"/>
          <w:szCs w:val="22"/>
          <w:lang w:eastAsia="ja-JP" w:bidi="lo-LA"/>
        </w:rPr>
      </w:pPr>
    </w:p>
    <w:p w:rsidR="00255979" w:rsidRDefault="00255979" w:rsidP="005E4334">
      <w:pPr>
        <w:widowControl w:val="0"/>
        <w:autoSpaceDE w:val="0"/>
        <w:autoSpaceDN w:val="0"/>
        <w:adjustRightInd w:val="0"/>
        <w:rPr>
          <w:rFonts w:eastAsia="MS Mincho"/>
          <w:sz w:val="22"/>
          <w:szCs w:val="22"/>
          <w:lang w:eastAsia="ja-JP" w:bidi="lo-LA"/>
        </w:rPr>
      </w:pPr>
      <w:r w:rsidRPr="008168E1">
        <w:rPr>
          <w:rFonts w:eastAsia="MS Mincho"/>
          <w:sz w:val="22"/>
          <w:szCs w:val="22"/>
          <w:lang w:eastAsia="ja-JP" w:bidi="lo-LA"/>
        </w:rPr>
        <w:t>Oksaliplatina yra unikalus enantiomeras, (SP-4-2)-[(1R,2R)-cikloheksano-1,2-diamino-kN, kN'] [etanedioato(2-)-kO</w:t>
      </w:r>
      <w:r w:rsidRPr="008168E1">
        <w:rPr>
          <w:rFonts w:eastAsia="MS Mincho"/>
          <w:position w:val="11"/>
          <w:sz w:val="22"/>
          <w:szCs w:val="22"/>
          <w:vertAlign w:val="superscript"/>
          <w:lang w:eastAsia="ja-JP" w:bidi="lo-LA"/>
        </w:rPr>
        <w:t>1</w:t>
      </w:r>
      <w:r w:rsidRPr="008168E1">
        <w:rPr>
          <w:rFonts w:eastAsia="MS Mincho"/>
          <w:sz w:val="22"/>
          <w:szCs w:val="22"/>
          <w:lang w:eastAsia="ja-JP" w:bidi="lo-LA"/>
        </w:rPr>
        <w:t>, kO</w:t>
      </w:r>
      <w:r w:rsidRPr="008168E1">
        <w:rPr>
          <w:rFonts w:eastAsia="MS Mincho"/>
          <w:position w:val="11"/>
          <w:sz w:val="22"/>
          <w:szCs w:val="22"/>
          <w:vertAlign w:val="superscript"/>
          <w:lang w:eastAsia="ja-JP" w:bidi="lo-LA"/>
        </w:rPr>
        <w:t>2</w:t>
      </w:r>
      <w:r w:rsidRPr="008168E1">
        <w:rPr>
          <w:rFonts w:eastAsia="MS Mincho"/>
          <w:sz w:val="22"/>
          <w:szCs w:val="22"/>
          <w:lang w:eastAsia="ja-JP" w:bidi="lo-LA"/>
        </w:rPr>
        <w:t xml:space="preserve">] platina]. </w:t>
      </w:r>
    </w:p>
    <w:p w:rsidR="00255979" w:rsidRPr="008168E1" w:rsidRDefault="00255979" w:rsidP="005E4334">
      <w:pPr>
        <w:widowControl w:val="0"/>
        <w:autoSpaceDE w:val="0"/>
        <w:autoSpaceDN w:val="0"/>
        <w:adjustRightInd w:val="0"/>
        <w:rPr>
          <w:rFonts w:eastAsia="MS Mincho"/>
          <w:sz w:val="22"/>
          <w:szCs w:val="22"/>
          <w:lang w:eastAsia="ja-JP" w:bidi="lo-LA"/>
        </w:rPr>
      </w:pPr>
    </w:p>
    <w:p w:rsidR="00255979" w:rsidRDefault="00255979" w:rsidP="005E4334">
      <w:pPr>
        <w:widowControl w:val="0"/>
        <w:autoSpaceDE w:val="0"/>
        <w:autoSpaceDN w:val="0"/>
        <w:adjustRightInd w:val="0"/>
        <w:rPr>
          <w:rFonts w:eastAsia="MS Mincho"/>
          <w:sz w:val="22"/>
          <w:szCs w:val="22"/>
          <w:lang w:eastAsia="ja-JP" w:bidi="lo-LA"/>
        </w:rPr>
      </w:pPr>
      <w:r w:rsidRPr="008168E1">
        <w:rPr>
          <w:rFonts w:eastAsia="MS Mincho"/>
          <w:sz w:val="22"/>
          <w:szCs w:val="22"/>
          <w:lang w:eastAsia="ja-JP" w:bidi="lo-LA"/>
        </w:rPr>
        <w:t xml:space="preserve">Oksaliplatina </w:t>
      </w:r>
      <w:r w:rsidRPr="008168E1">
        <w:rPr>
          <w:rFonts w:eastAsia="MS Mincho"/>
          <w:i/>
          <w:iCs/>
          <w:sz w:val="22"/>
          <w:szCs w:val="22"/>
          <w:lang w:eastAsia="ja-JP" w:bidi="lo-LA"/>
        </w:rPr>
        <w:t>in vitro</w:t>
      </w:r>
      <w:r w:rsidRPr="008168E1">
        <w:rPr>
          <w:rFonts w:eastAsia="MS Mincho"/>
          <w:sz w:val="22"/>
          <w:szCs w:val="22"/>
          <w:lang w:eastAsia="ja-JP" w:bidi="lo-LA"/>
        </w:rPr>
        <w:t xml:space="preserve"> turi platų citotoksinį poveikį ir </w:t>
      </w:r>
      <w:r w:rsidRPr="008168E1">
        <w:rPr>
          <w:rFonts w:eastAsia="MS Mincho"/>
          <w:i/>
          <w:iCs/>
          <w:sz w:val="22"/>
          <w:szCs w:val="22"/>
          <w:lang w:eastAsia="ja-JP" w:bidi="lo-LA"/>
        </w:rPr>
        <w:t xml:space="preserve">in vivo </w:t>
      </w:r>
      <w:r w:rsidRPr="008168E1">
        <w:rPr>
          <w:rFonts w:eastAsia="MS Mincho"/>
          <w:sz w:val="22"/>
          <w:szCs w:val="22"/>
          <w:lang w:eastAsia="ja-JP" w:bidi="lo-LA"/>
        </w:rPr>
        <w:t xml:space="preserve"> turi antinavikinį poveikį įvairių navikų modelių sistemoms, įskaitant žmogaus gaubtinės ir tiesiosios žarnos vėžį. Be to, tyrimų </w:t>
      </w:r>
      <w:r w:rsidRPr="008168E1">
        <w:rPr>
          <w:rFonts w:eastAsia="MS Mincho"/>
          <w:i/>
          <w:iCs/>
          <w:sz w:val="22"/>
          <w:szCs w:val="22"/>
          <w:lang w:eastAsia="ja-JP" w:bidi="lo-LA"/>
        </w:rPr>
        <w:t xml:space="preserve">in vitro </w:t>
      </w:r>
      <w:r w:rsidRPr="008168E1">
        <w:rPr>
          <w:rFonts w:eastAsia="MS Mincho"/>
          <w:sz w:val="22"/>
          <w:szCs w:val="22"/>
          <w:lang w:eastAsia="ja-JP" w:bidi="lo-LA"/>
        </w:rPr>
        <w:t xml:space="preserve"> bei </w:t>
      </w:r>
      <w:r w:rsidRPr="008168E1">
        <w:rPr>
          <w:rFonts w:eastAsia="MS Mincho"/>
          <w:i/>
          <w:iCs/>
          <w:sz w:val="22"/>
          <w:szCs w:val="22"/>
          <w:lang w:eastAsia="ja-JP" w:bidi="lo-LA"/>
        </w:rPr>
        <w:t xml:space="preserve"> in vivo</w:t>
      </w:r>
      <w:r w:rsidRPr="008168E1">
        <w:rPr>
          <w:rFonts w:eastAsia="MS Mincho"/>
          <w:sz w:val="22"/>
          <w:szCs w:val="22"/>
          <w:lang w:eastAsia="ja-JP" w:bidi="lo-LA"/>
        </w:rPr>
        <w:t xml:space="preserve"> duomenimis, ji veikia įvairių cisplatinai atsparių linijų ląsteles. </w:t>
      </w:r>
    </w:p>
    <w:p w:rsidR="00255979" w:rsidRPr="008168E1" w:rsidRDefault="00255979" w:rsidP="005E4334">
      <w:pPr>
        <w:widowControl w:val="0"/>
        <w:autoSpaceDE w:val="0"/>
        <w:autoSpaceDN w:val="0"/>
        <w:adjustRightInd w:val="0"/>
        <w:rPr>
          <w:rFonts w:eastAsia="MS Mincho"/>
          <w:sz w:val="22"/>
          <w:szCs w:val="22"/>
          <w:lang w:eastAsia="ja-JP" w:bidi="lo-LA"/>
        </w:rPr>
      </w:pPr>
      <w:r w:rsidRPr="008168E1">
        <w:rPr>
          <w:rFonts w:eastAsia="MS Mincho"/>
          <w:sz w:val="22"/>
          <w:szCs w:val="22"/>
          <w:lang w:eastAsia="ja-JP" w:bidi="lo-LA"/>
        </w:rPr>
        <w:t xml:space="preserve"> </w:t>
      </w:r>
    </w:p>
    <w:p w:rsidR="00255979" w:rsidRDefault="00255979" w:rsidP="005E4334">
      <w:pPr>
        <w:widowControl w:val="0"/>
        <w:autoSpaceDE w:val="0"/>
        <w:autoSpaceDN w:val="0"/>
        <w:adjustRightInd w:val="0"/>
        <w:rPr>
          <w:rFonts w:eastAsia="MS Mincho"/>
          <w:sz w:val="22"/>
          <w:szCs w:val="22"/>
          <w:lang w:eastAsia="ja-JP" w:bidi="lo-LA"/>
        </w:rPr>
      </w:pPr>
      <w:r w:rsidRPr="008168E1">
        <w:rPr>
          <w:rFonts w:eastAsia="MS Mincho"/>
          <w:sz w:val="22"/>
          <w:szCs w:val="22"/>
          <w:lang w:eastAsia="ja-JP" w:bidi="lo-LA"/>
        </w:rPr>
        <w:t xml:space="preserve">Tyrimais </w:t>
      </w:r>
      <w:r w:rsidRPr="008168E1">
        <w:rPr>
          <w:rFonts w:eastAsia="MS Mincho"/>
          <w:i/>
          <w:iCs/>
          <w:sz w:val="22"/>
          <w:szCs w:val="22"/>
          <w:lang w:eastAsia="ja-JP" w:bidi="lo-LA"/>
        </w:rPr>
        <w:t>in vitro</w:t>
      </w:r>
      <w:r w:rsidRPr="008168E1">
        <w:rPr>
          <w:rFonts w:eastAsia="MS Mincho"/>
          <w:sz w:val="22"/>
          <w:szCs w:val="22"/>
          <w:lang w:eastAsia="ja-JP" w:bidi="lo-LA"/>
        </w:rPr>
        <w:t xml:space="preserve"> bei </w:t>
      </w:r>
      <w:r w:rsidRPr="008168E1">
        <w:rPr>
          <w:rFonts w:eastAsia="MS Mincho"/>
          <w:i/>
          <w:iCs/>
          <w:sz w:val="22"/>
          <w:szCs w:val="22"/>
          <w:lang w:eastAsia="ja-JP" w:bidi="lo-LA"/>
        </w:rPr>
        <w:t>in vivo</w:t>
      </w:r>
      <w:r w:rsidRPr="008168E1">
        <w:rPr>
          <w:rFonts w:eastAsia="MS Mincho"/>
          <w:sz w:val="22"/>
          <w:szCs w:val="22"/>
          <w:lang w:eastAsia="ja-JP" w:bidi="lo-LA"/>
        </w:rPr>
        <w:t xml:space="preserve"> nustatyta, kad vaistinį preparatą vartojant su 5-fluorouracilu (5FU) pasireiškia sinerginis citotoksinis poveikis. </w:t>
      </w:r>
    </w:p>
    <w:p w:rsidR="00255979" w:rsidRPr="008168E1" w:rsidRDefault="00255979" w:rsidP="005E4334">
      <w:pPr>
        <w:widowControl w:val="0"/>
        <w:autoSpaceDE w:val="0"/>
        <w:autoSpaceDN w:val="0"/>
        <w:adjustRightInd w:val="0"/>
        <w:rPr>
          <w:rFonts w:eastAsia="MS Mincho"/>
          <w:sz w:val="22"/>
          <w:szCs w:val="22"/>
          <w:lang w:eastAsia="ja-JP" w:bidi="lo-LA"/>
        </w:rPr>
      </w:pPr>
    </w:p>
    <w:p w:rsidR="00255979" w:rsidRDefault="00255979" w:rsidP="005E4334">
      <w:pPr>
        <w:widowControl w:val="0"/>
        <w:autoSpaceDE w:val="0"/>
        <w:autoSpaceDN w:val="0"/>
        <w:adjustRightInd w:val="0"/>
        <w:rPr>
          <w:rFonts w:eastAsia="MS Mincho"/>
          <w:sz w:val="22"/>
          <w:szCs w:val="22"/>
          <w:lang w:eastAsia="ja-JP" w:bidi="lo-LA"/>
        </w:rPr>
      </w:pPr>
      <w:r w:rsidRPr="008168E1">
        <w:rPr>
          <w:rFonts w:eastAsia="MS Mincho"/>
          <w:sz w:val="22"/>
          <w:szCs w:val="22"/>
          <w:lang w:eastAsia="ja-JP" w:bidi="lo-LA"/>
        </w:rPr>
        <w:t>Nors tiksliai nenustatyta, kaip veikia oksaliplatina, šio vaistinio preparato veikimo būdo tyrimų duomenimis, organizme pakitęs ir hidruotas oksaliplatinos darinys sąveikauja su DNR, sudaro jungtis jos grandinių viduje ir tarp grandinių, todėl sutrinka šios rūgšties sintezė, taigi pasireiškia citotoksinis ir antinavikinis oksaliplatinos poveikis.</w:t>
      </w:r>
    </w:p>
    <w:p w:rsidR="00255979" w:rsidRPr="008168E1" w:rsidRDefault="00255979" w:rsidP="005E4334">
      <w:pPr>
        <w:widowControl w:val="0"/>
        <w:autoSpaceDE w:val="0"/>
        <w:autoSpaceDN w:val="0"/>
        <w:adjustRightInd w:val="0"/>
        <w:rPr>
          <w:rFonts w:eastAsia="MS Mincho"/>
          <w:sz w:val="22"/>
          <w:szCs w:val="22"/>
          <w:lang w:eastAsia="ja-JP" w:bidi="lo-LA"/>
        </w:rPr>
      </w:pPr>
      <w:r w:rsidRPr="008168E1">
        <w:rPr>
          <w:rFonts w:eastAsia="MS Mincho"/>
          <w:sz w:val="22"/>
          <w:szCs w:val="22"/>
          <w:lang w:eastAsia="ja-JP" w:bidi="lo-LA"/>
        </w:rPr>
        <w:t xml:space="preserve"> </w:t>
      </w:r>
    </w:p>
    <w:p w:rsidR="00255979" w:rsidRDefault="00255979" w:rsidP="005E4334">
      <w:pPr>
        <w:widowControl w:val="0"/>
        <w:autoSpaceDE w:val="0"/>
        <w:autoSpaceDN w:val="0"/>
        <w:adjustRightInd w:val="0"/>
        <w:rPr>
          <w:rFonts w:eastAsia="MS Mincho"/>
          <w:sz w:val="22"/>
          <w:szCs w:val="22"/>
          <w:lang w:eastAsia="ja-JP" w:bidi="lo-LA"/>
        </w:rPr>
      </w:pPr>
      <w:r w:rsidRPr="008168E1">
        <w:rPr>
          <w:rFonts w:eastAsia="MS Mincho"/>
          <w:sz w:val="22"/>
          <w:szCs w:val="22"/>
          <w:lang w:eastAsia="ja-JP" w:bidi="lo-LA"/>
        </w:rPr>
        <w:t>Pacientų, sergančių metastazavusiu gaubtinės ir tiesiosios žarnos vėžiu, gydymo oksaliplatina (kas 2 savaites po 85 mg/m</w:t>
      </w:r>
      <w:r w:rsidRPr="008168E1">
        <w:rPr>
          <w:rFonts w:eastAsia="MS Mincho"/>
          <w:position w:val="11"/>
          <w:sz w:val="22"/>
          <w:szCs w:val="22"/>
          <w:vertAlign w:val="superscript"/>
          <w:lang w:eastAsia="ja-JP" w:bidi="lo-LA"/>
        </w:rPr>
        <w:t xml:space="preserve">2 </w:t>
      </w:r>
      <w:r w:rsidRPr="008168E1">
        <w:rPr>
          <w:rFonts w:eastAsia="MS Mincho"/>
          <w:sz w:val="22"/>
          <w:szCs w:val="22"/>
          <w:lang w:eastAsia="ja-JP" w:bidi="lo-LA"/>
        </w:rPr>
        <w:t xml:space="preserve"> kūno paviršiaus ploto) kartu su 5-fluorouracilu arba foli</w:t>
      </w:r>
      <w:r>
        <w:rPr>
          <w:rFonts w:eastAsia="MS Mincho"/>
          <w:sz w:val="22"/>
          <w:szCs w:val="22"/>
          <w:lang w:eastAsia="ja-JP" w:bidi="lo-LA"/>
        </w:rPr>
        <w:t>no</w:t>
      </w:r>
      <w:r w:rsidRPr="008168E1">
        <w:rPr>
          <w:rFonts w:eastAsia="MS Mincho"/>
          <w:sz w:val="22"/>
          <w:szCs w:val="22"/>
          <w:lang w:eastAsia="ja-JP" w:bidi="lo-LA"/>
        </w:rPr>
        <w:t xml:space="preserve"> rūgštimi (5FU/FR) veiksmingumas buvo aprašytas trijų klinikinių tyrimų metu. </w:t>
      </w:r>
    </w:p>
    <w:p w:rsidR="00255979" w:rsidRPr="008168E1" w:rsidRDefault="00255979" w:rsidP="005E4334">
      <w:pPr>
        <w:widowControl w:val="0"/>
        <w:autoSpaceDE w:val="0"/>
        <w:autoSpaceDN w:val="0"/>
        <w:adjustRightInd w:val="0"/>
        <w:rPr>
          <w:rFonts w:eastAsia="MS Mincho"/>
          <w:sz w:val="22"/>
          <w:szCs w:val="22"/>
          <w:lang w:eastAsia="ja-JP" w:bidi="lo-LA"/>
        </w:rPr>
      </w:pPr>
    </w:p>
    <w:p w:rsidR="00255979" w:rsidRPr="005E4334" w:rsidRDefault="00255979" w:rsidP="005E4334">
      <w:pPr>
        <w:pStyle w:val="Sraopastraipa"/>
        <w:widowControl w:val="0"/>
        <w:numPr>
          <w:ilvl w:val="0"/>
          <w:numId w:val="12"/>
        </w:numPr>
        <w:autoSpaceDE w:val="0"/>
        <w:autoSpaceDN w:val="0"/>
        <w:adjustRightInd w:val="0"/>
        <w:rPr>
          <w:rFonts w:eastAsia="MS Mincho"/>
          <w:sz w:val="22"/>
          <w:szCs w:val="22"/>
          <w:lang w:eastAsia="ja-JP" w:bidi="lo-LA"/>
        </w:rPr>
      </w:pPr>
      <w:r w:rsidRPr="005E4334">
        <w:rPr>
          <w:rFonts w:eastAsia="MS Mincho"/>
          <w:sz w:val="22"/>
          <w:szCs w:val="22"/>
          <w:lang w:eastAsia="ja-JP" w:bidi="lo-LA"/>
        </w:rPr>
        <w:t xml:space="preserve">Pagrindinio gydymo, 2 grupių, palyginamojo, III fazės EFC2962 klinikinio tyrimo metu 420 pacientų atsitiktinai buvo suskirstyti vartoti arba tik 5FU/FR (LV5FU2, N=210), arba oksaliplatiną kartu su 5FU/FR (FOLFOX4, N=210). </w:t>
      </w:r>
    </w:p>
    <w:p w:rsidR="00255979" w:rsidRPr="008168E1" w:rsidRDefault="00255979" w:rsidP="005E4334">
      <w:pPr>
        <w:widowControl w:val="0"/>
        <w:autoSpaceDE w:val="0"/>
        <w:autoSpaceDN w:val="0"/>
        <w:adjustRightInd w:val="0"/>
        <w:ind w:hanging="360"/>
        <w:rPr>
          <w:rFonts w:eastAsia="MS Mincho"/>
          <w:sz w:val="22"/>
          <w:szCs w:val="22"/>
          <w:lang w:eastAsia="ja-JP" w:bidi="lo-LA"/>
        </w:rPr>
      </w:pPr>
    </w:p>
    <w:p w:rsidR="00255979" w:rsidRPr="005E4334" w:rsidRDefault="00255979" w:rsidP="005E4334">
      <w:pPr>
        <w:pStyle w:val="Sraopastraipa"/>
        <w:widowControl w:val="0"/>
        <w:numPr>
          <w:ilvl w:val="0"/>
          <w:numId w:val="12"/>
        </w:numPr>
        <w:autoSpaceDE w:val="0"/>
        <w:autoSpaceDN w:val="0"/>
        <w:adjustRightInd w:val="0"/>
        <w:rPr>
          <w:rFonts w:eastAsia="MS Mincho"/>
          <w:sz w:val="22"/>
          <w:szCs w:val="22"/>
          <w:lang w:eastAsia="ja-JP" w:bidi="lo-LA"/>
        </w:rPr>
      </w:pPr>
      <w:r w:rsidRPr="005E4334">
        <w:rPr>
          <w:rFonts w:eastAsia="MS Mincho"/>
          <w:sz w:val="22"/>
          <w:szCs w:val="22"/>
          <w:lang w:eastAsia="ja-JP" w:bidi="lo-LA"/>
        </w:rPr>
        <w:t>Anksčiau gydytų pacientų, 3 grupių, palyginamojo, III fazės EFC4584 klinikinio tyrimo metu 821 pacientas atsitiktinai buvo suskirstytas vartoti irinotekaną (CPT-11) kartu su 5-fluorouracilo / folino rūgšties deriniu (atsparūs gydymui) arba vien 5-fluorouracilą / folino rūgštį (LV5FU2, N=275), vien oksaliplatiną (N=275) arba oksaliplatiną kartu su 5-fluorouracilu / folino rūgštimi (FOLFOX4, N=271).</w:t>
      </w:r>
    </w:p>
    <w:p w:rsidR="00255979" w:rsidRDefault="00255979" w:rsidP="005E4334">
      <w:pPr>
        <w:widowControl w:val="0"/>
        <w:autoSpaceDE w:val="0"/>
        <w:autoSpaceDN w:val="0"/>
        <w:adjustRightInd w:val="0"/>
        <w:ind w:hanging="315"/>
        <w:rPr>
          <w:rFonts w:eastAsia="MS Mincho"/>
          <w:sz w:val="22"/>
          <w:szCs w:val="22"/>
          <w:lang w:eastAsia="ja-JP" w:bidi="lo-LA"/>
        </w:rPr>
      </w:pPr>
    </w:p>
    <w:p w:rsidR="00255979" w:rsidRPr="005E4334" w:rsidRDefault="00255979" w:rsidP="005E4334">
      <w:pPr>
        <w:pStyle w:val="Sraopastraipa"/>
        <w:widowControl w:val="0"/>
        <w:numPr>
          <w:ilvl w:val="0"/>
          <w:numId w:val="12"/>
        </w:numPr>
        <w:autoSpaceDE w:val="0"/>
        <w:autoSpaceDN w:val="0"/>
        <w:adjustRightInd w:val="0"/>
        <w:rPr>
          <w:rFonts w:eastAsia="MS Mincho"/>
          <w:sz w:val="22"/>
          <w:szCs w:val="22"/>
          <w:lang w:eastAsia="ja-JP" w:bidi="lo-LA"/>
        </w:rPr>
      </w:pPr>
      <w:r w:rsidRPr="005E4334">
        <w:rPr>
          <w:rFonts w:eastAsia="MS Mincho"/>
          <w:sz w:val="22"/>
          <w:szCs w:val="22"/>
          <w:lang w:eastAsia="ja-JP" w:bidi="lo-LA"/>
        </w:rPr>
        <w:t>Nekontroliuojamo, II fazės EFC2964 klinikinio tyrimo metu dalyvavo 5-fluorouracilo / folino rūgšties gydymui atsparūs pacientai, kurie buvo gydomi oksaliplatina kartu su 5-fluorouracilu / folino rūgštimi (FOLFOX4, N=57).</w:t>
      </w:r>
    </w:p>
    <w:p w:rsidR="00255979" w:rsidRPr="008168E1" w:rsidRDefault="00255979" w:rsidP="005E4334">
      <w:pPr>
        <w:widowControl w:val="0"/>
        <w:autoSpaceDE w:val="0"/>
        <w:autoSpaceDN w:val="0"/>
        <w:adjustRightInd w:val="0"/>
        <w:ind w:hanging="360"/>
        <w:rPr>
          <w:rFonts w:eastAsia="MS Mincho"/>
          <w:sz w:val="22"/>
          <w:szCs w:val="22"/>
          <w:lang w:eastAsia="ja-JP" w:bidi="lo-LA"/>
        </w:rPr>
      </w:pPr>
    </w:p>
    <w:p w:rsidR="00255979" w:rsidRDefault="00255979" w:rsidP="005E4334">
      <w:pPr>
        <w:widowControl w:val="0"/>
        <w:autoSpaceDE w:val="0"/>
        <w:autoSpaceDN w:val="0"/>
        <w:adjustRightInd w:val="0"/>
        <w:rPr>
          <w:rFonts w:eastAsia="MS Mincho"/>
          <w:sz w:val="22"/>
          <w:szCs w:val="22"/>
          <w:lang w:eastAsia="ja-JP" w:bidi="lo-LA"/>
        </w:rPr>
      </w:pPr>
      <w:r w:rsidRPr="008168E1">
        <w:rPr>
          <w:rFonts w:eastAsia="MS Mincho"/>
          <w:sz w:val="22"/>
          <w:szCs w:val="22"/>
          <w:lang w:eastAsia="ja-JP" w:bidi="lo-LA"/>
        </w:rPr>
        <w:t>Dviejų atsitiktinių imčių klinikinių tyrimų, pagrindinio gydymo EFC2962 ir anksčiau gydytų pacientų EFC4584, duomenys rodo daug didesnį gydymo poveikį ir išgyvenamumo be ligos atkryčio (angl. progression free survival (PFS)) / progresijos laiko (angl. time to progression (TTP)) pailgėjusią progresiją, palyginti su gydymu vien 5-fluorouracilu / foli</w:t>
      </w:r>
      <w:r>
        <w:rPr>
          <w:rFonts w:eastAsia="MS Mincho"/>
          <w:sz w:val="22"/>
          <w:szCs w:val="22"/>
          <w:lang w:eastAsia="ja-JP" w:bidi="lo-LA"/>
        </w:rPr>
        <w:t>no</w:t>
      </w:r>
      <w:r w:rsidRPr="008168E1">
        <w:rPr>
          <w:rFonts w:eastAsia="MS Mincho"/>
          <w:sz w:val="22"/>
          <w:szCs w:val="22"/>
          <w:lang w:eastAsia="ja-JP" w:bidi="lo-LA"/>
        </w:rPr>
        <w:t xml:space="preserve"> rūgštimi. Tyrimo EFC4584, kuriame dalyvavo anksčiau gydyti, bet atsparūs gydymui pacientai, vidutinio bendrojo išgyvenamumo (angl. overall survival (OS)) skirtumas tarp oksaliplatinos ir 5FU/FR derinio ne</w:t>
      </w:r>
      <w:r>
        <w:rPr>
          <w:rFonts w:eastAsia="MS Mincho"/>
          <w:sz w:val="22"/>
          <w:szCs w:val="22"/>
          <w:lang w:eastAsia="ja-JP" w:bidi="lo-LA"/>
        </w:rPr>
        <w:t>buvo statistiškai reikšmingas.</w:t>
      </w:r>
    </w:p>
    <w:p w:rsidR="00255979" w:rsidRPr="008168E1" w:rsidRDefault="00255979" w:rsidP="005E4334">
      <w:pPr>
        <w:widowControl w:val="0"/>
        <w:autoSpaceDE w:val="0"/>
        <w:autoSpaceDN w:val="0"/>
        <w:adjustRightInd w:val="0"/>
        <w:rPr>
          <w:rFonts w:eastAsia="MS Mincho"/>
          <w:sz w:val="22"/>
          <w:szCs w:val="22"/>
          <w:lang w:eastAsia="ja-JP" w:bidi="lo-LA"/>
        </w:rPr>
      </w:pPr>
    </w:p>
    <w:p w:rsidR="00255979" w:rsidRPr="008168E1" w:rsidRDefault="00255979" w:rsidP="008168E1">
      <w:pPr>
        <w:widowControl w:val="0"/>
        <w:autoSpaceDE w:val="0"/>
        <w:autoSpaceDN w:val="0"/>
        <w:adjustRightInd w:val="0"/>
        <w:spacing w:after="375" w:line="276" w:lineRule="atLeast"/>
        <w:jc w:val="both"/>
        <w:rPr>
          <w:rFonts w:eastAsia="MS Mincho"/>
          <w:sz w:val="22"/>
          <w:szCs w:val="22"/>
          <w:lang w:eastAsia="ja-JP" w:bidi="lo-LA"/>
        </w:rPr>
      </w:pPr>
      <w:r w:rsidRPr="008168E1">
        <w:rPr>
          <w:rFonts w:eastAsia="MS Mincho"/>
          <w:b/>
          <w:bCs/>
          <w:sz w:val="22"/>
          <w:szCs w:val="22"/>
          <w:lang w:eastAsia="ja-JP" w:bidi="lo-LA"/>
        </w:rPr>
        <w:t xml:space="preserve">Atsako dažnis FOLFOX4, palyginti su LV5FU2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0"/>
        <w:gridCol w:w="2310"/>
        <w:gridCol w:w="2310"/>
        <w:gridCol w:w="2310"/>
      </w:tblGrid>
      <w:tr w:rsidR="00255979" w:rsidRPr="006F320A" w:rsidTr="006F320A">
        <w:trPr>
          <w:trHeight w:val="1275"/>
        </w:trPr>
        <w:tc>
          <w:tcPr>
            <w:tcW w:w="2310" w:type="dxa"/>
          </w:tcPr>
          <w:p w:rsidR="00255979" w:rsidRPr="006F320A" w:rsidRDefault="00255979" w:rsidP="006F320A">
            <w:pPr>
              <w:widowControl w:val="0"/>
              <w:autoSpaceDE w:val="0"/>
              <w:autoSpaceDN w:val="0"/>
              <w:adjustRightInd w:val="0"/>
              <w:rPr>
                <w:rFonts w:eastAsia="MS Mincho"/>
                <w:color w:val="000000"/>
                <w:lang w:eastAsia="ja-JP" w:bidi="lo-LA"/>
              </w:rPr>
            </w:pPr>
            <w:r w:rsidRPr="006F320A">
              <w:rPr>
                <w:rFonts w:eastAsia="MS Mincho"/>
                <w:b/>
                <w:bCs/>
                <w:color w:val="000000"/>
                <w:sz w:val="22"/>
                <w:szCs w:val="22"/>
                <w:lang w:eastAsia="ja-JP" w:bidi="lo-LA"/>
              </w:rPr>
              <w:t xml:space="preserve">Atsako dažnis, %  (95 % PI) nepriklausoma radiologinė apžvalga ITT analizė  </w:t>
            </w:r>
          </w:p>
        </w:tc>
        <w:tc>
          <w:tcPr>
            <w:tcW w:w="2310" w:type="dxa"/>
            <w:vAlign w:val="center"/>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b/>
                <w:bCs/>
                <w:color w:val="000000"/>
                <w:sz w:val="22"/>
                <w:szCs w:val="22"/>
                <w:lang w:eastAsia="ja-JP" w:bidi="lo-LA"/>
              </w:rPr>
              <w:t>LV5FU2</w:t>
            </w:r>
          </w:p>
        </w:tc>
        <w:tc>
          <w:tcPr>
            <w:tcW w:w="2310" w:type="dxa"/>
            <w:vAlign w:val="center"/>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b/>
                <w:bCs/>
                <w:color w:val="000000"/>
                <w:sz w:val="22"/>
                <w:szCs w:val="22"/>
                <w:lang w:eastAsia="ja-JP" w:bidi="lo-LA"/>
              </w:rPr>
              <w:t>FOLFOX4</w:t>
            </w:r>
          </w:p>
        </w:tc>
        <w:tc>
          <w:tcPr>
            <w:tcW w:w="2310" w:type="dxa"/>
            <w:vAlign w:val="center"/>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b/>
                <w:bCs/>
                <w:color w:val="000000"/>
                <w:sz w:val="22"/>
                <w:szCs w:val="22"/>
                <w:lang w:eastAsia="ja-JP" w:bidi="lo-LA"/>
              </w:rPr>
              <w:t>Vien oksaliplatina</w:t>
            </w:r>
          </w:p>
        </w:tc>
      </w:tr>
      <w:tr w:rsidR="00255979" w:rsidRPr="006F320A" w:rsidTr="006F320A">
        <w:trPr>
          <w:trHeight w:val="480"/>
        </w:trPr>
        <w:tc>
          <w:tcPr>
            <w:tcW w:w="2310" w:type="dxa"/>
            <w:vMerge w:val="restart"/>
          </w:tcPr>
          <w:p w:rsidR="00255979" w:rsidRPr="006F320A" w:rsidRDefault="00255979" w:rsidP="006F320A">
            <w:pPr>
              <w:widowControl w:val="0"/>
              <w:autoSpaceDE w:val="0"/>
              <w:autoSpaceDN w:val="0"/>
              <w:adjustRightInd w:val="0"/>
              <w:rPr>
                <w:rFonts w:eastAsia="MS Mincho"/>
                <w:color w:val="000000"/>
                <w:lang w:eastAsia="ja-JP" w:bidi="lo-LA"/>
              </w:rPr>
            </w:pPr>
            <w:r w:rsidRPr="006F320A">
              <w:rPr>
                <w:rFonts w:eastAsia="MS Mincho"/>
                <w:b/>
                <w:bCs/>
                <w:color w:val="000000"/>
                <w:sz w:val="22"/>
                <w:szCs w:val="22"/>
                <w:lang w:eastAsia="ja-JP" w:bidi="lo-LA"/>
              </w:rPr>
              <w:t xml:space="preserve">Pagrindinis gydymas </w:t>
            </w:r>
            <w:r w:rsidRPr="006F320A">
              <w:rPr>
                <w:rFonts w:eastAsia="MS Mincho"/>
                <w:color w:val="000000"/>
                <w:sz w:val="22"/>
                <w:szCs w:val="22"/>
                <w:lang w:eastAsia="ja-JP" w:bidi="lo-LA"/>
              </w:rPr>
              <w:t xml:space="preserve">EFC2962 Atsako įvertinimas kas 8 savaites </w:t>
            </w:r>
          </w:p>
        </w:tc>
        <w:tc>
          <w:tcPr>
            <w:tcW w:w="2310" w:type="dxa"/>
            <w:vAlign w:val="center"/>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color w:val="000000"/>
                <w:sz w:val="22"/>
                <w:szCs w:val="22"/>
                <w:lang w:eastAsia="ja-JP" w:bidi="lo-LA"/>
              </w:rPr>
              <w:t>22</w:t>
            </w:r>
            <w:r w:rsidRPr="006F320A">
              <w:rPr>
                <w:rFonts w:eastAsia="MS Mincho"/>
                <w:color w:val="000000"/>
                <w:sz w:val="22"/>
                <w:szCs w:val="22"/>
                <w:lang w:eastAsia="ja-JP" w:bidi="lo-LA"/>
              </w:rPr>
              <w:br/>
              <w:t xml:space="preserve"> (16-27)</w:t>
            </w:r>
          </w:p>
        </w:tc>
        <w:tc>
          <w:tcPr>
            <w:tcW w:w="2310" w:type="dxa"/>
            <w:vAlign w:val="center"/>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color w:val="000000"/>
                <w:sz w:val="22"/>
                <w:szCs w:val="22"/>
                <w:lang w:eastAsia="ja-JP" w:bidi="lo-LA"/>
              </w:rPr>
              <w:t xml:space="preserve">49 </w:t>
            </w:r>
            <w:r w:rsidRPr="006F320A">
              <w:rPr>
                <w:rFonts w:eastAsia="MS Mincho"/>
                <w:color w:val="000000"/>
                <w:sz w:val="22"/>
                <w:szCs w:val="22"/>
                <w:lang w:eastAsia="ja-JP" w:bidi="lo-LA"/>
              </w:rPr>
              <w:br/>
              <w:t>(42-56)</w:t>
            </w:r>
          </w:p>
        </w:tc>
        <w:tc>
          <w:tcPr>
            <w:tcW w:w="2310" w:type="dxa"/>
            <w:vAlign w:val="center"/>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color w:val="000000"/>
                <w:sz w:val="22"/>
                <w:szCs w:val="22"/>
                <w:lang w:eastAsia="ja-JP" w:bidi="lo-LA"/>
              </w:rPr>
              <w:t>NA*</w:t>
            </w:r>
          </w:p>
        </w:tc>
      </w:tr>
      <w:tr w:rsidR="00255979" w:rsidRPr="006F320A" w:rsidTr="006F320A">
        <w:trPr>
          <w:trHeight w:val="480"/>
        </w:trPr>
        <w:tc>
          <w:tcPr>
            <w:tcW w:w="2310" w:type="dxa"/>
            <w:vMerge/>
          </w:tcPr>
          <w:p w:rsidR="00255979" w:rsidRPr="006F320A" w:rsidRDefault="00255979" w:rsidP="006F320A">
            <w:pPr>
              <w:widowControl w:val="0"/>
              <w:autoSpaceDE w:val="0"/>
              <w:autoSpaceDN w:val="0"/>
              <w:adjustRightInd w:val="0"/>
              <w:rPr>
                <w:rFonts w:eastAsia="MS Mincho"/>
                <w:b/>
                <w:bCs/>
                <w:color w:val="000000"/>
                <w:lang w:eastAsia="ja-JP" w:bidi="lo-LA"/>
              </w:rPr>
            </w:pPr>
          </w:p>
        </w:tc>
        <w:tc>
          <w:tcPr>
            <w:tcW w:w="4620" w:type="dxa"/>
            <w:gridSpan w:val="2"/>
            <w:vAlign w:val="center"/>
          </w:tcPr>
          <w:p w:rsidR="00255979" w:rsidRPr="006F320A" w:rsidRDefault="00255979" w:rsidP="006F320A">
            <w:pPr>
              <w:jc w:val="center"/>
              <w:rPr>
                <w:rFonts w:eastAsia="MS Mincho"/>
                <w:lang w:eastAsia="ja-JP" w:bidi="lo-LA"/>
              </w:rPr>
            </w:pPr>
            <w:r w:rsidRPr="006F320A">
              <w:rPr>
                <w:rFonts w:eastAsia="MS Mincho"/>
                <w:sz w:val="22"/>
                <w:szCs w:val="22"/>
                <w:lang w:eastAsia="ja-JP" w:bidi="lo-LA"/>
              </w:rPr>
              <w:t>P vertė = 0,0001</w:t>
            </w:r>
          </w:p>
        </w:tc>
        <w:tc>
          <w:tcPr>
            <w:tcW w:w="2310" w:type="dxa"/>
            <w:vAlign w:val="center"/>
          </w:tcPr>
          <w:p w:rsidR="00255979" w:rsidRPr="006F320A" w:rsidRDefault="00255979" w:rsidP="006F320A">
            <w:pPr>
              <w:jc w:val="center"/>
              <w:rPr>
                <w:rFonts w:eastAsia="MS Mincho"/>
                <w:lang w:eastAsia="ja-JP" w:bidi="lo-LA"/>
              </w:rPr>
            </w:pPr>
          </w:p>
        </w:tc>
      </w:tr>
      <w:tr w:rsidR="00255979" w:rsidRPr="006F320A" w:rsidTr="006F320A">
        <w:trPr>
          <w:trHeight w:val="600"/>
        </w:trPr>
        <w:tc>
          <w:tcPr>
            <w:tcW w:w="2310" w:type="dxa"/>
            <w:vMerge w:val="restart"/>
          </w:tcPr>
          <w:p w:rsidR="00255979" w:rsidRPr="006F320A" w:rsidRDefault="00255979" w:rsidP="006F320A">
            <w:pPr>
              <w:widowControl w:val="0"/>
              <w:autoSpaceDE w:val="0"/>
              <w:autoSpaceDN w:val="0"/>
              <w:adjustRightInd w:val="0"/>
              <w:rPr>
                <w:rFonts w:eastAsia="MS Mincho"/>
                <w:color w:val="000000"/>
                <w:lang w:eastAsia="ja-JP" w:bidi="lo-LA"/>
              </w:rPr>
            </w:pPr>
            <w:r w:rsidRPr="006F320A">
              <w:rPr>
                <w:rFonts w:eastAsia="MS Mincho"/>
                <w:b/>
                <w:bCs/>
                <w:color w:val="000000"/>
                <w:sz w:val="22"/>
                <w:szCs w:val="22"/>
                <w:lang w:eastAsia="ja-JP" w:bidi="lo-LA"/>
              </w:rPr>
              <w:lastRenderedPageBreak/>
              <w:t xml:space="preserve">Anksčiau gydyti pacientai </w:t>
            </w:r>
            <w:r w:rsidRPr="006F320A">
              <w:rPr>
                <w:rFonts w:eastAsia="MS Mincho"/>
                <w:color w:val="000000"/>
                <w:sz w:val="22"/>
                <w:szCs w:val="22"/>
                <w:lang w:eastAsia="ja-JP" w:bidi="lo-LA"/>
              </w:rPr>
              <w:t xml:space="preserve">EFC4584 (atsparūs CPT-11 + 5FU / FR) Atsako įvertinimas kas 6 savaites </w:t>
            </w:r>
          </w:p>
        </w:tc>
        <w:tc>
          <w:tcPr>
            <w:tcW w:w="2310" w:type="dxa"/>
            <w:vAlign w:val="center"/>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color w:val="000000"/>
                <w:sz w:val="22"/>
                <w:szCs w:val="22"/>
                <w:lang w:eastAsia="ja-JP" w:bidi="lo-LA"/>
              </w:rPr>
              <w:t xml:space="preserve">0,7 </w:t>
            </w:r>
            <w:r w:rsidRPr="006F320A">
              <w:rPr>
                <w:rFonts w:eastAsia="MS Mincho"/>
                <w:color w:val="000000"/>
                <w:sz w:val="22"/>
                <w:szCs w:val="22"/>
                <w:lang w:eastAsia="ja-JP" w:bidi="lo-LA"/>
              </w:rPr>
              <w:br/>
              <w:t>(0,0-2,7))</w:t>
            </w:r>
          </w:p>
        </w:tc>
        <w:tc>
          <w:tcPr>
            <w:tcW w:w="2310" w:type="dxa"/>
            <w:vAlign w:val="center"/>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color w:val="000000"/>
                <w:sz w:val="22"/>
                <w:szCs w:val="22"/>
                <w:lang w:eastAsia="ja-JP" w:bidi="lo-LA"/>
              </w:rPr>
              <w:t xml:space="preserve">11,1 </w:t>
            </w:r>
            <w:r w:rsidRPr="006F320A">
              <w:rPr>
                <w:rFonts w:eastAsia="MS Mincho"/>
                <w:color w:val="000000"/>
                <w:sz w:val="22"/>
                <w:szCs w:val="22"/>
                <w:lang w:eastAsia="ja-JP" w:bidi="lo-LA"/>
              </w:rPr>
              <w:br/>
              <w:t>(7,6-15,5)</w:t>
            </w:r>
          </w:p>
        </w:tc>
        <w:tc>
          <w:tcPr>
            <w:tcW w:w="2310" w:type="dxa"/>
            <w:vAlign w:val="center"/>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color w:val="000000"/>
                <w:sz w:val="22"/>
                <w:szCs w:val="22"/>
                <w:lang w:eastAsia="ja-JP" w:bidi="lo-LA"/>
              </w:rPr>
              <w:t xml:space="preserve">1,1 </w:t>
            </w:r>
            <w:r w:rsidRPr="006F320A">
              <w:rPr>
                <w:rFonts w:eastAsia="MS Mincho"/>
                <w:color w:val="000000"/>
                <w:sz w:val="22"/>
                <w:szCs w:val="22"/>
                <w:lang w:eastAsia="ja-JP" w:bidi="lo-LA"/>
              </w:rPr>
              <w:br/>
              <w:t>(0,2- 3,2)</w:t>
            </w:r>
          </w:p>
        </w:tc>
      </w:tr>
      <w:tr w:rsidR="00255979" w:rsidRPr="006F320A" w:rsidTr="006F320A">
        <w:trPr>
          <w:trHeight w:val="600"/>
        </w:trPr>
        <w:tc>
          <w:tcPr>
            <w:tcW w:w="2310" w:type="dxa"/>
            <w:vMerge/>
          </w:tcPr>
          <w:p w:rsidR="00255979" w:rsidRPr="006F320A" w:rsidRDefault="00255979" w:rsidP="006F320A">
            <w:pPr>
              <w:widowControl w:val="0"/>
              <w:autoSpaceDE w:val="0"/>
              <w:autoSpaceDN w:val="0"/>
              <w:adjustRightInd w:val="0"/>
              <w:rPr>
                <w:rFonts w:eastAsia="MS Mincho"/>
                <w:b/>
                <w:bCs/>
                <w:color w:val="000000"/>
                <w:lang w:eastAsia="ja-JP" w:bidi="lo-LA"/>
              </w:rPr>
            </w:pPr>
          </w:p>
        </w:tc>
        <w:tc>
          <w:tcPr>
            <w:tcW w:w="4620" w:type="dxa"/>
            <w:gridSpan w:val="2"/>
            <w:vAlign w:val="center"/>
          </w:tcPr>
          <w:p w:rsidR="00255979" w:rsidRPr="006F320A" w:rsidRDefault="00255979" w:rsidP="006F320A">
            <w:pPr>
              <w:jc w:val="center"/>
              <w:rPr>
                <w:rFonts w:eastAsia="MS Mincho"/>
                <w:lang w:eastAsia="ja-JP" w:bidi="lo-LA"/>
              </w:rPr>
            </w:pPr>
            <w:r w:rsidRPr="006F320A">
              <w:rPr>
                <w:rFonts w:eastAsia="MS Mincho"/>
                <w:sz w:val="22"/>
                <w:szCs w:val="22"/>
                <w:lang w:eastAsia="ja-JP" w:bidi="lo-LA"/>
              </w:rPr>
              <w:t>P vertė &lt; 0,0001</w:t>
            </w:r>
          </w:p>
        </w:tc>
        <w:tc>
          <w:tcPr>
            <w:tcW w:w="2310" w:type="dxa"/>
            <w:vAlign w:val="center"/>
          </w:tcPr>
          <w:p w:rsidR="00255979" w:rsidRPr="006F320A" w:rsidRDefault="00255979" w:rsidP="006F320A">
            <w:pPr>
              <w:jc w:val="center"/>
              <w:rPr>
                <w:rFonts w:eastAsia="MS Mincho"/>
                <w:lang w:eastAsia="ja-JP" w:bidi="lo-LA"/>
              </w:rPr>
            </w:pPr>
          </w:p>
        </w:tc>
      </w:tr>
      <w:tr w:rsidR="00255979" w:rsidRPr="006F320A" w:rsidTr="006F320A">
        <w:trPr>
          <w:trHeight w:val="1275"/>
        </w:trPr>
        <w:tc>
          <w:tcPr>
            <w:tcW w:w="2310" w:type="dxa"/>
          </w:tcPr>
          <w:p w:rsidR="00255979" w:rsidRPr="006F320A" w:rsidRDefault="00255979" w:rsidP="006F320A">
            <w:pPr>
              <w:widowControl w:val="0"/>
              <w:autoSpaceDE w:val="0"/>
              <w:autoSpaceDN w:val="0"/>
              <w:adjustRightInd w:val="0"/>
              <w:rPr>
                <w:rFonts w:eastAsia="MS Mincho"/>
                <w:color w:val="000000"/>
                <w:lang w:eastAsia="ja-JP" w:bidi="lo-LA"/>
              </w:rPr>
            </w:pPr>
            <w:r w:rsidRPr="006F320A">
              <w:rPr>
                <w:rFonts w:eastAsia="MS Mincho"/>
                <w:b/>
                <w:bCs/>
                <w:color w:val="000000"/>
                <w:sz w:val="22"/>
                <w:szCs w:val="22"/>
                <w:lang w:eastAsia="ja-JP" w:bidi="lo-LA"/>
              </w:rPr>
              <w:t xml:space="preserve">Anksčiau gydyti pacientai </w:t>
            </w:r>
            <w:r w:rsidRPr="006F320A">
              <w:rPr>
                <w:rFonts w:eastAsia="MS Mincho"/>
                <w:color w:val="000000"/>
                <w:sz w:val="22"/>
                <w:szCs w:val="22"/>
                <w:lang w:eastAsia="ja-JP" w:bidi="lo-LA"/>
              </w:rPr>
              <w:t xml:space="preserve">EFC2964 (atsparūs 5FU / FR) </w:t>
            </w:r>
          </w:p>
          <w:p w:rsidR="00255979" w:rsidRPr="006F320A" w:rsidRDefault="00255979" w:rsidP="006F320A">
            <w:pPr>
              <w:widowControl w:val="0"/>
              <w:autoSpaceDE w:val="0"/>
              <w:autoSpaceDN w:val="0"/>
              <w:adjustRightInd w:val="0"/>
              <w:rPr>
                <w:rFonts w:eastAsia="MS Mincho"/>
                <w:color w:val="000000"/>
                <w:lang w:eastAsia="ja-JP" w:bidi="lo-LA"/>
              </w:rPr>
            </w:pPr>
            <w:r w:rsidRPr="006F320A">
              <w:rPr>
                <w:rFonts w:eastAsia="MS Mincho"/>
                <w:color w:val="000000"/>
                <w:sz w:val="22"/>
                <w:szCs w:val="22"/>
                <w:lang w:eastAsia="ja-JP" w:bidi="lo-LA"/>
              </w:rPr>
              <w:t xml:space="preserve">Atsako įvertinimas kas 12 savaičių </w:t>
            </w:r>
          </w:p>
        </w:tc>
        <w:tc>
          <w:tcPr>
            <w:tcW w:w="2310" w:type="dxa"/>
            <w:vAlign w:val="center"/>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color w:val="000000"/>
                <w:sz w:val="22"/>
                <w:szCs w:val="22"/>
                <w:lang w:eastAsia="ja-JP" w:bidi="lo-LA"/>
              </w:rPr>
              <w:t>NA*</w:t>
            </w:r>
          </w:p>
        </w:tc>
        <w:tc>
          <w:tcPr>
            <w:tcW w:w="2310" w:type="dxa"/>
            <w:vAlign w:val="center"/>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color w:val="000000"/>
                <w:sz w:val="22"/>
                <w:szCs w:val="22"/>
                <w:lang w:eastAsia="ja-JP" w:bidi="lo-LA"/>
              </w:rPr>
              <w:t xml:space="preserve">23 </w:t>
            </w:r>
            <w:r w:rsidRPr="006F320A">
              <w:rPr>
                <w:rFonts w:eastAsia="MS Mincho"/>
                <w:color w:val="000000"/>
                <w:sz w:val="22"/>
                <w:szCs w:val="22"/>
                <w:lang w:eastAsia="ja-JP" w:bidi="lo-LA"/>
              </w:rPr>
              <w:br/>
              <w:t>(13-36)</w:t>
            </w:r>
          </w:p>
        </w:tc>
        <w:tc>
          <w:tcPr>
            <w:tcW w:w="2310" w:type="dxa"/>
            <w:vAlign w:val="center"/>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color w:val="000000"/>
                <w:sz w:val="22"/>
                <w:szCs w:val="22"/>
                <w:lang w:eastAsia="ja-JP" w:bidi="lo-LA"/>
              </w:rPr>
              <w:t>NA*</w:t>
            </w:r>
          </w:p>
        </w:tc>
      </w:tr>
    </w:tbl>
    <w:p w:rsidR="00255979" w:rsidRPr="008168E1" w:rsidRDefault="00255979" w:rsidP="00CA3872">
      <w:pPr>
        <w:widowControl w:val="0"/>
        <w:autoSpaceDE w:val="0"/>
        <w:autoSpaceDN w:val="0"/>
        <w:adjustRightInd w:val="0"/>
        <w:spacing w:line="553" w:lineRule="atLeast"/>
        <w:jc w:val="both"/>
        <w:rPr>
          <w:rFonts w:eastAsia="MS Mincho"/>
          <w:sz w:val="22"/>
          <w:szCs w:val="22"/>
          <w:lang w:eastAsia="ja-JP" w:bidi="lo-LA"/>
        </w:rPr>
      </w:pPr>
      <w:r w:rsidRPr="008168E1">
        <w:rPr>
          <w:rFonts w:eastAsia="MS Mincho"/>
          <w:sz w:val="22"/>
          <w:szCs w:val="22"/>
          <w:lang w:eastAsia="ja-JP" w:bidi="lo-LA"/>
        </w:rPr>
        <w:t xml:space="preserve">* NA: netaikytina </w:t>
      </w:r>
    </w:p>
    <w:p w:rsidR="00255979" w:rsidRPr="008168E1" w:rsidRDefault="00255979" w:rsidP="008168E1">
      <w:pPr>
        <w:widowControl w:val="0"/>
        <w:autoSpaceDE w:val="0"/>
        <w:autoSpaceDN w:val="0"/>
        <w:adjustRightInd w:val="0"/>
        <w:spacing w:after="314" w:line="553" w:lineRule="atLeast"/>
        <w:rPr>
          <w:rFonts w:eastAsia="MS Mincho"/>
          <w:b/>
          <w:bCs/>
          <w:sz w:val="22"/>
          <w:szCs w:val="22"/>
          <w:lang w:eastAsia="ja-JP" w:bidi="lo-LA"/>
        </w:rPr>
      </w:pPr>
      <w:r w:rsidRPr="008168E1">
        <w:rPr>
          <w:rFonts w:eastAsia="MS Mincho"/>
          <w:b/>
          <w:bCs/>
          <w:sz w:val="22"/>
          <w:szCs w:val="22"/>
          <w:lang w:eastAsia="ja-JP" w:bidi="lo-LA"/>
        </w:rPr>
        <w:t xml:space="preserve">Vidutinė išgyvenamumo be ligos atkryčio (PFS) progresija / vidutinis progresijos laikas (TPP) </w:t>
      </w:r>
    </w:p>
    <w:p w:rsidR="00255979" w:rsidRPr="008168E1" w:rsidRDefault="00255979" w:rsidP="008168E1">
      <w:pPr>
        <w:widowControl w:val="0"/>
        <w:autoSpaceDE w:val="0"/>
        <w:autoSpaceDN w:val="0"/>
        <w:adjustRightInd w:val="0"/>
        <w:spacing w:after="314" w:line="553" w:lineRule="atLeast"/>
        <w:jc w:val="both"/>
        <w:rPr>
          <w:rFonts w:eastAsia="MS Mincho"/>
          <w:sz w:val="22"/>
          <w:szCs w:val="22"/>
          <w:lang w:eastAsia="ja-JP" w:bidi="lo-LA"/>
        </w:rPr>
      </w:pPr>
      <w:r w:rsidRPr="008168E1">
        <w:rPr>
          <w:rFonts w:eastAsia="MS Mincho"/>
          <w:b/>
          <w:bCs/>
          <w:sz w:val="22"/>
          <w:szCs w:val="22"/>
          <w:lang w:eastAsia="ja-JP" w:bidi="lo-LA"/>
        </w:rPr>
        <w:t xml:space="preserve">FOLFOX4, palyginti su LV5FU2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4"/>
        <w:gridCol w:w="2278"/>
        <w:gridCol w:w="2308"/>
        <w:gridCol w:w="2336"/>
      </w:tblGrid>
      <w:tr w:rsidR="00255979" w:rsidRPr="006F320A" w:rsidTr="006F320A">
        <w:tc>
          <w:tcPr>
            <w:tcW w:w="2488" w:type="dxa"/>
          </w:tcPr>
          <w:p w:rsidR="00255979" w:rsidRPr="006F320A" w:rsidRDefault="00255979" w:rsidP="006F320A">
            <w:pPr>
              <w:autoSpaceDE w:val="0"/>
              <w:autoSpaceDN w:val="0"/>
              <w:adjustRightInd w:val="0"/>
              <w:rPr>
                <w:rFonts w:eastAsia="MS Mincho"/>
                <w:b/>
                <w:bCs/>
                <w:lang w:eastAsia="ja-JP"/>
              </w:rPr>
            </w:pPr>
            <w:r w:rsidRPr="006F320A">
              <w:rPr>
                <w:rFonts w:eastAsia="MS Mincho"/>
                <w:b/>
                <w:bCs/>
                <w:sz w:val="22"/>
                <w:szCs w:val="22"/>
                <w:lang w:eastAsia="ja-JP" w:bidi="lo-LA"/>
              </w:rPr>
              <w:t xml:space="preserve">Vidutinė PFS/TTP, mėnesiai </w:t>
            </w:r>
          </w:p>
          <w:p w:rsidR="00255979" w:rsidRPr="006F320A" w:rsidRDefault="00255979" w:rsidP="006F320A">
            <w:pPr>
              <w:autoSpaceDE w:val="0"/>
              <w:autoSpaceDN w:val="0"/>
              <w:adjustRightInd w:val="0"/>
              <w:rPr>
                <w:rFonts w:eastAsia="MS Mincho"/>
                <w:b/>
                <w:bCs/>
                <w:lang w:eastAsia="ja-JP"/>
              </w:rPr>
            </w:pPr>
            <w:r w:rsidRPr="006F320A">
              <w:rPr>
                <w:rFonts w:eastAsia="MS Mincho"/>
                <w:b/>
                <w:bCs/>
                <w:sz w:val="22"/>
                <w:szCs w:val="22"/>
                <w:lang w:eastAsia="ja-JP" w:bidi="lo-LA"/>
              </w:rPr>
              <w:t xml:space="preserve">(95 % PI) </w:t>
            </w:r>
          </w:p>
          <w:p w:rsidR="00255979" w:rsidRPr="006F320A" w:rsidRDefault="00255979" w:rsidP="006F320A">
            <w:pPr>
              <w:autoSpaceDE w:val="0"/>
              <w:autoSpaceDN w:val="0"/>
              <w:adjustRightInd w:val="0"/>
              <w:rPr>
                <w:rFonts w:eastAsia="MS Mincho"/>
                <w:b/>
                <w:bCs/>
                <w:lang w:eastAsia="ja-JP"/>
              </w:rPr>
            </w:pPr>
            <w:r w:rsidRPr="006F320A">
              <w:rPr>
                <w:rFonts w:eastAsia="MS Mincho"/>
                <w:b/>
                <w:bCs/>
                <w:sz w:val="22"/>
                <w:szCs w:val="22"/>
                <w:lang w:eastAsia="ja-JP" w:bidi="lo-LA"/>
              </w:rPr>
              <w:t xml:space="preserve">nepriklausoma radiologinė </w:t>
            </w:r>
          </w:p>
          <w:p w:rsidR="00255979" w:rsidRPr="006F320A" w:rsidRDefault="00255979" w:rsidP="006F320A">
            <w:pPr>
              <w:widowControl w:val="0"/>
              <w:autoSpaceDE w:val="0"/>
              <w:autoSpaceDN w:val="0"/>
              <w:adjustRightInd w:val="0"/>
              <w:rPr>
                <w:rFonts w:eastAsia="MS Mincho"/>
                <w:lang w:eastAsia="ja-JP" w:bidi="lo-LA"/>
              </w:rPr>
            </w:pPr>
            <w:r w:rsidRPr="006F320A">
              <w:rPr>
                <w:rFonts w:eastAsia="MS Mincho"/>
                <w:b/>
                <w:bCs/>
                <w:color w:val="000000"/>
                <w:sz w:val="22"/>
                <w:szCs w:val="22"/>
                <w:lang w:eastAsia="ja-JP" w:bidi="lo-LA"/>
              </w:rPr>
              <w:t>apžvalga ITT analizė</w:t>
            </w:r>
          </w:p>
        </w:tc>
        <w:tc>
          <w:tcPr>
            <w:tcW w:w="2488" w:type="dxa"/>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b/>
                <w:bCs/>
                <w:color w:val="000000"/>
                <w:sz w:val="22"/>
                <w:szCs w:val="22"/>
                <w:lang w:eastAsia="ja-JP" w:bidi="lo-LA"/>
              </w:rPr>
              <w:t>LV5FU2</w:t>
            </w:r>
          </w:p>
        </w:tc>
        <w:tc>
          <w:tcPr>
            <w:tcW w:w="2488" w:type="dxa"/>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b/>
                <w:bCs/>
                <w:color w:val="000000"/>
                <w:sz w:val="22"/>
                <w:szCs w:val="22"/>
                <w:lang w:eastAsia="ja-JP" w:bidi="lo-LA"/>
              </w:rPr>
              <w:t>FOLFOX4</w:t>
            </w:r>
          </w:p>
        </w:tc>
        <w:tc>
          <w:tcPr>
            <w:tcW w:w="2489" w:type="dxa"/>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b/>
                <w:bCs/>
                <w:color w:val="000000"/>
                <w:sz w:val="22"/>
                <w:szCs w:val="22"/>
                <w:lang w:eastAsia="ja-JP" w:bidi="lo-LA"/>
              </w:rPr>
              <w:t>Vien oksaliplatina</w:t>
            </w:r>
          </w:p>
        </w:tc>
      </w:tr>
      <w:tr w:rsidR="00255979" w:rsidRPr="006F320A" w:rsidTr="006F320A">
        <w:tc>
          <w:tcPr>
            <w:tcW w:w="2488" w:type="dxa"/>
            <w:vAlign w:val="center"/>
          </w:tcPr>
          <w:p w:rsidR="00255979" w:rsidRPr="006F320A" w:rsidRDefault="00255979" w:rsidP="006F320A">
            <w:pPr>
              <w:widowControl w:val="0"/>
              <w:autoSpaceDE w:val="0"/>
              <w:autoSpaceDN w:val="0"/>
              <w:adjustRightInd w:val="0"/>
              <w:rPr>
                <w:rFonts w:eastAsia="MS Mincho"/>
                <w:color w:val="000000"/>
                <w:lang w:eastAsia="ja-JP" w:bidi="lo-LA"/>
              </w:rPr>
            </w:pPr>
            <w:r w:rsidRPr="006F320A">
              <w:rPr>
                <w:rFonts w:eastAsia="MS Mincho"/>
                <w:b/>
                <w:bCs/>
                <w:color w:val="000000"/>
                <w:sz w:val="22"/>
                <w:szCs w:val="22"/>
                <w:lang w:eastAsia="ja-JP" w:bidi="lo-LA"/>
              </w:rPr>
              <w:t xml:space="preserve">Pagrindinis gydymas </w:t>
            </w:r>
            <w:r w:rsidRPr="006F320A">
              <w:rPr>
                <w:rFonts w:eastAsia="MS Mincho"/>
                <w:color w:val="000000"/>
                <w:sz w:val="22"/>
                <w:szCs w:val="22"/>
                <w:lang w:eastAsia="ja-JP" w:bidi="lo-LA"/>
              </w:rPr>
              <w:t xml:space="preserve">EFC2962 (PFS) </w:t>
            </w:r>
          </w:p>
        </w:tc>
        <w:tc>
          <w:tcPr>
            <w:tcW w:w="2488" w:type="dxa"/>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color w:val="000000"/>
                <w:sz w:val="22"/>
                <w:szCs w:val="22"/>
                <w:lang w:eastAsia="ja-JP" w:bidi="lo-LA"/>
              </w:rPr>
              <w:t xml:space="preserve">6,0 </w:t>
            </w:r>
            <w:r w:rsidRPr="006F320A">
              <w:rPr>
                <w:rFonts w:eastAsia="MS Mincho"/>
                <w:color w:val="000000"/>
                <w:sz w:val="22"/>
                <w:szCs w:val="22"/>
                <w:lang w:eastAsia="ja-JP" w:bidi="lo-LA"/>
              </w:rPr>
              <w:br/>
              <w:t>(5,5-6,5)</w:t>
            </w:r>
          </w:p>
        </w:tc>
        <w:tc>
          <w:tcPr>
            <w:tcW w:w="2488" w:type="dxa"/>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color w:val="000000"/>
                <w:sz w:val="22"/>
                <w:szCs w:val="22"/>
                <w:lang w:eastAsia="ja-JP" w:bidi="lo-LA"/>
              </w:rPr>
              <w:t>8,2</w:t>
            </w:r>
            <w:r w:rsidRPr="006F320A">
              <w:rPr>
                <w:rFonts w:eastAsia="MS Mincho"/>
                <w:color w:val="000000"/>
                <w:sz w:val="22"/>
                <w:szCs w:val="22"/>
                <w:lang w:eastAsia="ja-JP" w:bidi="lo-LA"/>
              </w:rPr>
              <w:br/>
              <w:t xml:space="preserve"> (7,2-8,8)</w:t>
            </w:r>
          </w:p>
        </w:tc>
        <w:tc>
          <w:tcPr>
            <w:tcW w:w="2489" w:type="dxa"/>
          </w:tcPr>
          <w:p w:rsidR="00255979" w:rsidRPr="006F320A" w:rsidRDefault="00255979" w:rsidP="006F320A">
            <w:pPr>
              <w:widowControl w:val="0"/>
              <w:autoSpaceDE w:val="0"/>
              <w:autoSpaceDN w:val="0"/>
              <w:adjustRightInd w:val="0"/>
              <w:jc w:val="center"/>
              <w:rPr>
                <w:rFonts w:eastAsia="MS Mincho"/>
                <w:color w:val="000000"/>
                <w:lang w:eastAsia="ja-JP" w:bidi="lo-LA"/>
              </w:rPr>
            </w:pPr>
            <w:r w:rsidRPr="006F320A">
              <w:rPr>
                <w:rFonts w:eastAsia="MS Mincho"/>
                <w:color w:val="000000"/>
                <w:sz w:val="22"/>
                <w:szCs w:val="22"/>
                <w:lang w:eastAsia="ja-JP" w:bidi="lo-LA"/>
              </w:rPr>
              <w:t>NA*</w:t>
            </w:r>
          </w:p>
        </w:tc>
      </w:tr>
    </w:tbl>
    <w:p w:rsidR="00255979" w:rsidRPr="008168E1" w:rsidRDefault="00255979" w:rsidP="00CA3872">
      <w:pPr>
        <w:widowControl w:val="0"/>
        <w:autoSpaceDE w:val="0"/>
        <w:autoSpaceDN w:val="0"/>
        <w:adjustRightInd w:val="0"/>
        <w:rPr>
          <w:rFonts w:eastAsia="MS Mincho"/>
          <w:sz w:val="22"/>
          <w:szCs w:val="22"/>
          <w:lang w:eastAsia="ja-JP" w:bidi="lo-LA"/>
        </w:rPr>
      </w:pPr>
    </w:p>
    <w:tbl>
      <w:tblPr>
        <w:tblW w:w="9591" w:type="dxa"/>
        <w:tblLayout w:type="fixed"/>
        <w:tblLook w:val="0000" w:firstRow="0" w:lastRow="0" w:firstColumn="0" w:lastColumn="0" w:noHBand="0" w:noVBand="0"/>
      </w:tblPr>
      <w:tblGrid>
        <w:gridCol w:w="4100"/>
        <w:gridCol w:w="1770"/>
        <w:gridCol w:w="1847"/>
        <w:gridCol w:w="1874"/>
      </w:tblGrid>
      <w:tr w:rsidR="00255979" w:rsidRPr="008168E1" w:rsidTr="006F5707">
        <w:trPr>
          <w:trHeight w:val="185"/>
        </w:trPr>
        <w:tc>
          <w:tcPr>
            <w:tcW w:w="4100" w:type="dxa"/>
            <w:tcBorders>
              <w:top w:val="single" w:sz="10" w:space="0" w:color="000000"/>
              <w:left w:val="single" w:sz="8" w:space="0" w:color="000000"/>
              <w:bottom w:val="single" w:sz="10" w:space="0" w:color="000000"/>
              <w:right w:val="single" w:sz="10" w:space="0" w:color="000000"/>
            </w:tcBorders>
          </w:tcPr>
          <w:p w:rsidR="00255979" w:rsidRPr="008168E1" w:rsidRDefault="00255979" w:rsidP="00CA3872">
            <w:pPr>
              <w:widowControl w:val="0"/>
              <w:autoSpaceDE w:val="0"/>
              <w:autoSpaceDN w:val="0"/>
              <w:adjustRightInd w:val="0"/>
              <w:rPr>
                <w:rFonts w:eastAsia="MS Mincho"/>
                <w:lang w:eastAsia="ja-JP" w:bidi="lo-LA"/>
              </w:rPr>
            </w:pPr>
          </w:p>
        </w:tc>
        <w:tc>
          <w:tcPr>
            <w:tcW w:w="3617" w:type="dxa"/>
            <w:gridSpan w:val="2"/>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3A6AEE">
              <w:rPr>
                <w:rFonts w:eastAsia="MS Mincho"/>
                <w:i/>
                <w:color w:val="000000"/>
                <w:sz w:val="22"/>
                <w:szCs w:val="22"/>
                <w:lang w:eastAsia="ja-JP" w:bidi="lo-LA"/>
              </w:rPr>
              <w:t>Log-rank</w:t>
            </w:r>
            <w:r w:rsidRPr="008168E1">
              <w:rPr>
                <w:rFonts w:eastAsia="MS Mincho"/>
                <w:color w:val="000000"/>
                <w:sz w:val="22"/>
                <w:szCs w:val="22"/>
                <w:lang w:eastAsia="ja-JP" w:bidi="lo-LA"/>
              </w:rPr>
              <w:t xml:space="preserve"> P vertė = 0,0003</w:t>
            </w:r>
          </w:p>
        </w:tc>
        <w:tc>
          <w:tcPr>
            <w:tcW w:w="1874" w:type="dxa"/>
            <w:tcBorders>
              <w:top w:val="single" w:sz="10" w:space="0" w:color="000000"/>
              <w:left w:val="single" w:sz="10"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jc w:val="center"/>
              <w:rPr>
                <w:rFonts w:eastAsia="MS Mincho"/>
                <w:lang w:eastAsia="ja-JP" w:bidi="lo-LA"/>
              </w:rPr>
            </w:pPr>
          </w:p>
        </w:tc>
      </w:tr>
      <w:tr w:rsidR="00255979" w:rsidRPr="008168E1" w:rsidTr="006F5707">
        <w:trPr>
          <w:trHeight w:val="563"/>
        </w:trPr>
        <w:tc>
          <w:tcPr>
            <w:tcW w:w="4100" w:type="dxa"/>
            <w:tcBorders>
              <w:top w:val="single" w:sz="10" w:space="0" w:color="000000"/>
              <w:left w:val="single" w:sz="8" w:space="0" w:color="000000"/>
              <w:bottom w:val="single" w:sz="10" w:space="0" w:color="000000"/>
              <w:right w:val="single" w:sz="10" w:space="0" w:color="000000"/>
            </w:tcBorders>
          </w:tcPr>
          <w:p w:rsidR="00255979" w:rsidRPr="008168E1" w:rsidRDefault="00255979" w:rsidP="00CA3872">
            <w:pPr>
              <w:widowControl w:val="0"/>
              <w:autoSpaceDE w:val="0"/>
              <w:autoSpaceDN w:val="0"/>
              <w:adjustRightInd w:val="0"/>
              <w:rPr>
                <w:rFonts w:eastAsia="MS Mincho"/>
                <w:b/>
                <w:bCs/>
                <w:color w:val="000000"/>
                <w:lang w:eastAsia="ja-JP" w:bidi="lo-LA"/>
              </w:rPr>
            </w:pPr>
            <w:r w:rsidRPr="008168E1">
              <w:rPr>
                <w:rFonts w:eastAsia="MS Mincho"/>
                <w:b/>
                <w:bCs/>
                <w:color w:val="000000"/>
                <w:sz w:val="22"/>
                <w:szCs w:val="22"/>
                <w:lang w:eastAsia="ja-JP" w:bidi="lo-LA"/>
              </w:rPr>
              <w:t xml:space="preserve">Anksčiau gydyti pacientai </w:t>
            </w:r>
          </w:p>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color w:val="000000"/>
                <w:sz w:val="22"/>
                <w:szCs w:val="22"/>
                <w:lang w:eastAsia="ja-JP" w:bidi="lo-LA"/>
              </w:rPr>
              <w:t xml:space="preserve">EFC4584 (TTP) </w:t>
            </w:r>
          </w:p>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color w:val="000000"/>
                <w:sz w:val="22"/>
                <w:szCs w:val="22"/>
                <w:lang w:eastAsia="ja-JP" w:bidi="lo-LA"/>
              </w:rPr>
              <w:t xml:space="preserve">(atsparūs CPT-11 + 5FU/FR) </w:t>
            </w:r>
          </w:p>
        </w:tc>
        <w:tc>
          <w:tcPr>
            <w:tcW w:w="1770"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 xml:space="preserve">2,6 </w:t>
            </w:r>
            <w:r w:rsidRPr="008168E1">
              <w:rPr>
                <w:rFonts w:eastAsia="MS Mincho"/>
                <w:color w:val="000000"/>
                <w:sz w:val="22"/>
                <w:szCs w:val="22"/>
                <w:lang w:eastAsia="ja-JP" w:bidi="lo-LA"/>
              </w:rPr>
              <w:br/>
              <w:t>(1,8-2,9)</w:t>
            </w:r>
          </w:p>
        </w:tc>
        <w:tc>
          <w:tcPr>
            <w:tcW w:w="1847"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 xml:space="preserve">5,3 </w:t>
            </w:r>
            <w:r w:rsidRPr="008168E1">
              <w:rPr>
                <w:rFonts w:eastAsia="MS Mincho"/>
                <w:color w:val="000000"/>
                <w:sz w:val="22"/>
                <w:szCs w:val="22"/>
                <w:lang w:eastAsia="ja-JP" w:bidi="lo-LA"/>
              </w:rPr>
              <w:br/>
              <w:t>(4,7-6,1)</w:t>
            </w:r>
          </w:p>
        </w:tc>
        <w:tc>
          <w:tcPr>
            <w:tcW w:w="1874" w:type="dxa"/>
            <w:tcBorders>
              <w:top w:val="single" w:sz="10" w:space="0" w:color="000000"/>
              <w:left w:val="single" w:sz="10"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 xml:space="preserve">2,1 </w:t>
            </w:r>
            <w:r w:rsidRPr="008168E1">
              <w:rPr>
                <w:rFonts w:eastAsia="MS Mincho"/>
                <w:color w:val="000000"/>
                <w:sz w:val="22"/>
                <w:szCs w:val="22"/>
                <w:lang w:eastAsia="ja-JP" w:bidi="lo-LA"/>
              </w:rPr>
              <w:br/>
              <w:t>(1,6-2,7)</w:t>
            </w:r>
          </w:p>
        </w:tc>
      </w:tr>
      <w:tr w:rsidR="00255979" w:rsidRPr="008168E1" w:rsidTr="006F5707">
        <w:trPr>
          <w:trHeight w:val="185"/>
        </w:trPr>
        <w:tc>
          <w:tcPr>
            <w:tcW w:w="4100" w:type="dxa"/>
            <w:tcBorders>
              <w:top w:val="single" w:sz="10" w:space="0" w:color="000000"/>
              <w:left w:val="single" w:sz="8" w:space="0" w:color="000000"/>
              <w:bottom w:val="single" w:sz="10" w:space="0" w:color="000000"/>
              <w:right w:val="single" w:sz="10" w:space="0" w:color="000000"/>
            </w:tcBorders>
          </w:tcPr>
          <w:p w:rsidR="00255979" w:rsidRPr="008168E1" w:rsidRDefault="00255979" w:rsidP="00CA3872">
            <w:pPr>
              <w:widowControl w:val="0"/>
              <w:autoSpaceDE w:val="0"/>
              <w:autoSpaceDN w:val="0"/>
              <w:adjustRightInd w:val="0"/>
              <w:rPr>
                <w:rFonts w:eastAsia="MS Mincho"/>
                <w:lang w:eastAsia="ja-JP" w:bidi="lo-LA"/>
              </w:rPr>
            </w:pPr>
          </w:p>
        </w:tc>
        <w:tc>
          <w:tcPr>
            <w:tcW w:w="3617" w:type="dxa"/>
            <w:gridSpan w:val="2"/>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3A6AEE">
              <w:rPr>
                <w:rFonts w:eastAsia="MS Mincho"/>
                <w:i/>
                <w:color w:val="000000"/>
                <w:sz w:val="22"/>
                <w:szCs w:val="22"/>
                <w:lang w:eastAsia="ja-JP" w:bidi="lo-LA"/>
              </w:rPr>
              <w:t>Log-rank</w:t>
            </w:r>
            <w:r w:rsidRPr="008168E1">
              <w:rPr>
                <w:rFonts w:eastAsia="MS Mincho"/>
                <w:color w:val="000000"/>
                <w:sz w:val="22"/>
                <w:szCs w:val="22"/>
                <w:lang w:eastAsia="ja-JP" w:bidi="lo-LA"/>
              </w:rPr>
              <w:t xml:space="preserve"> P vertė &lt; 0,0001</w:t>
            </w:r>
          </w:p>
        </w:tc>
        <w:tc>
          <w:tcPr>
            <w:tcW w:w="1874" w:type="dxa"/>
            <w:tcBorders>
              <w:top w:val="single" w:sz="10" w:space="0" w:color="000000"/>
              <w:left w:val="single" w:sz="10"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jc w:val="center"/>
              <w:rPr>
                <w:rFonts w:eastAsia="MS Mincho"/>
                <w:lang w:eastAsia="ja-JP" w:bidi="lo-LA"/>
              </w:rPr>
            </w:pPr>
          </w:p>
        </w:tc>
      </w:tr>
      <w:tr w:rsidR="00255979" w:rsidRPr="008168E1" w:rsidTr="006F5707">
        <w:trPr>
          <w:trHeight w:val="436"/>
        </w:trPr>
        <w:tc>
          <w:tcPr>
            <w:tcW w:w="4100" w:type="dxa"/>
            <w:tcBorders>
              <w:top w:val="single" w:sz="10" w:space="0" w:color="000000"/>
              <w:left w:val="single" w:sz="8" w:space="0" w:color="000000"/>
              <w:bottom w:val="single" w:sz="10" w:space="0" w:color="000000"/>
              <w:right w:val="single" w:sz="10" w:space="0" w:color="000000"/>
            </w:tcBorders>
          </w:tcPr>
          <w:p w:rsidR="00255979" w:rsidRPr="008168E1" w:rsidRDefault="00255979" w:rsidP="00CA3872">
            <w:pPr>
              <w:widowControl w:val="0"/>
              <w:autoSpaceDE w:val="0"/>
              <w:autoSpaceDN w:val="0"/>
              <w:adjustRightInd w:val="0"/>
              <w:rPr>
                <w:rFonts w:eastAsia="MS Mincho"/>
                <w:b/>
                <w:bCs/>
                <w:color w:val="000000"/>
                <w:lang w:eastAsia="ja-JP" w:bidi="lo-LA"/>
              </w:rPr>
            </w:pPr>
            <w:r w:rsidRPr="008168E1">
              <w:rPr>
                <w:rFonts w:eastAsia="MS Mincho"/>
                <w:b/>
                <w:bCs/>
                <w:color w:val="000000"/>
                <w:sz w:val="22"/>
                <w:szCs w:val="22"/>
                <w:lang w:eastAsia="ja-JP" w:bidi="lo-LA"/>
              </w:rPr>
              <w:t xml:space="preserve">Anksčiau gydyti pacientai </w:t>
            </w:r>
          </w:p>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color w:val="000000"/>
                <w:sz w:val="22"/>
                <w:szCs w:val="22"/>
                <w:lang w:eastAsia="ja-JP" w:bidi="lo-LA"/>
              </w:rPr>
              <w:t xml:space="preserve">EFC2964 </w:t>
            </w:r>
          </w:p>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color w:val="000000"/>
                <w:sz w:val="22"/>
                <w:szCs w:val="22"/>
                <w:lang w:eastAsia="ja-JP" w:bidi="lo-LA"/>
              </w:rPr>
              <w:t xml:space="preserve">(atsparūs 5FU/FR) </w:t>
            </w:r>
          </w:p>
        </w:tc>
        <w:tc>
          <w:tcPr>
            <w:tcW w:w="1770"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NA*</w:t>
            </w:r>
          </w:p>
        </w:tc>
        <w:tc>
          <w:tcPr>
            <w:tcW w:w="1847"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5,1</w:t>
            </w:r>
            <w:r w:rsidRPr="008168E1">
              <w:rPr>
                <w:rFonts w:eastAsia="MS Mincho"/>
                <w:color w:val="000000"/>
                <w:sz w:val="22"/>
                <w:szCs w:val="22"/>
                <w:lang w:eastAsia="ja-JP" w:bidi="lo-LA"/>
              </w:rPr>
              <w:br/>
              <w:t xml:space="preserve"> (3,1-5,7)</w:t>
            </w:r>
          </w:p>
        </w:tc>
        <w:tc>
          <w:tcPr>
            <w:tcW w:w="1874" w:type="dxa"/>
            <w:tcBorders>
              <w:top w:val="single" w:sz="10" w:space="0" w:color="000000"/>
              <w:left w:val="single" w:sz="10"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NA*</w:t>
            </w:r>
          </w:p>
        </w:tc>
      </w:tr>
    </w:tbl>
    <w:p w:rsidR="00255979" w:rsidRPr="008168E1" w:rsidRDefault="00255979" w:rsidP="00CA3872">
      <w:pPr>
        <w:widowControl w:val="0"/>
        <w:autoSpaceDE w:val="0"/>
        <w:autoSpaceDN w:val="0"/>
        <w:adjustRightInd w:val="0"/>
        <w:spacing w:after="275"/>
        <w:jc w:val="both"/>
        <w:rPr>
          <w:rFonts w:eastAsia="MS Mincho"/>
          <w:sz w:val="22"/>
          <w:szCs w:val="22"/>
          <w:lang w:eastAsia="ja-JP" w:bidi="lo-LA"/>
        </w:rPr>
      </w:pPr>
      <w:r w:rsidRPr="008168E1">
        <w:rPr>
          <w:rFonts w:eastAsia="MS Mincho"/>
          <w:sz w:val="22"/>
          <w:szCs w:val="22"/>
          <w:lang w:eastAsia="ja-JP" w:bidi="lo-LA"/>
        </w:rPr>
        <w:t xml:space="preserve">* NA: netaikytina </w:t>
      </w:r>
    </w:p>
    <w:p w:rsidR="00255979" w:rsidRPr="008168E1" w:rsidRDefault="00255979" w:rsidP="008168E1">
      <w:pPr>
        <w:widowControl w:val="0"/>
        <w:autoSpaceDE w:val="0"/>
        <w:autoSpaceDN w:val="0"/>
        <w:adjustRightInd w:val="0"/>
        <w:spacing w:after="375" w:line="276" w:lineRule="auto"/>
        <w:rPr>
          <w:rFonts w:eastAsia="MS Mincho"/>
          <w:sz w:val="22"/>
          <w:szCs w:val="22"/>
          <w:lang w:eastAsia="ja-JP" w:bidi="lo-LA"/>
        </w:rPr>
      </w:pPr>
      <w:r w:rsidRPr="008168E1">
        <w:rPr>
          <w:rFonts w:eastAsia="MS Mincho"/>
          <w:b/>
          <w:bCs/>
          <w:sz w:val="22"/>
          <w:szCs w:val="22"/>
          <w:lang w:eastAsia="ja-JP" w:bidi="lo-LA"/>
        </w:rPr>
        <w:t xml:space="preserve">Vidutinis bendrasis išgyvenamumas (OS) FOLFOX4, palyginti su LV5FU2  </w:t>
      </w:r>
    </w:p>
    <w:tbl>
      <w:tblPr>
        <w:tblW w:w="9591" w:type="dxa"/>
        <w:tblLayout w:type="fixed"/>
        <w:tblLook w:val="0000" w:firstRow="0" w:lastRow="0" w:firstColumn="0" w:lastColumn="0" w:noHBand="0" w:noVBand="0"/>
      </w:tblPr>
      <w:tblGrid>
        <w:gridCol w:w="2936"/>
        <w:gridCol w:w="2423"/>
        <w:gridCol w:w="2456"/>
        <w:gridCol w:w="30"/>
        <w:gridCol w:w="1746"/>
      </w:tblGrid>
      <w:tr w:rsidR="00255979" w:rsidRPr="008168E1" w:rsidTr="00CA3872">
        <w:trPr>
          <w:trHeight w:val="437"/>
        </w:trPr>
        <w:tc>
          <w:tcPr>
            <w:tcW w:w="2695" w:type="dxa"/>
            <w:tcBorders>
              <w:top w:val="single" w:sz="10" w:space="0" w:color="000000"/>
              <w:left w:val="single" w:sz="8"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b/>
                <w:bCs/>
                <w:color w:val="000000"/>
                <w:sz w:val="22"/>
                <w:szCs w:val="22"/>
                <w:lang w:eastAsia="ja-JP" w:bidi="lo-LA"/>
              </w:rPr>
              <w:t xml:space="preserve">Vidutinis OS, mėnesiai  (95 % PI)  ITT analizė  </w:t>
            </w:r>
          </w:p>
        </w:tc>
        <w:tc>
          <w:tcPr>
            <w:tcW w:w="222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b/>
                <w:bCs/>
                <w:color w:val="000000"/>
                <w:sz w:val="22"/>
                <w:szCs w:val="22"/>
                <w:lang w:eastAsia="ja-JP" w:bidi="lo-LA"/>
              </w:rPr>
              <w:t xml:space="preserve">LV5FU2 </w:t>
            </w:r>
          </w:p>
        </w:tc>
        <w:tc>
          <w:tcPr>
            <w:tcW w:w="225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b/>
                <w:bCs/>
                <w:color w:val="000000"/>
                <w:sz w:val="22"/>
                <w:szCs w:val="22"/>
                <w:lang w:eastAsia="ja-JP" w:bidi="lo-LA"/>
              </w:rPr>
              <w:t xml:space="preserve">FOLFOX4 </w:t>
            </w:r>
          </w:p>
        </w:tc>
        <w:tc>
          <w:tcPr>
            <w:tcW w:w="1631" w:type="dxa"/>
            <w:gridSpan w:val="2"/>
            <w:tcBorders>
              <w:top w:val="single" w:sz="10" w:space="0" w:color="000000"/>
              <w:left w:val="single" w:sz="10"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b/>
                <w:bCs/>
                <w:color w:val="000000"/>
                <w:sz w:val="22"/>
                <w:szCs w:val="22"/>
                <w:lang w:eastAsia="ja-JP" w:bidi="lo-LA"/>
              </w:rPr>
              <w:t xml:space="preserve">Vien oksaliplatina  </w:t>
            </w:r>
          </w:p>
        </w:tc>
      </w:tr>
      <w:tr w:rsidR="00255979" w:rsidRPr="008168E1" w:rsidTr="00CA3872">
        <w:trPr>
          <w:trHeight w:val="330"/>
        </w:trPr>
        <w:tc>
          <w:tcPr>
            <w:tcW w:w="2695" w:type="dxa"/>
            <w:tcBorders>
              <w:top w:val="single" w:sz="10" w:space="0" w:color="000000"/>
              <w:left w:val="single" w:sz="8"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b/>
                <w:bCs/>
                <w:color w:val="000000"/>
                <w:sz w:val="22"/>
                <w:szCs w:val="22"/>
                <w:lang w:eastAsia="ja-JP" w:bidi="lo-LA"/>
              </w:rPr>
              <w:t xml:space="preserve">Pagrindinis gydymas </w:t>
            </w:r>
            <w:r w:rsidRPr="008168E1">
              <w:rPr>
                <w:rFonts w:eastAsia="MS Mincho"/>
                <w:color w:val="000000"/>
                <w:sz w:val="22"/>
                <w:szCs w:val="22"/>
                <w:lang w:eastAsia="ja-JP" w:bidi="lo-LA"/>
              </w:rPr>
              <w:t xml:space="preserve">EFC2962 </w:t>
            </w:r>
          </w:p>
        </w:tc>
        <w:tc>
          <w:tcPr>
            <w:tcW w:w="222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 xml:space="preserve">14,7 </w:t>
            </w:r>
            <w:r w:rsidRPr="008168E1">
              <w:rPr>
                <w:rFonts w:eastAsia="MS Mincho"/>
                <w:color w:val="000000"/>
                <w:sz w:val="22"/>
                <w:szCs w:val="22"/>
                <w:lang w:eastAsia="ja-JP" w:bidi="lo-LA"/>
              </w:rPr>
              <w:br/>
              <w:t>(13,0-18,2)</w:t>
            </w:r>
          </w:p>
        </w:tc>
        <w:tc>
          <w:tcPr>
            <w:tcW w:w="225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 xml:space="preserve">16,2 </w:t>
            </w:r>
            <w:r w:rsidRPr="008168E1">
              <w:rPr>
                <w:rFonts w:eastAsia="MS Mincho"/>
                <w:color w:val="000000"/>
                <w:sz w:val="22"/>
                <w:szCs w:val="22"/>
                <w:lang w:eastAsia="ja-JP" w:bidi="lo-LA"/>
              </w:rPr>
              <w:br/>
              <w:t>(14,7-18,2)</w:t>
            </w:r>
          </w:p>
        </w:tc>
        <w:tc>
          <w:tcPr>
            <w:tcW w:w="1631" w:type="dxa"/>
            <w:gridSpan w:val="2"/>
            <w:tcBorders>
              <w:top w:val="single" w:sz="10" w:space="0" w:color="000000"/>
              <w:left w:val="single" w:sz="10"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NA*</w:t>
            </w:r>
          </w:p>
        </w:tc>
      </w:tr>
      <w:tr w:rsidR="00255979" w:rsidRPr="008168E1" w:rsidTr="00CA3872">
        <w:trPr>
          <w:trHeight w:val="193"/>
        </w:trPr>
        <w:tc>
          <w:tcPr>
            <w:tcW w:w="2695" w:type="dxa"/>
            <w:tcBorders>
              <w:top w:val="single" w:sz="10" w:space="0" w:color="000000"/>
              <w:left w:val="single" w:sz="8" w:space="0" w:color="000000"/>
              <w:bottom w:val="single" w:sz="10" w:space="0" w:color="000000"/>
              <w:right w:val="single" w:sz="10" w:space="0" w:color="000000"/>
            </w:tcBorders>
          </w:tcPr>
          <w:p w:rsidR="00255979" w:rsidRPr="008168E1" w:rsidRDefault="00255979" w:rsidP="00CA3872">
            <w:pPr>
              <w:widowControl w:val="0"/>
              <w:autoSpaceDE w:val="0"/>
              <w:autoSpaceDN w:val="0"/>
              <w:adjustRightInd w:val="0"/>
              <w:rPr>
                <w:rFonts w:eastAsia="MS Mincho"/>
                <w:lang w:eastAsia="ja-JP" w:bidi="lo-LA"/>
              </w:rPr>
            </w:pPr>
          </w:p>
        </w:tc>
        <w:tc>
          <w:tcPr>
            <w:tcW w:w="4508" w:type="dxa"/>
            <w:gridSpan w:val="3"/>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3A6AEE">
              <w:rPr>
                <w:rFonts w:eastAsia="MS Mincho"/>
                <w:i/>
                <w:color w:val="000000"/>
                <w:sz w:val="22"/>
                <w:szCs w:val="22"/>
                <w:lang w:eastAsia="ja-JP" w:bidi="lo-LA"/>
              </w:rPr>
              <w:t>Log-rank</w:t>
            </w:r>
            <w:r w:rsidRPr="008168E1">
              <w:rPr>
                <w:rFonts w:eastAsia="MS Mincho"/>
                <w:color w:val="000000"/>
                <w:sz w:val="22"/>
                <w:szCs w:val="22"/>
                <w:lang w:eastAsia="ja-JP" w:bidi="lo-LA"/>
              </w:rPr>
              <w:t xml:space="preserve"> P vertė = 0,12</w:t>
            </w:r>
          </w:p>
        </w:tc>
        <w:tc>
          <w:tcPr>
            <w:tcW w:w="1603" w:type="dxa"/>
            <w:tcBorders>
              <w:top w:val="single" w:sz="10" w:space="0" w:color="000000"/>
              <w:left w:val="single" w:sz="10"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jc w:val="center"/>
              <w:rPr>
                <w:rFonts w:eastAsia="MS Mincho"/>
                <w:lang w:eastAsia="ja-JP" w:bidi="lo-LA"/>
              </w:rPr>
            </w:pPr>
          </w:p>
        </w:tc>
      </w:tr>
      <w:tr w:rsidR="00255979" w:rsidRPr="008168E1" w:rsidTr="00CA3872">
        <w:trPr>
          <w:trHeight w:val="563"/>
        </w:trPr>
        <w:tc>
          <w:tcPr>
            <w:tcW w:w="2695" w:type="dxa"/>
            <w:tcBorders>
              <w:top w:val="single" w:sz="10" w:space="0" w:color="000000"/>
              <w:left w:val="single" w:sz="8" w:space="0" w:color="000000"/>
              <w:bottom w:val="single" w:sz="10" w:space="0" w:color="000000"/>
              <w:right w:val="single" w:sz="10" w:space="0" w:color="000000"/>
            </w:tcBorders>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b/>
                <w:bCs/>
                <w:color w:val="000000"/>
                <w:sz w:val="22"/>
                <w:szCs w:val="22"/>
                <w:lang w:eastAsia="ja-JP" w:bidi="lo-LA"/>
              </w:rPr>
              <w:t xml:space="preserve">Anksčiau gydyti pacientai </w:t>
            </w:r>
            <w:r w:rsidRPr="008168E1">
              <w:rPr>
                <w:rFonts w:eastAsia="MS Mincho"/>
                <w:color w:val="000000"/>
                <w:sz w:val="22"/>
                <w:szCs w:val="22"/>
                <w:lang w:eastAsia="ja-JP" w:bidi="lo-LA"/>
              </w:rPr>
              <w:t xml:space="preserve">EFC4584* (atsparūs CPT-11 + 5FU / FR) </w:t>
            </w:r>
          </w:p>
        </w:tc>
        <w:tc>
          <w:tcPr>
            <w:tcW w:w="2225" w:type="dxa"/>
            <w:tcBorders>
              <w:top w:val="single" w:sz="10" w:space="0" w:color="000000"/>
              <w:left w:val="single" w:sz="10" w:space="0" w:color="000000"/>
              <w:bottom w:val="single" w:sz="10" w:space="0" w:color="000000"/>
              <w:right w:val="single" w:sz="8"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 xml:space="preserve">8,8 </w:t>
            </w:r>
            <w:r w:rsidRPr="008168E1">
              <w:rPr>
                <w:rFonts w:eastAsia="MS Mincho"/>
                <w:color w:val="000000"/>
                <w:sz w:val="22"/>
                <w:szCs w:val="22"/>
                <w:lang w:eastAsia="ja-JP" w:bidi="lo-LA"/>
              </w:rPr>
              <w:br/>
              <w:t>(7,3 - 9,3)</w:t>
            </w:r>
          </w:p>
        </w:tc>
        <w:tc>
          <w:tcPr>
            <w:tcW w:w="2255" w:type="dxa"/>
            <w:tcBorders>
              <w:top w:val="single" w:sz="10" w:space="0" w:color="000000"/>
              <w:left w:val="single" w:sz="8"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 xml:space="preserve">9,9 </w:t>
            </w:r>
            <w:r w:rsidRPr="008168E1">
              <w:rPr>
                <w:rFonts w:eastAsia="MS Mincho"/>
                <w:color w:val="000000"/>
                <w:sz w:val="22"/>
                <w:szCs w:val="22"/>
                <w:lang w:eastAsia="ja-JP" w:bidi="lo-LA"/>
              </w:rPr>
              <w:br/>
              <w:t>(9,1-10,5)</w:t>
            </w:r>
          </w:p>
        </w:tc>
        <w:tc>
          <w:tcPr>
            <w:tcW w:w="1631" w:type="dxa"/>
            <w:gridSpan w:val="2"/>
            <w:tcBorders>
              <w:top w:val="single" w:sz="10" w:space="0" w:color="000000"/>
              <w:left w:val="single" w:sz="10"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 xml:space="preserve">8,1 </w:t>
            </w:r>
            <w:r w:rsidRPr="008168E1">
              <w:rPr>
                <w:rFonts w:eastAsia="MS Mincho"/>
                <w:color w:val="000000"/>
                <w:sz w:val="22"/>
                <w:szCs w:val="22"/>
                <w:lang w:eastAsia="ja-JP" w:bidi="lo-LA"/>
              </w:rPr>
              <w:br/>
              <w:t>(7,2-8,7)</w:t>
            </w:r>
          </w:p>
        </w:tc>
      </w:tr>
      <w:tr w:rsidR="00255979" w:rsidRPr="008168E1" w:rsidTr="00CA3872">
        <w:trPr>
          <w:trHeight w:val="195"/>
        </w:trPr>
        <w:tc>
          <w:tcPr>
            <w:tcW w:w="2695" w:type="dxa"/>
            <w:tcBorders>
              <w:top w:val="single" w:sz="10" w:space="0" w:color="000000"/>
              <w:left w:val="single" w:sz="8" w:space="0" w:color="000000"/>
              <w:bottom w:val="single" w:sz="10" w:space="0" w:color="000000"/>
              <w:right w:val="single" w:sz="10" w:space="0" w:color="000000"/>
            </w:tcBorders>
          </w:tcPr>
          <w:p w:rsidR="00255979" w:rsidRPr="008168E1" w:rsidRDefault="00255979" w:rsidP="00CA3872">
            <w:pPr>
              <w:widowControl w:val="0"/>
              <w:autoSpaceDE w:val="0"/>
              <w:autoSpaceDN w:val="0"/>
              <w:adjustRightInd w:val="0"/>
              <w:rPr>
                <w:rFonts w:eastAsia="MS Mincho"/>
                <w:lang w:eastAsia="ja-JP" w:bidi="lo-LA"/>
              </w:rPr>
            </w:pPr>
          </w:p>
        </w:tc>
        <w:tc>
          <w:tcPr>
            <w:tcW w:w="4508" w:type="dxa"/>
            <w:gridSpan w:val="3"/>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3A6AEE">
              <w:rPr>
                <w:rFonts w:eastAsia="MS Mincho"/>
                <w:i/>
                <w:color w:val="000000"/>
                <w:sz w:val="22"/>
                <w:szCs w:val="22"/>
                <w:lang w:eastAsia="ja-JP" w:bidi="lo-LA"/>
              </w:rPr>
              <w:t>Log-rank</w:t>
            </w:r>
            <w:r w:rsidRPr="008168E1">
              <w:rPr>
                <w:rFonts w:eastAsia="MS Mincho"/>
                <w:color w:val="000000"/>
                <w:sz w:val="22"/>
                <w:szCs w:val="22"/>
                <w:lang w:eastAsia="ja-JP" w:bidi="lo-LA"/>
              </w:rPr>
              <w:t xml:space="preserve"> P vertė = 0,09</w:t>
            </w:r>
          </w:p>
        </w:tc>
        <w:tc>
          <w:tcPr>
            <w:tcW w:w="1603" w:type="dxa"/>
            <w:tcBorders>
              <w:top w:val="single" w:sz="10" w:space="0" w:color="000000"/>
              <w:left w:val="single" w:sz="10"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jc w:val="center"/>
              <w:rPr>
                <w:rFonts w:eastAsia="MS Mincho"/>
                <w:lang w:eastAsia="ja-JP" w:bidi="lo-LA"/>
              </w:rPr>
            </w:pPr>
          </w:p>
        </w:tc>
      </w:tr>
      <w:tr w:rsidR="00255979" w:rsidRPr="008168E1" w:rsidTr="00CA3872">
        <w:trPr>
          <w:trHeight w:val="436"/>
        </w:trPr>
        <w:tc>
          <w:tcPr>
            <w:tcW w:w="2695" w:type="dxa"/>
            <w:tcBorders>
              <w:top w:val="single" w:sz="10" w:space="0" w:color="000000"/>
              <w:left w:val="single" w:sz="8" w:space="0" w:color="000000"/>
              <w:bottom w:val="single" w:sz="10" w:space="0" w:color="000000"/>
              <w:right w:val="single" w:sz="10" w:space="0" w:color="000000"/>
            </w:tcBorders>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b/>
                <w:bCs/>
                <w:color w:val="000000"/>
                <w:sz w:val="22"/>
                <w:szCs w:val="22"/>
                <w:lang w:eastAsia="ja-JP" w:bidi="lo-LA"/>
              </w:rPr>
              <w:t xml:space="preserve">Anksčiau gydyti pacientai </w:t>
            </w:r>
            <w:r w:rsidRPr="008168E1">
              <w:rPr>
                <w:rFonts w:eastAsia="MS Mincho"/>
                <w:color w:val="000000"/>
                <w:sz w:val="22"/>
                <w:szCs w:val="22"/>
                <w:lang w:eastAsia="ja-JP" w:bidi="lo-LA"/>
              </w:rPr>
              <w:t xml:space="preserve">EFC2964 (atsparūs 5FU / FR) </w:t>
            </w:r>
          </w:p>
        </w:tc>
        <w:tc>
          <w:tcPr>
            <w:tcW w:w="222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NA*</w:t>
            </w:r>
          </w:p>
        </w:tc>
        <w:tc>
          <w:tcPr>
            <w:tcW w:w="225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 xml:space="preserve">10,8 </w:t>
            </w:r>
            <w:r w:rsidRPr="008168E1">
              <w:rPr>
                <w:rFonts w:eastAsia="MS Mincho"/>
                <w:color w:val="000000"/>
                <w:sz w:val="22"/>
                <w:szCs w:val="22"/>
                <w:lang w:eastAsia="ja-JP" w:bidi="lo-LA"/>
              </w:rPr>
              <w:br/>
              <w:t>(9,3-12,8)</w:t>
            </w:r>
          </w:p>
        </w:tc>
        <w:tc>
          <w:tcPr>
            <w:tcW w:w="1631" w:type="dxa"/>
            <w:gridSpan w:val="2"/>
            <w:tcBorders>
              <w:top w:val="single" w:sz="10" w:space="0" w:color="000000"/>
              <w:left w:val="single" w:sz="10"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NA*</w:t>
            </w:r>
          </w:p>
        </w:tc>
      </w:tr>
    </w:tbl>
    <w:p w:rsidR="00255979" w:rsidRPr="008168E1" w:rsidRDefault="00255979" w:rsidP="00CA3872">
      <w:pPr>
        <w:widowControl w:val="0"/>
        <w:autoSpaceDE w:val="0"/>
        <w:autoSpaceDN w:val="0"/>
        <w:adjustRightInd w:val="0"/>
        <w:spacing w:after="275" w:line="276" w:lineRule="atLeast"/>
        <w:jc w:val="both"/>
        <w:rPr>
          <w:rFonts w:eastAsia="MS Mincho"/>
          <w:sz w:val="22"/>
          <w:szCs w:val="22"/>
          <w:lang w:eastAsia="ja-JP" w:bidi="lo-LA"/>
        </w:rPr>
      </w:pPr>
      <w:r w:rsidRPr="008168E1">
        <w:rPr>
          <w:rFonts w:eastAsia="MS Mincho"/>
          <w:sz w:val="22"/>
          <w:szCs w:val="22"/>
          <w:lang w:eastAsia="ja-JP" w:bidi="lo-LA"/>
        </w:rPr>
        <w:t xml:space="preserve">* NA: netaikytina </w:t>
      </w:r>
    </w:p>
    <w:p w:rsidR="00255979" w:rsidRPr="008168E1" w:rsidRDefault="00255979" w:rsidP="005E4334">
      <w:pPr>
        <w:widowControl w:val="0"/>
        <w:autoSpaceDE w:val="0"/>
        <w:autoSpaceDN w:val="0"/>
        <w:adjustRightInd w:val="0"/>
        <w:spacing w:after="275" w:line="276" w:lineRule="atLeast"/>
        <w:rPr>
          <w:rFonts w:eastAsia="MS Mincho"/>
          <w:sz w:val="22"/>
          <w:szCs w:val="22"/>
          <w:lang w:eastAsia="ja-JP" w:bidi="lo-LA"/>
        </w:rPr>
      </w:pPr>
      <w:r w:rsidRPr="008168E1">
        <w:rPr>
          <w:rFonts w:eastAsia="MS Mincho"/>
          <w:sz w:val="22"/>
          <w:szCs w:val="22"/>
          <w:lang w:eastAsia="ja-JP" w:bidi="lo-LA"/>
        </w:rPr>
        <w:lastRenderedPageBreak/>
        <w:t>Daugumai anksčiau gydytų pacientų (EFC4584), kurie turėjo simptomų prieš pradedant tyrimą, tyrimo metu gydytiems oksaliplatina kartu su 5-fluorouracilu / foli</w:t>
      </w:r>
      <w:r>
        <w:rPr>
          <w:rFonts w:eastAsia="MS Mincho"/>
          <w:sz w:val="22"/>
          <w:szCs w:val="22"/>
          <w:lang w:eastAsia="ja-JP" w:bidi="lo-LA"/>
        </w:rPr>
        <w:t>no</w:t>
      </w:r>
      <w:r w:rsidRPr="008168E1">
        <w:rPr>
          <w:rFonts w:eastAsia="MS Mincho"/>
          <w:sz w:val="22"/>
          <w:szCs w:val="22"/>
          <w:lang w:eastAsia="ja-JP" w:bidi="lo-LA"/>
        </w:rPr>
        <w:t xml:space="preserve"> rūgštimi labai pagerėjo su liga susiję simptomai, palyginti su vien 5-fluorouracilu / foli</w:t>
      </w:r>
      <w:r>
        <w:rPr>
          <w:rFonts w:eastAsia="MS Mincho"/>
          <w:sz w:val="22"/>
          <w:szCs w:val="22"/>
          <w:lang w:eastAsia="ja-JP" w:bidi="lo-LA"/>
        </w:rPr>
        <w:t>no</w:t>
      </w:r>
      <w:r w:rsidRPr="008168E1">
        <w:rPr>
          <w:rFonts w:eastAsia="MS Mincho"/>
          <w:sz w:val="22"/>
          <w:szCs w:val="22"/>
          <w:lang w:eastAsia="ja-JP" w:bidi="lo-LA"/>
        </w:rPr>
        <w:t xml:space="preserve"> rūgštimi gydytais pacientais (27,7 %, palyginti su 14,6 %, p = 0,0033).  </w:t>
      </w:r>
    </w:p>
    <w:p w:rsidR="00255979" w:rsidRPr="008168E1" w:rsidRDefault="00255979" w:rsidP="005E4334">
      <w:pPr>
        <w:widowControl w:val="0"/>
        <w:autoSpaceDE w:val="0"/>
        <w:autoSpaceDN w:val="0"/>
        <w:adjustRightInd w:val="0"/>
        <w:spacing w:after="275" w:line="276" w:lineRule="atLeast"/>
        <w:rPr>
          <w:rFonts w:eastAsia="MS Mincho"/>
          <w:sz w:val="22"/>
          <w:szCs w:val="22"/>
          <w:lang w:eastAsia="ja-JP" w:bidi="lo-LA"/>
        </w:rPr>
      </w:pPr>
      <w:r w:rsidRPr="008168E1">
        <w:rPr>
          <w:rFonts w:eastAsia="MS Mincho"/>
          <w:sz w:val="22"/>
          <w:szCs w:val="22"/>
          <w:lang w:eastAsia="ja-JP" w:bidi="lo-LA"/>
        </w:rPr>
        <w:t xml:space="preserve">Anksčiau negydytiems pacientams (EFC2962) gyvenimo kokybės lygmens statistiškai reikšmingo skirtumo nebuvo, </w:t>
      </w:r>
      <w:r>
        <w:rPr>
          <w:rFonts w:eastAsia="MS Mincho"/>
          <w:sz w:val="22"/>
          <w:szCs w:val="22"/>
          <w:lang w:eastAsia="ja-JP" w:bidi="lo-LA"/>
        </w:rPr>
        <w:t xml:space="preserve">lyginant abejas gydymo grupes. </w:t>
      </w:r>
      <w:r w:rsidRPr="008168E1">
        <w:rPr>
          <w:rFonts w:eastAsia="MS Mincho"/>
          <w:sz w:val="22"/>
          <w:szCs w:val="22"/>
          <w:lang w:eastAsia="ja-JP" w:bidi="lo-LA"/>
        </w:rPr>
        <w:t xml:space="preserve">Tačiau gyvenimo kokybės skalėje buvo bendras pagerėjimas kontrolinėje grupėje, vertinant bendrąją sveikatos būklę ir skausmą, ir pykinimo bei vėmimo pablogėjimas oksaliplatinos grupėje.  </w:t>
      </w:r>
    </w:p>
    <w:p w:rsidR="00255979" w:rsidRDefault="00255979" w:rsidP="005E4334">
      <w:pPr>
        <w:widowControl w:val="0"/>
        <w:autoSpaceDE w:val="0"/>
        <w:autoSpaceDN w:val="0"/>
        <w:adjustRightInd w:val="0"/>
        <w:spacing w:after="275" w:line="276" w:lineRule="atLeast"/>
        <w:rPr>
          <w:rFonts w:eastAsia="MS Mincho"/>
          <w:sz w:val="22"/>
          <w:szCs w:val="22"/>
          <w:lang w:eastAsia="ja-JP" w:bidi="lo-LA"/>
        </w:rPr>
      </w:pPr>
      <w:r w:rsidRPr="008168E1">
        <w:rPr>
          <w:rFonts w:eastAsia="MS Mincho"/>
          <w:sz w:val="22"/>
          <w:szCs w:val="22"/>
          <w:lang w:eastAsia="ja-JP" w:bidi="lo-LA"/>
        </w:rPr>
        <w:t xml:space="preserve">Lyginamuoju III fazės MOSAIC tyrimu (EFC 3313) buvo vertintas </w:t>
      </w:r>
      <w:r>
        <w:rPr>
          <w:rFonts w:eastAsia="MS Mincho"/>
          <w:sz w:val="22"/>
          <w:szCs w:val="22"/>
          <w:lang w:eastAsia="ja-JP" w:bidi="lo-LA"/>
        </w:rPr>
        <w:t>adjuvantinis</w:t>
      </w:r>
      <w:r w:rsidRPr="008168E1">
        <w:rPr>
          <w:rFonts w:eastAsia="MS Mincho"/>
          <w:sz w:val="22"/>
          <w:szCs w:val="22"/>
          <w:lang w:eastAsia="ja-JP" w:bidi="lo-LA"/>
        </w:rPr>
        <w:t xml:space="preserve"> gydymas oksaliplatina. 2246 pacientai (899 – II stadijos (B2 pagal </w:t>
      </w:r>
      <w:r w:rsidRPr="003A6AEE">
        <w:rPr>
          <w:rFonts w:eastAsia="MS Mincho"/>
          <w:i/>
          <w:sz w:val="22"/>
          <w:szCs w:val="22"/>
          <w:lang w:eastAsia="ja-JP" w:bidi="lo-LA"/>
        </w:rPr>
        <w:t>Duke</w:t>
      </w:r>
      <w:r w:rsidRPr="008168E1">
        <w:rPr>
          <w:rFonts w:eastAsia="MS Mincho"/>
          <w:sz w:val="22"/>
          <w:szCs w:val="22"/>
          <w:lang w:eastAsia="ja-JP" w:bidi="lo-LA"/>
        </w:rPr>
        <w:t xml:space="preserve">) ir 1347 – III stadijos (C pagal </w:t>
      </w:r>
      <w:r w:rsidRPr="003A6AEE">
        <w:rPr>
          <w:rFonts w:eastAsia="MS Mincho"/>
          <w:i/>
          <w:sz w:val="22"/>
          <w:szCs w:val="22"/>
          <w:lang w:eastAsia="ja-JP" w:bidi="lo-LA"/>
        </w:rPr>
        <w:t>Duke</w:t>
      </w:r>
      <w:r w:rsidRPr="008168E1">
        <w:rPr>
          <w:rFonts w:eastAsia="MS Mincho"/>
          <w:sz w:val="22"/>
          <w:szCs w:val="22"/>
          <w:lang w:eastAsia="ja-JP" w:bidi="lo-LA"/>
        </w:rPr>
        <w:t>) po visiškos pirminio gaubtinės žarnos vėžio rezekcijos, atsitiktinai suskirstyti į grupes, buvo gydomi arba vien 5FU/FR (LV5FU2, n = 1123, B2/C = 448/675), arba oksaliplatinos ir 5FU/FR deriniu (FOLFOX 4, n = 1123, B2/C</w:t>
      </w:r>
      <w:r>
        <w:rPr>
          <w:rFonts w:eastAsia="MS Mincho"/>
          <w:sz w:val="22"/>
          <w:szCs w:val="22"/>
          <w:lang w:eastAsia="ja-JP" w:bidi="lo-LA"/>
        </w:rPr>
        <w:t xml:space="preserve"> = 451/672). </w:t>
      </w:r>
    </w:p>
    <w:p w:rsidR="00255979" w:rsidRPr="008168E1" w:rsidRDefault="00255979" w:rsidP="006F5707">
      <w:pPr>
        <w:widowControl w:val="0"/>
        <w:autoSpaceDE w:val="0"/>
        <w:autoSpaceDN w:val="0"/>
        <w:adjustRightInd w:val="0"/>
        <w:spacing w:after="275" w:line="276" w:lineRule="atLeast"/>
        <w:jc w:val="both"/>
        <w:rPr>
          <w:rFonts w:eastAsia="MS Mincho"/>
          <w:sz w:val="22"/>
          <w:szCs w:val="22"/>
          <w:lang w:eastAsia="ja-JP" w:bidi="lo-LA"/>
        </w:rPr>
      </w:pPr>
      <w:r w:rsidRPr="008168E1">
        <w:rPr>
          <w:rFonts w:eastAsia="MS Mincho"/>
          <w:b/>
          <w:bCs/>
          <w:sz w:val="22"/>
          <w:szCs w:val="22"/>
          <w:lang w:eastAsia="ja-JP" w:bidi="lo-LA"/>
        </w:rPr>
        <w:t xml:space="preserve">Visų tiriamųjų 3 metų išgyvenamumas be ligos atkryčio, EFC 3313 duomenimis (ITT analizė)*  </w:t>
      </w:r>
    </w:p>
    <w:tbl>
      <w:tblPr>
        <w:tblW w:w="9591" w:type="dxa"/>
        <w:tblLayout w:type="fixed"/>
        <w:tblLook w:val="0000" w:firstRow="0" w:lastRow="0" w:firstColumn="0" w:lastColumn="0" w:noHBand="0" w:noVBand="0"/>
      </w:tblPr>
      <w:tblGrid>
        <w:gridCol w:w="4870"/>
        <w:gridCol w:w="2358"/>
        <w:gridCol w:w="2363"/>
      </w:tblGrid>
      <w:tr w:rsidR="00255979" w:rsidRPr="008168E1" w:rsidTr="00CA3872">
        <w:trPr>
          <w:trHeight w:val="185"/>
        </w:trPr>
        <w:tc>
          <w:tcPr>
            <w:tcW w:w="4357" w:type="dxa"/>
            <w:tcBorders>
              <w:top w:val="single" w:sz="10" w:space="0" w:color="000000"/>
              <w:left w:val="single" w:sz="6" w:space="0" w:color="000000"/>
              <w:bottom w:val="single" w:sz="10" w:space="0" w:color="000000"/>
              <w:right w:val="single" w:sz="8" w:space="0" w:color="000000"/>
            </w:tcBorders>
            <w:vAlign w:val="center"/>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b/>
                <w:bCs/>
                <w:color w:val="000000"/>
                <w:sz w:val="22"/>
                <w:szCs w:val="22"/>
                <w:lang w:eastAsia="ja-JP" w:bidi="lo-LA"/>
              </w:rPr>
              <w:t xml:space="preserve">Gydymo grupė </w:t>
            </w:r>
          </w:p>
        </w:tc>
        <w:tc>
          <w:tcPr>
            <w:tcW w:w="2110" w:type="dxa"/>
            <w:tcBorders>
              <w:top w:val="single" w:sz="10" w:space="0" w:color="000000"/>
              <w:left w:val="single" w:sz="8" w:space="0" w:color="000000"/>
              <w:bottom w:val="single" w:sz="10" w:space="0" w:color="000000"/>
              <w:right w:val="single" w:sz="8" w:space="0" w:color="000000"/>
            </w:tcBorders>
            <w:vAlign w:val="center"/>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b/>
                <w:bCs/>
                <w:color w:val="000000"/>
                <w:sz w:val="22"/>
                <w:szCs w:val="22"/>
                <w:lang w:eastAsia="ja-JP" w:bidi="lo-LA"/>
              </w:rPr>
              <w:t xml:space="preserve">LV5FU2 </w:t>
            </w:r>
          </w:p>
        </w:tc>
        <w:tc>
          <w:tcPr>
            <w:tcW w:w="2114" w:type="dxa"/>
            <w:tcBorders>
              <w:top w:val="single" w:sz="10" w:space="0" w:color="000000"/>
              <w:left w:val="single" w:sz="8"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b/>
                <w:bCs/>
                <w:color w:val="000000"/>
                <w:sz w:val="22"/>
                <w:szCs w:val="22"/>
                <w:lang w:eastAsia="ja-JP" w:bidi="lo-LA"/>
              </w:rPr>
              <w:t xml:space="preserve">FOLFOX4 </w:t>
            </w:r>
          </w:p>
        </w:tc>
      </w:tr>
      <w:tr w:rsidR="00255979" w:rsidRPr="008168E1" w:rsidTr="00CA3872">
        <w:trPr>
          <w:trHeight w:val="311"/>
        </w:trPr>
        <w:tc>
          <w:tcPr>
            <w:tcW w:w="4357" w:type="dxa"/>
            <w:tcBorders>
              <w:top w:val="single" w:sz="10" w:space="0" w:color="000000"/>
              <w:left w:val="single" w:sz="6" w:space="0" w:color="000000"/>
              <w:bottom w:val="single" w:sz="10" w:space="0" w:color="000000"/>
              <w:right w:val="single" w:sz="8" w:space="0" w:color="000000"/>
            </w:tcBorders>
            <w:vAlign w:val="center"/>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b/>
                <w:bCs/>
                <w:color w:val="000000"/>
                <w:sz w:val="22"/>
                <w:szCs w:val="22"/>
                <w:lang w:eastAsia="ja-JP" w:bidi="lo-LA"/>
              </w:rPr>
              <w:t xml:space="preserve">Dalis pacientų, kuriems 3 metus liga neatsinaujino (95 % PI) </w:t>
            </w:r>
          </w:p>
        </w:tc>
        <w:tc>
          <w:tcPr>
            <w:tcW w:w="2110" w:type="dxa"/>
            <w:tcBorders>
              <w:top w:val="single" w:sz="10" w:space="0" w:color="000000"/>
              <w:left w:val="single" w:sz="8" w:space="0" w:color="000000"/>
              <w:bottom w:val="single" w:sz="10" w:space="0" w:color="000000"/>
              <w:right w:val="single" w:sz="8" w:space="0" w:color="000000"/>
            </w:tcBorders>
            <w:vAlign w:val="center"/>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color w:val="000000"/>
                <w:sz w:val="22"/>
                <w:szCs w:val="22"/>
                <w:lang w:eastAsia="ja-JP" w:bidi="lo-LA"/>
              </w:rPr>
              <w:t xml:space="preserve">73,3 </w:t>
            </w:r>
            <w:r w:rsidRPr="008168E1">
              <w:rPr>
                <w:rFonts w:eastAsia="MS Mincho"/>
                <w:color w:val="000000"/>
                <w:sz w:val="22"/>
                <w:szCs w:val="22"/>
                <w:lang w:eastAsia="ja-JP" w:bidi="lo-LA"/>
              </w:rPr>
              <w:br/>
              <w:t xml:space="preserve">(70,6-75,9) </w:t>
            </w:r>
          </w:p>
        </w:tc>
        <w:tc>
          <w:tcPr>
            <w:tcW w:w="2114" w:type="dxa"/>
            <w:tcBorders>
              <w:top w:val="single" w:sz="10" w:space="0" w:color="000000"/>
              <w:left w:val="single" w:sz="8"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color w:val="000000"/>
                <w:sz w:val="22"/>
                <w:szCs w:val="22"/>
                <w:lang w:eastAsia="ja-JP" w:bidi="lo-LA"/>
              </w:rPr>
              <w:t xml:space="preserve">78,7 </w:t>
            </w:r>
            <w:r w:rsidRPr="008168E1">
              <w:rPr>
                <w:rFonts w:eastAsia="MS Mincho"/>
                <w:color w:val="000000"/>
                <w:sz w:val="22"/>
                <w:szCs w:val="22"/>
                <w:lang w:eastAsia="ja-JP" w:bidi="lo-LA"/>
              </w:rPr>
              <w:br/>
              <w:t xml:space="preserve">(76,2-81,1) </w:t>
            </w:r>
          </w:p>
        </w:tc>
      </w:tr>
      <w:tr w:rsidR="00255979" w:rsidRPr="008168E1" w:rsidTr="00CA3872">
        <w:trPr>
          <w:trHeight w:val="311"/>
        </w:trPr>
        <w:tc>
          <w:tcPr>
            <w:tcW w:w="4357" w:type="dxa"/>
            <w:tcBorders>
              <w:top w:val="single" w:sz="10" w:space="0" w:color="000000"/>
              <w:left w:val="single" w:sz="6" w:space="0" w:color="000000"/>
              <w:bottom w:val="single" w:sz="10" w:space="0" w:color="000000"/>
              <w:right w:val="single" w:sz="8" w:space="0" w:color="000000"/>
            </w:tcBorders>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b/>
                <w:bCs/>
                <w:color w:val="000000"/>
                <w:sz w:val="22"/>
                <w:szCs w:val="22"/>
                <w:lang w:eastAsia="ja-JP" w:bidi="lo-LA"/>
              </w:rPr>
              <w:t xml:space="preserve">Rizikos santykis (95 % PI) </w:t>
            </w:r>
          </w:p>
        </w:tc>
        <w:tc>
          <w:tcPr>
            <w:tcW w:w="2110" w:type="dxa"/>
            <w:tcBorders>
              <w:top w:val="single" w:sz="10" w:space="0" w:color="000000"/>
              <w:left w:val="single" w:sz="8" w:space="0" w:color="000000"/>
              <w:bottom w:val="single" w:sz="10" w:space="0" w:color="000000"/>
            </w:tcBorders>
            <w:vAlign w:val="center"/>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color w:val="000000"/>
                <w:sz w:val="22"/>
                <w:szCs w:val="22"/>
                <w:lang w:eastAsia="ja-JP" w:bidi="lo-LA"/>
              </w:rPr>
              <w:t xml:space="preserve">0,76 </w:t>
            </w:r>
            <w:r w:rsidRPr="008168E1">
              <w:rPr>
                <w:rFonts w:eastAsia="MS Mincho"/>
                <w:color w:val="000000"/>
                <w:sz w:val="22"/>
                <w:szCs w:val="22"/>
                <w:lang w:eastAsia="ja-JP" w:bidi="lo-LA"/>
              </w:rPr>
              <w:br/>
              <w:t xml:space="preserve">(0,64-0,89) </w:t>
            </w:r>
          </w:p>
        </w:tc>
        <w:tc>
          <w:tcPr>
            <w:tcW w:w="2114" w:type="dxa"/>
            <w:tcBorders>
              <w:top w:val="single" w:sz="10" w:space="0" w:color="000000"/>
              <w:bottom w:val="single" w:sz="10" w:space="0" w:color="000000"/>
              <w:right w:val="single" w:sz="6" w:space="0" w:color="000000"/>
            </w:tcBorders>
          </w:tcPr>
          <w:p w:rsidR="00255979" w:rsidRPr="008168E1" w:rsidRDefault="00255979" w:rsidP="00CA3872">
            <w:pPr>
              <w:widowControl w:val="0"/>
              <w:autoSpaceDE w:val="0"/>
              <w:autoSpaceDN w:val="0"/>
              <w:adjustRightInd w:val="0"/>
              <w:rPr>
                <w:rFonts w:eastAsia="MS Mincho"/>
                <w:lang w:eastAsia="ja-JP" w:bidi="lo-LA"/>
              </w:rPr>
            </w:pPr>
          </w:p>
        </w:tc>
      </w:tr>
      <w:tr w:rsidR="00255979" w:rsidRPr="008168E1" w:rsidTr="00CA3872">
        <w:trPr>
          <w:trHeight w:val="185"/>
        </w:trPr>
        <w:tc>
          <w:tcPr>
            <w:tcW w:w="4357" w:type="dxa"/>
            <w:tcBorders>
              <w:top w:val="single" w:sz="10" w:space="0" w:color="000000"/>
              <w:left w:val="single" w:sz="6" w:space="0" w:color="000000"/>
              <w:bottom w:val="single" w:sz="10" w:space="0" w:color="000000"/>
              <w:right w:val="single" w:sz="8" w:space="0" w:color="000000"/>
            </w:tcBorders>
            <w:vAlign w:val="center"/>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b/>
                <w:bCs/>
                <w:color w:val="000000"/>
                <w:sz w:val="22"/>
                <w:szCs w:val="22"/>
                <w:lang w:eastAsia="ja-JP" w:bidi="lo-LA"/>
              </w:rPr>
              <w:t xml:space="preserve">Sluoksninė </w:t>
            </w:r>
            <w:r w:rsidRPr="003A6AEE">
              <w:rPr>
                <w:rFonts w:eastAsia="MS Mincho"/>
                <w:b/>
                <w:bCs/>
                <w:i/>
                <w:color w:val="000000"/>
                <w:sz w:val="22"/>
                <w:szCs w:val="22"/>
                <w:lang w:eastAsia="ja-JP" w:bidi="lo-LA"/>
              </w:rPr>
              <w:t>log rank</w:t>
            </w:r>
            <w:r w:rsidRPr="008168E1">
              <w:rPr>
                <w:rFonts w:eastAsia="MS Mincho"/>
                <w:b/>
                <w:bCs/>
                <w:color w:val="000000"/>
                <w:sz w:val="22"/>
                <w:szCs w:val="22"/>
                <w:lang w:eastAsia="ja-JP" w:bidi="lo-LA"/>
              </w:rPr>
              <w:t xml:space="preserve"> analizė </w:t>
            </w:r>
          </w:p>
        </w:tc>
        <w:tc>
          <w:tcPr>
            <w:tcW w:w="2110" w:type="dxa"/>
            <w:tcBorders>
              <w:top w:val="single" w:sz="10" w:space="0" w:color="000000"/>
              <w:left w:val="single" w:sz="8" w:space="0" w:color="000000"/>
              <w:bottom w:val="single" w:sz="10" w:space="0" w:color="000000"/>
            </w:tcBorders>
            <w:vAlign w:val="center"/>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color w:val="000000"/>
                <w:sz w:val="22"/>
                <w:szCs w:val="22"/>
                <w:lang w:eastAsia="ja-JP" w:bidi="lo-LA"/>
              </w:rPr>
              <w:t xml:space="preserve">P=0,0008 </w:t>
            </w:r>
          </w:p>
        </w:tc>
        <w:tc>
          <w:tcPr>
            <w:tcW w:w="2114" w:type="dxa"/>
            <w:tcBorders>
              <w:top w:val="single" w:sz="10" w:space="0" w:color="000000"/>
              <w:bottom w:val="single" w:sz="10" w:space="0" w:color="000000"/>
              <w:right w:val="single" w:sz="6" w:space="0" w:color="000000"/>
            </w:tcBorders>
          </w:tcPr>
          <w:p w:rsidR="00255979" w:rsidRPr="008168E1" w:rsidRDefault="00255979" w:rsidP="00CA3872">
            <w:pPr>
              <w:widowControl w:val="0"/>
              <w:autoSpaceDE w:val="0"/>
              <w:autoSpaceDN w:val="0"/>
              <w:adjustRightInd w:val="0"/>
              <w:rPr>
                <w:rFonts w:eastAsia="MS Mincho"/>
                <w:lang w:eastAsia="ja-JP" w:bidi="lo-LA"/>
              </w:rPr>
            </w:pPr>
          </w:p>
        </w:tc>
      </w:tr>
    </w:tbl>
    <w:p w:rsidR="00255979" w:rsidRPr="008168E1" w:rsidRDefault="00255979" w:rsidP="005E4334">
      <w:pPr>
        <w:widowControl w:val="0"/>
        <w:autoSpaceDE w:val="0"/>
        <w:autoSpaceDN w:val="0"/>
        <w:adjustRightInd w:val="0"/>
        <w:spacing w:after="275" w:line="276" w:lineRule="atLeast"/>
        <w:rPr>
          <w:rFonts w:eastAsia="MS Mincho"/>
          <w:sz w:val="22"/>
          <w:szCs w:val="22"/>
          <w:lang w:eastAsia="ja-JP" w:bidi="lo-LA"/>
        </w:rPr>
      </w:pPr>
      <w:r w:rsidRPr="008168E1">
        <w:rPr>
          <w:rFonts w:eastAsia="MS Mincho"/>
          <w:sz w:val="22"/>
          <w:szCs w:val="22"/>
          <w:lang w:eastAsia="ja-JP" w:bidi="lo-LA"/>
        </w:rPr>
        <w:t xml:space="preserve">* </w:t>
      </w:r>
      <w:r>
        <w:rPr>
          <w:rFonts w:eastAsia="MS Mincho"/>
          <w:sz w:val="22"/>
          <w:szCs w:val="22"/>
          <w:lang w:eastAsia="ja-JP" w:bidi="lo-LA"/>
        </w:rPr>
        <w:t>S</w:t>
      </w:r>
      <w:r w:rsidRPr="008168E1">
        <w:rPr>
          <w:rFonts w:eastAsia="MS Mincho"/>
          <w:sz w:val="22"/>
          <w:szCs w:val="22"/>
          <w:lang w:eastAsia="ja-JP" w:bidi="lo-LA"/>
        </w:rPr>
        <w:t>tebėjimo trukmė</w:t>
      </w:r>
      <w:r>
        <w:rPr>
          <w:rFonts w:eastAsia="MS Mincho"/>
          <w:sz w:val="22"/>
          <w:szCs w:val="22"/>
          <w:lang w:eastAsia="ja-JP" w:bidi="lo-LA"/>
        </w:rPr>
        <w:t>s mediana</w:t>
      </w:r>
      <w:r w:rsidRPr="008168E1">
        <w:rPr>
          <w:rFonts w:eastAsia="MS Mincho"/>
          <w:sz w:val="22"/>
          <w:szCs w:val="22"/>
          <w:lang w:eastAsia="ja-JP" w:bidi="lo-LA"/>
        </w:rPr>
        <w:t xml:space="preserve"> – 44,2 mėnesio (visi pacientai buvo stebimi ne trumpiau kaip 3 metus).  </w:t>
      </w:r>
    </w:p>
    <w:p w:rsidR="00255979" w:rsidRPr="008168E1" w:rsidRDefault="00255979" w:rsidP="005E4334">
      <w:pPr>
        <w:widowControl w:val="0"/>
        <w:autoSpaceDE w:val="0"/>
        <w:autoSpaceDN w:val="0"/>
        <w:adjustRightInd w:val="0"/>
        <w:spacing w:after="275" w:line="276" w:lineRule="atLeast"/>
        <w:rPr>
          <w:rFonts w:eastAsia="MS Mincho"/>
          <w:sz w:val="22"/>
          <w:szCs w:val="22"/>
          <w:lang w:eastAsia="ja-JP" w:bidi="lo-LA"/>
        </w:rPr>
      </w:pPr>
      <w:r w:rsidRPr="00AA5F3E">
        <w:rPr>
          <w:rFonts w:eastAsia="MS Mincho"/>
          <w:sz w:val="22"/>
          <w:szCs w:val="22"/>
          <w:lang w:eastAsia="ja-JP" w:bidi="lo-LA"/>
        </w:rPr>
        <w:t>Tyrimu</w:t>
      </w:r>
      <w:r w:rsidRPr="008168E1">
        <w:rPr>
          <w:rFonts w:eastAsia="MS Mincho"/>
          <w:sz w:val="22"/>
          <w:szCs w:val="22"/>
          <w:lang w:eastAsia="ja-JP" w:bidi="lo-LA"/>
        </w:rPr>
        <w:t xml:space="preserve"> įrodyta, kad gydant oksaliplatinos ir 5FU/FR deriniu (FOLFOX4) bendrasis 3 metų išgyvenamumas be ligos atkryčio reikšmingai geresnis, palyginti su gydymu vien 5FU/FR (LV5FU2). </w:t>
      </w:r>
    </w:p>
    <w:p w:rsidR="00255979" w:rsidRPr="008168E1" w:rsidRDefault="00255979" w:rsidP="008168E1">
      <w:pPr>
        <w:widowControl w:val="0"/>
        <w:autoSpaceDE w:val="0"/>
        <w:autoSpaceDN w:val="0"/>
        <w:adjustRightInd w:val="0"/>
        <w:spacing w:after="375" w:line="276" w:lineRule="atLeast"/>
        <w:jc w:val="both"/>
        <w:rPr>
          <w:rFonts w:eastAsia="MS Mincho"/>
          <w:sz w:val="22"/>
          <w:szCs w:val="22"/>
          <w:lang w:eastAsia="ja-JP" w:bidi="lo-LA"/>
        </w:rPr>
      </w:pPr>
      <w:r w:rsidRPr="008168E1">
        <w:rPr>
          <w:rFonts w:eastAsia="MS Mincho"/>
          <w:b/>
          <w:bCs/>
          <w:sz w:val="22"/>
          <w:szCs w:val="22"/>
          <w:lang w:eastAsia="ja-JP" w:bidi="lo-LA"/>
        </w:rPr>
        <w:t xml:space="preserve">3 metų išgyvenamumas be ligos atkryčio pagal ligos stadiją, EFC 3313 duomenimis (ITT analizė)*  </w:t>
      </w:r>
    </w:p>
    <w:tbl>
      <w:tblPr>
        <w:tblW w:w="9591" w:type="dxa"/>
        <w:tblLayout w:type="fixed"/>
        <w:tblLook w:val="0000" w:firstRow="0" w:lastRow="0" w:firstColumn="0" w:lastColumn="0" w:noHBand="0" w:noVBand="0"/>
      </w:tblPr>
      <w:tblGrid>
        <w:gridCol w:w="3366"/>
        <w:gridCol w:w="1553"/>
        <w:gridCol w:w="1612"/>
        <w:gridCol w:w="17"/>
        <w:gridCol w:w="1422"/>
        <w:gridCol w:w="1621"/>
      </w:tblGrid>
      <w:tr w:rsidR="00255979" w:rsidRPr="00287FAB" w:rsidTr="00CA3872">
        <w:trPr>
          <w:trHeight w:val="310"/>
        </w:trPr>
        <w:tc>
          <w:tcPr>
            <w:tcW w:w="3012" w:type="dxa"/>
            <w:tcBorders>
              <w:top w:val="single" w:sz="10" w:space="0" w:color="000000"/>
              <w:left w:val="single" w:sz="6" w:space="0" w:color="000000"/>
              <w:bottom w:val="single" w:sz="10" w:space="0" w:color="000000"/>
              <w:right w:val="single" w:sz="8" w:space="0" w:color="000000"/>
            </w:tcBorders>
            <w:vAlign w:val="center"/>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b/>
                <w:bCs/>
                <w:color w:val="000000"/>
                <w:sz w:val="22"/>
                <w:szCs w:val="22"/>
                <w:lang w:eastAsia="ja-JP" w:bidi="lo-LA"/>
              </w:rPr>
              <w:t xml:space="preserve">Ligos stadija </w:t>
            </w:r>
          </w:p>
        </w:tc>
        <w:tc>
          <w:tcPr>
            <w:tcW w:w="2847" w:type="dxa"/>
            <w:gridSpan w:val="3"/>
            <w:tcBorders>
              <w:top w:val="single" w:sz="10" w:space="0" w:color="000000"/>
              <w:left w:val="single" w:sz="8" w:space="0" w:color="000000"/>
              <w:bottom w:val="single" w:sz="10" w:space="0" w:color="000000"/>
              <w:right w:val="single" w:sz="8"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b/>
                <w:bCs/>
                <w:color w:val="000000"/>
                <w:sz w:val="22"/>
                <w:szCs w:val="22"/>
                <w:lang w:eastAsia="ja-JP" w:bidi="lo-LA"/>
              </w:rPr>
              <w:t xml:space="preserve">II stadija </w:t>
            </w:r>
            <w:r w:rsidRPr="008168E1">
              <w:rPr>
                <w:rFonts w:eastAsia="MS Mincho"/>
                <w:b/>
                <w:bCs/>
                <w:color w:val="000000"/>
                <w:sz w:val="22"/>
                <w:szCs w:val="22"/>
                <w:lang w:eastAsia="ja-JP" w:bidi="lo-LA"/>
              </w:rPr>
              <w:br/>
              <w:t xml:space="preserve">(B2 pagal </w:t>
            </w:r>
            <w:r w:rsidRPr="003A6AEE">
              <w:rPr>
                <w:rFonts w:eastAsia="MS Mincho"/>
                <w:b/>
                <w:bCs/>
                <w:i/>
                <w:color w:val="000000"/>
                <w:sz w:val="22"/>
                <w:szCs w:val="22"/>
                <w:lang w:eastAsia="ja-JP" w:bidi="lo-LA"/>
              </w:rPr>
              <w:t>Duke</w:t>
            </w:r>
            <w:r w:rsidRPr="008168E1">
              <w:rPr>
                <w:rFonts w:eastAsia="MS Mincho"/>
                <w:b/>
                <w:bCs/>
                <w:color w:val="000000"/>
                <w:sz w:val="22"/>
                <w:szCs w:val="22"/>
                <w:lang w:eastAsia="ja-JP" w:bidi="lo-LA"/>
              </w:rPr>
              <w:t>)</w:t>
            </w:r>
          </w:p>
        </w:tc>
        <w:tc>
          <w:tcPr>
            <w:tcW w:w="2722" w:type="dxa"/>
            <w:gridSpan w:val="2"/>
            <w:tcBorders>
              <w:top w:val="single" w:sz="10" w:space="0" w:color="000000"/>
              <w:left w:val="single" w:sz="8"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b/>
                <w:bCs/>
                <w:color w:val="000000"/>
                <w:sz w:val="22"/>
                <w:szCs w:val="22"/>
                <w:lang w:eastAsia="ja-JP" w:bidi="lo-LA"/>
              </w:rPr>
              <w:t xml:space="preserve">III stadija </w:t>
            </w:r>
            <w:r w:rsidRPr="008168E1">
              <w:rPr>
                <w:rFonts w:eastAsia="MS Mincho"/>
                <w:b/>
                <w:bCs/>
                <w:color w:val="000000"/>
                <w:sz w:val="22"/>
                <w:szCs w:val="22"/>
                <w:lang w:eastAsia="ja-JP" w:bidi="lo-LA"/>
              </w:rPr>
              <w:br/>
              <w:t xml:space="preserve">(C pagal </w:t>
            </w:r>
            <w:r w:rsidRPr="003A6AEE">
              <w:rPr>
                <w:rFonts w:eastAsia="MS Mincho"/>
                <w:b/>
                <w:bCs/>
                <w:i/>
                <w:color w:val="000000"/>
                <w:sz w:val="22"/>
                <w:szCs w:val="22"/>
                <w:lang w:eastAsia="ja-JP" w:bidi="lo-LA"/>
              </w:rPr>
              <w:t>Duke</w:t>
            </w:r>
            <w:r w:rsidRPr="008168E1">
              <w:rPr>
                <w:rFonts w:eastAsia="MS Mincho"/>
                <w:b/>
                <w:bCs/>
                <w:color w:val="000000"/>
                <w:sz w:val="22"/>
                <w:szCs w:val="22"/>
                <w:lang w:eastAsia="ja-JP" w:bidi="lo-LA"/>
              </w:rPr>
              <w:t>)</w:t>
            </w:r>
          </w:p>
        </w:tc>
      </w:tr>
      <w:tr w:rsidR="00255979" w:rsidRPr="008168E1" w:rsidTr="00CA3872">
        <w:trPr>
          <w:trHeight w:val="185"/>
        </w:trPr>
        <w:tc>
          <w:tcPr>
            <w:tcW w:w="3012" w:type="dxa"/>
            <w:tcBorders>
              <w:top w:val="single" w:sz="10" w:space="0" w:color="000000"/>
              <w:left w:val="single" w:sz="6" w:space="0" w:color="000000"/>
              <w:bottom w:val="single" w:sz="10" w:space="0" w:color="000000"/>
              <w:right w:val="single" w:sz="8" w:space="0" w:color="000000"/>
            </w:tcBorders>
            <w:vAlign w:val="center"/>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b/>
                <w:bCs/>
                <w:color w:val="000000"/>
                <w:sz w:val="22"/>
                <w:szCs w:val="22"/>
                <w:lang w:eastAsia="ja-JP" w:bidi="lo-LA"/>
              </w:rPr>
              <w:t xml:space="preserve">Gydymo grupė </w:t>
            </w:r>
          </w:p>
        </w:tc>
        <w:tc>
          <w:tcPr>
            <w:tcW w:w="1390" w:type="dxa"/>
            <w:tcBorders>
              <w:top w:val="single" w:sz="10" w:space="0" w:color="000000"/>
              <w:left w:val="single" w:sz="8"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LV5FU2</w:t>
            </w:r>
          </w:p>
        </w:tc>
        <w:tc>
          <w:tcPr>
            <w:tcW w:w="1442" w:type="dxa"/>
            <w:tcBorders>
              <w:top w:val="single" w:sz="10" w:space="0" w:color="000000"/>
              <w:left w:val="single" w:sz="10" w:space="0" w:color="000000"/>
              <w:bottom w:val="single" w:sz="10" w:space="0" w:color="000000"/>
              <w:right w:val="single" w:sz="8"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FOLFOX4</w:t>
            </w:r>
          </w:p>
        </w:tc>
        <w:tc>
          <w:tcPr>
            <w:tcW w:w="1287" w:type="dxa"/>
            <w:gridSpan w:val="2"/>
            <w:tcBorders>
              <w:top w:val="single" w:sz="10" w:space="0" w:color="000000"/>
              <w:left w:val="single" w:sz="8" w:space="0" w:color="000000"/>
              <w:bottom w:val="single" w:sz="10" w:space="0" w:color="000000"/>
              <w:right w:val="single" w:sz="8"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LV5FU2</w:t>
            </w:r>
          </w:p>
        </w:tc>
        <w:tc>
          <w:tcPr>
            <w:tcW w:w="1450" w:type="dxa"/>
            <w:tcBorders>
              <w:top w:val="single" w:sz="10" w:space="0" w:color="000000"/>
              <w:left w:val="single" w:sz="8"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FOLFOX4</w:t>
            </w:r>
          </w:p>
        </w:tc>
      </w:tr>
      <w:tr w:rsidR="00255979" w:rsidRPr="008168E1" w:rsidTr="00CA3872">
        <w:trPr>
          <w:trHeight w:val="563"/>
        </w:trPr>
        <w:tc>
          <w:tcPr>
            <w:tcW w:w="3012" w:type="dxa"/>
            <w:tcBorders>
              <w:top w:val="single" w:sz="10" w:space="0" w:color="000000"/>
              <w:left w:val="single" w:sz="6" w:space="0" w:color="000000"/>
              <w:bottom w:val="single" w:sz="10" w:space="0" w:color="000000"/>
              <w:right w:val="single" w:sz="8" w:space="0" w:color="000000"/>
            </w:tcBorders>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b/>
                <w:bCs/>
                <w:color w:val="000000"/>
                <w:sz w:val="22"/>
                <w:szCs w:val="22"/>
                <w:lang w:eastAsia="ja-JP" w:bidi="lo-LA"/>
              </w:rPr>
              <w:t xml:space="preserve">Dalis pacientų, kuriems 3 metus liga neatsinaujino (95 % PI) </w:t>
            </w:r>
          </w:p>
        </w:tc>
        <w:tc>
          <w:tcPr>
            <w:tcW w:w="1390" w:type="dxa"/>
            <w:tcBorders>
              <w:top w:val="single" w:sz="10" w:space="0" w:color="000000"/>
              <w:left w:val="single" w:sz="8" w:space="0" w:color="000000"/>
              <w:bottom w:val="single" w:sz="10" w:space="0" w:color="000000"/>
              <w:right w:val="single" w:sz="10"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84,3 (80,9-87,7)</w:t>
            </w:r>
          </w:p>
        </w:tc>
        <w:tc>
          <w:tcPr>
            <w:tcW w:w="1442" w:type="dxa"/>
            <w:tcBorders>
              <w:top w:val="single" w:sz="10" w:space="0" w:color="000000"/>
              <w:left w:val="single" w:sz="10" w:space="0" w:color="000000"/>
              <w:bottom w:val="single" w:sz="10" w:space="0" w:color="000000"/>
              <w:right w:val="single" w:sz="8"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87,4 (84,3-90,5)</w:t>
            </w:r>
          </w:p>
        </w:tc>
        <w:tc>
          <w:tcPr>
            <w:tcW w:w="1287" w:type="dxa"/>
            <w:gridSpan w:val="2"/>
            <w:tcBorders>
              <w:top w:val="single" w:sz="10" w:space="0" w:color="000000"/>
              <w:left w:val="single" w:sz="8" w:space="0" w:color="000000"/>
              <w:bottom w:val="single" w:sz="10" w:space="0" w:color="000000"/>
              <w:right w:val="single" w:sz="8"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65,8 (62,.2-69,5)</w:t>
            </w:r>
          </w:p>
        </w:tc>
        <w:tc>
          <w:tcPr>
            <w:tcW w:w="1450" w:type="dxa"/>
            <w:tcBorders>
              <w:top w:val="single" w:sz="10" w:space="0" w:color="000000"/>
              <w:left w:val="single" w:sz="8"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72,8 (69,4-76,2)</w:t>
            </w:r>
          </w:p>
        </w:tc>
      </w:tr>
      <w:tr w:rsidR="00255979" w:rsidRPr="008168E1" w:rsidTr="00CA3872">
        <w:trPr>
          <w:trHeight w:val="311"/>
        </w:trPr>
        <w:tc>
          <w:tcPr>
            <w:tcW w:w="3012" w:type="dxa"/>
            <w:tcBorders>
              <w:top w:val="single" w:sz="10" w:space="0" w:color="000000"/>
              <w:left w:val="single" w:sz="6" w:space="0" w:color="000000"/>
              <w:bottom w:val="single" w:sz="10" w:space="0" w:color="000000"/>
              <w:right w:val="single" w:sz="8" w:space="0" w:color="000000"/>
            </w:tcBorders>
          </w:tcPr>
          <w:p w:rsidR="00255979" w:rsidRPr="008168E1" w:rsidRDefault="00255979" w:rsidP="00CA3872">
            <w:pPr>
              <w:widowControl w:val="0"/>
              <w:autoSpaceDE w:val="0"/>
              <w:autoSpaceDN w:val="0"/>
              <w:adjustRightInd w:val="0"/>
              <w:rPr>
                <w:rFonts w:eastAsia="MS Mincho"/>
                <w:color w:val="000000"/>
                <w:lang w:eastAsia="ja-JP" w:bidi="lo-LA"/>
              </w:rPr>
            </w:pPr>
            <w:r w:rsidRPr="008168E1">
              <w:rPr>
                <w:rFonts w:eastAsia="MS Mincho"/>
                <w:b/>
                <w:bCs/>
                <w:color w:val="000000"/>
                <w:sz w:val="22"/>
                <w:szCs w:val="22"/>
                <w:lang w:eastAsia="ja-JP" w:bidi="lo-LA"/>
              </w:rPr>
              <w:t xml:space="preserve">Rizikos santykis (95 % PI) </w:t>
            </w:r>
          </w:p>
        </w:tc>
        <w:tc>
          <w:tcPr>
            <w:tcW w:w="2847" w:type="dxa"/>
            <w:gridSpan w:val="3"/>
            <w:tcBorders>
              <w:top w:val="single" w:sz="10" w:space="0" w:color="000000"/>
              <w:left w:val="single" w:sz="8" w:space="0" w:color="000000"/>
              <w:bottom w:val="single" w:sz="10" w:space="0" w:color="000000"/>
              <w:right w:val="single" w:sz="8"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0,79 (0,57-1,09)</w:t>
            </w:r>
          </w:p>
        </w:tc>
        <w:tc>
          <w:tcPr>
            <w:tcW w:w="2722" w:type="dxa"/>
            <w:gridSpan w:val="2"/>
            <w:tcBorders>
              <w:top w:val="single" w:sz="10" w:space="0" w:color="000000"/>
              <w:left w:val="single" w:sz="8"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0,75 (0,62-0,90)</w:t>
            </w:r>
          </w:p>
        </w:tc>
      </w:tr>
      <w:tr w:rsidR="00255979" w:rsidRPr="008168E1" w:rsidTr="00CA3872">
        <w:trPr>
          <w:trHeight w:val="212"/>
        </w:trPr>
        <w:tc>
          <w:tcPr>
            <w:tcW w:w="3012" w:type="dxa"/>
            <w:tcBorders>
              <w:top w:val="single" w:sz="10" w:space="0" w:color="000000"/>
              <w:left w:val="single" w:sz="6" w:space="0" w:color="000000"/>
              <w:bottom w:val="single" w:sz="10" w:space="0" w:color="000000"/>
              <w:right w:val="single" w:sz="8" w:space="0" w:color="000000"/>
            </w:tcBorders>
            <w:vAlign w:val="center"/>
          </w:tcPr>
          <w:p w:rsidR="00255979" w:rsidRPr="008168E1" w:rsidRDefault="00255979" w:rsidP="00CA3872">
            <w:pPr>
              <w:widowControl w:val="0"/>
              <w:autoSpaceDE w:val="0"/>
              <w:autoSpaceDN w:val="0"/>
              <w:adjustRightInd w:val="0"/>
              <w:rPr>
                <w:rFonts w:eastAsia="MS Mincho"/>
                <w:color w:val="000000"/>
                <w:lang w:eastAsia="ja-JP" w:bidi="lo-LA"/>
              </w:rPr>
            </w:pPr>
            <w:r w:rsidRPr="003A6AEE">
              <w:rPr>
                <w:rFonts w:eastAsia="MS Mincho"/>
                <w:b/>
                <w:bCs/>
                <w:i/>
                <w:color w:val="000000"/>
                <w:sz w:val="22"/>
                <w:szCs w:val="22"/>
                <w:lang w:eastAsia="ja-JP" w:bidi="lo-LA"/>
              </w:rPr>
              <w:t>Log rank</w:t>
            </w:r>
            <w:r w:rsidRPr="008168E1">
              <w:rPr>
                <w:rFonts w:eastAsia="MS Mincho"/>
                <w:b/>
                <w:bCs/>
                <w:color w:val="000000"/>
                <w:sz w:val="22"/>
                <w:szCs w:val="22"/>
                <w:lang w:eastAsia="ja-JP" w:bidi="lo-LA"/>
              </w:rPr>
              <w:t xml:space="preserve"> analizė </w:t>
            </w:r>
          </w:p>
        </w:tc>
        <w:tc>
          <w:tcPr>
            <w:tcW w:w="2847" w:type="dxa"/>
            <w:gridSpan w:val="3"/>
            <w:tcBorders>
              <w:top w:val="single" w:sz="10" w:space="0" w:color="000000"/>
              <w:left w:val="single" w:sz="8" w:space="0" w:color="000000"/>
              <w:bottom w:val="single" w:sz="10" w:space="0" w:color="000000"/>
              <w:right w:val="single" w:sz="8"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P=0,151</w:t>
            </w:r>
          </w:p>
        </w:tc>
        <w:tc>
          <w:tcPr>
            <w:tcW w:w="2722" w:type="dxa"/>
            <w:gridSpan w:val="2"/>
            <w:tcBorders>
              <w:top w:val="single" w:sz="10" w:space="0" w:color="000000"/>
              <w:left w:val="single" w:sz="8" w:space="0" w:color="000000"/>
              <w:bottom w:val="single" w:sz="10" w:space="0" w:color="000000"/>
              <w:right w:val="single" w:sz="6" w:space="0" w:color="000000"/>
            </w:tcBorders>
            <w:vAlign w:val="center"/>
          </w:tcPr>
          <w:p w:rsidR="00255979" w:rsidRPr="008168E1" w:rsidRDefault="00255979" w:rsidP="00CA3872">
            <w:pPr>
              <w:widowControl w:val="0"/>
              <w:autoSpaceDE w:val="0"/>
              <w:autoSpaceDN w:val="0"/>
              <w:adjustRightInd w:val="0"/>
              <w:jc w:val="center"/>
              <w:rPr>
                <w:rFonts w:eastAsia="MS Mincho"/>
                <w:color w:val="000000"/>
                <w:lang w:eastAsia="ja-JP" w:bidi="lo-LA"/>
              </w:rPr>
            </w:pPr>
            <w:r w:rsidRPr="008168E1">
              <w:rPr>
                <w:rFonts w:eastAsia="MS Mincho"/>
                <w:color w:val="000000"/>
                <w:sz w:val="22"/>
                <w:szCs w:val="22"/>
                <w:lang w:eastAsia="ja-JP" w:bidi="lo-LA"/>
              </w:rPr>
              <w:t>P=0,002</w:t>
            </w:r>
          </w:p>
        </w:tc>
      </w:tr>
    </w:tbl>
    <w:p w:rsidR="00255979" w:rsidRPr="008168E1" w:rsidRDefault="00255979" w:rsidP="008168E1">
      <w:pPr>
        <w:widowControl w:val="0"/>
        <w:autoSpaceDE w:val="0"/>
        <w:autoSpaceDN w:val="0"/>
        <w:adjustRightInd w:val="0"/>
        <w:spacing w:after="275"/>
        <w:jc w:val="both"/>
        <w:rPr>
          <w:rFonts w:eastAsia="MS Mincho"/>
          <w:sz w:val="22"/>
          <w:szCs w:val="22"/>
          <w:lang w:eastAsia="ja-JP" w:bidi="lo-LA"/>
        </w:rPr>
      </w:pPr>
      <w:r w:rsidRPr="008168E1">
        <w:rPr>
          <w:rFonts w:eastAsia="MS Mincho"/>
          <w:sz w:val="22"/>
          <w:szCs w:val="22"/>
          <w:lang w:eastAsia="ja-JP" w:bidi="lo-LA"/>
        </w:rPr>
        <w:t xml:space="preserve">* </w:t>
      </w:r>
      <w:r>
        <w:rPr>
          <w:rFonts w:eastAsia="MS Mincho"/>
          <w:sz w:val="22"/>
          <w:szCs w:val="22"/>
          <w:lang w:eastAsia="ja-JP" w:bidi="lo-LA"/>
        </w:rPr>
        <w:t>S</w:t>
      </w:r>
      <w:r w:rsidRPr="008168E1">
        <w:rPr>
          <w:rFonts w:eastAsia="MS Mincho"/>
          <w:sz w:val="22"/>
          <w:szCs w:val="22"/>
          <w:lang w:eastAsia="ja-JP" w:bidi="lo-LA"/>
        </w:rPr>
        <w:t>tebėjimo trukmė</w:t>
      </w:r>
      <w:r>
        <w:rPr>
          <w:rFonts w:eastAsia="MS Mincho"/>
          <w:sz w:val="22"/>
          <w:szCs w:val="22"/>
          <w:lang w:eastAsia="ja-JP" w:bidi="lo-LA"/>
        </w:rPr>
        <w:t>s mediana</w:t>
      </w:r>
      <w:r w:rsidRPr="008168E1">
        <w:rPr>
          <w:rFonts w:eastAsia="MS Mincho"/>
          <w:sz w:val="22"/>
          <w:szCs w:val="22"/>
          <w:lang w:eastAsia="ja-JP" w:bidi="lo-LA"/>
        </w:rPr>
        <w:t xml:space="preserve"> – 44,2 mėnesio (visi pacientai buvo stebimi ne trumpiau kaip 3 metus).  </w:t>
      </w:r>
    </w:p>
    <w:p w:rsidR="00255979" w:rsidRDefault="00255979" w:rsidP="005E4334">
      <w:pPr>
        <w:widowControl w:val="0"/>
        <w:autoSpaceDE w:val="0"/>
        <w:autoSpaceDN w:val="0"/>
        <w:adjustRightInd w:val="0"/>
        <w:rPr>
          <w:rFonts w:eastAsia="MS Mincho"/>
          <w:b/>
          <w:bCs/>
          <w:sz w:val="22"/>
          <w:szCs w:val="22"/>
          <w:lang w:eastAsia="ja-JP" w:bidi="lo-LA"/>
        </w:rPr>
      </w:pPr>
      <w:r w:rsidRPr="008168E1">
        <w:rPr>
          <w:rFonts w:eastAsia="MS Mincho"/>
          <w:b/>
          <w:bCs/>
          <w:sz w:val="22"/>
          <w:szCs w:val="22"/>
          <w:lang w:eastAsia="ja-JP" w:bidi="lo-LA"/>
        </w:rPr>
        <w:t xml:space="preserve">Bendrasis išgyvenamumas (ITT analizė) </w:t>
      </w:r>
    </w:p>
    <w:p w:rsidR="00255979" w:rsidRPr="008168E1" w:rsidRDefault="00255979" w:rsidP="005E4334">
      <w:pPr>
        <w:widowControl w:val="0"/>
        <w:autoSpaceDE w:val="0"/>
        <w:autoSpaceDN w:val="0"/>
        <w:adjustRightInd w:val="0"/>
        <w:rPr>
          <w:rFonts w:eastAsia="MS Mincho"/>
          <w:sz w:val="22"/>
          <w:szCs w:val="22"/>
          <w:lang w:eastAsia="ja-JP" w:bidi="lo-LA"/>
        </w:rPr>
      </w:pPr>
    </w:p>
    <w:p w:rsidR="00255979" w:rsidRDefault="00255979" w:rsidP="005E4334">
      <w:pPr>
        <w:widowControl w:val="0"/>
        <w:autoSpaceDE w:val="0"/>
        <w:autoSpaceDN w:val="0"/>
        <w:adjustRightInd w:val="0"/>
        <w:rPr>
          <w:rFonts w:eastAsia="MS Mincho"/>
          <w:sz w:val="22"/>
          <w:szCs w:val="22"/>
          <w:lang w:eastAsia="ja-JP" w:bidi="lo-LA"/>
        </w:rPr>
      </w:pPr>
      <w:r w:rsidRPr="008168E1">
        <w:rPr>
          <w:rFonts w:eastAsia="MS Mincho"/>
          <w:sz w:val="22"/>
          <w:szCs w:val="22"/>
          <w:lang w:eastAsia="ja-JP" w:bidi="lo-LA"/>
        </w:rPr>
        <w:t>3 metų laikotarpiu vertinant išgyvenamumą be ligos atkryčio (tai pagrindinis MOSAIC tyrimo tikslas), nustatyta, kad apskritai išgyveno 85,1 % FOLFOX4 ir 83,8 % LV5FU2 gydymo grupės pacientų.  Apskaičiavus bendrąjį mirties pavojaus sumažėjimą, nustatyta, kad jis FOLFOX4 gydymo grupėje sumažėjo 10 % daugiau, bet statistiškai nereikšmin</w:t>
      </w:r>
      <w:r>
        <w:rPr>
          <w:rFonts w:eastAsia="MS Mincho"/>
          <w:sz w:val="22"/>
          <w:szCs w:val="22"/>
          <w:lang w:eastAsia="ja-JP" w:bidi="lo-LA"/>
        </w:rPr>
        <w:t>gai (rizikos santykis = 0,90).</w:t>
      </w:r>
    </w:p>
    <w:p w:rsidR="00255979" w:rsidRPr="008168E1" w:rsidRDefault="00255979" w:rsidP="005E4334">
      <w:pPr>
        <w:widowControl w:val="0"/>
        <w:autoSpaceDE w:val="0"/>
        <w:autoSpaceDN w:val="0"/>
        <w:adjustRightInd w:val="0"/>
        <w:rPr>
          <w:rFonts w:eastAsia="MS Mincho"/>
          <w:sz w:val="22"/>
          <w:szCs w:val="22"/>
          <w:lang w:eastAsia="ja-JP" w:bidi="lo-LA"/>
        </w:rPr>
      </w:pPr>
    </w:p>
    <w:p w:rsidR="00255979" w:rsidRDefault="00255979" w:rsidP="005E4334">
      <w:pPr>
        <w:widowControl w:val="0"/>
        <w:autoSpaceDE w:val="0"/>
        <w:autoSpaceDN w:val="0"/>
        <w:adjustRightInd w:val="0"/>
        <w:rPr>
          <w:rFonts w:eastAsia="MS Mincho"/>
          <w:sz w:val="22"/>
          <w:szCs w:val="22"/>
          <w:lang w:eastAsia="ja-JP" w:bidi="lo-LA"/>
        </w:rPr>
      </w:pPr>
      <w:r w:rsidRPr="008168E1">
        <w:rPr>
          <w:rFonts w:eastAsia="MS Mincho"/>
          <w:sz w:val="22"/>
          <w:szCs w:val="22"/>
          <w:lang w:eastAsia="ja-JP" w:bidi="lo-LA"/>
        </w:rPr>
        <w:t xml:space="preserve">FOLFOX4 ir LV5FU2 gydymo grupėse buvo išgyvenę atitinkamai 92,2 % ir 92,4 % II stadijos (B2 pagal </w:t>
      </w:r>
      <w:r w:rsidRPr="003A6AEE">
        <w:rPr>
          <w:rFonts w:eastAsia="MS Mincho"/>
          <w:i/>
          <w:sz w:val="22"/>
          <w:szCs w:val="22"/>
          <w:lang w:eastAsia="ja-JP" w:bidi="lo-LA"/>
        </w:rPr>
        <w:t>Duke</w:t>
      </w:r>
      <w:r w:rsidRPr="008168E1">
        <w:rPr>
          <w:rFonts w:eastAsia="MS Mincho"/>
          <w:sz w:val="22"/>
          <w:szCs w:val="22"/>
          <w:lang w:eastAsia="ja-JP" w:bidi="lo-LA"/>
        </w:rPr>
        <w:t xml:space="preserve">) pacientų (rizikos santykis = 1,01) ir 80,4 % bei 78,1 % III stadijos (C pagal </w:t>
      </w:r>
      <w:r w:rsidRPr="003A6AEE">
        <w:rPr>
          <w:rFonts w:eastAsia="MS Mincho"/>
          <w:i/>
          <w:sz w:val="22"/>
          <w:szCs w:val="22"/>
          <w:lang w:eastAsia="ja-JP" w:bidi="lo-LA"/>
        </w:rPr>
        <w:t>Duke</w:t>
      </w:r>
      <w:r w:rsidRPr="008168E1">
        <w:rPr>
          <w:rFonts w:eastAsia="MS Mincho"/>
          <w:sz w:val="22"/>
          <w:szCs w:val="22"/>
          <w:lang w:eastAsia="ja-JP" w:bidi="lo-LA"/>
        </w:rPr>
        <w:t>) paci</w:t>
      </w:r>
      <w:r>
        <w:rPr>
          <w:rFonts w:eastAsia="MS Mincho"/>
          <w:sz w:val="22"/>
          <w:szCs w:val="22"/>
          <w:lang w:eastAsia="ja-JP" w:bidi="lo-LA"/>
        </w:rPr>
        <w:t>entų (rizikos santykis = 0,87).</w:t>
      </w:r>
    </w:p>
    <w:p w:rsidR="00255979" w:rsidRPr="008168E1" w:rsidRDefault="00255979" w:rsidP="005E4334">
      <w:pPr>
        <w:widowControl w:val="0"/>
        <w:autoSpaceDE w:val="0"/>
        <w:autoSpaceDN w:val="0"/>
        <w:adjustRightInd w:val="0"/>
        <w:rPr>
          <w:rFonts w:eastAsia="MS Mincho"/>
          <w:sz w:val="22"/>
          <w:szCs w:val="22"/>
          <w:lang w:eastAsia="ja-JP" w:bidi="lo-LA"/>
        </w:rPr>
      </w:pPr>
    </w:p>
    <w:p w:rsidR="00255979" w:rsidRDefault="00255979" w:rsidP="005E4334">
      <w:pPr>
        <w:widowControl w:val="0"/>
        <w:autoSpaceDE w:val="0"/>
        <w:autoSpaceDN w:val="0"/>
        <w:adjustRightInd w:val="0"/>
        <w:rPr>
          <w:rFonts w:eastAsia="MS Mincho"/>
          <w:sz w:val="22"/>
          <w:szCs w:val="22"/>
          <w:lang w:eastAsia="ja-JP" w:bidi="lo-LA"/>
        </w:rPr>
      </w:pPr>
      <w:r w:rsidRPr="008168E1">
        <w:rPr>
          <w:rFonts w:eastAsia="MS Mincho"/>
          <w:sz w:val="22"/>
          <w:szCs w:val="22"/>
          <w:lang w:eastAsia="ja-JP" w:bidi="lo-LA"/>
        </w:rPr>
        <w:t xml:space="preserve">Oksaliplatinos monoterapija buvo vertinta tiriant vaikus dviejų I fazės (69 pacientai) ir dviejų II fazės </w:t>
      </w:r>
      <w:r w:rsidRPr="008168E1">
        <w:rPr>
          <w:rFonts w:eastAsia="MS Mincho"/>
          <w:sz w:val="22"/>
          <w:szCs w:val="22"/>
          <w:lang w:eastAsia="ja-JP" w:bidi="lo-LA"/>
        </w:rPr>
        <w:lastRenderedPageBreak/>
        <w:t>(166 pacientai) klinikinių tyrimų metu. Iš viso buvo gydyti 235 vaikai (nuo 7 mėnesių iki 22 metų amžiaus), sergantys solidiniais navikais.  Vienos oksaliplatinos veiksmingumas gydytoje vaikų populiacijoje nenustatytas.  Abiejų II fazės klinikinių tyrimų metu pacientų skaičiaus didinimas buvo sustabdytas dėl nepakank</w:t>
      </w:r>
      <w:r>
        <w:rPr>
          <w:rFonts w:eastAsia="MS Mincho"/>
          <w:sz w:val="22"/>
          <w:szCs w:val="22"/>
          <w:lang w:eastAsia="ja-JP" w:bidi="lo-LA"/>
        </w:rPr>
        <w:t>amos naviko reakcijos į gydymą.</w:t>
      </w:r>
    </w:p>
    <w:p w:rsidR="00255979" w:rsidRDefault="00255979" w:rsidP="005E4334">
      <w:pPr>
        <w:pStyle w:val="PI-2EMEASMCA"/>
        <w:keepNext w:val="0"/>
        <w:keepLines w:val="0"/>
        <w:widowControl w:val="0"/>
        <w:ind w:left="0" w:firstLine="0"/>
        <w:outlineLvl w:val="9"/>
        <w:rPr>
          <w:rFonts w:eastAsia="MS Mincho"/>
          <w:b w:val="0"/>
          <w:kern w:val="0"/>
          <w:lang w:eastAsia="ja-JP" w:bidi="lo-LA"/>
        </w:rPr>
      </w:pPr>
      <w:bookmarkStart w:id="34" w:name="_Toc129243113"/>
      <w:bookmarkStart w:id="35" w:name="_Toc129243238"/>
    </w:p>
    <w:p w:rsidR="00255979" w:rsidRDefault="00255979" w:rsidP="005E4334">
      <w:pPr>
        <w:pStyle w:val="PI-2EMEASMCA"/>
        <w:keepNext w:val="0"/>
        <w:keepLines w:val="0"/>
        <w:widowControl w:val="0"/>
        <w:ind w:left="0" w:firstLine="0"/>
        <w:outlineLvl w:val="9"/>
      </w:pPr>
      <w:r w:rsidRPr="0084041E">
        <w:t>5.2</w:t>
      </w:r>
      <w:r w:rsidRPr="0084041E">
        <w:tab/>
        <w:t>Farmakokinetinės savybės</w:t>
      </w:r>
      <w:bookmarkEnd w:id="34"/>
      <w:bookmarkEnd w:id="35"/>
    </w:p>
    <w:p w:rsidR="00255979" w:rsidRDefault="00255979" w:rsidP="005E4334">
      <w:pPr>
        <w:pStyle w:val="PI-2EMEASMCA"/>
        <w:keepNext w:val="0"/>
        <w:keepLines w:val="0"/>
        <w:widowControl w:val="0"/>
        <w:ind w:left="0"/>
        <w:outlineLvl w:val="9"/>
      </w:pPr>
    </w:p>
    <w:p w:rsidR="00255979" w:rsidRDefault="00255979" w:rsidP="005E4334">
      <w:pPr>
        <w:pStyle w:val="CM13"/>
        <w:rPr>
          <w:rFonts w:cs="Times New Roman"/>
          <w:sz w:val="22"/>
          <w:szCs w:val="22"/>
          <w:lang w:val="lt-LT"/>
        </w:rPr>
      </w:pPr>
      <w:r w:rsidRPr="008168E1">
        <w:rPr>
          <w:rFonts w:cs="Times New Roman"/>
          <w:sz w:val="22"/>
          <w:szCs w:val="22"/>
          <w:lang w:val="lt-LT"/>
        </w:rPr>
        <w:t>Atskirų veikliųjų junginių farmakokinetinės savybės tiriamos nebuvo. Tyrimais nustatytos ultrafiltruotos platinos, t. y. veikliosios ir neveikliosios platinos, farmakokinetinės savybės per 1–5 gydymo kursus, kai pacientui kas tris savaites per dvi valandas buvo infuzuojama 130 mg/m² kūno paviršiaus ploto oksaliplatinos ir per 1–3 gydymo kursus, kai pacientui kas dvi savaites buvo infuzuojama 85 mg/m² kūno pa</w:t>
      </w:r>
      <w:r>
        <w:rPr>
          <w:rFonts w:cs="Times New Roman"/>
          <w:sz w:val="22"/>
          <w:szCs w:val="22"/>
          <w:lang w:val="lt-LT"/>
        </w:rPr>
        <w:t>viršiaus ploto oksaliplatinos.</w:t>
      </w:r>
    </w:p>
    <w:p w:rsidR="00255979" w:rsidRPr="005E4334" w:rsidRDefault="00255979" w:rsidP="005E4334">
      <w:pPr>
        <w:rPr>
          <w:lang w:eastAsia="ja-JP" w:bidi="lo-LA"/>
        </w:rPr>
      </w:pPr>
    </w:p>
    <w:p w:rsidR="00255979" w:rsidRDefault="00255979" w:rsidP="005E4334">
      <w:pPr>
        <w:pStyle w:val="CM14"/>
        <w:rPr>
          <w:rFonts w:cs="Times New Roman"/>
          <w:sz w:val="22"/>
          <w:szCs w:val="22"/>
          <w:lang w:val="lt-LT"/>
        </w:rPr>
      </w:pPr>
      <w:r w:rsidRPr="008168E1">
        <w:rPr>
          <w:rFonts w:cs="Times New Roman"/>
          <w:sz w:val="22"/>
          <w:szCs w:val="22"/>
          <w:lang w:val="lt-LT"/>
        </w:rPr>
        <w:t>Platinos farmakokinetinių rodiklių, nustatytų skiriant vartoti ultrafiltruotą oksaliplatiną dauginėmis dozėmis kas dvi savaites po 85 mg/m</w:t>
      </w:r>
      <w:r w:rsidRPr="008168E1">
        <w:rPr>
          <w:rFonts w:cs="Times New Roman"/>
          <w:position w:val="11"/>
          <w:sz w:val="22"/>
          <w:szCs w:val="22"/>
          <w:vertAlign w:val="superscript"/>
          <w:lang w:val="lt-LT"/>
        </w:rPr>
        <w:t>2</w:t>
      </w:r>
      <w:r w:rsidRPr="008168E1">
        <w:rPr>
          <w:rFonts w:cs="Times New Roman"/>
          <w:sz w:val="22"/>
          <w:szCs w:val="22"/>
          <w:lang w:val="lt-LT"/>
        </w:rPr>
        <w:t xml:space="preserve"> kūno paviršiaus ploto ir kas tris savaites po 130 mg/m</w:t>
      </w:r>
      <w:r w:rsidRPr="008168E1">
        <w:rPr>
          <w:rFonts w:cs="Times New Roman"/>
          <w:position w:val="11"/>
          <w:sz w:val="22"/>
          <w:szCs w:val="22"/>
          <w:vertAlign w:val="superscript"/>
          <w:lang w:val="lt-LT"/>
        </w:rPr>
        <w:t>2</w:t>
      </w:r>
      <w:r w:rsidRPr="008168E1">
        <w:rPr>
          <w:rFonts w:cs="Times New Roman"/>
          <w:sz w:val="22"/>
          <w:szCs w:val="22"/>
          <w:lang w:val="lt-LT"/>
        </w:rPr>
        <w:t xml:space="preserve"> kūno paviršiaus ploto, apžvalga. </w:t>
      </w:r>
    </w:p>
    <w:p w:rsidR="00255979" w:rsidRPr="005E4334" w:rsidRDefault="00255979" w:rsidP="005E4334">
      <w:pPr>
        <w:pStyle w:val="Default"/>
        <w:rPr>
          <w:lang w:val="lt-LT"/>
        </w:rPr>
      </w:pPr>
    </w:p>
    <w:tbl>
      <w:tblPr>
        <w:tblW w:w="9591" w:type="dxa"/>
        <w:tblLayout w:type="fixed"/>
        <w:tblLook w:val="0000" w:firstRow="0" w:lastRow="0" w:firstColumn="0" w:lastColumn="0" w:noHBand="0" w:noVBand="0"/>
      </w:tblPr>
      <w:tblGrid>
        <w:gridCol w:w="1342"/>
        <w:gridCol w:w="1021"/>
        <w:gridCol w:w="1018"/>
        <w:gridCol w:w="1018"/>
        <w:gridCol w:w="1022"/>
        <w:gridCol w:w="1018"/>
        <w:gridCol w:w="1160"/>
        <w:gridCol w:w="258"/>
        <w:gridCol w:w="803"/>
        <w:gridCol w:w="931"/>
      </w:tblGrid>
      <w:tr w:rsidR="00255979" w:rsidRPr="008168E1" w:rsidTr="008168E1">
        <w:trPr>
          <w:trHeight w:val="192"/>
        </w:trPr>
        <w:tc>
          <w:tcPr>
            <w:tcW w:w="1232" w:type="dxa"/>
            <w:tcBorders>
              <w:top w:val="single" w:sz="10" w:space="0" w:color="000000"/>
              <w:left w:val="single" w:sz="6" w:space="0" w:color="000000"/>
              <w:bottom w:val="single" w:sz="10" w:space="0" w:color="000000"/>
              <w:right w:val="single" w:sz="10" w:space="0" w:color="000000"/>
            </w:tcBorders>
            <w:vAlign w:val="center"/>
          </w:tcPr>
          <w:p w:rsidR="00255979" w:rsidRPr="008168E1" w:rsidRDefault="00255979" w:rsidP="008168E1">
            <w:pPr>
              <w:pStyle w:val="Default"/>
              <w:rPr>
                <w:sz w:val="22"/>
                <w:szCs w:val="22"/>
                <w:lang w:val="lt-LT"/>
              </w:rPr>
            </w:pPr>
            <w:r w:rsidRPr="008168E1">
              <w:rPr>
                <w:b/>
                <w:bCs/>
                <w:sz w:val="22"/>
                <w:szCs w:val="22"/>
                <w:lang w:val="lt-LT"/>
              </w:rPr>
              <w:t xml:space="preserve">Dozė </w:t>
            </w:r>
          </w:p>
        </w:tc>
        <w:tc>
          <w:tcPr>
            <w:tcW w:w="937"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b/>
                <w:bCs/>
                <w:sz w:val="22"/>
                <w:szCs w:val="22"/>
                <w:lang w:val="lt-LT"/>
              </w:rPr>
              <w:t xml:space="preserve">Cmax </w:t>
            </w:r>
          </w:p>
        </w:tc>
        <w:tc>
          <w:tcPr>
            <w:tcW w:w="93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b/>
                <w:bCs/>
                <w:sz w:val="22"/>
                <w:szCs w:val="22"/>
                <w:lang w:val="lt-LT"/>
              </w:rPr>
              <w:t xml:space="preserve">AUC0–48 </w:t>
            </w:r>
          </w:p>
        </w:tc>
        <w:tc>
          <w:tcPr>
            <w:tcW w:w="93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b/>
                <w:bCs/>
                <w:sz w:val="22"/>
                <w:szCs w:val="22"/>
                <w:lang w:val="lt-LT"/>
              </w:rPr>
              <w:t xml:space="preserve">AUC </w:t>
            </w:r>
          </w:p>
        </w:tc>
        <w:tc>
          <w:tcPr>
            <w:tcW w:w="938"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b/>
                <w:bCs/>
                <w:sz w:val="22"/>
                <w:szCs w:val="22"/>
                <w:lang w:val="lt-LT"/>
              </w:rPr>
              <w:t xml:space="preserve">t1/2α </w:t>
            </w:r>
          </w:p>
        </w:tc>
        <w:tc>
          <w:tcPr>
            <w:tcW w:w="93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b/>
                <w:bCs/>
                <w:sz w:val="22"/>
                <w:szCs w:val="22"/>
                <w:lang w:val="lt-LT"/>
              </w:rPr>
              <w:t xml:space="preserve">t1/2β </w:t>
            </w:r>
          </w:p>
        </w:tc>
        <w:tc>
          <w:tcPr>
            <w:tcW w:w="106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b/>
                <w:bCs/>
                <w:sz w:val="22"/>
                <w:szCs w:val="22"/>
                <w:lang w:val="lt-LT"/>
              </w:rPr>
              <w:t xml:space="preserve">t1/2γ </w:t>
            </w:r>
          </w:p>
        </w:tc>
        <w:tc>
          <w:tcPr>
            <w:tcW w:w="237" w:type="dxa"/>
            <w:tcBorders>
              <w:top w:val="single" w:sz="10" w:space="0" w:color="000000"/>
              <w:left w:val="single" w:sz="10" w:space="0" w:color="000000"/>
              <w:bottom w:val="single" w:sz="10" w:space="0" w:color="000000"/>
            </w:tcBorders>
          </w:tcPr>
          <w:p w:rsidR="00255979" w:rsidRPr="008168E1" w:rsidRDefault="00255979" w:rsidP="008168E1">
            <w:pPr>
              <w:pStyle w:val="Default"/>
              <w:rPr>
                <w:color w:val="auto"/>
                <w:sz w:val="22"/>
                <w:szCs w:val="22"/>
                <w:lang w:val="lt-LT"/>
              </w:rPr>
            </w:pPr>
          </w:p>
        </w:tc>
        <w:tc>
          <w:tcPr>
            <w:tcW w:w="737" w:type="dxa"/>
            <w:tcBorders>
              <w:top w:val="single" w:sz="10" w:space="0" w:color="000000"/>
              <w:bottom w:val="single" w:sz="10" w:space="0" w:color="000000"/>
              <w:right w:val="single" w:sz="10" w:space="0" w:color="000000"/>
            </w:tcBorders>
            <w:vAlign w:val="center"/>
          </w:tcPr>
          <w:p w:rsidR="00255979" w:rsidRPr="008168E1" w:rsidRDefault="00255979" w:rsidP="008168E1">
            <w:pPr>
              <w:pStyle w:val="Default"/>
              <w:rPr>
                <w:sz w:val="22"/>
                <w:szCs w:val="22"/>
                <w:lang w:val="lt-LT"/>
              </w:rPr>
            </w:pPr>
            <w:r w:rsidRPr="008168E1">
              <w:rPr>
                <w:b/>
                <w:bCs/>
                <w:sz w:val="22"/>
                <w:szCs w:val="22"/>
                <w:lang w:val="lt-LT"/>
              </w:rPr>
              <w:t xml:space="preserve">Vss </w:t>
            </w:r>
          </w:p>
        </w:tc>
        <w:tc>
          <w:tcPr>
            <w:tcW w:w="855" w:type="dxa"/>
            <w:tcBorders>
              <w:top w:val="single" w:sz="10" w:space="0" w:color="000000"/>
              <w:left w:val="single" w:sz="10" w:space="0" w:color="000000"/>
              <w:bottom w:val="single" w:sz="10" w:space="0" w:color="000000"/>
              <w:right w:val="single" w:sz="6" w:space="0" w:color="000000"/>
            </w:tcBorders>
            <w:vAlign w:val="center"/>
          </w:tcPr>
          <w:p w:rsidR="00255979" w:rsidRPr="008168E1" w:rsidRDefault="00255979" w:rsidP="008168E1">
            <w:pPr>
              <w:pStyle w:val="Default"/>
              <w:jc w:val="center"/>
              <w:rPr>
                <w:sz w:val="22"/>
                <w:szCs w:val="22"/>
                <w:lang w:val="lt-LT"/>
              </w:rPr>
            </w:pPr>
            <w:r w:rsidRPr="008168E1">
              <w:rPr>
                <w:b/>
                <w:bCs/>
                <w:sz w:val="22"/>
                <w:szCs w:val="22"/>
                <w:lang w:val="lt-LT"/>
              </w:rPr>
              <w:t xml:space="preserve">CL </w:t>
            </w:r>
          </w:p>
        </w:tc>
      </w:tr>
      <w:tr w:rsidR="00255979" w:rsidRPr="008168E1" w:rsidTr="008168E1">
        <w:trPr>
          <w:trHeight w:val="311"/>
        </w:trPr>
        <w:tc>
          <w:tcPr>
            <w:tcW w:w="1232" w:type="dxa"/>
            <w:tcBorders>
              <w:top w:val="single" w:sz="10" w:space="0" w:color="000000"/>
              <w:left w:val="single" w:sz="6" w:space="0" w:color="000000"/>
              <w:bottom w:val="single" w:sz="10" w:space="0" w:color="000000"/>
              <w:right w:val="single" w:sz="10" w:space="0" w:color="000000"/>
            </w:tcBorders>
          </w:tcPr>
          <w:p w:rsidR="00255979" w:rsidRPr="008168E1" w:rsidRDefault="00255979" w:rsidP="008168E1">
            <w:pPr>
              <w:pStyle w:val="Default"/>
              <w:rPr>
                <w:color w:val="auto"/>
                <w:sz w:val="22"/>
                <w:szCs w:val="22"/>
                <w:lang w:val="lt-LT"/>
              </w:rPr>
            </w:pPr>
          </w:p>
        </w:tc>
        <w:tc>
          <w:tcPr>
            <w:tcW w:w="937"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b/>
                <w:bCs/>
                <w:sz w:val="22"/>
                <w:szCs w:val="22"/>
                <w:lang w:val="lt-LT"/>
              </w:rPr>
              <w:t xml:space="preserve">μ g /ml </w:t>
            </w:r>
          </w:p>
        </w:tc>
        <w:tc>
          <w:tcPr>
            <w:tcW w:w="93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b/>
                <w:bCs/>
                <w:sz w:val="22"/>
                <w:szCs w:val="22"/>
                <w:lang w:val="lt-LT"/>
              </w:rPr>
              <w:t xml:space="preserve">μg.h /ml </w:t>
            </w:r>
          </w:p>
        </w:tc>
        <w:tc>
          <w:tcPr>
            <w:tcW w:w="93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b/>
                <w:bCs/>
                <w:sz w:val="22"/>
                <w:szCs w:val="22"/>
                <w:lang w:val="lt-LT"/>
              </w:rPr>
              <w:t xml:space="preserve">μg.h /ml </w:t>
            </w:r>
          </w:p>
        </w:tc>
        <w:tc>
          <w:tcPr>
            <w:tcW w:w="938"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sz w:val="22"/>
                <w:szCs w:val="22"/>
                <w:lang w:val="lt-LT"/>
              </w:rPr>
            </w:pPr>
            <w:r w:rsidRPr="008168E1">
              <w:rPr>
                <w:b/>
                <w:bCs/>
                <w:sz w:val="22"/>
                <w:szCs w:val="22"/>
                <w:lang w:val="lt-LT"/>
              </w:rPr>
              <w:t xml:space="preserve">h </w:t>
            </w:r>
          </w:p>
        </w:tc>
        <w:tc>
          <w:tcPr>
            <w:tcW w:w="93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sz w:val="22"/>
                <w:szCs w:val="22"/>
                <w:lang w:val="lt-LT"/>
              </w:rPr>
            </w:pPr>
            <w:r w:rsidRPr="008168E1">
              <w:rPr>
                <w:b/>
                <w:bCs/>
                <w:sz w:val="22"/>
                <w:szCs w:val="22"/>
                <w:lang w:val="lt-LT"/>
              </w:rPr>
              <w:t xml:space="preserve">h </w:t>
            </w:r>
          </w:p>
        </w:tc>
        <w:tc>
          <w:tcPr>
            <w:tcW w:w="106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sz w:val="22"/>
                <w:szCs w:val="22"/>
                <w:lang w:val="lt-LT"/>
              </w:rPr>
            </w:pPr>
            <w:r w:rsidRPr="008168E1">
              <w:rPr>
                <w:b/>
                <w:bCs/>
                <w:sz w:val="22"/>
                <w:szCs w:val="22"/>
                <w:lang w:val="lt-LT"/>
              </w:rPr>
              <w:t xml:space="preserve">h </w:t>
            </w:r>
          </w:p>
        </w:tc>
        <w:tc>
          <w:tcPr>
            <w:tcW w:w="237" w:type="dxa"/>
            <w:tcBorders>
              <w:top w:val="single" w:sz="10" w:space="0" w:color="000000"/>
              <w:left w:val="single" w:sz="10" w:space="0" w:color="000000"/>
              <w:bottom w:val="single" w:sz="10" w:space="0" w:color="000000"/>
            </w:tcBorders>
          </w:tcPr>
          <w:p w:rsidR="00255979" w:rsidRPr="008168E1" w:rsidRDefault="00255979" w:rsidP="008168E1">
            <w:pPr>
              <w:pStyle w:val="Default"/>
              <w:rPr>
                <w:color w:val="auto"/>
                <w:sz w:val="22"/>
                <w:szCs w:val="22"/>
                <w:lang w:val="lt-LT"/>
              </w:rPr>
            </w:pPr>
          </w:p>
        </w:tc>
        <w:tc>
          <w:tcPr>
            <w:tcW w:w="737" w:type="dxa"/>
            <w:tcBorders>
              <w:top w:val="single" w:sz="10" w:space="0" w:color="000000"/>
              <w:bottom w:val="single" w:sz="10" w:space="0" w:color="000000"/>
              <w:right w:val="single" w:sz="10" w:space="0" w:color="000000"/>
            </w:tcBorders>
          </w:tcPr>
          <w:p w:rsidR="00255979" w:rsidRPr="008168E1" w:rsidRDefault="00255979" w:rsidP="008168E1">
            <w:pPr>
              <w:pStyle w:val="Default"/>
              <w:rPr>
                <w:sz w:val="22"/>
                <w:szCs w:val="22"/>
                <w:lang w:val="lt-LT"/>
              </w:rPr>
            </w:pPr>
            <w:r w:rsidRPr="008168E1">
              <w:rPr>
                <w:b/>
                <w:bCs/>
                <w:sz w:val="22"/>
                <w:szCs w:val="22"/>
                <w:lang w:val="lt-LT"/>
              </w:rPr>
              <w:t xml:space="preserve">l </w:t>
            </w:r>
          </w:p>
        </w:tc>
        <w:tc>
          <w:tcPr>
            <w:tcW w:w="855" w:type="dxa"/>
            <w:tcBorders>
              <w:top w:val="single" w:sz="10" w:space="0" w:color="000000"/>
              <w:left w:val="single" w:sz="10" w:space="0" w:color="000000"/>
              <w:bottom w:val="single" w:sz="10" w:space="0" w:color="000000"/>
              <w:right w:val="single" w:sz="6" w:space="0" w:color="000000"/>
            </w:tcBorders>
          </w:tcPr>
          <w:p w:rsidR="00255979" w:rsidRPr="008168E1" w:rsidRDefault="00255979" w:rsidP="008168E1">
            <w:pPr>
              <w:pStyle w:val="Default"/>
              <w:jc w:val="center"/>
              <w:rPr>
                <w:sz w:val="22"/>
                <w:szCs w:val="22"/>
                <w:lang w:val="lt-LT"/>
              </w:rPr>
            </w:pPr>
            <w:r w:rsidRPr="008168E1">
              <w:rPr>
                <w:b/>
                <w:bCs/>
                <w:sz w:val="22"/>
                <w:szCs w:val="22"/>
                <w:lang w:val="lt-LT"/>
              </w:rPr>
              <w:t xml:space="preserve">l/h </w:t>
            </w:r>
          </w:p>
        </w:tc>
      </w:tr>
      <w:tr w:rsidR="00255979" w:rsidRPr="008168E1" w:rsidTr="008168E1">
        <w:trPr>
          <w:trHeight w:val="311"/>
        </w:trPr>
        <w:tc>
          <w:tcPr>
            <w:tcW w:w="1232" w:type="dxa"/>
            <w:tcBorders>
              <w:top w:val="single" w:sz="10" w:space="0" w:color="000000"/>
              <w:left w:val="single" w:sz="6" w:space="0" w:color="000000"/>
              <w:bottom w:val="single" w:sz="10" w:space="0" w:color="000000"/>
              <w:right w:val="single" w:sz="10" w:space="0" w:color="000000"/>
            </w:tcBorders>
          </w:tcPr>
          <w:p w:rsidR="00255979" w:rsidRPr="008168E1" w:rsidRDefault="00255979" w:rsidP="008168E1">
            <w:pPr>
              <w:pStyle w:val="Default"/>
              <w:rPr>
                <w:sz w:val="22"/>
                <w:szCs w:val="22"/>
                <w:lang w:val="lt-LT"/>
              </w:rPr>
            </w:pPr>
            <w:r w:rsidRPr="008168E1">
              <w:rPr>
                <w:b/>
                <w:bCs/>
                <w:sz w:val="22"/>
                <w:szCs w:val="22"/>
                <w:lang w:val="lt-LT"/>
              </w:rPr>
              <w:t xml:space="preserve">85 mg/m2 </w:t>
            </w:r>
          </w:p>
        </w:tc>
        <w:tc>
          <w:tcPr>
            <w:tcW w:w="937"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color w:val="auto"/>
                <w:sz w:val="22"/>
                <w:szCs w:val="22"/>
                <w:lang w:val="lt-LT"/>
              </w:rPr>
            </w:pPr>
          </w:p>
        </w:tc>
        <w:tc>
          <w:tcPr>
            <w:tcW w:w="93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color w:val="auto"/>
                <w:sz w:val="22"/>
                <w:szCs w:val="22"/>
                <w:lang w:val="lt-LT"/>
              </w:rPr>
            </w:pPr>
          </w:p>
        </w:tc>
        <w:tc>
          <w:tcPr>
            <w:tcW w:w="93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color w:val="auto"/>
                <w:sz w:val="22"/>
                <w:szCs w:val="22"/>
                <w:lang w:val="lt-LT"/>
              </w:rPr>
            </w:pPr>
          </w:p>
        </w:tc>
        <w:tc>
          <w:tcPr>
            <w:tcW w:w="938"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color w:val="auto"/>
                <w:sz w:val="22"/>
                <w:szCs w:val="22"/>
                <w:lang w:val="lt-LT"/>
              </w:rPr>
            </w:pPr>
          </w:p>
        </w:tc>
        <w:tc>
          <w:tcPr>
            <w:tcW w:w="93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color w:val="auto"/>
                <w:sz w:val="22"/>
                <w:szCs w:val="22"/>
                <w:lang w:val="lt-LT"/>
              </w:rPr>
            </w:pPr>
          </w:p>
        </w:tc>
        <w:tc>
          <w:tcPr>
            <w:tcW w:w="106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color w:val="auto"/>
                <w:sz w:val="22"/>
                <w:szCs w:val="22"/>
                <w:lang w:val="lt-LT"/>
              </w:rPr>
            </w:pPr>
          </w:p>
        </w:tc>
        <w:tc>
          <w:tcPr>
            <w:tcW w:w="237" w:type="dxa"/>
            <w:tcBorders>
              <w:top w:val="single" w:sz="10" w:space="0" w:color="000000"/>
              <w:left w:val="single" w:sz="10" w:space="0" w:color="000000"/>
              <w:bottom w:val="single" w:sz="10" w:space="0" w:color="000000"/>
            </w:tcBorders>
          </w:tcPr>
          <w:p w:rsidR="00255979" w:rsidRPr="008168E1" w:rsidRDefault="00255979" w:rsidP="008168E1">
            <w:pPr>
              <w:pStyle w:val="Default"/>
              <w:rPr>
                <w:color w:val="auto"/>
                <w:sz w:val="22"/>
                <w:szCs w:val="22"/>
                <w:lang w:val="lt-LT"/>
              </w:rPr>
            </w:pPr>
          </w:p>
        </w:tc>
        <w:tc>
          <w:tcPr>
            <w:tcW w:w="737" w:type="dxa"/>
            <w:tcBorders>
              <w:top w:val="single" w:sz="10" w:space="0" w:color="000000"/>
              <w:bottom w:val="single" w:sz="10" w:space="0" w:color="000000"/>
              <w:right w:val="single" w:sz="10" w:space="0" w:color="000000"/>
            </w:tcBorders>
          </w:tcPr>
          <w:p w:rsidR="00255979" w:rsidRPr="008168E1" w:rsidRDefault="00255979" w:rsidP="008168E1">
            <w:pPr>
              <w:pStyle w:val="Default"/>
              <w:rPr>
                <w:color w:val="auto"/>
                <w:sz w:val="22"/>
                <w:szCs w:val="22"/>
                <w:lang w:val="lt-LT"/>
              </w:rPr>
            </w:pPr>
          </w:p>
        </w:tc>
        <w:tc>
          <w:tcPr>
            <w:tcW w:w="855" w:type="dxa"/>
            <w:tcBorders>
              <w:top w:val="single" w:sz="10" w:space="0" w:color="000000"/>
              <w:left w:val="single" w:sz="10" w:space="0" w:color="000000"/>
              <w:bottom w:val="single" w:sz="10" w:space="0" w:color="000000"/>
              <w:right w:val="single" w:sz="6" w:space="0" w:color="000000"/>
            </w:tcBorders>
          </w:tcPr>
          <w:p w:rsidR="00255979" w:rsidRPr="008168E1" w:rsidRDefault="00255979" w:rsidP="008168E1">
            <w:pPr>
              <w:pStyle w:val="Default"/>
              <w:jc w:val="center"/>
              <w:rPr>
                <w:color w:val="auto"/>
                <w:sz w:val="22"/>
                <w:szCs w:val="22"/>
                <w:lang w:val="lt-LT"/>
              </w:rPr>
            </w:pPr>
          </w:p>
        </w:tc>
      </w:tr>
      <w:tr w:rsidR="00255979" w:rsidRPr="008168E1" w:rsidTr="008168E1">
        <w:trPr>
          <w:trHeight w:val="285"/>
        </w:trPr>
        <w:tc>
          <w:tcPr>
            <w:tcW w:w="1232" w:type="dxa"/>
            <w:tcBorders>
              <w:top w:val="single" w:sz="10" w:space="0" w:color="000000"/>
              <w:left w:val="single" w:sz="6" w:space="0" w:color="000000"/>
              <w:bottom w:val="single" w:sz="10" w:space="0" w:color="000000"/>
              <w:right w:val="single" w:sz="10" w:space="0" w:color="000000"/>
            </w:tcBorders>
          </w:tcPr>
          <w:p w:rsidR="00255979" w:rsidRPr="008168E1" w:rsidRDefault="00255979" w:rsidP="008168E1">
            <w:pPr>
              <w:pStyle w:val="Default"/>
              <w:rPr>
                <w:sz w:val="22"/>
                <w:szCs w:val="22"/>
                <w:lang w:val="lt-LT"/>
              </w:rPr>
            </w:pPr>
            <w:r w:rsidRPr="008168E1">
              <w:rPr>
                <w:sz w:val="22"/>
                <w:szCs w:val="22"/>
                <w:lang w:val="lt-LT"/>
              </w:rPr>
              <w:t xml:space="preserve">Vidurkis </w:t>
            </w:r>
          </w:p>
        </w:tc>
        <w:tc>
          <w:tcPr>
            <w:tcW w:w="937"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sz w:val="22"/>
                <w:szCs w:val="22"/>
                <w:lang w:val="lt-LT"/>
              </w:rPr>
            </w:pPr>
            <w:r w:rsidRPr="008168E1">
              <w:rPr>
                <w:sz w:val="22"/>
                <w:szCs w:val="22"/>
                <w:lang w:val="lt-LT"/>
              </w:rPr>
              <w:t xml:space="preserve">0,814 </w:t>
            </w:r>
          </w:p>
        </w:tc>
        <w:tc>
          <w:tcPr>
            <w:tcW w:w="93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sz w:val="22"/>
                <w:szCs w:val="22"/>
                <w:lang w:val="lt-LT"/>
              </w:rPr>
            </w:pPr>
            <w:r w:rsidRPr="008168E1">
              <w:rPr>
                <w:sz w:val="22"/>
                <w:szCs w:val="22"/>
                <w:lang w:val="lt-LT"/>
              </w:rPr>
              <w:t xml:space="preserve">4,19 </w:t>
            </w:r>
          </w:p>
        </w:tc>
        <w:tc>
          <w:tcPr>
            <w:tcW w:w="93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sz w:val="22"/>
                <w:szCs w:val="22"/>
                <w:lang w:val="lt-LT"/>
              </w:rPr>
            </w:pPr>
            <w:r w:rsidRPr="008168E1">
              <w:rPr>
                <w:sz w:val="22"/>
                <w:szCs w:val="22"/>
                <w:lang w:val="lt-LT"/>
              </w:rPr>
              <w:t xml:space="preserve">4,68 </w:t>
            </w:r>
          </w:p>
        </w:tc>
        <w:tc>
          <w:tcPr>
            <w:tcW w:w="938"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sz w:val="22"/>
                <w:szCs w:val="22"/>
                <w:lang w:val="lt-LT"/>
              </w:rPr>
            </w:pPr>
            <w:r w:rsidRPr="008168E1">
              <w:rPr>
                <w:sz w:val="22"/>
                <w:szCs w:val="22"/>
                <w:lang w:val="lt-LT"/>
              </w:rPr>
              <w:t xml:space="preserve">0,43 </w:t>
            </w:r>
          </w:p>
        </w:tc>
        <w:tc>
          <w:tcPr>
            <w:tcW w:w="93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sz w:val="22"/>
                <w:szCs w:val="22"/>
                <w:lang w:val="lt-LT"/>
              </w:rPr>
            </w:pPr>
            <w:r w:rsidRPr="008168E1">
              <w:rPr>
                <w:sz w:val="22"/>
                <w:szCs w:val="22"/>
                <w:lang w:val="lt-LT"/>
              </w:rPr>
              <w:t xml:space="preserve">16,8 </w:t>
            </w:r>
          </w:p>
        </w:tc>
        <w:tc>
          <w:tcPr>
            <w:tcW w:w="106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sz w:val="22"/>
                <w:szCs w:val="22"/>
                <w:lang w:val="lt-LT"/>
              </w:rPr>
            </w:pPr>
            <w:r w:rsidRPr="008168E1">
              <w:rPr>
                <w:sz w:val="22"/>
                <w:szCs w:val="22"/>
                <w:lang w:val="lt-LT"/>
              </w:rPr>
              <w:t xml:space="preserve">391 </w:t>
            </w:r>
          </w:p>
        </w:tc>
        <w:tc>
          <w:tcPr>
            <w:tcW w:w="237" w:type="dxa"/>
            <w:tcBorders>
              <w:top w:val="single" w:sz="10" w:space="0" w:color="000000"/>
              <w:left w:val="single" w:sz="10" w:space="0" w:color="000000"/>
              <w:bottom w:val="single" w:sz="10" w:space="0" w:color="000000"/>
            </w:tcBorders>
          </w:tcPr>
          <w:p w:rsidR="00255979" w:rsidRPr="008168E1" w:rsidRDefault="00255979" w:rsidP="008168E1">
            <w:pPr>
              <w:pStyle w:val="Default"/>
              <w:rPr>
                <w:color w:val="auto"/>
                <w:sz w:val="22"/>
                <w:szCs w:val="22"/>
                <w:lang w:val="lt-LT"/>
              </w:rPr>
            </w:pPr>
          </w:p>
        </w:tc>
        <w:tc>
          <w:tcPr>
            <w:tcW w:w="737" w:type="dxa"/>
            <w:tcBorders>
              <w:top w:val="single" w:sz="10" w:space="0" w:color="000000"/>
              <w:bottom w:val="single" w:sz="10" w:space="0" w:color="000000"/>
              <w:right w:val="single" w:sz="10" w:space="0" w:color="000000"/>
            </w:tcBorders>
          </w:tcPr>
          <w:p w:rsidR="00255979" w:rsidRPr="008168E1" w:rsidRDefault="00255979" w:rsidP="008168E1">
            <w:pPr>
              <w:pStyle w:val="Default"/>
              <w:rPr>
                <w:sz w:val="22"/>
                <w:szCs w:val="22"/>
                <w:lang w:val="lt-LT"/>
              </w:rPr>
            </w:pPr>
            <w:r w:rsidRPr="008168E1">
              <w:rPr>
                <w:sz w:val="22"/>
                <w:szCs w:val="22"/>
                <w:lang w:val="lt-LT"/>
              </w:rPr>
              <w:t xml:space="preserve">440 </w:t>
            </w:r>
          </w:p>
        </w:tc>
        <w:tc>
          <w:tcPr>
            <w:tcW w:w="855" w:type="dxa"/>
            <w:tcBorders>
              <w:top w:val="single" w:sz="10" w:space="0" w:color="000000"/>
              <w:left w:val="single" w:sz="10" w:space="0" w:color="000000"/>
              <w:bottom w:val="single" w:sz="10" w:space="0" w:color="000000"/>
              <w:right w:val="single" w:sz="6" w:space="0" w:color="000000"/>
            </w:tcBorders>
          </w:tcPr>
          <w:p w:rsidR="00255979" w:rsidRPr="008168E1" w:rsidRDefault="00255979" w:rsidP="008168E1">
            <w:pPr>
              <w:pStyle w:val="Default"/>
              <w:jc w:val="center"/>
              <w:rPr>
                <w:sz w:val="22"/>
                <w:szCs w:val="22"/>
                <w:lang w:val="lt-LT"/>
              </w:rPr>
            </w:pPr>
            <w:r w:rsidRPr="008168E1">
              <w:rPr>
                <w:sz w:val="22"/>
                <w:szCs w:val="22"/>
                <w:lang w:val="lt-LT"/>
              </w:rPr>
              <w:t xml:space="preserve">17,4 </w:t>
            </w:r>
          </w:p>
        </w:tc>
      </w:tr>
      <w:tr w:rsidR="00255979" w:rsidRPr="008168E1" w:rsidTr="008168E1">
        <w:trPr>
          <w:trHeight w:val="200"/>
        </w:trPr>
        <w:tc>
          <w:tcPr>
            <w:tcW w:w="1232" w:type="dxa"/>
            <w:tcBorders>
              <w:top w:val="single" w:sz="10" w:space="0" w:color="000000"/>
              <w:left w:val="single" w:sz="6" w:space="0" w:color="000000"/>
              <w:bottom w:val="single" w:sz="10" w:space="0" w:color="000000"/>
              <w:right w:val="single" w:sz="10" w:space="0" w:color="000000"/>
            </w:tcBorders>
            <w:vAlign w:val="center"/>
          </w:tcPr>
          <w:p w:rsidR="00255979" w:rsidRPr="008168E1" w:rsidRDefault="00255979" w:rsidP="008168E1">
            <w:pPr>
              <w:pStyle w:val="Default"/>
              <w:rPr>
                <w:sz w:val="22"/>
                <w:szCs w:val="22"/>
                <w:lang w:val="lt-LT"/>
              </w:rPr>
            </w:pPr>
            <w:r w:rsidRPr="008168E1">
              <w:rPr>
                <w:sz w:val="22"/>
                <w:szCs w:val="22"/>
                <w:lang w:val="lt-LT"/>
              </w:rPr>
              <w:t xml:space="preserve">Standartinis nuokrypis </w:t>
            </w:r>
          </w:p>
        </w:tc>
        <w:tc>
          <w:tcPr>
            <w:tcW w:w="937"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sz w:val="22"/>
                <w:szCs w:val="22"/>
                <w:lang w:val="lt-LT"/>
              </w:rPr>
              <w:t xml:space="preserve">0,193 </w:t>
            </w:r>
          </w:p>
        </w:tc>
        <w:tc>
          <w:tcPr>
            <w:tcW w:w="93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sz w:val="22"/>
                <w:szCs w:val="22"/>
                <w:lang w:val="lt-LT"/>
              </w:rPr>
              <w:t xml:space="preserve">0,647 </w:t>
            </w:r>
          </w:p>
        </w:tc>
        <w:tc>
          <w:tcPr>
            <w:tcW w:w="93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sz w:val="22"/>
                <w:szCs w:val="22"/>
                <w:lang w:val="lt-LT"/>
              </w:rPr>
              <w:t xml:space="preserve">1,40 </w:t>
            </w:r>
          </w:p>
        </w:tc>
        <w:tc>
          <w:tcPr>
            <w:tcW w:w="938"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sz w:val="22"/>
                <w:szCs w:val="22"/>
                <w:lang w:val="lt-LT"/>
              </w:rPr>
              <w:t xml:space="preserve">0,35 </w:t>
            </w:r>
          </w:p>
        </w:tc>
        <w:tc>
          <w:tcPr>
            <w:tcW w:w="93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sz w:val="22"/>
                <w:szCs w:val="22"/>
                <w:lang w:val="lt-LT"/>
              </w:rPr>
              <w:t xml:space="preserve">5,74 </w:t>
            </w:r>
          </w:p>
        </w:tc>
        <w:tc>
          <w:tcPr>
            <w:tcW w:w="106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sz w:val="22"/>
                <w:szCs w:val="22"/>
                <w:lang w:val="lt-LT"/>
              </w:rPr>
              <w:t xml:space="preserve">406 </w:t>
            </w:r>
          </w:p>
        </w:tc>
        <w:tc>
          <w:tcPr>
            <w:tcW w:w="237" w:type="dxa"/>
            <w:tcBorders>
              <w:top w:val="single" w:sz="10" w:space="0" w:color="000000"/>
              <w:left w:val="single" w:sz="10" w:space="0" w:color="000000"/>
              <w:bottom w:val="single" w:sz="10" w:space="0" w:color="000000"/>
            </w:tcBorders>
          </w:tcPr>
          <w:p w:rsidR="00255979" w:rsidRPr="008168E1" w:rsidRDefault="00255979" w:rsidP="008168E1">
            <w:pPr>
              <w:pStyle w:val="Default"/>
              <w:rPr>
                <w:color w:val="auto"/>
                <w:sz w:val="22"/>
                <w:szCs w:val="22"/>
                <w:lang w:val="lt-LT"/>
              </w:rPr>
            </w:pPr>
          </w:p>
        </w:tc>
        <w:tc>
          <w:tcPr>
            <w:tcW w:w="737" w:type="dxa"/>
            <w:tcBorders>
              <w:top w:val="single" w:sz="10" w:space="0" w:color="000000"/>
              <w:bottom w:val="single" w:sz="10" w:space="0" w:color="000000"/>
              <w:right w:val="single" w:sz="10" w:space="0" w:color="000000"/>
            </w:tcBorders>
            <w:vAlign w:val="center"/>
          </w:tcPr>
          <w:p w:rsidR="00255979" w:rsidRPr="008168E1" w:rsidRDefault="00255979" w:rsidP="008168E1">
            <w:pPr>
              <w:pStyle w:val="Default"/>
              <w:rPr>
                <w:sz w:val="22"/>
                <w:szCs w:val="22"/>
                <w:lang w:val="lt-LT"/>
              </w:rPr>
            </w:pPr>
            <w:r w:rsidRPr="008168E1">
              <w:rPr>
                <w:sz w:val="22"/>
                <w:szCs w:val="22"/>
                <w:lang w:val="lt-LT"/>
              </w:rPr>
              <w:t xml:space="preserve">199 </w:t>
            </w:r>
          </w:p>
        </w:tc>
        <w:tc>
          <w:tcPr>
            <w:tcW w:w="855" w:type="dxa"/>
            <w:tcBorders>
              <w:top w:val="single" w:sz="10" w:space="0" w:color="000000"/>
              <w:left w:val="single" w:sz="10" w:space="0" w:color="000000"/>
              <w:bottom w:val="single" w:sz="10" w:space="0" w:color="000000"/>
              <w:right w:val="single" w:sz="6" w:space="0" w:color="000000"/>
            </w:tcBorders>
            <w:vAlign w:val="center"/>
          </w:tcPr>
          <w:p w:rsidR="00255979" w:rsidRPr="008168E1" w:rsidRDefault="00255979" w:rsidP="008168E1">
            <w:pPr>
              <w:pStyle w:val="Default"/>
              <w:jc w:val="center"/>
              <w:rPr>
                <w:sz w:val="22"/>
                <w:szCs w:val="22"/>
                <w:lang w:val="lt-LT"/>
              </w:rPr>
            </w:pPr>
            <w:r w:rsidRPr="008168E1">
              <w:rPr>
                <w:sz w:val="22"/>
                <w:szCs w:val="22"/>
                <w:lang w:val="lt-LT"/>
              </w:rPr>
              <w:t xml:space="preserve">6,35 </w:t>
            </w:r>
          </w:p>
        </w:tc>
      </w:tr>
      <w:tr w:rsidR="00255979" w:rsidRPr="008168E1" w:rsidTr="008168E1">
        <w:trPr>
          <w:trHeight w:val="311"/>
        </w:trPr>
        <w:tc>
          <w:tcPr>
            <w:tcW w:w="1232" w:type="dxa"/>
            <w:tcBorders>
              <w:top w:val="single" w:sz="10" w:space="0" w:color="000000"/>
              <w:left w:val="single" w:sz="6" w:space="0" w:color="000000"/>
              <w:bottom w:val="single" w:sz="10" w:space="0" w:color="000000"/>
              <w:right w:val="single" w:sz="10" w:space="0" w:color="000000"/>
            </w:tcBorders>
          </w:tcPr>
          <w:p w:rsidR="00255979" w:rsidRPr="008168E1" w:rsidRDefault="00255979" w:rsidP="008168E1">
            <w:pPr>
              <w:pStyle w:val="Default"/>
              <w:rPr>
                <w:sz w:val="22"/>
                <w:szCs w:val="22"/>
                <w:lang w:val="lt-LT"/>
              </w:rPr>
            </w:pPr>
            <w:r w:rsidRPr="008168E1">
              <w:rPr>
                <w:b/>
                <w:bCs/>
                <w:sz w:val="22"/>
                <w:szCs w:val="22"/>
                <w:lang w:val="lt-LT"/>
              </w:rPr>
              <w:t xml:space="preserve">130 mg/m2 </w:t>
            </w:r>
          </w:p>
        </w:tc>
        <w:tc>
          <w:tcPr>
            <w:tcW w:w="937"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color w:val="auto"/>
                <w:sz w:val="22"/>
                <w:szCs w:val="22"/>
                <w:lang w:val="lt-LT"/>
              </w:rPr>
            </w:pPr>
          </w:p>
        </w:tc>
        <w:tc>
          <w:tcPr>
            <w:tcW w:w="93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color w:val="auto"/>
                <w:sz w:val="22"/>
                <w:szCs w:val="22"/>
                <w:lang w:val="lt-LT"/>
              </w:rPr>
            </w:pPr>
          </w:p>
        </w:tc>
        <w:tc>
          <w:tcPr>
            <w:tcW w:w="93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color w:val="auto"/>
                <w:sz w:val="22"/>
                <w:szCs w:val="22"/>
                <w:lang w:val="lt-LT"/>
              </w:rPr>
            </w:pPr>
          </w:p>
        </w:tc>
        <w:tc>
          <w:tcPr>
            <w:tcW w:w="938"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color w:val="auto"/>
                <w:sz w:val="22"/>
                <w:szCs w:val="22"/>
                <w:lang w:val="lt-LT"/>
              </w:rPr>
            </w:pPr>
          </w:p>
        </w:tc>
        <w:tc>
          <w:tcPr>
            <w:tcW w:w="93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color w:val="auto"/>
                <w:sz w:val="22"/>
                <w:szCs w:val="22"/>
                <w:lang w:val="lt-LT"/>
              </w:rPr>
            </w:pPr>
          </w:p>
        </w:tc>
        <w:tc>
          <w:tcPr>
            <w:tcW w:w="106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color w:val="auto"/>
                <w:sz w:val="22"/>
                <w:szCs w:val="22"/>
                <w:lang w:val="lt-LT"/>
              </w:rPr>
            </w:pPr>
          </w:p>
        </w:tc>
        <w:tc>
          <w:tcPr>
            <w:tcW w:w="237" w:type="dxa"/>
            <w:tcBorders>
              <w:top w:val="single" w:sz="10" w:space="0" w:color="000000"/>
              <w:left w:val="single" w:sz="10" w:space="0" w:color="000000"/>
              <w:bottom w:val="single" w:sz="10" w:space="0" w:color="000000"/>
            </w:tcBorders>
          </w:tcPr>
          <w:p w:rsidR="00255979" w:rsidRPr="008168E1" w:rsidRDefault="00255979" w:rsidP="008168E1">
            <w:pPr>
              <w:pStyle w:val="Default"/>
              <w:rPr>
                <w:color w:val="auto"/>
                <w:sz w:val="22"/>
                <w:szCs w:val="22"/>
                <w:lang w:val="lt-LT"/>
              </w:rPr>
            </w:pPr>
          </w:p>
        </w:tc>
        <w:tc>
          <w:tcPr>
            <w:tcW w:w="737" w:type="dxa"/>
            <w:tcBorders>
              <w:top w:val="single" w:sz="10" w:space="0" w:color="000000"/>
              <w:bottom w:val="single" w:sz="10" w:space="0" w:color="000000"/>
              <w:right w:val="single" w:sz="10" w:space="0" w:color="000000"/>
            </w:tcBorders>
          </w:tcPr>
          <w:p w:rsidR="00255979" w:rsidRPr="008168E1" w:rsidRDefault="00255979" w:rsidP="008168E1">
            <w:pPr>
              <w:pStyle w:val="Default"/>
              <w:rPr>
                <w:color w:val="auto"/>
                <w:sz w:val="22"/>
                <w:szCs w:val="22"/>
                <w:lang w:val="lt-LT"/>
              </w:rPr>
            </w:pPr>
          </w:p>
        </w:tc>
        <w:tc>
          <w:tcPr>
            <w:tcW w:w="855" w:type="dxa"/>
            <w:tcBorders>
              <w:top w:val="single" w:sz="10" w:space="0" w:color="000000"/>
              <w:left w:val="single" w:sz="10" w:space="0" w:color="000000"/>
              <w:bottom w:val="single" w:sz="10" w:space="0" w:color="000000"/>
              <w:right w:val="single" w:sz="6" w:space="0" w:color="000000"/>
            </w:tcBorders>
          </w:tcPr>
          <w:p w:rsidR="00255979" w:rsidRPr="008168E1" w:rsidRDefault="00255979" w:rsidP="008168E1">
            <w:pPr>
              <w:pStyle w:val="Default"/>
              <w:jc w:val="center"/>
              <w:rPr>
                <w:color w:val="auto"/>
                <w:sz w:val="22"/>
                <w:szCs w:val="22"/>
                <w:lang w:val="lt-LT"/>
              </w:rPr>
            </w:pPr>
          </w:p>
        </w:tc>
      </w:tr>
      <w:tr w:rsidR="00255979" w:rsidRPr="008168E1" w:rsidTr="008168E1">
        <w:trPr>
          <w:trHeight w:val="307"/>
        </w:trPr>
        <w:tc>
          <w:tcPr>
            <w:tcW w:w="1232" w:type="dxa"/>
            <w:tcBorders>
              <w:top w:val="single" w:sz="10" w:space="0" w:color="000000"/>
              <w:left w:val="single" w:sz="6" w:space="0" w:color="000000"/>
              <w:bottom w:val="single" w:sz="10" w:space="0" w:color="000000"/>
              <w:right w:val="single" w:sz="10" w:space="0" w:color="000000"/>
            </w:tcBorders>
          </w:tcPr>
          <w:p w:rsidR="00255979" w:rsidRPr="008168E1" w:rsidRDefault="00255979" w:rsidP="008168E1">
            <w:pPr>
              <w:pStyle w:val="Default"/>
              <w:rPr>
                <w:sz w:val="22"/>
                <w:szCs w:val="22"/>
                <w:lang w:val="lt-LT"/>
              </w:rPr>
            </w:pPr>
            <w:r w:rsidRPr="008168E1">
              <w:rPr>
                <w:sz w:val="22"/>
                <w:szCs w:val="22"/>
                <w:lang w:val="lt-LT"/>
              </w:rPr>
              <w:t xml:space="preserve">Vidurkis </w:t>
            </w:r>
          </w:p>
        </w:tc>
        <w:tc>
          <w:tcPr>
            <w:tcW w:w="937"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sz w:val="22"/>
                <w:szCs w:val="22"/>
                <w:lang w:val="lt-LT"/>
              </w:rPr>
            </w:pPr>
            <w:r w:rsidRPr="008168E1">
              <w:rPr>
                <w:sz w:val="22"/>
                <w:szCs w:val="22"/>
                <w:lang w:val="lt-LT"/>
              </w:rPr>
              <w:t xml:space="preserve">1,21 </w:t>
            </w:r>
          </w:p>
        </w:tc>
        <w:tc>
          <w:tcPr>
            <w:tcW w:w="93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sz w:val="22"/>
                <w:szCs w:val="22"/>
                <w:lang w:val="lt-LT"/>
              </w:rPr>
            </w:pPr>
            <w:r w:rsidRPr="008168E1">
              <w:rPr>
                <w:sz w:val="22"/>
                <w:szCs w:val="22"/>
                <w:lang w:val="lt-LT"/>
              </w:rPr>
              <w:t xml:space="preserve">8,20 </w:t>
            </w:r>
          </w:p>
        </w:tc>
        <w:tc>
          <w:tcPr>
            <w:tcW w:w="93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sz w:val="22"/>
                <w:szCs w:val="22"/>
                <w:lang w:val="lt-LT"/>
              </w:rPr>
            </w:pPr>
            <w:r w:rsidRPr="008168E1">
              <w:rPr>
                <w:sz w:val="22"/>
                <w:szCs w:val="22"/>
                <w:lang w:val="lt-LT"/>
              </w:rPr>
              <w:t xml:space="preserve">11,9 </w:t>
            </w:r>
          </w:p>
        </w:tc>
        <w:tc>
          <w:tcPr>
            <w:tcW w:w="938"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sz w:val="22"/>
                <w:szCs w:val="22"/>
                <w:lang w:val="lt-LT"/>
              </w:rPr>
            </w:pPr>
            <w:r w:rsidRPr="008168E1">
              <w:rPr>
                <w:sz w:val="22"/>
                <w:szCs w:val="22"/>
                <w:lang w:val="lt-LT"/>
              </w:rPr>
              <w:t xml:space="preserve">0,28 </w:t>
            </w:r>
          </w:p>
        </w:tc>
        <w:tc>
          <w:tcPr>
            <w:tcW w:w="93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sz w:val="22"/>
                <w:szCs w:val="22"/>
                <w:lang w:val="lt-LT"/>
              </w:rPr>
            </w:pPr>
            <w:r w:rsidRPr="008168E1">
              <w:rPr>
                <w:sz w:val="22"/>
                <w:szCs w:val="22"/>
                <w:lang w:val="lt-LT"/>
              </w:rPr>
              <w:t xml:space="preserve">16,3 </w:t>
            </w:r>
          </w:p>
        </w:tc>
        <w:tc>
          <w:tcPr>
            <w:tcW w:w="1065" w:type="dxa"/>
            <w:tcBorders>
              <w:top w:val="single" w:sz="10" w:space="0" w:color="000000"/>
              <w:left w:val="single" w:sz="10" w:space="0" w:color="000000"/>
              <w:bottom w:val="single" w:sz="10" w:space="0" w:color="000000"/>
              <w:right w:val="single" w:sz="10" w:space="0" w:color="000000"/>
            </w:tcBorders>
          </w:tcPr>
          <w:p w:rsidR="00255979" w:rsidRPr="008168E1" w:rsidRDefault="00255979" w:rsidP="008168E1">
            <w:pPr>
              <w:pStyle w:val="Default"/>
              <w:jc w:val="center"/>
              <w:rPr>
                <w:sz w:val="22"/>
                <w:szCs w:val="22"/>
                <w:lang w:val="lt-LT"/>
              </w:rPr>
            </w:pPr>
            <w:r w:rsidRPr="008168E1">
              <w:rPr>
                <w:sz w:val="22"/>
                <w:szCs w:val="22"/>
                <w:lang w:val="lt-LT"/>
              </w:rPr>
              <w:t xml:space="preserve">273 </w:t>
            </w:r>
          </w:p>
        </w:tc>
        <w:tc>
          <w:tcPr>
            <w:tcW w:w="237" w:type="dxa"/>
            <w:tcBorders>
              <w:top w:val="single" w:sz="10" w:space="0" w:color="000000"/>
              <w:left w:val="single" w:sz="10" w:space="0" w:color="000000"/>
              <w:bottom w:val="single" w:sz="10" w:space="0" w:color="000000"/>
            </w:tcBorders>
          </w:tcPr>
          <w:p w:rsidR="00255979" w:rsidRPr="008168E1" w:rsidRDefault="00255979" w:rsidP="008168E1">
            <w:pPr>
              <w:pStyle w:val="Default"/>
              <w:rPr>
                <w:color w:val="auto"/>
                <w:sz w:val="22"/>
                <w:szCs w:val="22"/>
                <w:lang w:val="lt-LT"/>
              </w:rPr>
            </w:pPr>
          </w:p>
        </w:tc>
        <w:tc>
          <w:tcPr>
            <w:tcW w:w="737" w:type="dxa"/>
            <w:tcBorders>
              <w:top w:val="single" w:sz="10" w:space="0" w:color="000000"/>
              <w:bottom w:val="single" w:sz="10" w:space="0" w:color="000000"/>
              <w:right w:val="single" w:sz="10" w:space="0" w:color="000000"/>
            </w:tcBorders>
          </w:tcPr>
          <w:p w:rsidR="00255979" w:rsidRPr="008168E1" w:rsidRDefault="00255979" w:rsidP="008168E1">
            <w:pPr>
              <w:pStyle w:val="Default"/>
              <w:rPr>
                <w:sz w:val="22"/>
                <w:szCs w:val="22"/>
                <w:lang w:val="lt-LT"/>
              </w:rPr>
            </w:pPr>
            <w:r w:rsidRPr="008168E1">
              <w:rPr>
                <w:sz w:val="22"/>
                <w:szCs w:val="22"/>
                <w:lang w:val="lt-LT"/>
              </w:rPr>
              <w:t xml:space="preserve">582 </w:t>
            </w:r>
          </w:p>
        </w:tc>
        <w:tc>
          <w:tcPr>
            <w:tcW w:w="855" w:type="dxa"/>
            <w:tcBorders>
              <w:top w:val="single" w:sz="10" w:space="0" w:color="000000"/>
              <w:left w:val="single" w:sz="10" w:space="0" w:color="000000"/>
              <w:bottom w:val="single" w:sz="10" w:space="0" w:color="000000"/>
              <w:right w:val="single" w:sz="6" w:space="0" w:color="000000"/>
            </w:tcBorders>
          </w:tcPr>
          <w:p w:rsidR="00255979" w:rsidRPr="008168E1" w:rsidRDefault="00255979" w:rsidP="008168E1">
            <w:pPr>
              <w:pStyle w:val="Default"/>
              <w:jc w:val="center"/>
              <w:rPr>
                <w:sz w:val="22"/>
                <w:szCs w:val="22"/>
                <w:lang w:val="lt-LT"/>
              </w:rPr>
            </w:pPr>
            <w:r w:rsidRPr="008168E1">
              <w:rPr>
                <w:sz w:val="22"/>
                <w:szCs w:val="22"/>
                <w:lang w:val="lt-LT"/>
              </w:rPr>
              <w:t xml:space="preserve">10,1 </w:t>
            </w:r>
          </w:p>
        </w:tc>
      </w:tr>
      <w:tr w:rsidR="00255979" w:rsidRPr="008168E1" w:rsidTr="008168E1">
        <w:trPr>
          <w:trHeight w:val="198"/>
        </w:trPr>
        <w:tc>
          <w:tcPr>
            <w:tcW w:w="1232" w:type="dxa"/>
            <w:tcBorders>
              <w:top w:val="single" w:sz="10" w:space="0" w:color="000000"/>
              <w:left w:val="single" w:sz="6" w:space="0" w:color="000000"/>
              <w:bottom w:val="single" w:sz="10" w:space="0" w:color="000000"/>
              <w:right w:val="single" w:sz="10" w:space="0" w:color="000000"/>
            </w:tcBorders>
            <w:vAlign w:val="center"/>
          </w:tcPr>
          <w:p w:rsidR="00255979" w:rsidRPr="008168E1" w:rsidRDefault="00255979" w:rsidP="008168E1">
            <w:pPr>
              <w:pStyle w:val="Default"/>
              <w:rPr>
                <w:sz w:val="22"/>
                <w:szCs w:val="22"/>
                <w:lang w:val="lt-LT"/>
              </w:rPr>
            </w:pPr>
            <w:r w:rsidRPr="008168E1">
              <w:rPr>
                <w:sz w:val="22"/>
                <w:szCs w:val="22"/>
                <w:lang w:val="lt-LT"/>
              </w:rPr>
              <w:t xml:space="preserve">Standartinis nuokrypis </w:t>
            </w:r>
          </w:p>
        </w:tc>
        <w:tc>
          <w:tcPr>
            <w:tcW w:w="937"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sz w:val="22"/>
                <w:szCs w:val="22"/>
                <w:lang w:val="lt-LT"/>
              </w:rPr>
              <w:t xml:space="preserve">0,10 </w:t>
            </w:r>
          </w:p>
        </w:tc>
        <w:tc>
          <w:tcPr>
            <w:tcW w:w="93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sz w:val="22"/>
                <w:szCs w:val="22"/>
                <w:lang w:val="lt-LT"/>
              </w:rPr>
              <w:t xml:space="preserve">2,40 </w:t>
            </w:r>
          </w:p>
        </w:tc>
        <w:tc>
          <w:tcPr>
            <w:tcW w:w="93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sz w:val="22"/>
                <w:szCs w:val="22"/>
                <w:lang w:val="lt-LT"/>
              </w:rPr>
              <w:t xml:space="preserve">4,60 </w:t>
            </w:r>
          </w:p>
        </w:tc>
        <w:tc>
          <w:tcPr>
            <w:tcW w:w="938"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sz w:val="22"/>
                <w:szCs w:val="22"/>
                <w:lang w:val="lt-LT"/>
              </w:rPr>
              <w:t xml:space="preserve">0,06 </w:t>
            </w:r>
          </w:p>
        </w:tc>
        <w:tc>
          <w:tcPr>
            <w:tcW w:w="93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sz w:val="22"/>
                <w:szCs w:val="22"/>
                <w:lang w:val="lt-LT"/>
              </w:rPr>
              <w:t xml:space="preserve">2,90 </w:t>
            </w:r>
          </w:p>
        </w:tc>
        <w:tc>
          <w:tcPr>
            <w:tcW w:w="1065" w:type="dxa"/>
            <w:tcBorders>
              <w:top w:val="single" w:sz="10" w:space="0" w:color="000000"/>
              <w:left w:val="single" w:sz="10" w:space="0" w:color="000000"/>
              <w:bottom w:val="single" w:sz="10" w:space="0" w:color="000000"/>
              <w:right w:val="single" w:sz="10" w:space="0" w:color="000000"/>
            </w:tcBorders>
            <w:vAlign w:val="center"/>
          </w:tcPr>
          <w:p w:rsidR="00255979" w:rsidRPr="008168E1" w:rsidRDefault="00255979" w:rsidP="008168E1">
            <w:pPr>
              <w:pStyle w:val="Default"/>
              <w:jc w:val="center"/>
              <w:rPr>
                <w:sz w:val="22"/>
                <w:szCs w:val="22"/>
                <w:lang w:val="lt-LT"/>
              </w:rPr>
            </w:pPr>
            <w:r w:rsidRPr="008168E1">
              <w:rPr>
                <w:sz w:val="22"/>
                <w:szCs w:val="22"/>
                <w:lang w:val="lt-LT"/>
              </w:rPr>
              <w:t xml:space="preserve">19,0 </w:t>
            </w:r>
          </w:p>
        </w:tc>
        <w:tc>
          <w:tcPr>
            <w:tcW w:w="237" w:type="dxa"/>
            <w:tcBorders>
              <w:top w:val="single" w:sz="10" w:space="0" w:color="000000"/>
              <w:left w:val="single" w:sz="10" w:space="0" w:color="000000"/>
              <w:bottom w:val="single" w:sz="10" w:space="0" w:color="000000"/>
            </w:tcBorders>
          </w:tcPr>
          <w:p w:rsidR="00255979" w:rsidRPr="008168E1" w:rsidRDefault="00255979" w:rsidP="008168E1">
            <w:pPr>
              <w:pStyle w:val="Default"/>
              <w:rPr>
                <w:color w:val="auto"/>
                <w:sz w:val="22"/>
                <w:szCs w:val="22"/>
                <w:lang w:val="lt-LT"/>
              </w:rPr>
            </w:pPr>
          </w:p>
        </w:tc>
        <w:tc>
          <w:tcPr>
            <w:tcW w:w="737" w:type="dxa"/>
            <w:tcBorders>
              <w:top w:val="single" w:sz="10" w:space="0" w:color="000000"/>
              <w:bottom w:val="single" w:sz="10" w:space="0" w:color="000000"/>
              <w:right w:val="single" w:sz="10" w:space="0" w:color="000000"/>
            </w:tcBorders>
            <w:vAlign w:val="center"/>
          </w:tcPr>
          <w:p w:rsidR="00255979" w:rsidRPr="008168E1" w:rsidRDefault="00255979" w:rsidP="008168E1">
            <w:pPr>
              <w:pStyle w:val="Default"/>
              <w:rPr>
                <w:sz w:val="22"/>
                <w:szCs w:val="22"/>
                <w:lang w:val="lt-LT"/>
              </w:rPr>
            </w:pPr>
            <w:r w:rsidRPr="008168E1">
              <w:rPr>
                <w:sz w:val="22"/>
                <w:szCs w:val="22"/>
                <w:lang w:val="lt-LT"/>
              </w:rPr>
              <w:t xml:space="preserve">261 </w:t>
            </w:r>
          </w:p>
        </w:tc>
        <w:tc>
          <w:tcPr>
            <w:tcW w:w="855" w:type="dxa"/>
            <w:tcBorders>
              <w:top w:val="single" w:sz="10" w:space="0" w:color="000000"/>
              <w:left w:val="single" w:sz="10" w:space="0" w:color="000000"/>
              <w:bottom w:val="single" w:sz="10" w:space="0" w:color="000000"/>
              <w:right w:val="single" w:sz="6" w:space="0" w:color="000000"/>
            </w:tcBorders>
            <w:vAlign w:val="center"/>
          </w:tcPr>
          <w:p w:rsidR="00255979" w:rsidRPr="008168E1" w:rsidRDefault="00255979" w:rsidP="008168E1">
            <w:pPr>
              <w:pStyle w:val="Default"/>
              <w:jc w:val="center"/>
              <w:rPr>
                <w:sz w:val="22"/>
                <w:szCs w:val="22"/>
                <w:lang w:val="lt-LT"/>
              </w:rPr>
            </w:pPr>
            <w:r w:rsidRPr="008168E1">
              <w:rPr>
                <w:sz w:val="22"/>
                <w:szCs w:val="22"/>
                <w:lang w:val="lt-LT"/>
              </w:rPr>
              <w:t xml:space="preserve">3,07 </w:t>
            </w:r>
          </w:p>
        </w:tc>
      </w:tr>
    </w:tbl>
    <w:p w:rsidR="00255979" w:rsidRDefault="00255979" w:rsidP="005E4334">
      <w:pPr>
        <w:pStyle w:val="CM13"/>
        <w:rPr>
          <w:rFonts w:cs="Times New Roman"/>
          <w:sz w:val="22"/>
          <w:szCs w:val="22"/>
          <w:lang w:val="lt-LT"/>
        </w:rPr>
      </w:pPr>
      <w:r w:rsidRPr="008168E1">
        <w:rPr>
          <w:rFonts w:cs="Times New Roman"/>
          <w:sz w:val="22"/>
          <w:szCs w:val="22"/>
          <w:lang w:val="lt-LT"/>
        </w:rPr>
        <w:t>Vidutinės AUC0-48 ir Cmax reikšmės nustatytos 3 (85 mg/m</w:t>
      </w:r>
      <w:r w:rsidRPr="008168E1">
        <w:rPr>
          <w:rFonts w:cs="Times New Roman"/>
          <w:position w:val="9"/>
          <w:sz w:val="22"/>
          <w:szCs w:val="22"/>
          <w:vertAlign w:val="superscript"/>
          <w:lang w:val="lt-LT"/>
        </w:rPr>
        <w:t>2</w:t>
      </w:r>
      <w:r w:rsidRPr="008168E1">
        <w:rPr>
          <w:rFonts w:cs="Times New Roman"/>
          <w:sz w:val="22"/>
          <w:szCs w:val="22"/>
          <w:lang w:val="lt-LT"/>
        </w:rPr>
        <w:t>) arba 5 (130 mg/m</w:t>
      </w:r>
      <w:r w:rsidRPr="008168E1">
        <w:rPr>
          <w:rFonts w:cs="Times New Roman"/>
          <w:position w:val="9"/>
          <w:sz w:val="22"/>
          <w:szCs w:val="22"/>
          <w:vertAlign w:val="superscript"/>
          <w:lang w:val="lt-LT"/>
        </w:rPr>
        <w:t>2</w:t>
      </w:r>
      <w:r w:rsidRPr="008168E1">
        <w:rPr>
          <w:rFonts w:cs="Times New Roman"/>
          <w:sz w:val="22"/>
          <w:szCs w:val="22"/>
          <w:lang w:val="lt-LT"/>
        </w:rPr>
        <w:t xml:space="preserve">) gydymo kurso metu.   </w:t>
      </w:r>
      <w:r w:rsidRPr="008168E1">
        <w:rPr>
          <w:rFonts w:cs="Times New Roman"/>
          <w:sz w:val="22"/>
          <w:szCs w:val="22"/>
          <w:lang w:val="lt-LT"/>
        </w:rPr>
        <w:br/>
        <w:t xml:space="preserve">Vidutinės AUC, Vss ir CL vertės nustatytos 1 gydymo kurso metu. </w:t>
      </w:r>
      <w:r w:rsidRPr="008168E1">
        <w:rPr>
          <w:rFonts w:cs="Times New Roman"/>
          <w:sz w:val="22"/>
          <w:szCs w:val="22"/>
          <w:lang w:val="lt-LT"/>
        </w:rPr>
        <w:br/>
        <w:t xml:space="preserve">Cmax, AUC, AUC0-48, Vss ir CL vertės nustatytos nelyginamosios analizės metu. </w:t>
      </w:r>
      <w:r w:rsidRPr="008168E1">
        <w:rPr>
          <w:rFonts w:cs="Times New Roman"/>
          <w:sz w:val="22"/>
          <w:szCs w:val="22"/>
          <w:lang w:val="lt-LT"/>
        </w:rPr>
        <w:br/>
        <w:t>t</w:t>
      </w:r>
      <w:r w:rsidRPr="008168E1">
        <w:rPr>
          <w:rFonts w:cs="Times New Roman"/>
          <w:sz w:val="22"/>
          <w:szCs w:val="22"/>
          <w:vertAlign w:val="subscript"/>
          <w:lang w:val="lt-LT"/>
        </w:rPr>
        <w:t>1/2</w:t>
      </w:r>
      <w:r w:rsidRPr="008168E1">
        <w:rPr>
          <w:rFonts w:cs="Times New Roman"/>
          <w:sz w:val="22"/>
          <w:szCs w:val="22"/>
          <w:lang w:val="lt-LT"/>
        </w:rPr>
        <w:t>α, t</w:t>
      </w:r>
      <w:r w:rsidRPr="008168E1">
        <w:rPr>
          <w:rFonts w:cs="Times New Roman"/>
          <w:sz w:val="22"/>
          <w:szCs w:val="22"/>
          <w:vertAlign w:val="subscript"/>
          <w:lang w:val="lt-LT"/>
        </w:rPr>
        <w:t>1/2</w:t>
      </w:r>
      <w:r w:rsidRPr="008168E1">
        <w:rPr>
          <w:rFonts w:cs="Times New Roman"/>
          <w:sz w:val="22"/>
          <w:szCs w:val="22"/>
          <w:lang w:val="lt-LT"/>
        </w:rPr>
        <w:t>β ir t</w:t>
      </w:r>
      <w:r w:rsidRPr="008168E1">
        <w:rPr>
          <w:rFonts w:cs="Times New Roman"/>
          <w:sz w:val="22"/>
          <w:szCs w:val="22"/>
          <w:vertAlign w:val="subscript"/>
          <w:lang w:val="lt-LT"/>
        </w:rPr>
        <w:t>1/2</w:t>
      </w:r>
      <w:r w:rsidRPr="008168E1">
        <w:rPr>
          <w:rFonts w:cs="Times New Roman"/>
          <w:sz w:val="22"/>
          <w:szCs w:val="22"/>
          <w:lang w:val="lt-LT"/>
        </w:rPr>
        <w:t>γ buvo nustatyti lyginamosios analizės me</w:t>
      </w:r>
      <w:r>
        <w:rPr>
          <w:rFonts w:cs="Times New Roman"/>
          <w:sz w:val="22"/>
          <w:szCs w:val="22"/>
          <w:lang w:val="lt-LT"/>
        </w:rPr>
        <w:t>tu (mišrūs 1–3 gydymo kursai).</w:t>
      </w:r>
    </w:p>
    <w:p w:rsidR="00255979" w:rsidRPr="005E4334" w:rsidRDefault="00255979" w:rsidP="005E4334">
      <w:pPr>
        <w:rPr>
          <w:lang w:eastAsia="ja-JP" w:bidi="lo-LA"/>
        </w:rPr>
      </w:pPr>
    </w:p>
    <w:p w:rsidR="00255979" w:rsidRDefault="00255979" w:rsidP="005E4334">
      <w:pPr>
        <w:pStyle w:val="CM3"/>
        <w:spacing w:line="240" w:lineRule="auto"/>
        <w:rPr>
          <w:rFonts w:cs="Times New Roman"/>
          <w:sz w:val="22"/>
          <w:szCs w:val="22"/>
          <w:lang w:val="lt-LT"/>
        </w:rPr>
      </w:pPr>
      <w:r w:rsidRPr="008168E1">
        <w:rPr>
          <w:rFonts w:cs="Times New Roman"/>
          <w:sz w:val="22"/>
          <w:szCs w:val="22"/>
          <w:lang w:val="lt-LT"/>
        </w:rPr>
        <w:t>Dviejų valandų infuzijos pabaigoje 15 % suleistos platinos būna kraujyje, likę 85 % greitai pasiskirsto audiniuose ar pasišalina su šlapimu. Vaistinis preparatas prie eritrocitų ir plazmos prisijungia negrįžtamai, todėl jo pusinės eliminacijos laikas labai priklauso nuo organizme vykstančios natūralios eritrocitų ir plazmos albuminų kaitos. Vartojama kas dvi savaites po 85 mg/m</w:t>
      </w:r>
      <w:r w:rsidRPr="008168E1">
        <w:rPr>
          <w:rFonts w:cs="Times New Roman"/>
          <w:position w:val="11"/>
          <w:sz w:val="22"/>
          <w:szCs w:val="22"/>
          <w:vertAlign w:val="superscript"/>
          <w:lang w:val="lt-LT"/>
        </w:rPr>
        <w:t>2</w:t>
      </w:r>
      <w:r w:rsidRPr="008168E1">
        <w:rPr>
          <w:rFonts w:cs="Times New Roman"/>
          <w:sz w:val="22"/>
          <w:szCs w:val="22"/>
          <w:lang w:val="lt-LT"/>
        </w:rPr>
        <w:t xml:space="preserve"> kūno paviršiaus ploto arba kas tris savaites po 130 mg/m</w:t>
      </w:r>
      <w:r w:rsidRPr="008168E1">
        <w:rPr>
          <w:rFonts w:cs="Times New Roman"/>
          <w:position w:val="11"/>
          <w:sz w:val="22"/>
          <w:szCs w:val="22"/>
          <w:vertAlign w:val="superscript"/>
          <w:lang w:val="lt-LT"/>
        </w:rPr>
        <w:t>2</w:t>
      </w:r>
      <w:r w:rsidRPr="008168E1">
        <w:rPr>
          <w:rFonts w:cs="Times New Roman"/>
          <w:sz w:val="22"/>
          <w:szCs w:val="22"/>
          <w:lang w:val="lt-LT"/>
        </w:rPr>
        <w:t xml:space="preserve"> kūno paviršiaus ploto platina ultrafiltruotoje plazmoje nesikaupia, o jos pastovi koncentracija šioje terpėje nusistovi per pirmą ciklą. Skirtumai įvairių pacientų organizme ir to paties paciento organizme įvairiu laiku paprastai būna maži. </w:t>
      </w:r>
    </w:p>
    <w:p w:rsidR="00255979" w:rsidRDefault="00255979" w:rsidP="005E4334">
      <w:pPr>
        <w:pStyle w:val="CM3"/>
        <w:spacing w:line="240" w:lineRule="auto"/>
        <w:rPr>
          <w:rFonts w:cs="Times New Roman"/>
          <w:sz w:val="22"/>
          <w:szCs w:val="22"/>
          <w:lang w:val="lt-LT"/>
        </w:rPr>
      </w:pPr>
    </w:p>
    <w:p w:rsidR="00255979" w:rsidRDefault="00255979" w:rsidP="005E4334">
      <w:pPr>
        <w:pStyle w:val="CM3"/>
        <w:spacing w:line="240" w:lineRule="auto"/>
        <w:rPr>
          <w:rFonts w:cs="Times New Roman"/>
          <w:sz w:val="22"/>
          <w:szCs w:val="22"/>
          <w:lang w:val="lt-LT"/>
        </w:rPr>
      </w:pPr>
      <w:r w:rsidRPr="008168E1">
        <w:rPr>
          <w:rFonts w:cs="Times New Roman"/>
          <w:sz w:val="22"/>
          <w:szCs w:val="22"/>
          <w:lang w:val="lt-LT"/>
        </w:rPr>
        <w:t xml:space="preserve">Biotransformacija </w:t>
      </w:r>
      <w:r w:rsidRPr="008168E1">
        <w:rPr>
          <w:rFonts w:cs="Times New Roman"/>
          <w:i/>
          <w:iCs/>
          <w:sz w:val="22"/>
          <w:szCs w:val="22"/>
          <w:lang w:val="lt-LT"/>
        </w:rPr>
        <w:t xml:space="preserve"> in vitro</w:t>
      </w:r>
      <w:r w:rsidRPr="008168E1">
        <w:rPr>
          <w:rFonts w:cs="Times New Roman"/>
          <w:sz w:val="22"/>
          <w:szCs w:val="22"/>
          <w:lang w:val="lt-LT"/>
        </w:rPr>
        <w:t xml:space="preserve"> vyksta nedalyvaujant fermentams. Taip pat negauta duomenų, kad, dalyvaujant citochromo P450 fermentų sistemai, vyksta diaminocikloheks</w:t>
      </w:r>
      <w:r>
        <w:rPr>
          <w:rFonts w:cs="Times New Roman"/>
          <w:sz w:val="22"/>
          <w:szCs w:val="22"/>
          <w:lang w:val="lt-LT"/>
        </w:rPr>
        <w:t>ano (DACH) žiedo metabolizmas.</w:t>
      </w:r>
    </w:p>
    <w:p w:rsidR="00255979" w:rsidRPr="005E4334" w:rsidRDefault="00255979" w:rsidP="005E4334">
      <w:pPr>
        <w:pStyle w:val="Default"/>
        <w:rPr>
          <w:lang w:val="lt-LT"/>
        </w:rPr>
      </w:pPr>
    </w:p>
    <w:p w:rsidR="00255979" w:rsidRDefault="00255979" w:rsidP="005E4334">
      <w:pPr>
        <w:pStyle w:val="CM13"/>
        <w:rPr>
          <w:rFonts w:cs="Times New Roman"/>
          <w:sz w:val="22"/>
          <w:szCs w:val="22"/>
          <w:lang w:val="lt-LT"/>
        </w:rPr>
      </w:pPr>
      <w:r w:rsidRPr="008168E1">
        <w:rPr>
          <w:rFonts w:cs="Times New Roman"/>
          <w:sz w:val="22"/>
          <w:szCs w:val="22"/>
          <w:lang w:val="lt-LT"/>
        </w:rPr>
        <w:t>Paciento organizme oksaliplatinos biotransformacija labai intensyvi: dviejų valandų infuzijos pabaigoje ultrafiltruotoje plazmoje nepakitusio vaistinio preparato jau nenustatoma. Nustatyta, kad sisteminėje kraujotakoje cirkuliuoja biotransformacijos metu susiformavusių citotoksinių medžiagų, įskaitant monochloro-, dichloro- ir diakvo-DACH platinos formas, ir vėliau su</w:t>
      </w:r>
      <w:r>
        <w:rPr>
          <w:rFonts w:cs="Times New Roman"/>
          <w:sz w:val="22"/>
          <w:szCs w:val="22"/>
          <w:lang w:val="lt-LT"/>
        </w:rPr>
        <w:t>sidariusių neveiklių konjugatų.</w:t>
      </w:r>
    </w:p>
    <w:p w:rsidR="00255979" w:rsidRPr="004873B0" w:rsidRDefault="00255979" w:rsidP="005E4334">
      <w:pPr>
        <w:rPr>
          <w:sz w:val="22"/>
          <w:szCs w:val="22"/>
          <w:lang w:eastAsia="ja-JP" w:bidi="lo-LA"/>
        </w:rPr>
      </w:pPr>
    </w:p>
    <w:p w:rsidR="00255979" w:rsidRPr="004873B0" w:rsidRDefault="00255979" w:rsidP="005E4334">
      <w:pPr>
        <w:pStyle w:val="CM13"/>
        <w:rPr>
          <w:rFonts w:cs="Times New Roman"/>
          <w:sz w:val="22"/>
          <w:szCs w:val="22"/>
          <w:lang w:val="lt-LT"/>
        </w:rPr>
      </w:pPr>
      <w:r w:rsidRPr="004873B0">
        <w:rPr>
          <w:rFonts w:cs="Times New Roman"/>
          <w:sz w:val="22"/>
          <w:szCs w:val="22"/>
          <w:lang w:val="lt-LT"/>
        </w:rPr>
        <w:t>Pavartojus vaisto, daugiausia platinos iš organizmo pasišalina su šlapimu per pirmąsias 48 valandas.</w:t>
      </w:r>
    </w:p>
    <w:p w:rsidR="00255979" w:rsidRPr="004873B0" w:rsidRDefault="00255979" w:rsidP="005E4334">
      <w:pPr>
        <w:rPr>
          <w:sz w:val="22"/>
          <w:szCs w:val="22"/>
          <w:lang w:eastAsia="ja-JP" w:bidi="lo-LA"/>
        </w:rPr>
      </w:pPr>
    </w:p>
    <w:p w:rsidR="00255979" w:rsidRPr="004873B0" w:rsidRDefault="00255979" w:rsidP="005E4334">
      <w:pPr>
        <w:pStyle w:val="CM13"/>
        <w:rPr>
          <w:rFonts w:cs="Times New Roman"/>
          <w:sz w:val="22"/>
          <w:szCs w:val="22"/>
          <w:lang w:val="lt-LT"/>
        </w:rPr>
      </w:pPr>
      <w:r w:rsidRPr="004873B0">
        <w:rPr>
          <w:rFonts w:cs="Times New Roman"/>
          <w:sz w:val="22"/>
          <w:szCs w:val="22"/>
          <w:lang w:val="lt-LT"/>
        </w:rPr>
        <w:t>Per 5 dienas maždaug 54 % dozės pasišalina su šlapimu, o mažiau negu 3 % – su išmatomis.</w:t>
      </w:r>
    </w:p>
    <w:p w:rsidR="00255979" w:rsidRPr="004873B0" w:rsidRDefault="00255979" w:rsidP="005E4334">
      <w:pPr>
        <w:rPr>
          <w:sz w:val="22"/>
          <w:szCs w:val="22"/>
          <w:lang w:eastAsia="ja-JP" w:bidi="lo-LA"/>
        </w:rPr>
      </w:pPr>
    </w:p>
    <w:p w:rsidR="00255979" w:rsidRDefault="00255979" w:rsidP="005E4334">
      <w:pPr>
        <w:pStyle w:val="Default"/>
        <w:rPr>
          <w:color w:val="auto"/>
          <w:sz w:val="22"/>
          <w:szCs w:val="22"/>
          <w:lang w:val="lt-LT"/>
        </w:rPr>
      </w:pPr>
      <w:r w:rsidRPr="008168E1">
        <w:rPr>
          <w:color w:val="auto"/>
          <w:sz w:val="22"/>
          <w:szCs w:val="22"/>
          <w:lang w:val="lt-LT"/>
        </w:rPr>
        <w:t>Tirtos oksaliplatinos farmakodinamikos savybės pacientų, sergančių įvairaus laipsnio inkstų funkcijos sutrikimais, organizme. Oksaliplatina buvo skiriama 85 mg/m</w:t>
      </w:r>
      <w:r w:rsidRPr="008168E1">
        <w:rPr>
          <w:color w:val="auto"/>
          <w:position w:val="11"/>
          <w:sz w:val="22"/>
          <w:szCs w:val="22"/>
          <w:vertAlign w:val="superscript"/>
          <w:lang w:val="lt-LT"/>
        </w:rPr>
        <w:t>2</w:t>
      </w:r>
      <w:r w:rsidRPr="008168E1">
        <w:rPr>
          <w:color w:val="auto"/>
          <w:sz w:val="22"/>
          <w:szCs w:val="22"/>
          <w:lang w:val="lt-LT"/>
        </w:rPr>
        <w:t xml:space="preserve"> kontrolinėje grupėje su normalia inkstų funkcija (CLcr &gt; 80 ml/min, n=12) ir pacientams su </w:t>
      </w:r>
      <w:r>
        <w:rPr>
          <w:color w:val="auto"/>
          <w:sz w:val="22"/>
          <w:szCs w:val="22"/>
          <w:lang w:val="lt-LT"/>
        </w:rPr>
        <w:t>lengvu</w:t>
      </w:r>
      <w:r w:rsidRPr="008168E1">
        <w:rPr>
          <w:color w:val="auto"/>
          <w:sz w:val="22"/>
          <w:szCs w:val="22"/>
          <w:lang w:val="lt-LT"/>
        </w:rPr>
        <w:t xml:space="preserve"> (CLcr = 50–80 ml/min, n=13) ir vidutini</w:t>
      </w:r>
      <w:r>
        <w:rPr>
          <w:color w:val="auto"/>
          <w:sz w:val="22"/>
          <w:szCs w:val="22"/>
          <w:lang w:val="lt-LT"/>
        </w:rPr>
        <w:t>o</w:t>
      </w:r>
      <w:r w:rsidRPr="008168E1">
        <w:rPr>
          <w:color w:val="auto"/>
          <w:sz w:val="22"/>
          <w:szCs w:val="22"/>
          <w:lang w:val="lt-LT"/>
        </w:rPr>
        <w:t xml:space="preserve"> </w:t>
      </w:r>
      <w:r>
        <w:rPr>
          <w:color w:val="auto"/>
          <w:sz w:val="22"/>
          <w:szCs w:val="22"/>
          <w:lang w:val="lt-LT"/>
        </w:rPr>
        <w:t xml:space="preserve"> sunkumo </w:t>
      </w:r>
      <w:r w:rsidRPr="008168E1">
        <w:rPr>
          <w:color w:val="auto"/>
          <w:sz w:val="22"/>
          <w:szCs w:val="22"/>
          <w:lang w:val="lt-LT"/>
        </w:rPr>
        <w:t>(CLcr = 30–49 ml/min, n=11) inkstų sutrikimu, bei 65 mg/m</w:t>
      </w:r>
      <w:r w:rsidRPr="008168E1">
        <w:rPr>
          <w:color w:val="auto"/>
          <w:position w:val="11"/>
          <w:sz w:val="22"/>
          <w:szCs w:val="22"/>
          <w:vertAlign w:val="superscript"/>
          <w:lang w:val="lt-LT"/>
        </w:rPr>
        <w:t>2</w:t>
      </w:r>
      <w:r w:rsidRPr="008168E1">
        <w:rPr>
          <w:color w:val="auto"/>
          <w:sz w:val="22"/>
          <w:szCs w:val="22"/>
          <w:lang w:val="lt-LT"/>
        </w:rPr>
        <w:t xml:space="preserve"> doze pacientams su sunkiu inkstų sutrikimu (CLcr &lt; 30 ml/min, n=5).  Atitinkamai vidutinis poveikis buvo 9, 4, 6 ir 3 ciklai ir PK duomenys 1 ciklo metu buvo atitinkamai gauti iš 11, 13, 10 ir 4 pacientų. </w:t>
      </w:r>
    </w:p>
    <w:p w:rsidR="00255979" w:rsidRDefault="00255979" w:rsidP="005E4334">
      <w:pPr>
        <w:pStyle w:val="Default"/>
        <w:rPr>
          <w:color w:val="auto"/>
          <w:sz w:val="22"/>
          <w:szCs w:val="22"/>
          <w:lang w:val="lt-LT"/>
        </w:rPr>
      </w:pPr>
      <w:r w:rsidRPr="008168E1">
        <w:rPr>
          <w:color w:val="auto"/>
          <w:sz w:val="22"/>
          <w:szCs w:val="22"/>
          <w:lang w:val="lt-LT"/>
        </w:rPr>
        <w:br/>
        <w:t xml:space="preserve">Didėjo plazmos ultrafiltrato (PUF) platinos AUC, AUC/dozė ir mažėjo bendras ir inkstų CL ir Vss didėjant inkstų sutrikimui, ypač (mažoje) pacientų grupėje su sunkiu inkstų sutrikimu: atitinkamai apskaičiuotų vidurkių santykių taškinis įvertis (90 % PI) pagal inkstų būklę, palyginti su normalios inkstų funkcijos AUC/ dozės buvo 1,36 (1,08, 1,71), 2,34 (1,82, 3,01) ir 4,81 (3,49, 6,64) pacientų su nedideliu ir vidutiniu bei sunkiu inkstų sutrikimu. Oksaliplatinos eliminacija reikšmingai susijusi su kreatinino klirensu. </w:t>
      </w:r>
    </w:p>
    <w:p w:rsidR="00255979" w:rsidRDefault="00255979" w:rsidP="005E4334">
      <w:pPr>
        <w:pStyle w:val="Default"/>
        <w:rPr>
          <w:sz w:val="22"/>
          <w:szCs w:val="22"/>
          <w:lang w:val="lt-LT"/>
        </w:rPr>
      </w:pPr>
      <w:r w:rsidRPr="008168E1">
        <w:rPr>
          <w:color w:val="auto"/>
          <w:sz w:val="22"/>
          <w:szCs w:val="22"/>
          <w:lang w:val="lt-LT"/>
        </w:rPr>
        <w:br/>
        <w:t xml:space="preserve">Bendras platinos </w:t>
      </w:r>
      <w:r>
        <w:rPr>
          <w:color w:val="auto"/>
          <w:sz w:val="22"/>
          <w:szCs w:val="22"/>
          <w:lang w:val="lt-LT"/>
        </w:rPr>
        <w:t xml:space="preserve">PUF </w:t>
      </w:r>
      <w:r w:rsidRPr="005E4334">
        <w:rPr>
          <w:color w:val="auto"/>
          <w:sz w:val="22"/>
          <w:szCs w:val="22"/>
          <w:lang w:val="lt-LT"/>
        </w:rPr>
        <w:t>CL buvo</w:t>
      </w:r>
      <w:r w:rsidRPr="008168E1">
        <w:rPr>
          <w:sz w:val="22"/>
          <w:szCs w:val="22"/>
          <w:lang w:val="lt-LT"/>
        </w:rPr>
        <w:t xml:space="preserve"> atitinkamai 0,74 (0,59, 0,92), 0,43 (0,33, 0,55) ir 0,21 (0,15, 0,29) ir Vss atitinkamai 0,52 (0,41, 0,65), 0,73 (0,59, 0,91) ir 0,27 (0,20, 0,36).  Bendras platinos PUF klirensas iš pacientų, kurių inkstų funkcija yra sutrikusi, organizmo sumažėjo 26 % lengvo, 57 % vidutinio sunkumo ir 79 % sunkaus inkstų funkcijos sutrikimo atveju, palyginti su pacientų, kurių inkstų funkcija normali. Platinos PUF inkstų klirensas iš pacientų, kurių inkstų funkcija yra sutrikusi, organizmo sumažėjo 30 % lengvo, 65 % vidutinio sunkumo ir 84 % sunkaus inkstų funkcijos sutrikimo atveju, palyginti su pacientų, kurių inkstų funkcija normali. Nustatytas beta PUF platinos pusinio periodo didėjimo tendencijos sunkėjant inkstų funkcijos sutrikimui, daugiausia </w:t>
      </w:r>
      <w:r>
        <w:rPr>
          <w:sz w:val="22"/>
          <w:szCs w:val="22"/>
          <w:lang w:val="lt-LT"/>
        </w:rPr>
        <w:t>sunkaus</w:t>
      </w:r>
      <w:r w:rsidRPr="008168E1">
        <w:rPr>
          <w:sz w:val="22"/>
          <w:szCs w:val="22"/>
          <w:lang w:val="lt-LT"/>
        </w:rPr>
        <w:t xml:space="preserve"> </w:t>
      </w:r>
      <w:r>
        <w:rPr>
          <w:sz w:val="22"/>
          <w:szCs w:val="22"/>
          <w:lang w:val="lt-LT"/>
        </w:rPr>
        <w:t>sutrikimo grupėje.</w:t>
      </w:r>
    </w:p>
    <w:p w:rsidR="00255979" w:rsidRPr="008168E1" w:rsidRDefault="00255979" w:rsidP="005E4334">
      <w:pPr>
        <w:pStyle w:val="Default"/>
        <w:rPr>
          <w:sz w:val="22"/>
          <w:szCs w:val="22"/>
          <w:lang w:val="lt-LT"/>
        </w:rPr>
      </w:pPr>
      <w:r w:rsidRPr="008168E1">
        <w:rPr>
          <w:sz w:val="22"/>
          <w:szCs w:val="22"/>
          <w:lang w:val="lt-LT"/>
        </w:rPr>
        <w:br/>
        <w:t xml:space="preserve">Dėl mažo skaičiaus pacientų, kurie sirgo sunkiu inkstų funkcijos sutrikimu, šie duomenys kelia nerimą ir į tai reikia atsižvelgti skiriant oksaliplatiną pacientams su inkstų funkcijos sutrikimu (žr. 4.2, 4.3 ir 4.4 skyrių). </w:t>
      </w:r>
    </w:p>
    <w:p w:rsidR="00255979" w:rsidRPr="0084041E" w:rsidRDefault="00255979" w:rsidP="005E4334">
      <w:pPr>
        <w:pStyle w:val="PI-2EMEASMCA"/>
        <w:keepNext w:val="0"/>
        <w:keepLines w:val="0"/>
        <w:widowControl w:val="0"/>
        <w:ind w:left="0"/>
      </w:pPr>
    </w:p>
    <w:p w:rsidR="00255979" w:rsidRPr="0084041E" w:rsidRDefault="00255979" w:rsidP="005E4334">
      <w:pPr>
        <w:pStyle w:val="PI-2EMEASMCA"/>
        <w:keepNext w:val="0"/>
        <w:keepLines w:val="0"/>
        <w:widowControl w:val="0"/>
        <w:ind w:left="0" w:firstLine="0"/>
      </w:pPr>
      <w:bookmarkStart w:id="36" w:name="_Toc129243114"/>
      <w:bookmarkStart w:id="37" w:name="_Toc129243239"/>
      <w:r w:rsidRPr="0084041E">
        <w:t>5.3</w:t>
      </w:r>
      <w:r w:rsidRPr="0084041E">
        <w:tab/>
        <w:t>Ikiklinikinių saugumo tyrimų duomenys</w:t>
      </w:r>
      <w:bookmarkEnd w:id="36"/>
      <w:bookmarkEnd w:id="37"/>
    </w:p>
    <w:p w:rsidR="00255979" w:rsidRPr="008168E1" w:rsidRDefault="00255979" w:rsidP="005E4334">
      <w:pPr>
        <w:pStyle w:val="BTEMEASMCA"/>
        <w:widowControl w:val="0"/>
        <w:rPr>
          <w:noProof w:val="0"/>
        </w:rPr>
      </w:pPr>
    </w:p>
    <w:p w:rsidR="00255979" w:rsidRDefault="00255979" w:rsidP="005E4334">
      <w:pPr>
        <w:pStyle w:val="CM13"/>
        <w:rPr>
          <w:rFonts w:cs="Times New Roman"/>
          <w:color w:val="000000"/>
          <w:sz w:val="22"/>
          <w:szCs w:val="22"/>
          <w:lang w:val="lt-LT"/>
        </w:rPr>
      </w:pPr>
      <w:r w:rsidRPr="008168E1">
        <w:rPr>
          <w:rFonts w:cs="Times New Roman"/>
          <w:color w:val="000000"/>
          <w:sz w:val="22"/>
          <w:szCs w:val="22"/>
          <w:lang w:val="lt-LT"/>
        </w:rPr>
        <w:t>Ikiklinikiniais vienkartinės bei kartotinių dozių tyrimais su gyvūnais (pelėmis, žiurkėmis, šunimis ir (arba) beždžionėmis) nustatyta, kad vaistinis preparatas labiausiai veikia kaulų čiulpus, virškinimo traktą, inkstus, sėklides, nervų sistemą ir širdį. Toksinis poveikis jautriausiems gyvūnų organams buvo toks pat, kokį daro kiti vaistiniai preparatai, kuriuose yra platinos, bei DNR pažeidžiantys citotoksiniai vaistiniai preparatai, kuriais žmogui gydomas vėžys, išskyrus poveikį širdžiai. Toksinis poveikis širdžiai, įskaitant elektrofiziologinį sutrikimą, sukeliantį mirtiną skilvelių virpėjimą, nustatytas tik šunims. Kad toksinis poveikis širdžiai būdingas tik šunims, laikyta ne vien dėl to, kad jis tik šiems gyvūnams nustatytas, bet ir dėl to, kad šunims kardiotoksinę mirtiną dozę (150 mg/m</w:t>
      </w:r>
      <w:r w:rsidRPr="008168E1">
        <w:rPr>
          <w:rFonts w:cs="Times New Roman"/>
          <w:color w:val="000000"/>
          <w:position w:val="11"/>
          <w:sz w:val="22"/>
          <w:szCs w:val="22"/>
          <w:vertAlign w:val="superscript"/>
          <w:lang w:val="lt-LT"/>
        </w:rPr>
        <w:t>2</w:t>
      </w:r>
      <w:r w:rsidRPr="008168E1">
        <w:rPr>
          <w:rFonts w:cs="Times New Roman"/>
          <w:color w:val="000000"/>
          <w:sz w:val="22"/>
          <w:szCs w:val="22"/>
          <w:lang w:val="lt-LT"/>
        </w:rPr>
        <w:t xml:space="preserve"> kūno paviršiaus ploto) žmogus toleruoja gerai. Ikiklinikinių tyrimų su žiurkių juntamaisiais neuronais duomenimis, oksaliplatinos sukelti ūminiai neurosensoriniai simptomai galbūt susiję su poveikiu nuo įtampos priklausomiems Na</w:t>
      </w:r>
      <w:r w:rsidRPr="008168E1">
        <w:rPr>
          <w:rFonts w:cs="Times New Roman"/>
          <w:color w:val="000000"/>
          <w:position w:val="11"/>
          <w:sz w:val="22"/>
          <w:szCs w:val="22"/>
          <w:vertAlign w:val="superscript"/>
          <w:lang w:val="lt-LT"/>
        </w:rPr>
        <w:t>+</w:t>
      </w:r>
      <w:r>
        <w:rPr>
          <w:rFonts w:cs="Times New Roman"/>
          <w:color w:val="000000"/>
          <w:sz w:val="22"/>
          <w:szCs w:val="22"/>
          <w:lang w:val="lt-LT"/>
        </w:rPr>
        <w:t xml:space="preserve"> kanalams.</w:t>
      </w:r>
    </w:p>
    <w:p w:rsidR="00255979" w:rsidRPr="004873B0" w:rsidRDefault="00255979" w:rsidP="00E975E7">
      <w:pPr>
        <w:rPr>
          <w:sz w:val="22"/>
          <w:szCs w:val="22"/>
          <w:lang w:eastAsia="ja-JP" w:bidi="lo-LA"/>
        </w:rPr>
      </w:pPr>
    </w:p>
    <w:p w:rsidR="00255979" w:rsidRPr="004873B0" w:rsidRDefault="00255979" w:rsidP="005E4334">
      <w:pPr>
        <w:pStyle w:val="CM13"/>
        <w:rPr>
          <w:rFonts w:cs="Times New Roman"/>
          <w:color w:val="000000"/>
          <w:sz w:val="22"/>
          <w:szCs w:val="22"/>
          <w:lang w:val="lt-LT"/>
        </w:rPr>
      </w:pPr>
      <w:r w:rsidRPr="004873B0">
        <w:rPr>
          <w:rFonts w:cs="Times New Roman"/>
          <w:color w:val="000000"/>
          <w:sz w:val="22"/>
          <w:szCs w:val="22"/>
          <w:lang w:val="lt-LT"/>
        </w:rPr>
        <w:t xml:space="preserve">Tiriant žinduolių ląsteles, nustatyta, kad oksaliplatina pasižymi mutageniniu ir klastogeniniu poveikiu ir sukelia toksinį poveikį žiurkės embrionui ir vaisiui. Nors kancerogeninio poveikio tyrimų neatlikta, manoma, kad oksaliplatina tokį poveikį sukelia. </w:t>
      </w:r>
    </w:p>
    <w:p w:rsidR="00255979" w:rsidRPr="004873B0" w:rsidRDefault="00255979" w:rsidP="005E4334">
      <w:pPr>
        <w:widowControl w:val="0"/>
        <w:rPr>
          <w:sz w:val="22"/>
          <w:szCs w:val="22"/>
        </w:rPr>
      </w:pPr>
    </w:p>
    <w:p w:rsidR="00255979" w:rsidRPr="004873B0" w:rsidRDefault="00255979" w:rsidP="005E4334">
      <w:pPr>
        <w:widowControl w:val="0"/>
        <w:rPr>
          <w:sz w:val="22"/>
          <w:szCs w:val="22"/>
        </w:rPr>
      </w:pPr>
    </w:p>
    <w:p w:rsidR="00255979" w:rsidRPr="0084041E" w:rsidRDefault="00255979" w:rsidP="00287FAB">
      <w:pPr>
        <w:pStyle w:val="PI-1EMEASMCA"/>
      </w:pPr>
      <w:bookmarkStart w:id="38" w:name="_Toc129243115"/>
      <w:bookmarkStart w:id="39" w:name="_Toc129243240"/>
      <w:r w:rsidRPr="004873B0">
        <w:t>6.</w:t>
      </w:r>
      <w:r w:rsidRPr="004873B0">
        <w:tab/>
      </w:r>
      <w:r w:rsidRPr="0084041E">
        <w:t>FARMACINĖ INFORMACIJA</w:t>
      </w:r>
      <w:bookmarkEnd w:id="38"/>
      <w:bookmarkEnd w:id="39"/>
    </w:p>
    <w:p w:rsidR="00255979" w:rsidRPr="0084041E" w:rsidRDefault="00255979" w:rsidP="00287FAB">
      <w:pPr>
        <w:pStyle w:val="BTEMEASMCA"/>
        <w:rPr>
          <w:noProof w:val="0"/>
        </w:rPr>
      </w:pPr>
    </w:p>
    <w:p w:rsidR="00255979" w:rsidRPr="0084041E" w:rsidRDefault="00255979" w:rsidP="00287FAB">
      <w:pPr>
        <w:pStyle w:val="PI-2EMEASMCA"/>
      </w:pPr>
      <w:bookmarkStart w:id="40" w:name="_Toc129243116"/>
      <w:bookmarkStart w:id="41" w:name="_Toc129243241"/>
      <w:r w:rsidRPr="0084041E">
        <w:t>6.1</w:t>
      </w:r>
      <w:r w:rsidRPr="0084041E">
        <w:tab/>
        <w:t>Pagalbinių medžiagų sąrašas</w:t>
      </w:r>
      <w:bookmarkEnd w:id="40"/>
      <w:bookmarkEnd w:id="41"/>
    </w:p>
    <w:p w:rsidR="00255979" w:rsidRDefault="00255979" w:rsidP="00287FAB">
      <w:pPr>
        <w:pStyle w:val="BTEMEASMCA"/>
        <w:rPr>
          <w:noProof w:val="0"/>
        </w:rPr>
      </w:pPr>
    </w:p>
    <w:p w:rsidR="00255979" w:rsidRDefault="00255979" w:rsidP="003A6AEE">
      <w:pPr>
        <w:pStyle w:val="CM13"/>
        <w:spacing w:line="276" w:lineRule="atLeast"/>
        <w:jc w:val="both"/>
        <w:rPr>
          <w:rFonts w:cs="Times New Roman"/>
          <w:color w:val="000000"/>
          <w:sz w:val="22"/>
          <w:szCs w:val="22"/>
          <w:lang w:val="lt-LT"/>
        </w:rPr>
      </w:pPr>
      <w:r w:rsidRPr="008168E1">
        <w:rPr>
          <w:rFonts w:cs="Times New Roman"/>
          <w:color w:val="000000"/>
          <w:sz w:val="22"/>
          <w:szCs w:val="22"/>
          <w:lang w:val="lt-LT"/>
        </w:rPr>
        <w:t xml:space="preserve">Laktozė monohidratas. </w:t>
      </w:r>
    </w:p>
    <w:p w:rsidR="00255979" w:rsidRPr="004873B0" w:rsidRDefault="00255979" w:rsidP="003A6AEE">
      <w:pPr>
        <w:rPr>
          <w:sz w:val="22"/>
          <w:szCs w:val="22"/>
        </w:rPr>
      </w:pPr>
    </w:p>
    <w:p w:rsidR="00255979" w:rsidRPr="0084041E" w:rsidRDefault="00255979" w:rsidP="00633D05">
      <w:pPr>
        <w:pStyle w:val="PI-2EMEASMCA"/>
      </w:pPr>
      <w:bookmarkStart w:id="42" w:name="_Toc129243117"/>
      <w:bookmarkStart w:id="43" w:name="_Toc129243242"/>
      <w:r w:rsidRPr="0084041E">
        <w:t>6.2</w:t>
      </w:r>
      <w:r w:rsidRPr="0084041E">
        <w:tab/>
        <w:t>Nesuderinamumas</w:t>
      </w:r>
      <w:bookmarkEnd w:id="42"/>
      <w:bookmarkEnd w:id="43"/>
    </w:p>
    <w:p w:rsidR="00255979" w:rsidRPr="0084041E" w:rsidRDefault="00255979" w:rsidP="00633D05">
      <w:pPr>
        <w:pStyle w:val="BTEMEASMCA"/>
        <w:rPr>
          <w:noProof w:val="0"/>
        </w:rPr>
      </w:pPr>
    </w:p>
    <w:p w:rsidR="00255979" w:rsidRPr="008168E1" w:rsidRDefault="00255979" w:rsidP="003A6AEE">
      <w:pPr>
        <w:pStyle w:val="CM13"/>
        <w:spacing w:after="275" w:line="276" w:lineRule="atLeast"/>
        <w:rPr>
          <w:rFonts w:cs="Times New Roman"/>
          <w:color w:val="000000"/>
          <w:sz w:val="22"/>
          <w:szCs w:val="23"/>
          <w:lang w:val="lt-LT"/>
        </w:rPr>
      </w:pPr>
      <w:r>
        <w:rPr>
          <w:rFonts w:cs="Times New Roman"/>
          <w:color w:val="000000"/>
          <w:sz w:val="22"/>
          <w:szCs w:val="22"/>
          <w:lang w:val="lt-LT"/>
        </w:rPr>
        <w:t>Pra</w:t>
      </w:r>
      <w:r w:rsidRPr="008168E1">
        <w:rPr>
          <w:rFonts w:cs="Times New Roman"/>
          <w:color w:val="000000"/>
          <w:sz w:val="22"/>
          <w:szCs w:val="22"/>
          <w:lang w:val="lt-LT"/>
        </w:rPr>
        <w:t>skiesto vaistinio preparato negalima maišyti su kitais vaistiniais preparatais tame pačiame infuziniame maišelyje arba infuzijos linijoje. Pagal vartojimo instrukciją, aprašytą 6.6 skyriuje, oksaliplatina gali būti infuzuojama kartu su foli</w:t>
      </w:r>
      <w:r>
        <w:rPr>
          <w:rFonts w:cs="Times New Roman"/>
          <w:color w:val="000000"/>
          <w:sz w:val="22"/>
          <w:szCs w:val="22"/>
          <w:lang w:val="lt-LT"/>
        </w:rPr>
        <w:t>n</w:t>
      </w:r>
      <w:r w:rsidRPr="008168E1">
        <w:rPr>
          <w:rFonts w:cs="Times New Roman"/>
          <w:color w:val="000000"/>
          <w:sz w:val="22"/>
          <w:szCs w:val="22"/>
          <w:lang w:val="lt-LT"/>
        </w:rPr>
        <w:t xml:space="preserve">o rūgštimi (FR) per infuzijos sistemą su įžambiąja trišake </w:t>
      </w:r>
      <w:r w:rsidRPr="003A6AEE">
        <w:rPr>
          <w:sz w:val="22"/>
          <w:szCs w:val="22"/>
          <w:lang w:val="lt-LT"/>
        </w:rPr>
        <w:t xml:space="preserve">„Y“ </w:t>
      </w:r>
      <w:r w:rsidRPr="008168E1">
        <w:rPr>
          <w:rFonts w:cs="Times New Roman"/>
          <w:color w:val="000000"/>
          <w:sz w:val="22"/>
          <w:szCs w:val="22"/>
          <w:lang w:val="lt-LT"/>
        </w:rPr>
        <w:t xml:space="preserve">jungtimi.  </w:t>
      </w:r>
    </w:p>
    <w:p w:rsidR="00255979" w:rsidRPr="008168E1" w:rsidRDefault="00255979" w:rsidP="003A6AEE">
      <w:pPr>
        <w:pStyle w:val="CM13"/>
        <w:spacing w:after="275" w:line="276" w:lineRule="atLeast"/>
        <w:ind w:left="360" w:hanging="270"/>
        <w:rPr>
          <w:rFonts w:cs="Times New Roman"/>
          <w:color w:val="000000"/>
          <w:sz w:val="22"/>
          <w:szCs w:val="23"/>
          <w:lang w:val="lt-LT"/>
        </w:rPr>
      </w:pPr>
      <w:r w:rsidRPr="008168E1">
        <w:rPr>
          <w:rFonts w:cs="Times New Roman"/>
          <w:color w:val="000000"/>
          <w:sz w:val="22"/>
          <w:szCs w:val="22"/>
          <w:lang w:val="lt-LT"/>
        </w:rPr>
        <w:t>-</w:t>
      </w:r>
      <w:r w:rsidRPr="008168E1">
        <w:rPr>
          <w:rFonts w:cs="Times New Roman"/>
          <w:color w:val="000000"/>
          <w:sz w:val="22"/>
          <w:szCs w:val="22"/>
          <w:lang w:val="lt-LT"/>
        </w:rPr>
        <w:tab/>
        <w:t xml:space="preserve">NEMAIŠYKITE su šarminiais </w:t>
      </w:r>
      <w:r>
        <w:rPr>
          <w:rFonts w:cs="Times New Roman"/>
          <w:color w:val="000000"/>
          <w:sz w:val="22"/>
          <w:szCs w:val="22"/>
          <w:lang w:val="lt-LT"/>
        </w:rPr>
        <w:t xml:space="preserve">vaistiniais </w:t>
      </w:r>
      <w:r w:rsidRPr="008168E1">
        <w:rPr>
          <w:rFonts w:cs="Times New Roman"/>
          <w:color w:val="000000"/>
          <w:sz w:val="22"/>
          <w:szCs w:val="22"/>
          <w:lang w:val="lt-LT"/>
        </w:rPr>
        <w:t xml:space="preserve">preparatais </w:t>
      </w:r>
      <w:r>
        <w:rPr>
          <w:rFonts w:cs="Times New Roman"/>
          <w:color w:val="000000"/>
          <w:sz w:val="22"/>
          <w:szCs w:val="22"/>
          <w:lang w:val="lt-LT"/>
        </w:rPr>
        <w:t>ar</w:t>
      </w:r>
      <w:r w:rsidRPr="008168E1">
        <w:rPr>
          <w:rFonts w:cs="Times New Roman"/>
          <w:color w:val="000000"/>
          <w:sz w:val="22"/>
          <w:szCs w:val="22"/>
          <w:lang w:val="lt-LT"/>
        </w:rPr>
        <w:t xml:space="preserve"> tirpalais, ypač su 5</w:t>
      </w:r>
      <w:r>
        <w:rPr>
          <w:rFonts w:cs="Times New Roman"/>
          <w:color w:val="000000"/>
          <w:sz w:val="22"/>
          <w:szCs w:val="22"/>
          <w:lang w:val="lt-LT"/>
        </w:rPr>
        <w:t>-</w:t>
      </w:r>
      <w:r w:rsidRPr="008168E1">
        <w:rPr>
          <w:rFonts w:cs="Times New Roman"/>
          <w:color w:val="000000"/>
          <w:sz w:val="22"/>
          <w:szCs w:val="22"/>
          <w:lang w:val="lt-LT"/>
        </w:rPr>
        <w:t>fluorouracilu (5</w:t>
      </w:r>
      <w:r>
        <w:rPr>
          <w:rFonts w:cs="Times New Roman"/>
          <w:color w:val="000000"/>
          <w:sz w:val="22"/>
          <w:szCs w:val="22"/>
          <w:lang w:val="lt-LT"/>
        </w:rPr>
        <w:t>-</w:t>
      </w:r>
      <w:r w:rsidRPr="008168E1">
        <w:rPr>
          <w:rFonts w:cs="Times New Roman"/>
          <w:color w:val="000000"/>
          <w:sz w:val="22"/>
          <w:szCs w:val="22"/>
          <w:lang w:val="lt-LT"/>
        </w:rPr>
        <w:t>FU), foli</w:t>
      </w:r>
      <w:r>
        <w:rPr>
          <w:rFonts w:cs="Times New Roman"/>
          <w:color w:val="000000"/>
          <w:sz w:val="22"/>
          <w:szCs w:val="22"/>
          <w:lang w:val="lt-LT"/>
        </w:rPr>
        <w:t>n</w:t>
      </w:r>
      <w:r w:rsidRPr="008168E1">
        <w:rPr>
          <w:rFonts w:cs="Times New Roman"/>
          <w:color w:val="000000"/>
          <w:sz w:val="22"/>
          <w:szCs w:val="22"/>
          <w:lang w:val="lt-LT"/>
        </w:rPr>
        <w:t>o rūgšties (F</w:t>
      </w:r>
      <w:r>
        <w:rPr>
          <w:rFonts w:cs="Times New Roman"/>
          <w:color w:val="000000"/>
          <w:sz w:val="22"/>
          <w:szCs w:val="22"/>
          <w:lang w:val="lt-LT"/>
        </w:rPr>
        <w:t>R</w:t>
      </w:r>
      <w:r w:rsidRPr="008168E1">
        <w:rPr>
          <w:rFonts w:cs="Times New Roman"/>
          <w:color w:val="000000"/>
          <w:sz w:val="22"/>
          <w:szCs w:val="22"/>
          <w:lang w:val="lt-LT"/>
        </w:rPr>
        <w:t>) preparatais, kurių sudėtyje yra pagalbinės medžiagos trometamolio, ir kit</w:t>
      </w:r>
      <w:r>
        <w:rPr>
          <w:rFonts w:cs="Times New Roman"/>
          <w:color w:val="000000"/>
          <w:sz w:val="22"/>
          <w:szCs w:val="22"/>
          <w:lang w:val="lt-LT"/>
        </w:rPr>
        <w:t>ų</w:t>
      </w:r>
      <w:r w:rsidRPr="008168E1">
        <w:rPr>
          <w:rFonts w:cs="Times New Roman"/>
          <w:color w:val="000000"/>
          <w:sz w:val="22"/>
          <w:szCs w:val="22"/>
          <w:lang w:val="lt-LT"/>
        </w:rPr>
        <w:t xml:space="preserve"> veikli</w:t>
      </w:r>
      <w:r>
        <w:rPr>
          <w:rFonts w:cs="Times New Roman"/>
          <w:color w:val="000000"/>
          <w:sz w:val="22"/>
          <w:szCs w:val="22"/>
          <w:lang w:val="lt-LT"/>
        </w:rPr>
        <w:t>ųjų</w:t>
      </w:r>
      <w:r w:rsidRPr="008168E1">
        <w:rPr>
          <w:rFonts w:cs="Times New Roman"/>
          <w:color w:val="000000"/>
          <w:sz w:val="22"/>
          <w:szCs w:val="22"/>
          <w:lang w:val="lt-LT"/>
        </w:rPr>
        <w:t xml:space="preserve"> medžiag</w:t>
      </w:r>
      <w:r>
        <w:rPr>
          <w:rFonts w:cs="Times New Roman"/>
          <w:color w:val="000000"/>
          <w:sz w:val="22"/>
          <w:szCs w:val="22"/>
          <w:lang w:val="lt-LT"/>
        </w:rPr>
        <w:t>ų</w:t>
      </w:r>
      <w:r w:rsidRPr="008168E1">
        <w:rPr>
          <w:rFonts w:cs="Times New Roman"/>
          <w:color w:val="000000"/>
          <w:sz w:val="22"/>
          <w:szCs w:val="22"/>
          <w:lang w:val="lt-LT"/>
        </w:rPr>
        <w:t xml:space="preserve"> trometamolio druskomis. Šarminiai </w:t>
      </w:r>
      <w:r>
        <w:rPr>
          <w:rFonts w:cs="Times New Roman"/>
          <w:color w:val="000000"/>
          <w:sz w:val="22"/>
          <w:szCs w:val="22"/>
          <w:lang w:val="lt-LT"/>
        </w:rPr>
        <w:t xml:space="preserve">vaistiniai </w:t>
      </w:r>
      <w:r w:rsidRPr="008168E1">
        <w:rPr>
          <w:rFonts w:cs="Times New Roman"/>
          <w:color w:val="000000"/>
          <w:sz w:val="22"/>
          <w:szCs w:val="22"/>
          <w:lang w:val="lt-LT"/>
        </w:rPr>
        <w:t xml:space="preserve">preparatai ir tirpalai neigiamai veikia oksaliplatinos stabilumą (žr. 6.6 skyrių).  </w:t>
      </w:r>
    </w:p>
    <w:p w:rsidR="00255979" w:rsidRPr="008168E1" w:rsidRDefault="00255979" w:rsidP="003A6AEE">
      <w:pPr>
        <w:pStyle w:val="CM13"/>
        <w:spacing w:after="275" w:line="276" w:lineRule="atLeast"/>
        <w:ind w:left="360" w:hanging="270"/>
        <w:rPr>
          <w:rFonts w:cs="Times New Roman"/>
          <w:color w:val="000000"/>
          <w:sz w:val="22"/>
          <w:szCs w:val="23"/>
          <w:lang w:val="lt-LT"/>
        </w:rPr>
      </w:pPr>
      <w:r w:rsidRPr="008168E1">
        <w:rPr>
          <w:rFonts w:cs="Times New Roman"/>
          <w:color w:val="000000"/>
          <w:sz w:val="22"/>
          <w:szCs w:val="22"/>
          <w:lang w:val="lt-LT"/>
        </w:rPr>
        <w:t>-</w:t>
      </w:r>
      <w:r w:rsidRPr="008168E1">
        <w:rPr>
          <w:rFonts w:cs="Times New Roman"/>
          <w:color w:val="000000"/>
          <w:sz w:val="22"/>
          <w:szCs w:val="22"/>
          <w:lang w:val="lt-LT"/>
        </w:rPr>
        <w:tab/>
        <w:t>NETIRPINKITE ir neskieskite oksaliplatinos infuzijai fiziologiniu tirpalu ar kitu tirpalu, kurio sudėtyje yra chlorido jonų (tame tarpe kalcio, kalio ar natrio chlorid</w:t>
      </w:r>
      <w:r>
        <w:rPr>
          <w:rFonts w:cs="Times New Roman"/>
          <w:color w:val="000000"/>
          <w:sz w:val="22"/>
          <w:szCs w:val="22"/>
          <w:lang w:val="lt-LT"/>
        </w:rPr>
        <w:t>ų</w:t>
      </w:r>
      <w:r w:rsidRPr="008168E1">
        <w:rPr>
          <w:rFonts w:cs="Times New Roman"/>
          <w:color w:val="000000"/>
          <w:sz w:val="22"/>
          <w:szCs w:val="22"/>
          <w:lang w:val="lt-LT"/>
        </w:rPr>
        <w:t xml:space="preserve">).   </w:t>
      </w:r>
    </w:p>
    <w:p w:rsidR="00255979" w:rsidRPr="008168E1" w:rsidRDefault="00255979" w:rsidP="003A6AEE">
      <w:pPr>
        <w:pStyle w:val="CM13"/>
        <w:spacing w:after="275" w:line="276" w:lineRule="atLeast"/>
        <w:ind w:left="360" w:hanging="270"/>
        <w:rPr>
          <w:rFonts w:cs="Times New Roman"/>
          <w:color w:val="000000"/>
          <w:sz w:val="22"/>
          <w:szCs w:val="23"/>
          <w:lang w:val="lt-LT"/>
        </w:rPr>
      </w:pPr>
      <w:r w:rsidRPr="008168E1">
        <w:rPr>
          <w:rFonts w:cs="Times New Roman"/>
          <w:color w:val="000000"/>
          <w:sz w:val="22"/>
          <w:szCs w:val="22"/>
          <w:lang w:val="lt-LT"/>
        </w:rPr>
        <w:t>-</w:t>
      </w:r>
      <w:r w:rsidRPr="008168E1">
        <w:rPr>
          <w:rFonts w:cs="Times New Roman"/>
          <w:color w:val="000000"/>
          <w:sz w:val="22"/>
          <w:szCs w:val="22"/>
          <w:lang w:val="lt-LT"/>
        </w:rPr>
        <w:tab/>
        <w:t>NEMAIŠYKITE su kitais vaist</w:t>
      </w:r>
      <w:r>
        <w:rPr>
          <w:rFonts w:cs="Times New Roman"/>
          <w:color w:val="000000"/>
          <w:sz w:val="22"/>
          <w:szCs w:val="22"/>
          <w:lang w:val="lt-LT"/>
        </w:rPr>
        <w:t>iniais preparatais</w:t>
      </w:r>
      <w:r w:rsidRPr="008168E1">
        <w:rPr>
          <w:rFonts w:cs="Times New Roman"/>
          <w:color w:val="000000"/>
          <w:sz w:val="22"/>
          <w:szCs w:val="22"/>
          <w:lang w:val="lt-LT"/>
        </w:rPr>
        <w:t xml:space="preserve"> tame pačiame infuzijos maišelyje arba infuzijos linijoje (žr. 6.6 skyrių, dėl instrukcijų, kaip infuzuoti kartu su foli</w:t>
      </w:r>
      <w:r>
        <w:rPr>
          <w:rFonts w:cs="Times New Roman"/>
          <w:color w:val="000000"/>
          <w:sz w:val="22"/>
          <w:szCs w:val="22"/>
          <w:lang w:val="lt-LT"/>
        </w:rPr>
        <w:t>n</w:t>
      </w:r>
      <w:r w:rsidRPr="008168E1">
        <w:rPr>
          <w:rFonts w:cs="Times New Roman"/>
          <w:color w:val="000000"/>
          <w:sz w:val="22"/>
          <w:szCs w:val="22"/>
          <w:lang w:val="lt-LT"/>
        </w:rPr>
        <w:t xml:space="preserve">o rūgštimi).  </w:t>
      </w:r>
    </w:p>
    <w:p w:rsidR="00255979" w:rsidRPr="008168E1" w:rsidRDefault="00255979" w:rsidP="003A6AEE">
      <w:pPr>
        <w:pStyle w:val="CM9"/>
        <w:ind w:left="360" w:hanging="270"/>
        <w:rPr>
          <w:rFonts w:cs="Times New Roman"/>
          <w:color w:val="000000"/>
          <w:sz w:val="22"/>
          <w:szCs w:val="23"/>
          <w:lang w:val="lt-LT"/>
        </w:rPr>
      </w:pPr>
      <w:r w:rsidRPr="008168E1">
        <w:rPr>
          <w:rFonts w:cs="Times New Roman"/>
          <w:color w:val="000000"/>
          <w:sz w:val="22"/>
          <w:szCs w:val="22"/>
          <w:lang w:val="lt-LT"/>
        </w:rPr>
        <w:t>-</w:t>
      </w:r>
      <w:r w:rsidRPr="008168E1">
        <w:rPr>
          <w:rFonts w:cs="Times New Roman"/>
          <w:color w:val="000000"/>
          <w:sz w:val="22"/>
          <w:szCs w:val="22"/>
          <w:lang w:val="lt-LT"/>
        </w:rPr>
        <w:tab/>
        <w:t xml:space="preserve">NENAUDOKITE injekcinių priemonių, kurių sudėtyje yra aliuminio. </w:t>
      </w:r>
    </w:p>
    <w:p w:rsidR="00255979" w:rsidRPr="0084041E" w:rsidRDefault="00255979" w:rsidP="00633D05">
      <w:pPr>
        <w:pStyle w:val="BTEMEASMCA"/>
        <w:rPr>
          <w:noProof w:val="0"/>
        </w:rPr>
      </w:pPr>
    </w:p>
    <w:p w:rsidR="00255979" w:rsidRPr="0084041E" w:rsidRDefault="00255979" w:rsidP="00633D05">
      <w:pPr>
        <w:pStyle w:val="PI-2EMEASMCA"/>
      </w:pPr>
      <w:bookmarkStart w:id="44" w:name="_Toc129243118"/>
      <w:bookmarkStart w:id="45" w:name="_Toc129243243"/>
      <w:r w:rsidRPr="0084041E">
        <w:t>6.3</w:t>
      </w:r>
      <w:r w:rsidRPr="0084041E">
        <w:tab/>
        <w:t>Tinkamumo laikas</w:t>
      </w:r>
      <w:bookmarkEnd w:id="44"/>
      <w:bookmarkEnd w:id="45"/>
    </w:p>
    <w:p w:rsidR="00255979" w:rsidRPr="0084041E" w:rsidRDefault="00255979" w:rsidP="00633D05">
      <w:pPr>
        <w:pStyle w:val="BTEMEASMCA"/>
        <w:rPr>
          <w:noProof w:val="0"/>
        </w:rPr>
      </w:pPr>
    </w:p>
    <w:p w:rsidR="00255979" w:rsidRDefault="00255979" w:rsidP="003A6AEE">
      <w:pPr>
        <w:pStyle w:val="CM13"/>
        <w:rPr>
          <w:rFonts w:cs="Times New Roman"/>
          <w:color w:val="000000"/>
          <w:sz w:val="22"/>
          <w:szCs w:val="22"/>
          <w:lang w:val="lt-LT"/>
        </w:rPr>
      </w:pPr>
      <w:r w:rsidRPr="008168E1">
        <w:rPr>
          <w:rFonts w:cs="Times New Roman"/>
          <w:color w:val="000000"/>
          <w:sz w:val="22"/>
          <w:szCs w:val="22"/>
          <w:lang w:val="lt-LT"/>
        </w:rPr>
        <w:t xml:space="preserve">Neatidarytas </w:t>
      </w:r>
      <w:r>
        <w:rPr>
          <w:rFonts w:cs="Times New Roman"/>
          <w:color w:val="000000"/>
          <w:sz w:val="22"/>
          <w:szCs w:val="22"/>
          <w:lang w:val="lt-LT"/>
        </w:rPr>
        <w:t>flakonas</w:t>
      </w:r>
      <w:r w:rsidRPr="008168E1">
        <w:rPr>
          <w:rFonts w:cs="Times New Roman"/>
          <w:color w:val="000000"/>
          <w:sz w:val="22"/>
          <w:szCs w:val="22"/>
          <w:lang w:val="lt-LT"/>
        </w:rPr>
        <w:t xml:space="preserve">: 2 metai </w:t>
      </w:r>
    </w:p>
    <w:p w:rsidR="00255979" w:rsidRPr="004873B0" w:rsidRDefault="00255979" w:rsidP="003A6AEE">
      <w:pPr>
        <w:rPr>
          <w:sz w:val="22"/>
          <w:szCs w:val="22"/>
        </w:rPr>
      </w:pPr>
    </w:p>
    <w:p w:rsidR="00255979" w:rsidRDefault="00255979" w:rsidP="003A6AEE">
      <w:pPr>
        <w:pStyle w:val="CM13"/>
        <w:spacing w:line="278" w:lineRule="atLeast"/>
        <w:rPr>
          <w:rFonts w:cs="Times New Roman"/>
          <w:color w:val="000000"/>
          <w:sz w:val="22"/>
          <w:szCs w:val="22"/>
          <w:lang w:val="lt-LT"/>
        </w:rPr>
      </w:pPr>
      <w:r w:rsidRPr="008168E1">
        <w:rPr>
          <w:rFonts w:cs="Times New Roman"/>
          <w:color w:val="000000"/>
          <w:sz w:val="22"/>
          <w:szCs w:val="22"/>
          <w:u w:val="single"/>
          <w:lang w:val="lt-LT"/>
        </w:rPr>
        <w:t xml:space="preserve">Paruoštas tirpalo koncentratas originaliame </w:t>
      </w:r>
      <w:r>
        <w:rPr>
          <w:rFonts w:cs="Times New Roman"/>
          <w:color w:val="000000"/>
          <w:sz w:val="22"/>
          <w:szCs w:val="22"/>
          <w:u w:val="single"/>
          <w:lang w:val="lt-LT"/>
        </w:rPr>
        <w:t>flakone</w:t>
      </w:r>
      <w:r w:rsidRPr="008168E1">
        <w:rPr>
          <w:rFonts w:cs="Times New Roman"/>
          <w:color w:val="000000"/>
          <w:sz w:val="22"/>
          <w:szCs w:val="22"/>
          <w:u w:val="single"/>
          <w:lang w:val="lt-LT"/>
        </w:rPr>
        <w:t xml:space="preserve"> </w:t>
      </w:r>
      <w:r w:rsidRPr="008168E1">
        <w:rPr>
          <w:rFonts w:cs="Times New Roman"/>
          <w:color w:val="000000"/>
          <w:sz w:val="22"/>
          <w:szCs w:val="22"/>
          <w:u w:val="single"/>
          <w:lang w:val="lt-LT"/>
        </w:rPr>
        <w:br/>
      </w:r>
      <w:r w:rsidRPr="008168E1">
        <w:rPr>
          <w:rFonts w:cs="Times New Roman"/>
          <w:color w:val="000000"/>
          <w:sz w:val="22"/>
          <w:szCs w:val="22"/>
          <w:lang w:val="lt-LT"/>
        </w:rPr>
        <w:t xml:space="preserve">Paruoštas koncentruotas tirpalas turi būti nedelsiant </w:t>
      </w:r>
      <w:r>
        <w:rPr>
          <w:rFonts w:cs="Times New Roman"/>
          <w:color w:val="000000"/>
          <w:sz w:val="22"/>
          <w:szCs w:val="22"/>
          <w:lang w:val="lt-LT"/>
        </w:rPr>
        <w:t>pra</w:t>
      </w:r>
      <w:r w:rsidRPr="008168E1">
        <w:rPr>
          <w:rFonts w:cs="Times New Roman"/>
          <w:color w:val="000000"/>
          <w:sz w:val="22"/>
          <w:szCs w:val="22"/>
          <w:lang w:val="lt-LT"/>
        </w:rPr>
        <w:t xml:space="preserve">skiedžiamas ir jis yra skirtas vienkartiniam </w:t>
      </w:r>
      <w:r>
        <w:rPr>
          <w:rFonts w:cs="Times New Roman"/>
          <w:color w:val="000000"/>
          <w:sz w:val="22"/>
          <w:szCs w:val="22"/>
          <w:lang w:val="lt-LT"/>
        </w:rPr>
        <w:t>vartojimui</w:t>
      </w:r>
      <w:r w:rsidRPr="008168E1">
        <w:rPr>
          <w:rFonts w:cs="Times New Roman"/>
          <w:color w:val="000000"/>
          <w:sz w:val="22"/>
          <w:szCs w:val="22"/>
          <w:lang w:val="lt-LT"/>
        </w:rPr>
        <w:t xml:space="preserve">.  </w:t>
      </w:r>
    </w:p>
    <w:p w:rsidR="00255979" w:rsidRDefault="00255979" w:rsidP="003A6AEE">
      <w:pPr>
        <w:pStyle w:val="CM13"/>
        <w:spacing w:line="278" w:lineRule="atLeast"/>
        <w:rPr>
          <w:rFonts w:cs="Times New Roman"/>
          <w:color w:val="000000"/>
          <w:sz w:val="22"/>
          <w:szCs w:val="22"/>
          <w:lang w:val="lt-LT"/>
        </w:rPr>
      </w:pPr>
      <w:r w:rsidRPr="008168E1">
        <w:rPr>
          <w:rFonts w:cs="Times New Roman"/>
          <w:color w:val="000000"/>
          <w:sz w:val="22"/>
          <w:szCs w:val="22"/>
          <w:lang w:val="lt-LT"/>
        </w:rPr>
        <w:t>Mikrobiologiniu požiūriu</w:t>
      </w:r>
      <w:r>
        <w:rPr>
          <w:rFonts w:cs="Times New Roman"/>
          <w:color w:val="000000"/>
          <w:sz w:val="22"/>
          <w:szCs w:val="22"/>
          <w:lang w:val="lt-LT"/>
        </w:rPr>
        <w:t>,</w:t>
      </w:r>
      <w:r w:rsidRPr="008168E1">
        <w:rPr>
          <w:rFonts w:cs="Times New Roman"/>
          <w:color w:val="000000"/>
          <w:sz w:val="22"/>
          <w:szCs w:val="22"/>
          <w:lang w:val="lt-LT"/>
        </w:rPr>
        <w:t xml:space="preserve"> šis tirpalas turi būti vartojamas nedelsiant. Jeigu iš karto </w:t>
      </w:r>
      <w:r>
        <w:rPr>
          <w:rFonts w:cs="Times New Roman"/>
          <w:color w:val="000000"/>
          <w:sz w:val="22"/>
          <w:szCs w:val="22"/>
          <w:lang w:val="lt-LT"/>
        </w:rPr>
        <w:t>nevartojamas</w:t>
      </w:r>
      <w:r w:rsidRPr="008168E1">
        <w:rPr>
          <w:rFonts w:cs="Times New Roman"/>
          <w:color w:val="000000"/>
          <w:sz w:val="22"/>
          <w:szCs w:val="22"/>
          <w:lang w:val="lt-LT"/>
        </w:rPr>
        <w:t xml:space="preserve">, už laikymo laiką ir sąlygas </w:t>
      </w:r>
      <w:r>
        <w:rPr>
          <w:rFonts w:cs="Times New Roman"/>
          <w:color w:val="000000"/>
          <w:sz w:val="22"/>
          <w:szCs w:val="22"/>
          <w:lang w:val="lt-LT"/>
        </w:rPr>
        <w:t xml:space="preserve">prieš vartojimą </w:t>
      </w:r>
      <w:r w:rsidRPr="008168E1">
        <w:rPr>
          <w:rFonts w:cs="Times New Roman"/>
          <w:color w:val="000000"/>
          <w:sz w:val="22"/>
          <w:szCs w:val="22"/>
          <w:lang w:val="lt-LT"/>
        </w:rPr>
        <w:t xml:space="preserve">atsako vartotojas ir paprastai laikymo trukmė bus ne </w:t>
      </w:r>
      <w:r>
        <w:rPr>
          <w:rFonts w:cs="Times New Roman"/>
          <w:color w:val="000000"/>
          <w:sz w:val="22"/>
          <w:szCs w:val="22"/>
          <w:lang w:val="lt-LT"/>
        </w:rPr>
        <w:t>ilgesnė</w:t>
      </w:r>
      <w:r w:rsidRPr="008168E1">
        <w:rPr>
          <w:rFonts w:cs="Times New Roman"/>
          <w:color w:val="000000"/>
          <w:sz w:val="22"/>
          <w:szCs w:val="22"/>
          <w:lang w:val="lt-LT"/>
        </w:rPr>
        <w:t xml:space="preserve"> nei 24 valandos laikant 2°C–8 °C temperatūroje, jeigu tirpalas nebuvo ruošiamas kontroliuojamomis ir patvirtintomis </w:t>
      </w:r>
      <w:r>
        <w:rPr>
          <w:rFonts w:cs="Times New Roman"/>
          <w:color w:val="000000"/>
          <w:sz w:val="22"/>
          <w:szCs w:val="22"/>
          <w:lang w:val="lt-LT"/>
        </w:rPr>
        <w:t>aseptinėmis</w:t>
      </w:r>
      <w:r w:rsidRPr="008168E1">
        <w:rPr>
          <w:rFonts w:cs="Times New Roman"/>
          <w:color w:val="000000"/>
          <w:sz w:val="22"/>
          <w:szCs w:val="22"/>
          <w:lang w:val="lt-LT"/>
        </w:rPr>
        <w:t xml:space="preserve"> sąlygomis. </w:t>
      </w:r>
    </w:p>
    <w:p w:rsidR="00255979" w:rsidRDefault="00255979" w:rsidP="003A6AEE">
      <w:pPr>
        <w:pStyle w:val="CM13"/>
        <w:spacing w:line="278" w:lineRule="atLeast"/>
        <w:rPr>
          <w:rFonts w:cs="Times New Roman"/>
          <w:color w:val="000000"/>
          <w:sz w:val="22"/>
          <w:szCs w:val="22"/>
          <w:lang w:val="lt-LT"/>
        </w:rPr>
      </w:pPr>
      <w:r>
        <w:rPr>
          <w:rFonts w:cs="Times New Roman"/>
          <w:color w:val="000000"/>
          <w:sz w:val="22"/>
          <w:szCs w:val="22"/>
          <w:lang w:val="lt-LT"/>
        </w:rPr>
        <w:t>Paruošto</w:t>
      </w:r>
      <w:r w:rsidRPr="008168E1">
        <w:rPr>
          <w:rFonts w:cs="Times New Roman"/>
          <w:color w:val="000000"/>
          <w:sz w:val="22"/>
          <w:szCs w:val="22"/>
          <w:lang w:val="lt-LT"/>
        </w:rPr>
        <w:t xml:space="preserve"> tirpal</w:t>
      </w:r>
      <w:r>
        <w:rPr>
          <w:rFonts w:cs="Times New Roman"/>
          <w:color w:val="000000"/>
          <w:sz w:val="22"/>
          <w:szCs w:val="22"/>
          <w:lang w:val="lt-LT"/>
        </w:rPr>
        <w:t>o</w:t>
      </w:r>
      <w:r w:rsidRPr="008168E1">
        <w:rPr>
          <w:rFonts w:cs="Times New Roman"/>
          <w:color w:val="000000"/>
          <w:sz w:val="22"/>
          <w:szCs w:val="22"/>
          <w:lang w:val="lt-LT"/>
        </w:rPr>
        <w:t xml:space="preserve"> chemin</w:t>
      </w:r>
      <w:r>
        <w:rPr>
          <w:rFonts w:cs="Times New Roman"/>
          <w:color w:val="000000"/>
          <w:sz w:val="22"/>
          <w:szCs w:val="22"/>
          <w:lang w:val="lt-LT"/>
        </w:rPr>
        <w:t>ės</w:t>
      </w:r>
      <w:r w:rsidRPr="008168E1">
        <w:rPr>
          <w:rFonts w:cs="Times New Roman"/>
          <w:color w:val="000000"/>
          <w:sz w:val="22"/>
          <w:szCs w:val="22"/>
          <w:lang w:val="lt-LT"/>
        </w:rPr>
        <w:t xml:space="preserve"> ir fizin</w:t>
      </w:r>
      <w:r>
        <w:rPr>
          <w:rFonts w:cs="Times New Roman"/>
          <w:color w:val="000000"/>
          <w:sz w:val="22"/>
          <w:szCs w:val="22"/>
          <w:lang w:val="lt-LT"/>
        </w:rPr>
        <w:t>ės savybės nekinta</w:t>
      </w:r>
      <w:r w:rsidRPr="008168E1">
        <w:rPr>
          <w:rFonts w:cs="Times New Roman"/>
          <w:color w:val="000000"/>
          <w:sz w:val="22"/>
          <w:szCs w:val="22"/>
          <w:lang w:val="lt-LT"/>
        </w:rPr>
        <w:t xml:space="preserve"> 24 valandas laikant 2°C–8 °C temperatūroje. </w:t>
      </w:r>
    </w:p>
    <w:p w:rsidR="00255979" w:rsidRPr="003A6AEE" w:rsidRDefault="00255979" w:rsidP="003A6AEE"/>
    <w:p w:rsidR="00255979" w:rsidRPr="008168E1" w:rsidRDefault="00255979" w:rsidP="003A6AEE">
      <w:pPr>
        <w:pStyle w:val="CM13"/>
        <w:spacing w:line="278" w:lineRule="atLeast"/>
        <w:rPr>
          <w:rFonts w:cs="Times New Roman"/>
          <w:color w:val="000000"/>
          <w:sz w:val="22"/>
          <w:szCs w:val="23"/>
          <w:lang w:val="lt-LT"/>
        </w:rPr>
      </w:pPr>
      <w:r w:rsidRPr="008168E1">
        <w:rPr>
          <w:rFonts w:cs="Times New Roman"/>
          <w:color w:val="000000"/>
          <w:sz w:val="22"/>
          <w:szCs w:val="22"/>
          <w:u w:val="single"/>
          <w:lang w:val="lt-LT"/>
        </w:rPr>
        <w:t xml:space="preserve">Infuzinis tirpalas </w:t>
      </w:r>
      <w:r w:rsidRPr="008168E1">
        <w:rPr>
          <w:rFonts w:cs="Times New Roman"/>
          <w:color w:val="000000"/>
          <w:sz w:val="22"/>
          <w:szCs w:val="22"/>
          <w:u w:val="single"/>
          <w:lang w:val="lt-LT"/>
        </w:rPr>
        <w:br/>
      </w:r>
      <w:r>
        <w:rPr>
          <w:rFonts w:cs="Times New Roman"/>
          <w:color w:val="000000"/>
          <w:sz w:val="22"/>
          <w:szCs w:val="22"/>
          <w:u w:val="single"/>
          <w:lang w:val="lt-LT"/>
        </w:rPr>
        <w:t xml:space="preserve">Paruoštą tirpalą </w:t>
      </w:r>
      <w:r>
        <w:rPr>
          <w:rFonts w:cs="Times New Roman"/>
          <w:color w:val="000000"/>
          <w:sz w:val="22"/>
          <w:szCs w:val="22"/>
          <w:lang w:val="lt-LT"/>
        </w:rPr>
        <w:t>pra</w:t>
      </w:r>
      <w:r w:rsidRPr="008168E1">
        <w:rPr>
          <w:rFonts w:cs="Times New Roman"/>
          <w:color w:val="000000"/>
          <w:sz w:val="22"/>
          <w:szCs w:val="22"/>
          <w:lang w:val="lt-LT"/>
        </w:rPr>
        <w:t>skiedus 5 % (50 mg/ml)gliukozės tirpalu ir laikant 2°C –8 °C temperatūroje, fizinės ir cheminės preparato savybės nekinta 24 valandas</w:t>
      </w:r>
      <w:r w:rsidRPr="008168E1">
        <w:rPr>
          <w:rFonts w:cs="Times New Roman"/>
          <w:i/>
          <w:iCs/>
          <w:color w:val="000000"/>
          <w:sz w:val="22"/>
          <w:szCs w:val="22"/>
          <w:lang w:val="lt-LT"/>
        </w:rPr>
        <w:t xml:space="preserve">. </w:t>
      </w:r>
    </w:p>
    <w:p w:rsidR="00255979" w:rsidRPr="008168E1" w:rsidRDefault="00255979" w:rsidP="003A6AEE">
      <w:pPr>
        <w:pStyle w:val="CM13"/>
        <w:spacing w:line="278" w:lineRule="atLeast"/>
        <w:rPr>
          <w:rFonts w:cs="Times New Roman"/>
          <w:color w:val="000000"/>
          <w:sz w:val="22"/>
          <w:szCs w:val="23"/>
          <w:lang w:val="lt-LT"/>
        </w:rPr>
      </w:pPr>
      <w:r w:rsidRPr="008168E1">
        <w:rPr>
          <w:rFonts w:cs="Times New Roman"/>
          <w:color w:val="000000"/>
          <w:sz w:val="22"/>
          <w:szCs w:val="22"/>
          <w:lang w:val="lt-LT"/>
        </w:rPr>
        <w:t>Mikrobiologiniu požiūriu</w:t>
      </w:r>
      <w:r>
        <w:rPr>
          <w:rFonts w:cs="Times New Roman"/>
          <w:color w:val="000000"/>
          <w:sz w:val="22"/>
          <w:szCs w:val="22"/>
          <w:lang w:val="lt-LT"/>
        </w:rPr>
        <w:t>,</w:t>
      </w:r>
      <w:r w:rsidRPr="008168E1">
        <w:rPr>
          <w:rFonts w:cs="Times New Roman"/>
          <w:color w:val="000000"/>
          <w:sz w:val="22"/>
          <w:szCs w:val="22"/>
          <w:lang w:val="lt-LT"/>
        </w:rPr>
        <w:t xml:space="preserve"> šis infuzinis tirpalas turi būti vartojamas nedelsiant.  Jeigu iš karto nevartojamas, už laikymo laiką ir sąlygas </w:t>
      </w:r>
      <w:r>
        <w:rPr>
          <w:rFonts w:cs="Times New Roman"/>
          <w:color w:val="000000"/>
          <w:sz w:val="22"/>
          <w:szCs w:val="22"/>
          <w:lang w:val="lt-LT"/>
        </w:rPr>
        <w:t xml:space="preserve">prieš vartojimą </w:t>
      </w:r>
      <w:r w:rsidRPr="008168E1">
        <w:rPr>
          <w:rFonts w:cs="Times New Roman"/>
          <w:color w:val="000000"/>
          <w:sz w:val="22"/>
          <w:szCs w:val="22"/>
          <w:lang w:val="lt-LT"/>
        </w:rPr>
        <w:t xml:space="preserve">atsako vartotojas ir paprastai laikymo trukmė bus ne </w:t>
      </w:r>
      <w:r>
        <w:rPr>
          <w:rFonts w:cs="Times New Roman"/>
          <w:color w:val="000000"/>
          <w:sz w:val="22"/>
          <w:szCs w:val="22"/>
          <w:lang w:val="lt-LT"/>
        </w:rPr>
        <w:t>ilgesnė</w:t>
      </w:r>
      <w:r w:rsidRPr="008168E1">
        <w:rPr>
          <w:rFonts w:cs="Times New Roman"/>
          <w:color w:val="000000"/>
          <w:sz w:val="22"/>
          <w:szCs w:val="22"/>
          <w:lang w:val="lt-LT"/>
        </w:rPr>
        <w:t xml:space="preserve"> nei 24 valandos laikant 2°C –8 °C temperatūroje, jeigu tirpalas nebuvo ruošiamas kontroliuojamomis ir patvirtintomis </w:t>
      </w:r>
      <w:r>
        <w:rPr>
          <w:rFonts w:cs="Times New Roman"/>
          <w:color w:val="000000"/>
          <w:sz w:val="22"/>
          <w:szCs w:val="22"/>
          <w:lang w:val="lt-LT"/>
        </w:rPr>
        <w:t>aseptinėmis</w:t>
      </w:r>
      <w:r w:rsidRPr="008168E1">
        <w:rPr>
          <w:rFonts w:cs="Times New Roman"/>
          <w:color w:val="000000"/>
          <w:sz w:val="22"/>
          <w:szCs w:val="22"/>
          <w:lang w:val="lt-LT"/>
        </w:rPr>
        <w:t xml:space="preserve"> sąlygomis.  </w:t>
      </w:r>
    </w:p>
    <w:p w:rsidR="00255979" w:rsidRPr="0084041E" w:rsidRDefault="00255979" w:rsidP="004846A7">
      <w:pPr>
        <w:pStyle w:val="BTEMEASMCA"/>
        <w:rPr>
          <w:noProof w:val="0"/>
        </w:rPr>
      </w:pPr>
    </w:p>
    <w:p w:rsidR="00255979" w:rsidRPr="0084041E" w:rsidRDefault="00255979" w:rsidP="004846A7">
      <w:pPr>
        <w:pStyle w:val="PI-2EMEASMCA"/>
      </w:pPr>
      <w:bookmarkStart w:id="46" w:name="_Toc129243119"/>
      <w:bookmarkStart w:id="47" w:name="_Toc129243244"/>
      <w:r w:rsidRPr="0084041E">
        <w:t>6.4</w:t>
      </w:r>
      <w:r w:rsidRPr="0084041E">
        <w:tab/>
        <w:t>Specialios laikymo sąlygos</w:t>
      </w:r>
      <w:bookmarkEnd w:id="46"/>
      <w:bookmarkEnd w:id="47"/>
    </w:p>
    <w:p w:rsidR="00255979" w:rsidRPr="0084041E" w:rsidRDefault="00255979" w:rsidP="004846A7">
      <w:pPr>
        <w:pStyle w:val="BTEMEASMCA"/>
        <w:rPr>
          <w:noProof w:val="0"/>
        </w:rPr>
      </w:pPr>
    </w:p>
    <w:p w:rsidR="00255979" w:rsidRPr="008168E1" w:rsidRDefault="00255979" w:rsidP="003A6AEE">
      <w:pPr>
        <w:pStyle w:val="CM13"/>
        <w:spacing w:line="278" w:lineRule="atLeast"/>
        <w:rPr>
          <w:rFonts w:cs="Times New Roman"/>
          <w:color w:val="000000"/>
          <w:sz w:val="22"/>
          <w:szCs w:val="23"/>
          <w:lang w:val="lt-LT"/>
        </w:rPr>
      </w:pPr>
      <w:r w:rsidRPr="008168E1">
        <w:rPr>
          <w:rFonts w:cs="Times New Roman"/>
          <w:color w:val="000000"/>
          <w:sz w:val="22"/>
          <w:szCs w:val="22"/>
          <w:lang w:val="lt-LT"/>
        </w:rPr>
        <w:t xml:space="preserve">Šiam vaistiniam preparatui supakuotam pardavimui specialių laikymo sąlygų nereikia. </w:t>
      </w:r>
    </w:p>
    <w:p w:rsidR="00255979" w:rsidRDefault="00255979" w:rsidP="003A6AEE">
      <w:pPr>
        <w:pStyle w:val="CM13"/>
        <w:spacing w:line="278" w:lineRule="atLeast"/>
        <w:rPr>
          <w:rFonts w:cs="Times New Roman"/>
          <w:color w:val="000000"/>
          <w:sz w:val="22"/>
          <w:szCs w:val="22"/>
          <w:lang w:val="lt-LT"/>
        </w:rPr>
      </w:pPr>
    </w:p>
    <w:p w:rsidR="00255979" w:rsidRPr="008168E1" w:rsidRDefault="00255979" w:rsidP="003A6AEE">
      <w:pPr>
        <w:pStyle w:val="CM13"/>
        <w:spacing w:line="278" w:lineRule="atLeast"/>
        <w:rPr>
          <w:rFonts w:cs="Times New Roman"/>
          <w:color w:val="000000"/>
          <w:sz w:val="22"/>
          <w:szCs w:val="23"/>
          <w:lang w:val="lt-LT"/>
        </w:rPr>
      </w:pPr>
      <w:r w:rsidRPr="008168E1">
        <w:rPr>
          <w:rFonts w:cs="Times New Roman"/>
          <w:color w:val="000000"/>
          <w:sz w:val="22"/>
          <w:szCs w:val="22"/>
          <w:lang w:val="lt-LT"/>
        </w:rPr>
        <w:t>Paruošto ir praskiesto vaistinio preparato laikymo sąlyg</w:t>
      </w:r>
      <w:r>
        <w:rPr>
          <w:rFonts w:cs="Times New Roman"/>
          <w:color w:val="000000"/>
          <w:sz w:val="22"/>
          <w:szCs w:val="22"/>
          <w:lang w:val="lt-LT"/>
        </w:rPr>
        <w:t>o</w:t>
      </w:r>
      <w:r w:rsidRPr="008168E1">
        <w:rPr>
          <w:rFonts w:cs="Times New Roman"/>
          <w:color w:val="000000"/>
          <w:sz w:val="22"/>
          <w:szCs w:val="22"/>
          <w:lang w:val="lt-LT"/>
        </w:rPr>
        <w:t xml:space="preserve">s </w:t>
      </w:r>
      <w:r>
        <w:rPr>
          <w:rFonts w:cs="Times New Roman"/>
          <w:color w:val="000000"/>
          <w:sz w:val="22"/>
          <w:szCs w:val="22"/>
          <w:lang w:val="lt-LT"/>
        </w:rPr>
        <w:t>pateikiamos</w:t>
      </w:r>
      <w:r w:rsidRPr="008168E1">
        <w:rPr>
          <w:rFonts w:cs="Times New Roman"/>
          <w:color w:val="000000"/>
          <w:sz w:val="22"/>
          <w:szCs w:val="22"/>
          <w:lang w:val="lt-LT"/>
        </w:rPr>
        <w:t xml:space="preserve"> 6.3 skyriuje. </w:t>
      </w:r>
    </w:p>
    <w:p w:rsidR="00255979" w:rsidRPr="0084041E" w:rsidRDefault="00255979" w:rsidP="004846A7">
      <w:pPr>
        <w:pStyle w:val="BTEMEASMCA"/>
        <w:rPr>
          <w:noProof w:val="0"/>
        </w:rPr>
      </w:pPr>
    </w:p>
    <w:p w:rsidR="00255979" w:rsidRPr="0084041E" w:rsidRDefault="00255979" w:rsidP="004846A7">
      <w:pPr>
        <w:pStyle w:val="PI-2EMEASMCA"/>
      </w:pPr>
      <w:bookmarkStart w:id="48" w:name="_Toc129243120"/>
      <w:bookmarkStart w:id="49" w:name="_Toc129243245"/>
      <w:r w:rsidRPr="0084041E">
        <w:t>6.5</w:t>
      </w:r>
      <w:r w:rsidRPr="0084041E">
        <w:tab/>
        <w:t>Pakuotė ir jos turinys</w:t>
      </w:r>
      <w:bookmarkEnd w:id="48"/>
      <w:bookmarkEnd w:id="49"/>
    </w:p>
    <w:p w:rsidR="00255979" w:rsidRPr="0084041E" w:rsidRDefault="00255979" w:rsidP="00633D05">
      <w:pPr>
        <w:pStyle w:val="BTEMEASMCA"/>
        <w:rPr>
          <w:noProof w:val="0"/>
        </w:rPr>
      </w:pPr>
    </w:p>
    <w:p w:rsidR="00255979" w:rsidRPr="008168E1" w:rsidRDefault="00255979" w:rsidP="003A6AEE">
      <w:pPr>
        <w:pStyle w:val="CM13"/>
        <w:spacing w:line="278" w:lineRule="atLeast"/>
        <w:rPr>
          <w:rFonts w:cs="Times New Roman"/>
          <w:color w:val="000000"/>
          <w:sz w:val="22"/>
          <w:szCs w:val="23"/>
          <w:lang w:val="lt-LT"/>
        </w:rPr>
      </w:pPr>
      <w:r w:rsidRPr="008168E1">
        <w:rPr>
          <w:rFonts w:cs="Times New Roman"/>
          <w:color w:val="000000"/>
          <w:sz w:val="22"/>
          <w:szCs w:val="22"/>
          <w:lang w:val="lt-LT"/>
        </w:rPr>
        <w:t xml:space="preserve">20 ml, I tipo flintstiklo </w:t>
      </w:r>
      <w:r>
        <w:rPr>
          <w:rFonts w:cs="Times New Roman"/>
          <w:color w:val="000000"/>
          <w:sz w:val="22"/>
          <w:szCs w:val="22"/>
          <w:lang w:val="lt-LT"/>
        </w:rPr>
        <w:t>flakonas</w:t>
      </w:r>
      <w:r w:rsidRPr="008168E1">
        <w:rPr>
          <w:rFonts w:cs="Times New Roman"/>
          <w:color w:val="000000"/>
          <w:sz w:val="22"/>
          <w:szCs w:val="22"/>
          <w:lang w:val="lt-LT"/>
        </w:rPr>
        <w:t>, užkimštas brom</w:t>
      </w:r>
      <w:r>
        <w:rPr>
          <w:rFonts w:cs="Times New Roman"/>
          <w:color w:val="000000"/>
          <w:sz w:val="22"/>
          <w:szCs w:val="22"/>
          <w:lang w:val="lt-LT"/>
        </w:rPr>
        <w:t>o</w:t>
      </w:r>
      <w:r w:rsidRPr="008168E1">
        <w:rPr>
          <w:rFonts w:cs="Times New Roman"/>
          <w:color w:val="000000"/>
          <w:sz w:val="22"/>
          <w:szCs w:val="22"/>
          <w:lang w:val="lt-LT"/>
        </w:rPr>
        <w:t xml:space="preserve">butilo gumos kamščiu su žaliu nuplėšiamu aliuminio dangteliu, kuriame yra 50 mg oksaliplatinos miltelių. </w:t>
      </w:r>
      <w:r w:rsidRPr="008168E1">
        <w:rPr>
          <w:rFonts w:cs="Times New Roman"/>
          <w:color w:val="000000"/>
          <w:sz w:val="22"/>
          <w:szCs w:val="22"/>
          <w:lang w:val="lt-LT"/>
        </w:rPr>
        <w:br/>
        <w:t xml:space="preserve">50 ml, I tipo flintstiklo </w:t>
      </w:r>
      <w:r>
        <w:rPr>
          <w:rFonts w:cs="Times New Roman"/>
          <w:color w:val="000000"/>
          <w:sz w:val="22"/>
          <w:szCs w:val="22"/>
          <w:lang w:val="lt-LT"/>
        </w:rPr>
        <w:t>flakonas</w:t>
      </w:r>
      <w:r w:rsidRPr="008168E1">
        <w:rPr>
          <w:rFonts w:cs="Times New Roman"/>
          <w:color w:val="000000"/>
          <w:sz w:val="22"/>
          <w:szCs w:val="22"/>
          <w:lang w:val="lt-LT"/>
        </w:rPr>
        <w:t>, užkimštas brom</w:t>
      </w:r>
      <w:r>
        <w:rPr>
          <w:rFonts w:cs="Times New Roman"/>
          <w:color w:val="000000"/>
          <w:sz w:val="22"/>
          <w:szCs w:val="22"/>
          <w:lang w:val="lt-LT"/>
        </w:rPr>
        <w:t>o</w:t>
      </w:r>
      <w:r w:rsidRPr="008168E1">
        <w:rPr>
          <w:rFonts w:cs="Times New Roman"/>
          <w:color w:val="000000"/>
          <w:sz w:val="22"/>
          <w:szCs w:val="22"/>
          <w:lang w:val="lt-LT"/>
        </w:rPr>
        <w:t xml:space="preserve">butilo gumos kamščiu su žaliu nuplėšiamu aliuminio </w:t>
      </w:r>
      <w:r w:rsidRPr="008168E1">
        <w:rPr>
          <w:rFonts w:cs="Times New Roman"/>
          <w:color w:val="000000"/>
          <w:sz w:val="22"/>
          <w:szCs w:val="22"/>
          <w:lang w:val="lt-LT"/>
        </w:rPr>
        <w:lastRenderedPageBreak/>
        <w:t xml:space="preserve">dangteliu, kuriame yra 100 mg oksaliplatinos miltelių. </w:t>
      </w:r>
    </w:p>
    <w:p w:rsidR="00255979" w:rsidRDefault="00255979" w:rsidP="003A6AEE">
      <w:pPr>
        <w:pStyle w:val="CM13"/>
        <w:spacing w:line="278" w:lineRule="atLeast"/>
        <w:rPr>
          <w:rFonts w:cs="Times New Roman"/>
          <w:color w:val="000000"/>
          <w:sz w:val="22"/>
          <w:szCs w:val="22"/>
          <w:lang w:val="lt-LT"/>
        </w:rPr>
      </w:pPr>
    </w:p>
    <w:p w:rsidR="00255979" w:rsidRPr="008168E1" w:rsidRDefault="00255979" w:rsidP="003A6AEE">
      <w:pPr>
        <w:pStyle w:val="CM13"/>
        <w:spacing w:line="278" w:lineRule="atLeast"/>
        <w:rPr>
          <w:rFonts w:cs="Times New Roman"/>
          <w:color w:val="000000"/>
          <w:sz w:val="22"/>
          <w:szCs w:val="23"/>
          <w:lang w:val="lt-LT"/>
        </w:rPr>
      </w:pPr>
      <w:r w:rsidRPr="008168E1">
        <w:rPr>
          <w:rFonts w:cs="Times New Roman"/>
          <w:color w:val="000000"/>
          <w:sz w:val="22"/>
          <w:szCs w:val="22"/>
          <w:lang w:val="lt-LT"/>
        </w:rPr>
        <w:t xml:space="preserve">Pakuotės dydis: dėžutėje yra 1 </w:t>
      </w:r>
      <w:r>
        <w:rPr>
          <w:rFonts w:cs="Times New Roman"/>
          <w:color w:val="000000"/>
          <w:sz w:val="22"/>
          <w:szCs w:val="22"/>
          <w:lang w:val="lt-LT"/>
        </w:rPr>
        <w:t>flakonas</w:t>
      </w:r>
      <w:r w:rsidRPr="008168E1">
        <w:rPr>
          <w:rFonts w:cs="Times New Roman"/>
          <w:color w:val="000000"/>
          <w:sz w:val="22"/>
          <w:szCs w:val="22"/>
          <w:lang w:val="lt-LT"/>
        </w:rPr>
        <w:t xml:space="preserve">.  </w:t>
      </w:r>
    </w:p>
    <w:p w:rsidR="00255979" w:rsidRDefault="00255979" w:rsidP="003A6AEE">
      <w:pPr>
        <w:pStyle w:val="CM13"/>
        <w:spacing w:line="278" w:lineRule="atLeast"/>
        <w:rPr>
          <w:rFonts w:cs="Times New Roman"/>
          <w:color w:val="000000"/>
          <w:sz w:val="22"/>
          <w:szCs w:val="22"/>
          <w:lang w:val="lt-LT"/>
        </w:rPr>
      </w:pPr>
    </w:p>
    <w:p w:rsidR="00255979" w:rsidRPr="008168E1" w:rsidRDefault="00255979" w:rsidP="003A6AEE">
      <w:pPr>
        <w:pStyle w:val="CM13"/>
        <w:spacing w:line="278" w:lineRule="atLeast"/>
        <w:rPr>
          <w:rFonts w:cs="Times New Roman"/>
          <w:color w:val="000000"/>
          <w:sz w:val="22"/>
          <w:szCs w:val="23"/>
          <w:lang w:val="lt-LT"/>
        </w:rPr>
      </w:pPr>
      <w:r w:rsidRPr="008168E1">
        <w:rPr>
          <w:rFonts w:cs="Times New Roman"/>
          <w:color w:val="000000"/>
          <w:sz w:val="22"/>
          <w:szCs w:val="22"/>
          <w:lang w:val="lt-LT"/>
        </w:rPr>
        <w:t xml:space="preserve">Gali būti tiekiamos ne visų dydžių pakuotės. </w:t>
      </w:r>
    </w:p>
    <w:p w:rsidR="00255979" w:rsidRPr="0084041E" w:rsidRDefault="00255979" w:rsidP="00B12EAA">
      <w:pPr>
        <w:pStyle w:val="BTEMEASMCA"/>
        <w:rPr>
          <w:noProof w:val="0"/>
        </w:rPr>
      </w:pPr>
    </w:p>
    <w:p w:rsidR="00255979" w:rsidRPr="0084041E" w:rsidRDefault="00255979" w:rsidP="00B12EAA">
      <w:pPr>
        <w:pStyle w:val="PI-2EMEASMCA"/>
      </w:pPr>
      <w:bookmarkStart w:id="50" w:name="_Toc129243121"/>
      <w:bookmarkStart w:id="51" w:name="_Toc129243246"/>
      <w:r w:rsidRPr="0084041E">
        <w:t>6.6</w:t>
      </w:r>
      <w:r w:rsidRPr="0084041E">
        <w:tab/>
        <w:t xml:space="preserve">Specialūs </w:t>
      </w:r>
      <w:r>
        <w:t xml:space="preserve">reikalavimai </w:t>
      </w:r>
      <w:r w:rsidRPr="0084041E">
        <w:t>atliek</w:t>
      </w:r>
      <w:r>
        <w:t>oms</w:t>
      </w:r>
      <w:r w:rsidRPr="0084041E">
        <w:t xml:space="preserve"> tvarky</w:t>
      </w:r>
      <w:r>
        <w:t>ti ir vaistiniam preparatui ruošti</w:t>
      </w:r>
      <w:bookmarkEnd w:id="50"/>
      <w:bookmarkEnd w:id="51"/>
    </w:p>
    <w:p w:rsidR="00255979" w:rsidRPr="0084041E" w:rsidRDefault="00255979" w:rsidP="00633D05">
      <w:pPr>
        <w:pStyle w:val="BTEMEASMCA"/>
        <w:rPr>
          <w:noProof w:val="0"/>
        </w:rPr>
      </w:pPr>
    </w:p>
    <w:p w:rsidR="00255979" w:rsidRDefault="00255979" w:rsidP="00886621">
      <w:pPr>
        <w:widowControl w:val="0"/>
        <w:autoSpaceDE w:val="0"/>
        <w:autoSpaceDN w:val="0"/>
        <w:adjustRightInd w:val="0"/>
        <w:spacing w:line="278" w:lineRule="atLeast"/>
        <w:rPr>
          <w:rFonts w:eastAsia="MS Mincho"/>
          <w:color w:val="000000"/>
          <w:sz w:val="22"/>
          <w:szCs w:val="22"/>
          <w:lang w:eastAsia="ja-JP" w:bidi="lo-LA"/>
        </w:rPr>
      </w:pPr>
      <w:r w:rsidRPr="006F5707">
        <w:rPr>
          <w:rFonts w:eastAsia="MS Mincho"/>
          <w:color w:val="000000"/>
          <w:sz w:val="22"/>
          <w:szCs w:val="22"/>
          <w:lang w:eastAsia="ja-JP" w:bidi="lo-LA"/>
        </w:rPr>
        <w:t xml:space="preserve">Kaip ir su kitais potencialiai toksiškais </w:t>
      </w:r>
      <w:r>
        <w:rPr>
          <w:rFonts w:eastAsia="MS Mincho"/>
          <w:color w:val="000000"/>
          <w:sz w:val="22"/>
          <w:szCs w:val="22"/>
          <w:lang w:eastAsia="ja-JP" w:bidi="lo-LA"/>
        </w:rPr>
        <w:t>junginiais</w:t>
      </w:r>
      <w:r w:rsidRPr="006F5707">
        <w:rPr>
          <w:rFonts w:eastAsia="MS Mincho"/>
          <w:color w:val="000000"/>
          <w:sz w:val="22"/>
          <w:szCs w:val="22"/>
          <w:lang w:eastAsia="ja-JP" w:bidi="lo-LA"/>
        </w:rPr>
        <w:t xml:space="preserve">, ruošiant oksaliplatinos tirpalus ir dirbant su jais reikia būti atsargiems.  </w:t>
      </w:r>
    </w:p>
    <w:p w:rsidR="00255979" w:rsidRDefault="00255979" w:rsidP="00886621">
      <w:pPr>
        <w:widowControl w:val="0"/>
        <w:autoSpaceDE w:val="0"/>
        <w:autoSpaceDN w:val="0"/>
        <w:adjustRightInd w:val="0"/>
        <w:spacing w:line="278" w:lineRule="atLeast"/>
        <w:rPr>
          <w:rFonts w:eastAsia="MS Mincho"/>
          <w:color w:val="000000"/>
          <w:sz w:val="22"/>
          <w:szCs w:val="22"/>
          <w:lang w:eastAsia="ja-JP" w:bidi="lo-LA"/>
        </w:rPr>
      </w:pPr>
    </w:p>
    <w:p w:rsidR="00255979" w:rsidRPr="006F5707" w:rsidRDefault="00255979" w:rsidP="00886621">
      <w:pPr>
        <w:widowControl w:val="0"/>
        <w:autoSpaceDE w:val="0"/>
        <w:autoSpaceDN w:val="0"/>
        <w:adjustRightInd w:val="0"/>
        <w:spacing w:line="278" w:lineRule="atLeast"/>
        <w:rPr>
          <w:rFonts w:eastAsia="MS Mincho"/>
          <w:sz w:val="22"/>
          <w:szCs w:val="22"/>
          <w:lang w:eastAsia="ja-JP" w:bidi="lo-LA"/>
        </w:rPr>
      </w:pPr>
      <w:r>
        <w:rPr>
          <w:rFonts w:eastAsia="MS Mincho"/>
          <w:b/>
          <w:bCs/>
          <w:sz w:val="22"/>
          <w:szCs w:val="22"/>
          <w:lang w:eastAsia="ja-JP" w:bidi="lo-LA"/>
        </w:rPr>
        <w:t>Vaistinio preparato ruošimo</w:t>
      </w:r>
      <w:r w:rsidRPr="006F5707">
        <w:rPr>
          <w:rFonts w:eastAsia="MS Mincho"/>
          <w:b/>
          <w:bCs/>
          <w:sz w:val="22"/>
          <w:szCs w:val="22"/>
          <w:lang w:eastAsia="ja-JP" w:bidi="lo-LA"/>
        </w:rPr>
        <w:t xml:space="preserve"> instrukcijos </w:t>
      </w:r>
    </w:p>
    <w:p w:rsidR="00255979" w:rsidRDefault="00255979" w:rsidP="003A6AEE">
      <w:pPr>
        <w:widowControl w:val="0"/>
        <w:autoSpaceDE w:val="0"/>
        <w:autoSpaceDN w:val="0"/>
        <w:adjustRightInd w:val="0"/>
        <w:spacing w:line="276" w:lineRule="atLeast"/>
        <w:rPr>
          <w:rFonts w:eastAsia="MS Mincho"/>
          <w:sz w:val="22"/>
          <w:szCs w:val="22"/>
          <w:lang w:eastAsia="ja-JP" w:bidi="lo-LA"/>
        </w:rPr>
      </w:pP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r w:rsidRPr="006F5707">
        <w:rPr>
          <w:rFonts w:eastAsia="MS Mincho"/>
          <w:sz w:val="22"/>
          <w:szCs w:val="22"/>
          <w:lang w:eastAsia="ja-JP" w:bidi="lo-LA"/>
        </w:rPr>
        <w:t xml:space="preserve">Dirbdamas su šia citotoksine medžiaga sveikatos priežiūros personalas privalo elgtis visapusiškai atsargiai, kad užtikrintų savo paties ir aplinkinių saugumą.  </w:t>
      </w: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r w:rsidRPr="006F5707">
        <w:rPr>
          <w:rFonts w:eastAsia="MS Mincho"/>
          <w:sz w:val="22"/>
          <w:szCs w:val="22"/>
          <w:lang w:eastAsia="ja-JP" w:bidi="lo-LA"/>
        </w:rPr>
        <w:t xml:space="preserve">Injekcinius tirpalus iš citotoksinių medžiagų turi gaminti kvalifikuotas specialistas, žinantis vartojamus vaistus ir tokiomis sąlygomis, kurios garantuoja vaistinio preparato vientisumą, aplinkos ir ypač su vaistais dirbančiojo personalo saugumą, vadovaudamasis ligoninės taisyklėmis. Preparatas turi būti ruošiamas tam skirtoje patalpoje. Šioje patalpoje draudžiama rūkyti, valgyti ar gerti. </w:t>
      </w: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r w:rsidRPr="006F5707">
        <w:rPr>
          <w:rFonts w:eastAsia="MS Mincho"/>
          <w:sz w:val="22"/>
          <w:szCs w:val="22"/>
          <w:lang w:eastAsia="ja-JP" w:bidi="lo-LA"/>
        </w:rPr>
        <w:t xml:space="preserve">Personalas turi turėti tinkamas darbo saugos priemones, ypač chalatus ilgomis rankovėmis, apsaugines kaukes, kepures, apsauginius akinius, sterilias vienkartines pirštines, apsauginius darbo zonos apdangalus, </w:t>
      </w:r>
      <w:r>
        <w:rPr>
          <w:rFonts w:eastAsia="MS Mincho"/>
          <w:sz w:val="22"/>
          <w:szCs w:val="22"/>
          <w:lang w:eastAsia="ja-JP" w:bidi="lo-LA"/>
        </w:rPr>
        <w:t>talpykles</w:t>
      </w:r>
      <w:r w:rsidRPr="006F5707">
        <w:rPr>
          <w:rFonts w:eastAsia="MS Mincho"/>
          <w:sz w:val="22"/>
          <w:szCs w:val="22"/>
          <w:lang w:eastAsia="ja-JP" w:bidi="lo-LA"/>
        </w:rPr>
        <w:t xml:space="preserve"> ir surinkimo maišus atliekoms. </w:t>
      </w: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r w:rsidRPr="006F5707">
        <w:rPr>
          <w:rFonts w:eastAsia="MS Mincho"/>
          <w:sz w:val="22"/>
          <w:szCs w:val="22"/>
          <w:lang w:eastAsia="ja-JP" w:bidi="lo-LA"/>
        </w:rPr>
        <w:t xml:space="preserve">Išskyros ir vėmalai turi būti tvarkomi atsargiai. </w:t>
      </w: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r w:rsidRPr="006F5707">
        <w:rPr>
          <w:rFonts w:eastAsia="MS Mincho"/>
          <w:sz w:val="22"/>
          <w:szCs w:val="22"/>
          <w:lang w:eastAsia="ja-JP" w:bidi="lo-LA"/>
        </w:rPr>
        <w:t xml:space="preserve">Nėščios moterys turi būti perspėtos, jog vengtų dirbti su citotoksinėmis medžiagomis. </w:t>
      </w: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r w:rsidRPr="006F5707">
        <w:rPr>
          <w:rFonts w:eastAsia="MS Mincho"/>
          <w:sz w:val="22"/>
          <w:szCs w:val="22"/>
          <w:lang w:eastAsia="ja-JP" w:bidi="lo-LA"/>
        </w:rPr>
        <w:t xml:space="preserve">Su bet kokia sudaužyta </w:t>
      </w:r>
      <w:r>
        <w:rPr>
          <w:rFonts w:eastAsia="MS Mincho"/>
          <w:sz w:val="22"/>
          <w:szCs w:val="22"/>
          <w:lang w:eastAsia="ja-JP" w:bidi="lo-LA"/>
        </w:rPr>
        <w:t>talpykle</w:t>
      </w:r>
      <w:r w:rsidRPr="006F5707">
        <w:rPr>
          <w:rFonts w:eastAsia="MS Mincho"/>
          <w:sz w:val="22"/>
          <w:szCs w:val="22"/>
          <w:lang w:eastAsia="ja-JP" w:bidi="lo-LA"/>
        </w:rPr>
        <w:t xml:space="preserve"> reikia elgtis taip pat atsargiai, kaip su užterštomis atliekomis. Užterštos atliekos turi būti sudeginamos tinkamai pažymėtose tvirtose </w:t>
      </w:r>
      <w:r>
        <w:rPr>
          <w:rFonts w:eastAsia="MS Mincho"/>
          <w:sz w:val="22"/>
          <w:szCs w:val="22"/>
          <w:lang w:eastAsia="ja-JP" w:bidi="lo-LA"/>
        </w:rPr>
        <w:t>talpyklėse</w:t>
      </w:r>
      <w:r w:rsidRPr="006F5707">
        <w:rPr>
          <w:rFonts w:eastAsia="MS Mincho"/>
          <w:sz w:val="22"/>
          <w:szCs w:val="22"/>
          <w:lang w:eastAsia="ja-JP" w:bidi="lo-LA"/>
        </w:rPr>
        <w:t xml:space="preserve">. Žr. skyrių „Atliekų tvarkymas“. </w:t>
      </w: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r w:rsidRPr="006F5707">
        <w:rPr>
          <w:rFonts w:eastAsia="MS Mincho"/>
          <w:sz w:val="22"/>
          <w:szCs w:val="22"/>
          <w:lang w:eastAsia="ja-JP" w:bidi="lo-LA"/>
        </w:rPr>
        <w:t xml:space="preserve">Jei oksaliplatinos milteliai, </w:t>
      </w:r>
      <w:r>
        <w:rPr>
          <w:rFonts w:eastAsia="MS Mincho"/>
          <w:sz w:val="22"/>
          <w:szCs w:val="22"/>
          <w:lang w:eastAsia="ja-JP" w:bidi="lo-LA"/>
        </w:rPr>
        <w:t>paruoštas</w:t>
      </w:r>
      <w:r w:rsidRPr="006F5707">
        <w:rPr>
          <w:rFonts w:eastAsia="MS Mincho"/>
          <w:sz w:val="22"/>
          <w:szCs w:val="22"/>
          <w:lang w:eastAsia="ja-JP" w:bidi="lo-LA"/>
        </w:rPr>
        <w:t xml:space="preserve"> tirpalas ar infuzinis tirpalas pateko ant odos ar gleivinės, ją nedelsiant kruopščiai nuplaukite vandeniu. </w:t>
      </w:r>
    </w:p>
    <w:p w:rsidR="00255979" w:rsidRDefault="00255979" w:rsidP="003A6AEE">
      <w:pPr>
        <w:widowControl w:val="0"/>
        <w:autoSpaceDE w:val="0"/>
        <w:autoSpaceDN w:val="0"/>
        <w:adjustRightInd w:val="0"/>
        <w:spacing w:line="276" w:lineRule="atLeast"/>
        <w:rPr>
          <w:rFonts w:eastAsia="MS Mincho"/>
          <w:b/>
          <w:bCs/>
          <w:sz w:val="22"/>
          <w:szCs w:val="22"/>
          <w:lang w:eastAsia="ja-JP" w:bidi="lo-LA"/>
        </w:rPr>
      </w:pPr>
    </w:p>
    <w:p w:rsidR="00255979" w:rsidRDefault="00255979" w:rsidP="003A6AEE">
      <w:pPr>
        <w:widowControl w:val="0"/>
        <w:autoSpaceDE w:val="0"/>
        <w:autoSpaceDN w:val="0"/>
        <w:adjustRightInd w:val="0"/>
        <w:spacing w:line="276" w:lineRule="atLeast"/>
        <w:rPr>
          <w:rFonts w:eastAsia="MS Mincho"/>
          <w:b/>
          <w:bCs/>
          <w:sz w:val="22"/>
          <w:szCs w:val="22"/>
          <w:lang w:eastAsia="ja-JP" w:bidi="lo-LA"/>
        </w:rPr>
      </w:pPr>
      <w:r w:rsidRPr="006F5707">
        <w:rPr>
          <w:rFonts w:eastAsia="MS Mincho"/>
          <w:b/>
          <w:bCs/>
          <w:sz w:val="22"/>
          <w:szCs w:val="22"/>
          <w:lang w:eastAsia="ja-JP" w:bidi="lo-LA"/>
        </w:rPr>
        <w:t xml:space="preserve">Specialios atsargumo priemonės </w:t>
      </w:r>
      <w:r>
        <w:rPr>
          <w:rFonts w:eastAsia="MS Mincho"/>
          <w:b/>
          <w:bCs/>
          <w:sz w:val="22"/>
          <w:szCs w:val="22"/>
          <w:lang w:eastAsia="ja-JP" w:bidi="lo-LA"/>
        </w:rPr>
        <w:t>vartojant preparatą</w:t>
      </w:r>
      <w:r w:rsidRPr="006F5707">
        <w:rPr>
          <w:rFonts w:eastAsia="MS Mincho"/>
          <w:b/>
          <w:bCs/>
          <w:sz w:val="22"/>
          <w:szCs w:val="22"/>
          <w:lang w:eastAsia="ja-JP" w:bidi="lo-LA"/>
        </w:rPr>
        <w:t xml:space="preserve"> </w:t>
      </w: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p>
    <w:p w:rsidR="00255979" w:rsidRPr="006F5707" w:rsidRDefault="00255979" w:rsidP="00886621">
      <w:pPr>
        <w:widowControl w:val="0"/>
        <w:autoSpaceDE w:val="0"/>
        <w:autoSpaceDN w:val="0"/>
        <w:adjustRightInd w:val="0"/>
        <w:spacing w:line="276" w:lineRule="atLeast"/>
        <w:ind w:left="360" w:hanging="360"/>
        <w:rPr>
          <w:rFonts w:eastAsia="MS Mincho"/>
          <w:sz w:val="22"/>
          <w:szCs w:val="22"/>
          <w:lang w:eastAsia="ja-JP" w:bidi="lo-LA"/>
        </w:rPr>
      </w:pPr>
      <w:r w:rsidRPr="006F5707">
        <w:rPr>
          <w:rFonts w:eastAsia="MS Mincho"/>
          <w:sz w:val="22"/>
          <w:szCs w:val="22"/>
          <w:lang w:eastAsia="ja-JP" w:bidi="lo-LA"/>
        </w:rPr>
        <w:t>-</w:t>
      </w:r>
      <w:r w:rsidRPr="006F5707">
        <w:rPr>
          <w:rFonts w:eastAsia="MS Mincho"/>
          <w:sz w:val="22"/>
          <w:szCs w:val="22"/>
          <w:lang w:eastAsia="ja-JP" w:bidi="lo-LA"/>
        </w:rPr>
        <w:tab/>
        <w:t xml:space="preserve">NENAUDOKITE injekcinių priemonių, kurių sudėtyje yra aliuminio. </w:t>
      </w:r>
    </w:p>
    <w:p w:rsidR="00255979" w:rsidRPr="006F5707" w:rsidRDefault="00255979" w:rsidP="00886621">
      <w:pPr>
        <w:widowControl w:val="0"/>
        <w:autoSpaceDE w:val="0"/>
        <w:autoSpaceDN w:val="0"/>
        <w:adjustRightInd w:val="0"/>
        <w:spacing w:line="276" w:lineRule="atLeast"/>
        <w:ind w:left="360" w:hanging="360"/>
        <w:rPr>
          <w:rFonts w:eastAsia="MS Mincho"/>
          <w:sz w:val="22"/>
          <w:szCs w:val="22"/>
          <w:lang w:eastAsia="ja-JP" w:bidi="lo-LA"/>
        </w:rPr>
      </w:pPr>
      <w:r w:rsidRPr="006F5707">
        <w:rPr>
          <w:rFonts w:eastAsia="MS Mincho"/>
          <w:sz w:val="22"/>
          <w:szCs w:val="22"/>
          <w:lang w:eastAsia="ja-JP" w:bidi="lo-LA"/>
        </w:rPr>
        <w:t>-</w:t>
      </w:r>
      <w:r w:rsidRPr="006F5707">
        <w:rPr>
          <w:rFonts w:eastAsia="MS Mincho"/>
          <w:sz w:val="22"/>
          <w:szCs w:val="22"/>
          <w:lang w:eastAsia="ja-JP" w:bidi="lo-LA"/>
        </w:rPr>
        <w:tab/>
        <w:t>NESKIRKITE ne</w:t>
      </w:r>
      <w:r>
        <w:rPr>
          <w:rFonts w:eastAsia="MS Mincho"/>
          <w:sz w:val="22"/>
          <w:szCs w:val="22"/>
          <w:lang w:eastAsia="ja-JP" w:bidi="lo-LA"/>
        </w:rPr>
        <w:t>pra</w:t>
      </w:r>
      <w:r w:rsidRPr="006F5707">
        <w:rPr>
          <w:rFonts w:eastAsia="MS Mincho"/>
          <w:sz w:val="22"/>
          <w:szCs w:val="22"/>
          <w:lang w:eastAsia="ja-JP" w:bidi="lo-LA"/>
        </w:rPr>
        <w:t xml:space="preserve">skiesto tirpalo.  </w:t>
      </w:r>
    </w:p>
    <w:p w:rsidR="00255979" w:rsidRPr="006F5707" w:rsidRDefault="00255979" w:rsidP="00886621">
      <w:pPr>
        <w:widowControl w:val="0"/>
        <w:autoSpaceDE w:val="0"/>
        <w:autoSpaceDN w:val="0"/>
        <w:adjustRightInd w:val="0"/>
        <w:spacing w:line="276" w:lineRule="atLeast"/>
        <w:ind w:left="360" w:hanging="360"/>
        <w:rPr>
          <w:rFonts w:eastAsia="MS Mincho"/>
          <w:sz w:val="22"/>
          <w:szCs w:val="22"/>
          <w:lang w:eastAsia="ja-JP" w:bidi="lo-LA"/>
        </w:rPr>
      </w:pPr>
      <w:r w:rsidRPr="006F5707">
        <w:rPr>
          <w:rFonts w:eastAsia="MS Mincho"/>
          <w:sz w:val="22"/>
          <w:szCs w:val="22"/>
          <w:lang w:eastAsia="ja-JP" w:bidi="lo-LA"/>
        </w:rPr>
        <w:t>-</w:t>
      </w:r>
      <w:r w:rsidRPr="006F5707">
        <w:rPr>
          <w:rFonts w:eastAsia="MS Mincho"/>
          <w:sz w:val="22"/>
          <w:szCs w:val="22"/>
          <w:lang w:eastAsia="ja-JP" w:bidi="lo-LA"/>
        </w:rPr>
        <w:tab/>
        <w:t xml:space="preserve">Skieskite tik su 5 % (50 mg/ml)gliukozės infuziniu tirpalu. NETIRPINKITE miltelių ir neskieskite koncentrato natrio chlorido ar kitų chloridų tirpalais.  </w:t>
      </w:r>
    </w:p>
    <w:p w:rsidR="00255979" w:rsidRPr="006F5707" w:rsidRDefault="00255979" w:rsidP="003A6AEE">
      <w:pPr>
        <w:widowControl w:val="0"/>
        <w:numPr>
          <w:ilvl w:val="0"/>
          <w:numId w:val="3"/>
        </w:numPr>
        <w:autoSpaceDE w:val="0"/>
        <w:autoSpaceDN w:val="0"/>
        <w:adjustRightInd w:val="0"/>
        <w:spacing w:line="276" w:lineRule="atLeast"/>
        <w:ind w:left="357" w:hanging="357"/>
        <w:rPr>
          <w:rFonts w:eastAsia="MS Mincho"/>
          <w:sz w:val="22"/>
          <w:szCs w:val="22"/>
          <w:lang w:eastAsia="ja-JP" w:bidi="lo-LA"/>
        </w:rPr>
      </w:pPr>
      <w:r w:rsidRPr="006F5707">
        <w:rPr>
          <w:rFonts w:eastAsia="MS Mincho"/>
          <w:sz w:val="22"/>
          <w:szCs w:val="22"/>
          <w:lang w:eastAsia="ja-JP" w:bidi="lo-LA"/>
        </w:rPr>
        <w:t xml:space="preserve">NEMAIŠYKITE oksaliplatinos tirpalo su jokiais kitais preparatais tame pačiame maišelyje infuzijoms bei vienu metu nenaudokite tos pačios infuzijos linijos.  </w:t>
      </w:r>
    </w:p>
    <w:p w:rsidR="00255979" w:rsidRPr="006F5707" w:rsidRDefault="00255979" w:rsidP="003A6AEE">
      <w:pPr>
        <w:widowControl w:val="0"/>
        <w:numPr>
          <w:ilvl w:val="0"/>
          <w:numId w:val="3"/>
        </w:numPr>
        <w:autoSpaceDE w:val="0"/>
        <w:autoSpaceDN w:val="0"/>
        <w:adjustRightInd w:val="0"/>
        <w:spacing w:line="276" w:lineRule="atLeast"/>
        <w:ind w:left="360"/>
        <w:rPr>
          <w:rFonts w:eastAsia="MS Mincho"/>
          <w:sz w:val="22"/>
          <w:szCs w:val="22"/>
          <w:lang w:eastAsia="ja-JP" w:bidi="lo-LA"/>
        </w:rPr>
      </w:pPr>
      <w:r w:rsidRPr="006F5707">
        <w:rPr>
          <w:rFonts w:eastAsia="MS Mincho"/>
          <w:sz w:val="22"/>
          <w:szCs w:val="22"/>
          <w:lang w:eastAsia="ja-JP" w:bidi="lo-LA"/>
        </w:rPr>
        <w:t xml:space="preserve">NEMAIŠYKITE su šarminiais </w:t>
      </w:r>
      <w:r>
        <w:rPr>
          <w:rFonts w:eastAsia="MS Mincho"/>
          <w:sz w:val="22"/>
          <w:szCs w:val="22"/>
          <w:lang w:eastAsia="ja-JP" w:bidi="lo-LA"/>
        </w:rPr>
        <w:t xml:space="preserve">vaistiniais </w:t>
      </w:r>
      <w:r w:rsidRPr="006F5707">
        <w:rPr>
          <w:rFonts w:eastAsia="MS Mincho"/>
          <w:sz w:val="22"/>
          <w:szCs w:val="22"/>
          <w:lang w:eastAsia="ja-JP" w:bidi="lo-LA"/>
        </w:rPr>
        <w:t>preparatais ir tirpalais, ypač su 5</w:t>
      </w:r>
      <w:r>
        <w:rPr>
          <w:rFonts w:eastAsia="MS Mincho"/>
          <w:sz w:val="22"/>
          <w:szCs w:val="22"/>
          <w:lang w:eastAsia="ja-JP" w:bidi="lo-LA"/>
        </w:rPr>
        <w:t>-</w:t>
      </w:r>
      <w:r w:rsidRPr="006F5707">
        <w:rPr>
          <w:rFonts w:eastAsia="MS Mincho"/>
          <w:sz w:val="22"/>
          <w:szCs w:val="22"/>
          <w:lang w:eastAsia="ja-JP" w:bidi="lo-LA"/>
        </w:rPr>
        <w:t>fluorouracilu (5</w:t>
      </w:r>
      <w:r>
        <w:rPr>
          <w:rFonts w:eastAsia="MS Mincho"/>
          <w:sz w:val="22"/>
          <w:szCs w:val="22"/>
          <w:lang w:eastAsia="ja-JP" w:bidi="lo-LA"/>
        </w:rPr>
        <w:t>-</w:t>
      </w:r>
      <w:r w:rsidRPr="006F5707">
        <w:rPr>
          <w:rFonts w:eastAsia="MS Mincho"/>
          <w:sz w:val="22"/>
          <w:szCs w:val="22"/>
          <w:lang w:eastAsia="ja-JP" w:bidi="lo-LA"/>
        </w:rPr>
        <w:t>FU), foli</w:t>
      </w:r>
      <w:r>
        <w:rPr>
          <w:rFonts w:eastAsia="MS Mincho"/>
          <w:sz w:val="22"/>
          <w:szCs w:val="22"/>
          <w:lang w:eastAsia="ja-JP" w:bidi="lo-LA"/>
        </w:rPr>
        <w:t>n</w:t>
      </w:r>
      <w:r w:rsidRPr="006F5707">
        <w:rPr>
          <w:rFonts w:eastAsia="MS Mincho"/>
          <w:sz w:val="22"/>
          <w:szCs w:val="22"/>
          <w:lang w:eastAsia="ja-JP" w:bidi="lo-LA"/>
        </w:rPr>
        <w:t>o rūgšties (F</w:t>
      </w:r>
      <w:r>
        <w:rPr>
          <w:rFonts w:eastAsia="MS Mincho"/>
          <w:sz w:val="22"/>
          <w:szCs w:val="22"/>
          <w:lang w:eastAsia="ja-JP" w:bidi="lo-LA"/>
        </w:rPr>
        <w:t>R</w:t>
      </w:r>
      <w:r w:rsidRPr="006F5707">
        <w:rPr>
          <w:rFonts w:eastAsia="MS Mincho"/>
          <w:sz w:val="22"/>
          <w:szCs w:val="22"/>
          <w:lang w:eastAsia="ja-JP" w:bidi="lo-LA"/>
        </w:rPr>
        <w:t>) preparatais, kurių sudėtyje yra pagalbinės medžiagos trometamolio, ir kit</w:t>
      </w:r>
      <w:r>
        <w:rPr>
          <w:rFonts w:eastAsia="MS Mincho"/>
          <w:sz w:val="22"/>
          <w:szCs w:val="22"/>
          <w:lang w:eastAsia="ja-JP" w:bidi="lo-LA"/>
        </w:rPr>
        <w:t>ų</w:t>
      </w:r>
      <w:r w:rsidRPr="006F5707">
        <w:rPr>
          <w:rFonts w:eastAsia="MS Mincho"/>
          <w:sz w:val="22"/>
          <w:szCs w:val="22"/>
          <w:lang w:eastAsia="ja-JP" w:bidi="lo-LA"/>
        </w:rPr>
        <w:t xml:space="preserve"> veikli</w:t>
      </w:r>
      <w:r>
        <w:rPr>
          <w:rFonts w:eastAsia="MS Mincho"/>
          <w:sz w:val="22"/>
          <w:szCs w:val="22"/>
          <w:lang w:eastAsia="ja-JP" w:bidi="lo-LA"/>
        </w:rPr>
        <w:t>ųjų</w:t>
      </w:r>
      <w:r w:rsidRPr="006F5707">
        <w:rPr>
          <w:rFonts w:eastAsia="MS Mincho"/>
          <w:sz w:val="22"/>
          <w:szCs w:val="22"/>
          <w:lang w:eastAsia="ja-JP" w:bidi="lo-LA"/>
        </w:rPr>
        <w:t xml:space="preserve"> medžiag</w:t>
      </w:r>
      <w:r>
        <w:rPr>
          <w:rFonts w:eastAsia="MS Mincho"/>
          <w:sz w:val="22"/>
          <w:szCs w:val="22"/>
          <w:lang w:eastAsia="ja-JP" w:bidi="lo-LA"/>
        </w:rPr>
        <w:t>ų</w:t>
      </w:r>
      <w:r w:rsidRPr="006F5707">
        <w:rPr>
          <w:rFonts w:eastAsia="MS Mincho"/>
          <w:sz w:val="22"/>
          <w:szCs w:val="22"/>
          <w:lang w:eastAsia="ja-JP" w:bidi="lo-LA"/>
        </w:rPr>
        <w:t xml:space="preserve"> trometamolio druskomis. Šarminiai </w:t>
      </w:r>
      <w:r>
        <w:rPr>
          <w:rFonts w:eastAsia="MS Mincho"/>
          <w:sz w:val="22"/>
          <w:szCs w:val="22"/>
          <w:lang w:eastAsia="ja-JP" w:bidi="lo-LA"/>
        </w:rPr>
        <w:t xml:space="preserve">vaistiniai </w:t>
      </w:r>
      <w:r w:rsidRPr="006F5707">
        <w:rPr>
          <w:rFonts w:eastAsia="MS Mincho"/>
          <w:sz w:val="22"/>
          <w:szCs w:val="22"/>
          <w:lang w:eastAsia="ja-JP" w:bidi="lo-LA"/>
        </w:rPr>
        <w:t>preparatai ir tirpalai neigiamai veikia oksaliplatinos stabilumą.</w:t>
      </w:r>
    </w:p>
    <w:p w:rsidR="00255979" w:rsidRDefault="00255979" w:rsidP="00886621">
      <w:pPr>
        <w:widowControl w:val="0"/>
        <w:tabs>
          <w:tab w:val="left" w:pos="0"/>
        </w:tabs>
        <w:autoSpaceDE w:val="0"/>
        <w:autoSpaceDN w:val="0"/>
        <w:adjustRightInd w:val="0"/>
        <w:spacing w:line="276" w:lineRule="atLeast"/>
        <w:rPr>
          <w:rFonts w:eastAsia="MS Mincho"/>
          <w:sz w:val="22"/>
          <w:szCs w:val="22"/>
          <w:u w:val="single"/>
          <w:lang w:eastAsia="ja-JP" w:bidi="lo-LA"/>
        </w:rPr>
      </w:pPr>
    </w:p>
    <w:p w:rsidR="00255979" w:rsidRDefault="00255979" w:rsidP="00886621">
      <w:pPr>
        <w:widowControl w:val="0"/>
        <w:tabs>
          <w:tab w:val="left" w:pos="0"/>
        </w:tabs>
        <w:autoSpaceDE w:val="0"/>
        <w:autoSpaceDN w:val="0"/>
        <w:adjustRightInd w:val="0"/>
        <w:spacing w:line="276" w:lineRule="atLeast"/>
        <w:rPr>
          <w:rFonts w:eastAsia="MS Mincho"/>
          <w:sz w:val="22"/>
          <w:szCs w:val="22"/>
          <w:lang w:eastAsia="ja-JP" w:bidi="lo-LA"/>
        </w:rPr>
      </w:pPr>
      <w:r>
        <w:rPr>
          <w:rFonts w:eastAsia="MS Mincho"/>
          <w:sz w:val="22"/>
          <w:szCs w:val="22"/>
          <w:u w:val="single"/>
          <w:lang w:eastAsia="ja-JP" w:bidi="lo-LA"/>
        </w:rPr>
        <w:t>Vartojimo kartu su f</w:t>
      </w:r>
      <w:r w:rsidRPr="006F5707">
        <w:rPr>
          <w:rFonts w:eastAsia="MS Mincho"/>
          <w:sz w:val="22"/>
          <w:szCs w:val="22"/>
          <w:u w:val="single"/>
          <w:lang w:eastAsia="ja-JP" w:bidi="lo-LA"/>
        </w:rPr>
        <w:t>oli</w:t>
      </w:r>
      <w:r>
        <w:rPr>
          <w:rFonts w:eastAsia="MS Mincho"/>
          <w:sz w:val="22"/>
          <w:szCs w:val="22"/>
          <w:u w:val="single"/>
          <w:lang w:eastAsia="ja-JP" w:bidi="lo-LA"/>
        </w:rPr>
        <w:t>n</w:t>
      </w:r>
      <w:r w:rsidRPr="006F5707">
        <w:rPr>
          <w:rFonts w:eastAsia="MS Mincho"/>
          <w:sz w:val="22"/>
          <w:szCs w:val="22"/>
          <w:u w:val="single"/>
          <w:lang w:eastAsia="ja-JP" w:bidi="lo-LA"/>
        </w:rPr>
        <w:t>o rūgšti</w:t>
      </w:r>
      <w:r>
        <w:rPr>
          <w:rFonts w:eastAsia="MS Mincho"/>
          <w:sz w:val="22"/>
          <w:szCs w:val="22"/>
          <w:u w:val="single"/>
          <w:lang w:eastAsia="ja-JP" w:bidi="lo-LA"/>
        </w:rPr>
        <w:t>mi</w:t>
      </w:r>
      <w:r w:rsidRPr="006F5707">
        <w:rPr>
          <w:rFonts w:eastAsia="MS Mincho"/>
          <w:sz w:val="22"/>
          <w:szCs w:val="22"/>
          <w:u w:val="single"/>
          <w:lang w:eastAsia="ja-JP" w:bidi="lo-LA"/>
        </w:rPr>
        <w:t xml:space="preserve"> (F</w:t>
      </w:r>
      <w:r>
        <w:rPr>
          <w:rFonts w:eastAsia="MS Mincho"/>
          <w:sz w:val="22"/>
          <w:szCs w:val="22"/>
          <w:u w:val="single"/>
          <w:lang w:eastAsia="ja-JP" w:bidi="lo-LA"/>
        </w:rPr>
        <w:t>R</w:t>
      </w:r>
      <w:r w:rsidRPr="006F5707">
        <w:rPr>
          <w:rFonts w:eastAsia="MS Mincho"/>
          <w:sz w:val="22"/>
          <w:szCs w:val="22"/>
          <w:u w:val="single"/>
          <w:lang w:eastAsia="ja-JP" w:bidi="lo-LA"/>
        </w:rPr>
        <w:t>) (kalcio folinato ar dinatrio folinato pavidalu) instrukcija</w:t>
      </w:r>
      <w:r w:rsidRPr="006F5707">
        <w:rPr>
          <w:rFonts w:eastAsia="MS Mincho"/>
          <w:sz w:val="22"/>
          <w:szCs w:val="22"/>
          <w:u w:val="single"/>
          <w:lang w:eastAsia="ja-JP" w:bidi="lo-LA"/>
        </w:rPr>
        <w:br/>
      </w:r>
      <w:r>
        <w:rPr>
          <w:rFonts w:eastAsia="MS Mincho"/>
          <w:sz w:val="22"/>
          <w:szCs w:val="22"/>
          <w:u w:val="single"/>
          <w:lang w:eastAsia="ja-JP" w:bidi="lo-LA"/>
        </w:rPr>
        <w:t xml:space="preserve">Infuzinis tirpalas, paruoštas iš </w:t>
      </w:r>
      <w:r w:rsidRPr="006F5707">
        <w:rPr>
          <w:rFonts w:eastAsia="MS Mincho"/>
          <w:sz w:val="22"/>
          <w:szCs w:val="22"/>
          <w:lang w:eastAsia="ja-JP" w:bidi="lo-LA"/>
        </w:rPr>
        <w:t>85 mg/m² oksaliplatinos</w:t>
      </w:r>
      <w:r>
        <w:rPr>
          <w:rFonts w:eastAsia="MS Mincho"/>
          <w:sz w:val="22"/>
          <w:szCs w:val="22"/>
          <w:lang w:eastAsia="ja-JP" w:bidi="lo-LA"/>
        </w:rPr>
        <w:t xml:space="preserve"> ir</w:t>
      </w:r>
      <w:r w:rsidRPr="006F5707">
        <w:rPr>
          <w:rFonts w:eastAsia="MS Mincho"/>
          <w:sz w:val="22"/>
          <w:szCs w:val="22"/>
          <w:lang w:eastAsia="ja-JP" w:bidi="lo-LA"/>
        </w:rPr>
        <w:t xml:space="preserve"> nuo 250</w:t>
      </w:r>
      <w:r>
        <w:rPr>
          <w:rFonts w:eastAsia="MS Mincho"/>
          <w:sz w:val="22"/>
          <w:szCs w:val="22"/>
          <w:lang w:eastAsia="ja-JP" w:bidi="lo-LA"/>
        </w:rPr>
        <w:t> ml</w:t>
      </w:r>
      <w:r w:rsidRPr="006F5707">
        <w:rPr>
          <w:rFonts w:eastAsia="MS Mincho"/>
          <w:sz w:val="22"/>
          <w:szCs w:val="22"/>
          <w:lang w:eastAsia="ja-JP" w:bidi="lo-LA"/>
        </w:rPr>
        <w:t xml:space="preserve"> iki 500 ml 5 % (50</w:t>
      </w:r>
      <w:r>
        <w:rPr>
          <w:rFonts w:eastAsia="MS Mincho"/>
          <w:sz w:val="22"/>
          <w:szCs w:val="22"/>
          <w:lang w:eastAsia="ja-JP" w:bidi="lo-LA"/>
        </w:rPr>
        <w:t> </w:t>
      </w:r>
      <w:r w:rsidRPr="006F5707">
        <w:rPr>
          <w:rFonts w:eastAsia="MS Mincho"/>
          <w:sz w:val="22"/>
          <w:szCs w:val="22"/>
          <w:lang w:eastAsia="ja-JP" w:bidi="lo-LA"/>
        </w:rPr>
        <w:t>mg/ml)</w:t>
      </w:r>
      <w:r>
        <w:rPr>
          <w:rFonts w:eastAsia="MS Mincho"/>
          <w:sz w:val="22"/>
          <w:szCs w:val="22"/>
          <w:lang w:eastAsia="ja-JP" w:bidi="lo-LA"/>
        </w:rPr>
        <w:t xml:space="preserve"> </w:t>
      </w:r>
      <w:r w:rsidRPr="006F5707">
        <w:rPr>
          <w:rFonts w:eastAsia="MS Mincho"/>
          <w:sz w:val="22"/>
          <w:szCs w:val="22"/>
          <w:lang w:eastAsia="ja-JP" w:bidi="lo-LA"/>
        </w:rPr>
        <w:t>gliukozės tirpal</w:t>
      </w:r>
      <w:r>
        <w:rPr>
          <w:rFonts w:eastAsia="MS Mincho"/>
          <w:sz w:val="22"/>
          <w:szCs w:val="22"/>
          <w:lang w:eastAsia="ja-JP" w:bidi="lo-LA"/>
        </w:rPr>
        <w:t>o</w:t>
      </w:r>
      <w:r w:rsidRPr="006F5707">
        <w:rPr>
          <w:rFonts w:eastAsia="MS Mincho"/>
          <w:sz w:val="22"/>
          <w:szCs w:val="22"/>
          <w:lang w:eastAsia="ja-JP" w:bidi="lo-LA"/>
        </w:rPr>
        <w:t xml:space="preserve"> lašinama</w:t>
      </w:r>
      <w:r>
        <w:rPr>
          <w:rFonts w:eastAsia="MS Mincho"/>
          <w:sz w:val="22"/>
          <w:szCs w:val="22"/>
          <w:lang w:eastAsia="ja-JP" w:bidi="lo-LA"/>
        </w:rPr>
        <w:t>s</w:t>
      </w:r>
      <w:r w:rsidRPr="006F5707">
        <w:rPr>
          <w:rFonts w:eastAsia="MS Mincho"/>
          <w:sz w:val="22"/>
          <w:szCs w:val="22"/>
          <w:lang w:eastAsia="ja-JP" w:bidi="lo-LA"/>
        </w:rPr>
        <w:t xml:space="preserve"> į veną vienu metu su foli</w:t>
      </w:r>
      <w:r>
        <w:rPr>
          <w:rFonts w:eastAsia="MS Mincho"/>
          <w:sz w:val="22"/>
          <w:szCs w:val="22"/>
          <w:lang w:eastAsia="ja-JP" w:bidi="lo-LA"/>
        </w:rPr>
        <w:t>n</w:t>
      </w:r>
      <w:r w:rsidRPr="006F5707">
        <w:rPr>
          <w:rFonts w:eastAsia="MS Mincho"/>
          <w:sz w:val="22"/>
          <w:szCs w:val="22"/>
          <w:lang w:eastAsia="ja-JP" w:bidi="lo-LA"/>
        </w:rPr>
        <w:t>o rūgšties (F</w:t>
      </w:r>
      <w:r>
        <w:rPr>
          <w:rFonts w:eastAsia="MS Mincho"/>
          <w:sz w:val="22"/>
          <w:szCs w:val="22"/>
          <w:lang w:eastAsia="ja-JP" w:bidi="lo-LA"/>
        </w:rPr>
        <w:t>R</w:t>
      </w:r>
      <w:r w:rsidRPr="006F5707">
        <w:rPr>
          <w:rFonts w:eastAsia="MS Mincho"/>
          <w:sz w:val="22"/>
          <w:szCs w:val="22"/>
          <w:lang w:eastAsia="ja-JP" w:bidi="lo-LA"/>
        </w:rPr>
        <w:t xml:space="preserve">) </w:t>
      </w:r>
      <w:r>
        <w:rPr>
          <w:rFonts w:eastAsia="MS Mincho"/>
          <w:sz w:val="22"/>
          <w:szCs w:val="22"/>
          <w:lang w:eastAsia="ja-JP" w:bidi="lo-LA"/>
        </w:rPr>
        <w:t xml:space="preserve">ir </w:t>
      </w:r>
      <w:r w:rsidRPr="006F5707">
        <w:rPr>
          <w:rFonts w:eastAsia="MS Mincho"/>
          <w:sz w:val="22"/>
          <w:szCs w:val="22"/>
          <w:lang w:eastAsia="ja-JP" w:bidi="lo-LA"/>
        </w:rPr>
        <w:t>5 % (50</w:t>
      </w:r>
      <w:r>
        <w:rPr>
          <w:rFonts w:eastAsia="MS Mincho"/>
          <w:sz w:val="22"/>
          <w:szCs w:val="22"/>
          <w:lang w:eastAsia="ja-JP" w:bidi="lo-LA"/>
        </w:rPr>
        <w:t> </w:t>
      </w:r>
      <w:r w:rsidRPr="006F5707">
        <w:rPr>
          <w:rFonts w:eastAsia="MS Mincho"/>
          <w:sz w:val="22"/>
          <w:szCs w:val="22"/>
          <w:lang w:eastAsia="ja-JP" w:bidi="lo-LA"/>
        </w:rPr>
        <w:t>mg/ml)</w:t>
      </w:r>
      <w:r>
        <w:rPr>
          <w:rFonts w:eastAsia="MS Mincho"/>
          <w:sz w:val="22"/>
          <w:szCs w:val="22"/>
          <w:lang w:eastAsia="ja-JP" w:bidi="lo-LA"/>
        </w:rPr>
        <w:t xml:space="preserve"> </w:t>
      </w:r>
      <w:r w:rsidRPr="006F5707">
        <w:rPr>
          <w:rFonts w:eastAsia="MS Mincho"/>
          <w:sz w:val="22"/>
          <w:szCs w:val="22"/>
          <w:lang w:eastAsia="ja-JP" w:bidi="lo-LA"/>
        </w:rPr>
        <w:t>gliukozės tirpal</w:t>
      </w:r>
      <w:r>
        <w:rPr>
          <w:rFonts w:eastAsia="MS Mincho"/>
          <w:sz w:val="22"/>
          <w:szCs w:val="22"/>
          <w:lang w:eastAsia="ja-JP" w:bidi="lo-LA"/>
        </w:rPr>
        <w:t>u</w:t>
      </w:r>
      <w:r w:rsidRPr="006F5707">
        <w:rPr>
          <w:rFonts w:eastAsia="MS Mincho"/>
          <w:sz w:val="22"/>
          <w:szCs w:val="22"/>
          <w:lang w:eastAsia="ja-JP" w:bidi="lo-LA"/>
        </w:rPr>
        <w:t xml:space="preserve"> per 2–6 valandas, naudojant įžambiąją trišakę</w:t>
      </w:r>
      <w:r>
        <w:rPr>
          <w:rFonts w:eastAsia="MS Mincho"/>
          <w:sz w:val="22"/>
          <w:szCs w:val="22"/>
          <w:lang w:eastAsia="ja-JP" w:bidi="lo-LA"/>
        </w:rPr>
        <w:t xml:space="preserve"> </w:t>
      </w:r>
      <w:r>
        <w:rPr>
          <w:sz w:val="22"/>
          <w:szCs w:val="22"/>
        </w:rPr>
        <w:t>„</w:t>
      </w:r>
      <w:r w:rsidRPr="008F7306">
        <w:rPr>
          <w:sz w:val="22"/>
          <w:szCs w:val="22"/>
        </w:rPr>
        <w:t>Y</w:t>
      </w:r>
      <w:r>
        <w:rPr>
          <w:sz w:val="22"/>
          <w:szCs w:val="22"/>
        </w:rPr>
        <w:t>“</w:t>
      </w:r>
      <w:r w:rsidRPr="006F5707">
        <w:rPr>
          <w:rFonts w:eastAsia="MS Mincho"/>
          <w:sz w:val="22"/>
          <w:szCs w:val="22"/>
          <w:lang w:eastAsia="ja-JP" w:bidi="lo-LA"/>
        </w:rPr>
        <w:t xml:space="preserve"> jungtį, prijungtą prie</w:t>
      </w:r>
      <w:r>
        <w:rPr>
          <w:rFonts w:eastAsia="MS Mincho"/>
          <w:sz w:val="22"/>
          <w:szCs w:val="22"/>
          <w:lang w:eastAsia="ja-JP" w:bidi="lo-LA"/>
        </w:rPr>
        <w:t>š</w:t>
      </w:r>
      <w:r w:rsidRPr="006F5707">
        <w:rPr>
          <w:rFonts w:eastAsia="MS Mincho"/>
          <w:sz w:val="22"/>
          <w:szCs w:val="22"/>
          <w:lang w:eastAsia="ja-JP" w:bidi="lo-LA"/>
        </w:rPr>
        <w:t xml:space="preserve"> pat infuzijos viet</w:t>
      </w:r>
      <w:r>
        <w:rPr>
          <w:rFonts w:eastAsia="MS Mincho"/>
          <w:sz w:val="22"/>
          <w:szCs w:val="22"/>
          <w:lang w:eastAsia="ja-JP" w:bidi="lo-LA"/>
        </w:rPr>
        <w:t>ą</w:t>
      </w:r>
      <w:r w:rsidRPr="006F5707">
        <w:rPr>
          <w:rFonts w:eastAsia="MS Mincho"/>
          <w:sz w:val="22"/>
          <w:szCs w:val="22"/>
          <w:lang w:eastAsia="ja-JP" w:bidi="lo-LA"/>
        </w:rPr>
        <w:t xml:space="preserve">. </w:t>
      </w:r>
    </w:p>
    <w:p w:rsidR="00255979" w:rsidRDefault="00255979" w:rsidP="00886621">
      <w:pPr>
        <w:widowControl w:val="0"/>
        <w:tabs>
          <w:tab w:val="left" w:pos="0"/>
        </w:tabs>
        <w:autoSpaceDE w:val="0"/>
        <w:autoSpaceDN w:val="0"/>
        <w:adjustRightInd w:val="0"/>
        <w:spacing w:line="276" w:lineRule="atLeast"/>
        <w:rPr>
          <w:rFonts w:eastAsia="MS Mincho"/>
          <w:sz w:val="22"/>
          <w:szCs w:val="22"/>
          <w:lang w:eastAsia="ja-JP" w:bidi="lo-LA"/>
        </w:rPr>
      </w:pPr>
    </w:p>
    <w:p w:rsidR="00255979" w:rsidRPr="006F5707" w:rsidRDefault="00255979" w:rsidP="00886621">
      <w:pPr>
        <w:widowControl w:val="0"/>
        <w:tabs>
          <w:tab w:val="left" w:pos="0"/>
        </w:tabs>
        <w:autoSpaceDE w:val="0"/>
        <w:autoSpaceDN w:val="0"/>
        <w:adjustRightInd w:val="0"/>
        <w:spacing w:line="276" w:lineRule="atLeast"/>
        <w:rPr>
          <w:rFonts w:eastAsia="MS Mincho"/>
          <w:sz w:val="22"/>
          <w:szCs w:val="22"/>
          <w:lang w:eastAsia="ja-JP" w:bidi="lo-LA"/>
        </w:rPr>
      </w:pPr>
      <w:r w:rsidRPr="006F5707">
        <w:rPr>
          <w:rFonts w:eastAsia="MS Mincho"/>
          <w:sz w:val="22"/>
          <w:szCs w:val="22"/>
          <w:lang w:eastAsia="ja-JP" w:bidi="lo-LA"/>
        </w:rPr>
        <w:t>Tame pačiame infuziniame maišelyje šių dviejų preparatų maišyti negalima. Foli</w:t>
      </w:r>
      <w:r>
        <w:rPr>
          <w:rFonts w:eastAsia="MS Mincho"/>
          <w:sz w:val="22"/>
          <w:szCs w:val="22"/>
          <w:lang w:eastAsia="ja-JP" w:bidi="lo-LA"/>
        </w:rPr>
        <w:t>n</w:t>
      </w:r>
      <w:r w:rsidRPr="006F5707">
        <w:rPr>
          <w:rFonts w:eastAsia="MS Mincho"/>
          <w:sz w:val="22"/>
          <w:szCs w:val="22"/>
          <w:lang w:eastAsia="ja-JP" w:bidi="lo-LA"/>
        </w:rPr>
        <w:t>o rūgštyje turi nebūti pagalbinės medžiagos trometamolio, ji turi būti skiedžiama tik 5 % (50 mg/ml)</w:t>
      </w:r>
      <w:r>
        <w:rPr>
          <w:rFonts w:eastAsia="MS Mincho"/>
          <w:sz w:val="22"/>
          <w:szCs w:val="22"/>
          <w:lang w:eastAsia="ja-JP" w:bidi="lo-LA"/>
        </w:rPr>
        <w:t xml:space="preserve"> </w:t>
      </w:r>
      <w:r w:rsidRPr="006F5707">
        <w:rPr>
          <w:rFonts w:eastAsia="MS Mincho"/>
          <w:sz w:val="22"/>
          <w:szCs w:val="22"/>
          <w:lang w:eastAsia="ja-JP" w:bidi="lo-LA"/>
        </w:rPr>
        <w:t xml:space="preserve">izotoniniu gliukozės tirpalu. Skiedimui niekada nenaudoti šarminių tirpalų, natrio chlorido, ar kitų chloridų tirpalų. </w:t>
      </w:r>
    </w:p>
    <w:p w:rsidR="00255979" w:rsidRDefault="00255979" w:rsidP="003A6AEE">
      <w:pPr>
        <w:widowControl w:val="0"/>
        <w:autoSpaceDE w:val="0"/>
        <w:autoSpaceDN w:val="0"/>
        <w:adjustRightInd w:val="0"/>
        <w:spacing w:line="276" w:lineRule="atLeast"/>
        <w:rPr>
          <w:rFonts w:eastAsia="MS Mincho"/>
          <w:sz w:val="22"/>
          <w:szCs w:val="22"/>
          <w:u w:val="single"/>
          <w:lang w:eastAsia="ja-JP" w:bidi="lo-LA"/>
        </w:rPr>
      </w:pP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r>
        <w:rPr>
          <w:rFonts w:eastAsia="MS Mincho"/>
          <w:sz w:val="22"/>
          <w:szCs w:val="22"/>
          <w:u w:val="single"/>
          <w:lang w:eastAsia="ja-JP" w:bidi="lo-LA"/>
        </w:rPr>
        <w:t xml:space="preserve">Vartojimo kartu su </w:t>
      </w:r>
      <w:r w:rsidRPr="006F5707">
        <w:rPr>
          <w:rFonts w:eastAsia="MS Mincho"/>
          <w:sz w:val="22"/>
          <w:szCs w:val="22"/>
          <w:u w:val="single"/>
          <w:lang w:eastAsia="ja-JP" w:bidi="lo-LA"/>
        </w:rPr>
        <w:t>5-fluorouracil</w:t>
      </w:r>
      <w:r>
        <w:rPr>
          <w:rFonts w:eastAsia="MS Mincho"/>
          <w:sz w:val="22"/>
          <w:szCs w:val="22"/>
          <w:u w:val="single"/>
          <w:lang w:eastAsia="ja-JP" w:bidi="lo-LA"/>
        </w:rPr>
        <w:t>u</w:t>
      </w:r>
      <w:r w:rsidRPr="006F5707">
        <w:rPr>
          <w:rFonts w:eastAsia="MS Mincho"/>
          <w:sz w:val="22"/>
          <w:szCs w:val="22"/>
          <w:u w:val="single"/>
          <w:lang w:eastAsia="ja-JP" w:bidi="lo-LA"/>
        </w:rPr>
        <w:t xml:space="preserve"> instrukcija </w:t>
      </w:r>
      <w:r w:rsidRPr="006F5707">
        <w:rPr>
          <w:rFonts w:eastAsia="MS Mincho"/>
          <w:sz w:val="22"/>
          <w:szCs w:val="22"/>
          <w:u w:val="single"/>
          <w:lang w:eastAsia="ja-JP" w:bidi="lo-LA"/>
        </w:rPr>
        <w:br/>
      </w:r>
      <w:r w:rsidRPr="006F5707">
        <w:rPr>
          <w:rFonts w:eastAsia="MS Mincho"/>
          <w:sz w:val="22"/>
          <w:szCs w:val="22"/>
          <w:lang w:eastAsia="ja-JP" w:bidi="lo-LA"/>
        </w:rPr>
        <w:t>Oksaliplatina visada turi būti sulašinama prieš fluoropirimidinus, t.y. 5-fluorouracilą (5</w:t>
      </w:r>
      <w:r>
        <w:rPr>
          <w:rFonts w:eastAsia="MS Mincho"/>
          <w:sz w:val="22"/>
          <w:szCs w:val="22"/>
          <w:lang w:eastAsia="ja-JP" w:bidi="lo-LA"/>
        </w:rPr>
        <w:t>-</w:t>
      </w:r>
      <w:r w:rsidRPr="006F5707">
        <w:rPr>
          <w:rFonts w:eastAsia="MS Mincho"/>
          <w:sz w:val="22"/>
          <w:szCs w:val="22"/>
          <w:lang w:eastAsia="ja-JP" w:bidi="lo-LA"/>
        </w:rPr>
        <w:t>FU). Po to, kai sulašinate oksaliplatiną, praplaukite infuzijos liniją, o tada infuzuokite 5-fluorouracilą (5</w:t>
      </w:r>
      <w:r>
        <w:rPr>
          <w:rFonts w:eastAsia="MS Mincho"/>
          <w:sz w:val="22"/>
          <w:szCs w:val="22"/>
          <w:lang w:eastAsia="ja-JP" w:bidi="lo-LA"/>
        </w:rPr>
        <w:t>-</w:t>
      </w:r>
      <w:r w:rsidRPr="006F5707">
        <w:rPr>
          <w:rFonts w:eastAsia="MS Mincho"/>
          <w:sz w:val="22"/>
          <w:szCs w:val="22"/>
          <w:lang w:eastAsia="ja-JP" w:bidi="lo-LA"/>
        </w:rPr>
        <w:t xml:space="preserve">FU).  </w:t>
      </w: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r w:rsidRPr="006F5707">
        <w:rPr>
          <w:rFonts w:eastAsia="MS Mincho"/>
          <w:sz w:val="22"/>
          <w:szCs w:val="22"/>
          <w:lang w:eastAsia="ja-JP" w:bidi="lo-LA"/>
        </w:rPr>
        <w:t xml:space="preserve">Paruoštas tirpalas, kuriame atsiranda nuosėdų, negali būti vartojamas ir turi būti sunaikintas. </w:t>
      </w:r>
    </w:p>
    <w:p w:rsidR="00255979" w:rsidRDefault="00255979" w:rsidP="00886621">
      <w:pPr>
        <w:widowControl w:val="0"/>
        <w:autoSpaceDE w:val="0"/>
        <w:autoSpaceDN w:val="0"/>
        <w:adjustRightInd w:val="0"/>
        <w:spacing w:line="276" w:lineRule="atLeast"/>
        <w:rPr>
          <w:rFonts w:eastAsia="MS Mincho"/>
          <w:sz w:val="22"/>
          <w:szCs w:val="22"/>
          <w:u w:val="single"/>
          <w:lang w:eastAsia="ja-JP" w:bidi="lo-LA"/>
        </w:rPr>
      </w:pPr>
    </w:p>
    <w:p w:rsidR="00255979" w:rsidRPr="006F5707" w:rsidRDefault="00255979" w:rsidP="00886621">
      <w:pPr>
        <w:widowControl w:val="0"/>
        <w:autoSpaceDE w:val="0"/>
        <w:autoSpaceDN w:val="0"/>
        <w:adjustRightInd w:val="0"/>
        <w:spacing w:line="276" w:lineRule="atLeast"/>
        <w:rPr>
          <w:rFonts w:eastAsia="MS Mincho"/>
          <w:sz w:val="22"/>
          <w:szCs w:val="22"/>
          <w:lang w:eastAsia="ja-JP" w:bidi="lo-LA"/>
        </w:rPr>
      </w:pPr>
      <w:r w:rsidRPr="006F5707">
        <w:rPr>
          <w:rFonts w:eastAsia="MS Mincho"/>
          <w:sz w:val="22"/>
          <w:szCs w:val="22"/>
          <w:u w:val="single"/>
          <w:lang w:eastAsia="ja-JP" w:bidi="lo-LA"/>
        </w:rPr>
        <w:t xml:space="preserve">Tirpalo ruošimas </w:t>
      </w:r>
    </w:p>
    <w:p w:rsidR="00255979" w:rsidRPr="006F5707" w:rsidRDefault="00255979" w:rsidP="003A6AEE">
      <w:pPr>
        <w:widowControl w:val="0"/>
        <w:numPr>
          <w:ilvl w:val="0"/>
          <w:numId w:val="4"/>
        </w:numPr>
        <w:tabs>
          <w:tab w:val="left" w:pos="360"/>
        </w:tabs>
        <w:autoSpaceDE w:val="0"/>
        <w:autoSpaceDN w:val="0"/>
        <w:adjustRightInd w:val="0"/>
        <w:spacing w:line="276" w:lineRule="auto"/>
        <w:ind w:left="360" w:hanging="360"/>
        <w:rPr>
          <w:rFonts w:eastAsia="MS Mincho"/>
          <w:sz w:val="22"/>
          <w:szCs w:val="22"/>
          <w:lang w:eastAsia="ja-JP" w:bidi="lo-LA"/>
        </w:rPr>
      </w:pPr>
      <w:r w:rsidRPr="006F5707">
        <w:rPr>
          <w:rFonts w:eastAsia="MS Mincho"/>
          <w:sz w:val="22"/>
          <w:szCs w:val="22"/>
          <w:lang w:eastAsia="ja-JP" w:bidi="lo-LA"/>
        </w:rPr>
        <w:t xml:space="preserve">Tirpalui ruošti turi būti naudojamas injekcinis vanduo arba 5 % (50 mg/ml)gliukozės tirpalas. </w:t>
      </w:r>
    </w:p>
    <w:p w:rsidR="00255979" w:rsidRPr="006F5707" w:rsidRDefault="00255979" w:rsidP="003A6AEE">
      <w:pPr>
        <w:widowControl w:val="0"/>
        <w:numPr>
          <w:ilvl w:val="0"/>
          <w:numId w:val="4"/>
        </w:numPr>
        <w:tabs>
          <w:tab w:val="left" w:pos="360"/>
        </w:tabs>
        <w:autoSpaceDE w:val="0"/>
        <w:autoSpaceDN w:val="0"/>
        <w:adjustRightInd w:val="0"/>
        <w:spacing w:line="276" w:lineRule="auto"/>
        <w:ind w:left="360" w:hanging="360"/>
        <w:rPr>
          <w:rFonts w:eastAsia="MS Mincho"/>
          <w:sz w:val="22"/>
          <w:szCs w:val="22"/>
          <w:lang w:eastAsia="ja-JP" w:bidi="lo-LA"/>
        </w:rPr>
      </w:pPr>
      <w:r w:rsidRPr="006F5707">
        <w:rPr>
          <w:rFonts w:eastAsia="MS Mincho"/>
          <w:sz w:val="22"/>
          <w:szCs w:val="22"/>
          <w:lang w:eastAsia="ja-JP" w:bidi="lo-LA"/>
        </w:rPr>
        <w:t xml:space="preserve">50 mg </w:t>
      </w:r>
      <w:r>
        <w:rPr>
          <w:rFonts w:eastAsia="MS Mincho"/>
          <w:sz w:val="22"/>
          <w:szCs w:val="22"/>
          <w:lang w:eastAsia="ja-JP" w:bidi="lo-LA"/>
        </w:rPr>
        <w:t>flakonui</w:t>
      </w:r>
      <w:r w:rsidRPr="006F5707">
        <w:rPr>
          <w:rFonts w:eastAsia="MS Mincho"/>
          <w:sz w:val="22"/>
          <w:szCs w:val="22"/>
          <w:lang w:eastAsia="ja-JP" w:bidi="lo-LA"/>
        </w:rPr>
        <w:t xml:space="preserve">: 5 mg/ml oksaliplatinos koncentracijai gauti įpilkite 10 ml tirpiklio. </w:t>
      </w:r>
    </w:p>
    <w:p w:rsidR="00255979" w:rsidRPr="006F5707" w:rsidRDefault="00255979" w:rsidP="003A6AEE">
      <w:pPr>
        <w:widowControl w:val="0"/>
        <w:numPr>
          <w:ilvl w:val="0"/>
          <w:numId w:val="4"/>
        </w:numPr>
        <w:tabs>
          <w:tab w:val="left" w:pos="360"/>
        </w:tabs>
        <w:autoSpaceDE w:val="0"/>
        <w:autoSpaceDN w:val="0"/>
        <w:adjustRightInd w:val="0"/>
        <w:spacing w:line="276" w:lineRule="auto"/>
        <w:ind w:left="360" w:hanging="360"/>
        <w:rPr>
          <w:rFonts w:eastAsia="MS Mincho"/>
          <w:sz w:val="22"/>
          <w:szCs w:val="22"/>
          <w:lang w:eastAsia="ja-JP" w:bidi="lo-LA"/>
        </w:rPr>
      </w:pPr>
      <w:r w:rsidRPr="006F5707">
        <w:rPr>
          <w:rFonts w:eastAsia="MS Mincho"/>
          <w:sz w:val="22"/>
          <w:szCs w:val="22"/>
          <w:lang w:eastAsia="ja-JP" w:bidi="lo-LA"/>
        </w:rPr>
        <w:t xml:space="preserve">100 mg </w:t>
      </w:r>
      <w:r>
        <w:rPr>
          <w:rFonts w:eastAsia="MS Mincho"/>
          <w:sz w:val="22"/>
          <w:szCs w:val="22"/>
          <w:lang w:eastAsia="ja-JP" w:bidi="lo-LA"/>
        </w:rPr>
        <w:t>flakonui</w:t>
      </w:r>
      <w:r w:rsidRPr="006F5707">
        <w:rPr>
          <w:rFonts w:eastAsia="MS Mincho"/>
          <w:sz w:val="22"/>
          <w:szCs w:val="22"/>
          <w:lang w:eastAsia="ja-JP" w:bidi="lo-LA"/>
        </w:rPr>
        <w:t xml:space="preserve">: 5 mg/ml oksaliplatinos koncentracijai gauti įpilkite 20 ml tirpiklio. </w:t>
      </w:r>
    </w:p>
    <w:p w:rsidR="00255979" w:rsidRPr="006F5707" w:rsidRDefault="00255979" w:rsidP="00886621">
      <w:pPr>
        <w:widowControl w:val="0"/>
        <w:autoSpaceDE w:val="0"/>
        <w:autoSpaceDN w:val="0"/>
        <w:adjustRightInd w:val="0"/>
        <w:ind w:left="720"/>
        <w:rPr>
          <w:rFonts w:eastAsia="MS Mincho"/>
          <w:sz w:val="22"/>
          <w:szCs w:val="22"/>
          <w:lang w:eastAsia="ja-JP" w:bidi="lo-LA"/>
        </w:rPr>
      </w:pP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r w:rsidRPr="006F5707">
        <w:rPr>
          <w:rFonts w:eastAsia="MS Mincho"/>
          <w:sz w:val="22"/>
          <w:szCs w:val="22"/>
          <w:lang w:eastAsia="ja-JP" w:bidi="lo-LA"/>
        </w:rPr>
        <w:t xml:space="preserve">Prieš vartojimą tirpalą apžiūrėkite. Gali būti vartojamas tik skaidrus ir be jokių drumzlių tirpalas. </w:t>
      </w: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r w:rsidRPr="006F5707">
        <w:rPr>
          <w:rFonts w:eastAsia="MS Mincho"/>
          <w:sz w:val="22"/>
          <w:szCs w:val="22"/>
          <w:lang w:eastAsia="ja-JP" w:bidi="lo-LA"/>
        </w:rPr>
        <w:t>Mikrobiologiniu požiūriu</w:t>
      </w:r>
      <w:r>
        <w:rPr>
          <w:rFonts w:eastAsia="MS Mincho"/>
          <w:sz w:val="22"/>
          <w:szCs w:val="22"/>
          <w:lang w:eastAsia="ja-JP" w:bidi="lo-LA"/>
        </w:rPr>
        <w:t>,</w:t>
      </w:r>
      <w:r w:rsidRPr="006F5707">
        <w:rPr>
          <w:rFonts w:eastAsia="MS Mincho"/>
          <w:sz w:val="22"/>
          <w:szCs w:val="22"/>
          <w:lang w:eastAsia="ja-JP" w:bidi="lo-LA"/>
        </w:rPr>
        <w:t xml:space="preserve"> šis paruoštas tirpalas turi būti </w:t>
      </w:r>
      <w:r>
        <w:rPr>
          <w:rFonts w:eastAsia="MS Mincho"/>
          <w:sz w:val="22"/>
          <w:szCs w:val="22"/>
          <w:lang w:eastAsia="ja-JP" w:bidi="lo-LA"/>
        </w:rPr>
        <w:t>pra</w:t>
      </w:r>
      <w:r w:rsidRPr="006F5707">
        <w:rPr>
          <w:rFonts w:eastAsia="MS Mincho"/>
          <w:sz w:val="22"/>
          <w:szCs w:val="22"/>
          <w:lang w:eastAsia="ja-JP" w:bidi="lo-LA"/>
        </w:rPr>
        <w:t>skiestas nedelsiant. Jeigu iš karto ne</w:t>
      </w:r>
      <w:r>
        <w:rPr>
          <w:rFonts w:eastAsia="MS Mincho"/>
          <w:sz w:val="22"/>
          <w:szCs w:val="22"/>
          <w:lang w:eastAsia="ja-JP" w:bidi="lo-LA"/>
        </w:rPr>
        <w:t>pra</w:t>
      </w:r>
      <w:r w:rsidRPr="006F5707">
        <w:rPr>
          <w:rFonts w:eastAsia="MS Mincho"/>
          <w:sz w:val="22"/>
          <w:szCs w:val="22"/>
          <w:lang w:eastAsia="ja-JP" w:bidi="lo-LA"/>
        </w:rPr>
        <w:t xml:space="preserve">skiedžiamas, už laikymo laiką ir sąlygas </w:t>
      </w:r>
      <w:r>
        <w:rPr>
          <w:rFonts w:eastAsia="MS Mincho"/>
          <w:sz w:val="22"/>
          <w:szCs w:val="22"/>
          <w:lang w:eastAsia="ja-JP" w:bidi="lo-LA"/>
        </w:rPr>
        <w:t xml:space="preserve">iki vartojimo </w:t>
      </w:r>
      <w:r w:rsidRPr="006F5707">
        <w:rPr>
          <w:rFonts w:eastAsia="MS Mincho"/>
          <w:sz w:val="22"/>
          <w:szCs w:val="22"/>
          <w:lang w:eastAsia="ja-JP" w:bidi="lo-LA"/>
        </w:rPr>
        <w:t xml:space="preserve">atsako vartotojas ir paprastai laikymo trukmė bus ne </w:t>
      </w:r>
      <w:r>
        <w:rPr>
          <w:rFonts w:eastAsia="MS Mincho"/>
          <w:sz w:val="22"/>
          <w:szCs w:val="22"/>
          <w:lang w:eastAsia="ja-JP" w:bidi="lo-LA"/>
        </w:rPr>
        <w:t>ilgesnė</w:t>
      </w:r>
      <w:r w:rsidRPr="006F5707">
        <w:rPr>
          <w:rFonts w:eastAsia="MS Mincho"/>
          <w:sz w:val="22"/>
          <w:szCs w:val="22"/>
          <w:lang w:eastAsia="ja-JP" w:bidi="lo-LA"/>
        </w:rPr>
        <w:t xml:space="preserve"> nei 24 valandos laikant 2°C –8 °C temperatūroje, jeigu tirpalas nebuvo ruošiamas kontroliuojamomis ir patvirtintomis </w:t>
      </w:r>
      <w:r>
        <w:rPr>
          <w:rFonts w:eastAsia="MS Mincho"/>
          <w:sz w:val="22"/>
          <w:szCs w:val="22"/>
          <w:lang w:eastAsia="ja-JP" w:bidi="lo-LA"/>
        </w:rPr>
        <w:t>aseptinėmis</w:t>
      </w:r>
      <w:r w:rsidRPr="006F5707">
        <w:rPr>
          <w:rFonts w:eastAsia="MS Mincho"/>
          <w:sz w:val="22"/>
          <w:szCs w:val="22"/>
          <w:lang w:eastAsia="ja-JP" w:bidi="lo-LA"/>
        </w:rPr>
        <w:t xml:space="preserve"> sąlygomis. </w:t>
      </w:r>
    </w:p>
    <w:p w:rsidR="00255979" w:rsidRDefault="00255979" w:rsidP="003A6AEE">
      <w:pPr>
        <w:widowControl w:val="0"/>
        <w:autoSpaceDE w:val="0"/>
        <w:autoSpaceDN w:val="0"/>
        <w:adjustRightInd w:val="0"/>
        <w:spacing w:line="276" w:lineRule="atLeast"/>
        <w:rPr>
          <w:rFonts w:eastAsia="MS Mincho"/>
          <w:sz w:val="22"/>
          <w:szCs w:val="22"/>
          <w:u w:val="single"/>
          <w:lang w:eastAsia="ja-JP" w:bidi="lo-LA"/>
        </w:rPr>
      </w:pP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r w:rsidRPr="006F5707">
        <w:rPr>
          <w:rFonts w:eastAsia="MS Mincho"/>
          <w:sz w:val="22"/>
          <w:szCs w:val="22"/>
          <w:u w:val="single"/>
          <w:lang w:eastAsia="ja-JP" w:bidi="lo-LA"/>
        </w:rPr>
        <w:t>Skiedimas intraveninei infuzijai</w:t>
      </w: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r w:rsidRPr="006F5707">
        <w:rPr>
          <w:rFonts w:eastAsia="MS Mincho"/>
          <w:sz w:val="22"/>
          <w:szCs w:val="22"/>
          <w:lang w:eastAsia="ja-JP" w:bidi="lo-LA"/>
        </w:rPr>
        <w:t xml:space="preserve">Iš </w:t>
      </w:r>
      <w:r>
        <w:rPr>
          <w:rFonts w:eastAsia="MS Mincho"/>
          <w:sz w:val="22"/>
          <w:szCs w:val="22"/>
          <w:lang w:eastAsia="ja-JP" w:bidi="lo-LA"/>
        </w:rPr>
        <w:t>flakono</w:t>
      </w:r>
      <w:r w:rsidRPr="006F5707">
        <w:rPr>
          <w:rFonts w:eastAsia="MS Mincho"/>
          <w:sz w:val="22"/>
          <w:szCs w:val="22"/>
          <w:lang w:eastAsia="ja-JP" w:bidi="lo-LA"/>
        </w:rPr>
        <w:t xml:space="preserve"> (-ų) paimkite reikalingą pagaminto koncentruoto tirpalo kiekį ir praskieskite 250</w:t>
      </w:r>
      <w:r>
        <w:rPr>
          <w:rFonts w:eastAsia="MS Mincho"/>
          <w:sz w:val="22"/>
          <w:szCs w:val="22"/>
          <w:lang w:eastAsia="ja-JP" w:bidi="lo-LA"/>
        </w:rPr>
        <w:t> ml</w:t>
      </w:r>
      <w:r w:rsidRPr="006F5707">
        <w:rPr>
          <w:rFonts w:eastAsia="MS Mincho"/>
          <w:sz w:val="22"/>
          <w:szCs w:val="22"/>
          <w:lang w:eastAsia="ja-JP" w:bidi="lo-LA"/>
        </w:rPr>
        <w:t>–500</w:t>
      </w:r>
      <w:r>
        <w:rPr>
          <w:rFonts w:eastAsia="MS Mincho"/>
          <w:sz w:val="22"/>
          <w:szCs w:val="22"/>
          <w:lang w:eastAsia="ja-JP" w:bidi="lo-LA"/>
        </w:rPr>
        <w:t> </w:t>
      </w:r>
      <w:r w:rsidRPr="006F5707">
        <w:rPr>
          <w:rFonts w:eastAsia="MS Mincho"/>
          <w:sz w:val="22"/>
          <w:szCs w:val="22"/>
          <w:lang w:eastAsia="ja-JP" w:bidi="lo-LA"/>
        </w:rPr>
        <w:t>ml 5 % (50 mg/ml) gliukozės tirpalu taip, kad oksaliplatinos koncentracija būtų 0,20– 0,70</w:t>
      </w:r>
      <w:r>
        <w:rPr>
          <w:rFonts w:eastAsia="MS Mincho"/>
          <w:sz w:val="22"/>
          <w:szCs w:val="22"/>
          <w:lang w:eastAsia="ja-JP" w:bidi="lo-LA"/>
        </w:rPr>
        <w:t> </w:t>
      </w:r>
      <w:r w:rsidRPr="006F5707">
        <w:rPr>
          <w:rFonts w:eastAsia="MS Mincho"/>
          <w:sz w:val="22"/>
          <w:szCs w:val="22"/>
          <w:lang w:eastAsia="ja-JP" w:bidi="lo-LA"/>
        </w:rPr>
        <w:t>mg/ml.  Koncentracijų ribose nuo 0,20 mg/ml iki 2,0 mg/ml buvo nustatytas oksaliplatinos fizinių ir cheminių savybių stabilumas.</w:t>
      </w: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r>
        <w:rPr>
          <w:rFonts w:eastAsia="MS Mincho"/>
          <w:sz w:val="22"/>
          <w:szCs w:val="22"/>
          <w:lang w:eastAsia="ja-JP" w:bidi="lo-LA"/>
        </w:rPr>
        <w:t>Pra</w:t>
      </w:r>
      <w:r w:rsidRPr="006F5707">
        <w:rPr>
          <w:rFonts w:eastAsia="MS Mincho"/>
          <w:sz w:val="22"/>
          <w:szCs w:val="22"/>
          <w:lang w:eastAsia="ja-JP" w:bidi="lo-LA"/>
        </w:rPr>
        <w:t xml:space="preserve">skiestas tirpalas yra skaidrus, bespalvis, be kietųjų dalelių. </w:t>
      </w: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r w:rsidRPr="006F5707">
        <w:rPr>
          <w:rFonts w:eastAsia="MS Mincho"/>
          <w:sz w:val="22"/>
          <w:szCs w:val="22"/>
          <w:lang w:eastAsia="ja-JP" w:bidi="lo-LA"/>
        </w:rPr>
        <w:t xml:space="preserve">Sulašinkite tirpalą į veną.  </w:t>
      </w:r>
    </w:p>
    <w:p w:rsidR="00255979" w:rsidRPr="006F5707" w:rsidRDefault="00255979" w:rsidP="003A6AEE">
      <w:pPr>
        <w:widowControl w:val="0"/>
        <w:autoSpaceDE w:val="0"/>
        <w:autoSpaceDN w:val="0"/>
        <w:adjustRightInd w:val="0"/>
        <w:spacing w:line="276" w:lineRule="atLeast"/>
        <w:rPr>
          <w:rFonts w:eastAsia="MS Mincho"/>
          <w:sz w:val="22"/>
          <w:szCs w:val="22"/>
          <w:lang w:eastAsia="ja-JP" w:bidi="lo-LA"/>
        </w:rPr>
      </w:pPr>
      <w:r>
        <w:rPr>
          <w:rFonts w:eastAsia="MS Mincho"/>
          <w:sz w:val="22"/>
          <w:szCs w:val="22"/>
          <w:lang w:eastAsia="ja-JP" w:bidi="lo-LA"/>
        </w:rPr>
        <w:t>Pra</w:t>
      </w:r>
      <w:r w:rsidRPr="006F5707">
        <w:rPr>
          <w:rFonts w:eastAsia="MS Mincho"/>
          <w:sz w:val="22"/>
          <w:szCs w:val="22"/>
          <w:lang w:eastAsia="ja-JP" w:bidi="lo-LA"/>
        </w:rPr>
        <w:t xml:space="preserve">skiedus 5 % (50 mg/ml)gliukozės tirpalu ir laikant 2°C –8 °C temperatūroje, fizinės ir cheminės preparato savybės nekinta 24 valandas. </w:t>
      </w:r>
    </w:p>
    <w:p w:rsidR="00255979" w:rsidRDefault="00255979" w:rsidP="00886621">
      <w:pPr>
        <w:widowControl w:val="0"/>
        <w:autoSpaceDE w:val="0"/>
        <w:autoSpaceDN w:val="0"/>
        <w:adjustRightInd w:val="0"/>
        <w:spacing w:line="276" w:lineRule="atLeast"/>
        <w:rPr>
          <w:rFonts w:eastAsia="MS Mincho"/>
          <w:sz w:val="22"/>
          <w:szCs w:val="22"/>
          <w:lang w:eastAsia="ja-JP" w:bidi="lo-LA"/>
        </w:rPr>
      </w:pPr>
      <w:r w:rsidRPr="006F5707">
        <w:rPr>
          <w:rFonts w:eastAsia="MS Mincho"/>
          <w:sz w:val="22"/>
          <w:szCs w:val="22"/>
          <w:lang w:eastAsia="ja-JP" w:bidi="lo-LA"/>
        </w:rPr>
        <w:t>Mikrobiologiniu požiūriu</w:t>
      </w:r>
      <w:r>
        <w:rPr>
          <w:rFonts w:eastAsia="MS Mincho"/>
          <w:sz w:val="22"/>
          <w:szCs w:val="22"/>
          <w:lang w:eastAsia="ja-JP" w:bidi="lo-LA"/>
        </w:rPr>
        <w:t>,</w:t>
      </w:r>
      <w:r w:rsidRPr="006F5707">
        <w:rPr>
          <w:rFonts w:eastAsia="MS Mincho"/>
          <w:sz w:val="22"/>
          <w:szCs w:val="22"/>
          <w:lang w:eastAsia="ja-JP" w:bidi="lo-LA"/>
        </w:rPr>
        <w:t xml:space="preserve"> šis infuzinis preparatas turi būti vartojamas nedelsiant.  </w:t>
      </w:r>
    </w:p>
    <w:p w:rsidR="00255979" w:rsidRDefault="00255979" w:rsidP="00886621">
      <w:pPr>
        <w:widowControl w:val="0"/>
        <w:autoSpaceDE w:val="0"/>
        <w:autoSpaceDN w:val="0"/>
        <w:adjustRightInd w:val="0"/>
        <w:spacing w:line="276" w:lineRule="atLeast"/>
        <w:rPr>
          <w:rFonts w:eastAsia="MS Mincho"/>
          <w:sz w:val="22"/>
          <w:szCs w:val="22"/>
          <w:lang w:eastAsia="ja-JP" w:bidi="lo-LA"/>
        </w:rPr>
      </w:pPr>
    </w:p>
    <w:p w:rsidR="00255979" w:rsidRPr="006F5707" w:rsidRDefault="00255979" w:rsidP="00886621">
      <w:pPr>
        <w:widowControl w:val="0"/>
        <w:autoSpaceDE w:val="0"/>
        <w:autoSpaceDN w:val="0"/>
        <w:adjustRightInd w:val="0"/>
        <w:spacing w:line="276" w:lineRule="atLeast"/>
        <w:rPr>
          <w:rFonts w:eastAsia="MS Mincho"/>
          <w:sz w:val="22"/>
          <w:szCs w:val="23"/>
          <w:lang w:eastAsia="ja-JP" w:bidi="lo-LA"/>
        </w:rPr>
      </w:pPr>
      <w:r w:rsidRPr="006F5707">
        <w:rPr>
          <w:rFonts w:eastAsia="MS Mincho"/>
          <w:sz w:val="22"/>
          <w:szCs w:val="22"/>
          <w:lang w:eastAsia="ja-JP" w:bidi="lo-LA"/>
        </w:rPr>
        <w:t xml:space="preserve">Jeigu iš karto nevartojamas, už laikymo laiką ir sąlygas </w:t>
      </w:r>
      <w:r>
        <w:rPr>
          <w:rFonts w:eastAsia="MS Mincho"/>
          <w:sz w:val="22"/>
          <w:szCs w:val="22"/>
          <w:lang w:eastAsia="ja-JP" w:bidi="lo-LA"/>
        </w:rPr>
        <w:t xml:space="preserve">iki vartojimo </w:t>
      </w:r>
      <w:r w:rsidRPr="006F5707">
        <w:rPr>
          <w:rFonts w:eastAsia="MS Mincho"/>
          <w:sz w:val="22"/>
          <w:szCs w:val="22"/>
          <w:lang w:eastAsia="ja-JP" w:bidi="lo-LA"/>
        </w:rPr>
        <w:t xml:space="preserve">atsako vartotojas ir paprastai laikymo trukmė bus ne </w:t>
      </w:r>
      <w:r>
        <w:rPr>
          <w:rFonts w:eastAsia="MS Mincho"/>
          <w:sz w:val="22"/>
          <w:szCs w:val="22"/>
          <w:lang w:eastAsia="ja-JP" w:bidi="lo-LA"/>
        </w:rPr>
        <w:t xml:space="preserve">ilgesnė </w:t>
      </w:r>
      <w:r w:rsidRPr="006F5707">
        <w:rPr>
          <w:rFonts w:eastAsia="MS Mincho"/>
          <w:sz w:val="22"/>
          <w:szCs w:val="22"/>
          <w:lang w:eastAsia="ja-JP" w:bidi="lo-LA"/>
        </w:rPr>
        <w:t xml:space="preserve">nei 24 valandos laikant 2°C –8 °C temperatūroje, jeigu tirpalas nebuvo </w:t>
      </w:r>
      <w:r>
        <w:rPr>
          <w:rFonts w:eastAsia="MS Mincho"/>
          <w:sz w:val="22"/>
          <w:szCs w:val="22"/>
          <w:lang w:eastAsia="ja-JP" w:bidi="lo-LA"/>
        </w:rPr>
        <w:t>skiedžiamas</w:t>
      </w:r>
      <w:r w:rsidRPr="006F5707">
        <w:rPr>
          <w:rFonts w:eastAsia="MS Mincho"/>
          <w:sz w:val="22"/>
          <w:szCs w:val="22"/>
          <w:lang w:eastAsia="ja-JP" w:bidi="lo-LA"/>
        </w:rPr>
        <w:t xml:space="preserve"> kontroliuojamomis ir patvirtintomis </w:t>
      </w:r>
      <w:r>
        <w:rPr>
          <w:rFonts w:eastAsia="MS Mincho"/>
          <w:sz w:val="22"/>
          <w:szCs w:val="22"/>
          <w:lang w:eastAsia="ja-JP" w:bidi="lo-LA"/>
        </w:rPr>
        <w:t>aseptinėmis</w:t>
      </w:r>
      <w:r w:rsidRPr="006F5707">
        <w:rPr>
          <w:rFonts w:eastAsia="MS Mincho"/>
          <w:sz w:val="22"/>
          <w:szCs w:val="22"/>
          <w:lang w:eastAsia="ja-JP" w:bidi="lo-LA"/>
        </w:rPr>
        <w:t xml:space="preserve"> sąlygomis.  </w:t>
      </w:r>
    </w:p>
    <w:p w:rsidR="00255979" w:rsidRPr="006F5707" w:rsidRDefault="00255979" w:rsidP="003A6AEE">
      <w:pPr>
        <w:widowControl w:val="0"/>
        <w:tabs>
          <w:tab w:val="left" w:pos="0"/>
        </w:tabs>
        <w:autoSpaceDE w:val="0"/>
        <w:autoSpaceDN w:val="0"/>
        <w:adjustRightInd w:val="0"/>
        <w:spacing w:line="278" w:lineRule="atLeast"/>
        <w:jc w:val="both"/>
        <w:rPr>
          <w:rFonts w:eastAsia="MS Mincho"/>
          <w:sz w:val="22"/>
          <w:szCs w:val="23"/>
          <w:lang w:eastAsia="ja-JP" w:bidi="lo-LA"/>
        </w:rPr>
      </w:pPr>
      <w:r w:rsidRPr="006F5707">
        <w:rPr>
          <w:rFonts w:eastAsia="MS Mincho"/>
          <w:sz w:val="22"/>
          <w:szCs w:val="22"/>
          <w:lang w:eastAsia="ja-JP" w:bidi="lo-LA"/>
        </w:rPr>
        <w:t xml:space="preserve">Prieš vartojimą tirpalą apžiūrėkite. Gali būti vartojamas tik skaidrus ir be jokių drumzlių tirpalas. </w:t>
      </w:r>
    </w:p>
    <w:p w:rsidR="00255979" w:rsidRPr="006F5707" w:rsidRDefault="00255979" w:rsidP="003A6AEE">
      <w:pPr>
        <w:widowControl w:val="0"/>
        <w:tabs>
          <w:tab w:val="left" w:pos="0"/>
        </w:tabs>
        <w:autoSpaceDE w:val="0"/>
        <w:autoSpaceDN w:val="0"/>
        <w:adjustRightInd w:val="0"/>
        <w:spacing w:line="278" w:lineRule="atLeast"/>
        <w:jc w:val="both"/>
        <w:rPr>
          <w:rFonts w:eastAsia="MS Mincho"/>
          <w:sz w:val="22"/>
          <w:szCs w:val="23"/>
          <w:lang w:eastAsia="ja-JP" w:bidi="lo-LA"/>
        </w:rPr>
      </w:pPr>
      <w:r w:rsidRPr="006F5707">
        <w:rPr>
          <w:rFonts w:eastAsia="MS Mincho"/>
          <w:sz w:val="22"/>
          <w:szCs w:val="22"/>
          <w:lang w:eastAsia="ja-JP" w:bidi="lo-LA"/>
        </w:rPr>
        <w:t xml:space="preserve">Šis vaistinis preparatas yra vienkartinio </w:t>
      </w:r>
      <w:r>
        <w:rPr>
          <w:rFonts w:eastAsia="MS Mincho"/>
          <w:sz w:val="22"/>
          <w:szCs w:val="22"/>
          <w:lang w:eastAsia="ja-JP" w:bidi="lo-LA"/>
        </w:rPr>
        <w:t>vartojimo</w:t>
      </w:r>
      <w:r w:rsidRPr="006F5707">
        <w:rPr>
          <w:rFonts w:eastAsia="MS Mincho"/>
          <w:sz w:val="22"/>
          <w:szCs w:val="22"/>
          <w:lang w:eastAsia="ja-JP" w:bidi="lo-LA"/>
        </w:rPr>
        <w:t xml:space="preserve">. Bet koks </w:t>
      </w:r>
      <w:r>
        <w:rPr>
          <w:rFonts w:eastAsia="MS Mincho"/>
          <w:sz w:val="22"/>
          <w:szCs w:val="22"/>
          <w:lang w:eastAsia="ja-JP" w:bidi="lo-LA"/>
        </w:rPr>
        <w:t>nesuvartotas</w:t>
      </w:r>
      <w:r w:rsidRPr="006F5707">
        <w:rPr>
          <w:rFonts w:eastAsia="MS Mincho"/>
          <w:sz w:val="22"/>
          <w:szCs w:val="22"/>
          <w:lang w:eastAsia="ja-JP" w:bidi="lo-LA"/>
        </w:rPr>
        <w:t xml:space="preserve"> tirpalas turi būti </w:t>
      </w:r>
      <w:r>
        <w:rPr>
          <w:rFonts w:eastAsia="MS Mincho"/>
          <w:sz w:val="22"/>
          <w:szCs w:val="22"/>
          <w:lang w:eastAsia="ja-JP" w:bidi="lo-LA"/>
        </w:rPr>
        <w:t>sunaikintas</w:t>
      </w:r>
      <w:r w:rsidRPr="006F5707">
        <w:rPr>
          <w:rFonts w:eastAsia="MS Mincho"/>
          <w:sz w:val="22"/>
          <w:szCs w:val="22"/>
          <w:lang w:eastAsia="ja-JP" w:bidi="lo-LA"/>
        </w:rPr>
        <w:t xml:space="preserve"> (žr skyrių „</w:t>
      </w:r>
      <w:r>
        <w:rPr>
          <w:rFonts w:eastAsia="MS Mincho"/>
          <w:sz w:val="22"/>
          <w:szCs w:val="22"/>
          <w:lang w:eastAsia="ja-JP" w:bidi="lo-LA"/>
        </w:rPr>
        <w:t>Atliekų tvarkymas</w:t>
      </w:r>
      <w:r w:rsidRPr="006F5707">
        <w:rPr>
          <w:rFonts w:eastAsia="MS Mincho"/>
          <w:sz w:val="22"/>
          <w:szCs w:val="22"/>
          <w:lang w:eastAsia="ja-JP" w:bidi="lo-LA"/>
        </w:rPr>
        <w:t xml:space="preserve">“).  </w:t>
      </w:r>
    </w:p>
    <w:p w:rsidR="00255979" w:rsidRDefault="00255979" w:rsidP="003A6AEE">
      <w:pPr>
        <w:widowControl w:val="0"/>
        <w:tabs>
          <w:tab w:val="left" w:pos="0"/>
        </w:tabs>
        <w:autoSpaceDE w:val="0"/>
        <w:autoSpaceDN w:val="0"/>
        <w:adjustRightInd w:val="0"/>
        <w:spacing w:line="278" w:lineRule="atLeast"/>
        <w:jc w:val="both"/>
        <w:rPr>
          <w:rFonts w:eastAsia="MS Mincho"/>
          <w:b/>
          <w:bCs/>
          <w:sz w:val="22"/>
          <w:szCs w:val="22"/>
          <w:lang w:eastAsia="ja-JP" w:bidi="lo-LA"/>
        </w:rPr>
      </w:pPr>
    </w:p>
    <w:p w:rsidR="00255979" w:rsidRPr="006F5707" w:rsidRDefault="00255979" w:rsidP="003A6AEE">
      <w:pPr>
        <w:widowControl w:val="0"/>
        <w:tabs>
          <w:tab w:val="left" w:pos="0"/>
        </w:tabs>
        <w:autoSpaceDE w:val="0"/>
        <w:autoSpaceDN w:val="0"/>
        <w:adjustRightInd w:val="0"/>
        <w:spacing w:line="278" w:lineRule="atLeast"/>
        <w:jc w:val="both"/>
        <w:rPr>
          <w:rFonts w:eastAsia="MS Mincho"/>
          <w:sz w:val="22"/>
          <w:szCs w:val="23"/>
          <w:lang w:eastAsia="ja-JP" w:bidi="lo-LA"/>
        </w:rPr>
      </w:pPr>
      <w:r w:rsidRPr="006F5707">
        <w:rPr>
          <w:rFonts w:eastAsia="MS Mincho"/>
          <w:b/>
          <w:bCs/>
          <w:sz w:val="22"/>
          <w:szCs w:val="22"/>
          <w:lang w:eastAsia="ja-JP" w:bidi="lo-LA"/>
        </w:rPr>
        <w:t>NIEKADA</w:t>
      </w:r>
      <w:r w:rsidRPr="006F5707">
        <w:rPr>
          <w:rFonts w:eastAsia="MS Mincho"/>
          <w:sz w:val="22"/>
          <w:szCs w:val="22"/>
          <w:lang w:eastAsia="ja-JP" w:bidi="lo-LA"/>
        </w:rPr>
        <w:t xml:space="preserve"> skiedimui nenaudokite natrio chlorido tirpalo ar kitų chloridų tirpalų.  </w:t>
      </w:r>
    </w:p>
    <w:p w:rsidR="00255979" w:rsidRDefault="00255979" w:rsidP="003A6AEE">
      <w:pPr>
        <w:widowControl w:val="0"/>
        <w:tabs>
          <w:tab w:val="left" w:pos="0"/>
        </w:tabs>
        <w:autoSpaceDE w:val="0"/>
        <w:autoSpaceDN w:val="0"/>
        <w:adjustRightInd w:val="0"/>
        <w:spacing w:line="278" w:lineRule="atLeast"/>
        <w:jc w:val="both"/>
        <w:rPr>
          <w:rFonts w:eastAsia="MS Mincho"/>
          <w:sz w:val="22"/>
          <w:szCs w:val="22"/>
          <w:lang w:eastAsia="ja-JP" w:bidi="lo-LA"/>
        </w:rPr>
      </w:pPr>
    </w:p>
    <w:p w:rsidR="00255979" w:rsidRPr="006F5707" w:rsidRDefault="00255979" w:rsidP="003A6AEE">
      <w:pPr>
        <w:widowControl w:val="0"/>
        <w:tabs>
          <w:tab w:val="left" w:pos="0"/>
        </w:tabs>
        <w:autoSpaceDE w:val="0"/>
        <w:autoSpaceDN w:val="0"/>
        <w:adjustRightInd w:val="0"/>
        <w:spacing w:line="278" w:lineRule="atLeast"/>
        <w:jc w:val="both"/>
        <w:rPr>
          <w:rFonts w:eastAsia="MS Mincho"/>
          <w:sz w:val="22"/>
          <w:szCs w:val="23"/>
          <w:lang w:eastAsia="ja-JP" w:bidi="lo-LA"/>
        </w:rPr>
      </w:pPr>
      <w:r w:rsidRPr="006F5707">
        <w:rPr>
          <w:rFonts w:eastAsia="MS Mincho"/>
          <w:sz w:val="22"/>
          <w:szCs w:val="22"/>
          <w:lang w:eastAsia="ja-JP" w:bidi="lo-LA"/>
        </w:rPr>
        <w:t xml:space="preserve">Oksaliplatinos infuzinio tirpalo suderinamumas buvo tikrintas su tipiniais infuzijos rinkiniais, pagamintais iš PVC.  </w:t>
      </w:r>
    </w:p>
    <w:p w:rsidR="00255979" w:rsidRDefault="00255979" w:rsidP="003A6AEE">
      <w:pPr>
        <w:widowControl w:val="0"/>
        <w:tabs>
          <w:tab w:val="left" w:pos="0"/>
        </w:tabs>
        <w:autoSpaceDE w:val="0"/>
        <w:autoSpaceDN w:val="0"/>
        <w:adjustRightInd w:val="0"/>
        <w:spacing w:line="278" w:lineRule="atLeast"/>
        <w:jc w:val="both"/>
        <w:rPr>
          <w:rFonts w:eastAsia="MS Mincho"/>
          <w:sz w:val="22"/>
          <w:szCs w:val="22"/>
          <w:u w:val="single"/>
          <w:lang w:eastAsia="ja-JP" w:bidi="lo-LA"/>
        </w:rPr>
      </w:pPr>
    </w:p>
    <w:p w:rsidR="00255979" w:rsidRPr="006F5707" w:rsidRDefault="00255979" w:rsidP="003A6AEE">
      <w:pPr>
        <w:widowControl w:val="0"/>
        <w:tabs>
          <w:tab w:val="left" w:pos="0"/>
        </w:tabs>
        <w:autoSpaceDE w:val="0"/>
        <w:autoSpaceDN w:val="0"/>
        <w:adjustRightInd w:val="0"/>
        <w:spacing w:line="278" w:lineRule="atLeast"/>
        <w:jc w:val="both"/>
        <w:rPr>
          <w:rFonts w:eastAsia="MS Mincho"/>
          <w:sz w:val="22"/>
          <w:szCs w:val="23"/>
          <w:lang w:eastAsia="ja-JP" w:bidi="lo-LA"/>
        </w:rPr>
      </w:pPr>
      <w:r w:rsidRPr="006F5707">
        <w:rPr>
          <w:rFonts w:eastAsia="MS Mincho"/>
          <w:sz w:val="22"/>
          <w:szCs w:val="22"/>
          <w:u w:val="single"/>
          <w:lang w:eastAsia="ja-JP" w:bidi="lo-LA"/>
        </w:rPr>
        <w:t>Infuzija</w:t>
      </w:r>
      <w:r w:rsidRPr="006F5707">
        <w:rPr>
          <w:rFonts w:eastAsia="MS Mincho"/>
          <w:sz w:val="22"/>
          <w:szCs w:val="22"/>
          <w:u w:val="single"/>
          <w:lang w:eastAsia="ja-JP" w:bidi="lo-LA"/>
        </w:rPr>
        <w:br/>
      </w:r>
      <w:r w:rsidRPr="006F5707">
        <w:rPr>
          <w:rFonts w:eastAsia="MS Mincho"/>
          <w:sz w:val="22"/>
          <w:szCs w:val="22"/>
          <w:lang w:eastAsia="ja-JP" w:bidi="lo-LA"/>
        </w:rPr>
        <w:t xml:space="preserve">Prieš gydymą oksaliplatina paciento hidruoti nebūtina.  </w:t>
      </w:r>
    </w:p>
    <w:p w:rsidR="00255979" w:rsidRPr="006F5707" w:rsidRDefault="00255979" w:rsidP="003A6AEE">
      <w:pPr>
        <w:widowControl w:val="0"/>
        <w:tabs>
          <w:tab w:val="left" w:pos="0"/>
        </w:tabs>
        <w:autoSpaceDE w:val="0"/>
        <w:autoSpaceDN w:val="0"/>
        <w:adjustRightInd w:val="0"/>
        <w:spacing w:line="278" w:lineRule="atLeast"/>
        <w:jc w:val="both"/>
        <w:rPr>
          <w:rFonts w:eastAsia="MS Mincho"/>
          <w:sz w:val="22"/>
          <w:szCs w:val="23"/>
          <w:lang w:eastAsia="ja-JP" w:bidi="lo-LA"/>
        </w:rPr>
      </w:pPr>
      <w:r w:rsidRPr="006F5707">
        <w:rPr>
          <w:rFonts w:eastAsia="MS Mincho"/>
          <w:sz w:val="22"/>
          <w:szCs w:val="22"/>
          <w:lang w:eastAsia="ja-JP" w:bidi="lo-LA"/>
        </w:rPr>
        <w:t>Oksaliplatina, praskiesta 250</w:t>
      </w:r>
      <w:r>
        <w:rPr>
          <w:rFonts w:eastAsia="MS Mincho"/>
          <w:sz w:val="22"/>
          <w:szCs w:val="22"/>
          <w:lang w:eastAsia="ja-JP" w:bidi="lo-LA"/>
        </w:rPr>
        <w:t> ml</w:t>
      </w:r>
      <w:r w:rsidRPr="006F5707">
        <w:rPr>
          <w:rFonts w:eastAsia="MS Mincho"/>
          <w:sz w:val="22"/>
          <w:szCs w:val="22"/>
          <w:lang w:eastAsia="ja-JP" w:bidi="lo-LA"/>
        </w:rPr>
        <w:t>–500 ml 5 % (50 mg/ml)</w:t>
      </w:r>
      <w:r>
        <w:rPr>
          <w:rFonts w:eastAsia="MS Mincho"/>
          <w:sz w:val="22"/>
          <w:szCs w:val="22"/>
          <w:lang w:eastAsia="ja-JP" w:bidi="lo-LA"/>
        </w:rPr>
        <w:t xml:space="preserve"> </w:t>
      </w:r>
      <w:r w:rsidRPr="006F5707">
        <w:rPr>
          <w:rFonts w:eastAsia="MS Mincho"/>
          <w:sz w:val="22"/>
          <w:szCs w:val="22"/>
          <w:lang w:eastAsia="ja-JP" w:bidi="lo-LA"/>
        </w:rPr>
        <w:t>gliukozės tirpalu taip, kad koncentracija būtų ne mažesnė nei 0,2</w:t>
      </w:r>
      <w:r>
        <w:rPr>
          <w:rFonts w:eastAsia="MS Mincho"/>
          <w:sz w:val="22"/>
          <w:szCs w:val="22"/>
          <w:lang w:eastAsia="ja-JP" w:bidi="lo-LA"/>
        </w:rPr>
        <w:t>0</w:t>
      </w:r>
      <w:r w:rsidRPr="006F5707">
        <w:rPr>
          <w:rFonts w:eastAsia="MS Mincho"/>
          <w:sz w:val="22"/>
          <w:szCs w:val="22"/>
          <w:lang w:eastAsia="ja-JP" w:bidi="lo-LA"/>
        </w:rPr>
        <w:t xml:space="preserve"> mg/ml, turi būti sulašinta į periferinę arba į centrinę veną per 2–6 valandas. Kai oksaliplatina skiriama su 5-fluorouracilu (5</w:t>
      </w:r>
      <w:r>
        <w:rPr>
          <w:rFonts w:eastAsia="MS Mincho"/>
          <w:sz w:val="22"/>
          <w:szCs w:val="22"/>
          <w:lang w:eastAsia="ja-JP" w:bidi="lo-LA"/>
        </w:rPr>
        <w:t>-</w:t>
      </w:r>
      <w:r w:rsidRPr="006F5707">
        <w:rPr>
          <w:rFonts w:eastAsia="MS Mincho"/>
          <w:sz w:val="22"/>
          <w:szCs w:val="22"/>
          <w:lang w:eastAsia="ja-JP" w:bidi="lo-LA"/>
        </w:rPr>
        <w:t>FU), oksaliplatinos infuzija turi būti sulašinta prieš 5-fluorouracilą (5</w:t>
      </w:r>
      <w:r>
        <w:rPr>
          <w:rFonts w:eastAsia="MS Mincho"/>
          <w:sz w:val="22"/>
          <w:szCs w:val="22"/>
          <w:lang w:eastAsia="ja-JP" w:bidi="lo-LA"/>
        </w:rPr>
        <w:t>-</w:t>
      </w:r>
      <w:r w:rsidRPr="006F5707">
        <w:rPr>
          <w:rFonts w:eastAsia="MS Mincho"/>
          <w:sz w:val="22"/>
          <w:szCs w:val="22"/>
          <w:lang w:eastAsia="ja-JP" w:bidi="lo-LA"/>
        </w:rPr>
        <w:t xml:space="preserve">FU). </w:t>
      </w:r>
    </w:p>
    <w:p w:rsidR="00255979" w:rsidRDefault="00255979" w:rsidP="003A6AEE">
      <w:pPr>
        <w:widowControl w:val="0"/>
        <w:tabs>
          <w:tab w:val="left" w:pos="0"/>
        </w:tabs>
        <w:autoSpaceDE w:val="0"/>
        <w:autoSpaceDN w:val="0"/>
        <w:adjustRightInd w:val="0"/>
        <w:spacing w:line="278" w:lineRule="atLeast"/>
        <w:rPr>
          <w:rFonts w:eastAsia="MS Mincho"/>
          <w:sz w:val="22"/>
          <w:szCs w:val="22"/>
          <w:u w:val="single"/>
          <w:lang w:eastAsia="ja-JP" w:bidi="lo-LA"/>
        </w:rPr>
      </w:pPr>
    </w:p>
    <w:p w:rsidR="00255979" w:rsidRDefault="00255979" w:rsidP="003A6AEE">
      <w:pPr>
        <w:widowControl w:val="0"/>
        <w:tabs>
          <w:tab w:val="left" w:pos="0"/>
        </w:tabs>
        <w:autoSpaceDE w:val="0"/>
        <w:autoSpaceDN w:val="0"/>
        <w:adjustRightInd w:val="0"/>
        <w:spacing w:line="278" w:lineRule="atLeast"/>
        <w:rPr>
          <w:rFonts w:eastAsia="MS Mincho"/>
          <w:sz w:val="22"/>
          <w:szCs w:val="22"/>
          <w:lang w:eastAsia="ja-JP" w:bidi="lo-LA"/>
        </w:rPr>
      </w:pPr>
      <w:r>
        <w:rPr>
          <w:rFonts w:eastAsia="MS Mincho"/>
          <w:sz w:val="22"/>
          <w:szCs w:val="22"/>
          <w:u w:val="single"/>
          <w:lang w:eastAsia="ja-JP" w:bidi="lo-LA"/>
        </w:rPr>
        <w:t>Atliekų tvarkymas</w:t>
      </w:r>
      <w:r w:rsidRPr="006F5707">
        <w:rPr>
          <w:rFonts w:eastAsia="MS Mincho"/>
          <w:sz w:val="22"/>
          <w:szCs w:val="22"/>
          <w:u w:val="single"/>
          <w:lang w:eastAsia="ja-JP" w:bidi="lo-LA"/>
        </w:rPr>
        <w:br/>
      </w:r>
      <w:r w:rsidRPr="006F5707">
        <w:rPr>
          <w:rFonts w:eastAsia="MS Mincho"/>
          <w:sz w:val="22"/>
          <w:szCs w:val="22"/>
          <w:lang w:eastAsia="ja-JP" w:bidi="lo-LA"/>
        </w:rPr>
        <w:t xml:space="preserve">Vaistinio preparato likučiai, taip pat ir visos kitos tirpalo skiedimui ir infuzijai naudotos priemonės, turi būti sunaikintos pagal standartines ligoninės procedūras, taikomas citotoksinėms medžiagoms ir atsižvelgiant į galiojančius įstatymus, reglamentuojančius pavojingų atliekų </w:t>
      </w:r>
      <w:r>
        <w:rPr>
          <w:rFonts w:eastAsia="MS Mincho"/>
          <w:sz w:val="22"/>
          <w:szCs w:val="22"/>
          <w:lang w:eastAsia="ja-JP" w:bidi="lo-LA"/>
        </w:rPr>
        <w:t>tvarkymą.</w:t>
      </w:r>
    </w:p>
    <w:p w:rsidR="00255979" w:rsidRDefault="00255979" w:rsidP="003A6AEE">
      <w:pPr>
        <w:widowControl w:val="0"/>
        <w:tabs>
          <w:tab w:val="left" w:pos="0"/>
        </w:tabs>
        <w:autoSpaceDE w:val="0"/>
        <w:autoSpaceDN w:val="0"/>
        <w:adjustRightInd w:val="0"/>
        <w:spacing w:line="278" w:lineRule="atLeast"/>
        <w:rPr>
          <w:rFonts w:eastAsia="MS Mincho"/>
          <w:sz w:val="22"/>
          <w:szCs w:val="22"/>
          <w:lang w:eastAsia="ja-JP" w:bidi="lo-LA"/>
        </w:rPr>
      </w:pPr>
    </w:p>
    <w:p w:rsidR="00255979" w:rsidRPr="006F5707" w:rsidRDefault="00255979" w:rsidP="003A6AEE">
      <w:pPr>
        <w:widowControl w:val="0"/>
        <w:tabs>
          <w:tab w:val="left" w:pos="0"/>
        </w:tabs>
        <w:autoSpaceDE w:val="0"/>
        <w:autoSpaceDN w:val="0"/>
        <w:adjustRightInd w:val="0"/>
        <w:spacing w:line="278" w:lineRule="atLeast"/>
        <w:rPr>
          <w:rFonts w:eastAsia="MS Mincho"/>
          <w:sz w:val="22"/>
          <w:szCs w:val="23"/>
          <w:lang w:eastAsia="ja-JP" w:bidi="lo-LA"/>
        </w:rPr>
      </w:pPr>
    </w:p>
    <w:p w:rsidR="00255979" w:rsidRPr="0084041E" w:rsidRDefault="00255979" w:rsidP="00886621">
      <w:pPr>
        <w:pStyle w:val="PI-1EMEASMCA"/>
      </w:pPr>
      <w:bookmarkStart w:id="52" w:name="_Toc129243122"/>
      <w:bookmarkStart w:id="53" w:name="_Toc129243247"/>
      <w:r w:rsidRPr="0084041E">
        <w:t>7.</w:t>
      </w:r>
      <w:r w:rsidRPr="0084041E">
        <w:tab/>
        <w:t>RINKODAROS TEISĖS TURĖTOJAS</w:t>
      </w:r>
      <w:bookmarkEnd w:id="52"/>
      <w:bookmarkEnd w:id="53"/>
    </w:p>
    <w:p w:rsidR="00255979" w:rsidRPr="0084041E" w:rsidRDefault="00255979" w:rsidP="00886621">
      <w:pPr>
        <w:pStyle w:val="BTEMEASMCA"/>
        <w:rPr>
          <w:noProof w:val="0"/>
        </w:rPr>
      </w:pPr>
    </w:p>
    <w:p w:rsidR="00F13CF6" w:rsidRPr="00F13CF6" w:rsidRDefault="00F13CF6" w:rsidP="00F13CF6">
      <w:pPr>
        <w:rPr>
          <w:sz w:val="22"/>
          <w:szCs w:val="22"/>
        </w:rPr>
      </w:pPr>
      <w:r w:rsidRPr="00F13CF6">
        <w:rPr>
          <w:sz w:val="22"/>
          <w:szCs w:val="22"/>
        </w:rPr>
        <w:t>MYLAN S.A.S.</w:t>
      </w:r>
    </w:p>
    <w:p w:rsidR="00F13CF6" w:rsidRDefault="00F13CF6" w:rsidP="00F13CF6">
      <w:pPr>
        <w:rPr>
          <w:sz w:val="22"/>
          <w:szCs w:val="22"/>
        </w:rPr>
      </w:pPr>
      <w:r w:rsidRPr="00F13CF6">
        <w:rPr>
          <w:sz w:val="22"/>
          <w:szCs w:val="22"/>
        </w:rPr>
        <w:t xml:space="preserve">117 </w:t>
      </w:r>
      <w:proofErr w:type="spellStart"/>
      <w:r w:rsidRPr="00F13CF6">
        <w:rPr>
          <w:sz w:val="22"/>
          <w:szCs w:val="22"/>
        </w:rPr>
        <w:t>Allée</w:t>
      </w:r>
      <w:proofErr w:type="spellEnd"/>
      <w:r w:rsidRPr="00F13CF6">
        <w:rPr>
          <w:sz w:val="22"/>
          <w:szCs w:val="22"/>
        </w:rPr>
        <w:t xml:space="preserve"> </w:t>
      </w:r>
      <w:proofErr w:type="spellStart"/>
      <w:r w:rsidRPr="00F13CF6">
        <w:rPr>
          <w:sz w:val="22"/>
          <w:szCs w:val="22"/>
        </w:rPr>
        <w:t>des</w:t>
      </w:r>
      <w:proofErr w:type="spellEnd"/>
      <w:r w:rsidRPr="00F13CF6">
        <w:rPr>
          <w:sz w:val="22"/>
          <w:szCs w:val="22"/>
        </w:rPr>
        <w:t xml:space="preserve"> </w:t>
      </w:r>
      <w:proofErr w:type="spellStart"/>
      <w:r w:rsidRPr="00F13CF6">
        <w:rPr>
          <w:sz w:val="22"/>
          <w:szCs w:val="22"/>
        </w:rPr>
        <w:t>Parcs</w:t>
      </w:r>
      <w:proofErr w:type="spellEnd"/>
      <w:r w:rsidRPr="00F13CF6">
        <w:rPr>
          <w:sz w:val="22"/>
          <w:szCs w:val="22"/>
        </w:rPr>
        <w:t xml:space="preserve"> </w:t>
      </w:r>
    </w:p>
    <w:p w:rsidR="00F13CF6" w:rsidRDefault="00F13CF6" w:rsidP="00F13CF6">
      <w:pPr>
        <w:rPr>
          <w:sz w:val="22"/>
          <w:szCs w:val="22"/>
        </w:rPr>
      </w:pPr>
      <w:r w:rsidRPr="00F13CF6">
        <w:rPr>
          <w:sz w:val="22"/>
          <w:szCs w:val="22"/>
        </w:rPr>
        <w:t xml:space="preserve">69800 SAINT-PRIEST </w:t>
      </w:r>
    </w:p>
    <w:p w:rsidR="00F13CF6" w:rsidRPr="00F13CF6" w:rsidRDefault="00F13CF6" w:rsidP="00F13CF6">
      <w:pPr>
        <w:rPr>
          <w:sz w:val="22"/>
          <w:szCs w:val="22"/>
        </w:rPr>
      </w:pPr>
      <w:r w:rsidRPr="00F13CF6">
        <w:rPr>
          <w:sz w:val="22"/>
          <w:szCs w:val="22"/>
        </w:rPr>
        <w:t>Prancūzija</w:t>
      </w:r>
    </w:p>
    <w:p w:rsidR="00255979" w:rsidRPr="004873B0" w:rsidRDefault="00255979" w:rsidP="003A6AEE">
      <w:pPr>
        <w:rPr>
          <w:sz w:val="22"/>
          <w:szCs w:val="22"/>
        </w:rPr>
      </w:pPr>
    </w:p>
    <w:p w:rsidR="00255979" w:rsidRPr="004873B0" w:rsidRDefault="00255979" w:rsidP="003A6AEE">
      <w:pPr>
        <w:rPr>
          <w:sz w:val="22"/>
          <w:szCs w:val="22"/>
        </w:rPr>
      </w:pPr>
    </w:p>
    <w:p w:rsidR="00255979" w:rsidRPr="0084041E" w:rsidRDefault="00255979" w:rsidP="00886621">
      <w:pPr>
        <w:pStyle w:val="PI-1EMEASMCA"/>
      </w:pPr>
      <w:bookmarkStart w:id="54" w:name="_Toc129243123"/>
      <w:bookmarkStart w:id="55" w:name="_Toc129243248"/>
      <w:r w:rsidRPr="0084041E">
        <w:t>8.</w:t>
      </w:r>
      <w:r w:rsidRPr="0084041E">
        <w:tab/>
        <w:t xml:space="preserve">RINKODAROS </w:t>
      </w:r>
      <w:r>
        <w:t>PAŽYMĖJIMO</w:t>
      </w:r>
      <w:r w:rsidRPr="0084041E">
        <w:t xml:space="preserve"> NUMERIS</w:t>
      </w:r>
      <w:bookmarkEnd w:id="54"/>
      <w:bookmarkEnd w:id="55"/>
      <w:r w:rsidRPr="0084041E">
        <w:t xml:space="preserve"> </w:t>
      </w:r>
      <w:r>
        <w:t>(-IAI)</w:t>
      </w:r>
    </w:p>
    <w:p w:rsidR="00255979" w:rsidRDefault="00255979" w:rsidP="00886621">
      <w:pPr>
        <w:pStyle w:val="BTEMEASMCA"/>
        <w:rPr>
          <w:noProof w:val="0"/>
        </w:rPr>
      </w:pPr>
    </w:p>
    <w:p w:rsidR="00255979" w:rsidRDefault="00255979" w:rsidP="00886621">
      <w:pPr>
        <w:pStyle w:val="BTEMEASMCA"/>
        <w:rPr>
          <w:noProof w:val="0"/>
        </w:rPr>
      </w:pPr>
      <w:r>
        <w:rPr>
          <w:noProof w:val="0"/>
        </w:rPr>
        <w:t>50 mg – LT/1/13/3200/004</w:t>
      </w:r>
    </w:p>
    <w:p w:rsidR="00255979" w:rsidRDefault="00255979" w:rsidP="004873B0">
      <w:pPr>
        <w:pStyle w:val="BTEMEASMCA"/>
        <w:rPr>
          <w:noProof w:val="0"/>
        </w:rPr>
      </w:pPr>
      <w:r>
        <w:rPr>
          <w:noProof w:val="0"/>
        </w:rPr>
        <w:t>100 mg – LT/1/13/3200/005</w:t>
      </w:r>
    </w:p>
    <w:p w:rsidR="00255979" w:rsidRPr="0084041E" w:rsidRDefault="00255979" w:rsidP="00886621">
      <w:pPr>
        <w:pStyle w:val="BTEMEASMCA"/>
        <w:rPr>
          <w:noProof w:val="0"/>
        </w:rPr>
      </w:pPr>
    </w:p>
    <w:p w:rsidR="00255979" w:rsidRPr="0084041E" w:rsidRDefault="00255979" w:rsidP="00886621">
      <w:pPr>
        <w:pStyle w:val="BTEMEASMCA"/>
        <w:rPr>
          <w:noProof w:val="0"/>
        </w:rPr>
      </w:pPr>
    </w:p>
    <w:p w:rsidR="00255979" w:rsidRPr="0084041E" w:rsidRDefault="00255979" w:rsidP="00886621">
      <w:pPr>
        <w:pStyle w:val="PI-1EMEASMCA"/>
      </w:pPr>
      <w:bookmarkStart w:id="56" w:name="_Toc129243124"/>
      <w:bookmarkStart w:id="57" w:name="_Toc129243249"/>
      <w:r w:rsidRPr="0084041E">
        <w:t>9.</w:t>
      </w:r>
      <w:r w:rsidRPr="0084041E">
        <w:tab/>
        <w:t>RINKODAROS TEISĖS SUTEIKIMO / ATNAUJINIMO DATA</w:t>
      </w:r>
      <w:bookmarkEnd w:id="56"/>
      <w:bookmarkEnd w:id="57"/>
    </w:p>
    <w:p w:rsidR="00255979" w:rsidRDefault="00255979" w:rsidP="00886621">
      <w:pPr>
        <w:pStyle w:val="BTEMEASMCA"/>
        <w:rPr>
          <w:noProof w:val="0"/>
        </w:rPr>
      </w:pPr>
    </w:p>
    <w:p w:rsidR="00255979" w:rsidRDefault="00255979" w:rsidP="00886621">
      <w:pPr>
        <w:pStyle w:val="BTEMEASMCA"/>
        <w:rPr>
          <w:noProof w:val="0"/>
        </w:rPr>
      </w:pPr>
      <w:r>
        <w:rPr>
          <w:noProof w:val="0"/>
        </w:rPr>
        <w:t>2013-02-08</w:t>
      </w:r>
    </w:p>
    <w:p w:rsidR="00255979" w:rsidRPr="0084041E" w:rsidRDefault="00255979" w:rsidP="00886621">
      <w:pPr>
        <w:pStyle w:val="BTEMEASMCA"/>
        <w:rPr>
          <w:noProof w:val="0"/>
        </w:rPr>
      </w:pPr>
    </w:p>
    <w:p w:rsidR="00255979" w:rsidRPr="0084041E" w:rsidRDefault="00255979" w:rsidP="00886621">
      <w:pPr>
        <w:pStyle w:val="BTEMEASMCA"/>
        <w:rPr>
          <w:noProof w:val="0"/>
        </w:rPr>
      </w:pPr>
    </w:p>
    <w:p w:rsidR="00255979" w:rsidRPr="0084041E" w:rsidRDefault="00255979" w:rsidP="00886621">
      <w:pPr>
        <w:pStyle w:val="PI-1EMEASMCA"/>
      </w:pPr>
      <w:bookmarkStart w:id="58" w:name="_Toc129243125"/>
      <w:bookmarkStart w:id="59" w:name="_Toc129243250"/>
      <w:r w:rsidRPr="0084041E">
        <w:t>10.</w:t>
      </w:r>
      <w:r w:rsidRPr="0084041E">
        <w:tab/>
        <w:t>TEKSTO PERŽIŪROS DATA</w:t>
      </w:r>
      <w:bookmarkEnd w:id="58"/>
      <w:bookmarkEnd w:id="59"/>
    </w:p>
    <w:p w:rsidR="00255979" w:rsidRDefault="00255979" w:rsidP="00886621">
      <w:pPr>
        <w:pStyle w:val="BTEMEASMCA"/>
        <w:rPr>
          <w:noProof w:val="0"/>
        </w:rPr>
      </w:pPr>
    </w:p>
    <w:p w:rsidR="00255979" w:rsidRDefault="00F13CF6" w:rsidP="00886621">
      <w:pPr>
        <w:pStyle w:val="BTEMEASMCA"/>
        <w:rPr>
          <w:noProof w:val="0"/>
        </w:rPr>
      </w:pPr>
      <w:r>
        <w:rPr>
          <w:noProof w:val="0"/>
        </w:rPr>
        <w:t>2015-07-23</w:t>
      </w:r>
    </w:p>
    <w:p w:rsidR="00255979" w:rsidRPr="0084041E" w:rsidRDefault="00255979" w:rsidP="00886621">
      <w:pPr>
        <w:pStyle w:val="BTEMEASMCA"/>
        <w:rPr>
          <w:noProof w:val="0"/>
        </w:rPr>
      </w:pPr>
    </w:p>
    <w:p w:rsidR="00255979" w:rsidRDefault="00255979" w:rsidP="00886621">
      <w:pPr>
        <w:pStyle w:val="BTEMEASMCA"/>
        <w:rPr>
          <w:noProof w:val="0"/>
        </w:rPr>
      </w:pPr>
    </w:p>
    <w:p w:rsidR="00255979" w:rsidRDefault="00255979" w:rsidP="00886621">
      <w:pPr>
        <w:pStyle w:val="BTEMEASMCA"/>
        <w:rPr>
          <w:noProof w:val="0"/>
        </w:rPr>
      </w:pPr>
      <w:r>
        <w:rPr>
          <w:noProof w:val="0"/>
        </w:rPr>
        <w:t xml:space="preserve">Naujausia vaistinio preparato charakteristikų santraukos redakcija </w:t>
      </w:r>
      <w:r w:rsidRPr="0084041E">
        <w:rPr>
          <w:noProof w:val="0"/>
        </w:rPr>
        <w:t xml:space="preserve">pateikiama </w:t>
      </w:r>
      <w:r>
        <w:rPr>
          <w:noProof w:val="0"/>
        </w:rPr>
        <w:t>Valstybinės vaistų kontrolės tarnybos prie Lietuvos Respublikos sveikatos apsaugos ministerijos</w:t>
      </w:r>
      <w:r w:rsidRPr="0084041E">
        <w:rPr>
          <w:noProof w:val="0"/>
        </w:rPr>
        <w:t xml:space="preserve"> </w:t>
      </w:r>
      <w:r>
        <w:rPr>
          <w:noProof w:val="0"/>
        </w:rPr>
        <w:t xml:space="preserve">interneto svetainėje </w:t>
      </w:r>
      <w:hyperlink r:id="rId8" w:history="1">
        <w:r w:rsidRPr="007B498C">
          <w:rPr>
            <w:rStyle w:val="Hipersaitas"/>
          </w:rPr>
          <w:t>http://www.vvkt.lt/</w:t>
        </w:r>
      </w:hyperlink>
      <w:r w:rsidRPr="00DF4173">
        <w:rPr>
          <w:noProof w:val="0"/>
        </w:rPr>
        <w:br w:type="page"/>
      </w: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Default="00255979" w:rsidP="00633D05">
      <w:pPr>
        <w:pStyle w:val="TTEMEASMCA"/>
        <w:rPr>
          <w:lang w:val="lt-LT"/>
        </w:rPr>
      </w:pPr>
      <w:bookmarkStart w:id="60" w:name="_Toc129243128"/>
      <w:bookmarkStart w:id="61" w:name="_Toc129243253"/>
      <w:r w:rsidRPr="00CE7AF1">
        <w:rPr>
          <w:lang w:val="lt-LT"/>
        </w:rPr>
        <w:t>II PRIEDAS</w:t>
      </w:r>
      <w:bookmarkEnd w:id="60"/>
      <w:bookmarkEnd w:id="61"/>
    </w:p>
    <w:p w:rsidR="00255979" w:rsidRDefault="00255979" w:rsidP="00633D05">
      <w:pPr>
        <w:pStyle w:val="TTEMEASMCA"/>
        <w:rPr>
          <w:lang w:val="lt-LT"/>
        </w:rPr>
      </w:pPr>
    </w:p>
    <w:p w:rsidR="00255979" w:rsidRPr="00555E9B" w:rsidRDefault="00255979" w:rsidP="006F5707">
      <w:pPr>
        <w:ind w:left="1701" w:right="1416" w:hanging="708"/>
        <w:rPr>
          <w:b/>
          <w:sz w:val="22"/>
          <w:szCs w:val="22"/>
        </w:rPr>
      </w:pPr>
      <w:r w:rsidRPr="00555E9B">
        <w:rPr>
          <w:b/>
          <w:sz w:val="22"/>
          <w:szCs w:val="22"/>
        </w:rPr>
        <w:t>A.</w:t>
      </w:r>
      <w:r w:rsidRPr="00555E9B">
        <w:rPr>
          <w:b/>
          <w:sz w:val="22"/>
          <w:szCs w:val="22"/>
        </w:rPr>
        <w:tab/>
        <w:t>GAMINTOJAS (-AI), ATSAKINGAS (-I) UŽ SERIJŲ IŠLEIDIMĄ</w:t>
      </w:r>
    </w:p>
    <w:p w:rsidR="00255979" w:rsidRPr="00555E9B" w:rsidRDefault="00255979" w:rsidP="006F5707">
      <w:pPr>
        <w:spacing w:line="260" w:lineRule="exact"/>
        <w:rPr>
          <w:sz w:val="22"/>
          <w:szCs w:val="22"/>
        </w:rPr>
      </w:pPr>
    </w:p>
    <w:p w:rsidR="00255979" w:rsidRPr="00555E9B" w:rsidRDefault="00255979" w:rsidP="006F5707">
      <w:pPr>
        <w:suppressLineNumbers/>
        <w:ind w:left="1701" w:right="1416" w:hanging="708"/>
        <w:rPr>
          <w:sz w:val="22"/>
          <w:szCs w:val="22"/>
        </w:rPr>
      </w:pPr>
      <w:r w:rsidRPr="00555E9B">
        <w:rPr>
          <w:b/>
          <w:sz w:val="22"/>
          <w:szCs w:val="22"/>
        </w:rPr>
        <w:t>B.</w:t>
      </w:r>
      <w:r w:rsidRPr="00555E9B">
        <w:rPr>
          <w:b/>
          <w:sz w:val="22"/>
          <w:szCs w:val="22"/>
        </w:rPr>
        <w:tab/>
        <w:t>TIEKIMO IR VARTOJIMO SĄLYGOS AR APRIBOJIMAI</w:t>
      </w:r>
    </w:p>
    <w:p w:rsidR="00255979" w:rsidRPr="00555E9B" w:rsidRDefault="00255979" w:rsidP="006F5707">
      <w:pPr>
        <w:spacing w:line="260" w:lineRule="exact"/>
        <w:rPr>
          <w:sz w:val="22"/>
          <w:szCs w:val="22"/>
        </w:rPr>
      </w:pPr>
    </w:p>
    <w:p w:rsidR="00255979" w:rsidRPr="00F9729F" w:rsidRDefault="00255979" w:rsidP="003A6AEE">
      <w:pPr>
        <w:tabs>
          <w:tab w:val="left" w:pos="567"/>
        </w:tabs>
        <w:spacing w:line="260" w:lineRule="exact"/>
        <w:rPr>
          <w:b/>
          <w:sz w:val="22"/>
          <w:szCs w:val="22"/>
        </w:rPr>
      </w:pPr>
      <w:r w:rsidRPr="00DF4173">
        <w:br w:type="page"/>
      </w:r>
      <w:r w:rsidRPr="00F9729F">
        <w:rPr>
          <w:b/>
          <w:sz w:val="22"/>
          <w:szCs w:val="22"/>
        </w:rPr>
        <w:lastRenderedPageBreak/>
        <w:t>A.</w:t>
      </w:r>
      <w:r w:rsidRPr="00F9729F">
        <w:rPr>
          <w:b/>
          <w:sz w:val="22"/>
          <w:szCs w:val="22"/>
        </w:rPr>
        <w:tab/>
        <w:t>GAMINTOJAS (-AI), ATSAKINGAS (-I) UŽ SERIJŲ IŠLEIDIMĄ</w:t>
      </w:r>
    </w:p>
    <w:p w:rsidR="00255979" w:rsidRPr="00F9729F" w:rsidRDefault="00255979" w:rsidP="00F9729F">
      <w:pPr>
        <w:spacing w:line="260" w:lineRule="exact"/>
        <w:rPr>
          <w:sz w:val="22"/>
          <w:szCs w:val="22"/>
        </w:rPr>
      </w:pPr>
    </w:p>
    <w:p w:rsidR="00255979" w:rsidRPr="00F9729F" w:rsidRDefault="00255979" w:rsidP="00F9729F">
      <w:pPr>
        <w:jc w:val="both"/>
        <w:rPr>
          <w:sz w:val="22"/>
          <w:szCs w:val="22"/>
        </w:rPr>
      </w:pPr>
      <w:r w:rsidRPr="00F9729F">
        <w:rPr>
          <w:sz w:val="22"/>
          <w:szCs w:val="22"/>
          <w:u w:val="single"/>
        </w:rPr>
        <w:t>Gamintojo (-ų), atsakingo (-ų) už serijų išleidimą, pavadinimas (-ai) ir adresas (-ai)</w:t>
      </w:r>
    </w:p>
    <w:p w:rsidR="00255979" w:rsidRPr="00F9729F" w:rsidRDefault="00255979" w:rsidP="00F9729F">
      <w:pPr>
        <w:spacing w:line="260" w:lineRule="exact"/>
        <w:rPr>
          <w:sz w:val="22"/>
          <w:szCs w:val="22"/>
        </w:rPr>
      </w:pPr>
    </w:p>
    <w:p w:rsidR="0025215C" w:rsidRPr="00BD35C3" w:rsidRDefault="0025215C" w:rsidP="0025215C">
      <w:pPr>
        <w:tabs>
          <w:tab w:val="left" w:pos="0"/>
        </w:tabs>
        <w:jc w:val="both"/>
        <w:rPr>
          <w:sz w:val="22"/>
          <w:szCs w:val="22"/>
        </w:rPr>
      </w:pPr>
      <w:r w:rsidRPr="00BD35C3">
        <w:rPr>
          <w:sz w:val="22"/>
          <w:szCs w:val="22"/>
        </w:rPr>
        <w:t>Agila Specialties Polska Sp. z o.o.</w:t>
      </w:r>
    </w:p>
    <w:p w:rsidR="00255979" w:rsidRPr="006F5707" w:rsidRDefault="00255979" w:rsidP="006F5707">
      <w:pPr>
        <w:autoSpaceDE w:val="0"/>
        <w:autoSpaceDN w:val="0"/>
        <w:adjustRightInd w:val="0"/>
        <w:rPr>
          <w:sz w:val="22"/>
          <w:szCs w:val="22"/>
        </w:rPr>
      </w:pPr>
      <w:r w:rsidRPr="006F5707">
        <w:rPr>
          <w:sz w:val="22"/>
          <w:szCs w:val="22"/>
        </w:rPr>
        <w:t>10, Daniszewska Str</w:t>
      </w:r>
    </w:p>
    <w:p w:rsidR="00255979" w:rsidRPr="006F5707" w:rsidRDefault="00255979" w:rsidP="006F5707">
      <w:pPr>
        <w:autoSpaceDE w:val="0"/>
        <w:autoSpaceDN w:val="0"/>
        <w:adjustRightInd w:val="0"/>
        <w:rPr>
          <w:sz w:val="22"/>
          <w:szCs w:val="22"/>
        </w:rPr>
      </w:pPr>
      <w:r w:rsidRPr="006F5707">
        <w:rPr>
          <w:sz w:val="22"/>
          <w:szCs w:val="22"/>
        </w:rPr>
        <w:t>03-230 Warsaw</w:t>
      </w:r>
    </w:p>
    <w:p w:rsidR="00255979" w:rsidRPr="006F5707" w:rsidRDefault="00255979" w:rsidP="006F5707">
      <w:pPr>
        <w:autoSpaceDE w:val="0"/>
        <w:autoSpaceDN w:val="0"/>
        <w:adjustRightInd w:val="0"/>
        <w:rPr>
          <w:sz w:val="22"/>
          <w:szCs w:val="22"/>
        </w:rPr>
      </w:pPr>
      <w:r w:rsidRPr="006F5707">
        <w:rPr>
          <w:sz w:val="22"/>
          <w:szCs w:val="22"/>
        </w:rPr>
        <w:t>Lenkija</w:t>
      </w:r>
    </w:p>
    <w:p w:rsidR="00255979" w:rsidRPr="00DF4173" w:rsidRDefault="00255979" w:rsidP="00633D05">
      <w:pPr>
        <w:pStyle w:val="BTEMEASMCA"/>
        <w:rPr>
          <w:noProof w:val="0"/>
          <w:highlight w:val="yellow"/>
        </w:rPr>
      </w:pPr>
    </w:p>
    <w:p w:rsidR="00255979" w:rsidRPr="00DF4173" w:rsidRDefault="00255979" w:rsidP="00633D05">
      <w:pPr>
        <w:pStyle w:val="BTEMEASMCA"/>
        <w:rPr>
          <w:noProof w:val="0"/>
          <w:highlight w:val="yellow"/>
        </w:rPr>
      </w:pPr>
    </w:p>
    <w:p w:rsidR="00255979" w:rsidRPr="00555E9B" w:rsidRDefault="00255979" w:rsidP="006F5707">
      <w:pPr>
        <w:suppressLineNumbers/>
        <w:ind w:left="567" w:hanging="567"/>
        <w:rPr>
          <w:sz w:val="22"/>
          <w:szCs w:val="22"/>
        </w:rPr>
      </w:pPr>
      <w:r w:rsidRPr="00555E9B">
        <w:rPr>
          <w:b/>
          <w:sz w:val="22"/>
          <w:szCs w:val="22"/>
        </w:rPr>
        <w:t>B.</w:t>
      </w:r>
      <w:r w:rsidRPr="00555E9B">
        <w:rPr>
          <w:b/>
          <w:sz w:val="22"/>
          <w:szCs w:val="22"/>
        </w:rPr>
        <w:tab/>
        <w:t>TIEKIMO IR VARTOJIMO SĄLYGOS AR APRIBOJIMAI</w:t>
      </w:r>
    </w:p>
    <w:p w:rsidR="00255979" w:rsidRPr="00555E9B" w:rsidRDefault="00255979" w:rsidP="006F5707">
      <w:pPr>
        <w:spacing w:line="260" w:lineRule="exact"/>
        <w:rPr>
          <w:sz w:val="22"/>
          <w:szCs w:val="22"/>
        </w:rPr>
      </w:pPr>
    </w:p>
    <w:p w:rsidR="00255979" w:rsidRPr="00555E9B" w:rsidRDefault="00255979" w:rsidP="006F5707">
      <w:pPr>
        <w:spacing w:line="260" w:lineRule="exact"/>
        <w:rPr>
          <w:sz w:val="22"/>
          <w:szCs w:val="22"/>
        </w:rPr>
      </w:pPr>
      <w:r w:rsidRPr="00555E9B">
        <w:rPr>
          <w:sz w:val="22"/>
          <w:szCs w:val="22"/>
        </w:rPr>
        <w:t>Receptinis vaistinis preparatas.</w:t>
      </w:r>
    </w:p>
    <w:p w:rsidR="00255979" w:rsidRPr="00555E9B" w:rsidRDefault="00255979" w:rsidP="006F5707">
      <w:pPr>
        <w:rPr>
          <w:sz w:val="22"/>
          <w:szCs w:val="22"/>
        </w:rPr>
      </w:pPr>
    </w:p>
    <w:p w:rsidR="00255979" w:rsidRPr="00555E9B" w:rsidRDefault="00255979" w:rsidP="006F5707">
      <w:pPr>
        <w:suppressLineNumbers/>
        <w:ind w:left="567" w:hanging="567"/>
        <w:rPr>
          <w:b/>
          <w:sz w:val="22"/>
          <w:szCs w:val="22"/>
        </w:rPr>
      </w:pPr>
    </w:p>
    <w:p w:rsidR="00255979" w:rsidRPr="00555E9B" w:rsidRDefault="00255979" w:rsidP="006F5707">
      <w:pPr>
        <w:suppressLineNumbers/>
        <w:ind w:right="-1"/>
        <w:rPr>
          <w:b/>
          <w:sz w:val="22"/>
          <w:szCs w:val="22"/>
        </w:rPr>
      </w:pPr>
    </w:p>
    <w:p w:rsidR="00255979" w:rsidRPr="00DF4173" w:rsidRDefault="00255979" w:rsidP="00633D05">
      <w:pPr>
        <w:pStyle w:val="BTEMEASMCA"/>
        <w:rPr>
          <w:noProof w:val="0"/>
        </w:rPr>
      </w:pPr>
      <w:r w:rsidRPr="00DF4173">
        <w:rPr>
          <w:noProof w:val="0"/>
        </w:rPr>
        <w:br w:type="page"/>
      </w: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Default="00255979" w:rsidP="00633D05">
      <w:pPr>
        <w:pStyle w:val="TTEMEASMCA"/>
        <w:rPr>
          <w:lang w:val="lt-LT"/>
        </w:rPr>
      </w:pPr>
      <w:bookmarkStart w:id="62" w:name="_Toc129243134"/>
      <w:bookmarkStart w:id="63" w:name="_Toc129243259"/>
    </w:p>
    <w:p w:rsidR="00255979" w:rsidRPr="00DF4173" w:rsidRDefault="00255979" w:rsidP="00633D05">
      <w:pPr>
        <w:pStyle w:val="TTEMEASMCA"/>
        <w:rPr>
          <w:lang w:val="lt-LT"/>
        </w:rPr>
      </w:pPr>
      <w:r w:rsidRPr="00DF4173">
        <w:rPr>
          <w:lang w:val="lt-LT"/>
        </w:rPr>
        <w:t>III PRIEDAS</w:t>
      </w:r>
      <w:bookmarkEnd w:id="62"/>
      <w:bookmarkEnd w:id="63"/>
    </w:p>
    <w:p w:rsidR="00255979" w:rsidRPr="00DF4173" w:rsidRDefault="00255979" w:rsidP="00633D05">
      <w:pPr>
        <w:pStyle w:val="BTEMEASMCA"/>
        <w:rPr>
          <w:noProof w:val="0"/>
        </w:rPr>
      </w:pPr>
    </w:p>
    <w:p w:rsidR="00255979" w:rsidRPr="00DF4173" w:rsidRDefault="00255979" w:rsidP="00633D05">
      <w:pPr>
        <w:pStyle w:val="TTEMEASMCA"/>
        <w:rPr>
          <w:lang w:val="lt-LT"/>
        </w:rPr>
      </w:pPr>
      <w:bookmarkStart w:id="64" w:name="_Toc129243135"/>
      <w:bookmarkStart w:id="65" w:name="_Toc129243260"/>
      <w:r w:rsidRPr="00DF4173">
        <w:rPr>
          <w:lang w:val="lt-LT"/>
        </w:rPr>
        <w:t>ŽENKLINIMAS IR PAKUOTĖS LAPELIS</w:t>
      </w:r>
      <w:bookmarkEnd w:id="64"/>
      <w:bookmarkEnd w:id="65"/>
    </w:p>
    <w:p w:rsidR="00255979" w:rsidRPr="00DF4173" w:rsidRDefault="00255979" w:rsidP="00633D05">
      <w:pPr>
        <w:pStyle w:val="BTEMEASMCA"/>
        <w:rPr>
          <w:noProof w:val="0"/>
        </w:rPr>
      </w:pPr>
      <w:r w:rsidRPr="00DF4173">
        <w:rPr>
          <w:noProof w:val="0"/>
        </w:rPr>
        <w:br w:type="page"/>
      </w: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TTEMEASMCA"/>
        <w:rPr>
          <w:lang w:val="lt-LT"/>
        </w:rPr>
      </w:pPr>
      <w:bookmarkStart w:id="66" w:name="_Toc129243136"/>
      <w:bookmarkStart w:id="67" w:name="_Toc129243261"/>
      <w:r w:rsidRPr="00DF4173">
        <w:rPr>
          <w:lang w:val="lt-LT"/>
        </w:rPr>
        <w:t>A. ŽENKLINIMAS</w:t>
      </w:r>
      <w:bookmarkEnd w:id="66"/>
      <w:bookmarkEnd w:id="67"/>
    </w:p>
    <w:p w:rsidR="00255979" w:rsidRPr="008B4680" w:rsidRDefault="00255979" w:rsidP="00633D05">
      <w:pPr>
        <w:pStyle w:val="BTEMEASMCA"/>
      </w:pPr>
      <w:r w:rsidRPr="00DF4173">
        <w:br w:type="page"/>
      </w:r>
    </w:p>
    <w:p w:rsidR="00255979" w:rsidRPr="008B4680" w:rsidRDefault="00255979" w:rsidP="001120C8">
      <w:pPr>
        <w:pStyle w:val="PI-1labEMEASMCA"/>
      </w:pPr>
      <w:r w:rsidRPr="008B4680">
        <w:lastRenderedPageBreak/>
        <w:t>INFORMACIJA ANT IŠORINĖS PAKUOTĖS</w:t>
      </w:r>
    </w:p>
    <w:p w:rsidR="00255979" w:rsidRPr="008B4680" w:rsidRDefault="00255979" w:rsidP="001120C8">
      <w:pPr>
        <w:pStyle w:val="PI-1labEMEASMCA"/>
      </w:pPr>
    </w:p>
    <w:p w:rsidR="00255979" w:rsidRPr="003A6AEE" w:rsidRDefault="00255979" w:rsidP="005772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MS Mincho"/>
          <w:color w:val="000000"/>
          <w:sz w:val="22"/>
          <w:szCs w:val="22"/>
          <w:lang w:eastAsia="ja-JP" w:bidi="lo-LA"/>
        </w:rPr>
      </w:pPr>
      <w:r w:rsidRPr="003A6AEE">
        <w:rPr>
          <w:rFonts w:eastAsia="MS Mincho"/>
          <w:b/>
          <w:bCs/>
          <w:color w:val="000000"/>
          <w:sz w:val="22"/>
          <w:szCs w:val="22"/>
          <w:lang w:eastAsia="ja-JP" w:bidi="lo-LA"/>
        </w:rPr>
        <w:t xml:space="preserve">OXALIPLATIN </w:t>
      </w:r>
      <w:r w:rsidR="00501874" w:rsidRPr="00501874">
        <w:rPr>
          <w:b/>
          <w:sz w:val="22"/>
          <w:szCs w:val="22"/>
        </w:rPr>
        <w:t>M</w:t>
      </w:r>
      <w:r w:rsidR="00501874" w:rsidRPr="00501874">
        <w:rPr>
          <w:b/>
          <w:sz w:val="22"/>
          <w:szCs w:val="22"/>
        </w:rPr>
        <w:t>YLAN</w:t>
      </w:r>
      <w:r w:rsidRPr="003A6AEE">
        <w:rPr>
          <w:rFonts w:eastAsia="MS Mincho"/>
          <w:b/>
          <w:bCs/>
          <w:color w:val="000000"/>
          <w:sz w:val="22"/>
          <w:szCs w:val="22"/>
          <w:lang w:eastAsia="ja-JP" w:bidi="lo-LA"/>
        </w:rPr>
        <w:t xml:space="preserve"> 5 MG/ML MILTELIAI INFUZINIAM TIRPALUI /DĖŽUTĖ </w:t>
      </w:r>
    </w:p>
    <w:p w:rsidR="00255979" w:rsidRDefault="00255979" w:rsidP="00633D05">
      <w:pPr>
        <w:pStyle w:val="BTEMEASMCA"/>
        <w:rPr>
          <w:noProof w:val="0"/>
        </w:rPr>
      </w:pPr>
    </w:p>
    <w:p w:rsidR="00255979" w:rsidRPr="008B4680" w:rsidRDefault="00255979" w:rsidP="00633D05">
      <w:pPr>
        <w:pStyle w:val="BTEMEASMCA"/>
        <w:rPr>
          <w:noProof w:val="0"/>
        </w:rPr>
      </w:pPr>
    </w:p>
    <w:p w:rsidR="00255979" w:rsidRPr="008B4680" w:rsidRDefault="00255979" w:rsidP="001120C8">
      <w:pPr>
        <w:pStyle w:val="PI-1labEMEASMCA"/>
      </w:pPr>
      <w:r w:rsidRPr="008B4680">
        <w:t>1.</w:t>
      </w:r>
      <w:r w:rsidRPr="008B4680">
        <w:tab/>
        <w:t>VAISTINIO PREPARATO PAVADINIMAS</w:t>
      </w:r>
    </w:p>
    <w:p w:rsidR="00255979" w:rsidRPr="003A6AEE" w:rsidRDefault="00255979" w:rsidP="00633D05">
      <w:pPr>
        <w:pStyle w:val="BTEMEASMCA"/>
        <w:rPr>
          <w:noProof w:val="0"/>
        </w:rPr>
      </w:pPr>
    </w:p>
    <w:p w:rsidR="00255979" w:rsidRPr="008B4680" w:rsidRDefault="00255979" w:rsidP="005772DF">
      <w:pPr>
        <w:pStyle w:val="CM6"/>
        <w:rPr>
          <w:rFonts w:cs="Times New Roman"/>
          <w:color w:val="000000"/>
          <w:sz w:val="22"/>
          <w:szCs w:val="22"/>
          <w:lang w:val="lt-LT"/>
        </w:rPr>
      </w:pPr>
      <w:r w:rsidRPr="008B4680">
        <w:rPr>
          <w:rFonts w:cs="Times New Roman"/>
          <w:color w:val="000000"/>
          <w:sz w:val="22"/>
          <w:szCs w:val="22"/>
          <w:lang w:val="lt-LT"/>
        </w:rPr>
        <w:t xml:space="preserve">Oxaliplatin </w:t>
      </w:r>
      <w:r w:rsidR="00501874" w:rsidRPr="00501874">
        <w:rPr>
          <w:sz w:val="22"/>
          <w:szCs w:val="22"/>
        </w:rPr>
        <w:t>Mylan</w:t>
      </w:r>
      <w:r w:rsidRPr="008B4680">
        <w:rPr>
          <w:rFonts w:cs="Times New Roman"/>
          <w:color w:val="000000"/>
          <w:sz w:val="22"/>
          <w:szCs w:val="22"/>
          <w:lang w:val="lt-LT"/>
        </w:rPr>
        <w:t xml:space="preserve"> 5 mg/ml milteliai infuziniam tirpalui </w:t>
      </w:r>
    </w:p>
    <w:p w:rsidR="00255979" w:rsidRPr="008B4680" w:rsidRDefault="00255979" w:rsidP="005772DF">
      <w:pPr>
        <w:pStyle w:val="CM6"/>
        <w:rPr>
          <w:rFonts w:cs="Times New Roman"/>
          <w:color w:val="000000"/>
          <w:sz w:val="22"/>
          <w:szCs w:val="22"/>
          <w:lang w:val="lt-LT"/>
        </w:rPr>
      </w:pPr>
      <w:r w:rsidRPr="008B4680">
        <w:rPr>
          <w:rFonts w:cs="Times New Roman"/>
          <w:color w:val="000000"/>
          <w:sz w:val="22"/>
          <w:szCs w:val="22"/>
          <w:lang w:val="lt-LT"/>
        </w:rPr>
        <w:t xml:space="preserve">Oksaliplatina </w:t>
      </w:r>
    </w:p>
    <w:p w:rsidR="00255979" w:rsidRPr="008B4680" w:rsidRDefault="00255979" w:rsidP="00633D05">
      <w:pPr>
        <w:pStyle w:val="BTEMEASMCA"/>
        <w:rPr>
          <w:noProof w:val="0"/>
        </w:rPr>
      </w:pPr>
    </w:p>
    <w:p w:rsidR="00255979" w:rsidRPr="008B4680" w:rsidRDefault="00255979" w:rsidP="00633D05">
      <w:pPr>
        <w:pStyle w:val="BTEMEASMCA"/>
        <w:rPr>
          <w:noProof w:val="0"/>
        </w:rPr>
      </w:pPr>
    </w:p>
    <w:p w:rsidR="00255979" w:rsidRPr="008B4680" w:rsidRDefault="00255979" w:rsidP="001120C8">
      <w:pPr>
        <w:pStyle w:val="PI-1labEMEASMCA"/>
      </w:pPr>
      <w:r w:rsidRPr="008B4680">
        <w:t>2.</w:t>
      </w:r>
      <w:r w:rsidRPr="008B4680">
        <w:tab/>
        <w:t>VEIKLIOJI MEDŽIAGA IR JOS KIEKIS</w:t>
      </w:r>
    </w:p>
    <w:p w:rsidR="00255979" w:rsidRPr="003A6AEE" w:rsidRDefault="00255979" w:rsidP="00633D05">
      <w:pPr>
        <w:pStyle w:val="BTEMEASMCA"/>
        <w:rPr>
          <w:noProof w:val="0"/>
        </w:rPr>
      </w:pPr>
    </w:p>
    <w:p w:rsidR="00255979" w:rsidRPr="008B4680" w:rsidRDefault="00255979" w:rsidP="005772DF">
      <w:pPr>
        <w:pStyle w:val="CM3"/>
        <w:spacing w:line="240" w:lineRule="auto"/>
        <w:rPr>
          <w:rFonts w:cs="Times New Roman"/>
          <w:sz w:val="22"/>
          <w:szCs w:val="22"/>
          <w:lang w:val="lt-LT"/>
        </w:rPr>
      </w:pPr>
      <w:r w:rsidRPr="008B4680">
        <w:rPr>
          <w:rFonts w:cs="Times New Roman"/>
          <w:sz w:val="22"/>
          <w:szCs w:val="22"/>
          <w:lang w:val="lt-LT"/>
        </w:rPr>
        <w:t xml:space="preserve">1 ml paruošto tirpalo yra 5 mg oksaliplatinos. </w:t>
      </w:r>
    </w:p>
    <w:p w:rsidR="00255979" w:rsidRPr="008B4680" w:rsidRDefault="00255979" w:rsidP="005772DF">
      <w:pPr>
        <w:pStyle w:val="CM3"/>
        <w:spacing w:line="240" w:lineRule="auto"/>
        <w:rPr>
          <w:rFonts w:cs="Times New Roman"/>
          <w:sz w:val="22"/>
          <w:szCs w:val="22"/>
          <w:lang w:val="lt-LT"/>
        </w:rPr>
      </w:pPr>
    </w:p>
    <w:p w:rsidR="00255979" w:rsidRPr="008B4680" w:rsidRDefault="00255979" w:rsidP="005772DF">
      <w:pPr>
        <w:pStyle w:val="CM3"/>
        <w:spacing w:line="240" w:lineRule="auto"/>
        <w:rPr>
          <w:rFonts w:cs="Times New Roman"/>
          <w:sz w:val="22"/>
          <w:szCs w:val="22"/>
          <w:lang w:val="lt-LT"/>
        </w:rPr>
      </w:pPr>
      <w:r w:rsidRPr="008B4680">
        <w:rPr>
          <w:rFonts w:cs="Times New Roman"/>
          <w:sz w:val="22"/>
          <w:szCs w:val="22"/>
          <w:lang w:val="lt-LT"/>
        </w:rPr>
        <w:t xml:space="preserve">Kiekviename </w:t>
      </w:r>
      <w:r>
        <w:rPr>
          <w:rFonts w:cs="Times New Roman"/>
          <w:sz w:val="22"/>
          <w:szCs w:val="22"/>
          <w:lang w:val="lt-LT"/>
        </w:rPr>
        <w:t>flakone</w:t>
      </w:r>
      <w:r w:rsidRPr="008B4680">
        <w:rPr>
          <w:rFonts w:cs="Times New Roman"/>
          <w:sz w:val="22"/>
          <w:szCs w:val="22"/>
          <w:lang w:val="lt-LT"/>
        </w:rPr>
        <w:t xml:space="preserve"> yra 50 mg oksaliplatinos, skirtos </w:t>
      </w:r>
      <w:r>
        <w:rPr>
          <w:rFonts w:cs="Times New Roman"/>
          <w:sz w:val="22"/>
          <w:szCs w:val="22"/>
          <w:lang w:val="lt-LT"/>
        </w:rPr>
        <w:t>ištirpinti</w:t>
      </w:r>
      <w:r w:rsidRPr="008B4680">
        <w:rPr>
          <w:rFonts w:cs="Times New Roman"/>
          <w:sz w:val="22"/>
          <w:szCs w:val="22"/>
          <w:lang w:val="lt-LT"/>
        </w:rPr>
        <w:t xml:space="preserve">10 ml tirpiklio. </w:t>
      </w:r>
    </w:p>
    <w:p w:rsidR="00255979" w:rsidRPr="008B4680" w:rsidRDefault="00255979" w:rsidP="005772DF">
      <w:pPr>
        <w:pStyle w:val="CM6"/>
        <w:rPr>
          <w:rFonts w:cs="Times New Roman"/>
          <w:sz w:val="22"/>
          <w:szCs w:val="22"/>
          <w:lang w:val="lt-LT"/>
        </w:rPr>
      </w:pPr>
      <w:r w:rsidRPr="005C7132">
        <w:rPr>
          <w:rFonts w:cs="Times New Roman"/>
          <w:sz w:val="22"/>
          <w:szCs w:val="22"/>
          <w:highlight w:val="lightGray"/>
          <w:lang w:val="lt-LT"/>
        </w:rPr>
        <w:t>Kiekviename flakone yra 100 mg oksaliplatinos, skirtos ištirpinti 20 ml tirpiklio.</w:t>
      </w:r>
      <w:r w:rsidRPr="008B4680">
        <w:rPr>
          <w:rFonts w:cs="Times New Roman"/>
          <w:sz w:val="22"/>
          <w:szCs w:val="22"/>
          <w:lang w:val="lt-LT"/>
        </w:rPr>
        <w:t xml:space="preserve"> </w:t>
      </w:r>
    </w:p>
    <w:p w:rsidR="00255979" w:rsidRPr="008B4680" w:rsidRDefault="00255979" w:rsidP="00633D05">
      <w:pPr>
        <w:pStyle w:val="BTEMEASMCA"/>
        <w:rPr>
          <w:noProof w:val="0"/>
        </w:rPr>
      </w:pPr>
    </w:p>
    <w:p w:rsidR="00255979" w:rsidRPr="008B4680" w:rsidRDefault="00255979" w:rsidP="00633D05">
      <w:pPr>
        <w:pStyle w:val="BTEMEASMCA"/>
        <w:rPr>
          <w:noProof w:val="0"/>
        </w:rPr>
      </w:pPr>
    </w:p>
    <w:p w:rsidR="00255979" w:rsidRPr="005C7132" w:rsidRDefault="00255979" w:rsidP="001120C8">
      <w:pPr>
        <w:pStyle w:val="PI-1labEMEASMCA"/>
        <w:rPr>
          <w:highlight w:val="lightGray"/>
        </w:rPr>
      </w:pPr>
      <w:r w:rsidRPr="008B4680">
        <w:t>3.</w:t>
      </w:r>
      <w:r w:rsidRPr="008B4680">
        <w:tab/>
        <w:t>PAGALBINIŲ MEDŽIAGŲ SĄRAŠAS</w:t>
      </w:r>
    </w:p>
    <w:p w:rsidR="00255979" w:rsidRPr="008B4680" w:rsidRDefault="00255979" w:rsidP="00633D05">
      <w:pPr>
        <w:pStyle w:val="BTEMEASMCA"/>
        <w:rPr>
          <w:noProof w:val="0"/>
        </w:rPr>
      </w:pPr>
    </w:p>
    <w:p w:rsidR="00255979" w:rsidRPr="008B4680" w:rsidRDefault="00255979" w:rsidP="005772DF">
      <w:pPr>
        <w:pStyle w:val="CM6"/>
        <w:rPr>
          <w:rFonts w:cs="Times New Roman"/>
          <w:sz w:val="22"/>
          <w:szCs w:val="22"/>
          <w:lang w:val="lt-LT"/>
        </w:rPr>
      </w:pPr>
      <w:r w:rsidRPr="008B4680">
        <w:rPr>
          <w:rFonts w:cs="Times New Roman"/>
          <w:sz w:val="22"/>
          <w:szCs w:val="22"/>
          <w:lang w:val="lt-LT"/>
        </w:rPr>
        <w:t xml:space="preserve">Šiame vaistiniame preparate yra laktozės monohidrato. </w:t>
      </w:r>
    </w:p>
    <w:p w:rsidR="00255979" w:rsidRPr="008B4680" w:rsidRDefault="00255979" w:rsidP="005772DF">
      <w:pPr>
        <w:pStyle w:val="CM6"/>
        <w:rPr>
          <w:rFonts w:cs="Times New Roman"/>
          <w:sz w:val="22"/>
          <w:szCs w:val="22"/>
          <w:lang w:val="lt-LT"/>
        </w:rPr>
      </w:pPr>
      <w:r w:rsidRPr="008B4680">
        <w:rPr>
          <w:rFonts w:cs="Times New Roman"/>
          <w:sz w:val="22"/>
          <w:szCs w:val="22"/>
          <w:lang w:val="lt-LT"/>
        </w:rPr>
        <w:t>Daugiau i</w:t>
      </w:r>
      <w:r>
        <w:rPr>
          <w:rFonts w:cs="Times New Roman"/>
          <w:sz w:val="22"/>
          <w:szCs w:val="22"/>
          <w:lang w:val="lt-LT"/>
        </w:rPr>
        <w:t>nformacijos pateikta pakuotės la</w:t>
      </w:r>
      <w:r w:rsidRPr="008B4680">
        <w:rPr>
          <w:rFonts w:cs="Times New Roman"/>
          <w:sz w:val="22"/>
          <w:szCs w:val="22"/>
          <w:lang w:val="lt-LT"/>
        </w:rPr>
        <w:t>p</w:t>
      </w:r>
      <w:r>
        <w:rPr>
          <w:rFonts w:cs="Times New Roman"/>
          <w:sz w:val="22"/>
          <w:szCs w:val="22"/>
          <w:lang w:val="lt-LT"/>
        </w:rPr>
        <w:t>e</w:t>
      </w:r>
      <w:r w:rsidRPr="008B4680">
        <w:rPr>
          <w:rFonts w:cs="Times New Roman"/>
          <w:sz w:val="22"/>
          <w:szCs w:val="22"/>
          <w:lang w:val="lt-LT"/>
        </w:rPr>
        <w:t>lyje.</w:t>
      </w:r>
    </w:p>
    <w:p w:rsidR="00255979" w:rsidRPr="008B4680" w:rsidRDefault="00255979" w:rsidP="00633D05">
      <w:pPr>
        <w:pStyle w:val="BTEMEASMCA"/>
        <w:rPr>
          <w:noProof w:val="0"/>
        </w:rPr>
      </w:pPr>
    </w:p>
    <w:p w:rsidR="00255979" w:rsidRPr="008B4680" w:rsidRDefault="00255979" w:rsidP="00633D05">
      <w:pPr>
        <w:pStyle w:val="BTEMEASMCA"/>
        <w:rPr>
          <w:noProof w:val="0"/>
        </w:rPr>
      </w:pPr>
    </w:p>
    <w:p w:rsidR="00255979" w:rsidRPr="008B4680" w:rsidRDefault="00255979" w:rsidP="001120C8">
      <w:pPr>
        <w:pStyle w:val="PI-1labEMEASMCA"/>
      </w:pPr>
      <w:r w:rsidRPr="008B4680">
        <w:t>4.</w:t>
      </w:r>
      <w:r w:rsidRPr="008B4680">
        <w:tab/>
        <w:t>FARMACINĖ FORMA IR KIEKIS PAKUOTĖJE</w:t>
      </w:r>
    </w:p>
    <w:p w:rsidR="00255979" w:rsidRPr="008B4680" w:rsidRDefault="00255979" w:rsidP="00633D05">
      <w:pPr>
        <w:pStyle w:val="BTEMEASMCA"/>
        <w:rPr>
          <w:noProof w:val="0"/>
        </w:rPr>
      </w:pPr>
    </w:p>
    <w:p w:rsidR="00255979" w:rsidRPr="008B4680" w:rsidRDefault="00255979" w:rsidP="005772DF">
      <w:pPr>
        <w:pStyle w:val="CM3"/>
        <w:spacing w:line="240" w:lineRule="auto"/>
        <w:rPr>
          <w:rFonts w:cs="Times New Roman"/>
          <w:sz w:val="22"/>
          <w:szCs w:val="22"/>
          <w:lang w:val="lt-LT"/>
        </w:rPr>
      </w:pPr>
      <w:r w:rsidRPr="008B4680">
        <w:rPr>
          <w:rFonts w:cs="Times New Roman"/>
          <w:sz w:val="22"/>
          <w:szCs w:val="22"/>
          <w:lang w:val="lt-LT"/>
        </w:rPr>
        <w:t xml:space="preserve">Milteliai infuziniam tirpalui. </w:t>
      </w:r>
    </w:p>
    <w:p w:rsidR="00255979" w:rsidRPr="008B4680" w:rsidRDefault="00255979" w:rsidP="005772DF">
      <w:pPr>
        <w:pStyle w:val="CM3"/>
        <w:spacing w:line="240" w:lineRule="auto"/>
        <w:rPr>
          <w:rFonts w:cs="Times New Roman"/>
          <w:sz w:val="22"/>
          <w:szCs w:val="22"/>
          <w:lang w:val="lt-LT"/>
        </w:rPr>
      </w:pPr>
    </w:p>
    <w:p w:rsidR="00255979" w:rsidRPr="008B4680" w:rsidRDefault="00255979" w:rsidP="005772DF">
      <w:pPr>
        <w:pStyle w:val="CM3"/>
        <w:spacing w:line="240" w:lineRule="auto"/>
        <w:rPr>
          <w:rFonts w:cs="Times New Roman"/>
          <w:sz w:val="22"/>
          <w:szCs w:val="22"/>
          <w:lang w:val="lt-LT"/>
        </w:rPr>
      </w:pPr>
      <w:r w:rsidRPr="008B4680">
        <w:rPr>
          <w:rFonts w:cs="Times New Roman"/>
          <w:sz w:val="22"/>
          <w:szCs w:val="22"/>
          <w:lang w:val="lt-LT"/>
        </w:rPr>
        <w:t xml:space="preserve">1 </w:t>
      </w:r>
      <w:r>
        <w:rPr>
          <w:rFonts w:cs="Times New Roman"/>
          <w:sz w:val="22"/>
          <w:szCs w:val="22"/>
          <w:lang w:val="lt-LT"/>
        </w:rPr>
        <w:t>flakonas</w:t>
      </w:r>
      <w:r w:rsidRPr="008B4680">
        <w:rPr>
          <w:rFonts w:cs="Times New Roman"/>
          <w:sz w:val="22"/>
          <w:szCs w:val="22"/>
          <w:lang w:val="lt-LT"/>
        </w:rPr>
        <w:t xml:space="preserve"> </w:t>
      </w:r>
    </w:p>
    <w:p w:rsidR="00255979" w:rsidRPr="008B4680" w:rsidRDefault="00255979" w:rsidP="005772DF">
      <w:pPr>
        <w:pStyle w:val="CM3"/>
        <w:spacing w:line="240" w:lineRule="auto"/>
        <w:rPr>
          <w:rFonts w:cs="Times New Roman"/>
          <w:sz w:val="22"/>
          <w:szCs w:val="22"/>
          <w:lang w:val="lt-LT"/>
        </w:rPr>
      </w:pPr>
    </w:p>
    <w:p w:rsidR="00255979" w:rsidRPr="008B4680" w:rsidRDefault="00255979" w:rsidP="005772DF">
      <w:pPr>
        <w:pStyle w:val="CM3"/>
        <w:spacing w:line="240" w:lineRule="auto"/>
        <w:rPr>
          <w:rFonts w:cs="Times New Roman"/>
          <w:sz w:val="22"/>
          <w:szCs w:val="22"/>
          <w:lang w:val="lt-LT"/>
        </w:rPr>
      </w:pPr>
      <w:r w:rsidRPr="008B4680">
        <w:rPr>
          <w:rFonts w:cs="Times New Roman"/>
          <w:sz w:val="22"/>
          <w:szCs w:val="22"/>
          <w:lang w:val="lt-LT"/>
        </w:rPr>
        <w:t xml:space="preserve">50 mg </w:t>
      </w:r>
    </w:p>
    <w:p w:rsidR="00255979" w:rsidRPr="008B4680" w:rsidRDefault="00255979" w:rsidP="005772DF">
      <w:pPr>
        <w:pStyle w:val="CM6"/>
        <w:rPr>
          <w:rFonts w:cs="Times New Roman"/>
          <w:sz w:val="22"/>
          <w:szCs w:val="22"/>
          <w:lang w:val="lt-LT"/>
        </w:rPr>
      </w:pPr>
      <w:r w:rsidRPr="005C7132">
        <w:rPr>
          <w:rFonts w:cs="Times New Roman"/>
          <w:sz w:val="22"/>
          <w:szCs w:val="22"/>
          <w:highlight w:val="lightGray"/>
          <w:lang w:val="lt-LT"/>
        </w:rPr>
        <w:t>100 mg</w:t>
      </w:r>
      <w:r w:rsidRPr="008B4680">
        <w:rPr>
          <w:rFonts w:cs="Times New Roman"/>
          <w:sz w:val="22"/>
          <w:szCs w:val="22"/>
          <w:lang w:val="lt-LT"/>
        </w:rPr>
        <w:t xml:space="preserve"> </w:t>
      </w:r>
    </w:p>
    <w:p w:rsidR="00255979" w:rsidRPr="008B4680" w:rsidRDefault="00255979" w:rsidP="00633D05">
      <w:pPr>
        <w:pStyle w:val="BTEMEASMCA"/>
        <w:rPr>
          <w:noProof w:val="0"/>
        </w:rPr>
      </w:pPr>
    </w:p>
    <w:p w:rsidR="00255979" w:rsidRPr="008B4680" w:rsidRDefault="00255979" w:rsidP="00633D05">
      <w:pPr>
        <w:pStyle w:val="BTEMEASMCA"/>
        <w:rPr>
          <w:noProof w:val="0"/>
        </w:rPr>
      </w:pPr>
    </w:p>
    <w:p w:rsidR="00255979" w:rsidRPr="005C7132" w:rsidRDefault="00255979" w:rsidP="001120C8">
      <w:pPr>
        <w:pStyle w:val="PI-1labEMEASMCA"/>
        <w:rPr>
          <w:highlight w:val="lightGray"/>
        </w:rPr>
      </w:pPr>
      <w:r w:rsidRPr="008B4680">
        <w:t>5.</w:t>
      </w:r>
      <w:r w:rsidRPr="008B4680">
        <w:tab/>
        <w:t>VARTOJIMO METODAS IR BŪDAS (-AI)</w:t>
      </w:r>
    </w:p>
    <w:p w:rsidR="00255979" w:rsidRPr="008B4680" w:rsidRDefault="00255979" w:rsidP="00633D05">
      <w:pPr>
        <w:pStyle w:val="BTEMEASMCA"/>
        <w:rPr>
          <w:noProof w:val="0"/>
        </w:rPr>
      </w:pPr>
    </w:p>
    <w:p w:rsidR="00255979" w:rsidRPr="008B4680" w:rsidRDefault="00255979" w:rsidP="005772DF">
      <w:pPr>
        <w:pStyle w:val="CM3"/>
        <w:spacing w:line="240" w:lineRule="auto"/>
        <w:rPr>
          <w:rFonts w:cs="Times New Roman"/>
          <w:sz w:val="22"/>
          <w:szCs w:val="22"/>
          <w:lang w:val="lt-LT"/>
        </w:rPr>
      </w:pPr>
      <w:r w:rsidRPr="008B4680">
        <w:rPr>
          <w:rFonts w:cs="Times New Roman"/>
          <w:sz w:val="22"/>
          <w:szCs w:val="22"/>
          <w:lang w:val="lt-LT"/>
        </w:rPr>
        <w:t xml:space="preserve">Prieš vartojimą perskaitykite pakuotės lapelį. </w:t>
      </w:r>
    </w:p>
    <w:p w:rsidR="00255979" w:rsidRPr="008B4680" w:rsidRDefault="00255979" w:rsidP="005772DF">
      <w:pPr>
        <w:pStyle w:val="CM3"/>
        <w:spacing w:line="240" w:lineRule="auto"/>
        <w:rPr>
          <w:rFonts w:cs="Times New Roman"/>
          <w:sz w:val="22"/>
          <w:szCs w:val="22"/>
          <w:lang w:val="lt-LT"/>
        </w:rPr>
      </w:pPr>
    </w:p>
    <w:p w:rsidR="00255979" w:rsidRPr="008B4680" w:rsidRDefault="00255979" w:rsidP="005772DF">
      <w:pPr>
        <w:pStyle w:val="CM3"/>
        <w:spacing w:line="240" w:lineRule="auto"/>
        <w:rPr>
          <w:rFonts w:cs="Times New Roman"/>
          <w:sz w:val="22"/>
          <w:szCs w:val="22"/>
          <w:lang w:val="lt-LT"/>
        </w:rPr>
      </w:pPr>
      <w:r w:rsidRPr="008B4680">
        <w:rPr>
          <w:rFonts w:cs="Times New Roman"/>
          <w:sz w:val="22"/>
          <w:szCs w:val="22"/>
          <w:lang w:val="lt-LT"/>
        </w:rPr>
        <w:t xml:space="preserve">Leisti į veną ištirpinus ir praskiedus. </w:t>
      </w:r>
    </w:p>
    <w:p w:rsidR="00255979" w:rsidRPr="008B4680" w:rsidRDefault="00255979" w:rsidP="005772DF">
      <w:pPr>
        <w:pStyle w:val="CM3"/>
        <w:spacing w:line="240" w:lineRule="auto"/>
        <w:rPr>
          <w:rFonts w:cs="Times New Roman"/>
          <w:sz w:val="22"/>
          <w:szCs w:val="22"/>
          <w:lang w:val="lt-LT"/>
        </w:rPr>
      </w:pPr>
    </w:p>
    <w:p w:rsidR="00255979" w:rsidRPr="008B4680" w:rsidRDefault="00255979" w:rsidP="005772DF">
      <w:pPr>
        <w:pStyle w:val="CM3"/>
        <w:spacing w:line="240" w:lineRule="auto"/>
        <w:rPr>
          <w:rFonts w:cs="Times New Roman"/>
          <w:sz w:val="22"/>
          <w:szCs w:val="22"/>
          <w:lang w:val="lt-LT"/>
        </w:rPr>
      </w:pPr>
      <w:r w:rsidRPr="008B4680">
        <w:rPr>
          <w:rFonts w:cs="Times New Roman"/>
          <w:sz w:val="22"/>
          <w:szCs w:val="22"/>
          <w:lang w:val="lt-LT"/>
        </w:rPr>
        <w:t>Vienkartiniam vartojimui.</w:t>
      </w:r>
    </w:p>
    <w:p w:rsidR="00255979" w:rsidRPr="008B4680" w:rsidRDefault="00255979" w:rsidP="00633D05">
      <w:pPr>
        <w:pStyle w:val="BTEMEASMCA"/>
        <w:rPr>
          <w:noProof w:val="0"/>
        </w:rPr>
      </w:pPr>
    </w:p>
    <w:p w:rsidR="00255979" w:rsidRPr="008B4680" w:rsidRDefault="00255979" w:rsidP="00633D05">
      <w:pPr>
        <w:pStyle w:val="BTEMEASMCA"/>
        <w:rPr>
          <w:noProof w:val="0"/>
        </w:rPr>
      </w:pPr>
    </w:p>
    <w:p w:rsidR="00255979" w:rsidRPr="008B4680" w:rsidRDefault="00255979" w:rsidP="001120C8">
      <w:pPr>
        <w:pStyle w:val="PI-1labEMEASMCA"/>
      </w:pPr>
      <w:r w:rsidRPr="008B4680">
        <w:t>6.</w:t>
      </w:r>
      <w:r w:rsidRPr="008B4680">
        <w:tab/>
        <w:t>SPECIALUS ĮSPĖJIMAS, KAD VAISTINĮ PREPARATĄ BŪTINA LAIKYTI VAIKAMS NEPASIEKIAMOJE IR NEPASTEBIMOJE VIETOJE</w:t>
      </w:r>
    </w:p>
    <w:p w:rsidR="00255979" w:rsidRPr="008B4680" w:rsidRDefault="00255979" w:rsidP="00633D05">
      <w:pPr>
        <w:pStyle w:val="BTEMEASMCA"/>
        <w:rPr>
          <w:noProof w:val="0"/>
        </w:rPr>
      </w:pPr>
    </w:p>
    <w:p w:rsidR="00255979" w:rsidRPr="003A6AEE" w:rsidRDefault="00255979" w:rsidP="005772DF">
      <w:pPr>
        <w:pStyle w:val="CM6"/>
        <w:rPr>
          <w:rFonts w:cs="Times New Roman"/>
          <w:sz w:val="22"/>
          <w:szCs w:val="22"/>
          <w:lang w:val="lt-LT"/>
        </w:rPr>
      </w:pPr>
      <w:r w:rsidRPr="003A6AEE">
        <w:rPr>
          <w:rFonts w:cs="Times New Roman"/>
          <w:sz w:val="22"/>
          <w:szCs w:val="22"/>
          <w:lang w:val="lt-LT"/>
        </w:rPr>
        <w:t xml:space="preserve">Šį vaistą laikykite vaikams nepastebimoje ir nepasiekiamoje vietoje. </w:t>
      </w:r>
    </w:p>
    <w:p w:rsidR="00255979" w:rsidRPr="008B4680" w:rsidRDefault="00255979" w:rsidP="00633D05">
      <w:pPr>
        <w:pStyle w:val="BTEMEASMCA"/>
        <w:rPr>
          <w:noProof w:val="0"/>
        </w:rPr>
      </w:pPr>
    </w:p>
    <w:p w:rsidR="00255979" w:rsidRPr="008B4680" w:rsidRDefault="00255979" w:rsidP="00633D05">
      <w:pPr>
        <w:pStyle w:val="BTEMEASMCA"/>
        <w:rPr>
          <w:noProof w:val="0"/>
        </w:rPr>
      </w:pPr>
    </w:p>
    <w:p w:rsidR="00255979" w:rsidRPr="005C7132" w:rsidRDefault="00255979" w:rsidP="001120C8">
      <w:pPr>
        <w:pStyle w:val="PI-1labEMEASMCA"/>
        <w:rPr>
          <w:highlight w:val="lightGray"/>
        </w:rPr>
      </w:pPr>
      <w:r w:rsidRPr="008B4680">
        <w:t>7.</w:t>
      </w:r>
      <w:r w:rsidRPr="008B4680">
        <w:tab/>
        <w:t>KITAS (-I) SPECIALUS (-ŪS) ĮSPĖJIMAS (-AI) (JEI REIKIA)</w:t>
      </w:r>
    </w:p>
    <w:p w:rsidR="00255979" w:rsidRPr="008B4680" w:rsidRDefault="00255979" w:rsidP="00633D05">
      <w:pPr>
        <w:pStyle w:val="BTEMEASMCA"/>
        <w:rPr>
          <w:noProof w:val="0"/>
        </w:rPr>
      </w:pPr>
    </w:p>
    <w:p w:rsidR="00255979" w:rsidRPr="008B4680" w:rsidRDefault="00255979" w:rsidP="005772DF">
      <w:pPr>
        <w:pStyle w:val="CM5"/>
        <w:rPr>
          <w:rFonts w:cs="Times New Roman"/>
          <w:sz w:val="22"/>
          <w:szCs w:val="22"/>
          <w:lang w:val="lt-LT"/>
        </w:rPr>
      </w:pPr>
      <w:r w:rsidRPr="008B4680">
        <w:rPr>
          <w:rFonts w:cs="Times New Roman"/>
          <w:sz w:val="22"/>
          <w:szCs w:val="22"/>
          <w:lang w:val="lt-LT"/>
        </w:rPr>
        <w:t xml:space="preserve">Citotoksinė medžiaga </w:t>
      </w:r>
    </w:p>
    <w:p w:rsidR="00255979" w:rsidRPr="008B4680" w:rsidRDefault="00255979" w:rsidP="005772DF">
      <w:pPr>
        <w:pStyle w:val="CM6"/>
        <w:rPr>
          <w:rFonts w:cs="Times New Roman"/>
          <w:sz w:val="22"/>
          <w:szCs w:val="22"/>
          <w:lang w:val="lt-LT"/>
        </w:rPr>
      </w:pPr>
      <w:r w:rsidRPr="008B4680">
        <w:rPr>
          <w:rFonts w:cs="Times New Roman"/>
          <w:sz w:val="22"/>
          <w:szCs w:val="22"/>
          <w:lang w:val="lt-LT"/>
        </w:rPr>
        <w:t xml:space="preserve">Nėščios moterys turėtų vengti dirbti su citotoksinėmis medžiagomis. </w:t>
      </w:r>
    </w:p>
    <w:p w:rsidR="00255979" w:rsidRPr="008B4680" w:rsidRDefault="00255979" w:rsidP="005772DF">
      <w:pPr>
        <w:pStyle w:val="CM6"/>
        <w:rPr>
          <w:rFonts w:cs="Times New Roman"/>
          <w:sz w:val="22"/>
          <w:szCs w:val="22"/>
          <w:lang w:val="lt-LT"/>
        </w:rPr>
      </w:pPr>
      <w:r w:rsidRPr="008B4680">
        <w:rPr>
          <w:rFonts w:cs="Times New Roman"/>
          <w:sz w:val="22"/>
          <w:szCs w:val="22"/>
          <w:lang w:val="lt-LT"/>
        </w:rPr>
        <w:lastRenderedPageBreak/>
        <w:t xml:space="preserve">Patekus ant odos, gleivinės, nedelsiant nuplauti vandeniu. </w:t>
      </w:r>
    </w:p>
    <w:p w:rsidR="00255979" w:rsidRPr="003A6AEE" w:rsidRDefault="00255979" w:rsidP="005772DF">
      <w:pPr>
        <w:pStyle w:val="CM6"/>
        <w:rPr>
          <w:rFonts w:cs="Times New Roman"/>
          <w:sz w:val="22"/>
          <w:szCs w:val="22"/>
          <w:lang w:val="lt-LT"/>
        </w:rPr>
      </w:pPr>
      <w:r w:rsidRPr="008B4680">
        <w:rPr>
          <w:rFonts w:cs="Times New Roman"/>
          <w:sz w:val="22"/>
          <w:szCs w:val="22"/>
          <w:lang w:val="lt-LT"/>
        </w:rPr>
        <w:t>Oksaliplatiną prieš vartojimą reikia praskiesti</w:t>
      </w:r>
      <w:r w:rsidRPr="003A6AEE">
        <w:rPr>
          <w:rFonts w:cs="Times New Roman"/>
          <w:sz w:val="22"/>
          <w:szCs w:val="22"/>
          <w:lang w:val="lt-LT"/>
        </w:rPr>
        <w:t xml:space="preserve">. </w:t>
      </w:r>
    </w:p>
    <w:p w:rsidR="00255979" w:rsidRPr="008B4680" w:rsidRDefault="00255979" w:rsidP="00633D05">
      <w:pPr>
        <w:pStyle w:val="BTEMEASMCA"/>
        <w:rPr>
          <w:noProof w:val="0"/>
        </w:rPr>
      </w:pPr>
    </w:p>
    <w:p w:rsidR="00255979" w:rsidRPr="008B4680" w:rsidRDefault="00255979" w:rsidP="00633D05">
      <w:pPr>
        <w:pStyle w:val="BTEMEASMCA"/>
        <w:rPr>
          <w:noProof w:val="0"/>
        </w:rPr>
      </w:pPr>
    </w:p>
    <w:p w:rsidR="00255979" w:rsidRPr="005C7132" w:rsidRDefault="00255979" w:rsidP="001120C8">
      <w:pPr>
        <w:pStyle w:val="PI-1labEMEASMCA"/>
        <w:rPr>
          <w:highlight w:val="lightGray"/>
        </w:rPr>
      </w:pPr>
      <w:r w:rsidRPr="008B4680">
        <w:t>8.</w:t>
      </w:r>
      <w:r w:rsidRPr="008B4680">
        <w:tab/>
        <w:t>TINKAMUMO LAIKAS</w:t>
      </w:r>
    </w:p>
    <w:p w:rsidR="00255979" w:rsidRPr="008B4680" w:rsidRDefault="00255979" w:rsidP="00633D05">
      <w:pPr>
        <w:pStyle w:val="BTEMEASMCA"/>
        <w:rPr>
          <w:noProof w:val="0"/>
        </w:rPr>
      </w:pPr>
    </w:p>
    <w:p w:rsidR="00255979" w:rsidRPr="008B4680" w:rsidRDefault="00255979" w:rsidP="005772DF">
      <w:pPr>
        <w:pStyle w:val="CM6"/>
        <w:rPr>
          <w:rFonts w:cs="Times New Roman"/>
          <w:sz w:val="22"/>
          <w:szCs w:val="22"/>
          <w:lang w:val="lt-LT"/>
        </w:rPr>
      </w:pPr>
      <w:r w:rsidRPr="008B4680">
        <w:rPr>
          <w:rFonts w:cs="Times New Roman"/>
          <w:sz w:val="22"/>
          <w:szCs w:val="22"/>
          <w:lang w:val="lt-LT"/>
        </w:rPr>
        <w:t xml:space="preserve">Tinka iki: </w:t>
      </w:r>
      <w:r w:rsidRPr="00987A09">
        <w:rPr>
          <w:szCs w:val="22"/>
        </w:rPr>
        <w:t>MMMM-mm</w:t>
      </w:r>
    </w:p>
    <w:p w:rsidR="00255979" w:rsidRPr="008B4680" w:rsidRDefault="00255979" w:rsidP="00633D05">
      <w:pPr>
        <w:pStyle w:val="BTEMEASMCA"/>
        <w:rPr>
          <w:noProof w:val="0"/>
        </w:rPr>
      </w:pPr>
    </w:p>
    <w:p w:rsidR="00255979" w:rsidRPr="008B4680" w:rsidRDefault="00255979" w:rsidP="00633D05">
      <w:pPr>
        <w:pStyle w:val="BTEMEASMCA"/>
        <w:rPr>
          <w:noProof w:val="0"/>
        </w:rPr>
      </w:pPr>
    </w:p>
    <w:p w:rsidR="00255979" w:rsidRPr="008B4680" w:rsidRDefault="00255979" w:rsidP="001120C8">
      <w:pPr>
        <w:pStyle w:val="PI-1labEMEASMCA"/>
      </w:pPr>
      <w:r w:rsidRPr="008B4680">
        <w:t>9.</w:t>
      </w:r>
      <w:r w:rsidRPr="008B4680">
        <w:tab/>
        <w:t>SPECIALIOS LAIKYMO SĄLYGOS</w:t>
      </w:r>
    </w:p>
    <w:p w:rsidR="00255979" w:rsidRPr="008B4680" w:rsidRDefault="00255979" w:rsidP="00633D05">
      <w:pPr>
        <w:pStyle w:val="BTEMEASMCA"/>
        <w:rPr>
          <w:noProof w:val="0"/>
        </w:rPr>
      </w:pPr>
    </w:p>
    <w:p w:rsidR="00255979" w:rsidRPr="008B4680" w:rsidRDefault="00255979" w:rsidP="005772DF">
      <w:pPr>
        <w:pStyle w:val="CM6"/>
        <w:rPr>
          <w:rFonts w:cs="Times New Roman"/>
          <w:sz w:val="22"/>
          <w:szCs w:val="22"/>
          <w:lang w:val="lt-LT"/>
        </w:rPr>
      </w:pPr>
      <w:r w:rsidRPr="008B4680">
        <w:rPr>
          <w:rFonts w:cs="Times New Roman"/>
          <w:sz w:val="22"/>
          <w:szCs w:val="22"/>
          <w:lang w:val="lt-LT"/>
        </w:rPr>
        <w:t xml:space="preserve">Apie paruošto ir praskiesto preparato laikymą skaitykite pakuotės lapelyje. </w:t>
      </w:r>
    </w:p>
    <w:p w:rsidR="00255979" w:rsidRPr="008B4680" w:rsidRDefault="00255979" w:rsidP="00633D05">
      <w:pPr>
        <w:pStyle w:val="BTEMEASMCA"/>
        <w:rPr>
          <w:noProof w:val="0"/>
        </w:rPr>
      </w:pPr>
    </w:p>
    <w:p w:rsidR="00255979" w:rsidRPr="008B4680" w:rsidRDefault="00255979" w:rsidP="00633D05">
      <w:pPr>
        <w:pStyle w:val="BTEMEASMCA"/>
        <w:rPr>
          <w:noProof w:val="0"/>
        </w:rPr>
      </w:pPr>
    </w:p>
    <w:p w:rsidR="00255979" w:rsidRPr="008B4680" w:rsidRDefault="00255979" w:rsidP="001120C8">
      <w:pPr>
        <w:pStyle w:val="PI-1labEMEASMCA"/>
      </w:pPr>
      <w:r w:rsidRPr="008B4680">
        <w:t>10.</w:t>
      </w:r>
      <w:r w:rsidRPr="008B4680">
        <w:tab/>
        <w:t xml:space="preserve">SPECIALIOS ATSARGUMO PRIEMONĖS DĖL NESUVARTOTO </w:t>
      </w:r>
      <w:r w:rsidRPr="008B4680">
        <w:rPr>
          <w:bCs/>
        </w:rPr>
        <w:t xml:space="preserve">VAISTINIO PREPARATO AR JO ATLIEKŲ </w:t>
      </w:r>
      <w:r w:rsidRPr="008B4680">
        <w:t>TVARKYMO (JEI REIKIA)</w:t>
      </w:r>
    </w:p>
    <w:p w:rsidR="00255979" w:rsidRPr="008B4680" w:rsidRDefault="00255979" w:rsidP="00633D05">
      <w:pPr>
        <w:pStyle w:val="BTEMEASMCA"/>
        <w:rPr>
          <w:noProof w:val="0"/>
        </w:rPr>
      </w:pPr>
    </w:p>
    <w:p w:rsidR="00255979" w:rsidRPr="008B4680" w:rsidRDefault="00255979" w:rsidP="005772DF">
      <w:pPr>
        <w:pStyle w:val="CM6"/>
        <w:rPr>
          <w:rFonts w:cs="Times New Roman"/>
          <w:sz w:val="22"/>
          <w:szCs w:val="22"/>
          <w:lang w:val="lt-LT"/>
        </w:rPr>
      </w:pPr>
      <w:r w:rsidRPr="008B4680">
        <w:rPr>
          <w:rFonts w:cs="Times New Roman"/>
          <w:sz w:val="22"/>
          <w:szCs w:val="22"/>
          <w:lang w:val="lt-LT"/>
        </w:rPr>
        <w:t xml:space="preserve">Nesuvartotą preparatą ar atliekas reikia tvarkyti laikantis vietinių reikalavimų citotoksinėms medžiagoms. </w:t>
      </w:r>
    </w:p>
    <w:p w:rsidR="00255979" w:rsidRPr="008B4680" w:rsidRDefault="00255979" w:rsidP="00633D05">
      <w:pPr>
        <w:pStyle w:val="BTEMEASMCA"/>
        <w:rPr>
          <w:noProof w:val="0"/>
        </w:rPr>
      </w:pPr>
    </w:p>
    <w:p w:rsidR="00255979" w:rsidRPr="008B4680" w:rsidRDefault="00255979" w:rsidP="00633D05">
      <w:pPr>
        <w:pStyle w:val="BTEMEASMCA"/>
        <w:rPr>
          <w:noProof w:val="0"/>
        </w:rPr>
      </w:pPr>
    </w:p>
    <w:p w:rsidR="00255979" w:rsidRPr="008B4680" w:rsidRDefault="00255979" w:rsidP="001120C8">
      <w:pPr>
        <w:pStyle w:val="PI-1labEMEASMCA"/>
      </w:pPr>
      <w:r w:rsidRPr="008B4680">
        <w:t>11.</w:t>
      </w:r>
      <w:r w:rsidRPr="008B4680">
        <w:tab/>
        <w:t>RINKODAROS TEISĖS TURĖTOJO PAVADINIMAS IR ADRESAS</w:t>
      </w:r>
    </w:p>
    <w:p w:rsidR="00255979" w:rsidRPr="008B4680" w:rsidRDefault="00255979" w:rsidP="00633D05">
      <w:pPr>
        <w:pStyle w:val="BTEMEASMCA"/>
        <w:rPr>
          <w:noProof w:val="0"/>
        </w:rPr>
      </w:pPr>
    </w:p>
    <w:p w:rsidR="00F13CF6" w:rsidRPr="00F13CF6" w:rsidRDefault="00F13CF6" w:rsidP="00F13CF6">
      <w:pPr>
        <w:rPr>
          <w:sz w:val="22"/>
          <w:szCs w:val="22"/>
        </w:rPr>
      </w:pPr>
      <w:r w:rsidRPr="00F13CF6">
        <w:rPr>
          <w:sz w:val="22"/>
          <w:szCs w:val="22"/>
        </w:rPr>
        <w:t>MYLAN S.A.S.</w:t>
      </w:r>
    </w:p>
    <w:p w:rsidR="00F13CF6" w:rsidRDefault="00F13CF6" w:rsidP="00F13CF6">
      <w:pPr>
        <w:rPr>
          <w:sz w:val="22"/>
          <w:szCs w:val="22"/>
        </w:rPr>
      </w:pPr>
      <w:r w:rsidRPr="00F13CF6">
        <w:rPr>
          <w:sz w:val="22"/>
          <w:szCs w:val="22"/>
        </w:rPr>
        <w:t xml:space="preserve">117 </w:t>
      </w:r>
      <w:proofErr w:type="spellStart"/>
      <w:r w:rsidRPr="00F13CF6">
        <w:rPr>
          <w:sz w:val="22"/>
          <w:szCs w:val="22"/>
        </w:rPr>
        <w:t>Allée</w:t>
      </w:r>
      <w:proofErr w:type="spellEnd"/>
      <w:r w:rsidRPr="00F13CF6">
        <w:rPr>
          <w:sz w:val="22"/>
          <w:szCs w:val="22"/>
        </w:rPr>
        <w:t xml:space="preserve"> </w:t>
      </w:r>
      <w:proofErr w:type="spellStart"/>
      <w:r w:rsidRPr="00F13CF6">
        <w:rPr>
          <w:sz w:val="22"/>
          <w:szCs w:val="22"/>
        </w:rPr>
        <w:t>des</w:t>
      </w:r>
      <w:proofErr w:type="spellEnd"/>
      <w:r w:rsidRPr="00F13CF6">
        <w:rPr>
          <w:sz w:val="22"/>
          <w:szCs w:val="22"/>
        </w:rPr>
        <w:t xml:space="preserve"> </w:t>
      </w:r>
      <w:proofErr w:type="spellStart"/>
      <w:r w:rsidRPr="00F13CF6">
        <w:rPr>
          <w:sz w:val="22"/>
          <w:szCs w:val="22"/>
        </w:rPr>
        <w:t>Parcs</w:t>
      </w:r>
      <w:proofErr w:type="spellEnd"/>
      <w:r w:rsidRPr="00F13CF6">
        <w:rPr>
          <w:sz w:val="22"/>
          <w:szCs w:val="22"/>
        </w:rPr>
        <w:t xml:space="preserve"> </w:t>
      </w:r>
    </w:p>
    <w:p w:rsidR="00F13CF6" w:rsidRDefault="00F13CF6" w:rsidP="00F13CF6">
      <w:pPr>
        <w:rPr>
          <w:sz w:val="22"/>
          <w:szCs w:val="22"/>
        </w:rPr>
      </w:pPr>
      <w:r w:rsidRPr="00F13CF6">
        <w:rPr>
          <w:sz w:val="22"/>
          <w:szCs w:val="22"/>
        </w:rPr>
        <w:t xml:space="preserve">69800 SAINT-PRIEST </w:t>
      </w:r>
    </w:p>
    <w:p w:rsidR="00255979" w:rsidRDefault="00F13CF6" w:rsidP="00F13CF6">
      <w:pPr>
        <w:pStyle w:val="BTEMEASMCA"/>
        <w:rPr>
          <w:szCs w:val="22"/>
        </w:rPr>
      </w:pPr>
      <w:r w:rsidRPr="00F13CF6">
        <w:rPr>
          <w:szCs w:val="22"/>
        </w:rPr>
        <w:t>Prancūzija</w:t>
      </w:r>
    </w:p>
    <w:p w:rsidR="00F13CF6" w:rsidRPr="008B4680" w:rsidRDefault="00F13CF6" w:rsidP="00F13CF6">
      <w:pPr>
        <w:pStyle w:val="BTEMEASMCA"/>
        <w:rPr>
          <w:noProof w:val="0"/>
        </w:rPr>
      </w:pPr>
    </w:p>
    <w:p w:rsidR="00255979" w:rsidRPr="008B4680" w:rsidRDefault="00255979" w:rsidP="00633D05">
      <w:pPr>
        <w:pStyle w:val="BTEMEASMCA"/>
        <w:rPr>
          <w:noProof w:val="0"/>
        </w:rPr>
      </w:pPr>
    </w:p>
    <w:p w:rsidR="00255979" w:rsidRPr="008B4680" w:rsidRDefault="00255979" w:rsidP="001120C8">
      <w:pPr>
        <w:pStyle w:val="PI-1labEMEASMCA"/>
      </w:pPr>
      <w:r w:rsidRPr="008B4680">
        <w:t>12.</w:t>
      </w:r>
      <w:r w:rsidRPr="008B4680">
        <w:tab/>
        <w:t xml:space="preserve">RINKODAROS TEISĖS NUMERIS </w:t>
      </w:r>
    </w:p>
    <w:p w:rsidR="00255979" w:rsidRPr="003A6AEE" w:rsidRDefault="00255979" w:rsidP="00633D05">
      <w:pPr>
        <w:pStyle w:val="BTEMEASMCA"/>
        <w:rPr>
          <w:noProof w:val="0"/>
        </w:rPr>
      </w:pPr>
    </w:p>
    <w:p w:rsidR="00255979" w:rsidRDefault="00255979" w:rsidP="004873B0">
      <w:pPr>
        <w:pStyle w:val="BTEMEASMCA"/>
        <w:rPr>
          <w:noProof w:val="0"/>
        </w:rPr>
      </w:pPr>
      <w:r>
        <w:rPr>
          <w:noProof w:val="0"/>
        </w:rPr>
        <w:t>50 mg – LT/1/13/3200/004</w:t>
      </w:r>
    </w:p>
    <w:p w:rsidR="00255979" w:rsidRDefault="00255979" w:rsidP="004873B0">
      <w:pPr>
        <w:pStyle w:val="BTEMEASMCA"/>
        <w:rPr>
          <w:noProof w:val="0"/>
        </w:rPr>
      </w:pPr>
      <w:r>
        <w:rPr>
          <w:noProof w:val="0"/>
        </w:rPr>
        <w:t>100 mg – LT/1/13/3200/005</w:t>
      </w:r>
    </w:p>
    <w:p w:rsidR="00255979" w:rsidRPr="008B4680" w:rsidRDefault="00255979" w:rsidP="00633D05">
      <w:pPr>
        <w:pStyle w:val="BTEMEASMCA"/>
        <w:rPr>
          <w:noProof w:val="0"/>
        </w:rPr>
      </w:pPr>
    </w:p>
    <w:p w:rsidR="00255979" w:rsidRPr="008B4680" w:rsidRDefault="00255979" w:rsidP="00633D05">
      <w:pPr>
        <w:pStyle w:val="BTEMEASMCA"/>
        <w:rPr>
          <w:noProof w:val="0"/>
        </w:rPr>
      </w:pPr>
    </w:p>
    <w:p w:rsidR="00255979" w:rsidRPr="008B4680" w:rsidRDefault="00255979" w:rsidP="001120C8">
      <w:pPr>
        <w:pStyle w:val="PI-1labEMEASMCA"/>
      </w:pPr>
      <w:r w:rsidRPr="008B4680">
        <w:t>13.</w:t>
      </w:r>
      <w:r w:rsidRPr="008B4680">
        <w:tab/>
        <w:t>SERIJOS NUMERIS</w:t>
      </w:r>
    </w:p>
    <w:p w:rsidR="00255979" w:rsidRPr="008B4680" w:rsidRDefault="00255979" w:rsidP="00633D05">
      <w:pPr>
        <w:pStyle w:val="BTEMEASMCA"/>
        <w:rPr>
          <w:noProof w:val="0"/>
        </w:rPr>
      </w:pPr>
    </w:p>
    <w:p w:rsidR="00255979" w:rsidRPr="008B4680" w:rsidRDefault="00255979" w:rsidP="005772DF">
      <w:pPr>
        <w:pStyle w:val="CM6"/>
        <w:rPr>
          <w:rFonts w:cs="Times New Roman"/>
          <w:sz w:val="22"/>
          <w:szCs w:val="22"/>
          <w:lang w:val="lt-LT"/>
        </w:rPr>
      </w:pPr>
      <w:r w:rsidRPr="008B4680">
        <w:rPr>
          <w:rFonts w:cs="Times New Roman"/>
          <w:sz w:val="22"/>
          <w:szCs w:val="22"/>
          <w:lang w:val="lt-LT"/>
        </w:rPr>
        <w:t xml:space="preserve">Serija: </w:t>
      </w:r>
    </w:p>
    <w:p w:rsidR="00255979" w:rsidRPr="008B4680" w:rsidRDefault="00255979" w:rsidP="00633D05">
      <w:pPr>
        <w:pStyle w:val="BTEMEASMCA"/>
        <w:rPr>
          <w:noProof w:val="0"/>
        </w:rPr>
      </w:pPr>
    </w:p>
    <w:p w:rsidR="00255979" w:rsidRPr="008B4680" w:rsidRDefault="00255979" w:rsidP="00633D05">
      <w:pPr>
        <w:pStyle w:val="BTEMEASMCA"/>
        <w:rPr>
          <w:noProof w:val="0"/>
        </w:rPr>
      </w:pPr>
    </w:p>
    <w:p w:rsidR="00255979" w:rsidRPr="008B4680" w:rsidRDefault="00255979" w:rsidP="001120C8">
      <w:pPr>
        <w:pStyle w:val="PI-1labEMEASMCA"/>
      </w:pPr>
      <w:r w:rsidRPr="008B4680">
        <w:t>14.</w:t>
      </w:r>
      <w:r w:rsidRPr="008B4680">
        <w:tab/>
        <w:t>PARDAVIMO (IŠDAVIMO) TVARKA</w:t>
      </w:r>
    </w:p>
    <w:p w:rsidR="00255979" w:rsidRPr="008B4680" w:rsidRDefault="00255979" w:rsidP="00633D05">
      <w:pPr>
        <w:pStyle w:val="BTEMEASMCA"/>
        <w:rPr>
          <w:noProof w:val="0"/>
        </w:rPr>
      </w:pPr>
    </w:p>
    <w:p w:rsidR="00255979" w:rsidRPr="003A6AEE" w:rsidRDefault="00255979" w:rsidP="005772DF">
      <w:pPr>
        <w:pStyle w:val="CM2"/>
        <w:rPr>
          <w:rFonts w:cs="Times New Roman"/>
          <w:sz w:val="22"/>
          <w:szCs w:val="22"/>
          <w:lang w:val="lt-LT"/>
        </w:rPr>
      </w:pPr>
      <w:r w:rsidRPr="008B4680">
        <w:rPr>
          <w:rFonts w:cs="Times New Roman"/>
          <w:sz w:val="22"/>
          <w:szCs w:val="22"/>
          <w:lang w:val="lt-LT"/>
        </w:rPr>
        <w:t xml:space="preserve">Receptinis vaistinis preparatas. </w:t>
      </w:r>
    </w:p>
    <w:p w:rsidR="00255979" w:rsidRPr="008B4680" w:rsidRDefault="00255979" w:rsidP="00633D05">
      <w:pPr>
        <w:pStyle w:val="BTEMEASMCA"/>
        <w:rPr>
          <w:noProof w:val="0"/>
        </w:rPr>
      </w:pPr>
    </w:p>
    <w:p w:rsidR="00255979" w:rsidRPr="008B4680" w:rsidRDefault="00255979" w:rsidP="00633D05">
      <w:pPr>
        <w:pStyle w:val="BTEMEASMCA"/>
        <w:rPr>
          <w:noProof w:val="0"/>
        </w:rPr>
      </w:pPr>
    </w:p>
    <w:p w:rsidR="00255979" w:rsidRPr="008B4680" w:rsidRDefault="00255979" w:rsidP="001120C8">
      <w:pPr>
        <w:pStyle w:val="PI-1labEMEASMCA"/>
      </w:pPr>
      <w:r w:rsidRPr="008B4680">
        <w:t>15.</w:t>
      </w:r>
      <w:r w:rsidRPr="008B4680">
        <w:tab/>
        <w:t>VARTOJIMO INSTRUKCIJA</w:t>
      </w:r>
    </w:p>
    <w:p w:rsidR="00255979" w:rsidRPr="008B4680" w:rsidRDefault="00255979" w:rsidP="00633D05">
      <w:pPr>
        <w:pStyle w:val="BTEMEASMCA"/>
        <w:rPr>
          <w:noProof w:val="0"/>
        </w:rPr>
      </w:pPr>
    </w:p>
    <w:p w:rsidR="00255979" w:rsidRPr="008B4680" w:rsidRDefault="00255979" w:rsidP="00633D05">
      <w:pPr>
        <w:pStyle w:val="BTEMEASMCA"/>
        <w:rPr>
          <w:noProof w:val="0"/>
        </w:rPr>
      </w:pPr>
    </w:p>
    <w:p w:rsidR="00255979" w:rsidRPr="008B4680" w:rsidRDefault="00255979" w:rsidP="001120C8">
      <w:pPr>
        <w:pStyle w:val="PI-1labEMEASMCA"/>
      </w:pPr>
      <w:r w:rsidRPr="008B4680">
        <w:t>16.</w:t>
      </w:r>
      <w:r w:rsidRPr="008B4680">
        <w:tab/>
        <w:t>INFORMACIJA BRAILIO RAŠTU</w:t>
      </w:r>
    </w:p>
    <w:p w:rsidR="00255979" w:rsidRPr="008B4680" w:rsidRDefault="00255979" w:rsidP="00633D05">
      <w:pPr>
        <w:pStyle w:val="BTEMEASMCA"/>
        <w:rPr>
          <w:noProof w:val="0"/>
        </w:rPr>
      </w:pPr>
    </w:p>
    <w:p w:rsidR="00255979" w:rsidRPr="008B4680" w:rsidRDefault="00255979" w:rsidP="00F9729F">
      <w:pPr>
        <w:rPr>
          <w:noProof/>
          <w:sz w:val="22"/>
          <w:szCs w:val="22"/>
        </w:rPr>
      </w:pPr>
      <w:r w:rsidRPr="005C7132">
        <w:rPr>
          <w:sz w:val="22"/>
          <w:szCs w:val="22"/>
          <w:highlight w:val="lightGray"/>
          <w:lang w:val="bg-BG"/>
        </w:rPr>
        <w:t>Priimtas pa</w:t>
      </w:r>
      <w:r w:rsidRPr="005C7132">
        <w:rPr>
          <w:sz w:val="22"/>
          <w:szCs w:val="22"/>
          <w:highlight w:val="lightGray"/>
        </w:rPr>
        <w:t>grindimas</w:t>
      </w:r>
      <w:r w:rsidRPr="005C7132">
        <w:rPr>
          <w:sz w:val="22"/>
          <w:szCs w:val="22"/>
          <w:highlight w:val="lightGray"/>
          <w:lang w:val="bg-BG"/>
        </w:rPr>
        <w:t xml:space="preserve"> informacijos Brailio raštu</w:t>
      </w:r>
      <w:r w:rsidRPr="005C7132">
        <w:rPr>
          <w:sz w:val="22"/>
          <w:szCs w:val="22"/>
          <w:highlight w:val="lightGray"/>
        </w:rPr>
        <w:t xml:space="preserve"> nepateikti.</w:t>
      </w:r>
    </w:p>
    <w:p w:rsidR="00255979" w:rsidRPr="008B4680" w:rsidRDefault="00255979" w:rsidP="00633D05">
      <w:pPr>
        <w:pStyle w:val="BTEMEASMCA"/>
        <w:rPr>
          <w:noProof w:val="0"/>
        </w:rPr>
      </w:pPr>
    </w:p>
    <w:p w:rsidR="00255979" w:rsidRPr="008B4680" w:rsidRDefault="00255979" w:rsidP="005772DF">
      <w:pPr>
        <w:pStyle w:val="BTEMEASMCA"/>
      </w:pPr>
      <w:r w:rsidRPr="008B4680">
        <w:br w:type="page"/>
      </w:r>
    </w:p>
    <w:p w:rsidR="00255979" w:rsidRPr="008B4680" w:rsidRDefault="00255979" w:rsidP="001120C8">
      <w:pPr>
        <w:pStyle w:val="PI-1labEMEASMCA"/>
      </w:pPr>
      <w:r w:rsidRPr="008B4680">
        <w:lastRenderedPageBreak/>
        <w:t>MINIMALI INFORMACIJA ANT MAŽŲ VIDINIŲ</w:t>
      </w:r>
      <w:r w:rsidRPr="008B4680">
        <w:rPr>
          <w:bCs/>
        </w:rPr>
        <w:t xml:space="preserve"> </w:t>
      </w:r>
      <w:r w:rsidRPr="008B4680">
        <w:t>PAKUOČIŲ</w:t>
      </w:r>
    </w:p>
    <w:p w:rsidR="00255979" w:rsidRPr="008B4680" w:rsidRDefault="00255979" w:rsidP="001120C8">
      <w:pPr>
        <w:pStyle w:val="PI-1labEMEASMCA"/>
      </w:pPr>
    </w:p>
    <w:p w:rsidR="00255979" w:rsidRPr="008B4680" w:rsidRDefault="00255979" w:rsidP="001120C8">
      <w:pPr>
        <w:pStyle w:val="PI-1labEMEASMCA"/>
      </w:pPr>
      <w:r w:rsidRPr="008B4680">
        <w:t xml:space="preserve">OXALIPLATIN </w:t>
      </w:r>
      <w:r w:rsidR="00501874" w:rsidRPr="00501874">
        <w:rPr>
          <w:szCs w:val="22"/>
        </w:rPr>
        <w:t>M</w:t>
      </w:r>
      <w:r w:rsidR="00501874" w:rsidRPr="00501874">
        <w:rPr>
          <w:szCs w:val="22"/>
        </w:rPr>
        <w:t>YLAN</w:t>
      </w:r>
      <w:r w:rsidRPr="008B4680">
        <w:t xml:space="preserve"> 5 MG/ML MILTELIAI INFUZINIAM TIRPALUI / </w:t>
      </w:r>
      <w:r>
        <w:t>FLAKONAS</w:t>
      </w:r>
    </w:p>
    <w:p w:rsidR="00255979" w:rsidRDefault="00255979" w:rsidP="00633D05">
      <w:pPr>
        <w:pStyle w:val="BTEMEASMCA"/>
        <w:rPr>
          <w:noProof w:val="0"/>
        </w:rPr>
      </w:pPr>
    </w:p>
    <w:p w:rsidR="00255979" w:rsidRPr="008B4680" w:rsidRDefault="00255979" w:rsidP="00633D05">
      <w:pPr>
        <w:pStyle w:val="BTEMEASMCA"/>
        <w:rPr>
          <w:noProof w:val="0"/>
        </w:rPr>
      </w:pPr>
    </w:p>
    <w:p w:rsidR="00255979" w:rsidRPr="003A6AEE" w:rsidRDefault="00255979" w:rsidP="005772DF">
      <w:pPr>
        <w:pStyle w:val="CM2"/>
        <w:pBdr>
          <w:top w:val="single" w:sz="4" w:space="1" w:color="auto"/>
          <w:left w:val="single" w:sz="4" w:space="4" w:color="auto"/>
          <w:bottom w:val="single" w:sz="4" w:space="1" w:color="auto"/>
          <w:right w:val="single" w:sz="4" w:space="4" w:color="auto"/>
        </w:pBdr>
        <w:rPr>
          <w:rFonts w:cs="Times New Roman"/>
          <w:color w:val="000000"/>
          <w:sz w:val="22"/>
          <w:szCs w:val="22"/>
          <w:lang w:val="it-IT"/>
        </w:rPr>
      </w:pPr>
      <w:r w:rsidRPr="003A6AEE">
        <w:rPr>
          <w:rFonts w:cs="Times New Roman"/>
          <w:b/>
          <w:bCs/>
          <w:color w:val="000000"/>
          <w:sz w:val="22"/>
          <w:szCs w:val="22"/>
          <w:lang w:val="it-IT"/>
        </w:rPr>
        <w:t xml:space="preserve">1. VAISTINIO PREPARATO PAVADINIMAS </w:t>
      </w:r>
    </w:p>
    <w:p w:rsidR="00255979" w:rsidRPr="003A6AEE" w:rsidRDefault="00255979" w:rsidP="005772DF">
      <w:pPr>
        <w:pStyle w:val="CM6"/>
        <w:rPr>
          <w:rFonts w:cs="Times New Roman"/>
          <w:color w:val="000000"/>
          <w:sz w:val="22"/>
          <w:szCs w:val="22"/>
          <w:lang w:val="it-IT"/>
        </w:rPr>
      </w:pPr>
    </w:p>
    <w:p w:rsidR="00255979" w:rsidRPr="003A6AEE" w:rsidRDefault="00255979" w:rsidP="005772DF">
      <w:pPr>
        <w:pStyle w:val="CM6"/>
        <w:rPr>
          <w:rFonts w:cs="Times New Roman"/>
          <w:color w:val="000000"/>
          <w:sz w:val="22"/>
          <w:szCs w:val="22"/>
          <w:lang w:val="it-IT"/>
        </w:rPr>
      </w:pPr>
      <w:r w:rsidRPr="003A6AEE">
        <w:rPr>
          <w:rFonts w:cs="Times New Roman"/>
          <w:color w:val="000000"/>
          <w:sz w:val="22"/>
          <w:szCs w:val="22"/>
          <w:lang w:val="it-IT"/>
        </w:rPr>
        <w:t xml:space="preserve">Oxaliplatin </w:t>
      </w:r>
      <w:r w:rsidR="00501874" w:rsidRPr="00501874">
        <w:rPr>
          <w:sz w:val="22"/>
          <w:szCs w:val="22"/>
        </w:rPr>
        <w:t>Mylan</w:t>
      </w:r>
      <w:r w:rsidRPr="003A6AEE">
        <w:rPr>
          <w:rFonts w:cs="Times New Roman"/>
          <w:color w:val="000000"/>
          <w:sz w:val="22"/>
          <w:szCs w:val="22"/>
          <w:lang w:val="it-IT"/>
        </w:rPr>
        <w:t xml:space="preserve"> 5 mg/ml milteliai infuziniam tirpalui </w:t>
      </w:r>
    </w:p>
    <w:p w:rsidR="00255979" w:rsidRPr="003A6AEE" w:rsidRDefault="00255979" w:rsidP="005772DF">
      <w:pPr>
        <w:pStyle w:val="CM6"/>
        <w:rPr>
          <w:rFonts w:cs="Times New Roman"/>
          <w:color w:val="000000"/>
          <w:sz w:val="22"/>
          <w:szCs w:val="22"/>
          <w:lang w:val="it-IT"/>
        </w:rPr>
      </w:pPr>
      <w:r w:rsidRPr="003A6AEE">
        <w:rPr>
          <w:rFonts w:cs="Times New Roman"/>
          <w:color w:val="000000"/>
          <w:sz w:val="22"/>
          <w:szCs w:val="22"/>
          <w:lang w:val="it-IT"/>
        </w:rPr>
        <w:t xml:space="preserve">Oksaliplatina </w:t>
      </w:r>
    </w:p>
    <w:p w:rsidR="00255979" w:rsidRPr="003A6AEE" w:rsidRDefault="00255979" w:rsidP="005772DF">
      <w:pPr>
        <w:pStyle w:val="Default"/>
        <w:rPr>
          <w:color w:val="auto"/>
          <w:sz w:val="22"/>
          <w:szCs w:val="22"/>
          <w:lang w:val="it-IT"/>
        </w:rPr>
      </w:pPr>
    </w:p>
    <w:p w:rsidR="00255979" w:rsidRPr="003A6AEE" w:rsidRDefault="00255979" w:rsidP="005772DF">
      <w:pPr>
        <w:pStyle w:val="Default"/>
        <w:rPr>
          <w:color w:val="auto"/>
          <w:sz w:val="22"/>
          <w:szCs w:val="22"/>
          <w:lang w:val="it-IT"/>
        </w:rPr>
      </w:pPr>
      <w:r w:rsidRPr="003A6AEE">
        <w:rPr>
          <w:color w:val="auto"/>
          <w:sz w:val="22"/>
          <w:szCs w:val="22"/>
          <w:lang w:val="it-IT"/>
        </w:rPr>
        <w:t xml:space="preserve"> </w:t>
      </w:r>
    </w:p>
    <w:p w:rsidR="00255979" w:rsidRPr="003A6AEE" w:rsidRDefault="00255979" w:rsidP="005772DF">
      <w:pPr>
        <w:pStyle w:val="CM5"/>
        <w:pBdr>
          <w:top w:val="single" w:sz="4" w:space="1" w:color="auto"/>
          <w:left w:val="single" w:sz="4" w:space="4" w:color="auto"/>
          <w:bottom w:val="single" w:sz="4" w:space="1" w:color="auto"/>
          <w:right w:val="single" w:sz="4" w:space="4" w:color="auto"/>
        </w:pBdr>
        <w:rPr>
          <w:rFonts w:cs="Times New Roman"/>
          <w:sz w:val="22"/>
          <w:szCs w:val="22"/>
          <w:lang w:val="it-IT"/>
        </w:rPr>
      </w:pPr>
      <w:r w:rsidRPr="003A6AEE">
        <w:rPr>
          <w:rFonts w:cs="Times New Roman"/>
          <w:b/>
          <w:bCs/>
          <w:sz w:val="22"/>
          <w:szCs w:val="22"/>
          <w:lang w:val="it-IT"/>
        </w:rPr>
        <w:t xml:space="preserve">2. VEIKLIOJI (-IOS) MEDŽIAGA (-OS) IR JOS (-Ų) KIEKIS (-IAI) </w:t>
      </w:r>
    </w:p>
    <w:p w:rsidR="00255979" w:rsidRPr="003A6AEE" w:rsidRDefault="00255979" w:rsidP="005772DF">
      <w:pPr>
        <w:pStyle w:val="CM6"/>
        <w:rPr>
          <w:rFonts w:cs="Times New Roman"/>
          <w:sz w:val="22"/>
          <w:szCs w:val="22"/>
          <w:lang w:val="it-IT"/>
        </w:rPr>
      </w:pPr>
    </w:p>
    <w:p w:rsidR="00255979" w:rsidRPr="003A6AEE" w:rsidRDefault="00255979" w:rsidP="005772DF">
      <w:pPr>
        <w:pStyle w:val="CM6"/>
        <w:rPr>
          <w:rFonts w:cs="Times New Roman"/>
          <w:sz w:val="22"/>
          <w:szCs w:val="22"/>
          <w:lang w:val="it-IT"/>
        </w:rPr>
      </w:pPr>
      <w:r w:rsidRPr="003A6AEE">
        <w:rPr>
          <w:rFonts w:cs="Times New Roman"/>
          <w:sz w:val="22"/>
          <w:szCs w:val="22"/>
          <w:lang w:val="it-IT"/>
        </w:rPr>
        <w:t xml:space="preserve">1 ml paruošto tirpalo yra 5 mg oksaliplatinos. </w:t>
      </w:r>
    </w:p>
    <w:p w:rsidR="00255979" w:rsidRDefault="00255979" w:rsidP="005772DF">
      <w:pPr>
        <w:pStyle w:val="Default"/>
        <w:rPr>
          <w:sz w:val="22"/>
          <w:szCs w:val="22"/>
          <w:lang w:val="it-IT"/>
        </w:rPr>
      </w:pPr>
    </w:p>
    <w:p w:rsidR="00255979" w:rsidRPr="003A6AEE" w:rsidRDefault="00255979" w:rsidP="005772DF">
      <w:pPr>
        <w:pStyle w:val="Default"/>
        <w:rPr>
          <w:sz w:val="22"/>
          <w:szCs w:val="22"/>
          <w:lang w:val="it-IT"/>
        </w:rPr>
      </w:pPr>
    </w:p>
    <w:p w:rsidR="00255979" w:rsidRPr="003A6AEE" w:rsidRDefault="00255979" w:rsidP="005772DF">
      <w:pPr>
        <w:pStyle w:val="CM5"/>
        <w:pBdr>
          <w:top w:val="single" w:sz="4" w:space="1" w:color="auto"/>
          <w:left w:val="single" w:sz="4" w:space="4" w:color="auto"/>
          <w:bottom w:val="single" w:sz="4" w:space="1" w:color="auto"/>
          <w:right w:val="single" w:sz="4" w:space="4" w:color="auto"/>
        </w:pBdr>
        <w:rPr>
          <w:rFonts w:cs="Times New Roman"/>
          <w:sz w:val="22"/>
          <w:szCs w:val="22"/>
          <w:lang w:val="it-IT"/>
        </w:rPr>
      </w:pPr>
      <w:r w:rsidRPr="003A6AEE">
        <w:rPr>
          <w:rFonts w:cs="Times New Roman"/>
          <w:b/>
          <w:bCs/>
          <w:sz w:val="22"/>
          <w:szCs w:val="22"/>
          <w:lang w:val="it-IT"/>
        </w:rPr>
        <w:t xml:space="preserve">3. PAGALBINIŲ MEDŽIAGŲ SĄRAŠAS </w:t>
      </w:r>
    </w:p>
    <w:p w:rsidR="00255979" w:rsidRPr="003A6AEE" w:rsidRDefault="00255979" w:rsidP="005772DF">
      <w:pPr>
        <w:pStyle w:val="CM6"/>
        <w:rPr>
          <w:rFonts w:cs="Times New Roman"/>
          <w:sz w:val="22"/>
          <w:szCs w:val="22"/>
          <w:lang w:val="it-IT"/>
        </w:rPr>
      </w:pPr>
    </w:p>
    <w:p w:rsidR="00255979" w:rsidRPr="003A6AEE" w:rsidRDefault="00255979" w:rsidP="005772DF">
      <w:pPr>
        <w:pStyle w:val="CM6"/>
        <w:rPr>
          <w:rFonts w:cs="Times New Roman"/>
          <w:sz w:val="22"/>
          <w:szCs w:val="22"/>
          <w:lang w:val="it-IT"/>
        </w:rPr>
      </w:pPr>
      <w:r w:rsidRPr="003A6AEE">
        <w:rPr>
          <w:rFonts w:cs="Times New Roman"/>
          <w:sz w:val="22"/>
          <w:szCs w:val="22"/>
          <w:lang w:val="it-IT"/>
        </w:rPr>
        <w:t xml:space="preserve">Šiame vaistiniame preparate yra laktozės monohidrato. </w:t>
      </w:r>
    </w:p>
    <w:p w:rsidR="00255979" w:rsidRPr="003A6AEE" w:rsidRDefault="00255979" w:rsidP="005772DF">
      <w:pPr>
        <w:pStyle w:val="CM6"/>
        <w:rPr>
          <w:rFonts w:cs="Times New Roman"/>
          <w:sz w:val="22"/>
          <w:szCs w:val="22"/>
          <w:lang w:val="it-IT"/>
        </w:rPr>
      </w:pPr>
      <w:r w:rsidRPr="003A6AEE">
        <w:rPr>
          <w:rFonts w:cs="Times New Roman"/>
          <w:sz w:val="22"/>
          <w:szCs w:val="22"/>
          <w:lang w:val="it-IT"/>
        </w:rPr>
        <w:t>Daugiau informacijos pateikta pakuotės lapelyje.</w:t>
      </w:r>
    </w:p>
    <w:p w:rsidR="00255979" w:rsidRPr="003A6AEE" w:rsidRDefault="00255979" w:rsidP="003A6AEE">
      <w:pPr>
        <w:pStyle w:val="Default"/>
        <w:rPr>
          <w:sz w:val="22"/>
          <w:szCs w:val="22"/>
          <w:lang w:val="it-IT"/>
        </w:rPr>
      </w:pPr>
    </w:p>
    <w:p w:rsidR="00255979" w:rsidRPr="003A6AEE" w:rsidRDefault="00255979" w:rsidP="005772DF">
      <w:pPr>
        <w:pStyle w:val="CM6"/>
        <w:rPr>
          <w:rFonts w:cs="Times New Roman"/>
          <w:sz w:val="22"/>
          <w:szCs w:val="22"/>
          <w:lang w:val="it-IT"/>
        </w:rPr>
      </w:pPr>
      <w:r w:rsidRPr="003A6AEE">
        <w:rPr>
          <w:rFonts w:cs="Times New Roman"/>
          <w:sz w:val="22"/>
          <w:szCs w:val="22"/>
          <w:lang w:val="it-IT"/>
        </w:rPr>
        <w:t xml:space="preserve"> </w:t>
      </w:r>
    </w:p>
    <w:p w:rsidR="00255979" w:rsidRPr="003A6AEE" w:rsidRDefault="00255979" w:rsidP="005772DF">
      <w:pPr>
        <w:pStyle w:val="CM2"/>
        <w:pBdr>
          <w:top w:val="single" w:sz="4" w:space="1" w:color="auto"/>
          <w:left w:val="single" w:sz="4" w:space="4" w:color="auto"/>
          <w:bottom w:val="single" w:sz="4" w:space="1" w:color="auto"/>
          <w:right w:val="single" w:sz="4" w:space="4" w:color="auto"/>
        </w:pBdr>
        <w:rPr>
          <w:rFonts w:cs="Times New Roman"/>
          <w:sz w:val="22"/>
          <w:szCs w:val="22"/>
          <w:lang w:val="it-IT"/>
        </w:rPr>
      </w:pPr>
      <w:r w:rsidRPr="003A6AEE">
        <w:rPr>
          <w:rFonts w:cs="Times New Roman"/>
          <w:b/>
          <w:bCs/>
          <w:sz w:val="22"/>
          <w:szCs w:val="22"/>
          <w:lang w:val="it-IT"/>
        </w:rPr>
        <w:t xml:space="preserve">4. FARMACINĖ FORMA IR KIEKIS PAKUOTĖJE </w:t>
      </w:r>
    </w:p>
    <w:p w:rsidR="00255979" w:rsidRPr="003A6AEE" w:rsidRDefault="00255979" w:rsidP="005772DF">
      <w:pPr>
        <w:pStyle w:val="CM3"/>
        <w:spacing w:line="240" w:lineRule="auto"/>
        <w:rPr>
          <w:rFonts w:cs="Times New Roman"/>
          <w:sz w:val="22"/>
          <w:szCs w:val="22"/>
          <w:lang w:val="it-IT"/>
        </w:rPr>
      </w:pPr>
    </w:p>
    <w:p w:rsidR="00255979" w:rsidRPr="003A6AEE" w:rsidRDefault="00255979" w:rsidP="005772DF">
      <w:pPr>
        <w:pStyle w:val="CM3"/>
        <w:spacing w:line="240" w:lineRule="auto"/>
        <w:rPr>
          <w:rFonts w:cs="Times New Roman"/>
          <w:sz w:val="22"/>
          <w:szCs w:val="22"/>
          <w:lang w:val="it-IT"/>
        </w:rPr>
      </w:pPr>
      <w:r w:rsidRPr="003A6AEE">
        <w:rPr>
          <w:rFonts w:cs="Times New Roman"/>
          <w:sz w:val="22"/>
          <w:szCs w:val="22"/>
          <w:lang w:val="it-IT"/>
        </w:rPr>
        <w:t xml:space="preserve">Milteliai infuziniam tirpalui. </w:t>
      </w:r>
    </w:p>
    <w:p w:rsidR="00255979" w:rsidRPr="003A6AEE" w:rsidRDefault="00255979" w:rsidP="005772DF">
      <w:pPr>
        <w:pStyle w:val="CM3"/>
        <w:spacing w:line="240" w:lineRule="auto"/>
        <w:rPr>
          <w:rFonts w:cs="Times New Roman"/>
          <w:sz w:val="22"/>
          <w:szCs w:val="22"/>
          <w:lang w:val="it-IT"/>
        </w:rPr>
      </w:pPr>
    </w:p>
    <w:p w:rsidR="00255979" w:rsidRPr="003A6AEE" w:rsidRDefault="00255979" w:rsidP="005772DF">
      <w:pPr>
        <w:pStyle w:val="CM3"/>
        <w:spacing w:line="240" w:lineRule="auto"/>
        <w:rPr>
          <w:rFonts w:cs="Times New Roman"/>
          <w:sz w:val="22"/>
          <w:szCs w:val="22"/>
          <w:lang w:val="it-IT"/>
        </w:rPr>
      </w:pPr>
      <w:r w:rsidRPr="003A6AEE">
        <w:rPr>
          <w:rFonts w:cs="Times New Roman"/>
          <w:sz w:val="22"/>
          <w:szCs w:val="22"/>
          <w:lang w:val="it-IT"/>
        </w:rPr>
        <w:t xml:space="preserve">Kiekviename </w:t>
      </w:r>
      <w:r>
        <w:rPr>
          <w:rFonts w:cs="Times New Roman"/>
          <w:sz w:val="22"/>
          <w:szCs w:val="22"/>
          <w:lang w:val="it-IT"/>
        </w:rPr>
        <w:t>flakone</w:t>
      </w:r>
      <w:r w:rsidRPr="003A6AEE">
        <w:rPr>
          <w:rFonts w:cs="Times New Roman"/>
          <w:sz w:val="22"/>
          <w:szCs w:val="22"/>
          <w:lang w:val="it-IT"/>
        </w:rPr>
        <w:t xml:space="preserve"> yra 50 mg oksaliplatinos, skirtos </w:t>
      </w:r>
      <w:r>
        <w:rPr>
          <w:rFonts w:cs="Times New Roman"/>
          <w:sz w:val="22"/>
          <w:szCs w:val="22"/>
          <w:lang w:val="it-IT"/>
        </w:rPr>
        <w:t>ištirpinti</w:t>
      </w:r>
      <w:r w:rsidRPr="003A6AEE">
        <w:rPr>
          <w:rFonts w:cs="Times New Roman"/>
          <w:sz w:val="22"/>
          <w:szCs w:val="22"/>
          <w:lang w:val="it-IT"/>
        </w:rPr>
        <w:t xml:space="preserve"> 10 ml tirpiklio. </w:t>
      </w:r>
    </w:p>
    <w:p w:rsidR="00255979" w:rsidRPr="003A6AEE" w:rsidRDefault="00255979" w:rsidP="005772DF">
      <w:pPr>
        <w:pStyle w:val="CM6"/>
        <w:rPr>
          <w:rFonts w:cs="Times New Roman"/>
          <w:sz w:val="22"/>
          <w:szCs w:val="22"/>
          <w:lang w:val="it-IT"/>
        </w:rPr>
      </w:pPr>
      <w:r w:rsidRPr="005C7132">
        <w:rPr>
          <w:rFonts w:cs="Times New Roman"/>
          <w:sz w:val="22"/>
          <w:szCs w:val="22"/>
          <w:highlight w:val="lightGray"/>
          <w:lang w:val="it-IT"/>
        </w:rPr>
        <w:t>Kiekviename flakone yra 100 mg oksaliplatinos, skirtos ištirpinti 20 ml tirpiklio.</w:t>
      </w:r>
      <w:r w:rsidRPr="003A6AEE">
        <w:rPr>
          <w:rFonts w:cs="Times New Roman"/>
          <w:sz w:val="22"/>
          <w:szCs w:val="22"/>
          <w:lang w:val="it-IT"/>
        </w:rPr>
        <w:t xml:space="preserve"> </w:t>
      </w:r>
    </w:p>
    <w:p w:rsidR="00255979" w:rsidRPr="003A6AEE" w:rsidRDefault="00255979" w:rsidP="005772DF">
      <w:pPr>
        <w:pStyle w:val="Default"/>
        <w:rPr>
          <w:sz w:val="22"/>
          <w:szCs w:val="22"/>
          <w:lang w:val="it-IT"/>
        </w:rPr>
      </w:pPr>
    </w:p>
    <w:p w:rsidR="00255979" w:rsidRPr="003A6AEE" w:rsidRDefault="00255979" w:rsidP="005772DF">
      <w:pPr>
        <w:pStyle w:val="Default"/>
        <w:rPr>
          <w:sz w:val="22"/>
          <w:szCs w:val="22"/>
          <w:lang w:val="it-IT"/>
        </w:rPr>
      </w:pPr>
    </w:p>
    <w:p w:rsidR="00255979" w:rsidRPr="003A6AEE" w:rsidRDefault="00255979" w:rsidP="005772DF">
      <w:pPr>
        <w:pStyle w:val="CM2"/>
        <w:pBdr>
          <w:top w:val="single" w:sz="4" w:space="1" w:color="auto"/>
          <w:left w:val="single" w:sz="4" w:space="4" w:color="auto"/>
          <w:bottom w:val="single" w:sz="4" w:space="1" w:color="auto"/>
          <w:right w:val="single" w:sz="4" w:space="4" w:color="auto"/>
        </w:pBdr>
        <w:rPr>
          <w:rFonts w:cs="Times New Roman"/>
          <w:sz w:val="22"/>
          <w:szCs w:val="22"/>
          <w:lang w:val="pt-PT"/>
        </w:rPr>
      </w:pPr>
      <w:r w:rsidRPr="003A6AEE">
        <w:rPr>
          <w:rFonts w:cs="Times New Roman"/>
          <w:b/>
          <w:bCs/>
          <w:sz w:val="22"/>
          <w:szCs w:val="22"/>
          <w:lang w:val="pt-PT"/>
        </w:rPr>
        <w:t xml:space="preserve">5. VARTOJIMO METODAS IR BŪDAS (-AI) </w:t>
      </w:r>
    </w:p>
    <w:p w:rsidR="00255979" w:rsidRPr="003A6AEE" w:rsidRDefault="00255979" w:rsidP="005772DF">
      <w:pPr>
        <w:pStyle w:val="CM3"/>
        <w:spacing w:line="240" w:lineRule="auto"/>
        <w:rPr>
          <w:rFonts w:cs="Times New Roman"/>
          <w:sz w:val="22"/>
          <w:szCs w:val="22"/>
          <w:lang w:val="pt-PT"/>
        </w:rPr>
      </w:pPr>
    </w:p>
    <w:p w:rsidR="00255979" w:rsidRPr="003A6AEE" w:rsidRDefault="00255979" w:rsidP="005772DF">
      <w:pPr>
        <w:pStyle w:val="CM3"/>
        <w:spacing w:line="240" w:lineRule="auto"/>
        <w:rPr>
          <w:rFonts w:cs="Times New Roman"/>
          <w:sz w:val="22"/>
          <w:szCs w:val="22"/>
          <w:lang w:val="pt-PT"/>
        </w:rPr>
      </w:pPr>
      <w:r w:rsidRPr="003A6AEE">
        <w:rPr>
          <w:rFonts w:cs="Times New Roman"/>
          <w:sz w:val="22"/>
          <w:szCs w:val="22"/>
          <w:lang w:val="pt-PT"/>
        </w:rPr>
        <w:t xml:space="preserve">Prieš vartojimą perskaitykite pakuotės lapelį. </w:t>
      </w:r>
    </w:p>
    <w:p w:rsidR="00255979" w:rsidRPr="003A6AEE" w:rsidRDefault="00255979" w:rsidP="005772DF">
      <w:pPr>
        <w:pStyle w:val="CM3"/>
        <w:spacing w:line="240" w:lineRule="auto"/>
        <w:rPr>
          <w:rFonts w:cs="Times New Roman"/>
          <w:sz w:val="22"/>
          <w:szCs w:val="22"/>
          <w:lang w:val="pt-PT"/>
        </w:rPr>
      </w:pPr>
    </w:p>
    <w:p w:rsidR="00255979" w:rsidRPr="003A6AEE" w:rsidRDefault="00255979" w:rsidP="005772DF">
      <w:pPr>
        <w:pStyle w:val="CM3"/>
        <w:spacing w:line="240" w:lineRule="auto"/>
        <w:rPr>
          <w:rFonts w:cs="Times New Roman"/>
          <w:sz w:val="22"/>
          <w:szCs w:val="22"/>
          <w:lang w:val="pt-PT"/>
        </w:rPr>
      </w:pPr>
      <w:r w:rsidRPr="003A6AEE">
        <w:rPr>
          <w:rFonts w:cs="Times New Roman"/>
          <w:sz w:val="22"/>
          <w:szCs w:val="22"/>
          <w:lang w:val="pt-PT"/>
        </w:rPr>
        <w:t xml:space="preserve">Leisti į veną ištirpinus ir praskiedus. </w:t>
      </w:r>
    </w:p>
    <w:p w:rsidR="00255979" w:rsidRPr="003A6AEE" w:rsidRDefault="00255979" w:rsidP="005772DF">
      <w:pPr>
        <w:pStyle w:val="CM3"/>
        <w:spacing w:line="240" w:lineRule="auto"/>
        <w:rPr>
          <w:rFonts w:cs="Times New Roman"/>
          <w:sz w:val="22"/>
          <w:szCs w:val="22"/>
          <w:lang w:val="pt-PT"/>
        </w:rPr>
      </w:pPr>
    </w:p>
    <w:p w:rsidR="00255979" w:rsidRPr="003A6AEE" w:rsidRDefault="00255979" w:rsidP="005772DF">
      <w:pPr>
        <w:pStyle w:val="CM3"/>
        <w:spacing w:line="240" w:lineRule="auto"/>
        <w:rPr>
          <w:rFonts w:cs="Times New Roman"/>
          <w:sz w:val="22"/>
          <w:szCs w:val="22"/>
          <w:lang w:val="pt-PT"/>
        </w:rPr>
      </w:pPr>
      <w:r w:rsidRPr="003A6AEE">
        <w:rPr>
          <w:rFonts w:cs="Times New Roman"/>
          <w:sz w:val="22"/>
          <w:szCs w:val="22"/>
          <w:lang w:val="pt-PT"/>
        </w:rPr>
        <w:t>Vienkartiniam vartojimui.</w:t>
      </w:r>
    </w:p>
    <w:p w:rsidR="00255979" w:rsidRPr="003A6AEE" w:rsidRDefault="00255979" w:rsidP="005772DF">
      <w:pPr>
        <w:pStyle w:val="CM3"/>
        <w:spacing w:line="240" w:lineRule="auto"/>
        <w:rPr>
          <w:rFonts w:cs="Times New Roman"/>
          <w:sz w:val="22"/>
          <w:szCs w:val="22"/>
          <w:lang w:val="pt-PT"/>
        </w:rPr>
      </w:pPr>
    </w:p>
    <w:p w:rsidR="00255979" w:rsidRPr="003A6AEE" w:rsidRDefault="00255979" w:rsidP="003A6AEE">
      <w:pPr>
        <w:pStyle w:val="Default"/>
        <w:rPr>
          <w:sz w:val="22"/>
          <w:szCs w:val="22"/>
          <w:lang w:val="pt-PT"/>
        </w:rPr>
      </w:pPr>
    </w:p>
    <w:p w:rsidR="00255979" w:rsidRPr="003A6AEE" w:rsidRDefault="00255979" w:rsidP="005772DF">
      <w:pPr>
        <w:pStyle w:val="CM3"/>
        <w:pBdr>
          <w:top w:val="single" w:sz="4" w:space="1" w:color="auto"/>
          <w:left w:val="single" w:sz="4" w:space="4" w:color="auto"/>
          <w:bottom w:val="single" w:sz="4" w:space="1" w:color="auto"/>
          <w:right w:val="single" w:sz="4" w:space="4" w:color="auto"/>
        </w:pBdr>
        <w:spacing w:line="240" w:lineRule="auto"/>
        <w:rPr>
          <w:rFonts w:cs="Times New Roman"/>
          <w:b/>
          <w:bCs/>
          <w:sz w:val="22"/>
          <w:szCs w:val="22"/>
          <w:lang w:val="pt-PT"/>
        </w:rPr>
      </w:pPr>
      <w:r w:rsidRPr="003A6AEE">
        <w:rPr>
          <w:rFonts w:cs="Times New Roman"/>
          <w:b/>
          <w:bCs/>
          <w:sz w:val="22"/>
          <w:szCs w:val="22"/>
          <w:lang w:val="pt-PT"/>
        </w:rPr>
        <w:t xml:space="preserve">6. SPECIALUS ĮSPĖJIMAS, KAD VAISTINĮ PREPARATĄ BŪTINA LAIKYTI  </w:t>
      </w:r>
    </w:p>
    <w:p w:rsidR="00255979" w:rsidRPr="003A6AEE" w:rsidRDefault="00255979" w:rsidP="005772DF">
      <w:pPr>
        <w:pStyle w:val="CM3"/>
        <w:pBdr>
          <w:top w:val="single" w:sz="4" w:space="1" w:color="auto"/>
          <w:left w:val="single" w:sz="4" w:space="4" w:color="auto"/>
          <w:bottom w:val="single" w:sz="4" w:space="1" w:color="auto"/>
          <w:right w:val="single" w:sz="4" w:space="4" w:color="auto"/>
        </w:pBdr>
        <w:spacing w:line="240" w:lineRule="auto"/>
        <w:rPr>
          <w:rFonts w:cs="Times New Roman"/>
          <w:sz w:val="22"/>
          <w:szCs w:val="22"/>
          <w:lang w:val="pt-PT"/>
        </w:rPr>
      </w:pPr>
      <w:r w:rsidRPr="003A6AEE">
        <w:rPr>
          <w:rFonts w:cs="Times New Roman"/>
          <w:b/>
          <w:bCs/>
          <w:sz w:val="22"/>
          <w:szCs w:val="22"/>
          <w:lang w:val="pt-PT"/>
        </w:rPr>
        <w:t xml:space="preserve">    VAIKAMS NEPASTEBIMOJE IR NEPASIEKIAMOJE VIETOJE </w:t>
      </w:r>
    </w:p>
    <w:p w:rsidR="00255979" w:rsidRPr="003A6AEE" w:rsidRDefault="00255979" w:rsidP="005772DF">
      <w:pPr>
        <w:pStyle w:val="CM6"/>
        <w:rPr>
          <w:rFonts w:cs="Times New Roman"/>
          <w:sz w:val="22"/>
          <w:szCs w:val="22"/>
          <w:lang w:val="pt-PT"/>
        </w:rPr>
      </w:pPr>
    </w:p>
    <w:p w:rsidR="00255979" w:rsidRPr="003A6AEE" w:rsidRDefault="00255979" w:rsidP="005772DF">
      <w:pPr>
        <w:pStyle w:val="CM6"/>
        <w:rPr>
          <w:rFonts w:cs="Times New Roman"/>
          <w:sz w:val="22"/>
          <w:szCs w:val="22"/>
          <w:lang w:val="pt-PT"/>
        </w:rPr>
      </w:pPr>
      <w:r w:rsidRPr="003A6AEE">
        <w:rPr>
          <w:rFonts w:cs="Times New Roman"/>
          <w:sz w:val="22"/>
          <w:szCs w:val="22"/>
          <w:lang w:val="pt-PT"/>
        </w:rPr>
        <w:t xml:space="preserve">Šį vaistą laikykite vaikams nepastebimoje ir nepasiekiamoje vietoje. </w:t>
      </w:r>
    </w:p>
    <w:p w:rsidR="00255979" w:rsidRPr="003A6AEE" w:rsidRDefault="00255979" w:rsidP="005772DF">
      <w:pPr>
        <w:pStyle w:val="Default"/>
        <w:rPr>
          <w:color w:val="auto"/>
          <w:sz w:val="22"/>
          <w:szCs w:val="22"/>
          <w:lang w:val="pt-PT"/>
        </w:rPr>
      </w:pPr>
    </w:p>
    <w:p w:rsidR="00255979" w:rsidRPr="003A6AEE" w:rsidRDefault="00255979" w:rsidP="005772DF">
      <w:pPr>
        <w:pStyle w:val="Default"/>
        <w:rPr>
          <w:color w:val="auto"/>
          <w:sz w:val="22"/>
          <w:szCs w:val="22"/>
          <w:lang w:val="pt-PT"/>
        </w:rPr>
      </w:pPr>
    </w:p>
    <w:p w:rsidR="00255979" w:rsidRPr="003A6AEE" w:rsidRDefault="00255979" w:rsidP="005772DF">
      <w:pPr>
        <w:pStyle w:val="CM5"/>
        <w:pBdr>
          <w:top w:val="single" w:sz="4" w:space="1" w:color="auto"/>
          <w:left w:val="single" w:sz="4" w:space="4" w:color="auto"/>
          <w:bottom w:val="single" w:sz="4" w:space="1" w:color="auto"/>
          <w:right w:val="single" w:sz="4" w:space="4" w:color="auto"/>
        </w:pBdr>
        <w:rPr>
          <w:rFonts w:cs="Times New Roman"/>
          <w:sz w:val="22"/>
          <w:szCs w:val="22"/>
          <w:lang w:val="it-IT"/>
        </w:rPr>
      </w:pPr>
      <w:r w:rsidRPr="003A6AEE">
        <w:rPr>
          <w:rFonts w:cs="Times New Roman"/>
          <w:b/>
          <w:bCs/>
          <w:sz w:val="22"/>
          <w:szCs w:val="22"/>
          <w:lang w:val="it-IT"/>
        </w:rPr>
        <w:t xml:space="preserve">7. KITAS (-I) SPECIALUS (-ŪS) ĮSPĖJIMAS (-AI) (JEI REIKIA) </w:t>
      </w:r>
    </w:p>
    <w:p w:rsidR="00255979" w:rsidRPr="003A6AEE" w:rsidRDefault="00255979" w:rsidP="005772DF">
      <w:pPr>
        <w:pStyle w:val="CM5"/>
        <w:rPr>
          <w:rFonts w:cs="Times New Roman"/>
          <w:sz w:val="22"/>
          <w:szCs w:val="22"/>
          <w:lang w:val="it-IT"/>
        </w:rPr>
      </w:pPr>
    </w:p>
    <w:p w:rsidR="00255979" w:rsidRPr="003A6AEE" w:rsidRDefault="00255979" w:rsidP="005772DF">
      <w:pPr>
        <w:pStyle w:val="CM5"/>
        <w:rPr>
          <w:rFonts w:cs="Times New Roman"/>
          <w:sz w:val="22"/>
          <w:szCs w:val="22"/>
          <w:lang w:val="it-IT"/>
        </w:rPr>
      </w:pPr>
      <w:r w:rsidRPr="003A6AEE">
        <w:rPr>
          <w:rFonts w:cs="Times New Roman"/>
          <w:sz w:val="22"/>
          <w:szCs w:val="22"/>
          <w:lang w:val="it-IT"/>
        </w:rPr>
        <w:t xml:space="preserve">Citotoksinė medžiaga </w:t>
      </w:r>
    </w:p>
    <w:p w:rsidR="00255979" w:rsidRPr="003A6AEE" w:rsidRDefault="00255979" w:rsidP="005772DF">
      <w:pPr>
        <w:pStyle w:val="CM6"/>
        <w:rPr>
          <w:rFonts w:cs="Times New Roman"/>
          <w:sz w:val="22"/>
          <w:szCs w:val="22"/>
          <w:lang w:val="it-IT"/>
        </w:rPr>
      </w:pPr>
    </w:p>
    <w:p w:rsidR="00255979" w:rsidRPr="003A6AEE" w:rsidRDefault="00255979" w:rsidP="005772DF">
      <w:pPr>
        <w:pStyle w:val="CM6"/>
        <w:rPr>
          <w:rFonts w:cs="Times New Roman"/>
          <w:sz w:val="22"/>
          <w:szCs w:val="22"/>
          <w:lang w:val="it-IT"/>
        </w:rPr>
      </w:pPr>
      <w:r w:rsidRPr="003A6AEE">
        <w:rPr>
          <w:rFonts w:cs="Times New Roman"/>
          <w:sz w:val="22"/>
          <w:szCs w:val="22"/>
          <w:lang w:val="it-IT"/>
        </w:rPr>
        <w:t xml:space="preserve">Nėščios moterys turėtų vengti dirbti su citotoksinėmis medžiagomis. </w:t>
      </w:r>
    </w:p>
    <w:p w:rsidR="00255979" w:rsidRPr="003A6AEE" w:rsidRDefault="00255979" w:rsidP="005772DF">
      <w:pPr>
        <w:pStyle w:val="CM6"/>
        <w:rPr>
          <w:rFonts w:cs="Times New Roman"/>
          <w:sz w:val="22"/>
          <w:szCs w:val="22"/>
          <w:lang w:val="it-IT"/>
        </w:rPr>
      </w:pPr>
      <w:r w:rsidRPr="003A6AEE">
        <w:rPr>
          <w:rFonts w:cs="Times New Roman"/>
          <w:sz w:val="22"/>
          <w:szCs w:val="22"/>
          <w:lang w:val="it-IT"/>
        </w:rPr>
        <w:t xml:space="preserve">Patekus ant odos, gleivinės, nedelsiant nuplauti vandeniu. </w:t>
      </w:r>
    </w:p>
    <w:p w:rsidR="00255979" w:rsidRPr="003A6AEE" w:rsidRDefault="00255979" w:rsidP="005772DF">
      <w:pPr>
        <w:pStyle w:val="CM6"/>
        <w:rPr>
          <w:rFonts w:cs="Times New Roman"/>
          <w:sz w:val="22"/>
          <w:szCs w:val="22"/>
          <w:lang w:val="it-IT"/>
        </w:rPr>
      </w:pPr>
      <w:r w:rsidRPr="003A6AEE">
        <w:rPr>
          <w:rFonts w:cs="Times New Roman"/>
          <w:sz w:val="22"/>
          <w:szCs w:val="22"/>
          <w:lang w:val="it-IT"/>
        </w:rPr>
        <w:t xml:space="preserve">Oksaliplatiną prieš vartojimą reikia praskiesti. </w:t>
      </w:r>
    </w:p>
    <w:p w:rsidR="00255979" w:rsidRPr="003A6AEE" w:rsidRDefault="00255979" w:rsidP="005772DF">
      <w:pPr>
        <w:pStyle w:val="Default"/>
        <w:rPr>
          <w:color w:val="auto"/>
          <w:sz w:val="22"/>
          <w:szCs w:val="22"/>
          <w:lang w:val="it-IT"/>
        </w:rPr>
      </w:pPr>
    </w:p>
    <w:p w:rsidR="00255979" w:rsidRPr="003A6AEE" w:rsidRDefault="00255979" w:rsidP="005772DF">
      <w:pPr>
        <w:pStyle w:val="Default"/>
        <w:rPr>
          <w:color w:val="auto"/>
          <w:sz w:val="22"/>
          <w:szCs w:val="22"/>
          <w:lang w:val="it-IT"/>
        </w:rPr>
      </w:pPr>
    </w:p>
    <w:p w:rsidR="00255979" w:rsidRPr="003A6AEE" w:rsidRDefault="00255979" w:rsidP="005772DF">
      <w:pPr>
        <w:pStyle w:val="CM5"/>
        <w:pBdr>
          <w:top w:val="single" w:sz="4" w:space="1" w:color="auto"/>
          <w:left w:val="single" w:sz="4" w:space="4" w:color="auto"/>
          <w:bottom w:val="single" w:sz="4" w:space="1" w:color="auto"/>
          <w:right w:val="single" w:sz="4" w:space="4" w:color="auto"/>
        </w:pBdr>
        <w:rPr>
          <w:rFonts w:cs="Times New Roman"/>
          <w:sz w:val="22"/>
          <w:szCs w:val="22"/>
          <w:lang w:val="it-IT"/>
        </w:rPr>
      </w:pPr>
      <w:r w:rsidRPr="003A6AEE">
        <w:rPr>
          <w:rFonts w:cs="Times New Roman"/>
          <w:b/>
          <w:bCs/>
          <w:sz w:val="22"/>
          <w:szCs w:val="22"/>
          <w:lang w:val="it-IT"/>
        </w:rPr>
        <w:t xml:space="preserve">8. TINKAMUMO LAIKAS </w:t>
      </w:r>
    </w:p>
    <w:p w:rsidR="00255979" w:rsidRPr="003A6AEE" w:rsidRDefault="00255979" w:rsidP="005772DF">
      <w:pPr>
        <w:pStyle w:val="CM6"/>
        <w:rPr>
          <w:rFonts w:cs="Times New Roman"/>
          <w:sz w:val="22"/>
          <w:szCs w:val="22"/>
          <w:lang w:val="it-IT"/>
        </w:rPr>
      </w:pPr>
    </w:p>
    <w:p w:rsidR="00255979" w:rsidRPr="003A6AEE" w:rsidRDefault="00255979" w:rsidP="005772DF">
      <w:pPr>
        <w:pStyle w:val="CM6"/>
        <w:rPr>
          <w:rFonts w:cs="Times New Roman"/>
          <w:sz w:val="22"/>
          <w:szCs w:val="22"/>
          <w:lang w:val="it-IT"/>
        </w:rPr>
      </w:pPr>
      <w:r w:rsidRPr="003A6AEE">
        <w:rPr>
          <w:rFonts w:cs="Times New Roman"/>
          <w:sz w:val="22"/>
          <w:szCs w:val="22"/>
          <w:lang w:val="it-IT"/>
        </w:rPr>
        <w:t xml:space="preserve">Tinka iki: </w:t>
      </w:r>
      <w:r w:rsidRPr="00987A09">
        <w:rPr>
          <w:szCs w:val="22"/>
        </w:rPr>
        <w:t>MMMM-mm</w:t>
      </w:r>
    </w:p>
    <w:p w:rsidR="00255979" w:rsidRPr="003A6AEE" w:rsidRDefault="00255979" w:rsidP="005772DF">
      <w:pPr>
        <w:pStyle w:val="Default"/>
        <w:rPr>
          <w:sz w:val="22"/>
          <w:szCs w:val="22"/>
          <w:lang w:val="it-IT"/>
        </w:rPr>
      </w:pPr>
    </w:p>
    <w:p w:rsidR="00255979" w:rsidRPr="003A6AEE" w:rsidRDefault="00255979" w:rsidP="005772DF">
      <w:pPr>
        <w:pStyle w:val="Default"/>
        <w:rPr>
          <w:sz w:val="22"/>
          <w:szCs w:val="22"/>
          <w:lang w:val="it-IT"/>
        </w:rPr>
      </w:pPr>
    </w:p>
    <w:p w:rsidR="00255979" w:rsidRPr="003A6AEE" w:rsidRDefault="00255979" w:rsidP="005772DF">
      <w:pPr>
        <w:pStyle w:val="CM5"/>
        <w:pBdr>
          <w:top w:val="single" w:sz="4" w:space="1" w:color="auto"/>
          <w:left w:val="single" w:sz="4" w:space="4" w:color="auto"/>
          <w:bottom w:val="single" w:sz="4" w:space="1" w:color="auto"/>
          <w:right w:val="single" w:sz="4" w:space="4" w:color="auto"/>
        </w:pBdr>
        <w:rPr>
          <w:rFonts w:cs="Times New Roman"/>
          <w:sz w:val="22"/>
          <w:szCs w:val="22"/>
          <w:lang w:val="it-IT"/>
        </w:rPr>
      </w:pPr>
      <w:r w:rsidRPr="003A6AEE">
        <w:rPr>
          <w:rFonts w:cs="Times New Roman"/>
          <w:b/>
          <w:bCs/>
          <w:sz w:val="22"/>
          <w:szCs w:val="22"/>
          <w:lang w:val="it-IT"/>
        </w:rPr>
        <w:t xml:space="preserve">9. SPECIALIOS LAIKYMO SĄLYGOS </w:t>
      </w:r>
    </w:p>
    <w:p w:rsidR="00255979" w:rsidRPr="003A6AEE" w:rsidRDefault="00255979" w:rsidP="005772DF">
      <w:pPr>
        <w:pStyle w:val="CM6"/>
        <w:rPr>
          <w:rFonts w:cs="Times New Roman"/>
          <w:sz w:val="22"/>
          <w:szCs w:val="22"/>
          <w:lang w:val="it-IT"/>
        </w:rPr>
      </w:pPr>
    </w:p>
    <w:p w:rsidR="00255979" w:rsidRPr="003A6AEE" w:rsidRDefault="00255979" w:rsidP="005772DF">
      <w:pPr>
        <w:pStyle w:val="CM6"/>
        <w:rPr>
          <w:rFonts w:cs="Times New Roman"/>
          <w:sz w:val="22"/>
          <w:szCs w:val="22"/>
          <w:lang w:val="it-IT"/>
        </w:rPr>
      </w:pPr>
      <w:r w:rsidRPr="003A6AEE">
        <w:rPr>
          <w:rFonts w:cs="Times New Roman"/>
          <w:sz w:val="22"/>
          <w:szCs w:val="22"/>
          <w:lang w:val="it-IT"/>
        </w:rPr>
        <w:t xml:space="preserve">Apie paruošto preparato laikymą skaitykite pakuotės lapelyje. </w:t>
      </w:r>
    </w:p>
    <w:p w:rsidR="00255979" w:rsidRPr="003A6AEE" w:rsidRDefault="00255979" w:rsidP="005772DF">
      <w:pPr>
        <w:pStyle w:val="Default"/>
        <w:rPr>
          <w:sz w:val="22"/>
          <w:szCs w:val="22"/>
          <w:lang w:val="it-IT"/>
        </w:rPr>
      </w:pPr>
    </w:p>
    <w:p w:rsidR="00255979" w:rsidRPr="003A6AEE" w:rsidRDefault="00255979" w:rsidP="005772DF">
      <w:pPr>
        <w:pStyle w:val="Default"/>
        <w:rPr>
          <w:sz w:val="22"/>
          <w:szCs w:val="22"/>
          <w:lang w:val="it-IT"/>
        </w:rPr>
      </w:pPr>
    </w:p>
    <w:p w:rsidR="00255979" w:rsidRPr="003A6AEE" w:rsidRDefault="00255979" w:rsidP="005772DF">
      <w:pPr>
        <w:pStyle w:val="CM5"/>
        <w:pBdr>
          <w:top w:val="single" w:sz="4" w:space="1" w:color="auto"/>
          <w:left w:val="single" w:sz="4" w:space="4" w:color="auto"/>
          <w:bottom w:val="single" w:sz="4" w:space="1" w:color="auto"/>
          <w:right w:val="single" w:sz="4" w:space="4" w:color="auto"/>
        </w:pBdr>
        <w:rPr>
          <w:rFonts w:cs="Times New Roman"/>
          <w:sz w:val="22"/>
          <w:szCs w:val="22"/>
          <w:lang w:val="it-IT"/>
        </w:rPr>
      </w:pPr>
      <w:r w:rsidRPr="003A6AEE">
        <w:rPr>
          <w:rFonts w:cs="Times New Roman"/>
          <w:b/>
          <w:bCs/>
          <w:sz w:val="22"/>
          <w:szCs w:val="22"/>
          <w:lang w:val="it-IT"/>
        </w:rPr>
        <w:t xml:space="preserve">10. SPECIALIOS ATSARGUMO PRIEMONĖS DĖL NESUVARTOTO VAISTINIO PREPARATO AR JO ATLIEKŲ TVARKYMO (JEI REIKIA) </w:t>
      </w:r>
    </w:p>
    <w:p w:rsidR="00255979" w:rsidRPr="003A6AEE" w:rsidRDefault="00255979" w:rsidP="005772DF">
      <w:pPr>
        <w:pStyle w:val="CM6"/>
        <w:rPr>
          <w:rFonts w:cs="Times New Roman"/>
          <w:sz w:val="22"/>
          <w:szCs w:val="22"/>
          <w:lang w:val="it-IT"/>
        </w:rPr>
      </w:pPr>
    </w:p>
    <w:p w:rsidR="00255979" w:rsidRPr="003A6AEE" w:rsidRDefault="00255979" w:rsidP="005772DF">
      <w:pPr>
        <w:pStyle w:val="CM6"/>
        <w:rPr>
          <w:rFonts w:cs="Times New Roman"/>
          <w:sz w:val="22"/>
          <w:szCs w:val="22"/>
          <w:lang w:val="it-IT"/>
        </w:rPr>
      </w:pPr>
      <w:r w:rsidRPr="003A6AEE">
        <w:rPr>
          <w:rFonts w:cs="Times New Roman"/>
          <w:sz w:val="22"/>
          <w:szCs w:val="22"/>
          <w:lang w:val="it-IT"/>
        </w:rPr>
        <w:t xml:space="preserve">Nesuvartotą preparatą ar atliekas reikia tvarkyti laikantis vietinių reikalavimų citotoksinėms medžiagoms. </w:t>
      </w:r>
    </w:p>
    <w:p w:rsidR="00255979" w:rsidRPr="003A6AEE" w:rsidRDefault="00255979" w:rsidP="005772DF">
      <w:pPr>
        <w:pStyle w:val="Default"/>
        <w:rPr>
          <w:sz w:val="22"/>
          <w:szCs w:val="22"/>
          <w:lang w:val="it-IT"/>
        </w:rPr>
      </w:pPr>
    </w:p>
    <w:p w:rsidR="00255979" w:rsidRPr="003A6AEE" w:rsidRDefault="00255979" w:rsidP="005772DF">
      <w:pPr>
        <w:pStyle w:val="Default"/>
        <w:rPr>
          <w:sz w:val="22"/>
          <w:szCs w:val="22"/>
          <w:lang w:val="it-IT"/>
        </w:rPr>
      </w:pPr>
    </w:p>
    <w:p w:rsidR="00255979" w:rsidRPr="003A6AEE" w:rsidRDefault="00255979" w:rsidP="005772DF">
      <w:pPr>
        <w:pStyle w:val="CM5"/>
        <w:pBdr>
          <w:top w:val="single" w:sz="4" w:space="1" w:color="auto"/>
          <w:left w:val="single" w:sz="4" w:space="4" w:color="auto"/>
          <w:bottom w:val="single" w:sz="4" w:space="1" w:color="auto"/>
          <w:right w:val="single" w:sz="4" w:space="4" w:color="auto"/>
        </w:pBdr>
        <w:rPr>
          <w:rFonts w:cs="Times New Roman"/>
          <w:sz w:val="22"/>
          <w:szCs w:val="22"/>
          <w:lang w:val="pt-PT"/>
        </w:rPr>
      </w:pPr>
      <w:r w:rsidRPr="003A6AEE">
        <w:rPr>
          <w:rFonts w:cs="Times New Roman"/>
          <w:b/>
          <w:bCs/>
          <w:sz w:val="22"/>
          <w:szCs w:val="22"/>
          <w:lang w:val="pt-PT"/>
        </w:rPr>
        <w:t xml:space="preserve">11. RINKODAROS TEISĖS TURĖTOJO PAVADINIMAS IR ADRESAS </w:t>
      </w:r>
    </w:p>
    <w:p w:rsidR="00255979" w:rsidRPr="003A6AEE" w:rsidRDefault="00255979" w:rsidP="005772DF">
      <w:pPr>
        <w:pStyle w:val="CM6"/>
        <w:rPr>
          <w:rFonts w:cs="Times New Roman"/>
          <w:sz w:val="22"/>
          <w:szCs w:val="22"/>
          <w:lang w:val="pt-PT"/>
        </w:rPr>
      </w:pPr>
    </w:p>
    <w:p w:rsidR="00F13CF6" w:rsidRPr="00F13CF6" w:rsidRDefault="00F13CF6" w:rsidP="00F13CF6">
      <w:pPr>
        <w:rPr>
          <w:sz w:val="22"/>
          <w:szCs w:val="22"/>
        </w:rPr>
      </w:pPr>
      <w:r w:rsidRPr="00F13CF6">
        <w:rPr>
          <w:sz w:val="22"/>
          <w:szCs w:val="22"/>
        </w:rPr>
        <w:t>MYLAN S.A.S.</w:t>
      </w:r>
    </w:p>
    <w:p w:rsidR="00F13CF6" w:rsidRDefault="00F13CF6" w:rsidP="00F13CF6">
      <w:pPr>
        <w:rPr>
          <w:sz w:val="22"/>
          <w:szCs w:val="22"/>
        </w:rPr>
      </w:pPr>
      <w:r w:rsidRPr="00F13CF6">
        <w:rPr>
          <w:sz w:val="22"/>
          <w:szCs w:val="22"/>
        </w:rPr>
        <w:t xml:space="preserve">117 </w:t>
      </w:r>
      <w:proofErr w:type="spellStart"/>
      <w:r w:rsidRPr="00F13CF6">
        <w:rPr>
          <w:sz w:val="22"/>
          <w:szCs w:val="22"/>
        </w:rPr>
        <w:t>Allée</w:t>
      </w:r>
      <w:proofErr w:type="spellEnd"/>
      <w:r w:rsidRPr="00F13CF6">
        <w:rPr>
          <w:sz w:val="22"/>
          <w:szCs w:val="22"/>
        </w:rPr>
        <w:t xml:space="preserve"> </w:t>
      </w:r>
      <w:proofErr w:type="spellStart"/>
      <w:r w:rsidRPr="00F13CF6">
        <w:rPr>
          <w:sz w:val="22"/>
          <w:szCs w:val="22"/>
        </w:rPr>
        <w:t>des</w:t>
      </w:r>
      <w:proofErr w:type="spellEnd"/>
      <w:r w:rsidRPr="00F13CF6">
        <w:rPr>
          <w:sz w:val="22"/>
          <w:szCs w:val="22"/>
        </w:rPr>
        <w:t xml:space="preserve"> </w:t>
      </w:r>
      <w:proofErr w:type="spellStart"/>
      <w:r w:rsidRPr="00F13CF6">
        <w:rPr>
          <w:sz w:val="22"/>
          <w:szCs w:val="22"/>
        </w:rPr>
        <w:t>Parcs</w:t>
      </w:r>
      <w:proofErr w:type="spellEnd"/>
      <w:r w:rsidRPr="00F13CF6">
        <w:rPr>
          <w:sz w:val="22"/>
          <w:szCs w:val="22"/>
        </w:rPr>
        <w:t xml:space="preserve"> </w:t>
      </w:r>
    </w:p>
    <w:p w:rsidR="00F13CF6" w:rsidRDefault="00F13CF6" w:rsidP="00F13CF6">
      <w:pPr>
        <w:rPr>
          <w:sz w:val="22"/>
          <w:szCs w:val="22"/>
        </w:rPr>
      </w:pPr>
      <w:r w:rsidRPr="00F13CF6">
        <w:rPr>
          <w:sz w:val="22"/>
          <w:szCs w:val="22"/>
        </w:rPr>
        <w:t xml:space="preserve">69800 SAINT-PRIEST </w:t>
      </w:r>
    </w:p>
    <w:p w:rsidR="00255979" w:rsidRPr="003A6AEE" w:rsidRDefault="00F13CF6" w:rsidP="00F13CF6">
      <w:pPr>
        <w:pStyle w:val="CM6"/>
        <w:rPr>
          <w:rFonts w:cs="Times New Roman"/>
          <w:sz w:val="22"/>
          <w:szCs w:val="22"/>
          <w:lang w:val="pt-PT"/>
        </w:rPr>
      </w:pPr>
      <w:proofErr w:type="spellStart"/>
      <w:r w:rsidRPr="00F13CF6">
        <w:rPr>
          <w:sz w:val="22"/>
          <w:szCs w:val="22"/>
        </w:rPr>
        <w:t>Prancūzija</w:t>
      </w:r>
      <w:proofErr w:type="spellEnd"/>
    </w:p>
    <w:p w:rsidR="00255979" w:rsidRPr="003A6AEE" w:rsidRDefault="00255979" w:rsidP="005772DF">
      <w:pPr>
        <w:pStyle w:val="Default"/>
        <w:rPr>
          <w:sz w:val="22"/>
          <w:szCs w:val="22"/>
          <w:lang w:val="pt-PT"/>
        </w:rPr>
      </w:pPr>
    </w:p>
    <w:p w:rsidR="00255979" w:rsidRPr="003A6AEE" w:rsidRDefault="00255979" w:rsidP="005772DF">
      <w:pPr>
        <w:pStyle w:val="Default"/>
        <w:rPr>
          <w:sz w:val="22"/>
          <w:szCs w:val="22"/>
          <w:lang w:val="pt-PT"/>
        </w:rPr>
      </w:pPr>
    </w:p>
    <w:p w:rsidR="00255979" w:rsidRPr="003A6AEE" w:rsidRDefault="00255979" w:rsidP="005772DF">
      <w:pPr>
        <w:pStyle w:val="CM5"/>
        <w:pBdr>
          <w:top w:val="single" w:sz="4" w:space="1" w:color="auto"/>
          <w:left w:val="single" w:sz="4" w:space="4" w:color="auto"/>
          <w:bottom w:val="single" w:sz="4" w:space="1" w:color="auto"/>
          <w:right w:val="single" w:sz="4" w:space="4" w:color="auto"/>
        </w:pBdr>
        <w:rPr>
          <w:rFonts w:cs="Times New Roman"/>
          <w:sz w:val="22"/>
          <w:szCs w:val="22"/>
          <w:lang w:val="pt-PT"/>
        </w:rPr>
      </w:pPr>
      <w:r w:rsidRPr="003A6AEE">
        <w:rPr>
          <w:rFonts w:cs="Times New Roman"/>
          <w:b/>
          <w:bCs/>
          <w:sz w:val="22"/>
          <w:szCs w:val="22"/>
          <w:lang w:val="pt-PT"/>
        </w:rPr>
        <w:t xml:space="preserve">12. RINKODAROS TEISĖS NUMERIS (-IAI) </w:t>
      </w:r>
    </w:p>
    <w:p w:rsidR="00255979" w:rsidRPr="003A6AEE" w:rsidRDefault="00255979" w:rsidP="005772DF">
      <w:pPr>
        <w:pStyle w:val="Default"/>
        <w:rPr>
          <w:color w:val="auto"/>
          <w:sz w:val="22"/>
          <w:szCs w:val="22"/>
          <w:lang w:val="pt-PT"/>
        </w:rPr>
      </w:pPr>
    </w:p>
    <w:p w:rsidR="00255979" w:rsidRPr="003A6AEE" w:rsidRDefault="00255979" w:rsidP="005772DF">
      <w:pPr>
        <w:pStyle w:val="Default"/>
        <w:rPr>
          <w:color w:val="auto"/>
          <w:sz w:val="22"/>
          <w:szCs w:val="22"/>
          <w:lang w:val="pt-PT"/>
        </w:rPr>
      </w:pPr>
    </w:p>
    <w:p w:rsidR="00255979" w:rsidRPr="003A6AEE" w:rsidRDefault="00255979" w:rsidP="005772DF">
      <w:pPr>
        <w:pStyle w:val="Default"/>
        <w:pBdr>
          <w:top w:val="single" w:sz="4" w:space="1" w:color="auto"/>
          <w:left w:val="single" w:sz="4" w:space="4" w:color="auto"/>
          <w:bottom w:val="single" w:sz="4" w:space="1" w:color="auto"/>
          <w:right w:val="single" w:sz="4" w:space="4" w:color="auto"/>
        </w:pBdr>
        <w:rPr>
          <w:sz w:val="22"/>
          <w:szCs w:val="22"/>
          <w:lang w:val="pt-PT"/>
        </w:rPr>
      </w:pPr>
      <w:r w:rsidRPr="003A6AEE">
        <w:rPr>
          <w:b/>
          <w:bCs/>
          <w:sz w:val="22"/>
          <w:szCs w:val="22"/>
          <w:lang w:val="pt-PT"/>
        </w:rPr>
        <w:t xml:space="preserve">13. SERIJOS NUMERIS </w:t>
      </w:r>
    </w:p>
    <w:p w:rsidR="00255979" w:rsidRPr="003A6AEE" w:rsidRDefault="00255979" w:rsidP="005772DF">
      <w:pPr>
        <w:pStyle w:val="CM6"/>
        <w:rPr>
          <w:rFonts w:cs="Times New Roman"/>
          <w:sz w:val="22"/>
          <w:szCs w:val="22"/>
          <w:lang w:val="pt-PT"/>
        </w:rPr>
      </w:pPr>
    </w:p>
    <w:p w:rsidR="00255979" w:rsidRPr="003A6AEE" w:rsidRDefault="00255979" w:rsidP="005772DF">
      <w:pPr>
        <w:pStyle w:val="CM6"/>
        <w:rPr>
          <w:rFonts w:cs="Times New Roman"/>
          <w:sz w:val="22"/>
          <w:szCs w:val="22"/>
          <w:lang w:val="pt-PT"/>
        </w:rPr>
      </w:pPr>
      <w:r w:rsidRPr="003A6AEE">
        <w:rPr>
          <w:rFonts w:cs="Times New Roman"/>
          <w:sz w:val="22"/>
          <w:szCs w:val="22"/>
          <w:lang w:val="pt-PT"/>
        </w:rPr>
        <w:t xml:space="preserve">Serija: </w:t>
      </w:r>
    </w:p>
    <w:p w:rsidR="00255979" w:rsidRPr="003A6AEE" w:rsidRDefault="00255979" w:rsidP="005772DF">
      <w:pPr>
        <w:pStyle w:val="Default"/>
        <w:rPr>
          <w:sz w:val="22"/>
          <w:szCs w:val="22"/>
          <w:lang w:val="pt-PT"/>
        </w:rPr>
      </w:pPr>
    </w:p>
    <w:p w:rsidR="00255979" w:rsidRPr="003A6AEE" w:rsidRDefault="00255979" w:rsidP="005772DF">
      <w:pPr>
        <w:pStyle w:val="Default"/>
        <w:rPr>
          <w:sz w:val="22"/>
          <w:szCs w:val="22"/>
          <w:lang w:val="pt-PT"/>
        </w:rPr>
      </w:pPr>
    </w:p>
    <w:p w:rsidR="00255979" w:rsidRPr="003A6AEE" w:rsidRDefault="00255979" w:rsidP="005772DF">
      <w:pPr>
        <w:pStyle w:val="CM5"/>
        <w:pBdr>
          <w:top w:val="single" w:sz="4" w:space="1" w:color="auto"/>
          <w:left w:val="single" w:sz="4" w:space="4" w:color="auto"/>
          <w:bottom w:val="single" w:sz="4" w:space="1" w:color="auto"/>
          <w:right w:val="single" w:sz="4" w:space="4" w:color="auto"/>
        </w:pBdr>
        <w:rPr>
          <w:rFonts w:cs="Times New Roman"/>
          <w:sz w:val="22"/>
          <w:szCs w:val="22"/>
          <w:lang w:val="it-IT"/>
        </w:rPr>
      </w:pPr>
      <w:r w:rsidRPr="003A6AEE">
        <w:rPr>
          <w:rFonts w:cs="Times New Roman"/>
          <w:b/>
          <w:bCs/>
          <w:sz w:val="22"/>
          <w:szCs w:val="22"/>
          <w:lang w:val="it-IT"/>
        </w:rPr>
        <w:t xml:space="preserve">14. PARDAVIMO (IŠDAVIMO) TVARKA </w:t>
      </w:r>
    </w:p>
    <w:p w:rsidR="00255979" w:rsidRPr="003A6AEE" w:rsidRDefault="00255979" w:rsidP="005772DF">
      <w:pPr>
        <w:pStyle w:val="CM2"/>
        <w:rPr>
          <w:rFonts w:cs="Times New Roman"/>
          <w:sz w:val="22"/>
          <w:szCs w:val="22"/>
          <w:lang w:val="it-IT"/>
        </w:rPr>
      </w:pPr>
    </w:p>
    <w:p w:rsidR="00255979" w:rsidRPr="008B4680" w:rsidRDefault="00255979" w:rsidP="005772DF">
      <w:pPr>
        <w:pStyle w:val="BTEMEASMCA"/>
        <w:rPr>
          <w:noProof w:val="0"/>
        </w:rPr>
      </w:pPr>
      <w:r w:rsidRPr="003A6AEE">
        <w:t>Receptinis vaistinis preparatas</w:t>
      </w:r>
    </w:p>
    <w:p w:rsidR="00255979" w:rsidRPr="008B4680" w:rsidRDefault="00255979" w:rsidP="00633D05">
      <w:pPr>
        <w:pStyle w:val="BTEMEASMCA"/>
        <w:rPr>
          <w:noProof w:val="0"/>
        </w:rPr>
      </w:pPr>
    </w:p>
    <w:p w:rsidR="00255979" w:rsidRPr="008B4680" w:rsidRDefault="00255979" w:rsidP="00633D05">
      <w:pPr>
        <w:pStyle w:val="BTEMEASMCA"/>
        <w:rPr>
          <w:noProof w:val="0"/>
        </w:rPr>
      </w:pPr>
    </w:p>
    <w:p w:rsidR="00255979" w:rsidRPr="008B4680" w:rsidRDefault="00255979" w:rsidP="008B4680">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8B4680">
        <w:rPr>
          <w:b/>
          <w:noProof/>
          <w:sz w:val="22"/>
          <w:szCs w:val="22"/>
        </w:rPr>
        <w:t>15.</w:t>
      </w:r>
      <w:r w:rsidRPr="008B4680">
        <w:rPr>
          <w:b/>
          <w:noProof/>
          <w:sz w:val="22"/>
          <w:szCs w:val="22"/>
        </w:rPr>
        <w:tab/>
      </w:r>
      <w:r w:rsidRPr="008B4680">
        <w:rPr>
          <w:b/>
          <w:caps/>
          <w:noProof/>
          <w:sz w:val="22"/>
          <w:szCs w:val="22"/>
        </w:rPr>
        <w:t>vartojimo instrukcijA</w:t>
      </w:r>
    </w:p>
    <w:p w:rsidR="00255979" w:rsidRPr="008B4680" w:rsidRDefault="00255979" w:rsidP="008B4680">
      <w:pPr>
        <w:tabs>
          <w:tab w:val="left" w:pos="567"/>
        </w:tabs>
        <w:rPr>
          <w:noProof/>
          <w:sz w:val="22"/>
          <w:szCs w:val="22"/>
        </w:rPr>
      </w:pPr>
    </w:p>
    <w:p w:rsidR="00255979" w:rsidRPr="008B4680" w:rsidRDefault="00255979" w:rsidP="008B4680">
      <w:pPr>
        <w:tabs>
          <w:tab w:val="left" w:pos="567"/>
        </w:tabs>
        <w:rPr>
          <w:noProof/>
          <w:sz w:val="22"/>
          <w:szCs w:val="22"/>
        </w:rPr>
      </w:pPr>
    </w:p>
    <w:p w:rsidR="00255979" w:rsidRPr="008B4680" w:rsidRDefault="00255979" w:rsidP="008B4680">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8B4680">
        <w:rPr>
          <w:b/>
          <w:noProof/>
          <w:sz w:val="22"/>
          <w:szCs w:val="22"/>
        </w:rPr>
        <w:t>16.</w:t>
      </w:r>
      <w:r w:rsidRPr="008B4680">
        <w:rPr>
          <w:b/>
          <w:noProof/>
          <w:sz w:val="22"/>
          <w:szCs w:val="22"/>
        </w:rPr>
        <w:tab/>
        <w:t>INFORMACIJA BRAILIO RAŠTU</w:t>
      </w:r>
    </w:p>
    <w:p w:rsidR="00255979" w:rsidRPr="008B4680" w:rsidRDefault="00255979" w:rsidP="008B4680">
      <w:pPr>
        <w:rPr>
          <w:noProof/>
          <w:sz w:val="22"/>
          <w:szCs w:val="22"/>
        </w:rPr>
      </w:pPr>
    </w:p>
    <w:p w:rsidR="00255979" w:rsidRPr="003A6AEE" w:rsidRDefault="00255979" w:rsidP="008B4680">
      <w:pPr>
        <w:rPr>
          <w:noProof/>
          <w:sz w:val="22"/>
          <w:szCs w:val="22"/>
        </w:rPr>
      </w:pPr>
    </w:p>
    <w:p w:rsidR="00255979" w:rsidRPr="00DF4173" w:rsidRDefault="00255979" w:rsidP="00633D05">
      <w:pPr>
        <w:pStyle w:val="BTEMEASMCA"/>
        <w:rPr>
          <w:noProof w:val="0"/>
        </w:rPr>
      </w:pPr>
      <w:r w:rsidRPr="008B4680">
        <w:rPr>
          <w:noProof w:val="0"/>
        </w:rPr>
        <w:br w:type="page"/>
      </w: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TTEMEASMCA"/>
        <w:rPr>
          <w:lang w:val="lt-LT"/>
        </w:rPr>
      </w:pPr>
      <w:bookmarkStart w:id="68" w:name="_Toc129243137"/>
      <w:bookmarkStart w:id="69" w:name="_Toc129243262"/>
      <w:r w:rsidRPr="00DF4173">
        <w:rPr>
          <w:lang w:val="lt-LT"/>
        </w:rPr>
        <w:t>B. PAKUOTĖS LAPELIS</w:t>
      </w:r>
      <w:bookmarkEnd w:id="68"/>
      <w:bookmarkEnd w:id="69"/>
    </w:p>
    <w:p w:rsidR="00255979" w:rsidRDefault="00255979" w:rsidP="00633D05">
      <w:pPr>
        <w:pStyle w:val="TTEMEASMCA"/>
        <w:rPr>
          <w:lang w:val="lt-LT"/>
        </w:rPr>
      </w:pPr>
    </w:p>
    <w:p w:rsidR="00255979" w:rsidRPr="00DF4173" w:rsidRDefault="00255979" w:rsidP="00633D05">
      <w:pPr>
        <w:pStyle w:val="TTEMEASMCA"/>
        <w:rPr>
          <w:lang w:val="lt-LT"/>
        </w:rPr>
      </w:pPr>
      <w:r w:rsidRPr="00DF4173">
        <w:rPr>
          <w:lang w:val="lt-LT"/>
        </w:rPr>
        <w:br w:type="page"/>
      </w:r>
      <w:bookmarkStart w:id="70" w:name="_Toc129243138"/>
      <w:bookmarkStart w:id="71" w:name="_Toc129243263"/>
      <w:r>
        <w:rPr>
          <w:caps w:val="0"/>
          <w:lang w:val="lt-LT"/>
        </w:rPr>
        <w:lastRenderedPageBreak/>
        <w:t>P</w:t>
      </w:r>
      <w:r w:rsidRPr="00DF4173">
        <w:rPr>
          <w:caps w:val="0"/>
          <w:lang w:val="lt-LT"/>
        </w:rPr>
        <w:t>akuotės lapelis: informacija vartotojui</w:t>
      </w:r>
      <w:bookmarkEnd w:id="70"/>
      <w:bookmarkEnd w:id="71"/>
    </w:p>
    <w:p w:rsidR="00255979" w:rsidRPr="00DF4173" w:rsidRDefault="00255979" w:rsidP="00633D05">
      <w:pPr>
        <w:pStyle w:val="BTEMEASMCA"/>
        <w:rPr>
          <w:noProof w:val="0"/>
        </w:rPr>
      </w:pPr>
    </w:p>
    <w:p w:rsidR="00255979" w:rsidRPr="008B4680" w:rsidRDefault="00255979" w:rsidP="003A6AEE">
      <w:pPr>
        <w:pStyle w:val="CM6"/>
        <w:jc w:val="center"/>
        <w:rPr>
          <w:rFonts w:cs="Times New Roman"/>
          <w:b/>
          <w:color w:val="000000"/>
          <w:sz w:val="22"/>
          <w:szCs w:val="22"/>
          <w:lang w:val="lt-LT"/>
        </w:rPr>
      </w:pPr>
      <w:proofErr w:type="spellStart"/>
      <w:r w:rsidRPr="008B4680">
        <w:rPr>
          <w:rFonts w:cs="Times New Roman"/>
          <w:b/>
          <w:color w:val="000000"/>
          <w:sz w:val="22"/>
          <w:szCs w:val="22"/>
          <w:lang w:val="lt-LT"/>
        </w:rPr>
        <w:t>Oxaliplatin</w:t>
      </w:r>
      <w:proofErr w:type="spellEnd"/>
      <w:r w:rsidRPr="008B4680">
        <w:rPr>
          <w:rFonts w:cs="Times New Roman"/>
          <w:b/>
          <w:color w:val="000000"/>
          <w:sz w:val="22"/>
          <w:szCs w:val="22"/>
          <w:lang w:val="lt-LT"/>
        </w:rPr>
        <w:t xml:space="preserve"> </w:t>
      </w:r>
      <w:r w:rsidR="00501874" w:rsidRPr="00501874">
        <w:rPr>
          <w:b/>
          <w:sz w:val="22"/>
          <w:szCs w:val="22"/>
        </w:rPr>
        <w:t>Mylan</w:t>
      </w:r>
      <w:r w:rsidRPr="008B4680">
        <w:rPr>
          <w:rFonts w:cs="Times New Roman"/>
          <w:b/>
          <w:color w:val="000000"/>
          <w:sz w:val="22"/>
          <w:szCs w:val="22"/>
          <w:lang w:val="lt-LT"/>
        </w:rPr>
        <w:t xml:space="preserve"> 5 mg/ml milteliai infuziniam tirpalui</w:t>
      </w:r>
    </w:p>
    <w:p w:rsidR="00255979" w:rsidRPr="003A6AEE" w:rsidRDefault="00255979" w:rsidP="006F5707">
      <w:pPr>
        <w:pStyle w:val="CM16"/>
        <w:spacing w:line="240" w:lineRule="auto"/>
        <w:jc w:val="center"/>
        <w:rPr>
          <w:rFonts w:cs="Times New Roman"/>
          <w:bCs/>
          <w:color w:val="000000"/>
          <w:sz w:val="22"/>
          <w:szCs w:val="22"/>
          <w:lang w:val="lt-LT"/>
        </w:rPr>
      </w:pPr>
      <w:r w:rsidRPr="003A6AEE">
        <w:rPr>
          <w:rFonts w:cs="Times New Roman"/>
          <w:bCs/>
          <w:color w:val="000000"/>
          <w:sz w:val="22"/>
          <w:szCs w:val="22"/>
          <w:lang w:val="lt-LT"/>
        </w:rPr>
        <w:t>Oksaliplatina</w:t>
      </w:r>
    </w:p>
    <w:p w:rsidR="00255979" w:rsidRPr="00004E62" w:rsidRDefault="00255979" w:rsidP="008B4680">
      <w:pPr>
        <w:pStyle w:val="CM16"/>
        <w:spacing w:line="240" w:lineRule="auto"/>
        <w:jc w:val="center"/>
        <w:rPr>
          <w:lang w:val="lt-LT"/>
        </w:rPr>
      </w:pPr>
    </w:p>
    <w:p w:rsidR="00255979" w:rsidRDefault="00255979" w:rsidP="006F5707">
      <w:pPr>
        <w:pStyle w:val="CM16"/>
        <w:spacing w:line="240" w:lineRule="auto"/>
        <w:rPr>
          <w:rFonts w:cs="Times New Roman"/>
          <w:b/>
          <w:bCs/>
          <w:color w:val="000000"/>
          <w:sz w:val="22"/>
          <w:szCs w:val="22"/>
          <w:lang w:val="lt-LT"/>
        </w:rPr>
      </w:pPr>
      <w:r>
        <w:rPr>
          <w:rFonts w:cs="Times New Roman"/>
          <w:b/>
          <w:bCs/>
          <w:color w:val="000000"/>
          <w:sz w:val="22"/>
          <w:szCs w:val="22"/>
          <w:lang w:val="lt-LT"/>
        </w:rPr>
        <w:t xml:space="preserve">Atidžiai perskaitykite visą šį lapelį, prieš pradėdami vartoti vaistą, nes jame pateikiama Jums svarbi informacija. </w:t>
      </w:r>
    </w:p>
    <w:p w:rsidR="00255979" w:rsidRDefault="00255979" w:rsidP="006F5707">
      <w:pPr>
        <w:pStyle w:val="CM16"/>
        <w:spacing w:line="240" w:lineRule="auto"/>
        <w:rPr>
          <w:rFonts w:cs="Times New Roman"/>
          <w:b/>
          <w:bCs/>
          <w:color w:val="000000"/>
          <w:sz w:val="22"/>
          <w:szCs w:val="22"/>
          <w:lang w:val="lt-LT"/>
        </w:rPr>
      </w:pPr>
    </w:p>
    <w:p w:rsidR="00255979" w:rsidRDefault="00255979" w:rsidP="006F5707">
      <w:pPr>
        <w:pStyle w:val="CM2"/>
        <w:spacing w:line="240" w:lineRule="auto"/>
        <w:rPr>
          <w:rFonts w:cs="Times New Roman"/>
          <w:color w:val="000000"/>
          <w:sz w:val="22"/>
          <w:szCs w:val="22"/>
          <w:lang w:val="lt-LT"/>
        </w:rPr>
      </w:pPr>
      <w:r>
        <w:rPr>
          <w:rFonts w:cs="Times New Roman"/>
          <w:color w:val="000000"/>
          <w:sz w:val="22"/>
          <w:szCs w:val="22"/>
          <w:lang w:val="lt-LT"/>
        </w:rPr>
        <w:t xml:space="preserve">-Neišmeskite šio lapelio, nes vėl gali prireikti jį perskaityti.  </w:t>
      </w:r>
    </w:p>
    <w:p w:rsidR="00255979" w:rsidRDefault="00255979" w:rsidP="006F5707">
      <w:pPr>
        <w:pStyle w:val="CM2"/>
        <w:spacing w:line="240" w:lineRule="auto"/>
        <w:rPr>
          <w:rFonts w:cs="Times New Roman"/>
          <w:color w:val="000000"/>
          <w:sz w:val="22"/>
          <w:szCs w:val="22"/>
          <w:lang w:val="lt-LT"/>
        </w:rPr>
      </w:pPr>
      <w:r>
        <w:rPr>
          <w:rFonts w:cs="Times New Roman"/>
          <w:color w:val="000000"/>
          <w:sz w:val="22"/>
          <w:szCs w:val="22"/>
          <w:lang w:val="lt-LT"/>
        </w:rPr>
        <w:t xml:space="preserve">-Jeigu kiltų daugiau klausimų, kreipkitės į gydytoją arba vaistininką. </w:t>
      </w:r>
    </w:p>
    <w:p w:rsidR="00255979" w:rsidRDefault="00255979" w:rsidP="006F5707">
      <w:pPr>
        <w:pStyle w:val="CM16"/>
        <w:spacing w:line="240" w:lineRule="auto"/>
        <w:rPr>
          <w:rFonts w:cs="Times New Roman"/>
          <w:color w:val="000000"/>
          <w:sz w:val="22"/>
          <w:szCs w:val="22"/>
          <w:lang w:val="lt-LT"/>
        </w:rPr>
      </w:pPr>
      <w:r>
        <w:rPr>
          <w:rFonts w:cs="Times New Roman"/>
          <w:color w:val="000000"/>
          <w:sz w:val="22"/>
          <w:szCs w:val="22"/>
          <w:lang w:val="lt-LT"/>
        </w:rPr>
        <w:t xml:space="preserve">-Jeigu pasireiškė sunkus šalutinis poveikis (net jeigu jis šiame lapelyje nenurodytas), kreipkitės į gydytoją arba vaistininką. </w:t>
      </w:r>
    </w:p>
    <w:p w:rsidR="00255979" w:rsidRPr="004873B0" w:rsidRDefault="00255979" w:rsidP="006F5707">
      <w:pPr>
        <w:rPr>
          <w:color w:val="00000A"/>
          <w:sz w:val="22"/>
          <w:szCs w:val="22"/>
        </w:rPr>
      </w:pPr>
    </w:p>
    <w:p w:rsidR="00255979" w:rsidRPr="004873B0" w:rsidRDefault="00255979" w:rsidP="006F5707">
      <w:pPr>
        <w:rPr>
          <w:color w:val="00000A"/>
          <w:sz w:val="22"/>
          <w:szCs w:val="22"/>
        </w:rPr>
      </w:pPr>
    </w:p>
    <w:p w:rsidR="00255979" w:rsidRDefault="00255979" w:rsidP="006F5707">
      <w:pPr>
        <w:pStyle w:val="CM2"/>
        <w:spacing w:line="240" w:lineRule="auto"/>
        <w:rPr>
          <w:rFonts w:cs="Times New Roman"/>
          <w:sz w:val="22"/>
          <w:szCs w:val="22"/>
          <w:lang w:val="lt-LT"/>
        </w:rPr>
      </w:pPr>
      <w:r w:rsidRPr="004873B0">
        <w:rPr>
          <w:b/>
          <w:bCs/>
          <w:sz w:val="22"/>
          <w:szCs w:val="22"/>
          <w:lang w:val="lt-LT"/>
        </w:rPr>
        <w:t>Apie</w:t>
      </w:r>
      <w:r>
        <w:rPr>
          <w:b/>
          <w:bCs/>
          <w:sz w:val="22"/>
          <w:szCs w:val="22"/>
          <w:lang w:val="lt-LT"/>
        </w:rPr>
        <w:t xml:space="preserve"> ką rašoma šiame lapelyje</w:t>
      </w:r>
      <w:r>
        <w:rPr>
          <w:rFonts w:cs="Times New Roman"/>
          <w:sz w:val="22"/>
          <w:szCs w:val="22"/>
          <w:lang w:val="lt-LT"/>
        </w:rPr>
        <w:t xml:space="preserve">? </w:t>
      </w:r>
    </w:p>
    <w:p w:rsidR="00255979" w:rsidRDefault="00255979" w:rsidP="006F5707">
      <w:pPr>
        <w:widowControl w:val="0"/>
        <w:numPr>
          <w:ilvl w:val="0"/>
          <w:numId w:val="6"/>
        </w:numPr>
        <w:suppressAutoHyphens/>
        <w:rPr>
          <w:color w:val="00000A"/>
          <w:sz w:val="22"/>
          <w:szCs w:val="22"/>
        </w:rPr>
      </w:pPr>
      <w:r>
        <w:rPr>
          <w:color w:val="00000A"/>
          <w:sz w:val="22"/>
          <w:szCs w:val="22"/>
        </w:rPr>
        <w:t xml:space="preserve">Kas yra </w:t>
      </w:r>
      <w:proofErr w:type="spellStart"/>
      <w:r>
        <w:rPr>
          <w:color w:val="00000A"/>
          <w:sz w:val="22"/>
          <w:szCs w:val="22"/>
        </w:rPr>
        <w:t>Oxaliplatin</w:t>
      </w:r>
      <w:proofErr w:type="spellEnd"/>
      <w:r>
        <w:rPr>
          <w:color w:val="00000A"/>
          <w:sz w:val="22"/>
          <w:szCs w:val="22"/>
        </w:rPr>
        <w:t xml:space="preserve"> </w:t>
      </w:r>
      <w:proofErr w:type="spellStart"/>
      <w:r w:rsidR="00501874" w:rsidRPr="00501874">
        <w:rPr>
          <w:sz w:val="22"/>
          <w:szCs w:val="22"/>
        </w:rPr>
        <w:t>Mylan</w:t>
      </w:r>
      <w:proofErr w:type="spellEnd"/>
      <w:r>
        <w:rPr>
          <w:color w:val="00000A"/>
          <w:sz w:val="22"/>
          <w:szCs w:val="22"/>
        </w:rPr>
        <w:t xml:space="preserve"> ir kam jis vartojamas </w:t>
      </w:r>
    </w:p>
    <w:p w:rsidR="00255979" w:rsidRDefault="00255979" w:rsidP="006F5707">
      <w:pPr>
        <w:widowControl w:val="0"/>
        <w:numPr>
          <w:ilvl w:val="0"/>
          <w:numId w:val="6"/>
        </w:numPr>
        <w:suppressAutoHyphens/>
        <w:rPr>
          <w:color w:val="00000A"/>
          <w:sz w:val="22"/>
          <w:szCs w:val="22"/>
        </w:rPr>
      </w:pPr>
      <w:r>
        <w:rPr>
          <w:color w:val="00000A"/>
          <w:sz w:val="22"/>
          <w:szCs w:val="22"/>
        </w:rPr>
        <w:t xml:space="preserve">Kas žinotina prieš vartojant </w:t>
      </w:r>
      <w:proofErr w:type="spellStart"/>
      <w:r>
        <w:rPr>
          <w:color w:val="00000A"/>
          <w:sz w:val="22"/>
          <w:szCs w:val="22"/>
        </w:rPr>
        <w:t>Oxaliplatin</w:t>
      </w:r>
      <w:proofErr w:type="spellEnd"/>
      <w:r>
        <w:rPr>
          <w:color w:val="00000A"/>
          <w:sz w:val="22"/>
          <w:szCs w:val="22"/>
        </w:rPr>
        <w:t xml:space="preserve"> </w:t>
      </w:r>
      <w:proofErr w:type="spellStart"/>
      <w:r w:rsidR="00501874" w:rsidRPr="00501874">
        <w:rPr>
          <w:sz w:val="22"/>
          <w:szCs w:val="22"/>
        </w:rPr>
        <w:t>Mylan</w:t>
      </w:r>
      <w:proofErr w:type="spellEnd"/>
      <w:r>
        <w:rPr>
          <w:color w:val="00000A"/>
          <w:sz w:val="22"/>
          <w:szCs w:val="22"/>
        </w:rPr>
        <w:t xml:space="preserve"> </w:t>
      </w:r>
    </w:p>
    <w:p w:rsidR="00255979" w:rsidRDefault="00255979" w:rsidP="006F5707">
      <w:pPr>
        <w:widowControl w:val="0"/>
        <w:numPr>
          <w:ilvl w:val="0"/>
          <w:numId w:val="6"/>
        </w:numPr>
        <w:suppressAutoHyphens/>
        <w:rPr>
          <w:color w:val="00000A"/>
          <w:sz w:val="22"/>
          <w:szCs w:val="22"/>
        </w:rPr>
      </w:pPr>
      <w:r>
        <w:rPr>
          <w:color w:val="00000A"/>
          <w:sz w:val="22"/>
          <w:szCs w:val="22"/>
        </w:rPr>
        <w:t xml:space="preserve">Kaip vartoti </w:t>
      </w:r>
      <w:proofErr w:type="spellStart"/>
      <w:r>
        <w:rPr>
          <w:color w:val="00000A"/>
          <w:sz w:val="22"/>
          <w:szCs w:val="22"/>
        </w:rPr>
        <w:t>Oxaliplatin</w:t>
      </w:r>
      <w:proofErr w:type="spellEnd"/>
      <w:r>
        <w:rPr>
          <w:color w:val="00000A"/>
          <w:sz w:val="22"/>
          <w:szCs w:val="22"/>
        </w:rPr>
        <w:t xml:space="preserve"> </w:t>
      </w:r>
      <w:proofErr w:type="spellStart"/>
      <w:r w:rsidR="00501874" w:rsidRPr="00501874">
        <w:rPr>
          <w:sz w:val="22"/>
          <w:szCs w:val="22"/>
        </w:rPr>
        <w:t>Mylan</w:t>
      </w:r>
      <w:proofErr w:type="spellEnd"/>
      <w:r>
        <w:rPr>
          <w:color w:val="00000A"/>
          <w:sz w:val="22"/>
          <w:szCs w:val="22"/>
        </w:rPr>
        <w:t xml:space="preserve"> </w:t>
      </w:r>
    </w:p>
    <w:p w:rsidR="00255979" w:rsidRDefault="00255979" w:rsidP="006F5707">
      <w:pPr>
        <w:widowControl w:val="0"/>
        <w:numPr>
          <w:ilvl w:val="0"/>
          <w:numId w:val="6"/>
        </w:numPr>
        <w:suppressAutoHyphens/>
        <w:rPr>
          <w:color w:val="00000A"/>
          <w:sz w:val="22"/>
          <w:szCs w:val="22"/>
        </w:rPr>
      </w:pPr>
      <w:r>
        <w:rPr>
          <w:color w:val="00000A"/>
          <w:sz w:val="22"/>
          <w:szCs w:val="22"/>
        </w:rPr>
        <w:t xml:space="preserve">Galimas šalutinis poveikis </w:t>
      </w:r>
    </w:p>
    <w:p w:rsidR="00255979" w:rsidRDefault="00255979" w:rsidP="006F5707">
      <w:pPr>
        <w:widowControl w:val="0"/>
        <w:numPr>
          <w:ilvl w:val="0"/>
          <w:numId w:val="6"/>
        </w:numPr>
        <w:suppressAutoHyphens/>
        <w:rPr>
          <w:color w:val="00000A"/>
          <w:sz w:val="22"/>
          <w:szCs w:val="22"/>
        </w:rPr>
      </w:pPr>
      <w:r>
        <w:rPr>
          <w:color w:val="00000A"/>
          <w:sz w:val="22"/>
          <w:szCs w:val="22"/>
        </w:rPr>
        <w:t xml:space="preserve">Kaip laikyti </w:t>
      </w:r>
      <w:proofErr w:type="spellStart"/>
      <w:r>
        <w:rPr>
          <w:color w:val="00000A"/>
          <w:sz w:val="22"/>
          <w:szCs w:val="22"/>
        </w:rPr>
        <w:t>Oxaliplatin</w:t>
      </w:r>
      <w:proofErr w:type="spellEnd"/>
      <w:r>
        <w:rPr>
          <w:color w:val="00000A"/>
          <w:sz w:val="22"/>
          <w:szCs w:val="22"/>
        </w:rPr>
        <w:t xml:space="preserve"> </w:t>
      </w:r>
      <w:proofErr w:type="spellStart"/>
      <w:r w:rsidR="00501874" w:rsidRPr="00501874">
        <w:rPr>
          <w:sz w:val="22"/>
          <w:szCs w:val="22"/>
        </w:rPr>
        <w:t>Mylan</w:t>
      </w:r>
      <w:proofErr w:type="spellEnd"/>
      <w:r>
        <w:rPr>
          <w:color w:val="00000A"/>
          <w:sz w:val="22"/>
          <w:szCs w:val="22"/>
        </w:rPr>
        <w:t xml:space="preserve"> </w:t>
      </w:r>
    </w:p>
    <w:p w:rsidR="00255979" w:rsidRDefault="00255979" w:rsidP="006F5707">
      <w:pPr>
        <w:widowControl w:val="0"/>
        <w:numPr>
          <w:ilvl w:val="0"/>
          <w:numId w:val="6"/>
        </w:numPr>
        <w:suppressAutoHyphens/>
        <w:rPr>
          <w:color w:val="00000A"/>
          <w:sz w:val="22"/>
          <w:szCs w:val="22"/>
        </w:rPr>
      </w:pPr>
      <w:r>
        <w:rPr>
          <w:color w:val="00000A"/>
          <w:sz w:val="22"/>
          <w:szCs w:val="22"/>
        </w:rPr>
        <w:t xml:space="preserve">Pakuotės turinys ir kita informacija </w:t>
      </w:r>
    </w:p>
    <w:p w:rsidR="00255979" w:rsidRPr="00DF4173"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PI-1EMEASMCA"/>
      </w:pPr>
      <w:bookmarkStart w:id="72" w:name="_Toc129243139"/>
      <w:bookmarkStart w:id="73" w:name="_Toc129243264"/>
      <w:r w:rsidRPr="00DF4173">
        <w:t>1.</w:t>
      </w:r>
      <w:r w:rsidRPr="00DF4173">
        <w:tab/>
      </w:r>
      <w:r>
        <w:t>K</w:t>
      </w:r>
      <w:r w:rsidRPr="00DF4173">
        <w:t xml:space="preserve">as yra </w:t>
      </w:r>
      <w:proofErr w:type="spellStart"/>
      <w:r>
        <w:t>Oxaliplatin</w:t>
      </w:r>
      <w:proofErr w:type="spellEnd"/>
      <w:r>
        <w:t xml:space="preserve"> </w:t>
      </w:r>
      <w:proofErr w:type="spellStart"/>
      <w:r w:rsidR="00501874" w:rsidRPr="00501874">
        <w:t>Mylan</w:t>
      </w:r>
      <w:proofErr w:type="spellEnd"/>
      <w:r w:rsidRPr="00DF4173">
        <w:t xml:space="preserve"> ir </w:t>
      </w:r>
      <w:r>
        <w:t>kam</w:t>
      </w:r>
      <w:r w:rsidRPr="00DF4173">
        <w:t xml:space="preserve"> jis vartojamas</w:t>
      </w:r>
      <w:bookmarkEnd w:id="72"/>
      <w:bookmarkEnd w:id="73"/>
    </w:p>
    <w:p w:rsidR="00255979" w:rsidRPr="00DF4173" w:rsidRDefault="00255979" w:rsidP="00633D05">
      <w:pPr>
        <w:pStyle w:val="BTEMEASMCA"/>
        <w:rPr>
          <w:noProof w:val="0"/>
        </w:rPr>
      </w:pPr>
    </w:p>
    <w:p w:rsidR="00255979" w:rsidRDefault="00255979" w:rsidP="006F5707">
      <w:pPr>
        <w:pStyle w:val="CM16"/>
        <w:spacing w:line="240" w:lineRule="auto"/>
        <w:jc w:val="both"/>
        <w:rPr>
          <w:rFonts w:cs="Times New Roman"/>
          <w:sz w:val="22"/>
          <w:szCs w:val="22"/>
          <w:lang w:val="lt-LT"/>
        </w:rPr>
      </w:pPr>
      <w:proofErr w:type="spellStart"/>
      <w:r>
        <w:rPr>
          <w:rFonts w:cs="Times New Roman"/>
          <w:sz w:val="22"/>
          <w:szCs w:val="22"/>
          <w:lang w:val="lt-LT"/>
        </w:rPr>
        <w:t>Oxaliplatin</w:t>
      </w:r>
      <w:proofErr w:type="spellEnd"/>
      <w:r>
        <w:rPr>
          <w:rFonts w:cs="Times New Roman"/>
          <w:sz w:val="22"/>
          <w:szCs w:val="22"/>
          <w:lang w:val="lt-LT"/>
        </w:rPr>
        <w:t xml:space="preserve"> </w:t>
      </w:r>
      <w:proofErr w:type="spellStart"/>
      <w:r w:rsidR="00501874" w:rsidRPr="00501874">
        <w:rPr>
          <w:sz w:val="22"/>
          <w:szCs w:val="22"/>
          <w:lang w:val="lt-LT"/>
        </w:rPr>
        <w:t>Mylan</w:t>
      </w:r>
      <w:proofErr w:type="spellEnd"/>
      <w:r>
        <w:rPr>
          <w:rFonts w:cs="Times New Roman"/>
          <w:sz w:val="22"/>
          <w:szCs w:val="22"/>
          <w:lang w:val="lt-LT"/>
        </w:rPr>
        <w:t xml:space="preserve"> gydomas storosios žarnos vėžys (III stadijos gaubtinės žarnos vėžys po visiškos gaubtinės ir tiesiosios žarnos pirminio naviko </w:t>
      </w:r>
      <w:proofErr w:type="spellStart"/>
      <w:r>
        <w:rPr>
          <w:rFonts w:cs="Times New Roman"/>
          <w:sz w:val="22"/>
          <w:szCs w:val="22"/>
          <w:lang w:val="lt-LT"/>
        </w:rPr>
        <w:t>rezekcijos</w:t>
      </w:r>
      <w:proofErr w:type="spellEnd"/>
      <w:r>
        <w:rPr>
          <w:rFonts w:cs="Times New Roman"/>
          <w:sz w:val="22"/>
          <w:szCs w:val="22"/>
          <w:lang w:val="lt-LT"/>
        </w:rPr>
        <w:t xml:space="preserve"> ir </w:t>
      </w:r>
      <w:proofErr w:type="spellStart"/>
      <w:r>
        <w:rPr>
          <w:rFonts w:cs="Times New Roman"/>
          <w:sz w:val="22"/>
          <w:szCs w:val="22"/>
          <w:lang w:val="lt-LT"/>
        </w:rPr>
        <w:t>metastazavęs</w:t>
      </w:r>
      <w:proofErr w:type="spellEnd"/>
      <w:r>
        <w:rPr>
          <w:rFonts w:cs="Times New Roman"/>
          <w:sz w:val="22"/>
          <w:szCs w:val="22"/>
          <w:lang w:val="lt-LT"/>
        </w:rPr>
        <w:t xml:space="preserve"> gaubtinės ir tiesiosios žarnos vėžys). Oksaliplatina gydoma kartu su kitais vaistais nuo vėžio, vadinamais 5-fluorouracilu (5FU) ir leukovorinu (folino rūgštimi). </w:t>
      </w:r>
    </w:p>
    <w:p w:rsidR="00255979" w:rsidRDefault="00255979" w:rsidP="006F5707">
      <w:pPr>
        <w:pStyle w:val="CM17"/>
        <w:spacing w:line="240" w:lineRule="auto"/>
        <w:jc w:val="both"/>
        <w:rPr>
          <w:rFonts w:cs="Times New Roman"/>
          <w:sz w:val="22"/>
          <w:szCs w:val="22"/>
          <w:lang w:val="lt-LT"/>
        </w:rPr>
      </w:pPr>
    </w:p>
    <w:p w:rsidR="00255979" w:rsidRDefault="00255979" w:rsidP="006F5707">
      <w:pPr>
        <w:pStyle w:val="CM17"/>
        <w:spacing w:line="240" w:lineRule="auto"/>
        <w:jc w:val="both"/>
        <w:rPr>
          <w:rFonts w:cs="Times New Roman"/>
          <w:sz w:val="22"/>
          <w:szCs w:val="22"/>
          <w:lang w:val="lt-LT"/>
        </w:rPr>
      </w:pPr>
      <w:proofErr w:type="spellStart"/>
      <w:r>
        <w:rPr>
          <w:rFonts w:cs="Times New Roman"/>
          <w:sz w:val="22"/>
          <w:szCs w:val="22"/>
          <w:lang w:val="lt-LT"/>
        </w:rPr>
        <w:t>Oxaliplatin</w:t>
      </w:r>
      <w:proofErr w:type="spellEnd"/>
      <w:r>
        <w:rPr>
          <w:rFonts w:cs="Times New Roman"/>
          <w:sz w:val="22"/>
          <w:szCs w:val="22"/>
          <w:lang w:val="lt-LT"/>
        </w:rPr>
        <w:t xml:space="preserve"> </w:t>
      </w:r>
      <w:r w:rsidR="00501874" w:rsidRPr="00501874">
        <w:rPr>
          <w:sz w:val="22"/>
          <w:szCs w:val="22"/>
        </w:rPr>
        <w:t>Mylan</w:t>
      </w:r>
      <w:r>
        <w:rPr>
          <w:rFonts w:cs="Times New Roman"/>
          <w:sz w:val="22"/>
          <w:szCs w:val="22"/>
          <w:lang w:val="lt-LT"/>
        </w:rPr>
        <w:t xml:space="preserve"> yra vaistas nuo vėžio, kurio sudėtyje yra platinos. </w:t>
      </w:r>
    </w:p>
    <w:p w:rsidR="00255979" w:rsidRDefault="00255979" w:rsidP="00633D05">
      <w:pPr>
        <w:pStyle w:val="BTEMEASMCA"/>
        <w:rPr>
          <w:noProof w:val="0"/>
        </w:rPr>
      </w:pPr>
    </w:p>
    <w:p w:rsidR="00255979" w:rsidRPr="00DF4173" w:rsidRDefault="00255979" w:rsidP="00633D05">
      <w:pPr>
        <w:pStyle w:val="BTEMEASMCA"/>
        <w:rPr>
          <w:noProof w:val="0"/>
        </w:rPr>
      </w:pPr>
    </w:p>
    <w:p w:rsidR="00255979" w:rsidRPr="00DF4173" w:rsidRDefault="00255979" w:rsidP="00633D05">
      <w:pPr>
        <w:pStyle w:val="PI-1EMEASMCA"/>
      </w:pPr>
      <w:bookmarkStart w:id="74" w:name="_Toc129243140"/>
      <w:bookmarkStart w:id="75" w:name="_Toc129243265"/>
      <w:r w:rsidRPr="00DF4173">
        <w:t>2.</w:t>
      </w:r>
      <w:r w:rsidRPr="00DF4173">
        <w:tab/>
      </w:r>
      <w:r>
        <w:t>K</w:t>
      </w:r>
      <w:r w:rsidRPr="00DF4173">
        <w:t xml:space="preserve">as žinotina prieš vartojant </w:t>
      </w:r>
      <w:bookmarkEnd w:id="74"/>
      <w:bookmarkEnd w:id="75"/>
      <w:proofErr w:type="spellStart"/>
      <w:r>
        <w:t>Oxaliplatin</w:t>
      </w:r>
      <w:proofErr w:type="spellEnd"/>
      <w:r>
        <w:t xml:space="preserve"> </w:t>
      </w:r>
      <w:proofErr w:type="spellStart"/>
      <w:r w:rsidR="00501874" w:rsidRPr="00501874">
        <w:t>Mylan</w:t>
      </w:r>
      <w:proofErr w:type="spellEnd"/>
    </w:p>
    <w:p w:rsidR="00255979" w:rsidRPr="00DF4173" w:rsidRDefault="00255979" w:rsidP="00633D05">
      <w:pPr>
        <w:pStyle w:val="BTEMEASMCA"/>
        <w:rPr>
          <w:noProof w:val="0"/>
        </w:rPr>
      </w:pPr>
    </w:p>
    <w:p w:rsidR="00255979" w:rsidRDefault="00255979" w:rsidP="004F23C8">
      <w:pPr>
        <w:pStyle w:val="CM2"/>
        <w:spacing w:line="240" w:lineRule="auto"/>
        <w:rPr>
          <w:b/>
          <w:bCs/>
          <w:sz w:val="22"/>
          <w:szCs w:val="22"/>
          <w:lang w:val="lt-LT"/>
        </w:rPr>
      </w:pPr>
      <w:proofErr w:type="spellStart"/>
      <w:r>
        <w:rPr>
          <w:b/>
          <w:bCs/>
          <w:sz w:val="22"/>
          <w:szCs w:val="22"/>
          <w:lang w:val="lt-LT"/>
        </w:rPr>
        <w:t>Oxaliplatin</w:t>
      </w:r>
      <w:proofErr w:type="spellEnd"/>
      <w:r>
        <w:rPr>
          <w:b/>
          <w:bCs/>
          <w:sz w:val="22"/>
          <w:szCs w:val="22"/>
          <w:lang w:val="lt-LT"/>
        </w:rPr>
        <w:t xml:space="preserve"> </w:t>
      </w:r>
      <w:r w:rsidR="00501874" w:rsidRPr="00501874">
        <w:rPr>
          <w:b/>
          <w:sz w:val="22"/>
          <w:szCs w:val="22"/>
        </w:rPr>
        <w:t>Mylan</w:t>
      </w:r>
      <w:r>
        <w:rPr>
          <w:b/>
          <w:bCs/>
          <w:sz w:val="22"/>
          <w:szCs w:val="22"/>
          <w:lang w:val="lt-LT"/>
        </w:rPr>
        <w:t xml:space="preserve"> vartoti negalima: </w:t>
      </w:r>
    </w:p>
    <w:p w:rsidR="00255979" w:rsidRDefault="00255979" w:rsidP="004F23C8">
      <w:pPr>
        <w:pStyle w:val="CM2"/>
        <w:spacing w:line="240" w:lineRule="auto"/>
        <w:rPr>
          <w:rFonts w:cs="Times New Roman"/>
          <w:sz w:val="22"/>
          <w:szCs w:val="22"/>
          <w:lang w:val="lt-LT"/>
        </w:rPr>
      </w:pPr>
      <w:r>
        <w:rPr>
          <w:rFonts w:cs="Times New Roman"/>
          <w:sz w:val="22"/>
          <w:szCs w:val="22"/>
          <w:lang w:val="lt-LT"/>
        </w:rPr>
        <w:t xml:space="preserve">-jeigu yra alergija oksaliplatinai arba bet kuriai pagalbinei šio vaisto medžiagai; </w:t>
      </w:r>
    </w:p>
    <w:p w:rsidR="00255979" w:rsidRDefault="00255979" w:rsidP="004F23C8">
      <w:pPr>
        <w:pStyle w:val="CM2"/>
        <w:spacing w:line="240" w:lineRule="auto"/>
        <w:rPr>
          <w:rFonts w:cs="Times New Roman"/>
          <w:sz w:val="22"/>
          <w:szCs w:val="22"/>
          <w:lang w:val="lt-LT"/>
        </w:rPr>
      </w:pPr>
      <w:r>
        <w:rPr>
          <w:rFonts w:cs="Times New Roman"/>
          <w:sz w:val="22"/>
          <w:szCs w:val="22"/>
          <w:lang w:val="lt-LT"/>
        </w:rPr>
        <w:t xml:space="preserve">-jei žindote; </w:t>
      </w:r>
    </w:p>
    <w:p w:rsidR="00255979" w:rsidRDefault="00255979" w:rsidP="004F23C8">
      <w:pPr>
        <w:pStyle w:val="CM2"/>
        <w:spacing w:line="240" w:lineRule="auto"/>
        <w:rPr>
          <w:rFonts w:cs="Times New Roman"/>
          <w:sz w:val="22"/>
          <w:szCs w:val="22"/>
          <w:lang w:val="lt-LT"/>
        </w:rPr>
      </w:pPr>
      <w:r>
        <w:rPr>
          <w:rFonts w:cs="Times New Roman"/>
          <w:sz w:val="22"/>
          <w:szCs w:val="22"/>
          <w:lang w:val="lt-LT"/>
        </w:rPr>
        <w:t xml:space="preserve">-jei jau sumažėjęs raudonųjų arba baltųjų kraujo ląstelių kiekis;  </w:t>
      </w:r>
    </w:p>
    <w:p w:rsidR="00255979" w:rsidRDefault="00255979" w:rsidP="004F23C8">
      <w:pPr>
        <w:pStyle w:val="CM2"/>
        <w:spacing w:line="240" w:lineRule="auto"/>
        <w:rPr>
          <w:lang w:val="lt-LT"/>
        </w:rPr>
      </w:pPr>
      <w:r>
        <w:rPr>
          <w:rFonts w:cs="Times New Roman"/>
          <w:sz w:val="22"/>
          <w:szCs w:val="22"/>
          <w:lang w:val="lt-LT"/>
        </w:rPr>
        <w:t>-jei dilgčioja ir tirpsta rankų ir (arba) kojų pirštai, sunku</w:t>
      </w:r>
      <w:r>
        <w:rPr>
          <w:lang w:val="lt-LT"/>
        </w:rPr>
        <w:t xml:space="preserve"> atlikti smulkius darbus, pvz., užsisegti sagą; </w:t>
      </w:r>
    </w:p>
    <w:p w:rsidR="00255979" w:rsidRDefault="00255979" w:rsidP="004F23C8">
      <w:pPr>
        <w:pStyle w:val="CM2"/>
        <w:spacing w:line="240" w:lineRule="auto"/>
        <w:rPr>
          <w:lang w:val="lt-LT"/>
        </w:rPr>
      </w:pPr>
      <w:r>
        <w:rPr>
          <w:lang w:val="lt-LT"/>
        </w:rPr>
        <w:t xml:space="preserve">-jei yra sunkus inkstų sutrikimas.  </w:t>
      </w:r>
    </w:p>
    <w:p w:rsidR="00255979" w:rsidRDefault="00255979" w:rsidP="004F23C8">
      <w:pPr>
        <w:rPr>
          <w:color w:val="00000A"/>
          <w:sz w:val="23"/>
          <w:szCs w:val="22"/>
        </w:rPr>
      </w:pPr>
    </w:p>
    <w:p w:rsidR="00255979" w:rsidRDefault="00255979" w:rsidP="004F23C8">
      <w:pPr>
        <w:pStyle w:val="CM2"/>
        <w:spacing w:line="240" w:lineRule="auto"/>
        <w:rPr>
          <w:b/>
          <w:bCs/>
          <w:sz w:val="22"/>
          <w:szCs w:val="22"/>
          <w:lang w:val="lt-LT"/>
        </w:rPr>
      </w:pPr>
      <w:r>
        <w:rPr>
          <w:b/>
          <w:bCs/>
          <w:sz w:val="22"/>
          <w:szCs w:val="22"/>
          <w:lang w:val="lt-LT"/>
        </w:rPr>
        <w:t xml:space="preserve">Įspėjimai ir atsargumo priemonės </w:t>
      </w:r>
    </w:p>
    <w:p w:rsidR="00255979" w:rsidRDefault="00255979" w:rsidP="004F23C8">
      <w:pPr>
        <w:pStyle w:val="CM2"/>
        <w:spacing w:line="240" w:lineRule="auto"/>
        <w:rPr>
          <w:lang w:val="lt-LT"/>
        </w:rPr>
      </w:pPr>
      <w:r>
        <w:rPr>
          <w:rFonts w:cs="Times New Roman"/>
          <w:sz w:val="22"/>
          <w:szCs w:val="22"/>
          <w:lang w:val="lt-LT"/>
        </w:rPr>
        <w:t xml:space="preserve">-Jeigu kada nors jau buvo pasireiškusi alerginė reakcija į vaistus, kuriuose yra platinos, pvz., </w:t>
      </w:r>
      <w:r>
        <w:rPr>
          <w:lang w:val="lt-LT"/>
        </w:rPr>
        <w:t xml:space="preserve">karboplatiną, cisplatiną. Alerginės reakcijos gali pasireikšti bet kurios oksaliplatinos infuzijos metu. </w:t>
      </w:r>
    </w:p>
    <w:p w:rsidR="00255979" w:rsidRDefault="00255979" w:rsidP="004F23C8">
      <w:pPr>
        <w:pStyle w:val="CM2"/>
        <w:spacing w:line="240" w:lineRule="auto"/>
        <w:rPr>
          <w:lang w:val="lt-LT"/>
        </w:rPr>
      </w:pPr>
      <w:r>
        <w:rPr>
          <w:lang w:val="lt-LT"/>
        </w:rPr>
        <w:t xml:space="preserve">- Jei yra vidutinio sunkumo ar nedidelis inkstų sutrikimas. </w:t>
      </w:r>
    </w:p>
    <w:p w:rsidR="00255979" w:rsidRDefault="00255979" w:rsidP="004F23C8">
      <w:pPr>
        <w:pStyle w:val="CM2"/>
        <w:spacing w:line="240" w:lineRule="auto"/>
        <w:rPr>
          <w:lang w:val="lt-LT"/>
        </w:rPr>
      </w:pPr>
      <w:r>
        <w:rPr>
          <w:lang w:val="lt-LT"/>
        </w:rPr>
        <w:t xml:space="preserve">-Jeigu yra kokių nors kepenų sutrikimų. </w:t>
      </w:r>
    </w:p>
    <w:p w:rsidR="00255979" w:rsidRDefault="00255979" w:rsidP="004F23C8">
      <w:pPr>
        <w:pStyle w:val="CM2"/>
        <w:spacing w:line="240" w:lineRule="auto"/>
        <w:rPr>
          <w:lang w:val="lt-LT"/>
        </w:rPr>
      </w:pPr>
    </w:p>
    <w:p w:rsidR="00255979" w:rsidRDefault="00255979" w:rsidP="004F23C8">
      <w:pPr>
        <w:pStyle w:val="CM2"/>
        <w:spacing w:line="240" w:lineRule="auto"/>
        <w:rPr>
          <w:rFonts w:cs="Times New Roman"/>
          <w:sz w:val="22"/>
          <w:szCs w:val="22"/>
          <w:lang w:val="lt-LT"/>
        </w:rPr>
      </w:pPr>
      <w:r>
        <w:rPr>
          <w:rFonts w:cs="Times New Roman"/>
          <w:sz w:val="22"/>
          <w:szCs w:val="22"/>
          <w:lang w:val="lt-LT"/>
        </w:rPr>
        <w:t xml:space="preserve">Oksaliplatina gali sukelti nepraeinantį nevaisingumą. </w:t>
      </w:r>
    </w:p>
    <w:p w:rsidR="00255979" w:rsidRDefault="00255979" w:rsidP="004F23C8">
      <w:pPr>
        <w:pStyle w:val="CM2"/>
        <w:spacing w:line="240" w:lineRule="auto"/>
        <w:rPr>
          <w:rFonts w:cs="Times New Roman"/>
          <w:sz w:val="22"/>
          <w:szCs w:val="22"/>
          <w:lang w:val="lt-LT"/>
        </w:rPr>
      </w:pPr>
      <w:r>
        <w:rPr>
          <w:rFonts w:cs="Times New Roman"/>
          <w:sz w:val="22"/>
          <w:szCs w:val="22"/>
          <w:lang w:val="lt-LT"/>
        </w:rPr>
        <w:t xml:space="preserve">Pacientams vyrams gydymo metu ir iki 6 mėnesių po gydymo patariama nepradėti kūdikio ir pasitarti dėl spermos konservavimo prieš pradedant gydymą. Pacientams vyrams gydymo metu ir 6 mėnesius po gydymo patariama naudoti tinkamas kontracepcijos priemones. </w:t>
      </w:r>
    </w:p>
    <w:p w:rsidR="00255979" w:rsidRDefault="00255979" w:rsidP="004F23C8">
      <w:pPr>
        <w:pStyle w:val="CM16"/>
        <w:spacing w:line="240" w:lineRule="auto"/>
        <w:rPr>
          <w:rFonts w:cs="Times New Roman"/>
          <w:sz w:val="22"/>
          <w:szCs w:val="22"/>
          <w:lang w:val="lt-LT"/>
        </w:rPr>
      </w:pPr>
    </w:p>
    <w:p w:rsidR="00255979" w:rsidRDefault="00255979" w:rsidP="004F23C8">
      <w:pPr>
        <w:pStyle w:val="CM16"/>
        <w:spacing w:line="240" w:lineRule="auto"/>
        <w:rPr>
          <w:rFonts w:cs="Times New Roman"/>
          <w:sz w:val="22"/>
          <w:szCs w:val="22"/>
          <w:lang w:val="lt-LT"/>
        </w:rPr>
      </w:pPr>
      <w:r>
        <w:rPr>
          <w:rFonts w:cs="Times New Roman"/>
          <w:sz w:val="22"/>
          <w:szCs w:val="22"/>
          <w:lang w:val="lt-LT"/>
        </w:rPr>
        <w:t xml:space="preserve">Pasitarkite su gydytoju, jeigu vienas iš minėtų įspėjimų taikytinas arba buvo taikytinas jums. </w:t>
      </w:r>
    </w:p>
    <w:p w:rsidR="00255979" w:rsidRDefault="00255979" w:rsidP="004F23C8">
      <w:pPr>
        <w:rPr>
          <w:color w:val="00000A"/>
          <w:sz w:val="23"/>
          <w:szCs w:val="23"/>
        </w:rPr>
      </w:pPr>
    </w:p>
    <w:p w:rsidR="00255979" w:rsidRDefault="00255979" w:rsidP="004F23C8">
      <w:pPr>
        <w:pStyle w:val="CM2"/>
        <w:spacing w:line="240" w:lineRule="auto"/>
        <w:rPr>
          <w:b/>
          <w:bCs/>
          <w:sz w:val="22"/>
          <w:szCs w:val="22"/>
          <w:lang w:val="lt-LT"/>
        </w:rPr>
      </w:pPr>
      <w:r>
        <w:rPr>
          <w:b/>
          <w:bCs/>
          <w:sz w:val="22"/>
          <w:szCs w:val="22"/>
          <w:lang w:val="lt-LT"/>
        </w:rPr>
        <w:t xml:space="preserve">Kiti vaistai ir </w:t>
      </w:r>
      <w:proofErr w:type="spellStart"/>
      <w:r>
        <w:rPr>
          <w:b/>
          <w:bCs/>
          <w:sz w:val="22"/>
          <w:szCs w:val="22"/>
          <w:lang w:val="lt-LT"/>
        </w:rPr>
        <w:t>Oxaliplatin</w:t>
      </w:r>
      <w:proofErr w:type="spellEnd"/>
      <w:r>
        <w:rPr>
          <w:b/>
          <w:bCs/>
          <w:sz w:val="22"/>
          <w:szCs w:val="22"/>
          <w:lang w:val="lt-LT"/>
        </w:rPr>
        <w:t xml:space="preserve"> </w:t>
      </w:r>
      <w:r w:rsidR="00501874" w:rsidRPr="00501874">
        <w:rPr>
          <w:b/>
          <w:sz w:val="22"/>
          <w:szCs w:val="22"/>
        </w:rPr>
        <w:t>Mylan</w:t>
      </w:r>
      <w:r>
        <w:rPr>
          <w:b/>
          <w:bCs/>
          <w:sz w:val="22"/>
          <w:szCs w:val="22"/>
          <w:lang w:val="lt-LT"/>
        </w:rPr>
        <w:t xml:space="preserve"> </w:t>
      </w:r>
    </w:p>
    <w:p w:rsidR="00255979" w:rsidRDefault="00255979" w:rsidP="004F23C8">
      <w:pPr>
        <w:pStyle w:val="CM16"/>
        <w:spacing w:line="240" w:lineRule="auto"/>
        <w:ind w:right="230"/>
        <w:rPr>
          <w:rFonts w:cs="Times New Roman"/>
          <w:sz w:val="22"/>
          <w:szCs w:val="22"/>
          <w:lang w:val="lt-LT"/>
        </w:rPr>
      </w:pPr>
      <w:r>
        <w:rPr>
          <w:rFonts w:cs="Times New Roman"/>
          <w:sz w:val="22"/>
          <w:szCs w:val="22"/>
          <w:lang w:val="lt-LT"/>
        </w:rPr>
        <w:t xml:space="preserve">Jeigu vartojate ar neseniai vartojote kitų vaistų, įskaitant įsigytus be recepto, pasakykite gydytojui arba vaistininkui.  </w:t>
      </w:r>
    </w:p>
    <w:p w:rsidR="00255979" w:rsidRDefault="00255979" w:rsidP="004F23C8">
      <w:pPr>
        <w:rPr>
          <w:color w:val="00000A"/>
          <w:sz w:val="23"/>
          <w:szCs w:val="23"/>
        </w:rPr>
      </w:pPr>
    </w:p>
    <w:p w:rsidR="00255979" w:rsidRDefault="00255979" w:rsidP="004F23C8">
      <w:pPr>
        <w:pStyle w:val="CM2"/>
        <w:spacing w:line="240" w:lineRule="auto"/>
        <w:rPr>
          <w:b/>
          <w:bCs/>
          <w:sz w:val="22"/>
          <w:szCs w:val="22"/>
          <w:lang w:val="lt-LT"/>
        </w:rPr>
      </w:pPr>
      <w:r>
        <w:rPr>
          <w:b/>
          <w:bCs/>
          <w:sz w:val="22"/>
          <w:szCs w:val="22"/>
          <w:lang w:val="lt-LT"/>
        </w:rPr>
        <w:t xml:space="preserve">Nėštumas ir žindymo laikotarpis </w:t>
      </w:r>
    </w:p>
    <w:p w:rsidR="00255979" w:rsidRDefault="00255979" w:rsidP="004F23C8">
      <w:pPr>
        <w:pStyle w:val="CM16"/>
        <w:spacing w:line="240" w:lineRule="auto"/>
        <w:ind w:right="230"/>
        <w:rPr>
          <w:rFonts w:cs="Times New Roman"/>
          <w:sz w:val="22"/>
          <w:szCs w:val="22"/>
          <w:lang w:val="lt-LT"/>
        </w:rPr>
      </w:pPr>
      <w:r>
        <w:rPr>
          <w:rFonts w:cs="Times New Roman"/>
          <w:sz w:val="22"/>
          <w:szCs w:val="22"/>
          <w:lang w:val="lt-LT"/>
        </w:rPr>
        <w:t xml:space="preserve">Nerekomenduojama pastoti vartojant oksaliplatiną. Gydymo metu būtina naudoti veiksmingas kontracepcijos priemones. Pacientėms gydymo metu ir 4 mėnesius po gydymo patariama naudoti tinkamas kontracepcijos priemones. </w:t>
      </w:r>
    </w:p>
    <w:p w:rsidR="00255979" w:rsidRDefault="00255979" w:rsidP="004F23C8">
      <w:pPr>
        <w:pStyle w:val="CM16"/>
        <w:spacing w:line="240" w:lineRule="auto"/>
        <w:rPr>
          <w:rFonts w:cs="Times New Roman"/>
          <w:sz w:val="22"/>
          <w:szCs w:val="22"/>
          <w:lang w:val="lt-LT"/>
        </w:rPr>
      </w:pPr>
    </w:p>
    <w:p w:rsidR="00255979" w:rsidRDefault="00255979" w:rsidP="004F23C8">
      <w:pPr>
        <w:pStyle w:val="CM16"/>
        <w:spacing w:line="240" w:lineRule="auto"/>
        <w:rPr>
          <w:rFonts w:cs="Times New Roman"/>
          <w:sz w:val="22"/>
          <w:szCs w:val="22"/>
          <w:lang w:val="lt-LT"/>
        </w:rPr>
      </w:pPr>
      <w:r>
        <w:rPr>
          <w:rFonts w:cs="Times New Roman"/>
          <w:sz w:val="22"/>
          <w:szCs w:val="22"/>
          <w:lang w:val="lt-LT"/>
        </w:rPr>
        <w:t xml:space="preserve">Jeigu esate nėščia arba planuojate pastoti, labai svarbu tai aptarti su savo gydytoju </w:t>
      </w:r>
      <w:r>
        <w:rPr>
          <w:rFonts w:cs="Times New Roman"/>
          <w:b/>
          <w:bCs/>
          <w:sz w:val="22"/>
          <w:szCs w:val="22"/>
          <w:lang w:val="lt-LT"/>
        </w:rPr>
        <w:t>prieš pradedant vartoti preparatą</w:t>
      </w:r>
      <w:r>
        <w:rPr>
          <w:rFonts w:cs="Times New Roman"/>
          <w:sz w:val="22"/>
          <w:szCs w:val="22"/>
          <w:lang w:val="lt-LT"/>
        </w:rPr>
        <w:t xml:space="preserve">. Jei gydymo metu pastojote, būtina nedelsiant pranešti gydytojui.  </w:t>
      </w:r>
    </w:p>
    <w:p w:rsidR="00255979" w:rsidRDefault="00255979" w:rsidP="004F23C8">
      <w:pPr>
        <w:pStyle w:val="CM16"/>
        <w:spacing w:line="240" w:lineRule="auto"/>
        <w:rPr>
          <w:rFonts w:cs="Times New Roman"/>
          <w:sz w:val="22"/>
          <w:szCs w:val="22"/>
          <w:lang w:val="lt-LT"/>
        </w:rPr>
      </w:pPr>
    </w:p>
    <w:p w:rsidR="00255979" w:rsidRDefault="00255979" w:rsidP="004F23C8">
      <w:pPr>
        <w:pStyle w:val="CM16"/>
        <w:spacing w:line="240" w:lineRule="auto"/>
        <w:rPr>
          <w:rFonts w:cs="Times New Roman"/>
          <w:sz w:val="22"/>
          <w:szCs w:val="22"/>
          <w:lang w:val="lt-LT"/>
        </w:rPr>
      </w:pPr>
      <w:r>
        <w:rPr>
          <w:rFonts w:cs="Times New Roman"/>
          <w:sz w:val="22"/>
          <w:szCs w:val="22"/>
          <w:lang w:val="lt-LT"/>
        </w:rPr>
        <w:t xml:space="preserve">Gydymo oksaliplatina metu žindyti draudžiama. </w:t>
      </w:r>
    </w:p>
    <w:p w:rsidR="00255979" w:rsidRDefault="00255979" w:rsidP="004F23C8">
      <w:pPr>
        <w:pStyle w:val="CM16"/>
        <w:spacing w:line="240" w:lineRule="auto"/>
        <w:rPr>
          <w:rFonts w:cs="Times New Roman"/>
          <w:sz w:val="22"/>
          <w:szCs w:val="22"/>
          <w:lang w:val="lt-LT"/>
        </w:rPr>
      </w:pPr>
    </w:p>
    <w:p w:rsidR="00255979" w:rsidRDefault="00255979" w:rsidP="004F23C8">
      <w:pPr>
        <w:pStyle w:val="CM16"/>
        <w:spacing w:line="240" w:lineRule="auto"/>
        <w:rPr>
          <w:rFonts w:cs="Times New Roman"/>
          <w:sz w:val="22"/>
          <w:szCs w:val="22"/>
          <w:lang w:val="lt-LT"/>
        </w:rPr>
      </w:pPr>
      <w:r>
        <w:rPr>
          <w:rFonts w:cs="Times New Roman"/>
          <w:sz w:val="22"/>
          <w:szCs w:val="22"/>
          <w:lang w:val="lt-LT"/>
        </w:rPr>
        <w:t xml:space="preserve">Prieš vartojant bet kokį vaistą, būtina pasitarti su gydytoju arba vaistininku. </w:t>
      </w:r>
    </w:p>
    <w:p w:rsidR="00255979" w:rsidRDefault="00255979" w:rsidP="004F23C8">
      <w:pPr>
        <w:rPr>
          <w:color w:val="00000A"/>
          <w:sz w:val="23"/>
          <w:szCs w:val="23"/>
        </w:rPr>
      </w:pPr>
    </w:p>
    <w:p w:rsidR="00255979" w:rsidRDefault="00255979" w:rsidP="004F23C8">
      <w:pPr>
        <w:pStyle w:val="CM2"/>
        <w:spacing w:line="240" w:lineRule="auto"/>
        <w:rPr>
          <w:b/>
          <w:bCs/>
          <w:sz w:val="22"/>
          <w:szCs w:val="22"/>
          <w:lang w:val="lt-LT"/>
        </w:rPr>
      </w:pPr>
      <w:r>
        <w:rPr>
          <w:b/>
          <w:bCs/>
          <w:sz w:val="22"/>
          <w:szCs w:val="22"/>
          <w:lang w:val="lt-LT"/>
        </w:rPr>
        <w:t xml:space="preserve">Vairavimas ir mechanizmų valdymas  </w:t>
      </w:r>
    </w:p>
    <w:p w:rsidR="00255979" w:rsidRDefault="00255979" w:rsidP="004873B0">
      <w:pPr>
        <w:pStyle w:val="CM17"/>
        <w:spacing w:line="240" w:lineRule="auto"/>
        <w:rPr>
          <w:rFonts w:cs="Times New Roman"/>
          <w:sz w:val="22"/>
          <w:szCs w:val="22"/>
          <w:lang w:val="lt-LT"/>
        </w:rPr>
      </w:pPr>
      <w:r>
        <w:rPr>
          <w:rFonts w:cs="Times New Roman"/>
          <w:sz w:val="22"/>
          <w:szCs w:val="22"/>
          <w:lang w:val="lt-LT"/>
        </w:rPr>
        <w:t xml:space="preserve">Gydantis oksaliplatina gali padidėti galvos svaigimo, pykinimo bei vėmimo ir kitokių eiseną bei pusiausvyrą trikdančių neurologinių sutrikimų pavojus. Jei atsiranda šių simptomų, nevairuokite ir nevaldykite mechanizmų. </w:t>
      </w:r>
    </w:p>
    <w:p w:rsidR="00255979" w:rsidRDefault="00255979" w:rsidP="004873B0">
      <w:pPr>
        <w:pStyle w:val="CM17"/>
        <w:spacing w:line="240" w:lineRule="auto"/>
        <w:rPr>
          <w:rFonts w:cs="Times New Roman"/>
          <w:sz w:val="22"/>
          <w:szCs w:val="22"/>
          <w:lang w:val="lt-LT"/>
        </w:rPr>
      </w:pPr>
    </w:p>
    <w:p w:rsidR="00255979" w:rsidRDefault="00255979" w:rsidP="004873B0">
      <w:pPr>
        <w:pStyle w:val="CM17"/>
        <w:spacing w:line="240" w:lineRule="auto"/>
        <w:rPr>
          <w:rFonts w:cs="Times New Roman"/>
          <w:sz w:val="22"/>
          <w:szCs w:val="22"/>
          <w:lang w:val="lt-LT"/>
        </w:rPr>
      </w:pPr>
      <w:r>
        <w:rPr>
          <w:rFonts w:cs="Times New Roman"/>
          <w:sz w:val="22"/>
          <w:szCs w:val="22"/>
          <w:lang w:val="lt-LT"/>
        </w:rPr>
        <w:t xml:space="preserve">Jeigu turite regėjimo sutrikimų vartodami </w:t>
      </w:r>
      <w:proofErr w:type="spellStart"/>
      <w:r>
        <w:rPr>
          <w:rFonts w:cs="Times New Roman"/>
          <w:sz w:val="22"/>
          <w:szCs w:val="22"/>
          <w:lang w:val="lt-LT"/>
        </w:rPr>
        <w:t>Oxaliplatin</w:t>
      </w:r>
      <w:proofErr w:type="spellEnd"/>
      <w:r>
        <w:rPr>
          <w:rFonts w:cs="Times New Roman"/>
          <w:sz w:val="22"/>
          <w:szCs w:val="22"/>
          <w:lang w:val="lt-LT"/>
        </w:rPr>
        <w:t xml:space="preserve"> </w:t>
      </w:r>
      <w:r w:rsidR="00501874" w:rsidRPr="00501874">
        <w:rPr>
          <w:sz w:val="22"/>
          <w:szCs w:val="22"/>
        </w:rPr>
        <w:t>Mylan</w:t>
      </w:r>
      <w:r>
        <w:rPr>
          <w:rFonts w:cs="Times New Roman"/>
          <w:sz w:val="22"/>
          <w:szCs w:val="22"/>
          <w:lang w:val="lt-LT"/>
        </w:rPr>
        <w:t xml:space="preserve">, nevairuokite, nevaldykite sunkių mechanizmų ir neužsiimkite pavojinga veikla. </w:t>
      </w:r>
    </w:p>
    <w:p w:rsidR="00255979" w:rsidRPr="00DF4173" w:rsidRDefault="00255979" w:rsidP="004873B0">
      <w:pPr>
        <w:pStyle w:val="BTEMEASMCA"/>
        <w:rPr>
          <w:noProof w:val="0"/>
        </w:rPr>
      </w:pPr>
    </w:p>
    <w:p w:rsidR="00255979" w:rsidRPr="00DF4173" w:rsidRDefault="00255979" w:rsidP="004873B0">
      <w:pPr>
        <w:pStyle w:val="BTEMEASMCA"/>
        <w:rPr>
          <w:noProof w:val="0"/>
        </w:rPr>
      </w:pPr>
    </w:p>
    <w:p w:rsidR="00255979" w:rsidRPr="00DF4173" w:rsidRDefault="00255979" w:rsidP="004873B0">
      <w:pPr>
        <w:pStyle w:val="PI-1EMEASMCA"/>
      </w:pPr>
      <w:bookmarkStart w:id="76" w:name="_Toc129243141"/>
      <w:bookmarkStart w:id="77" w:name="_Toc129243266"/>
      <w:r w:rsidRPr="00DF4173">
        <w:t>3.</w:t>
      </w:r>
      <w:r w:rsidRPr="00DF4173">
        <w:tab/>
        <w:t xml:space="preserve">Kaip vartoti </w:t>
      </w:r>
      <w:bookmarkEnd w:id="76"/>
      <w:bookmarkEnd w:id="77"/>
      <w:proofErr w:type="spellStart"/>
      <w:r>
        <w:t>Oxaliplatin</w:t>
      </w:r>
      <w:proofErr w:type="spellEnd"/>
      <w:r>
        <w:t xml:space="preserve"> </w:t>
      </w:r>
      <w:proofErr w:type="spellStart"/>
      <w:r w:rsidR="00501874" w:rsidRPr="00501874">
        <w:t>Mylan</w:t>
      </w:r>
      <w:proofErr w:type="spellEnd"/>
      <w:r w:rsidRPr="004F23C8">
        <w:t xml:space="preserve">  </w:t>
      </w:r>
    </w:p>
    <w:p w:rsidR="00255979" w:rsidRPr="00DF4173" w:rsidRDefault="00255979" w:rsidP="004873B0">
      <w:pPr>
        <w:pStyle w:val="BTEMEASMCA"/>
        <w:rPr>
          <w:noProof w:val="0"/>
        </w:rPr>
      </w:pPr>
    </w:p>
    <w:p w:rsidR="00255979" w:rsidRPr="004F23C8" w:rsidRDefault="00255979" w:rsidP="004873B0">
      <w:pPr>
        <w:widowControl w:val="0"/>
        <w:suppressAutoHyphens/>
        <w:ind w:right="4577"/>
        <w:rPr>
          <w:rFonts w:eastAsia="Liberation Sans"/>
          <w:color w:val="00000A"/>
          <w:kern w:val="1"/>
          <w:sz w:val="22"/>
          <w:szCs w:val="22"/>
          <w:lang w:eastAsia="lo-LA" w:bidi="lo-LA"/>
        </w:rPr>
      </w:pPr>
      <w:r w:rsidRPr="004F23C8">
        <w:rPr>
          <w:rFonts w:eastAsia="Liberation Sans"/>
          <w:color w:val="00000A"/>
          <w:kern w:val="1"/>
          <w:sz w:val="22"/>
          <w:szCs w:val="22"/>
          <w:lang w:eastAsia="lo-LA" w:bidi="lo-LA"/>
        </w:rPr>
        <w:t xml:space="preserve">Oxaliplatin </w:t>
      </w:r>
      <w:proofErr w:type="spellStart"/>
      <w:r w:rsidR="00501874" w:rsidRPr="00501874">
        <w:rPr>
          <w:sz w:val="22"/>
          <w:szCs w:val="22"/>
        </w:rPr>
        <w:t>Mylan</w:t>
      </w:r>
      <w:proofErr w:type="spellEnd"/>
      <w:r w:rsidRPr="004F23C8">
        <w:rPr>
          <w:rFonts w:eastAsia="Liberation Sans"/>
          <w:color w:val="00000A"/>
          <w:kern w:val="1"/>
          <w:sz w:val="22"/>
          <w:szCs w:val="22"/>
          <w:lang w:eastAsia="lo-LA" w:bidi="lo-LA"/>
        </w:rPr>
        <w:t xml:space="preserve"> yra skirtas vartoti tik suaugusiesiems. Tik vienkartiniam vartojimui. </w:t>
      </w:r>
    </w:p>
    <w:p w:rsidR="00255979" w:rsidRPr="004F23C8" w:rsidRDefault="00255979" w:rsidP="004873B0">
      <w:pPr>
        <w:widowControl w:val="0"/>
        <w:suppressAutoHyphens/>
        <w:rPr>
          <w:rFonts w:eastAsia="Liberation Sans" w:cs="Arial Unicode MS"/>
          <w:color w:val="00000A"/>
          <w:kern w:val="1"/>
          <w:sz w:val="23"/>
          <w:szCs w:val="23"/>
          <w:lang w:eastAsia="lo-LA" w:bidi="lo-LA"/>
        </w:rPr>
      </w:pPr>
    </w:p>
    <w:p w:rsidR="00255979" w:rsidRPr="004F23C8" w:rsidRDefault="00255979" w:rsidP="004873B0">
      <w:pPr>
        <w:widowControl w:val="0"/>
        <w:suppressAutoHyphens/>
        <w:rPr>
          <w:rFonts w:eastAsia="Liberation Sans" w:cs="Arial Unicode MS"/>
          <w:b/>
          <w:bCs/>
          <w:color w:val="00000A"/>
          <w:kern w:val="1"/>
          <w:sz w:val="22"/>
          <w:szCs w:val="22"/>
          <w:lang w:eastAsia="lo-LA" w:bidi="lo-LA"/>
        </w:rPr>
      </w:pPr>
      <w:r w:rsidRPr="004F23C8">
        <w:rPr>
          <w:rFonts w:eastAsia="Liberation Sans" w:cs="Arial Unicode MS"/>
          <w:b/>
          <w:bCs/>
          <w:color w:val="00000A"/>
          <w:kern w:val="1"/>
          <w:sz w:val="22"/>
          <w:szCs w:val="22"/>
          <w:lang w:eastAsia="lo-LA" w:bidi="lo-LA"/>
        </w:rPr>
        <w:t xml:space="preserve">Dozavimas </w:t>
      </w:r>
    </w:p>
    <w:p w:rsidR="00255979" w:rsidRPr="004F23C8" w:rsidRDefault="00255979" w:rsidP="004873B0">
      <w:pPr>
        <w:widowControl w:val="0"/>
        <w:suppressAutoHyphens/>
        <w:rPr>
          <w:rFonts w:eastAsia="Liberation Sans"/>
          <w:color w:val="00000A"/>
          <w:kern w:val="1"/>
          <w:sz w:val="22"/>
          <w:szCs w:val="22"/>
          <w:lang w:eastAsia="lo-LA" w:bidi="lo-LA"/>
        </w:rPr>
      </w:pPr>
      <w:r w:rsidRPr="004F23C8">
        <w:rPr>
          <w:rFonts w:eastAsia="Liberation Sans"/>
          <w:color w:val="00000A"/>
          <w:kern w:val="1"/>
          <w:sz w:val="22"/>
          <w:szCs w:val="22"/>
          <w:lang w:eastAsia="lo-LA" w:bidi="lo-LA"/>
        </w:rPr>
        <w:t xml:space="preserve">Oksaliplatinos dozė priklauso nuo Jūsų kūno paviršiaus ploto. Jis apskaičiuojamas pagal Jūsų ūgį ir svorį.  Įprastinė dozė suaugusiems žmonėms, įskaitant senyvus, yra 85 mg/m² kūno paviršiaus ploto.   Be to, dozė priklauso nuo kraujo tyrimo rezultatų ir šalutinio poveikio, pasireiškusio ankstesnio gydymo oksaliplatina metu. </w:t>
      </w:r>
    </w:p>
    <w:p w:rsidR="00255979" w:rsidRPr="004F23C8" w:rsidRDefault="00255979" w:rsidP="004873B0">
      <w:pPr>
        <w:widowControl w:val="0"/>
        <w:suppressAutoHyphens/>
        <w:rPr>
          <w:rFonts w:eastAsia="Liberation Sans"/>
          <w:color w:val="00000A"/>
          <w:kern w:val="1"/>
          <w:sz w:val="22"/>
          <w:szCs w:val="22"/>
          <w:lang w:eastAsia="lo-LA" w:bidi="lo-LA"/>
        </w:rPr>
      </w:pPr>
    </w:p>
    <w:p w:rsidR="00255979" w:rsidRPr="004F23C8" w:rsidRDefault="00255979" w:rsidP="004873B0">
      <w:pPr>
        <w:widowControl w:val="0"/>
        <w:suppressAutoHyphens/>
        <w:rPr>
          <w:rFonts w:eastAsia="Liberation Sans" w:cs="Arial Unicode MS"/>
          <w:b/>
          <w:bCs/>
          <w:color w:val="00000A"/>
          <w:kern w:val="1"/>
          <w:sz w:val="22"/>
          <w:szCs w:val="22"/>
          <w:lang w:eastAsia="lo-LA" w:bidi="lo-LA"/>
        </w:rPr>
      </w:pPr>
      <w:r w:rsidRPr="004F23C8">
        <w:rPr>
          <w:rFonts w:eastAsia="Liberation Sans" w:cs="Arial Unicode MS"/>
          <w:b/>
          <w:bCs/>
          <w:color w:val="00000A"/>
          <w:kern w:val="1"/>
          <w:sz w:val="22"/>
          <w:szCs w:val="22"/>
          <w:lang w:eastAsia="lo-LA" w:bidi="lo-LA"/>
        </w:rPr>
        <w:t>Vartojimo būdas</w:t>
      </w:r>
    </w:p>
    <w:p w:rsidR="00255979" w:rsidRPr="004F23C8" w:rsidRDefault="00255979" w:rsidP="004873B0">
      <w:pPr>
        <w:widowControl w:val="0"/>
        <w:numPr>
          <w:ilvl w:val="0"/>
          <w:numId w:val="7"/>
        </w:numPr>
        <w:suppressAutoHyphens/>
        <w:spacing w:line="100" w:lineRule="atLeast"/>
        <w:ind w:left="360"/>
        <w:rPr>
          <w:rFonts w:eastAsia="Liberation Sans" w:cs="Arial Unicode MS"/>
          <w:color w:val="00000A"/>
          <w:kern w:val="1"/>
          <w:sz w:val="22"/>
          <w:szCs w:val="22"/>
          <w:lang w:eastAsia="lo-LA" w:bidi="lo-LA"/>
        </w:rPr>
      </w:pPr>
      <w:r w:rsidRPr="004F23C8">
        <w:rPr>
          <w:rFonts w:eastAsia="Liberation Sans" w:cs="Arial Unicode MS"/>
          <w:color w:val="00000A"/>
          <w:kern w:val="1"/>
          <w:sz w:val="22"/>
          <w:szCs w:val="22"/>
          <w:lang w:eastAsia="lo-LA" w:bidi="lo-LA"/>
        </w:rPr>
        <w:t xml:space="preserve">Oksaliplatiną Jums skirs vėžio gydymo specialistas. </w:t>
      </w:r>
    </w:p>
    <w:p w:rsidR="00255979" w:rsidRPr="004F23C8" w:rsidRDefault="00255979" w:rsidP="004873B0">
      <w:pPr>
        <w:widowControl w:val="0"/>
        <w:numPr>
          <w:ilvl w:val="0"/>
          <w:numId w:val="7"/>
        </w:numPr>
        <w:suppressAutoHyphens/>
        <w:spacing w:line="100" w:lineRule="atLeast"/>
        <w:ind w:left="360"/>
        <w:rPr>
          <w:rFonts w:eastAsia="Liberation Sans" w:cs="Arial Unicode MS"/>
          <w:color w:val="00000A"/>
          <w:kern w:val="1"/>
          <w:sz w:val="22"/>
          <w:szCs w:val="22"/>
          <w:lang w:eastAsia="lo-LA" w:bidi="lo-LA"/>
        </w:rPr>
      </w:pPr>
      <w:r w:rsidRPr="004F23C8">
        <w:rPr>
          <w:rFonts w:eastAsia="Liberation Sans" w:cs="Arial Unicode MS"/>
          <w:color w:val="00000A"/>
          <w:kern w:val="1"/>
          <w:sz w:val="22"/>
          <w:szCs w:val="22"/>
          <w:lang w:eastAsia="lo-LA" w:bidi="lo-LA"/>
        </w:rPr>
        <w:t xml:space="preserve">Jūs būsite gydomas sveikatos priežiūros specialisto, kuris nustatys reikiamą oksaliplatinos dozę. </w:t>
      </w:r>
    </w:p>
    <w:p w:rsidR="00255979" w:rsidRPr="004F23C8" w:rsidRDefault="00255979" w:rsidP="004873B0">
      <w:pPr>
        <w:widowControl w:val="0"/>
        <w:suppressAutoHyphens/>
        <w:ind w:left="360" w:hanging="360"/>
        <w:rPr>
          <w:rFonts w:eastAsia="Liberation Sans" w:cs="Arial Unicode MS"/>
          <w:color w:val="00000A"/>
          <w:kern w:val="1"/>
          <w:sz w:val="22"/>
          <w:szCs w:val="22"/>
          <w:lang w:eastAsia="lo-LA" w:bidi="lo-LA"/>
        </w:rPr>
      </w:pPr>
      <w:r w:rsidRPr="004F23C8">
        <w:rPr>
          <w:rFonts w:eastAsia="Liberation Sans" w:cs="Arial Unicode MS"/>
          <w:color w:val="00000A"/>
          <w:kern w:val="1"/>
          <w:sz w:val="22"/>
          <w:szCs w:val="22"/>
          <w:lang w:eastAsia="lo-LA" w:bidi="lo-LA"/>
        </w:rPr>
        <w:t xml:space="preserve">Oksaliplatina lėtai suleidžiama į vieną Jūsų venų (intraveninė infuzija) per 2–6 valandas. </w:t>
      </w:r>
    </w:p>
    <w:p w:rsidR="00255979" w:rsidRPr="004F23C8" w:rsidRDefault="00255979" w:rsidP="004873B0">
      <w:pPr>
        <w:widowControl w:val="0"/>
        <w:numPr>
          <w:ilvl w:val="0"/>
          <w:numId w:val="7"/>
        </w:numPr>
        <w:suppressAutoHyphens/>
        <w:spacing w:line="100" w:lineRule="atLeast"/>
        <w:ind w:left="360"/>
        <w:rPr>
          <w:rFonts w:eastAsia="Liberation Sans" w:cs="Arial Unicode MS"/>
          <w:color w:val="00000A"/>
          <w:kern w:val="1"/>
          <w:sz w:val="22"/>
          <w:szCs w:val="22"/>
          <w:lang w:eastAsia="lo-LA" w:bidi="lo-LA"/>
        </w:rPr>
      </w:pPr>
      <w:r w:rsidRPr="004F23C8">
        <w:rPr>
          <w:rFonts w:eastAsia="Liberation Sans" w:cs="Arial Unicode MS"/>
          <w:color w:val="00000A"/>
          <w:kern w:val="1"/>
          <w:sz w:val="22"/>
          <w:szCs w:val="22"/>
          <w:lang w:eastAsia="lo-LA" w:bidi="lo-LA"/>
        </w:rPr>
        <w:t>Oksaliplatina Jums bus sulašinta kartu su foli</w:t>
      </w:r>
      <w:r>
        <w:rPr>
          <w:rFonts w:eastAsia="Liberation Sans" w:cs="Arial Unicode MS"/>
          <w:color w:val="00000A"/>
          <w:kern w:val="1"/>
          <w:sz w:val="22"/>
          <w:szCs w:val="22"/>
          <w:lang w:eastAsia="lo-LA" w:bidi="lo-LA"/>
        </w:rPr>
        <w:t>no</w:t>
      </w:r>
      <w:r w:rsidRPr="004F23C8">
        <w:rPr>
          <w:rFonts w:eastAsia="Liberation Sans" w:cs="Arial Unicode MS"/>
          <w:color w:val="00000A"/>
          <w:kern w:val="1"/>
          <w:sz w:val="22"/>
          <w:szCs w:val="22"/>
          <w:lang w:eastAsia="lo-LA" w:bidi="lo-LA"/>
        </w:rPr>
        <w:t xml:space="preserve"> rūgštimi, bet anksčiau nei 5-fluorouracilo infuzija. </w:t>
      </w:r>
    </w:p>
    <w:p w:rsidR="00255979" w:rsidRPr="004F23C8" w:rsidRDefault="00255979" w:rsidP="004873B0">
      <w:pPr>
        <w:widowControl w:val="0"/>
        <w:suppressAutoHyphens/>
        <w:rPr>
          <w:rFonts w:eastAsia="Liberation Sans" w:cs="Arial Unicode MS"/>
          <w:color w:val="00000A"/>
          <w:kern w:val="1"/>
          <w:sz w:val="23"/>
          <w:szCs w:val="23"/>
          <w:lang w:eastAsia="lo-LA" w:bidi="lo-LA"/>
        </w:rPr>
      </w:pPr>
    </w:p>
    <w:p w:rsidR="00255979" w:rsidRPr="004F23C8" w:rsidRDefault="00255979" w:rsidP="004873B0">
      <w:pPr>
        <w:widowControl w:val="0"/>
        <w:suppressAutoHyphens/>
        <w:rPr>
          <w:rFonts w:eastAsia="Liberation Sans" w:cs="Arial Unicode MS"/>
          <w:b/>
          <w:bCs/>
          <w:color w:val="00000A"/>
          <w:kern w:val="1"/>
          <w:sz w:val="22"/>
          <w:szCs w:val="22"/>
          <w:lang w:eastAsia="lo-LA" w:bidi="lo-LA"/>
        </w:rPr>
      </w:pPr>
      <w:r w:rsidRPr="004F23C8">
        <w:rPr>
          <w:rFonts w:eastAsia="Liberation Sans" w:cs="Arial Unicode MS"/>
          <w:b/>
          <w:bCs/>
          <w:color w:val="00000A"/>
          <w:kern w:val="1"/>
          <w:sz w:val="22"/>
          <w:szCs w:val="22"/>
          <w:lang w:eastAsia="lo-LA" w:bidi="lo-LA"/>
        </w:rPr>
        <w:t xml:space="preserve">Vartojimo dažnumas </w:t>
      </w:r>
    </w:p>
    <w:p w:rsidR="00255979" w:rsidRPr="004F23C8" w:rsidRDefault="00255979" w:rsidP="004873B0">
      <w:pPr>
        <w:widowControl w:val="0"/>
        <w:suppressAutoHyphens/>
        <w:rPr>
          <w:rFonts w:eastAsia="Liberation Sans"/>
          <w:color w:val="00000A"/>
          <w:kern w:val="1"/>
          <w:sz w:val="22"/>
          <w:szCs w:val="22"/>
          <w:lang w:eastAsia="lo-LA" w:bidi="lo-LA"/>
        </w:rPr>
      </w:pPr>
      <w:r w:rsidRPr="004F23C8">
        <w:rPr>
          <w:rFonts w:eastAsia="Liberation Sans"/>
          <w:color w:val="00000A"/>
          <w:kern w:val="1"/>
          <w:sz w:val="22"/>
          <w:szCs w:val="22"/>
          <w:lang w:eastAsia="lo-LA" w:bidi="lo-LA"/>
        </w:rPr>
        <w:t xml:space="preserve">Paprastai infuzija kartojama kas dvi savaites. </w:t>
      </w:r>
    </w:p>
    <w:p w:rsidR="00255979" w:rsidRDefault="00255979" w:rsidP="004873B0">
      <w:pPr>
        <w:widowControl w:val="0"/>
        <w:suppressAutoHyphens/>
        <w:rPr>
          <w:rFonts w:eastAsia="Liberation Sans" w:cs="Arial Unicode MS"/>
          <w:b/>
          <w:bCs/>
          <w:color w:val="00000A"/>
          <w:kern w:val="1"/>
          <w:sz w:val="22"/>
          <w:szCs w:val="22"/>
          <w:lang w:eastAsia="lo-LA" w:bidi="lo-LA"/>
        </w:rPr>
      </w:pPr>
    </w:p>
    <w:p w:rsidR="00255979" w:rsidRPr="004F23C8" w:rsidRDefault="00255979" w:rsidP="004873B0">
      <w:pPr>
        <w:widowControl w:val="0"/>
        <w:suppressAutoHyphens/>
        <w:rPr>
          <w:rFonts w:eastAsia="Liberation Sans" w:cs="Arial Unicode MS"/>
          <w:b/>
          <w:bCs/>
          <w:color w:val="00000A"/>
          <w:kern w:val="1"/>
          <w:sz w:val="22"/>
          <w:szCs w:val="22"/>
          <w:lang w:eastAsia="lo-LA" w:bidi="lo-LA"/>
        </w:rPr>
      </w:pPr>
      <w:r w:rsidRPr="004F23C8">
        <w:rPr>
          <w:rFonts w:eastAsia="Liberation Sans" w:cs="Arial Unicode MS"/>
          <w:b/>
          <w:bCs/>
          <w:color w:val="00000A"/>
          <w:kern w:val="1"/>
          <w:sz w:val="22"/>
          <w:szCs w:val="22"/>
          <w:lang w:eastAsia="lo-LA" w:bidi="lo-LA"/>
        </w:rPr>
        <w:t xml:space="preserve">Gydymo trukmė </w:t>
      </w:r>
    </w:p>
    <w:p w:rsidR="00255979" w:rsidRPr="004F23C8" w:rsidRDefault="00255979" w:rsidP="004873B0">
      <w:pPr>
        <w:widowControl w:val="0"/>
        <w:suppressAutoHyphens/>
        <w:rPr>
          <w:rFonts w:eastAsia="Liberation Sans"/>
          <w:color w:val="00000A"/>
          <w:kern w:val="1"/>
          <w:sz w:val="22"/>
          <w:szCs w:val="22"/>
          <w:lang w:eastAsia="lo-LA" w:bidi="lo-LA"/>
        </w:rPr>
      </w:pPr>
      <w:r w:rsidRPr="004F23C8">
        <w:rPr>
          <w:rFonts w:eastAsia="Liberation Sans"/>
          <w:color w:val="00000A"/>
          <w:kern w:val="1"/>
          <w:sz w:val="22"/>
          <w:szCs w:val="22"/>
          <w:lang w:eastAsia="lo-LA" w:bidi="lo-LA"/>
        </w:rPr>
        <w:t xml:space="preserve">Gydymo trukmę nustatys gydytojas. </w:t>
      </w:r>
    </w:p>
    <w:p w:rsidR="00255979" w:rsidRPr="004F23C8" w:rsidRDefault="00255979" w:rsidP="004873B0">
      <w:pPr>
        <w:widowControl w:val="0"/>
        <w:suppressAutoHyphens/>
        <w:rPr>
          <w:rFonts w:eastAsia="Liberation Sans"/>
          <w:color w:val="00000A"/>
          <w:kern w:val="1"/>
          <w:sz w:val="22"/>
          <w:szCs w:val="22"/>
          <w:lang w:eastAsia="lo-LA" w:bidi="lo-LA"/>
        </w:rPr>
      </w:pPr>
      <w:r w:rsidRPr="004F23C8">
        <w:rPr>
          <w:rFonts w:eastAsia="Liberation Sans"/>
          <w:color w:val="00000A"/>
          <w:kern w:val="1"/>
          <w:sz w:val="22"/>
          <w:szCs w:val="22"/>
          <w:lang w:eastAsia="lo-LA" w:bidi="lo-LA"/>
        </w:rPr>
        <w:t xml:space="preserve">Jei navikas visiškai pašalinamas, Jūsų gydymas truks ilgiausiai 6 mėnesius. </w:t>
      </w:r>
    </w:p>
    <w:p w:rsidR="00255979" w:rsidRPr="004F23C8" w:rsidRDefault="00255979" w:rsidP="004873B0">
      <w:pPr>
        <w:widowControl w:val="0"/>
        <w:suppressAutoHyphens/>
        <w:rPr>
          <w:rFonts w:eastAsia="Liberation Sans" w:cs="Arial Unicode MS"/>
          <w:color w:val="00000A"/>
          <w:kern w:val="1"/>
          <w:sz w:val="23"/>
          <w:szCs w:val="23"/>
          <w:lang w:eastAsia="lo-LA" w:bidi="lo-LA"/>
        </w:rPr>
      </w:pPr>
    </w:p>
    <w:p w:rsidR="00255979" w:rsidRPr="004F23C8" w:rsidRDefault="00255979" w:rsidP="004873B0">
      <w:pPr>
        <w:widowControl w:val="0"/>
        <w:suppressAutoHyphens/>
        <w:rPr>
          <w:rFonts w:eastAsia="Liberation Sans" w:cs="Arial Unicode MS"/>
          <w:b/>
          <w:bCs/>
          <w:color w:val="00000A"/>
          <w:kern w:val="1"/>
          <w:sz w:val="22"/>
          <w:szCs w:val="22"/>
          <w:lang w:eastAsia="lo-LA" w:bidi="lo-LA"/>
        </w:rPr>
      </w:pPr>
      <w:r w:rsidRPr="004F23C8">
        <w:rPr>
          <w:rFonts w:eastAsia="Liberation Sans" w:cs="Arial Unicode MS"/>
          <w:b/>
          <w:bCs/>
          <w:color w:val="00000A"/>
          <w:kern w:val="1"/>
          <w:sz w:val="22"/>
          <w:szCs w:val="22"/>
          <w:lang w:eastAsia="lo-LA" w:bidi="lo-LA"/>
        </w:rPr>
        <w:t xml:space="preserve">Ką daryti pavartojus per didelę </w:t>
      </w:r>
      <w:proofErr w:type="spellStart"/>
      <w:r w:rsidRPr="004F23C8">
        <w:rPr>
          <w:rFonts w:eastAsia="Liberation Sans" w:cs="Arial Unicode MS"/>
          <w:b/>
          <w:bCs/>
          <w:color w:val="00000A"/>
          <w:kern w:val="1"/>
          <w:sz w:val="22"/>
          <w:szCs w:val="22"/>
          <w:lang w:eastAsia="lo-LA" w:bidi="lo-LA"/>
        </w:rPr>
        <w:t>Oxaliplatin</w:t>
      </w:r>
      <w:proofErr w:type="spellEnd"/>
      <w:r w:rsidRPr="004F23C8">
        <w:rPr>
          <w:rFonts w:eastAsia="Liberation Sans" w:cs="Arial Unicode MS"/>
          <w:b/>
          <w:bCs/>
          <w:color w:val="00000A"/>
          <w:kern w:val="1"/>
          <w:sz w:val="22"/>
          <w:szCs w:val="22"/>
          <w:lang w:eastAsia="lo-LA" w:bidi="lo-LA"/>
        </w:rPr>
        <w:t xml:space="preserve"> </w:t>
      </w:r>
      <w:proofErr w:type="spellStart"/>
      <w:r w:rsidR="00501874" w:rsidRPr="00501874">
        <w:rPr>
          <w:b/>
          <w:sz w:val="22"/>
          <w:szCs w:val="22"/>
        </w:rPr>
        <w:t>Mylan</w:t>
      </w:r>
      <w:proofErr w:type="spellEnd"/>
      <w:r w:rsidRPr="004F23C8">
        <w:rPr>
          <w:rFonts w:eastAsia="Liberation Sans" w:cs="Arial Unicode MS"/>
          <w:b/>
          <w:bCs/>
          <w:color w:val="00000A"/>
          <w:kern w:val="1"/>
          <w:sz w:val="22"/>
          <w:szCs w:val="22"/>
          <w:lang w:eastAsia="lo-LA" w:bidi="lo-LA"/>
        </w:rPr>
        <w:t xml:space="preserve"> dozę?  </w:t>
      </w:r>
    </w:p>
    <w:p w:rsidR="00255979" w:rsidRPr="004F23C8" w:rsidRDefault="00255979" w:rsidP="004873B0">
      <w:pPr>
        <w:widowControl w:val="0"/>
        <w:suppressAutoHyphens/>
        <w:rPr>
          <w:rFonts w:eastAsia="Liberation Sans"/>
          <w:color w:val="00000A"/>
          <w:kern w:val="1"/>
          <w:sz w:val="22"/>
          <w:szCs w:val="22"/>
          <w:lang w:eastAsia="lo-LA" w:bidi="lo-LA"/>
        </w:rPr>
      </w:pPr>
      <w:r w:rsidRPr="004F23C8">
        <w:rPr>
          <w:rFonts w:eastAsia="Liberation Sans"/>
          <w:color w:val="00000A"/>
          <w:kern w:val="1"/>
          <w:sz w:val="22"/>
          <w:szCs w:val="22"/>
          <w:lang w:eastAsia="lo-LA" w:bidi="lo-LA"/>
        </w:rPr>
        <w:t xml:space="preserve">Šį vaistą skirs sveikatos priežiūros specialistas, todėl mažai tikėtina, kad Jums gali būti pavartota per maža ar per didelė dozė. </w:t>
      </w:r>
    </w:p>
    <w:p w:rsidR="00255979" w:rsidRPr="004F23C8" w:rsidRDefault="00255979" w:rsidP="004873B0">
      <w:pPr>
        <w:widowControl w:val="0"/>
        <w:suppressAutoHyphens/>
        <w:rPr>
          <w:rFonts w:eastAsia="Liberation Sans"/>
          <w:color w:val="00000A"/>
          <w:kern w:val="1"/>
          <w:sz w:val="22"/>
          <w:szCs w:val="22"/>
          <w:lang w:eastAsia="lo-LA" w:bidi="lo-LA"/>
        </w:rPr>
      </w:pPr>
      <w:r w:rsidRPr="004F23C8">
        <w:rPr>
          <w:rFonts w:eastAsia="Liberation Sans"/>
          <w:color w:val="00000A"/>
          <w:kern w:val="1"/>
          <w:sz w:val="22"/>
          <w:szCs w:val="22"/>
          <w:lang w:eastAsia="lo-LA" w:bidi="lo-LA"/>
        </w:rPr>
        <w:t xml:space="preserve">Perdozavus gali pasireikšti stipresnis šalutinis poveikis. Tokiu atveju gydytojas skirtų atitinkamą gydymą šiam šalutiniam poveikiui. </w:t>
      </w:r>
    </w:p>
    <w:p w:rsidR="00255979" w:rsidRPr="004F23C8" w:rsidRDefault="00255979" w:rsidP="004F23C8">
      <w:pPr>
        <w:widowControl w:val="0"/>
        <w:suppressAutoHyphens/>
        <w:rPr>
          <w:rFonts w:eastAsia="Liberation Sans"/>
          <w:color w:val="00000A"/>
          <w:kern w:val="1"/>
          <w:sz w:val="22"/>
          <w:szCs w:val="22"/>
          <w:lang w:eastAsia="lo-LA" w:bidi="lo-LA"/>
        </w:rPr>
      </w:pPr>
      <w:r w:rsidRPr="004F23C8">
        <w:rPr>
          <w:rFonts w:eastAsia="Liberation Sans"/>
          <w:color w:val="00000A"/>
          <w:kern w:val="1"/>
          <w:sz w:val="22"/>
          <w:szCs w:val="22"/>
          <w:lang w:eastAsia="lo-LA" w:bidi="lo-LA"/>
        </w:rPr>
        <w:t xml:space="preserve">Jeigu kiltų daugiau klausimų dėl šio vaisto vartojimo, kreipkitės į gydytoją, slaugytoją arba vaistininką.  </w:t>
      </w:r>
    </w:p>
    <w:p w:rsidR="00255979" w:rsidRPr="00DF4173" w:rsidRDefault="00255979" w:rsidP="00633D05">
      <w:pPr>
        <w:pStyle w:val="BTEMEASMCA"/>
        <w:rPr>
          <w:noProof w:val="0"/>
        </w:rPr>
      </w:pPr>
    </w:p>
    <w:p w:rsidR="00255979" w:rsidRPr="00DF4173" w:rsidRDefault="00255979" w:rsidP="00633D05">
      <w:pPr>
        <w:pStyle w:val="PI-1EMEASMCA"/>
      </w:pPr>
      <w:bookmarkStart w:id="78" w:name="_Toc129243142"/>
      <w:bookmarkStart w:id="79" w:name="_Toc129243267"/>
      <w:r w:rsidRPr="00DF4173">
        <w:t>4.</w:t>
      </w:r>
      <w:r w:rsidRPr="00DF4173">
        <w:tab/>
      </w:r>
      <w:r>
        <w:t>G</w:t>
      </w:r>
      <w:r w:rsidRPr="00DF4173">
        <w:t>alimas šalutinis poveikis</w:t>
      </w:r>
      <w:bookmarkEnd w:id="78"/>
      <w:bookmarkEnd w:id="79"/>
    </w:p>
    <w:p w:rsidR="00255979" w:rsidRPr="00DF4173" w:rsidRDefault="00255979" w:rsidP="00633D05">
      <w:pPr>
        <w:pStyle w:val="BTEMEASMCA"/>
        <w:rPr>
          <w:noProof w:val="0"/>
        </w:rPr>
      </w:pPr>
    </w:p>
    <w:p w:rsidR="00255979" w:rsidRPr="004F23C8" w:rsidRDefault="00255979" w:rsidP="004F23C8">
      <w:pPr>
        <w:widowControl w:val="0"/>
        <w:suppressAutoHyphens/>
        <w:ind w:right="482"/>
        <w:rPr>
          <w:rFonts w:eastAsia="Liberation Sans"/>
          <w:color w:val="00000A"/>
          <w:kern w:val="1"/>
          <w:sz w:val="22"/>
          <w:szCs w:val="22"/>
          <w:lang w:eastAsia="lo-LA" w:bidi="lo-LA"/>
        </w:rPr>
      </w:pPr>
      <w:r w:rsidRPr="004F23C8">
        <w:rPr>
          <w:rFonts w:eastAsia="Liberation Sans"/>
          <w:color w:val="00000A"/>
          <w:kern w:val="1"/>
          <w:sz w:val="22"/>
          <w:szCs w:val="22"/>
          <w:lang w:eastAsia="lo-LA" w:bidi="lo-LA"/>
        </w:rPr>
        <w:t xml:space="preserve">Šis vaistas, kaip ir visi kiti, gali sukelti šalutinį poveikį, nors jis pasireiškia ne visiems žmonėms. </w:t>
      </w:r>
    </w:p>
    <w:p w:rsidR="00255979" w:rsidRPr="004F23C8" w:rsidRDefault="00255979" w:rsidP="004F23C8">
      <w:pPr>
        <w:widowControl w:val="0"/>
        <w:suppressAutoHyphens/>
        <w:rPr>
          <w:rFonts w:eastAsia="Liberation Sans"/>
          <w:color w:val="00000A"/>
          <w:kern w:val="1"/>
          <w:sz w:val="22"/>
          <w:szCs w:val="22"/>
          <w:lang w:eastAsia="lo-LA" w:bidi="lo-LA"/>
        </w:rPr>
      </w:pPr>
    </w:p>
    <w:p w:rsidR="00255979" w:rsidRPr="004F23C8" w:rsidRDefault="00255979" w:rsidP="004F23C8">
      <w:pPr>
        <w:widowControl w:val="0"/>
        <w:suppressAutoHyphens/>
        <w:rPr>
          <w:rFonts w:eastAsia="Liberation Sans"/>
          <w:color w:val="00000A"/>
          <w:kern w:val="1"/>
          <w:sz w:val="22"/>
          <w:szCs w:val="22"/>
          <w:lang w:eastAsia="lo-LA" w:bidi="lo-LA"/>
        </w:rPr>
      </w:pPr>
      <w:r w:rsidRPr="004F23C8">
        <w:rPr>
          <w:rFonts w:eastAsia="Liberation Sans"/>
          <w:color w:val="00000A"/>
          <w:kern w:val="1"/>
          <w:sz w:val="22"/>
          <w:szCs w:val="22"/>
          <w:lang w:eastAsia="lo-LA" w:bidi="lo-LA"/>
        </w:rPr>
        <w:t xml:space="preserve">Šalutiniai reiškiniai gali būti: </w:t>
      </w:r>
    </w:p>
    <w:tbl>
      <w:tblPr>
        <w:tblW w:w="0" w:type="auto"/>
        <w:tblInd w:w="108" w:type="dxa"/>
        <w:tblLayout w:type="fixed"/>
        <w:tblLook w:val="0000" w:firstRow="0" w:lastRow="0" w:firstColumn="0" w:lastColumn="0" w:noHBand="0" w:noVBand="0"/>
      </w:tblPr>
      <w:tblGrid>
        <w:gridCol w:w="6567"/>
      </w:tblGrid>
      <w:tr w:rsidR="00255979" w:rsidRPr="004F23C8" w:rsidTr="006F320A">
        <w:trPr>
          <w:trHeight w:val="145"/>
        </w:trPr>
        <w:tc>
          <w:tcPr>
            <w:tcW w:w="6567" w:type="dxa"/>
            <w:tcBorders>
              <w:top w:val="single" w:sz="6" w:space="0" w:color="000000"/>
              <w:left w:val="single" w:sz="4" w:space="0" w:color="000000"/>
              <w:bottom w:val="single" w:sz="4" w:space="0" w:color="000000"/>
              <w:right w:val="single" w:sz="4" w:space="0" w:color="000000"/>
            </w:tcBorders>
            <w:vAlign w:val="center"/>
          </w:tcPr>
          <w:p w:rsidR="00255979" w:rsidRPr="004F23C8" w:rsidRDefault="00255979" w:rsidP="004F23C8">
            <w:pPr>
              <w:widowControl w:val="0"/>
              <w:suppressAutoHyphens/>
              <w:rPr>
                <w:rFonts w:eastAsia="Liberation Sans" w:cs="Arial Unicode MS"/>
                <w:color w:val="000000"/>
                <w:kern w:val="1"/>
                <w:lang w:eastAsia="lo-LA" w:bidi="lo-LA"/>
              </w:rPr>
            </w:pPr>
            <w:r w:rsidRPr="004F23C8">
              <w:rPr>
                <w:rFonts w:eastAsia="Liberation Sans" w:cs="Arial Unicode MS"/>
                <w:color w:val="000000"/>
                <w:kern w:val="1"/>
                <w:sz w:val="22"/>
                <w:szCs w:val="22"/>
                <w:lang w:eastAsia="lo-LA" w:bidi="lo-LA"/>
              </w:rPr>
              <w:t xml:space="preserve">labai dažni: pasireiškia daugiau negu 1 iš 10 vartotojų </w:t>
            </w:r>
          </w:p>
        </w:tc>
      </w:tr>
      <w:tr w:rsidR="00255979" w:rsidRPr="004F23C8" w:rsidTr="006F320A">
        <w:trPr>
          <w:trHeight w:val="145"/>
        </w:trPr>
        <w:tc>
          <w:tcPr>
            <w:tcW w:w="6567" w:type="dxa"/>
            <w:tcBorders>
              <w:top w:val="single" w:sz="4" w:space="0" w:color="000000"/>
              <w:left w:val="single" w:sz="4" w:space="0" w:color="000000"/>
              <w:bottom w:val="single" w:sz="4" w:space="0" w:color="000000"/>
              <w:right w:val="single" w:sz="4" w:space="0" w:color="000000"/>
            </w:tcBorders>
            <w:vAlign w:val="center"/>
          </w:tcPr>
          <w:p w:rsidR="00255979" w:rsidRPr="004F23C8" w:rsidRDefault="00255979" w:rsidP="004F23C8">
            <w:pPr>
              <w:widowControl w:val="0"/>
              <w:suppressAutoHyphens/>
              <w:rPr>
                <w:rFonts w:eastAsia="Liberation Sans" w:cs="Arial Unicode MS"/>
                <w:color w:val="000000"/>
                <w:kern w:val="1"/>
                <w:lang w:eastAsia="lo-LA" w:bidi="lo-LA"/>
              </w:rPr>
            </w:pPr>
            <w:r w:rsidRPr="004F23C8">
              <w:rPr>
                <w:rFonts w:eastAsia="Liberation Sans" w:cs="Arial Unicode MS"/>
                <w:color w:val="000000"/>
                <w:kern w:val="1"/>
                <w:sz w:val="22"/>
                <w:szCs w:val="22"/>
                <w:lang w:eastAsia="lo-LA" w:bidi="lo-LA"/>
              </w:rPr>
              <w:t xml:space="preserve">dažni: pasireiškia 1–10 vartotojų iš 100 </w:t>
            </w:r>
          </w:p>
        </w:tc>
      </w:tr>
      <w:tr w:rsidR="00255979" w:rsidRPr="004F23C8" w:rsidTr="006F320A">
        <w:trPr>
          <w:trHeight w:val="145"/>
        </w:trPr>
        <w:tc>
          <w:tcPr>
            <w:tcW w:w="6567" w:type="dxa"/>
            <w:tcBorders>
              <w:top w:val="single" w:sz="4" w:space="0" w:color="000000"/>
              <w:left w:val="single" w:sz="4" w:space="0" w:color="000000"/>
              <w:bottom w:val="single" w:sz="4" w:space="0" w:color="000000"/>
              <w:right w:val="single" w:sz="4" w:space="0" w:color="000000"/>
            </w:tcBorders>
            <w:vAlign w:val="center"/>
          </w:tcPr>
          <w:p w:rsidR="00255979" w:rsidRPr="004F23C8" w:rsidRDefault="00255979" w:rsidP="004F23C8">
            <w:pPr>
              <w:widowControl w:val="0"/>
              <w:suppressAutoHyphens/>
              <w:rPr>
                <w:rFonts w:eastAsia="Liberation Sans" w:cs="Arial Unicode MS"/>
                <w:color w:val="000000"/>
                <w:kern w:val="1"/>
                <w:lang w:eastAsia="lo-LA" w:bidi="lo-LA"/>
              </w:rPr>
            </w:pPr>
            <w:r w:rsidRPr="004F23C8">
              <w:rPr>
                <w:rFonts w:eastAsia="Liberation Sans" w:cs="Arial Unicode MS"/>
                <w:color w:val="000000"/>
                <w:kern w:val="1"/>
                <w:sz w:val="22"/>
                <w:szCs w:val="22"/>
                <w:lang w:eastAsia="lo-LA" w:bidi="lo-LA"/>
              </w:rPr>
              <w:t xml:space="preserve">nedažni: pasireiškia 1–10 vartotojų iš 1000 </w:t>
            </w:r>
          </w:p>
        </w:tc>
      </w:tr>
      <w:tr w:rsidR="00255979" w:rsidRPr="004F23C8" w:rsidTr="006F320A">
        <w:trPr>
          <w:trHeight w:val="145"/>
        </w:trPr>
        <w:tc>
          <w:tcPr>
            <w:tcW w:w="6567" w:type="dxa"/>
            <w:tcBorders>
              <w:top w:val="single" w:sz="4" w:space="0" w:color="000000"/>
              <w:left w:val="single" w:sz="4" w:space="0" w:color="000000"/>
              <w:bottom w:val="single" w:sz="4" w:space="0" w:color="000000"/>
              <w:right w:val="single" w:sz="4" w:space="0" w:color="000000"/>
            </w:tcBorders>
            <w:vAlign w:val="center"/>
          </w:tcPr>
          <w:p w:rsidR="00255979" w:rsidRPr="004F23C8" w:rsidRDefault="00255979" w:rsidP="004F23C8">
            <w:pPr>
              <w:widowControl w:val="0"/>
              <w:suppressAutoHyphens/>
              <w:rPr>
                <w:rFonts w:eastAsia="Liberation Sans" w:cs="Arial Unicode MS"/>
                <w:color w:val="000000"/>
                <w:kern w:val="1"/>
                <w:lang w:eastAsia="lo-LA" w:bidi="lo-LA"/>
              </w:rPr>
            </w:pPr>
            <w:r w:rsidRPr="004F23C8">
              <w:rPr>
                <w:rFonts w:eastAsia="Liberation Sans" w:cs="Arial Unicode MS"/>
                <w:color w:val="000000"/>
                <w:kern w:val="1"/>
                <w:sz w:val="22"/>
                <w:szCs w:val="22"/>
                <w:lang w:eastAsia="lo-LA" w:bidi="lo-LA"/>
              </w:rPr>
              <w:t xml:space="preserve">reti: pasireiškia 1–10 vartotojų iš 10 000 </w:t>
            </w:r>
          </w:p>
        </w:tc>
      </w:tr>
      <w:tr w:rsidR="00255979" w:rsidRPr="004F23C8" w:rsidTr="006F320A">
        <w:trPr>
          <w:trHeight w:val="145"/>
        </w:trPr>
        <w:tc>
          <w:tcPr>
            <w:tcW w:w="6567" w:type="dxa"/>
            <w:tcBorders>
              <w:top w:val="single" w:sz="4" w:space="0" w:color="000000"/>
              <w:left w:val="single" w:sz="4" w:space="0" w:color="000000"/>
              <w:bottom w:val="single" w:sz="4" w:space="0" w:color="000000"/>
              <w:right w:val="single" w:sz="4" w:space="0" w:color="000000"/>
            </w:tcBorders>
            <w:vAlign w:val="center"/>
          </w:tcPr>
          <w:p w:rsidR="00255979" w:rsidRPr="004F23C8" w:rsidRDefault="00255979" w:rsidP="004F23C8">
            <w:pPr>
              <w:widowControl w:val="0"/>
              <w:suppressAutoHyphens/>
              <w:rPr>
                <w:rFonts w:eastAsia="Liberation Sans" w:cs="Arial Unicode MS"/>
                <w:color w:val="000000"/>
                <w:kern w:val="1"/>
                <w:lang w:eastAsia="lo-LA" w:bidi="lo-LA"/>
              </w:rPr>
            </w:pPr>
            <w:r w:rsidRPr="004F23C8">
              <w:rPr>
                <w:rFonts w:eastAsia="Liberation Sans" w:cs="Arial Unicode MS"/>
                <w:color w:val="000000"/>
                <w:kern w:val="1"/>
                <w:sz w:val="22"/>
                <w:szCs w:val="22"/>
                <w:lang w:eastAsia="lo-LA" w:bidi="lo-LA"/>
              </w:rPr>
              <w:t xml:space="preserve">labai reti: pasireiškia mažiau negu 1 iš 10 000 vartotojų </w:t>
            </w:r>
          </w:p>
        </w:tc>
      </w:tr>
      <w:tr w:rsidR="00255979" w:rsidRPr="004F23C8" w:rsidTr="006F320A">
        <w:trPr>
          <w:trHeight w:val="145"/>
        </w:trPr>
        <w:tc>
          <w:tcPr>
            <w:tcW w:w="6567" w:type="dxa"/>
            <w:tcBorders>
              <w:top w:val="single" w:sz="4" w:space="0" w:color="000000"/>
              <w:left w:val="single" w:sz="4" w:space="0" w:color="000000"/>
              <w:bottom w:val="single" w:sz="6" w:space="0" w:color="000000"/>
              <w:right w:val="single" w:sz="4" w:space="0" w:color="000000"/>
            </w:tcBorders>
            <w:vAlign w:val="center"/>
          </w:tcPr>
          <w:p w:rsidR="00255979" w:rsidRPr="004F23C8" w:rsidRDefault="00255979" w:rsidP="004F23C8">
            <w:pPr>
              <w:widowControl w:val="0"/>
              <w:suppressAutoHyphens/>
              <w:rPr>
                <w:rFonts w:eastAsia="Liberation Sans" w:cs="Arial Unicode MS"/>
                <w:color w:val="000000"/>
                <w:kern w:val="1"/>
                <w:lang w:eastAsia="lo-LA" w:bidi="lo-LA"/>
              </w:rPr>
            </w:pPr>
            <w:r w:rsidRPr="004F23C8">
              <w:rPr>
                <w:rFonts w:eastAsia="Liberation Sans" w:cs="Arial Unicode MS"/>
                <w:color w:val="000000"/>
                <w:kern w:val="1"/>
                <w:sz w:val="22"/>
                <w:szCs w:val="22"/>
                <w:lang w:eastAsia="lo-LA" w:bidi="lo-LA"/>
              </w:rPr>
              <w:t xml:space="preserve">dažnis nežinomas: negali būti įvertintas pagal turimus duomenis </w:t>
            </w:r>
          </w:p>
        </w:tc>
      </w:tr>
    </w:tbl>
    <w:p w:rsidR="00255979" w:rsidRPr="004F23C8" w:rsidRDefault="00255979" w:rsidP="004F23C8">
      <w:pPr>
        <w:widowControl w:val="0"/>
        <w:suppressAutoHyphens/>
        <w:rPr>
          <w:rFonts w:eastAsia="Liberation Sans" w:cs="Arial Unicode MS"/>
          <w:color w:val="00000A"/>
          <w:kern w:val="1"/>
          <w:sz w:val="22"/>
          <w:szCs w:val="22"/>
          <w:lang w:eastAsia="lo-LA" w:bidi="lo-LA"/>
        </w:rPr>
      </w:pPr>
    </w:p>
    <w:p w:rsidR="00255979" w:rsidRPr="004F23C8" w:rsidRDefault="00255979" w:rsidP="004F23C8">
      <w:pPr>
        <w:widowControl w:val="0"/>
        <w:suppressAutoHyphens/>
        <w:rPr>
          <w:rFonts w:eastAsia="Liberation Sans" w:cs="Arial Unicode MS"/>
          <w:color w:val="00000A"/>
          <w:kern w:val="1"/>
          <w:sz w:val="22"/>
          <w:szCs w:val="22"/>
          <w:lang w:eastAsia="lo-LA" w:bidi="lo-LA"/>
        </w:rPr>
      </w:pPr>
      <w:r w:rsidRPr="004F23C8">
        <w:rPr>
          <w:rFonts w:eastAsia="Liberation Sans" w:cs="Arial Unicode MS"/>
          <w:color w:val="00000A"/>
          <w:kern w:val="1"/>
          <w:sz w:val="22"/>
          <w:szCs w:val="22"/>
          <w:lang w:eastAsia="lo-LA" w:bidi="lo-LA"/>
        </w:rPr>
        <w:t xml:space="preserve">Jei pasireiškia koks nors šalutinis poveikis, svarbu pasakyti gydytojui prieš kitą gydymo kursą. </w:t>
      </w:r>
    </w:p>
    <w:p w:rsidR="00255979" w:rsidRPr="004F23C8" w:rsidRDefault="00255979" w:rsidP="004F23C8">
      <w:pPr>
        <w:widowControl w:val="0"/>
        <w:suppressAutoHyphens/>
        <w:rPr>
          <w:rFonts w:eastAsia="Liberation Sans" w:cs="Arial Unicode MS"/>
          <w:color w:val="00000A"/>
          <w:kern w:val="1"/>
          <w:sz w:val="22"/>
          <w:szCs w:val="22"/>
          <w:lang w:eastAsia="lo-LA" w:bidi="lo-LA"/>
        </w:rPr>
      </w:pPr>
    </w:p>
    <w:p w:rsidR="00255979" w:rsidRPr="004F23C8" w:rsidRDefault="00255979" w:rsidP="004F23C8">
      <w:pPr>
        <w:widowControl w:val="0"/>
        <w:suppressAutoHyphens/>
        <w:rPr>
          <w:rFonts w:eastAsia="Liberation Sans" w:cs="Arial Unicode MS"/>
          <w:color w:val="00000A"/>
          <w:kern w:val="1"/>
          <w:sz w:val="22"/>
          <w:szCs w:val="22"/>
          <w:lang w:eastAsia="lo-LA" w:bidi="lo-LA"/>
        </w:rPr>
      </w:pPr>
      <w:r w:rsidRPr="004F23C8">
        <w:rPr>
          <w:rFonts w:eastAsia="Liberation Sans" w:cs="Arial Unicode MS"/>
          <w:color w:val="00000A"/>
          <w:kern w:val="1"/>
          <w:sz w:val="22"/>
          <w:szCs w:val="22"/>
          <w:lang w:eastAsia="lo-LA" w:bidi="lo-LA"/>
        </w:rPr>
        <w:t xml:space="preserve">Toliau aprašytas galintis pasireikšti šalutinis poveikis. </w:t>
      </w:r>
    </w:p>
    <w:p w:rsidR="00255979" w:rsidRPr="004F23C8" w:rsidRDefault="00255979" w:rsidP="004F23C8">
      <w:pPr>
        <w:widowControl w:val="0"/>
        <w:suppressAutoHyphens/>
        <w:rPr>
          <w:rFonts w:eastAsia="Liberation Sans" w:cs="Arial Unicode MS"/>
          <w:b/>
          <w:bCs/>
          <w:color w:val="00000A"/>
          <w:kern w:val="1"/>
          <w:sz w:val="22"/>
          <w:szCs w:val="22"/>
          <w:lang w:eastAsia="lo-LA" w:bidi="lo-LA"/>
        </w:rPr>
      </w:pPr>
    </w:p>
    <w:p w:rsidR="00255979" w:rsidRPr="004F23C8" w:rsidRDefault="00255979" w:rsidP="004F23C8">
      <w:pPr>
        <w:widowControl w:val="0"/>
        <w:suppressAutoHyphens/>
        <w:rPr>
          <w:rFonts w:eastAsia="Liberation Sans" w:cs="Arial Unicode MS"/>
          <w:color w:val="00000A"/>
          <w:kern w:val="1"/>
          <w:sz w:val="22"/>
          <w:szCs w:val="22"/>
          <w:lang w:eastAsia="lo-LA" w:bidi="lo-LA"/>
        </w:rPr>
      </w:pPr>
      <w:r w:rsidRPr="004F23C8">
        <w:rPr>
          <w:rFonts w:eastAsia="Liberation Sans" w:cs="Arial Unicode MS"/>
          <w:b/>
          <w:bCs/>
          <w:color w:val="00000A"/>
          <w:kern w:val="1"/>
          <w:sz w:val="22"/>
          <w:szCs w:val="22"/>
          <w:lang w:eastAsia="lo-LA" w:bidi="lo-LA"/>
        </w:rPr>
        <w:t xml:space="preserve">Nedelsdami pasakykite gydytojui, jeigu </w:t>
      </w:r>
      <w:r w:rsidRPr="004F23C8">
        <w:rPr>
          <w:rFonts w:eastAsia="Liberation Sans" w:cs="Arial Unicode MS"/>
          <w:color w:val="00000A"/>
          <w:kern w:val="1"/>
          <w:sz w:val="22"/>
          <w:szCs w:val="22"/>
          <w:lang w:eastAsia="lo-LA" w:bidi="lo-LA"/>
        </w:rPr>
        <w:t xml:space="preserve">pastebėjote bet kurį iš šių šalutinių reiškinių: </w:t>
      </w:r>
    </w:p>
    <w:p w:rsidR="00255979" w:rsidRPr="004F23C8" w:rsidRDefault="00255979" w:rsidP="004F23C8">
      <w:pPr>
        <w:widowControl w:val="0"/>
        <w:numPr>
          <w:ilvl w:val="0"/>
          <w:numId w:val="8"/>
        </w:numPr>
        <w:suppressAutoHyphens/>
        <w:spacing w:line="100" w:lineRule="atLeast"/>
        <w:ind w:left="270" w:hanging="270"/>
        <w:rPr>
          <w:rFonts w:eastAsia="Liberation Sans" w:cs="Arial Unicode MS"/>
          <w:color w:val="00000A"/>
          <w:kern w:val="1"/>
          <w:sz w:val="22"/>
          <w:szCs w:val="22"/>
          <w:lang w:eastAsia="lo-LA" w:bidi="lo-LA"/>
        </w:rPr>
      </w:pPr>
      <w:r w:rsidRPr="004F23C8">
        <w:rPr>
          <w:rFonts w:eastAsia="Liberation Sans" w:cs="Arial Unicode MS"/>
          <w:color w:val="00000A"/>
          <w:kern w:val="1"/>
          <w:sz w:val="22"/>
          <w:szCs w:val="22"/>
          <w:lang w:eastAsia="lo-LA" w:bidi="lo-LA"/>
        </w:rPr>
        <w:t xml:space="preserve">nenormalios kilmės mėlynės, kraujavimas arba infekcijos požymiai, pvz., gerklės skausmas, karščiavimas; </w:t>
      </w:r>
    </w:p>
    <w:p w:rsidR="00255979" w:rsidRPr="004F23C8" w:rsidRDefault="00255979" w:rsidP="004F23C8">
      <w:pPr>
        <w:widowControl w:val="0"/>
        <w:numPr>
          <w:ilvl w:val="0"/>
          <w:numId w:val="8"/>
        </w:numPr>
        <w:suppressAutoHyphens/>
        <w:spacing w:line="100" w:lineRule="atLeast"/>
        <w:ind w:left="270" w:hanging="270"/>
        <w:rPr>
          <w:rFonts w:eastAsia="Liberation Sans"/>
          <w:color w:val="000000"/>
          <w:kern w:val="1"/>
          <w:sz w:val="22"/>
          <w:szCs w:val="22"/>
          <w:lang w:eastAsia="lo-LA" w:bidi="lo-LA"/>
        </w:rPr>
      </w:pPr>
      <w:r w:rsidRPr="004F23C8">
        <w:rPr>
          <w:rFonts w:eastAsia="Liberation Sans" w:cs="Arial Unicode MS"/>
          <w:color w:val="00000A"/>
          <w:kern w:val="1"/>
          <w:sz w:val="22"/>
          <w:szCs w:val="22"/>
          <w:lang w:eastAsia="lo-LA" w:bidi="lo-LA"/>
        </w:rPr>
        <w:t xml:space="preserve">nuolatinis ar sunkus viduriavimas arba vėmimas; </w:t>
      </w:r>
    </w:p>
    <w:p w:rsidR="00255979" w:rsidRPr="004F23C8" w:rsidRDefault="00255979" w:rsidP="004F23C8">
      <w:pPr>
        <w:widowControl w:val="0"/>
        <w:numPr>
          <w:ilvl w:val="0"/>
          <w:numId w:val="8"/>
        </w:numPr>
        <w:suppressAutoHyphens/>
        <w:spacing w:line="100" w:lineRule="atLeast"/>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 xml:space="preserve">vėmalai su krauju arba tamsiai rudomis, kavos spalvos granulėmis; </w:t>
      </w:r>
    </w:p>
    <w:p w:rsidR="00255979" w:rsidRPr="004F23C8" w:rsidRDefault="00255979" w:rsidP="004F23C8">
      <w:pPr>
        <w:widowControl w:val="0"/>
        <w:numPr>
          <w:ilvl w:val="0"/>
          <w:numId w:val="8"/>
        </w:numPr>
        <w:suppressAutoHyphens/>
        <w:spacing w:line="100" w:lineRule="atLeast"/>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 xml:space="preserve">burnos arba gleivinės uždegimas (lūpų skausmas ar opelės burnoje); </w:t>
      </w:r>
    </w:p>
    <w:p w:rsidR="00255979" w:rsidRPr="004F23C8" w:rsidRDefault="00255979" w:rsidP="004F23C8">
      <w:pPr>
        <w:widowControl w:val="0"/>
        <w:numPr>
          <w:ilvl w:val="0"/>
          <w:numId w:val="8"/>
        </w:numPr>
        <w:suppressAutoHyphens/>
        <w:spacing w:line="100" w:lineRule="atLeast"/>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 xml:space="preserve">nepaaiškinami kvėpavimo sistemos simptomai, pvz., sausas kosulys, pasunkėjęs kvėpavimas arba švokštimas; </w:t>
      </w:r>
    </w:p>
    <w:p w:rsidR="00255979" w:rsidRPr="004F23C8" w:rsidRDefault="00255979" w:rsidP="004F23C8">
      <w:pPr>
        <w:widowControl w:val="0"/>
        <w:numPr>
          <w:ilvl w:val="0"/>
          <w:numId w:val="8"/>
        </w:numPr>
        <w:suppressAutoHyphens/>
        <w:spacing w:line="100" w:lineRule="atLeast"/>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grupė simptomų, t. y. galvos skausmas, pakitusi psichikos būklė, priepuoliai ir nenormalus regėjimas, pradedant neaiškiu vaizdu ir baigiant apakimu (reto neurologinio sutrikimo laikino užpakalinės leukoencefalopatijos sindromo simptomai).</w:t>
      </w:r>
    </w:p>
    <w:p w:rsidR="00255979" w:rsidRPr="004873B0" w:rsidRDefault="00255979" w:rsidP="004F23C8">
      <w:pPr>
        <w:widowControl w:val="0"/>
        <w:suppressAutoHyphens/>
        <w:rPr>
          <w:rFonts w:eastAsia="Liberation Sans"/>
          <w:b/>
          <w:bCs/>
          <w:color w:val="000000"/>
          <w:kern w:val="1"/>
          <w:sz w:val="22"/>
          <w:szCs w:val="22"/>
          <w:lang w:eastAsia="ar-SA"/>
        </w:rPr>
      </w:pPr>
    </w:p>
    <w:p w:rsidR="00255979" w:rsidRPr="004F23C8" w:rsidRDefault="00255979" w:rsidP="004F23C8">
      <w:pPr>
        <w:widowControl w:val="0"/>
        <w:suppressAutoHyphens/>
        <w:rPr>
          <w:rFonts w:eastAsia="Liberation Sans"/>
          <w:color w:val="000000"/>
          <w:kern w:val="1"/>
          <w:lang w:eastAsia="lo-LA" w:bidi="lo-LA"/>
        </w:rPr>
      </w:pPr>
      <w:r w:rsidRPr="004F23C8">
        <w:rPr>
          <w:rFonts w:eastAsia="Liberation Sans"/>
          <w:color w:val="000000"/>
          <w:kern w:val="1"/>
          <w:lang w:eastAsia="lo-LA" w:bidi="lo-LA"/>
        </w:rPr>
        <w:t xml:space="preserve">Kiti oksaliplatinos šalutiniai reiškiniai </w:t>
      </w:r>
    </w:p>
    <w:p w:rsidR="00255979" w:rsidRPr="004873B0" w:rsidRDefault="00255979" w:rsidP="004F23C8">
      <w:pPr>
        <w:widowControl w:val="0"/>
        <w:suppressAutoHyphens/>
        <w:rPr>
          <w:rFonts w:eastAsia="Liberation Sans"/>
          <w:b/>
          <w:bCs/>
          <w:color w:val="000000"/>
          <w:kern w:val="1"/>
          <w:sz w:val="22"/>
          <w:szCs w:val="22"/>
          <w:lang w:eastAsia="ar-SA"/>
        </w:rPr>
      </w:pPr>
    </w:p>
    <w:p w:rsidR="00255979" w:rsidRPr="004F23C8" w:rsidRDefault="00255979" w:rsidP="004F23C8">
      <w:pPr>
        <w:widowControl w:val="0"/>
        <w:suppressAutoHyphens/>
        <w:rPr>
          <w:rFonts w:eastAsia="Liberation Sans"/>
          <w:color w:val="000000"/>
          <w:kern w:val="1"/>
          <w:lang w:eastAsia="lo-LA" w:bidi="lo-LA"/>
        </w:rPr>
      </w:pPr>
      <w:r w:rsidRPr="004F23C8">
        <w:rPr>
          <w:rFonts w:eastAsia="Liberation Sans"/>
          <w:b/>
          <w:bCs/>
          <w:color w:val="000000"/>
          <w:kern w:val="1"/>
          <w:lang w:eastAsia="lo-LA" w:bidi="lo-LA"/>
        </w:rPr>
        <w:t xml:space="preserve">Labai dažni </w:t>
      </w:r>
      <w:r w:rsidRPr="004F23C8">
        <w:rPr>
          <w:rFonts w:eastAsia="Liberation Sans"/>
          <w:color w:val="000000"/>
          <w:kern w:val="1"/>
          <w:lang w:eastAsia="lo-LA" w:bidi="lo-LA"/>
        </w:rPr>
        <w:t xml:space="preserve">(pasireiškia daugiau kaip 1 pacientui iš 10) </w:t>
      </w:r>
    </w:p>
    <w:p w:rsidR="00255979" w:rsidRPr="004F23C8" w:rsidRDefault="00255979" w:rsidP="004F23C8">
      <w:pPr>
        <w:widowControl w:val="0"/>
        <w:suppressAutoHyphens/>
        <w:ind w:left="270" w:hanging="270"/>
        <w:rPr>
          <w:rFonts w:eastAsia="Liberation Sans"/>
          <w:color w:val="000000"/>
          <w:kern w:val="2"/>
          <w:sz w:val="22"/>
          <w:szCs w:val="22"/>
          <w:lang w:eastAsia="lo-LA" w:bidi="lo-LA"/>
        </w:rPr>
      </w:pPr>
      <w:r w:rsidRPr="004F23C8">
        <w:rPr>
          <w:rFonts w:eastAsia="Liberation Sans"/>
          <w:color w:val="000000"/>
          <w:kern w:val="1"/>
          <w:lang w:eastAsia="lo-LA" w:bidi="lo-LA"/>
        </w:rPr>
        <w:t xml:space="preserve">• </w:t>
      </w:r>
      <w:r w:rsidRPr="004F23C8">
        <w:rPr>
          <w:rFonts w:eastAsia="Liberation Sans"/>
          <w:color w:val="000000"/>
          <w:kern w:val="1"/>
          <w:lang w:eastAsia="lo-LA" w:bidi="lo-LA"/>
        </w:rPr>
        <w:tab/>
      </w:r>
      <w:r w:rsidRPr="004F23C8">
        <w:rPr>
          <w:rFonts w:eastAsia="Liberation Sans"/>
          <w:color w:val="000000"/>
          <w:kern w:val="2"/>
          <w:sz w:val="22"/>
          <w:szCs w:val="22"/>
          <w:lang w:eastAsia="lo-LA" w:bidi="lo-LA"/>
        </w:rPr>
        <w:t xml:space="preserve">Oksaliplatina gali sukelti nervų sutrikimų (periferinės neuropatijos atvejai). Galite justi kojų ir rankų pirštų, burnos srities ar gerklės dilgčiojimą ir (arba) tirpimą, kartais kartu būna mėšlungis. </w:t>
      </w:r>
    </w:p>
    <w:p w:rsidR="00255979" w:rsidRPr="004F23C8" w:rsidRDefault="00255979" w:rsidP="004F23C8">
      <w:pPr>
        <w:widowControl w:val="0"/>
        <w:suppressAutoHyphens/>
        <w:ind w:left="270" w:hanging="270"/>
        <w:rPr>
          <w:rFonts w:eastAsia="Liberation Sans"/>
          <w:color w:val="000000"/>
          <w:kern w:val="2"/>
          <w:sz w:val="22"/>
          <w:szCs w:val="22"/>
          <w:lang w:eastAsia="lo-LA" w:bidi="lo-LA"/>
        </w:rPr>
      </w:pPr>
    </w:p>
    <w:p w:rsidR="00255979" w:rsidRPr="004F23C8" w:rsidRDefault="00255979" w:rsidP="004F23C8">
      <w:pPr>
        <w:widowControl w:val="0"/>
        <w:suppressAutoHyphens/>
        <w:ind w:left="270"/>
        <w:rPr>
          <w:rFonts w:eastAsia="Liberation Sans"/>
          <w:color w:val="000000"/>
          <w:kern w:val="2"/>
          <w:sz w:val="22"/>
          <w:szCs w:val="22"/>
          <w:lang w:eastAsia="lo-LA" w:bidi="lo-LA"/>
        </w:rPr>
      </w:pPr>
      <w:r w:rsidRPr="004F23C8">
        <w:rPr>
          <w:rFonts w:eastAsia="Liberation Sans"/>
          <w:color w:val="000000"/>
          <w:kern w:val="2"/>
          <w:sz w:val="22"/>
          <w:szCs w:val="22"/>
          <w:lang w:eastAsia="lo-LA" w:bidi="lo-LA"/>
        </w:rPr>
        <w:t xml:space="preserve">Šį šalutinį poveikį dažnai paskatina šaltis (šaldytuvo atidarymas ar šaltas gėrimas). Gali būti sunku atlikti smulkius veiksmus, pvz., užsisagstyti sagas. Nors dažniausiai nutraukus gydymą tokie simptomai visiškai praeina savaime, periferinės jutimų neuropatijos simptomai gali likti ir po gydymo.  </w:t>
      </w:r>
    </w:p>
    <w:p w:rsidR="00255979" w:rsidRPr="004F23C8" w:rsidRDefault="00255979" w:rsidP="004F23C8">
      <w:pPr>
        <w:widowControl w:val="0"/>
        <w:suppressAutoHyphens/>
        <w:ind w:left="270" w:hanging="270"/>
        <w:rPr>
          <w:rFonts w:eastAsia="Liberation Sans"/>
          <w:color w:val="000000"/>
          <w:kern w:val="2"/>
          <w:sz w:val="22"/>
          <w:szCs w:val="22"/>
          <w:lang w:eastAsia="lo-LA" w:bidi="lo-LA"/>
        </w:rPr>
      </w:pPr>
      <w:r w:rsidRPr="004F23C8">
        <w:rPr>
          <w:rFonts w:eastAsia="Liberation Sans"/>
          <w:color w:val="000000"/>
          <w:kern w:val="2"/>
          <w:sz w:val="22"/>
          <w:szCs w:val="22"/>
          <w:lang w:eastAsia="lo-LA" w:bidi="lo-LA"/>
        </w:rPr>
        <w:t>•</w:t>
      </w:r>
      <w:r w:rsidRPr="004F23C8">
        <w:rPr>
          <w:rFonts w:eastAsia="Liberation Sans"/>
          <w:color w:val="000000"/>
          <w:kern w:val="2"/>
          <w:sz w:val="22"/>
          <w:szCs w:val="22"/>
          <w:lang w:eastAsia="lo-LA" w:bidi="lo-LA"/>
        </w:rPr>
        <w:tab/>
        <w:t xml:space="preserve">Kai kurie žmonės patyrė dilgčiojimą, smūgio pojūtį per rankas arba liemenį lenkiant kaklą. </w:t>
      </w:r>
    </w:p>
    <w:p w:rsidR="00255979" w:rsidRPr="004F23C8" w:rsidRDefault="00255979" w:rsidP="004F23C8">
      <w:pPr>
        <w:widowControl w:val="0"/>
        <w:suppressAutoHyphens/>
        <w:ind w:left="270" w:hanging="270"/>
        <w:rPr>
          <w:rFonts w:eastAsia="Liberation Sans"/>
          <w:color w:val="000000"/>
          <w:kern w:val="2"/>
          <w:sz w:val="22"/>
          <w:szCs w:val="22"/>
          <w:lang w:eastAsia="ar-SA"/>
        </w:rPr>
      </w:pPr>
    </w:p>
    <w:p w:rsidR="00255979" w:rsidRPr="004F23C8" w:rsidRDefault="00255979" w:rsidP="004F23C8">
      <w:pPr>
        <w:widowControl w:val="0"/>
        <w:suppressAutoHyphens/>
        <w:ind w:left="270" w:hanging="270"/>
        <w:rPr>
          <w:rFonts w:eastAsia="Liberation Sans"/>
          <w:color w:val="000000"/>
          <w:kern w:val="2"/>
          <w:sz w:val="22"/>
          <w:szCs w:val="22"/>
          <w:lang w:eastAsia="lo-LA" w:bidi="lo-LA"/>
        </w:rPr>
      </w:pPr>
      <w:r w:rsidRPr="004F23C8">
        <w:rPr>
          <w:rFonts w:eastAsia="Liberation Sans"/>
          <w:color w:val="000000"/>
          <w:kern w:val="2"/>
          <w:sz w:val="22"/>
          <w:szCs w:val="22"/>
          <w:lang w:eastAsia="lo-LA" w:bidi="lo-LA"/>
        </w:rPr>
        <w:t>•</w:t>
      </w:r>
      <w:r w:rsidRPr="004F23C8">
        <w:rPr>
          <w:rFonts w:eastAsia="Liberation Sans"/>
          <w:color w:val="000000"/>
          <w:kern w:val="2"/>
          <w:sz w:val="22"/>
          <w:szCs w:val="22"/>
          <w:lang w:eastAsia="lo-LA" w:bidi="lo-LA"/>
        </w:rPr>
        <w:tab/>
        <w:t xml:space="preserve">Oksaliplatina kartais gali sukelti nemalonų pojūtį gerklėje, ypač ryjant, bei dusimo pojūtį. </w:t>
      </w:r>
    </w:p>
    <w:p w:rsidR="00255979" w:rsidRPr="004F23C8" w:rsidRDefault="00255979" w:rsidP="004F23C8">
      <w:pPr>
        <w:widowControl w:val="0"/>
        <w:suppressAutoHyphens/>
        <w:ind w:left="270"/>
        <w:rPr>
          <w:rFonts w:eastAsia="Liberation Sans"/>
          <w:color w:val="000000"/>
          <w:kern w:val="2"/>
          <w:sz w:val="22"/>
          <w:szCs w:val="22"/>
          <w:lang w:eastAsia="lo-LA" w:bidi="lo-LA"/>
        </w:rPr>
      </w:pPr>
      <w:r w:rsidRPr="004F23C8">
        <w:rPr>
          <w:rFonts w:eastAsia="Liberation Sans"/>
          <w:color w:val="000000"/>
          <w:kern w:val="2"/>
          <w:sz w:val="22"/>
          <w:szCs w:val="22"/>
          <w:lang w:eastAsia="lo-LA" w:bidi="lo-LA"/>
        </w:rPr>
        <w:t xml:space="preserve">Šie pojūčiai, jeigu atsiranda, paprastai išryškėja infuzijos metu ar kelias valandas po jos, juos gali paskatinti šaltis. </w:t>
      </w:r>
    </w:p>
    <w:p w:rsidR="00255979" w:rsidRPr="004F23C8" w:rsidRDefault="00255979" w:rsidP="004F23C8">
      <w:pPr>
        <w:widowControl w:val="0"/>
        <w:suppressAutoHyphens/>
        <w:ind w:left="270"/>
        <w:rPr>
          <w:rFonts w:eastAsia="Liberation Sans"/>
          <w:color w:val="000000"/>
          <w:kern w:val="2"/>
          <w:sz w:val="22"/>
          <w:szCs w:val="22"/>
          <w:lang w:eastAsia="lo-LA" w:bidi="lo-LA"/>
        </w:rPr>
      </w:pPr>
      <w:r w:rsidRPr="004F23C8">
        <w:rPr>
          <w:rFonts w:eastAsia="Liberation Sans"/>
          <w:color w:val="000000"/>
          <w:kern w:val="2"/>
          <w:sz w:val="22"/>
          <w:szCs w:val="22"/>
          <w:lang w:eastAsia="lo-LA" w:bidi="lo-LA"/>
        </w:rPr>
        <w:t>Šis nemalonus šalutinis poveikis ilgai netrunka ir praeina negydomas.</w:t>
      </w:r>
    </w:p>
    <w:p w:rsidR="00255979" w:rsidRPr="004F23C8" w:rsidRDefault="00255979" w:rsidP="004F23C8">
      <w:pPr>
        <w:widowControl w:val="0"/>
        <w:suppressAutoHyphens/>
        <w:ind w:left="270" w:hanging="270"/>
        <w:rPr>
          <w:rFonts w:eastAsia="Liberation Sans"/>
          <w:color w:val="000000"/>
          <w:kern w:val="2"/>
          <w:sz w:val="22"/>
          <w:szCs w:val="22"/>
          <w:lang w:eastAsia="lo-LA" w:bidi="lo-LA"/>
        </w:rPr>
      </w:pPr>
    </w:p>
    <w:p w:rsidR="00255979" w:rsidRPr="004F23C8" w:rsidRDefault="00255979" w:rsidP="004F23C8">
      <w:pPr>
        <w:widowControl w:val="0"/>
        <w:suppressAutoHyphens/>
        <w:ind w:left="270" w:hanging="270"/>
        <w:rPr>
          <w:rFonts w:eastAsia="Liberation Sans"/>
          <w:color w:val="000000"/>
          <w:kern w:val="2"/>
          <w:sz w:val="22"/>
          <w:szCs w:val="22"/>
          <w:lang w:eastAsia="lo-LA" w:bidi="lo-LA"/>
        </w:rPr>
      </w:pPr>
      <w:r w:rsidRPr="004F23C8">
        <w:rPr>
          <w:rFonts w:eastAsia="Liberation Sans"/>
          <w:color w:val="000000"/>
          <w:kern w:val="2"/>
          <w:sz w:val="22"/>
          <w:szCs w:val="22"/>
          <w:lang w:eastAsia="lo-LA" w:bidi="lo-LA"/>
        </w:rPr>
        <w:t xml:space="preserve">Jūsų gydytojas nuspręs, ar reikia keisti gydymą dėl šio šalutinio poveikio. </w:t>
      </w:r>
    </w:p>
    <w:p w:rsidR="00255979" w:rsidRPr="004F23C8" w:rsidRDefault="00255979" w:rsidP="004F23C8">
      <w:pPr>
        <w:widowControl w:val="0"/>
        <w:suppressAutoHyphens/>
        <w:ind w:left="270" w:hanging="270"/>
        <w:rPr>
          <w:rFonts w:eastAsia="Liberation Sans"/>
          <w:color w:val="000000"/>
          <w:kern w:val="2"/>
          <w:sz w:val="22"/>
          <w:szCs w:val="22"/>
          <w:lang w:eastAsia="ar-SA"/>
        </w:rPr>
      </w:pPr>
      <w:r w:rsidRPr="004F23C8">
        <w:rPr>
          <w:rFonts w:eastAsia="Liberation Sans"/>
          <w:color w:val="000000"/>
          <w:kern w:val="2"/>
          <w:sz w:val="22"/>
          <w:szCs w:val="22"/>
          <w:lang w:eastAsia="lo-LA" w:bidi="lo-LA"/>
        </w:rPr>
        <w:t>•</w:t>
      </w:r>
      <w:r w:rsidRPr="004F23C8">
        <w:rPr>
          <w:rFonts w:eastAsia="Liberation Sans"/>
          <w:color w:val="000000"/>
          <w:kern w:val="2"/>
          <w:sz w:val="22"/>
          <w:szCs w:val="22"/>
          <w:lang w:eastAsia="lo-LA" w:bidi="lo-LA"/>
        </w:rPr>
        <w:tab/>
        <w:t>Oksaliplatina gali sukelti viduriavimą, nedidelį pykinimą (šleikštulį) ir vėmimą.Prieš gydymą ir po jo Jums gydytojas gali skirti vaistų pykinimo profilaktikai.</w:t>
      </w:r>
      <w:r w:rsidRPr="004F23C8">
        <w:rPr>
          <w:rFonts w:eastAsia="Liberation Sans"/>
          <w:color w:val="000000"/>
          <w:kern w:val="2"/>
          <w:sz w:val="22"/>
          <w:szCs w:val="22"/>
          <w:lang w:eastAsia="lo-LA" w:bidi="lo-LA"/>
        </w:rPr>
        <w:tab/>
      </w:r>
    </w:p>
    <w:p w:rsidR="00255979" w:rsidRPr="004F23C8" w:rsidRDefault="00255979" w:rsidP="004F23C8">
      <w:pPr>
        <w:widowControl w:val="0"/>
        <w:suppressAutoHyphens/>
        <w:ind w:left="270" w:hanging="270"/>
        <w:rPr>
          <w:rFonts w:eastAsia="Liberation Sans"/>
          <w:color w:val="000000"/>
          <w:kern w:val="2"/>
          <w:sz w:val="22"/>
          <w:szCs w:val="22"/>
          <w:lang w:eastAsia="lo-LA" w:bidi="lo-LA"/>
        </w:rPr>
      </w:pPr>
      <w:r w:rsidRPr="004F23C8">
        <w:rPr>
          <w:rFonts w:eastAsia="Liberation Sans"/>
          <w:color w:val="000000"/>
          <w:kern w:val="2"/>
          <w:sz w:val="22"/>
          <w:szCs w:val="22"/>
          <w:lang w:eastAsia="lo-LA" w:bidi="lo-LA"/>
        </w:rPr>
        <w:t>•</w:t>
      </w:r>
      <w:r w:rsidRPr="004F23C8">
        <w:rPr>
          <w:rFonts w:eastAsia="Liberation Sans"/>
          <w:color w:val="000000"/>
          <w:kern w:val="2"/>
          <w:sz w:val="22"/>
          <w:szCs w:val="22"/>
          <w:lang w:eastAsia="lo-LA" w:bidi="lo-LA"/>
        </w:rPr>
        <w:tab/>
        <w:t xml:space="preserve">Oksaliplatina laikinai sumažina kraujo ląstelių kiekį. </w:t>
      </w:r>
    </w:p>
    <w:p w:rsidR="00255979" w:rsidRPr="004F23C8" w:rsidRDefault="00255979" w:rsidP="004F23C8">
      <w:pPr>
        <w:widowControl w:val="0"/>
        <w:suppressAutoHyphens/>
        <w:ind w:left="270"/>
        <w:rPr>
          <w:rFonts w:eastAsia="Liberation Sans"/>
          <w:color w:val="000000"/>
          <w:kern w:val="2"/>
          <w:sz w:val="22"/>
          <w:szCs w:val="22"/>
          <w:lang w:eastAsia="lo-LA" w:bidi="lo-LA"/>
        </w:rPr>
      </w:pPr>
      <w:r w:rsidRPr="004F23C8">
        <w:rPr>
          <w:rFonts w:eastAsia="Liberation Sans"/>
          <w:color w:val="000000"/>
          <w:kern w:val="2"/>
          <w:sz w:val="22"/>
          <w:szCs w:val="22"/>
          <w:lang w:eastAsia="lo-LA" w:bidi="lo-LA"/>
        </w:rPr>
        <w:t xml:space="preserve">Dėl raudonųjų ląstelių sumažėjimo gali atsirasti anemija (raudonųjų ląstelių sumažėjimas), neįprastas kraujavimas arba mėlynės (dėl trombocitų sumažėjimo). </w:t>
      </w:r>
    </w:p>
    <w:p w:rsidR="00255979" w:rsidRPr="004F23C8" w:rsidRDefault="00255979" w:rsidP="004F23C8">
      <w:pPr>
        <w:widowControl w:val="0"/>
        <w:suppressAutoHyphens/>
        <w:ind w:left="270"/>
        <w:rPr>
          <w:rFonts w:eastAsia="Liberation Sans"/>
          <w:color w:val="000000"/>
          <w:kern w:val="2"/>
          <w:sz w:val="22"/>
          <w:szCs w:val="22"/>
          <w:lang w:eastAsia="lo-LA" w:bidi="lo-LA"/>
        </w:rPr>
      </w:pPr>
      <w:r w:rsidRPr="004F23C8">
        <w:rPr>
          <w:rFonts w:eastAsia="Liberation Sans"/>
          <w:color w:val="000000"/>
          <w:kern w:val="2"/>
          <w:sz w:val="22"/>
          <w:szCs w:val="22"/>
          <w:lang w:eastAsia="lo-LA" w:bidi="lo-LA"/>
        </w:rPr>
        <w:t xml:space="preserve">Dėl baltųjų kraujo ląstelių kiekio sumažėjimo gali susilpnėti atsparumas infekcijoms. </w:t>
      </w:r>
    </w:p>
    <w:p w:rsidR="00255979" w:rsidRPr="004F23C8" w:rsidRDefault="00255979" w:rsidP="004F23C8">
      <w:pPr>
        <w:widowControl w:val="0"/>
        <w:suppressAutoHyphens/>
        <w:ind w:left="270"/>
        <w:rPr>
          <w:rFonts w:eastAsia="Liberation Sans"/>
          <w:color w:val="000000"/>
          <w:kern w:val="2"/>
          <w:sz w:val="22"/>
          <w:szCs w:val="22"/>
          <w:lang w:eastAsia="lo-LA" w:bidi="lo-LA"/>
        </w:rPr>
      </w:pPr>
    </w:p>
    <w:p w:rsidR="00255979" w:rsidRPr="004F23C8" w:rsidRDefault="00255979" w:rsidP="004F23C8">
      <w:pPr>
        <w:widowControl w:val="0"/>
        <w:suppressAutoHyphens/>
        <w:ind w:left="270"/>
        <w:rPr>
          <w:rFonts w:eastAsia="Liberation Sans"/>
          <w:color w:val="000000"/>
          <w:kern w:val="2"/>
          <w:sz w:val="22"/>
          <w:szCs w:val="22"/>
          <w:lang w:eastAsia="lo-LA" w:bidi="lo-LA"/>
        </w:rPr>
      </w:pPr>
      <w:r w:rsidRPr="004F23C8">
        <w:rPr>
          <w:rFonts w:eastAsia="Liberation Sans"/>
          <w:color w:val="000000"/>
          <w:kern w:val="2"/>
          <w:sz w:val="22"/>
          <w:szCs w:val="22"/>
          <w:lang w:eastAsia="lo-LA" w:bidi="lo-LA"/>
        </w:rPr>
        <w:t xml:space="preserve">Jūsų gydytojas paims kraujo, kad patikrintų kraujo ląstelių kiekį prieš pradedant gydymą ir prieš kiekvieną tolesnį gydymo kursą. </w:t>
      </w:r>
    </w:p>
    <w:p w:rsidR="00255979" w:rsidRPr="004F23C8" w:rsidRDefault="00255979" w:rsidP="004F23C8">
      <w:pPr>
        <w:widowControl w:val="0"/>
        <w:suppressAutoHyphens/>
        <w:ind w:left="270"/>
        <w:rPr>
          <w:rFonts w:eastAsia="Liberation Sans"/>
          <w:color w:val="000000"/>
          <w:kern w:val="2"/>
          <w:sz w:val="22"/>
          <w:szCs w:val="22"/>
          <w:lang w:eastAsia="lo-LA" w:bidi="lo-LA"/>
        </w:rPr>
      </w:pPr>
    </w:p>
    <w:p w:rsidR="00255979" w:rsidRPr="004F23C8" w:rsidRDefault="00255979" w:rsidP="004F23C8">
      <w:pPr>
        <w:widowControl w:val="0"/>
        <w:suppressAutoHyphens/>
        <w:ind w:left="270" w:hanging="270"/>
        <w:rPr>
          <w:rFonts w:eastAsia="Liberation Sans"/>
          <w:color w:val="000000"/>
          <w:kern w:val="2"/>
          <w:sz w:val="22"/>
          <w:szCs w:val="22"/>
          <w:lang w:eastAsia="lo-LA" w:bidi="lo-LA"/>
        </w:rPr>
      </w:pPr>
      <w:r w:rsidRPr="004F23C8">
        <w:rPr>
          <w:rFonts w:eastAsia="Liberation Sans"/>
          <w:color w:val="000000"/>
          <w:kern w:val="2"/>
          <w:sz w:val="22"/>
          <w:szCs w:val="22"/>
          <w:lang w:eastAsia="lo-LA" w:bidi="lo-LA"/>
        </w:rPr>
        <w:t>•</w:t>
      </w:r>
      <w:r w:rsidRPr="004F23C8">
        <w:rPr>
          <w:rFonts w:eastAsia="Liberation Sans"/>
          <w:color w:val="000000"/>
          <w:kern w:val="2"/>
          <w:sz w:val="22"/>
          <w:szCs w:val="22"/>
          <w:lang w:eastAsia="lo-LA" w:bidi="lo-LA"/>
        </w:rPr>
        <w:tab/>
        <w:t xml:space="preserve">Nemalonus pojūtis dūrio vietoje ar netoli jo infuzijos metu. </w:t>
      </w:r>
    </w:p>
    <w:p w:rsidR="00255979" w:rsidRPr="004F23C8" w:rsidRDefault="00255979" w:rsidP="004F23C8">
      <w:pPr>
        <w:widowControl w:val="0"/>
        <w:suppressAutoHyphens/>
        <w:ind w:left="270" w:hanging="270"/>
        <w:rPr>
          <w:rFonts w:eastAsia="Liberation Sans"/>
          <w:color w:val="000000"/>
          <w:kern w:val="2"/>
          <w:sz w:val="22"/>
          <w:szCs w:val="22"/>
          <w:lang w:eastAsia="lo-LA" w:bidi="lo-LA"/>
        </w:rPr>
      </w:pPr>
      <w:r w:rsidRPr="004F23C8">
        <w:rPr>
          <w:rFonts w:eastAsia="Liberation Sans"/>
          <w:color w:val="000000"/>
          <w:kern w:val="2"/>
          <w:sz w:val="22"/>
          <w:szCs w:val="22"/>
          <w:lang w:eastAsia="lo-LA" w:bidi="lo-LA"/>
        </w:rPr>
        <w:t>•</w:t>
      </w:r>
      <w:r w:rsidRPr="004F23C8">
        <w:rPr>
          <w:rFonts w:eastAsia="Liberation Sans"/>
          <w:color w:val="000000"/>
          <w:kern w:val="2"/>
          <w:sz w:val="22"/>
          <w:szCs w:val="22"/>
          <w:lang w:eastAsia="lo-LA" w:bidi="lo-LA"/>
        </w:rPr>
        <w:tab/>
        <w:t xml:space="preserve">Karščiavimas, drebulys, lengvas ar sunkus nuovargis, skausmas. </w:t>
      </w:r>
    </w:p>
    <w:p w:rsidR="00255979" w:rsidRPr="004F23C8" w:rsidRDefault="00255979" w:rsidP="004F23C8">
      <w:pPr>
        <w:widowControl w:val="0"/>
        <w:suppressAutoHyphens/>
        <w:ind w:left="270" w:hanging="270"/>
        <w:rPr>
          <w:rFonts w:eastAsia="Liberation Sans"/>
          <w:color w:val="000000"/>
          <w:kern w:val="2"/>
          <w:sz w:val="22"/>
          <w:szCs w:val="22"/>
          <w:lang w:eastAsia="lo-LA" w:bidi="lo-LA"/>
        </w:rPr>
      </w:pPr>
      <w:r w:rsidRPr="004F23C8">
        <w:rPr>
          <w:rFonts w:eastAsia="Liberation Sans"/>
          <w:color w:val="000000"/>
          <w:kern w:val="2"/>
          <w:lang w:eastAsia="lo-LA" w:bidi="lo-LA"/>
        </w:rPr>
        <w:t>•</w:t>
      </w:r>
      <w:r w:rsidRPr="004F23C8">
        <w:rPr>
          <w:rFonts w:eastAsia="Liberation Sans"/>
          <w:color w:val="000000"/>
          <w:kern w:val="2"/>
          <w:lang w:eastAsia="lo-LA" w:bidi="lo-LA"/>
        </w:rPr>
        <w:tab/>
      </w:r>
      <w:r w:rsidRPr="004F23C8">
        <w:rPr>
          <w:rFonts w:eastAsia="Liberation Sans"/>
          <w:color w:val="000000"/>
          <w:kern w:val="2"/>
          <w:sz w:val="22"/>
          <w:szCs w:val="22"/>
          <w:lang w:eastAsia="lo-LA" w:bidi="lo-LA"/>
        </w:rPr>
        <w:t xml:space="preserve">Kūno svorio pokytis, apetito sumažėjimas ar netekimas, skonio pojūčio sutrikimas, vidurių užkietėjimas. </w:t>
      </w:r>
    </w:p>
    <w:p w:rsidR="00255979" w:rsidRPr="004F23C8" w:rsidRDefault="00255979" w:rsidP="004F23C8">
      <w:pPr>
        <w:widowControl w:val="0"/>
        <w:suppressAutoHyphens/>
        <w:ind w:left="270" w:hanging="270"/>
        <w:rPr>
          <w:rFonts w:eastAsia="Liberation Sans"/>
          <w:color w:val="000000"/>
          <w:kern w:val="2"/>
          <w:sz w:val="22"/>
          <w:szCs w:val="22"/>
          <w:lang w:eastAsia="lo-LA" w:bidi="lo-LA"/>
        </w:rPr>
      </w:pPr>
      <w:r w:rsidRPr="004F23C8">
        <w:rPr>
          <w:rFonts w:eastAsia="Liberation Sans"/>
          <w:color w:val="000000"/>
          <w:kern w:val="2"/>
          <w:sz w:val="22"/>
          <w:szCs w:val="22"/>
          <w:lang w:eastAsia="lo-LA" w:bidi="lo-LA"/>
        </w:rPr>
        <w:t>•</w:t>
      </w:r>
      <w:r w:rsidRPr="004F23C8">
        <w:rPr>
          <w:rFonts w:eastAsia="Liberation Sans"/>
          <w:color w:val="000000"/>
          <w:kern w:val="2"/>
          <w:sz w:val="22"/>
          <w:szCs w:val="22"/>
          <w:lang w:eastAsia="lo-LA" w:bidi="lo-LA"/>
        </w:rPr>
        <w:tab/>
        <w:t xml:space="preserve">Galvos skausmas, nugaros skausmas. </w:t>
      </w:r>
    </w:p>
    <w:p w:rsidR="00255979" w:rsidRPr="004F23C8" w:rsidRDefault="00255979" w:rsidP="004F23C8">
      <w:pPr>
        <w:widowControl w:val="0"/>
        <w:suppressAutoHyphens/>
        <w:ind w:left="270" w:hanging="270"/>
        <w:rPr>
          <w:rFonts w:eastAsia="Liberation Sans"/>
          <w:color w:val="000000"/>
          <w:kern w:val="1"/>
          <w:lang w:eastAsia="ar-SA"/>
        </w:rPr>
      </w:pPr>
      <w:r w:rsidRPr="004F23C8">
        <w:rPr>
          <w:rFonts w:eastAsia="Liberation Sans"/>
          <w:color w:val="000000"/>
          <w:kern w:val="1"/>
          <w:lang w:eastAsia="lo-LA" w:bidi="lo-LA"/>
        </w:rPr>
        <w:t>•</w:t>
      </w:r>
      <w:r w:rsidRPr="004F23C8">
        <w:rPr>
          <w:rFonts w:eastAsia="Liberation Sans"/>
          <w:color w:val="000000"/>
          <w:kern w:val="1"/>
          <w:lang w:eastAsia="lo-LA" w:bidi="lo-LA"/>
        </w:rPr>
        <w:tab/>
      </w:r>
      <w:r w:rsidRPr="004F23C8">
        <w:rPr>
          <w:rFonts w:eastAsia="Liberation Sans"/>
          <w:color w:val="000000"/>
          <w:kern w:val="1"/>
          <w:sz w:val="22"/>
          <w:szCs w:val="22"/>
          <w:lang w:eastAsia="lo-LA" w:bidi="lo-LA"/>
        </w:rPr>
        <w:t xml:space="preserve">Raumenų nervų patinimas, kaklo raumenų sustingimas, nenormalus pojūtis liežuvyje, galintis sutrikdyti kalbą, stomatitas / mukozitas (lūpų skausmas arba opelės burnoje). </w:t>
      </w:r>
    </w:p>
    <w:p w:rsidR="00255979" w:rsidRPr="004F23C8" w:rsidRDefault="00255979" w:rsidP="004F23C8">
      <w:pPr>
        <w:widowControl w:val="0"/>
        <w:numPr>
          <w:ilvl w:val="0"/>
          <w:numId w:val="9"/>
        </w:numPr>
        <w:suppressAutoHyphens/>
        <w:spacing w:line="100" w:lineRule="atLeast"/>
        <w:ind w:left="270" w:hanging="270"/>
        <w:rPr>
          <w:rFonts w:eastAsia="Liberation Sans"/>
          <w:color w:val="000000"/>
          <w:kern w:val="1"/>
          <w:lang w:eastAsia="ar-SA"/>
        </w:rPr>
      </w:pPr>
      <w:r w:rsidRPr="004F23C8">
        <w:rPr>
          <w:rFonts w:eastAsia="Liberation Sans"/>
          <w:color w:val="000000"/>
          <w:kern w:val="1"/>
          <w:sz w:val="22"/>
          <w:szCs w:val="22"/>
          <w:lang w:eastAsia="ar-SA"/>
        </w:rPr>
        <w:t xml:space="preserve">Pilvo skausmas. </w:t>
      </w:r>
    </w:p>
    <w:p w:rsidR="00255979" w:rsidRPr="004F23C8" w:rsidRDefault="00255979" w:rsidP="004F23C8">
      <w:pPr>
        <w:widowControl w:val="0"/>
        <w:suppressAutoHyphens/>
        <w:ind w:left="270" w:hanging="270"/>
        <w:rPr>
          <w:rFonts w:eastAsia="Liberation Sans"/>
          <w:color w:val="000000"/>
          <w:kern w:val="1"/>
          <w:sz w:val="22"/>
          <w:szCs w:val="22"/>
          <w:lang w:eastAsia="ar-SA"/>
        </w:rPr>
      </w:pPr>
      <w:r w:rsidRPr="004F23C8">
        <w:rPr>
          <w:rFonts w:eastAsia="Liberation Sans"/>
          <w:b/>
          <w:bCs/>
          <w:color w:val="000000"/>
          <w:kern w:val="1"/>
          <w:sz w:val="22"/>
          <w:szCs w:val="22"/>
          <w:lang w:eastAsia="ar-SA"/>
        </w:rPr>
        <w:t>•</w:t>
      </w:r>
      <w:r w:rsidRPr="004F23C8">
        <w:rPr>
          <w:rFonts w:eastAsia="Liberation Sans"/>
          <w:b/>
          <w:bCs/>
          <w:color w:val="000000"/>
          <w:kern w:val="1"/>
          <w:sz w:val="22"/>
          <w:szCs w:val="22"/>
          <w:lang w:eastAsia="ar-SA"/>
        </w:rPr>
        <w:tab/>
      </w:r>
      <w:r w:rsidRPr="004F23C8">
        <w:rPr>
          <w:rFonts w:eastAsia="Liberation Sans"/>
          <w:color w:val="000000"/>
          <w:kern w:val="1"/>
          <w:sz w:val="22"/>
          <w:szCs w:val="22"/>
          <w:lang w:eastAsia="ar-SA"/>
        </w:rPr>
        <w:t xml:space="preserve">Nenormalus kraujavimas, įskaitant kraujavimą iš nosies. </w:t>
      </w:r>
    </w:p>
    <w:p w:rsidR="00255979" w:rsidRPr="004F23C8" w:rsidRDefault="00255979" w:rsidP="004F23C8">
      <w:pPr>
        <w:widowControl w:val="0"/>
        <w:suppressAutoHyphens/>
        <w:ind w:left="270" w:hanging="270"/>
        <w:rPr>
          <w:rFonts w:eastAsia="Liberation Sans"/>
          <w:color w:val="000000"/>
          <w:kern w:val="1"/>
          <w:sz w:val="22"/>
          <w:szCs w:val="22"/>
          <w:lang w:eastAsia="ar-SA"/>
        </w:rPr>
      </w:pPr>
      <w:r w:rsidRPr="004F23C8">
        <w:rPr>
          <w:rFonts w:eastAsia="Liberation Sans"/>
          <w:color w:val="000000"/>
          <w:kern w:val="1"/>
          <w:sz w:val="22"/>
          <w:szCs w:val="22"/>
          <w:lang w:eastAsia="ar-SA"/>
        </w:rPr>
        <w:t>•</w:t>
      </w:r>
      <w:r w:rsidRPr="004F23C8">
        <w:rPr>
          <w:rFonts w:eastAsia="Liberation Sans"/>
          <w:color w:val="000000"/>
          <w:kern w:val="1"/>
          <w:sz w:val="22"/>
          <w:szCs w:val="22"/>
          <w:lang w:eastAsia="ar-SA"/>
        </w:rPr>
        <w:tab/>
        <w:t xml:space="preserve">Kosulys, pasunkėjęs kvėpavimas. </w:t>
      </w:r>
    </w:p>
    <w:p w:rsidR="00255979" w:rsidRPr="004F23C8" w:rsidRDefault="00255979" w:rsidP="004F23C8">
      <w:pPr>
        <w:widowControl w:val="0"/>
        <w:suppressAutoHyphens/>
        <w:ind w:left="270" w:hanging="270"/>
        <w:rPr>
          <w:rFonts w:eastAsia="Liberation Sans"/>
          <w:color w:val="000000"/>
          <w:kern w:val="1"/>
          <w:sz w:val="22"/>
          <w:szCs w:val="22"/>
          <w:lang w:eastAsia="ar-SA"/>
        </w:rPr>
      </w:pPr>
      <w:r w:rsidRPr="004F23C8">
        <w:rPr>
          <w:rFonts w:eastAsia="Liberation Sans"/>
          <w:color w:val="000000"/>
          <w:kern w:val="1"/>
          <w:sz w:val="22"/>
          <w:szCs w:val="22"/>
          <w:lang w:eastAsia="ar-SA"/>
        </w:rPr>
        <w:t>•</w:t>
      </w:r>
      <w:r w:rsidRPr="004F23C8">
        <w:rPr>
          <w:rFonts w:eastAsia="Liberation Sans"/>
          <w:color w:val="000000"/>
          <w:kern w:val="1"/>
          <w:sz w:val="22"/>
          <w:szCs w:val="22"/>
          <w:lang w:eastAsia="ar-SA"/>
        </w:rPr>
        <w:tab/>
        <w:t xml:space="preserve">Alerginės reakcijos, odos išbėrimas, įskaitant odos paraudimą, niežulį, negausus plaukų nuslinkimas (alopecija).  </w:t>
      </w:r>
    </w:p>
    <w:p w:rsidR="00255979" w:rsidRPr="004F23C8" w:rsidRDefault="00255979" w:rsidP="004F23C8">
      <w:pPr>
        <w:widowControl w:val="0"/>
        <w:suppressAutoHyphens/>
        <w:ind w:left="270" w:hanging="270"/>
        <w:rPr>
          <w:rFonts w:eastAsia="Liberation Sans"/>
          <w:color w:val="000000"/>
          <w:kern w:val="1"/>
          <w:sz w:val="22"/>
          <w:szCs w:val="22"/>
          <w:lang w:eastAsia="ar-SA"/>
        </w:rPr>
      </w:pPr>
      <w:r w:rsidRPr="004F23C8">
        <w:rPr>
          <w:rFonts w:eastAsia="Liberation Sans"/>
          <w:color w:val="000000"/>
          <w:kern w:val="1"/>
          <w:sz w:val="22"/>
          <w:szCs w:val="22"/>
          <w:lang w:eastAsia="ar-SA"/>
        </w:rPr>
        <w:t>•</w:t>
      </w:r>
      <w:r w:rsidRPr="004F23C8">
        <w:rPr>
          <w:rFonts w:eastAsia="Liberation Sans"/>
          <w:color w:val="000000"/>
          <w:kern w:val="1"/>
          <w:sz w:val="22"/>
          <w:szCs w:val="22"/>
          <w:lang w:eastAsia="ar-SA"/>
        </w:rPr>
        <w:tab/>
        <w:t>Kraujo tyrimų, įskaitant susijusius su kepenų veiklos sutrikimu, rezultatų pokytis.</w:t>
      </w:r>
    </w:p>
    <w:p w:rsidR="00255979" w:rsidRPr="004F23C8" w:rsidRDefault="00255979" w:rsidP="004F23C8">
      <w:pPr>
        <w:widowControl w:val="0"/>
        <w:suppressAutoHyphens/>
        <w:ind w:left="270" w:hanging="270"/>
        <w:rPr>
          <w:rFonts w:eastAsia="Liberation Sans"/>
          <w:b/>
          <w:bCs/>
          <w:color w:val="000000"/>
          <w:kern w:val="1"/>
          <w:sz w:val="22"/>
          <w:szCs w:val="22"/>
          <w:lang w:eastAsia="ar-SA"/>
        </w:rPr>
      </w:pPr>
    </w:p>
    <w:p w:rsidR="00255979" w:rsidRPr="004F23C8" w:rsidRDefault="00255979" w:rsidP="004F23C8">
      <w:pPr>
        <w:widowControl w:val="0"/>
        <w:suppressAutoHyphens/>
        <w:ind w:left="270" w:hanging="270"/>
        <w:rPr>
          <w:rFonts w:eastAsia="Liberation Sans"/>
          <w:color w:val="000000"/>
          <w:kern w:val="1"/>
          <w:sz w:val="22"/>
          <w:szCs w:val="22"/>
          <w:lang w:eastAsia="lo-LA" w:bidi="lo-LA"/>
        </w:rPr>
      </w:pPr>
      <w:r w:rsidRPr="004F23C8">
        <w:rPr>
          <w:rFonts w:eastAsia="Liberation Sans"/>
          <w:b/>
          <w:bCs/>
          <w:color w:val="000000"/>
          <w:kern w:val="1"/>
          <w:sz w:val="22"/>
          <w:szCs w:val="22"/>
          <w:lang w:eastAsia="lo-LA" w:bidi="lo-LA"/>
        </w:rPr>
        <w:t xml:space="preserve">Dažni </w:t>
      </w:r>
      <w:r w:rsidRPr="004F23C8">
        <w:rPr>
          <w:rFonts w:eastAsia="Liberation Sans"/>
          <w:color w:val="000000"/>
          <w:kern w:val="1"/>
          <w:sz w:val="22"/>
          <w:szCs w:val="22"/>
          <w:lang w:eastAsia="lo-LA" w:bidi="lo-LA"/>
        </w:rPr>
        <w:t xml:space="preserve">(pasireiškia 1–10 pacientų iš 100) </w:t>
      </w:r>
    </w:p>
    <w:p w:rsidR="00255979" w:rsidRPr="004F23C8" w:rsidRDefault="00255979" w:rsidP="004F23C8">
      <w:pPr>
        <w:widowControl w:val="0"/>
        <w:suppressAutoHyphens/>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w:t>
      </w:r>
      <w:r w:rsidRPr="004F23C8">
        <w:rPr>
          <w:rFonts w:eastAsia="Liberation Sans"/>
          <w:color w:val="000000"/>
          <w:kern w:val="1"/>
          <w:sz w:val="22"/>
          <w:szCs w:val="22"/>
          <w:lang w:eastAsia="lo-LA" w:bidi="lo-LA"/>
        </w:rPr>
        <w:tab/>
        <w:t xml:space="preserve">Infekcija dėl sumažėjusio baltųjų kraujo ląstelių skaičiaus. </w:t>
      </w:r>
    </w:p>
    <w:p w:rsidR="00255979" w:rsidRPr="004F23C8" w:rsidRDefault="00255979" w:rsidP="004F23C8">
      <w:pPr>
        <w:widowControl w:val="0"/>
        <w:suppressAutoHyphens/>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w:t>
      </w:r>
      <w:r w:rsidRPr="004F23C8">
        <w:rPr>
          <w:rFonts w:eastAsia="Liberation Sans"/>
          <w:color w:val="000000"/>
          <w:kern w:val="1"/>
          <w:sz w:val="22"/>
          <w:szCs w:val="22"/>
          <w:lang w:eastAsia="lo-LA" w:bidi="lo-LA"/>
        </w:rPr>
        <w:tab/>
        <w:t xml:space="preserve">Nevirškinimas ir rėmuo, žagsėjimas, karščio bangos, galvos svaigimas. </w:t>
      </w:r>
    </w:p>
    <w:p w:rsidR="00255979" w:rsidRPr="004F23C8" w:rsidRDefault="00255979" w:rsidP="004F23C8">
      <w:pPr>
        <w:widowControl w:val="0"/>
        <w:suppressAutoHyphens/>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w:t>
      </w:r>
      <w:r w:rsidRPr="004F23C8">
        <w:rPr>
          <w:rFonts w:eastAsia="Liberation Sans"/>
          <w:color w:val="000000"/>
          <w:kern w:val="1"/>
          <w:sz w:val="22"/>
          <w:szCs w:val="22"/>
          <w:lang w:eastAsia="lo-LA" w:bidi="lo-LA"/>
        </w:rPr>
        <w:tab/>
        <w:t xml:space="preserve">Padidėjęs prakaitavimas ir nagų sutrikimai, pleiskanojanti oda. </w:t>
      </w:r>
    </w:p>
    <w:p w:rsidR="00255979" w:rsidRPr="004F23C8" w:rsidRDefault="00255979" w:rsidP="004F23C8">
      <w:pPr>
        <w:widowControl w:val="0"/>
        <w:suppressAutoHyphens/>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w:t>
      </w:r>
      <w:r w:rsidRPr="004F23C8">
        <w:rPr>
          <w:rFonts w:eastAsia="Liberation Sans"/>
          <w:color w:val="000000"/>
          <w:kern w:val="1"/>
          <w:sz w:val="22"/>
          <w:szCs w:val="22"/>
          <w:lang w:eastAsia="lo-LA" w:bidi="lo-LA"/>
        </w:rPr>
        <w:tab/>
        <w:t xml:space="preserve">Krūtinės skausmas. </w:t>
      </w:r>
    </w:p>
    <w:p w:rsidR="00255979" w:rsidRPr="004F23C8" w:rsidRDefault="00255979" w:rsidP="004F23C8">
      <w:pPr>
        <w:widowControl w:val="0"/>
        <w:suppressAutoHyphens/>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w:t>
      </w:r>
      <w:r w:rsidRPr="004F23C8">
        <w:rPr>
          <w:rFonts w:eastAsia="Liberation Sans"/>
          <w:color w:val="000000"/>
          <w:kern w:val="1"/>
          <w:sz w:val="22"/>
          <w:szCs w:val="22"/>
          <w:lang w:eastAsia="lo-LA" w:bidi="lo-LA"/>
        </w:rPr>
        <w:tab/>
        <w:t xml:space="preserve">Plaučių sutrikimai ir sloga. </w:t>
      </w:r>
    </w:p>
    <w:p w:rsidR="00255979" w:rsidRPr="004F23C8" w:rsidRDefault="00255979" w:rsidP="004F23C8">
      <w:pPr>
        <w:widowControl w:val="0"/>
        <w:suppressAutoHyphens/>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w:t>
      </w:r>
      <w:r w:rsidRPr="004F23C8">
        <w:rPr>
          <w:rFonts w:eastAsia="Liberation Sans"/>
          <w:color w:val="000000"/>
          <w:kern w:val="1"/>
          <w:sz w:val="22"/>
          <w:szCs w:val="22"/>
          <w:lang w:eastAsia="lo-LA" w:bidi="lo-LA"/>
        </w:rPr>
        <w:tab/>
        <w:t xml:space="preserve">Sąnarių ir kaulų skausmai. </w:t>
      </w:r>
    </w:p>
    <w:p w:rsidR="00255979" w:rsidRPr="004F23C8" w:rsidRDefault="00255979" w:rsidP="004873B0">
      <w:pPr>
        <w:widowControl w:val="0"/>
        <w:suppressAutoHyphens/>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w:t>
      </w:r>
      <w:r w:rsidRPr="004F23C8">
        <w:rPr>
          <w:rFonts w:eastAsia="Liberation Sans"/>
          <w:color w:val="000000"/>
          <w:kern w:val="1"/>
          <w:sz w:val="22"/>
          <w:szCs w:val="22"/>
          <w:lang w:eastAsia="lo-LA" w:bidi="lo-LA"/>
        </w:rPr>
        <w:tab/>
        <w:t xml:space="preserve">Skausmingas šlapinimasis ir inkstų funkcijos pakitimai, šlapinimosi dažnio pakitimai, skysčio kiekio organizme sumažėjimas. </w:t>
      </w:r>
    </w:p>
    <w:p w:rsidR="00255979" w:rsidRPr="004F23C8" w:rsidRDefault="00255979" w:rsidP="004873B0">
      <w:pPr>
        <w:widowControl w:val="0"/>
        <w:suppressAutoHyphens/>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w:t>
      </w:r>
      <w:r w:rsidRPr="004F23C8">
        <w:rPr>
          <w:rFonts w:eastAsia="Liberation Sans"/>
          <w:color w:val="000000"/>
          <w:kern w:val="1"/>
          <w:sz w:val="22"/>
          <w:szCs w:val="22"/>
          <w:lang w:eastAsia="lo-LA" w:bidi="lo-LA"/>
        </w:rPr>
        <w:tab/>
        <w:t xml:space="preserve">Kraujo išsiskyrimas su šlapimu / išmatomis, venų patinimas, krešuliai plaučiuose. </w:t>
      </w:r>
    </w:p>
    <w:p w:rsidR="00255979" w:rsidRPr="004F23C8" w:rsidRDefault="00255979" w:rsidP="004873B0">
      <w:pPr>
        <w:widowControl w:val="0"/>
        <w:suppressAutoHyphens/>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w:t>
      </w:r>
      <w:r w:rsidRPr="004F23C8">
        <w:rPr>
          <w:rFonts w:eastAsia="Liberation Sans"/>
          <w:color w:val="000000"/>
          <w:kern w:val="1"/>
          <w:sz w:val="22"/>
          <w:szCs w:val="22"/>
          <w:lang w:eastAsia="lo-LA" w:bidi="lo-LA"/>
        </w:rPr>
        <w:tab/>
        <w:t xml:space="preserve">Aukštas kraujospūdis. </w:t>
      </w:r>
    </w:p>
    <w:p w:rsidR="00255979" w:rsidRPr="004F23C8" w:rsidRDefault="00255979" w:rsidP="004873B0">
      <w:pPr>
        <w:widowControl w:val="0"/>
        <w:suppressAutoHyphens/>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w:t>
      </w:r>
      <w:r w:rsidRPr="004F23C8">
        <w:rPr>
          <w:rFonts w:eastAsia="Liberation Sans"/>
          <w:color w:val="000000"/>
          <w:kern w:val="1"/>
          <w:sz w:val="22"/>
          <w:szCs w:val="22"/>
          <w:lang w:eastAsia="lo-LA" w:bidi="lo-LA"/>
        </w:rPr>
        <w:tab/>
        <w:t xml:space="preserve">Depresija ir nemiga. </w:t>
      </w:r>
    </w:p>
    <w:p w:rsidR="00255979" w:rsidRPr="004F23C8" w:rsidRDefault="00255979" w:rsidP="004873B0">
      <w:pPr>
        <w:widowControl w:val="0"/>
        <w:suppressAutoHyphens/>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w:t>
      </w:r>
      <w:r w:rsidRPr="004F23C8">
        <w:rPr>
          <w:rFonts w:eastAsia="Liberation Sans"/>
          <w:color w:val="000000"/>
          <w:kern w:val="1"/>
          <w:sz w:val="22"/>
          <w:szCs w:val="22"/>
          <w:lang w:eastAsia="lo-LA" w:bidi="lo-LA"/>
        </w:rPr>
        <w:tab/>
        <w:t xml:space="preserve">Akies junginės uždegimas ir regos sutrikimai. </w:t>
      </w:r>
    </w:p>
    <w:p w:rsidR="00255979" w:rsidRPr="004F23C8" w:rsidRDefault="00255979" w:rsidP="004873B0">
      <w:pPr>
        <w:widowControl w:val="0"/>
        <w:suppressAutoHyphens/>
        <w:ind w:left="270" w:hanging="270"/>
        <w:rPr>
          <w:rFonts w:eastAsia="Liberation Sans"/>
          <w:color w:val="000000"/>
          <w:kern w:val="1"/>
          <w:sz w:val="22"/>
          <w:szCs w:val="22"/>
          <w:lang w:eastAsia="ar-SA"/>
        </w:rPr>
      </w:pPr>
    </w:p>
    <w:p w:rsidR="00255979" w:rsidRPr="004F23C8" w:rsidRDefault="00255979" w:rsidP="004873B0">
      <w:pPr>
        <w:widowControl w:val="0"/>
        <w:suppressAutoHyphens/>
        <w:ind w:left="270" w:hanging="270"/>
        <w:rPr>
          <w:rFonts w:eastAsia="Liberation Sans"/>
          <w:color w:val="000000"/>
          <w:kern w:val="1"/>
          <w:sz w:val="22"/>
          <w:szCs w:val="22"/>
          <w:lang w:eastAsia="lo-LA" w:bidi="lo-LA"/>
        </w:rPr>
      </w:pPr>
      <w:r w:rsidRPr="004F23C8">
        <w:rPr>
          <w:rFonts w:eastAsia="Liberation Sans"/>
          <w:b/>
          <w:bCs/>
          <w:color w:val="000000"/>
          <w:kern w:val="1"/>
          <w:sz w:val="22"/>
          <w:szCs w:val="22"/>
          <w:lang w:eastAsia="lo-LA" w:bidi="lo-LA"/>
        </w:rPr>
        <w:t xml:space="preserve">Nedažni </w:t>
      </w:r>
      <w:r w:rsidRPr="004F23C8">
        <w:rPr>
          <w:rFonts w:eastAsia="Liberation Sans"/>
          <w:color w:val="000000"/>
          <w:kern w:val="1"/>
          <w:sz w:val="22"/>
          <w:szCs w:val="22"/>
          <w:lang w:eastAsia="lo-LA" w:bidi="lo-LA"/>
        </w:rPr>
        <w:t xml:space="preserve">(pasireiškia 1–10 pacientų iš 1000) </w:t>
      </w:r>
    </w:p>
    <w:p w:rsidR="00255979" w:rsidRPr="004F23C8" w:rsidRDefault="00255979" w:rsidP="004873B0">
      <w:pPr>
        <w:widowControl w:val="0"/>
        <w:suppressAutoHyphens/>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w:t>
      </w:r>
      <w:r w:rsidRPr="004F23C8">
        <w:rPr>
          <w:rFonts w:eastAsia="Liberation Sans"/>
          <w:color w:val="000000"/>
          <w:kern w:val="1"/>
          <w:sz w:val="22"/>
          <w:szCs w:val="22"/>
          <w:lang w:eastAsia="lo-LA" w:bidi="lo-LA"/>
        </w:rPr>
        <w:tab/>
        <w:t xml:space="preserve">Žarnų nepraeinamumas ar patinimas. </w:t>
      </w:r>
    </w:p>
    <w:p w:rsidR="00255979" w:rsidRPr="004F23C8" w:rsidRDefault="00255979" w:rsidP="004873B0">
      <w:pPr>
        <w:widowControl w:val="0"/>
        <w:suppressAutoHyphens/>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w:t>
      </w:r>
      <w:r w:rsidRPr="004F23C8">
        <w:rPr>
          <w:rFonts w:eastAsia="Liberation Sans"/>
          <w:color w:val="000000"/>
          <w:kern w:val="1"/>
          <w:sz w:val="22"/>
          <w:szCs w:val="22"/>
          <w:lang w:eastAsia="lo-LA" w:bidi="lo-LA"/>
        </w:rPr>
        <w:tab/>
        <w:t xml:space="preserve">Nervingumas. </w:t>
      </w:r>
    </w:p>
    <w:p w:rsidR="00255979" w:rsidRPr="004F23C8" w:rsidRDefault="00255979" w:rsidP="004873B0">
      <w:pPr>
        <w:widowControl w:val="0"/>
        <w:suppressAutoHyphens/>
        <w:ind w:left="270" w:hanging="270"/>
        <w:rPr>
          <w:rFonts w:eastAsia="Liberation Sans"/>
          <w:b/>
          <w:bCs/>
          <w:color w:val="000000"/>
          <w:kern w:val="1"/>
          <w:sz w:val="22"/>
          <w:szCs w:val="22"/>
          <w:lang w:eastAsia="ar-SA"/>
        </w:rPr>
      </w:pPr>
    </w:p>
    <w:p w:rsidR="00255979" w:rsidRPr="004F23C8" w:rsidRDefault="00255979" w:rsidP="004873B0">
      <w:pPr>
        <w:widowControl w:val="0"/>
        <w:suppressAutoHyphens/>
        <w:ind w:left="270" w:hanging="270"/>
        <w:rPr>
          <w:rFonts w:eastAsia="Liberation Sans"/>
          <w:color w:val="000000"/>
          <w:kern w:val="1"/>
          <w:sz w:val="22"/>
          <w:szCs w:val="22"/>
          <w:lang w:eastAsia="lo-LA" w:bidi="lo-LA"/>
        </w:rPr>
      </w:pPr>
      <w:r w:rsidRPr="004F23C8">
        <w:rPr>
          <w:rFonts w:eastAsia="Liberation Sans"/>
          <w:b/>
          <w:bCs/>
          <w:color w:val="000000"/>
          <w:kern w:val="1"/>
          <w:sz w:val="22"/>
          <w:szCs w:val="22"/>
          <w:lang w:eastAsia="lo-LA" w:bidi="lo-LA"/>
        </w:rPr>
        <w:t xml:space="preserve">Reti </w:t>
      </w:r>
      <w:r w:rsidRPr="004F23C8">
        <w:rPr>
          <w:rFonts w:eastAsia="Liberation Sans"/>
          <w:color w:val="000000"/>
          <w:kern w:val="1"/>
          <w:sz w:val="22"/>
          <w:szCs w:val="22"/>
          <w:lang w:eastAsia="lo-LA" w:bidi="lo-LA"/>
        </w:rPr>
        <w:t xml:space="preserve">(pasireiškia 1–10 pacientų iš 10 000) </w:t>
      </w:r>
    </w:p>
    <w:p w:rsidR="00255979" w:rsidRPr="004F23C8" w:rsidRDefault="00255979" w:rsidP="004873B0">
      <w:pPr>
        <w:widowControl w:val="0"/>
        <w:suppressAutoHyphens/>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w:t>
      </w:r>
      <w:r w:rsidRPr="004F23C8">
        <w:rPr>
          <w:rFonts w:eastAsia="Liberation Sans"/>
          <w:color w:val="000000"/>
          <w:kern w:val="1"/>
          <w:sz w:val="22"/>
          <w:szCs w:val="22"/>
          <w:lang w:eastAsia="lo-LA" w:bidi="lo-LA"/>
        </w:rPr>
        <w:tab/>
        <w:t xml:space="preserve">Apkurtimas. </w:t>
      </w:r>
    </w:p>
    <w:p w:rsidR="00255979" w:rsidRPr="004F23C8" w:rsidRDefault="00255979" w:rsidP="004873B0">
      <w:pPr>
        <w:widowControl w:val="0"/>
        <w:suppressAutoHyphens/>
        <w:ind w:left="270" w:hanging="270"/>
        <w:rPr>
          <w:rFonts w:eastAsia="Liberation Sans"/>
          <w:color w:val="000000"/>
          <w:kern w:val="1"/>
          <w:sz w:val="22"/>
          <w:szCs w:val="22"/>
          <w:lang w:eastAsia="lo-LA" w:bidi="lo-LA"/>
        </w:rPr>
      </w:pPr>
      <w:r w:rsidRPr="004F23C8">
        <w:rPr>
          <w:rFonts w:eastAsia="Liberation Sans"/>
          <w:color w:val="000000"/>
          <w:kern w:val="1"/>
          <w:sz w:val="22"/>
          <w:szCs w:val="22"/>
          <w:lang w:eastAsia="lo-LA" w:bidi="lo-LA"/>
        </w:rPr>
        <w:t>•</w:t>
      </w:r>
      <w:r w:rsidRPr="004F23C8">
        <w:rPr>
          <w:rFonts w:eastAsia="Liberation Sans"/>
          <w:color w:val="000000"/>
          <w:kern w:val="1"/>
          <w:sz w:val="22"/>
          <w:szCs w:val="22"/>
          <w:lang w:eastAsia="lo-LA" w:bidi="lo-LA"/>
        </w:rPr>
        <w:tab/>
        <w:t xml:space="preserve">Plaučių surandėjimas ir sustorėjimas su kvėpavimo sutrikimais, kartais mirtinais (intersticinė </w:t>
      </w:r>
      <w:r w:rsidRPr="004F23C8">
        <w:rPr>
          <w:rFonts w:eastAsia="Liberation Sans"/>
          <w:color w:val="000000"/>
          <w:kern w:val="1"/>
          <w:sz w:val="22"/>
          <w:szCs w:val="22"/>
          <w:lang w:eastAsia="lo-LA" w:bidi="lo-LA"/>
        </w:rPr>
        <w:tab/>
        <w:t xml:space="preserve">plaučių liga). </w:t>
      </w:r>
    </w:p>
    <w:p w:rsidR="00255979" w:rsidRPr="004F23C8" w:rsidRDefault="00255979" w:rsidP="004873B0">
      <w:pPr>
        <w:widowControl w:val="0"/>
        <w:numPr>
          <w:ilvl w:val="0"/>
          <w:numId w:val="9"/>
        </w:numPr>
        <w:suppressAutoHyphens/>
        <w:spacing w:line="100" w:lineRule="atLeast"/>
        <w:ind w:left="270" w:hanging="270"/>
        <w:rPr>
          <w:rFonts w:eastAsia="Liberation Sans" w:cs="Arial Unicode MS"/>
          <w:color w:val="00000A"/>
          <w:kern w:val="1"/>
          <w:sz w:val="22"/>
          <w:szCs w:val="22"/>
          <w:lang w:eastAsia="lo-LA" w:bidi="lo-LA"/>
        </w:rPr>
      </w:pPr>
      <w:r w:rsidRPr="004F23C8">
        <w:rPr>
          <w:rFonts w:eastAsia="Liberation Sans" w:cs="Arial Unicode MS"/>
          <w:color w:val="00000A"/>
          <w:kern w:val="1"/>
          <w:sz w:val="22"/>
          <w:szCs w:val="22"/>
          <w:lang w:eastAsia="lo-LA" w:bidi="lo-LA"/>
        </w:rPr>
        <w:t xml:space="preserve">Laikinas trumpalaikis apakimas. </w:t>
      </w:r>
    </w:p>
    <w:p w:rsidR="00255979" w:rsidRPr="004F23C8" w:rsidRDefault="00255979" w:rsidP="004873B0">
      <w:pPr>
        <w:widowControl w:val="0"/>
        <w:suppressAutoHyphens/>
        <w:rPr>
          <w:rFonts w:eastAsia="Liberation Sans" w:cs="Arial Unicode MS"/>
          <w:color w:val="00000A"/>
          <w:kern w:val="1"/>
          <w:sz w:val="22"/>
          <w:szCs w:val="22"/>
          <w:lang w:eastAsia="lo-LA" w:bidi="lo-LA"/>
        </w:rPr>
      </w:pPr>
    </w:p>
    <w:p w:rsidR="00255979" w:rsidRPr="004F23C8" w:rsidRDefault="00255979" w:rsidP="004873B0">
      <w:pPr>
        <w:widowControl w:val="0"/>
        <w:suppressAutoHyphens/>
        <w:rPr>
          <w:rFonts w:eastAsia="Liberation Sans" w:cs="Arial Unicode MS"/>
          <w:b/>
          <w:color w:val="00000A"/>
          <w:kern w:val="1"/>
          <w:sz w:val="22"/>
          <w:szCs w:val="22"/>
          <w:lang w:eastAsia="lo-LA" w:bidi="lo-LA"/>
        </w:rPr>
      </w:pPr>
      <w:r w:rsidRPr="004F23C8">
        <w:rPr>
          <w:rFonts w:eastAsia="Liberation Sans" w:cs="Arial Unicode MS"/>
          <w:b/>
          <w:color w:val="00000A"/>
          <w:kern w:val="1"/>
          <w:sz w:val="22"/>
          <w:szCs w:val="22"/>
          <w:lang w:eastAsia="lo-LA" w:bidi="lo-LA"/>
        </w:rPr>
        <w:t xml:space="preserve">Labai reti (pasireiškia mažiau negu 1 iš 10 000 pacientų) </w:t>
      </w:r>
    </w:p>
    <w:p w:rsidR="00255979" w:rsidRPr="004F23C8" w:rsidRDefault="00255979" w:rsidP="004873B0">
      <w:pPr>
        <w:widowControl w:val="0"/>
        <w:numPr>
          <w:ilvl w:val="0"/>
          <w:numId w:val="9"/>
        </w:numPr>
        <w:suppressAutoHyphens/>
        <w:spacing w:line="100" w:lineRule="atLeast"/>
        <w:ind w:left="270" w:hanging="270"/>
        <w:rPr>
          <w:rFonts w:eastAsia="Liberation Sans" w:cs="Arial Unicode MS"/>
          <w:color w:val="00000A"/>
          <w:kern w:val="1"/>
          <w:sz w:val="22"/>
          <w:szCs w:val="22"/>
          <w:lang w:eastAsia="lo-LA" w:bidi="lo-LA"/>
        </w:rPr>
      </w:pPr>
      <w:r w:rsidRPr="004F23C8">
        <w:rPr>
          <w:rFonts w:eastAsia="Liberation Sans" w:cs="Arial Unicode MS"/>
          <w:color w:val="00000A"/>
          <w:kern w:val="1"/>
          <w:sz w:val="22"/>
          <w:szCs w:val="22"/>
          <w:lang w:eastAsia="lo-LA" w:bidi="lo-LA"/>
        </w:rPr>
        <w:t xml:space="preserve">Vėmalai su krauju arba tamsiai rudomis, kavos spalvos granulėmis. </w:t>
      </w:r>
    </w:p>
    <w:p w:rsidR="00255979" w:rsidRPr="004F23C8" w:rsidRDefault="00255979" w:rsidP="004873B0">
      <w:pPr>
        <w:widowControl w:val="0"/>
        <w:suppressAutoHyphens/>
        <w:ind w:left="270" w:hanging="270"/>
        <w:rPr>
          <w:rFonts w:eastAsia="Liberation Sans" w:cs="Arial Unicode MS"/>
          <w:b/>
          <w:bCs/>
          <w:color w:val="00000A"/>
          <w:kern w:val="1"/>
          <w:sz w:val="22"/>
          <w:szCs w:val="22"/>
          <w:lang w:eastAsia="lo-LA" w:bidi="lo-LA"/>
        </w:rPr>
      </w:pPr>
    </w:p>
    <w:p w:rsidR="00255979" w:rsidRPr="004F23C8" w:rsidRDefault="00255979" w:rsidP="004873B0">
      <w:pPr>
        <w:widowControl w:val="0"/>
        <w:suppressAutoHyphens/>
        <w:ind w:left="270" w:hanging="270"/>
        <w:rPr>
          <w:rFonts w:eastAsia="Liberation Sans" w:cs="Arial Unicode MS"/>
          <w:color w:val="00000A"/>
          <w:kern w:val="1"/>
          <w:sz w:val="22"/>
          <w:szCs w:val="22"/>
          <w:lang w:eastAsia="lo-LA" w:bidi="lo-LA"/>
        </w:rPr>
      </w:pPr>
      <w:r w:rsidRPr="004F23C8">
        <w:rPr>
          <w:rFonts w:eastAsia="Liberation Sans" w:cs="Arial Unicode MS"/>
          <w:b/>
          <w:bCs/>
          <w:color w:val="00000A"/>
          <w:kern w:val="1"/>
          <w:sz w:val="22"/>
          <w:szCs w:val="22"/>
          <w:lang w:eastAsia="lo-LA" w:bidi="lo-LA"/>
        </w:rPr>
        <w:t xml:space="preserve">Dažnis nežinomas </w:t>
      </w:r>
      <w:r w:rsidRPr="004F23C8">
        <w:rPr>
          <w:rFonts w:eastAsia="Liberation Sans" w:cs="Arial Unicode MS"/>
          <w:color w:val="00000A"/>
          <w:kern w:val="1"/>
          <w:sz w:val="22"/>
          <w:szCs w:val="22"/>
          <w:lang w:eastAsia="lo-LA" w:bidi="lo-LA"/>
        </w:rPr>
        <w:t xml:space="preserve">(negalima įvertinti) </w:t>
      </w:r>
    </w:p>
    <w:p w:rsidR="00255979" w:rsidRPr="004F23C8" w:rsidRDefault="00255979" w:rsidP="004873B0">
      <w:pPr>
        <w:widowControl w:val="0"/>
        <w:numPr>
          <w:ilvl w:val="0"/>
          <w:numId w:val="9"/>
        </w:numPr>
        <w:suppressAutoHyphens/>
        <w:spacing w:line="100" w:lineRule="atLeast"/>
        <w:ind w:left="270" w:hanging="270"/>
        <w:rPr>
          <w:rFonts w:eastAsia="Liberation Sans" w:cs="Arial Unicode MS"/>
          <w:color w:val="00000A"/>
          <w:kern w:val="1"/>
          <w:sz w:val="22"/>
          <w:szCs w:val="22"/>
          <w:lang w:eastAsia="lo-LA" w:bidi="lo-LA"/>
        </w:rPr>
      </w:pPr>
      <w:r w:rsidRPr="004F23C8">
        <w:rPr>
          <w:rFonts w:eastAsia="Liberation Sans" w:cs="Arial Unicode MS"/>
          <w:color w:val="00000A"/>
          <w:kern w:val="1"/>
          <w:sz w:val="22"/>
          <w:szCs w:val="22"/>
          <w:lang w:eastAsia="lo-LA" w:bidi="lo-LA"/>
        </w:rPr>
        <w:t xml:space="preserve">Konvulsija. </w:t>
      </w:r>
    </w:p>
    <w:p w:rsidR="00255979" w:rsidRPr="004F23C8" w:rsidRDefault="00255979" w:rsidP="004873B0">
      <w:pPr>
        <w:widowControl w:val="0"/>
        <w:suppressAutoHyphens/>
        <w:rPr>
          <w:rFonts w:eastAsia="Liberation Sans" w:cs="Arial Unicode MS"/>
          <w:color w:val="00000A"/>
          <w:kern w:val="1"/>
          <w:sz w:val="22"/>
          <w:szCs w:val="22"/>
          <w:lang w:eastAsia="lo-LA" w:bidi="lo-LA"/>
        </w:rPr>
      </w:pPr>
    </w:p>
    <w:p w:rsidR="00255979" w:rsidRPr="004F23C8" w:rsidRDefault="00255979" w:rsidP="004873B0">
      <w:pPr>
        <w:widowControl w:val="0"/>
        <w:suppressAutoHyphens/>
        <w:rPr>
          <w:rFonts w:eastAsia="Liberation Sans"/>
          <w:color w:val="00000A"/>
          <w:kern w:val="1"/>
          <w:sz w:val="22"/>
          <w:szCs w:val="22"/>
          <w:lang w:eastAsia="lo-LA" w:bidi="lo-LA"/>
        </w:rPr>
      </w:pPr>
      <w:r w:rsidRPr="004F23C8">
        <w:rPr>
          <w:rFonts w:eastAsia="Liberation Sans"/>
          <w:color w:val="00000A"/>
          <w:kern w:val="1"/>
          <w:sz w:val="22"/>
          <w:szCs w:val="22"/>
          <w:lang w:eastAsia="lo-LA" w:bidi="lo-LA"/>
        </w:rPr>
        <w:t xml:space="preserve">Jeigu pasireiškė šalutinis poveikis, įskaitant  šiame lapelyje nenurodytą, pasakykite gydytojui arba vaistininkui. </w:t>
      </w:r>
    </w:p>
    <w:p w:rsidR="00255979" w:rsidRDefault="00255979" w:rsidP="004873B0">
      <w:pPr>
        <w:pStyle w:val="BTEMEASMCA"/>
        <w:rPr>
          <w:noProof w:val="0"/>
        </w:rPr>
      </w:pPr>
    </w:p>
    <w:p w:rsidR="00255979" w:rsidRPr="00DF4173" w:rsidRDefault="00255979" w:rsidP="004873B0">
      <w:pPr>
        <w:pStyle w:val="BTEMEASMCA"/>
        <w:rPr>
          <w:noProof w:val="0"/>
        </w:rPr>
      </w:pPr>
    </w:p>
    <w:p w:rsidR="00255979" w:rsidRPr="00DF4173" w:rsidRDefault="00255979" w:rsidP="004873B0">
      <w:pPr>
        <w:pStyle w:val="PI-1EMEASMCA"/>
      </w:pPr>
      <w:bookmarkStart w:id="80" w:name="_Toc129243143"/>
      <w:bookmarkStart w:id="81" w:name="_Toc129243268"/>
      <w:r w:rsidRPr="00DF4173">
        <w:t>5.</w:t>
      </w:r>
      <w:r w:rsidRPr="00DF4173">
        <w:tab/>
      </w:r>
      <w:r>
        <w:t>K</w:t>
      </w:r>
      <w:r w:rsidRPr="00DF4173">
        <w:t xml:space="preserve">aip laikyti </w:t>
      </w:r>
      <w:bookmarkEnd w:id="80"/>
      <w:bookmarkEnd w:id="81"/>
      <w:proofErr w:type="spellStart"/>
      <w:r>
        <w:t>Oxaliplatin</w:t>
      </w:r>
      <w:proofErr w:type="spellEnd"/>
      <w:r>
        <w:t xml:space="preserve"> </w:t>
      </w:r>
      <w:proofErr w:type="spellStart"/>
      <w:r w:rsidR="00501874" w:rsidRPr="00501874">
        <w:t>Mylan</w:t>
      </w:r>
      <w:proofErr w:type="spellEnd"/>
    </w:p>
    <w:p w:rsidR="00255979" w:rsidRPr="00DF4173" w:rsidRDefault="00255979" w:rsidP="004873B0">
      <w:pPr>
        <w:pStyle w:val="BTEMEASMCA"/>
        <w:rPr>
          <w:noProof w:val="0"/>
        </w:rPr>
      </w:pPr>
    </w:p>
    <w:p w:rsidR="00255979" w:rsidRPr="004F23C8" w:rsidRDefault="00255979" w:rsidP="004873B0">
      <w:pPr>
        <w:widowControl w:val="0"/>
        <w:suppressAutoHyphens/>
        <w:rPr>
          <w:rFonts w:eastAsia="Liberation Sans"/>
          <w:color w:val="00000A"/>
          <w:kern w:val="1"/>
          <w:sz w:val="22"/>
          <w:szCs w:val="22"/>
          <w:lang w:eastAsia="lo-LA" w:bidi="lo-LA"/>
        </w:rPr>
      </w:pPr>
      <w:r w:rsidRPr="004F23C8">
        <w:rPr>
          <w:rFonts w:eastAsia="Liberation Sans"/>
          <w:color w:val="00000A"/>
          <w:kern w:val="1"/>
          <w:sz w:val="22"/>
          <w:szCs w:val="22"/>
          <w:lang w:eastAsia="lo-LA" w:bidi="lo-LA"/>
        </w:rPr>
        <w:t xml:space="preserve">Šį vaistą laikykite vaikams nepastebimoje ir nepasiekiamoje vietoje.  </w:t>
      </w:r>
    </w:p>
    <w:p w:rsidR="00255979" w:rsidRPr="004F23C8" w:rsidRDefault="00255979" w:rsidP="004873B0">
      <w:pPr>
        <w:widowControl w:val="0"/>
        <w:suppressAutoHyphens/>
        <w:rPr>
          <w:rFonts w:eastAsia="Liberation Sans" w:cs="Arial Unicode MS"/>
          <w:color w:val="00000A"/>
          <w:kern w:val="1"/>
          <w:sz w:val="23"/>
          <w:szCs w:val="23"/>
          <w:lang w:eastAsia="lo-LA" w:bidi="lo-LA"/>
        </w:rPr>
      </w:pPr>
    </w:p>
    <w:p w:rsidR="00255979" w:rsidRPr="004F23C8" w:rsidRDefault="00255979" w:rsidP="004873B0">
      <w:pPr>
        <w:widowControl w:val="0"/>
        <w:suppressAutoHyphens/>
        <w:rPr>
          <w:rFonts w:eastAsia="Liberation Sans" w:cs="Arial Unicode MS"/>
          <w:b/>
          <w:bCs/>
          <w:color w:val="00000A"/>
          <w:kern w:val="1"/>
          <w:sz w:val="22"/>
          <w:szCs w:val="22"/>
          <w:lang w:eastAsia="lo-LA" w:bidi="lo-LA"/>
        </w:rPr>
      </w:pPr>
      <w:r w:rsidRPr="004F23C8">
        <w:rPr>
          <w:rFonts w:eastAsia="Liberation Sans" w:cs="Arial Unicode MS"/>
          <w:b/>
          <w:bCs/>
          <w:color w:val="00000A"/>
          <w:kern w:val="1"/>
          <w:sz w:val="22"/>
          <w:szCs w:val="22"/>
          <w:lang w:eastAsia="lo-LA" w:bidi="lo-LA"/>
        </w:rPr>
        <w:t xml:space="preserve">Tinkamumo laikas </w:t>
      </w:r>
    </w:p>
    <w:p w:rsidR="00255979" w:rsidRPr="004F23C8" w:rsidRDefault="00255979" w:rsidP="004873B0">
      <w:pPr>
        <w:widowControl w:val="0"/>
        <w:suppressAutoHyphens/>
        <w:rPr>
          <w:rFonts w:eastAsia="Liberation Sans"/>
          <w:color w:val="00000A"/>
          <w:kern w:val="1"/>
          <w:sz w:val="22"/>
          <w:szCs w:val="22"/>
          <w:lang w:eastAsia="lo-LA" w:bidi="lo-LA"/>
        </w:rPr>
      </w:pPr>
      <w:r w:rsidRPr="004F23C8">
        <w:rPr>
          <w:rFonts w:eastAsia="Liberation Sans"/>
          <w:color w:val="00000A"/>
          <w:kern w:val="1"/>
          <w:sz w:val="22"/>
          <w:szCs w:val="22"/>
          <w:lang w:eastAsia="lo-LA" w:bidi="lo-LA"/>
        </w:rPr>
        <w:t xml:space="preserve">Ant </w:t>
      </w:r>
      <w:r>
        <w:rPr>
          <w:rFonts w:eastAsia="Liberation Sans"/>
          <w:color w:val="00000A"/>
          <w:kern w:val="1"/>
          <w:sz w:val="22"/>
          <w:szCs w:val="22"/>
          <w:lang w:eastAsia="lo-LA" w:bidi="lo-LA"/>
        </w:rPr>
        <w:t>flakono</w:t>
      </w:r>
      <w:r w:rsidRPr="004F23C8">
        <w:rPr>
          <w:rFonts w:eastAsia="Liberation Sans"/>
          <w:color w:val="00000A"/>
          <w:kern w:val="1"/>
          <w:sz w:val="22"/>
          <w:szCs w:val="22"/>
          <w:lang w:eastAsia="lo-LA" w:bidi="lo-LA"/>
        </w:rPr>
        <w:t xml:space="preserve"> ir dėžutės po </w:t>
      </w:r>
      <w:r>
        <w:rPr>
          <w:rFonts w:eastAsia="Liberation Sans"/>
          <w:color w:val="00000A"/>
          <w:kern w:val="1"/>
          <w:sz w:val="22"/>
          <w:szCs w:val="22"/>
          <w:lang w:eastAsia="lo-LA" w:bidi="lo-LA"/>
        </w:rPr>
        <w:t>„Tinka iki“</w:t>
      </w:r>
      <w:r w:rsidRPr="004F23C8">
        <w:rPr>
          <w:rFonts w:eastAsia="Liberation Sans"/>
          <w:color w:val="00000A"/>
          <w:kern w:val="1"/>
          <w:sz w:val="22"/>
          <w:szCs w:val="22"/>
          <w:lang w:eastAsia="lo-LA" w:bidi="lo-LA"/>
        </w:rPr>
        <w:t xml:space="preserve"> nurodytam tinkamumo laikui pasibaigus šio vaisto vartoti negalima. Vaistas tinkamas vartoti iki paskutinės nurodyto mėnesio dienos. </w:t>
      </w:r>
    </w:p>
    <w:p w:rsidR="00255979" w:rsidRPr="004F23C8" w:rsidRDefault="00255979" w:rsidP="004873B0">
      <w:pPr>
        <w:widowControl w:val="0"/>
        <w:suppressAutoHyphens/>
        <w:rPr>
          <w:rFonts w:eastAsia="Liberation Sans"/>
          <w:color w:val="00000A"/>
          <w:kern w:val="1"/>
          <w:sz w:val="22"/>
          <w:szCs w:val="22"/>
          <w:lang w:eastAsia="lo-LA" w:bidi="lo-LA"/>
        </w:rPr>
      </w:pPr>
    </w:p>
    <w:p w:rsidR="00255979" w:rsidRPr="004F23C8" w:rsidRDefault="00255979" w:rsidP="004F23C8">
      <w:pPr>
        <w:widowControl w:val="0"/>
        <w:suppressAutoHyphens/>
        <w:jc w:val="both"/>
        <w:rPr>
          <w:rFonts w:eastAsia="Liberation Sans" w:cs="Arial Unicode MS"/>
          <w:b/>
          <w:bCs/>
          <w:color w:val="00000A"/>
          <w:kern w:val="1"/>
          <w:sz w:val="22"/>
          <w:szCs w:val="22"/>
          <w:lang w:eastAsia="lo-LA" w:bidi="lo-LA"/>
        </w:rPr>
      </w:pPr>
      <w:r w:rsidRPr="004F23C8">
        <w:rPr>
          <w:rFonts w:eastAsia="Liberation Sans" w:cs="Arial Unicode MS"/>
          <w:b/>
          <w:bCs/>
          <w:color w:val="00000A"/>
          <w:kern w:val="1"/>
          <w:sz w:val="22"/>
          <w:szCs w:val="22"/>
          <w:lang w:eastAsia="lo-LA" w:bidi="lo-LA"/>
        </w:rPr>
        <w:lastRenderedPageBreak/>
        <w:t xml:space="preserve">Vaisto laikymas </w:t>
      </w:r>
    </w:p>
    <w:p w:rsidR="00255979" w:rsidRDefault="00255979" w:rsidP="004F23C8">
      <w:pPr>
        <w:widowControl w:val="0"/>
        <w:suppressAutoHyphens/>
        <w:rPr>
          <w:rFonts w:eastAsia="Liberation Sans"/>
          <w:color w:val="00000A"/>
          <w:kern w:val="1"/>
          <w:sz w:val="22"/>
          <w:szCs w:val="22"/>
          <w:lang w:eastAsia="lo-LA" w:bidi="lo-LA"/>
        </w:rPr>
      </w:pPr>
      <w:r w:rsidRPr="004F23C8">
        <w:rPr>
          <w:rFonts w:eastAsia="Liberation Sans"/>
          <w:color w:val="00000A"/>
          <w:kern w:val="1"/>
          <w:sz w:val="22"/>
          <w:szCs w:val="22"/>
          <w:lang w:eastAsia="lo-LA" w:bidi="lo-LA"/>
        </w:rPr>
        <w:t xml:space="preserve">Šiam vaistiniam preparatui specialių laikymo sąlygų nereikia. </w:t>
      </w:r>
    </w:p>
    <w:p w:rsidR="00255979" w:rsidRPr="004F23C8" w:rsidRDefault="00255979" w:rsidP="004F23C8">
      <w:pPr>
        <w:widowControl w:val="0"/>
        <w:suppressAutoHyphens/>
        <w:rPr>
          <w:rFonts w:eastAsia="Liberation Sans"/>
          <w:color w:val="00000A"/>
          <w:kern w:val="1"/>
          <w:sz w:val="22"/>
          <w:szCs w:val="22"/>
          <w:lang w:eastAsia="lo-LA" w:bidi="lo-LA"/>
        </w:rPr>
      </w:pPr>
      <w:r>
        <w:rPr>
          <w:rFonts w:eastAsia="Liberation Sans"/>
          <w:color w:val="00000A"/>
          <w:kern w:val="1"/>
          <w:sz w:val="22"/>
          <w:szCs w:val="22"/>
          <w:lang w:eastAsia="lo-LA" w:bidi="lo-LA"/>
        </w:rPr>
        <w:t>Pra</w:t>
      </w:r>
      <w:r w:rsidRPr="004F23C8">
        <w:rPr>
          <w:rFonts w:eastAsia="Liberation Sans"/>
          <w:color w:val="00000A"/>
          <w:kern w:val="1"/>
          <w:sz w:val="22"/>
          <w:szCs w:val="22"/>
          <w:lang w:eastAsia="lo-LA" w:bidi="lo-LA"/>
        </w:rPr>
        <w:t xml:space="preserve">skiestų tirpalų laikymo sąlygos yra pateiktos informacijoje, skirtoje medicinos ir sveikatos priežiūros specialistams. </w:t>
      </w:r>
    </w:p>
    <w:p w:rsidR="00255979" w:rsidRPr="004F23C8" w:rsidRDefault="00255979" w:rsidP="004F23C8">
      <w:pPr>
        <w:widowControl w:val="0"/>
        <w:suppressAutoHyphens/>
        <w:rPr>
          <w:rFonts w:eastAsia="Liberation Sans" w:cs="Arial Unicode MS"/>
          <w:color w:val="00000A"/>
          <w:kern w:val="1"/>
          <w:sz w:val="23"/>
          <w:szCs w:val="23"/>
          <w:lang w:eastAsia="lo-LA" w:bidi="lo-LA"/>
        </w:rPr>
      </w:pPr>
    </w:p>
    <w:p w:rsidR="00255979" w:rsidRPr="00DF4173" w:rsidRDefault="00255979" w:rsidP="00633D05">
      <w:pPr>
        <w:pStyle w:val="BTEMEASMCA"/>
        <w:rPr>
          <w:noProof w:val="0"/>
        </w:rPr>
      </w:pPr>
    </w:p>
    <w:p w:rsidR="00255979" w:rsidRPr="00DF4173" w:rsidRDefault="00255979" w:rsidP="00633D05">
      <w:pPr>
        <w:pStyle w:val="PI-1EMEASMCA"/>
      </w:pPr>
      <w:bookmarkStart w:id="82" w:name="_Toc129243144"/>
      <w:bookmarkStart w:id="83" w:name="_Toc129243269"/>
      <w:r w:rsidRPr="00DF4173">
        <w:t>6.</w:t>
      </w:r>
      <w:r w:rsidRPr="00DF4173">
        <w:tab/>
      </w:r>
      <w:r>
        <w:t xml:space="preserve">Pakuotės turinys ir </w:t>
      </w:r>
      <w:r w:rsidRPr="00DF4173">
        <w:t>kita informacija</w:t>
      </w:r>
      <w:bookmarkEnd w:id="82"/>
      <w:bookmarkEnd w:id="83"/>
    </w:p>
    <w:p w:rsidR="00255979" w:rsidRPr="00DF4173" w:rsidRDefault="00255979" w:rsidP="00633D05">
      <w:pPr>
        <w:pStyle w:val="BTEMEASMCA"/>
        <w:rPr>
          <w:noProof w:val="0"/>
        </w:rPr>
      </w:pPr>
    </w:p>
    <w:p w:rsidR="00255979" w:rsidRDefault="00255979" w:rsidP="004F23C8">
      <w:pPr>
        <w:pStyle w:val="CM2"/>
        <w:spacing w:line="240" w:lineRule="auto"/>
        <w:rPr>
          <w:b/>
          <w:bCs/>
          <w:sz w:val="22"/>
          <w:szCs w:val="22"/>
          <w:lang w:val="lt-LT"/>
        </w:rPr>
      </w:pPr>
      <w:proofErr w:type="spellStart"/>
      <w:r>
        <w:rPr>
          <w:b/>
          <w:bCs/>
          <w:sz w:val="22"/>
          <w:szCs w:val="22"/>
          <w:lang w:val="lt-LT"/>
        </w:rPr>
        <w:t>Oxaliplatin</w:t>
      </w:r>
      <w:proofErr w:type="spellEnd"/>
      <w:r>
        <w:rPr>
          <w:b/>
          <w:bCs/>
          <w:sz w:val="22"/>
          <w:szCs w:val="22"/>
          <w:lang w:val="lt-LT"/>
        </w:rPr>
        <w:t xml:space="preserve"> </w:t>
      </w:r>
      <w:r w:rsidR="00501874" w:rsidRPr="00501874">
        <w:rPr>
          <w:b/>
          <w:sz w:val="22"/>
          <w:szCs w:val="22"/>
        </w:rPr>
        <w:t>Mylan</w:t>
      </w:r>
      <w:r>
        <w:rPr>
          <w:b/>
          <w:bCs/>
          <w:sz w:val="22"/>
          <w:szCs w:val="22"/>
          <w:lang w:val="lt-LT"/>
        </w:rPr>
        <w:t xml:space="preserve"> sudėtis </w:t>
      </w:r>
    </w:p>
    <w:p w:rsidR="00255979" w:rsidRDefault="00255979" w:rsidP="004F23C8">
      <w:pPr>
        <w:pStyle w:val="CM16"/>
        <w:spacing w:line="240" w:lineRule="auto"/>
        <w:ind w:right="3572"/>
        <w:rPr>
          <w:rFonts w:cs="Times New Roman"/>
          <w:sz w:val="22"/>
          <w:szCs w:val="22"/>
          <w:lang w:val="lt-LT"/>
        </w:rPr>
      </w:pPr>
      <w:proofErr w:type="spellStart"/>
      <w:r>
        <w:rPr>
          <w:rFonts w:cs="Times New Roman"/>
          <w:sz w:val="22"/>
          <w:szCs w:val="22"/>
          <w:lang w:val="lt-LT"/>
        </w:rPr>
        <w:t>Oxaliplatin</w:t>
      </w:r>
      <w:proofErr w:type="spellEnd"/>
      <w:r>
        <w:rPr>
          <w:rFonts w:cs="Times New Roman"/>
          <w:sz w:val="22"/>
          <w:szCs w:val="22"/>
          <w:lang w:val="lt-LT"/>
        </w:rPr>
        <w:t xml:space="preserve"> </w:t>
      </w:r>
      <w:r w:rsidR="00501874" w:rsidRPr="00501874">
        <w:rPr>
          <w:sz w:val="22"/>
          <w:szCs w:val="22"/>
        </w:rPr>
        <w:t>Mylan</w:t>
      </w:r>
      <w:r>
        <w:rPr>
          <w:rFonts w:cs="Times New Roman"/>
          <w:sz w:val="22"/>
          <w:szCs w:val="22"/>
          <w:lang w:val="lt-LT"/>
        </w:rPr>
        <w:t xml:space="preserve"> veiklioji medžiaga yra </w:t>
      </w:r>
      <w:proofErr w:type="spellStart"/>
      <w:r>
        <w:rPr>
          <w:rFonts w:cs="Times New Roman"/>
          <w:sz w:val="22"/>
          <w:szCs w:val="22"/>
          <w:lang w:val="lt-LT"/>
        </w:rPr>
        <w:t>oksaliplatina</w:t>
      </w:r>
      <w:proofErr w:type="spellEnd"/>
      <w:r>
        <w:rPr>
          <w:rFonts w:cs="Times New Roman"/>
          <w:sz w:val="22"/>
          <w:szCs w:val="22"/>
          <w:lang w:val="lt-LT"/>
        </w:rPr>
        <w:t xml:space="preserve">.  </w:t>
      </w:r>
    </w:p>
    <w:p w:rsidR="00255979" w:rsidRDefault="00255979" w:rsidP="004F23C8">
      <w:pPr>
        <w:pStyle w:val="CM16"/>
        <w:spacing w:line="240" w:lineRule="auto"/>
        <w:ind w:right="3572"/>
        <w:rPr>
          <w:rFonts w:cs="Times New Roman"/>
          <w:sz w:val="22"/>
          <w:szCs w:val="22"/>
          <w:lang w:val="lt-LT"/>
        </w:rPr>
      </w:pPr>
      <w:r>
        <w:rPr>
          <w:rFonts w:cs="Times New Roman"/>
          <w:sz w:val="22"/>
          <w:szCs w:val="22"/>
          <w:lang w:val="lt-LT"/>
        </w:rPr>
        <w:t xml:space="preserve">Pagalbinė medžiaga yra laktozė monohidratas. </w:t>
      </w:r>
    </w:p>
    <w:p w:rsidR="00255979" w:rsidRDefault="00255979" w:rsidP="004F23C8">
      <w:pPr>
        <w:rPr>
          <w:color w:val="00000A"/>
          <w:sz w:val="23"/>
          <w:szCs w:val="23"/>
        </w:rPr>
      </w:pPr>
    </w:p>
    <w:p w:rsidR="00255979" w:rsidRDefault="00255979" w:rsidP="004F23C8">
      <w:pPr>
        <w:pStyle w:val="CM2"/>
        <w:spacing w:line="240" w:lineRule="auto"/>
        <w:rPr>
          <w:b/>
          <w:bCs/>
          <w:sz w:val="22"/>
          <w:szCs w:val="22"/>
          <w:lang w:val="lt-LT"/>
        </w:rPr>
      </w:pPr>
      <w:proofErr w:type="spellStart"/>
      <w:r>
        <w:rPr>
          <w:b/>
          <w:bCs/>
          <w:sz w:val="22"/>
          <w:szCs w:val="22"/>
          <w:lang w:val="lt-LT"/>
        </w:rPr>
        <w:t>Oxaliplatin</w:t>
      </w:r>
      <w:proofErr w:type="spellEnd"/>
      <w:r>
        <w:rPr>
          <w:b/>
          <w:bCs/>
          <w:sz w:val="22"/>
          <w:szCs w:val="22"/>
          <w:lang w:val="lt-LT"/>
        </w:rPr>
        <w:t xml:space="preserve"> </w:t>
      </w:r>
      <w:r w:rsidR="00501874" w:rsidRPr="00501874">
        <w:rPr>
          <w:b/>
          <w:sz w:val="22"/>
          <w:szCs w:val="22"/>
        </w:rPr>
        <w:t>Mylan</w:t>
      </w:r>
      <w:r w:rsidR="00501874">
        <w:rPr>
          <w:b/>
          <w:bCs/>
          <w:sz w:val="22"/>
          <w:szCs w:val="22"/>
          <w:lang w:val="lt-LT"/>
        </w:rPr>
        <w:t xml:space="preserve"> </w:t>
      </w:r>
      <w:r>
        <w:rPr>
          <w:b/>
          <w:bCs/>
          <w:sz w:val="22"/>
          <w:szCs w:val="22"/>
          <w:lang w:val="lt-LT"/>
        </w:rPr>
        <w:t xml:space="preserve">išvaizda ir kiekis pakuotėje </w:t>
      </w:r>
    </w:p>
    <w:p w:rsidR="00255979" w:rsidRDefault="00255979" w:rsidP="004F23C8">
      <w:pPr>
        <w:pStyle w:val="CM16"/>
        <w:spacing w:line="240" w:lineRule="auto"/>
        <w:rPr>
          <w:rFonts w:cs="Times New Roman"/>
          <w:sz w:val="22"/>
          <w:szCs w:val="22"/>
          <w:lang w:val="lt-LT"/>
        </w:rPr>
      </w:pPr>
      <w:r>
        <w:rPr>
          <w:rFonts w:cs="Times New Roman"/>
          <w:sz w:val="22"/>
          <w:szCs w:val="22"/>
          <w:lang w:val="lt-LT"/>
        </w:rPr>
        <w:t xml:space="preserve">Kiekviename flakone yra baltų, liofilizuotų miltelių arba jų gumulėlis, skirtų infuziniam tirpalui, kurių sudėtyje yra 50 mg arba 100 mg oksaliplatinos ir laktozės monohidrato. </w:t>
      </w:r>
    </w:p>
    <w:p w:rsidR="00255979" w:rsidRDefault="00255979" w:rsidP="004F23C8">
      <w:pPr>
        <w:pStyle w:val="CM16"/>
        <w:spacing w:line="240" w:lineRule="auto"/>
        <w:rPr>
          <w:rFonts w:cs="Times New Roman"/>
          <w:sz w:val="22"/>
          <w:szCs w:val="22"/>
          <w:lang w:val="lt-LT"/>
        </w:rPr>
      </w:pPr>
      <w:r>
        <w:rPr>
          <w:rFonts w:cs="Times New Roman"/>
          <w:sz w:val="22"/>
          <w:szCs w:val="22"/>
          <w:lang w:val="lt-LT"/>
        </w:rPr>
        <w:t xml:space="preserve">Flakonai tiekiami dėžutėse, kiekvienoje dėžutėje yra vienas flakonas. </w:t>
      </w:r>
    </w:p>
    <w:p w:rsidR="00255979" w:rsidRDefault="00255979" w:rsidP="004F23C8">
      <w:pPr>
        <w:pStyle w:val="CM16"/>
        <w:spacing w:line="240" w:lineRule="auto"/>
        <w:rPr>
          <w:rFonts w:cs="Times New Roman"/>
          <w:sz w:val="22"/>
          <w:szCs w:val="22"/>
          <w:lang w:val="lt-LT"/>
        </w:rPr>
      </w:pPr>
      <w:r>
        <w:rPr>
          <w:rFonts w:cs="Times New Roman"/>
          <w:sz w:val="22"/>
          <w:szCs w:val="22"/>
          <w:lang w:val="lt-LT"/>
        </w:rPr>
        <w:t xml:space="preserve">Prieš kiekvieną injekciją į veną </w:t>
      </w:r>
      <w:proofErr w:type="spellStart"/>
      <w:r>
        <w:rPr>
          <w:rFonts w:cs="Times New Roman"/>
          <w:sz w:val="22"/>
          <w:szCs w:val="22"/>
          <w:lang w:val="lt-LT"/>
        </w:rPr>
        <w:t>Oxaliplatin</w:t>
      </w:r>
      <w:proofErr w:type="spellEnd"/>
      <w:r>
        <w:rPr>
          <w:rFonts w:cs="Times New Roman"/>
          <w:sz w:val="22"/>
          <w:szCs w:val="22"/>
          <w:lang w:val="lt-LT"/>
        </w:rPr>
        <w:t xml:space="preserve"> </w:t>
      </w:r>
      <w:r w:rsidR="00501874" w:rsidRPr="00501874">
        <w:rPr>
          <w:sz w:val="22"/>
          <w:szCs w:val="22"/>
          <w:lang w:val="lt-LT"/>
        </w:rPr>
        <w:t>Mylan</w:t>
      </w:r>
      <w:r>
        <w:rPr>
          <w:rFonts w:cs="Times New Roman"/>
          <w:sz w:val="22"/>
          <w:szCs w:val="22"/>
          <w:lang w:val="lt-LT"/>
        </w:rPr>
        <w:t xml:space="preserve"> reikia ištirpinti ir praskiesti. Paruoštas ir praskiestas tirpalas yra skaidrus, bespalvis, be kietųjų dalelių. </w:t>
      </w:r>
    </w:p>
    <w:p w:rsidR="00255979" w:rsidRDefault="00255979" w:rsidP="004F23C8">
      <w:pPr>
        <w:pStyle w:val="CM16"/>
        <w:spacing w:line="240" w:lineRule="auto"/>
        <w:ind w:right="852"/>
        <w:rPr>
          <w:rFonts w:cs="Times New Roman"/>
          <w:sz w:val="22"/>
          <w:szCs w:val="22"/>
          <w:lang w:val="lt-LT"/>
        </w:rPr>
      </w:pPr>
    </w:p>
    <w:p w:rsidR="00255979" w:rsidRDefault="00255979" w:rsidP="004F23C8">
      <w:pPr>
        <w:pStyle w:val="CM16"/>
        <w:spacing w:line="240" w:lineRule="auto"/>
        <w:ind w:right="852"/>
        <w:rPr>
          <w:rFonts w:cs="Times New Roman"/>
          <w:sz w:val="22"/>
          <w:szCs w:val="22"/>
          <w:lang w:val="lt-LT"/>
        </w:rPr>
      </w:pPr>
      <w:r>
        <w:rPr>
          <w:rFonts w:cs="Times New Roman"/>
          <w:sz w:val="22"/>
          <w:szCs w:val="22"/>
          <w:lang w:val="lt-LT"/>
        </w:rPr>
        <w:t xml:space="preserve">Šiame pakuotės lapelyje pateikta ne visa informacija apie Jūsų vaistą. Jeigu turite klausimų arba nesate dėl ko nors tikri, klauskite savo gydytojo arba vaistininko.  </w:t>
      </w:r>
    </w:p>
    <w:p w:rsidR="00255979" w:rsidRDefault="00255979" w:rsidP="004F23C8">
      <w:pPr>
        <w:rPr>
          <w:color w:val="00000A"/>
          <w:sz w:val="23"/>
          <w:szCs w:val="23"/>
        </w:rPr>
      </w:pPr>
    </w:p>
    <w:p w:rsidR="00255979" w:rsidRDefault="00255979" w:rsidP="004F23C8">
      <w:pPr>
        <w:pStyle w:val="CM16"/>
        <w:spacing w:line="240" w:lineRule="auto"/>
        <w:rPr>
          <w:b/>
          <w:bCs/>
          <w:sz w:val="22"/>
          <w:szCs w:val="22"/>
          <w:lang w:val="lt-LT"/>
        </w:rPr>
      </w:pPr>
      <w:r>
        <w:rPr>
          <w:b/>
          <w:bCs/>
          <w:sz w:val="22"/>
          <w:szCs w:val="22"/>
          <w:lang w:val="lt-LT"/>
        </w:rPr>
        <w:t xml:space="preserve">Rinkodaros teisės turėtojas ir gamintojas </w:t>
      </w:r>
    </w:p>
    <w:p w:rsidR="00255979" w:rsidRDefault="00255979" w:rsidP="004F23C8">
      <w:pPr>
        <w:pStyle w:val="CM2"/>
        <w:spacing w:line="240" w:lineRule="auto"/>
        <w:rPr>
          <w:rFonts w:cs="Times New Roman"/>
          <w:i/>
          <w:iCs/>
          <w:sz w:val="22"/>
          <w:szCs w:val="22"/>
          <w:lang w:val="lt-LT"/>
        </w:rPr>
      </w:pPr>
    </w:p>
    <w:p w:rsidR="00255979" w:rsidRDefault="00255979" w:rsidP="004F23C8">
      <w:pPr>
        <w:pStyle w:val="CM2"/>
        <w:spacing w:line="240" w:lineRule="auto"/>
        <w:rPr>
          <w:rFonts w:cs="Times New Roman"/>
          <w:i/>
          <w:iCs/>
          <w:sz w:val="22"/>
          <w:szCs w:val="22"/>
          <w:lang w:val="lt-LT"/>
        </w:rPr>
      </w:pPr>
      <w:r>
        <w:rPr>
          <w:rFonts w:cs="Times New Roman"/>
          <w:i/>
          <w:iCs/>
          <w:sz w:val="22"/>
          <w:szCs w:val="22"/>
          <w:lang w:val="lt-LT"/>
        </w:rPr>
        <w:t xml:space="preserve">Rinkodaros teisės turėtojas </w:t>
      </w:r>
    </w:p>
    <w:p w:rsidR="00F13CF6" w:rsidRPr="00F13CF6" w:rsidRDefault="00F13CF6" w:rsidP="00F13CF6">
      <w:pPr>
        <w:rPr>
          <w:sz w:val="22"/>
          <w:szCs w:val="22"/>
        </w:rPr>
      </w:pPr>
      <w:r w:rsidRPr="00F13CF6">
        <w:rPr>
          <w:sz w:val="22"/>
          <w:szCs w:val="22"/>
        </w:rPr>
        <w:t>MYLAN S.A.S.</w:t>
      </w:r>
    </w:p>
    <w:p w:rsidR="00F13CF6" w:rsidRDefault="00F13CF6" w:rsidP="00F13CF6">
      <w:pPr>
        <w:rPr>
          <w:sz w:val="22"/>
          <w:szCs w:val="22"/>
        </w:rPr>
      </w:pPr>
      <w:r w:rsidRPr="00F13CF6">
        <w:rPr>
          <w:sz w:val="22"/>
          <w:szCs w:val="22"/>
        </w:rPr>
        <w:t xml:space="preserve">117 </w:t>
      </w:r>
      <w:proofErr w:type="spellStart"/>
      <w:r w:rsidRPr="00F13CF6">
        <w:rPr>
          <w:sz w:val="22"/>
          <w:szCs w:val="22"/>
        </w:rPr>
        <w:t>Allée</w:t>
      </w:r>
      <w:proofErr w:type="spellEnd"/>
      <w:r w:rsidRPr="00F13CF6">
        <w:rPr>
          <w:sz w:val="22"/>
          <w:szCs w:val="22"/>
        </w:rPr>
        <w:t xml:space="preserve"> </w:t>
      </w:r>
      <w:proofErr w:type="spellStart"/>
      <w:r w:rsidRPr="00F13CF6">
        <w:rPr>
          <w:sz w:val="22"/>
          <w:szCs w:val="22"/>
        </w:rPr>
        <w:t>des</w:t>
      </w:r>
      <w:proofErr w:type="spellEnd"/>
      <w:r w:rsidRPr="00F13CF6">
        <w:rPr>
          <w:sz w:val="22"/>
          <w:szCs w:val="22"/>
        </w:rPr>
        <w:t xml:space="preserve"> </w:t>
      </w:r>
      <w:proofErr w:type="spellStart"/>
      <w:r w:rsidRPr="00F13CF6">
        <w:rPr>
          <w:sz w:val="22"/>
          <w:szCs w:val="22"/>
        </w:rPr>
        <w:t>Parcs</w:t>
      </w:r>
      <w:proofErr w:type="spellEnd"/>
      <w:r w:rsidRPr="00F13CF6">
        <w:rPr>
          <w:sz w:val="22"/>
          <w:szCs w:val="22"/>
        </w:rPr>
        <w:t xml:space="preserve"> </w:t>
      </w:r>
    </w:p>
    <w:p w:rsidR="00F13CF6" w:rsidRDefault="00F13CF6" w:rsidP="00F13CF6">
      <w:pPr>
        <w:rPr>
          <w:sz w:val="22"/>
          <w:szCs w:val="22"/>
        </w:rPr>
      </w:pPr>
      <w:r w:rsidRPr="00F13CF6">
        <w:rPr>
          <w:sz w:val="22"/>
          <w:szCs w:val="22"/>
        </w:rPr>
        <w:t xml:space="preserve">69800 SAINT-PRIEST </w:t>
      </w:r>
    </w:p>
    <w:p w:rsidR="00255979" w:rsidRDefault="00F13CF6" w:rsidP="00F13CF6">
      <w:pPr>
        <w:pStyle w:val="CM16"/>
        <w:spacing w:line="240" w:lineRule="auto"/>
        <w:ind w:right="5650"/>
        <w:rPr>
          <w:rFonts w:cs="Times New Roman"/>
          <w:sz w:val="22"/>
          <w:szCs w:val="22"/>
          <w:lang w:val="lt-LT"/>
        </w:rPr>
      </w:pPr>
      <w:proofErr w:type="spellStart"/>
      <w:r w:rsidRPr="00F13CF6">
        <w:rPr>
          <w:sz w:val="22"/>
          <w:szCs w:val="22"/>
        </w:rPr>
        <w:t>Prancūzija</w:t>
      </w:r>
      <w:proofErr w:type="spellEnd"/>
    </w:p>
    <w:p w:rsidR="00255979" w:rsidRDefault="00255979" w:rsidP="004F23C8">
      <w:pPr>
        <w:pStyle w:val="CM2"/>
        <w:spacing w:line="240" w:lineRule="auto"/>
        <w:rPr>
          <w:rFonts w:cs="Times New Roman"/>
          <w:i/>
          <w:iCs/>
          <w:sz w:val="22"/>
          <w:szCs w:val="22"/>
          <w:lang w:val="lt-LT"/>
        </w:rPr>
      </w:pPr>
    </w:p>
    <w:p w:rsidR="00255979" w:rsidRDefault="00255979" w:rsidP="004F23C8">
      <w:pPr>
        <w:pStyle w:val="CM2"/>
        <w:spacing w:line="240" w:lineRule="auto"/>
        <w:rPr>
          <w:rFonts w:cs="Times New Roman"/>
          <w:i/>
          <w:iCs/>
          <w:sz w:val="22"/>
          <w:szCs w:val="22"/>
          <w:lang w:val="lt-LT"/>
        </w:rPr>
      </w:pPr>
      <w:r>
        <w:rPr>
          <w:rFonts w:cs="Times New Roman"/>
          <w:i/>
          <w:iCs/>
          <w:sz w:val="22"/>
          <w:szCs w:val="22"/>
          <w:lang w:val="lt-LT"/>
        </w:rPr>
        <w:t xml:space="preserve">Gamintojas </w:t>
      </w:r>
    </w:p>
    <w:p w:rsidR="0025215C" w:rsidRPr="00BD35C3" w:rsidRDefault="0025215C" w:rsidP="0025215C">
      <w:pPr>
        <w:tabs>
          <w:tab w:val="left" w:pos="0"/>
        </w:tabs>
        <w:jc w:val="both"/>
        <w:rPr>
          <w:sz w:val="22"/>
          <w:szCs w:val="22"/>
        </w:rPr>
      </w:pPr>
      <w:r w:rsidRPr="00BD35C3">
        <w:rPr>
          <w:sz w:val="22"/>
          <w:szCs w:val="22"/>
        </w:rPr>
        <w:t>Agila Specialties Polska Sp. z o.o.</w:t>
      </w:r>
    </w:p>
    <w:p w:rsidR="00255979" w:rsidRDefault="00255979" w:rsidP="004F23C8">
      <w:pPr>
        <w:pStyle w:val="CM16"/>
        <w:spacing w:line="240" w:lineRule="auto"/>
        <w:rPr>
          <w:rFonts w:cs="Times New Roman"/>
          <w:sz w:val="22"/>
          <w:szCs w:val="22"/>
          <w:lang w:val="lt-LT"/>
        </w:rPr>
      </w:pPr>
      <w:r>
        <w:rPr>
          <w:rFonts w:cs="Times New Roman"/>
          <w:sz w:val="22"/>
          <w:szCs w:val="22"/>
          <w:lang w:val="lt-LT"/>
        </w:rPr>
        <w:t xml:space="preserve">10, Daniszewska Str </w:t>
      </w:r>
    </w:p>
    <w:p w:rsidR="00255979" w:rsidRDefault="00255979" w:rsidP="004F23C8">
      <w:pPr>
        <w:pStyle w:val="CM16"/>
        <w:spacing w:line="240" w:lineRule="auto"/>
        <w:rPr>
          <w:rFonts w:cs="Times New Roman"/>
          <w:sz w:val="22"/>
          <w:szCs w:val="22"/>
          <w:lang w:val="lt-LT"/>
        </w:rPr>
      </w:pPr>
      <w:r>
        <w:rPr>
          <w:rFonts w:cs="Times New Roman"/>
          <w:sz w:val="22"/>
          <w:szCs w:val="22"/>
          <w:lang w:val="lt-LT"/>
        </w:rPr>
        <w:t xml:space="preserve">03-230 Warsaw </w:t>
      </w:r>
    </w:p>
    <w:p w:rsidR="00255979" w:rsidRDefault="00255979" w:rsidP="004F23C8">
      <w:pPr>
        <w:pStyle w:val="CM16"/>
        <w:spacing w:line="240" w:lineRule="auto"/>
        <w:rPr>
          <w:rFonts w:cs="Times New Roman"/>
          <w:sz w:val="22"/>
          <w:szCs w:val="22"/>
          <w:lang w:val="lt-LT"/>
        </w:rPr>
      </w:pPr>
      <w:r>
        <w:rPr>
          <w:rFonts w:cs="Times New Roman"/>
          <w:sz w:val="22"/>
          <w:szCs w:val="22"/>
          <w:lang w:val="lt-LT"/>
        </w:rPr>
        <w:t xml:space="preserve">Lenkija </w:t>
      </w:r>
    </w:p>
    <w:p w:rsidR="00255979" w:rsidRDefault="00255979" w:rsidP="004F23C8">
      <w:pPr>
        <w:rPr>
          <w:color w:val="00000A"/>
          <w:sz w:val="23"/>
          <w:szCs w:val="23"/>
        </w:rPr>
      </w:pPr>
    </w:p>
    <w:p w:rsidR="00255979" w:rsidRPr="00414614" w:rsidRDefault="00255979" w:rsidP="004F23C8">
      <w:pPr>
        <w:pStyle w:val="CM2"/>
        <w:spacing w:line="240" w:lineRule="auto"/>
        <w:rPr>
          <w:rFonts w:cs="Times New Roman"/>
          <w:b/>
          <w:bCs/>
          <w:sz w:val="22"/>
          <w:szCs w:val="22"/>
          <w:lang w:val="lt-LT"/>
        </w:rPr>
      </w:pPr>
      <w:r w:rsidRPr="00414614">
        <w:rPr>
          <w:rFonts w:cs="Times New Roman"/>
          <w:b/>
          <w:bCs/>
          <w:sz w:val="22"/>
          <w:szCs w:val="22"/>
          <w:lang w:val="lt-LT"/>
        </w:rPr>
        <w:t xml:space="preserve">Šis pakuotės lapelis paskutinį kartą </w:t>
      </w:r>
      <w:r w:rsidRPr="00414614">
        <w:rPr>
          <w:b/>
          <w:noProof/>
          <w:sz w:val="22"/>
          <w:szCs w:val="22"/>
          <w:lang w:val="lt-LT"/>
        </w:rPr>
        <w:t>peržiūrėtas</w:t>
      </w:r>
      <w:r w:rsidRPr="00414614">
        <w:rPr>
          <w:rFonts w:cs="Times New Roman"/>
          <w:b/>
          <w:bCs/>
          <w:sz w:val="22"/>
          <w:szCs w:val="22"/>
          <w:lang w:val="lt-LT"/>
        </w:rPr>
        <w:t xml:space="preserve"> </w:t>
      </w:r>
      <w:r w:rsidR="00F13CF6">
        <w:rPr>
          <w:rFonts w:cs="Times New Roman"/>
          <w:b/>
          <w:bCs/>
          <w:sz w:val="22"/>
          <w:szCs w:val="22"/>
          <w:lang w:val="lt-LT"/>
        </w:rPr>
        <w:t>2015-07-23</w:t>
      </w:r>
    </w:p>
    <w:p w:rsidR="00255979" w:rsidRDefault="00255979" w:rsidP="004F23C8">
      <w:pPr>
        <w:pStyle w:val="CM2"/>
        <w:spacing w:line="240" w:lineRule="auto"/>
        <w:rPr>
          <w:rFonts w:cs="Times New Roman"/>
          <w:b/>
          <w:bCs/>
          <w:sz w:val="22"/>
          <w:szCs w:val="22"/>
          <w:lang w:val="lt-LT"/>
        </w:rPr>
      </w:pPr>
    </w:p>
    <w:p w:rsidR="00255979" w:rsidRPr="00DF4173" w:rsidRDefault="00255979" w:rsidP="00414614">
      <w:pPr>
        <w:pStyle w:val="BTEMEASMCA"/>
      </w:pPr>
      <w:r>
        <w:rPr>
          <w:noProof w:val="0"/>
        </w:rPr>
        <w:t xml:space="preserve">Naujausia pakuotės lapelio redakcija </w:t>
      </w:r>
      <w:r w:rsidRPr="0084041E">
        <w:rPr>
          <w:noProof w:val="0"/>
        </w:rPr>
        <w:t xml:space="preserve">pateikiama </w:t>
      </w:r>
      <w:r>
        <w:rPr>
          <w:noProof w:val="0"/>
        </w:rPr>
        <w:t xml:space="preserve">Valstybinės vaistų kontrolės tarnybos prie Lietuvos Respublikos sveikatos apsaugos ministerijos interneto svetainėje </w:t>
      </w:r>
      <w:hyperlink r:id="rId9" w:history="1">
        <w:r w:rsidRPr="007B498C">
          <w:rPr>
            <w:rStyle w:val="Hipersaitas"/>
          </w:rPr>
          <w:t>http://www.vvkt.lt/</w:t>
        </w:r>
      </w:hyperlink>
    </w:p>
    <w:p w:rsidR="00255979" w:rsidRPr="004873B0" w:rsidRDefault="00255979" w:rsidP="003A6AEE">
      <w:pPr>
        <w:pStyle w:val="Default"/>
        <w:rPr>
          <w:sz w:val="22"/>
          <w:szCs w:val="22"/>
          <w:lang w:val="lt-LT"/>
        </w:rPr>
      </w:pPr>
    </w:p>
    <w:p w:rsidR="00255979" w:rsidRPr="004873B0" w:rsidRDefault="00255979" w:rsidP="003A6AEE">
      <w:pPr>
        <w:pStyle w:val="Default"/>
        <w:rPr>
          <w:sz w:val="22"/>
          <w:szCs w:val="22"/>
          <w:lang w:val="lt-LT"/>
        </w:rPr>
      </w:pPr>
      <w:r w:rsidRPr="004873B0">
        <w:rPr>
          <w:sz w:val="22"/>
          <w:szCs w:val="22"/>
          <w:lang w:val="lt-LT"/>
        </w:rPr>
        <w:t>------------------------------------------------------------------------------------------------</w:t>
      </w:r>
      <w:r>
        <w:rPr>
          <w:sz w:val="22"/>
          <w:szCs w:val="22"/>
          <w:lang w:val="lt-LT"/>
        </w:rPr>
        <w:t>-----</w:t>
      </w:r>
      <w:r w:rsidRPr="004873B0">
        <w:rPr>
          <w:sz w:val="22"/>
          <w:szCs w:val="22"/>
          <w:lang w:val="lt-LT"/>
        </w:rPr>
        <w:t>-------------</w:t>
      </w:r>
    </w:p>
    <w:p w:rsidR="00255979" w:rsidRPr="004873B0" w:rsidRDefault="00255979" w:rsidP="003A6AEE">
      <w:pPr>
        <w:pStyle w:val="Default"/>
        <w:rPr>
          <w:sz w:val="22"/>
          <w:szCs w:val="22"/>
          <w:lang w:val="lt-LT"/>
        </w:rPr>
      </w:pPr>
    </w:p>
    <w:p w:rsidR="00255979" w:rsidRDefault="00255979" w:rsidP="004F23C8">
      <w:pPr>
        <w:pStyle w:val="CM2"/>
        <w:spacing w:line="240" w:lineRule="auto"/>
        <w:rPr>
          <w:rFonts w:cs="Times New Roman"/>
          <w:sz w:val="22"/>
          <w:szCs w:val="22"/>
          <w:lang w:val="lt-LT"/>
        </w:rPr>
      </w:pPr>
      <w:r>
        <w:rPr>
          <w:rFonts w:cs="Times New Roman"/>
          <w:sz w:val="22"/>
          <w:szCs w:val="22"/>
          <w:lang w:val="lt-LT"/>
        </w:rPr>
        <w:t xml:space="preserve">Toliau pateikta informacija skirta tik sveikatos priežiūros specialistams: </w:t>
      </w:r>
    </w:p>
    <w:p w:rsidR="00255979" w:rsidRPr="003A6AEE" w:rsidRDefault="00255979" w:rsidP="003A6AEE">
      <w:pPr>
        <w:rPr>
          <w:color w:val="00000A"/>
          <w:sz w:val="22"/>
          <w:szCs w:val="22"/>
        </w:rPr>
      </w:pPr>
    </w:p>
    <w:p w:rsidR="00255979" w:rsidRPr="00A55922" w:rsidRDefault="00255979" w:rsidP="003A6AEE">
      <w:pPr>
        <w:pStyle w:val="CM15"/>
        <w:rPr>
          <w:b/>
          <w:bCs/>
          <w:sz w:val="22"/>
          <w:szCs w:val="22"/>
          <w:lang w:val="lt-LT"/>
        </w:rPr>
      </w:pPr>
      <w:r w:rsidRPr="00A55922">
        <w:rPr>
          <w:b/>
          <w:bCs/>
          <w:sz w:val="22"/>
          <w:szCs w:val="22"/>
          <w:lang w:val="lt-LT"/>
        </w:rPr>
        <w:t xml:space="preserve">SPECIALŪS REIKALAVIMAI ATLIEKOMS TVARKYTI IR VAISTINIAM PREPARATUI RUOŠTI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Kaip ir su kitais potencialiai toksiškais junginiais, ruošiant oksaliplatinos tirpalus ir dirbant su jais reikia būti atsargiems. </w:t>
      </w:r>
    </w:p>
    <w:p w:rsidR="00255979" w:rsidRPr="003A6AEE" w:rsidRDefault="00255979" w:rsidP="003A6AEE">
      <w:pPr>
        <w:rPr>
          <w:color w:val="00000A"/>
          <w:sz w:val="22"/>
          <w:szCs w:val="22"/>
        </w:rPr>
      </w:pPr>
    </w:p>
    <w:p w:rsidR="00255979" w:rsidRPr="00A55922" w:rsidRDefault="00255979" w:rsidP="003A6AEE">
      <w:pPr>
        <w:pStyle w:val="CM16"/>
        <w:spacing w:line="240" w:lineRule="auto"/>
        <w:rPr>
          <w:b/>
          <w:bCs/>
          <w:sz w:val="22"/>
          <w:szCs w:val="22"/>
          <w:lang w:val="lt-LT"/>
        </w:rPr>
      </w:pPr>
      <w:r w:rsidRPr="00A55922">
        <w:rPr>
          <w:b/>
          <w:bCs/>
          <w:sz w:val="22"/>
          <w:szCs w:val="22"/>
          <w:lang w:val="lt-LT"/>
        </w:rPr>
        <w:t xml:space="preserve">Vaistinio preparato ruošimo instrukcijos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Dirbdamas su šia citotoksine medžiaga sveikatos priežiūros personalas privalo elgtis visapusiškai atsargiai, kad užtikrintų savo paties ir aplinkinių saugumą.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Injekcinius tirpalus iš citotoksinių medžiagų turi gaminti kvalifikuotas specialistas, žinantis </w:t>
      </w:r>
      <w:r w:rsidRPr="00A55922">
        <w:rPr>
          <w:rFonts w:cs="Times New Roman"/>
          <w:sz w:val="22"/>
          <w:szCs w:val="22"/>
          <w:lang w:val="lt-LT"/>
        </w:rPr>
        <w:lastRenderedPageBreak/>
        <w:t xml:space="preserve">vartojamus vaistus ir tokiomis sąlygomis, kurios garantuoja vaistinio preparato vientisumą, aplinkos ir ypač su vaistais dirbančiojo personalo saugumą, vadovaudamasis ligoninės taisyklėmis. Preparatas turi būti ruošiamas tam skirtoje patalpoje. Šioje patalpoje draudžiama rūkyti, valgyti ar gerti.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Personalas turi turėti tinkamas darbo saugos priemones, ypač chalatus ilgomis rankovėmis, apsaugines kaukes, kepures, apsauginius akinius, sterilias vienkartines pirštines, apsauginius darbo zonos apdangalus, talpykles ir surinkimo maišus atliekoms.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Išskyros ir vėmalai turi būti tvarkomi atsargiai.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Nėščios moterys turi būti perspėtos, jog vengtų dirbti su citotoksinėmis medžiagomis.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Su bet kokia sudaužyta talpykle reikia elgtis taip pat atsargiai, kaip su užterštomis atliekomis. Užterštos atliekos turi būti sudeginamos tinkamai pažymėtose tvirtose talpyklėse. Žr. skyrių „Atliekų tvarkymas“.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Jei oksaliplatinos milteliai, paruoštas tirpalas ar infuzinis tirpalas pateko ant odos ar gleivinės, ją nedelsiant kruopščiai nuplaukite vandeniu.  </w:t>
      </w:r>
    </w:p>
    <w:p w:rsidR="00255979" w:rsidRPr="003A6AEE" w:rsidRDefault="00255979" w:rsidP="003A6AEE">
      <w:pPr>
        <w:rPr>
          <w:color w:val="00000A"/>
          <w:sz w:val="22"/>
          <w:szCs w:val="22"/>
        </w:rPr>
      </w:pPr>
    </w:p>
    <w:p w:rsidR="00255979" w:rsidRPr="00A55922" w:rsidRDefault="00255979" w:rsidP="003A6AEE">
      <w:pPr>
        <w:pStyle w:val="CM16"/>
        <w:spacing w:line="240" w:lineRule="auto"/>
        <w:rPr>
          <w:b/>
          <w:bCs/>
          <w:sz w:val="22"/>
          <w:szCs w:val="22"/>
          <w:lang w:val="lt-LT"/>
        </w:rPr>
      </w:pPr>
      <w:r w:rsidRPr="00A55922">
        <w:rPr>
          <w:b/>
          <w:bCs/>
          <w:sz w:val="22"/>
          <w:szCs w:val="22"/>
          <w:lang w:val="lt-LT"/>
        </w:rPr>
        <w:t>Specialios atsargumo priemonės vartojant preparatą</w:t>
      </w:r>
    </w:p>
    <w:p w:rsidR="00255979" w:rsidRPr="00A55922" w:rsidRDefault="00255979" w:rsidP="003A6AEE">
      <w:pPr>
        <w:pStyle w:val="CM16"/>
        <w:spacing w:line="240" w:lineRule="auto"/>
        <w:rPr>
          <w:b/>
          <w:bCs/>
          <w:sz w:val="22"/>
          <w:szCs w:val="22"/>
          <w:lang w:val="lt-LT"/>
        </w:rPr>
      </w:pPr>
    </w:p>
    <w:p w:rsidR="00255979" w:rsidRPr="00A55922" w:rsidRDefault="00255979" w:rsidP="003A6AEE">
      <w:pPr>
        <w:pStyle w:val="CM2"/>
        <w:spacing w:line="240" w:lineRule="auto"/>
        <w:rPr>
          <w:rFonts w:cs="Times New Roman"/>
          <w:sz w:val="22"/>
          <w:szCs w:val="22"/>
          <w:lang w:val="lt-LT"/>
        </w:rPr>
      </w:pPr>
      <w:r w:rsidRPr="00A55922">
        <w:rPr>
          <w:rFonts w:cs="Times New Roman"/>
          <w:sz w:val="22"/>
          <w:szCs w:val="22"/>
          <w:lang w:val="lt-LT"/>
        </w:rPr>
        <w:t xml:space="preserve">-NENAUDOKITE injekcinių priemonių, kurių sudėtyje yra aliuminio. </w:t>
      </w:r>
    </w:p>
    <w:p w:rsidR="00255979" w:rsidRPr="00A55922" w:rsidRDefault="00255979" w:rsidP="003A6AEE">
      <w:pPr>
        <w:pStyle w:val="CM2"/>
        <w:spacing w:line="240" w:lineRule="auto"/>
        <w:rPr>
          <w:rFonts w:cs="Times New Roman"/>
          <w:sz w:val="22"/>
          <w:szCs w:val="22"/>
          <w:lang w:val="lt-LT"/>
        </w:rPr>
      </w:pPr>
      <w:r w:rsidRPr="00A55922">
        <w:rPr>
          <w:rFonts w:cs="Times New Roman"/>
          <w:sz w:val="22"/>
          <w:szCs w:val="22"/>
          <w:lang w:val="lt-LT"/>
        </w:rPr>
        <w:t>-NESKIRKITE nepraskiesto tirpalo.</w:t>
      </w:r>
    </w:p>
    <w:p w:rsidR="00255979" w:rsidRPr="003A6AEE" w:rsidRDefault="00255979" w:rsidP="003A6AEE">
      <w:pPr>
        <w:pStyle w:val="CM2"/>
        <w:spacing w:line="240" w:lineRule="auto"/>
        <w:rPr>
          <w:sz w:val="22"/>
          <w:szCs w:val="22"/>
          <w:lang w:val="lt-LT"/>
        </w:rPr>
      </w:pPr>
      <w:r w:rsidRPr="00A55922">
        <w:rPr>
          <w:rFonts w:cs="Times New Roman"/>
          <w:sz w:val="22"/>
          <w:szCs w:val="22"/>
          <w:lang w:val="lt-LT"/>
        </w:rPr>
        <w:t xml:space="preserve">-Skieskite tik su 5 % (50 mg/ml) gliukozės infuziniu tirpalu. NETIRPINKITE </w:t>
      </w:r>
      <w:r w:rsidRPr="003A6AEE">
        <w:rPr>
          <w:sz w:val="22"/>
          <w:szCs w:val="22"/>
          <w:lang w:val="lt-LT"/>
        </w:rPr>
        <w:t xml:space="preserve">miltelių ir neskieskite koncentrato natrio chlorido ar kitų chloridų tirpalais.  </w:t>
      </w:r>
    </w:p>
    <w:p w:rsidR="00255979" w:rsidRPr="003A6AEE" w:rsidRDefault="00255979" w:rsidP="003A6AEE">
      <w:pPr>
        <w:pStyle w:val="CM2"/>
        <w:spacing w:line="240" w:lineRule="auto"/>
        <w:rPr>
          <w:sz w:val="22"/>
          <w:szCs w:val="22"/>
          <w:lang w:val="lt-LT"/>
        </w:rPr>
      </w:pPr>
      <w:r w:rsidRPr="003A6AEE">
        <w:rPr>
          <w:sz w:val="22"/>
          <w:szCs w:val="22"/>
          <w:lang w:val="lt-LT"/>
        </w:rPr>
        <w:t xml:space="preserve">-NEMAIŠYKITE oksaliplatinos tirpalo su jokiais kitais vaistiniais preparatais tame pačiame maišelyje infuzijoms bei vienu metu nenaudokite tos pačios infuzijos linijos.  </w:t>
      </w:r>
    </w:p>
    <w:p w:rsidR="00255979" w:rsidRPr="00A55922" w:rsidRDefault="00255979" w:rsidP="003A6AEE">
      <w:pPr>
        <w:rPr>
          <w:color w:val="00000A"/>
          <w:sz w:val="22"/>
          <w:szCs w:val="22"/>
        </w:rPr>
      </w:pPr>
      <w:r w:rsidRPr="00A55922">
        <w:rPr>
          <w:color w:val="00000A"/>
          <w:sz w:val="22"/>
          <w:szCs w:val="22"/>
        </w:rPr>
        <w:t>-NEMAIŠYKITE su šarminiais vaistiniais preparatais ir tirpalais, ypač su 5-fluorouracilu (5-FU), folino rūgšties (FR) preparatais, kurių sudėtyje yra pagalbinės medžiagos trometamolio, ir kitų veikliųjų medžiagų trometamolio druskomis. Šarminiai vaistiniai preparatai ir tirpalai neigiamai veikia oksaliplatinos stabilumą.</w:t>
      </w:r>
    </w:p>
    <w:p w:rsidR="00255979" w:rsidRPr="00A55922" w:rsidRDefault="00255979" w:rsidP="003A6AEE">
      <w:pPr>
        <w:rPr>
          <w:color w:val="00000A"/>
          <w:sz w:val="22"/>
          <w:szCs w:val="22"/>
        </w:rPr>
      </w:pPr>
    </w:p>
    <w:p w:rsidR="00255979" w:rsidRPr="00A55922" w:rsidRDefault="00255979" w:rsidP="003A6AEE">
      <w:pPr>
        <w:rPr>
          <w:sz w:val="22"/>
          <w:szCs w:val="22"/>
          <w:u w:val="single"/>
        </w:rPr>
      </w:pPr>
      <w:r w:rsidRPr="00A55922">
        <w:rPr>
          <w:sz w:val="22"/>
          <w:szCs w:val="22"/>
          <w:u w:val="single"/>
        </w:rPr>
        <w:t>Vartojimo kartu su folino rūgštimi (FR) (kalcio folinato ar dinatrio folinato pavidalu) instrukcija</w:t>
      </w: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Infuzinis tirpalas, paruoštas iš 85 mg/m² oksaliplatinos, ir nuo 250 ml iki 500 ml 5 % (50 mg/ml) gliukozės tirpalo lašinamas į veną vienu metu su folino rūgšties (FR) ir 5 % (50 mg/ml) gliukozės tirpalu per 2–6 valandas, naudojant įžambiąją trišakę </w:t>
      </w:r>
      <w:r w:rsidRPr="003A6AEE">
        <w:rPr>
          <w:sz w:val="22"/>
          <w:szCs w:val="22"/>
          <w:lang w:val="lt-LT"/>
        </w:rPr>
        <w:t>„Y“</w:t>
      </w:r>
      <w:r w:rsidRPr="003A6AEE">
        <w:rPr>
          <w:rFonts w:eastAsia="MS Mincho"/>
          <w:sz w:val="22"/>
          <w:szCs w:val="22"/>
          <w:lang w:val="lt-LT" w:eastAsia="ja-JP"/>
        </w:rPr>
        <w:t xml:space="preserve"> </w:t>
      </w:r>
      <w:r w:rsidRPr="00A55922">
        <w:rPr>
          <w:rFonts w:cs="Times New Roman"/>
          <w:sz w:val="22"/>
          <w:szCs w:val="22"/>
          <w:lang w:val="lt-LT"/>
        </w:rPr>
        <w:t>jungtį, prijungtą prieš pat infuzijos vietą.</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Tame pačiame infuziniame maišelyje šių dviejų preparatų maišyti negalima. Folino rūgštyje turi nebūti pagalbinės medžiagos trometamolio, ji turi būti skiedžiama tik 5 % (50 mg/ml) izotoniniu gliukozės tirpalu. Skiedimui niekada nenaudoti šarminių tirpalų, natrio chlorido, ar kitų chloridų tirpalų.  </w:t>
      </w:r>
    </w:p>
    <w:p w:rsidR="00255979" w:rsidRPr="00A55922" w:rsidRDefault="00255979" w:rsidP="003A6AEE">
      <w:pPr>
        <w:pStyle w:val="CM16"/>
        <w:spacing w:line="240" w:lineRule="auto"/>
        <w:rPr>
          <w:rFonts w:cs="Times New Roman"/>
          <w:sz w:val="22"/>
          <w:szCs w:val="22"/>
          <w:u w:val="single"/>
          <w:lang w:val="lt-LT"/>
        </w:rPr>
      </w:pPr>
    </w:p>
    <w:p w:rsidR="00255979" w:rsidRPr="00A55922" w:rsidRDefault="00255979" w:rsidP="003A6AEE">
      <w:pPr>
        <w:pStyle w:val="CM16"/>
        <w:spacing w:line="240" w:lineRule="auto"/>
        <w:rPr>
          <w:rFonts w:cs="Times New Roman"/>
          <w:sz w:val="22"/>
          <w:szCs w:val="22"/>
          <w:u w:val="single"/>
          <w:lang w:val="lt-LT"/>
        </w:rPr>
      </w:pPr>
      <w:r w:rsidRPr="00A55922">
        <w:rPr>
          <w:rFonts w:cs="Times New Roman"/>
          <w:sz w:val="22"/>
          <w:szCs w:val="22"/>
          <w:u w:val="single"/>
          <w:lang w:val="lt-LT"/>
        </w:rPr>
        <w:t>Vartojimo kartu su 5-fluorouracilu instrukcija</w:t>
      </w: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Oksaliplatina visada turi būti sulašinama prieš fluoropirimidinus, t.y. 5-fluorouracilą (5-FU). Po to, kai sulašinate oksaliplatiną, praplaukite infuzijos liniją, o tada infuzuokite 5-fluorouracilą (5-FU).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Paruoštas tirpalas, kuriame atsiranda nuosėdų, negali būti vartojamas ir turi būti sunaikintas. </w:t>
      </w:r>
    </w:p>
    <w:p w:rsidR="00255979" w:rsidRPr="00A55922" w:rsidRDefault="00255979" w:rsidP="003A6AEE">
      <w:pPr>
        <w:pStyle w:val="CM2"/>
        <w:spacing w:line="240" w:lineRule="auto"/>
        <w:rPr>
          <w:rFonts w:cs="Times New Roman"/>
          <w:sz w:val="22"/>
          <w:szCs w:val="22"/>
          <w:u w:val="single"/>
          <w:lang w:val="lt-LT"/>
        </w:rPr>
      </w:pPr>
    </w:p>
    <w:p w:rsidR="00255979" w:rsidRPr="00A55922" w:rsidRDefault="00255979" w:rsidP="003A6AEE">
      <w:pPr>
        <w:pStyle w:val="CM2"/>
        <w:spacing w:line="240" w:lineRule="auto"/>
        <w:rPr>
          <w:rFonts w:cs="Times New Roman"/>
          <w:sz w:val="22"/>
          <w:szCs w:val="22"/>
          <w:u w:val="single"/>
          <w:lang w:val="lt-LT"/>
        </w:rPr>
      </w:pPr>
      <w:r w:rsidRPr="00A55922">
        <w:rPr>
          <w:rFonts w:cs="Times New Roman"/>
          <w:sz w:val="22"/>
          <w:szCs w:val="22"/>
          <w:u w:val="single"/>
          <w:lang w:val="lt-LT"/>
        </w:rPr>
        <w:t xml:space="preserve">Tirpalo ruošimas </w:t>
      </w:r>
    </w:p>
    <w:p w:rsidR="00255979" w:rsidRPr="00A55922" w:rsidRDefault="00255979" w:rsidP="003A6AEE">
      <w:pPr>
        <w:widowControl w:val="0"/>
        <w:numPr>
          <w:ilvl w:val="0"/>
          <w:numId w:val="10"/>
        </w:numPr>
        <w:suppressAutoHyphens/>
        <w:ind w:left="360"/>
        <w:rPr>
          <w:color w:val="00000A"/>
          <w:sz w:val="22"/>
          <w:szCs w:val="22"/>
        </w:rPr>
      </w:pPr>
      <w:r w:rsidRPr="00A55922">
        <w:rPr>
          <w:color w:val="00000A"/>
          <w:sz w:val="22"/>
          <w:szCs w:val="22"/>
        </w:rPr>
        <w:t xml:space="preserve">Tirpalui ruošti turi būti naudojamas injekcinis vanduo arba 5 % (50 mg/ml) gliukozės tirpalas. </w:t>
      </w:r>
    </w:p>
    <w:p w:rsidR="00255979" w:rsidRPr="00A55922" w:rsidRDefault="00255979" w:rsidP="003A6AEE">
      <w:pPr>
        <w:widowControl w:val="0"/>
        <w:numPr>
          <w:ilvl w:val="0"/>
          <w:numId w:val="10"/>
        </w:numPr>
        <w:suppressAutoHyphens/>
        <w:ind w:left="360"/>
        <w:rPr>
          <w:color w:val="00000A"/>
          <w:sz w:val="22"/>
          <w:szCs w:val="22"/>
        </w:rPr>
      </w:pPr>
      <w:r w:rsidRPr="00A55922">
        <w:rPr>
          <w:color w:val="00000A"/>
          <w:sz w:val="22"/>
          <w:szCs w:val="22"/>
        </w:rPr>
        <w:t xml:space="preserve">50 mg </w:t>
      </w:r>
      <w:r>
        <w:rPr>
          <w:color w:val="00000A"/>
          <w:sz w:val="22"/>
          <w:szCs w:val="22"/>
        </w:rPr>
        <w:t>flakonui</w:t>
      </w:r>
      <w:r w:rsidRPr="00A55922">
        <w:rPr>
          <w:color w:val="00000A"/>
          <w:sz w:val="22"/>
          <w:szCs w:val="22"/>
        </w:rPr>
        <w:t xml:space="preserve">: 5 mg/ml oksaliplatinos koncentracijai gauti įpilkite 10 ml tirpiklio. </w:t>
      </w:r>
    </w:p>
    <w:p w:rsidR="00255979" w:rsidRPr="00A55922" w:rsidRDefault="00255979" w:rsidP="003A6AEE">
      <w:pPr>
        <w:widowControl w:val="0"/>
        <w:numPr>
          <w:ilvl w:val="0"/>
          <w:numId w:val="10"/>
        </w:numPr>
        <w:suppressAutoHyphens/>
        <w:ind w:left="360"/>
        <w:rPr>
          <w:color w:val="00000A"/>
          <w:sz w:val="22"/>
          <w:szCs w:val="22"/>
        </w:rPr>
      </w:pPr>
      <w:r w:rsidRPr="00A55922">
        <w:rPr>
          <w:color w:val="00000A"/>
          <w:sz w:val="22"/>
          <w:szCs w:val="22"/>
        </w:rPr>
        <w:t xml:space="preserve">100 mg </w:t>
      </w:r>
      <w:r>
        <w:rPr>
          <w:color w:val="00000A"/>
          <w:sz w:val="22"/>
          <w:szCs w:val="22"/>
        </w:rPr>
        <w:t>flakonui</w:t>
      </w:r>
      <w:r w:rsidRPr="00A55922">
        <w:rPr>
          <w:color w:val="00000A"/>
          <w:sz w:val="22"/>
          <w:szCs w:val="22"/>
        </w:rPr>
        <w:t xml:space="preserve">: 5 mg/ml oksaliplatinos koncentracijai gauti įpilkite 20 ml tirpiklio. </w:t>
      </w:r>
    </w:p>
    <w:p w:rsidR="00255979" w:rsidRPr="00A55922" w:rsidRDefault="00255979" w:rsidP="003A6AEE">
      <w:pPr>
        <w:rPr>
          <w:color w:val="00000A"/>
          <w:sz w:val="22"/>
          <w:szCs w:val="22"/>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Prieš vartojimą tirpalą apžiūrėkite. Gali būti vartojamas tik skaidrus ir be jokių drumzlių tirpalas.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Paruoštas tirpalas yra tik vienkartinio vartojimo ir mikrobiologiniu požiūriu jis turi būti vartojamas nedelsiant. Jeigu iš karto nepraskiedžiamas, už laikymo laiką ir sąlygas iki vartojimo atsako vartotojas ir paprastai laikymo trukmė bus ne ilgesnė nei 24 valandos laikant 2°C –8 °C temperatūroje, jeigu </w:t>
      </w:r>
      <w:r w:rsidRPr="00A55922">
        <w:rPr>
          <w:rFonts w:cs="Times New Roman"/>
          <w:sz w:val="22"/>
          <w:szCs w:val="22"/>
          <w:lang w:val="lt-LT"/>
        </w:rPr>
        <w:lastRenderedPageBreak/>
        <w:t xml:space="preserve">tirpalas nebuvo ruošiamas kontroliuojamomis ir patvirtintomis aseptinėmis sąlygomis. </w:t>
      </w:r>
    </w:p>
    <w:p w:rsidR="00255979" w:rsidRPr="00A55922" w:rsidRDefault="00255979" w:rsidP="003A6AEE">
      <w:pPr>
        <w:pStyle w:val="CM16"/>
        <w:spacing w:line="240" w:lineRule="auto"/>
        <w:rPr>
          <w:rFonts w:cs="Times New Roman"/>
          <w:sz w:val="22"/>
          <w:szCs w:val="22"/>
          <w:u w:val="single"/>
          <w:lang w:val="lt-LT"/>
        </w:rPr>
      </w:pPr>
    </w:p>
    <w:p w:rsidR="00255979" w:rsidRPr="00A55922" w:rsidRDefault="00255979" w:rsidP="003A6AEE">
      <w:pPr>
        <w:pStyle w:val="CM16"/>
        <w:spacing w:line="240" w:lineRule="auto"/>
        <w:rPr>
          <w:rFonts w:cs="Times New Roman"/>
          <w:sz w:val="22"/>
          <w:szCs w:val="22"/>
          <w:u w:val="single"/>
          <w:lang w:val="lt-LT"/>
        </w:rPr>
      </w:pPr>
      <w:r w:rsidRPr="00A55922">
        <w:rPr>
          <w:rFonts w:cs="Times New Roman"/>
          <w:sz w:val="22"/>
          <w:szCs w:val="22"/>
          <w:u w:val="single"/>
          <w:lang w:val="lt-LT"/>
        </w:rPr>
        <w:t xml:space="preserve">Skiedimas intraveninei infuzijai  </w:t>
      </w:r>
    </w:p>
    <w:p w:rsidR="00255979" w:rsidRPr="00A55922" w:rsidRDefault="00255979" w:rsidP="003A6AEE">
      <w:pPr>
        <w:pStyle w:val="CM2"/>
        <w:spacing w:line="240" w:lineRule="auto"/>
        <w:rPr>
          <w:rFonts w:cs="Times New Roman"/>
          <w:sz w:val="22"/>
          <w:szCs w:val="22"/>
          <w:lang w:val="lt-LT"/>
        </w:rPr>
      </w:pPr>
    </w:p>
    <w:p w:rsidR="00255979" w:rsidRPr="00A55922" w:rsidRDefault="00255979" w:rsidP="003A6AEE">
      <w:pPr>
        <w:pStyle w:val="CM2"/>
        <w:spacing w:line="240" w:lineRule="auto"/>
        <w:rPr>
          <w:sz w:val="22"/>
          <w:szCs w:val="22"/>
          <w:lang w:val="lt-LT"/>
        </w:rPr>
      </w:pPr>
      <w:r w:rsidRPr="00A55922">
        <w:rPr>
          <w:rFonts w:cs="Times New Roman"/>
          <w:sz w:val="22"/>
          <w:szCs w:val="22"/>
          <w:lang w:val="lt-LT"/>
        </w:rPr>
        <w:t xml:space="preserve">Iš </w:t>
      </w:r>
      <w:r>
        <w:rPr>
          <w:rFonts w:cs="Times New Roman"/>
          <w:sz w:val="22"/>
          <w:szCs w:val="22"/>
          <w:lang w:val="lt-LT"/>
        </w:rPr>
        <w:t>flakono</w:t>
      </w:r>
      <w:r w:rsidRPr="00A55922">
        <w:rPr>
          <w:rFonts w:cs="Times New Roman"/>
          <w:sz w:val="22"/>
          <w:szCs w:val="22"/>
          <w:lang w:val="lt-LT"/>
        </w:rPr>
        <w:t xml:space="preserve"> (-ų) paimkite reikalingą pagaminto koncentruoto tirpalo kiekį ir praskieskite 250 ml–500 ml 5% (50 mg/ml) gliukozės tirpalu taip, kad oksaliplatinos koncentracija būtų nuo </w:t>
      </w:r>
      <w:r w:rsidRPr="00A55922">
        <w:rPr>
          <w:sz w:val="22"/>
          <w:szCs w:val="22"/>
          <w:lang w:val="lt-LT"/>
        </w:rPr>
        <w:t xml:space="preserve">0,20 mg/ml iki 0,70 mg/ml. Koncentracijų ribose nuo 0,20 mg/ml iki 2,0 mg/ml buvo nustatytas oksaliplatinos fizinių ir cheminių savybių stabilumas.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Praskiestas tirpalas yra skaidrus, bespalvis, be kietųjų dalelių.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Sulašinkite tirpalą į veną.  </w:t>
      </w:r>
    </w:p>
    <w:p w:rsidR="00255979" w:rsidRPr="00A55922" w:rsidRDefault="00255979" w:rsidP="003A6AEE">
      <w:pPr>
        <w:pStyle w:val="CM2"/>
        <w:spacing w:line="240" w:lineRule="auto"/>
        <w:rPr>
          <w:rFonts w:cs="Times New Roman"/>
          <w:sz w:val="22"/>
          <w:szCs w:val="22"/>
          <w:lang w:val="lt-LT"/>
        </w:rPr>
      </w:pPr>
    </w:p>
    <w:p w:rsidR="00255979" w:rsidRPr="00A55922" w:rsidRDefault="00255979" w:rsidP="003A6AEE">
      <w:pPr>
        <w:pStyle w:val="CM2"/>
        <w:spacing w:line="240" w:lineRule="auto"/>
        <w:rPr>
          <w:rFonts w:cs="Times New Roman"/>
          <w:sz w:val="22"/>
          <w:szCs w:val="22"/>
          <w:lang w:val="lt-LT"/>
        </w:rPr>
      </w:pPr>
      <w:r w:rsidRPr="00A55922">
        <w:rPr>
          <w:rFonts w:cs="Times New Roman"/>
          <w:sz w:val="22"/>
          <w:szCs w:val="22"/>
          <w:lang w:val="lt-LT"/>
        </w:rPr>
        <w:t xml:space="preserve">Paruoštą tirpalą praskiedus 5 % (50 mg/ml) gliukozės tirpalu ir laikant 2°C –8 °C temperatūroje, fizinės ir cheminės preparato savybės nekinta 24 valandas.  </w:t>
      </w:r>
    </w:p>
    <w:p w:rsidR="00255979" w:rsidRPr="00A55922" w:rsidRDefault="00255979" w:rsidP="003A6AEE">
      <w:pPr>
        <w:pStyle w:val="CM2"/>
        <w:spacing w:line="240" w:lineRule="auto"/>
        <w:rPr>
          <w:rFonts w:cs="Times New Roman"/>
          <w:sz w:val="22"/>
          <w:szCs w:val="22"/>
          <w:lang w:val="lt-LT"/>
        </w:rPr>
      </w:pPr>
    </w:p>
    <w:p w:rsidR="00255979" w:rsidRPr="00A55922" w:rsidRDefault="00255979" w:rsidP="003A6AEE">
      <w:pPr>
        <w:pStyle w:val="CM2"/>
        <w:spacing w:line="240" w:lineRule="auto"/>
        <w:rPr>
          <w:rFonts w:cs="Times New Roman"/>
          <w:sz w:val="22"/>
          <w:szCs w:val="22"/>
          <w:lang w:val="lt-LT"/>
        </w:rPr>
      </w:pPr>
      <w:r w:rsidRPr="00A55922">
        <w:rPr>
          <w:rFonts w:cs="Times New Roman"/>
          <w:sz w:val="22"/>
          <w:szCs w:val="22"/>
          <w:lang w:val="lt-LT"/>
        </w:rPr>
        <w:t xml:space="preserve">Mikrobiologiniu požiūriu, šis infuzinis preparatas turi būti vartojamas nedelsiant.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Jeigu iš karto nevartojamas, už laikymo laiką ir sąlygas iki vartojimo atsako vartotojas ir paprastai laikymo trukmė bus ne ilgesnė nei 24 valandos laikant 2°C –8 °C temperatūroje, jeigu tirpalas nebuvo ruošiamas kontroliuojamomis ir patvirtintomis aseptinėmis sąlygomis.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Prieš vartojimą tirpalą apžiūrėkite. Gali būti vartojamas tik skaidrus ir be jokių drumzlių tirpalas.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Šis vaistinis preparatas yra vienkartinio vartojimo. Bet koks nesuvartotas tirpalas turi būti sunaikintas (žr. skyrių „Atliekų tvarkymas“).  </w:t>
      </w:r>
    </w:p>
    <w:p w:rsidR="00255979" w:rsidRPr="00A55922" w:rsidRDefault="00255979" w:rsidP="003A6AEE">
      <w:pPr>
        <w:pStyle w:val="CM16"/>
        <w:spacing w:line="240" w:lineRule="auto"/>
        <w:rPr>
          <w:rFonts w:cs="Times New Roman"/>
          <w:b/>
          <w:bCs/>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b/>
          <w:bCs/>
          <w:sz w:val="22"/>
          <w:szCs w:val="22"/>
          <w:lang w:val="lt-LT"/>
        </w:rPr>
        <w:t>NIEKADA</w:t>
      </w:r>
      <w:r w:rsidRPr="00A55922">
        <w:rPr>
          <w:rFonts w:cs="Times New Roman"/>
          <w:sz w:val="22"/>
          <w:szCs w:val="22"/>
          <w:lang w:val="lt-LT"/>
        </w:rPr>
        <w:t xml:space="preserve"> skiedimui nenaudokite natrio chlorido tirpalo ar kitų chloridų tirpalų.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Oksaliplatinos infuzinio tirpalo suderinamumas buvo tikrintas su tipiniais infuzijos rinkiniais, pagamintais iš PVC.  </w:t>
      </w:r>
    </w:p>
    <w:p w:rsidR="00255979" w:rsidRPr="00A55922" w:rsidRDefault="00255979" w:rsidP="003A6AEE">
      <w:pPr>
        <w:pStyle w:val="CM16"/>
        <w:spacing w:line="240" w:lineRule="auto"/>
        <w:rPr>
          <w:rFonts w:cs="Times New Roman"/>
          <w:sz w:val="22"/>
          <w:szCs w:val="22"/>
          <w:u w:val="single"/>
          <w:lang w:val="lt-LT"/>
        </w:rPr>
      </w:pPr>
    </w:p>
    <w:p w:rsidR="00255979" w:rsidRPr="00A55922" w:rsidRDefault="00255979" w:rsidP="003A6AEE">
      <w:pPr>
        <w:pStyle w:val="CM16"/>
        <w:spacing w:line="240" w:lineRule="auto"/>
        <w:rPr>
          <w:rFonts w:cs="Times New Roman"/>
          <w:sz w:val="22"/>
          <w:szCs w:val="22"/>
          <w:u w:val="single"/>
          <w:lang w:val="lt-LT"/>
        </w:rPr>
      </w:pPr>
      <w:r w:rsidRPr="00A55922">
        <w:rPr>
          <w:rFonts w:cs="Times New Roman"/>
          <w:sz w:val="22"/>
          <w:szCs w:val="22"/>
          <w:u w:val="single"/>
          <w:lang w:val="lt-LT"/>
        </w:rPr>
        <w:t>Infuzija</w:t>
      </w: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Prieš gydymą oksaliplatina paciento hidruoti nebūtina.  </w:t>
      </w:r>
    </w:p>
    <w:p w:rsidR="00255979" w:rsidRPr="00A55922" w:rsidRDefault="00255979" w:rsidP="003A6AEE">
      <w:pPr>
        <w:pStyle w:val="CM16"/>
        <w:spacing w:line="240" w:lineRule="auto"/>
        <w:rPr>
          <w:rFonts w:cs="Times New Roman"/>
          <w:sz w:val="22"/>
          <w:szCs w:val="22"/>
          <w:lang w:val="lt-LT"/>
        </w:rPr>
      </w:pPr>
    </w:p>
    <w:p w:rsidR="00255979" w:rsidRPr="00A55922" w:rsidRDefault="00255979" w:rsidP="003A6AEE">
      <w:pPr>
        <w:pStyle w:val="CM16"/>
        <w:spacing w:line="240" w:lineRule="auto"/>
        <w:rPr>
          <w:rFonts w:cs="Times New Roman"/>
          <w:sz w:val="22"/>
          <w:szCs w:val="22"/>
          <w:lang w:val="lt-LT"/>
        </w:rPr>
      </w:pPr>
      <w:r w:rsidRPr="00A55922">
        <w:rPr>
          <w:rFonts w:cs="Times New Roman"/>
          <w:sz w:val="22"/>
          <w:szCs w:val="22"/>
          <w:lang w:val="lt-LT"/>
        </w:rPr>
        <w:t xml:space="preserve">Oksaliplatina, praskiesta 250 ml–500 ml 5 % (50 mg/ml) gliukozės tirpalu taip, kad koncentracija būtų ne mažesnė nei 0,20 mg/ml, turi būti sulašinta į periferinę arba į centrinę veną per 2–6 valandas. Kai oksaliplatina skiriama su 5-fluorouracilu (5-FU), oksaliplatinos infuzija turi būti sulašinta prieš 5-fluorouracilą (5-FU).  </w:t>
      </w:r>
    </w:p>
    <w:p w:rsidR="00255979" w:rsidRPr="00A55922" w:rsidRDefault="00255979" w:rsidP="003A6AEE">
      <w:pPr>
        <w:pStyle w:val="CM2"/>
        <w:spacing w:line="240" w:lineRule="auto"/>
        <w:rPr>
          <w:rFonts w:cs="Times New Roman"/>
          <w:sz w:val="22"/>
          <w:szCs w:val="22"/>
          <w:u w:val="single"/>
          <w:lang w:val="lt-LT"/>
        </w:rPr>
      </w:pPr>
    </w:p>
    <w:p w:rsidR="00255979" w:rsidRPr="00A55922" w:rsidRDefault="00255979" w:rsidP="003A6AEE">
      <w:pPr>
        <w:pStyle w:val="CM2"/>
        <w:spacing w:line="240" w:lineRule="auto"/>
        <w:rPr>
          <w:rFonts w:cs="Times New Roman"/>
          <w:sz w:val="22"/>
          <w:szCs w:val="22"/>
          <w:u w:val="single"/>
          <w:lang w:val="lt-LT"/>
        </w:rPr>
      </w:pPr>
      <w:r w:rsidRPr="00A55922">
        <w:rPr>
          <w:rFonts w:cs="Times New Roman"/>
          <w:sz w:val="22"/>
          <w:szCs w:val="22"/>
          <w:u w:val="single"/>
          <w:lang w:val="lt-LT"/>
        </w:rPr>
        <w:t>Atliekų tvarkymas</w:t>
      </w:r>
    </w:p>
    <w:p w:rsidR="00255979" w:rsidRPr="00A55922" w:rsidRDefault="00255979" w:rsidP="003A6AEE">
      <w:pPr>
        <w:pStyle w:val="CM2"/>
        <w:spacing w:line="240" w:lineRule="auto"/>
        <w:rPr>
          <w:rFonts w:cs="Times New Roman"/>
          <w:sz w:val="22"/>
          <w:szCs w:val="22"/>
          <w:lang w:val="lt-LT"/>
        </w:rPr>
      </w:pPr>
      <w:r w:rsidRPr="00A55922">
        <w:rPr>
          <w:rFonts w:cs="Times New Roman"/>
          <w:sz w:val="22"/>
          <w:szCs w:val="22"/>
          <w:lang w:val="lt-LT"/>
        </w:rPr>
        <w:t xml:space="preserve">Vaistinio preparato likučiai, taip pat ir visos kitos tirpalo skiedimui ir infuzijai naudotos priemonės, turi būti sunaikintos pagal standartines ligoninės procedūras, taikomas citotoksinėms medžiagoms ir atsižvelgiant į galiojančius įstatymus, reglamentuojančius pavojingų atliekų tvarkymą. </w:t>
      </w:r>
    </w:p>
    <w:p w:rsidR="00255979" w:rsidRPr="00A55922" w:rsidRDefault="00255979" w:rsidP="003A6AEE">
      <w:pPr>
        <w:pStyle w:val="CM2"/>
        <w:spacing w:line="240" w:lineRule="auto"/>
        <w:rPr>
          <w:sz w:val="22"/>
          <w:szCs w:val="22"/>
          <w:lang w:val="lt-LT"/>
        </w:rPr>
      </w:pPr>
    </w:p>
    <w:p w:rsidR="00255979" w:rsidRPr="00A55922" w:rsidRDefault="00255979" w:rsidP="004F23C8">
      <w:pPr>
        <w:pStyle w:val="PI-3EMEASMCA"/>
      </w:pPr>
      <w:bookmarkStart w:id="84" w:name="_GoBack"/>
      <w:bookmarkEnd w:id="84"/>
      <w:permStart w:id="1271613609" w:edGrp="everyone"/>
      <w:permEnd w:id="1271613609"/>
    </w:p>
    <w:sectPr w:rsidR="00255979" w:rsidRPr="00A55922" w:rsidSect="00474AB7">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C6B" w:rsidRDefault="00C44C6B">
      <w:r>
        <w:separator/>
      </w:r>
    </w:p>
  </w:endnote>
  <w:endnote w:type="continuationSeparator" w:id="0">
    <w:p w:rsidR="00C44C6B" w:rsidRDefault="00C4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79" w:rsidRDefault="00255979" w:rsidP="006544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55979" w:rsidRDefault="00255979" w:rsidP="004873B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79" w:rsidRPr="004873B0" w:rsidRDefault="00255979" w:rsidP="00654451">
    <w:pPr>
      <w:pStyle w:val="Porat"/>
      <w:framePr w:wrap="around" w:vAnchor="text" w:hAnchor="margin" w:xAlign="right" w:y="1"/>
      <w:rPr>
        <w:rStyle w:val="Puslapionumeris"/>
        <w:sz w:val="22"/>
        <w:szCs w:val="22"/>
      </w:rPr>
    </w:pPr>
    <w:r w:rsidRPr="004873B0">
      <w:rPr>
        <w:rStyle w:val="Puslapionumeris"/>
        <w:sz w:val="22"/>
        <w:szCs w:val="22"/>
      </w:rPr>
      <w:fldChar w:fldCharType="begin"/>
    </w:r>
    <w:r w:rsidRPr="004873B0">
      <w:rPr>
        <w:rStyle w:val="Puslapionumeris"/>
        <w:sz w:val="22"/>
        <w:szCs w:val="22"/>
      </w:rPr>
      <w:instrText xml:space="preserve">PAGE  </w:instrText>
    </w:r>
    <w:r w:rsidRPr="004873B0">
      <w:rPr>
        <w:rStyle w:val="Puslapionumeris"/>
        <w:sz w:val="22"/>
        <w:szCs w:val="22"/>
      </w:rPr>
      <w:fldChar w:fldCharType="separate"/>
    </w:r>
    <w:r w:rsidR="00501874">
      <w:rPr>
        <w:rStyle w:val="Puslapionumeris"/>
        <w:noProof/>
        <w:sz w:val="22"/>
        <w:szCs w:val="22"/>
      </w:rPr>
      <w:t>36</w:t>
    </w:r>
    <w:r w:rsidRPr="004873B0">
      <w:rPr>
        <w:rStyle w:val="Puslapionumeris"/>
        <w:sz w:val="22"/>
        <w:szCs w:val="22"/>
      </w:rPr>
      <w:fldChar w:fldCharType="end"/>
    </w:r>
  </w:p>
  <w:p w:rsidR="00255979" w:rsidRDefault="00255979" w:rsidP="004873B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C6B" w:rsidRDefault="00C44C6B">
      <w:r>
        <w:separator/>
      </w:r>
    </w:p>
  </w:footnote>
  <w:footnote w:type="continuationSeparator" w:id="0">
    <w:p w:rsidR="00C44C6B" w:rsidRDefault="00C44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
    <w:nsid w:val="00000002"/>
    <w:multiLevelType w:val="multilevel"/>
    <w:tmpl w:val="CA12A154"/>
    <w:name w:val="WWNum2"/>
    <w:lvl w:ilvl="0">
      <w:start w:val="1"/>
      <w:numFmt w:val="bullet"/>
      <w:lvlText w:val=""/>
      <w:lvlJc w:val="left"/>
      <w:pPr>
        <w:tabs>
          <w:tab w:val="num" w:pos="0"/>
        </w:tabs>
        <w:ind w:left="720" w:hanging="360"/>
      </w:pPr>
      <w:rPr>
        <w:rFonts w:ascii="Symbol" w:hAnsi="Symbol" w:hint="default"/>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
    <w:nsid w:val="00000003"/>
    <w:multiLevelType w:val="multilevel"/>
    <w:tmpl w:val="1792A0B2"/>
    <w:name w:val="WWNum3"/>
    <w:lvl w:ilvl="0">
      <w:start w:val="1"/>
      <w:numFmt w:val="bullet"/>
      <w:lvlText w:val=""/>
      <w:lvlJc w:val="left"/>
      <w:pPr>
        <w:tabs>
          <w:tab w:val="num" w:pos="0"/>
        </w:tabs>
        <w:ind w:left="720" w:hanging="360"/>
      </w:pPr>
      <w:rPr>
        <w:rFonts w:ascii="Symbol" w:hAnsi="Symbol" w:hint="default"/>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3">
    <w:nsid w:val="00000005"/>
    <w:multiLevelType w:val="multilevel"/>
    <w:tmpl w:val="C10EAD2E"/>
    <w:name w:val="WWNum5"/>
    <w:lvl w:ilvl="0">
      <w:start w:val="1"/>
      <w:numFmt w:val="bullet"/>
      <w:lvlText w:val=""/>
      <w:lvlJc w:val="left"/>
      <w:pPr>
        <w:tabs>
          <w:tab w:val="num" w:pos="0"/>
        </w:tabs>
        <w:ind w:left="720" w:hanging="360"/>
      </w:pPr>
      <w:rPr>
        <w:rFonts w:ascii="Symbol" w:hAnsi="Symbol" w:hint="default"/>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4">
    <w:nsid w:val="2A941882"/>
    <w:multiLevelType w:val="hybridMultilevel"/>
    <w:tmpl w:val="F536D556"/>
    <w:lvl w:ilvl="0" w:tplc="B1C8DFAA">
      <w:start w:val="1"/>
      <w:numFmt w:val="bullet"/>
      <w:lvlText w:val="-"/>
      <w:lvlJc w:val="left"/>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2B25E63F"/>
    <w:multiLevelType w:val="hybridMultilevel"/>
    <w:tmpl w:val="897EA40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43D924C8"/>
    <w:multiLevelType w:val="hybridMultilevel"/>
    <w:tmpl w:val="573C08E4"/>
    <w:lvl w:ilvl="0" w:tplc="DF2E7866">
      <w:start w:val="4"/>
      <w:numFmt w:val="bullet"/>
      <w:lvlText w:val="•"/>
      <w:lvlJc w:val="left"/>
      <w:pPr>
        <w:ind w:left="720" w:hanging="360"/>
      </w:pPr>
      <w:rPr>
        <w:rFonts w:ascii="Times New Roman" w:eastAsia="Liberation Sans"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4D3D54"/>
    <w:multiLevelType w:val="hybridMultilevel"/>
    <w:tmpl w:val="051A8B8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680D0E96"/>
    <w:multiLevelType w:val="hybridMultilevel"/>
    <w:tmpl w:val="72F472B8"/>
    <w:lvl w:ilvl="0" w:tplc="4972EF4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6D4279"/>
    <w:multiLevelType w:val="hybridMultilevel"/>
    <w:tmpl w:val="C42C6EA6"/>
    <w:lvl w:ilvl="0" w:tplc="4782D8B8">
      <w:start w:val="4"/>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11"/>
  </w:num>
  <w:num w:numId="4">
    <w:abstractNumId w:val="8"/>
  </w:num>
  <w:num w:numId="5">
    <w:abstractNumId w:val="10"/>
  </w:num>
  <w:num w:numId="6">
    <w:abstractNumId w:val="0"/>
  </w:num>
  <w:num w:numId="7">
    <w:abstractNumId w:val="1"/>
  </w:num>
  <w:num w:numId="8">
    <w:abstractNumId w:val="2"/>
  </w:num>
  <w:num w:numId="9">
    <w:abstractNumId w:val="7"/>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GlANrCtNmgfbO19Q4sdbRElgvA=" w:salt="4mwi9bmxOQ9xoa3BttNliw=="/>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05"/>
    <w:rsid w:val="00004E62"/>
    <w:rsid w:val="000464AD"/>
    <w:rsid w:val="000513B6"/>
    <w:rsid w:val="000B0CDC"/>
    <w:rsid w:val="000B64ED"/>
    <w:rsid w:val="000C6B82"/>
    <w:rsid w:val="000E6202"/>
    <w:rsid w:val="000F0604"/>
    <w:rsid w:val="001120C8"/>
    <w:rsid w:val="00132E97"/>
    <w:rsid w:val="0017781E"/>
    <w:rsid w:val="00187546"/>
    <w:rsid w:val="001B22BF"/>
    <w:rsid w:val="001B3024"/>
    <w:rsid w:val="001B47BF"/>
    <w:rsid w:val="00207989"/>
    <w:rsid w:val="00207ACC"/>
    <w:rsid w:val="0025215C"/>
    <w:rsid w:val="00255979"/>
    <w:rsid w:val="00287FAB"/>
    <w:rsid w:val="00295A39"/>
    <w:rsid w:val="002B0F93"/>
    <w:rsid w:val="002F3552"/>
    <w:rsid w:val="00300BA9"/>
    <w:rsid w:val="003256E1"/>
    <w:rsid w:val="00362249"/>
    <w:rsid w:val="00367DE2"/>
    <w:rsid w:val="00394A5A"/>
    <w:rsid w:val="003A235B"/>
    <w:rsid w:val="003A6AEE"/>
    <w:rsid w:val="003A7244"/>
    <w:rsid w:val="003D1468"/>
    <w:rsid w:val="003D4FAC"/>
    <w:rsid w:val="003D52A9"/>
    <w:rsid w:val="003E1E4D"/>
    <w:rsid w:val="003F38F2"/>
    <w:rsid w:val="00401EC7"/>
    <w:rsid w:val="00414614"/>
    <w:rsid w:val="004203FC"/>
    <w:rsid w:val="00420891"/>
    <w:rsid w:val="00474AB7"/>
    <w:rsid w:val="00474DAF"/>
    <w:rsid w:val="004846A7"/>
    <w:rsid w:val="004873B0"/>
    <w:rsid w:val="004B45F7"/>
    <w:rsid w:val="004C174F"/>
    <w:rsid w:val="004F23C8"/>
    <w:rsid w:val="004F39A6"/>
    <w:rsid w:val="004F6FC9"/>
    <w:rsid w:val="00501874"/>
    <w:rsid w:val="00504793"/>
    <w:rsid w:val="00517C4E"/>
    <w:rsid w:val="00524129"/>
    <w:rsid w:val="005532A6"/>
    <w:rsid w:val="00555E9B"/>
    <w:rsid w:val="005772DF"/>
    <w:rsid w:val="005950F6"/>
    <w:rsid w:val="005C7132"/>
    <w:rsid w:val="005D0C4F"/>
    <w:rsid w:val="005E4334"/>
    <w:rsid w:val="005F0E64"/>
    <w:rsid w:val="00633D05"/>
    <w:rsid w:val="0064771B"/>
    <w:rsid w:val="00654451"/>
    <w:rsid w:val="00673194"/>
    <w:rsid w:val="00684460"/>
    <w:rsid w:val="00691AF5"/>
    <w:rsid w:val="006A15E4"/>
    <w:rsid w:val="006A1B67"/>
    <w:rsid w:val="006D0AEB"/>
    <w:rsid w:val="006F320A"/>
    <w:rsid w:val="006F32CC"/>
    <w:rsid w:val="006F5707"/>
    <w:rsid w:val="00706009"/>
    <w:rsid w:val="007162EB"/>
    <w:rsid w:val="00754B58"/>
    <w:rsid w:val="00761E71"/>
    <w:rsid w:val="00767426"/>
    <w:rsid w:val="00775FA4"/>
    <w:rsid w:val="007B498C"/>
    <w:rsid w:val="007D6C24"/>
    <w:rsid w:val="007E729B"/>
    <w:rsid w:val="008168E1"/>
    <w:rsid w:val="00822161"/>
    <w:rsid w:val="00822DF5"/>
    <w:rsid w:val="00824EA0"/>
    <w:rsid w:val="0084041E"/>
    <w:rsid w:val="00867091"/>
    <w:rsid w:val="00886621"/>
    <w:rsid w:val="008B301F"/>
    <w:rsid w:val="008B4680"/>
    <w:rsid w:val="008C4F8A"/>
    <w:rsid w:val="008E148F"/>
    <w:rsid w:val="008E68A7"/>
    <w:rsid w:val="008F7306"/>
    <w:rsid w:val="009060DD"/>
    <w:rsid w:val="009375CF"/>
    <w:rsid w:val="00983D39"/>
    <w:rsid w:val="00987A09"/>
    <w:rsid w:val="009A0103"/>
    <w:rsid w:val="009A3B87"/>
    <w:rsid w:val="009C75B4"/>
    <w:rsid w:val="009D0DC8"/>
    <w:rsid w:val="009D4455"/>
    <w:rsid w:val="009D49B5"/>
    <w:rsid w:val="00A02038"/>
    <w:rsid w:val="00A12049"/>
    <w:rsid w:val="00A24A4D"/>
    <w:rsid w:val="00A4582B"/>
    <w:rsid w:val="00A53C35"/>
    <w:rsid w:val="00A55922"/>
    <w:rsid w:val="00A865DE"/>
    <w:rsid w:val="00AA5F3E"/>
    <w:rsid w:val="00AB0125"/>
    <w:rsid w:val="00AB032C"/>
    <w:rsid w:val="00AC3D2A"/>
    <w:rsid w:val="00B00338"/>
    <w:rsid w:val="00B12EAA"/>
    <w:rsid w:val="00B13C33"/>
    <w:rsid w:val="00B20CC0"/>
    <w:rsid w:val="00B32AC9"/>
    <w:rsid w:val="00B94735"/>
    <w:rsid w:val="00BD1D31"/>
    <w:rsid w:val="00BE0D6C"/>
    <w:rsid w:val="00BF2BEB"/>
    <w:rsid w:val="00C12C7B"/>
    <w:rsid w:val="00C44C6B"/>
    <w:rsid w:val="00C621F3"/>
    <w:rsid w:val="00CA3872"/>
    <w:rsid w:val="00CA4C42"/>
    <w:rsid w:val="00CC4C38"/>
    <w:rsid w:val="00CD608A"/>
    <w:rsid w:val="00CE7AF1"/>
    <w:rsid w:val="00CF5215"/>
    <w:rsid w:val="00D17C76"/>
    <w:rsid w:val="00D21F5C"/>
    <w:rsid w:val="00D30F61"/>
    <w:rsid w:val="00D35AF4"/>
    <w:rsid w:val="00D746F2"/>
    <w:rsid w:val="00D81CD9"/>
    <w:rsid w:val="00D94E72"/>
    <w:rsid w:val="00DA6B0C"/>
    <w:rsid w:val="00DB15A1"/>
    <w:rsid w:val="00DB3D01"/>
    <w:rsid w:val="00DB42C1"/>
    <w:rsid w:val="00DC05B2"/>
    <w:rsid w:val="00DF4173"/>
    <w:rsid w:val="00DF7A7B"/>
    <w:rsid w:val="00E00E61"/>
    <w:rsid w:val="00E4711A"/>
    <w:rsid w:val="00E77E08"/>
    <w:rsid w:val="00E975E7"/>
    <w:rsid w:val="00EE4230"/>
    <w:rsid w:val="00EF6799"/>
    <w:rsid w:val="00F13CF6"/>
    <w:rsid w:val="00F15376"/>
    <w:rsid w:val="00F35422"/>
    <w:rsid w:val="00F4284F"/>
    <w:rsid w:val="00F75DE4"/>
    <w:rsid w:val="00F847DF"/>
    <w:rsid w:val="00F84DFD"/>
    <w:rsid w:val="00F94B2E"/>
    <w:rsid w:val="00F94D44"/>
    <w:rsid w:val="00F9729F"/>
    <w:rsid w:val="00FA05C2"/>
    <w:rsid w:val="00FA0713"/>
    <w:rsid w:val="00FA6C1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link w:val="Antrat1Diagrama"/>
    <w:uiPriority w:val="99"/>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Pr>
      <w:rFonts w:ascii="Cambria" w:hAnsi="Cambria" w:cs="Times New Roman"/>
      <w:b/>
      <w:bCs/>
      <w:i/>
      <w:iCs/>
      <w:sz w:val="28"/>
      <w:szCs w:val="28"/>
      <w:lang w:eastAsia="en-US"/>
    </w:rPr>
  </w:style>
  <w:style w:type="character" w:customStyle="1" w:styleId="Antrat3Diagrama">
    <w:name w:val="Antraštė 3 Diagrama"/>
    <w:link w:val="Antrat3"/>
    <w:uiPriority w:val="99"/>
    <w:semiHidden/>
    <w:locked/>
    <w:rPr>
      <w:rFonts w:ascii="Cambria" w:hAnsi="Cambria" w:cs="Times New Roman"/>
      <w:b/>
      <w:bCs/>
      <w:sz w:val="26"/>
      <w:szCs w:val="26"/>
      <w:lang w:eastAsia="en-US"/>
    </w:rPr>
  </w:style>
  <w:style w:type="character" w:styleId="Hipersaitas">
    <w:name w:val="Hyperlink"/>
    <w:uiPriority w:val="99"/>
    <w:rsid w:val="00633D05"/>
    <w:rPr>
      <w:rFonts w:cs="Times New Roman"/>
      <w:color w:val="0000FF"/>
      <w:u w:val="single"/>
    </w:rPr>
  </w:style>
  <w:style w:type="paragraph" w:customStyle="1" w:styleId="PI-1EMEASMCA">
    <w:name w:val="PI-1 EMEA_SMCA"/>
    <w:basedOn w:val="Antrat2"/>
    <w:autoRedefine/>
    <w:uiPriority w:val="99"/>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uiPriority w:val="99"/>
    <w:locked/>
    <w:rsid w:val="001120C8"/>
    <w:rPr>
      <w:b/>
      <w:noProof/>
      <w:sz w:val="22"/>
      <w:lang w:val="lt-LT" w:eastAsia="en-US"/>
    </w:rPr>
  </w:style>
  <w:style w:type="paragraph" w:customStyle="1" w:styleId="PI-2EMEASMCA">
    <w:name w:val="PI-2 EMEA_SMCA"/>
    <w:basedOn w:val="Antrat3"/>
    <w:autoRedefine/>
    <w:uiPriority w:val="99"/>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633D05"/>
    <w:rPr>
      <w:noProof/>
      <w:sz w:val="22"/>
      <w:szCs w:val="20"/>
    </w:rPr>
  </w:style>
  <w:style w:type="paragraph" w:customStyle="1" w:styleId="TTEMEASMCA">
    <w:name w:val="TT EMEA_SMCA"/>
    <w:basedOn w:val="Antrat1"/>
    <w:link w:val="TTEMEASMCAChar"/>
    <w:autoRedefine/>
    <w:uiPriority w:val="99"/>
    <w:rsid w:val="00633D05"/>
    <w:pPr>
      <w:keepNext w:val="0"/>
      <w:tabs>
        <w:tab w:val="left" w:pos="567"/>
      </w:tabs>
      <w:spacing w:before="0" w:after="0"/>
      <w:ind w:left="567" w:hanging="567"/>
      <w:jc w:val="center"/>
    </w:pPr>
    <w:rPr>
      <w:rFonts w:ascii="Times New Roman" w:hAnsi="Times New Roman" w:cs="Times New Roman"/>
      <w:bCs w:val="0"/>
      <w:caps/>
      <w:kern w:val="0"/>
      <w:sz w:val="22"/>
      <w:szCs w:val="20"/>
      <w:lang w:val="en-US"/>
    </w:rPr>
  </w:style>
  <w:style w:type="character" w:customStyle="1" w:styleId="TTEMEASMCAChar">
    <w:name w:val="TT EMEA_SMCA Char"/>
    <w:link w:val="TTEMEASMCA"/>
    <w:uiPriority w:val="99"/>
    <w:locked/>
    <w:rsid w:val="00633D05"/>
    <w:rPr>
      <w:b/>
      <w:caps/>
      <w:sz w:val="22"/>
      <w:lang w:val="en-US" w:eastAsia="en-US"/>
    </w:rPr>
  </w:style>
  <w:style w:type="paragraph" w:customStyle="1" w:styleId="BTAnIIEMEASMCA">
    <w:name w:val="BT(AnII) EMEA_SMCA"/>
    <w:basedOn w:val="Debesliotekstas"/>
    <w:autoRedefine/>
    <w:uiPriority w:val="99"/>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33D05"/>
    <w:pPr>
      <w:numPr>
        <w:numId w:val="1"/>
      </w:numPr>
      <w:tabs>
        <w:tab w:val="clear" w:pos="720"/>
        <w:tab w:val="num" w:pos="360"/>
      </w:tabs>
      <w:ind w:left="0" w:firstLine="0"/>
    </w:pPr>
  </w:style>
  <w:style w:type="paragraph" w:customStyle="1" w:styleId="PI-3EMEASMCA">
    <w:name w:val="PI-3 EMEA_SMCA"/>
    <w:basedOn w:val="prastasis"/>
    <w:autoRedefine/>
    <w:uiPriority w:val="99"/>
    <w:rsid w:val="00633D05"/>
    <w:pPr>
      <w:spacing w:line="220" w:lineRule="exact"/>
    </w:pPr>
    <w:rPr>
      <w:b/>
      <w:bCs/>
      <w:sz w:val="22"/>
      <w:szCs w:val="22"/>
    </w:rPr>
  </w:style>
  <w:style w:type="paragraph" w:customStyle="1" w:styleId="BTbEMEASMCA">
    <w:name w:val="BT(b) EMEA_SMCA"/>
    <w:basedOn w:val="BTEMEASMCA"/>
    <w:autoRedefine/>
    <w:uiPriority w:val="99"/>
    <w:rsid w:val="00633D05"/>
    <w:rPr>
      <w:b/>
    </w:rPr>
  </w:style>
  <w:style w:type="paragraph" w:customStyle="1" w:styleId="BTbeEMEASMCA">
    <w:name w:val="BT(be) EMEA_SMCA"/>
    <w:basedOn w:val="BTEMEASMCA"/>
    <w:autoRedefine/>
    <w:uiPriority w:val="99"/>
    <w:rsid w:val="00633D05"/>
    <w:pPr>
      <w:jc w:val="center"/>
    </w:pPr>
    <w:rPr>
      <w:b/>
    </w:rPr>
  </w:style>
  <w:style w:type="paragraph" w:customStyle="1" w:styleId="BTeEMEASMCA">
    <w:name w:val="BT(e) EMEA_SMCA"/>
    <w:basedOn w:val="BTEMEASMCA"/>
    <w:autoRedefine/>
    <w:uiPriority w:val="99"/>
    <w:rsid w:val="00633D05"/>
    <w:pPr>
      <w:jc w:val="center"/>
    </w:pPr>
  </w:style>
  <w:style w:type="paragraph" w:customStyle="1" w:styleId="BTgEMEASMCA">
    <w:name w:val="BT(g) EMEA_SMCA"/>
    <w:basedOn w:val="BTEMEASMCA"/>
    <w:link w:val="BTgEMEASMCAChar"/>
    <w:autoRedefine/>
    <w:uiPriority w:val="99"/>
    <w:rsid w:val="00633D05"/>
    <w:rPr>
      <w:i/>
      <w:color w:val="008000"/>
    </w:rPr>
  </w:style>
  <w:style w:type="character" w:customStyle="1" w:styleId="BTEMEASMCAChar">
    <w:name w:val="BT EMEA_SMCA Char"/>
    <w:link w:val="BTEMEASMCA"/>
    <w:uiPriority w:val="99"/>
    <w:locked/>
    <w:rsid w:val="00633D05"/>
    <w:rPr>
      <w:noProof/>
      <w:sz w:val="22"/>
      <w:lang w:val="lt-LT" w:eastAsia="en-US"/>
    </w:rPr>
  </w:style>
  <w:style w:type="character" w:customStyle="1" w:styleId="BTgEMEASMCAChar">
    <w:name w:val="BT(g) EMEA_SMCA Char"/>
    <w:link w:val="BTgEMEASMCA"/>
    <w:uiPriority w:val="99"/>
    <w:locked/>
    <w:rsid w:val="00633D05"/>
    <w:rPr>
      <w:i/>
      <w:noProof/>
      <w:color w:val="008000"/>
      <w:sz w:val="22"/>
      <w:lang w:val="lt-LT" w:eastAsia="en-US"/>
    </w:rPr>
  </w:style>
  <w:style w:type="paragraph" w:customStyle="1" w:styleId="BTuEMEASMCA">
    <w:name w:val="BT(u) EMEA_SMCA"/>
    <w:basedOn w:val="BTEMEASMCA"/>
    <w:autoRedefine/>
    <w:uiPriority w:val="99"/>
    <w:rsid w:val="00633D05"/>
    <w:rPr>
      <w:u w:val="single"/>
    </w:rPr>
  </w:style>
  <w:style w:type="paragraph" w:styleId="Debesliotekstas">
    <w:name w:val="Balloon Text"/>
    <w:basedOn w:val="prastasis"/>
    <w:link w:val="DebesliotekstasDiagrama"/>
    <w:uiPriority w:val="99"/>
    <w:semiHidden/>
    <w:rsid w:val="00633D05"/>
    <w:rPr>
      <w:rFonts w:ascii="Tahoma" w:hAnsi="Tahoma" w:cs="Tahoma"/>
      <w:sz w:val="16"/>
      <w:szCs w:val="16"/>
    </w:rPr>
  </w:style>
  <w:style w:type="character" w:customStyle="1" w:styleId="DebesliotekstasDiagrama">
    <w:name w:val="Debesėlio tekstas Diagrama"/>
    <w:link w:val="Debesliotekstas"/>
    <w:uiPriority w:val="99"/>
    <w:semiHidden/>
    <w:locked/>
    <w:rPr>
      <w:rFonts w:cs="Times New Roman"/>
      <w:sz w:val="2"/>
      <w:lang w:eastAsia="en-US"/>
    </w:rPr>
  </w:style>
  <w:style w:type="paragraph" w:styleId="Dokumentostruktra">
    <w:name w:val="Document Map"/>
    <w:basedOn w:val="prastasis"/>
    <w:link w:val="DokumentostruktraDiagrama"/>
    <w:uiPriority w:val="99"/>
    <w:semiHidden/>
    <w:rsid w:val="00CE7AF1"/>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locked/>
    <w:rPr>
      <w:rFonts w:cs="Times New Roman"/>
      <w:sz w:val="2"/>
      <w:lang w:eastAsia="en-US"/>
    </w:rPr>
  </w:style>
  <w:style w:type="paragraph" w:customStyle="1" w:styleId="CM13">
    <w:name w:val="CM13"/>
    <w:basedOn w:val="prastasis"/>
    <w:next w:val="prastasis"/>
    <w:uiPriority w:val="99"/>
    <w:rsid w:val="00CA3872"/>
    <w:pPr>
      <w:widowControl w:val="0"/>
      <w:autoSpaceDE w:val="0"/>
      <w:autoSpaceDN w:val="0"/>
      <w:adjustRightInd w:val="0"/>
    </w:pPr>
    <w:rPr>
      <w:rFonts w:eastAsia="MS Mincho" w:cs="Arial Unicode MS"/>
      <w:lang w:val="en-US" w:eastAsia="ja-JP" w:bidi="lo-LA"/>
    </w:rPr>
  </w:style>
  <w:style w:type="paragraph" w:customStyle="1" w:styleId="CM5">
    <w:name w:val="CM5"/>
    <w:basedOn w:val="prastasis"/>
    <w:next w:val="prastasis"/>
    <w:uiPriority w:val="99"/>
    <w:rsid w:val="00CA3872"/>
    <w:pPr>
      <w:widowControl w:val="0"/>
      <w:autoSpaceDE w:val="0"/>
      <w:autoSpaceDN w:val="0"/>
      <w:adjustRightInd w:val="0"/>
    </w:pPr>
    <w:rPr>
      <w:rFonts w:eastAsia="MS Mincho" w:cs="Arial Unicode MS"/>
      <w:lang w:val="en-US" w:eastAsia="ja-JP" w:bidi="lo-LA"/>
    </w:rPr>
  </w:style>
  <w:style w:type="paragraph" w:customStyle="1" w:styleId="Default">
    <w:name w:val="Default"/>
    <w:uiPriority w:val="99"/>
    <w:rsid w:val="00CA3872"/>
    <w:pPr>
      <w:widowControl w:val="0"/>
      <w:autoSpaceDE w:val="0"/>
      <w:autoSpaceDN w:val="0"/>
      <w:adjustRightInd w:val="0"/>
    </w:pPr>
    <w:rPr>
      <w:rFonts w:eastAsia="MS Mincho"/>
      <w:color w:val="000000"/>
      <w:sz w:val="24"/>
      <w:szCs w:val="24"/>
      <w:lang w:val="en-US" w:eastAsia="ja-JP" w:bidi="lo-LA"/>
    </w:rPr>
  </w:style>
  <w:style w:type="paragraph" w:customStyle="1" w:styleId="CM2">
    <w:name w:val="CM2"/>
    <w:basedOn w:val="Default"/>
    <w:next w:val="Default"/>
    <w:uiPriority w:val="99"/>
    <w:rsid w:val="00CA3872"/>
    <w:pPr>
      <w:spacing w:line="278" w:lineRule="atLeast"/>
    </w:pPr>
    <w:rPr>
      <w:rFonts w:cs="Arial Unicode MS"/>
      <w:color w:val="auto"/>
    </w:rPr>
  </w:style>
  <w:style w:type="paragraph" w:customStyle="1" w:styleId="CM6">
    <w:name w:val="CM6"/>
    <w:basedOn w:val="Default"/>
    <w:next w:val="Default"/>
    <w:uiPriority w:val="99"/>
    <w:rsid w:val="00CA3872"/>
    <w:pPr>
      <w:spacing w:line="276" w:lineRule="atLeast"/>
    </w:pPr>
    <w:rPr>
      <w:rFonts w:cs="Arial Unicode MS"/>
      <w:color w:val="auto"/>
    </w:rPr>
  </w:style>
  <w:style w:type="paragraph" w:customStyle="1" w:styleId="CM3">
    <w:name w:val="CM3"/>
    <w:basedOn w:val="Default"/>
    <w:next w:val="Default"/>
    <w:uiPriority w:val="99"/>
    <w:rsid w:val="00CA3872"/>
    <w:pPr>
      <w:spacing w:line="276" w:lineRule="atLeast"/>
    </w:pPr>
    <w:rPr>
      <w:rFonts w:cs="Arial Unicode MS"/>
      <w:color w:val="auto"/>
    </w:rPr>
  </w:style>
  <w:style w:type="paragraph" w:customStyle="1" w:styleId="CM14">
    <w:name w:val="CM14"/>
    <w:basedOn w:val="Default"/>
    <w:next w:val="Default"/>
    <w:uiPriority w:val="99"/>
    <w:rsid w:val="00CA3872"/>
    <w:rPr>
      <w:rFonts w:cs="Arial Unicode MS"/>
      <w:color w:val="auto"/>
    </w:rPr>
  </w:style>
  <w:style w:type="paragraph" w:customStyle="1" w:styleId="CM15">
    <w:name w:val="CM15"/>
    <w:basedOn w:val="Default"/>
    <w:next w:val="Default"/>
    <w:uiPriority w:val="99"/>
    <w:rsid w:val="00CA3872"/>
    <w:rPr>
      <w:rFonts w:cs="Arial Unicode MS"/>
      <w:color w:val="auto"/>
    </w:rPr>
  </w:style>
  <w:style w:type="table" w:styleId="Lentelstinklelis">
    <w:name w:val="Table Grid"/>
    <w:basedOn w:val="prastojilentel"/>
    <w:uiPriority w:val="99"/>
    <w:rsid w:val="00CA3872"/>
    <w:rPr>
      <w:rFonts w:ascii="Calibri" w:eastAsia="MS Mincho" w:hAnsi="Calibri"/>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CA3872"/>
    <w:rPr>
      <w:rFonts w:ascii="Calibri" w:eastAsia="MS Mincho" w:hAnsi="Calibri"/>
      <w:sz w:val="22"/>
      <w:szCs w:val="22"/>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9">
    <w:name w:val="CM9"/>
    <w:basedOn w:val="Default"/>
    <w:next w:val="Default"/>
    <w:uiPriority w:val="99"/>
    <w:rsid w:val="008168E1"/>
    <w:pPr>
      <w:spacing w:line="276" w:lineRule="atLeast"/>
    </w:pPr>
    <w:rPr>
      <w:rFonts w:cs="Arial Unicode MS"/>
      <w:color w:val="auto"/>
    </w:rPr>
  </w:style>
  <w:style w:type="paragraph" w:customStyle="1" w:styleId="CM16">
    <w:name w:val="CM16"/>
    <w:basedOn w:val="prastasis"/>
    <w:uiPriority w:val="99"/>
    <w:rsid w:val="006F5707"/>
    <w:pPr>
      <w:widowControl w:val="0"/>
      <w:suppressAutoHyphens/>
      <w:spacing w:line="100" w:lineRule="atLeast"/>
    </w:pPr>
    <w:rPr>
      <w:rFonts w:eastAsia="Liberation Sans" w:cs="Arial Unicode MS"/>
      <w:color w:val="00000A"/>
      <w:kern w:val="1"/>
      <w:lang w:val="en-US" w:eastAsia="lo-LA" w:bidi="lo-LA"/>
    </w:rPr>
  </w:style>
  <w:style w:type="paragraph" w:customStyle="1" w:styleId="CM17">
    <w:name w:val="CM17"/>
    <w:basedOn w:val="prastasis"/>
    <w:uiPriority w:val="99"/>
    <w:rsid w:val="006F5707"/>
    <w:pPr>
      <w:widowControl w:val="0"/>
      <w:suppressAutoHyphens/>
      <w:spacing w:line="100" w:lineRule="atLeast"/>
    </w:pPr>
    <w:rPr>
      <w:rFonts w:eastAsia="Liberation Sans" w:cs="Arial Unicode MS"/>
      <w:color w:val="00000A"/>
      <w:kern w:val="1"/>
      <w:lang w:val="en-US" w:eastAsia="lo-LA" w:bidi="lo-LA"/>
    </w:rPr>
  </w:style>
  <w:style w:type="paragraph" w:customStyle="1" w:styleId="CM4">
    <w:name w:val="CM4"/>
    <w:basedOn w:val="Default"/>
    <w:next w:val="Default"/>
    <w:uiPriority w:val="99"/>
    <w:rsid w:val="005772DF"/>
    <w:pPr>
      <w:spacing w:line="271" w:lineRule="atLeast"/>
    </w:pPr>
    <w:rPr>
      <w:rFonts w:cs="Arial Unicode MS"/>
      <w:color w:val="auto"/>
    </w:rPr>
  </w:style>
  <w:style w:type="character" w:styleId="Komentaronuoroda">
    <w:name w:val="annotation reference"/>
    <w:uiPriority w:val="99"/>
    <w:semiHidden/>
    <w:rsid w:val="00F9729F"/>
    <w:rPr>
      <w:rFonts w:cs="Times New Roman"/>
      <w:sz w:val="16"/>
      <w:szCs w:val="16"/>
    </w:rPr>
  </w:style>
  <w:style w:type="paragraph" w:styleId="Komentarotekstas">
    <w:name w:val="annotation text"/>
    <w:basedOn w:val="prastasis"/>
    <w:link w:val="KomentarotekstasDiagrama"/>
    <w:uiPriority w:val="99"/>
    <w:semiHidden/>
    <w:rsid w:val="00F9729F"/>
    <w:rPr>
      <w:sz w:val="20"/>
      <w:szCs w:val="20"/>
    </w:rPr>
  </w:style>
  <w:style w:type="character" w:customStyle="1" w:styleId="KomentarotekstasDiagrama">
    <w:name w:val="Komentaro tekstas Diagrama"/>
    <w:link w:val="Komentarotekstas"/>
    <w:uiPriority w:val="99"/>
    <w:semiHidden/>
    <w:locked/>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F9729F"/>
    <w:rPr>
      <w:b/>
      <w:bCs/>
    </w:rPr>
  </w:style>
  <w:style w:type="character" w:customStyle="1" w:styleId="KomentarotemaDiagrama">
    <w:name w:val="Komentaro tema Diagrama"/>
    <w:link w:val="Komentarotema"/>
    <w:uiPriority w:val="99"/>
    <w:semiHidden/>
    <w:locked/>
    <w:rPr>
      <w:rFonts w:cs="Times New Roman"/>
      <w:b/>
      <w:bCs/>
      <w:sz w:val="20"/>
      <w:szCs w:val="20"/>
      <w:lang w:eastAsia="en-US"/>
    </w:rPr>
  </w:style>
  <w:style w:type="paragraph" w:styleId="Sraopastraipa">
    <w:name w:val="List Paragraph"/>
    <w:basedOn w:val="prastasis"/>
    <w:uiPriority w:val="99"/>
    <w:qFormat/>
    <w:rsid w:val="005E4334"/>
    <w:pPr>
      <w:ind w:left="720"/>
      <w:contextualSpacing/>
    </w:pPr>
  </w:style>
  <w:style w:type="paragraph" w:styleId="Porat">
    <w:name w:val="footer"/>
    <w:basedOn w:val="prastasis"/>
    <w:link w:val="PoratDiagrama"/>
    <w:uiPriority w:val="99"/>
    <w:rsid w:val="004873B0"/>
    <w:pPr>
      <w:tabs>
        <w:tab w:val="center" w:pos="4819"/>
        <w:tab w:val="right" w:pos="9638"/>
      </w:tabs>
    </w:pPr>
  </w:style>
  <w:style w:type="character" w:customStyle="1" w:styleId="PoratDiagrama">
    <w:name w:val="Poraštė Diagrama"/>
    <w:link w:val="Porat"/>
    <w:uiPriority w:val="99"/>
    <w:semiHidden/>
    <w:rsid w:val="005413D4"/>
    <w:rPr>
      <w:sz w:val="24"/>
      <w:szCs w:val="24"/>
      <w:lang w:eastAsia="en-US"/>
    </w:rPr>
  </w:style>
  <w:style w:type="character" w:styleId="Puslapionumeris">
    <w:name w:val="page number"/>
    <w:uiPriority w:val="99"/>
    <w:rsid w:val="004873B0"/>
    <w:rPr>
      <w:rFonts w:cs="Times New Roman"/>
    </w:rPr>
  </w:style>
  <w:style w:type="paragraph" w:styleId="Antrats">
    <w:name w:val="header"/>
    <w:basedOn w:val="prastasis"/>
    <w:link w:val="AntratsDiagrama"/>
    <w:uiPriority w:val="99"/>
    <w:rsid w:val="004873B0"/>
    <w:pPr>
      <w:tabs>
        <w:tab w:val="center" w:pos="4819"/>
        <w:tab w:val="right" w:pos="9638"/>
      </w:tabs>
    </w:pPr>
  </w:style>
  <w:style w:type="character" w:customStyle="1" w:styleId="AntratsDiagrama">
    <w:name w:val="Antraštės Diagrama"/>
    <w:link w:val="Antrats"/>
    <w:uiPriority w:val="99"/>
    <w:semiHidden/>
    <w:rsid w:val="005413D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link w:val="Antrat1Diagrama"/>
    <w:uiPriority w:val="99"/>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Pr>
      <w:rFonts w:ascii="Cambria" w:hAnsi="Cambria" w:cs="Times New Roman"/>
      <w:b/>
      <w:bCs/>
      <w:i/>
      <w:iCs/>
      <w:sz w:val="28"/>
      <w:szCs w:val="28"/>
      <w:lang w:eastAsia="en-US"/>
    </w:rPr>
  </w:style>
  <w:style w:type="character" w:customStyle="1" w:styleId="Antrat3Diagrama">
    <w:name w:val="Antraštė 3 Diagrama"/>
    <w:link w:val="Antrat3"/>
    <w:uiPriority w:val="99"/>
    <w:semiHidden/>
    <w:locked/>
    <w:rPr>
      <w:rFonts w:ascii="Cambria" w:hAnsi="Cambria" w:cs="Times New Roman"/>
      <w:b/>
      <w:bCs/>
      <w:sz w:val="26"/>
      <w:szCs w:val="26"/>
      <w:lang w:eastAsia="en-US"/>
    </w:rPr>
  </w:style>
  <w:style w:type="character" w:styleId="Hipersaitas">
    <w:name w:val="Hyperlink"/>
    <w:uiPriority w:val="99"/>
    <w:rsid w:val="00633D05"/>
    <w:rPr>
      <w:rFonts w:cs="Times New Roman"/>
      <w:color w:val="0000FF"/>
      <w:u w:val="single"/>
    </w:rPr>
  </w:style>
  <w:style w:type="paragraph" w:customStyle="1" w:styleId="PI-1EMEASMCA">
    <w:name w:val="PI-1 EMEA_SMCA"/>
    <w:basedOn w:val="Antrat2"/>
    <w:autoRedefine/>
    <w:uiPriority w:val="99"/>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uiPriority w:val="99"/>
    <w:locked/>
    <w:rsid w:val="001120C8"/>
    <w:rPr>
      <w:b/>
      <w:noProof/>
      <w:sz w:val="22"/>
      <w:lang w:val="lt-LT" w:eastAsia="en-US"/>
    </w:rPr>
  </w:style>
  <w:style w:type="paragraph" w:customStyle="1" w:styleId="PI-2EMEASMCA">
    <w:name w:val="PI-2 EMEA_SMCA"/>
    <w:basedOn w:val="Antrat3"/>
    <w:autoRedefine/>
    <w:uiPriority w:val="99"/>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633D05"/>
    <w:rPr>
      <w:noProof/>
      <w:sz w:val="22"/>
      <w:szCs w:val="20"/>
    </w:rPr>
  </w:style>
  <w:style w:type="paragraph" w:customStyle="1" w:styleId="TTEMEASMCA">
    <w:name w:val="TT EMEA_SMCA"/>
    <w:basedOn w:val="Antrat1"/>
    <w:link w:val="TTEMEASMCAChar"/>
    <w:autoRedefine/>
    <w:uiPriority w:val="99"/>
    <w:rsid w:val="00633D05"/>
    <w:pPr>
      <w:keepNext w:val="0"/>
      <w:tabs>
        <w:tab w:val="left" w:pos="567"/>
      </w:tabs>
      <w:spacing w:before="0" w:after="0"/>
      <w:ind w:left="567" w:hanging="567"/>
      <w:jc w:val="center"/>
    </w:pPr>
    <w:rPr>
      <w:rFonts w:ascii="Times New Roman" w:hAnsi="Times New Roman" w:cs="Times New Roman"/>
      <w:bCs w:val="0"/>
      <w:caps/>
      <w:kern w:val="0"/>
      <w:sz w:val="22"/>
      <w:szCs w:val="20"/>
      <w:lang w:val="en-US"/>
    </w:rPr>
  </w:style>
  <w:style w:type="character" w:customStyle="1" w:styleId="TTEMEASMCAChar">
    <w:name w:val="TT EMEA_SMCA Char"/>
    <w:link w:val="TTEMEASMCA"/>
    <w:uiPriority w:val="99"/>
    <w:locked/>
    <w:rsid w:val="00633D05"/>
    <w:rPr>
      <w:b/>
      <w:caps/>
      <w:sz w:val="22"/>
      <w:lang w:val="en-US" w:eastAsia="en-US"/>
    </w:rPr>
  </w:style>
  <w:style w:type="paragraph" w:customStyle="1" w:styleId="BTAnIIEMEASMCA">
    <w:name w:val="BT(AnII) EMEA_SMCA"/>
    <w:basedOn w:val="Debesliotekstas"/>
    <w:autoRedefine/>
    <w:uiPriority w:val="99"/>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33D05"/>
    <w:pPr>
      <w:numPr>
        <w:numId w:val="1"/>
      </w:numPr>
      <w:tabs>
        <w:tab w:val="clear" w:pos="720"/>
        <w:tab w:val="num" w:pos="360"/>
      </w:tabs>
      <w:ind w:left="0" w:firstLine="0"/>
    </w:pPr>
  </w:style>
  <w:style w:type="paragraph" w:customStyle="1" w:styleId="PI-3EMEASMCA">
    <w:name w:val="PI-3 EMEA_SMCA"/>
    <w:basedOn w:val="prastasis"/>
    <w:autoRedefine/>
    <w:uiPriority w:val="99"/>
    <w:rsid w:val="00633D05"/>
    <w:pPr>
      <w:spacing w:line="220" w:lineRule="exact"/>
    </w:pPr>
    <w:rPr>
      <w:b/>
      <w:bCs/>
      <w:sz w:val="22"/>
      <w:szCs w:val="22"/>
    </w:rPr>
  </w:style>
  <w:style w:type="paragraph" w:customStyle="1" w:styleId="BTbEMEASMCA">
    <w:name w:val="BT(b) EMEA_SMCA"/>
    <w:basedOn w:val="BTEMEASMCA"/>
    <w:autoRedefine/>
    <w:uiPriority w:val="99"/>
    <w:rsid w:val="00633D05"/>
    <w:rPr>
      <w:b/>
    </w:rPr>
  </w:style>
  <w:style w:type="paragraph" w:customStyle="1" w:styleId="BTbeEMEASMCA">
    <w:name w:val="BT(be) EMEA_SMCA"/>
    <w:basedOn w:val="BTEMEASMCA"/>
    <w:autoRedefine/>
    <w:uiPriority w:val="99"/>
    <w:rsid w:val="00633D05"/>
    <w:pPr>
      <w:jc w:val="center"/>
    </w:pPr>
    <w:rPr>
      <w:b/>
    </w:rPr>
  </w:style>
  <w:style w:type="paragraph" w:customStyle="1" w:styleId="BTeEMEASMCA">
    <w:name w:val="BT(e) EMEA_SMCA"/>
    <w:basedOn w:val="BTEMEASMCA"/>
    <w:autoRedefine/>
    <w:uiPriority w:val="99"/>
    <w:rsid w:val="00633D05"/>
    <w:pPr>
      <w:jc w:val="center"/>
    </w:pPr>
  </w:style>
  <w:style w:type="paragraph" w:customStyle="1" w:styleId="BTgEMEASMCA">
    <w:name w:val="BT(g) EMEA_SMCA"/>
    <w:basedOn w:val="BTEMEASMCA"/>
    <w:link w:val="BTgEMEASMCAChar"/>
    <w:autoRedefine/>
    <w:uiPriority w:val="99"/>
    <w:rsid w:val="00633D05"/>
    <w:rPr>
      <w:i/>
      <w:color w:val="008000"/>
    </w:rPr>
  </w:style>
  <w:style w:type="character" w:customStyle="1" w:styleId="BTEMEASMCAChar">
    <w:name w:val="BT EMEA_SMCA Char"/>
    <w:link w:val="BTEMEASMCA"/>
    <w:uiPriority w:val="99"/>
    <w:locked/>
    <w:rsid w:val="00633D05"/>
    <w:rPr>
      <w:noProof/>
      <w:sz w:val="22"/>
      <w:lang w:val="lt-LT" w:eastAsia="en-US"/>
    </w:rPr>
  </w:style>
  <w:style w:type="character" w:customStyle="1" w:styleId="BTgEMEASMCAChar">
    <w:name w:val="BT(g) EMEA_SMCA Char"/>
    <w:link w:val="BTgEMEASMCA"/>
    <w:uiPriority w:val="99"/>
    <w:locked/>
    <w:rsid w:val="00633D05"/>
    <w:rPr>
      <w:i/>
      <w:noProof/>
      <w:color w:val="008000"/>
      <w:sz w:val="22"/>
      <w:lang w:val="lt-LT" w:eastAsia="en-US"/>
    </w:rPr>
  </w:style>
  <w:style w:type="paragraph" w:customStyle="1" w:styleId="BTuEMEASMCA">
    <w:name w:val="BT(u) EMEA_SMCA"/>
    <w:basedOn w:val="BTEMEASMCA"/>
    <w:autoRedefine/>
    <w:uiPriority w:val="99"/>
    <w:rsid w:val="00633D05"/>
    <w:rPr>
      <w:u w:val="single"/>
    </w:rPr>
  </w:style>
  <w:style w:type="paragraph" w:styleId="Debesliotekstas">
    <w:name w:val="Balloon Text"/>
    <w:basedOn w:val="prastasis"/>
    <w:link w:val="DebesliotekstasDiagrama"/>
    <w:uiPriority w:val="99"/>
    <w:semiHidden/>
    <w:rsid w:val="00633D05"/>
    <w:rPr>
      <w:rFonts w:ascii="Tahoma" w:hAnsi="Tahoma" w:cs="Tahoma"/>
      <w:sz w:val="16"/>
      <w:szCs w:val="16"/>
    </w:rPr>
  </w:style>
  <w:style w:type="character" w:customStyle="1" w:styleId="DebesliotekstasDiagrama">
    <w:name w:val="Debesėlio tekstas Diagrama"/>
    <w:link w:val="Debesliotekstas"/>
    <w:uiPriority w:val="99"/>
    <w:semiHidden/>
    <w:locked/>
    <w:rPr>
      <w:rFonts w:cs="Times New Roman"/>
      <w:sz w:val="2"/>
      <w:lang w:eastAsia="en-US"/>
    </w:rPr>
  </w:style>
  <w:style w:type="paragraph" w:styleId="Dokumentostruktra">
    <w:name w:val="Document Map"/>
    <w:basedOn w:val="prastasis"/>
    <w:link w:val="DokumentostruktraDiagrama"/>
    <w:uiPriority w:val="99"/>
    <w:semiHidden/>
    <w:rsid w:val="00CE7AF1"/>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locked/>
    <w:rPr>
      <w:rFonts w:cs="Times New Roman"/>
      <w:sz w:val="2"/>
      <w:lang w:eastAsia="en-US"/>
    </w:rPr>
  </w:style>
  <w:style w:type="paragraph" w:customStyle="1" w:styleId="CM13">
    <w:name w:val="CM13"/>
    <w:basedOn w:val="prastasis"/>
    <w:next w:val="prastasis"/>
    <w:uiPriority w:val="99"/>
    <w:rsid w:val="00CA3872"/>
    <w:pPr>
      <w:widowControl w:val="0"/>
      <w:autoSpaceDE w:val="0"/>
      <w:autoSpaceDN w:val="0"/>
      <w:adjustRightInd w:val="0"/>
    </w:pPr>
    <w:rPr>
      <w:rFonts w:eastAsia="MS Mincho" w:cs="Arial Unicode MS"/>
      <w:lang w:val="en-US" w:eastAsia="ja-JP" w:bidi="lo-LA"/>
    </w:rPr>
  </w:style>
  <w:style w:type="paragraph" w:customStyle="1" w:styleId="CM5">
    <w:name w:val="CM5"/>
    <w:basedOn w:val="prastasis"/>
    <w:next w:val="prastasis"/>
    <w:uiPriority w:val="99"/>
    <w:rsid w:val="00CA3872"/>
    <w:pPr>
      <w:widowControl w:val="0"/>
      <w:autoSpaceDE w:val="0"/>
      <w:autoSpaceDN w:val="0"/>
      <w:adjustRightInd w:val="0"/>
    </w:pPr>
    <w:rPr>
      <w:rFonts w:eastAsia="MS Mincho" w:cs="Arial Unicode MS"/>
      <w:lang w:val="en-US" w:eastAsia="ja-JP" w:bidi="lo-LA"/>
    </w:rPr>
  </w:style>
  <w:style w:type="paragraph" w:customStyle="1" w:styleId="Default">
    <w:name w:val="Default"/>
    <w:uiPriority w:val="99"/>
    <w:rsid w:val="00CA3872"/>
    <w:pPr>
      <w:widowControl w:val="0"/>
      <w:autoSpaceDE w:val="0"/>
      <w:autoSpaceDN w:val="0"/>
      <w:adjustRightInd w:val="0"/>
    </w:pPr>
    <w:rPr>
      <w:rFonts w:eastAsia="MS Mincho"/>
      <w:color w:val="000000"/>
      <w:sz w:val="24"/>
      <w:szCs w:val="24"/>
      <w:lang w:val="en-US" w:eastAsia="ja-JP" w:bidi="lo-LA"/>
    </w:rPr>
  </w:style>
  <w:style w:type="paragraph" w:customStyle="1" w:styleId="CM2">
    <w:name w:val="CM2"/>
    <w:basedOn w:val="Default"/>
    <w:next w:val="Default"/>
    <w:uiPriority w:val="99"/>
    <w:rsid w:val="00CA3872"/>
    <w:pPr>
      <w:spacing w:line="278" w:lineRule="atLeast"/>
    </w:pPr>
    <w:rPr>
      <w:rFonts w:cs="Arial Unicode MS"/>
      <w:color w:val="auto"/>
    </w:rPr>
  </w:style>
  <w:style w:type="paragraph" w:customStyle="1" w:styleId="CM6">
    <w:name w:val="CM6"/>
    <w:basedOn w:val="Default"/>
    <w:next w:val="Default"/>
    <w:uiPriority w:val="99"/>
    <w:rsid w:val="00CA3872"/>
    <w:pPr>
      <w:spacing w:line="276" w:lineRule="atLeast"/>
    </w:pPr>
    <w:rPr>
      <w:rFonts w:cs="Arial Unicode MS"/>
      <w:color w:val="auto"/>
    </w:rPr>
  </w:style>
  <w:style w:type="paragraph" w:customStyle="1" w:styleId="CM3">
    <w:name w:val="CM3"/>
    <w:basedOn w:val="Default"/>
    <w:next w:val="Default"/>
    <w:uiPriority w:val="99"/>
    <w:rsid w:val="00CA3872"/>
    <w:pPr>
      <w:spacing w:line="276" w:lineRule="atLeast"/>
    </w:pPr>
    <w:rPr>
      <w:rFonts w:cs="Arial Unicode MS"/>
      <w:color w:val="auto"/>
    </w:rPr>
  </w:style>
  <w:style w:type="paragraph" w:customStyle="1" w:styleId="CM14">
    <w:name w:val="CM14"/>
    <w:basedOn w:val="Default"/>
    <w:next w:val="Default"/>
    <w:uiPriority w:val="99"/>
    <w:rsid w:val="00CA3872"/>
    <w:rPr>
      <w:rFonts w:cs="Arial Unicode MS"/>
      <w:color w:val="auto"/>
    </w:rPr>
  </w:style>
  <w:style w:type="paragraph" w:customStyle="1" w:styleId="CM15">
    <w:name w:val="CM15"/>
    <w:basedOn w:val="Default"/>
    <w:next w:val="Default"/>
    <w:uiPriority w:val="99"/>
    <w:rsid w:val="00CA3872"/>
    <w:rPr>
      <w:rFonts w:cs="Arial Unicode MS"/>
      <w:color w:val="auto"/>
    </w:rPr>
  </w:style>
  <w:style w:type="table" w:styleId="Lentelstinklelis">
    <w:name w:val="Table Grid"/>
    <w:basedOn w:val="prastojilentel"/>
    <w:uiPriority w:val="99"/>
    <w:rsid w:val="00CA3872"/>
    <w:rPr>
      <w:rFonts w:ascii="Calibri" w:eastAsia="MS Mincho" w:hAnsi="Calibri"/>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CA3872"/>
    <w:rPr>
      <w:rFonts w:ascii="Calibri" w:eastAsia="MS Mincho" w:hAnsi="Calibri"/>
      <w:sz w:val="22"/>
      <w:szCs w:val="22"/>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9">
    <w:name w:val="CM9"/>
    <w:basedOn w:val="Default"/>
    <w:next w:val="Default"/>
    <w:uiPriority w:val="99"/>
    <w:rsid w:val="008168E1"/>
    <w:pPr>
      <w:spacing w:line="276" w:lineRule="atLeast"/>
    </w:pPr>
    <w:rPr>
      <w:rFonts w:cs="Arial Unicode MS"/>
      <w:color w:val="auto"/>
    </w:rPr>
  </w:style>
  <w:style w:type="paragraph" w:customStyle="1" w:styleId="CM16">
    <w:name w:val="CM16"/>
    <w:basedOn w:val="prastasis"/>
    <w:uiPriority w:val="99"/>
    <w:rsid w:val="006F5707"/>
    <w:pPr>
      <w:widowControl w:val="0"/>
      <w:suppressAutoHyphens/>
      <w:spacing w:line="100" w:lineRule="atLeast"/>
    </w:pPr>
    <w:rPr>
      <w:rFonts w:eastAsia="Liberation Sans" w:cs="Arial Unicode MS"/>
      <w:color w:val="00000A"/>
      <w:kern w:val="1"/>
      <w:lang w:val="en-US" w:eastAsia="lo-LA" w:bidi="lo-LA"/>
    </w:rPr>
  </w:style>
  <w:style w:type="paragraph" w:customStyle="1" w:styleId="CM17">
    <w:name w:val="CM17"/>
    <w:basedOn w:val="prastasis"/>
    <w:uiPriority w:val="99"/>
    <w:rsid w:val="006F5707"/>
    <w:pPr>
      <w:widowControl w:val="0"/>
      <w:suppressAutoHyphens/>
      <w:spacing w:line="100" w:lineRule="atLeast"/>
    </w:pPr>
    <w:rPr>
      <w:rFonts w:eastAsia="Liberation Sans" w:cs="Arial Unicode MS"/>
      <w:color w:val="00000A"/>
      <w:kern w:val="1"/>
      <w:lang w:val="en-US" w:eastAsia="lo-LA" w:bidi="lo-LA"/>
    </w:rPr>
  </w:style>
  <w:style w:type="paragraph" w:customStyle="1" w:styleId="CM4">
    <w:name w:val="CM4"/>
    <w:basedOn w:val="Default"/>
    <w:next w:val="Default"/>
    <w:uiPriority w:val="99"/>
    <w:rsid w:val="005772DF"/>
    <w:pPr>
      <w:spacing w:line="271" w:lineRule="atLeast"/>
    </w:pPr>
    <w:rPr>
      <w:rFonts w:cs="Arial Unicode MS"/>
      <w:color w:val="auto"/>
    </w:rPr>
  </w:style>
  <w:style w:type="character" w:styleId="Komentaronuoroda">
    <w:name w:val="annotation reference"/>
    <w:uiPriority w:val="99"/>
    <w:semiHidden/>
    <w:rsid w:val="00F9729F"/>
    <w:rPr>
      <w:rFonts w:cs="Times New Roman"/>
      <w:sz w:val="16"/>
      <w:szCs w:val="16"/>
    </w:rPr>
  </w:style>
  <w:style w:type="paragraph" w:styleId="Komentarotekstas">
    <w:name w:val="annotation text"/>
    <w:basedOn w:val="prastasis"/>
    <w:link w:val="KomentarotekstasDiagrama"/>
    <w:uiPriority w:val="99"/>
    <w:semiHidden/>
    <w:rsid w:val="00F9729F"/>
    <w:rPr>
      <w:sz w:val="20"/>
      <w:szCs w:val="20"/>
    </w:rPr>
  </w:style>
  <w:style w:type="character" w:customStyle="1" w:styleId="KomentarotekstasDiagrama">
    <w:name w:val="Komentaro tekstas Diagrama"/>
    <w:link w:val="Komentarotekstas"/>
    <w:uiPriority w:val="99"/>
    <w:semiHidden/>
    <w:locked/>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F9729F"/>
    <w:rPr>
      <w:b/>
      <w:bCs/>
    </w:rPr>
  </w:style>
  <w:style w:type="character" w:customStyle="1" w:styleId="KomentarotemaDiagrama">
    <w:name w:val="Komentaro tema Diagrama"/>
    <w:link w:val="Komentarotema"/>
    <w:uiPriority w:val="99"/>
    <w:semiHidden/>
    <w:locked/>
    <w:rPr>
      <w:rFonts w:cs="Times New Roman"/>
      <w:b/>
      <w:bCs/>
      <w:sz w:val="20"/>
      <w:szCs w:val="20"/>
      <w:lang w:eastAsia="en-US"/>
    </w:rPr>
  </w:style>
  <w:style w:type="paragraph" w:styleId="Sraopastraipa">
    <w:name w:val="List Paragraph"/>
    <w:basedOn w:val="prastasis"/>
    <w:uiPriority w:val="99"/>
    <w:qFormat/>
    <w:rsid w:val="005E4334"/>
    <w:pPr>
      <w:ind w:left="720"/>
      <w:contextualSpacing/>
    </w:pPr>
  </w:style>
  <w:style w:type="paragraph" w:styleId="Porat">
    <w:name w:val="footer"/>
    <w:basedOn w:val="prastasis"/>
    <w:link w:val="PoratDiagrama"/>
    <w:uiPriority w:val="99"/>
    <w:rsid w:val="004873B0"/>
    <w:pPr>
      <w:tabs>
        <w:tab w:val="center" w:pos="4819"/>
        <w:tab w:val="right" w:pos="9638"/>
      </w:tabs>
    </w:pPr>
  </w:style>
  <w:style w:type="character" w:customStyle="1" w:styleId="PoratDiagrama">
    <w:name w:val="Poraštė Diagrama"/>
    <w:link w:val="Porat"/>
    <w:uiPriority w:val="99"/>
    <w:semiHidden/>
    <w:rsid w:val="005413D4"/>
    <w:rPr>
      <w:sz w:val="24"/>
      <w:szCs w:val="24"/>
      <w:lang w:eastAsia="en-US"/>
    </w:rPr>
  </w:style>
  <w:style w:type="character" w:styleId="Puslapionumeris">
    <w:name w:val="page number"/>
    <w:uiPriority w:val="99"/>
    <w:rsid w:val="004873B0"/>
    <w:rPr>
      <w:rFonts w:cs="Times New Roman"/>
    </w:rPr>
  </w:style>
  <w:style w:type="paragraph" w:styleId="Antrats">
    <w:name w:val="header"/>
    <w:basedOn w:val="prastasis"/>
    <w:link w:val="AntratsDiagrama"/>
    <w:uiPriority w:val="99"/>
    <w:rsid w:val="004873B0"/>
    <w:pPr>
      <w:tabs>
        <w:tab w:val="center" w:pos="4819"/>
        <w:tab w:val="right" w:pos="9638"/>
      </w:tabs>
    </w:pPr>
  </w:style>
  <w:style w:type="character" w:customStyle="1" w:styleId="AntratsDiagrama">
    <w:name w:val="Antraštės Diagrama"/>
    <w:link w:val="Antrats"/>
    <w:uiPriority w:val="99"/>
    <w:semiHidden/>
    <w:rsid w:val="005413D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36</Pages>
  <Words>8984</Words>
  <Characters>62634</Characters>
  <Application>Microsoft Office Word</Application>
  <DocSecurity>8</DocSecurity>
  <Lines>521</Lines>
  <Paragraphs>142</Paragraphs>
  <ScaleCrop>false</ScaleCrop>
  <HeadingPairs>
    <vt:vector size="2" baseType="variant">
      <vt:variant>
        <vt:lpstr>Pavadinimas</vt:lpstr>
      </vt:variant>
      <vt:variant>
        <vt:i4>1</vt:i4>
      </vt:variant>
    </vt:vector>
  </HeadingPairs>
  <TitlesOfParts>
    <vt:vector size="1" baseType="lpstr">
      <vt:lpstr>PATVIRTINTA</vt:lpstr>
    </vt:vector>
  </TitlesOfParts>
  <Company>VVKT</Company>
  <LinksUpToDate>false</LinksUpToDate>
  <CharactersWithSpaces>71476</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4</cp:revision>
  <cp:lastPrinted>2006-10-24T12:30:00Z</cp:lastPrinted>
  <dcterms:created xsi:type="dcterms:W3CDTF">2015-08-14T08:18:00Z</dcterms:created>
  <dcterms:modified xsi:type="dcterms:W3CDTF">2015-08-14T10:00:00Z</dcterms:modified>
</cp:coreProperties>
</file>