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40525" w14:textId="77777777" w:rsidR="00AE6755" w:rsidRPr="009F0293" w:rsidRDefault="00AE6755" w:rsidP="001F2847">
      <w:pPr>
        <w:rPr>
          <w:szCs w:val="22"/>
        </w:rPr>
      </w:pPr>
    </w:p>
    <w:p w14:paraId="1B965A79" w14:textId="77777777" w:rsidR="00AE6755" w:rsidRPr="009F0293" w:rsidRDefault="00AE6755" w:rsidP="001F2847">
      <w:pPr>
        <w:rPr>
          <w:szCs w:val="22"/>
        </w:rPr>
      </w:pPr>
    </w:p>
    <w:p w14:paraId="72199B83" w14:textId="77777777" w:rsidR="00AE6755" w:rsidRPr="009F0293" w:rsidRDefault="00AE6755" w:rsidP="001F2847">
      <w:pPr>
        <w:rPr>
          <w:szCs w:val="22"/>
        </w:rPr>
      </w:pPr>
    </w:p>
    <w:p w14:paraId="5B6FDC56" w14:textId="77777777" w:rsidR="00AE6755" w:rsidRPr="009F0293" w:rsidRDefault="00AE6755" w:rsidP="001F2847">
      <w:pPr>
        <w:rPr>
          <w:szCs w:val="22"/>
        </w:rPr>
      </w:pPr>
    </w:p>
    <w:p w14:paraId="6D64B0DF" w14:textId="77777777" w:rsidR="00AE6755" w:rsidRPr="009F0293" w:rsidRDefault="00AE6755" w:rsidP="001F2847">
      <w:pPr>
        <w:rPr>
          <w:szCs w:val="22"/>
        </w:rPr>
      </w:pPr>
    </w:p>
    <w:p w14:paraId="4AE24EDA" w14:textId="77777777" w:rsidR="00AE6755" w:rsidRPr="009F0293" w:rsidRDefault="00AE6755" w:rsidP="001F2847">
      <w:pPr>
        <w:rPr>
          <w:szCs w:val="22"/>
        </w:rPr>
      </w:pPr>
    </w:p>
    <w:p w14:paraId="66F7D424" w14:textId="77777777" w:rsidR="00AE6755" w:rsidRPr="009F0293" w:rsidRDefault="00AE6755" w:rsidP="001F2847">
      <w:pPr>
        <w:rPr>
          <w:szCs w:val="22"/>
        </w:rPr>
      </w:pPr>
    </w:p>
    <w:p w14:paraId="4C9245D7" w14:textId="77777777" w:rsidR="00AE6755" w:rsidRPr="009F0293" w:rsidRDefault="00AE6755" w:rsidP="001F2847">
      <w:pPr>
        <w:rPr>
          <w:szCs w:val="22"/>
        </w:rPr>
      </w:pPr>
    </w:p>
    <w:p w14:paraId="228E1E00" w14:textId="77777777" w:rsidR="00AE6755" w:rsidRPr="009F0293" w:rsidRDefault="00AE6755" w:rsidP="001F2847">
      <w:pPr>
        <w:rPr>
          <w:szCs w:val="22"/>
        </w:rPr>
      </w:pPr>
    </w:p>
    <w:p w14:paraId="4121B81F" w14:textId="77777777" w:rsidR="00AE6755" w:rsidRPr="009F0293" w:rsidRDefault="00AE6755" w:rsidP="001F2847">
      <w:pPr>
        <w:rPr>
          <w:szCs w:val="22"/>
        </w:rPr>
      </w:pPr>
    </w:p>
    <w:p w14:paraId="45A15A19" w14:textId="77777777" w:rsidR="00AE6755" w:rsidRPr="009F0293" w:rsidRDefault="00AE6755" w:rsidP="001F2847">
      <w:pPr>
        <w:rPr>
          <w:szCs w:val="22"/>
        </w:rPr>
      </w:pPr>
    </w:p>
    <w:p w14:paraId="5A0A4CF1" w14:textId="77777777" w:rsidR="00AE6755" w:rsidRPr="009F0293" w:rsidRDefault="00AE6755" w:rsidP="001F2847">
      <w:pPr>
        <w:rPr>
          <w:szCs w:val="22"/>
        </w:rPr>
      </w:pPr>
    </w:p>
    <w:p w14:paraId="5836ADEA" w14:textId="77777777" w:rsidR="00AE6755" w:rsidRPr="009F0293" w:rsidRDefault="00AE6755" w:rsidP="001F2847">
      <w:pPr>
        <w:rPr>
          <w:szCs w:val="22"/>
        </w:rPr>
      </w:pPr>
    </w:p>
    <w:p w14:paraId="44BAC738" w14:textId="77777777" w:rsidR="00AE6755" w:rsidRPr="009F0293" w:rsidRDefault="00AE6755" w:rsidP="001F2847">
      <w:pPr>
        <w:rPr>
          <w:szCs w:val="22"/>
        </w:rPr>
      </w:pPr>
    </w:p>
    <w:p w14:paraId="4C7987AF" w14:textId="77777777" w:rsidR="00AE6755" w:rsidRPr="009F0293" w:rsidRDefault="00AE6755" w:rsidP="001F2847">
      <w:pPr>
        <w:rPr>
          <w:szCs w:val="22"/>
        </w:rPr>
      </w:pPr>
    </w:p>
    <w:p w14:paraId="6D572455" w14:textId="77777777" w:rsidR="00AE6755" w:rsidRPr="009F0293" w:rsidRDefault="00AE6755" w:rsidP="001F2847">
      <w:pPr>
        <w:rPr>
          <w:szCs w:val="22"/>
        </w:rPr>
      </w:pPr>
    </w:p>
    <w:p w14:paraId="4319AFF7" w14:textId="77777777" w:rsidR="00AE6755" w:rsidRPr="009F0293" w:rsidRDefault="00AE6755" w:rsidP="001F2847">
      <w:pPr>
        <w:rPr>
          <w:szCs w:val="22"/>
        </w:rPr>
      </w:pPr>
    </w:p>
    <w:p w14:paraId="4B805D8A" w14:textId="77777777" w:rsidR="00AE6755" w:rsidRPr="009F0293" w:rsidRDefault="00AE6755" w:rsidP="001F2847">
      <w:pPr>
        <w:rPr>
          <w:szCs w:val="22"/>
        </w:rPr>
      </w:pPr>
    </w:p>
    <w:p w14:paraId="16914390" w14:textId="77777777" w:rsidR="00AE6755" w:rsidRPr="009F0293" w:rsidRDefault="00AE6755" w:rsidP="001F2847">
      <w:pPr>
        <w:rPr>
          <w:szCs w:val="22"/>
        </w:rPr>
      </w:pPr>
    </w:p>
    <w:p w14:paraId="5DD9A947" w14:textId="77777777" w:rsidR="00AE6755" w:rsidRPr="009F0293" w:rsidRDefault="00AE6755" w:rsidP="001F2847">
      <w:pPr>
        <w:rPr>
          <w:szCs w:val="22"/>
        </w:rPr>
      </w:pPr>
    </w:p>
    <w:p w14:paraId="023FEAF4" w14:textId="77777777" w:rsidR="00AE6755" w:rsidRPr="009F0293" w:rsidRDefault="00AE6755" w:rsidP="001F2847">
      <w:pPr>
        <w:rPr>
          <w:szCs w:val="22"/>
        </w:rPr>
      </w:pPr>
    </w:p>
    <w:p w14:paraId="6925442B" w14:textId="77777777" w:rsidR="00AE6755" w:rsidRPr="009F0293" w:rsidRDefault="00AE6755" w:rsidP="001F2847">
      <w:pPr>
        <w:rPr>
          <w:szCs w:val="22"/>
        </w:rPr>
      </w:pPr>
    </w:p>
    <w:p w14:paraId="55B501EF" w14:textId="77777777" w:rsidR="00AE6755" w:rsidRPr="009F0293" w:rsidRDefault="00AE6755" w:rsidP="001F2847">
      <w:pPr>
        <w:rPr>
          <w:szCs w:val="22"/>
        </w:rPr>
      </w:pPr>
    </w:p>
    <w:p w14:paraId="1C181647" w14:textId="77777777" w:rsidR="00AE6755" w:rsidRPr="009F0293" w:rsidRDefault="00AE6755" w:rsidP="001F2847">
      <w:pPr>
        <w:jc w:val="center"/>
        <w:rPr>
          <w:b/>
          <w:szCs w:val="22"/>
        </w:rPr>
      </w:pPr>
      <w:r w:rsidRPr="009F0293">
        <w:rPr>
          <w:b/>
          <w:szCs w:val="22"/>
        </w:rPr>
        <w:t>I PRIEDAS</w:t>
      </w:r>
    </w:p>
    <w:p w14:paraId="631B5D36" w14:textId="77777777" w:rsidR="00AE6755" w:rsidRPr="009F0293" w:rsidRDefault="00AE6755" w:rsidP="001F2847">
      <w:pPr>
        <w:jc w:val="center"/>
        <w:rPr>
          <w:b/>
          <w:szCs w:val="22"/>
        </w:rPr>
      </w:pPr>
    </w:p>
    <w:p w14:paraId="2BD3BC08" w14:textId="77777777" w:rsidR="00AE6755" w:rsidRPr="009F0293" w:rsidRDefault="00AE6755" w:rsidP="001F2847">
      <w:pPr>
        <w:jc w:val="center"/>
        <w:rPr>
          <w:b/>
          <w:szCs w:val="22"/>
        </w:rPr>
      </w:pPr>
      <w:r w:rsidRPr="009F0293">
        <w:rPr>
          <w:b/>
          <w:szCs w:val="22"/>
        </w:rPr>
        <w:t>PREPARATO CHARAKTERISTIKŲ SANTRAUKA</w:t>
      </w:r>
    </w:p>
    <w:p w14:paraId="74E14975" w14:textId="77777777" w:rsidR="00AE6755" w:rsidRPr="009F0293" w:rsidRDefault="00AE6755" w:rsidP="001F2847">
      <w:pPr>
        <w:jc w:val="center"/>
        <w:rPr>
          <w:b/>
          <w:szCs w:val="22"/>
        </w:rPr>
      </w:pPr>
    </w:p>
    <w:p w14:paraId="01CC0372" w14:textId="77777777" w:rsidR="00AE6755" w:rsidRPr="009F0293" w:rsidRDefault="00AE6755" w:rsidP="001F2847">
      <w:pPr>
        <w:tabs>
          <w:tab w:val="left" w:pos="567"/>
        </w:tabs>
        <w:rPr>
          <w:b/>
          <w:szCs w:val="22"/>
        </w:rPr>
      </w:pPr>
      <w:r w:rsidRPr="009F0293">
        <w:rPr>
          <w:szCs w:val="22"/>
        </w:rPr>
        <w:br w:type="page"/>
      </w:r>
      <w:r w:rsidRPr="009F0293">
        <w:rPr>
          <w:b/>
          <w:szCs w:val="22"/>
        </w:rPr>
        <w:lastRenderedPageBreak/>
        <w:t>1.</w:t>
      </w:r>
      <w:r w:rsidRPr="009F0293">
        <w:rPr>
          <w:b/>
          <w:szCs w:val="22"/>
        </w:rPr>
        <w:tab/>
      </w:r>
      <w:r w:rsidRPr="009F0293">
        <w:rPr>
          <w:b/>
          <w:caps/>
          <w:szCs w:val="22"/>
        </w:rPr>
        <w:t>VAISTINIO</w:t>
      </w:r>
      <w:r w:rsidRPr="009F0293">
        <w:rPr>
          <w:b/>
          <w:szCs w:val="22"/>
        </w:rPr>
        <w:t xml:space="preserve"> PREPARATO PAVADINIMAS</w:t>
      </w:r>
    </w:p>
    <w:p w14:paraId="0AACDC4C" w14:textId="77777777" w:rsidR="00AE6755" w:rsidRPr="009F0293" w:rsidRDefault="00AE6755" w:rsidP="001F2847">
      <w:pPr>
        <w:rPr>
          <w:szCs w:val="22"/>
        </w:rPr>
      </w:pPr>
    </w:p>
    <w:p w14:paraId="248C05B6" w14:textId="2D21823E" w:rsidR="00AE6755" w:rsidRPr="009F0293" w:rsidRDefault="00247FEA" w:rsidP="001F2847">
      <w:pPr>
        <w:rPr>
          <w:szCs w:val="22"/>
        </w:rPr>
      </w:pPr>
      <w:r w:rsidRPr="009F0293">
        <w:rPr>
          <w:szCs w:val="22"/>
        </w:rPr>
        <w:t>Carzan HCT</w:t>
      </w:r>
      <w:r w:rsidR="00AE6755" w:rsidRPr="009F0293">
        <w:rPr>
          <w:szCs w:val="22"/>
        </w:rPr>
        <w:t xml:space="preserve"> 16</w:t>
      </w:r>
      <w:r w:rsidR="00C86F82" w:rsidRPr="009F0293">
        <w:rPr>
          <w:szCs w:val="22"/>
        </w:rPr>
        <w:t> mg</w:t>
      </w:r>
      <w:r w:rsidR="00AE6755" w:rsidRPr="009F0293">
        <w:rPr>
          <w:szCs w:val="22"/>
        </w:rPr>
        <w:t>/12,5</w:t>
      </w:r>
      <w:r w:rsidR="00C86F82" w:rsidRPr="009F0293">
        <w:rPr>
          <w:szCs w:val="22"/>
        </w:rPr>
        <w:t> mg</w:t>
      </w:r>
      <w:r w:rsidR="00AE6755" w:rsidRPr="009F0293">
        <w:rPr>
          <w:szCs w:val="22"/>
        </w:rPr>
        <w:t xml:space="preserve"> tabletės</w:t>
      </w:r>
      <w:bookmarkStart w:id="0" w:name="_GoBack"/>
      <w:bookmarkEnd w:id="0"/>
    </w:p>
    <w:p w14:paraId="2AC3E722" w14:textId="77777777" w:rsidR="00AE6755" w:rsidRPr="009F0293" w:rsidRDefault="00AE6755" w:rsidP="001F2847">
      <w:pPr>
        <w:rPr>
          <w:szCs w:val="22"/>
        </w:rPr>
      </w:pPr>
    </w:p>
    <w:p w14:paraId="3886CDA5" w14:textId="77777777" w:rsidR="00AE6755" w:rsidRPr="009F0293" w:rsidRDefault="00AE6755" w:rsidP="001F2847">
      <w:pPr>
        <w:rPr>
          <w:szCs w:val="22"/>
        </w:rPr>
      </w:pPr>
    </w:p>
    <w:p w14:paraId="268BFD4F" w14:textId="77777777" w:rsidR="00AE6755" w:rsidRPr="009F0293" w:rsidRDefault="00AE6755" w:rsidP="001F2847">
      <w:pPr>
        <w:tabs>
          <w:tab w:val="left" w:pos="567"/>
        </w:tabs>
        <w:rPr>
          <w:b/>
          <w:szCs w:val="22"/>
        </w:rPr>
      </w:pPr>
      <w:r w:rsidRPr="009F0293">
        <w:rPr>
          <w:b/>
          <w:szCs w:val="22"/>
        </w:rPr>
        <w:t>2.</w:t>
      </w:r>
      <w:r w:rsidRPr="009F0293">
        <w:rPr>
          <w:b/>
          <w:szCs w:val="22"/>
        </w:rPr>
        <w:tab/>
        <w:t>KOKYBINĖ IR KIEKYBINĖ SUDĖTIS</w:t>
      </w:r>
    </w:p>
    <w:p w14:paraId="63819112" w14:textId="77777777" w:rsidR="00AE6755" w:rsidRPr="009F0293" w:rsidRDefault="00AE6755" w:rsidP="001F2847">
      <w:pPr>
        <w:rPr>
          <w:szCs w:val="22"/>
        </w:rPr>
      </w:pPr>
    </w:p>
    <w:p w14:paraId="7CA7436A" w14:textId="46A79F49" w:rsidR="00AE6755" w:rsidRPr="009F0293" w:rsidRDefault="00AE6755" w:rsidP="001F2847">
      <w:pPr>
        <w:rPr>
          <w:szCs w:val="22"/>
        </w:rPr>
      </w:pPr>
      <w:r w:rsidRPr="009F0293">
        <w:rPr>
          <w:szCs w:val="22"/>
        </w:rPr>
        <w:t>Kiekvienoje tabletėje yra 16</w:t>
      </w:r>
      <w:r w:rsidR="00C86F82" w:rsidRPr="009F0293">
        <w:rPr>
          <w:szCs w:val="22"/>
        </w:rPr>
        <w:t> mg</w:t>
      </w:r>
      <w:r w:rsidRPr="009F0293">
        <w:rPr>
          <w:szCs w:val="22"/>
        </w:rPr>
        <w:t xml:space="preserve"> kandesartano cileksetilo ir 12,5</w:t>
      </w:r>
      <w:r w:rsidR="00C86F82" w:rsidRPr="009F0293">
        <w:rPr>
          <w:szCs w:val="22"/>
        </w:rPr>
        <w:t> mg</w:t>
      </w:r>
      <w:r w:rsidRPr="009F0293">
        <w:rPr>
          <w:szCs w:val="22"/>
        </w:rPr>
        <w:t xml:space="preserve"> </w:t>
      </w:r>
      <w:r w:rsidRPr="009F0293">
        <w:rPr>
          <w:rStyle w:val="Emfaz"/>
          <w:i w:val="0"/>
          <w:szCs w:val="22"/>
        </w:rPr>
        <w:t>hidrochlorotiazido</w:t>
      </w:r>
      <w:r w:rsidRPr="009F0293">
        <w:rPr>
          <w:szCs w:val="22"/>
        </w:rPr>
        <w:t>.</w:t>
      </w:r>
    </w:p>
    <w:p w14:paraId="37D23E95" w14:textId="77777777" w:rsidR="00AE6755" w:rsidRPr="009F0293" w:rsidRDefault="00AE6755" w:rsidP="000E6AFB">
      <w:pPr>
        <w:rPr>
          <w:szCs w:val="22"/>
        </w:rPr>
      </w:pPr>
    </w:p>
    <w:p w14:paraId="17B7A463" w14:textId="1F19C64B" w:rsidR="00AE6755" w:rsidRPr="009F0293" w:rsidRDefault="00AE6755" w:rsidP="001F2847">
      <w:pPr>
        <w:rPr>
          <w:szCs w:val="22"/>
        </w:rPr>
      </w:pPr>
      <w:r w:rsidRPr="009F0293">
        <w:rPr>
          <w:szCs w:val="22"/>
          <w:u w:val="single"/>
        </w:rPr>
        <w:t>Pagalbinė medžiag</w:t>
      </w:r>
      <w:r w:rsidR="008F4F7B">
        <w:rPr>
          <w:szCs w:val="22"/>
          <w:u w:val="single"/>
        </w:rPr>
        <w:t>a</w:t>
      </w:r>
      <w:r w:rsidR="0091671D" w:rsidRPr="009F0293">
        <w:rPr>
          <w:szCs w:val="22"/>
          <w:u w:val="single"/>
        </w:rPr>
        <w:t>,</w:t>
      </w:r>
      <w:r w:rsidR="0091671D" w:rsidRPr="009F0293">
        <w:rPr>
          <w:noProof/>
          <w:snapToGrid w:val="0"/>
          <w:szCs w:val="22"/>
          <w:u w:val="single"/>
        </w:rPr>
        <w:t xml:space="preserve"> </w:t>
      </w:r>
      <w:r w:rsidR="0091671D" w:rsidRPr="009F0293">
        <w:rPr>
          <w:szCs w:val="22"/>
          <w:u w:val="single"/>
        </w:rPr>
        <w:t>kuri</w:t>
      </w:r>
      <w:r w:rsidR="008F4F7B">
        <w:rPr>
          <w:szCs w:val="22"/>
          <w:u w:val="single"/>
        </w:rPr>
        <w:t>os</w:t>
      </w:r>
      <w:r w:rsidR="0091671D" w:rsidRPr="009F0293">
        <w:rPr>
          <w:szCs w:val="22"/>
          <w:u w:val="single"/>
        </w:rPr>
        <w:t xml:space="preserve"> poveikis žinomas</w:t>
      </w:r>
      <w:r w:rsidRPr="009F0293">
        <w:rPr>
          <w:szCs w:val="22"/>
        </w:rPr>
        <w:t>:</w:t>
      </w:r>
    </w:p>
    <w:p w14:paraId="7B2A1DA9" w14:textId="0B0A611A" w:rsidR="00AE6755" w:rsidRPr="009F0293" w:rsidRDefault="00247FEA" w:rsidP="001F2847">
      <w:pPr>
        <w:rPr>
          <w:szCs w:val="22"/>
        </w:rPr>
      </w:pPr>
      <w:r w:rsidRPr="009F0293">
        <w:rPr>
          <w:szCs w:val="22"/>
        </w:rPr>
        <w:t>Carzan HCT</w:t>
      </w:r>
      <w:r w:rsidR="00AE6755" w:rsidRPr="009F0293">
        <w:rPr>
          <w:szCs w:val="22"/>
        </w:rPr>
        <w:t xml:space="preserve"> 16</w:t>
      </w:r>
      <w:r w:rsidR="00C86F82" w:rsidRPr="009F0293">
        <w:rPr>
          <w:szCs w:val="22"/>
        </w:rPr>
        <w:t> mg</w:t>
      </w:r>
      <w:r w:rsidR="00AE6755" w:rsidRPr="009F0293">
        <w:rPr>
          <w:szCs w:val="22"/>
        </w:rPr>
        <w:t>/12,5</w:t>
      </w:r>
      <w:r w:rsidR="00C86F82" w:rsidRPr="009F0293">
        <w:rPr>
          <w:szCs w:val="22"/>
        </w:rPr>
        <w:t> mg</w:t>
      </w:r>
      <w:r w:rsidR="00AE6755" w:rsidRPr="009F0293">
        <w:rPr>
          <w:szCs w:val="22"/>
        </w:rPr>
        <w:t xml:space="preserve"> tabletėje yra </w:t>
      </w:r>
      <w:r w:rsidR="00B1422B">
        <w:rPr>
          <w:szCs w:val="22"/>
        </w:rPr>
        <w:t>103,83</w:t>
      </w:r>
      <w:r w:rsidR="00C86F82" w:rsidRPr="009F0293">
        <w:rPr>
          <w:szCs w:val="22"/>
        </w:rPr>
        <w:t> mg</w:t>
      </w:r>
      <w:r w:rsidR="00AE6755" w:rsidRPr="009F0293">
        <w:rPr>
          <w:szCs w:val="22"/>
        </w:rPr>
        <w:t xml:space="preserve"> laktozės.</w:t>
      </w:r>
    </w:p>
    <w:p w14:paraId="19C0E956" w14:textId="77777777" w:rsidR="00AE6755" w:rsidRPr="009F0293" w:rsidRDefault="00AE6755" w:rsidP="001F2847">
      <w:pPr>
        <w:rPr>
          <w:szCs w:val="22"/>
        </w:rPr>
      </w:pPr>
    </w:p>
    <w:p w14:paraId="18C45559" w14:textId="77777777" w:rsidR="00AE6755" w:rsidRPr="009F0293" w:rsidRDefault="00AE6755" w:rsidP="001F2847">
      <w:pPr>
        <w:rPr>
          <w:szCs w:val="22"/>
        </w:rPr>
      </w:pPr>
      <w:r w:rsidRPr="009F0293">
        <w:rPr>
          <w:szCs w:val="22"/>
        </w:rPr>
        <w:t>Visos pagalbinės medžiagos išvardytos 6.1 skyriuje.</w:t>
      </w:r>
    </w:p>
    <w:p w14:paraId="3F0AE749" w14:textId="77777777" w:rsidR="00AE6755" w:rsidRPr="009F0293" w:rsidRDefault="00AE6755" w:rsidP="001F2847">
      <w:pPr>
        <w:rPr>
          <w:szCs w:val="22"/>
        </w:rPr>
      </w:pPr>
    </w:p>
    <w:p w14:paraId="2057BEF4" w14:textId="77777777" w:rsidR="00AE6755" w:rsidRPr="009F0293" w:rsidRDefault="00AE6755" w:rsidP="001F2847">
      <w:pPr>
        <w:rPr>
          <w:szCs w:val="22"/>
        </w:rPr>
      </w:pPr>
    </w:p>
    <w:p w14:paraId="61454B8A" w14:textId="77777777" w:rsidR="00AE6755" w:rsidRPr="009F0293" w:rsidRDefault="00AE6755" w:rsidP="001F2847">
      <w:pPr>
        <w:tabs>
          <w:tab w:val="left" w:pos="567"/>
        </w:tabs>
        <w:rPr>
          <w:b/>
          <w:szCs w:val="22"/>
        </w:rPr>
      </w:pPr>
      <w:r w:rsidRPr="009F0293">
        <w:rPr>
          <w:b/>
          <w:szCs w:val="22"/>
        </w:rPr>
        <w:t>3.</w:t>
      </w:r>
      <w:r w:rsidRPr="009F0293">
        <w:rPr>
          <w:b/>
          <w:szCs w:val="22"/>
        </w:rPr>
        <w:tab/>
        <w:t>FARMACINĖ FORMA</w:t>
      </w:r>
    </w:p>
    <w:p w14:paraId="3A6FD01D" w14:textId="77777777" w:rsidR="00AE6755" w:rsidRPr="009F0293" w:rsidRDefault="00AE6755" w:rsidP="001F2847">
      <w:pPr>
        <w:rPr>
          <w:szCs w:val="22"/>
        </w:rPr>
      </w:pPr>
    </w:p>
    <w:p w14:paraId="6E8FC059" w14:textId="77777777" w:rsidR="00AE6755" w:rsidRPr="009F0293" w:rsidRDefault="00AE6755" w:rsidP="001F2847">
      <w:pPr>
        <w:rPr>
          <w:szCs w:val="22"/>
        </w:rPr>
      </w:pPr>
      <w:r w:rsidRPr="009F0293">
        <w:rPr>
          <w:szCs w:val="22"/>
        </w:rPr>
        <w:t>Tabletė.</w:t>
      </w:r>
    </w:p>
    <w:p w14:paraId="1BD3120B" w14:textId="77777777" w:rsidR="00AE6755" w:rsidRPr="009F0293" w:rsidRDefault="00AE6755" w:rsidP="001F2847">
      <w:pPr>
        <w:rPr>
          <w:szCs w:val="22"/>
        </w:rPr>
      </w:pPr>
    </w:p>
    <w:p w14:paraId="0B67DF48" w14:textId="283BC6DD" w:rsidR="00AE6755" w:rsidRPr="009F0293" w:rsidRDefault="00455BA7" w:rsidP="001F2847">
      <w:pPr>
        <w:rPr>
          <w:szCs w:val="22"/>
        </w:rPr>
      </w:pPr>
      <w:r w:rsidRPr="009F0293">
        <w:rPr>
          <w:szCs w:val="22"/>
        </w:rPr>
        <w:t>Carzan HCT 16</w:t>
      </w:r>
      <w:r w:rsidR="00C86F82" w:rsidRPr="009F0293">
        <w:rPr>
          <w:szCs w:val="22"/>
        </w:rPr>
        <w:t> mg</w:t>
      </w:r>
      <w:r w:rsidRPr="009F0293">
        <w:rPr>
          <w:szCs w:val="22"/>
        </w:rPr>
        <w:t>/12,5</w:t>
      </w:r>
      <w:r w:rsidR="00C86F82" w:rsidRPr="009F0293">
        <w:rPr>
          <w:szCs w:val="22"/>
        </w:rPr>
        <w:t> mg</w:t>
      </w:r>
      <w:r w:rsidRPr="009F0293">
        <w:rPr>
          <w:szCs w:val="22"/>
        </w:rPr>
        <w:t>: apvali</w:t>
      </w:r>
      <w:r w:rsidR="00AE6755" w:rsidRPr="009F0293">
        <w:rPr>
          <w:szCs w:val="22"/>
        </w:rPr>
        <w:t>, abipus išgaubta, balta arba beveik balta su laužimo vagele ir žyma CH/16 vienoje pusėje, maždaug 8 mm skersmens tabletė. Tabletę galima padalyti į lygias d</w:t>
      </w:r>
      <w:r w:rsidR="00C32C95" w:rsidRPr="009F0293">
        <w:rPr>
          <w:szCs w:val="22"/>
        </w:rPr>
        <w:t>ozes</w:t>
      </w:r>
      <w:r w:rsidR="00AE6755" w:rsidRPr="009F0293">
        <w:rPr>
          <w:szCs w:val="22"/>
        </w:rPr>
        <w:t>.</w:t>
      </w:r>
    </w:p>
    <w:p w14:paraId="2AED71DF" w14:textId="77777777" w:rsidR="00AE6755" w:rsidRPr="009F0293" w:rsidRDefault="00AE6755" w:rsidP="001F2847">
      <w:pPr>
        <w:rPr>
          <w:szCs w:val="22"/>
          <w:highlight w:val="lightGray"/>
        </w:rPr>
      </w:pPr>
    </w:p>
    <w:p w14:paraId="723651FF" w14:textId="77777777" w:rsidR="00AE6755" w:rsidRPr="009F0293" w:rsidRDefault="00AE6755" w:rsidP="001F2847">
      <w:pPr>
        <w:rPr>
          <w:szCs w:val="22"/>
        </w:rPr>
      </w:pPr>
    </w:p>
    <w:p w14:paraId="28F4A99C" w14:textId="77777777" w:rsidR="00AE6755" w:rsidRPr="009F0293" w:rsidRDefault="00AE6755" w:rsidP="001F2847">
      <w:pPr>
        <w:tabs>
          <w:tab w:val="left" w:pos="567"/>
        </w:tabs>
        <w:rPr>
          <w:b/>
          <w:szCs w:val="22"/>
        </w:rPr>
      </w:pPr>
      <w:r w:rsidRPr="009F0293">
        <w:rPr>
          <w:b/>
          <w:caps/>
          <w:szCs w:val="22"/>
        </w:rPr>
        <w:t>4.</w:t>
      </w:r>
      <w:r w:rsidRPr="009F0293">
        <w:rPr>
          <w:b/>
          <w:caps/>
          <w:szCs w:val="22"/>
        </w:rPr>
        <w:tab/>
      </w:r>
      <w:r w:rsidRPr="009F0293">
        <w:rPr>
          <w:b/>
          <w:szCs w:val="22"/>
        </w:rPr>
        <w:t>KLINIKINĖ INFORMACIJA</w:t>
      </w:r>
    </w:p>
    <w:p w14:paraId="4D1B96D2" w14:textId="77777777" w:rsidR="00AE6755" w:rsidRPr="009F0293" w:rsidRDefault="00AE6755" w:rsidP="001F2847">
      <w:pPr>
        <w:rPr>
          <w:b/>
          <w:szCs w:val="22"/>
        </w:rPr>
      </w:pPr>
    </w:p>
    <w:p w14:paraId="3675C544" w14:textId="77777777" w:rsidR="00AE6755" w:rsidRPr="009F0293" w:rsidRDefault="00AE6755" w:rsidP="001F2847">
      <w:pPr>
        <w:tabs>
          <w:tab w:val="left" w:pos="567"/>
        </w:tabs>
        <w:rPr>
          <w:b/>
          <w:szCs w:val="22"/>
        </w:rPr>
      </w:pPr>
      <w:r w:rsidRPr="009F0293">
        <w:rPr>
          <w:b/>
          <w:szCs w:val="22"/>
        </w:rPr>
        <w:t>4.1</w:t>
      </w:r>
      <w:r w:rsidRPr="009F0293">
        <w:rPr>
          <w:b/>
          <w:szCs w:val="22"/>
        </w:rPr>
        <w:tab/>
        <w:t>Terapinės indikacijos</w:t>
      </w:r>
    </w:p>
    <w:p w14:paraId="5F1D8669" w14:textId="77777777" w:rsidR="00AE6755" w:rsidRPr="009F0293" w:rsidRDefault="00AE6755" w:rsidP="001F2847">
      <w:pPr>
        <w:rPr>
          <w:szCs w:val="22"/>
        </w:rPr>
      </w:pPr>
    </w:p>
    <w:p w14:paraId="0ABA59A4" w14:textId="34A09220" w:rsidR="00AE6755" w:rsidRPr="009F0293" w:rsidRDefault="00247FEA">
      <w:pPr>
        <w:rPr>
          <w:szCs w:val="22"/>
        </w:rPr>
      </w:pPr>
      <w:r w:rsidRPr="009F0293">
        <w:rPr>
          <w:szCs w:val="22"/>
        </w:rPr>
        <w:t>Carzan HCT</w:t>
      </w:r>
      <w:r w:rsidR="00AE6755" w:rsidRPr="009F0293">
        <w:rPr>
          <w:szCs w:val="22"/>
        </w:rPr>
        <w:t xml:space="preserve"> </w:t>
      </w:r>
      <w:r w:rsidR="00301388" w:rsidRPr="009F0293">
        <w:rPr>
          <w:szCs w:val="22"/>
        </w:rPr>
        <w:t xml:space="preserve">skirtas </w:t>
      </w:r>
      <w:r w:rsidR="00AE6755" w:rsidRPr="009F0293">
        <w:rPr>
          <w:szCs w:val="22"/>
        </w:rPr>
        <w:t>pirminės arterinės hipertenzijos gydymui suaugusiems pacientams, kurių kraujospūdis nėra optimaliai kontroliuojamas taikant monoterapiją kandesartan</w:t>
      </w:r>
      <w:r w:rsidR="00A501BA" w:rsidRPr="009F0293">
        <w:rPr>
          <w:szCs w:val="22"/>
        </w:rPr>
        <w:t>o</w:t>
      </w:r>
      <w:r w:rsidR="00AE6755" w:rsidRPr="009F0293">
        <w:rPr>
          <w:szCs w:val="22"/>
        </w:rPr>
        <w:t xml:space="preserve"> cileksetilu arba hidrochlorotiazidu.</w:t>
      </w:r>
    </w:p>
    <w:p w14:paraId="2A0DA6D8" w14:textId="77777777" w:rsidR="00AE6755" w:rsidRPr="009F0293" w:rsidRDefault="00AE6755" w:rsidP="0089236D">
      <w:pPr>
        <w:rPr>
          <w:szCs w:val="22"/>
        </w:rPr>
      </w:pPr>
    </w:p>
    <w:p w14:paraId="68C68422" w14:textId="77777777" w:rsidR="00AE6755" w:rsidRPr="009F0293" w:rsidRDefault="00AE6755" w:rsidP="001F2847">
      <w:pPr>
        <w:tabs>
          <w:tab w:val="left" w:pos="567"/>
        </w:tabs>
        <w:ind w:left="567" w:hanging="567"/>
        <w:rPr>
          <w:b/>
          <w:szCs w:val="22"/>
        </w:rPr>
      </w:pPr>
      <w:r w:rsidRPr="009F0293">
        <w:rPr>
          <w:b/>
          <w:szCs w:val="22"/>
        </w:rPr>
        <w:t>4.2</w:t>
      </w:r>
      <w:r w:rsidRPr="009F0293">
        <w:rPr>
          <w:b/>
          <w:szCs w:val="22"/>
        </w:rPr>
        <w:tab/>
        <w:t>Dozavimas ir vartojimo metodas</w:t>
      </w:r>
    </w:p>
    <w:p w14:paraId="22C7FA20" w14:textId="77777777" w:rsidR="00AE6755" w:rsidRPr="009F0293" w:rsidRDefault="00AE6755" w:rsidP="001F2847">
      <w:pPr>
        <w:rPr>
          <w:szCs w:val="22"/>
        </w:rPr>
      </w:pPr>
    </w:p>
    <w:p w14:paraId="6CD35512" w14:textId="77777777" w:rsidR="00AE6755" w:rsidRPr="009F0293" w:rsidRDefault="00AE6755" w:rsidP="001F2847">
      <w:pPr>
        <w:rPr>
          <w:szCs w:val="22"/>
          <w:u w:val="single"/>
        </w:rPr>
      </w:pPr>
      <w:r w:rsidRPr="009F0293">
        <w:rPr>
          <w:szCs w:val="22"/>
          <w:u w:val="single"/>
        </w:rPr>
        <w:t>Dozavimas</w:t>
      </w:r>
    </w:p>
    <w:p w14:paraId="02737D44" w14:textId="77777777" w:rsidR="00AE6755" w:rsidRPr="009F0293" w:rsidRDefault="00AE6755" w:rsidP="005E68DC">
      <w:pPr>
        <w:rPr>
          <w:szCs w:val="22"/>
        </w:rPr>
      </w:pPr>
      <w:r w:rsidRPr="009F0293">
        <w:rPr>
          <w:szCs w:val="22"/>
        </w:rPr>
        <w:t xml:space="preserve">Rekomenduojama </w:t>
      </w:r>
      <w:r w:rsidR="00247FEA" w:rsidRPr="009F0293">
        <w:rPr>
          <w:szCs w:val="22"/>
        </w:rPr>
        <w:t>Carzan HCT</w:t>
      </w:r>
      <w:r w:rsidRPr="009F0293">
        <w:rPr>
          <w:szCs w:val="22"/>
        </w:rPr>
        <w:t xml:space="preserve"> dozė yra viena tabletė vieną kartą per parą.</w:t>
      </w:r>
    </w:p>
    <w:p w14:paraId="1907D01D" w14:textId="77777777" w:rsidR="00B1422B" w:rsidRDefault="00B1422B" w:rsidP="005E68DC">
      <w:pPr>
        <w:rPr>
          <w:szCs w:val="22"/>
        </w:rPr>
      </w:pPr>
    </w:p>
    <w:p w14:paraId="23995892" w14:textId="66139A00" w:rsidR="00AE6755" w:rsidRPr="009F0293" w:rsidRDefault="00AE6755" w:rsidP="005E68DC">
      <w:pPr>
        <w:rPr>
          <w:szCs w:val="22"/>
        </w:rPr>
      </w:pPr>
      <w:r w:rsidRPr="009F0293">
        <w:rPr>
          <w:szCs w:val="22"/>
        </w:rPr>
        <w:t xml:space="preserve">Rekomenduojama palaipsniui nustatyti kiekvienos veikliosios medžiagos (kandesartano cileksetilo ir hidrochlorotiazido) dozę. Jeigu kliniškai tinka, galima apgalvotai monoterapiją pakeisti tiesiogiai į </w:t>
      </w:r>
      <w:r w:rsidR="00247FEA" w:rsidRPr="009F0293">
        <w:rPr>
          <w:szCs w:val="22"/>
        </w:rPr>
        <w:t>Carzan HCT</w:t>
      </w:r>
      <w:r w:rsidRPr="009F0293">
        <w:rPr>
          <w:szCs w:val="22"/>
        </w:rPr>
        <w:t xml:space="preserve">. Jeigu buvo taikyta monoterapija hidrochlorotiazidu, keičiant rekomenduojama palaipsniui nustatyti kandesartano cileksetilo dozę. </w:t>
      </w:r>
      <w:r w:rsidR="00247FEA" w:rsidRPr="009F0293">
        <w:rPr>
          <w:szCs w:val="22"/>
        </w:rPr>
        <w:t>Carzan HCT</w:t>
      </w:r>
      <w:r w:rsidRPr="009F0293">
        <w:rPr>
          <w:szCs w:val="22"/>
        </w:rPr>
        <w:t xml:space="preserve"> gali būti skiriamas pacientams, kurių kraujospūdis nėra optimaliai kontroliuojamas taikant monoterapiją kandesartan</w:t>
      </w:r>
      <w:r w:rsidR="00A501BA" w:rsidRPr="009F0293">
        <w:rPr>
          <w:szCs w:val="22"/>
        </w:rPr>
        <w:t>o</w:t>
      </w:r>
      <w:r w:rsidRPr="009F0293">
        <w:rPr>
          <w:szCs w:val="22"/>
        </w:rPr>
        <w:t xml:space="preserve"> cileksetilu ar hidrochlorotiazidu arba mažesnėmis </w:t>
      </w:r>
      <w:r w:rsidR="00247FEA" w:rsidRPr="009F0293">
        <w:rPr>
          <w:szCs w:val="22"/>
        </w:rPr>
        <w:t>Carzan HCT</w:t>
      </w:r>
      <w:r w:rsidRPr="009F0293">
        <w:rPr>
          <w:szCs w:val="22"/>
        </w:rPr>
        <w:t xml:space="preserve"> dozėmis.</w:t>
      </w:r>
    </w:p>
    <w:p w14:paraId="6C4E125F" w14:textId="2911D075" w:rsidR="00AE6755" w:rsidRPr="009F0293" w:rsidRDefault="00AE6755" w:rsidP="001F2847">
      <w:pPr>
        <w:rPr>
          <w:szCs w:val="22"/>
        </w:rPr>
      </w:pPr>
      <w:r w:rsidRPr="009F0293">
        <w:rPr>
          <w:szCs w:val="22"/>
        </w:rPr>
        <w:t>Stipriausias antihipertenzinis poveikis paprastai pasireiškia per 4 savaites nuo gydymo pradžios</w:t>
      </w:r>
      <w:r w:rsidR="00B1422B">
        <w:rPr>
          <w:szCs w:val="22"/>
        </w:rPr>
        <w:t xml:space="preserve"> </w:t>
      </w:r>
      <w:r w:rsidR="003920EA" w:rsidRPr="009F0293">
        <w:rPr>
          <w:szCs w:val="22"/>
        </w:rPr>
        <w:t>(</w:t>
      </w:r>
      <w:r w:rsidR="00B1422B">
        <w:rPr>
          <w:szCs w:val="22"/>
        </w:rPr>
        <w:t>ž</w:t>
      </w:r>
      <w:r w:rsidR="003920EA" w:rsidRPr="009F0293">
        <w:rPr>
          <w:szCs w:val="22"/>
        </w:rPr>
        <w:t>r. 4.3, 4.4, 4.5 ir 5.1 skyrius).</w:t>
      </w:r>
    </w:p>
    <w:p w14:paraId="0A23C49F" w14:textId="77777777" w:rsidR="003920EA" w:rsidRPr="009F0293" w:rsidRDefault="003920EA" w:rsidP="001F2847">
      <w:pPr>
        <w:rPr>
          <w:szCs w:val="22"/>
          <w:u w:val="single"/>
        </w:rPr>
      </w:pPr>
    </w:p>
    <w:p w14:paraId="193AAFDA" w14:textId="77777777" w:rsidR="00AE6755" w:rsidRPr="001B2FA0" w:rsidRDefault="00EB08FE" w:rsidP="005E68DC">
      <w:pPr>
        <w:rPr>
          <w:i/>
          <w:iCs/>
          <w:szCs w:val="22"/>
          <w:u w:val="single"/>
        </w:rPr>
      </w:pPr>
      <w:r w:rsidRPr="001B2FA0">
        <w:rPr>
          <w:i/>
          <w:iCs/>
          <w:szCs w:val="22"/>
          <w:u w:val="single"/>
        </w:rPr>
        <w:t>Ypatingos populiacijos</w:t>
      </w:r>
    </w:p>
    <w:p w14:paraId="6AE1B963" w14:textId="77777777" w:rsidR="00AE6755" w:rsidRPr="009F0293" w:rsidRDefault="00AE6755" w:rsidP="001F2847">
      <w:pPr>
        <w:rPr>
          <w:i/>
          <w:szCs w:val="22"/>
        </w:rPr>
      </w:pPr>
      <w:r w:rsidRPr="009F0293">
        <w:rPr>
          <w:i/>
          <w:szCs w:val="22"/>
        </w:rPr>
        <w:t>Senyviems pacientams</w:t>
      </w:r>
    </w:p>
    <w:p w14:paraId="7091ED0B" w14:textId="77777777" w:rsidR="00AE6755" w:rsidRPr="009F0293" w:rsidRDefault="00AE6755" w:rsidP="001F2847">
      <w:pPr>
        <w:rPr>
          <w:szCs w:val="22"/>
        </w:rPr>
      </w:pPr>
      <w:r w:rsidRPr="009F0293">
        <w:rPr>
          <w:szCs w:val="22"/>
        </w:rPr>
        <w:t>Senyviems žmonėms pradinės dozės koreguoti nereikia.</w:t>
      </w:r>
    </w:p>
    <w:p w14:paraId="293FB65C" w14:textId="77777777" w:rsidR="00AE6755" w:rsidRPr="009F0293" w:rsidRDefault="00AE6755" w:rsidP="001F2847">
      <w:pPr>
        <w:rPr>
          <w:szCs w:val="22"/>
        </w:rPr>
      </w:pPr>
    </w:p>
    <w:p w14:paraId="0C43A88A" w14:textId="77777777" w:rsidR="00AE6755" w:rsidRPr="009F0293" w:rsidRDefault="00C32C95" w:rsidP="001F2847">
      <w:pPr>
        <w:rPr>
          <w:i/>
          <w:szCs w:val="22"/>
        </w:rPr>
      </w:pPr>
      <w:r w:rsidRPr="009F0293">
        <w:rPr>
          <w:i/>
          <w:szCs w:val="22"/>
        </w:rPr>
        <w:t>C</w:t>
      </w:r>
      <w:r w:rsidR="00AE6755" w:rsidRPr="009F0293">
        <w:rPr>
          <w:i/>
          <w:szCs w:val="22"/>
        </w:rPr>
        <w:t>irkuliuojančio kraujo tūri</w:t>
      </w:r>
      <w:r w:rsidRPr="009F0293">
        <w:rPr>
          <w:i/>
          <w:szCs w:val="22"/>
        </w:rPr>
        <w:t xml:space="preserve">o </w:t>
      </w:r>
      <w:r w:rsidR="00AE6755" w:rsidRPr="009F0293">
        <w:rPr>
          <w:i/>
          <w:szCs w:val="22"/>
        </w:rPr>
        <w:t>sumažėj</w:t>
      </w:r>
      <w:r w:rsidRPr="009F0293">
        <w:rPr>
          <w:i/>
          <w:szCs w:val="22"/>
        </w:rPr>
        <w:t>imas</w:t>
      </w:r>
    </w:p>
    <w:p w14:paraId="1AA563B1" w14:textId="5CFF2B5D" w:rsidR="00AE6755" w:rsidRPr="009F0293" w:rsidRDefault="00AE6755" w:rsidP="00DD0243">
      <w:pPr>
        <w:rPr>
          <w:szCs w:val="22"/>
        </w:rPr>
      </w:pPr>
      <w:r w:rsidRPr="009F0293">
        <w:rPr>
          <w:szCs w:val="22"/>
        </w:rPr>
        <w:t>Pacientams, kuriems yra hipotenzijos rizika, pavyzdžiui, kurių organizme gali būti sumažėjęs cirkuliuojančio kraujo tūris, kandesartano cileksetilo dozę rekomenduojama nustatyti palaipsniui (tokiems pacientams reikia apgalvotai skirti pradinę 4</w:t>
      </w:r>
      <w:r w:rsidR="00C86F82" w:rsidRPr="009F0293">
        <w:rPr>
          <w:szCs w:val="22"/>
        </w:rPr>
        <w:t> mg</w:t>
      </w:r>
      <w:r w:rsidRPr="009F0293">
        <w:rPr>
          <w:szCs w:val="22"/>
        </w:rPr>
        <w:t xml:space="preserve"> kandesartano cileksetilo dozę).</w:t>
      </w:r>
    </w:p>
    <w:p w14:paraId="55EE418F" w14:textId="77777777" w:rsidR="00AE6755" w:rsidRPr="009F0293" w:rsidRDefault="00AE6755" w:rsidP="001F2847">
      <w:pPr>
        <w:rPr>
          <w:szCs w:val="22"/>
        </w:rPr>
      </w:pPr>
    </w:p>
    <w:p w14:paraId="3055F6FF" w14:textId="77777777" w:rsidR="00AE6755" w:rsidRPr="009F0293" w:rsidRDefault="00C32C95" w:rsidP="00F41270">
      <w:pPr>
        <w:keepNext/>
        <w:keepLines/>
        <w:rPr>
          <w:i/>
          <w:szCs w:val="22"/>
        </w:rPr>
      </w:pPr>
      <w:r w:rsidRPr="009F0293">
        <w:rPr>
          <w:i/>
          <w:szCs w:val="22"/>
        </w:rPr>
        <w:lastRenderedPageBreak/>
        <w:t>I</w:t>
      </w:r>
      <w:r w:rsidR="00AE6755" w:rsidRPr="009F0293">
        <w:rPr>
          <w:i/>
          <w:szCs w:val="22"/>
        </w:rPr>
        <w:t>nkstų funkcij</w:t>
      </w:r>
      <w:r w:rsidRPr="009F0293">
        <w:rPr>
          <w:i/>
          <w:szCs w:val="22"/>
        </w:rPr>
        <w:t>os</w:t>
      </w:r>
      <w:r w:rsidR="00AE6755" w:rsidRPr="009F0293">
        <w:rPr>
          <w:i/>
          <w:szCs w:val="22"/>
        </w:rPr>
        <w:t xml:space="preserve"> sutrik</w:t>
      </w:r>
      <w:r w:rsidRPr="009F0293">
        <w:rPr>
          <w:i/>
          <w:szCs w:val="22"/>
        </w:rPr>
        <w:t>imas</w:t>
      </w:r>
    </w:p>
    <w:p w14:paraId="6CF16BA0" w14:textId="2B76CF34" w:rsidR="00AE6755" w:rsidRPr="009F0293" w:rsidRDefault="00AE6755" w:rsidP="00553DEF">
      <w:pPr>
        <w:keepNext/>
        <w:keepLines/>
        <w:rPr>
          <w:szCs w:val="22"/>
        </w:rPr>
      </w:pPr>
      <w:r w:rsidRPr="009F0293">
        <w:rPr>
          <w:szCs w:val="22"/>
        </w:rPr>
        <w:t>Pacientams, kurie</w:t>
      </w:r>
      <w:r w:rsidR="00274828" w:rsidRPr="009F0293">
        <w:rPr>
          <w:szCs w:val="22"/>
        </w:rPr>
        <w:t>ms yra</w:t>
      </w:r>
      <w:r w:rsidRPr="009F0293">
        <w:rPr>
          <w:szCs w:val="22"/>
        </w:rPr>
        <w:t xml:space="preserve"> lengv</w:t>
      </w:r>
      <w:r w:rsidR="00274828" w:rsidRPr="009F0293">
        <w:rPr>
          <w:szCs w:val="22"/>
        </w:rPr>
        <w:t>as</w:t>
      </w:r>
      <w:r w:rsidRPr="009F0293">
        <w:rPr>
          <w:szCs w:val="22"/>
        </w:rPr>
        <w:t xml:space="preserve"> ar vidutinio sunkumo inkstų funkcijos sutrikim</w:t>
      </w:r>
      <w:r w:rsidR="00274828" w:rsidRPr="009F0293">
        <w:rPr>
          <w:szCs w:val="22"/>
        </w:rPr>
        <w:t>as</w:t>
      </w:r>
      <w:r w:rsidRPr="009F0293">
        <w:rPr>
          <w:szCs w:val="22"/>
        </w:rPr>
        <w:t xml:space="preserve"> (kreatinino klirensas yra 30</w:t>
      </w:r>
      <w:r w:rsidR="00A008F2">
        <w:rPr>
          <w:szCs w:val="22"/>
        </w:rPr>
        <w:t>–</w:t>
      </w:r>
      <w:r w:rsidR="00DC0757" w:rsidRPr="009F0293">
        <w:rPr>
          <w:szCs w:val="22"/>
        </w:rPr>
        <w:t>80 </w:t>
      </w:r>
      <w:r w:rsidRPr="009F0293">
        <w:rPr>
          <w:szCs w:val="22"/>
        </w:rPr>
        <w:t>ml/min./1,73 m² kūno paviršiaus ploto [KPP]), dozę rekomenduojama nustatyti palaipsniui</w:t>
      </w:r>
      <w:r w:rsidR="00DC0757" w:rsidRPr="009F0293">
        <w:rPr>
          <w:szCs w:val="22"/>
        </w:rPr>
        <w:t>.</w:t>
      </w:r>
      <w:r w:rsidRPr="009F0293">
        <w:rPr>
          <w:szCs w:val="22"/>
        </w:rPr>
        <w:t xml:space="preserve"> </w:t>
      </w:r>
      <w:r w:rsidR="00247FEA" w:rsidRPr="009F0293">
        <w:rPr>
          <w:szCs w:val="22"/>
        </w:rPr>
        <w:t>Carzan HCT</w:t>
      </w:r>
      <w:r w:rsidRPr="009F0293">
        <w:rPr>
          <w:szCs w:val="22"/>
        </w:rPr>
        <w:t xml:space="preserve"> negalima vartoti pacientams, kurie serga sunkiu inkstų funkcijos sutrikimu (kreatinino klirensas yra &lt; 30 ml/min./1,73 m² KPP) (žr. 4.3 skyrių).</w:t>
      </w:r>
    </w:p>
    <w:p w14:paraId="04BAD4E9" w14:textId="77777777" w:rsidR="00AE6755" w:rsidRPr="009F0293" w:rsidRDefault="00AE6755" w:rsidP="001F2847">
      <w:pPr>
        <w:rPr>
          <w:i/>
          <w:szCs w:val="22"/>
        </w:rPr>
      </w:pPr>
    </w:p>
    <w:p w14:paraId="0E86A4D2" w14:textId="77777777" w:rsidR="00AE6755" w:rsidRPr="009F0293" w:rsidRDefault="00C32C95" w:rsidP="001F2847">
      <w:pPr>
        <w:rPr>
          <w:szCs w:val="22"/>
        </w:rPr>
      </w:pPr>
      <w:r w:rsidRPr="009F0293">
        <w:rPr>
          <w:i/>
          <w:szCs w:val="22"/>
        </w:rPr>
        <w:t>K</w:t>
      </w:r>
      <w:r w:rsidR="00AE6755" w:rsidRPr="009F0293">
        <w:rPr>
          <w:i/>
          <w:szCs w:val="22"/>
        </w:rPr>
        <w:t>epenų funkcij</w:t>
      </w:r>
      <w:r w:rsidRPr="009F0293">
        <w:rPr>
          <w:i/>
          <w:szCs w:val="22"/>
        </w:rPr>
        <w:t>os</w:t>
      </w:r>
      <w:r w:rsidR="00AE6755" w:rsidRPr="009F0293">
        <w:rPr>
          <w:i/>
          <w:szCs w:val="22"/>
        </w:rPr>
        <w:t xml:space="preserve"> sutrik</w:t>
      </w:r>
      <w:r w:rsidRPr="009F0293">
        <w:rPr>
          <w:i/>
          <w:szCs w:val="22"/>
        </w:rPr>
        <w:t>imas</w:t>
      </w:r>
    </w:p>
    <w:p w14:paraId="45045C21" w14:textId="4733EDFE" w:rsidR="00274828" w:rsidRPr="009F0293" w:rsidRDefault="00AE6755" w:rsidP="00DD0243">
      <w:pPr>
        <w:rPr>
          <w:szCs w:val="22"/>
        </w:rPr>
      </w:pPr>
      <w:r w:rsidRPr="009F0293">
        <w:rPr>
          <w:szCs w:val="22"/>
        </w:rPr>
        <w:t>Pacientams, kurie</w:t>
      </w:r>
      <w:r w:rsidR="00274828" w:rsidRPr="009F0293">
        <w:rPr>
          <w:szCs w:val="22"/>
        </w:rPr>
        <w:t>ms yra l</w:t>
      </w:r>
      <w:r w:rsidRPr="009F0293">
        <w:rPr>
          <w:szCs w:val="22"/>
        </w:rPr>
        <w:t>engv</w:t>
      </w:r>
      <w:r w:rsidR="00274828" w:rsidRPr="009F0293">
        <w:rPr>
          <w:szCs w:val="22"/>
        </w:rPr>
        <w:t>as</w:t>
      </w:r>
      <w:r w:rsidRPr="009F0293">
        <w:rPr>
          <w:szCs w:val="22"/>
        </w:rPr>
        <w:t xml:space="preserve"> ar vidutinio sunkumo </w:t>
      </w:r>
      <w:r w:rsidR="00274828" w:rsidRPr="009F0293">
        <w:rPr>
          <w:szCs w:val="22"/>
        </w:rPr>
        <w:t>lėtinis</w:t>
      </w:r>
      <w:r w:rsidR="00DC0757" w:rsidRPr="009F0293">
        <w:rPr>
          <w:szCs w:val="22"/>
        </w:rPr>
        <w:t xml:space="preserve"> </w:t>
      </w:r>
      <w:r w:rsidRPr="009F0293">
        <w:rPr>
          <w:szCs w:val="22"/>
        </w:rPr>
        <w:t>kepenų funkcijos sutrikim</w:t>
      </w:r>
      <w:r w:rsidR="00274828" w:rsidRPr="009F0293">
        <w:rPr>
          <w:szCs w:val="22"/>
        </w:rPr>
        <w:t>as</w:t>
      </w:r>
      <w:r w:rsidRPr="009F0293">
        <w:rPr>
          <w:szCs w:val="22"/>
        </w:rPr>
        <w:t xml:space="preserve">, </w:t>
      </w:r>
      <w:r w:rsidR="00274828" w:rsidRPr="009F0293">
        <w:rPr>
          <w:szCs w:val="22"/>
        </w:rPr>
        <w:t>kandesartano cileksetilo</w:t>
      </w:r>
      <w:r w:rsidR="00274828" w:rsidRPr="009F0293" w:rsidDel="00DC0757">
        <w:rPr>
          <w:szCs w:val="22"/>
        </w:rPr>
        <w:t xml:space="preserve"> </w:t>
      </w:r>
      <w:r w:rsidRPr="009F0293">
        <w:rPr>
          <w:szCs w:val="22"/>
        </w:rPr>
        <w:t>dozę rekomenduojama nustatyti palaipsniui</w:t>
      </w:r>
      <w:r w:rsidR="00DC0757" w:rsidRPr="009F0293">
        <w:rPr>
          <w:szCs w:val="22"/>
        </w:rPr>
        <w:t>.</w:t>
      </w:r>
      <w:r w:rsidRPr="009F0293">
        <w:rPr>
          <w:szCs w:val="22"/>
        </w:rPr>
        <w:t xml:space="preserve"> </w:t>
      </w:r>
    </w:p>
    <w:p w14:paraId="5E6DCC47" w14:textId="534F471D" w:rsidR="00AE6755" w:rsidRPr="009F0293" w:rsidRDefault="00247FEA" w:rsidP="00DD0243">
      <w:pPr>
        <w:rPr>
          <w:szCs w:val="22"/>
        </w:rPr>
      </w:pPr>
      <w:r w:rsidRPr="009F0293">
        <w:rPr>
          <w:szCs w:val="22"/>
        </w:rPr>
        <w:t>Carzan HCT</w:t>
      </w:r>
      <w:r w:rsidR="00AE6755" w:rsidRPr="009F0293">
        <w:rPr>
          <w:szCs w:val="22"/>
        </w:rPr>
        <w:t xml:space="preserve"> negalima vartoti pacientams, kurie serga sunkiu kepenų funkcijos sutrikimu ir (arba) kuriems </w:t>
      </w:r>
      <w:r w:rsidR="0061744F" w:rsidRPr="009F0293">
        <w:rPr>
          <w:szCs w:val="22"/>
        </w:rPr>
        <w:t>yra cholestazė</w:t>
      </w:r>
      <w:r w:rsidR="00AE6755" w:rsidRPr="009F0293">
        <w:rPr>
          <w:szCs w:val="22"/>
        </w:rPr>
        <w:t xml:space="preserve"> (žr. 4.3 skyrių).</w:t>
      </w:r>
    </w:p>
    <w:p w14:paraId="35429E47" w14:textId="77777777" w:rsidR="00AE6755" w:rsidRPr="009F0293" w:rsidRDefault="00AE6755" w:rsidP="001F2847">
      <w:pPr>
        <w:rPr>
          <w:szCs w:val="22"/>
        </w:rPr>
      </w:pPr>
    </w:p>
    <w:p w14:paraId="57BEE581" w14:textId="77777777" w:rsidR="00AE6755" w:rsidRPr="001B2FA0" w:rsidRDefault="00EB08FE" w:rsidP="001F2847">
      <w:pPr>
        <w:rPr>
          <w:i/>
          <w:iCs/>
          <w:szCs w:val="22"/>
        </w:rPr>
      </w:pPr>
      <w:r w:rsidRPr="001B2FA0">
        <w:rPr>
          <w:i/>
          <w:iCs/>
          <w:szCs w:val="22"/>
        </w:rPr>
        <w:t>Vaikų populiacija</w:t>
      </w:r>
    </w:p>
    <w:p w14:paraId="51776C4A" w14:textId="0933C399" w:rsidR="00AE6755" w:rsidRPr="009F0293" w:rsidRDefault="00247FEA" w:rsidP="001F2847">
      <w:pPr>
        <w:rPr>
          <w:szCs w:val="22"/>
        </w:rPr>
      </w:pPr>
      <w:r w:rsidRPr="009F0293">
        <w:rPr>
          <w:szCs w:val="22"/>
        </w:rPr>
        <w:t>Carzan HCT</w:t>
      </w:r>
      <w:r w:rsidR="00AE6755" w:rsidRPr="009F0293">
        <w:rPr>
          <w:szCs w:val="22"/>
        </w:rPr>
        <w:t xml:space="preserve"> saugumas ir veiksmingumas vaikams ir paaugliams nuo gimimo iki 18 metų dar nebuvo nustatytas. Duomenų nėra.</w:t>
      </w:r>
    </w:p>
    <w:p w14:paraId="6D823855" w14:textId="77777777" w:rsidR="00AE6755" w:rsidRPr="009F0293" w:rsidRDefault="00AE6755" w:rsidP="001F2847">
      <w:pPr>
        <w:rPr>
          <w:szCs w:val="22"/>
        </w:rPr>
      </w:pPr>
    </w:p>
    <w:p w14:paraId="37B812D6" w14:textId="77777777" w:rsidR="00AE6755" w:rsidRPr="009F0293" w:rsidRDefault="00AE6755" w:rsidP="001F2847">
      <w:pPr>
        <w:rPr>
          <w:szCs w:val="22"/>
          <w:u w:val="single"/>
        </w:rPr>
      </w:pPr>
      <w:r w:rsidRPr="009F0293">
        <w:rPr>
          <w:szCs w:val="22"/>
          <w:u w:val="single"/>
        </w:rPr>
        <w:t>Vartojimo metodas</w:t>
      </w:r>
    </w:p>
    <w:p w14:paraId="2BB75C42" w14:textId="77777777" w:rsidR="00AE6755" w:rsidRPr="009F0293" w:rsidRDefault="00AE6755" w:rsidP="001F2847">
      <w:pPr>
        <w:rPr>
          <w:szCs w:val="22"/>
        </w:rPr>
      </w:pPr>
      <w:r w:rsidRPr="009F0293">
        <w:rPr>
          <w:szCs w:val="22"/>
        </w:rPr>
        <w:t>Vartoti per burną.</w:t>
      </w:r>
    </w:p>
    <w:p w14:paraId="345B1284" w14:textId="77777777" w:rsidR="00AE6755" w:rsidRPr="009F0293" w:rsidRDefault="00247FEA" w:rsidP="001F2847">
      <w:pPr>
        <w:rPr>
          <w:szCs w:val="22"/>
        </w:rPr>
      </w:pPr>
      <w:r w:rsidRPr="009F0293">
        <w:rPr>
          <w:szCs w:val="22"/>
        </w:rPr>
        <w:t>Carzan HCT</w:t>
      </w:r>
      <w:r w:rsidR="00AE6755" w:rsidRPr="009F0293">
        <w:rPr>
          <w:szCs w:val="22"/>
        </w:rPr>
        <w:t xml:space="preserve"> vartoti valgant arba nevalgius.</w:t>
      </w:r>
    </w:p>
    <w:p w14:paraId="24E210D2" w14:textId="77777777" w:rsidR="00AE6755" w:rsidRPr="009F0293" w:rsidRDefault="00AE6755" w:rsidP="001F2847">
      <w:pPr>
        <w:rPr>
          <w:szCs w:val="22"/>
        </w:rPr>
      </w:pPr>
      <w:r w:rsidRPr="009F0293">
        <w:rPr>
          <w:szCs w:val="22"/>
        </w:rPr>
        <w:t>Maistas įtakos kandesartano biologiniam prieinamumui neturi.</w:t>
      </w:r>
    </w:p>
    <w:p w14:paraId="0FAC0AFB" w14:textId="77777777" w:rsidR="00AE6755" w:rsidRPr="009F0293" w:rsidRDefault="00AE6755" w:rsidP="009E71E3">
      <w:pPr>
        <w:rPr>
          <w:szCs w:val="22"/>
        </w:rPr>
      </w:pPr>
      <w:r w:rsidRPr="009F0293">
        <w:rPr>
          <w:szCs w:val="22"/>
        </w:rPr>
        <w:t>Hidrochlorotiazidas kliniškai reikšmingai nesąveikauja su maistu.</w:t>
      </w:r>
    </w:p>
    <w:p w14:paraId="562DE59F" w14:textId="77777777" w:rsidR="00AE6755" w:rsidRPr="009F0293" w:rsidRDefault="00AE6755" w:rsidP="001F2847">
      <w:pPr>
        <w:rPr>
          <w:bCs/>
          <w:szCs w:val="22"/>
        </w:rPr>
      </w:pPr>
    </w:p>
    <w:p w14:paraId="39CEE592" w14:textId="77777777" w:rsidR="00AE6755" w:rsidRPr="009F0293" w:rsidRDefault="00AE6755" w:rsidP="001F2847">
      <w:pPr>
        <w:tabs>
          <w:tab w:val="left" w:pos="567"/>
        </w:tabs>
        <w:rPr>
          <w:b/>
          <w:szCs w:val="22"/>
        </w:rPr>
      </w:pPr>
      <w:r w:rsidRPr="009F0293">
        <w:rPr>
          <w:b/>
          <w:szCs w:val="22"/>
        </w:rPr>
        <w:t>4.3</w:t>
      </w:r>
      <w:r w:rsidRPr="009F0293">
        <w:rPr>
          <w:b/>
          <w:szCs w:val="22"/>
        </w:rPr>
        <w:tab/>
        <w:t>Kontraindikacijos</w:t>
      </w:r>
    </w:p>
    <w:p w14:paraId="5149DF97" w14:textId="77777777" w:rsidR="00AE6755" w:rsidRPr="009F0293" w:rsidRDefault="00AE6755" w:rsidP="001F2847">
      <w:pPr>
        <w:rPr>
          <w:szCs w:val="22"/>
        </w:rPr>
      </w:pPr>
    </w:p>
    <w:p w14:paraId="1A137D9F" w14:textId="42D48E4A" w:rsidR="00AE6755" w:rsidRPr="009F0293" w:rsidRDefault="00AE6755" w:rsidP="009E71E3">
      <w:pPr>
        <w:numPr>
          <w:ilvl w:val="0"/>
          <w:numId w:val="19"/>
        </w:numPr>
        <w:tabs>
          <w:tab w:val="left" w:pos="567"/>
        </w:tabs>
        <w:spacing w:line="260" w:lineRule="exact"/>
        <w:rPr>
          <w:szCs w:val="22"/>
        </w:rPr>
      </w:pPr>
      <w:r w:rsidRPr="009F0293">
        <w:rPr>
          <w:szCs w:val="22"/>
        </w:rPr>
        <w:t>Padidėjęs jautrumas veikli</w:t>
      </w:r>
      <w:r w:rsidR="00C95D34" w:rsidRPr="009F0293">
        <w:rPr>
          <w:szCs w:val="22"/>
        </w:rPr>
        <w:t>osioms arba</w:t>
      </w:r>
      <w:r w:rsidRPr="009F0293">
        <w:rPr>
          <w:szCs w:val="22"/>
        </w:rPr>
        <w:t xml:space="preserve"> bet kuriai </w:t>
      </w:r>
      <w:r w:rsidR="00C95D34" w:rsidRPr="009F0293">
        <w:rPr>
          <w:szCs w:val="22"/>
        </w:rPr>
        <w:t xml:space="preserve">6.1 skyriuje nurodytai </w:t>
      </w:r>
      <w:r w:rsidRPr="009F0293">
        <w:rPr>
          <w:szCs w:val="22"/>
        </w:rPr>
        <w:t>pagalbinei medžiagai arba sulfonamidų dariniams. Hidrochlorotiazidas yra sulfonamidų darinys.</w:t>
      </w:r>
    </w:p>
    <w:p w14:paraId="78C70776" w14:textId="77777777" w:rsidR="00AE6755" w:rsidRPr="009F0293" w:rsidRDefault="00AE6755" w:rsidP="005A24C2">
      <w:pPr>
        <w:numPr>
          <w:ilvl w:val="0"/>
          <w:numId w:val="19"/>
        </w:numPr>
        <w:rPr>
          <w:szCs w:val="22"/>
        </w:rPr>
      </w:pPr>
      <w:r w:rsidRPr="009F0293">
        <w:rPr>
          <w:szCs w:val="22"/>
        </w:rPr>
        <w:t>Antras ir trečias nėštumo trimestrai (žr. 4.4 ir 4.6 skyrius).</w:t>
      </w:r>
    </w:p>
    <w:p w14:paraId="06763DBF" w14:textId="77777777" w:rsidR="00AE6755" w:rsidRPr="009F0293" w:rsidRDefault="00AE6755" w:rsidP="009E71E3">
      <w:pPr>
        <w:numPr>
          <w:ilvl w:val="0"/>
          <w:numId w:val="19"/>
        </w:numPr>
        <w:tabs>
          <w:tab w:val="left" w:pos="567"/>
        </w:tabs>
        <w:spacing w:line="260" w:lineRule="exact"/>
        <w:rPr>
          <w:iCs/>
          <w:szCs w:val="22"/>
        </w:rPr>
      </w:pPr>
      <w:r w:rsidRPr="009F0293">
        <w:rPr>
          <w:iCs/>
          <w:szCs w:val="22"/>
        </w:rPr>
        <w:t>Sunkus inkstų funkcijos sutrikimas (kreatinino klirensas yra &lt; 30 ml/min./1,73 m² KPP).</w:t>
      </w:r>
    </w:p>
    <w:p w14:paraId="012B6FE1" w14:textId="6F63800D" w:rsidR="00AE6755" w:rsidRPr="009F0293" w:rsidRDefault="00AE6755" w:rsidP="003A6680">
      <w:pPr>
        <w:numPr>
          <w:ilvl w:val="0"/>
          <w:numId w:val="19"/>
        </w:numPr>
        <w:rPr>
          <w:szCs w:val="22"/>
        </w:rPr>
      </w:pPr>
      <w:r w:rsidRPr="009F0293">
        <w:rPr>
          <w:szCs w:val="22"/>
        </w:rPr>
        <w:t xml:space="preserve">Sunkus kepenų funkcijos sutrikimas ir (ar) </w:t>
      </w:r>
      <w:r w:rsidR="00C95D34" w:rsidRPr="009F0293">
        <w:rPr>
          <w:szCs w:val="22"/>
        </w:rPr>
        <w:t>cholestazė</w:t>
      </w:r>
      <w:r w:rsidRPr="009F0293">
        <w:rPr>
          <w:szCs w:val="22"/>
        </w:rPr>
        <w:t>.</w:t>
      </w:r>
    </w:p>
    <w:p w14:paraId="7A6FB3A5" w14:textId="77777777" w:rsidR="00AE6755" w:rsidRPr="009F0293" w:rsidRDefault="00AE6755" w:rsidP="009E71E3">
      <w:pPr>
        <w:numPr>
          <w:ilvl w:val="0"/>
          <w:numId w:val="19"/>
        </w:numPr>
        <w:tabs>
          <w:tab w:val="left" w:pos="567"/>
        </w:tabs>
        <w:spacing w:line="260" w:lineRule="exact"/>
        <w:rPr>
          <w:iCs/>
          <w:szCs w:val="22"/>
        </w:rPr>
      </w:pPr>
      <w:r w:rsidRPr="009F0293">
        <w:rPr>
          <w:iCs/>
          <w:szCs w:val="22"/>
        </w:rPr>
        <w:t>Gydymui atspari (refrakterinė) hipokalemija ir hiperkalcemija.</w:t>
      </w:r>
    </w:p>
    <w:p w14:paraId="2A4BC7E4" w14:textId="77777777" w:rsidR="00AE6755" w:rsidRPr="009F0293" w:rsidRDefault="00AE6755" w:rsidP="009E71E3">
      <w:pPr>
        <w:numPr>
          <w:ilvl w:val="0"/>
          <w:numId w:val="19"/>
        </w:numPr>
        <w:tabs>
          <w:tab w:val="left" w:pos="567"/>
        </w:tabs>
        <w:spacing w:line="260" w:lineRule="exact"/>
        <w:rPr>
          <w:iCs/>
          <w:szCs w:val="22"/>
        </w:rPr>
      </w:pPr>
      <w:r w:rsidRPr="009F0293">
        <w:rPr>
          <w:iCs/>
          <w:szCs w:val="22"/>
        </w:rPr>
        <w:t>Podagra.</w:t>
      </w:r>
    </w:p>
    <w:p w14:paraId="38403A17" w14:textId="47CBCD3F" w:rsidR="003920EA" w:rsidRPr="009F0293" w:rsidRDefault="003920EA" w:rsidP="003920EA">
      <w:pPr>
        <w:numPr>
          <w:ilvl w:val="0"/>
          <w:numId w:val="19"/>
        </w:numPr>
        <w:spacing w:line="260" w:lineRule="exact"/>
        <w:rPr>
          <w:iCs/>
          <w:szCs w:val="22"/>
        </w:rPr>
      </w:pPr>
      <w:r w:rsidRPr="009F0293">
        <w:rPr>
          <w:iCs/>
          <w:szCs w:val="22"/>
        </w:rPr>
        <w:t>Pacientams, kurie serga cukriniu diabetu arba kurių inkstų funkcija sutrikusi (GFG &lt;</w:t>
      </w:r>
      <w:r w:rsidR="00B1422B">
        <w:rPr>
          <w:iCs/>
          <w:szCs w:val="22"/>
        </w:rPr>
        <w:t> </w:t>
      </w:r>
      <w:r w:rsidRPr="009F0293">
        <w:rPr>
          <w:iCs/>
          <w:szCs w:val="22"/>
        </w:rPr>
        <w:t>60</w:t>
      </w:r>
      <w:r w:rsidR="00B1422B">
        <w:rPr>
          <w:iCs/>
          <w:szCs w:val="22"/>
        </w:rPr>
        <w:t> </w:t>
      </w:r>
      <w:r w:rsidRPr="009F0293">
        <w:rPr>
          <w:iCs/>
          <w:szCs w:val="22"/>
        </w:rPr>
        <w:t>ml/min/1,73 m</w:t>
      </w:r>
      <w:r w:rsidRPr="009F0293">
        <w:rPr>
          <w:iCs/>
          <w:szCs w:val="22"/>
          <w:vertAlign w:val="superscript"/>
        </w:rPr>
        <w:t>2</w:t>
      </w:r>
      <w:r w:rsidRPr="009F0293">
        <w:rPr>
          <w:iCs/>
          <w:szCs w:val="22"/>
        </w:rPr>
        <w:t>), Carzan HCT negalima vartoti kartu su preparatais, kurių sudėtyje yra aliskireno (žr. 4.5 ir 5.1 skyrius).</w:t>
      </w:r>
    </w:p>
    <w:p w14:paraId="13014A0B" w14:textId="77777777" w:rsidR="00AE6755" w:rsidRPr="009F0293" w:rsidRDefault="00AE6755" w:rsidP="001F2847">
      <w:pPr>
        <w:rPr>
          <w:szCs w:val="22"/>
        </w:rPr>
      </w:pPr>
    </w:p>
    <w:p w14:paraId="338238A0" w14:textId="77777777" w:rsidR="00AE6755" w:rsidRPr="009F0293" w:rsidRDefault="00AE6755" w:rsidP="001F2847">
      <w:pPr>
        <w:tabs>
          <w:tab w:val="left" w:pos="567"/>
        </w:tabs>
        <w:rPr>
          <w:b/>
          <w:szCs w:val="22"/>
        </w:rPr>
      </w:pPr>
      <w:r w:rsidRPr="009F0293">
        <w:rPr>
          <w:b/>
          <w:szCs w:val="22"/>
        </w:rPr>
        <w:t>4.4</w:t>
      </w:r>
      <w:r w:rsidRPr="009F0293">
        <w:rPr>
          <w:b/>
          <w:szCs w:val="22"/>
        </w:rPr>
        <w:tab/>
        <w:t>Specialūs įspėjimai ir atsargumo priemonės</w:t>
      </w:r>
    </w:p>
    <w:p w14:paraId="25C3278C" w14:textId="77777777" w:rsidR="00AE6755" w:rsidRPr="009F0293" w:rsidRDefault="00AE6755" w:rsidP="001F2847">
      <w:pPr>
        <w:rPr>
          <w:szCs w:val="22"/>
        </w:rPr>
      </w:pPr>
    </w:p>
    <w:p w14:paraId="4AD0DC08" w14:textId="77777777" w:rsidR="003920EA" w:rsidRPr="001B2FA0" w:rsidRDefault="003920EA" w:rsidP="003920EA">
      <w:pPr>
        <w:rPr>
          <w:iCs/>
          <w:szCs w:val="22"/>
          <w:u w:val="single"/>
        </w:rPr>
      </w:pPr>
      <w:r w:rsidRPr="001B2FA0">
        <w:rPr>
          <w:iCs/>
          <w:szCs w:val="22"/>
          <w:u w:val="single"/>
        </w:rPr>
        <w:t>Dvigubas renino, angiotenzino ir aldosterono sistemos (RAAS) nuslopinimas</w:t>
      </w:r>
    </w:p>
    <w:p w14:paraId="49960542" w14:textId="77777777" w:rsidR="003920EA" w:rsidRPr="009F0293" w:rsidRDefault="003920EA" w:rsidP="003920EA">
      <w:pPr>
        <w:rPr>
          <w:szCs w:val="22"/>
        </w:rPr>
      </w:pPr>
      <w:r w:rsidRPr="009F0293">
        <w:rPr>
          <w:szCs w:val="22"/>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B549377" w14:textId="77777777" w:rsidR="003920EA" w:rsidRPr="009F0293" w:rsidRDefault="003920EA" w:rsidP="003920EA">
      <w:pPr>
        <w:rPr>
          <w:szCs w:val="22"/>
        </w:rPr>
      </w:pPr>
      <w:r w:rsidRPr="009F0293">
        <w:rPr>
          <w:szCs w:val="22"/>
        </w:rPr>
        <w:t>Vis dėlto, jei dvigubas nuslopinimas laikomas absoliučiai būtinu, šis gydymas turi būti atliekamas tik prižiūrint specialistams ir dažnai bei atidžiai tiriant inkstų funkciją, elektrolitų koncentraciją bei kraujospūdį.</w:t>
      </w:r>
    </w:p>
    <w:p w14:paraId="16A9F195" w14:textId="77777777" w:rsidR="003920EA" w:rsidRPr="009F0293" w:rsidRDefault="003920EA" w:rsidP="003920EA">
      <w:pPr>
        <w:rPr>
          <w:i/>
          <w:szCs w:val="22"/>
        </w:rPr>
      </w:pPr>
      <w:r w:rsidRPr="009F0293">
        <w:rPr>
          <w:szCs w:val="22"/>
        </w:rPr>
        <w:t>Pacientams, sergantiems diabetine nefropatija, negalima kartu vartoti AKF inhibitorių ir angiotenzino II receptorių blokatorių.</w:t>
      </w:r>
    </w:p>
    <w:p w14:paraId="10A5A132" w14:textId="77777777" w:rsidR="003920EA" w:rsidRPr="009F0293" w:rsidRDefault="003920EA" w:rsidP="00042D41">
      <w:pPr>
        <w:rPr>
          <w:i/>
          <w:szCs w:val="22"/>
        </w:rPr>
      </w:pPr>
    </w:p>
    <w:p w14:paraId="46BE9F9F" w14:textId="2E3E0CA1" w:rsidR="00DC0757" w:rsidRPr="001B2FA0" w:rsidRDefault="00AE6755" w:rsidP="00042D41">
      <w:pPr>
        <w:rPr>
          <w:iCs/>
          <w:szCs w:val="22"/>
          <w:u w:val="single"/>
        </w:rPr>
      </w:pPr>
      <w:r w:rsidRPr="001B2FA0">
        <w:rPr>
          <w:iCs/>
          <w:szCs w:val="22"/>
          <w:u w:val="single"/>
        </w:rPr>
        <w:t xml:space="preserve">Inkstų </w:t>
      </w:r>
      <w:r w:rsidR="00274828" w:rsidRPr="001B2FA0">
        <w:rPr>
          <w:iCs/>
          <w:szCs w:val="22"/>
          <w:u w:val="single"/>
        </w:rPr>
        <w:t>funkcijos sutrikimas</w:t>
      </w:r>
    </w:p>
    <w:p w14:paraId="53FE556A" w14:textId="1C7F53F9" w:rsidR="00DC0757" w:rsidRPr="009F0293" w:rsidRDefault="00DC0757" w:rsidP="00DC0757">
      <w:pPr>
        <w:rPr>
          <w:szCs w:val="22"/>
        </w:rPr>
      </w:pPr>
      <w:r w:rsidRPr="009F0293">
        <w:rPr>
          <w:szCs w:val="22"/>
        </w:rPr>
        <w:t>Vartojant Carzan HCT (kaip ir kitus renino, angiotenzino ir aldosterono sistemą slopinančius vaistinius preparatus), jautriems pacientams galima tikėtis jo sukeliamų inkstų funkcijos pokyčių</w:t>
      </w:r>
      <w:r w:rsidR="00BD6059" w:rsidRPr="009F0293">
        <w:rPr>
          <w:szCs w:val="22"/>
        </w:rPr>
        <w:t xml:space="preserve"> (žr. 4.3 skyrių)</w:t>
      </w:r>
      <w:r w:rsidRPr="009F0293">
        <w:rPr>
          <w:szCs w:val="22"/>
        </w:rPr>
        <w:t>.</w:t>
      </w:r>
    </w:p>
    <w:p w14:paraId="18BA543C" w14:textId="77777777" w:rsidR="00AE6755" w:rsidRPr="009F0293" w:rsidRDefault="00AE6755" w:rsidP="001F2847">
      <w:pPr>
        <w:rPr>
          <w:i/>
          <w:szCs w:val="22"/>
        </w:rPr>
      </w:pPr>
    </w:p>
    <w:p w14:paraId="1F605B1C" w14:textId="1DC40E7A" w:rsidR="00DC0757" w:rsidRPr="001B2FA0" w:rsidRDefault="00DC0757" w:rsidP="001F2847">
      <w:pPr>
        <w:rPr>
          <w:iCs/>
          <w:szCs w:val="22"/>
          <w:u w:val="single"/>
        </w:rPr>
      </w:pPr>
      <w:r w:rsidRPr="001B2FA0">
        <w:rPr>
          <w:iCs/>
          <w:szCs w:val="22"/>
          <w:u w:val="single"/>
        </w:rPr>
        <w:t>Inkstų persodinimas</w:t>
      </w:r>
    </w:p>
    <w:p w14:paraId="4E93F8FE" w14:textId="38432B05" w:rsidR="00DC0757" w:rsidRPr="009F0293" w:rsidRDefault="00BD6059" w:rsidP="001F2847">
      <w:pPr>
        <w:rPr>
          <w:szCs w:val="22"/>
        </w:rPr>
      </w:pPr>
      <w:r w:rsidRPr="009F0293">
        <w:rPr>
          <w:szCs w:val="22"/>
        </w:rPr>
        <w:t xml:space="preserve">Kandesartano cileksetilo/hidrochlorotiazido </w:t>
      </w:r>
      <w:r w:rsidR="00274828" w:rsidRPr="009F0293">
        <w:rPr>
          <w:szCs w:val="22"/>
        </w:rPr>
        <w:t>vartojimo pacientams po atlikto</w:t>
      </w:r>
      <w:r w:rsidRPr="009F0293">
        <w:rPr>
          <w:szCs w:val="22"/>
        </w:rPr>
        <w:t xml:space="preserve"> inkstų </w:t>
      </w:r>
      <w:r w:rsidR="00274828" w:rsidRPr="009F0293">
        <w:rPr>
          <w:szCs w:val="22"/>
        </w:rPr>
        <w:t xml:space="preserve">persodinimo </w:t>
      </w:r>
      <w:r w:rsidRPr="009F0293">
        <w:rPr>
          <w:szCs w:val="22"/>
        </w:rPr>
        <w:t>klinikinės patirties yra nedaug.</w:t>
      </w:r>
    </w:p>
    <w:p w14:paraId="2B708230" w14:textId="77777777" w:rsidR="00BD6059" w:rsidRPr="009F0293" w:rsidRDefault="00BD6059" w:rsidP="001F2847">
      <w:pPr>
        <w:rPr>
          <w:szCs w:val="22"/>
        </w:rPr>
      </w:pPr>
    </w:p>
    <w:p w14:paraId="3F3E44DC" w14:textId="77777777" w:rsidR="00AE6755" w:rsidRPr="001B2FA0" w:rsidRDefault="00AE6755" w:rsidP="004C78F6">
      <w:pPr>
        <w:keepNext/>
        <w:keepLines/>
        <w:rPr>
          <w:iCs/>
          <w:szCs w:val="22"/>
          <w:u w:val="single"/>
        </w:rPr>
      </w:pPr>
      <w:r w:rsidRPr="001B2FA0">
        <w:rPr>
          <w:iCs/>
          <w:szCs w:val="22"/>
          <w:u w:val="single"/>
        </w:rPr>
        <w:lastRenderedPageBreak/>
        <w:t>Inkstų arterijų stenozė</w:t>
      </w:r>
    </w:p>
    <w:p w14:paraId="52E47533" w14:textId="77777777" w:rsidR="00AE6755" w:rsidRPr="009F0293" w:rsidRDefault="00AE6755" w:rsidP="004C78F6">
      <w:pPr>
        <w:keepNext/>
        <w:keepLines/>
        <w:rPr>
          <w:szCs w:val="22"/>
        </w:rPr>
      </w:pPr>
      <w:r w:rsidRPr="009F0293">
        <w:rPr>
          <w:szCs w:val="22"/>
        </w:rPr>
        <w:t xml:space="preserve">Renino, angiotenzino ir aldosterono sistemą veikiantys vaistiniai preparatai, įskaitant angiotenzino-II receptorių blokatorius (AIIRB), gali sukelti šlapalo ir kreatinino koncentracijos </w:t>
      </w:r>
      <w:r w:rsidR="00C95D34" w:rsidRPr="009F0293">
        <w:rPr>
          <w:szCs w:val="22"/>
        </w:rPr>
        <w:t xml:space="preserve">kraujo </w:t>
      </w:r>
      <w:r w:rsidRPr="009F0293">
        <w:rPr>
          <w:szCs w:val="22"/>
        </w:rPr>
        <w:t xml:space="preserve">serume padidėjimą pacientams, sergantiems abiejų inkstų arterijų stenoze arba vienintelio funkcionuojančio inksto arterijos stenoze. </w:t>
      </w:r>
    </w:p>
    <w:p w14:paraId="21711818" w14:textId="77777777" w:rsidR="00AE6755" w:rsidRPr="009F0293" w:rsidRDefault="00AE6755" w:rsidP="001F2847">
      <w:pPr>
        <w:rPr>
          <w:i/>
          <w:szCs w:val="22"/>
        </w:rPr>
      </w:pPr>
    </w:p>
    <w:p w14:paraId="0AB62025" w14:textId="77777777" w:rsidR="00AE6755" w:rsidRPr="001B2FA0" w:rsidRDefault="00AE6755" w:rsidP="003A6680">
      <w:pPr>
        <w:rPr>
          <w:iCs/>
          <w:szCs w:val="22"/>
          <w:u w:val="single"/>
        </w:rPr>
      </w:pPr>
      <w:r w:rsidRPr="001B2FA0">
        <w:rPr>
          <w:iCs/>
          <w:szCs w:val="22"/>
          <w:u w:val="single"/>
        </w:rPr>
        <w:t>Cirkuliuojančio kraujo tūrio sumažėjimas</w:t>
      </w:r>
    </w:p>
    <w:p w14:paraId="07FBF39A" w14:textId="57346463" w:rsidR="00AE6755" w:rsidRPr="009F0293" w:rsidRDefault="00AE6755" w:rsidP="003A6680">
      <w:pPr>
        <w:rPr>
          <w:szCs w:val="22"/>
        </w:rPr>
      </w:pPr>
      <w:r w:rsidRPr="009F0293">
        <w:rPr>
          <w:szCs w:val="22"/>
        </w:rPr>
        <w:t xml:space="preserve">Pacientams, kurių organizme yra sumažėjęs cirkuliuojančio kraujo tūris ir (arba) trūksta natrio, gali pasireikšti simptominė hipotenzija, kaip aprašyta ir vartojant kitus vaistinius preparatus, kurie veikia renino, angiotenzino ir aldosterono sistemą. Todėl </w:t>
      </w:r>
      <w:r w:rsidR="00247FEA" w:rsidRPr="009F0293">
        <w:rPr>
          <w:szCs w:val="22"/>
        </w:rPr>
        <w:t>Carzan HCT</w:t>
      </w:r>
      <w:r w:rsidRPr="009F0293">
        <w:rPr>
          <w:szCs w:val="22"/>
        </w:rPr>
        <w:t xml:space="preserve"> nerekomenduojama vartoti, kol ši būklė nesureguliuojama.</w:t>
      </w:r>
    </w:p>
    <w:p w14:paraId="67BD0B59" w14:textId="77777777" w:rsidR="00AE6755" w:rsidRPr="009F0293" w:rsidRDefault="00AE6755" w:rsidP="001F2847">
      <w:pPr>
        <w:rPr>
          <w:i/>
          <w:szCs w:val="22"/>
        </w:rPr>
      </w:pPr>
    </w:p>
    <w:p w14:paraId="5A693C35" w14:textId="77777777" w:rsidR="00AE6755" w:rsidRPr="001B2FA0" w:rsidRDefault="00AE6755" w:rsidP="001F2847">
      <w:pPr>
        <w:rPr>
          <w:iCs/>
          <w:szCs w:val="22"/>
          <w:u w:val="single"/>
        </w:rPr>
      </w:pPr>
      <w:r w:rsidRPr="001B2FA0">
        <w:rPr>
          <w:iCs/>
          <w:szCs w:val="22"/>
          <w:u w:val="single"/>
        </w:rPr>
        <w:t>Anestezija ir chirurgija</w:t>
      </w:r>
    </w:p>
    <w:p w14:paraId="1237A628" w14:textId="77777777" w:rsidR="00AE6755" w:rsidRPr="009F0293" w:rsidRDefault="00AE6755" w:rsidP="00CE39E7">
      <w:pPr>
        <w:rPr>
          <w:szCs w:val="22"/>
        </w:rPr>
      </w:pPr>
      <w:r w:rsidRPr="009F0293">
        <w:rPr>
          <w:szCs w:val="22"/>
        </w:rPr>
        <w:t>Angiotenzino-II receptorių blokatorių vartojantiems pacientams anestezijos ir operacijos metu dėl renino, angiotenzino ir aldosterono sistemos slopinimo gali pasireikšti hipotenzija. Labai retai ji gali būti tokia sunki, kad tektų vartoti skysčių į veną ir (ar) kraujagysles siaurinančių vaist</w:t>
      </w:r>
      <w:r w:rsidR="00924C8F" w:rsidRPr="009F0293">
        <w:rPr>
          <w:szCs w:val="22"/>
        </w:rPr>
        <w:t>inių preparat</w:t>
      </w:r>
      <w:r w:rsidRPr="009F0293">
        <w:rPr>
          <w:szCs w:val="22"/>
        </w:rPr>
        <w:t xml:space="preserve">ų. </w:t>
      </w:r>
    </w:p>
    <w:p w14:paraId="7BEE0B65" w14:textId="77777777" w:rsidR="00AE6755" w:rsidRPr="009F0293" w:rsidRDefault="00AE6755" w:rsidP="001F2847">
      <w:pPr>
        <w:rPr>
          <w:szCs w:val="22"/>
        </w:rPr>
      </w:pPr>
    </w:p>
    <w:p w14:paraId="76380ABD" w14:textId="77777777" w:rsidR="00AE6755" w:rsidRPr="001B2FA0" w:rsidRDefault="00AE6755" w:rsidP="00F144B2">
      <w:pPr>
        <w:rPr>
          <w:iCs/>
          <w:szCs w:val="22"/>
          <w:u w:val="single"/>
        </w:rPr>
      </w:pPr>
      <w:r w:rsidRPr="001B2FA0">
        <w:rPr>
          <w:iCs/>
          <w:szCs w:val="22"/>
          <w:u w:val="single"/>
        </w:rPr>
        <w:t>Kepenų funkcijos sutrikimas</w:t>
      </w:r>
    </w:p>
    <w:p w14:paraId="5F00E7F9" w14:textId="37B84083" w:rsidR="00AE6755" w:rsidRPr="009F0293" w:rsidRDefault="00AE6755" w:rsidP="00F144B2">
      <w:pPr>
        <w:rPr>
          <w:szCs w:val="22"/>
        </w:rPr>
      </w:pPr>
      <w:r w:rsidRPr="009F0293">
        <w:rPr>
          <w:szCs w:val="22"/>
        </w:rPr>
        <w:t xml:space="preserve">Pacientams, kurie serga kepenų funkcijos sutrikimu arba progresuojančia kepenų liga, tiazidinius diuretikus reikia vartoti atsargiai, nes net mažiausi skysčio ir elektrolitų pusiausvyros pokyčiai gali paskatinti kepenų komą. </w:t>
      </w:r>
      <w:r w:rsidR="00BD6059" w:rsidRPr="009F0293">
        <w:rPr>
          <w:szCs w:val="22"/>
        </w:rPr>
        <w:t>Kandesartano cileksetilo/</w:t>
      </w:r>
      <w:r w:rsidR="00A45436" w:rsidRPr="009F0293">
        <w:rPr>
          <w:szCs w:val="22"/>
        </w:rPr>
        <w:t xml:space="preserve"> </w:t>
      </w:r>
      <w:r w:rsidR="00BD6059" w:rsidRPr="009F0293">
        <w:rPr>
          <w:szCs w:val="22"/>
        </w:rPr>
        <w:t>hidrochlorotiazido</w:t>
      </w:r>
      <w:r w:rsidRPr="009F0293">
        <w:rPr>
          <w:szCs w:val="22"/>
        </w:rPr>
        <w:t xml:space="preserve"> vartojimo pacientams, kuri</w:t>
      </w:r>
      <w:r w:rsidR="00BD6059" w:rsidRPr="009F0293">
        <w:rPr>
          <w:szCs w:val="22"/>
        </w:rPr>
        <w:t>ų</w:t>
      </w:r>
      <w:r w:rsidRPr="009F0293">
        <w:rPr>
          <w:szCs w:val="22"/>
        </w:rPr>
        <w:t xml:space="preserve"> kepenų funkcij</w:t>
      </w:r>
      <w:r w:rsidR="00BD6059" w:rsidRPr="009F0293">
        <w:rPr>
          <w:szCs w:val="22"/>
        </w:rPr>
        <w:t>a</w:t>
      </w:r>
      <w:r w:rsidRPr="009F0293">
        <w:rPr>
          <w:szCs w:val="22"/>
        </w:rPr>
        <w:t xml:space="preserve"> sutrik</w:t>
      </w:r>
      <w:r w:rsidR="00BD6059" w:rsidRPr="009F0293">
        <w:rPr>
          <w:szCs w:val="22"/>
        </w:rPr>
        <w:t>usi</w:t>
      </w:r>
      <w:r w:rsidRPr="009F0293">
        <w:rPr>
          <w:szCs w:val="22"/>
        </w:rPr>
        <w:t>, klinikinės patirties nėra.</w:t>
      </w:r>
    </w:p>
    <w:p w14:paraId="40D02A47" w14:textId="77777777" w:rsidR="00AE6755" w:rsidRPr="009F0293" w:rsidRDefault="00AE6755" w:rsidP="001F2847">
      <w:pPr>
        <w:rPr>
          <w:szCs w:val="22"/>
        </w:rPr>
      </w:pPr>
    </w:p>
    <w:p w14:paraId="0CF2B213" w14:textId="77777777" w:rsidR="00AE6755" w:rsidRPr="001B2FA0" w:rsidRDefault="00AE6755" w:rsidP="001F2847">
      <w:pPr>
        <w:rPr>
          <w:iCs/>
          <w:szCs w:val="22"/>
          <w:u w:val="single"/>
        </w:rPr>
      </w:pPr>
      <w:r w:rsidRPr="001B2FA0">
        <w:rPr>
          <w:iCs/>
          <w:szCs w:val="22"/>
          <w:u w:val="single"/>
        </w:rPr>
        <w:t>Aortos ir mitralinio vožtuvo stenozė (obstrukcinė hipertrofinė kardiomiopatija)</w:t>
      </w:r>
    </w:p>
    <w:p w14:paraId="55A632EE" w14:textId="77777777" w:rsidR="00AE6755" w:rsidRPr="009F0293" w:rsidRDefault="00AE6755" w:rsidP="001F2847">
      <w:pPr>
        <w:rPr>
          <w:szCs w:val="22"/>
        </w:rPr>
      </w:pPr>
      <w:r w:rsidRPr="009F0293">
        <w:rPr>
          <w:szCs w:val="22"/>
        </w:rPr>
        <w:t>Šio vaistinio preparato, kaip ir kitų kraujagysles plečiančių, ypač atsargiai reikia skirti pacientams, sergantiems hemodinamiką trikdančia aortos arba mitralinio vožtuvo stenoze ar obstrukcine hipertrofine kardiomiopatija.</w:t>
      </w:r>
    </w:p>
    <w:p w14:paraId="63FCBEDB" w14:textId="77777777" w:rsidR="00AE6755" w:rsidRPr="009F0293" w:rsidRDefault="00AE6755" w:rsidP="001F2847">
      <w:pPr>
        <w:rPr>
          <w:szCs w:val="22"/>
        </w:rPr>
      </w:pPr>
    </w:p>
    <w:p w14:paraId="7232D510" w14:textId="77777777" w:rsidR="00AE6755" w:rsidRPr="001B2FA0" w:rsidRDefault="00AE6755" w:rsidP="001F2847">
      <w:pPr>
        <w:rPr>
          <w:iCs/>
          <w:szCs w:val="22"/>
          <w:u w:val="single"/>
        </w:rPr>
      </w:pPr>
      <w:r w:rsidRPr="001B2FA0">
        <w:rPr>
          <w:iCs/>
          <w:szCs w:val="22"/>
          <w:u w:val="single"/>
        </w:rPr>
        <w:t>Pirminis hiperaldosteronizmas</w:t>
      </w:r>
    </w:p>
    <w:p w14:paraId="2324AA2B" w14:textId="77777777" w:rsidR="00AE6755" w:rsidRPr="009F0293" w:rsidRDefault="00AE6755" w:rsidP="001F2847">
      <w:pPr>
        <w:rPr>
          <w:szCs w:val="22"/>
        </w:rPr>
      </w:pPr>
      <w:r w:rsidRPr="009F0293">
        <w:rPr>
          <w:szCs w:val="22"/>
        </w:rPr>
        <w:t xml:space="preserve">Pacientams, sergantiems pirminiu hiperaldosteronizmu, renino, angiotenzino ir aldosterono sistemą slopinantys antihipertenziniai vaistiniai preparatai dažniausiai būna neveiksmingi, todėl jiems </w:t>
      </w:r>
      <w:r w:rsidR="00247FEA" w:rsidRPr="009F0293">
        <w:rPr>
          <w:szCs w:val="22"/>
        </w:rPr>
        <w:t>Carzan HCT</w:t>
      </w:r>
      <w:r w:rsidRPr="009F0293">
        <w:rPr>
          <w:szCs w:val="22"/>
        </w:rPr>
        <w:t xml:space="preserve"> nerekomenduojamas.</w:t>
      </w:r>
    </w:p>
    <w:p w14:paraId="50A10811" w14:textId="77777777" w:rsidR="00AE6755" w:rsidRPr="009F0293" w:rsidRDefault="00AE6755" w:rsidP="001F2847">
      <w:pPr>
        <w:rPr>
          <w:szCs w:val="22"/>
        </w:rPr>
      </w:pPr>
    </w:p>
    <w:p w14:paraId="4CBF42DA" w14:textId="77777777" w:rsidR="00AE6755" w:rsidRPr="001B2FA0" w:rsidRDefault="00AE6755" w:rsidP="00F144B2">
      <w:pPr>
        <w:rPr>
          <w:iCs/>
          <w:szCs w:val="22"/>
          <w:u w:val="single"/>
        </w:rPr>
      </w:pPr>
      <w:r w:rsidRPr="001B2FA0">
        <w:rPr>
          <w:iCs/>
          <w:szCs w:val="22"/>
          <w:u w:val="single"/>
        </w:rPr>
        <w:t>Elektrolitų pusiausvyros sutrikimas</w:t>
      </w:r>
    </w:p>
    <w:p w14:paraId="60747465" w14:textId="77777777" w:rsidR="00AE6755" w:rsidRPr="009F0293" w:rsidRDefault="00AE6755" w:rsidP="00F144B2">
      <w:pPr>
        <w:rPr>
          <w:szCs w:val="22"/>
        </w:rPr>
      </w:pPr>
      <w:r w:rsidRPr="009F0293">
        <w:rPr>
          <w:szCs w:val="22"/>
        </w:rPr>
        <w:t xml:space="preserve">Reikia periodiškai tinkamais intervalais matuoti elektrolitų koncentracijas </w:t>
      </w:r>
      <w:r w:rsidR="00BD7103" w:rsidRPr="009F0293">
        <w:rPr>
          <w:szCs w:val="22"/>
        </w:rPr>
        <w:t xml:space="preserve">kraujo </w:t>
      </w:r>
      <w:r w:rsidRPr="009F0293">
        <w:rPr>
          <w:szCs w:val="22"/>
        </w:rPr>
        <w:t>serume. Tiazidiniai diuretikai, įskaitant hidrochlorotiazidą, gali sutrikdyti skysčių ar elektrolitų pusiausvyrą (hiperkalcemija, hipokalemija, hiponatremija, hipomagnezemija ir hipochloreminė alkalozė).</w:t>
      </w:r>
    </w:p>
    <w:p w14:paraId="6EA2204E" w14:textId="77777777" w:rsidR="00AE6755" w:rsidRPr="009F0293" w:rsidRDefault="00AE6755" w:rsidP="00F144B2">
      <w:pPr>
        <w:rPr>
          <w:szCs w:val="22"/>
        </w:rPr>
      </w:pPr>
    </w:p>
    <w:p w14:paraId="5CBE3377" w14:textId="77777777" w:rsidR="00AE6755" w:rsidRPr="009F0293" w:rsidRDefault="00AE6755" w:rsidP="00F144B2">
      <w:pPr>
        <w:rPr>
          <w:szCs w:val="22"/>
        </w:rPr>
      </w:pPr>
      <w:r w:rsidRPr="009F0293">
        <w:rPr>
          <w:szCs w:val="22"/>
        </w:rPr>
        <w:t xml:space="preserve">Tiazidiniai diuretikai gali mažinti kalcio ekskreciją su šlapimu ir sukelti laikiną nedidelį kalcio koncentracijos padidėjimą </w:t>
      </w:r>
      <w:r w:rsidR="00BD7103" w:rsidRPr="009F0293">
        <w:rPr>
          <w:szCs w:val="22"/>
        </w:rPr>
        <w:t xml:space="preserve">kraujo </w:t>
      </w:r>
      <w:r w:rsidRPr="009F0293">
        <w:rPr>
          <w:szCs w:val="22"/>
        </w:rPr>
        <w:t>serume. Žymi hiperkalcemija gali būti slaptos hiperparatirozės požymis. Tiazidinių diuretikų vartojimą reikia nutraukti prieš prieskydinių liaukų funkcijos tyrimus.</w:t>
      </w:r>
    </w:p>
    <w:p w14:paraId="07C94210" w14:textId="77777777" w:rsidR="00AE6755" w:rsidRPr="009F0293" w:rsidRDefault="00AE6755" w:rsidP="00F144B2">
      <w:pPr>
        <w:rPr>
          <w:szCs w:val="22"/>
        </w:rPr>
      </w:pPr>
    </w:p>
    <w:p w14:paraId="4EF80D85" w14:textId="77777777" w:rsidR="00AE6755" w:rsidRPr="009F0293" w:rsidRDefault="00AE6755" w:rsidP="00F144B2">
      <w:pPr>
        <w:rPr>
          <w:szCs w:val="22"/>
        </w:rPr>
      </w:pPr>
      <w:r w:rsidRPr="009F0293">
        <w:rPr>
          <w:szCs w:val="22"/>
        </w:rPr>
        <w:t>Priklausomai nuo dozės hidrochlorotiazidas didina kalio ekskreciją su šlapimu, o tai gali sukelti hipokalemiją. Manoma, kad šis hidrochlorotiazido poveikis yra mažesnis vartojant kartu su kandesartan</w:t>
      </w:r>
      <w:r w:rsidR="00A501BA" w:rsidRPr="009F0293">
        <w:rPr>
          <w:szCs w:val="22"/>
        </w:rPr>
        <w:t>o</w:t>
      </w:r>
      <w:r w:rsidRPr="009F0293">
        <w:rPr>
          <w:szCs w:val="22"/>
        </w:rPr>
        <w:t xml:space="preserve"> cileksetilu. Hipokalemijos rizika gali padidėti pacientams, sergantiems kepenų ciroze, kuriems skatinama diurezė, kurie vartoja per mažai elektrolitų per burną arba kartu vartoja kortikosteroidus ar adrenokortikotropinį hormoną (AKTH).</w:t>
      </w:r>
    </w:p>
    <w:p w14:paraId="1D2B7984" w14:textId="77777777" w:rsidR="00AE6755" w:rsidRPr="009F0293" w:rsidRDefault="00AE6755" w:rsidP="00F144B2">
      <w:pPr>
        <w:rPr>
          <w:szCs w:val="22"/>
        </w:rPr>
      </w:pPr>
    </w:p>
    <w:p w14:paraId="27E17A65" w14:textId="6D51F3BB" w:rsidR="00AE6755" w:rsidRPr="009F0293" w:rsidRDefault="00AE6755" w:rsidP="00F144B2">
      <w:pPr>
        <w:rPr>
          <w:szCs w:val="22"/>
        </w:rPr>
      </w:pPr>
      <w:r w:rsidRPr="009F0293">
        <w:rPr>
          <w:szCs w:val="22"/>
        </w:rPr>
        <w:t>Gydymas kandesartan</w:t>
      </w:r>
      <w:r w:rsidR="00A501BA" w:rsidRPr="009F0293">
        <w:rPr>
          <w:szCs w:val="22"/>
        </w:rPr>
        <w:t>o</w:t>
      </w:r>
      <w:r w:rsidRPr="009F0293">
        <w:rPr>
          <w:szCs w:val="22"/>
        </w:rPr>
        <w:t xml:space="preserve"> cileksetilu gali sukelti hiperkalemiją, ypač širdies nepakankamumo ir (arba) inkstų funkcijos sutrikimo atveju. </w:t>
      </w:r>
      <w:r w:rsidR="00247FEA" w:rsidRPr="009F0293">
        <w:rPr>
          <w:szCs w:val="22"/>
        </w:rPr>
        <w:t>Carzan HCT</w:t>
      </w:r>
      <w:r w:rsidRPr="009F0293">
        <w:rPr>
          <w:szCs w:val="22"/>
        </w:rPr>
        <w:t xml:space="preserve"> vartojant kartu su </w:t>
      </w:r>
      <w:r w:rsidR="00BD6059" w:rsidRPr="009F0293">
        <w:rPr>
          <w:szCs w:val="22"/>
        </w:rPr>
        <w:t xml:space="preserve">AKF inhibitoriais, aliskirenu, </w:t>
      </w:r>
      <w:r w:rsidRPr="009F0293">
        <w:rPr>
          <w:szCs w:val="22"/>
        </w:rPr>
        <w:t xml:space="preserve">kalį organizme sulaikančiais diuretikais, kalio papildais ar druskų pakaitalais arba kitais vaistiniais preparatais, kurie gali didinti kalio koncentracijas </w:t>
      </w:r>
      <w:r w:rsidR="00BD7103" w:rsidRPr="009F0293">
        <w:rPr>
          <w:szCs w:val="22"/>
        </w:rPr>
        <w:t xml:space="preserve">kraujo </w:t>
      </w:r>
      <w:r w:rsidRPr="009F0293">
        <w:rPr>
          <w:szCs w:val="22"/>
        </w:rPr>
        <w:t>serume (pvz., heparino natrio druska</w:t>
      </w:r>
      <w:r w:rsidR="00BD6059" w:rsidRPr="009F0293">
        <w:rPr>
          <w:szCs w:val="22"/>
        </w:rPr>
        <w:t>, kotrimoksazoliu, taip pat žinomu kaip trimetoprimo ir sulfametoksazolo derinys</w:t>
      </w:r>
      <w:r w:rsidRPr="009F0293">
        <w:rPr>
          <w:szCs w:val="22"/>
        </w:rPr>
        <w:t xml:space="preserve">), kalio koncentracija </w:t>
      </w:r>
      <w:r w:rsidR="00BD7103" w:rsidRPr="009F0293">
        <w:rPr>
          <w:szCs w:val="22"/>
        </w:rPr>
        <w:t xml:space="preserve">kraujo </w:t>
      </w:r>
      <w:r w:rsidRPr="009F0293">
        <w:rPr>
          <w:szCs w:val="22"/>
        </w:rPr>
        <w:t xml:space="preserve">serume gali padidėti. Reikia tinkamai stebėti kalio koncentracijas </w:t>
      </w:r>
      <w:r w:rsidR="00BD7103" w:rsidRPr="009F0293">
        <w:rPr>
          <w:szCs w:val="22"/>
        </w:rPr>
        <w:t xml:space="preserve">kraujo </w:t>
      </w:r>
      <w:r w:rsidRPr="009F0293">
        <w:rPr>
          <w:szCs w:val="22"/>
        </w:rPr>
        <w:t>serume. Nustatyta, kad tiazidiniai diuretikai didina magnio ekskreciją su šlapimu, dėl to gali pasireikšti hipomagnezemija.</w:t>
      </w:r>
    </w:p>
    <w:p w14:paraId="10214C70" w14:textId="77777777" w:rsidR="00AE6755" w:rsidRPr="009F0293" w:rsidRDefault="00AE6755" w:rsidP="001F2847">
      <w:pPr>
        <w:rPr>
          <w:szCs w:val="22"/>
        </w:rPr>
      </w:pPr>
    </w:p>
    <w:p w14:paraId="687E0CB2" w14:textId="77777777" w:rsidR="00AE6755" w:rsidRPr="001B2FA0" w:rsidRDefault="00AE6755" w:rsidP="00BD7103">
      <w:pPr>
        <w:keepNext/>
        <w:keepLines/>
        <w:rPr>
          <w:iCs/>
          <w:szCs w:val="22"/>
          <w:u w:val="single"/>
        </w:rPr>
      </w:pPr>
      <w:r w:rsidRPr="001B2FA0">
        <w:rPr>
          <w:iCs/>
          <w:szCs w:val="22"/>
          <w:u w:val="single"/>
        </w:rPr>
        <w:lastRenderedPageBreak/>
        <w:t>Poveikis metabolizmui ir endokrininei sistemai</w:t>
      </w:r>
    </w:p>
    <w:p w14:paraId="46BA08B7" w14:textId="77777777" w:rsidR="00AE6755" w:rsidRPr="009F0293" w:rsidRDefault="00AE6755" w:rsidP="00BD7103">
      <w:pPr>
        <w:keepNext/>
        <w:keepLines/>
        <w:rPr>
          <w:szCs w:val="22"/>
        </w:rPr>
      </w:pPr>
      <w:r w:rsidRPr="009F0293">
        <w:rPr>
          <w:szCs w:val="22"/>
        </w:rPr>
        <w:t xml:space="preserve">Gydymas tiazidiniais diuretikais gali sutrikdyti gliukozės toleravimą. Gali tekti koreguoti vaistinių preparatų </w:t>
      </w:r>
      <w:r w:rsidR="00BD7103" w:rsidRPr="009F0293">
        <w:rPr>
          <w:szCs w:val="22"/>
        </w:rPr>
        <w:t xml:space="preserve">cukriniam </w:t>
      </w:r>
      <w:r w:rsidRPr="009F0293">
        <w:rPr>
          <w:szCs w:val="22"/>
        </w:rPr>
        <w:t xml:space="preserve">diabetui gydyti, įskaitant insuliną, dozavimą. Gydymo tiazidiniais diuretikais metu gali pasireikšti užslėptas (latentinis) cukrinis diabetas. Cholesterolio ir trigliceridų koncentracijų padidėjimas buvo susijęs su gydymu tiazidiniais diuretikais. Vartojant dozes, kurios yra </w:t>
      </w:r>
      <w:r w:rsidR="00247FEA" w:rsidRPr="009F0293">
        <w:rPr>
          <w:szCs w:val="22"/>
        </w:rPr>
        <w:t>Carzan HCT</w:t>
      </w:r>
      <w:r w:rsidRPr="009F0293">
        <w:rPr>
          <w:szCs w:val="22"/>
        </w:rPr>
        <w:t xml:space="preserve"> sudėtyje, stebėtas tik minimalus poveikis. Tiazidiniai diuretikai didina šlapimo rūgšties koncentraciją </w:t>
      </w:r>
      <w:r w:rsidR="00BD7103" w:rsidRPr="009F0293">
        <w:rPr>
          <w:szCs w:val="22"/>
        </w:rPr>
        <w:t xml:space="preserve">kraujo </w:t>
      </w:r>
      <w:r w:rsidRPr="009F0293">
        <w:rPr>
          <w:szCs w:val="22"/>
        </w:rPr>
        <w:t>serume ir gali paskatinti podagrą jautriems pacientams.</w:t>
      </w:r>
    </w:p>
    <w:p w14:paraId="69ED3E94" w14:textId="77777777" w:rsidR="00AE6755" w:rsidRPr="009F0293" w:rsidRDefault="00AE6755" w:rsidP="00F144B2">
      <w:pPr>
        <w:rPr>
          <w:i/>
          <w:szCs w:val="22"/>
        </w:rPr>
      </w:pPr>
    </w:p>
    <w:p w14:paraId="4D869566" w14:textId="77777777" w:rsidR="00AE6755" w:rsidRPr="001B2FA0" w:rsidRDefault="00AE6755" w:rsidP="00F144B2">
      <w:pPr>
        <w:rPr>
          <w:iCs/>
          <w:szCs w:val="22"/>
          <w:u w:val="single"/>
        </w:rPr>
      </w:pPr>
      <w:r w:rsidRPr="001B2FA0">
        <w:rPr>
          <w:iCs/>
          <w:szCs w:val="22"/>
          <w:u w:val="single"/>
        </w:rPr>
        <w:t>Padidėjęs jautrumas šviesai</w:t>
      </w:r>
    </w:p>
    <w:p w14:paraId="3F1E3788" w14:textId="77777777" w:rsidR="00AE6755" w:rsidRPr="009F0293" w:rsidRDefault="00AE6755" w:rsidP="00F144B2">
      <w:pPr>
        <w:rPr>
          <w:iCs/>
          <w:szCs w:val="22"/>
        </w:rPr>
      </w:pPr>
      <w:r w:rsidRPr="009F0293">
        <w:rPr>
          <w:iCs/>
          <w:szCs w:val="22"/>
        </w:rPr>
        <w:t xml:space="preserve">Pranešta apie jautrumo šviesai padidėjimo vartojant </w:t>
      </w:r>
      <w:r w:rsidRPr="009F0293">
        <w:rPr>
          <w:szCs w:val="22"/>
        </w:rPr>
        <w:t>tiazidinius diuretikus</w:t>
      </w:r>
      <w:r w:rsidRPr="009F0293">
        <w:rPr>
          <w:iCs/>
          <w:szCs w:val="22"/>
        </w:rPr>
        <w:t xml:space="preserve"> atvejus (žr. 4.8 skyrių). Jeigu pasireiškia padidėjusio jautrumo šviesai reakcija, gydymą rekomenduojama nutraukti. Jeigu gydymą būtina atnaujinti, rekomenduojama pridengti kūno dalis, kurias veikia saulės arba dirbtiniai UVA spinduliai.</w:t>
      </w:r>
    </w:p>
    <w:p w14:paraId="3E04EEC3" w14:textId="77777777" w:rsidR="00A50678" w:rsidRPr="009F0293" w:rsidRDefault="00A50678" w:rsidP="00F144B2">
      <w:pPr>
        <w:rPr>
          <w:iCs/>
          <w:szCs w:val="22"/>
        </w:rPr>
      </w:pPr>
    </w:p>
    <w:p w14:paraId="3BFB6B33" w14:textId="011627B4" w:rsidR="00734D1F" w:rsidRPr="001B2FA0" w:rsidRDefault="00734D1F" w:rsidP="00734D1F">
      <w:pPr>
        <w:autoSpaceDE w:val="0"/>
        <w:autoSpaceDN w:val="0"/>
        <w:adjustRightInd w:val="0"/>
        <w:rPr>
          <w:rFonts w:eastAsia="Calibri"/>
          <w:color w:val="000000"/>
          <w:szCs w:val="22"/>
          <w:u w:val="single"/>
          <w:lang w:eastAsia="lt-LT"/>
        </w:rPr>
      </w:pPr>
      <w:r w:rsidRPr="001B2FA0">
        <w:rPr>
          <w:rFonts w:eastAsia="Calibri"/>
          <w:color w:val="000000"/>
          <w:szCs w:val="22"/>
          <w:u w:val="single"/>
          <w:lang w:eastAsia="lt-LT"/>
        </w:rPr>
        <w:t>Nemelanominis odos vėžys</w:t>
      </w:r>
    </w:p>
    <w:p w14:paraId="374C4983" w14:textId="77777777" w:rsidR="00734D1F" w:rsidRPr="009F0293" w:rsidRDefault="00734D1F" w:rsidP="00734D1F">
      <w:pPr>
        <w:autoSpaceDE w:val="0"/>
        <w:autoSpaceDN w:val="0"/>
        <w:adjustRightInd w:val="0"/>
        <w:rPr>
          <w:rFonts w:eastAsia="Calibri"/>
          <w:color w:val="000000"/>
          <w:szCs w:val="22"/>
          <w:lang w:eastAsia="lt-LT"/>
        </w:rPr>
      </w:pPr>
      <w:r w:rsidRPr="009F0293">
        <w:rPr>
          <w:rFonts w:eastAsia="Calibri"/>
          <w:color w:val="000000"/>
          <w:szCs w:val="22"/>
          <w:lang w:eastAsia="lt-LT"/>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06E42C68" w14:textId="04ACF318" w:rsidR="00E4354B" w:rsidRPr="009F0293" w:rsidRDefault="00734D1F" w:rsidP="00734D1F">
      <w:pPr>
        <w:rPr>
          <w:rFonts w:eastAsia="Calibri"/>
          <w:color w:val="000000"/>
          <w:szCs w:val="22"/>
          <w:lang w:eastAsia="lt-LT"/>
        </w:rPr>
      </w:pPr>
      <w:r w:rsidRPr="009F0293">
        <w:rPr>
          <w:rFonts w:eastAsia="Calibri"/>
          <w:color w:val="000000"/>
          <w:szCs w:val="22"/>
          <w:lang w:eastAsia="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9F6A4A6" w14:textId="77777777" w:rsidR="00734D1F" w:rsidRPr="009F0293" w:rsidRDefault="00734D1F" w:rsidP="00734D1F">
      <w:pPr>
        <w:rPr>
          <w:iCs/>
          <w:szCs w:val="22"/>
        </w:rPr>
      </w:pPr>
    </w:p>
    <w:p w14:paraId="2CB1B904" w14:textId="0A7E9914" w:rsidR="00E4354B" w:rsidRPr="001B2FA0" w:rsidRDefault="008F4F7B" w:rsidP="00E4354B">
      <w:pPr>
        <w:widowControl w:val="0"/>
        <w:tabs>
          <w:tab w:val="left" w:pos="567"/>
        </w:tabs>
        <w:autoSpaceDE w:val="0"/>
        <w:autoSpaceDN w:val="0"/>
        <w:adjustRightInd w:val="0"/>
        <w:rPr>
          <w:iCs/>
          <w:szCs w:val="22"/>
          <w:u w:val="single"/>
        </w:rPr>
      </w:pPr>
      <w:r w:rsidRPr="001B2FA0">
        <w:rPr>
          <w:iCs/>
          <w:szCs w:val="22"/>
          <w:u w:val="single"/>
        </w:rPr>
        <w:t>Skysčio susikaupimas akies gyslainė</w:t>
      </w:r>
      <w:r w:rsidR="00861819" w:rsidRPr="001B2FA0">
        <w:rPr>
          <w:iCs/>
          <w:szCs w:val="22"/>
          <w:u w:val="single"/>
        </w:rPr>
        <w:t>je</w:t>
      </w:r>
      <w:r w:rsidRPr="001B2FA0">
        <w:rPr>
          <w:iCs/>
          <w:szCs w:val="22"/>
          <w:u w:val="single"/>
        </w:rPr>
        <w:t>, ūminė miopija ir a</w:t>
      </w:r>
      <w:r w:rsidR="00E4354B" w:rsidRPr="001B2FA0">
        <w:rPr>
          <w:iCs/>
          <w:szCs w:val="22"/>
          <w:u w:val="single"/>
        </w:rPr>
        <w:t xml:space="preserve">ntrinė uždaro kampo glaukoma </w:t>
      </w:r>
    </w:p>
    <w:p w14:paraId="7A884062" w14:textId="103B6247" w:rsidR="00E4354B" w:rsidRPr="009F0293" w:rsidRDefault="00E4354B" w:rsidP="00CE53AB">
      <w:pPr>
        <w:widowControl w:val="0"/>
        <w:tabs>
          <w:tab w:val="left" w:pos="567"/>
        </w:tabs>
        <w:autoSpaceDE w:val="0"/>
        <w:autoSpaceDN w:val="0"/>
        <w:adjustRightInd w:val="0"/>
        <w:rPr>
          <w:szCs w:val="22"/>
        </w:rPr>
      </w:pPr>
      <w:r w:rsidRPr="009F0293">
        <w:rPr>
          <w:szCs w:val="22"/>
        </w:rPr>
        <w:t>Vaistiniai preparatai, kurie yra sulfonamidai arba jų dariniai, gali sukelti idiosinkrazinę reakciją</w:t>
      </w:r>
      <w:r w:rsidR="009D32FF">
        <w:rPr>
          <w:szCs w:val="22"/>
        </w:rPr>
        <w:t xml:space="preserve">, </w:t>
      </w:r>
      <w:r w:rsidR="0003385E">
        <w:rPr>
          <w:szCs w:val="22"/>
        </w:rPr>
        <w:t>kurios padariniai yra</w:t>
      </w:r>
      <w:r w:rsidRPr="009F0293">
        <w:rPr>
          <w:szCs w:val="22"/>
        </w:rPr>
        <w:t xml:space="preserve"> </w:t>
      </w:r>
      <w:r w:rsidR="002B23A1" w:rsidRPr="002B23A1">
        <w:rPr>
          <w:szCs w:val="22"/>
        </w:rPr>
        <w:t xml:space="preserve">skysčio susikaupimas </w:t>
      </w:r>
      <w:r w:rsidR="00DA2F30">
        <w:rPr>
          <w:szCs w:val="22"/>
        </w:rPr>
        <w:t>gyslainėje</w:t>
      </w:r>
      <w:r w:rsidR="002B23A1" w:rsidRPr="002B23A1">
        <w:rPr>
          <w:szCs w:val="22"/>
        </w:rPr>
        <w:t xml:space="preserve"> su regėjimo lauko defektu, praeinanti miopija ir </w:t>
      </w:r>
      <w:r w:rsidRPr="009F0293">
        <w:rPr>
          <w:szCs w:val="22"/>
        </w:rPr>
        <w:t>ūminė uždaro kampo glaukoma. Pasireiškiantys simptomai yra staigus regos aštrumo sumažėjimas arba akių skausmas, jie paprastai atsiranda per kelias valandas arba savaites nuo vaistinio preparato vartojimo pradžios. Negydoma ūminė uždaro kampo glaukoma gali sukelti apakimą visam laikui. Tokiu atveju svarbiausia kuo greičiau nutraukti vaistinio preparato vartojimą. Jeigu akispūdis išlieka nekontroliuojamas, gali reikėti apsvarstyti skubaus medikamentinio arba chirurginio gydymo reikalingumą. Ūminės uždaro kampo glaukomos atsiradimo rizikos veiksniai gali būti anksčiau pasireiškusi alergija sulfonamidui arba penicilinui (žr. 4.8 skyrių).</w:t>
      </w:r>
    </w:p>
    <w:p w14:paraId="4A30ACB7" w14:textId="77777777" w:rsidR="00924C8F" w:rsidRDefault="00924C8F" w:rsidP="001F2847">
      <w:pPr>
        <w:rPr>
          <w:szCs w:val="22"/>
        </w:rPr>
      </w:pPr>
    </w:p>
    <w:p w14:paraId="7AA1F411" w14:textId="097EA7B0" w:rsidR="00D512EB" w:rsidRPr="00615887" w:rsidRDefault="00D512EB" w:rsidP="001F2847">
      <w:pPr>
        <w:rPr>
          <w:szCs w:val="22"/>
          <w:u w:val="single"/>
        </w:rPr>
      </w:pPr>
      <w:r w:rsidRPr="00615887">
        <w:rPr>
          <w:szCs w:val="22"/>
          <w:u w:val="single"/>
        </w:rPr>
        <w:t>Žarnyno angioneurozinė edema</w:t>
      </w:r>
    </w:p>
    <w:p w14:paraId="5688D4EC" w14:textId="39738557" w:rsidR="00D512EB" w:rsidRDefault="00D512EB" w:rsidP="001F2847">
      <w:pPr>
        <w:rPr>
          <w:szCs w:val="22"/>
        </w:rPr>
      </w:pPr>
      <w:r w:rsidRPr="00D512EB">
        <w:rPr>
          <w:szCs w:val="22"/>
        </w:rPr>
        <w:t xml:space="preserve">Gauta pranešimų apie žarnyno angioneurozinės edemos atvejus, pasireiškusius pacientams, gydytiems angiotenzino II receptorių blokatoriais (įskaitant </w:t>
      </w:r>
      <w:r>
        <w:rPr>
          <w:szCs w:val="22"/>
        </w:rPr>
        <w:t>kandesartaną</w:t>
      </w:r>
      <w:r w:rsidRPr="00D512EB">
        <w:rPr>
          <w:szCs w:val="22"/>
        </w:rPr>
        <w:t xml:space="preserve">) (žr. 4.8 skyrių). Šiems pacientams pasireiškė pilvo skausmas, pykinimas, vėmimas ir viduriavimas. Nutraukus angiotenzino II receptorių antagonistų vartojimą, simptomai išnyko. Diagnozavus žarnyno angioneurozinę edemą, reikia nutraukti </w:t>
      </w:r>
      <w:r>
        <w:rPr>
          <w:szCs w:val="22"/>
        </w:rPr>
        <w:t>kandesartano</w:t>
      </w:r>
      <w:r w:rsidRPr="00D512EB">
        <w:rPr>
          <w:szCs w:val="22"/>
        </w:rPr>
        <w:t xml:space="preserve"> vartojimą ir pradėti atitinkamą stebėseną, kol simptomai visiškai išnyksta.</w:t>
      </w:r>
    </w:p>
    <w:p w14:paraId="0C17F515" w14:textId="77777777" w:rsidR="00D512EB" w:rsidRPr="009F0293" w:rsidRDefault="00D512EB" w:rsidP="001F2847">
      <w:pPr>
        <w:rPr>
          <w:szCs w:val="22"/>
        </w:rPr>
      </w:pPr>
    </w:p>
    <w:p w14:paraId="485EC59E" w14:textId="77777777" w:rsidR="00AE6755" w:rsidRPr="001B2FA0" w:rsidRDefault="00AE6755" w:rsidP="001F2847">
      <w:pPr>
        <w:rPr>
          <w:iCs/>
          <w:szCs w:val="22"/>
          <w:u w:val="single"/>
        </w:rPr>
      </w:pPr>
      <w:r w:rsidRPr="001B2FA0">
        <w:rPr>
          <w:iCs/>
          <w:szCs w:val="22"/>
          <w:u w:val="single"/>
        </w:rPr>
        <w:t>Bendri įspėjimai</w:t>
      </w:r>
    </w:p>
    <w:p w14:paraId="26F9DC73" w14:textId="328FB4D6" w:rsidR="00AE6755" w:rsidRPr="009F0293" w:rsidRDefault="00AE6755" w:rsidP="001F2847">
      <w:pPr>
        <w:rPr>
          <w:szCs w:val="22"/>
        </w:rPr>
      </w:pPr>
      <w:r w:rsidRPr="009F0293">
        <w:rPr>
          <w:szCs w:val="22"/>
        </w:rPr>
        <w:t>Pacientams, kurių kraujagyslių tonusas ir inkstų funkcija daugiausiai priklausė nuo renino, angiotenzino ir aldosterono sistemos aktyvumo (pvz., sergantiems sunkiu staziniu širdies nepakankamumu ar inkstų liga, ypač inkstų arterijų stenoze), kitų šią sistemą veikiančių</w:t>
      </w:r>
      <w:r w:rsidR="00BD7103" w:rsidRPr="009F0293">
        <w:rPr>
          <w:szCs w:val="22"/>
        </w:rPr>
        <w:t xml:space="preserve"> vaistinių </w:t>
      </w:r>
      <w:r w:rsidRPr="009F0293">
        <w:rPr>
          <w:szCs w:val="22"/>
        </w:rPr>
        <w:t>preparatų vartojimas buvo susijęs su ūminės hipotenzijos, azotemijos, oligurijos ir (retai) ūminio inkstų nepakankamumo pasireiškimu. Negalima paneigti ir panašaus AIIRB poveikio galimybės. Dėl per didelio kraujospūdžio sumažėjimo vartojant šį (kaip ir bet kurį kitą) antihipertenzinį vaistinį preparatą išemine širdies liga ar išemine smegenų kraujagyslių liga sergančius pacientus gali ištikti miokardo infarktas ar insultas.</w:t>
      </w:r>
    </w:p>
    <w:p w14:paraId="5A8AE032" w14:textId="77777777" w:rsidR="00AE6755" w:rsidRPr="009F0293" w:rsidRDefault="00AE6755" w:rsidP="00DF24C6">
      <w:pPr>
        <w:rPr>
          <w:szCs w:val="22"/>
        </w:rPr>
      </w:pPr>
      <w:r w:rsidRPr="009F0293">
        <w:rPr>
          <w:szCs w:val="22"/>
        </w:rPr>
        <w:lastRenderedPageBreak/>
        <w:t>Pacientams, kuriems anksčiau pasireiškė arba nepasirei</w:t>
      </w:r>
      <w:r w:rsidRPr="009F0293">
        <w:rPr>
          <w:szCs w:val="22"/>
          <w:lang w:bidi="ar-SY"/>
        </w:rPr>
        <w:t xml:space="preserve">škė </w:t>
      </w:r>
      <w:r w:rsidRPr="009F0293">
        <w:rPr>
          <w:szCs w:val="22"/>
        </w:rPr>
        <w:t>alergija arba astma (nors labiau tikėtina pacientams, kuriems tokios būklės buvo pasireiškusios), gali pasireikšti padidėjusio jautrumo hidrochlorotiazidui reakcijos.</w:t>
      </w:r>
    </w:p>
    <w:p w14:paraId="1CC7D5C1" w14:textId="77777777" w:rsidR="00AE6755" w:rsidRPr="009F0293" w:rsidRDefault="00AE6755" w:rsidP="001F2847">
      <w:pPr>
        <w:rPr>
          <w:szCs w:val="22"/>
        </w:rPr>
      </w:pPr>
    </w:p>
    <w:p w14:paraId="395FFCB2" w14:textId="77777777" w:rsidR="00AE6755" w:rsidRPr="009F0293" w:rsidRDefault="00247FEA" w:rsidP="00FC7457">
      <w:pPr>
        <w:rPr>
          <w:szCs w:val="22"/>
        </w:rPr>
      </w:pPr>
      <w:r w:rsidRPr="009F0293">
        <w:rPr>
          <w:szCs w:val="22"/>
        </w:rPr>
        <w:t>Carzan HCT</w:t>
      </w:r>
      <w:r w:rsidR="00AE6755" w:rsidRPr="009F0293">
        <w:rPr>
          <w:szCs w:val="22"/>
        </w:rPr>
        <w:t xml:space="preserve"> antihipertenzinį poveikį gali sustiprinti kiti kraujospūdį mažinantys vaistiniai preparatai.</w:t>
      </w:r>
    </w:p>
    <w:p w14:paraId="326DF941" w14:textId="4B100BBC" w:rsidR="00AE6755" w:rsidRDefault="00AE6755" w:rsidP="001F2847">
      <w:pPr>
        <w:rPr>
          <w:szCs w:val="22"/>
        </w:rPr>
      </w:pPr>
    </w:p>
    <w:p w14:paraId="4F9E4CD1" w14:textId="77777777" w:rsidR="007E69C8" w:rsidRPr="001B2FA0" w:rsidRDefault="007E69C8" w:rsidP="007E69C8">
      <w:pPr>
        <w:rPr>
          <w:szCs w:val="22"/>
          <w:u w:val="single"/>
        </w:rPr>
      </w:pPr>
      <w:r w:rsidRPr="001B2FA0">
        <w:rPr>
          <w:szCs w:val="22"/>
          <w:u w:val="single"/>
        </w:rPr>
        <w:t>Ūminis toksinis poveikis kvėpavimo sistemai</w:t>
      </w:r>
    </w:p>
    <w:p w14:paraId="419F00CA" w14:textId="708DC838" w:rsidR="007E69C8" w:rsidRDefault="007E69C8" w:rsidP="007E69C8">
      <w:pPr>
        <w:rPr>
          <w:szCs w:val="22"/>
        </w:rPr>
      </w:pPr>
      <w:r w:rsidRPr="007E69C8">
        <w:rPr>
          <w:szCs w:val="22"/>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00A008F2">
        <w:rPr>
          <w:szCs w:val="22"/>
        </w:rPr>
        <w:t>Carzan HCT</w:t>
      </w:r>
      <w:r w:rsidRPr="007E69C8">
        <w:rPr>
          <w:szCs w:val="22"/>
        </w:rPr>
        <w:t xml:space="preserve"> vartojimą ir skirti atitinkamą gydymą. Hidrochlorotiazido negalima skirti pacientams, kuriems anksčiau pasireiškė ŪKSS pavartojus hidrochlorotiazido.</w:t>
      </w:r>
    </w:p>
    <w:p w14:paraId="4AA36EB2" w14:textId="77777777" w:rsidR="007E69C8" w:rsidRPr="009F0293" w:rsidRDefault="007E69C8" w:rsidP="001F2847">
      <w:pPr>
        <w:rPr>
          <w:szCs w:val="22"/>
        </w:rPr>
      </w:pPr>
    </w:p>
    <w:p w14:paraId="3FFFFC1E" w14:textId="77777777" w:rsidR="00AE6755" w:rsidRPr="001B2FA0" w:rsidRDefault="00AE6755" w:rsidP="001F2847">
      <w:pPr>
        <w:rPr>
          <w:iCs/>
          <w:szCs w:val="22"/>
          <w:u w:val="single"/>
        </w:rPr>
      </w:pPr>
      <w:r w:rsidRPr="001B2FA0">
        <w:rPr>
          <w:iCs/>
          <w:szCs w:val="22"/>
          <w:u w:val="single"/>
        </w:rPr>
        <w:t xml:space="preserve">Nėštumas </w:t>
      </w:r>
    </w:p>
    <w:p w14:paraId="5A77EC01" w14:textId="77777777" w:rsidR="003920EA" w:rsidRPr="001B2FA0" w:rsidRDefault="003920EA" w:rsidP="0078306A">
      <w:pPr>
        <w:rPr>
          <w:i/>
          <w:iCs/>
          <w:szCs w:val="22"/>
        </w:rPr>
      </w:pPr>
      <w:r w:rsidRPr="001B2FA0">
        <w:rPr>
          <w:i/>
          <w:iCs/>
          <w:szCs w:val="22"/>
        </w:rPr>
        <w:t>Angiotenzino-II receptorių blokatoriai (AIIRB)</w:t>
      </w:r>
    </w:p>
    <w:p w14:paraId="45A5CBCA" w14:textId="77777777" w:rsidR="00AE6755" w:rsidRPr="009F0293" w:rsidRDefault="00AE6755" w:rsidP="0078306A">
      <w:pPr>
        <w:rPr>
          <w:szCs w:val="22"/>
        </w:rPr>
      </w:pPr>
      <w:r w:rsidRPr="009F0293">
        <w:rPr>
          <w:szCs w:val="22"/>
        </w:rPr>
        <w:t>Nėštumo laikotarpiu pradėti vartoti AIIRB negalima. Išskyrus atvejus, kai tęstinis gydymas angiotenzino-II receptorių blokatoriais laikomas būtinu, planuojančioms pastoti pacientėms šiuos vaistinius preparatus reikia pakeisti kitais antihipertenziniais</w:t>
      </w:r>
      <w:r w:rsidR="00BD7103" w:rsidRPr="009F0293">
        <w:rPr>
          <w:szCs w:val="22"/>
        </w:rPr>
        <w:t xml:space="preserve"> vaistiniais preparatais</w:t>
      </w:r>
      <w:r w:rsidRPr="009F0293">
        <w:rPr>
          <w:szCs w:val="22"/>
        </w:rPr>
        <w:t>, kurių vartojimo nėštumo laikotarpiu saugumas yra ištirtas. Nustačius, kad pacientė pastojo, būtina nedelsiant nutraukti AIIRB receptorių blokatorių vartojimą, ir, jei reikia, skirti kitų antihipertenzinių vaistinių preparatų (žr. 4.3 ir 4.6 skyrius).</w:t>
      </w:r>
    </w:p>
    <w:p w14:paraId="0487CDAB" w14:textId="77777777" w:rsidR="00AE6755" w:rsidRPr="009F0293" w:rsidRDefault="00AE6755" w:rsidP="0078306A">
      <w:pPr>
        <w:rPr>
          <w:szCs w:val="22"/>
        </w:rPr>
      </w:pPr>
    </w:p>
    <w:p w14:paraId="2FD805B7" w14:textId="60EA5D80" w:rsidR="00215F6E" w:rsidRPr="001B2FA0" w:rsidRDefault="008E67BD" w:rsidP="0078306A">
      <w:pPr>
        <w:rPr>
          <w:iCs/>
          <w:szCs w:val="22"/>
          <w:u w:val="single"/>
        </w:rPr>
      </w:pPr>
      <w:r>
        <w:rPr>
          <w:iCs/>
          <w:szCs w:val="22"/>
          <w:u w:val="single"/>
        </w:rPr>
        <w:t>P</w:t>
      </w:r>
      <w:r w:rsidR="00BB6557" w:rsidRPr="001B2FA0">
        <w:rPr>
          <w:iCs/>
          <w:szCs w:val="22"/>
          <w:u w:val="single"/>
        </w:rPr>
        <w:t>agalbines</w:t>
      </w:r>
      <w:r w:rsidR="00215F6E" w:rsidRPr="001B2FA0">
        <w:rPr>
          <w:iCs/>
          <w:szCs w:val="22"/>
          <w:u w:val="single"/>
        </w:rPr>
        <w:t xml:space="preserve"> medžiagas</w:t>
      </w:r>
    </w:p>
    <w:p w14:paraId="68E9BEF5" w14:textId="15E5F953" w:rsidR="00AE6755" w:rsidRDefault="00215F6E" w:rsidP="00F26A44">
      <w:pPr>
        <w:rPr>
          <w:szCs w:val="22"/>
        </w:rPr>
      </w:pPr>
      <w:r w:rsidRPr="009F0293">
        <w:rPr>
          <w:szCs w:val="22"/>
        </w:rPr>
        <w:t>Šio vaistinio preparato</w:t>
      </w:r>
      <w:r w:rsidR="00AE6755" w:rsidRPr="009F0293">
        <w:rPr>
          <w:szCs w:val="22"/>
        </w:rPr>
        <w:t xml:space="preserve"> sudėtyje yra laktozės</w:t>
      </w:r>
      <w:r w:rsidRPr="009F0293">
        <w:rPr>
          <w:szCs w:val="22"/>
        </w:rPr>
        <w:t xml:space="preserve"> monohidrato</w:t>
      </w:r>
      <w:r w:rsidR="00AE6755" w:rsidRPr="009F0293">
        <w:rPr>
          <w:szCs w:val="22"/>
        </w:rPr>
        <w:t xml:space="preserve">. Šio vaistinio preparato negalima vartoti pacientams, kuriems nustatytas retas paveldimas sutrikimas – galaktozės netoleravimas, </w:t>
      </w:r>
      <w:r w:rsidRPr="009F0293">
        <w:rPr>
          <w:szCs w:val="22"/>
        </w:rPr>
        <w:t xml:space="preserve">visiškas </w:t>
      </w:r>
      <w:r w:rsidR="00AE6755" w:rsidRPr="009F0293">
        <w:rPr>
          <w:szCs w:val="22"/>
        </w:rPr>
        <w:t>laktazės stygius arba gliukozės ir galaktozės malabsorbcija.</w:t>
      </w:r>
    </w:p>
    <w:p w14:paraId="329AAAD6" w14:textId="77777777" w:rsidR="008E67BD" w:rsidRPr="009F0293" w:rsidRDefault="008E67BD" w:rsidP="00F26A44">
      <w:pPr>
        <w:rPr>
          <w:szCs w:val="22"/>
        </w:rPr>
      </w:pPr>
    </w:p>
    <w:p w14:paraId="6A4FB2CA" w14:textId="34A714D6" w:rsidR="00AE6755" w:rsidRPr="009F0293" w:rsidRDefault="00215F6E" w:rsidP="00215F6E">
      <w:pPr>
        <w:rPr>
          <w:szCs w:val="22"/>
        </w:rPr>
      </w:pPr>
      <w:r w:rsidRPr="009F0293">
        <w:rPr>
          <w:szCs w:val="22"/>
        </w:rPr>
        <w:t>Šio vaistinio preparato tabletėje yra mažiau kaip 1 mmol (23 mg) natrio, t. y. jis beveik neturi reikšmės.</w:t>
      </w:r>
    </w:p>
    <w:p w14:paraId="083CE7AD" w14:textId="77777777" w:rsidR="00215F6E" w:rsidRPr="009F0293" w:rsidRDefault="00215F6E" w:rsidP="00215F6E">
      <w:pPr>
        <w:rPr>
          <w:szCs w:val="22"/>
        </w:rPr>
      </w:pPr>
    </w:p>
    <w:p w14:paraId="0E8ADDE8" w14:textId="77777777" w:rsidR="00AE6755" w:rsidRPr="009F0293" w:rsidRDefault="00AE6755" w:rsidP="00C66ED2">
      <w:pPr>
        <w:keepNext/>
        <w:keepLines/>
        <w:tabs>
          <w:tab w:val="left" w:pos="567"/>
        </w:tabs>
        <w:rPr>
          <w:b/>
          <w:szCs w:val="22"/>
        </w:rPr>
      </w:pPr>
      <w:r w:rsidRPr="009F0293">
        <w:rPr>
          <w:b/>
          <w:szCs w:val="22"/>
        </w:rPr>
        <w:t>4.5</w:t>
      </w:r>
      <w:r w:rsidRPr="009F0293">
        <w:rPr>
          <w:b/>
          <w:szCs w:val="22"/>
        </w:rPr>
        <w:tab/>
        <w:t>Sąveika su kitais vaistiniais preparatais ir kitokia sąveika</w:t>
      </w:r>
    </w:p>
    <w:p w14:paraId="006FBDB0" w14:textId="77777777" w:rsidR="00AE6755" w:rsidRPr="009F0293" w:rsidRDefault="00AE6755" w:rsidP="00C66ED2">
      <w:pPr>
        <w:keepNext/>
        <w:keepLines/>
        <w:rPr>
          <w:szCs w:val="22"/>
        </w:rPr>
      </w:pPr>
    </w:p>
    <w:p w14:paraId="59CCC973" w14:textId="77777777" w:rsidR="004C5312" w:rsidRPr="009F0293" w:rsidRDefault="004C5312" w:rsidP="00C66ED2">
      <w:pPr>
        <w:keepNext/>
        <w:keepLines/>
        <w:rPr>
          <w:szCs w:val="22"/>
        </w:rPr>
      </w:pPr>
      <w:r w:rsidRPr="009F0293">
        <w:rPr>
          <w:szCs w:val="22"/>
        </w:rPr>
        <w:t xml:space="preserve">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 </w:t>
      </w:r>
    </w:p>
    <w:p w14:paraId="205929AE" w14:textId="77777777" w:rsidR="004C5312" w:rsidRPr="009F0293" w:rsidRDefault="004C5312" w:rsidP="00FD5B9D">
      <w:pPr>
        <w:rPr>
          <w:szCs w:val="22"/>
        </w:rPr>
      </w:pPr>
    </w:p>
    <w:p w14:paraId="17A0C28B" w14:textId="77777777" w:rsidR="00AE6755" w:rsidRPr="009F0293" w:rsidRDefault="00AE6755" w:rsidP="00FD5B9D">
      <w:pPr>
        <w:rPr>
          <w:szCs w:val="22"/>
        </w:rPr>
      </w:pPr>
      <w:r w:rsidRPr="009F0293">
        <w:rPr>
          <w:szCs w:val="22"/>
        </w:rPr>
        <w:t>Klinikinės farmakokinetikos tyrimų metu tirta sąveika su varfarinu, digoksinu, geriamaisiais kontraceptikais (etinilestradiolio ir levonorgestrelio deriniu), glibenklamidu ir nifedipinu. Kliniškai reikšmingos farmakokinetinės sąveikos su šiais vaistiniais preparatais nenustatyta.</w:t>
      </w:r>
    </w:p>
    <w:p w14:paraId="0D54092B" w14:textId="77777777" w:rsidR="00AE6755" w:rsidRPr="009F0293" w:rsidRDefault="00AE6755" w:rsidP="001F2847">
      <w:pPr>
        <w:rPr>
          <w:szCs w:val="22"/>
        </w:rPr>
      </w:pPr>
    </w:p>
    <w:p w14:paraId="6BF072B6" w14:textId="77777777" w:rsidR="00AE6755" w:rsidRPr="009F0293" w:rsidRDefault="00AE6755" w:rsidP="0010475D">
      <w:pPr>
        <w:rPr>
          <w:szCs w:val="22"/>
        </w:rPr>
      </w:pPr>
      <w:r w:rsidRPr="009F0293">
        <w:rPr>
          <w:szCs w:val="22"/>
        </w:rPr>
        <w:t>Galima tikėtis, kad kiti vaistiniai preparatai, kurie susiję su kalio šalinimu ir hipokalemija (pvz.: kiti kalio pasišalinimą iš organizmo skatinantys diuretikai, vidurių laisvinamieji vaistiniai preparatai, amfotericinas, karbenoksolonas, penicilino G natrio druska, salicilo rūgšties dariniai, steroidai, AKTH), gali sustiprinti hidrochlorotiazido sukeliamą kalio netekimą.</w:t>
      </w:r>
    </w:p>
    <w:p w14:paraId="026DA3E3" w14:textId="77777777" w:rsidR="00AE6755" w:rsidRPr="009F0293" w:rsidRDefault="00AE6755" w:rsidP="001F2847">
      <w:pPr>
        <w:rPr>
          <w:szCs w:val="22"/>
        </w:rPr>
      </w:pPr>
    </w:p>
    <w:p w14:paraId="4334E101" w14:textId="7E94AD8D" w:rsidR="00AE6755" w:rsidRPr="009F0293" w:rsidRDefault="00247FEA" w:rsidP="001F2847">
      <w:pPr>
        <w:rPr>
          <w:szCs w:val="22"/>
        </w:rPr>
      </w:pPr>
      <w:r w:rsidRPr="009F0293">
        <w:rPr>
          <w:szCs w:val="22"/>
        </w:rPr>
        <w:t>Carzan HCT</w:t>
      </w:r>
      <w:r w:rsidR="00AE6755" w:rsidRPr="009F0293">
        <w:rPr>
          <w:szCs w:val="22"/>
        </w:rPr>
        <w:t xml:space="preserve"> vartojant kartu su kalį sulaikančiais diuretikais, kalio papildais, kalio turinčiais druskos pakaitalais ar kai kuriais kitais vaistiniais preparatais, galinčiais didinti kalio koncentraciją </w:t>
      </w:r>
      <w:r w:rsidR="00FA3F4D" w:rsidRPr="009F0293">
        <w:rPr>
          <w:szCs w:val="22"/>
        </w:rPr>
        <w:t xml:space="preserve">kraujo </w:t>
      </w:r>
      <w:r w:rsidR="00AE6755" w:rsidRPr="009F0293">
        <w:rPr>
          <w:szCs w:val="22"/>
        </w:rPr>
        <w:t>serume (pvz., heparino natrio druska</w:t>
      </w:r>
      <w:r w:rsidR="00BD6059" w:rsidRPr="009F0293">
        <w:rPr>
          <w:szCs w:val="22"/>
        </w:rPr>
        <w:t>, kotrimoksazoliu, taip pat žinomu kaip trimetoprimo ir sulfametoksazolo derinys</w:t>
      </w:r>
      <w:r w:rsidR="00AE6755" w:rsidRPr="009F0293">
        <w:rPr>
          <w:szCs w:val="22"/>
        </w:rPr>
        <w:t xml:space="preserve">), gali padidėti kalio koncentracija kraujo serume. Ji turi būti tinkamai reguliariai tiriama (žr. 4.4 skyrių). </w:t>
      </w:r>
    </w:p>
    <w:p w14:paraId="5EA8BD47" w14:textId="77777777" w:rsidR="00AE6755" w:rsidRPr="009F0293" w:rsidRDefault="00AE6755" w:rsidP="0010475D">
      <w:pPr>
        <w:rPr>
          <w:szCs w:val="22"/>
        </w:rPr>
      </w:pPr>
    </w:p>
    <w:p w14:paraId="0A723C71" w14:textId="77777777" w:rsidR="00AE6755" w:rsidRPr="009F0293" w:rsidRDefault="00AE6755" w:rsidP="00CD0052">
      <w:pPr>
        <w:pStyle w:val="Default"/>
        <w:rPr>
          <w:sz w:val="22"/>
          <w:szCs w:val="22"/>
          <w:lang w:val="lt-LT"/>
        </w:rPr>
      </w:pPr>
      <w:r w:rsidRPr="009F0293">
        <w:rPr>
          <w:sz w:val="22"/>
          <w:szCs w:val="22"/>
          <w:lang w:val="lt-LT"/>
        </w:rPr>
        <w:t xml:space="preserve">Diuretikų sukelta hipokalemija ir hipomagnezemija skatina galimą toksinį širdį veikiančių glikozidų ir antiaritminių vaistinių preparatų kardiotoksinį poveikį. Rekomenduojama periodiškai matuoti kalio </w:t>
      </w:r>
      <w:r w:rsidRPr="009F0293">
        <w:rPr>
          <w:sz w:val="22"/>
          <w:szCs w:val="22"/>
          <w:lang w:val="lt-LT"/>
        </w:rPr>
        <w:lastRenderedPageBreak/>
        <w:t xml:space="preserve">koncentracijas, jeigu </w:t>
      </w:r>
      <w:r w:rsidR="00247FEA" w:rsidRPr="009F0293">
        <w:rPr>
          <w:sz w:val="22"/>
          <w:szCs w:val="22"/>
          <w:lang w:val="lt-LT"/>
        </w:rPr>
        <w:t>Carzan HCT</w:t>
      </w:r>
      <w:r w:rsidRPr="009F0293">
        <w:rPr>
          <w:sz w:val="22"/>
          <w:szCs w:val="22"/>
          <w:lang w:val="lt-LT"/>
        </w:rPr>
        <w:t xml:space="preserve"> vartojamas kartu su išvardytais vaistiniais preparatais, kurie gali sukelti </w:t>
      </w:r>
      <w:r w:rsidRPr="009F0293">
        <w:rPr>
          <w:i/>
          <w:iCs/>
          <w:sz w:val="22"/>
          <w:szCs w:val="22"/>
          <w:lang w:val="lt-LT"/>
        </w:rPr>
        <w:t>torsades de pointes</w:t>
      </w:r>
      <w:r w:rsidRPr="009F0293">
        <w:rPr>
          <w:sz w:val="22"/>
          <w:szCs w:val="22"/>
          <w:lang w:val="lt-LT"/>
        </w:rPr>
        <w:t>:</w:t>
      </w:r>
    </w:p>
    <w:p w14:paraId="5B8560E3" w14:textId="77777777" w:rsidR="00AE6755" w:rsidRPr="009F0293" w:rsidRDefault="00AE6755" w:rsidP="00841F45">
      <w:pPr>
        <w:pStyle w:val="Default"/>
        <w:numPr>
          <w:ilvl w:val="0"/>
          <w:numId w:val="28"/>
        </w:numPr>
        <w:tabs>
          <w:tab w:val="left" w:pos="360"/>
        </w:tabs>
        <w:rPr>
          <w:sz w:val="22"/>
          <w:szCs w:val="22"/>
          <w:lang w:val="lt-LT"/>
        </w:rPr>
      </w:pPr>
      <w:r w:rsidRPr="009F0293">
        <w:rPr>
          <w:sz w:val="22"/>
          <w:szCs w:val="22"/>
          <w:lang w:val="lt-LT"/>
        </w:rPr>
        <w:t>IA klasės antiaritminiai vaistiniai preparatai (pvz.: chinidinas, hidrochinidinas, dizopiramidas);</w:t>
      </w:r>
    </w:p>
    <w:p w14:paraId="26E2DA41" w14:textId="77777777" w:rsidR="00AE6755" w:rsidRPr="009F0293" w:rsidRDefault="00AE6755" w:rsidP="00841F45">
      <w:pPr>
        <w:pStyle w:val="Default"/>
        <w:numPr>
          <w:ilvl w:val="0"/>
          <w:numId w:val="28"/>
        </w:numPr>
        <w:rPr>
          <w:sz w:val="22"/>
          <w:szCs w:val="22"/>
          <w:lang w:val="lt-LT"/>
        </w:rPr>
      </w:pPr>
      <w:r w:rsidRPr="009F0293">
        <w:rPr>
          <w:sz w:val="22"/>
          <w:szCs w:val="22"/>
          <w:lang w:val="lt-LT"/>
        </w:rPr>
        <w:t>III klasės antiaritminiai vaistiniai preparatai (pvz.: amjodaronas, sotalolis, dofetilidas, ibutilidas);</w:t>
      </w:r>
    </w:p>
    <w:p w14:paraId="67DBB7C4" w14:textId="77777777" w:rsidR="00AE6755" w:rsidRPr="009F0293" w:rsidRDefault="00AE6755" w:rsidP="00841F45">
      <w:pPr>
        <w:pStyle w:val="Default"/>
        <w:numPr>
          <w:ilvl w:val="0"/>
          <w:numId w:val="28"/>
        </w:numPr>
        <w:rPr>
          <w:sz w:val="22"/>
          <w:szCs w:val="22"/>
          <w:lang w:val="lt-LT"/>
        </w:rPr>
      </w:pPr>
      <w:r w:rsidRPr="009F0293">
        <w:rPr>
          <w:sz w:val="22"/>
          <w:szCs w:val="22"/>
          <w:lang w:val="lt-LT"/>
        </w:rPr>
        <w:t>kai kurie antipsichoziniai vaistiniai preparatai (pvz.: tioridazinas, chlorpromazinas, levomepromazinas, trifluoperazinas, ciamemazinas, sulpiridas, sultopridas, amisulpridas, tiapridas, pimozidas, haloperidolis, droperidolis);</w:t>
      </w:r>
    </w:p>
    <w:p w14:paraId="7325D755" w14:textId="77777777" w:rsidR="00AE6755" w:rsidRPr="009F0293" w:rsidRDefault="00AE6755" w:rsidP="00841F45">
      <w:pPr>
        <w:pStyle w:val="Default"/>
        <w:numPr>
          <w:ilvl w:val="0"/>
          <w:numId w:val="28"/>
        </w:numPr>
        <w:rPr>
          <w:sz w:val="22"/>
          <w:szCs w:val="22"/>
          <w:lang w:val="lt-LT"/>
        </w:rPr>
      </w:pPr>
      <w:r w:rsidRPr="009F0293">
        <w:rPr>
          <w:sz w:val="22"/>
          <w:szCs w:val="22"/>
          <w:lang w:val="lt-LT"/>
        </w:rPr>
        <w:t>kiti vaistiniai preparatai (pvz.: bepridilis, cisapridas, difemanilis, į veną leidžiamas eritromicinas, halofantrinas, ketanserinas, mizolastinas, pentamidinas, sparfloksacinas, terfenadinas, į veną leidžiamas vinkaminas).</w:t>
      </w:r>
    </w:p>
    <w:p w14:paraId="0DC2BEC2" w14:textId="77777777" w:rsidR="00AE6755" w:rsidRPr="009F0293" w:rsidRDefault="00AE6755" w:rsidP="001F2847">
      <w:pPr>
        <w:rPr>
          <w:szCs w:val="22"/>
        </w:rPr>
      </w:pPr>
    </w:p>
    <w:p w14:paraId="031CDB18" w14:textId="77777777" w:rsidR="00AE6755" w:rsidRPr="009F0293" w:rsidRDefault="00AE6755" w:rsidP="00F26A44">
      <w:pPr>
        <w:rPr>
          <w:szCs w:val="22"/>
        </w:rPr>
      </w:pPr>
      <w:r w:rsidRPr="009F0293">
        <w:rPr>
          <w:szCs w:val="22"/>
        </w:rPr>
        <w:t xml:space="preserve">Buvo atvejų, kai kartu su angiotenziną konvertuojančio fermento (AKF) inhibitoriais ar hidrochlorotiazidu vartojant ličio preparatų laikinai padidėjo ličio koncentracija </w:t>
      </w:r>
      <w:r w:rsidR="00FA3F4D" w:rsidRPr="009F0293">
        <w:rPr>
          <w:szCs w:val="22"/>
        </w:rPr>
        <w:t xml:space="preserve">kraujo </w:t>
      </w:r>
      <w:r w:rsidRPr="009F0293">
        <w:rPr>
          <w:szCs w:val="22"/>
        </w:rPr>
        <w:t xml:space="preserve">serume, pasireiškė jo toksinis poveikis. Panašus poveikis galimas ir kartu vartojant AIIRB. Kandesartano ir hidrochlorotiazido su ličio preparatu kartu vartoti nerekomenduojama, tačiau jeigu vis dėlto tai neišvengiamai būtina, rekomenduojama atidžiai stebėti ličio koncentraciją </w:t>
      </w:r>
      <w:r w:rsidR="00FA3F4D" w:rsidRPr="009F0293">
        <w:rPr>
          <w:szCs w:val="22"/>
        </w:rPr>
        <w:t xml:space="preserve">kraujo </w:t>
      </w:r>
      <w:r w:rsidRPr="009F0293">
        <w:rPr>
          <w:szCs w:val="22"/>
        </w:rPr>
        <w:t>serume.</w:t>
      </w:r>
    </w:p>
    <w:p w14:paraId="050DC731" w14:textId="77777777" w:rsidR="00AE6755" w:rsidRPr="009F0293" w:rsidRDefault="00AE6755" w:rsidP="001F2847">
      <w:pPr>
        <w:rPr>
          <w:szCs w:val="22"/>
        </w:rPr>
      </w:pPr>
    </w:p>
    <w:p w14:paraId="7C9F615D" w14:textId="1A11EA25" w:rsidR="00AE6755" w:rsidRPr="009F0293" w:rsidRDefault="00AE6755" w:rsidP="00AB1729">
      <w:pPr>
        <w:rPr>
          <w:szCs w:val="22"/>
        </w:rPr>
      </w:pPr>
      <w:r w:rsidRPr="009F0293">
        <w:rPr>
          <w:szCs w:val="22"/>
        </w:rPr>
        <w:t>Kartu su AIIRB vartojant nesteroidinių vaistų nuo uždegimo (NVNU) (selektyvių ciklooksigenazės</w:t>
      </w:r>
      <w:r w:rsidR="00B40AB2">
        <w:rPr>
          <w:szCs w:val="22"/>
        </w:rPr>
        <w:noBreakHyphen/>
      </w:r>
      <w:r w:rsidRPr="009F0293">
        <w:rPr>
          <w:szCs w:val="22"/>
        </w:rPr>
        <w:t>2 inhibitorių, acetilsalicilo rūgšties didesnėmis kaip 3 g paros dozėmis arba neselektyvių nesteroidinių vaistų nuo uždegimo), gali susilpnėti antihipertenzinis poveikis.</w:t>
      </w:r>
    </w:p>
    <w:p w14:paraId="09673752" w14:textId="77777777" w:rsidR="00AE6755" w:rsidRPr="009F0293" w:rsidRDefault="00AE6755" w:rsidP="001F2847">
      <w:pPr>
        <w:rPr>
          <w:szCs w:val="22"/>
        </w:rPr>
      </w:pPr>
    </w:p>
    <w:p w14:paraId="57C209CC" w14:textId="77777777" w:rsidR="00AE6755" w:rsidRPr="009F0293" w:rsidRDefault="00AE6755" w:rsidP="00F26A44">
      <w:pPr>
        <w:rPr>
          <w:szCs w:val="22"/>
        </w:rPr>
      </w:pPr>
      <w:r w:rsidRPr="009F0293">
        <w:rPr>
          <w:szCs w:val="22"/>
        </w:rPr>
        <w:t xml:space="preserve">AIIRB (kaip ir AKF inhibitorių) vartojant kartu su NVNU, gali padidėti inkstų funkcijos pablogėjimo (įskaitant ūminį inkstų nepakankamumą) rizika, ir kalio koncentracijos padidėjimą </w:t>
      </w:r>
      <w:r w:rsidR="00A80892" w:rsidRPr="009F0293">
        <w:rPr>
          <w:szCs w:val="22"/>
        </w:rPr>
        <w:t xml:space="preserve">kraujo </w:t>
      </w:r>
      <w:r w:rsidRPr="009F0293">
        <w:rPr>
          <w:szCs w:val="22"/>
        </w:rPr>
        <w:t>serume</w:t>
      </w:r>
      <w:r w:rsidRPr="009F0293">
        <w:rPr>
          <w:rStyle w:val="FontStyle22"/>
          <w:sz w:val="22"/>
          <w:szCs w:val="22"/>
        </w:rPr>
        <w:t>,</w:t>
      </w:r>
      <w:r w:rsidRPr="009F0293">
        <w:rPr>
          <w:szCs w:val="22"/>
        </w:rPr>
        <w:t xml:space="preserve"> ypač jeigu ji jau sutrikusi. Kartu šių vaistinių preparatų skiriama atsargiai, ypač senyviems pacientams. Pacientas turi vartoti pakankamai skysčių. Pradėjus gydymą šių vaistinių preparatų deriniu ir periodiškai vėliau gali būti tikslinga tirti inkstų funkciją.</w:t>
      </w:r>
    </w:p>
    <w:p w14:paraId="49FEBC1D" w14:textId="77777777" w:rsidR="00AE6755" w:rsidRPr="009F0293" w:rsidRDefault="00AE6755" w:rsidP="001E689A">
      <w:pPr>
        <w:rPr>
          <w:szCs w:val="22"/>
        </w:rPr>
      </w:pPr>
      <w:r w:rsidRPr="009F0293">
        <w:rPr>
          <w:szCs w:val="22"/>
        </w:rPr>
        <w:t>NVNU silpnina diurezinį, natriurezinį ir antihipertenzinį hidrochlorotiazido poveikį.</w:t>
      </w:r>
    </w:p>
    <w:p w14:paraId="4C8378AE" w14:textId="77777777" w:rsidR="00AE6755" w:rsidRPr="009F0293" w:rsidRDefault="00AE6755" w:rsidP="001E689A">
      <w:pPr>
        <w:rPr>
          <w:szCs w:val="22"/>
        </w:rPr>
      </w:pPr>
    </w:p>
    <w:p w14:paraId="6AB98460" w14:textId="77777777" w:rsidR="00AE6755" w:rsidRPr="009F0293" w:rsidRDefault="00AE6755" w:rsidP="001E689A">
      <w:pPr>
        <w:rPr>
          <w:szCs w:val="22"/>
        </w:rPr>
      </w:pPr>
      <w:r w:rsidRPr="009F0293">
        <w:rPr>
          <w:szCs w:val="22"/>
        </w:rPr>
        <w:t>Kolestipolis ar kolestiraminas mažina hidrochlorotiazido absorbciją.</w:t>
      </w:r>
    </w:p>
    <w:p w14:paraId="6A18368E" w14:textId="77777777" w:rsidR="00AE6755" w:rsidRPr="009F0293" w:rsidRDefault="00AE6755" w:rsidP="001E689A">
      <w:pPr>
        <w:rPr>
          <w:szCs w:val="22"/>
        </w:rPr>
      </w:pPr>
    </w:p>
    <w:p w14:paraId="3DF1E411" w14:textId="77777777" w:rsidR="00AE6755" w:rsidRPr="009F0293" w:rsidRDefault="00AE6755" w:rsidP="001E689A">
      <w:pPr>
        <w:rPr>
          <w:szCs w:val="22"/>
        </w:rPr>
      </w:pPr>
      <w:r w:rsidRPr="009F0293">
        <w:rPr>
          <w:szCs w:val="22"/>
        </w:rPr>
        <w:t>Hidrochlorotiazidas gali stiprinti nedepoliarizuojančiųjų raumenų relaksantų (pvz., tubokurarino) poveikį.</w:t>
      </w:r>
    </w:p>
    <w:p w14:paraId="03C72B08" w14:textId="77777777" w:rsidR="00AE6755" w:rsidRPr="009F0293" w:rsidRDefault="00AE6755" w:rsidP="001E689A">
      <w:pPr>
        <w:rPr>
          <w:szCs w:val="22"/>
        </w:rPr>
      </w:pPr>
    </w:p>
    <w:p w14:paraId="0ACA96FE" w14:textId="77777777" w:rsidR="00AE6755" w:rsidRPr="009F0293" w:rsidRDefault="00AE6755" w:rsidP="001E689A">
      <w:pPr>
        <w:rPr>
          <w:szCs w:val="22"/>
        </w:rPr>
      </w:pPr>
      <w:r w:rsidRPr="009F0293">
        <w:rPr>
          <w:szCs w:val="22"/>
        </w:rPr>
        <w:t xml:space="preserve">Tiazidiniai diuretikai gali mažinti kalcio ekskreciją ir dėl to didinti kalcio koncentracijas </w:t>
      </w:r>
      <w:r w:rsidR="00A80892" w:rsidRPr="009F0293">
        <w:rPr>
          <w:szCs w:val="22"/>
        </w:rPr>
        <w:t xml:space="preserve">kraujo </w:t>
      </w:r>
      <w:r w:rsidRPr="009F0293">
        <w:rPr>
          <w:szCs w:val="22"/>
        </w:rPr>
        <w:t xml:space="preserve">serume. Jeigu būtina skirti kalcio papildų ar vitamino D, reikia stebėti kalcio koncentracijas </w:t>
      </w:r>
      <w:r w:rsidR="00A80892" w:rsidRPr="009F0293">
        <w:rPr>
          <w:szCs w:val="22"/>
        </w:rPr>
        <w:t xml:space="preserve">kraujo </w:t>
      </w:r>
      <w:r w:rsidRPr="009F0293">
        <w:rPr>
          <w:szCs w:val="22"/>
        </w:rPr>
        <w:t>serume ir atitinkamai keisti dozavimą.</w:t>
      </w:r>
    </w:p>
    <w:p w14:paraId="190F53E2" w14:textId="77777777" w:rsidR="00AE6755" w:rsidRPr="009F0293" w:rsidRDefault="00AE6755" w:rsidP="001E689A">
      <w:pPr>
        <w:rPr>
          <w:szCs w:val="22"/>
        </w:rPr>
      </w:pPr>
    </w:p>
    <w:p w14:paraId="7C11D51F" w14:textId="77777777" w:rsidR="00AE6755" w:rsidRPr="009F0293" w:rsidRDefault="00AE6755" w:rsidP="001E689A">
      <w:pPr>
        <w:rPr>
          <w:szCs w:val="22"/>
        </w:rPr>
      </w:pPr>
      <w:r w:rsidRPr="009F0293">
        <w:rPr>
          <w:szCs w:val="22"/>
        </w:rPr>
        <w:t>Tiazidiniai diuretikai gali sustiprinti hiperglikeminį beta adrenoreceptorių blokatorių ir diazoksido poveikį.</w:t>
      </w:r>
    </w:p>
    <w:p w14:paraId="532A062A" w14:textId="77777777" w:rsidR="00AE6755" w:rsidRPr="009F0293" w:rsidRDefault="00AE6755" w:rsidP="001E689A">
      <w:pPr>
        <w:rPr>
          <w:szCs w:val="22"/>
        </w:rPr>
      </w:pPr>
    </w:p>
    <w:p w14:paraId="0E3B557F" w14:textId="77777777" w:rsidR="00AE6755" w:rsidRPr="009F0293" w:rsidRDefault="00AE6755" w:rsidP="001E689A">
      <w:pPr>
        <w:rPr>
          <w:szCs w:val="22"/>
        </w:rPr>
      </w:pPr>
      <w:r w:rsidRPr="009F0293">
        <w:rPr>
          <w:szCs w:val="22"/>
        </w:rPr>
        <w:t>Anticholinerginiai vaistiniai preparatai (pvz.: atropinas, biperidenas) mažindami skrandžio ir žarnų peristaltiką ir lėtindami skrandžio ištuštinimą gali didinti tiazidinių diuretikų biologinį prieinamumą.</w:t>
      </w:r>
    </w:p>
    <w:p w14:paraId="154BB39E" w14:textId="77777777" w:rsidR="00AE6755" w:rsidRPr="009F0293" w:rsidRDefault="00AE6755" w:rsidP="001E689A">
      <w:pPr>
        <w:rPr>
          <w:szCs w:val="22"/>
        </w:rPr>
      </w:pPr>
    </w:p>
    <w:p w14:paraId="14367D02" w14:textId="77777777" w:rsidR="00AE6755" w:rsidRPr="009F0293" w:rsidRDefault="00AE6755" w:rsidP="00127F2C">
      <w:pPr>
        <w:autoSpaceDE w:val="0"/>
        <w:autoSpaceDN w:val="0"/>
        <w:adjustRightInd w:val="0"/>
        <w:rPr>
          <w:color w:val="000000"/>
          <w:szCs w:val="22"/>
          <w:lang w:eastAsia="lt-LT"/>
        </w:rPr>
      </w:pPr>
      <w:r w:rsidRPr="009F0293">
        <w:rPr>
          <w:color w:val="000000"/>
          <w:szCs w:val="22"/>
          <w:lang w:eastAsia="lt-LT"/>
        </w:rPr>
        <w:t xml:space="preserve">Tiazidiniai diuretikai gali padidinti amantadino nepageidaujamo poveikio riziką. </w:t>
      </w:r>
    </w:p>
    <w:p w14:paraId="09666995" w14:textId="77777777" w:rsidR="00AE6755" w:rsidRPr="009F0293" w:rsidRDefault="00AE6755" w:rsidP="001E689A">
      <w:pPr>
        <w:rPr>
          <w:szCs w:val="22"/>
        </w:rPr>
      </w:pPr>
    </w:p>
    <w:p w14:paraId="38ED20EB" w14:textId="3C503D79" w:rsidR="00AE6755" w:rsidRPr="009F0293" w:rsidRDefault="00AE6755" w:rsidP="001E689A">
      <w:pPr>
        <w:rPr>
          <w:szCs w:val="22"/>
        </w:rPr>
      </w:pPr>
      <w:r w:rsidRPr="009F0293">
        <w:rPr>
          <w:szCs w:val="22"/>
        </w:rPr>
        <w:t>Tiazidiniai diuretikai gali mažinti citotoksinių vaistinių preparatų (pvz.</w:t>
      </w:r>
      <w:r w:rsidR="00B40AB2">
        <w:rPr>
          <w:szCs w:val="22"/>
        </w:rPr>
        <w:t>,</w:t>
      </w:r>
      <w:r w:rsidRPr="009F0293">
        <w:rPr>
          <w:szCs w:val="22"/>
        </w:rPr>
        <w:t xml:space="preserve"> ciklofosfamido, metotreksato) ekskreciją per inkstus ir sustiprinti jų sukeliamą kaulų čiulpų slopinimą.</w:t>
      </w:r>
    </w:p>
    <w:p w14:paraId="7C149C27" w14:textId="77777777" w:rsidR="00AE6755" w:rsidRPr="009F0293" w:rsidRDefault="00AE6755" w:rsidP="001E689A">
      <w:pPr>
        <w:rPr>
          <w:szCs w:val="22"/>
        </w:rPr>
      </w:pPr>
    </w:p>
    <w:p w14:paraId="3DB77AA1" w14:textId="77777777" w:rsidR="00AE6755" w:rsidRPr="009F0293" w:rsidRDefault="00AE6755" w:rsidP="001E689A">
      <w:pPr>
        <w:rPr>
          <w:szCs w:val="22"/>
        </w:rPr>
      </w:pPr>
      <w:r w:rsidRPr="009F0293">
        <w:rPr>
          <w:szCs w:val="22"/>
        </w:rPr>
        <w:t>Ortostatinė hipotenzija gali sustiprėti kartu pavartojus alkoholio, barbitūratų ar anestetikų.</w:t>
      </w:r>
    </w:p>
    <w:p w14:paraId="42E85312" w14:textId="77777777" w:rsidR="00AE6755" w:rsidRPr="009F0293" w:rsidRDefault="00AE6755" w:rsidP="001E689A">
      <w:pPr>
        <w:rPr>
          <w:szCs w:val="22"/>
        </w:rPr>
      </w:pPr>
    </w:p>
    <w:p w14:paraId="65C7B88C" w14:textId="77777777" w:rsidR="00AE6755" w:rsidRPr="009F0293" w:rsidRDefault="00AE6755" w:rsidP="00103391">
      <w:pPr>
        <w:tabs>
          <w:tab w:val="left" w:pos="567"/>
        </w:tabs>
        <w:spacing w:line="260" w:lineRule="exact"/>
        <w:rPr>
          <w:szCs w:val="22"/>
        </w:rPr>
      </w:pPr>
      <w:r w:rsidRPr="009F0293">
        <w:rPr>
          <w:szCs w:val="22"/>
        </w:rPr>
        <w:t xml:space="preserve">Gydymas tiazidiniais diuretikais gali sutrikdyti gliukozės toleravimą. Gali prireikti keisti vaistinių preparatų </w:t>
      </w:r>
      <w:r w:rsidR="00A80892" w:rsidRPr="009F0293">
        <w:rPr>
          <w:szCs w:val="22"/>
        </w:rPr>
        <w:t xml:space="preserve">cukriniam </w:t>
      </w:r>
      <w:r w:rsidRPr="009F0293">
        <w:rPr>
          <w:szCs w:val="22"/>
        </w:rPr>
        <w:t>diabetui gydyti, įskaitant insuliną, dozavimą. Metforminą reikia vartoti atsargiai dėl pieno rūgšties acidozės rizikos, kuri kyla dėl galimo inkstų nepakankamumo, susijusio su hidrochlorotiazido vartojimu.</w:t>
      </w:r>
    </w:p>
    <w:p w14:paraId="39FFB8FD" w14:textId="77777777" w:rsidR="00AE6755" w:rsidRPr="009F0293" w:rsidRDefault="00AE6755" w:rsidP="001E689A">
      <w:pPr>
        <w:tabs>
          <w:tab w:val="left" w:pos="567"/>
        </w:tabs>
        <w:spacing w:line="260" w:lineRule="exact"/>
        <w:rPr>
          <w:szCs w:val="22"/>
        </w:rPr>
      </w:pPr>
    </w:p>
    <w:p w14:paraId="22688B7E" w14:textId="77777777" w:rsidR="00AE6755" w:rsidRPr="009F0293" w:rsidRDefault="00AE6755" w:rsidP="001E689A">
      <w:pPr>
        <w:rPr>
          <w:szCs w:val="22"/>
        </w:rPr>
      </w:pPr>
      <w:r w:rsidRPr="009F0293">
        <w:rPr>
          <w:szCs w:val="22"/>
        </w:rPr>
        <w:t>Hidrochlorotiazidas gali mažinti arterijų atsaką į kraujagysles sutraukiančius aminus (pvz., adrenaliną), tačiau ne tiek, kad kraujagyslės nesusiaurėtų.</w:t>
      </w:r>
    </w:p>
    <w:p w14:paraId="1FBC227D" w14:textId="77777777" w:rsidR="00AE6755" w:rsidRPr="009F0293" w:rsidRDefault="00AE6755" w:rsidP="001E689A">
      <w:pPr>
        <w:rPr>
          <w:szCs w:val="22"/>
        </w:rPr>
      </w:pPr>
    </w:p>
    <w:p w14:paraId="0F83D45A" w14:textId="77777777" w:rsidR="00AE6755" w:rsidRPr="009F0293" w:rsidRDefault="00AE6755" w:rsidP="001E689A">
      <w:pPr>
        <w:rPr>
          <w:szCs w:val="22"/>
        </w:rPr>
      </w:pPr>
      <w:r w:rsidRPr="009F0293">
        <w:rPr>
          <w:szCs w:val="22"/>
        </w:rPr>
        <w:t>Hidrochlorotiazidas gali didinti ūminio inkstų nepakankamumo riziką, ypač vartojant kartu dideles jodo kontrastinių medžiagų dozes.</w:t>
      </w:r>
    </w:p>
    <w:p w14:paraId="4F764A59" w14:textId="77777777" w:rsidR="00AE6755" w:rsidRPr="009F0293" w:rsidRDefault="00AE6755" w:rsidP="001E689A">
      <w:pPr>
        <w:rPr>
          <w:szCs w:val="22"/>
        </w:rPr>
      </w:pPr>
    </w:p>
    <w:p w14:paraId="080F2761" w14:textId="77777777" w:rsidR="00AE6755" w:rsidRPr="009F0293" w:rsidRDefault="00AE6755" w:rsidP="001E689A">
      <w:pPr>
        <w:tabs>
          <w:tab w:val="left" w:pos="567"/>
        </w:tabs>
        <w:spacing w:line="260" w:lineRule="exact"/>
        <w:rPr>
          <w:szCs w:val="22"/>
        </w:rPr>
      </w:pPr>
      <w:r w:rsidRPr="009F0293">
        <w:rPr>
          <w:szCs w:val="22"/>
        </w:rPr>
        <w:t>Ciklosporino vartojimas kartu gali didinti hiperurikemijos ir į podagrą panašių komplikacijų riziką.</w:t>
      </w:r>
    </w:p>
    <w:p w14:paraId="48666F0F" w14:textId="77777777" w:rsidR="00AE6755" w:rsidRPr="009F0293" w:rsidRDefault="00AE6755" w:rsidP="001E689A">
      <w:pPr>
        <w:tabs>
          <w:tab w:val="left" w:pos="567"/>
        </w:tabs>
        <w:spacing w:line="260" w:lineRule="exact"/>
        <w:rPr>
          <w:szCs w:val="22"/>
        </w:rPr>
      </w:pPr>
    </w:p>
    <w:p w14:paraId="1CBF5C7B" w14:textId="77777777" w:rsidR="00AE6755" w:rsidRPr="009F0293" w:rsidRDefault="00AE6755" w:rsidP="00C6371D">
      <w:pPr>
        <w:tabs>
          <w:tab w:val="left" w:pos="567"/>
        </w:tabs>
        <w:spacing w:line="260" w:lineRule="exact"/>
        <w:rPr>
          <w:szCs w:val="22"/>
        </w:rPr>
      </w:pPr>
      <w:r w:rsidRPr="009F0293">
        <w:rPr>
          <w:szCs w:val="22"/>
        </w:rPr>
        <w:t>Vartojant kartu su baklofenu, amifostinu, tricikliais antidepresantais ar neuroleptikais gali sustiprėti antihipertenzinis poveikis ir pasireikšti hipotenzija.</w:t>
      </w:r>
    </w:p>
    <w:p w14:paraId="744B9FD7" w14:textId="77777777" w:rsidR="00AE6755" w:rsidRPr="009F0293" w:rsidRDefault="00AE6755" w:rsidP="001F2847">
      <w:pPr>
        <w:rPr>
          <w:szCs w:val="22"/>
        </w:rPr>
      </w:pPr>
    </w:p>
    <w:p w14:paraId="143FEE0C" w14:textId="77777777" w:rsidR="00AE6755" w:rsidRPr="009F0293" w:rsidRDefault="00AE6755" w:rsidP="001F2847">
      <w:pPr>
        <w:tabs>
          <w:tab w:val="left" w:pos="567"/>
        </w:tabs>
        <w:rPr>
          <w:b/>
          <w:szCs w:val="22"/>
        </w:rPr>
      </w:pPr>
      <w:r w:rsidRPr="009F0293">
        <w:rPr>
          <w:b/>
          <w:szCs w:val="22"/>
        </w:rPr>
        <w:t>4.6</w:t>
      </w:r>
      <w:r w:rsidRPr="009F0293">
        <w:rPr>
          <w:b/>
          <w:szCs w:val="22"/>
        </w:rPr>
        <w:tab/>
      </w:r>
      <w:r w:rsidR="004C5312" w:rsidRPr="009F0293">
        <w:rPr>
          <w:b/>
          <w:szCs w:val="22"/>
        </w:rPr>
        <w:t>Vaisingumas, n</w:t>
      </w:r>
      <w:r w:rsidRPr="009F0293">
        <w:rPr>
          <w:b/>
          <w:szCs w:val="22"/>
        </w:rPr>
        <w:t>ėštumo ir žindymo laikotarpis</w:t>
      </w:r>
    </w:p>
    <w:p w14:paraId="739C0E69" w14:textId="77777777" w:rsidR="00AE6755" w:rsidRPr="009F0293" w:rsidRDefault="00AE6755" w:rsidP="001F2847">
      <w:pPr>
        <w:rPr>
          <w:szCs w:val="22"/>
        </w:rPr>
      </w:pPr>
    </w:p>
    <w:p w14:paraId="44E1B9FF" w14:textId="77777777" w:rsidR="00AE6755" w:rsidRPr="009F0293" w:rsidRDefault="00AE6755" w:rsidP="001F2847">
      <w:pPr>
        <w:rPr>
          <w:szCs w:val="22"/>
          <w:u w:val="single"/>
        </w:rPr>
      </w:pPr>
      <w:r w:rsidRPr="009F0293">
        <w:rPr>
          <w:szCs w:val="22"/>
          <w:u w:val="single"/>
        </w:rPr>
        <w:t>Nėštumas</w:t>
      </w:r>
    </w:p>
    <w:p w14:paraId="5176BB07" w14:textId="77777777" w:rsidR="00AE6755" w:rsidRPr="009F0293" w:rsidRDefault="00AE6755" w:rsidP="001E689A">
      <w:pPr>
        <w:rPr>
          <w:i/>
          <w:szCs w:val="22"/>
          <w:u w:val="single"/>
        </w:rPr>
      </w:pPr>
      <w:r w:rsidRPr="009F0293">
        <w:rPr>
          <w:i/>
          <w:iCs/>
          <w:szCs w:val="22"/>
        </w:rPr>
        <w:t>Angiotenzino II receptorių blokatoriai (AIIRB)</w:t>
      </w:r>
    </w:p>
    <w:p w14:paraId="52F1E138" w14:textId="77777777" w:rsidR="00AE6755" w:rsidRPr="009F0293" w:rsidRDefault="00AE6755" w:rsidP="00876C26">
      <w:pPr>
        <w:pBdr>
          <w:top w:val="single" w:sz="4" w:space="1" w:color="auto"/>
          <w:left w:val="single" w:sz="4" w:space="0" w:color="auto"/>
          <w:bottom w:val="single" w:sz="4" w:space="1" w:color="auto"/>
          <w:right w:val="single" w:sz="4" w:space="4" w:color="auto"/>
        </w:pBdr>
        <w:rPr>
          <w:szCs w:val="22"/>
        </w:rPr>
      </w:pPr>
      <w:r w:rsidRPr="009F0293">
        <w:rPr>
          <w:szCs w:val="22"/>
        </w:rPr>
        <w:t xml:space="preserve">Pirmą nėštumo trimestrą AIIRB vartoti nerekomenduojama (žr. 4.4 skyrių), antrą ir trečią nėštumo trimestrą AIIRB vartoti negalima (žr. 4.3 ir 4.4 skyrius). </w:t>
      </w:r>
    </w:p>
    <w:p w14:paraId="245A0DD8" w14:textId="77777777" w:rsidR="00AE6755" w:rsidRPr="009F0293" w:rsidRDefault="00AE6755" w:rsidP="001F2847">
      <w:pPr>
        <w:rPr>
          <w:szCs w:val="22"/>
        </w:rPr>
      </w:pPr>
    </w:p>
    <w:p w14:paraId="2DD1CB8C" w14:textId="77777777" w:rsidR="00AE6755" w:rsidRPr="009F0293" w:rsidRDefault="00AE6755" w:rsidP="001F2847">
      <w:pPr>
        <w:rPr>
          <w:szCs w:val="22"/>
        </w:rPr>
      </w:pPr>
      <w:r w:rsidRPr="009F0293">
        <w:rPr>
          <w:szCs w:val="22"/>
        </w:rPr>
        <w:t>Turimi AKF inhibitorių vartojimo pirmą nėštumo trimestrą epidemiologiniai duomenys daryti išvadų dėl teratogeninio poveikio rizikos neleidžia, tačiau negalima atmesti nežymaus jos padidėjimo galimybės. Rizikos, susijusios su AIIRB, vertinimo kontroliuojamų epidemiologinių duomenų nėra, tačiau manoma, kad jie gali kelti panašią riziką. Išskyrus atvejus, kai tęstinis gydymas AIIRB laikomas būtinu, planuojančioms pastoti pacientėms šiuos vaistinius preparatus reikia pakeisti kitais antihipertenziniais</w:t>
      </w:r>
      <w:r w:rsidR="00A80892" w:rsidRPr="009F0293">
        <w:rPr>
          <w:szCs w:val="22"/>
        </w:rPr>
        <w:t xml:space="preserve"> vaistiniais preparatais</w:t>
      </w:r>
      <w:r w:rsidRPr="009F0293">
        <w:rPr>
          <w:szCs w:val="22"/>
        </w:rPr>
        <w:t>, kurių vartojimo nėštumo laikotarpiu saugumas yra ištirtas. Nustačius, kad pacientė pastojo, būtina nedelsiant nutraukti AIIRB vartojimą, ir, jei reikia, skirti kitų antihipertenzinių vaistinių preparatų.</w:t>
      </w:r>
    </w:p>
    <w:p w14:paraId="647A768D" w14:textId="77777777" w:rsidR="00AE6755" w:rsidRPr="009F0293" w:rsidRDefault="00AE6755" w:rsidP="001F2847">
      <w:pPr>
        <w:rPr>
          <w:szCs w:val="22"/>
        </w:rPr>
      </w:pPr>
    </w:p>
    <w:p w14:paraId="4922DE02" w14:textId="77777777" w:rsidR="00AE6755" w:rsidRPr="009F0293" w:rsidRDefault="00AE6755" w:rsidP="00876C26">
      <w:pPr>
        <w:rPr>
          <w:szCs w:val="22"/>
        </w:rPr>
      </w:pPr>
      <w:r w:rsidRPr="009F0293">
        <w:rPr>
          <w:szCs w:val="22"/>
        </w:rPr>
        <w:t>Yra žinoma, kad antrą ir trečią nėštumo trimestrus vartojami AIIRB sukelia toksinį poveikį žmogaus vaisiui (inkstų funkcijos susilpnėjimą, oligohidramnioną, kaukolės kaulėjimo sulėtėjimą) ir naujagimiui (inkstų nepakankamumą, hipotenziją, hiperkalemiją) (žr. 5.3 skyrių).</w:t>
      </w:r>
    </w:p>
    <w:p w14:paraId="59ABC3F3" w14:textId="77777777" w:rsidR="00AE6755" w:rsidRPr="009F0293" w:rsidRDefault="00AE6755" w:rsidP="001F2847">
      <w:pPr>
        <w:rPr>
          <w:szCs w:val="22"/>
        </w:rPr>
      </w:pPr>
      <w:r w:rsidRPr="009F0293">
        <w:rPr>
          <w:szCs w:val="22"/>
        </w:rPr>
        <w:t>Paaiškėjus, kad antrą nėštumo trimestrą moteris vartojo AIIRB, rekomenduojama ultragarsu ištirti vaisiaus inkstų funkciją ir kaukolę.</w:t>
      </w:r>
    </w:p>
    <w:p w14:paraId="2D891739" w14:textId="77777777" w:rsidR="00AE6755" w:rsidRPr="009F0293" w:rsidRDefault="00AE6755" w:rsidP="00876C26">
      <w:pPr>
        <w:rPr>
          <w:i/>
          <w:szCs w:val="22"/>
        </w:rPr>
      </w:pPr>
      <w:r w:rsidRPr="009F0293">
        <w:rPr>
          <w:szCs w:val="22"/>
        </w:rPr>
        <w:t>Kūdikius, kurių motinos nėštumo laikotarpiu vartojo AIIRB, reikia atidžiai stebėti dėl galimos hipotenzijos (žr. 4.3 ir 4.4 skyrius).</w:t>
      </w:r>
    </w:p>
    <w:p w14:paraId="7F4CA64B" w14:textId="77777777" w:rsidR="00AE6755" w:rsidRPr="009F0293" w:rsidRDefault="00AE6755" w:rsidP="001F2847">
      <w:pPr>
        <w:rPr>
          <w:szCs w:val="22"/>
        </w:rPr>
      </w:pPr>
    </w:p>
    <w:p w14:paraId="3A947B1D" w14:textId="77777777" w:rsidR="00AE6755" w:rsidRPr="009F0293" w:rsidRDefault="00AE6755" w:rsidP="004C78F6">
      <w:pPr>
        <w:keepNext/>
        <w:keepLines/>
        <w:rPr>
          <w:i/>
          <w:iCs/>
          <w:szCs w:val="22"/>
        </w:rPr>
      </w:pPr>
      <w:r w:rsidRPr="009F0293">
        <w:rPr>
          <w:i/>
          <w:iCs/>
          <w:szCs w:val="22"/>
        </w:rPr>
        <w:t>Hidrochlorotiazidas</w:t>
      </w:r>
    </w:p>
    <w:p w14:paraId="6D43E8B7" w14:textId="77777777" w:rsidR="00AE6755" w:rsidRPr="009F0293" w:rsidRDefault="00AE6755" w:rsidP="004C78F6">
      <w:pPr>
        <w:keepNext/>
        <w:keepLines/>
        <w:rPr>
          <w:szCs w:val="22"/>
        </w:rPr>
      </w:pPr>
      <w:r w:rsidRPr="009F0293">
        <w:rPr>
          <w:szCs w:val="22"/>
        </w:rPr>
        <w:t>Hidrochlorotiazido vartojimo nėštumo, ypač pirmojo trimestro, metu patirtis yra ribota. Tyrimų su gyvūnais duomenų nepakanka.</w:t>
      </w:r>
    </w:p>
    <w:p w14:paraId="6143A4DF" w14:textId="77777777" w:rsidR="00AE6755" w:rsidRPr="009F0293" w:rsidRDefault="00AE6755" w:rsidP="000E633F">
      <w:pPr>
        <w:rPr>
          <w:szCs w:val="22"/>
        </w:rPr>
      </w:pPr>
      <w:r w:rsidRPr="009F0293">
        <w:rPr>
          <w:szCs w:val="22"/>
        </w:rPr>
        <w:t xml:space="preserve">Hidrochlorotiazidas prasiskverbia per placentą. Atsižvelgiant į hidrochlorotiazido farmakologinio veikimo mechanizmą, </w:t>
      </w:r>
      <w:r w:rsidR="00A80892" w:rsidRPr="009F0293">
        <w:rPr>
          <w:szCs w:val="22"/>
        </w:rPr>
        <w:t xml:space="preserve">vaistinio </w:t>
      </w:r>
      <w:r w:rsidRPr="009F0293">
        <w:rPr>
          <w:szCs w:val="22"/>
        </w:rPr>
        <w:t>preparato vartojimas antrojo ir trečiojo nėštumo trimestrų metu gali nepalankiai paveikti vaisiaus ir placentos kraujotaką bei sukelti poveikį vaisiui ir naujagimiui, pavyzdžiui, geltą, elektrolitų pusiausvyros sutrikimą ir trombocitopeniją.</w:t>
      </w:r>
    </w:p>
    <w:p w14:paraId="7B18EA88" w14:textId="77777777" w:rsidR="00AE6755" w:rsidRPr="009F0293" w:rsidRDefault="00AE6755" w:rsidP="000E633F">
      <w:pPr>
        <w:autoSpaceDE w:val="0"/>
        <w:autoSpaceDN w:val="0"/>
        <w:adjustRightInd w:val="0"/>
        <w:rPr>
          <w:szCs w:val="22"/>
        </w:rPr>
      </w:pPr>
      <w:r w:rsidRPr="009F0293">
        <w:rPr>
          <w:szCs w:val="22"/>
        </w:rPr>
        <w:t>Hidrochlorotiazidu negalima gydyti su nėštumu susijusios edemos, hipertenzijos ar preeklampsijos, nes kyla plazmos ir per placentą pratekančio kraujo kiekio sumažėjimo rizika, o palankaus poveikio ligai nepasireiškia.</w:t>
      </w:r>
    </w:p>
    <w:p w14:paraId="05EA565A" w14:textId="77777777" w:rsidR="00AE6755" w:rsidRPr="009F0293" w:rsidRDefault="00AE6755" w:rsidP="000E633F">
      <w:pPr>
        <w:autoSpaceDE w:val="0"/>
        <w:autoSpaceDN w:val="0"/>
        <w:adjustRightInd w:val="0"/>
        <w:rPr>
          <w:szCs w:val="22"/>
        </w:rPr>
      </w:pPr>
      <w:r w:rsidRPr="009F0293">
        <w:rPr>
          <w:szCs w:val="22"/>
        </w:rPr>
        <w:t>Hidrochlorotiazidu negalima gydyti nėščiųjų, sergančių pirmine hipertenzija, išskyrus retus atvejus, kai negalima taikyti kitokio gydymo.</w:t>
      </w:r>
    </w:p>
    <w:p w14:paraId="09FF6063" w14:textId="77777777" w:rsidR="00AE6755" w:rsidRPr="009F0293" w:rsidRDefault="00AE6755" w:rsidP="001F2847">
      <w:pPr>
        <w:rPr>
          <w:szCs w:val="22"/>
        </w:rPr>
      </w:pPr>
    </w:p>
    <w:p w14:paraId="25217774" w14:textId="77777777" w:rsidR="00AE6755" w:rsidRPr="009F0293" w:rsidRDefault="004C5312" w:rsidP="001F2847">
      <w:pPr>
        <w:rPr>
          <w:szCs w:val="22"/>
          <w:u w:val="single"/>
        </w:rPr>
      </w:pPr>
      <w:r w:rsidRPr="009F0293">
        <w:rPr>
          <w:szCs w:val="22"/>
          <w:u w:val="single"/>
        </w:rPr>
        <w:t>Žindymas</w:t>
      </w:r>
    </w:p>
    <w:p w14:paraId="15A71D27" w14:textId="77777777" w:rsidR="00AE6755" w:rsidRPr="009F0293" w:rsidRDefault="00AE6755" w:rsidP="001E689A">
      <w:pPr>
        <w:rPr>
          <w:i/>
          <w:szCs w:val="22"/>
          <w:u w:val="single"/>
        </w:rPr>
      </w:pPr>
      <w:r w:rsidRPr="009F0293">
        <w:rPr>
          <w:i/>
          <w:iCs/>
          <w:szCs w:val="22"/>
        </w:rPr>
        <w:t>Angiotenzino II receptorių blokatoriai (AIIRB)</w:t>
      </w:r>
    </w:p>
    <w:p w14:paraId="471628B9" w14:textId="4E194803" w:rsidR="00AE6755" w:rsidRPr="009F0293" w:rsidRDefault="00AE6755" w:rsidP="001F2847">
      <w:pPr>
        <w:rPr>
          <w:szCs w:val="22"/>
        </w:rPr>
      </w:pPr>
      <w:r w:rsidRPr="009F0293">
        <w:rPr>
          <w:szCs w:val="22"/>
        </w:rPr>
        <w:t xml:space="preserve">Duomenų apie </w:t>
      </w:r>
      <w:r w:rsidR="00BD6059" w:rsidRPr="009F0293">
        <w:rPr>
          <w:szCs w:val="22"/>
        </w:rPr>
        <w:t xml:space="preserve">kandesartano cileksetilo ir </w:t>
      </w:r>
      <w:r w:rsidR="00BD6059" w:rsidRPr="009F0293">
        <w:rPr>
          <w:rStyle w:val="Emfaz"/>
          <w:i w:val="0"/>
          <w:szCs w:val="22"/>
        </w:rPr>
        <w:t>hidrochlorotiazido</w:t>
      </w:r>
      <w:r w:rsidR="00BD6059" w:rsidRPr="009F0293">
        <w:rPr>
          <w:szCs w:val="22"/>
        </w:rPr>
        <w:t xml:space="preserve"> </w:t>
      </w:r>
      <w:r w:rsidRPr="009F0293">
        <w:rPr>
          <w:szCs w:val="22"/>
        </w:rPr>
        <w:t xml:space="preserve">vartojimą žindymo laikotarpiu nėra, todėl </w:t>
      </w:r>
      <w:r w:rsidR="00247FEA" w:rsidRPr="009F0293">
        <w:rPr>
          <w:szCs w:val="22"/>
        </w:rPr>
        <w:t>Carzan HCT</w:t>
      </w:r>
      <w:r w:rsidRPr="009F0293">
        <w:rPr>
          <w:szCs w:val="22"/>
        </w:rPr>
        <w:t xml:space="preserve"> nerekomenduojamas. Joms reikėtų skirti kitų vaistinių preparatų, kurių vartojimo žindymo laikotarpiu saugumas yra ištirtas geriau, ypač jeigu žindomas naujagimis arba neišnešiotas kūdikis.</w:t>
      </w:r>
    </w:p>
    <w:p w14:paraId="38252CF4" w14:textId="77777777" w:rsidR="00AE6755" w:rsidRPr="009F0293" w:rsidRDefault="00AE6755" w:rsidP="001F2847">
      <w:pPr>
        <w:rPr>
          <w:szCs w:val="22"/>
        </w:rPr>
      </w:pPr>
    </w:p>
    <w:p w14:paraId="053A6E20" w14:textId="77777777" w:rsidR="00AE6755" w:rsidRPr="009F0293" w:rsidRDefault="00AE6755" w:rsidP="001E689A">
      <w:pPr>
        <w:rPr>
          <w:i/>
          <w:iCs/>
          <w:szCs w:val="22"/>
        </w:rPr>
      </w:pPr>
      <w:r w:rsidRPr="009F0293">
        <w:rPr>
          <w:i/>
          <w:iCs/>
          <w:szCs w:val="22"/>
        </w:rPr>
        <w:t>Hidrochlorotiazidas</w:t>
      </w:r>
    </w:p>
    <w:p w14:paraId="2D9F812A" w14:textId="29AE4213" w:rsidR="00AE6755" w:rsidRPr="009F0293" w:rsidRDefault="00AE6755" w:rsidP="00612EA3">
      <w:pPr>
        <w:rPr>
          <w:szCs w:val="22"/>
        </w:rPr>
      </w:pPr>
      <w:r w:rsidRPr="009F0293">
        <w:rPr>
          <w:szCs w:val="22"/>
        </w:rPr>
        <w:t xml:space="preserve">Nedidelis hidrochlorotiazido kiekis išsiskiria į motinos pieną. Didelės tiazidinių diuretikų dozės, kurios sukelia gausią diurezę, gali slopinti pieno gamybą. Todėl </w:t>
      </w:r>
      <w:r w:rsidR="00247FEA" w:rsidRPr="009F0293">
        <w:rPr>
          <w:szCs w:val="22"/>
        </w:rPr>
        <w:t>Carzan HCT</w:t>
      </w:r>
      <w:r w:rsidRPr="009F0293">
        <w:rPr>
          <w:szCs w:val="22"/>
        </w:rPr>
        <w:t xml:space="preserve"> nerekomenduojama vartoti žindymo laikotarpiu. </w:t>
      </w:r>
    </w:p>
    <w:p w14:paraId="5B2B034B" w14:textId="77777777" w:rsidR="00AE6755" w:rsidRPr="009F0293" w:rsidRDefault="00AE6755" w:rsidP="001F2847">
      <w:pPr>
        <w:rPr>
          <w:szCs w:val="22"/>
        </w:rPr>
      </w:pPr>
    </w:p>
    <w:p w14:paraId="1C2A48B0" w14:textId="77777777" w:rsidR="00AE6755" w:rsidRPr="009F0293" w:rsidRDefault="00AE6755" w:rsidP="001F2847">
      <w:pPr>
        <w:tabs>
          <w:tab w:val="left" w:pos="567"/>
        </w:tabs>
        <w:rPr>
          <w:b/>
          <w:szCs w:val="22"/>
        </w:rPr>
      </w:pPr>
      <w:r w:rsidRPr="009F0293">
        <w:rPr>
          <w:b/>
          <w:szCs w:val="22"/>
        </w:rPr>
        <w:t>4.7</w:t>
      </w:r>
      <w:r w:rsidRPr="009F0293">
        <w:rPr>
          <w:b/>
          <w:szCs w:val="22"/>
        </w:rPr>
        <w:tab/>
        <w:t>Poveikis gebėjimui vairuoti ir valdyti mechanizmus</w:t>
      </w:r>
    </w:p>
    <w:p w14:paraId="1D3345C1" w14:textId="77777777" w:rsidR="00AE6755" w:rsidRPr="009F0293" w:rsidRDefault="00AE6755" w:rsidP="001F2847">
      <w:pPr>
        <w:rPr>
          <w:szCs w:val="22"/>
        </w:rPr>
      </w:pPr>
    </w:p>
    <w:p w14:paraId="5307D155" w14:textId="0FFC18F0" w:rsidR="00AE6755" w:rsidRPr="009F0293" w:rsidRDefault="00AE6755" w:rsidP="001F2847">
      <w:pPr>
        <w:rPr>
          <w:szCs w:val="22"/>
        </w:rPr>
      </w:pPr>
      <w:r w:rsidRPr="009F0293">
        <w:rPr>
          <w:szCs w:val="22"/>
        </w:rPr>
        <w:t xml:space="preserve">Poveikio gebėjimui vairuoti ir valdyti mechanizmus tyrimų neatlikta. Vis dėlto reikia atsižvelgti į tai, kad vartojant </w:t>
      </w:r>
      <w:r w:rsidR="00247FEA" w:rsidRPr="009F0293">
        <w:rPr>
          <w:szCs w:val="22"/>
        </w:rPr>
        <w:t>Carzan HCT</w:t>
      </w:r>
      <w:r w:rsidRPr="009F0293">
        <w:rPr>
          <w:szCs w:val="22"/>
        </w:rPr>
        <w:t xml:space="preserve"> kartais gali pasireikšti </w:t>
      </w:r>
      <w:r w:rsidR="00CF59E8" w:rsidRPr="009F0293">
        <w:rPr>
          <w:szCs w:val="22"/>
        </w:rPr>
        <w:t xml:space="preserve">svaigulys </w:t>
      </w:r>
      <w:r w:rsidRPr="009F0293">
        <w:rPr>
          <w:szCs w:val="22"/>
        </w:rPr>
        <w:t>ar nuovargis.</w:t>
      </w:r>
    </w:p>
    <w:p w14:paraId="6DF68A02" w14:textId="77777777" w:rsidR="00AE6755" w:rsidRPr="009F0293" w:rsidRDefault="00AE6755" w:rsidP="001F2847">
      <w:pPr>
        <w:rPr>
          <w:szCs w:val="22"/>
        </w:rPr>
      </w:pPr>
    </w:p>
    <w:p w14:paraId="261970A7" w14:textId="77777777" w:rsidR="00AE6755" w:rsidRPr="009F0293" w:rsidRDefault="00AE6755" w:rsidP="001F2847">
      <w:pPr>
        <w:tabs>
          <w:tab w:val="left" w:pos="567"/>
        </w:tabs>
        <w:rPr>
          <w:b/>
          <w:szCs w:val="22"/>
        </w:rPr>
      </w:pPr>
      <w:r w:rsidRPr="009F0293">
        <w:rPr>
          <w:b/>
          <w:szCs w:val="22"/>
        </w:rPr>
        <w:t>4.8</w:t>
      </w:r>
      <w:r w:rsidRPr="009F0293">
        <w:rPr>
          <w:b/>
          <w:szCs w:val="22"/>
        </w:rPr>
        <w:tab/>
        <w:t>Nepageidaujamas poveikis</w:t>
      </w:r>
    </w:p>
    <w:p w14:paraId="39038F4F" w14:textId="77777777" w:rsidR="00AE6755" w:rsidRPr="009F0293" w:rsidRDefault="00AE6755" w:rsidP="001F2847">
      <w:pPr>
        <w:rPr>
          <w:szCs w:val="22"/>
          <w:u w:val="single"/>
        </w:rPr>
      </w:pPr>
    </w:p>
    <w:p w14:paraId="589D9EF7" w14:textId="11F40874" w:rsidR="00AE6755" w:rsidRPr="009F0293" w:rsidRDefault="00AE6755" w:rsidP="00612EA3">
      <w:pPr>
        <w:rPr>
          <w:szCs w:val="22"/>
        </w:rPr>
      </w:pPr>
      <w:r w:rsidRPr="009F0293">
        <w:rPr>
          <w:szCs w:val="22"/>
        </w:rPr>
        <w:t>Kontroliuojamų kandesartano cileksetilo/hidrochlorotiazido klinikinių tyrimų metu nepageidaujamos reakcijos buvo lengvos ir trumpalaikės. Dėl nepageidaujamų reiškinių kandesartano cileksetilo/hidrochlorotiazido ir placebo vartojimą nutraukė panašus pacientų skaičius (atitinkamai 2,3</w:t>
      </w:r>
      <w:r w:rsidR="00B40AB2">
        <w:rPr>
          <w:szCs w:val="22"/>
        </w:rPr>
        <w:t>–</w:t>
      </w:r>
      <w:r w:rsidRPr="009F0293">
        <w:rPr>
          <w:szCs w:val="22"/>
        </w:rPr>
        <w:t>3,3 % ir 2,7</w:t>
      </w:r>
      <w:r w:rsidR="00B40AB2">
        <w:rPr>
          <w:szCs w:val="22"/>
        </w:rPr>
        <w:t>–</w:t>
      </w:r>
      <w:r w:rsidRPr="009F0293">
        <w:rPr>
          <w:szCs w:val="22"/>
        </w:rPr>
        <w:t>4,3 %).</w:t>
      </w:r>
    </w:p>
    <w:p w14:paraId="31E85EB2" w14:textId="77777777" w:rsidR="00AE6755" w:rsidRPr="009F0293" w:rsidRDefault="00AE6755" w:rsidP="001F2847">
      <w:pPr>
        <w:rPr>
          <w:szCs w:val="22"/>
        </w:rPr>
      </w:pPr>
    </w:p>
    <w:p w14:paraId="3A859AE5" w14:textId="59F506C2" w:rsidR="00AE6755" w:rsidRPr="009F0293" w:rsidRDefault="00AE6755" w:rsidP="009D0391">
      <w:pPr>
        <w:tabs>
          <w:tab w:val="left" w:pos="567"/>
        </w:tabs>
        <w:spacing w:line="260" w:lineRule="exact"/>
        <w:rPr>
          <w:szCs w:val="22"/>
        </w:rPr>
      </w:pPr>
      <w:r w:rsidRPr="009F0293">
        <w:rPr>
          <w:szCs w:val="22"/>
        </w:rPr>
        <w:t>Klinikinių kandesartano cileksetilo/hidrochlorotiazido tyrimų duomenimis, nepageidaujamos reakcijos buvo tokios pat, kokios buvo nustatytos vartojant kandesartan</w:t>
      </w:r>
      <w:r w:rsidR="00A501BA" w:rsidRPr="009F0293">
        <w:rPr>
          <w:szCs w:val="22"/>
        </w:rPr>
        <w:t>o</w:t>
      </w:r>
      <w:r w:rsidRPr="009F0293">
        <w:rPr>
          <w:szCs w:val="22"/>
        </w:rPr>
        <w:t xml:space="preserve"> cileksetilą ir (arba) hidrochlorotiazidą.</w:t>
      </w:r>
    </w:p>
    <w:p w14:paraId="329420EE" w14:textId="77777777" w:rsidR="00AE6755" w:rsidRPr="009F0293" w:rsidRDefault="00AE6755" w:rsidP="001F2847">
      <w:pPr>
        <w:rPr>
          <w:szCs w:val="22"/>
        </w:rPr>
      </w:pPr>
    </w:p>
    <w:p w14:paraId="77C006DA" w14:textId="77777777" w:rsidR="00AE6755" w:rsidRPr="009F0293" w:rsidRDefault="00AE6755" w:rsidP="009D0391">
      <w:pPr>
        <w:rPr>
          <w:szCs w:val="22"/>
        </w:rPr>
      </w:pPr>
      <w:r w:rsidRPr="009F0293">
        <w:rPr>
          <w:szCs w:val="22"/>
        </w:rPr>
        <w:t xml:space="preserve">Žemiau pateikiamoje lentelėje nepageidaujamų reakcijų dažnis nurodomas remiantis klinikinių tyrimų duomenimis ir šį vaistinį preparatą pateikus į rinką sukaupta patirtimi. </w:t>
      </w:r>
    </w:p>
    <w:p w14:paraId="1CD3C279" w14:textId="77777777" w:rsidR="00AE6755" w:rsidRPr="009F0293" w:rsidRDefault="00AE6755" w:rsidP="001F2847">
      <w:pPr>
        <w:rPr>
          <w:szCs w:val="22"/>
        </w:rPr>
      </w:pPr>
    </w:p>
    <w:p w14:paraId="02D85761" w14:textId="58D88286" w:rsidR="00AE6755" w:rsidRPr="009F0293" w:rsidRDefault="00AE6755" w:rsidP="001F2847">
      <w:pPr>
        <w:rPr>
          <w:szCs w:val="22"/>
        </w:rPr>
      </w:pPr>
      <w:r w:rsidRPr="009F0293">
        <w:rPr>
          <w:szCs w:val="22"/>
        </w:rPr>
        <w:t>Bendrais hipertenzija sergančių pacientų klinikinių tyrimų duomenimis, kandesartano cileksetilo nepageidaujamos reakcijos nustatytos remiantis vartojant kandesartan</w:t>
      </w:r>
      <w:r w:rsidR="00A501BA" w:rsidRPr="009F0293">
        <w:rPr>
          <w:szCs w:val="22"/>
        </w:rPr>
        <w:t>o</w:t>
      </w:r>
      <w:r w:rsidRPr="009F0293">
        <w:rPr>
          <w:szCs w:val="22"/>
        </w:rPr>
        <w:t xml:space="preserve"> cileksetilą pasireiškusių nepageidaujamų reiškinių dažniu, bent 1</w:t>
      </w:r>
      <w:r w:rsidR="00B40AB2">
        <w:rPr>
          <w:szCs w:val="22"/>
        </w:rPr>
        <w:t> </w:t>
      </w:r>
      <w:r w:rsidRPr="009F0293">
        <w:rPr>
          <w:szCs w:val="22"/>
        </w:rPr>
        <w:t>% didesniu negu vartojant placebą.</w:t>
      </w:r>
    </w:p>
    <w:p w14:paraId="409CD94A" w14:textId="77777777" w:rsidR="00AE6755" w:rsidRPr="009F0293" w:rsidRDefault="00AE6755" w:rsidP="001F2847">
      <w:pPr>
        <w:rPr>
          <w:szCs w:val="22"/>
        </w:rPr>
      </w:pPr>
    </w:p>
    <w:p w14:paraId="5C48B670" w14:textId="611C1AB0" w:rsidR="00AE6755" w:rsidRPr="009F0293" w:rsidRDefault="00AE6755" w:rsidP="001F2847">
      <w:pPr>
        <w:rPr>
          <w:szCs w:val="22"/>
        </w:rPr>
      </w:pPr>
      <w:r w:rsidRPr="009F0293">
        <w:rPr>
          <w:szCs w:val="22"/>
        </w:rPr>
        <w:t xml:space="preserve">4.8 skyriaus lentelėse </w:t>
      </w:r>
      <w:r w:rsidR="00EB4B6A">
        <w:rPr>
          <w:szCs w:val="22"/>
        </w:rPr>
        <w:t xml:space="preserve">nepageidaujamo poveikio </w:t>
      </w:r>
      <w:r w:rsidRPr="009F0293">
        <w:rPr>
          <w:szCs w:val="22"/>
        </w:rPr>
        <w:t xml:space="preserve">dažnis apibūdinamas taip: labai </w:t>
      </w:r>
      <w:r w:rsidR="00702D70" w:rsidRPr="009F0293">
        <w:rPr>
          <w:szCs w:val="22"/>
        </w:rPr>
        <w:t>dažnas</w:t>
      </w:r>
      <w:r w:rsidR="003F4668" w:rsidRPr="009F0293">
        <w:rPr>
          <w:szCs w:val="22"/>
        </w:rPr>
        <w:t xml:space="preserve"> </w:t>
      </w:r>
      <w:r w:rsidRPr="009F0293">
        <w:rPr>
          <w:szCs w:val="22"/>
        </w:rPr>
        <w:t xml:space="preserve">(≥ 1/10), </w:t>
      </w:r>
      <w:r w:rsidR="00702D70" w:rsidRPr="009F0293">
        <w:rPr>
          <w:szCs w:val="22"/>
        </w:rPr>
        <w:t xml:space="preserve">dažnas </w:t>
      </w:r>
      <w:r w:rsidRPr="009F0293">
        <w:rPr>
          <w:szCs w:val="22"/>
        </w:rPr>
        <w:t xml:space="preserve">(nuo ≥ 1/100 iki &lt; 1/10), </w:t>
      </w:r>
      <w:r w:rsidR="00702D70" w:rsidRPr="009F0293">
        <w:rPr>
          <w:szCs w:val="22"/>
        </w:rPr>
        <w:t xml:space="preserve">nedažnas </w:t>
      </w:r>
      <w:r w:rsidRPr="009F0293">
        <w:rPr>
          <w:szCs w:val="22"/>
        </w:rPr>
        <w:t>(nuo ≥ 1/1</w:t>
      </w:r>
      <w:r w:rsidR="00EB4B6A">
        <w:rPr>
          <w:szCs w:val="22"/>
        </w:rPr>
        <w:t> </w:t>
      </w:r>
      <w:r w:rsidRPr="009F0293">
        <w:rPr>
          <w:szCs w:val="22"/>
        </w:rPr>
        <w:t xml:space="preserve">000 iki &lt;1/100), </w:t>
      </w:r>
      <w:r w:rsidR="00702D70" w:rsidRPr="009F0293">
        <w:rPr>
          <w:szCs w:val="22"/>
        </w:rPr>
        <w:t xml:space="preserve">retas </w:t>
      </w:r>
      <w:r w:rsidR="002875FA" w:rsidRPr="009F0293">
        <w:rPr>
          <w:szCs w:val="22"/>
        </w:rPr>
        <w:t>(nuo ≥1/10</w:t>
      </w:r>
      <w:r w:rsidR="00EB4B6A">
        <w:rPr>
          <w:szCs w:val="22"/>
        </w:rPr>
        <w:t> </w:t>
      </w:r>
      <w:r w:rsidRPr="009F0293">
        <w:rPr>
          <w:szCs w:val="22"/>
        </w:rPr>
        <w:t>000 iki &lt; 1/1</w:t>
      </w:r>
      <w:r w:rsidR="00EB4B6A">
        <w:rPr>
          <w:szCs w:val="22"/>
        </w:rPr>
        <w:t> </w:t>
      </w:r>
      <w:r w:rsidRPr="009F0293">
        <w:rPr>
          <w:szCs w:val="22"/>
        </w:rPr>
        <w:t xml:space="preserve">000), labai </w:t>
      </w:r>
      <w:r w:rsidR="00702D70" w:rsidRPr="009F0293">
        <w:rPr>
          <w:szCs w:val="22"/>
        </w:rPr>
        <w:t xml:space="preserve">retas </w:t>
      </w:r>
      <w:r w:rsidRPr="009F0293">
        <w:rPr>
          <w:szCs w:val="22"/>
        </w:rPr>
        <w:t>(&lt; 1/10</w:t>
      </w:r>
      <w:r w:rsidR="00EB4B6A">
        <w:rPr>
          <w:szCs w:val="22"/>
        </w:rPr>
        <w:t> </w:t>
      </w:r>
      <w:r w:rsidRPr="009F0293">
        <w:rPr>
          <w:szCs w:val="22"/>
        </w:rPr>
        <w:t>000)</w:t>
      </w:r>
      <w:r w:rsidR="00BB6557" w:rsidRPr="009F0293">
        <w:rPr>
          <w:szCs w:val="22"/>
        </w:rPr>
        <w:t xml:space="preserve"> ir </w:t>
      </w:r>
      <w:r w:rsidR="004C5312" w:rsidRPr="009F0293">
        <w:rPr>
          <w:szCs w:val="22"/>
        </w:rPr>
        <w:t>nežinomas (negali būti apskaičiuotas pagal turimus duomenis)</w:t>
      </w:r>
      <w:r w:rsidRPr="009F0293">
        <w:rPr>
          <w:szCs w:val="22"/>
        </w:rPr>
        <w:t>.</w:t>
      </w:r>
    </w:p>
    <w:p w14:paraId="6C8BCD43" w14:textId="77777777" w:rsidR="00AE6755" w:rsidRPr="009F0293" w:rsidRDefault="00AE6755" w:rsidP="001F2847">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0"/>
        <w:gridCol w:w="3004"/>
        <w:gridCol w:w="3038"/>
      </w:tblGrid>
      <w:tr w:rsidR="00AE6755" w:rsidRPr="009F0293" w14:paraId="5C11D2A4" w14:textId="77777777" w:rsidTr="00C66ED2">
        <w:tc>
          <w:tcPr>
            <w:tcW w:w="2987" w:type="dxa"/>
          </w:tcPr>
          <w:p w14:paraId="4A4E76BB" w14:textId="77777777" w:rsidR="00AE6755" w:rsidRPr="009F0293" w:rsidRDefault="00AE6755" w:rsidP="001F2847">
            <w:pPr>
              <w:rPr>
                <w:b/>
                <w:szCs w:val="22"/>
              </w:rPr>
            </w:pPr>
            <w:r w:rsidRPr="009F0293">
              <w:rPr>
                <w:b/>
                <w:szCs w:val="22"/>
              </w:rPr>
              <w:t xml:space="preserve">Organų sistemų klasės </w:t>
            </w:r>
          </w:p>
        </w:tc>
        <w:tc>
          <w:tcPr>
            <w:tcW w:w="3095" w:type="dxa"/>
          </w:tcPr>
          <w:p w14:paraId="3F2DB348" w14:textId="77777777" w:rsidR="00AE6755" w:rsidRPr="009F0293" w:rsidRDefault="00AE6755" w:rsidP="001F2847">
            <w:pPr>
              <w:rPr>
                <w:b/>
                <w:i/>
                <w:szCs w:val="22"/>
              </w:rPr>
            </w:pPr>
            <w:r w:rsidRPr="009F0293">
              <w:rPr>
                <w:b/>
                <w:szCs w:val="22"/>
              </w:rPr>
              <w:t xml:space="preserve">Dažnis </w:t>
            </w:r>
          </w:p>
        </w:tc>
        <w:tc>
          <w:tcPr>
            <w:tcW w:w="3096" w:type="dxa"/>
          </w:tcPr>
          <w:p w14:paraId="5743B8B5" w14:textId="77777777" w:rsidR="00AE6755" w:rsidRPr="009F0293" w:rsidRDefault="00AE6755" w:rsidP="001F2847">
            <w:pPr>
              <w:rPr>
                <w:b/>
                <w:i/>
                <w:szCs w:val="22"/>
              </w:rPr>
            </w:pPr>
            <w:r w:rsidRPr="009F0293">
              <w:rPr>
                <w:b/>
                <w:szCs w:val="22"/>
              </w:rPr>
              <w:t xml:space="preserve">Nepageidaujamas poveikis </w:t>
            </w:r>
          </w:p>
        </w:tc>
      </w:tr>
      <w:tr w:rsidR="00AE6755" w:rsidRPr="009F0293" w14:paraId="12005AF6" w14:textId="77777777" w:rsidTr="00C66ED2">
        <w:tc>
          <w:tcPr>
            <w:tcW w:w="2987" w:type="dxa"/>
          </w:tcPr>
          <w:p w14:paraId="32CAC415" w14:textId="77777777" w:rsidR="00AE6755" w:rsidRPr="009F0293" w:rsidRDefault="00AE6755" w:rsidP="001F2847">
            <w:pPr>
              <w:rPr>
                <w:szCs w:val="22"/>
              </w:rPr>
            </w:pPr>
            <w:r w:rsidRPr="009F0293">
              <w:rPr>
                <w:szCs w:val="22"/>
              </w:rPr>
              <w:t xml:space="preserve">Infekcijos ir infestacijos </w:t>
            </w:r>
          </w:p>
        </w:tc>
        <w:tc>
          <w:tcPr>
            <w:tcW w:w="3095" w:type="dxa"/>
          </w:tcPr>
          <w:p w14:paraId="27D11FB0" w14:textId="77777777" w:rsidR="00AE6755" w:rsidRPr="009F0293" w:rsidRDefault="00AE6755" w:rsidP="001F2847">
            <w:pPr>
              <w:rPr>
                <w:szCs w:val="22"/>
              </w:rPr>
            </w:pPr>
            <w:r w:rsidRPr="009F0293">
              <w:rPr>
                <w:szCs w:val="22"/>
              </w:rPr>
              <w:t>Dažn</w:t>
            </w:r>
            <w:r w:rsidR="00B10104" w:rsidRPr="009F0293">
              <w:rPr>
                <w:szCs w:val="22"/>
              </w:rPr>
              <w:t>as</w:t>
            </w:r>
          </w:p>
        </w:tc>
        <w:tc>
          <w:tcPr>
            <w:tcW w:w="3096" w:type="dxa"/>
          </w:tcPr>
          <w:p w14:paraId="1CB97669" w14:textId="77777777" w:rsidR="00AE6755" w:rsidRPr="009F0293" w:rsidRDefault="00AE6755" w:rsidP="001F2847">
            <w:pPr>
              <w:rPr>
                <w:szCs w:val="22"/>
              </w:rPr>
            </w:pPr>
            <w:r w:rsidRPr="009F0293">
              <w:rPr>
                <w:szCs w:val="22"/>
              </w:rPr>
              <w:t xml:space="preserve">Kvėpavimo takų infekcija </w:t>
            </w:r>
          </w:p>
        </w:tc>
      </w:tr>
      <w:tr w:rsidR="00AE6755" w:rsidRPr="009F0293" w14:paraId="7904662F" w14:textId="77777777" w:rsidTr="00C66ED2">
        <w:trPr>
          <w:trHeight w:val="464"/>
        </w:trPr>
        <w:tc>
          <w:tcPr>
            <w:tcW w:w="2987" w:type="dxa"/>
          </w:tcPr>
          <w:p w14:paraId="32AE476A" w14:textId="77777777" w:rsidR="00AE6755" w:rsidRPr="009F0293" w:rsidRDefault="00AE6755" w:rsidP="001F2847">
            <w:pPr>
              <w:rPr>
                <w:szCs w:val="22"/>
              </w:rPr>
            </w:pPr>
            <w:r w:rsidRPr="009F0293">
              <w:rPr>
                <w:szCs w:val="22"/>
              </w:rPr>
              <w:t>Kraujo ir limfinės sistemos sutrikimai</w:t>
            </w:r>
          </w:p>
        </w:tc>
        <w:tc>
          <w:tcPr>
            <w:tcW w:w="3095" w:type="dxa"/>
          </w:tcPr>
          <w:p w14:paraId="62F68240" w14:textId="77777777" w:rsidR="00AE6755" w:rsidRPr="009F0293" w:rsidRDefault="00AE6755" w:rsidP="001F2847">
            <w:pPr>
              <w:rPr>
                <w:szCs w:val="22"/>
              </w:rPr>
            </w:pPr>
            <w:r w:rsidRPr="009F0293">
              <w:rPr>
                <w:szCs w:val="22"/>
              </w:rPr>
              <w:t>Labai ret</w:t>
            </w:r>
            <w:r w:rsidR="00B10104" w:rsidRPr="009F0293">
              <w:rPr>
                <w:szCs w:val="22"/>
              </w:rPr>
              <w:t>as</w:t>
            </w:r>
          </w:p>
        </w:tc>
        <w:tc>
          <w:tcPr>
            <w:tcW w:w="3096" w:type="dxa"/>
          </w:tcPr>
          <w:p w14:paraId="25EFBBCD" w14:textId="77777777" w:rsidR="00AE6755" w:rsidRPr="009F0293" w:rsidRDefault="00AE6755" w:rsidP="001F2847">
            <w:pPr>
              <w:rPr>
                <w:szCs w:val="22"/>
              </w:rPr>
            </w:pPr>
            <w:r w:rsidRPr="009F0293">
              <w:rPr>
                <w:szCs w:val="22"/>
              </w:rPr>
              <w:t>Leukopenija, neutropenija ir agranulocitozė</w:t>
            </w:r>
          </w:p>
        </w:tc>
      </w:tr>
      <w:tr w:rsidR="00AE6755" w:rsidRPr="009F0293" w14:paraId="2F98856F" w14:textId="77777777" w:rsidTr="00C66ED2">
        <w:tc>
          <w:tcPr>
            <w:tcW w:w="2987" w:type="dxa"/>
          </w:tcPr>
          <w:p w14:paraId="38D11A8D" w14:textId="77777777" w:rsidR="00AE6755" w:rsidRPr="009F0293" w:rsidRDefault="00AE6755" w:rsidP="001F2847">
            <w:pPr>
              <w:rPr>
                <w:szCs w:val="22"/>
              </w:rPr>
            </w:pPr>
            <w:r w:rsidRPr="009F0293">
              <w:rPr>
                <w:szCs w:val="22"/>
              </w:rPr>
              <w:t>Metabolizmo ir mitybos sutrikimai</w:t>
            </w:r>
          </w:p>
        </w:tc>
        <w:tc>
          <w:tcPr>
            <w:tcW w:w="3095" w:type="dxa"/>
          </w:tcPr>
          <w:p w14:paraId="48F46844" w14:textId="77777777" w:rsidR="00AE6755" w:rsidRPr="009F0293" w:rsidRDefault="00AE6755" w:rsidP="001F2847">
            <w:pPr>
              <w:rPr>
                <w:szCs w:val="22"/>
              </w:rPr>
            </w:pPr>
            <w:r w:rsidRPr="009F0293">
              <w:rPr>
                <w:szCs w:val="22"/>
              </w:rPr>
              <w:t>Labai ret</w:t>
            </w:r>
            <w:r w:rsidR="00B10104" w:rsidRPr="009F0293">
              <w:rPr>
                <w:szCs w:val="22"/>
              </w:rPr>
              <w:t>as</w:t>
            </w:r>
          </w:p>
        </w:tc>
        <w:tc>
          <w:tcPr>
            <w:tcW w:w="3096" w:type="dxa"/>
          </w:tcPr>
          <w:p w14:paraId="6350D8C2" w14:textId="77777777" w:rsidR="00AE6755" w:rsidRPr="009F0293" w:rsidRDefault="00AE6755" w:rsidP="001F2847">
            <w:pPr>
              <w:rPr>
                <w:szCs w:val="22"/>
              </w:rPr>
            </w:pPr>
            <w:r w:rsidRPr="009F0293">
              <w:rPr>
                <w:szCs w:val="22"/>
              </w:rPr>
              <w:t>Hiperkalemija, hiponatremija</w:t>
            </w:r>
          </w:p>
        </w:tc>
      </w:tr>
      <w:tr w:rsidR="00AE6755" w:rsidRPr="009F0293" w14:paraId="086EA4ED" w14:textId="77777777" w:rsidTr="00C66ED2">
        <w:tc>
          <w:tcPr>
            <w:tcW w:w="2987" w:type="dxa"/>
          </w:tcPr>
          <w:p w14:paraId="0943CFF0" w14:textId="77777777" w:rsidR="00AE6755" w:rsidRPr="009F0293" w:rsidRDefault="00AE6755" w:rsidP="001F2847">
            <w:pPr>
              <w:rPr>
                <w:szCs w:val="22"/>
              </w:rPr>
            </w:pPr>
            <w:r w:rsidRPr="009F0293">
              <w:rPr>
                <w:szCs w:val="22"/>
              </w:rPr>
              <w:t>Nervų sistemos sutrikimai</w:t>
            </w:r>
          </w:p>
        </w:tc>
        <w:tc>
          <w:tcPr>
            <w:tcW w:w="3095" w:type="dxa"/>
          </w:tcPr>
          <w:p w14:paraId="098CF126" w14:textId="77777777" w:rsidR="00AE6755" w:rsidRPr="009F0293" w:rsidRDefault="00AE6755" w:rsidP="001F2847">
            <w:pPr>
              <w:rPr>
                <w:szCs w:val="22"/>
              </w:rPr>
            </w:pPr>
            <w:r w:rsidRPr="009F0293">
              <w:rPr>
                <w:szCs w:val="22"/>
              </w:rPr>
              <w:t>Dažn</w:t>
            </w:r>
            <w:r w:rsidR="00B10104" w:rsidRPr="009F0293">
              <w:rPr>
                <w:szCs w:val="22"/>
              </w:rPr>
              <w:t>as</w:t>
            </w:r>
          </w:p>
        </w:tc>
        <w:tc>
          <w:tcPr>
            <w:tcW w:w="3096" w:type="dxa"/>
          </w:tcPr>
          <w:p w14:paraId="7F0BF2CD" w14:textId="55556309" w:rsidR="00AE6755" w:rsidRPr="009F0293" w:rsidRDefault="00CF59E8" w:rsidP="00CF59E8">
            <w:pPr>
              <w:rPr>
                <w:szCs w:val="22"/>
              </w:rPr>
            </w:pPr>
            <w:r w:rsidRPr="009F0293">
              <w:rPr>
                <w:szCs w:val="22"/>
              </w:rPr>
              <w:t xml:space="preserve">Svaigulys ar galvos </w:t>
            </w:r>
            <w:r w:rsidR="00AE6755" w:rsidRPr="009F0293">
              <w:rPr>
                <w:szCs w:val="22"/>
              </w:rPr>
              <w:t>svaigimas</w:t>
            </w:r>
            <w:r w:rsidRPr="009F0293">
              <w:rPr>
                <w:szCs w:val="22"/>
              </w:rPr>
              <w:t xml:space="preserve"> (</w:t>
            </w:r>
            <w:r w:rsidRPr="009F0293">
              <w:rPr>
                <w:i/>
                <w:szCs w:val="22"/>
              </w:rPr>
              <w:t>vertigo</w:t>
            </w:r>
            <w:r w:rsidRPr="009F0293">
              <w:rPr>
                <w:szCs w:val="22"/>
              </w:rPr>
              <w:t>)</w:t>
            </w:r>
            <w:r w:rsidR="00AE6755" w:rsidRPr="009F0293">
              <w:rPr>
                <w:szCs w:val="22"/>
              </w:rPr>
              <w:t>, galvos skausmas</w:t>
            </w:r>
          </w:p>
        </w:tc>
      </w:tr>
      <w:tr w:rsidR="00AE6755" w:rsidRPr="009F0293" w14:paraId="34604636" w14:textId="77777777" w:rsidTr="00C66ED2">
        <w:tc>
          <w:tcPr>
            <w:tcW w:w="2987" w:type="dxa"/>
          </w:tcPr>
          <w:p w14:paraId="17B9D4B8" w14:textId="77777777" w:rsidR="00AE6755" w:rsidRPr="009F0293" w:rsidRDefault="00AE6755" w:rsidP="001F2847">
            <w:pPr>
              <w:rPr>
                <w:szCs w:val="22"/>
              </w:rPr>
            </w:pPr>
            <w:r w:rsidRPr="009F0293">
              <w:rPr>
                <w:szCs w:val="22"/>
              </w:rPr>
              <w:t>Kvėpavimo sistemos, krūtinės ląstos ir tarpuplaučio sutrikimai</w:t>
            </w:r>
          </w:p>
        </w:tc>
        <w:tc>
          <w:tcPr>
            <w:tcW w:w="3095" w:type="dxa"/>
          </w:tcPr>
          <w:p w14:paraId="4F22484C" w14:textId="77777777" w:rsidR="00AE6755" w:rsidRPr="009F0293" w:rsidRDefault="00AE6755" w:rsidP="001F2847">
            <w:pPr>
              <w:rPr>
                <w:szCs w:val="22"/>
              </w:rPr>
            </w:pPr>
            <w:r w:rsidRPr="009F0293">
              <w:rPr>
                <w:szCs w:val="22"/>
              </w:rPr>
              <w:t>Labai ret</w:t>
            </w:r>
            <w:r w:rsidR="00B10104" w:rsidRPr="009F0293">
              <w:rPr>
                <w:szCs w:val="22"/>
              </w:rPr>
              <w:t>as</w:t>
            </w:r>
          </w:p>
        </w:tc>
        <w:tc>
          <w:tcPr>
            <w:tcW w:w="3096" w:type="dxa"/>
          </w:tcPr>
          <w:p w14:paraId="713C60F3" w14:textId="77777777" w:rsidR="00AE6755" w:rsidRPr="009F0293" w:rsidRDefault="00AE6755" w:rsidP="001F2847">
            <w:pPr>
              <w:rPr>
                <w:szCs w:val="22"/>
              </w:rPr>
            </w:pPr>
            <w:r w:rsidRPr="009F0293">
              <w:rPr>
                <w:szCs w:val="22"/>
              </w:rPr>
              <w:t>Kosulys</w:t>
            </w:r>
          </w:p>
        </w:tc>
      </w:tr>
      <w:tr w:rsidR="00215F6E" w:rsidRPr="009F0293" w14:paraId="4297064E" w14:textId="77777777" w:rsidTr="00C66ED2">
        <w:tc>
          <w:tcPr>
            <w:tcW w:w="2987" w:type="dxa"/>
            <w:vMerge w:val="restart"/>
          </w:tcPr>
          <w:p w14:paraId="6C7249E0" w14:textId="77777777" w:rsidR="00215F6E" w:rsidRPr="009F0293" w:rsidRDefault="00215F6E" w:rsidP="001F2847">
            <w:pPr>
              <w:rPr>
                <w:szCs w:val="22"/>
              </w:rPr>
            </w:pPr>
            <w:r w:rsidRPr="009F0293">
              <w:rPr>
                <w:szCs w:val="22"/>
              </w:rPr>
              <w:t>Virškinimo trakto sutrikimai</w:t>
            </w:r>
          </w:p>
        </w:tc>
        <w:tc>
          <w:tcPr>
            <w:tcW w:w="3095" w:type="dxa"/>
          </w:tcPr>
          <w:p w14:paraId="7789026B" w14:textId="77777777" w:rsidR="00215F6E" w:rsidRPr="009F0293" w:rsidRDefault="00215F6E" w:rsidP="001F2847">
            <w:pPr>
              <w:rPr>
                <w:szCs w:val="22"/>
              </w:rPr>
            </w:pPr>
            <w:r w:rsidRPr="009F0293">
              <w:rPr>
                <w:szCs w:val="22"/>
              </w:rPr>
              <w:t>Labai retas</w:t>
            </w:r>
          </w:p>
        </w:tc>
        <w:tc>
          <w:tcPr>
            <w:tcW w:w="3096" w:type="dxa"/>
          </w:tcPr>
          <w:p w14:paraId="5E2EC060" w14:textId="02157607" w:rsidR="00215F6E" w:rsidRPr="009F0293" w:rsidRDefault="00215F6E" w:rsidP="001F2847">
            <w:pPr>
              <w:rPr>
                <w:szCs w:val="22"/>
              </w:rPr>
            </w:pPr>
            <w:r w:rsidRPr="009F0293">
              <w:rPr>
                <w:szCs w:val="22"/>
              </w:rPr>
              <w:t>Pykinimas</w:t>
            </w:r>
            <w:r w:rsidR="00D512EB">
              <w:rPr>
                <w:szCs w:val="22"/>
              </w:rPr>
              <w:t>, žarnyno angioneurozinė edema</w:t>
            </w:r>
          </w:p>
        </w:tc>
      </w:tr>
      <w:tr w:rsidR="00215F6E" w:rsidRPr="009F0293" w14:paraId="278DA829" w14:textId="77777777" w:rsidTr="004C78F6">
        <w:tc>
          <w:tcPr>
            <w:tcW w:w="2987" w:type="dxa"/>
            <w:vMerge/>
          </w:tcPr>
          <w:p w14:paraId="5B1C91C0" w14:textId="77777777" w:rsidR="00215F6E" w:rsidRPr="009F0293" w:rsidRDefault="00215F6E" w:rsidP="001F2847">
            <w:pPr>
              <w:rPr>
                <w:szCs w:val="22"/>
              </w:rPr>
            </w:pPr>
          </w:p>
        </w:tc>
        <w:tc>
          <w:tcPr>
            <w:tcW w:w="3095" w:type="dxa"/>
          </w:tcPr>
          <w:p w14:paraId="721069A9" w14:textId="4B3C53E4" w:rsidR="00215F6E" w:rsidRPr="009F0293" w:rsidRDefault="00215F6E" w:rsidP="001F2847">
            <w:pPr>
              <w:rPr>
                <w:szCs w:val="22"/>
              </w:rPr>
            </w:pPr>
            <w:r w:rsidRPr="009F0293">
              <w:rPr>
                <w:szCs w:val="22"/>
              </w:rPr>
              <w:t>Nežinomas</w:t>
            </w:r>
          </w:p>
        </w:tc>
        <w:tc>
          <w:tcPr>
            <w:tcW w:w="3096" w:type="dxa"/>
          </w:tcPr>
          <w:p w14:paraId="7AB25C58" w14:textId="4DE9EA7A" w:rsidR="00215F6E" w:rsidRPr="009F0293" w:rsidRDefault="00215F6E" w:rsidP="001F2847">
            <w:pPr>
              <w:rPr>
                <w:szCs w:val="22"/>
              </w:rPr>
            </w:pPr>
            <w:r w:rsidRPr="009F0293">
              <w:rPr>
                <w:szCs w:val="22"/>
              </w:rPr>
              <w:t>Viduriavimas</w:t>
            </w:r>
          </w:p>
        </w:tc>
      </w:tr>
      <w:tr w:rsidR="00AE6755" w:rsidRPr="009F0293" w14:paraId="2811F055" w14:textId="77777777" w:rsidTr="00C66ED2">
        <w:tc>
          <w:tcPr>
            <w:tcW w:w="2987" w:type="dxa"/>
          </w:tcPr>
          <w:p w14:paraId="36D9B999" w14:textId="77777777" w:rsidR="00AE6755" w:rsidRPr="009F0293" w:rsidRDefault="00AE6755" w:rsidP="001F2847">
            <w:pPr>
              <w:rPr>
                <w:szCs w:val="22"/>
              </w:rPr>
            </w:pPr>
            <w:r w:rsidRPr="009F0293">
              <w:rPr>
                <w:szCs w:val="22"/>
              </w:rPr>
              <w:t>Kepenų, tulžies pūslės ir latakų sutrikimai</w:t>
            </w:r>
          </w:p>
        </w:tc>
        <w:tc>
          <w:tcPr>
            <w:tcW w:w="3095" w:type="dxa"/>
          </w:tcPr>
          <w:p w14:paraId="59B20590" w14:textId="77777777" w:rsidR="00AE6755" w:rsidRPr="009F0293" w:rsidRDefault="00AE6755" w:rsidP="001F2847">
            <w:pPr>
              <w:rPr>
                <w:szCs w:val="22"/>
              </w:rPr>
            </w:pPr>
            <w:r w:rsidRPr="009F0293">
              <w:rPr>
                <w:szCs w:val="22"/>
              </w:rPr>
              <w:t>Labai ret</w:t>
            </w:r>
            <w:r w:rsidR="00B10104" w:rsidRPr="009F0293">
              <w:rPr>
                <w:szCs w:val="22"/>
              </w:rPr>
              <w:t>as</w:t>
            </w:r>
          </w:p>
        </w:tc>
        <w:tc>
          <w:tcPr>
            <w:tcW w:w="3096" w:type="dxa"/>
          </w:tcPr>
          <w:p w14:paraId="1D8C3D22" w14:textId="77777777" w:rsidR="00AE6755" w:rsidRPr="009F0293" w:rsidRDefault="00AE6755" w:rsidP="001F2847">
            <w:pPr>
              <w:rPr>
                <w:szCs w:val="22"/>
              </w:rPr>
            </w:pPr>
            <w:r w:rsidRPr="009F0293">
              <w:rPr>
                <w:szCs w:val="22"/>
              </w:rPr>
              <w:t>Padidėjęs kepenų fermentų aktyvumas, sutrikusi kepenų funkcija ar hepatitas</w:t>
            </w:r>
          </w:p>
        </w:tc>
      </w:tr>
      <w:tr w:rsidR="00AE6755" w:rsidRPr="009F0293" w14:paraId="674C01A2" w14:textId="77777777" w:rsidTr="00C66ED2">
        <w:tc>
          <w:tcPr>
            <w:tcW w:w="2987" w:type="dxa"/>
          </w:tcPr>
          <w:p w14:paraId="533DC272" w14:textId="77777777" w:rsidR="00AE6755" w:rsidRPr="009F0293" w:rsidRDefault="00AE6755" w:rsidP="001F2847">
            <w:pPr>
              <w:rPr>
                <w:szCs w:val="22"/>
              </w:rPr>
            </w:pPr>
            <w:r w:rsidRPr="009F0293">
              <w:rPr>
                <w:szCs w:val="22"/>
              </w:rPr>
              <w:t>Odos ir poodinio audinio sutrikimai</w:t>
            </w:r>
          </w:p>
        </w:tc>
        <w:tc>
          <w:tcPr>
            <w:tcW w:w="3095" w:type="dxa"/>
          </w:tcPr>
          <w:p w14:paraId="035979E4" w14:textId="77777777" w:rsidR="00AE6755" w:rsidRPr="009F0293" w:rsidRDefault="00AE6755" w:rsidP="001F2847">
            <w:pPr>
              <w:rPr>
                <w:szCs w:val="22"/>
              </w:rPr>
            </w:pPr>
            <w:r w:rsidRPr="009F0293">
              <w:rPr>
                <w:szCs w:val="22"/>
              </w:rPr>
              <w:t>Labai ret</w:t>
            </w:r>
            <w:r w:rsidR="00B10104" w:rsidRPr="009F0293">
              <w:rPr>
                <w:szCs w:val="22"/>
              </w:rPr>
              <w:t>as</w:t>
            </w:r>
          </w:p>
        </w:tc>
        <w:tc>
          <w:tcPr>
            <w:tcW w:w="3096" w:type="dxa"/>
          </w:tcPr>
          <w:p w14:paraId="1AA5D794" w14:textId="77777777" w:rsidR="00AE6755" w:rsidRPr="009F0293" w:rsidRDefault="00AE6755" w:rsidP="001F2847">
            <w:pPr>
              <w:rPr>
                <w:szCs w:val="22"/>
              </w:rPr>
            </w:pPr>
            <w:r w:rsidRPr="009F0293">
              <w:rPr>
                <w:szCs w:val="22"/>
              </w:rPr>
              <w:t>Angioneurozinė edema, išbėrimas, dilgėlinė, niežulys</w:t>
            </w:r>
          </w:p>
        </w:tc>
      </w:tr>
      <w:tr w:rsidR="00AE6755" w:rsidRPr="009F0293" w14:paraId="5BD6C1E2" w14:textId="77777777" w:rsidTr="00C66ED2">
        <w:tc>
          <w:tcPr>
            <w:tcW w:w="2987" w:type="dxa"/>
          </w:tcPr>
          <w:p w14:paraId="69E79EE2" w14:textId="77777777" w:rsidR="00AE6755" w:rsidRPr="009F0293" w:rsidRDefault="00AE6755" w:rsidP="001F2847">
            <w:pPr>
              <w:rPr>
                <w:szCs w:val="22"/>
              </w:rPr>
            </w:pPr>
            <w:r w:rsidRPr="009F0293">
              <w:rPr>
                <w:szCs w:val="22"/>
              </w:rPr>
              <w:t>Skeleto, raumenų ir jungiamojo audinio sutrikimai</w:t>
            </w:r>
          </w:p>
        </w:tc>
        <w:tc>
          <w:tcPr>
            <w:tcW w:w="3095" w:type="dxa"/>
          </w:tcPr>
          <w:p w14:paraId="75C727AE" w14:textId="77777777" w:rsidR="00AE6755" w:rsidRPr="009F0293" w:rsidRDefault="00AE6755" w:rsidP="001F2847">
            <w:pPr>
              <w:rPr>
                <w:szCs w:val="22"/>
              </w:rPr>
            </w:pPr>
            <w:r w:rsidRPr="009F0293">
              <w:rPr>
                <w:szCs w:val="22"/>
              </w:rPr>
              <w:t>Labai ret</w:t>
            </w:r>
            <w:r w:rsidR="00B10104" w:rsidRPr="009F0293">
              <w:rPr>
                <w:szCs w:val="22"/>
              </w:rPr>
              <w:t>as</w:t>
            </w:r>
          </w:p>
        </w:tc>
        <w:tc>
          <w:tcPr>
            <w:tcW w:w="3096" w:type="dxa"/>
          </w:tcPr>
          <w:p w14:paraId="744A2768" w14:textId="77777777" w:rsidR="00AE6755" w:rsidRPr="009F0293" w:rsidRDefault="00AE6755" w:rsidP="001F2847">
            <w:pPr>
              <w:rPr>
                <w:szCs w:val="22"/>
              </w:rPr>
            </w:pPr>
            <w:r w:rsidRPr="009F0293">
              <w:rPr>
                <w:szCs w:val="22"/>
              </w:rPr>
              <w:t>Nugaros skausmas, artralgija, mialgija</w:t>
            </w:r>
          </w:p>
        </w:tc>
      </w:tr>
      <w:tr w:rsidR="00AE6755" w:rsidRPr="009F0293" w14:paraId="12A3A911" w14:textId="77777777" w:rsidTr="00C66ED2">
        <w:tc>
          <w:tcPr>
            <w:tcW w:w="2987" w:type="dxa"/>
          </w:tcPr>
          <w:p w14:paraId="58D8D3BE" w14:textId="77777777" w:rsidR="00AE6755" w:rsidRPr="009F0293" w:rsidRDefault="00AE6755" w:rsidP="001F2847">
            <w:pPr>
              <w:rPr>
                <w:szCs w:val="22"/>
              </w:rPr>
            </w:pPr>
            <w:r w:rsidRPr="009F0293">
              <w:rPr>
                <w:szCs w:val="22"/>
              </w:rPr>
              <w:t>Inkstų ir šlapimo takų sutrikimai</w:t>
            </w:r>
          </w:p>
        </w:tc>
        <w:tc>
          <w:tcPr>
            <w:tcW w:w="3095" w:type="dxa"/>
          </w:tcPr>
          <w:p w14:paraId="113FF54C" w14:textId="77777777" w:rsidR="00AE6755" w:rsidRPr="009F0293" w:rsidRDefault="00AE6755" w:rsidP="001F2847">
            <w:pPr>
              <w:rPr>
                <w:szCs w:val="22"/>
              </w:rPr>
            </w:pPr>
            <w:r w:rsidRPr="009F0293">
              <w:rPr>
                <w:szCs w:val="22"/>
              </w:rPr>
              <w:t>Labai ret</w:t>
            </w:r>
            <w:r w:rsidR="00B10104" w:rsidRPr="009F0293">
              <w:rPr>
                <w:szCs w:val="22"/>
              </w:rPr>
              <w:t>as</w:t>
            </w:r>
          </w:p>
        </w:tc>
        <w:tc>
          <w:tcPr>
            <w:tcW w:w="3096" w:type="dxa"/>
          </w:tcPr>
          <w:p w14:paraId="5DB20CD8" w14:textId="77777777" w:rsidR="00AE6755" w:rsidRPr="009F0293" w:rsidRDefault="00AE6755" w:rsidP="009A28DB">
            <w:pPr>
              <w:rPr>
                <w:szCs w:val="22"/>
              </w:rPr>
            </w:pPr>
            <w:r w:rsidRPr="009F0293">
              <w:rPr>
                <w:szCs w:val="22"/>
              </w:rPr>
              <w:t>Sutrikusi inkstų funkcija, įskaitant jautrių pacientų inkstų nepakankamumą (žr. 4.4 skyrių)</w:t>
            </w:r>
          </w:p>
        </w:tc>
      </w:tr>
    </w:tbl>
    <w:p w14:paraId="2B99A88D" w14:textId="77777777" w:rsidR="00AE6755" w:rsidRPr="009F0293" w:rsidRDefault="00AE6755" w:rsidP="001F2847">
      <w:pPr>
        <w:rPr>
          <w:szCs w:val="22"/>
        </w:rPr>
      </w:pPr>
    </w:p>
    <w:p w14:paraId="40E3E59D" w14:textId="3DC59772" w:rsidR="00AE6755" w:rsidRPr="009F0293" w:rsidRDefault="00AE6755" w:rsidP="009A28DB">
      <w:pPr>
        <w:rPr>
          <w:szCs w:val="22"/>
        </w:rPr>
      </w:pPr>
      <w:r w:rsidRPr="009F0293">
        <w:rPr>
          <w:szCs w:val="22"/>
        </w:rPr>
        <w:t>Toliau esančioje lentelėje išvardytos nepageidaujamos reakcijos į hidrochlorotiazidą, kurios paprastai pasireiškė taikant monoterapiją 25</w:t>
      </w:r>
      <w:r w:rsidR="00C86F82" w:rsidRPr="009F0293">
        <w:rPr>
          <w:szCs w:val="22"/>
        </w:rPr>
        <w:t> mg</w:t>
      </w:r>
      <w:r w:rsidRPr="009F0293">
        <w:rPr>
          <w:szCs w:val="22"/>
        </w:rPr>
        <w:t xml:space="preserve"> ar didesne doze.</w:t>
      </w:r>
    </w:p>
    <w:p w14:paraId="01ECA150" w14:textId="77777777" w:rsidR="00AE6755" w:rsidRPr="009F0293" w:rsidRDefault="00AE6755" w:rsidP="009D0391">
      <w:pPr>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0"/>
        <w:gridCol w:w="3004"/>
        <w:gridCol w:w="3038"/>
      </w:tblGrid>
      <w:tr w:rsidR="00AE6755" w:rsidRPr="009F0293" w14:paraId="66084CF5" w14:textId="77777777" w:rsidTr="00314164">
        <w:tc>
          <w:tcPr>
            <w:tcW w:w="2910" w:type="dxa"/>
          </w:tcPr>
          <w:p w14:paraId="6DF53567" w14:textId="77777777" w:rsidR="00AE6755" w:rsidRPr="009F0293" w:rsidRDefault="00AE6755" w:rsidP="001F2847">
            <w:pPr>
              <w:rPr>
                <w:b/>
                <w:szCs w:val="22"/>
              </w:rPr>
            </w:pPr>
            <w:r w:rsidRPr="009F0293">
              <w:rPr>
                <w:b/>
                <w:szCs w:val="22"/>
              </w:rPr>
              <w:lastRenderedPageBreak/>
              <w:t xml:space="preserve">Organų sistemų klasės </w:t>
            </w:r>
          </w:p>
        </w:tc>
        <w:tc>
          <w:tcPr>
            <w:tcW w:w="3004" w:type="dxa"/>
          </w:tcPr>
          <w:p w14:paraId="730EAB3A" w14:textId="77777777" w:rsidR="00AE6755" w:rsidRPr="009F0293" w:rsidRDefault="00AE6755" w:rsidP="001F2847">
            <w:pPr>
              <w:rPr>
                <w:b/>
                <w:i/>
                <w:szCs w:val="22"/>
              </w:rPr>
            </w:pPr>
            <w:r w:rsidRPr="009F0293">
              <w:rPr>
                <w:b/>
                <w:szCs w:val="22"/>
              </w:rPr>
              <w:t xml:space="preserve">Dažnis </w:t>
            </w:r>
          </w:p>
        </w:tc>
        <w:tc>
          <w:tcPr>
            <w:tcW w:w="3038" w:type="dxa"/>
          </w:tcPr>
          <w:p w14:paraId="14CBB5C0" w14:textId="77777777" w:rsidR="00AE6755" w:rsidRPr="009F0293" w:rsidRDefault="00AE6755" w:rsidP="001F2847">
            <w:pPr>
              <w:rPr>
                <w:b/>
                <w:i/>
                <w:szCs w:val="22"/>
              </w:rPr>
            </w:pPr>
            <w:r w:rsidRPr="009F0293">
              <w:rPr>
                <w:b/>
                <w:szCs w:val="22"/>
              </w:rPr>
              <w:t xml:space="preserve">Nepageidaujamas poveikis </w:t>
            </w:r>
          </w:p>
        </w:tc>
      </w:tr>
      <w:tr w:rsidR="00A50678" w:rsidRPr="009F0293" w14:paraId="139918A4" w14:textId="77777777" w:rsidTr="00A50678">
        <w:tc>
          <w:tcPr>
            <w:tcW w:w="2910" w:type="dxa"/>
          </w:tcPr>
          <w:p w14:paraId="19CD259E" w14:textId="239F4C8B" w:rsidR="00A50678" w:rsidRPr="009F0293" w:rsidRDefault="00734D1F" w:rsidP="001F2847">
            <w:pPr>
              <w:rPr>
                <w:szCs w:val="22"/>
              </w:rPr>
            </w:pPr>
            <w:r w:rsidRPr="009F0293">
              <w:rPr>
                <w:szCs w:val="22"/>
              </w:rPr>
              <w:t>Gerybiniai, piktybiniai ir nepatikslinti navikai (tarp jų cistos ir polipai)</w:t>
            </w:r>
          </w:p>
        </w:tc>
        <w:tc>
          <w:tcPr>
            <w:tcW w:w="3004" w:type="dxa"/>
          </w:tcPr>
          <w:p w14:paraId="6E28EF78" w14:textId="40A778B3" w:rsidR="00A50678" w:rsidRPr="009F0293" w:rsidRDefault="00EB4B6A" w:rsidP="001F2847">
            <w:pPr>
              <w:rPr>
                <w:szCs w:val="22"/>
              </w:rPr>
            </w:pPr>
            <w:r>
              <w:rPr>
                <w:szCs w:val="22"/>
              </w:rPr>
              <w:t>N</w:t>
            </w:r>
            <w:r w:rsidR="00734D1F" w:rsidRPr="009F0293">
              <w:rPr>
                <w:szCs w:val="22"/>
              </w:rPr>
              <w:t>ežinomas</w:t>
            </w:r>
          </w:p>
        </w:tc>
        <w:tc>
          <w:tcPr>
            <w:tcW w:w="3038" w:type="dxa"/>
          </w:tcPr>
          <w:p w14:paraId="3377BCF7" w14:textId="1DE815FD" w:rsidR="00A50678" w:rsidRPr="009F0293" w:rsidRDefault="00734D1F" w:rsidP="009D0391">
            <w:pPr>
              <w:rPr>
                <w:szCs w:val="22"/>
              </w:rPr>
            </w:pPr>
            <w:r w:rsidRPr="009F0293">
              <w:rPr>
                <w:szCs w:val="22"/>
              </w:rPr>
              <w:t>Nemelanominis odos vėžys (bazalinių ląstelių karcinoma ir plokščiųjų ląstelių karcinoma)</w:t>
            </w:r>
          </w:p>
        </w:tc>
      </w:tr>
      <w:tr w:rsidR="00AE6755" w:rsidRPr="009F0293" w14:paraId="09CB804D" w14:textId="77777777" w:rsidTr="00314164">
        <w:tc>
          <w:tcPr>
            <w:tcW w:w="2910" w:type="dxa"/>
          </w:tcPr>
          <w:p w14:paraId="677D3469" w14:textId="77777777" w:rsidR="00AE6755" w:rsidRPr="009F0293" w:rsidRDefault="00AE6755" w:rsidP="001F2847">
            <w:pPr>
              <w:rPr>
                <w:szCs w:val="22"/>
              </w:rPr>
            </w:pPr>
            <w:r w:rsidRPr="009F0293">
              <w:rPr>
                <w:szCs w:val="22"/>
              </w:rPr>
              <w:t>Kraujo ir limfinės sistemos sutrikimai</w:t>
            </w:r>
          </w:p>
        </w:tc>
        <w:tc>
          <w:tcPr>
            <w:tcW w:w="3004" w:type="dxa"/>
          </w:tcPr>
          <w:p w14:paraId="49507F14" w14:textId="77777777" w:rsidR="00AE6755" w:rsidRPr="009F0293" w:rsidRDefault="00AE6755" w:rsidP="001F2847">
            <w:pPr>
              <w:rPr>
                <w:szCs w:val="22"/>
              </w:rPr>
            </w:pPr>
            <w:r w:rsidRPr="009F0293">
              <w:rPr>
                <w:szCs w:val="22"/>
              </w:rPr>
              <w:t>Ret</w:t>
            </w:r>
            <w:r w:rsidR="00B10104" w:rsidRPr="009F0293">
              <w:rPr>
                <w:szCs w:val="22"/>
              </w:rPr>
              <w:t>as</w:t>
            </w:r>
          </w:p>
        </w:tc>
        <w:tc>
          <w:tcPr>
            <w:tcW w:w="3038" w:type="dxa"/>
          </w:tcPr>
          <w:p w14:paraId="3028016D" w14:textId="77777777" w:rsidR="00AE6755" w:rsidRPr="009F0293" w:rsidRDefault="00AE6755" w:rsidP="009D0391">
            <w:pPr>
              <w:rPr>
                <w:szCs w:val="22"/>
              </w:rPr>
            </w:pPr>
            <w:r w:rsidRPr="009F0293">
              <w:rPr>
                <w:szCs w:val="22"/>
              </w:rPr>
              <w:t xml:space="preserve">Leukopenija, neutropenija, agranulocitozė, trombocitopenija, aplazinė anemija, kaulų čiulpų slopinimas, hemolizinė anemija </w:t>
            </w:r>
          </w:p>
        </w:tc>
      </w:tr>
      <w:tr w:rsidR="00AE6755" w:rsidRPr="009F0293" w14:paraId="193ABC83" w14:textId="77777777" w:rsidTr="00314164">
        <w:tc>
          <w:tcPr>
            <w:tcW w:w="2910" w:type="dxa"/>
          </w:tcPr>
          <w:p w14:paraId="5F05CB4F" w14:textId="77777777" w:rsidR="00AE6755" w:rsidRPr="009F0293" w:rsidRDefault="00AE6755" w:rsidP="001F2847">
            <w:pPr>
              <w:rPr>
                <w:szCs w:val="22"/>
              </w:rPr>
            </w:pPr>
            <w:r w:rsidRPr="009F0293">
              <w:rPr>
                <w:szCs w:val="22"/>
              </w:rPr>
              <w:t>Imuninės sistemos sutrikimai</w:t>
            </w:r>
          </w:p>
        </w:tc>
        <w:tc>
          <w:tcPr>
            <w:tcW w:w="3004" w:type="dxa"/>
          </w:tcPr>
          <w:p w14:paraId="7C557E85" w14:textId="77777777" w:rsidR="00AE6755" w:rsidRPr="009F0293" w:rsidDel="009D0391" w:rsidRDefault="00AE6755"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76E3B8F0" w14:textId="77777777" w:rsidR="00AE6755" w:rsidRPr="009F0293" w:rsidRDefault="00AE6755" w:rsidP="009D0391">
            <w:pPr>
              <w:rPr>
                <w:szCs w:val="22"/>
              </w:rPr>
            </w:pPr>
            <w:r w:rsidRPr="009F0293">
              <w:rPr>
                <w:szCs w:val="22"/>
              </w:rPr>
              <w:t>Anafilaksinės reakcijos</w:t>
            </w:r>
          </w:p>
        </w:tc>
      </w:tr>
      <w:tr w:rsidR="00AE6755" w:rsidRPr="009F0293" w14:paraId="5E46EA4B" w14:textId="77777777" w:rsidTr="00314164">
        <w:tc>
          <w:tcPr>
            <w:tcW w:w="2910" w:type="dxa"/>
          </w:tcPr>
          <w:p w14:paraId="7D5EA1A9" w14:textId="77777777" w:rsidR="00AE6755" w:rsidRPr="009F0293" w:rsidRDefault="00AE6755" w:rsidP="001F2847">
            <w:pPr>
              <w:rPr>
                <w:szCs w:val="22"/>
              </w:rPr>
            </w:pPr>
            <w:r w:rsidRPr="009F0293">
              <w:rPr>
                <w:szCs w:val="22"/>
              </w:rPr>
              <w:t>Metabolizmo ir mitybos sutrikimai</w:t>
            </w:r>
          </w:p>
        </w:tc>
        <w:tc>
          <w:tcPr>
            <w:tcW w:w="3004" w:type="dxa"/>
          </w:tcPr>
          <w:p w14:paraId="326CD9D0" w14:textId="77777777" w:rsidR="00AE6755" w:rsidRPr="009F0293" w:rsidRDefault="00AE6755" w:rsidP="001F2847">
            <w:pPr>
              <w:rPr>
                <w:szCs w:val="22"/>
              </w:rPr>
            </w:pPr>
            <w:r w:rsidRPr="009F0293">
              <w:rPr>
                <w:szCs w:val="22"/>
              </w:rPr>
              <w:t>Dažn</w:t>
            </w:r>
            <w:r w:rsidR="00B10104" w:rsidRPr="009F0293">
              <w:rPr>
                <w:szCs w:val="22"/>
              </w:rPr>
              <w:t>as</w:t>
            </w:r>
          </w:p>
        </w:tc>
        <w:tc>
          <w:tcPr>
            <w:tcW w:w="3038" w:type="dxa"/>
          </w:tcPr>
          <w:p w14:paraId="14ECDF80" w14:textId="77777777" w:rsidR="00AE6755" w:rsidRPr="009F0293" w:rsidRDefault="00AE6755" w:rsidP="009A28DB">
            <w:pPr>
              <w:rPr>
                <w:szCs w:val="22"/>
              </w:rPr>
            </w:pPr>
            <w:r w:rsidRPr="009F0293">
              <w:rPr>
                <w:szCs w:val="22"/>
              </w:rPr>
              <w:t>Hiperkalemija, hiperurikemija, elektrolitų pusiausvyros sutrikimas (įskaitant hiponatremiją ir hipokalemiją)</w:t>
            </w:r>
          </w:p>
        </w:tc>
      </w:tr>
      <w:tr w:rsidR="00AE6755" w:rsidRPr="009F0293" w14:paraId="01319001" w14:textId="77777777" w:rsidTr="00314164">
        <w:tc>
          <w:tcPr>
            <w:tcW w:w="2910" w:type="dxa"/>
          </w:tcPr>
          <w:p w14:paraId="6197334F" w14:textId="77777777" w:rsidR="00AE6755" w:rsidRPr="009F0293" w:rsidRDefault="00AE6755" w:rsidP="001F2847">
            <w:pPr>
              <w:rPr>
                <w:szCs w:val="22"/>
              </w:rPr>
            </w:pPr>
            <w:r w:rsidRPr="009F0293">
              <w:rPr>
                <w:szCs w:val="22"/>
              </w:rPr>
              <w:t>Psichikos sutrikimai</w:t>
            </w:r>
          </w:p>
        </w:tc>
        <w:tc>
          <w:tcPr>
            <w:tcW w:w="3004" w:type="dxa"/>
          </w:tcPr>
          <w:p w14:paraId="00984567" w14:textId="77777777" w:rsidR="00AE6755" w:rsidRPr="009F0293" w:rsidRDefault="00AE6755" w:rsidP="001F2847">
            <w:pPr>
              <w:rPr>
                <w:szCs w:val="22"/>
              </w:rPr>
            </w:pPr>
            <w:r w:rsidRPr="009F0293">
              <w:rPr>
                <w:szCs w:val="22"/>
              </w:rPr>
              <w:t>Ret</w:t>
            </w:r>
            <w:r w:rsidR="00B10104" w:rsidRPr="009F0293">
              <w:rPr>
                <w:szCs w:val="22"/>
              </w:rPr>
              <w:t>as</w:t>
            </w:r>
          </w:p>
        </w:tc>
        <w:tc>
          <w:tcPr>
            <w:tcW w:w="3038" w:type="dxa"/>
          </w:tcPr>
          <w:p w14:paraId="6CAB42E1" w14:textId="77777777" w:rsidR="00AE6755" w:rsidRPr="009F0293" w:rsidRDefault="00AE6755" w:rsidP="009D0391">
            <w:pPr>
              <w:rPr>
                <w:szCs w:val="22"/>
              </w:rPr>
            </w:pPr>
            <w:r w:rsidRPr="009F0293">
              <w:rPr>
                <w:szCs w:val="22"/>
              </w:rPr>
              <w:t>Miego sutrikimai, depresija, neramumas</w:t>
            </w:r>
          </w:p>
        </w:tc>
      </w:tr>
      <w:tr w:rsidR="00AE6755" w:rsidRPr="009F0293" w14:paraId="2A217CBD" w14:textId="77777777" w:rsidTr="00314164">
        <w:tc>
          <w:tcPr>
            <w:tcW w:w="2910" w:type="dxa"/>
            <w:vMerge w:val="restart"/>
          </w:tcPr>
          <w:p w14:paraId="656E2258" w14:textId="77777777" w:rsidR="00AE6755" w:rsidRPr="009F0293" w:rsidRDefault="00AE6755" w:rsidP="001F2847">
            <w:pPr>
              <w:rPr>
                <w:szCs w:val="22"/>
              </w:rPr>
            </w:pPr>
            <w:r w:rsidRPr="009F0293">
              <w:rPr>
                <w:szCs w:val="22"/>
              </w:rPr>
              <w:t>Nervų sistemos sutrikimai</w:t>
            </w:r>
          </w:p>
        </w:tc>
        <w:tc>
          <w:tcPr>
            <w:tcW w:w="3004" w:type="dxa"/>
          </w:tcPr>
          <w:p w14:paraId="4D287BB6" w14:textId="77777777" w:rsidR="00AE6755" w:rsidRPr="009F0293" w:rsidRDefault="00AE6755" w:rsidP="001F2847">
            <w:pPr>
              <w:rPr>
                <w:szCs w:val="22"/>
              </w:rPr>
            </w:pPr>
            <w:r w:rsidRPr="009F0293">
              <w:rPr>
                <w:szCs w:val="22"/>
              </w:rPr>
              <w:t>Dažn</w:t>
            </w:r>
            <w:r w:rsidR="00B10104" w:rsidRPr="009F0293">
              <w:rPr>
                <w:szCs w:val="22"/>
              </w:rPr>
              <w:t>as</w:t>
            </w:r>
          </w:p>
        </w:tc>
        <w:tc>
          <w:tcPr>
            <w:tcW w:w="3038" w:type="dxa"/>
          </w:tcPr>
          <w:p w14:paraId="251ED015" w14:textId="47C544C8" w:rsidR="00AE6755" w:rsidRPr="009F0293" w:rsidRDefault="00AE6755" w:rsidP="00CF59E8">
            <w:pPr>
              <w:rPr>
                <w:szCs w:val="22"/>
              </w:rPr>
            </w:pPr>
            <w:r w:rsidRPr="009F0293">
              <w:rPr>
                <w:szCs w:val="22"/>
              </w:rPr>
              <w:t xml:space="preserve">Apsvaigimas, galvos </w:t>
            </w:r>
            <w:r w:rsidR="00CF59E8" w:rsidRPr="009F0293">
              <w:rPr>
                <w:szCs w:val="22"/>
              </w:rPr>
              <w:t>svaigimas (</w:t>
            </w:r>
            <w:r w:rsidR="00CF59E8" w:rsidRPr="009F0293">
              <w:rPr>
                <w:i/>
                <w:szCs w:val="22"/>
              </w:rPr>
              <w:t>vertigo</w:t>
            </w:r>
            <w:r w:rsidR="00CF59E8" w:rsidRPr="009F0293">
              <w:rPr>
                <w:szCs w:val="22"/>
              </w:rPr>
              <w:t>)</w:t>
            </w:r>
            <w:r w:rsidR="00CF59E8" w:rsidRPr="009F0293">
              <w:rPr>
                <w:i/>
                <w:szCs w:val="22"/>
              </w:rPr>
              <w:t xml:space="preserve"> </w:t>
            </w:r>
          </w:p>
        </w:tc>
      </w:tr>
      <w:tr w:rsidR="00AE6755" w:rsidRPr="009F0293" w14:paraId="7861656A" w14:textId="77777777" w:rsidTr="00314164">
        <w:tc>
          <w:tcPr>
            <w:tcW w:w="2910" w:type="dxa"/>
            <w:vMerge/>
          </w:tcPr>
          <w:p w14:paraId="61BB2098" w14:textId="77777777" w:rsidR="00AE6755" w:rsidRPr="009F0293" w:rsidRDefault="00AE6755" w:rsidP="001F2847">
            <w:pPr>
              <w:rPr>
                <w:szCs w:val="22"/>
              </w:rPr>
            </w:pPr>
          </w:p>
        </w:tc>
        <w:tc>
          <w:tcPr>
            <w:tcW w:w="3004" w:type="dxa"/>
          </w:tcPr>
          <w:p w14:paraId="62DE616D" w14:textId="77777777" w:rsidR="00AE6755" w:rsidRPr="009F0293" w:rsidRDefault="00AE6755" w:rsidP="001F2847">
            <w:pPr>
              <w:rPr>
                <w:szCs w:val="22"/>
              </w:rPr>
            </w:pPr>
            <w:r w:rsidRPr="009F0293">
              <w:rPr>
                <w:szCs w:val="22"/>
              </w:rPr>
              <w:t>Ret</w:t>
            </w:r>
            <w:r w:rsidR="00B10104" w:rsidRPr="009F0293">
              <w:rPr>
                <w:szCs w:val="22"/>
              </w:rPr>
              <w:t>as</w:t>
            </w:r>
          </w:p>
        </w:tc>
        <w:tc>
          <w:tcPr>
            <w:tcW w:w="3038" w:type="dxa"/>
          </w:tcPr>
          <w:p w14:paraId="084C7642" w14:textId="77777777" w:rsidR="00AE6755" w:rsidRPr="009F0293" w:rsidRDefault="00AE6755" w:rsidP="001F2847">
            <w:pPr>
              <w:rPr>
                <w:szCs w:val="22"/>
              </w:rPr>
            </w:pPr>
            <w:r w:rsidRPr="009F0293">
              <w:rPr>
                <w:szCs w:val="22"/>
              </w:rPr>
              <w:t>Parestezija</w:t>
            </w:r>
          </w:p>
        </w:tc>
      </w:tr>
      <w:tr w:rsidR="004C5312" w:rsidRPr="009F0293" w14:paraId="5C32D56F" w14:textId="77777777" w:rsidTr="00314164">
        <w:tc>
          <w:tcPr>
            <w:tcW w:w="2910" w:type="dxa"/>
            <w:vMerge w:val="restart"/>
          </w:tcPr>
          <w:p w14:paraId="4B7C907D" w14:textId="77777777" w:rsidR="004C5312" w:rsidRPr="009F0293" w:rsidRDefault="004C5312" w:rsidP="001F2847">
            <w:pPr>
              <w:rPr>
                <w:szCs w:val="22"/>
              </w:rPr>
            </w:pPr>
            <w:r w:rsidRPr="009F0293">
              <w:rPr>
                <w:szCs w:val="22"/>
              </w:rPr>
              <w:t>Akių sutrikimai</w:t>
            </w:r>
          </w:p>
        </w:tc>
        <w:tc>
          <w:tcPr>
            <w:tcW w:w="3004" w:type="dxa"/>
          </w:tcPr>
          <w:p w14:paraId="04BFE45B" w14:textId="77777777" w:rsidR="004C5312" w:rsidRPr="009F0293" w:rsidRDefault="004C5312"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50A81B79" w14:textId="77777777" w:rsidR="004C5312" w:rsidRPr="009F0293" w:rsidRDefault="004C5312" w:rsidP="001F2847">
            <w:pPr>
              <w:rPr>
                <w:szCs w:val="22"/>
              </w:rPr>
            </w:pPr>
            <w:r w:rsidRPr="009F0293">
              <w:rPr>
                <w:szCs w:val="22"/>
              </w:rPr>
              <w:t>Trumpalaikis matymas lyg per miglą</w:t>
            </w:r>
          </w:p>
        </w:tc>
      </w:tr>
      <w:tr w:rsidR="004C5312" w:rsidRPr="009F0293" w14:paraId="621B69A4" w14:textId="77777777" w:rsidTr="00314164">
        <w:tc>
          <w:tcPr>
            <w:tcW w:w="2910" w:type="dxa"/>
            <w:vMerge/>
          </w:tcPr>
          <w:p w14:paraId="2532F36B" w14:textId="77777777" w:rsidR="004C5312" w:rsidRPr="009F0293" w:rsidRDefault="004C5312" w:rsidP="001F2847">
            <w:pPr>
              <w:rPr>
                <w:szCs w:val="22"/>
              </w:rPr>
            </w:pPr>
          </w:p>
        </w:tc>
        <w:tc>
          <w:tcPr>
            <w:tcW w:w="3004" w:type="dxa"/>
          </w:tcPr>
          <w:p w14:paraId="2EB11F85" w14:textId="77777777" w:rsidR="004C5312" w:rsidRPr="009F0293" w:rsidRDefault="004C5312" w:rsidP="001F2847">
            <w:pPr>
              <w:rPr>
                <w:szCs w:val="22"/>
              </w:rPr>
            </w:pPr>
            <w:r w:rsidRPr="009F0293">
              <w:rPr>
                <w:szCs w:val="22"/>
              </w:rPr>
              <w:t>Nežinomas</w:t>
            </w:r>
          </w:p>
        </w:tc>
        <w:tc>
          <w:tcPr>
            <w:tcW w:w="3038" w:type="dxa"/>
          </w:tcPr>
          <w:p w14:paraId="5C130E60" w14:textId="5136019A" w:rsidR="004C5312" w:rsidRPr="009F0293" w:rsidRDefault="00060893" w:rsidP="001F2847">
            <w:pPr>
              <w:rPr>
                <w:szCs w:val="22"/>
              </w:rPr>
            </w:pPr>
            <w:r w:rsidRPr="009F0293">
              <w:rPr>
                <w:bCs/>
                <w:szCs w:val="22"/>
              </w:rPr>
              <w:t>Ūminė trumparegystė,</w:t>
            </w:r>
            <w:r w:rsidR="00E4354B" w:rsidRPr="009F0293">
              <w:rPr>
                <w:szCs w:val="22"/>
              </w:rPr>
              <w:t xml:space="preserve"> </w:t>
            </w:r>
            <w:r w:rsidR="00E4354B" w:rsidRPr="009F0293">
              <w:rPr>
                <w:bCs/>
                <w:szCs w:val="22"/>
              </w:rPr>
              <w:t>antrinė</w:t>
            </w:r>
            <w:r w:rsidRPr="009F0293">
              <w:rPr>
                <w:bCs/>
                <w:szCs w:val="22"/>
              </w:rPr>
              <w:t xml:space="preserve"> ūminė uždaro kampo glaukoma</w:t>
            </w:r>
            <w:r w:rsidR="002B23A1">
              <w:rPr>
                <w:bCs/>
                <w:szCs w:val="22"/>
              </w:rPr>
              <w:t>,</w:t>
            </w:r>
            <w:r w:rsidR="002B23A1" w:rsidRPr="002B23A1">
              <w:rPr>
                <w:rFonts w:eastAsia="MS Mincho"/>
                <w:szCs w:val="22"/>
                <w:lang w:eastAsia="fr-FR"/>
              </w:rPr>
              <w:t xml:space="preserve"> </w:t>
            </w:r>
            <w:r w:rsidR="002B23A1" w:rsidRPr="002B23A1">
              <w:rPr>
                <w:bCs/>
                <w:szCs w:val="22"/>
              </w:rPr>
              <w:t xml:space="preserve">skysčio susikaupimas </w:t>
            </w:r>
            <w:r w:rsidR="001A1875">
              <w:rPr>
                <w:bCs/>
                <w:szCs w:val="22"/>
              </w:rPr>
              <w:t>gyslainėje</w:t>
            </w:r>
          </w:p>
        </w:tc>
      </w:tr>
      <w:tr w:rsidR="00AE6755" w:rsidRPr="009F0293" w14:paraId="7D8BE602" w14:textId="77777777" w:rsidTr="00314164">
        <w:tc>
          <w:tcPr>
            <w:tcW w:w="2910" w:type="dxa"/>
          </w:tcPr>
          <w:p w14:paraId="50B0A094" w14:textId="77777777" w:rsidR="00AE6755" w:rsidRPr="009F0293" w:rsidRDefault="00AE6755" w:rsidP="001F2847">
            <w:pPr>
              <w:rPr>
                <w:szCs w:val="22"/>
              </w:rPr>
            </w:pPr>
            <w:r w:rsidRPr="009F0293">
              <w:rPr>
                <w:szCs w:val="22"/>
              </w:rPr>
              <w:t>Širdies sutrikimai</w:t>
            </w:r>
          </w:p>
        </w:tc>
        <w:tc>
          <w:tcPr>
            <w:tcW w:w="3004" w:type="dxa"/>
          </w:tcPr>
          <w:p w14:paraId="230D2C1A" w14:textId="77777777" w:rsidR="00AE6755" w:rsidRPr="009F0293" w:rsidRDefault="00AE6755"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4B61AF38" w14:textId="77777777" w:rsidR="00AE6755" w:rsidRPr="009F0293" w:rsidRDefault="00AE6755" w:rsidP="001F2847">
            <w:pPr>
              <w:rPr>
                <w:szCs w:val="22"/>
              </w:rPr>
            </w:pPr>
            <w:r w:rsidRPr="009F0293">
              <w:rPr>
                <w:szCs w:val="22"/>
              </w:rPr>
              <w:t>Širdies aritmijos</w:t>
            </w:r>
          </w:p>
        </w:tc>
      </w:tr>
      <w:tr w:rsidR="00AE6755" w:rsidRPr="009F0293" w14:paraId="38B0BF85" w14:textId="77777777" w:rsidTr="00314164">
        <w:tc>
          <w:tcPr>
            <w:tcW w:w="2910" w:type="dxa"/>
            <w:vMerge w:val="restart"/>
          </w:tcPr>
          <w:p w14:paraId="7B03E5CA" w14:textId="77777777" w:rsidR="00AE6755" w:rsidRPr="009F0293" w:rsidRDefault="00AE6755" w:rsidP="001F2847">
            <w:pPr>
              <w:rPr>
                <w:szCs w:val="22"/>
              </w:rPr>
            </w:pPr>
            <w:r w:rsidRPr="009F0293">
              <w:rPr>
                <w:szCs w:val="22"/>
              </w:rPr>
              <w:t>Kraujagyslių sutrikimai</w:t>
            </w:r>
          </w:p>
        </w:tc>
        <w:tc>
          <w:tcPr>
            <w:tcW w:w="3004" w:type="dxa"/>
          </w:tcPr>
          <w:p w14:paraId="5F937B61" w14:textId="77777777" w:rsidR="00AE6755" w:rsidRPr="009F0293" w:rsidRDefault="00AE6755" w:rsidP="001F2847">
            <w:pPr>
              <w:rPr>
                <w:szCs w:val="22"/>
              </w:rPr>
            </w:pPr>
            <w:r w:rsidRPr="009F0293">
              <w:rPr>
                <w:szCs w:val="22"/>
              </w:rPr>
              <w:t>Nedažn</w:t>
            </w:r>
            <w:r w:rsidR="00B10104" w:rsidRPr="009F0293">
              <w:rPr>
                <w:szCs w:val="22"/>
              </w:rPr>
              <w:t>as</w:t>
            </w:r>
          </w:p>
        </w:tc>
        <w:tc>
          <w:tcPr>
            <w:tcW w:w="3038" w:type="dxa"/>
          </w:tcPr>
          <w:p w14:paraId="37F121F7" w14:textId="77777777" w:rsidR="00AE6755" w:rsidRPr="009F0293" w:rsidRDefault="00AE6755" w:rsidP="001F2847">
            <w:pPr>
              <w:rPr>
                <w:szCs w:val="22"/>
              </w:rPr>
            </w:pPr>
            <w:r w:rsidRPr="009F0293">
              <w:rPr>
                <w:szCs w:val="22"/>
              </w:rPr>
              <w:t>Ortostatinė hipotenzija</w:t>
            </w:r>
          </w:p>
        </w:tc>
      </w:tr>
      <w:tr w:rsidR="00AE6755" w:rsidRPr="009F0293" w14:paraId="0317C9B1" w14:textId="77777777" w:rsidTr="00314164">
        <w:tc>
          <w:tcPr>
            <w:tcW w:w="2910" w:type="dxa"/>
            <w:vMerge/>
          </w:tcPr>
          <w:p w14:paraId="6FB03365" w14:textId="77777777" w:rsidR="00AE6755" w:rsidRPr="009F0293" w:rsidRDefault="00AE6755" w:rsidP="001F2847">
            <w:pPr>
              <w:rPr>
                <w:szCs w:val="22"/>
              </w:rPr>
            </w:pPr>
          </w:p>
        </w:tc>
        <w:tc>
          <w:tcPr>
            <w:tcW w:w="3004" w:type="dxa"/>
          </w:tcPr>
          <w:p w14:paraId="55B0A0FA" w14:textId="77777777" w:rsidR="00AE6755" w:rsidRPr="009F0293" w:rsidRDefault="00AE6755"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741C7740" w14:textId="77777777" w:rsidR="00AE6755" w:rsidRPr="009F0293" w:rsidRDefault="00AE6755" w:rsidP="001F2847">
            <w:pPr>
              <w:rPr>
                <w:szCs w:val="22"/>
              </w:rPr>
            </w:pPr>
            <w:r w:rsidRPr="009F0293">
              <w:rPr>
                <w:szCs w:val="22"/>
              </w:rPr>
              <w:t>Nekrotizuojantis angitas (vaskulitas, odos vaskulitas)</w:t>
            </w:r>
          </w:p>
        </w:tc>
      </w:tr>
      <w:tr w:rsidR="001E4D16" w:rsidRPr="009F0293" w14:paraId="277C75EF" w14:textId="77777777" w:rsidTr="001C5206">
        <w:trPr>
          <w:trHeight w:val="693"/>
        </w:trPr>
        <w:tc>
          <w:tcPr>
            <w:tcW w:w="2910" w:type="dxa"/>
            <w:vMerge w:val="restart"/>
          </w:tcPr>
          <w:p w14:paraId="42A12D18" w14:textId="77777777" w:rsidR="001E4D16" w:rsidRPr="009F0293" w:rsidRDefault="001E4D16" w:rsidP="001F2847">
            <w:pPr>
              <w:rPr>
                <w:szCs w:val="22"/>
              </w:rPr>
            </w:pPr>
            <w:r w:rsidRPr="009F0293">
              <w:rPr>
                <w:szCs w:val="22"/>
              </w:rPr>
              <w:t>Kvėpavimo sistemos, krūtinės ląstos ir tarpuplaučio sutrikimai</w:t>
            </w:r>
          </w:p>
        </w:tc>
        <w:tc>
          <w:tcPr>
            <w:tcW w:w="3004" w:type="dxa"/>
          </w:tcPr>
          <w:p w14:paraId="3C4BC87D" w14:textId="77777777" w:rsidR="001E4D16" w:rsidRPr="009F0293" w:rsidRDefault="001E4D16" w:rsidP="001F2847">
            <w:pPr>
              <w:rPr>
                <w:szCs w:val="22"/>
              </w:rPr>
            </w:pPr>
            <w:r w:rsidRPr="009F0293">
              <w:rPr>
                <w:szCs w:val="22"/>
              </w:rPr>
              <w:t xml:space="preserve">Retas </w:t>
            </w:r>
          </w:p>
        </w:tc>
        <w:tc>
          <w:tcPr>
            <w:tcW w:w="3038" w:type="dxa"/>
          </w:tcPr>
          <w:p w14:paraId="42573AED" w14:textId="77777777" w:rsidR="001E4D16" w:rsidRPr="009F0293" w:rsidRDefault="001E4D16" w:rsidP="001F2847">
            <w:pPr>
              <w:rPr>
                <w:szCs w:val="22"/>
              </w:rPr>
            </w:pPr>
            <w:r w:rsidRPr="009F0293">
              <w:rPr>
                <w:szCs w:val="22"/>
              </w:rPr>
              <w:t>Kvėpavimo sutrikimas (įskaitant pneumonitą ir plaučių edemą)</w:t>
            </w:r>
          </w:p>
        </w:tc>
      </w:tr>
      <w:tr w:rsidR="001E4D16" w:rsidRPr="009F0293" w14:paraId="0BD5232E" w14:textId="77777777" w:rsidTr="00314164">
        <w:tc>
          <w:tcPr>
            <w:tcW w:w="2910" w:type="dxa"/>
            <w:vMerge/>
          </w:tcPr>
          <w:p w14:paraId="1AD4493E" w14:textId="77777777" w:rsidR="001E4D16" w:rsidRPr="009F0293" w:rsidRDefault="001E4D16" w:rsidP="001F2847">
            <w:pPr>
              <w:rPr>
                <w:szCs w:val="22"/>
              </w:rPr>
            </w:pPr>
          </w:p>
        </w:tc>
        <w:tc>
          <w:tcPr>
            <w:tcW w:w="3004" w:type="dxa"/>
          </w:tcPr>
          <w:p w14:paraId="5D0A8FCF" w14:textId="201E4E77" w:rsidR="001E4D16" w:rsidRPr="009F0293" w:rsidRDefault="001E4D16" w:rsidP="001F2847">
            <w:pPr>
              <w:rPr>
                <w:szCs w:val="22"/>
              </w:rPr>
            </w:pPr>
            <w:r>
              <w:rPr>
                <w:szCs w:val="22"/>
              </w:rPr>
              <w:t>Labai retas</w:t>
            </w:r>
          </w:p>
        </w:tc>
        <w:tc>
          <w:tcPr>
            <w:tcW w:w="3038" w:type="dxa"/>
          </w:tcPr>
          <w:p w14:paraId="793BF28E" w14:textId="184D3D7A" w:rsidR="001E4D16" w:rsidRPr="009F0293" w:rsidRDefault="001E4D16" w:rsidP="001F2847">
            <w:pPr>
              <w:rPr>
                <w:szCs w:val="22"/>
              </w:rPr>
            </w:pPr>
            <w:r w:rsidRPr="001E4D16">
              <w:rPr>
                <w:szCs w:val="22"/>
              </w:rPr>
              <w:t>Ūminis kvėpavimo sutrikimo sindromas (ŪKSS) (žr. 4.4 skyrių)</w:t>
            </w:r>
          </w:p>
        </w:tc>
      </w:tr>
      <w:tr w:rsidR="00AE6755" w:rsidRPr="009F0293" w14:paraId="763B6F06" w14:textId="77777777" w:rsidTr="00314164">
        <w:tc>
          <w:tcPr>
            <w:tcW w:w="2910" w:type="dxa"/>
            <w:vMerge w:val="restart"/>
          </w:tcPr>
          <w:p w14:paraId="6CC51183" w14:textId="77777777" w:rsidR="00AE6755" w:rsidRPr="009F0293" w:rsidRDefault="00AE6755" w:rsidP="001F2847">
            <w:pPr>
              <w:rPr>
                <w:szCs w:val="22"/>
              </w:rPr>
            </w:pPr>
            <w:r w:rsidRPr="009F0293">
              <w:rPr>
                <w:szCs w:val="22"/>
              </w:rPr>
              <w:t>Virškinimo trakto sutrikimai</w:t>
            </w:r>
          </w:p>
        </w:tc>
        <w:tc>
          <w:tcPr>
            <w:tcW w:w="3004" w:type="dxa"/>
          </w:tcPr>
          <w:p w14:paraId="5F3DB790" w14:textId="77777777" w:rsidR="00AE6755" w:rsidRPr="009F0293" w:rsidRDefault="00AE6755" w:rsidP="001F2847">
            <w:pPr>
              <w:rPr>
                <w:szCs w:val="22"/>
              </w:rPr>
            </w:pPr>
            <w:r w:rsidRPr="009F0293">
              <w:rPr>
                <w:szCs w:val="22"/>
              </w:rPr>
              <w:t>Nedažn</w:t>
            </w:r>
            <w:r w:rsidR="00B10104" w:rsidRPr="009F0293">
              <w:rPr>
                <w:szCs w:val="22"/>
              </w:rPr>
              <w:t>as</w:t>
            </w:r>
          </w:p>
        </w:tc>
        <w:tc>
          <w:tcPr>
            <w:tcW w:w="3038" w:type="dxa"/>
          </w:tcPr>
          <w:p w14:paraId="5DB7FB95" w14:textId="77777777" w:rsidR="00AE6755" w:rsidRPr="009F0293" w:rsidRDefault="00AE6755" w:rsidP="001F2847">
            <w:pPr>
              <w:rPr>
                <w:szCs w:val="22"/>
              </w:rPr>
            </w:pPr>
            <w:r w:rsidRPr="009F0293">
              <w:rPr>
                <w:szCs w:val="22"/>
              </w:rPr>
              <w:t>Anoreksija, apetito nebuvimas, skrandžio dirginimas, viduriavimas, vidurių užkietėjimas</w:t>
            </w:r>
          </w:p>
        </w:tc>
      </w:tr>
      <w:tr w:rsidR="00AE6755" w:rsidRPr="009F0293" w14:paraId="0FE426FD" w14:textId="77777777" w:rsidTr="00314164">
        <w:tc>
          <w:tcPr>
            <w:tcW w:w="2910" w:type="dxa"/>
            <w:vMerge/>
          </w:tcPr>
          <w:p w14:paraId="611F2899" w14:textId="77777777" w:rsidR="00AE6755" w:rsidRPr="009F0293" w:rsidRDefault="00AE6755" w:rsidP="001F2847">
            <w:pPr>
              <w:rPr>
                <w:szCs w:val="22"/>
              </w:rPr>
            </w:pPr>
          </w:p>
        </w:tc>
        <w:tc>
          <w:tcPr>
            <w:tcW w:w="3004" w:type="dxa"/>
          </w:tcPr>
          <w:p w14:paraId="03655352" w14:textId="77777777" w:rsidR="00AE6755" w:rsidRPr="009F0293" w:rsidRDefault="00AE6755"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613A2D2E" w14:textId="77777777" w:rsidR="00AE6755" w:rsidRPr="009F0293" w:rsidRDefault="00AE6755" w:rsidP="001F2847">
            <w:pPr>
              <w:rPr>
                <w:szCs w:val="22"/>
              </w:rPr>
            </w:pPr>
            <w:r w:rsidRPr="009F0293">
              <w:rPr>
                <w:szCs w:val="22"/>
              </w:rPr>
              <w:t>Pankreatitas</w:t>
            </w:r>
          </w:p>
        </w:tc>
      </w:tr>
      <w:tr w:rsidR="00AE6755" w:rsidRPr="009F0293" w14:paraId="249291D4" w14:textId="77777777" w:rsidTr="00314164">
        <w:tc>
          <w:tcPr>
            <w:tcW w:w="2910" w:type="dxa"/>
          </w:tcPr>
          <w:p w14:paraId="3EB87341" w14:textId="77777777" w:rsidR="00AE6755" w:rsidRPr="009F0293" w:rsidRDefault="00AE6755" w:rsidP="001F2847">
            <w:pPr>
              <w:rPr>
                <w:szCs w:val="22"/>
              </w:rPr>
            </w:pPr>
            <w:r w:rsidRPr="009F0293">
              <w:rPr>
                <w:szCs w:val="22"/>
              </w:rPr>
              <w:t>Kepenų, tulžies pūslės ir latakų sutrikimai</w:t>
            </w:r>
          </w:p>
        </w:tc>
        <w:tc>
          <w:tcPr>
            <w:tcW w:w="3004" w:type="dxa"/>
          </w:tcPr>
          <w:p w14:paraId="452A590F" w14:textId="77777777" w:rsidR="00AE6755" w:rsidRPr="009F0293" w:rsidRDefault="00AE6755">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04A76321" w14:textId="77777777" w:rsidR="00AE6755" w:rsidRPr="009F0293" w:rsidRDefault="00AE6755" w:rsidP="001F2847">
            <w:pPr>
              <w:rPr>
                <w:szCs w:val="22"/>
              </w:rPr>
            </w:pPr>
            <w:r w:rsidRPr="009F0293">
              <w:rPr>
                <w:szCs w:val="22"/>
              </w:rPr>
              <w:t>Gelta (intrahepatinė cholestazinė gelta)</w:t>
            </w:r>
          </w:p>
        </w:tc>
      </w:tr>
      <w:tr w:rsidR="00BD6059" w:rsidRPr="009F0293" w14:paraId="3E227674" w14:textId="77777777" w:rsidTr="00314164">
        <w:tc>
          <w:tcPr>
            <w:tcW w:w="2910" w:type="dxa"/>
            <w:vMerge w:val="restart"/>
          </w:tcPr>
          <w:p w14:paraId="25F12545" w14:textId="77777777" w:rsidR="00BD6059" w:rsidRPr="009F0293" w:rsidRDefault="00BD6059" w:rsidP="001F2847">
            <w:pPr>
              <w:rPr>
                <w:szCs w:val="22"/>
              </w:rPr>
            </w:pPr>
            <w:r w:rsidRPr="009F0293">
              <w:rPr>
                <w:szCs w:val="22"/>
              </w:rPr>
              <w:t>Odos ir poodinio audinio sutrikimai</w:t>
            </w:r>
          </w:p>
        </w:tc>
        <w:tc>
          <w:tcPr>
            <w:tcW w:w="3004" w:type="dxa"/>
          </w:tcPr>
          <w:p w14:paraId="2F2F84D6" w14:textId="77777777" w:rsidR="00BD6059" w:rsidRPr="009F0293" w:rsidRDefault="00BD6059" w:rsidP="001F2847">
            <w:pPr>
              <w:rPr>
                <w:szCs w:val="22"/>
              </w:rPr>
            </w:pPr>
            <w:r w:rsidRPr="009F0293">
              <w:rPr>
                <w:szCs w:val="22"/>
              </w:rPr>
              <w:t>Nedažnas</w:t>
            </w:r>
          </w:p>
        </w:tc>
        <w:tc>
          <w:tcPr>
            <w:tcW w:w="3038" w:type="dxa"/>
          </w:tcPr>
          <w:p w14:paraId="4D07C522" w14:textId="77777777" w:rsidR="00BD6059" w:rsidRPr="009F0293" w:rsidRDefault="00BD6059" w:rsidP="001F2847">
            <w:pPr>
              <w:rPr>
                <w:szCs w:val="22"/>
              </w:rPr>
            </w:pPr>
            <w:r w:rsidRPr="009F0293">
              <w:rPr>
                <w:szCs w:val="22"/>
              </w:rPr>
              <w:t>Išbėrimas, dilgėlinė, padidėjusio jautrumo šviesai reakcijos</w:t>
            </w:r>
          </w:p>
        </w:tc>
      </w:tr>
      <w:tr w:rsidR="00BD6059" w:rsidRPr="009F0293" w14:paraId="6D1B1BF8" w14:textId="77777777" w:rsidTr="00314164">
        <w:tc>
          <w:tcPr>
            <w:tcW w:w="2910" w:type="dxa"/>
            <w:vMerge/>
          </w:tcPr>
          <w:p w14:paraId="4B271675" w14:textId="77777777" w:rsidR="00BD6059" w:rsidRPr="009F0293" w:rsidRDefault="00BD6059" w:rsidP="001F2847">
            <w:pPr>
              <w:rPr>
                <w:szCs w:val="22"/>
              </w:rPr>
            </w:pPr>
          </w:p>
        </w:tc>
        <w:tc>
          <w:tcPr>
            <w:tcW w:w="3004" w:type="dxa"/>
          </w:tcPr>
          <w:p w14:paraId="359569EF" w14:textId="77777777" w:rsidR="00BD6059" w:rsidRPr="009F0293" w:rsidRDefault="00BD6059" w:rsidP="001F2847">
            <w:pPr>
              <w:rPr>
                <w:szCs w:val="22"/>
              </w:rPr>
            </w:pPr>
            <w:r w:rsidRPr="009F0293">
              <w:rPr>
                <w:szCs w:val="22"/>
              </w:rPr>
              <w:t xml:space="preserve">Retas </w:t>
            </w:r>
          </w:p>
        </w:tc>
        <w:tc>
          <w:tcPr>
            <w:tcW w:w="3038" w:type="dxa"/>
          </w:tcPr>
          <w:p w14:paraId="400DD116" w14:textId="1D29A866" w:rsidR="00BD6059" w:rsidRPr="009F0293" w:rsidRDefault="00BD6059" w:rsidP="00000594">
            <w:pPr>
              <w:rPr>
                <w:szCs w:val="22"/>
              </w:rPr>
            </w:pPr>
            <w:r w:rsidRPr="009F0293">
              <w:rPr>
                <w:szCs w:val="22"/>
              </w:rPr>
              <w:t>Toksinė epidermio nekrolizė</w:t>
            </w:r>
          </w:p>
        </w:tc>
      </w:tr>
      <w:tr w:rsidR="00BD6059" w:rsidRPr="009F0293" w14:paraId="5AD0AAA7" w14:textId="77777777" w:rsidTr="00314164">
        <w:tc>
          <w:tcPr>
            <w:tcW w:w="2910" w:type="dxa"/>
            <w:vMerge/>
          </w:tcPr>
          <w:p w14:paraId="4D111FC9" w14:textId="77777777" w:rsidR="00BD6059" w:rsidRPr="009F0293" w:rsidRDefault="00BD6059" w:rsidP="001F2847">
            <w:pPr>
              <w:rPr>
                <w:szCs w:val="22"/>
              </w:rPr>
            </w:pPr>
          </w:p>
        </w:tc>
        <w:tc>
          <w:tcPr>
            <w:tcW w:w="3004" w:type="dxa"/>
          </w:tcPr>
          <w:p w14:paraId="24FD3917" w14:textId="58EAFC4C" w:rsidR="00BD6059" w:rsidRPr="009F0293" w:rsidRDefault="00BD6059" w:rsidP="001F2847">
            <w:pPr>
              <w:rPr>
                <w:szCs w:val="22"/>
              </w:rPr>
            </w:pPr>
            <w:r w:rsidRPr="009F0293">
              <w:rPr>
                <w:szCs w:val="22"/>
              </w:rPr>
              <w:t>Nežinomas</w:t>
            </w:r>
          </w:p>
        </w:tc>
        <w:tc>
          <w:tcPr>
            <w:tcW w:w="3038" w:type="dxa"/>
          </w:tcPr>
          <w:p w14:paraId="5E238778" w14:textId="0B52D670" w:rsidR="00000594" w:rsidRPr="009F0293" w:rsidRDefault="00000594" w:rsidP="00301388">
            <w:pPr>
              <w:rPr>
                <w:szCs w:val="22"/>
              </w:rPr>
            </w:pPr>
            <w:r w:rsidRPr="009F0293">
              <w:rPr>
                <w:szCs w:val="22"/>
              </w:rPr>
              <w:t>Sisteminė raudonoji vilkligė</w:t>
            </w:r>
          </w:p>
          <w:p w14:paraId="2183DD62" w14:textId="213BFAEB" w:rsidR="00BD6059" w:rsidRPr="009F0293" w:rsidRDefault="00000594" w:rsidP="00301388">
            <w:pPr>
              <w:rPr>
                <w:szCs w:val="22"/>
              </w:rPr>
            </w:pPr>
            <w:r w:rsidRPr="009F0293">
              <w:rPr>
                <w:szCs w:val="22"/>
              </w:rPr>
              <w:t>Odos raudonoji vilkligė</w:t>
            </w:r>
          </w:p>
        </w:tc>
      </w:tr>
      <w:tr w:rsidR="00AE6755" w:rsidRPr="009F0293" w14:paraId="7DC9049B" w14:textId="77777777" w:rsidTr="00314164">
        <w:tc>
          <w:tcPr>
            <w:tcW w:w="2910" w:type="dxa"/>
          </w:tcPr>
          <w:p w14:paraId="440CF746" w14:textId="77777777" w:rsidR="00AE6755" w:rsidRPr="009F0293" w:rsidRDefault="00AE6755" w:rsidP="001F2847">
            <w:pPr>
              <w:rPr>
                <w:szCs w:val="22"/>
              </w:rPr>
            </w:pPr>
            <w:r w:rsidRPr="009F0293">
              <w:rPr>
                <w:szCs w:val="22"/>
              </w:rPr>
              <w:t>Skeleto, raumenų ir jungiamojo audinio sutrikimai</w:t>
            </w:r>
          </w:p>
        </w:tc>
        <w:tc>
          <w:tcPr>
            <w:tcW w:w="3004" w:type="dxa"/>
          </w:tcPr>
          <w:p w14:paraId="40770DC6" w14:textId="77777777" w:rsidR="00AE6755" w:rsidRPr="009F0293" w:rsidRDefault="00AE6755"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32583A80" w14:textId="77777777" w:rsidR="00AE6755" w:rsidRPr="009F0293" w:rsidRDefault="00AE6755" w:rsidP="001F2847">
            <w:pPr>
              <w:rPr>
                <w:szCs w:val="22"/>
              </w:rPr>
            </w:pPr>
            <w:r w:rsidRPr="009F0293">
              <w:rPr>
                <w:szCs w:val="22"/>
              </w:rPr>
              <w:t>Raumenų spazmas</w:t>
            </w:r>
          </w:p>
        </w:tc>
      </w:tr>
      <w:tr w:rsidR="00AE6755" w:rsidRPr="009F0293" w14:paraId="5747D7DD" w14:textId="77777777" w:rsidTr="00314164">
        <w:tc>
          <w:tcPr>
            <w:tcW w:w="2910" w:type="dxa"/>
            <w:vMerge w:val="restart"/>
          </w:tcPr>
          <w:p w14:paraId="23C2B2C9" w14:textId="77777777" w:rsidR="00AE6755" w:rsidRPr="009F0293" w:rsidRDefault="00AE6755" w:rsidP="001F2847">
            <w:pPr>
              <w:rPr>
                <w:szCs w:val="22"/>
              </w:rPr>
            </w:pPr>
            <w:r w:rsidRPr="009F0293">
              <w:rPr>
                <w:szCs w:val="22"/>
              </w:rPr>
              <w:t>Inkstų ir šlapimo takų sutrikimai</w:t>
            </w:r>
          </w:p>
        </w:tc>
        <w:tc>
          <w:tcPr>
            <w:tcW w:w="3004" w:type="dxa"/>
          </w:tcPr>
          <w:p w14:paraId="7F5181E3" w14:textId="77777777" w:rsidR="00AE6755" w:rsidRPr="009F0293" w:rsidRDefault="00AE6755" w:rsidP="001F2847">
            <w:pPr>
              <w:rPr>
                <w:szCs w:val="22"/>
              </w:rPr>
            </w:pPr>
            <w:r w:rsidRPr="009F0293">
              <w:rPr>
                <w:szCs w:val="22"/>
              </w:rPr>
              <w:t>Dažn</w:t>
            </w:r>
            <w:r w:rsidR="00B10104" w:rsidRPr="009F0293">
              <w:rPr>
                <w:szCs w:val="22"/>
              </w:rPr>
              <w:t>as</w:t>
            </w:r>
            <w:r w:rsidRPr="009F0293">
              <w:rPr>
                <w:szCs w:val="22"/>
              </w:rPr>
              <w:t xml:space="preserve"> </w:t>
            </w:r>
          </w:p>
        </w:tc>
        <w:tc>
          <w:tcPr>
            <w:tcW w:w="3038" w:type="dxa"/>
          </w:tcPr>
          <w:p w14:paraId="74F0DC7F" w14:textId="77777777" w:rsidR="00AE6755" w:rsidRPr="009F0293" w:rsidRDefault="00AE6755" w:rsidP="001F2847">
            <w:pPr>
              <w:rPr>
                <w:szCs w:val="22"/>
              </w:rPr>
            </w:pPr>
            <w:r w:rsidRPr="009F0293">
              <w:rPr>
                <w:szCs w:val="22"/>
              </w:rPr>
              <w:t>Glikozurija</w:t>
            </w:r>
          </w:p>
        </w:tc>
      </w:tr>
      <w:tr w:rsidR="00AE6755" w:rsidRPr="009F0293" w14:paraId="60542A73" w14:textId="77777777" w:rsidTr="00314164">
        <w:tc>
          <w:tcPr>
            <w:tcW w:w="2910" w:type="dxa"/>
            <w:vMerge/>
          </w:tcPr>
          <w:p w14:paraId="7A31307E" w14:textId="77777777" w:rsidR="00AE6755" w:rsidRPr="009F0293" w:rsidRDefault="00AE6755" w:rsidP="001F2847">
            <w:pPr>
              <w:rPr>
                <w:szCs w:val="22"/>
              </w:rPr>
            </w:pPr>
          </w:p>
        </w:tc>
        <w:tc>
          <w:tcPr>
            <w:tcW w:w="3004" w:type="dxa"/>
          </w:tcPr>
          <w:p w14:paraId="4C1E519A" w14:textId="77777777" w:rsidR="00AE6755" w:rsidRPr="009F0293" w:rsidRDefault="00AE6755">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422D564A" w14:textId="77777777" w:rsidR="00AE6755" w:rsidRPr="009F0293" w:rsidRDefault="00AE6755" w:rsidP="001F2847">
            <w:pPr>
              <w:rPr>
                <w:szCs w:val="22"/>
              </w:rPr>
            </w:pPr>
            <w:r w:rsidRPr="009F0293">
              <w:rPr>
                <w:szCs w:val="22"/>
              </w:rPr>
              <w:t>Inkstų funkcijos sutrikimas ir intersticinis nefritas</w:t>
            </w:r>
          </w:p>
        </w:tc>
      </w:tr>
      <w:tr w:rsidR="00AE6755" w:rsidRPr="009F0293" w14:paraId="35AAEEB4" w14:textId="77777777" w:rsidTr="00314164">
        <w:tc>
          <w:tcPr>
            <w:tcW w:w="2910" w:type="dxa"/>
            <w:vMerge w:val="restart"/>
          </w:tcPr>
          <w:p w14:paraId="17ED6841" w14:textId="77777777" w:rsidR="00AE6755" w:rsidRPr="009F0293" w:rsidRDefault="00AE6755" w:rsidP="001F2847">
            <w:pPr>
              <w:rPr>
                <w:szCs w:val="22"/>
              </w:rPr>
            </w:pPr>
            <w:r w:rsidRPr="009F0293">
              <w:rPr>
                <w:szCs w:val="22"/>
              </w:rPr>
              <w:t>Bendrieji sutrikimai ir vartojimo vietos pažeidimai</w:t>
            </w:r>
          </w:p>
        </w:tc>
        <w:tc>
          <w:tcPr>
            <w:tcW w:w="3004" w:type="dxa"/>
          </w:tcPr>
          <w:p w14:paraId="09C53D5D" w14:textId="77777777" w:rsidR="00AE6755" w:rsidRPr="009F0293" w:rsidRDefault="00AE6755" w:rsidP="001F2847">
            <w:pPr>
              <w:rPr>
                <w:szCs w:val="22"/>
              </w:rPr>
            </w:pPr>
            <w:r w:rsidRPr="009F0293">
              <w:rPr>
                <w:szCs w:val="22"/>
              </w:rPr>
              <w:t>Dažn</w:t>
            </w:r>
            <w:r w:rsidR="00B10104" w:rsidRPr="009F0293">
              <w:rPr>
                <w:szCs w:val="22"/>
              </w:rPr>
              <w:t>as</w:t>
            </w:r>
            <w:r w:rsidRPr="009F0293">
              <w:rPr>
                <w:szCs w:val="22"/>
              </w:rPr>
              <w:t xml:space="preserve"> </w:t>
            </w:r>
          </w:p>
        </w:tc>
        <w:tc>
          <w:tcPr>
            <w:tcW w:w="3038" w:type="dxa"/>
          </w:tcPr>
          <w:p w14:paraId="6ECFD1A7" w14:textId="77777777" w:rsidR="00AE6755" w:rsidRPr="009F0293" w:rsidRDefault="00AE6755" w:rsidP="001F2847">
            <w:pPr>
              <w:rPr>
                <w:szCs w:val="22"/>
              </w:rPr>
            </w:pPr>
            <w:r w:rsidRPr="009F0293">
              <w:rPr>
                <w:szCs w:val="22"/>
              </w:rPr>
              <w:t>Silpnumas</w:t>
            </w:r>
          </w:p>
        </w:tc>
      </w:tr>
      <w:tr w:rsidR="00AE6755" w:rsidRPr="009F0293" w14:paraId="49A87471" w14:textId="77777777" w:rsidTr="00314164">
        <w:tc>
          <w:tcPr>
            <w:tcW w:w="2910" w:type="dxa"/>
            <w:vMerge/>
            <w:vAlign w:val="center"/>
          </w:tcPr>
          <w:p w14:paraId="79942CC1" w14:textId="77777777" w:rsidR="00AE6755" w:rsidRPr="009F0293" w:rsidRDefault="00AE6755" w:rsidP="001F2847">
            <w:pPr>
              <w:rPr>
                <w:szCs w:val="22"/>
              </w:rPr>
            </w:pPr>
          </w:p>
        </w:tc>
        <w:tc>
          <w:tcPr>
            <w:tcW w:w="3004" w:type="dxa"/>
          </w:tcPr>
          <w:p w14:paraId="4485DF40" w14:textId="77777777" w:rsidR="00AE6755" w:rsidRPr="009F0293" w:rsidRDefault="00AE6755"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5ED26CE5" w14:textId="77777777" w:rsidR="00AE6755" w:rsidRPr="009F0293" w:rsidRDefault="00AE6755" w:rsidP="001F2847">
            <w:pPr>
              <w:rPr>
                <w:szCs w:val="22"/>
              </w:rPr>
            </w:pPr>
            <w:r w:rsidRPr="009F0293">
              <w:rPr>
                <w:szCs w:val="22"/>
              </w:rPr>
              <w:t>Karščiavimas</w:t>
            </w:r>
          </w:p>
        </w:tc>
      </w:tr>
      <w:tr w:rsidR="00AE6755" w:rsidRPr="009F0293" w14:paraId="4BBB3B47" w14:textId="77777777" w:rsidTr="00314164">
        <w:tc>
          <w:tcPr>
            <w:tcW w:w="2910" w:type="dxa"/>
            <w:vMerge w:val="restart"/>
          </w:tcPr>
          <w:p w14:paraId="5E87F86D" w14:textId="77777777" w:rsidR="00AE6755" w:rsidRPr="009F0293" w:rsidRDefault="00AE6755" w:rsidP="001F2847">
            <w:pPr>
              <w:rPr>
                <w:szCs w:val="22"/>
              </w:rPr>
            </w:pPr>
            <w:r w:rsidRPr="009F0293">
              <w:rPr>
                <w:szCs w:val="22"/>
              </w:rPr>
              <w:lastRenderedPageBreak/>
              <w:t>Tyrimai</w:t>
            </w:r>
          </w:p>
        </w:tc>
        <w:tc>
          <w:tcPr>
            <w:tcW w:w="3004" w:type="dxa"/>
          </w:tcPr>
          <w:p w14:paraId="21526496" w14:textId="77777777" w:rsidR="00AE6755" w:rsidRPr="009F0293" w:rsidRDefault="00AE6755" w:rsidP="001F2847">
            <w:pPr>
              <w:rPr>
                <w:szCs w:val="22"/>
              </w:rPr>
            </w:pPr>
            <w:r w:rsidRPr="009F0293">
              <w:rPr>
                <w:szCs w:val="22"/>
              </w:rPr>
              <w:t>Dažn</w:t>
            </w:r>
            <w:r w:rsidR="00B10104" w:rsidRPr="009F0293">
              <w:rPr>
                <w:szCs w:val="22"/>
              </w:rPr>
              <w:t>as</w:t>
            </w:r>
            <w:r w:rsidRPr="009F0293">
              <w:rPr>
                <w:szCs w:val="22"/>
              </w:rPr>
              <w:t xml:space="preserve"> </w:t>
            </w:r>
          </w:p>
        </w:tc>
        <w:tc>
          <w:tcPr>
            <w:tcW w:w="3038" w:type="dxa"/>
          </w:tcPr>
          <w:p w14:paraId="70E9930D" w14:textId="77777777" w:rsidR="00AE6755" w:rsidRPr="009F0293" w:rsidRDefault="00AE6755" w:rsidP="001F2847">
            <w:pPr>
              <w:rPr>
                <w:szCs w:val="22"/>
              </w:rPr>
            </w:pPr>
            <w:r w:rsidRPr="009F0293">
              <w:rPr>
                <w:szCs w:val="22"/>
              </w:rPr>
              <w:t>Cholesterolio ir trigliceridų koncentracijos padidėjimas</w:t>
            </w:r>
          </w:p>
        </w:tc>
      </w:tr>
      <w:tr w:rsidR="00AE6755" w:rsidRPr="009F0293" w14:paraId="31379EAC" w14:textId="77777777" w:rsidTr="00314164">
        <w:tc>
          <w:tcPr>
            <w:tcW w:w="2910" w:type="dxa"/>
            <w:vMerge/>
          </w:tcPr>
          <w:p w14:paraId="68DDFFD0" w14:textId="77777777" w:rsidR="00AE6755" w:rsidRPr="009F0293" w:rsidRDefault="00AE6755" w:rsidP="001F2847">
            <w:pPr>
              <w:rPr>
                <w:szCs w:val="22"/>
              </w:rPr>
            </w:pPr>
          </w:p>
        </w:tc>
        <w:tc>
          <w:tcPr>
            <w:tcW w:w="3004" w:type="dxa"/>
          </w:tcPr>
          <w:p w14:paraId="27ABB36B" w14:textId="77777777" w:rsidR="00AE6755" w:rsidRPr="009F0293" w:rsidRDefault="00AE6755" w:rsidP="001F2847">
            <w:pPr>
              <w:rPr>
                <w:szCs w:val="22"/>
              </w:rPr>
            </w:pPr>
            <w:r w:rsidRPr="009F0293">
              <w:rPr>
                <w:szCs w:val="22"/>
              </w:rPr>
              <w:t>Ret</w:t>
            </w:r>
            <w:r w:rsidR="00B10104" w:rsidRPr="009F0293">
              <w:rPr>
                <w:szCs w:val="22"/>
              </w:rPr>
              <w:t>as</w:t>
            </w:r>
            <w:r w:rsidRPr="009F0293">
              <w:rPr>
                <w:szCs w:val="22"/>
              </w:rPr>
              <w:t xml:space="preserve"> </w:t>
            </w:r>
          </w:p>
        </w:tc>
        <w:tc>
          <w:tcPr>
            <w:tcW w:w="3038" w:type="dxa"/>
          </w:tcPr>
          <w:p w14:paraId="010ED615" w14:textId="77777777" w:rsidR="00AE6755" w:rsidRPr="009F0293" w:rsidRDefault="00AE6755" w:rsidP="001F2847">
            <w:pPr>
              <w:rPr>
                <w:szCs w:val="22"/>
              </w:rPr>
            </w:pPr>
            <w:r w:rsidRPr="009F0293">
              <w:rPr>
                <w:szCs w:val="22"/>
              </w:rPr>
              <w:t xml:space="preserve">Šlapalo kraujyje padaugėjimas ir kreatinino koncentracijos </w:t>
            </w:r>
            <w:r w:rsidR="00FC7198" w:rsidRPr="009F0293">
              <w:rPr>
                <w:szCs w:val="22"/>
              </w:rPr>
              <w:t xml:space="preserve">kraujo </w:t>
            </w:r>
            <w:r w:rsidRPr="009F0293">
              <w:rPr>
                <w:szCs w:val="22"/>
              </w:rPr>
              <w:t>serume padidėjimas</w:t>
            </w:r>
          </w:p>
        </w:tc>
      </w:tr>
    </w:tbl>
    <w:p w14:paraId="00DED5A8" w14:textId="77777777" w:rsidR="00A50678" w:rsidRPr="005F2514" w:rsidRDefault="00A50678" w:rsidP="00314164">
      <w:pPr>
        <w:pStyle w:val="Style1"/>
        <w:rPr>
          <w:i/>
          <w:sz w:val="22"/>
          <w:lang w:val="lt-LT"/>
        </w:rPr>
      </w:pPr>
    </w:p>
    <w:p w14:paraId="420F9842" w14:textId="77777777" w:rsidR="009F0293" w:rsidRPr="001B2FA0" w:rsidRDefault="009F0293" w:rsidP="001B2FA0">
      <w:pPr>
        <w:keepNext/>
        <w:autoSpaceDE w:val="0"/>
        <w:autoSpaceDN w:val="0"/>
        <w:adjustRightInd w:val="0"/>
        <w:rPr>
          <w:rFonts w:eastAsia="Calibri"/>
          <w:color w:val="000000"/>
          <w:szCs w:val="22"/>
          <w:u w:val="single"/>
          <w:lang w:eastAsia="lt-LT"/>
        </w:rPr>
      </w:pPr>
      <w:r w:rsidRPr="001B2FA0">
        <w:rPr>
          <w:rFonts w:eastAsia="Calibri"/>
          <w:color w:val="000000"/>
          <w:szCs w:val="22"/>
          <w:u w:val="single"/>
          <w:lang w:eastAsia="lt-LT"/>
        </w:rPr>
        <w:t xml:space="preserve">Atrinktų nepageidaujamų reakcijų apibūdinimas </w:t>
      </w:r>
    </w:p>
    <w:p w14:paraId="3DCF0B6C" w14:textId="6B510061" w:rsidR="00AE6755" w:rsidRPr="009F0293" w:rsidRDefault="009F0293" w:rsidP="009F0293">
      <w:pPr>
        <w:rPr>
          <w:rFonts w:eastAsia="Calibri"/>
          <w:color w:val="000000"/>
          <w:szCs w:val="22"/>
          <w:lang w:eastAsia="lt-LT"/>
        </w:rPr>
      </w:pPr>
      <w:r w:rsidRPr="009F0293">
        <w:rPr>
          <w:rFonts w:eastAsia="Calibri"/>
          <w:color w:val="000000"/>
          <w:szCs w:val="22"/>
          <w:lang w:eastAsia="lt-LT"/>
        </w:rPr>
        <w:t>Nemelanominis odos vėžys. Remiantis turimais epidemiologinių tyrimų duomenimis buvo nustatyta nuo kumuliacinės dozės priklausoma HCTZ sąsaja su NOV (taip pat žr. 4.4 ir 5.1 skyrius).</w:t>
      </w:r>
    </w:p>
    <w:p w14:paraId="1D88725D" w14:textId="77777777" w:rsidR="009F0293" w:rsidRPr="009F0293" w:rsidRDefault="009F0293" w:rsidP="009F0293">
      <w:pPr>
        <w:rPr>
          <w:szCs w:val="22"/>
        </w:rPr>
      </w:pPr>
    </w:p>
    <w:p w14:paraId="4AF5F288" w14:textId="77777777" w:rsidR="00060893" w:rsidRPr="009F0293" w:rsidRDefault="00060893" w:rsidP="00060893">
      <w:pPr>
        <w:tabs>
          <w:tab w:val="left" w:pos="567"/>
        </w:tabs>
        <w:autoSpaceDE w:val="0"/>
        <w:autoSpaceDN w:val="0"/>
        <w:adjustRightInd w:val="0"/>
        <w:rPr>
          <w:szCs w:val="22"/>
          <w:u w:val="single"/>
          <w:lang w:eastAsia="es-ES"/>
        </w:rPr>
      </w:pPr>
      <w:r w:rsidRPr="009F0293">
        <w:rPr>
          <w:szCs w:val="22"/>
          <w:u w:val="single"/>
          <w:lang w:eastAsia="es-ES"/>
        </w:rPr>
        <w:t>Pranešimas apie įtariamas nepageidaujamas reakcijas</w:t>
      </w:r>
    </w:p>
    <w:p w14:paraId="48EA4545" w14:textId="562E6155" w:rsidR="00EB4B6A" w:rsidRPr="009F0293" w:rsidRDefault="00924C8F" w:rsidP="001C5206">
      <w:pPr>
        <w:tabs>
          <w:tab w:val="left" w:pos="567"/>
        </w:tabs>
        <w:autoSpaceDE w:val="0"/>
        <w:autoSpaceDN w:val="0"/>
        <w:adjustRightInd w:val="0"/>
        <w:spacing w:line="260" w:lineRule="exact"/>
        <w:rPr>
          <w:noProof/>
          <w:snapToGrid w:val="0"/>
          <w:szCs w:val="22"/>
        </w:rPr>
      </w:pPr>
      <w:r w:rsidRPr="009F0293">
        <w:rPr>
          <w:noProof/>
          <w:snapToGrid w:val="0"/>
          <w:szCs w:val="22"/>
        </w:rPr>
        <w:t>Svarbu pranešti apie įtariamas nepageidaujamas reakcijas, pastebėtas po vaistinio preparato registracijos, nes tai leidžia nuolat stebėti vaistinio preparato naudos ir rizikos santykį.</w:t>
      </w:r>
      <w:r w:rsidRPr="009F0293">
        <w:rPr>
          <w:snapToGrid w:val="0"/>
          <w:szCs w:val="22"/>
        </w:rPr>
        <w:t xml:space="preserve"> </w:t>
      </w:r>
      <w:bookmarkStart w:id="1" w:name="_Hlk174387194"/>
      <w:r w:rsidR="00D512EB" w:rsidRPr="00D512EB">
        <w:rPr>
          <w:szCs w:val="22"/>
        </w:rPr>
        <w:t xml:space="preserve">Sveikatos priežiūros ar farmacijos specialistai turi pranešti apie bet kokias įtariamas nepageidaujamas reakcijas, </w:t>
      </w:r>
      <w:r w:rsidR="00D512EB" w:rsidRPr="00D512EB">
        <w:rPr>
          <w:color w:val="000000"/>
          <w:szCs w:val="22"/>
        </w:rPr>
        <w:t xml:space="preserve">užpildę ir pateikę pranešimo formą Valstybinės vaistų kontrolės tarnybos prie Lietuvos Respublikos sveikatos apsaugos ministerijos tinklalapyje </w:t>
      </w:r>
      <w:r w:rsidR="00D512EB" w:rsidRPr="00D512EB">
        <w:rPr>
          <w:color w:val="0000EE"/>
          <w:szCs w:val="22"/>
          <w:u w:val="single"/>
        </w:rPr>
        <w:t>https://vvkt.lrv.lt/lt/</w:t>
      </w:r>
      <w:r w:rsidR="00D512EB" w:rsidRPr="00D512EB">
        <w:rPr>
          <w:color w:val="000000"/>
          <w:szCs w:val="22"/>
        </w:rPr>
        <w:t xml:space="preserve"> nurodytais būdais.</w:t>
      </w:r>
      <w:bookmarkEnd w:id="1"/>
    </w:p>
    <w:p w14:paraId="620E8F4A" w14:textId="77777777" w:rsidR="00060893" w:rsidRPr="009F0293" w:rsidRDefault="00060893" w:rsidP="00EB4B6A">
      <w:pPr>
        <w:tabs>
          <w:tab w:val="left" w:pos="567"/>
        </w:tabs>
        <w:autoSpaceDE w:val="0"/>
        <w:autoSpaceDN w:val="0"/>
        <w:adjustRightInd w:val="0"/>
        <w:spacing w:line="260" w:lineRule="exact"/>
        <w:jc w:val="both"/>
        <w:rPr>
          <w:b/>
          <w:szCs w:val="22"/>
        </w:rPr>
      </w:pPr>
    </w:p>
    <w:p w14:paraId="639BF4BB" w14:textId="77777777" w:rsidR="00AE6755" w:rsidRPr="009F0293" w:rsidRDefault="00AE6755" w:rsidP="001F2847">
      <w:pPr>
        <w:tabs>
          <w:tab w:val="left" w:pos="567"/>
        </w:tabs>
        <w:rPr>
          <w:b/>
          <w:szCs w:val="22"/>
        </w:rPr>
      </w:pPr>
      <w:r w:rsidRPr="009F0293">
        <w:rPr>
          <w:b/>
          <w:szCs w:val="22"/>
        </w:rPr>
        <w:t>4.9</w:t>
      </w:r>
      <w:r w:rsidRPr="009F0293">
        <w:rPr>
          <w:b/>
          <w:szCs w:val="22"/>
        </w:rPr>
        <w:tab/>
        <w:t>Perdozavimas</w:t>
      </w:r>
    </w:p>
    <w:p w14:paraId="71088485" w14:textId="77777777" w:rsidR="00AE6755" w:rsidRPr="009F0293" w:rsidRDefault="00AE6755" w:rsidP="001F2847">
      <w:pPr>
        <w:rPr>
          <w:szCs w:val="22"/>
        </w:rPr>
      </w:pPr>
    </w:p>
    <w:p w14:paraId="6ED0D34E" w14:textId="77777777" w:rsidR="00AE6755" w:rsidRPr="001B2FA0" w:rsidRDefault="00AE6755" w:rsidP="001F2847">
      <w:pPr>
        <w:rPr>
          <w:iCs/>
          <w:szCs w:val="22"/>
          <w:u w:val="single"/>
        </w:rPr>
      </w:pPr>
      <w:r w:rsidRPr="001B2FA0">
        <w:rPr>
          <w:iCs/>
          <w:szCs w:val="22"/>
          <w:u w:val="single"/>
        </w:rPr>
        <w:t>Simptomai</w:t>
      </w:r>
    </w:p>
    <w:p w14:paraId="5C47543D" w14:textId="6D2C3285" w:rsidR="00AE6755" w:rsidRPr="009F0293" w:rsidRDefault="00AE6755" w:rsidP="001F2847">
      <w:pPr>
        <w:rPr>
          <w:szCs w:val="22"/>
        </w:rPr>
      </w:pPr>
      <w:r w:rsidRPr="009F0293">
        <w:rPr>
          <w:szCs w:val="22"/>
        </w:rPr>
        <w:t>Atsižvelgiant į šio vaistinio preparato farmakologinį veikimą manoma, kad svarbiausieji kandesartano cileksetilo perdozavimo sukeliami reiškiniai turėtų būti simptominė hipotenzija ir</w:t>
      </w:r>
      <w:r w:rsidR="00301388" w:rsidRPr="009F0293">
        <w:rPr>
          <w:szCs w:val="22"/>
        </w:rPr>
        <w:t xml:space="preserve"> </w:t>
      </w:r>
      <w:r w:rsidR="00776748" w:rsidRPr="009F0293">
        <w:rPr>
          <w:szCs w:val="22"/>
        </w:rPr>
        <w:t>svaigulys</w:t>
      </w:r>
      <w:r w:rsidRPr="009F0293">
        <w:rPr>
          <w:szCs w:val="22"/>
        </w:rPr>
        <w:t>. Pavieniais aprašytais perdozavimo atvejais ne daugiau kaip 672</w:t>
      </w:r>
      <w:r w:rsidR="00C86F82" w:rsidRPr="009F0293">
        <w:rPr>
          <w:szCs w:val="22"/>
        </w:rPr>
        <w:t> mg</w:t>
      </w:r>
      <w:r w:rsidRPr="009F0293">
        <w:rPr>
          <w:szCs w:val="22"/>
        </w:rPr>
        <w:t xml:space="preserve"> kandesartano cileksetilo išgėrę pacientai pasveiko be komplikacijų.</w:t>
      </w:r>
    </w:p>
    <w:p w14:paraId="3777A092" w14:textId="77777777" w:rsidR="00AE6755" w:rsidRPr="009F0293" w:rsidRDefault="00AE6755" w:rsidP="00C358A6">
      <w:pPr>
        <w:rPr>
          <w:szCs w:val="22"/>
        </w:rPr>
      </w:pPr>
    </w:p>
    <w:p w14:paraId="0357D6E9" w14:textId="61207668" w:rsidR="00AE6755" w:rsidRPr="009F0293" w:rsidRDefault="00AE6755" w:rsidP="00C358A6">
      <w:pPr>
        <w:rPr>
          <w:szCs w:val="22"/>
        </w:rPr>
      </w:pPr>
      <w:r w:rsidRPr="009F0293">
        <w:rPr>
          <w:szCs w:val="22"/>
        </w:rPr>
        <w:t xml:space="preserve">Pagrindiniai hidrochlorotiazido perdozavimo sukelti reiškiniai yra staigus skysčių ir elektrolitų netekimas. Be to, gali pasireikšti tokie simptomai: </w:t>
      </w:r>
      <w:r w:rsidR="00EB3245" w:rsidRPr="009F0293">
        <w:rPr>
          <w:szCs w:val="22"/>
        </w:rPr>
        <w:t>svaigulys</w:t>
      </w:r>
      <w:r w:rsidRPr="009F0293">
        <w:rPr>
          <w:szCs w:val="22"/>
        </w:rPr>
        <w:t>, hipotenzija, troškulys, tachikardija, skilvelinės aritmijos, sedacija ar sąmonės pritemimas ir raumenų mėšlungis.</w:t>
      </w:r>
    </w:p>
    <w:p w14:paraId="5BDC6243" w14:textId="77777777" w:rsidR="00AE6755" w:rsidRPr="009F0293" w:rsidRDefault="00AE6755" w:rsidP="001F2847">
      <w:pPr>
        <w:rPr>
          <w:szCs w:val="22"/>
        </w:rPr>
      </w:pPr>
    </w:p>
    <w:p w14:paraId="30B29855" w14:textId="77777777" w:rsidR="00AE6755" w:rsidRPr="001B2FA0" w:rsidRDefault="00AE6755" w:rsidP="001F2847">
      <w:pPr>
        <w:rPr>
          <w:iCs/>
          <w:szCs w:val="22"/>
          <w:u w:val="single"/>
        </w:rPr>
      </w:pPr>
      <w:r w:rsidRPr="001B2FA0">
        <w:rPr>
          <w:iCs/>
          <w:szCs w:val="22"/>
          <w:u w:val="single"/>
        </w:rPr>
        <w:t>Gydymas</w:t>
      </w:r>
    </w:p>
    <w:p w14:paraId="4E8AAF3F" w14:textId="622E0E32" w:rsidR="00AE6755" w:rsidRPr="009F0293" w:rsidRDefault="00AE6755" w:rsidP="00C358A6">
      <w:pPr>
        <w:rPr>
          <w:szCs w:val="22"/>
        </w:rPr>
      </w:pPr>
      <w:r w:rsidRPr="009F0293">
        <w:rPr>
          <w:szCs w:val="22"/>
        </w:rPr>
        <w:t xml:space="preserve">Specialios informacijos apie </w:t>
      </w:r>
      <w:r w:rsidR="00000594" w:rsidRPr="009F0293">
        <w:rPr>
          <w:szCs w:val="22"/>
        </w:rPr>
        <w:t xml:space="preserve">kandesartano cileksetilo ir </w:t>
      </w:r>
      <w:r w:rsidR="00000594" w:rsidRPr="009F0293">
        <w:rPr>
          <w:rStyle w:val="Emfaz"/>
          <w:i w:val="0"/>
          <w:szCs w:val="22"/>
        </w:rPr>
        <w:t>hidrochlorotiazido</w:t>
      </w:r>
      <w:r w:rsidRPr="009F0293">
        <w:rPr>
          <w:szCs w:val="22"/>
        </w:rPr>
        <w:t xml:space="preserve"> perdozavimo gydymą nėra. Vis dėlto perdozavimo atveju rekomenduojama taikyti toliau išvardytas priemones.</w:t>
      </w:r>
    </w:p>
    <w:p w14:paraId="3971F0D5" w14:textId="77777777" w:rsidR="00AE6755" w:rsidRPr="009F0293" w:rsidRDefault="00AE6755" w:rsidP="001F2847">
      <w:pPr>
        <w:rPr>
          <w:iCs/>
          <w:szCs w:val="22"/>
        </w:rPr>
      </w:pPr>
    </w:p>
    <w:p w14:paraId="6330F943" w14:textId="3CFE6C2C" w:rsidR="00AE6755" w:rsidRPr="009F0293" w:rsidRDefault="00AE6755" w:rsidP="00B65C4B">
      <w:pPr>
        <w:rPr>
          <w:szCs w:val="22"/>
        </w:rPr>
      </w:pPr>
      <w:r w:rsidRPr="009F0293">
        <w:rPr>
          <w:szCs w:val="22"/>
        </w:rPr>
        <w:t>Jeigu yra indikacijų, reikia apgalvotai sužadinti vėmimą arba išplauti skrandį. Jeigu pasireišk</w:t>
      </w:r>
      <w:r w:rsidR="00EB3245" w:rsidRPr="009F0293">
        <w:rPr>
          <w:szCs w:val="22"/>
        </w:rPr>
        <w:t>ia</w:t>
      </w:r>
      <w:r w:rsidRPr="009F0293">
        <w:rPr>
          <w:szCs w:val="22"/>
        </w:rPr>
        <w:t xml:space="preserve"> simptomin</w:t>
      </w:r>
      <w:r w:rsidR="00EB3245" w:rsidRPr="009F0293">
        <w:rPr>
          <w:szCs w:val="22"/>
        </w:rPr>
        <w:t>ė</w:t>
      </w:r>
      <w:r w:rsidRPr="009F0293">
        <w:rPr>
          <w:szCs w:val="22"/>
        </w:rPr>
        <w:t xml:space="preserve"> hipotenzija, reikia gydyti simptominėmis priemonėmis ir stebėti gyvybės požymius. Būtina paguldyti pacientą ir pakelti jo kojas, jei to nepakanka – didinti plazmos tūrį infuzuojant, pvz., izotoninio natrio chlorido tirpalo. Reikia stebėti elektrolitų ir rūgščių pusiausvyrą </w:t>
      </w:r>
      <w:r w:rsidR="00EB3245" w:rsidRPr="009F0293">
        <w:rPr>
          <w:szCs w:val="22"/>
        </w:rPr>
        <w:t xml:space="preserve">kraujo </w:t>
      </w:r>
      <w:r w:rsidRPr="009F0293">
        <w:rPr>
          <w:szCs w:val="22"/>
        </w:rPr>
        <w:t>serume ir, jeigu reikia, koreguoti. Jeigu išvardytų priemonių nepakanka, galima skirti simpatomimetinių vaistinių preparatų.</w:t>
      </w:r>
    </w:p>
    <w:p w14:paraId="68D77008" w14:textId="77777777" w:rsidR="00AE6755" w:rsidRPr="009F0293" w:rsidRDefault="00AE6755" w:rsidP="00C358A6">
      <w:pPr>
        <w:rPr>
          <w:szCs w:val="22"/>
        </w:rPr>
      </w:pPr>
    </w:p>
    <w:p w14:paraId="2BF1C3F1" w14:textId="77777777" w:rsidR="00AE6755" w:rsidRPr="009F0293" w:rsidRDefault="00AE6755" w:rsidP="00C358A6">
      <w:pPr>
        <w:rPr>
          <w:szCs w:val="22"/>
        </w:rPr>
      </w:pPr>
      <w:r w:rsidRPr="009F0293">
        <w:rPr>
          <w:szCs w:val="22"/>
        </w:rPr>
        <w:t>Hemodializuojant kandesartanas nepašalinamas. Kokia dalis hidrochlorotiazido pašalinama iš organizmo hemodializės metu, nežinoma.</w:t>
      </w:r>
    </w:p>
    <w:p w14:paraId="74F6B0A4" w14:textId="77777777" w:rsidR="00AE6755" w:rsidRPr="009F0293" w:rsidRDefault="00AE6755" w:rsidP="001F2847">
      <w:pPr>
        <w:rPr>
          <w:szCs w:val="22"/>
        </w:rPr>
      </w:pPr>
    </w:p>
    <w:p w14:paraId="36E37758" w14:textId="77777777" w:rsidR="00AE6755" w:rsidRPr="009F0293" w:rsidRDefault="00AE6755" w:rsidP="001F2847">
      <w:pPr>
        <w:rPr>
          <w:szCs w:val="22"/>
        </w:rPr>
      </w:pPr>
    </w:p>
    <w:p w14:paraId="4F6636DF" w14:textId="77777777" w:rsidR="00AE6755" w:rsidRPr="009F0293" w:rsidRDefault="00AE6755" w:rsidP="004C78F6">
      <w:pPr>
        <w:keepNext/>
        <w:keepLines/>
        <w:tabs>
          <w:tab w:val="left" w:pos="567"/>
        </w:tabs>
        <w:rPr>
          <w:b/>
          <w:szCs w:val="22"/>
        </w:rPr>
      </w:pPr>
      <w:r w:rsidRPr="009F0293">
        <w:rPr>
          <w:b/>
          <w:szCs w:val="22"/>
        </w:rPr>
        <w:t>5.</w:t>
      </w:r>
      <w:r w:rsidRPr="009F0293">
        <w:rPr>
          <w:b/>
          <w:szCs w:val="22"/>
        </w:rPr>
        <w:tab/>
        <w:t>FARMAKOLOGINĖS SAVYBĖS</w:t>
      </w:r>
    </w:p>
    <w:p w14:paraId="1F53E2EE" w14:textId="77777777" w:rsidR="00AE6755" w:rsidRPr="009F0293" w:rsidRDefault="00AE6755" w:rsidP="004C78F6">
      <w:pPr>
        <w:keepNext/>
        <w:keepLines/>
        <w:rPr>
          <w:b/>
          <w:szCs w:val="22"/>
        </w:rPr>
      </w:pPr>
    </w:p>
    <w:p w14:paraId="703576BC" w14:textId="77777777" w:rsidR="00AE6755" w:rsidRPr="009F0293" w:rsidRDefault="00AE6755" w:rsidP="004C78F6">
      <w:pPr>
        <w:keepNext/>
        <w:keepLines/>
        <w:tabs>
          <w:tab w:val="left" w:pos="567"/>
        </w:tabs>
        <w:rPr>
          <w:b/>
          <w:szCs w:val="22"/>
        </w:rPr>
      </w:pPr>
      <w:r w:rsidRPr="009F0293">
        <w:rPr>
          <w:b/>
          <w:szCs w:val="22"/>
        </w:rPr>
        <w:t>5.1</w:t>
      </w:r>
      <w:r w:rsidRPr="009F0293">
        <w:rPr>
          <w:b/>
          <w:szCs w:val="22"/>
        </w:rPr>
        <w:tab/>
        <w:t>Farmakodinaminės savybės</w:t>
      </w:r>
    </w:p>
    <w:p w14:paraId="4E1905EE" w14:textId="77777777" w:rsidR="00AE6755" w:rsidRPr="009F0293" w:rsidRDefault="00AE6755" w:rsidP="001F2847">
      <w:pPr>
        <w:rPr>
          <w:szCs w:val="22"/>
        </w:rPr>
      </w:pPr>
    </w:p>
    <w:p w14:paraId="31054A36" w14:textId="47883BE1" w:rsidR="00AE6755" w:rsidRPr="009F0293" w:rsidRDefault="00AE6755" w:rsidP="002D5317">
      <w:pPr>
        <w:rPr>
          <w:szCs w:val="22"/>
        </w:rPr>
      </w:pPr>
      <w:r w:rsidRPr="009F0293">
        <w:rPr>
          <w:szCs w:val="22"/>
        </w:rPr>
        <w:t xml:space="preserve">Farmakoterapinė grupė – </w:t>
      </w:r>
      <w:r w:rsidR="00B513A8" w:rsidRPr="009F0293">
        <w:rPr>
          <w:szCs w:val="22"/>
        </w:rPr>
        <w:t>renino, angiotenzino sistemą veikiančios medžiagos, a</w:t>
      </w:r>
      <w:r w:rsidRPr="009F0293">
        <w:rPr>
          <w:szCs w:val="22"/>
        </w:rPr>
        <w:t>ngiotenzino II receptorių blokatoriai</w:t>
      </w:r>
      <w:r w:rsidR="008E67BD">
        <w:rPr>
          <w:szCs w:val="22"/>
        </w:rPr>
        <w:t xml:space="preserve"> (ARB)</w:t>
      </w:r>
      <w:r w:rsidRPr="009F0293">
        <w:rPr>
          <w:szCs w:val="22"/>
        </w:rPr>
        <w:t xml:space="preserve"> ir diuretikai, ATC kodas – C09DA06</w:t>
      </w:r>
      <w:r w:rsidR="00301388" w:rsidRPr="009F0293">
        <w:rPr>
          <w:szCs w:val="22"/>
        </w:rPr>
        <w:t>.</w:t>
      </w:r>
    </w:p>
    <w:p w14:paraId="32FCCFC9" w14:textId="77777777" w:rsidR="00AE6755" w:rsidRPr="009F0293" w:rsidRDefault="00AE6755" w:rsidP="001F2847">
      <w:pPr>
        <w:rPr>
          <w:szCs w:val="22"/>
        </w:rPr>
      </w:pPr>
    </w:p>
    <w:p w14:paraId="27BC2784" w14:textId="77777777" w:rsidR="00060893" w:rsidRPr="009F0293" w:rsidRDefault="00060893" w:rsidP="001F2847">
      <w:pPr>
        <w:rPr>
          <w:szCs w:val="22"/>
          <w:u w:val="single"/>
        </w:rPr>
      </w:pPr>
      <w:r w:rsidRPr="009F0293">
        <w:rPr>
          <w:szCs w:val="22"/>
          <w:u w:val="single"/>
        </w:rPr>
        <w:t>Veikimo mechanizmas</w:t>
      </w:r>
    </w:p>
    <w:p w14:paraId="7844B017" w14:textId="77777777" w:rsidR="00AE6755" w:rsidRPr="009F0293" w:rsidRDefault="00AE6755" w:rsidP="00F629B7">
      <w:pPr>
        <w:rPr>
          <w:szCs w:val="22"/>
        </w:rPr>
      </w:pPr>
      <w:r w:rsidRPr="009F0293">
        <w:rPr>
          <w:szCs w:val="22"/>
        </w:rPr>
        <w:t xml:space="preserve">Angiotenzinas-II yra svarbiausias kraujagysles veikiantis renino, angiotenzino ir aldosterono sistemos hormonas, turintis reikšmės hipertenzijos bei kitų širdies ir kraujagyslių sutrikimų patologinei fiziologijai. Be to, jis turi reikšmės veikiamų organų hipertrofijos ir pažeidimų patogenezei. Svarbiausieji fiziologiniai angiotenzino-II poveikiai (kraujagyslių susiaurėjimas, aldosterono </w:t>
      </w:r>
      <w:r w:rsidRPr="009F0293">
        <w:rPr>
          <w:szCs w:val="22"/>
        </w:rPr>
        <w:lastRenderedPageBreak/>
        <w:t>sekrecijos stimuliacija, druskos ir vandens homeostazės reguliavimas, ląstelių augimo stimuliavimas) perduodami per I tipo (AT 1) receptorius.</w:t>
      </w:r>
    </w:p>
    <w:p w14:paraId="7E246AF2" w14:textId="77777777" w:rsidR="00AE6755" w:rsidRPr="009F0293" w:rsidRDefault="00AE6755" w:rsidP="001F2847">
      <w:pPr>
        <w:rPr>
          <w:szCs w:val="22"/>
        </w:rPr>
      </w:pPr>
    </w:p>
    <w:p w14:paraId="5627CB36" w14:textId="77777777" w:rsidR="00060893" w:rsidRPr="009F0293" w:rsidRDefault="00060893" w:rsidP="001B2FA0">
      <w:pPr>
        <w:keepNext/>
        <w:rPr>
          <w:szCs w:val="22"/>
          <w:u w:val="single"/>
        </w:rPr>
      </w:pPr>
      <w:r w:rsidRPr="009F0293">
        <w:rPr>
          <w:szCs w:val="22"/>
          <w:u w:val="single"/>
        </w:rPr>
        <w:t>Farmakodinaminis poveikis</w:t>
      </w:r>
    </w:p>
    <w:p w14:paraId="4FABB5DA" w14:textId="77777777" w:rsidR="00AE6755" w:rsidRPr="009F0293" w:rsidRDefault="00AE6755" w:rsidP="00FB5FAB">
      <w:pPr>
        <w:rPr>
          <w:szCs w:val="22"/>
        </w:rPr>
      </w:pPr>
      <w:r w:rsidRPr="009F0293">
        <w:rPr>
          <w:szCs w:val="22"/>
        </w:rPr>
        <w:t>Kandesartan</w:t>
      </w:r>
      <w:r w:rsidR="0048304A" w:rsidRPr="009F0293">
        <w:rPr>
          <w:szCs w:val="22"/>
        </w:rPr>
        <w:t>o</w:t>
      </w:r>
      <w:r w:rsidRPr="009F0293">
        <w:rPr>
          <w:szCs w:val="22"/>
        </w:rPr>
        <w:t xml:space="preserve"> cileksetilas yra provaistas, kuris, vykstant esterio hidrolizei absorbcijos iš virškinimo trakto metu, greitai paverčiamas veikliąja medžiaga – kandesartanu. Kandesartanas yra AIIRB, selektyvus AT 1 receptoriams. Jis stipriai prisijungia prie šių receptorių, lėtai nuo jų atsipalaiduoja ir neturi agonistinio aktyvumo.</w:t>
      </w:r>
    </w:p>
    <w:p w14:paraId="096C40DE" w14:textId="77777777" w:rsidR="00AE6755" w:rsidRPr="009F0293" w:rsidRDefault="00AE6755" w:rsidP="001F2847">
      <w:pPr>
        <w:rPr>
          <w:szCs w:val="22"/>
        </w:rPr>
      </w:pPr>
    </w:p>
    <w:p w14:paraId="190141DE" w14:textId="77777777" w:rsidR="00AE6755" w:rsidRPr="009F0293" w:rsidRDefault="00AE6755" w:rsidP="00547B13">
      <w:pPr>
        <w:rPr>
          <w:szCs w:val="22"/>
        </w:rPr>
      </w:pPr>
      <w:r w:rsidRPr="009F0293">
        <w:rPr>
          <w:szCs w:val="22"/>
        </w:rPr>
        <w:t>Kandesartanas neveikia AKF ar kitų fermentų sistemų, kurios įprastai siejamos su AKF inhibitorių vartojimu. Kandesartanas neturi įtakos kininų suirimui ar kitų medžiagų, pavyzdžiui, substancijos P, metabolizmui, taigi nesitikima, kad AIIRB būtų susiję su kosuliu. Kontroliuojamų klinikinių tyrimų metu kandesartan</w:t>
      </w:r>
      <w:r w:rsidR="0048304A" w:rsidRPr="009F0293">
        <w:rPr>
          <w:szCs w:val="22"/>
        </w:rPr>
        <w:t>o</w:t>
      </w:r>
      <w:r w:rsidRPr="009F0293">
        <w:rPr>
          <w:szCs w:val="22"/>
        </w:rPr>
        <w:t xml:space="preserve"> cileksetilą vartoję pacientai pradėjo kosėti rečiau negu vartoję AKF inhibitorius. Kandesartanas nesijungia prie kitų širdies ir kraujagyslių sistemos veiklos reguliacijai svarbių hormonų receptorių ar jonų kanalų ir jų neblokuoja. Dėl angiotenzinui-II jautrių receptorių (AT 1) blokavimo priklausomai nuo dozės padidėja renino, angiotenzino-I ir angiotenzino-II bei sumažėja aldosterono koncentracija </w:t>
      </w:r>
      <w:r w:rsidR="00CF7BE6" w:rsidRPr="009F0293">
        <w:rPr>
          <w:szCs w:val="22"/>
        </w:rPr>
        <w:t xml:space="preserve">kraujo </w:t>
      </w:r>
      <w:r w:rsidRPr="009F0293">
        <w:rPr>
          <w:szCs w:val="22"/>
        </w:rPr>
        <w:t xml:space="preserve">plazmoje. </w:t>
      </w:r>
    </w:p>
    <w:p w14:paraId="6048A47C" w14:textId="77777777" w:rsidR="00AE6755" w:rsidRPr="009F0293" w:rsidRDefault="00AE6755" w:rsidP="001F2847">
      <w:pPr>
        <w:rPr>
          <w:szCs w:val="22"/>
        </w:rPr>
      </w:pPr>
    </w:p>
    <w:p w14:paraId="5DDB03C9" w14:textId="77777777" w:rsidR="00060893" w:rsidRPr="009F0293" w:rsidRDefault="00060893" w:rsidP="00547B13">
      <w:pPr>
        <w:rPr>
          <w:szCs w:val="22"/>
          <w:u w:val="single"/>
        </w:rPr>
      </w:pPr>
      <w:r w:rsidRPr="009F0293">
        <w:rPr>
          <w:szCs w:val="22"/>
          <w:u w:val="single"/>
        </w:rPr>
        <w:t>Klinikinis veiksmingumas ir saugumas</w:t>
      </w:r>
    </w:p>
    <w:p w14:paraId="362D0E96" w14:textId="1EC891B6" w:rsidR="00AE6755" w:rsidRPr="009F0293" w:rsidRDefault="00AE6755" w:rsidP="00547B13">
      <w:pPr>
        <w:rPr>
          <w:szCs w:val="22"/>
        </w:rPr>
      </w:pPr>
      <w:r w:rsidRPr="009F0293">
        <w:rPr>
          <w:szCs w:val="22"/>
        </w:rPr>
        <w:t>Kandesartano cileksetilo, vartojamo 8</w:t>
      </w:r>
      <w:r w:rsidR="00B40AB2">
        <w:rPr>
          <w:szCs w:val="22"/>
        </w:rPr>
        <w:t>–</w:t>
      </w:r>
      <w:r w:rsidRPr="009F0293">
        <w:rPr>
          <w:szCs w:val="22"/>
        </w:rPr>
        <w:t>16</w:t>
      </w:r>
      <w:r w:rsidR="00C86F82" w:rsidRPr="009F0293">
        <w:rPr>
          <w:szCs w:val="22"/>
        </w:rPr>
        <w:t> mg</w:t>
      </w:r>
      <w:r w:rsidRPr="009F0293">
        <w:rPr>
          <w:szCs w:val="22"/>
        </w:rPr>
        <w:t xml:space="preserve"> dozėmis (vidutinė dozė – 12</w:t>
      </w:r>
      <w:r w:rsidR="00C86F82" w:rsidRPr="009F0293">
        <w:rPr>
          <w:szCs w:val="22"/>
        </w:rPr>
        <w:t> mg</w:t>
      </w:r>
      <w:r w:rsidRPr="009F0293">
        <w:rPr>
          <w:szCs w:val="22"/>
        </w:rPr>
        <w:t>) vieną kartą per parą, poveikis sergamumui kardiovaskulinėmis ligomis ir mirštamumui nuo jų tirtas atliekant atsitiktinės atrankos klinikinį tyrimą SCOPE (</w:t>
      </w:r>
      <w:r w:rsidR="00CF7BE6" w:rsidRPr="009F0293">
        <w:rPr>
          <w:szCs w:val="22"/>
        </w:rPr>
        <w:t xml:space="preserve">angl. </w:t>
      </w:r>
      <w:r w:rsidRPr="009F0293">
        <w:rPr>
          <w:i/>
          <w:szCs w:val="22"/>
        </w:rPr>
        <w:t>Study on COgnition and Prognosis in the Elderly</w:t>
      </w:r>
      <w:r w:rsidRPr="009F0293">
        <w:rPr>
          <w:szCs w:val="22"/>
        </w:rPr>
        <w:t xml:space="preserve"> – pažintinės funkcijos ir prognozės senyvame amžiuje tyrimas). Jame dalyvavę 4937 senyvi pacientai (amžius – 70</w:t>
      </w:r>
      <w:r w:rsidR="00B40AB2">
        <w:rPr>
          <w:szCs w:val="22"/>
        </w:rPr>
        <w:t>–</w:t>
      </w:r>
      <w:r w:rsidRPr="009F0293">
        <w:rPr>
          <w:szCs w:val="22"/>
        </w:rPr>
        <w:t>89 metų, 21</w:t>
      </w:r>
      <w:r w:rsidR="00B40AB2">
        <w:rPr>
          <w:szCs w:val="22"/>
        </w:rPr>
        <w:t> </w:t>
      </w:r>
      <w:r w:rsidRPr="009F0293">
        <w:rPr>
          <w:szCs w:val="22"/>
        </w:rPr>
        <w:t>% buvo 80 metų ir vyresni), kurie sirgo lengva ar vidutinio sunkumo hipertenzija, buvo stebimi vidutiniškai 3,7 metų. Pacientai vartojo kandesartaną arba placebą ir (pagal poreikį) kitų antihipertenzinių vaist</w:t>
      </w:r>
      <w:r w:rsidR="008825C3" w:rsidRPr="009F0293">
        <w:rPr>
          <w:szCs w:val="22"/>
        </w:rPr>
        <w:t>inių preparat</w:t>
      </w:r>
      <w:r w:rsidRPr="009F0293">
        <w:rPr>
          <w:szCs w:val="22"/>
        </w:rPr>
        <w:t>ų. Kandesartano grupės pacientų kraujospūdis sumažėjo nuo 166/90 mmHg iki 145/80 mmHg, kontrolinės grupės – nuo 167/90 mmHg iki 149/82 mmHg. Statistiškai reikšmingos pagrindinės vertinamosios baigties (angl. primary endpoint) – didžiųjų kardiovaskulinių reiškinių (kardiovaskulinių mirčių, nemirtinų insultų ir nemirtinų miokardo infarktų) – dažnio skirtumo nenustatyta. Kandesartano grupėje 1</w:t>
      </w:r>
      <w:r w:rsidR="00B40AB2">
        <w:rPr>
          <w:szCs w:val="22"/>
        </w:rPr>
        <w:t> </w:t>
      </w:r>
      <w:r w:rsidRPr="009F0293">
        <w:rPr>
          <w:szCs w:val="22"/>
        </w:rPr>
        <w:t>000 pacientų – metų tokių reiškinių buvo 26,7, kontrolinėje – 30 (santykinė rizika – 0,89, 95</w:t>
      </w:r>
      <w:r w:rsidR="00B40AB2">
        <w:rPr>
          <w:szCs w:val="22"/>
        </w:rPr>
        <w:t> </w:t>
      </w:r>
      <w:r w:rsidRPr="009F0293">
        <w:rPr>
          <w:szCs w:val="22"/>
        </w:rPr>
        <w:t>% PI</w:t>
      </w:r>
      <w:r w:rsidR="00B40AB2">
        <w:rPr>
          <w:szCs w:val="22"/>
        </w:rPr>
        <w:t>:</w:t>
      </w:r>
      <w:r w:rsidRPr="009F0293">
        <w:rPr>
          <w:szCs w:val="22"/>
        </w:rPr>
        <w:t xml:space="preserve"> 0,75</w:t>
      </w:r>
      <w:r w:rsidR="00B40AB2">
        <w:rPr>
          <w:szCs w:val="22"/>
        </w:rPr>
        <w:t>–</w:t>
      </w:r>
      <w:r w:rsidRPr="009F0293">
        <w:rPr>
          <w:szCs w:val="22"/>
        </w:rPr>
        <w:t>1,06, p = 0,19).</w:t>
      </w:r>
    </w:p>
    <w:p w14:paraId="79955ECA" w14:textId="77777777" w:rsidR="00AE6755" w:rsidRPr="009F0293" w:rsidRDefault="00AE6755" w:rsidP="001F2847">
      <w:pPr>
        <w:rPr>
          <w:szCs w:val="22"/>
        </w:rPr>
      </w:pPr>
    </w:p>
    <w:p w14:paraId="72626477" w14:textId="77777777" w:rsidR="00AE6755" w:rsidRPr="009F0293" w:rsidRDefault="00AE6755" w:rsidP="00547B13">
      <w:pPr>
        <w:rPr>
          <w:szCs w:val="22"/>
        </w:rPr>
      </w:pPr>
      <w:r w:rsidRPr="009F0293">
        <w:rPr>
          <w:szCs w:val="22"/>
        </w:rPr>
        <w:t>Hidrochlorotiazidas slopina aktyvią natrio reabsorbciją daugiausiai distaliniuose inkstų kanalėliuose ir skatina natrio, chloro ir vandens šalinimą. Kalio ir magnio šalinimo per inkstus padidėjimas priklauso nuo dozės, o kalcio reabsorbcija padidėja. Hidrochlorotiazidas mažina plazmos tūrį ir ne ląstelėse esančio skysčio kiekį, mažina per minutę iš širdies išstumiamo kraujo kiekį ir kraujospūdį. Taikant ilgalaikį gydymą, prie kraujospūdžio sumažėjimo prisideda periferinio pasipriešinimo sumažėjimas.</w:t>
      </w:r>
    </w:p>
    <w:p w14:paraId="43B51773" w14:textId="77777777" w:rsidR="00AE6755" w:rsidRPr="009F0293" w:rsidRDefault="00AE6755" w:rsidP="001F2847">
      <w:pPr>
        <w:rPr>
          <w:szCs w:val="22"/>
        </w:rPr>
      </w:pPr>
    </w:p>
    <w:p w14:paraId="1551781D" w14:textId="77777777" w:rsidR="00AE6755" w:rsidRPr="009F0293" w:rsidRDefault="00AE6755" w:rsidP="00547B13">
      <w:pPr>
        <w:rPr>
          <w:szCs w:val="22"/>
        </w:rPr>
      </w:pPr>
      <w:r w:rsidRPr="009F0293">
        <w:rPr>
          <w:szCs w:val="22"/>
        </w:rPr>
        <w:t>Dideli klinikiniai tyrimai parodė, kad ilgalaikis gydymas hidrochlorotiazidu mažina kardiovaskulinio sergamumo ir mirtingumo riziką.</w:t>
      </w:r>
    </w:p>
    <w:p w14:paraId="7179A223" w14:textId="77777777" w:rsidR="00AE6755" w:rsidRPr="009F0293" w:rsidRDefault="00AE6755" w:rsidP="00547B13">
      <w:pPr>
        <w:rPr>
          <w:szCs w:val="22"/>
        </w:rPr>
      </w:pPr>
    </w:p>
    <w:p w14:paraId="624DFBFE" w14:textId="77777777" w:rsidR="00AE6755" w:rsidRPr="009F0293" w:rsidRDefault="00AE6755" w:rsidP="00547B13">
      <w:pPr>
        <w:rPr>
          <w:szCs w:val="22"/>
        </w:rPr>
      </w:pPr>
      <w:r w:rsidRPr="009F0293">
        <w:rPr>
          <w:szCs w:val="22"/>
        </w:rPr>
        <w:t>Kandesartanas ir hidrochlorotiazidas sukelia adityvų antihipertenzinį poveikį.</w:t>
      </w:r>
    </w:p>
    <w:p w14:paraId="64C93309" w14:textId="77777777" w:rsidR="00AE6755" w:rsidRPr="009F0293" w:rsidRDefault="00AE6755" w:rsidP="001F2847">
      <w:pPr>
        <w:rPr>
          <w:szCs w:val="22"/>
        </w:rPr>
      </w:pPr>
    </w:p>
    <w:p w14:paraId="15B7D277" w14:textId="66C70C46" w:rsidR="00AE6755" w:rsidRPr="009F0293" w:rsidRDefault="00AE6755" w:rsidP="00A1727B">
      <w:pPr>
        <w:rPr>
          <w:szCs w:val="22"/>
        </w:rPr>
      </w:pPr>
      <w:r w:rsidRPr="009F0293">
        <w:rPr>
          <w:szCs w:val="22"/>
        </w:rPr>
        <w:t>Hipertenzija sergantiems pacientams kandesartan</w:t>
      </w:r>
      <w:r w:rsidR="0048304A" w:rsidRPr="009F0293">
        <w:rPr>
          <w:szCs w:val="22"/>
        </w:rPr>
        <w:t>o</w:t>
      </w:r>
      <w:r w:rsidRPr="009F0293">
        <w:rPr>
          <w:szCs w:val="22"/>
        </w:rPr>
        <w:t xml:space="preserve"> cileksetilas/ hidrochlorotiazidas sukelia nuo dozės priklausomą ilgalaikį arterinio kraujospūdžio sumažėjimą be refleksinio širdies susitraukimų padažnėjimo. Nėra duomenų, kurie rodytų, kad pirma dozė sukeltų sunkią ar pernelyg ryškią hipotenziją, arba kad nutraukus šio vaistinio preparato vartojimą pasireikštų rikošetinis poveikis. Išgėrus vieną kandesartano cileksetilo/ hidrochlorotiazido dozę, antihipertenzinis poveikis paprastai pasireiškia per 2 val. Nepertraukiamai vartojant bet kokią šio vaistinio preparato dozę, didžiausia kraujospūdį mažinančio poveikio dalis pasireiškia per 4 savaites; gydant ilgai kraujospūdis išlieka sumažėjęs. Vartojant kandesartano cileksetilo/ hidrochlorotiazido vieną kartą per parą, kraujospūdis veiksmingai ir tolygiai sumažėjęs išlieka 24 valandas, o skirtumas tarp stipriausio ir silpniausio poveikio šio dozavimo intervalo metu būna mažas. Dvigubai aklu būdu atlikto atsitiktinių imčių tyrimo duomenimis, vieną kartą per parą vartojamas kandesartan</w:t>
      </w:r>
      <w:r w:rsidR="0048304A" w:rsidRPr="009F0293">
        <w:rPr>
          <w:szCs w:val="22"/>
        </w:rPr>
        <w:t>o</w:t>
      </w:r>
      <w:r w:rsidRPr="009F0293">
        <w:rPr>
          <w:szCs w:val="22"/>
        </w:rPr>
        <w:t xml:space="preserve"> cileksetilas/ hidrochlorotiazidas 16</w:t>
      </w:r>
      <w:r w:rsidR="00C86F82" w:rsidRPr="009F0293">
        <w:rPr>
          <w:szCs w:val="22"/>
        </w:rPr>
        <w:t> mg</w:t>
      </w:r>
      <w:r w:rsidRPr="009F0293">
        <w:rPr>
          <w:szCs w:val="22"/>
        </w:rPr>
        <w:t>/12,5</w:t>
      </w:r>
      <w:r w:rsidR="00C86F82" w:rsidRPr="009F0293">
        <w:rPr>
          <w:szCs w:val="22"/>
        </w:rPr>
        <w:t> mg</w:t>
      </w:r>
      <w:r w:rsidRPr="009F0293">
        <w:rPr>
          <w:szCs w:val="22"/>
        </w:rPr>
        <w:t xml:space="preserve"> kraujospūdį sumažino reikšmingai labiau ir kontroliavo žymiai didesnės dalies pacientų kraujospūdį nei vieną kartą per parą vartojamas 50</w:t>
      </w:r>
      <w:r w:rsidR="00C86F82" w:rsidRPr="009F0293">
        <w:rPr>
          <w:szCs w:val="22"/>
        </w:rPr>
        <w:t> mg</w:t>
      </w:r>
      <w:r w:rsidRPr="009F0293">
        <w:rPr>
          <w:szCs w:val="22"/>
        </w:rPr>
        <w:t>/12,5</w:t>
      </w:r>
      <w:r w:rsidR="00C86F82" w:rsidRPr="009F0293">
        <w:rPr>
          <w:szCs w:val="22"/>
        </w:rPr>
        <w:t> mg</w:t>
      </w:r>
      <w:r w:rsidRPr="009F0293">
        <w:rPr>
          <w:szCs w:val="22"/>
        </w:rPr>
        <w:t xml:space="preserve"> losartano/hidrochlorotiazido derinys.</w:t>
      </w:r>
    </w:p>
    <w:p w14:paraId="4811CBD0" w14:textId="77777777" w:rsidR="00AE6755" w:rsidRPr="009F0293" w:rsidRDefault="00AE6755" w:rsidP="00E6539F">
      <w:pPr>
        <w:pStyle w:val="Style7"/>
        <w:widowControl/>
        <w:spacing w:line="240" w:lineRule="auto"/>
        <w:rPr>
          <w:sz w:val="22"/>
          <w:szCs w:val="22"/>
          <w:highlight w:val="yellow"/>
          <w:lang w:val="lt-LT"/>
        </w:rPr>
      </w:pPr>
    </w:p>
    <w:p w14:paraId="6DC4C752" w14:textId="77777777" w:rsidR="00AE6755" w:rsidRPr="009F0293" w:rsidRDefault="00AE6755" w:rsidP="00A1727B">
      <w:pPr>
        <w:rPr>
          <w:szCs w:val="22"/>
        </w:rPr>
      </w:pPr>
      <w:r w:rsidRPr="009F0293">
        <w:rPr>
          <w:szCs w:val="22"/>
        </w:rPr>
        <w:t>Dvigubai aklu būdu atlikto atsitiktinių imčių tyrimo duomenimis, nepageidaujami reiškiniai, ypač kosulys, pasireiškė rečiau gydant kandesartan</w:t>
      </w:r>
      <w:r w:rsidR="0048304A" w:rsidRPr="009F0293">
        <w:rPr>
          <w:szCs w:val="22"/>
        </w:rPr>
        <w:t>o</w:t>
      </w:r>
      <w:r w:rsidRPr="009F0293">
        <w:rPr>
          <w:szCs w:val="22"/>
        </w:rPr>
        <w:t xml:space="preserve"> cileksetilu/ hidrochlorotiazidu nei gydymo AKF inhibitoriaus derinio su hidrochlorotiazidu metu.</w:t>
      </w:r>
    </w:p>
    <w:p w14:paraId="311F900C" w14:textId="77777777" w:rsidR="00AE6755" w:rsidRPr="009F0293" w:rsidRDefault="00AE6755" w:rsidP="00E6539F">
      <w:pPr>
        <w:pStyle w:val="Style7"/>
        <w:widowControl/>
        <w:spacing w:line="240" w:lineRule="auto"/>
        <w:rPr>
          <w:sz w:val="22"/>
          <w:szCs w:val="22"/>
          <w:highlight w:val="yellow"/>
          <w:lang w:val="lt-LT"/>
        </w:rPr>
      </w:pPr>
    </w:p>
    <w:p w14:paraId="22E5EE8F" w14:textId="6DAA7584" w:rsidR="00AE6755" w:rsidRPr="009F0293" w:rsidRDefault="00AE6755" w:rsidP="00A1727B">
      <w:pPr>
        <w:rPr>
          <w:szCs w:val="22"/>
        </w:rPr>
      </w:pPr>
      <w:r w:rsidRPr="009F0293">
        <w:rPr>
          <w:szCs w:val="22"/>
        </w:rPr>
        <w:t>Dviejų klinikinių (dvigubai aklu būdu atliktų atsitiktinių imčių placebu kontroliuojamųjų paralelinių grupių) tyrimų, kuriuose į grupes aklu būdu buvo suskirstyta atitinkamai 275 ir 1 524 pacientai, duomenimis, 32</w:t>
      </w:r>
      <w:r w:rsidR="00C86F82" w:rsidRPr="009F0293">
        <w:rPr>
          <w:szCs w:val="22"/>
        </w:rPr>
        <w:t> mg</w:t>
      </w:r>
      <w:r w:rsidRPr="009F0293">
        <w:rPr>
          <w:szCs w:val="22"/>
        </w:rPr>
        <w:t>/12,5</w:t>
      </w:r>
      <w:r w:rsidR="00C86F82" w:rsidRPr="009F0293">
        <w:rPr>
          <w:szCs w:val="22"/>
        </w:rPr>
        <w:t> mg</w:t>
      </w:r>
      <w:r w:rsidRPr="009F0293">
        <w:rPr>
          <w:szCs w:val="22"/>
        </w:rPr>
        <w:t xml:space="preserve"> ir 32</w:t>
      </w:r>
      <w:r w:rsidR="00C86F82" w:rsidRPr="009F0293">
        <w:rPr>
          <w:szCs w:val="22"/>
        </w:rPr>
        <w:t> mg</w:t>
      </w:r>
      <w:r w:rsidRPr="009F0293">
        <w:rPr>
          <w:szCs w:val="22"/>
        </w:rPr>
        <w:t>/25</w:t>
      </w:r>
      <w:r w:rsidR="00C86F82" w:rsidRPr="009F0293">
        <w:rPr>
          <w:szCs w:val="22"/>
        </w:rPr>
        <w:t> mg</w:t>
      </w:r>
      <w:r w:rsidRPr="009F0293">
        <w:rPr>
          <w:szCs w:val="22"/>
        </w:rPr>
        <w:t xml:space="preserve"> kandesartano cileksetilo/hidrochlorotiazido dozių deriniai sumažino kraujospūdį atitinkamai 22/15 mmHg ir 21/14 mmHg, ir buvo reikšmingai veiksmingesni, palyginti su atskirai vartojamomis veikliosiomis medžiagomis.</w:t>
      </w:r>
    </w:p>
    <w:p w14:paraId="69FDA163" w14:textId="77777777" w:rsidR="00AE6755" w:rsidRPr="009F0293" w:rsidRDefault="00AE6755" w:rsidP="00E6539F">
      <w:pPr>
        <w:pStyle w:val="Style7"/>
        <w:widowControl/>
        <w:spacing w:line="240" w:lineRule="auto"/>
        <w:rPr>
          <w:sz w:val="22"/>
          <w:szCs w:val="22"/>
          <w:highlight w:val="yellow"/>
          <w:lang w:val="lt-LT"/>
        </w:rPr>
      </w:pPr>
    </w:p>
    <w:p w14:paraId="42255112" w14:textId="702A460C" w:rsidR="00AE6755" w:rsidRPr="009F0293" w:rsidRDefault="00AE6755" w:rsidP="00A1727B">
      <w:pPr>
        <w:tabs>
          <w:tab w:val="left" w:pos="567"/>
        </w:tabs>
        <w:spacing w:line="260" w:lineRule="exact"/>
        <w:rPr>
          <w:szCs w:val="22"/>
        </w:rPr>
      </w:pPr>
      <w:r w:rsidRPr="009F0293">
        <w:rPr>
          <w:szCs w:val="22"/>
        </w:rPr>
        <w:t>Dvigubai aklu būdu atliktų atsitiktinių imčių placebu kontroliuojamųjų paralelinių grupių klinikinių tyrimų, kuriuose į grupes aklu būdu buvo suskirstyta 1 975 pacientai, kurių kraujospūdžio optimaliai nesukontroliavo vieną kartą per parą vartojama 32</w:t>
      </w:r>
      <w:r w:rsidR="00C86F82" w:rsidRPr="009F0293">
        <w:rPr>
          <w:szCs w:val="22"/>
        </w:rPr>
        <w:t> mg</w:t>
      </w:r>
      <w:r w:rsidRPr="009F0293">
        <w:rPr>
          <w:szCs w:val="22"/>
        </w:rPr>
        <w:t xml:space="preserve"> kandesartano cileksetilo dozė, duomenimis, papildomai paskyrus 12,5</w:t>
      </w:r>
      <w:r w:rsidR="00C86F82" w:rsidRPr="009F0293">
        <w:rPr>
          <w:szCs w:val="22"/>
        </w:rPr>
        <w:t> mg</w:t>
      </w:r>
      <w:r w:rsidRPr="009F0293">
        <w:rPr>
          <w:szCs w:val="22"/>
        </w:rPr>
        <w:t xml:space="preserve"> ar 25</w:t>
      </w:r>
      <w:r w:rsidR="00C86F82" w:rsidRPr="009F0293">
        <w:rPr>
          <w:szCs w:val="22"/>
        </w:rPr>
        <w:t> mg</w:t>
      </w:r>
      <w:r w:rsidRPr="009F0293">
        <w:rPr>
          <w:szCs w:val="22"/>
        </w:rPr>
        <w:t xml:space="preserve"> hidrochlorotiazido, kraujospūdis sumažėjo papildomai. 32</w:t>
      </w:r>
      <w:r w:rsidR="00C86F82" w:rsidRPr="009F0293">
        <w:rPr>
          <w:szCs w:val="22"/>
        </w:rPr>
        <w:t> mg</w:t>
      </w:r>
      <w:r w:rsidRPr="009F0293">
        <w:rPr>
          <w:szCs w:val="22"/>
        </w:rPr>
        <w:t>/25</w:t>
      </w:r>
      <w:r w:rsidR="00C86F82" w:rsidRPr="009F0293">
        <w:rPr>
          <w:szCs w:val="22"/>
        </w:rPr>
        <w:t> mg</w:t>
      </w:r>
      <w:r w:rsidRPr="009F0293">
        <w:rPr>
          <w:szCs w:val="22"/>
        </w:rPr>
        <w:t xml:space="preserve"> kandesartano cileksetilo/hidrochlorotiazido dozių derinys buvo reikšmingai veiksmingesnis už 32</w:t>
      </w:r>
      <w:r w:rsidR="00C86F82" w:rsidRPr="009F0293">
        <w:rPr>
          <w:szCs w:val="22"/>
        </w:rPr>
        <w:t> mg</w:t>
      </w:r>
      <w:r w:rsidRPr="009F0293">
        <w:rPr>
          <w:szCs w:val="22"/>
        </w:rPr>
        <w:t>/12,5</w:t>
      </w:r>
      <w:r w:rsidR="00C86F82" w:rsidRPr="009F0293">
        <w:rPr>
          <w:szCs w:val="22"/>
        </w:rPr>
        <w:t> mg</w:t>
      </w:r>
      <w:r w:rsidRPr="009F0293">
        <w:rPr>
          <w:szCs w:val="22"/>
        </w:rPr>
        <w:t xml:space="preserve"> dozių derinį, kraujospūdis iš viso sumažėjo atitinkamai 16/10 mmHg ir 13/9 mmHg.</w:t>
      </w:r>
    </w:p>
    <w:p w14:paraId="2CA3EDEA" w14:textId="77777777" w:rsidR="00060893" w:rsidRPr="009F0293" w:rsidRDefault="00060893" w:rsidP="00D825C5">
      <w:pPr>
        <w:tabs>
          <w:tab w:val="left" w:pos="567"/>
        </w:tabs>
        <w:spacing w:line="260" w:lineRule="exact"/>
        <w:rPr>
          <w:szCs w:val="22"/>
        </w:rPr>
      </w:pPr>
    </w:p>
    <w:p w14:paraId="27EB03B3" w14:textId="77777777" w:rsidR="00060893" w:rsidRPr="009F0293" w:rsidRDefault="00060893" w:rsidP="00060893">
      <w:pPr>
        <w:tabs>
          <w:tab w:val="left" w:pos="567"/>
        </w:tabs>
        <w:spacing w:line="260" w:lineRule="exact"/>
        <w:rPr>
          <w:szCs w:val="22"/>
        </w:rPr>
      </w:pPr>
      <w:r w:rsidRPr="009F0293">
        <w:rPr>
          <w:szCs w:val="22"/>
        </w:rPr>
        <w:t xml:space="preserve">Dviem dideliais atsitiktinės atrankos, kontroliuojamais tyrimais (ONTARGET (angl. </w:t>
      </w:r>
      <w:r w:rsidRPr="009F0293">
        <w:rPr>
          <w:i/>
          <w:szCs w:val="22"/>
        </w:rPr>
        <w:t>„ONgoing Telmisartan Alone and in combination with Ramipril Global Endpoint Trial“</w:t>
      </w:r>
      <w:r w:rsidRPr="009F0293">
        <w:rPr>
          <w:szCs w:val="22"/>
        </w:rPr>
        <w:t xml:space="preserve">) ir VA NEPHRON-D (angl. </w:t>
      </w:r>
      <w:r w:rsidRPr="009F0293">
        <w:rPr>
          <w:i/>
          <w:szCs w:val="22"/>
        </w:rPr>
        <w:t>„The Veterans Affairs Nephropathy in Diabetes“</w:t>
      </w:r>
      <w:r w:rsidRPr="009F0293">
        <w:rPr>
          <w:szCs w:val="22"/>
        </w:rPr>
        <w:t>)) buvo ištirtas AKF inhibitoriaus ir angiotenzino II receptorių blokatoriaus derinio vartojimas.</w:t>
      </w:r>
    </w:p>
    <w:p w14:paraId="7DF9ADC2" w14:textId="77777777" w:rsidR="00060893" w:rsidRPr="009F0293" w:rsidRDefault="00060893" w:rsidP="00060893">
      <w:pPr>
        <w:tabs>
          <w:tab w:val="left" w:pos="567"/>
        </w:tabs>
        <w:spacing w:line="260" w:lineRule="exact"/>
        <w:rPr>
          <w:szCs w:val="22"/>
        </w:rPr>
      </w:pPr>
      <w:r w:rsidRPr="009F0293">
        <w:rPr>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E8BF378" w14:textId="77777777" w:rsidR="00060893" w:rsidRPr="009F0293" w:rsidRDefault="00060893" w:rsidP="00060893">
      <w:pPr>
        <w:tabs>
          <w:tab w:val="left" w:pos="567"/>
        </w:tabs>
        <w:spacing w:line="260" w:lineRule="exact"/>
        <w:rPr>
          <w:szCs w:val="22"/>
        </w:rPr>
      </w:pPr>
      <w:r w:rsidRPr="009F0293">
        <w:rPr>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A083683" w14:textId="77777777" w:rsidR="00060893" w:rsidRPr="009F0293" w:rsidRDefault="00060893" w:rsidP="00060893">
      <w:pPr>
        <w:tabs>
          <w:tab w:val="left" w:pos="567"/>
        </w:tabs>
        <w:spacing w:line="260" w:lineRule="exact"/>
        <w:rPr>
          <w:szCs w:val="22"/>
        </w:rPr>
      </w:pPr>
      <w:r w:rsidRPr="009F0293">
        <w:rPr>
          <w:szCs w:val="22"/>
        </w:rPr>
        <w:t>Todėl pacientams, sergantiems diabetine nefropatija, negalima kartu vartoti AKF inhibitorių ir angiotenzino II receptorių blokatorių.</w:t>
      </w:r>
    </w:p>
    <w:p w14:paraId="781FF310" w14:textId="078895DA" w:rsidR="00060893" w:rsidRPr="009F0293" w:rsidRDefault="00060893" w:rsidP="00060893">
      <w:pPr>
        <w:tabs>
          <w:tab w:val="left" w:pos="567"/>
        </w:tabs>
        <w:spacing w:line="260" w:lineRule="exact"/>
        <w:rPr>
          <w:szCs w:val="22"/>
        </w:rPr>
      </w:pPr>
      <w:r w:rsidRPr="009F0293">
        <w:rPr>
          <w:szCs w:val="22"/>
        </w:rPr>
        <w:t xml:space="preserve">ALTITUDE (angl. </w:t>
      </w:r>
      <w:r w:rsidRPr="009F0293">
        <w:rPr>
          <w:i/>
          <w:szCs w:val="22"/>
        </w:rPr>
        <w:t>„Aliskiren Trial in Type 2 Diabetes Using Cardiovascular and Renal Disease Endpoints“</w:t>
      </w:r>
      <w:r w:rsidRPr="009F0293">
        <w:rPr>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w:t>
      </w:r>
      <w:r w:rsidR="003B79EB" w:rsidRPr="009F0293">
        <w:rPr>
          <w:szCs w:val="22"/>
        </w:rPr>
        <w:t>s</w:t>
      </w:r>
      <w:r w:rsidRPr="009F0293">
        <w:rPr>
          <w:szCs w:val="22"/>
        </w:rPr>
        <w:t>) aliskireno grupėje taip pat pasireiškė dažniau nei placebo grupėje.</w:t>
      </w:r>
    </w:p>
    <w:p w14:paraId="7CBCA4D8" w14:textId="77777777" w:rsidR="00AE6755" w:rsidRPr="009F0293" w:rsidRDefault="00AE6755" w:rsidP="00E6539F">
      <w:pPr>
        <w:pStyle w:val="Style7"/>
        <w:widowControl/>
        <w:spacing w:line="240" w:lineRule="auto"/>
        <w:rPr>
          <w:sz w:val="22"/>
          <w:szCs w:val="22"/>
          <w:highlight w:val="yellow"/>
          <w:lang w:val="lt-LT"/>
        </w:rPr>
      </w:pPr>
    </w:p>
    <w:p w14:paraId="6C0CF25E" w14:textId="77777777" w:rsidR="00AE6755" w:rsidRPr="009F0293" w:rsidRDefault="00AE6755" w:rsidP="00A1727B">
      <w:pPr>
        <w:tabs>
          <w:tab w:val="left" w:pos="567"/>
        </w:tabs>
        <w:spacing w:line="260" w:lineRule="exact"/>
        <w:rPr>
          <w:szCs w:val="22"/>
        </w:rPr>
      </w:pPr>
      <w:r w:rsidRPr="009F0293">
        <w:rPr>
          <w:szCs w:val="22"/>
        </w:rPr>
        <w:t>Kandesartano cileksetilo/hidrochlorotiazido veiksmingumas nepriklausė nuo pacientų amžiaus ar lyties.</w:t>
      </w:r>
    </w:p>
    <w:p w14:paraId="47BB02C0" w14:textId="77777777" w:rsidR="00AE6755" w:rsidRPr="009F0293" w:rsidRDefault="00AE6755" w:rsidP="00A1727B">
      <w:pPr>
        <w:tabs>
          <w:tab w:val="left" w:pos="567"/>
        </w:tabs>
        <w:spacing w:line="260" w:lineRule="exact"/>
        <w:rPr>
          <w:szCs w:val="22"/>
        </w:rPr>
      </w:pPr>
    </w:p>
    <w:p w14:paraId="6C654A4D" w14:textId="77777777" w:rsidR="00AE6755" w:rsidRPr="009F0293" w:rsidRDefault="00AE6755" w:rsidP="00A1727B">
      <w:pPr>
        <w:tabs>
          <w:tab w:val="left" w:pos="567"/>
        </w:tabs>
        <w:spacing w:line="260" w:lineRule="exact"/>
        <w:rPr>
          <w:szCs w:val="22"/>
        </w:rPr>
      </w:pPr>
      <w:r w:rsidRPr="009F0293">
        <w:rPr>
          <w:szCs w:val="22"/>
        </w:rPr>
        <w:t>Šiuo metu nėra duomenų apie kandesartano cileksetilo/hidrochlorotiazido vartojimą pacientams, kurie serga inkstų liga ar nefropatija, kurių kairiojo skilvelio funkcija yra susilpnėjusi ar serga staziniu širdies nepakankamumu ir patyrusiems miokardo infarktą.</w:t>
      </w:r>
    </w:p>
    <w:p w14:paraId="7914BB9D" w14:textId="77777777" w:rsidR="00A50678" w:rsidRPr="009F0293" w:rsidRDefault="00A50678" w:rsidP="00314164">
      <w:pPr>
        <w:tabs>
          <w:tab w:val="left" w:pos="567"/>
        </w:tabs>
        <w:spacing w:line="260" w:lineRule="exact"/>
        <w:rPr>
          <w:szCs w:val="22"/>
        </w:rPr>
      </w:pPr>
    </w:p>
    <w:p w14:paraId="60BB8EC7" w14:textId="0F8AAADF" w:rsidR="008E67BD" w:rsidRDefault="009F0293" w:rsidP="001F2847">
      <w:pPr>
        <w:rPr>
          <w:szCs w:val="22"/>
        </w:rPr>
      </w:pPr>
      <w:r w:rsidRPr="001B2FA0">
        <w:rPr>
          <w:i/>
          <w:iCs/>
          <w:szCs w:val="22"/>
        </w:rPr>
        <w:t>Nemelanominis odos vėžys</w:t>
      </w:r>
    </w:p>
    <w:p w14:paraId="04E061EA" w14:textId="7806FBAB" w:rsidR="00AE6755" w:rsidRPr="009F0293" w:rsidRDefault="009F0293" w:rsidP="001F2847">
      <w:pPr>
        <w:rPr>
          <w:szCs w:val="22"/>
        </w:rPr>
      </w:pPr>
      <w:r w:rsidRPr="009F0293">
        <w:rPr>
          <w:szCs w:val="22"/>
        </w:rPr>
        <w:t>Remiantis turimais epidemiologinių tyrimų duomenimis buvo nustatyta nuo kumuliacinės dozės priklausoma HCTZ sąsaja su NOV. Atliekant vieną tyrimą, buvo tiriama populiacija, sudaryta iš 71</w:t>
      </w:r>
      <w:r w:rsidR="00B40AB2">
        <w:rPr>
          <w:szCs w:val="22"/>
        </w:rPr>
        <w:t> </w:t>
      </w:r>
      <w:r w:rsidRPr="009F0293">
        <w:rPr>
          <w:szCs w:val="22"/>
        </w:rPr>
        <w:t>533 BLK ir 8</w:t>
      </w:r>
      <w:r w:rsidR="00B40AB2">
        <w:rPr>
          <w:szCs w:val="22"/>
        </w:rPr>
        <w:t> </w:t>
      </w:r>
      <w:r w:rsidRPr="009F0293">
        <w:rPr>
          <w:szCs w:val="22"/>
        </w:rPr>
        <w:t>629 PLK sergančių pacientų, kurie buvo lyginami su atitinkamai 1</w:t>
      </w:r>
      <w:r w:rsidR="00B40AB2">
        <w:rPr>
          <w:szCs w:val="22"/>
        </w:rPr>
        <w:t> </w:t>
      </w:r>
      <w:r w:rsidRPr="009F0293">
        <w:rPr>
          <w:szCs w:val="22"/>
        </w:rPr>
        <w:t>430</w:t>
      </w:r>
      <w:r w:rsidR="00B40AB2">
        <w:rPr>
          <w:szCs w:val="22"/>
        </w:rPr>
        <w:t> </w:t>
      </w:r>
      <w:r w:rsidRPr="009F0293">
        <w:rPr>
          <w:szCs w:val="22"/>
        </w:rPr>
        <w:t>833 ir 172</w:t>
      </w:r>
      <w:r w:rsidR="00B40AB2">
        <w:rPr>
          <w:szCs w:val="22"/>
        </w:rPr>
        <w:t> </w:t>
      </w:r>
      <w:r w:rsidRPr="009F0293">
        <w:rPr>
          <w:szCs w:val="22"/>
        </w:rPr>
        <w:t>462 kontroliniais pacientais. Vartojant dideles HCTZ dozes (kumuliacinė dozė – ≥</w:t>
      </w:r>
      <w:r w:rsidR="00B40AB2">
        <w:rPr>
          <w:szCs w:val="22"/>
        </w:rPr>
        <w:t> </w:t>
      </w:r>
      <w:r w:rsidRPr="009F0293">
        <w:rPr>
          <w:szCs w:val="22"/>
        </w:rPr>
        <w:t>50</w:t>
      </w:r>
      <w:r w:rsidR="00B40AB2">
        <w:rPr>
          <w:szCs w:val="22"/>
        </w:rPr>
        <w:t> </w:t>
      </w:r>
      <w:r w:rsidRPr="009F0293">
        <w:rPr>
          <w:szCs w:val="22"/>
        </w:rPr>
        <w:t xml:space="preserve">000 mg) koreguotas BLK rizikos santykis (RS) buvo 1,29 (95 </w:t>
      </w:r>
      <w:r w:rsidR="00B40AB2" w:rsidRPr="001B2FA0">
        <w:rPr>
          <w:szCs w:val="22"/>
        </w:rPr>
        <w:t>%</w:t>
      </w:r>
      <w:r w:rsidRPr="009F0293">
        <w:rPr>
          <w:szCs w:val="22"/>
        </w:rPr>
        <w:t xml:space="preserve">. PI: 1,23–1,35) ir PLK RS </w:t>
      </w:r>
      <w:r w:rsidR="00CB5A50">
        <w:rPr>
          <w:szCs w:val="22"/>
        </w:rPr>
        <w:t>–</w:t>
      </w:r>
      <w:r w:rsidRPr="009F0293">
        <w:rPr>
          <w:szCs w:val="22"/>
        </w:rPr>
        <w:t xml:space="preserve"> 3,98 (95 </w:t>
      </w:r>
      <w:r w:rsidR="00B40AB2">
        <w:rPr>
          <w:szCs w:val="22"/>
        </w:rPr>
        <w:t>%</w:t>
      </w:r>
      <w:r w:rsidRPr="009F0293">
        <w:rPr>
          <w:szCs w:val="22"/>
        </w:rPr>
        <w:t>. PI:</w:t>
      </w:r>
      <w:r w:rsidR="00B40AB2">
        <w:rPr>
          <w:szCs w:val="22"/>
        </w:rPr>
        <w:t> </w:t>
      </w:r>
      <w:r w:rsidRPr="009F0293">
        <w:rPr>
          <w:szCs w:val="22"/>
        </w:rPr>
        <w:t xml:space="preserve">3,68–4,31). Tiek BLK, tiek PLK atveju buvo nustatytas aiškus kumuliacinės dozės ir organizmo </w:t>
      </w:r>
      <w:r w:rsidRPr="009F0293">
        <w:rPr>
          <w:szCs w:val="22"/>
        </w:rPr>
        <w:lastRenderedPageBreak/>
        <w:t xml:space="preserve">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w:t>
      </w:r>
      <w:r w:rsidR="00B40AB2">
        <w:rPr>
          <w:szCs w:val="22"/>
        </w:rPr>
        <w:t>%</w:t>
      </w:r>
      <w:r w:rsidRPr="009F0293">
        <w:rPr>
          <w:szCs w:val="22"/>
        </w:rPr>
        <w:t xml:space="preserve"> PI: 1,7–2,6), RS padidėjo iki 3,9 (3,0</w:t>
      </w:r>
      <w:r w:rsidR="00B40AB2">
        <w:rPr>
          <w:szCs w:val="22"/>
        </w:rPr>
        <w:t>–</w:t>
      </w:r>
      <w:r w:rsidRPr="009F0293">
        <w:rPr>
          <w:szCs w:val="22"/>
        </w:rPr>
        <w:t>4,9) vartojant dideles vaistinio preparato dozes (~25 000 mg) ir iki 7,7 (5,7–10,5) esant didžiausiai kumuliacinei dozei (~100</w:t>
      </w:r>
      <w:r w:rsidR="00B40AB2">
        <w:rPr>
          <w:szCs w:val="22"/>
        </w:rPr>
        <w:t> </w:t>
      </w:r>
      <w:r w:rsidRPr="009F0293">
        <w:rPr>
          <w:szCs w:val="22"/>
        </w:rPr>
        <w:t>000 mg) (taip pat žr. 4.4 skyrių).</w:t>
      </w:r>
    </w:p>
    <w:p w14:paraId="78BB5FCC" w14:textId="77777777" w:rsidR="009F0293" w:rsidRPr="009F0293" w:rsidRDefault="009F0293" w:rsidP="001F2847">
      <w:pPr>
        <w:rPr>
          <w:szCs w:val="22"/>
        </w:rPr>
      </w:pPr>
    </w:p>
    <w:p w14:paraId="2F18FDE3" w14:textId="77777777" w:rsidR="00AE6755" w:rsidRPr="009F0293" w:rsidRDefault="00AE6755" w:rsidP="003B79EB">
      <w:pPr>
        <w:keepNext/>
        <w:keepLines/>
        <w:tabs>
          <w:tab w:val="left" w:pos="567"/>
        </w:tabs>
        <w:rPr>
          <w:b/>
          <w:szCs w:val="22"/>
        </w:rPr>
      </w:pPr>
      <w:r w:rsidRPr="009F0293">
        <w:rPr>
          <w:b/>
          <w:szCs w:val="22"/>
        </w:rPr>
        <w:t>5.2</w:t>
      </w:r>
      <w:r w:rsidRPr="009F0293">
        <w:rPr>
          <w:b/>
          <w:szCs w:val="22"/>
        </w:rPr>
        <w:tab/>
        <w:t>Farmakokinetinės savybės</w:t>
      </w:r>
    </w:p>
    <w:p w14:paraId="6CD0C9ED" w14:textId="77777777" w:rsidR="00AE6755" w:rsidRPr="009F0293" w:rsidRDefault="00AE6755" w:rsidP="003B79EB">
      <w:pPr>
        <w:keepNext/>
        <w:keepLines/>
        <w:rPr>
          <w:szCs w:val="22"/>
        </w:rPr>
      </w:pPr>
    </w:p>
    <w:p w14:paraId="20DF687C" w14:textId="77777777" w:rsidR="00AE6755" w:rsidRPr="009F0293" w:rsidRDefault="00AE6755" w:rsidP="003B79EB">
      <w:pPr>
        <w:keepNext/>
        <w:keepLines/>
        <w:tabs>
          <w:tab w:val="left" w:pos="567"/>
        </w:tabs>
        <w:spacing w:line="260" w:lineRule="exact"/>
        <w:rPr>
          <w:szCs w:val="22"/>
        </w:rPr>
      </w:pPr>
      <w:r w:rsidRPr="009F0293">
        <w:rPr>
          <w:szCs w:val="22"/>
        </w:rPr>
        <w:t>Kandesartan</w:t>
      </w:r>
      <w:r w:rsidR="0048304A" w:rsidRPr="009F0293">
        <w:rPr>
          <w:szCs w:val="22"/>
        </w:rPr>
        <w:t>o</w:t>
      </w:r>
      <w:r w:rsidRPr="009F0293">
        <w:rPr>
          <w:szCs w:val="22"/>
        </w:rPr>
        <w:t xml:space="preserve"> cileksetilą ir hidrochlorotiazidą vartojant kartu, kliniškai reikšmingo poveikio kurios nors veikliosios medžiagos farmakokinetikai nebuvo.</w:t>
      </w:r>
    </w:p>
    <w:p w14:paraId="35B8195D" w14:textId="77777777" w:rsidR="00AE6755" w:rsidRPr="009F0293" w:rsidRDefault="00AE6755" w:rsidP="001F2847">
      <w:pPr>
        <w:rPr>
          <w:i/>
          <w:szCs w:val="22"/>
        </w:rPr>
      </w:pPr>
    </w:p>
    <w:p w14:paraId="72B1E717" w14:textId="77777777" w:rsidR="00AE6755" w:rsidRPr="009F0293" w:rsidRDefault="00AE6755" w:rsidP="001F2847">
      <w:pPr>
        <w:rPr>
          <w:szCs w:val="22"/>
          <w:u w:val="single"/>
        </w:rPr>
      </w:pPr>
      <w:r w:rsidRPr="009F0293">
        <w:rPr>
          <w:szCs w:val="22"/>
          <w:u w:val="single"/>
        </w:rPr>
        <w:t>Absorbcija ir pasiskirstymas</w:t>
      </w:r>
    </w:p>
    <w:p w14:paraId="1B4D3639" w14:textId="77777777" w:rsidR="00AE6755" w:rsidRPr="009F0293" w:rsidRDefault="00AE6755" w:rsidP="00D36D62">
      <w:pPr>
        <w:tabs>
          <w:tab w:val="left" w:pos="567"/>
        </w:tabs>
        <w:spacing w:line="260" w:lineRule="exact"/>
        <w:rPr>
          <w:i/>
          <w:szCs w:val="22"/>
        </w:rPr>
      </w:pPr>
      <w:r w:rsidRPr="009F0293">
        <w:rPr>
          <w:i/>
          <w:szCs w:val="22"/>
        </w:rPr>
        <w:t>Kandesartan</w:t>
      </w:r>
      <w:r w:rsidR="0048304A" w:rsidRPr="009F0293">
        <w:rPr>
          <w:i/>
          <w:szCs w:val="22"/>
        </w:rPr>
        <w:t>o</w:t>
      </w:r>
      <w:r w:rsidRPr="009F0293">
        <w:rPr>
          <w:i/>
          <w:szCs w:val="22"/>
        </w:rPr>
        <w:t xml:space="preserve"> cileksetilas</w:t>
      </w:r>
    </w:p>
    <w:p w14:paraId="33EDBBCE" w14:textId="77777777" w:rsidR="00E02AB5" w:rsidRDefault="00AE6755" w:rsidP="000006AF">
      <w:pPr>
        <w:rPr>
          <w:szCs w:val="22"/>
        </w:rPr>
      </w:pPr>
      <w:r w:rsidRPr="009F0293">
        <w:rPr>
          <w:szCs w:val="22"/>
        </w:rPr>
        <w:t>Išgertas kandesartan</w:t>
      </w:r>
      <w:r w:rsidR="0048304A" w:rsidRPr="009F0293">
        <w:rPr>
          <w:szCs w:val="22"/>
        </w:rPr>
        <w:t>o</w:t>
      </w:r>
      <w:r w:rsidRPr="009F0293">
        <w:rPr>
          <w:szCs w:val="22"/>
        </w:rPr>
        <w:t xml:space="preserve"> cileksetilas paverčiamas aktyvia medžiaga – kandesartanu. Kandesartano absoliutus biologinis prieinamumas, išgėrus kandesartano cileksetilo tirpalo, yra maždaug 40</w:t>
      </w:r>
      <w:r w:rsidR="00B40AB2">
        <w:rPr>
          <w:szCs w:val="22"/>
        </w:rPr>
        <w:t> </w:t>
      </w:r>
      <w:r w:rsidRPr="009F0293">
        <w:rPr>
          <w:szCs w:val="22"/>
        </w:rPr>
        <w:t>%. Santykinis tablečių biologinis prieinamumas, palyginus su geriamuoju tirpalu, yra apie 34</w:t>
      </w:r>
      <w:r w:rsidR="00B40AB2">
        <w:rPr>
          <w:szCs w:val="22"/>
        </w:rPr>
        <w:t> </w:t>
      </w:r>
      <w:r w:rsidRPr="009F0293">
        <w:rPr>
          <w:szCs w:val="22"/>
        </w:rPr>
        <w:t xml:space="preserve">% (įvairuoja labai mažai). Išgėrus tabletę, vidutinė didžiausia koncentracija </w:t>
      </w:r>
      <w:r w:rsidR="003B79EB" w:rsidRPr="009F0293">
        <w:rPr>
          <w:szCs w:val="22"/>
        </w:rPr>
        <w:t xml:space="preserve">kraujo </w:t>
      </w:r>
      <w:r w:rsidRPr="009F0293">
        <w:rPr>
          <w:szCs w:val="22"/>
        </w:rPr>
        <w:t>serume (C</w:t>
      </w:r>
      <w:r w:rsidRPr="009F0293">
        <w:rPr>
          <w:szCs w:val="22"/>
          <w:vertAlign w:val="subscript"/>
        </w:rPr>
        <w:t>max</w:t>
      </w:r>
      <w:r w:rsidRPr="009F0293">
        <w:rPr>
          <w:szCs w:val="22"/>
        </w:rPr>
        <w:t xml:space="preserve"> ) susidaro po </w:t>
      </w:r>
    </w:p>
    <w:p w14:paraId="7C25DB81" w14:textId="3EF1D22C" w:rsidR="00AE6755" w:rsidRPr="009F0293" w:rsidRDefault="00AE6755" w:rsidP="000006AF">
      <w:pPr>
        <w:rPr>
          <w:szCs w:val="22"/>
        </w:rPr>
      </w:pPr>
      <w:r w:rsidRPr="009F0293">
        <w:rPr>
          <w:szCs w:val="22"/>
        </w:rPr>
        <w:t>3</w:t>
      </w:r>
      <w:r w:rsidR="003C0937">
        <w:rPr>
          <w:szCs w:val="22"/>
        </w:rPr>
        <w:t>–</w:t>
      </w:r>
      <w:r w:rsidRPr="009F0293">
        <w:rPr>
          <w:szCs w:val="22"/>
        </w:rPr>
        <w:t xml:space="preserve">4 val. Didinant dozę terapinėse ribose, kandesartano koncentracija </w:t>
      </w:r>
      <w:r w:rsidR="003B79EB" w:rsidRPr="009F0293">
        <w:rPr>
          <w:szCs w:val="22"/>
        </w:rPr>
        <w:t xml:space="preserve">kraujo </w:t>
      </w:r>
      <w:r w:rsidRPr="009F0293">
        <w:rPr>
          <w:szCs w:val="22"/>
        </w:rPr>
        <w:t xml:space="preserve">serume didėja tiesine tvarka. Su lytimi susijusių kandesartano farmakokinetikos skirtumų nepastebėta. Maistas neturi reikšmingos įtakos plotui po kandesartano koncentracijos ir laiko kreive (AUC). </w:t>
      </w:r>
    </w:p>
    <w:p w14:paraId="5362E9E9" w14:textId="77777777" w:rsidR="00AE6755" w:rsidRPr="009F0293" w:rsidRDefault="00AE6755" w:rsidP="001F2847">
      <w:pPr>
        <w:rPr>
          <w:szCs w:val="22"/>
        </w:rPr>
      </w:pPr>
      <w:r w:rsidRPr="009F0293">
        <w:rPr>
          <w:szCs w:val="22"/>
        </w:rPr>
        <w:t xml:space="preserve"> </w:t>
      </w:r>
    </w:p>
    <w:p w14:paraId="14B467D7" w14:textId="72B15852" w:rsidR="00AE6755" w:rsidRPr="009F0293" w:rsidRDefault="00AE6755" w:rsidP="001F2847">
      <w:pPr>
        <w:rPr>
          <w:szCs w:val="22"/>
        </w:rPr>
      </w:pPr>
      <w:r w:rsidRPr="009F0293">
        <w:rPr>
          <w:szCs w:val="22"/>
        </w:rPr>
        <w:t>Daug (daugiau kaip 99</w:t>
      </w:r>
      <w:r w:rsidR="00E02AB5">
        <w:rPr>
          <w:szCs w:val="22"/>
        </w:rPr>
        <w:t> </w:t>
      </w:r>
      <w:r w:rsidRPr="009F0293">
        <w:rPr>
          <w:szCs w:val="22"/>
        </w:rPr>
        <w:t xml:space="preserve">%) kandesartano būna prisijungusio prie </w:t>
      </w:r>
      <w:r w:rsidR="003B79EB" w:rsidRPr="009F0293">
        <w:rPr>
          <w:szCs w:val="22"/>
        </w:rPr>
        <w:t xml:space="preserve">kraujo </w:t>
      </w:r>
      <w:r w:rsidRPr="009F0293">
        <w:rPr>
          <w:szCs w:val="22"/>
        </w:rPr>
        <w:t xml:space="preserve">plazmos baltymų, jo tariamasis pasiskirstymo tūris yra 0,1 l/kg. </w:t>
      </w:r>
    </w:p>
    <w:p w14:paraId="68004E90" w14:textId="77777777" w:rsidR="00AE6755" w:rsidRPr="009F0293" w:rsidRDefault="00AE6755" w:rsidP="00D36D62">
      <w:pPr>
        <w:tabs>
          <w:tab w:val="left" w:pos="567"/>
        </w:tabs>
        <w:spacing w:line="260" w:lineRule="exact"/>
        <w:rPr>
          <w:i/>
          <w:szCs w:val="22"/>
        </w:rPr>
      </w:pPr>
    </w:p>
    <w:p w14:paraId="6ED2D1A3" w14:textId="77777777" w:rsidR="00AE6755" w:rsidRPr="009F0293" w:rsidRDefault="00AE6755" w:rsidP="00D36D62">
      <w:pPr>
        <w:tabs>
          <w:tab w:val="left" w:pos="567"/>
        </w:tabs>
        <w:spacing w:line="260" w:lineRule="exact"/>
        <w:rPr>
          <w:i/>
          <w:szCs w:val="22"/>
        </w:rPr>
      </w:pPr>
      <w:r w:rsidRPr="009F0293">
        <w:rPr>
          <w:i/>
          <w:szCs w:val="22"/>
        </w:rPr>
        <w:t>Hidrochlorotiazidas</w:t>
      </w:r>
    </w:p>
    <w:p w14:paraId="28C14690" w14:textId="573AC159" w:rsidR="00AE6755" w:rsidRPr="009F0293" w:rsidRDefault="00AE6755" w:rsidP="00D36D62">
      <w:pPr>
        <w:tabs>
          <w:tab w:val="left" w:pos="567"/>
        </w:tabs>
        <w:spacing w:line="260" w:lineRule="exact"/>
        <w:rPr>
          <w:szCs w:val="22"/>
        </w:rPr>
      </w:pPr>
      <w:r w:rsidRPr="009F0293">
        <w:rPr>
          <w:szCs w:val="22"/>
        </w:rPr>
        <w:t>Hidrochlorotiazidas yra greitai absorbuojamas iš virškinimo trakto, jo absoliutus biologinis prieinamumas yra maždaug 70</w:t>
      </w:r>
      <w:r w:rsidR="00E02AB5">
        <w:rPr>
          <w:szCs w:val="22"/>
        </w:rPr>
        <w:t> </w:t>
      </w:r>
      <w:r w:rsidRPr="009F0293">
        <w:rPr>
          <w:szCs w:val="22"/>
        </w:rPr>
        <w:t>%. Kartu vartojamas maistas padidina vaistinio preparato absorbciją maždaug 15</w:t>
      </w:r>
      <w:r w:rsidR="00E02AB5">
        <w:rPr>
          <w:szCs w:val="22"/>
        </w:rPr>
        <w:t> </w:t>
      </w:r>
      <w:r w:rsidRPr="009F0293">
        <w:rPr>
          <w:szCs w:val="22"/>
        </w:rPr>
        <w:t>%. Biologinis prieinamumas gali būti mažesnis pacientų, kurie serga širdies nepakankamumu arba kuriems pasireiškia ryški edema, organizme.</w:t>
      </w:r>
    </w:p>
    <w:p w14:paraId="19BCCEF8" w14:textId="77777777" w:rsidR="00AE6755" w:rsidRPr="009F0293" w:rsidRDefault="00AE6755" w:rsidP="000006AF">
      <w:pPr>
        <w:pStyle w:val="Style16"/>
        <w:widowControl/>
        <w:spacing w:line="240" w:lineRule="auto"/>
        <w:jc w:val="left"/>
        <w:rPr>
          <w:sz w:val="22"/>
          <w:szCs w:val="22"/>
          <w:highlight w:val="yellow"/>
          <w:lang w:val="lt-LT"/>
        </w:rPr>
      </w:pPr>
    </w:p>
    <w:p w14:paraId="7B5CAC99" w14:textId="77777777" w:rsidR="00AE6755" w:rsidRPr="009F0293" w:rsidRDefault="00AE6755" w:rsidP="00D36D62">
      <w:pPr>
        <w:tabs>
          <w:tab w:val="left" w:pos="567"/>
        </w:tabs>
        <w:spacing w:line="260" w:lineRule="exact"/>
        <w:rPr>
          <w:szCs w:val="22"/>
        </w:rPr>
      </w:pPr>
      <w:r w:rsidRPr="009F0293">
        <w:rPr>
          <w:szCs w:val="22"/>
        </w:rPr>
        <w:t xml:space="preserve">Maždaug 60 % hidrochlorotiazido prisijungia prie </w:t>
      </w:r>
      <w:r w:rsidR="003B79EB" w:rsidRPr="009F0293">
        <w:rPr>
          <w:szCs w:val="22"/>
        </w:rPr>
        <w:t xml:space="preserve">kraujo </w:t>
      </w:r>
      <w:r w:rsidRPr="009F0293">
        <w:rPr>
          <w:szCs w:val="22"/>
        </w:rPr>
        <w:t>plazmos baltymų. Tariamasis pasiskirstymo tūris yra maždaug 0,8 l/kg.</w:t>
      </w:r>
    </w:p>
    <w:p w14:paraId="2D5665BD" w14:textId="77777777" w:rsidR="00AE6755" w:rsidRPr="009F0293" w:rsidRDefault="00AE6755" w:rsidP="001F2847">
      <w:pPr>
        <w:rPr>
          <w:szCs w:val="22"/>
        </w:rPr>
      </w:pPr>
    </w:p>
    <w:p w14:paraId="6689DCBF" w14:textId="77777777" w:rsidR="00AE6755" w:rsidRPr="009F0293" w:rsidRDefault="00752BE5" w:rsidP="001F2847">
      <w:pPr>
        <w:rPr>
          <w:szCs w:val="22"/>
          <w:u w:val="single"/>
        </w:rPr>
      </w:pPr>
      <w:r w:rsidRPr="009F0293">
        <w:rPr>
          <w:szCs w:val="22"/>
          <w:u w:val="single"/>
        </w:rPr>
        <w:t xml:space="preserve">Biotransformacija </w:t>
      </w:r>
      <w:r w:rsidR="00AE6755" w:rsidRPr="009F0293">
        <w:rPr>
          <w:szCs w:val="22"/>
          <w:u w:val="single"/>
        </w:rPr>
        <w:t>ir eliminacija</w:t>
      </w:r>
    </w:p>
    <w:p w14:paraId="145AD378" w14:textId="77777777" w:rsidR="00AE6755" w:rsidRPr="009F0293" w:rsidRDefault="00AE6755" w:rsidP="00D36D62">
      <w:pPr>
        <w:tabs>
          <w:tab w:val="left" w:pos="567"/>
        </w:tabs>
        <w:spacing w:line="260" w:lineRule="exact"/>
        <w:rPr>
          <w:i/>
          <w:szCs w:val="22"/>
        </w:rPr>
      </w:pPr>
      <w:r w:rsidRPr="009F0293">
        <w:rPr>
          <w:i/>
          <w:szCs w:val="22"/>
        </w:rPr>
        <w:t>Kandesartan</w:t>
      </w:r>
      <w:r w:rsidR="0048304A" w:rsidRPr="009F0293">
        <w:rPr>
          <w:i/>
          <w:szCs w:val="22"/>
        </w:rPr>
        <w:t>o</w:t>
      </w:r>
      <w:r w:rsidRPr="009F0293">
        <w:rPr>
          <w:i/>
          <w:szCs w:val="22"/>
        </w:rPr>
        <w:t xml:space="preserve"> cileksetilas</w:t>
      </w:r>
    </w:p>
    <w:p w14:paraId="7B6F6D12" w14:textId="77777777" w:rsidR="00AE6755" w:rsidRPr="009F0293" w:rsidRDefault="00AE6755" w:rsidP="00D36D62">
      <w:pPr>
        <w:rPr>
          <w:szCs w:val="22"/>
        </w:rPr>
      </w:pPr>
      <w:r w:rsidRPr="009F0293">
        <w:rPr>
          <w:szCs w:val="22"/>
        </w:rPr>
        <w:t xml:space="preserve">Daugiausia kandesartano eliminuojama nepakitusio su šlapimu ir tulžimi, mažai – vykstant metabolizmui kepenyse (CYP2C9). Turimais sąveikos tyrimų duomenimis, CYP2C9 ir CYP3A4 aktyvumo šis vaistinis preparatas neveikia. Tyrimų </w:t>
      </w:r>
      <w:r w:rsidRPr="009F0293">
        <w:rPr>
          <w:i/>
          <w:szCs w:val="22"/>
        </w:rPr>
        <w:t>in vitro</w:t>
      </w:r>
      <w:r w:rsidRPr="009F0293">
        <w:rPr>
          <w:szCs w:val="22"/>
        </w:rPr>
        <w:t xml:space="preserve"> duomenimis, nereikėtų tikėtis sąveikos </w:t>
      </w:r>
      <w:r w:rsidRPr="009F0293">
        <w:rPr>
          <w:i/>
          <w:szCs w:val="22"/>
        </w:rPr>
        <w:t>in vivo</w:t>
      </w:r>
      <w:r w:rsidRPr="009F0293">
        <w:rPr>
          <w:szCs w:val="22"/>
        </w:rPr>
        <w:t xml:space="preserve"> su vaistiniais preparatais, kurių metabolizmas priklauso nuo citochromo P450 izofermentų CYP1A2, CYP2A6, CYP2C9, CYP2C19, CYP2D6, CYP2E1 ar CYP3A4. Kandesartano galutinės pusinės eliminacijos pusinis laikas (t</w:t>
      </w:r>
      <w:r w:rsidRPr="009F0293">
        <w:rPr>
          <w:szCs w:val="22"/>
          <w:vertAlign w:val="subscript"/>
        </w:rPr>
        <w:t>½</w:t>
      </w:r>
      <w:r w:rsidRPr="009F0293">
        <w:rPr>
          <w:szCs w:val="22"/>
        </w:rPr>
        <w:t>) yra maždaug 9 val. Vartojant kartotines dozes, organizme jo nesikaupia. Kandesartan</w:t>
      </w:r>
      <w:r w:rsidR="0048304A" w:rsidRPr="009F0293">
        <w:rPr>
          <w:szCs w:val="22"/>
        </w:rPr>
        <w:t>o</w:t>
      </w:r>
      <w:r w:rsidRPr="009F0293">
        <w:rPr>
          <w:szCs w:val="22"/>
        </w:rPr>
        <w:t xml:space="preserve"> cileksetilą vartojant kartu su hidrochlorotiazidu, kandesartano pusinės eliminacijos periodas nepakinta (maždaug 9 val.). Vartojant kartotines derinio dozes, palyginti su monoterapija, kandesartano papildomai nesikaupia.</w:t>
      </w:r>
    </w:p>
    <w:p w14:paraId="7CB83A81" w14:textId="77777777" w:rsidR="00AE6755" w:rsidRPr="009F0293" w:rsidRDefault="00AE6755" w:rsidP="001F2847">
      <w:pPr>
        <w:rPr>
          <w:szCs w:val="22"/>
        </w:rPr>
      </w:pPr>
    </w:p>
    <w:p w14:paraId="42A96784" w14:textId="243E6A6C" w:rsidR="00AE6755" w:rsidRPr="009F0293" w:rsidRDefault="00AE6755" w:rsidP="001F2847">
      <w:pPr>
        <w:rPr>
          <w:szCs w:val="22"/>
        </w:rPr>
      </w:pPr>
      <w:r w:rsidRPr="009F0293">
        <w:rPr>
          <w:szCs w:val="22"/>
        </w:rPr>
        <w:t>Kandesartano bendras plazmos klirensas yra maždaug 0,37 ml/min./kg, inkstų –</w:t>
      </w:r>
      <w:r w:rsidR="00E02AB5">
        <w:rPr>
          <w:szCs w:val="22"/>
        </w:rPr>
        <w:t xml:space="preserve"> </w:t>
      </w:r>
      <w:r w:rsidRPr="009F0293">
        <w:rPr>
          <w:szCs w:val="22"/>
        </w:rPr>
        <w:t xml:space="preserve">maždaug 0,19 ml/min./kg. Kandesartano eliminacija per inkstus vyksta glomerulų filtracijos ir aktyvios kanalėlių sekrecijos būdais. Išgėrus </w:t>
      </w:r>
      <w:r w:rsidRPr="009F0293">
        <w:rPr>
          <w:szCs w:val="22"/>
          <w:vertAlign w:val="superscript"/>
        </w:rPr>
        <w:t>14</w:t>
      </w:r>
      <w:r w:rsidRPr="009F0293">
        <w:rPr>
          <w:szCs w:val="22"/>
        </w:rPr>
        <w:t>C žymėto kandesartano cileksetilo, maždaug 26</w:t>
      </w:r>
      <w:r w:rsidR="00E02AB5">
        <w:rPr>
          <w:szCs w:val="22"/>
        </w:rPr>
        <w:t> </w:t>
      </w:r>
      <w:r w:rsidRPr="009F0293">
        <w:rPr>
          <w:szCs w:val="22"/>
        </w:rPr>
        <w:t>% dozės išskiriama su šlapimu kandesartano ir 7</w:t>
      </w:r>
      <w:r w:rsidR="00E02AB5">
        <w:rPr>
          <w:szCs w:val="22"/>
        </w:rPr>
        <w:t> </w:t>
      </w:r>
      <w:r w:rsidRPr="009F0293">
        <w:rPr>
          <w:szCs w:val="22"/>
        </w:rPr>
        <w:t>% – neaktyvaus metabolito pavidalu, maždaug 56</w:t>
      </w:r>
      <w:r w:rsidR="00E02AB5">
        <w:rPr>
          <w:szCs w:val="22"/>
        </w:rPr>
        <w:t> </w:t>
      </w:r>
      <w:r w:rsidRPr="009F0293">
        <w:rPr>
          <w:szCs w:val="22"/>
        </w:rPr>
        <w:t>% randama išmatose kandesartano ir 10</w:t>
      </w:r>
      <w:r w:rsidR="00E02AB5">
        <w:rPr>
          <w:szCs w:val="22"/>
        </w:rPr>
        <w:t> </w:t>
      </w:r>
      <w:r w:rsidRPr="009F0293">
        <w:rPr>
          <w:szCs w:val="22"/>
        </w:rPr>
        <w:t>% – neaktyvaus metabolito pavidalu.</w:t>
      </w:r>
    </w:p>
    <w:p w14:paraId="77F50825" w14:textId="77777777" w:rsidR="00AE6755" w:rsidRPr="009F0293" w:rsidRDefault="00AE6755" w:rsidP="001F2847">
      <w:pPr>
        <w:rPr>
          <w:iCs/>
          <w:szCs w:val="22"/>
        </w:rPr>
      </w:pPr>
    </w:p>
    <w:p w14:paraId="0E466171" w14:textId="77777777" w:rsidR="00AE6755" w:rsidRPr="009F0293" w:rsidRDefault="00AE6755" w:rsidP="00D36D62">
      <w:pPr>
        <w:tabs>
          <w:tab w:val="left" w:pos="567"/>
        </w:tabs>
        <w:spacing w:line="260" w:lineRule="exact"/>
        <w:rPr>
          <w:i/>
          <w:szCs w:val="22"/>
        </w:rPr>
      </w:pPr>
      <w:r w:rsidRPr="009F0293">
        <w:rPr>
          <w:i/>
          <w:szCs w:val="22"/>
        </w:rPr>
        <w:t>Hidrochlorotiazidas</w:t>
      </w:r>
    </w:p>
    <w:p w14:paraId="3D14D20A" w14:textId="0985884E" w:rsidR="00AE6755" w:rsidRPr="009F0293" w:rsidRDefault="00AE6755" w:rsidP="00D36D62">
      <w:pPr>
        <w:tabs>
          <w:tab w:val="left" w:pos="567"/>
        </w:tabs>
        <w:spacing w:line="260" w:lineRule="exact"/>
        <w:rPr>
          <w:szCs w:val="22"/>
        </w:rPr>
      </w:pPr>
      <w:r w:rsidRPr="009F0293">
        <w:rPr>
          <w:szCs w:val="22"/>
        </w:rPr>
        <w:t>Hidrochlorotiazidas nemetabolizuojamas ir beveik visas nepakitusio vaistinio preparato pavidalu šalinamas glomerulų filtracijos ir aktyvios sekrecijos inkstų kanalėliuose būdais. Hidrochlorotiazido galutinis t</w:t>
      </w:r>
      <w:r w:rsidRPr="009F0293">
        <w:rPr>
          <w:szCs w:val="22"/>
          <w:vertAlign w:val="subscript"/>
        </w:rPr>
        <w:t>½</w:t>
      </w:r>
      <w:r w:rsidRPr="009F0293">
        <w:rPr>
          <w:szCs w:val="22"/>
        </w:rPr>
        <w:t xml:space="preserve"> yra maždaug 8 valandos. Maždaug 70</w:t>
      </w:r>
      <w:r w:rsidR="00E02AB5">
        <w:rPr>
          <w:szCs w:val="22"/>
        </w:rPr>
        <w:t> </w:t>
      </w:r>
      <w:r w:rsidRPr="009F0293">
        <w:rPr>
          <w:szCs w:val="22"/>
        </w:rPr>
        <w:t>% išgertos dozės eliminuojama su šlapimu per 48 valandas. Hidrochlorotiazidą vartojant kartu su kandesartan</w:t>
      </w:r>
      <w:r w:rsidR="0048304A" w:rsidRPr="009F0293">
        <w:rPr>
          <w:szCs w:val="22"/>
        </w:rPr>
        <w:t>o</w:t>
      </w:r>
      <w:r w:rsidRPr="009F0293">
        <w:rPr>
          <w:szCs w:val="22"/>
        </w:rPr>
        <w:t xml:space="preserve"> cileksetilu, hidrochlorotiazido pusinės </w:t>
      </w:r>
      <w:r w:rsidRPr="009F0293">
        <w:rPr>
          <w:szCs w:val="22"/>
        </w:rPr>
        <w:lastRenderedPageBreak/>
        <w:t>eliminacijos periodas nepakinta (maždaug 8 val.). Vartojant kartotines derinio dozes, palyginti su monoterapija, hidrochlorotiazido papildomai nesikaupia.</w:t>
      </w:r>
    </w:p>
    <w:p w14:paraId="62CAA6FE" w14:textId="77777777" w:rsidR="00AE6755" w:rsidRPr="009F0293" w:rsidRDefault="00AE6755" w:rsidP="001F2847">
      <w:pPr>
        <w:rPr>
          <w:i/>
          <w:szCs w:val="22"/>
        </w:rPr>
      </w:pPr>
    </w:p>
    <w:p w14:paraId="1375448E" w14:textId="77777777" w:rsidR="00AE6755" w:rsidRPr="009F0293" w:rsidRDefault="00AE6755" w:rsidP="00E13D23">
      <w:pPr>
        <w:keepNext/>
        <w:keepLines/>
        <w:rPr>
          <w:szCs w:val="22"/>
          <w:u w:val="single"/>
        </w:rPr>
      </w:pPr>
      <w:r w:rsidRPr="009F0293">
        <w:rPr>
          <w:szCs w:val="22"/>
          <w:u w:val="single"/>
        </w:rPr>
        <w:t xml:space="preserve">Farmakokinetika </w:t>
      </w:r>
      <w:r w:rsidR="00EB08FE" w:rsidRPr="009F0293">
        <w:rPr>
          <w:szCs w:val="22"/>
          <w:u w:val="single"/>
        </w:rPr>
        <w:t>ypatingose populiacijose</w:t>
      </w:r>
    </w:p>
    <w:p w14:paraId="1796AE7F" w14:textId="77777777" w:rsidR="00AE6755" w:rsidRPr="009F0293" w:rsidRDefault="00AE6755" w:rsidP="00E13D23">
      <w:pPr>
        <w:keepNext/>
        <w:keepLines/>
        <w:tabs>
          <w:tab w:val="left" w:pos="567"/>
        </w:tabs>
        <w:spacing w:line="260" w:lineRule="exact"/>
        <w:rPr>
          <w:i/>
          <w:szCs w:val="22"/>
        </w:rPr>
      </w:pPr>
      <w:r w:rsidRPr="009F0293">
        <w:rPr>
          <w:i/>
          <w:szCs w:val="22"/>
        </w:rPr>
        <w:t>Kandesartan</w:t>
      </w:r>
      <w:r w:rsidR="0048304A" w:rsidRPr="009F0293">
        <w:rPr>
          <w:i/>
          <w:szCs w:val="22"/>
        </w:rPr>
        <w:t>o</w:t>
      </w:r>
      <w:r w:rsidRPr="009F0293">
        <w:rPr>
          <w:i/>
          <w:szCs w:val="22"/>
        </w:rPr>
        <w:t xml:space="preserve"> cileksetilas</w:t>
      </w:r>
    </w:p>
    <w:p w14:paraId="0AB0FDD4" w14:textId="195B77D7" w:rsidR="00AE6755" w:rsidRPr="009F0293" w:rsidRDefault="00AE6755" w:rsidP="00E13D23">
      <w:pPr>
        <w:keepNext/>
        <w:keepLines/>
        <w:rPr>
          <w:szCs w:val="22"/>
        </w:rPr>
      </w:pPr>
      <w:r w:rsidRPr="009F0293">
        <w:rPr>
          <w:szCs w:val="22"/>
        </w:rPr>
        <w:t xml:space="preserve">Senyvų (vyresnių kaip 65 metų) žmonių, palyginus su jaunais, </w:t>
      </w:r>
      <w:r w:rsidR="003B79EB" w:rsidRPr="009F0293">
        <w:rPr>
          <w:szCs w:val="22"/>
        </w:rPr>
        <w:t xml:space="preserve">kraujo </w:t>
      </w:r>
      <w:r w:rsidRPr="009F0293">
        <w:rPr>
          <w:szCs w:val="22"/>
        </w:rPr>
        <w:t>plazmoje kandesartano C</w:t>
      </w:r>
      <w:r w:rsidRPr="009F0293">
        <w:rPr>
          <w:szCs w:val="22"/>
          <w:vertAlign w:val="subscript"/>
        </w:rPr>
        <w:t>max</w:t>
      </w:r>
      <w:r w:rsidRPr="009F0293">
        <w:rPr>
          <w:szCs w:val="22"/>
        </w:rPr>
        <w:t xml:space="preserve"> būna didesnė maždaug 50</w:t>
      </w:r>
      <w:r w:rsidR="00E02AB5">
        <w:rPr>
          <w:szCs w:val="22"/>
        </w:rPr>
        <w:t> </w:t>
      </w:r>
      <w:r w:rsidRPr="009F0293">
        <w:rPr>
          <w:szCs w:val="22"/>
        </w:rPr>
        <w:t>%, AUC – maždaug 80</w:t>
      </w:r>
      <w:r w:rsidR="00E02AB5">
        <w:rPr>
          <w:szCs w:val="22"/>
        </w:rPr>
        <w:t> </w:t>
      </w:r>
      <w:r w:rsidRPr="009F0293">
        <w:rPr>
          <w:szCs w:val="22"/>
        </w:rPr>
        <w:t xml:space="preserve">%. Vis dėlto, vartojant tokią pačią dozę, </w:t>
      </w:r>
      <w:r w:rsidR="00205D23" w:rsidRPr="009F0293">
        <w:rPr>
          <w:szCs w:val="22"/>
        </w:rPr>
        <w:t>kandesartano cileksetilo/hidrochlorotiazido</w:t>
      </w:r>
      <w:r w:rsidRPr="009F0293">
        <w:rPr>
          <w:szCs w:val="22"/>
        </w:rPr>
        <w:t xml:space="preserve"> poveikis jaunų ir senyvų žmonių kraujospūdžiui bei jo nepageidaujamų reiškinių dažnis būna panašūs (žr. 4.2 skyrių).</w:t>
      </w:r>
      <w:r w:rsidR="00205D23" w:rsidRPr="009F0293">
        <w:rPr>
          <w:szCs w:val="22"/>
        </w:rPr>
        <w:t xml:space="preserve"> </w:t>
      </w:r>
    </w:p>
    <w:p w14:paraId="430670A1" w14:textId="77777777" w:rsidR="00AE6755" w:rsidRPr="009F0293" w:rsidRDefault="00AE6755" w:rsidP="001F2847">
      <w:pPr>
        <w:rPr>
          <w:szCs w:val="22"/>
        </w:rPr>
      </w:pPr>
    </w:p>
    <w:p w14:paraId="691B9652" w14:textId="35BC4763" w:rsidR="00AE6755" w:rsidRPr="009F0293" w:rsidRDefault="00AE6755" w:rsidP="001F2847">
      <w:pPr>
        <w:rPr>
          <w:szCs w:val="22"/>
        </w:rPr>
      </w:pPr>
      <w:r w:rsidRPr="009F0293">
        <w:rPr>
          <w:szCs w:val="22"/>
        </w:rPr>
        <w:t>Vartojant šį vaistinį preparatą kartotinai pacientams, kuriems yra lengvas ar vidutinio sunkumo inkstų funkcijos sutrikimas, kandesartano C</w:t>
      </w:r>
      <w:r w:rsidRPr="009F0293">
        <w:rPr>
          <w:szCs w:val="22"/>
          <w:vertAlign w:val="subscript"/>
        </w:rPr>
        <w:t xml:space="preserve">max </w:t>
      </w:r>
      <w:r w:rsidRPr="009F0293">
        <w:rPr>
          <w:szCs w:val="22"/>
        </w:rPr>
        <w:t>padidėja maždaug 50</w:t>
      </w:r>
      <w:r w:rsidR="00E02AB5">
        <w:rPr>
          <w:szCs w:val="22"/>
        </w:rPr>
        <w:t> </w:t>
      </w:r>
      <w:r w:rsidRPr="009F0293">
        <w:rPr>
          <w:szCs w:val="22"/>
        </w:rPr>
        <w:t>%, o AUC – maždaug 70</w:t>
      </w:r>
      <w:r w:rsidR="00E02AB5">
        <w:rPr>
          <w:szCs w:val="22"/>
        </w:rPr>
        <w:t> </w:t>
      </w:r>
      <w:r w:rsidRPr="009F0293">
        <w:rPr>
          <w:szCs w:val="22"/>
        </w:rPr>
        <w:t>%, tačiau pusinės eliminacijos laikas nepakinta (palyginus su žmonėmis, kurių inkstų funkcija normali). Vartojant šį vaistinį preparatą kartotinai pacientams, kuriems yra sunkus inkstų funkcijos sutrikimas, kandesartano C</w:t>
      </w:r>
      <w:r w:rsidRPr="009F0293">
        <w:rPr>
          <w:szCs w:val="22"/>
          <w:vertAlign w:val="subscript"/>
        </w:rPr>
        <w:t>max</w:t>
      </w:r>
      <w:r w:rsidRPr="009F0293">
        <w:rPr>
          <w:szCs w:val="22"/>
        </w:rPr>
        <w:t xml:space="preserve"> padidėja maždaug 50</w:t>
      </w:r>
      <w:r w:rsidR="00E02AB5">
        <w:rPr>
          <w:szCs w:val="22"/>
        </w:rPr>
        <w:t> </w:t>
      </w:r>
      <w:r w:rsidRPr="009F0293">
        <w:rPr>
          <w:szCs w:val="22"/>
        </w:rPr>
        <w:t>%, AUC – maždaug 110</w:t>
      </w:r>
      <w:r w:rsidR="00E02AB5">
        <w:rPr>
          <w:szCs w:val="22"/>
        </w:rPr>
        <w:t> </w:t>
      </w:r>
      <w:r w:rsidRPr="009F0293">
        <w:rPr>
          <w:szCs w:val="22"/>
        </w:rPr>
        <w:t>%, o galutinės pusinės eliminacijos laikas pailgėja maždaug dvigubai. Kandesartano AUC hemodializuojamiems pacientams yra panašus į pacientų, kuriems yra sunkus inkstų funkcijos sutrikimas.</w:t>
      </w:r>
    </w:p>
    <w:p w14:paraId="6262ACB7" w14:textId="77777777" w:rsidR="00AE6755" w:rsidRPr="009F0293" w:rsidRDefault="00AE6755" w:rsidP="001F2847">
      <w:pPr>
        <w:rPr>
          <w:szCs w:val="22"/>
        </w:rPr>
      </w:pPr>
    </w:p>
    <w:p w14:paraId="7E88DC04" w14:textId="398D0CDB" w:rsidR="00AE6755" w:rsidRPr="009F0293" w:rsidRDefault="00AE6755" w:rsidP="005256A1">
      <w:pPr>
        <w:rPr>
          <w:szCs w:val="22"/>
        </w:rPr>
      </w:pPr>
      <w:r w:rsidRPr="009F0293">
        <w:rPr>
          <w:szCs w:val="22"/>
        </w:rPr>
        <w:t>Atlikti du tyrimai, kuriuose dalyvavo pacientai, kuriems buvo lengvas ir vidutinio sunkumo kepenų funkcijos sutrikimas. Vieno tyrimo duomenimis, kandesartano vidutinis AUC buvo didesnis maždaug 20</w:t>
      </w:r>
      <w:r w:rsidR="00E02AB5">
        <w:rPr>
          <w:szCs w:val="22"/>
        </w:rPr>
        <w:t> </w:t>
      </w:r>
      <w:r w:rsidRPr="009F0293">
        <w:rPr>
          <w:szCs w:val="22"/>
        </w:rPr>
        <w:t>%, kito – 80</w:t>
      </w:r>
      <w:r w:rsidR="00E02AB5">
        <w:rPr>
          <w:szCs w:val="22"/>
        </w:rPr>
        <w:t> </w:t>
      </w:r>
      <w:r w:rsidRPr="009F0293">
        <w:rPr>
          <w:szCs w:val="22"/>
        </w:rPr>
        <w:t>% (žr. 4.2 skyrių). Pacientams, kuriems yra sunkus kepenų funkcijos sutrikimas, šio vaistinio preparato vartojimo patirties nėra.</w:t>
      </w:r>
    </w:p>
    <w:p w14:paraId="636D891A" w14:textId="77777777" w:rsidR="00AE6755" w:rsidRPr="009F0293" w:rsidRDefault="00AE6755" w:rsidP="00D36D62">
      <w:pPr>
        <w:tabs>
          <w:tab w:val="left" w:pos="567"/>
        </w:tabs>
        <w:spacing w:line="260" w:lineRule="exact"/>
        <w:rPr>
          <w:iCs/>
          <w:szCs w:val="22"/>
        </w:rPr>
      </w:pPr>
    </w:p>
    <w:p w14:paraId="7C3189D3" w14:textId="77777777" w:rsidR="00AE6755" w:rsidRPr="009F0293" w:rsidRDefault="00AE6755" w:rsidP="00D36D62">
      <w:pPr>
        <w:tabs>
          <w:tab w:val="left" w:pos="567"/>
        </w:tabs>
        <w:spacing w:line="260" w:lineRule="exact"/>
        <w:rPr>
          <w:i/>
          <w:szCs w:val="22"/>
        </w:rPr>
      </w:pPr>
      <w:r w:rsidRPr="009F0293">
        <w:rPr>
          <w:i/>
          <w:szCs w:val="22"/>
        </w:rPr>
        <w:t>Hidrochlorotiazidas</w:t>
      </w:r>
    </w:p>
    <w:p w14:paraId="13816CA0" w14:textId="77777777" w:rsidR="00AE6755" w:rsidRPr="009F0293" w:rsidRDefault="00AE6755" w:rsidP="00D36D62">
      <w:pPr>
        <w:tabs>
          <w:tab w:val="left" w:pos="567"/>
        </w:tabs>
        <w:spacing w:line="260" w:lineRule="exact"/>
        <w:rPr>
          <w:szCs w:val="22"/>
        </w:rPr>
      </w:pPr>
      <w:r w:rsidRPr="009F0293">
        <w:rPr>
          <w:szCs w:val="22"/>
        </w:rPr>
        <w:t>Galutinis hidrochlorotiazido t</w:t>
      </w:r>
      <w:r w:rsidRPr="009F0293">
        <w:rPr>
          <w:szCs w:val="22"/>
          <w:vertAlign w:val="subscript"/>
        </w:rPr>
        <w:t>½</w:t>
      </w:r>
      <w:r w:rsidRPr="009F0293">
        <w:rPr>
          <w:szCs w:val="22"/>
        </w:rPr>
        <w:t xml:space="preserve"> pailgėjo pacientų, kurie serga inkstų funkcijos sutrikimu, organizme.</w:t>
      </w:r>
    </w:p>
    <w:p w14:paraId="6730EB19" w14:textId="77777777" w:rsidR="00AE6755" w:rsidRPr="009F0293" w:rsidRDefault="00AE6755" w:rsidP="00D36D62">
      <w:pPr>
        <w:rPr>
          <w:szCs w:val="22"/>
        </w:rPr>
      </w:pPr>
    </w:p>
    <w:p w14:paraId="5AB80808" w14:textId="77777777" w:rsidR="00AE6755" w:rsidRPr="009F0293" w:rsidRDefault="00AE6755" w:rsidP="001F2847">
      <w:pPr>
        <w:tabs>
          <w:tab w:val="left" w:pos="567"/>
        </w:tabs>
        <w:rPr>
          <w:b/>
          <w:szCs w:val="22"/>
        </w:rPr>
      </w:pPr>
      <w:r w:rsidRPr="009F0293">
        <w:rPr>
          <w:b/>
          <w:szCs w:val="22"/>
        </w:rPr>
        <w:t>5.3</w:t>
      </w:r>
      <w:r w:rsidRPr="009F0293">
        <w:rPr>
          <w:b/>
          <w:szCs w:val="22"/>
        </w:rPr>
        <w:tab/>
        <w:t>Ikiklinikinių saugumo tyrimų duomenys</w:t>
      </w:r>
    </w:p>
    <w:p w14:paraId="6118EE99" w14:textId="77777777" w:rsidR="00AE6755" w:rsidRPr="009F0293" w:rsidRDefault="00AE6755" w:rsidP="001F2847">
      <w:pPr>
        <w:rPr>
          <w:szCs w:val="22"/>
        </w:rPr>
      </w:pPr>
    </w:p>
    <w:p w14:paraId="14865FAB" w14:textId="77777777" w:rsidR="00AE6755" w:rsidRPr="009F0293" w:rsidRDefault="00AE6755" w:rsidP="00A1727B">
      <w:pPr>
        <w:rPr>
          <w:szCs w:val="22"/>
        </w:rPr>
      </w:pPr>
      <w:r w:rsidRPr="009F0293">
        <w:rPr>
          <w:szCs w:val="22"/>
        </w:rPr>
        <w:t xml:space="preserve">Kokybiškai naujų duomenų apie toksinį poveikį vartojant vaistinių preparatų derinį, palyginti su kiekviena veikliąja medžiagai, vartojama atskirai, negauta. Ikiklinikiniai saugumo tyrimai parodė didelių kandesartano dozių poveikį pelių, žiurkių, šunų ir beždžionių inkstams bei eritrocitų rodikliams. Kandesartanas sukėlė eritrocitų skaičiaus, hemoglobino koncentracijos ir hematokrito rodiklio sumažėjimą. Kandesartano sukelti inkstų pokyčiai (regeneracija, kanalėlių išsiplėtimas ir bazofilija; padidėjusi šlapalo ir kreatinino koncentracija </w:t>
      </w:r>
      <w:r w:rsidR="003B79EB" w:rsidRPr="009F0293">
        <w:rPr>
          <w:szCs w:val="22"/>
        </w:rPr>
        <w:t xml:space="preserve">kraujo </w:t>
      </w:r>
      <w:r w:rsidRPr="009F0293">
        <w:rPr>
          <w:szCs w:val="22"/>
        </w:rPr>
        <w:t>plazmoje) gali būti kraujospūdį mažinančio poveikio, dėl kurio pablogėja inkstų kraujotaka, pasekmė. Pradėjus papildomai vartoti hidrochlorotiazidą, kandesartano nefrotoksinis poveikis sustiprėja. Be to, kandesartanas sukėlė inkstų jukstaglomerulinių ląstelių hiperplaziją ar hipertrofiją, kurios priežastimi laikytas jo farmakologinis poveikis, o jų klinikinė reikšmė yra maža</w:t>
      </w:r>
      <w:r w:rsidRPr="009F0293">
        <w:rPr>
          <w:rStyle w:val="FontStyle22"/>
          <w:sz w:val="22"/>
          <w:szCs w:val="22"/>
        </w:rPr>
        <w:t>.</w:t>
      </w:r>
    </w:p>
    <w:p w14:paraId="0210CECF" w14:textId="77777777" w:rsidR="00AE6755" w:rsidRPr="009F0293" w:rsidRDefault="00AE6755" w:rsidP="001F2847">
      <w:pPr>
        <w:rPr>
          <w:szCs w:val="22"/>
        </w:rPr>
      </w:pPr>
    </w:p>
    <w:p w14:paraId="59DA8AB4" w14:textId="5E18AFFC" w:rsidR="00AE6755" w:rsidRPr="009F0293" w:rsidRDefault="00AE6755" w:rsidP="00D36D62">
      <w:pPr>
        <w:rPr>
          <w:szCs w:val="22"/>
        </w:rPr>
      </w:pPr>
      <w:r w:rsidRPr="009F0293">
        <w:rPr>
          <w:szCs w:val="22"/>
        </w:rPr>
        <w:t>Pastebėtas vaikingumo laikotarpio pabaigoje duodamo kandesartano fetotoksinis poveikis. Papildomai paskirtas hidrochlorotiazidas nedarė reikšmingo poveikio žiurkių, pelių ar triušių vaisiaus vystymosi tyrimų baigtims (žr. 4.6 skyrių).</w:t>
      </w:r>
    </w:p>
    <w:p w14:paraId="3007FB61" w14:textId="77777777" w:rsidR="00AE6755" w:rsidRPr="009F0293" w:rsidRDefault="00AE6755" w:rsidP="001F2847">
      <w:pPr>
        <w:rPr>
          <w:szCs w:val="22"/>
        </w:rPr>
      </w:pPr>
    </w:p>
    <w:p w14:paraId="3D437681" w14:textId="29353EC3" w:rsidR="00AE6755" w:rsidRPr="009F0293" w:rsidRDefault="00AE6755" w:rsidP="00D36D62">
      <w:pPr>
        <w:rPr>
          <w:szCs w:val="22"/>
        </w:rPr>
      </w:pPr>
      <w:r w:rsidRPr="009F0293">
        <w:rPr>
          <w:szCs w:val="22"/>
        </w:rPr>
        <w:t xml:space="preserve">Labai didelės kandesartano ir hidrochlorotiazido koncentracijos dozės sukėlė genotoksinį poveikį. </w:t>
      </w:r>
      <w:r w:rsidRPr="009F0293">
        <w:rPr>
          <w:i/>
          <w:szCs w:val="22"/>
        </w:rPr>
        <w:t>In</w:t>
      </w:r>
      <w:r w:rsidR="00E02AB5">
        <w:rPr>
          <w:i/>
          <w:szCs w:val="22"/>
        </w:rPr>
        <w:t> </w:t>
      </w:r>
      <w:r w:rsidRPr="009F0293">
        <w:rPr>
          <w:i/>
          <w:szCs w:val="22"/>
        </w:rPr>
        <w:t>vitro</w:t>
      </w:r>
      <w:r w:rsidRPr="009F0293">
        <w:rPr>
          <w:szCs w:val="22"/>
        </w:rPr>
        <w:t xml:space="preserve"> ir </w:t>
      </w:r>
      <w:r w:rsidRPr="009F0293">
        <w:rPr>
          <w:i/>
          <w:szCs w:val="22"/>
        </w:rPr>
        <w:t>in vivo</w:t>
      </w:r>
      <w:r w:rsidRPr="009F0293">
        <w:rPr>
          <w:szCs w:val="22"/>
        </w:rPr>
        <w:t xml:space="preserve"> atliktų genotoksiškumo tyrimų duomenimis, klinikinėmis sąlygomis vartojam</w:t>
      </w:r>
      <w:r w:rsidR="0092228D">
        <w:rPr>
          <w:szCs w:val="22"/>
        </w:rPr>
        <w:t>as</w:t>
      </w:r>
      <w:r w:rsidRPr="009F0293">
        <w:rPr>
          <w:szCs w:val="22"/>
        </w:rPr>
        <w:t xml:space="preserve"> kandesartanas greičiausiai nesukelia mutageninio ar klastogeninio poveikio žmogui.</w:t>
      </w:r>
    </w:p>
    <w:p w14:paraId="60260A87" w14:textId="77777777" w:rsidR="00AE6755" w:rsidRPr="009F0293" w:rsidRDefault="00AE6755" w:rsidP="001F2847">
      <w:pPr>
        <w:rPr>
          <w:szCs w:val="22"/>
        </w:rPr>
      </w:pPr>
    </w:p>
    <w:p w14:paraId="2E6ECAD0" w14:textId="7AB57E87" w:rsidR="00AE6755" w:rsidRPr="009F0293" w:rsidRDefault="00AE6755" w:rsidP="00D36D62">
      <w:pPr>
        <w:rPr>
          <w:szCs w:val="22"/>
        </w:rPr>
      </w:pPr>
      <w:r w:rsidRPr="009F0293">
        <w:rPr>
          <w:szCs w:val="22"/>
        </w:rPr>
        <w:t xml:space="preserve">Nėra duomenų, kad </w:t>
      </w:r>
      <w:r w:rsidR="008E67BD">
        <w:rPr>
          <w:szCs w:val="22"/>
        </w:rPr>
        <w:t>kandesartanas</w:t>
      </w:r>
      <w:r w:rsidRPr="009F0293">
        <w:rPr>
          <w:szCs w:val="22"/>
        </w:rPr>
        <w:t xml:space="preserve"> darytų kancerogeninį poveikį.</w:t>
      </w:r>
    </w:p>
    <w:p w14:paraId="6B676B5F" w14:textId="77777777" w:rsidR="00AE6755" w:rsidRPr="009F0293" w:rsidRDefault="00AE6755" w:rsidP="001F2847">
      <w:pPr>
        <w:rPr>
          <w:szCs w:val="22"/>
        </w:rPr>
      </w:pPr>
    </w:p>
    <w:p w14:paraId="798F053B" w14:textId="77777777" w:rsidR="00AE6755" w:rsidRPr="009F0293" w:rsidRDefault="00AE6755" w:rsidP="001F2847">
      <w:pPr>
        <w:rPr>
          <w:szCs w:val="22"/>
        </w:rPr>
      </w:pPr>
    </w:p>
    <w:p w14:paraId="7EC8B406" w14:textId="77777777" w:rsidR="00AE6755" w:rsidRPr="009F0293" w:rsidRDefault="00AE6755" w:rsidP="00615887">
      <w:pPr>
        <w:keepNext/>
        <w:tabs>
          <w:tab w:val="left" w:pos="567"/>
        </w:tabs>
        <w:rPr>
          <w:b/>
          <w:szCs w:val="22"/>
        </w:rPr>
      </w:pPr>
      <w:r w:rsidRPr="009F0293">
        <w:rPr>
          <w:b/>
          <w:szCs w:val="22"/>
        </w:rPr>
        <w:t>6.</w:t>
      </w:r>
      <w:r w:rsidRPr="009F0293">
        <w:rPr>
          <w:b/>
          <w:szCs w:val="22"/>
        </w:rPr>
        <w:tab/>
        <w:t>FARMACINĖ INFORMACIJA</w:t>
      </w:r>
    </w:p>
    <w:p w14:paraId="74AF334D" w14:textId="77777777" w:rsidR="00AE6755" w:rsidRPr="009F0293" w:rsidRDefault="00AE6755" w:rsidP="00615887">
      <w:pPr>
        <w:keepNext/>
        <w:rPr>
          <w:b/>
          <w:szCs w:val="22"/>
        </w:rPr>
      </w:pPr>
    </w:p>
    <w:p w14:paraId="00500B2F" w14:textId="77777777" w:rsidR="00AE6755" w:rsidRPr="009F0293" w:rsidRDefault="00AE6755" w:rsidP="00615887">
      <w:pPr>
        <w:keepNext/>
        <w:tabs>
          <w:tab w:val="left" w:pos="567"/>
        </w:tabs>
        <w:rPr>
          <w:b/>
          <w:szCs w:val="22"/>
        </w:rPr>
      </w:pPr>
      <w:r w:rsidRPr="009F0293">
        <w:rPr>
          <w:b/>
          <w:szCs w:val="22"/>
        </w:rPr>
        <w:t>6.1</w:t>
      </w:r>
      <w:r w:rsidRPr="009F0293">
        <w:rPr>
          <w:b/>
          <w:szCs w:val="22"/>
        </w:rPr>
        <w:tab/>
        <w:t>Pagalbinių medžiagų sąrašas</w:t>
      </w:r>
    </w:p>
    <w:p w14:paraId="19C9C771" w14:textId="77777777" w:rsidR="00AE6755" w:rsidRPr="009F0293" w:rsidRDefault="00AE6755" w:rsidP="00615887">
      <w:pPr>
        <w:keepNext/>
        <w:rPr>
          <w:szCs w:val="22"/>
        </w:rPr>
      </w:pPr>
    </w:p>
    <w:p w14:paraId="6CF50AD3" w14:textId="77777777" w:rsidR="00AE6755" w:rsidRPr="009F0293" w:rsidRDefault="00AE6755" w:rsidP="00615887">
      <w:pPr>
        <w:keepNext/>
        <w:rPr>
          <w:szCs w:val="22"/>
        </w:rPr>
      </w:pPr>
      <w:r w:rsidRPr="009F0293">
        <w:rPr>
          <w:szCs w:val="22"/>
        </w:rPr>
        <w:t>Laktozė monohidratas</w:t>
      </w:r>
    </w:p>
    <w:p w14:paraId="0FAD2185" w14:textId="77777777" w:rsidR="00AE6755" w:rsidRPr="009F0293" w:rsidRDefault="00AE6755" w:rsidP="001F2847">
      <w:pPr>
        <w:rPr>
          <w:szCs w:val="22"/>
        </w:rPr>
      </w:pPr>
      <w:r w:rsidRPr="009F0293">
        <w:rPr>
          <w:szCs w:val="22"/>
        </w:rPr>
        <w:t>Kukurūzų krakmolas</w:t>
      </w:r>
    </w:p>
    <w:p w14:paraId="7FEBA156" w14:textId="77777777" w:rsidR="00AE6755" w:rsidRPr="009F0293" w:rsidRDefault="00AE6755" w:rsidP="001F2847">
      <w:pPr>
        <w:rPr>
          <w:szCs w:val="22"/>
        </w:rPr>
      </w:pPr>
      <w:r w:rsidRPr="009F0293">
        <w:rPr>
          <w:szCs w:val="22"/>
        </w:rPr>
        <w:t>Hidroksipropilceliuliozė (E 463)</w:t>
      </w:r>
    </w:p>
    <w:p w14:paraId="0D995F06" w14:textId="77777777" w:rsidR="00AE6755" w:rsidRPr="009F0293" w:rsidRDefault="00AE6755" w:rsidP="001F2847">
      <w:pPr>
        <w:rPr>
          <w:szCs w:val="22"/>
        </w:rPr>
      </w:pPr>
      <w:r w:rsidRPr="009F0293">
        <w:rPr>
          <w:szCs w:val="22"/>
        </w:rPr>
        <w:lastRenderedPageBreak/>
        <w:t>Kroskarmeliozės natrio druska (E 468)</w:t>
      </w:r>
    </w:p>
    <w:p w14:paraId="4FDF298B" w14:textId="77777777" w:rsidR="00AE6755" w:rsidRPr="009F0293" w:rsidRDefault="00AE6755" w:rsidP="001F2847">
      <w:pPr>
        <w:rPr>
          <w:szCs w:val="22"/>
        </w:rPr>
      </w:pPr>
      <w:r w:rsidRPr="009F0293">
        <w:rPr>
          <w:szCs w:val="22"/>
        </w:rPr>
        <w:t>Magnio stearatas (E 572)</w:t>
      </w:r>
    </w:p>
    <w:p w14:paraId="3F499476" w14:textId="77777777" w:rsidR="00AE6755" w:rsidRPr="009F0293" w:rsidRDefault="00AE6755" w:rsidP="001F2847">
      <w:pPr>
        <w:rPr>
          <w:szCs w:val="22"/>
        </w:rPr>
      </w:pPr>
      <w:r w:rsidRPr="009F0293">
        <w:rPr>
          <w:szCs w:val="22"/>
        </w:rPr>
        <w:t>Trietilo citratas (E 1505)</w:t>
      </w:r>
    </w:p>
    <w:p w14:paraId="04D139FA" w14:textId="77777777" w:rsidR="00AE6755" w:rsidRPr="009F0293" w:rsidRDefault="00AE6755" w:rsidP="001F2847">
      <w:pPr>
        <w:rPr>
          <w:szCs w:val="22"/>
        </w:rPr>
      </w:pPr>
    </w:p>
    <w:p w14:paraId="69A9EDC1" w14:textId="77777777" w:rsidR="00AE6755" w:rsidRPr="009F0293" w:rsidRDefault="00AE6755" w:rsidP="001F2847">
      <w:pPr>
        <w:tabs>
          <w:tab w:val="left" w:pos="567"/>
        </w:tabs>
        <w:rPr>
          <w:b/>
          <w:szCs w:val="22"/>
        </w:rPr>
      </w:pPr>
      <w:r w:rsidRPr="009F0293">
        <w:rPr>
          <w:b/>
          <w:szCs w:val="22"/>
        </w:rPr>
        <w:t>6.2</w:t>
      </w:r>
      <w:r w:rsidRPr="009F0293">
        <w:rPr>
          <w:b/>
          <w:szCs w:val="22"/>
        </w:rPr>
        <w:tab/>
        <w:t>Nesuderinamumas</w:t>
      </w:r>
    </w:p>
    <w:p w14:paraId="3712FF52" w14:textId="77777777" w:rsidR="00AE6755" w:rsidRPr="009F0293" w:rsidRDefault="00AE6755" w:rsidP="001F2847">
      <w:pPr>
        <w:rPr>
          <w:szCs w:val="22"/>
        </w:rPr>
      </w:pPr>
    </w:p>
    <w:p w14:paraId="6ED9D071" w14:textId="77777777" w:rsidR="00AE6755" w:rsidRPr="009F0293" w:rsidRDefault="00AE6755" w:rsidP="001F2847">
      <w:pPr>
        <w:rPr>
          <w:szCs w:val="22"/>
        </w:rPr>
      </w:pPr>
      <w:r w:rsidRPr="009F0293">
        <w:rPr>
          <w:szCs w:val="22"/>
        </w:rPr>
        <w:t>Duomenys nebūtini.</w:t>
      </w:r>
    </w:p>
    <w:p w14:paraId="351E6F38" w14:textId="77777777" w:rsidR="00AE6755" w:rsidRPr="009F0293" w:rsidRDefault="00AE6755" w:rsidP="001F2847">
      <w:pPr>
        <w:rPr>
          <w:szCs w:val="22"/>
        </w:rPr>
      </w:pPr>
    </w:p>
    <w:p w14:paraId="6B9D8E09" w14:textId="77777777" w:rsidR="00AE6755" w:rsidRPr="009F0293" w:rsidRDefault="00AE6755" w:rsidP="001F2847">
      <w:pPr>
        <w:tabs>
          <w:tab w:val="left" w:pos="567"/>
        </w:tabs>
        <w:rPr>
          <w:b/>
          <w:szCs w:val="22"/>
        </w:rPr>
      </w:pPr>
      <w:r w:rsidRPr="009F0293">
        <w:rPr>
          <w:b/>
          <w:szCs w:val="22"/>
        </w:rPr>
        <w:t>6.3</w:t>
      </w:r>
      <w:r w:rsidRPr="009F0293">
        <w:rPr>
          <w:b/>
          <w:szCs w:val="22"/>
        </w:rPr>
        <w:tab/>
        <w:t>Tinkamumo laikas</w:t>
      </w:r>
    </w:p>
    <w:p w14:paraId="165ECF2E" w14:textId="77777777" w:rsidR="00AE6755" w:rsidRPr="009F0293" w:rsidRDefault="00AE6755" w:rsidP="001F2847">
      <w:pPr>
        <w:rPr>
          <w:szCs w:val="22"/>
        </w:rPr>
      </w:pPr>
    </w:p>
    <w:p w14:paraId="4E3EDE5E" w14:textId="77777777" w:rsidR="00AE6755" w:rsidRPr="009F0293" w:rsidRDefault="00AE6755" w:rsidP="001F2847">
      <w:pPr>
        <w:rPr>
          <w:szCs w:val="22"/>
        </w:rPr>
      </w:pPr>
      <w:r w:rsidRPr="009F0293">
        <w:rPr>
          <w:szCs w:val="22"/>
        </w:rPr>
        <w:t>3 metai</w:t>
      </w:r>
    </w:p>
    <w:p w14:paraId="5CE5A100" w14:textId="77777777" w:rsidR="00AE6755" w:rsidRPr="009F0293" w:rsidRDefault="00AE6755" w:rsidP="001F2847">
      <w:pPr>
        <w:rPr>
          <w:szCs w:val="22"/>
        </w:rPr>
      </w:pPr>
    </w:p>
    <w:p w14:paraId="705E6992" w14:textId="77777777" w:rsidR="00AE6755" w:rsidRPr="009F0293" w:rsidRDefault="00AE6755" w:rsidP="001F2847">
      <w:pPr>
        <w:tabs>
          <w:tab w:val="left" w:pos="567"/>
        </w:tabs>
        <w:rPr>
          <w:b/>
          <w:szCs w:val="22"/>
        </w:rPr>
      </w:pPr>
      <w:r w:rsidRPr="009F0293">
        <w:rPr>
          <w:b/>
          <w:szCs w:val="22"/>
        </w:rPr>
        <w:t>6.4</w:t>
      </w:r>
      <w:r w:rsidRPr="009F0293">
        <w:rPr>
          <w:b/>
          <w:szCs w:val="22"/>
        </w:rPr>
        <w:tab/>
        <w:t>Specialios laikymo sąlygos</w:t>
      </w:r>
    </w:p>
    <w:p w14:paraId="7104E771" w14:textId="77777777" w:rsidR="00AE6755" w:rsidRPr="009F0293" w:rsidRDefault="00AE6755" w:rsidP="001F2847">
      <w:pPr>
        <w:rPr>
          <w:szCs w:val="22"/>
        </w:rPr>
      </w:pPr>
    </w:p>
    <w:p w14:paraId="642FDF59" w14:textId="77777777" w:rsidR="00AE6755" w:rsidRPr="009F0293" w:rsidRDefault="00AE6755" w:rsidP="001F2847">
      <w:pPr>
        <w:rPr>
          <w:szCs w:val="22"/>
        </w:rPr>
      </w:pPr>
      <w:r w:rsidRPr="009F0293">
        <w:rPr>
          <w:szCs w:val="22"/>
        </w:rPr>
        <w:t>Šiam vaistiniam preparatui specialių laikymo sąlygų nereikia.</w:t>
      </w:r>
    </w:p>
    <w:p w14:paraId="1B983892" w14:textId="77777777" w:rsidR="00AE6755" w:rsidRPr="009F0293" w:rsidRDefault="00AE6755" w:rsidP="001F2847">
      <w:pPr>
        <w:rPr>
          <w:szCs w:val="22"/>
        </w:rPr>
      </w:pPr>
    </w:p>
    <w:p w14:paraId="39BEE758" w14:textId="77777777" w:rsidR="00AE6755" w:rsidRPr="009F0293" w:rsidRDefault="00AE6755" w:rsidP="001F2847">
      <w:pPr>
        <w:tabs>
          <w:tab w:val="left" w:pos="567"/>
        </w:tabs>
        <w:rPr>
          <w:b/>
          <w:szCs w:val="22"/>
        </w:rPr>
      </w:pPr>
      <w:r w:rsidRPr="009F0293">
        <w:rPr>
          <w:b/>
          <w:szCs w:val="22"/>
        </w:rPr>
        <w:t>6.5</w:t>
      </w:r>
      <w:r w:rsidRPr="009F0293">
        <w:rPr>
          <w:b/>
          <w:szCs w:val="22"/>
        </w:rPr>
        <w:tab/>
      </w:r>
      <w:r w:rsidR="00EB08FE" w:rsidRPr="009F0293">
        <w:rPr>
          <w:b/>
          <w:szCs w:val="22"/>
        </w:rPr>
        <w:t>Talpyklės pobūdis</w:t>
      </w:r>
      <w:r w:rsidRPr="009F0293">
        <w:rPr>
          <w:b/>
          <w:szCs w:val="22"/>
        </w:rPr>
        <w:t xml:space="preserve"> ir jos turinys</w:t>
      </w:r>
    </w:p>
    <w:p w14:paraId="6BBDFE8C" w14:textId="77777777" w:rsidR="00AE6755" w:rsidRPr="009F0293" w:rsidRDefault="00AE6755" w:rsidP="001F2847">
      <w:pPr>
        <w:rPr>
          <w:szCs w:val="22"/>
        </w:rPr>
      </w:pPr>
    </w:p>
    <w:p w14:paraId="72DB2A0E" w14:textId="77777777" w:rsidR="00AE6755" w:rsidRPr="009F0293" w:rsidRDefault="00AE6755" w:rsidP="001F2847">
      <w:pPr>
        <w:rPr>
          <w:szCs w:val="22"/>
        </w:rPr>
      </w:pPr>
      <w:r w:rsidRPr="009F0293">
        <w:rPr>
          <w:szCs w:val="22"/>
        </w:rPr>
        <w:t>PVC/PVDC/Al lizdinė plokštelė</w:t>
      </w:r>
    </w:p>
    <w:p w14:paraId="5CE95C30" w14:textId="77777777" w:rsidR="00AE6755" w:rsidRPr="009F0293" w:rsidRDefault="00AE6755" w:rsidP="00C358A6">
      <w:pPr>
        <w:rPr>
          <w:szCs w:val="22"/>
        </w:rPr>
      </w:pPr>
      <w:r w:rsidRPr="009F0293">
        <w:rPr>
          <w:szCs w:val="22"/>
        </w:rPr>
        <w:t>Pakuočių dydžiai: 7, 14, 28, 30, 56, 70, 90, 98 tabletės.</w:t>
      </w:r>
    </w:p>
    <w:p w14:paraId="7F827613" w14:textId="77777777" w:rsidR="00AE6755" w:rsidRPr="009F0293" w:rsidRDefault="00AE6755" w:rsidP="001F2847">
      <w:pPr>
        <w:rPr>
          <w:szCs w:val="22"/>
        </w:rPr>
      </w:pPr>
    </w:p>
    <w:p w14:paraId="4AF8B289" w14:textId="77777777" w:rsidR="00AE6755" w:rsidRPr="009F0293" w:rsidRDefault="00AE6755" w:rsidP="001F2847">
      <w:pPr>
        <w:rPr>
          <w:szCs w:val="22"/>
        </w:rPr>
      </w:pPr>
      <w:r w:rsidRPr="009F0293">
        <w:rPr>
          <w:szCs w:val="22"/>
        </w:rPr>
        <w:t>Gali būti tiekiamos ne visų dydžių pakuotės.</w:t>
      </w:r>
    </w:p>
    <w:p w14:paraId="41E60085" w14:textId="77777777" w:rsidR="00AE6755" w:rsidRPr="009F0293" w:rsidRDefault="00AE6755" w:rsidP="001F2847">
      <w:pPr>
        <w:rPr>
          <w:szCs w:val="22"/>
        </w:rPr>
      </w:pPr>
    </w:p>
    <w:p w14:paraId="2FAEC47C" w14:textId="77777777" w:rsidR="00AE6755" w:rsidRPr="009F0293" w:rsidRDefault="00AE6755" w:rsidP="001F2847">
      <w:pPr>
        <w:tabs>
          <w:tab w:val="left" w:pos="567"/>
        </w:tabs>
        <w:rPr>
          <w:b/>
          <w:szCs w:val="22"/>
        </w:rPr>
      </w:pPr>
      <w:r w:rsidRPr="009F0293">
        <w:rPr>
          <w:b/>
          <w:szCs w:val="22"/>
        </w:rPr>
        <w:t>6.6</w:t>
      </w:r>
      <w:r w:rsidRPr="009F0293">
        <w:rPr>
          <w:b/>
          <w:szCs w:val="22"/>
        </w:rPr>
        <w:tab/>
        <w:t>Specialūs reikalavimai atliekoms tvarkyti</w:t>
      </w:r>
      <w:r w:rsidR="00EB08FE" w:rsidRPr="009F0293">
        <w:rPr>
          <w:b/>
          <w:szCs w:val="22"/>
        </w:rPr>
        <w:t xml:space="preserve"> ir vaistiniam preparatui ruošti</w:t>
      </w:r>
    </w:p>
    <w:p w14:paraId="5EB49E8A" w14:textId="77777777" w:rsidR="00AE6755" w:rsidRPr="009F0293" w:rsidRDefault="00AE6755" w:rsidP="001F2847">
      <w:pPr>
        <w:rPr>
          <w:szCs w:val="22"/>
        </w:rPr>
      </w:pPr>
    </w:p>
    <w:p w14:paraId="5232F7A3" w14:textId="77777777" w:rsidR="00AE6755" w:rsidRPr="009F0293" w:rsidRDefault="00AE6755" w:rsidP="001F2847">
      <w:pPr>
        <w:rPr>
          <w:szCs w:val="22"/>
        </w:rPr>
      </w:pPr>
      <w:r w:rsidRPr="009F0293">
        <w:rPr>
          <w:szCs w:val="22"/>
        </w:rPr>
        <w:t>Specialių reikalavimų nėra.</w:t>
      </w:r>
    </w:p>
    <w:p w14:paraId="08530A73" w14:textId="2E92BE4E" w:rsidR="00AE6755" w:rsidRDefault="00AE6755" w:rsidP="001F2847">
      <w:pPr>
        <w:rPr>
          <w:szCs w:val="22"/>
        </w:rPr>
      </w:pPr>
    </w:p>
    <w:p w14:paraId="4E9B8981" w14:textId="3FF70B88" w:rsidR="001E4D16" w:rsidRPr="009F0293" w:rsidRDefault="001E4D16" w:rsidP="001F2847">
      <w:pPr>
        <w:rPr>
          <w:szCs w:val="22"/>
        </w:rPr>
      </w:pPr>
      <w:r>
        <w:rPr>
          <w:szCs w:val="24"/>
        </w:rPr>
        <w:t>Nesuvartotą vaistinį preparatą ar atliekas reikia tvarkyti laikantis vietinių reikalavimų.</w:t>
      </w:r>
    </w:p>
    <w:p w14:paraId="74C49645" w14:textId="6A8C3E98" w:rsidR="00AE6755" w:rsidRDefault="00AE6755" w:rsidP="001F2847">
      <w:pPr>
        <w:rPr>
          <w:szCs w:val="22"/>
        </w:rPr>
      </w:pPr>
    </w:p>
    <w:p w14:paraId="214A37FE" w14:textId="77777777" w:rsidR="001E4D16" w:rsidRPr="009F0293" w:rsidRDefault="001E4D16" w:rsidP="001F2847">
      <w:pPr>
        <w:rPr>
          <w:szCs w:val="22"/>
        </w:rPr>
      </w:pPr>
    </w:p>
    <w:p w14:paraId="34C5D39F" w14:textId="1DE972B6" w:rsidR="00AE6755" w:rsidRPr="009F0293" w:rsidRDefault="00AE6755" w:rsidP="001F2847">
      <w:pPr>
        <w:tabs>
          <w:tab w:val="left" w:pos="567"/>
        </w:tabs>
        <w:rPr>
          <w:b/>
          <w:szCs w:val="22"/>
        </w:rPr>
      </w:pPr>
      <w:r w:rsidRPr="009F0293">
        <w:rPr>
          <w:b/>
          <w:szCs w:val="22"/>
        </w:rPr>
        <w:t>7.</w:t>
      </w:r>
      <w:r w:rsidRPr="009F0293">
        <w:rPr>
          <w:b/>
          <w:szCs w:val="22"/>
        </w:rPr>
        <w:tab/>
      </w:r>
      <w:r w:rsidR="00924C8F" w:rsidRPr="009F0293">
        <w:rPr>
          <w:b/>
          <w:szCs w:val="22"/>
        </w:rPr>
        <w:t>REGISTRUOTOJAS</w:t>
      </w:r>
    </w:p>
    <w:p w14:paraId="24544CA9" w14:textId="77777777" w:rsidR="00AE6755" w:rsidRPr="009F0293" w:rsidRDefault="00AE6755" w:rsidP="001F2847">
      <w:pPr>
        <w:rPr>
          <w:szCs w:val="22"/>
        </w:rPr>
      </w:pPr>
    </w:p>
    <w:p w14:paraId="510DB753" w14:textId="1FE27188" w:rsidR="00AE6755" w:rsidRPr="009F0293" w:rsidRDefault="009D0F8D" w:rsidP="00553726">
      <w:pPr>
        <w:tabs>
          <w:tab w:val="left" w:pos="567"/>
        </w:tabs>
        <w:ind w:left="567" w:hanging="567"/>
        <w:rPr>
          <w:szCs w:val="22"/>
        </w:rPr>
      </w:pPr>
      <w:r w:rsidRPr="009F0293">
        <w:rPr>
          <w:szCs w:val="22"/>
        </w:rPr>
        <w:t>Zentiva</w:t>
      </w:r>
      <w:r w:rsidR="00AE6755" w:rsidRPr="009F0293">
        <w:rPr>
          <w:szCs w:val="22"/>
        </w:rPr>
        <w:t>, k.s.</w:t>
      </w:r>
    </w:p>
    <w:p w14:paraId="163ED361" w14:textId="77777777" w:rsidR="00AE6755" w:rsidRPr="009F0293" w:rsidRDefault="00AE6755" w:rsidP="00553726">
      <w:pPr>
        <w:tabs>
          <w:tab w:val="left" w:pos="567"/>
        </w:tabs>
        <w:ind w:left="567" w:hanging="567"/>
        <w:rPr>
          <w:szCs w:val="22"/>
        </w:rPr>
      </w:pPr>
      <w:r w:rsidRPr="009F0293">
        <w:rPr>
          <w:szCs w:val="22"/>
        </w:rPr>
        <w:t>U kabelovny 130</w:t>
      </w:r>
    </w:p>
    <w:p w14:paraId="033FFD1E" w14:textId="77777777" w:rsidR="00AE6755" w:rsidRPr="009F0293" w:rsidRDefault="00AE6755" w:rsidP="00553726">
      <w:pPr>
        <w:tabs>
          <w:tab w:val="left" w:pos="567"/>
        </w:tabs>
        <w:ind w:left="567" w:hanging="567"/>
        <w:rPr>
          <w:szCs w:val="22"/>
        </w:rPr>
      </w:pPr>
      <w:r w:rsidRPr="009F0293">
        <w:rPr>
          <w:szCs w:val="22"/>
        </w:rPr>
        <w:t>Dolní Měcholupy</w:t>
      </w:r>
    </w:p>
    <w:p w14:paraId="48DE2950" w14:textId="5DE88226" w:rsidR="00AE6755" w:rsidRPr="009F0293" w:rsidRDefault="00AE6755" w:rsidP="00553726">
      <w:pPr>
        <w:tabs>
          <w:tab w:val="left" w:pos="567"/>
        </w:tabs>
        <w:ind w:left="567" w:hanging="567"/>
        <w:rPr>
          <w:szCs w:val="22"/>
        </w:rPr>
      </w:pPr>
      <w:r w:rsidRPr="009F0293">
        <w:rPr>
          <w:szCs w:val="22"/>
        </w:rPr>
        <w:t>102 37 Praha 10</w:t>
      </w:r>
    </w:p>
    <w:p w14:paraId="0DE3AB7F" w14:textId="77777777" w:rsidR="00AE6755" w:rsidRPr="009F0293" w:rsidRDefault="00AE6755" w:rsidP="00553726">
      <w:pPr>
        <w:ind w:left="567" w:hanging="567"/>
        <w:rPr>
          <w:szCs w:val="22"/>
        </w:rPr>
      </w:pPr>
      <w:r w:rsidRPr="009F0293">
        <w:rPr>
          <w:szCs w:val="22"/>
        </w:rPr>
        <w:t>Čekija</w:t>
      </w:r>
    </w:p>
    <w:p w14:paraId="7236F1EA" w14:textId="77777777" w:rsidR="00AE6755" w:rsidRPr="009F0293" w:rsidRDefault="00AE6755" w:rsidP="001F2847">
      <w:pPr>
        <w:rPr>
          <w:szCs w:val="22"/>
        </w:rPr>
      </w:pPr>
    </w:p>
    <w:p w14:paraId="40EB827D" w14:textId="77777777" w:rsidR="00AE6755" w:rsidRPr="009F0293" w:rsidRDefault="00AE6755" w:rsidP="001F2847">
      <w:pPr>
        <w:rPr>
          <w:szCs w:val="22"/>
        </w:rPr>
      </w:pPr>
    </w:p>
    <w:p w14:paraId="25F9BF37" w14:textId="0E16406E" w:rsidR="00AE6755" w:rsidRPr="009F0293" w:rsidRDefault="00AE6755" w:rsidP="001F2847">
      <w:pPr>
        <w:tabs>
          <w:tab w:val="left" w:pos="567"/>
        </w:tabs>
        <w:rPr>
          <w:b/>
          <w:szCs w:val="22"/>
        </w:rPr>
      </w:pPr>
      <w:r w:rsidRPr="009F0293">
        <w:rPr>
          <w:b/>
          <w:szCs w:val="22"/>
        </w:rPr>
        <w:t>8.</w:t>
      </w:r>
      <w:r w:rsidRPr="009F0293">
        <w:rPr>
          <w:b/>
          <w:szCs w:val="22"/>
        </w:rPr>
        <w:tab/>
      </w:r>
      <w:r w:rsidR="00924C8F" w:rsidRPr="009F0293">
        <w:rPr>
          <w:b/>
          <w:szCs w:val="22"/>
        </w:rPr>
        <w:t>REGISTRACIJOS PAŽYMĖJIMO NUMERIS (-IAI)</w:t>
      </w:r>
    </w:p>
    <w:p w14:paraId="79297798" w14:textId="77777777" w:rsidR="00AE6755" w:rsidRPr="009F0293" w:rsidRDefault="00AE6755" w:rsidP="001F2847">
      <w:pPr>
        <w:rPr>
          <w:szCs w:val="22"/>
        </w:rPr>
      </w:pPr>
    </w:p>
    <w:p w14:paraId="46DE0186" w14:textId="77777777" w:rsidR="00AE6755" w:rsidRPr="009F0293" w:rsidRDefault="00AE6755" w:rsidP="00054377">
      <w:pPr>
        <w:rPr>
          <w:bCs/>
          <w:szCs w:val="22"/>
        </w:rPr>
      </w:pPr>
      <w:r w:rsidRPr="009F0293">
        <w:rPr>
          <w:bCs/>
          <w:szCs w:val="22"/>
        </w:rPr>
        <w:t>N7 - LT/1/11/2720/009</w:t>
      </w:r>
    </w:p>
    <w:p w14:paraId="4DED3C88" w14:textId="77777777" w:rsidR="00AE6755" w:rsidRPr="009F0293" w:rsidRDefault="00AE6755" w:rsidP="00054377">
      <w:pPr>
        <w:rPr>
          <w:bCs/>
          <w:szCs w:val="22"/>
        </w:rPr>
      </w:pPr>
      <w:r w:rsidRPr="009F0293">
        <w:rPr>
          <w:bCs/>
          <w:szCs w:val="22"/>
        </w:rPr>
        <w:t xml:space="preserve">N14 - LT/1/11/2720/010 </w:t>
      </w:r>
    </w:p>
    <w:p w14:paraId="213818DB" w14:textId="77777777" w:rsidR="00AE6755" w:rsidRPr="009F0293" w:rsidRDefault="00AE6755" w:rsidP="00054377">
      <w:pPr>
        <w:rPr>
          <w:bCs/>
          <w:szCs w:val="22"/>
        </w:rPr>
      </w:pPr>
      <w:r w:rsidRPr="009F0293">
        <w:rPr>
          <w:bCs/>
          <w:szCs w:val="22"/>
        </w:rPr>
        <w:t xml:space="preserve">N28 - LT/1/11/2720/011 </w:t>
      </w:r>
    </w:p>
    <w:p w14:paraId="001E4F2C" w14:textId="77777777" w:rsidR="00AE6755" w:rsidRPr="009F0293" w:rsidRDefault="00AE6755" w:rsidP="00054377">
      <w:pPr>
        <w:rPr>
          <w:bCs/>
          <w:szCs w:val="22"/>
        </w:rPr>
      </w:pPr>
      <w:r w:rsidRPr="009F0293">
        <w:rPr>
          <w:bCs/>
          <w:szCs w:val="22"/>
        </w:rPr>
        <w:t xml:space="preserve">N30 - LT/1/11/2720/012 </w:t>
      </w:r>
    </w:p>
    <w:p w14:paraId="25CFF4A5" w14:textId="77777777" w:rsidR="00AE6755" w:rsidRPr="009F0293" w:rsidRDefault="00AE6755" w:rsidP="00054377">
      <w:pPr>
        <w:rPr>
          <w:bCs/>
          <w:szCs w:val="22"/>
        </w:rPr>
      </w:pPr>
      <w:r w:rsidRPr="009F0293">
        <w:rPr>
          <w:bCs/>
          <w:szCs w:val="22"/>
        </w:rPr>
        <w:t xml:space="preserve">N56 - LT/1/11/2720/013 </w:t>
      </w:r>
    </w:p>
    <w:p w14:paraId="35E9377C" w14:textId="77777777" w:rsidR="00AE6755" w:rsidRPr="009F0293" w:rsidRDefault="00AE6755" w:rsidP="00054377">
      <w:pPr>
        <w:rPr>
          <w:bCs/>
          <w:szCs w:val="22"/>
        </w:rPr>
      </w:pPr>
      <w:r w:rsidRPr="009F0293">
        <w:rPr>
          <w:bCs/>
          <w:szCs w:val="22"/>
        </w:rPr>
        <w:t xml:space="preserve">N70 - LT/1/11/2720/014 </w:t>
      </w:r>
    </w:p>
    <w:p w14:paraId="4F02543B" w14:textId="77777777" w:rsidR="00AE6755" w:rsidRPr="009F0293" w:rsidRDefault="00AE6755" w:rsidP="00054377">
      <w:pPr>
        <w:rPr>
          <w:bCs/>
          <w:szCs w:val="22"/>
        </w:rPr>
      </w:pPr>
      <w:r w:rsidRPr="009F0293">
        <w:rPr>
          <w:bCs/>
          <w:szCs w:val="22"/>
        </w:rPr>
        <w:t xml:space="preserve">N90 - LT/1/11/2720/015 </w:t>
      </w:r>
    </w:p>
    <w:p w14:paraId="27664084" w14:textId="77777777" w:rsidR="00AE6755" w:rsidRPr="009F0293" w:rsidRDefault="00AE6755" w:rsidP="00054377">
      <w:pPr>
        <w:rPr>
          <w:bCs/>
          <w:szCs w:val="22"/>
        </w:rPr>
      </w:pPr>
      <w:r w:rsidRPr="009F0293">
        <w:rPr>
          <w:bCs/>
          <w:szCs w:val="22"/>
        </w:rPr>
        <w:t xml:space="preserve">N98 - LT/1/11/2720/016 </w:t>
      </w:r>
    </w:p>
    <w:p w14:paraId="18C5BCB5" w14:textId="77777777" w:rsidR="00AE6755" w:rsidRPr="009F0293" w:rsidRDefault="00AE6755" w:rsidP="001F2847">
      <w:pPr>
        <w:rPr>
          <w:szCs w:val="22"/>
        </w:rPr>
      </w:pPr>
    </w:p>
    <w:p w14:paraId="74E51A6E" w14:textId="77777777" w:rsidR="00AE6755" w:rsidRPr="009F0293" w:rsidRDefault="00AE6755" w:rsidP="001F2847">
      <w:pPr>
        <w:rPr>
          <w:szCs w:val="22"/>
        </w:rPr>
      </w:pPr>
    </w:p>
    <w:p w14:paraId="28332859" w14:textId="3E16ED9E" w:rsidR="00AE6755" w:rsidRPr="009F0293" w:rsidRDefault="00AE6755" w:rsidP="00924C8F">
      <w:pPr>
        <w:tabs>
          <w:tab w:val="left" w:pos="567"/>
        </w:tabs>
        <w:rPr>
          <w:szCs w:val="22"/>
        </w:rPr>
      </w:pPr>
      <w:r w:rsidRPr="009F0293">
        <w:rPr>
          <w:b/>
          <w:szCs w:val="22"/>
        </w:rPr>
        <w:t>9.</w:t>
      </w:r>
      <w:r w:rsidRPr="009F0293">
        <w:rPr>
          <w:b/>
          <w:szCs w:val="22"/>
        </w:rPr>
        <w:tab/>
      </w:r>
      <w:r w:rsidR="00924C8F" w:rsidRPr="009F0293">
        <w:rPr>
          <w:b/>
          <w:szCs w:val="22"/>
        </w:rPr>
        <w:t>REGISTRAVIMO / PERREGISTRAVIMO DATA</w:t>
      </w:r>
      <w:r w:rsidR="00924C8F" w:rsidRPr="009F0293" w:rsidDel="00924C8F">
        <w:rPr>
          <w:b/>
          <w:szCs w:val="22"/>
        </w:rPr>
        <w:t xml:space="preserve"> </w:t>
      </w:r>
    </w:p>
    <w:p w14:paraId="4D9FA284" w14:textId="77777777" w:rsidR="00924C8F" w:rsidRPr="009F0293" w:rsidRDefault="00924C8F" w:rsidP="001F2847">
      <w:pPr>
        <w:rPr>
          <w:szCs w:val="22"/>
        </w:rPr>
      </w:pPr>
    </w:p>
    <w:p w14:paraId="002A8709" w14:textId="7A29FC69" w:rsidR="00AE6755" w:rsidRPr="009F0293" w:rsidRDefault="00924C8F" w:rsidP="001F2847">
      <w:pPr>
        <w:rPr>
          <w:szCs w:val="22"/>
        </w:rPr>
      </w:pPr>
      <w:r w:rsidRPr="009F0293">
        <w:rPr>
          <w:szCs w:val="22"/>
        </w:rPr>
        <w:t>Registravimo data</w:t>
      </w:r>
      <w:r w:rsidR="00B9777D" w:rsidRPr="009F0293">
        <w:rPr>
          <w:szCs w:val="22"/>
        </w:rPr>
        <w:t xml:space="preserve"> 2011 m. gruodžio 16 d.</w:t>
      </w:r>
    </w:p>
    <w:p w14:paraId="7A8B1904" w14:textId="37C54055" w:rsidR="00AE6755" w:rsidRPr="009F0293" w:rsidRDefault="009D0F8D" w:rsidP="001F2847">
      <w:pPr>
        <w:rPr>
          <w:szCs w:val="22"/>
        </w:rPr>
      </w:pPr>
      <w:r w:rsidRPr="009F0293">
        <w:rPr>
          <w:szCs w:val="22"/>
        </w:rPr>
        <w:t>Paskutinio perregistravimo data</w:t>
      </w:r>
      <w:r w:rsidR="00C42373" w:rsidRPr="009F0293">
        <w:rPr>
          <w:szCs w:val="22"/>
        </w:rPr>
        <w:t xml:space="preserve"> 2017 m. balandžio 27 d.</w:t>
      </w:r>
    </w:p>
    <w:p w14:paraId="454BA9DD" w14:textId="77777777" w:rsidR="00AE6755" w:rsidRPr="009F0293" w:rsidRDefault="00AE6755" w:rsidP="001F2847">
      <w:pPr>
        <w:rPr>
          <w:szCs w:val="22"/>
        </w:rPr>
      </w:pPr>
    </w:p>
    <w:p w14:paraId="02C04B72" w14:textId="77777777" w:rsidR="00EB5E30" w:rsidRPr="009F0293" w:rsidRDefault="00EB5E30" w:rsidP="001F2847">
      <w:pPr>
        <w:rPr>
          <w:szCs w:val="22"/>
        </w:rPr>
      </w:pPr>
    </w:p>
    <w:p w14:paraId="261B04D2" w14:textId="77777777" w:rsidR="00AE6755" w:rsidRPr="009F0293" w:rsidRDefault="00AE6755" w:rsidP="001F2847">
      <w:pPr>
        <w:tabs>
          <w:tab w:val="left" w:pos="567"/>
        </w:tabs>
        <w:rPr>
          <w:b/>
          <w:szCs w:val="22"/>
        </w:rPr>
      </w:pPr>
      <w:r w:rsidRPr="009F0293">
        <w:rPr>
          <w:b/>
          <w:szCs w:val="22"/>
        </w:rPr>
        <w:lastRenderedPageBreak/>
        <w:t>10.</w:t>
      </w:r>
      <w:r w:rsidRPr="009F0293">
        <w:rPr>
          <w:b/>
          <w:szCs w:val="22"/>
        </w:rPr>
        <w:tab/>
        <w:t>TEKSTO PERŽIŪROS DATA</w:t>
      </w:r>
    </w:p>
    <w:p w14:paraId="7594ACCD" w14:textId="2541CC3B" w:rsidR="00AE6755" w:rsidRPr="009F0293" w:rsidRDefault="00AE6755" w:rsidP="001F2847">
      <w:pPr>
        <w:rPr>
          <w:szCs w:val="22"/>
        </w:rPr>
      </w:pPr>
    </w:p>
    <w:p w14:paraId="0FC4C6E0" w14:textId="0571B186" w:rsidR="004B7769" w:rsidRPr="009F0293" w:rsidRDefault="005F2514" w:rsidP="004B7769">
      <w:pPr>
        <w:ind w:left="567" w:hanging="567"/>
        <w:rPr>
          <w:szCs w:val="22"/>
        </w:rPr>
      </w:pPr>
      <w:r>
        <w:rPr>
          <w:szCs w:val="22"/>
        </w:rPr>
        <w:t>202</w:t>
      </w:r>
      <w:r w:rsidR="00D512EB">
        <w:rPr>
          <w:szCs w:val="22"/>
        </w:rPr>
        <w:t>5</w:t>
      </w:r>
      <w:r>
        <w:rPr>
          <w:szCs w:val="22"/>
        </w:rPr>
        <w:t xml:space="preserve"> m. </w:t>
      </w:r>
      <w:r w:rsidR="00D512EB">
        <w:rPr>
          <w:szCs w:val="22"/>
        </w:rPr>
        <w:t>sausio 24</w:t>
      </w:r>
      <w:r>
        <w:rPr>
          <w:szCs w:val="22"/>
        </w:rPr>
        <w:t xml:space="preserve"> d.</w:t>
      </w:r>
    </w:p>
    <w:p w14:paraId="0DD48F82" w14:textId="77777777" w:rsidR="00EF601B" w:rsidRPr="009F0293" w:rsidRDefault="00EF601B" w:rsidP="001F2847">
      <w:pPr>
        <w:rPr>
          <w:szCs w:val="22"/>
        </w:rPr>
      </w:pPr>
    </w:p>
    <w:p w14:paraId="19C3DA04" w14:textId="75B41D52" w:rsidR="00AE6755" w:rsidRPr="009F0293" w:rsidRDefault="00B9777D" w:rsidP="001F2847">
      <w:pPr>
        <w:rPr>
          <w:szCs w:val="22"/>
        </w:rPr>
      </w:pPr>
      <w:r w:rsidRPr="009F0293">
        <w:rPr>
          <w:szCs w:val="22"/>
        </w:rPr>
        <w:t>Išsami informacija apie šį vaistinį preparatą pateikiama Valstybinės vaistų kontrolės tarnybos prie Lietuvos Respublikos sveikatos apsaugos ministerijos tinklalapyje</w:t>
      </w:r>
      <w:r w:rsidR="00AE6755" w:rsidRPr="009F0293">
        <w:rPr>
          <w:szCs w:val="22"/>
        </w:rPr>
        <w:t xml:space="preserve"> </w:t>
      </w:r>
      <w:hyperlink r:id="rId7" w:history="1">
        <w:r w:rsidR="00D512EB" w:rsidRPr="00F608FC">
          <w:rPr>
            <w:rStyle w:val="Hipersaitas"/>
            <w:rFonts w:eastAsia="SimSun"/>
            <w:szCs w:val="22"/>
          </w:rPr>
          <w:t>https://vvkt.lrv.lt/lt/</w:t>
        </w:r>
      </w:hyperlink>
      <w:r w:rsidR="00D512EB">
        <w:rPr>
          <w:rStyle w:val="Hipersaitas"/>
          <w:rFonts w:eastAsia="SimSun"/>
          <w:szCs w:val="22"/>
        </w:rPr>
        <w:t>.</w:t>
      </w:r>
      <w:r w:rsidR="00AE6755" w:rsidRPr="009F0293">
        <w:rPr>
          <w:szCs w:val="22"/>
        </w:rPr>
        <w:br w:type="page"/>
      </w:r>
    </w:p>
    <w:p w14:paraId="098F9410" w14:textId="77777777" w:rsidR="00AE6755" w:rsidRPr="009F0293" w:rsidRDefault="00AE6755" w:rsidP="00D0601C">
      <w:pPr>
        <w:pStyle w:val="BTEMEASMCA"/>
        <w:numPr>
          <w:ilvl w:val="0"/>
          <w:numId w:val="0"/>
        </w:numPr>
        <w:rPr>
          <w:rFonts w:ascii="Times New Roman" w:hAnsi="Times New Roman"/>
          <w:sz w:val="22"/>
          <w:szCs w:val="22"/>
        </w:rPr>
      </w:pPr>
    </w:p>
    <w:p w14:paraId="642FDDA9" w14:textId="77777777" w:rsidR="00AE6755" w:rsidRPr="009F0293" w:rsidRDefault="00AE6755" w:rsidP="00D0601C">
      <w:pPr>
        <w:pStyle w:val="BTEMEASMCA"/>
        <w:numPr>
          <w:ilvl w:val="0"/>
          <w:numId w:val="0"/>
        </w:numPr>
        <w:rPr>
          <w:rFonts w:ascii="Times New Roman" w:hAnsi="Times New Roman"/>
          <w:sz w:val="22"/>
          <w:szCs w:val="22"/>
        </w:rPr>
      </w:pPr>
    </w:p>
    <w:p w14:paraId="1B5790E9" w14:textId="77777777" w:rsidR="00AE6755" w:rsidRPr="009F0293" w:rsidRDefault="00AE6755" w:rsidP="00D0601C">
      <w:pPr>
        <w:pStyle w:val="BTEMEASMCA"/>
        <w:numPr>
          <w:ilvl w:val="0"/>
          <w:numId w:val="0"/>
        </w:numPr>
        <w:rPr>
          <w:rFonts w:ascii="Times New Roman" w:hAnsi="Times New Roman"/>
          <w:sz w:val="22"/>
          <w:szCs w:val="22"/>
        </w:rPr>
      </w:pPr>
    </w:p>
    <w:p w14:paraId="095EFF6F" w14:textId="77777777" w:rsidR="00AE6755" w:rsidRPr="009F0293" w:rsidRDefault="00AE6755" w:rsidP="00D0601C">
      <w:pPr>
        <w:pStyle w:val="BTEMEASMCA"/>
        <w:numPr>
          <w:ilvl w:val="0"/>
          <w:numId w:val="0"/>
        </w:numPr>
        <w:rPr>
          <w:rFonts w:ascii="Times New Roman" w:hAnsi="Times New Roman"/>
          <w:sz w:val="22"/>
          <w:szCs w:val="22"/>
        </w:rPr>
      </w:pPr>
    </w:p>
    <w:p w14:paraId="1C79EF10" w14:textId="77777777" w:rsidR="00AE6755" w:rsidRPr="009F0293" w:rsidRDefault="00AE6755" w:rsidP="00D0601C">
      <w:pPr>
        <w:pStyle w:val="BTEMEASMCA"/>
        <w:numPr>
          <w:ilvl w:val="0"/>
          <w:numId w:val="0"/>
        </w:numPr>
        <w:rPr>
          <w:rFonts w:ascii="Times New Roman" w:hAnsi="Times New Roman"/>
          <w:sz w:val="22"/>
          <w:szCs w:val="22"/>
        </w:rPr>
      </w:pPr>
    </w:p>
    <w:p w14:paraId="0CD4F2F6" w14:textId="77777777" w:rsidR="00AE6755" w:rsidRPr="009F0293" w:rsidRDefault="00AE6755" w:rsidP="00D0601C">
      <w:pPr>
        <w:pStyle w:val="BTEMEASMCA"/>
        <w:numPr>
          <w:ilvl w:val="0"/>
          <w:numId w:val="0"/>
        </w:numPr>
        <w:rPr>
          <w:rFonts w:ascii="Times New Roman" w:hAnsi="Times New Roman"/>
          <w:sz w:val="22"/>
          <w:szCs w:val="22"/>
        </w:rPr>
      </w:pPr>
    </w:p>
    <w:p w14:paraId="6079790B" w14:textId="77777777" w:rsidR="00AE6755" w:rsidRPr="009F0293" w:rsidRDefault="00AE6755" w:rsidP="00D0601C">
      <w:pPr>
        <w:pStyle w:val="BTEMEASMCA"/>
        <w:numPr>
          <w:ilvl w:val="0"/>
          <w:numId w:val="0"/>
        </w:numPr>
        <w:rPr>
          <w:rFonts w:ascii="Times New Roman" w:hAnsi="Times New Roman"/>
          <w:sz w:val="22"/>
          <w:szCs w:val="22"/>
        </w:rPr>
      </w:pPr>
    </w:p>
    <w:p w14:paraId="2F25853F" w14:textId="77777777" w:rsidR="00AE6755" w:rsidRPr="009F0293" w:rsidRDefault="00AE6755" w:rsidP="00D0601C">
      <w:pPr>
        <w:pStyle w:val="BTEMEASMCA"/>
        <w:numPr>
          <w:ilvl w:val="0"/>
          <w:numId w:val="0"/>
        </w:numPr>
        <w:rPr>
          <w:rFonts w:ascii="Times New Roman" w:hAnsi="Times New Roman"/>
          <w:sz w:val="22"/>
          <w:szCs w:val="22"/>
        </w:rPr>
      </w:pPr>
    </w:p>
    <w:p w14:paraId="4D758B17" w14:textId="77777777" w:rsidR="00AE6755" w:rsidRPr="009F0293" w:rsidRDefault="00AE6755" w:rsidP="00D0601C">
      <w:pPr>
        <w:pStyle w:val="BTEMEASMCA"/>
        <w:numPr>
          <w:ilvl w:val="0"/>
          <w:numId w:val="0"/>
        </w:numPr>
        <w:rPr>
          <w:rFonts w:ascii="Times New Roman" w:hAnsi="Times New Roman"/>
          <w:sz w:val="22"/>
          <w:szCs w:val="22"/>
        </w:rPr>
      </w:pPr>
    </w:p>
    <w:p w14:paraId="3165DCF4" w14:textId="77777777" w:rsidR="00AE6755" w:rsidRPr="009F0293" w:rsidRDefault="00AE6755" w:rsidP="00D0601C">
      <w:pPr>
        <w:pStyle w:val="BTEMEASMCA"/>
        <w:numPr>
          <w:ilvl w:val="0"/>
          <w:numId w:val="0"/>
        </w:numPr>
        <w:rPr>
          <w:rFonts w:ascii="Times New Roman" w:hAnsi="Times New Roman"/>
          <w:sz w:val="22"/>
          <w:szCs w:val="22"/>
        </w:rPr>
      </w:pPr>
    </w:p>
    <w:p w14:paraId="2BDA5030" w14:textId="77777777" w:rsidR="00AE6755" w:rsidRPr="009F0293" w:rsidRDefault="00AE6755" w:rsidP="00D0601C">
      <w:pPr>
        <w:pStyle w:val="BTEMEASMCA"/>
        <w:numPr>
          <w:ilvl w:val="0"/>
          <w:numId w:val="0"/>
        </w:numPr>
        <w:rPr>
          <w:rFonts w:ascii="Times New Roman" w:hAnsi="Times New Roman"/>
          <w:sz w:val="22"/>
          <w:szCs w:val="22"/>
        </w:rPr>
      </w:pPr>
    </w:p>
    <w:p w14:paraId="71430937" w14:textId="77777777" w:rsidR="00AE6755" w:rsidRPr="009F0293" w:rsidRDefault="00AE6755" w:rsidP="00D0601C">
      <w:pPr>
        <w:pStyle w:val="BTEMEASMCA"/>
        <w:numPr>
          <w:ilvl w:val="0"/>
          <w:numId w:val="0"/>
        </w:numPr>
        <w:rPr>
          <w:rFonts w:ascii="Times New Roman" w:hAnsi="Times New Roman"/>
          <w:sz w:val="22"/>
          <w:szCs w:val="22"/>
        </w:rPr>
      </w:pPr>
    </w:p>
    <w:p w14:paraId="33C583A2" w14:textId="77777777" w:rsidR="00AE6755" w:rsidRPr="009F0293" w:rsidRDefault="00AE6755" w:rsidP="00D0601C">
      <w:pPr>
        <w:pStyle w:val="BTEMEASMCA"/>
        <w:numPr>
          <w:ilvl w:val="0"/>
          <w:numId w:val="0"/>
        </w:numPr>
        <w:rPr>
          <w:rFonts w:ascii="Times New Roman" w:hAnsi="Times New Roman"/>
          <w:sz w:val="22"/>
          <w:szCs w:val="22"/>
        </w:rPr>
      </w:pPr>
    </w:p>
    <w:p w14:paraId="3B57B30C" w14:textId="77777777" w:rsidR="00AE6755" w:rsidRPr="009F0293" w:rsidRDefault="00AE6755" w:rsidP="00D0601C">
      <w:pPr>
        <w:pStyle w:val="BTEMEASMCA"/>
        <w:numPr>
          <w:ilvl w:val="0"/>
          <w:numId w:val="0"/>
        </w:numPr>
        <w:rPr>
          <w:rFonts w:ascii="Times New Roman" w:hAnsi="Times New Roman"/>
          <w:sz w:val="22"/>
          <w:szCs w:val="22"/>
        </w:rPr>
      </w:pPr>
    </w:p>
    <w:p w14:paraId="2E7C9AFE" w14:textId="77777777" w:rsidR="00AE6755" w:rsidRPr="009F0293" w:rsidRDefault="00AE6755" w:rsidP="00D0601C">
      <w:pPr>
        <w:pStyle w:val="BTEMEASMCA"/>
        <w:numPr>
          <w:ilvl w:val="0"/>
          <w:numId w:val="0"/>
        </w:numPr>
        <w:rPr>
          <w:rFonts w:ascii="Times New Roman" w:hAnsi="Times New Roman"/>
          <w:sz w:val="22"/>
          <w:szCs w:val="22"/>
        </w:rPr>
      </w:pPr>
    </w:p>
    <w:p w14:paraId="7D52CE9F" w14:textId="77777777" w:rsidR="00AE6755" w:rsidRPr="009F0293" w:rsidRDefault="00AE6755" w:rsidP="00D0601C">
      <w:pPr>
        <w:pStyle w:val="BTEMEASMCA"/>
        <w:numPr>
          <w:ilvl w:val="0"/>
          <w:numId w:val="0"/>
        </w:numPr>
        <w:rPr>
          <w:rFonts w:ascii="Times New Roman" w:hAnsi="Times New Roman"/>
          <w:sz w:val="22"/>
          <w:szCs w:val="22"/>
        </w:rPr>
      </w:pPr>
    </w:p>
    <w:p w14:paraId="6CCDAD7C" w14:textId="77777777" w:rsidR="00AE6755" w:rsidRPr="009F0293" w:rsidRDefault="00AE6755" w:rsidP="00D0601C">
      <w:pPr>
        <w:pStyle w:val="BTEMEASMCA"/>
        <w:numPr>
          <w:ilvl w:val="0"/>
          <w:numId w:val="0"/>
        </w:numPr>
        <w:rPr>
          <w:rFonts w:ascii="Times New Roman" w:hAnsi="Times New Roman"/>
          <w:sz w:val="22"/>
          <w:szCs w:val="22"/>
        </w:rPr>
      </w:pPr>
    </w:p>
    <w:p w14:paraId="2985547A" w14:textId="77777777" w:rsidR="00AE6755" w:rsidRPr="009F0293" w:rsidRDefault="00AE6755" w:rsidP="00D0601C">
      <w:pPr>
        <w:pStyle w:val="BTEMEASMCA"/>
        <w:numPr>
          <w:ilvl w:val="0"/>
          <w:numId w:val="0"/>
        </w:numPr>
        <w:rPr>
          <w:rFonts w:ascii="Times New Roman" w:hAnsi="Times New Roman"/>
          <w:sz w:val="22"/>
          <w:szCs w:val="22"/>
        </w:rPr>
      </w:pPr>
    </w:p>
    <w:p w14:paraId="7B068B7B" w14:textId="77777777" w:rsidR="00AE6755" w:rsidRPr="009F0293" w:rsidRDefault="00AE6755" w:rsidP="00D0601C">
      <w:pPr>
        <w:pStyle w:val="BTEMEASMCA"/>
        <w:numPr>
          <w:ilvl w:val="0"/>
          <w:numId w:val="0"/>
        </w:numPr>
        <w:rPr>
          <w:rFonts w:ascii="Times New Roman" w:hAnsi="Times New Roman"/>
          <w:sz w:val="22"/>
          <w:szCs w:val="22"/>
        </w:rPr>
      </w:pPr>
    </w:p>
    <w:p w14:paraId="4521F29B" w14:textId="77777777" w:rsidR="00AE6755" w:rsidRPr="009F0293" w:rsidRDefault="00AE6755" w:rsidP="00C0605B">
      <w:pPr>
        <w:pStyle w:val="TTEMEASMCA"/>
        <w:rPr>
          <w:sz w:val="22"/>
          <w:szCs w:val="22"/>
          <w:lang w:val="lt-LT"/>
        </w:rPr>
      </w:pPr>
      <w:bookmarkStart w:id="2" w:name="_Toc129243128"/>
      <w:bookmarkStart w:id="3" w:name="_Toc129243253"/>
    </w:p>
    <w:p w14:paraId="42650724" w14:textId="77777777" w:rsidR="00AE6755" w:rsidRPr="009F0293" w:rsidRDefault="00AE6755" w:rsidP="00C0605B">
      <w:pPr>
        <w:pStyle w:val="TTEMEASMCA"/>
        <w:rPr>
          <w:sz w:val="22"/>
          <w:szCs w:val="22"/>
          <w:lang w:val="lt-LT"/>
        </w:rPr>
      </w:pPr>
    </w:p>
    <w:p w14:paraId="38CFB9F5" w14:textId="77777777" w:rsidR="00AE6755" w:rsidRPr="009F0293" w:rsidRDefault="00AE6755" w:rsidP="00C0605B">
      <w:pPr>
        <w:pStyle w:val="TTEMEASMCA"/>
        <w:rPr>
          <w:sz w:val="22"/>
          <w:szCs w:val="22"/>
          <w:lang w:val="lt-LT"/>
        </w:rPr>
      </w:pPr>
    </w:p>
    <w:p w14:paraId="141DC998" w14:textId="77777777" w:rsidR="00BF3E18" w:rsidRPr="009F0293" w:rsidRDefault="00BF3E18" w:rsidP="00C0605B">
      <w:pPr>
        <w:pStyle w:val="TTEMEASMCA"/>
        <w:rPr>
          <w:sz w:val="22"/>
          <w:szCs w:val="22"/>
          <w:lang w:val="lt-LT"/>
        </w:rPr>
      </w:pPr>
    </w:p>
    <w:p w14:paraId="55CB7AAC" w14:textId="77777777" w:rsidR="00AE6755" w:rsidRPr="009F0293" w:rsidRDefault="00AE6755" w:rsidP="00C0605B">
      <w:pPr>
        <w:pStyle w:val="TTEMEASMCA"/>
        <w:rPr>
          <w:sz w:val="22"/>
          <w:szCs w:val="22"/>
          <w:lang w:val="lt-LT"/>
        </w:rPr>
      </w:pPr>
      <w:r w:rsidRPr="009F0293">
        <w:rPr>
          <w:sz w:val="22"/>
          <w:szCs w:val="22"/>
          <w:lang w:val="lt-LT"/>
        </w:rPr>
        <w:t>II PRIEDAS</w:t>
      </w:r>
      <w:bookmarkEnd w:id="2"/>
      <w:bookmarkEnd w:id="3"/>
    </w:p>
    <w:p w14:paraId="7A2E09FF" w14:textId="77777777" w:rsidR="00AE6755" w:rsidRPr="009F0293" w:rsidRDefault="00AE6755" w:rsidP="00C0605B">
      <w:pPr>
        <w:pStyle w:val="TTEMEASMCA"/>
        <w:rPr>
          <w:sz w:val="22"/>
          <w:szCs w:val="22"/>
          <w:lang w:val="lt-LT"/>
        </w:rPr>
      </w:pPr>
    </w:p>
    <w:p w14:paraId="534282F5" w14:textId="77777777" w:rsidR="00924C8F" w:rsidRPr="009F0293" w:rsidRDefault="00924C8F" w:rsidP="00E13D23">
      <w:pPr>
        <w:pStyle w:val="BTEMEASMCA"/>
        <w:numPr>
          <w:ilvl w:val="0"/>
          <w:numId w:val="0"/>
        </w:numPr>
        <w:jc w:val="center"/>
        <w:rPr>
          <w:rFonts w:ascii="Times New Roman" w:hAnsi="Times New Roman"/>
          <w:b/>
          <w:caps/>
          <w:sz w:val="22"/>
          <w:szCs w:val="22"/>
          <w:lang w:eastAsia="x-none"/>
        </w:rPr>
      </w:pPr>
      <w:r w:rsidRPr="009F0293">
        <w:rPr>
          <w:rFonts w:ascii="Times New Roman" w:hAnsi="Times New Roman"/>
          <w:b/>
          <w:caps/>
          <w:sz w:val="22"/>
          <w:szCs w:val="22"/>
          <w:lang w:eastAsia="x-none"/>
        </w:rPr>
        <w:t>REGISTRACIJOS SĄLYGOS</w:t>
      </w:r>
    </w:p>
    <w:p w14:paraId="4F058F09" w14:textId="77777777" w:rsidR="00AE6755" w:rsidRPr="009F0293" w:rsidRDefault="00AE6755" w:rsidP="00E13D23">
      <w:pPr>
        <w:pStyle w:val="BTEMEASMCA"/>
        <w:numPr>
          <w:ilvl w:val="0"/>
          <w:numId w:val="0"/>
        </w:numPr>
        <w:jc w:val="center"/>
        <w:rPr>
          <w:rFonts w:ascii="Times New Roman" w:hAnsi="Times New Roman"/>
          <w:sz w:val="22"/>
          <w:szCs w:val="22"/>
        </w:rPr>
      </w:pPr>
    </w:p>
    <w:p w14:paraId="234D35D8" w14:textId="77777777" w:rsidR="00AE6755" w:rsidRPr="009F0293" w:rsidRDefault="00AE6755" w:rsidP="00C0605B">
      <w:pPr>
        <w:pStyle w:val="BTAnIIEMEASMCA"/>
        <w:rPr>
          <w:highlight w:val="yellow"/>
          <w:lang w:val="lt-LT"/>
        </w:rPr>
      </w:pPr>
      <w:r w:rsidRPr="009F0293">
        <w:rPr>
          <w:lang w:val="lt-LT"/>
        </w:rPr>
        <w:t>A.</w:t>
      </w:r>
      <w:r w:rsidRPr="009F0293">
        <w:rPr>
          <w:lang w:val="lt-LT"/>
        </w:rPr>
        <w:tab/>
      </w:r>
      <w:r w:rsidR="00EB08FE" w:rsidRPr="009F0293">
        <w:rPr>
          <w:lang w:val="lt-LT"/>
        </w:rPr>
        <w:t>GAMINTOJAS (-AI), ATSAKINGAS (-I) UŽ SERIJŲ IŠLEIDIMĄ</w:t>
      </w:r>
    </w:p>
    <w:p w14:paraId="641776AF" w14:textId="77777777" w:rsidR="00AE6755" w:rsidRPr="009F0293" w:rsidRDefault="00AE6755" w:rsidP="00D0601C">
      <w:pPr>
        <w:pStyle w:val="BTEMEASMCA"/>
        <w:numPr>
          <w:ilvl w:val="0"/>
          <w:numId w:val="0"/>
        </w:numPr>
        <w:rPr>
          <w:rFonts w:ascii="Times New Roman" w:hAnsi="Times New Roman"/>
          <w:sz w:val="22"/>
          <w:szCs w:val="22"/>
          <w:highlight w:val="yellow"/>
        </w:rPr>
      </w:pPr>
    </w:p>
    <w:p w14:paraId="733101E5" w14:textId="77777777" w:rsidR="00AE6755" w:rsidRPr="009F0293" w:rsidRDefault="00AE6755" w:rsidP="00C0605B">
      <w:pPr>
        <w:pStyle w:val="BTAnIIEMEASMCA"/>
        <w:rPr>
          <w:lang w:val="lt-LT"/>
        </w:rPr>
      </w:pPr>
      <w:r w:rsidRPr="009F0293">
        <w:rPr>
          <w:lang w:val="lt-LT"/>
        </w:rPr>
        <w:t>B.</w:t>
      </w:r>
      <w:r w:rsidRPr="009F0293">
        <w:rPr>
          <w:lang w:val="lt-LT"/>
        </w:rPr>
        <w:tab/>
      </w:r>
      <w:r w:rsidR="00EB08FE" w:rsidRPr="009F0293">
        <w:rPr>
          <w:lang w:val="lt-LT"/>
        </w:rPr>
        <w:t>TIEKIMO IR VARTOJIMO SĄLYGOS AR APRIBOJIMAI</w:t>
      </w:r>
    </w:p>
    <w:p w14:paraId="3A22A4BB" w14:textId="77777777" w:rsidR="00AE6755" w:rsidRPr="009F0293" w:rsidRDefault="00AE6755" w:rsidP="001F2847">
      <w:pPr>
        <w:rPr>
          <w:szCs w:val="22"/>
        </w:rPr>
      </w:pPr>
      <w:r w:rsidRPr="009F0293">
        <w:rPr>
          <w:szCs w:val="22"/>
        </w:rPr>
        <w:br w:type="page"/>
      </w:r>
    </w:p>
    <w:p w14:paraId="5E165B32" w14:textId="77777777" w:rsidR="00AE6755" w:rsidRPr="009F0293" w:rsidRDefault="00AE6755" w:rsidP="00C0605B">
      <w:pPr>
        <w:pStyle w:val="PI-1EMEASMCA"/>
        <w:rPr>
          <w:sz w:val="22"/>
          <w:lang w:val="lt-LT"/>
        </w:rPr>
      </w:pPr>
      <w:r w:rsidRPr="009F0293">
        <w:rPr>
          <w:sz w:val="22"/>
          <w:lang w:val="lt-LT"/>
        </w:rPr>
        <w:lastRenderedPageBreak/>
        <w:t>A.</w:t>
      </w:r>
      <w:r w:rsidRPr="009F0293">
        <w:rPr>
          <w:sz w:val="22"/>
          <w:lang w:val="lt-LT"/>
        </w:rPr>
        <w:tab/>
      </w:r>
      <w:r w:rsidR="00803B8B" w:rsidRPr="009F0293">
        <w:rPr>
          <w:sz w:val="22"/>
          <w:lang w:val="lt-LT"/>
        </w:rPr>
        <w:t>GAMINTOJAS (-AI), ATSAKINGAS (-I) UŽ SERIJŲ IŠLEIDIMĄ</w:t>
      </w:r>
    </w:p>
    <w:p w14:paraId="1AB56F06" w14:textId="77777777" w:rsidR="00AE6755" w:rsidRPr="009F0293" w:rsidRDefault="00AE6755" w:rsidP="00D0601C">
      <w:pPr>
        <w:pStyle w:val="BTEMEASMCA"/>
        <w:numPr>
          <w:ilvl w:val="0"/>
          <w:numId w:val="0"/>
        </w:numPr>
        <w:rPr>
          <w:rFonts w:ascii="Times New Roman" w:hAnsi="Times New Roman"/>
          <w:sz w:val="22"/>
          <w:szCs w:val="22"/>
        </w:rPr>
      </w:pPr>
    </w:p>
    <w:p w14:paraId="3D70F533" w14:textId="77777777" w:rsidR="00AE6755" w:rsidRPr="009F0293" w:rsidRDefault="00803B8B" w:rsidP="00C0605B">
      <w:pPr>
        <w:pStyle w:val="BTuEMEASMCA"/>
      </w:pPr>
      <w:r w:rsidRPr="009F0293">
        <w:t>Gamintojo (-ų), atsakingo (-ų) už serijų išleidimą, pavadinimas (-ai) ir adresas (-ai)</w:t>
      </w:r>
    </w:p>
    <w:p w14:paraId="317B6BF6" w14:textId="77777777" w:rsidR="00AE6755" w:rsidRPr="009F0293" w:rsidRDefault="00AE6755" w:rsidP="00D0601C">
      <w:pPr>
        <w:pStyle w:val="BTEMEASMCA"/>
        <w:numPr>
          <w:ilvl w:val="0"/>
          <w:numId w:val="0"/>
        </w:numPr>
        <w:rPr>
          <w:rFonts w:ascii="Times New Roman" w:hAnsi="Times New Roman"/>
          <w:sz w:val="22"/>
          <w:szCs w:val="22"/>
        </w:rPr>
      </w:pPr>
    </w:p>
    <w:p w14:paraId="32251ACC" w14:textId="7EF8BC78" w:rsidR="00AE6755" w:rsidRPr="009F0293" w:rsidRDefault="00EB5E30" w:rsidP="00553726">
      <w:pPr>
        <w:tabs>
          <w:tab w:val="left" w:pos="567"/>
        </w:tabs>
        <w:ind w:left="567" w:hanging="567"/>
        <w:rPr>
          <w:szCs w:val="22"/>
        </w:rPr>
      </w:pPr>
      <w:r w:rsidRPr="009F0293">
        <w:rPr>
          <w:szCs w:val="22"/>
        </w:rPr>
        <w:t>Zentiva</w:t>
      </w:r>
      <w:r w:rsidR="00AE6755" w:rsidRPr="009F0293">
        <w:rPr>
          <w:szCs w:val="22"/>
        </w:rPr>
        <w:t>, k.s.</w:t>
      </w:r>
    </w:p>
    <w:p w14:paraId="5481C6A5" w14:textId="77777777" w:rsidR="00AE6755" w:rsidRPr="009F0293" w:rsidRDefault="00AE6755" w:rsidP="00553726">
      <w:pPr>
        <w:tabs>
          <w:tab w:val="left" w:pos="567"/>
        </w:tabs>
        <w:ind w:left="567" w:hanging="567"/>
        <w:rPr>
          <w:szCs w:val="22"/>
        </w:rPr>
      </w:pPr>
      <w:r w:rsidRPr="009F0293">
        <w:rPr>
          <w:szCs w:val="22"/>
        </w:rPr>
        <w:t>U kabelovny 130</w:t>
      </w:r>
    </w:p>
    <w:p w14:paraId="11AE8D2C" w14:textId="77777777" w:rsidR="00AE6755" w:rsidRPr="009F0293" w:rsidRDefault="00AE6755" w:rsidP="00553726">
      <w:pPr>
        <w:tabs>
          <w:tab w:val="left" w:pos="567"/>
        </w:tabs>
        <w:ind w:left="567" w:hanging="567"/>
        <w:rPr>
          <w:szCs w:val="22"/>
        </w:rPr>
      </w:pPr>
      <w:r w:rsidRPr="009F0293">
        <w:rPr>
          <w:szCs w:val="22"/>
        </w:rPr>
        <w:t>Dolní Měcholupy</w:t>
      </w:r>
    </w:p>
    <w:p w14:paraId="706A93AB" w14:textId="5A2EFF92" w:rsidR="00AE6755" w:rsidRPr="009F0293" w:rsidRDefault="00AE6755" w:rsidP="00553726">
      <w:pPr>
        <w:tabs>
          <w:tab w:val="left" w:pos="567"/>
        </w:tabs>
        <w:ind w:left="567" w:hanging="567"/>
        <w:rPr>
          <w:szCs w:val="22"/>
        </w:rPr>
      </w:pPr>
      <w:r w:rsidRPr="009F0293">
        <w:rPr>
          <w:szCs w:val="22"/>
        </w:rPr>
        <w:t>102 37 Praha 10</w:t>
      </w:r>
    </w:p>
    <w:p w14:paraId="43AFFA49" w14:textId="77777777" w:rsidR="00AE6755" w:rsidRPr="009F0293" w:rsidRDefault="00AE6755" w:rsidP="00553726">
      <w:pPr>
        <w:autoSpaceDE w:val="0"/>
        <w:autoSpaceDN w:val="0"/>
        <w:adjustRightInd w:val="0"/>
        <w:rPr>
          <w:bCs/>
          <w:color w:val="000000"/>
          <w:szCs w:val="22"/>
          <w:lang w:eastAsia="de-CH"/>
        </w:rPr>
      </w:pPr>
      <w:r w:rsidRPr="009F0293">
        <w:rPr>
          <w:szCs w:val="22"/>
        </w:rPr>
        <w:t>Čekija</w:t>
      </w:r>
    </w:p>
    <w:p w14:paraId="5121A367" w14:textId="77777777" w:rsidR="00AE6755" w:rsidRPr="009F0293" w:rsidRDefault="00AE6755" w:rsidP="00C0605B">
      <w:pPr>
        <w:autoSpaceDE w:val="0"/>
        <w:autoSpaceDN w:val="0"/>
        <w:adjustRightInd w:val="0"/>
        <w:rPr>
          <w:bCs/>
          <w:color w:val="000000"/>
          <w:szCs w:val="22"/>
          <w:lang w:eastAsia="de-CH"/>
        </w:rPr>
      </w:pPr>
    </w:p>
    <w:p w14:paraId="13D69C76" w14:textId="77777777" w:rsidR="00AE6755" w:rsidRPr="009F0293" w:rsidRDefault="00AE6755" w:rsidP="00D0601C">
      <w:pPr>
        <w:pStyle w:val="BTEMEASMCA"/>
        <w:numPr>
          <w:ilvl w:val="0"/>
          <w:numId w:val="0"/>
        </w:numPr>
        <w:rPr>
          <w:rFonts w:ascii="Times New Roman" w:hAnsi="Times New Roman"/>
          <w:sz w:val="22"/>
          <w:szCs w:val="22"/>
        </w:rPr>
      </w:pPr>
    </w:p>
    <w:p w14:paraId="2B3D0E7F" w14:textId="77777777" w:rsidR="00AE6755" w:rsidRPr="009F0293" w:rsidRDefault="00AE6755" w:rsidP="00752BE5">
      <w:pPr>
        <w:pStyle w:val="PI-1EMEASMCA"/>
        <w:rPr>
          <w:sz w:val="22"/>
          <w:lang w:val="lt-LT"/>
        </w:rPr>
      </w:pPr>
      <w:bookmarkStart w:id="4" w:name="_Toc129243129"/>
      <w:bookmarkStart w:id="5" w:name="_Toc129243254"/>
      <w:bookmarkStart w:id="6" w:name="_Toc129243130"/>
      <w:bookmarkStart w:id="7" w:name="_Toc129243255"/>
      <w:r w:rsidRPr="009F0293">
        <w:rPr>
          <w:sz w:val="22"/>
          <w:lang w:val="lt-LT"/>
        </w:rPr>
        <w:t>B.</w:t>
      </w:r>
      <w:r w:rsidRPr="009F0293">
        <w:rPr>
          <w:sz w:val="22"/>
          <w:lang w:val="lt-LT"/>
        </w:rPr>
        <w:tab/>
      </w:r>
      <w:r w:rsidR="00803B8B" w:rsidRPr="009F0293">
        <w:rPr>
          <w:sz w:val="22"/>
          <w:lang w:val="lt-LT"/>
        </w:rPr>
        <w:t>TIEKIMO IR VARTOJIMO SĄLYGOS AR APRIBOJIMAI</w:t>
      </w:r>
      <w:bookmarkEnd w:id="4"/>
      <w:bookmarkEnd w:id="5"/>
      <w:bookmarkEnd w:id="6"/>
      <w:bookmarkEnd w:id="7"/>
    </w:p>
    <w:p w14:paraId="6061D761" w14:textId="77777777" w:rsidR="00AE6755" w:rsidRPr="009F0293" w:rsidRDefault="00AE6755" w:rsidP="00D0601C">
      <w:pPr>
        <w:pStyle w:val="BTEMEASMCA"/>
        <w:numPr>
          <w:ilvl w:val="0"/>
          <w:numId w:val="0"/>
        </w:numPr>
        <w:rPr>
          <w:rFonts w:ascii="Times New Roman" w:hAnsi="Times New Roman"/>
          <w:sz w:val="22"/>
          <w:szCs w:val="22"/>
        </w:rPr>
      </w:pPr>
    </w:p>
    <w:p w14:paraId="24909BC0" w14:textId="77777777" w:rsidR="00AE6755" w:rsidRPr="009F0293" w:rsidRDefault="00AE6755" w:rsidP="00D0601C">
      <w:pPr>
        <w:pStyle w:val="BTEMEASMCA"/>
        <w:numPr>
          <w:ilvl w:val="0"/>
          <w:numId w:val="0"/>
        </w:numPr>
        <w:rPr>
          <w:rFonts w:ascii="Times New Roman" w:hAnsi="Times New Roman"/>
          <w:sz w:val="22"/>
          <w:szCs w:val="22"/>
        </w:rPr>
      </w:pPr>
      <w:r w:rsidRPr="009F0293">
        <w:rPr>
          <w:rFonts w:ascii="Times New Roman" w:hAnsi="Times New Roman"/>
          <w:sz w:val="22"/>
          <w:szCs w:val="22"/>
        </w:rPr>
        <w:t>Receptinis vaistinis preparatas.</w:t>
      </w:r>
    </w:p>
    <w:p w14:paraId="5AB3E3B9" w14:textId="77777777" w:rsidR="00AE6755" w:rsidRPr="009F0293" w:rsidRDefault="00AE6755" w:rsidP="00D0601C">
      <w:pPr>
        <w:pStyle w:val="BTEMEASMCA"/>
        <w:numPr>
          <w:ilvl w:val="0"/>
          <w:numId w:val="0"/>
        </w:numPr>
        <w:rPr>
          <w:rFonts w:ascii="Times New Roman" w:hAnsi="Times New Roman"/>
          <w:sz w:val="22"/>
          <w:szCs w:val="22"/>
        </w:rPr>
      </w:pPr>
    </w:p>
    <w:p w14:paraId="177EDC79" w14:textId="77777777" w:rsidR="00AE6755" w:rsidRPr="009F0293" w:rsidRDefault="00AE6755">
      <w:pPr>
        <w:spacing w:after="200" w:line="276" w:lineRule="auto"/>
        <w:rPr>
          <w:b/>
          <w:szCs w:val="22"/>
        </w:rPr>
      </w:pPr>
      <w:r w:rsidRPr="009F0293">
        <w:rPr>
          <w:b/>
          <w:szCs w:val="22"/>
        </w:rPr>
        <w:br w:type="page"/>
      </w:r>
    </w:p>
    <w:p w14:paraId="78DCD55C" w14:textId="77777777" w:rsidR="00AE6755" w:rsidRPr="009F0293" w:rsidRDefault="00AE6755" w:rsidP="001F2847">
      <w:pPr>
        <w:rPr>
          <w:szCs w:val="22"/>
        </w:rPr>
      </w:pPr>
    </w:p>
    <w:p w14:paraId="4AF22E98" w14:textId="77777777" w:rsidR="00AE6755" w:rsidRPr="009F0293" w:rsidRDefault="00AE6755" w:rsidP="001F2847">
      <w:pPr>
        <w:rPr>
          <w:szCs w:val="22"/>
        </w:rPr>
      </w:pPr>
    </w:p>
    <w:p w14:paraId="47F266F1" w14:textId="77777777" w:rsidR="00AE6755" w:rsidRPr="009F0293" w:rsidRDefault="00AE6755" w:rsidP="001F2847">
      <w:pPr>
        <w:rPr>
          <w:szCs w:val="22"/>
        </w:rPr>
      </w:pPr>
    </w:p>
    <w:p w14:paraId="396410B4" w14:textId="77777777" w:rsidR="00AE6755" w:rsidRPr="009F0293" w:rsidRDefault="00AE6755" w:rsidP="001F2847">
      <w:pPr>
        <w:rPr>
          <w:szCs w:val="22"/>
        </w:rPr>
      </w:pPr>
    </w:p>
    <w:p w14:paraId="4EE1AB79" w14:textId="77777777" w:rsidR="00AE6755" w:rsidRPr="009F0293" w:rsidRDefault="00AE6755" w:rsidP="001F2847">
      <w:pPr>
        <w:rPr>
          <w:szCs w:val="22"/>
        </w:rPr>
      </w:pPr>
    </w:p>
    <w:p w14:paraId="427C11E1" w14:textId="77777777" w:rsidR="00AE6755" w:rsidRPr="009F0293" w:rsidRDefault="00AE6755" w:rsidP="001F2847">
      <w:pPr>
        <w:rPr>
          <w:szCs w:val="22"/>
        </w:rPr>
      </w:pPr>
    </w:p>
    <w:p w14:paraId="2CC6C52C" w14:textId="77777777" w:rsidR="00AE6755" w:rsidRPr="009F0293" w:rsidRDefault="00AE6755" w:rsidP="001F2847">
      <w:pPr>
        <w:rPr>
          <w:szCs w:val="22"/>
        </w:rPr>
      </w:pPr>
    </w:p>
    <w:p w14:paraId="6086FA0E" w14:textId="77777777" w:rsidR="00AE6755" w:rsidRPr="009F0293" w:rsidRDefault="00AE6755" w:rsidP="001F2847">
      <w:pPr>
        <w:rPr>
          <w:szCs w:val="22"/>
        </w:rPr>
      </w:pPr>
    </w:p>
    <w:p w14:paraId="3533D975" w14:textId="77777777" w:rsidR="00AE6755" w:rsidRPr="009F0293" w:rsidRDefault="00AE6755" w:rsidP="001F2847">
      <w:pPr>
        <w:rPr>
          <w:szCs w:val="22"/>
        </w:rPr>
      </w:pPr>
    </w:p>
    <w:p w14:paraId="212A2656" w14:textId="77777777" w:rsidR="00AE6755" w:rsidRPr="009F0293" w:rsidRDefault="00AE6755" w:rsidP="001F2847">
      <w:pPr>
        <w:rPr>
          <w:szCs w:val="22"/>
        </w:rPr>
      </w:pPr>
    </w:p>
    <w:p w14:paraId="690D79FF" w14:textId="77777777" w:rsidR="00AE6755" w:rsidRPr="009F0293" w:rsidRDefault="00AE6755" w:rsidP="001F2847">
      <w:pPr>
        <w:rPr>
          <w:szCs w:val="22"/>
        </w:rPr>
      </w:pPr>
    </w:p>
    <w:p w14:paraId="450E13C9" w14:textId="77777777" w:rsidR="00AE6755" w:rsidRPr="009F0293" w:rsidRDefault="00AE6755" w:rsidP="001F2847">
      <w:pPr>
        <w:rPr>
          <w:szCs w:val="22"/>
        </w:rPr>
      </w:pPr>
    </w:p>
    <w:p w14:paraId="4819F24A" w14:textId="77777777" w:rsidR="00AE6755" w:rsidRPr="009F0293" w:rsidRDefault="00AE6755" w:rsidP="001F2847">
      <w:pPr>
        <w:rPr>
          <w:szCs w:val="22"/>
        </w:rPr>
      </w:pPr>
    </w:p>
    <w:p w14:paraId="2670ECC8" w14:textId="77777777" w:rsidR="00AE6755" w:rsidRPr="009F0293" w:rsidRDefault="00AE6755" w:rsidP="001F2847">
      <w:pPr>
        <w:rPr>
          <w:szCs w:val="22"/>
        </w:rPr>
      </w:pPr>
    </w:p>
    <w:p w14:paraId="55387DB6" w14:textId="77777777" w:rsidR="00AE6755" w:rsidRPr="009F0293" w:rsidRDefault="00AE6755" w:rsidP="001F2847">
      <w:pPr>
        <w:rPr>
          <w:szCs w:val="22"/>
        </w:rPr>
      </w:pPr>
    </w:p>
    <w:p w14:paraId="733B8CC6" w14:textId="77777777" w:rsidR="00AE6755" w:rsidRPr="009F0293" w:rsidRDefault="00AE6755" w:rsidP="001F2847">
      <w:pPr>
        <w:rPr>
          <w:szCs w:val="22"/>
        </w:rPr>
      </w:pPr>
    </w:p>
    <w:p w14:paraId="4E948A14" w14:textId="77777777" w:rsidR="00AE6755" w:rsidRPr="009F0293" w:rsidRDefault="00AE6755" w:rsidP="001F2847">
      <w:pPr>
        <w:rPr>
          <w:szCs w:val="22"/>
        </w:rPr>
      </w:pPr>
    </w:p>
    <w:p w14:paraId="33820EBD" w14:textId="77777777" w:rsidR="00AE6755" w:rsidRPr="009F0293" w:rsidRDefault="00AE6755" w:rsidP="001F2847">
      <w:pPr>
        <w:rPr>
          <w:szCs w:val="22"/>
        </w:rPr>
      </w:pPr>
    </w:p>
    <w:p w14:paraId="1F7C2A99" w14:textId="77777777" w:rsidR="00AE6755" w:rsidRPr="009F0293" w:rsidRDefault="00AE6755" w:rsidP="001F2847">
      <w:pPr>
        <w:rPr>
          <w:szCs w:val="22"/>
        </w:rPr>
      </w:pPr>
    </w:p>
    <w:p w14:paraId="797B036C" w14:textId="77777777" w:rsidR="00AE6755" w:rsidRPr="009F0293" w:rsidRDefault="00AE6755" w:rsidP="001F2847">
      <w:pPr>
        <w:rPr>
          <w:szCs w:val="22"/>
        </w:rPr>
      </w:pPr>
    </w:p>
    <w:p w14:paraId="7F3F5040" w14:textId="77777777" w:rsidR="00AE6755" w:rsidRPr="009F0293" w:rsidRDefault="00AE6755" w:rsidP="001F2847">
      <w:pPr>
        <w:rPr>
          <w:szCs w:val="22"/>
        </w:rPr>
      </w:pPr>
    </w:p>
    <w:p w14:paraId="3AF69791" w14:textId="77777777" w:rsidR="00AE6755" w:rsidRPr="009F0293" w:rsidRDefault="00AE6755" w:rsidP="001F2847">
      <w:pPr>
        <w:rPr>
          <w:szCs w:val="22"/>
        </w:rPr>
      </w:pPr>
    </w:p>
    <w:p w14:paraId="21217A4F" w14:textId="77777777" w:rsidR="00BF3E18" w:rsidRPr="009F0293" w:rsidRDefault="00BF3E18" w:rsidP="001F2847">
      <w:pPr>
        <w:jc w:val="center"/>
        <w:rPr>
          <w:b/>
          <w:szCs w:val="22"/>
        </w:rPr>
      </w:pPr>
    </w:p>
    <w:p w14:paraId="1C5DDA01" w14:textId="77777777" w:rsidR="00AE6755" w:rsidRPr="009F0293" w:rsidRDefault="00AE6755" w:rsidP="001F2847">
      <w:pPr>
        <w:jc w:val="center"/>
        <w:rPr>
          <w:b/>
          <w:szCs w:val="22"/>
        </w:rPr>
      </w:pPr>
      <w:r w:rsidRPr="009F0293">
        <w:rPr>
          <w:b/>
          <w:szCs w:val="22"/>
        </w:rPr>
        <w:t>III PRIEDAS</w:t>
      </w:r>
    </w:p>
    <w:p w14:paraId="57811FC5" w14:textId="77777777" w:rsidR="00AE6755" w:rsidRPr="009F0293" w:rsidRDefault="00AE6755" w:rsidP="001F2847">
      <w:pPr>
        <w:jc w:val="center"/>
        <w:rPr>
          <w:b/>
          <w:szCs w:val="22"/>
        </w:rPr>
      </w:pPr>
    </w:p>
    <w:p w14:paraId="0FACA661" w14:textId="77777777" w:rsidR="00AE6755" w:rsidRPr="009F0293" w:rsidRDefault="00AE6755" w:rsidP="001F2847">
      <w:pPr>
        <w:jc w:val="center"/>
        <w:rPr>
          <w:b/>
          <w:szCs w:val="22"/>
        </w:rPr>
      </w:pPr>
      <w:r w:rsidRPr="009F0293">
        <w:rPr>
          <w:b/>
          <w:szCs w:val="22"/>
        </w:rPr>
        <w:t>ŽENKLINIMAS IR PAKUOTĖS LAPELIS</w:t>
      </w:r>
    </w:p>
    <w:p w14:paraId="6D779A99" w14:textId="77777777" w:rsidR="00AE6755" w:rsidRPr="009F0293" w:rsidRDefault="00AE6755" w:rsidP="001F2847">
      <w:pPr>
        <w:jc w:val="center"/>
        <w:rPr>
          <w:b/>
          <w:szCs w:val="22"/>
        </w:rPr>
      </w:pPr>
    </w:p>
    <w:p w14:paraId="2072C4BD" w14:textId="77777777" w:rsidR="00AE6755" w:rsidRPr="009F0293" w:rsidRDefault="00AE6755" w:rsidP="001F2847">
      <w:pPr>
        <w:rPr>
          <w:szCs w:val="22"/>
        </w:rPr>
      </w:pPr>
      <w:r w:rsidRPr="009F0293">
        <w:rPr>
          <w:szCs w:val="22"/>
        </w:rPr>
        <w:br w:type="page"/>
      </w:r>
    </w:p>
    <w:p w14:paraId="6DF24286" w14:textId="77777777" w:rsidR="00AE6755" w:rsidRPr="009F0293" w:rsidRDefault="00AE6755" w:rsidP="001F2847">
      <w:pPr>
        <w:rPr>
          <w:szCs w:val="22"/>
        </w:rPr>
      </w:pPr>
    </w:p>
    <w:p w14:paraId="01EF13E8" w14:textId="77777777" w:rsidR="00AE6755" w:rsidRPr="009F0293" w:rsidRDefault="00AE6755" w:rsidP="001F2847">
      <w:pPr>
        <w:rPr>
          <w:szCs w:val="22"/>
        </w:rPr>
      </w:pPr>
    </w:p>
    <w:p w14:paraId="4BDB5D42" w14:textId="77777777" w:rsidR="00AE6755" w:rsidRPr="009F0293" w:rsidRDefault="00AE6755" w:rsidP="001F2847">
      <w:pPr>
        <w:rPr>
          <w:szCs w:val="22"/>
        </w:rPr>
      </w:pPr>
    </w:p>
    <w:p w14:paraId="39958CBD" w14:textId="77777777" w:rsidR="00AE6755" w:rsidRPr="009F0293" w:rsidRDefault="00AE6755" w:rsidP="001F2847">
      <w:pPr>
        <w:rPr>
          <w:szCs w:val="22"/>
        </w:rPr>
      </w:pPr>
    </w:p>
    <w:p w14:paraId="3944FE62" w14:textId="77777777" w:rsidR="00AE6755" w:rsidRPr="009F0293" w:rsidRDefault="00AE6755" w:rsidP="001F2847">
      <w:pPr>
        <w:rPr>
          <w:szCs w:val="22"/>
        </w:rPr>
      </w:pPr>
    </w:p>
    <w:p w14:paraId="26DFD9A2" w14:textId="77777777" w:rsidR="00AE6755" w:rsidRPr="009F0293" w:rsidRDefault="00AE6755" w:rsidP="001F2847">
      <w:pPr>
        <w:rPr>
          <w:szCs w:val="22"/>
        </w:rPr>
      </w:pPr>
    </w:p>
    <w:p w14:paraId="74ACE222" w14:textId="77777777" w:rsidR="00AE6755" w:rsidRPr="009F0293" w:rsidRDefault="00AE6755" w:rsidP="001F2847">
      <w:pPr>
        <w:rPr>
          <w:szCs w:val="22"/>
        </w:rPr>
      </w:pPr>
    </w:p>
    <w:p w14:paraId="276C1ABA" w14:textId="77777777" w:rsidR="00AE6755" w:rsidRPr="009F0293" w:rsidRDefault="00AE6755" w:rsidP="001F2847">
      <w:pPr>
        <w:rPr>
          <w:szCs w:val="22"/>
        </w:rPr>
      </w:pPr>
    </w:p>
    <w:p w14:paraId="794A2C75" w14:textId="77777777" w:rsidR="00AE6755" w:rsidRPr="009F0293" w:rsidRDefault="00AE6755" w:rsidP="001F2847">
      <w:pPr>
        <w:rPr>
          <w:szCs w:val="22"/>
        </w:rPr>
      </w:pPr>
    </w:p>
    <w:p w14:paraId="2D986B02" w14:textId="77777777" w:rsidR="00AE6755" w:rsidRPr="009F0293" w:rsidRDefault="00AE6755" w:rsidP="001F2847">
      <w:pPr>
        <w:rPr>
          <w:szCs w:val="22"/>
        </w:rPr>
      </w:pPr>
    </w:p>
    <w:p w14:paraId="4B4DF1C9" w14:textId="77777777" w:rsidR="00AE6755" w:rsidRPr="009F0293" w:rsidRDefault="00AE6755" w:rsidP="001F2847">
      <w:pPr>
        <w:rPr>
          <w:szCs w:val="22"/>
        </w:rPr>
      </w:pPr>
    </w:p>
    <w:p w14:paraId="08417F7E" w14:textId="77777777" w:rsidR="00AE6755" w:rsidRPr="009F0293" w:rsidRDefault="00AE6755" w:rsidP="001F2847">
      <w:pPr>
        <w:rPr>
          <w:szCs w:val="22"/>
        </w:rPr>
      </w:pPr>
    </w:p>
    <w:p w14:paraId="53C4C596" w14:textId="77777777" w:rsidR="00AE6755" w:rsidRPr="009F0293" w:rsidRDefault="00AE6755" w:rsidP="001F2847">
      <w:pPr>
        <w:rPr>
          <w:szCs w:val="22"/>
        </w:rPr>
      </w:pPr>
    </w:p>
    <w:p w14:paraId="3EDCE9E7" w14:textId="77777777" w:rsidR="00AE6755" w:rsidRPr="009F0293" w:rsidRDefault="00AE6755" w:rsidP="001F2847">
      <w:pPr>
        <w:rPr>
          <w:szCs w:val="22"/>
        </w:rPr>
      </w:pPr>
    </w:p>
    <w:p w14:paraId="3C0617AA" w14:textId="77777777" w:rsidR="00AE6755" w:rsidRPr="009F0293" w:rsidRDefault="00AE6755" w:rsidP="001F2847">
      <w:pPr>
        <w:rPr>
          <w:szCs w:val="22"/>
        </w:rPr>
      </w:pPr>
    </w:p>
    <w:p w14:paraId="50C698F1" w14:textId="77777777" w:rsidR="00AE6755" w:rsidRPr="009F0293" w:rsidRDefault="00AE6755" w:rsidP="001F2847">
      <w:pPr>
        <w:rPr>
          <w:szCs w:val="22"/>
        </w:rPr>
      </w:pPr>
    </w:p>
    <w:p w14:paraId="6DE63AA0" w14:textId="77777777" w:rsidR="00AE6755" w:rsidRPr="009F0293" w:rsidRDefault="00AE6755" w:rsidP="001F2847">
      <w:pPr>
        <w:rPr>
          <w:szCs w:val="22"/>
        </w:rPr>
      </w:pPr>
    </w:p>
    <w:p w14:paraId="34640D9A" w14:textId="77777777" w:rsidR="00AE6755" w:rsidRPr="009F0293" w:rsidRDefault="00AE6755" w:rsidP="001F2847">
      <w:pPr>
        <w:rPr>
          <w:szCs w:val="22"/>
        </w:rPr>
      </w:pPr>
    </w:p>
    <w:p w14:paraId="7D6AA1FC" w14:textId="77777777" w:rsidR="00AE6755" w:rsidRPr="009F0293" w:rsidRDefault="00AE6755" w:rsidP="001F2847">
      <w:pPr>
        <w:rPr>
          <w:szCs w:val="22"/>
        </w:rPr>
      </w:pPr>
    </w:p>
    <w:p w14:paraId="7ED546F7" w14:textId="77777777" w:rsidR="00AE6755" w:rsidRPr="009F0293" w:rsidRDefault="00AE6755" w:rsidP="001F2847">
      <w:pPr>
        <w:rPr>
          <w:szCs w:val="22"/>
        </w:rPr>
      </w:pPr>
    </w:p>
    <w:p w14:paraId="57106CD6" w14:textId="77777777" w:rsidR="00AE6755" w:rsidRPr="009F0293" w:rsidRDefault="00AE6755" w:rsidP="001F2847">
      <w:pPr>
        <w:rPr>
          <w:szCs w:val="22"/>
        </w:rPr>
      </w:pPr>
    </w:p>
    <w:p w14:paraId="2C2C385E" w14:textId="77777777" w:rsidR="00AE6755" w:rsidRPr="009F0293" w:rsidRDefault="00AE6755" w:rsidP="001F2847">
      <w:pPr>
        <w:rPr>
          <w:szCs w:val="22"/>
        </w:rPr>
      </w:pPr>
    </w:p>
    <w:p w14:paraId="377B33D5" w14:textId="77777777" w:rsidR="00BF3E18" w:rsidRPr="009F0293" w:rsidRDefault="00BF3E18" w:rsidP="001F2847">
      <w:pPr>
        <w:jc w:val="center"/>
        <w:rPr>
          <w:b/>
          <w:szCs w:val="22"/>
        </w:rPr>
      </w:pPr>
    </w:p>
    <w:p w14:paraId="0C804960" w14:textId="77777777" w:rsidR="00AE6755" w:rsidRPr="009F0293" w:rsidRDefault="00AE6755" w:rsidP="001F2847">
      <w:pPr>
        <w:jc w:val="center"/>
        <w:rPr>
          <w:b/>
          <w:szCs w:val="22"/>
        </w:rPr>
      </w:pPr>
      <w:r w:rsidRPr="009F0293">
        <w:rPr>
          <w:b/>
          <w:szCs w:val="22"/>
        </w:rPr>
        <w:t>A. ŽENKLINIMAS</w:t>
      </w:r>
    </w:p>
    <w:p w14:paraId="308B96EE" w14:textId="77777777" w:rsidR="00AE6755" w:rsidRPr="009F0293" w:rsidRDefault="00AE6755" w:rsidP="001F2847">
      <w:pPr>
        <w:rPr>
          <w:szCs w:val="22"/>
        </w:rPr>
      </w:pPr>
    </w:p>
    <w:p w14:paraId="762A04FF" w14:textId="77777777" w:rsidR="00AE6755" w:rsidRPr="009F0293" w:rsidRDefault="00AE6755" w:rsidP="001F2847">
      <w:pPr>
        <w:rPr>
          <w:szCs w:val="22"/>
        </w:rPr>
      </w:pPr>
      <w:r w:rsidRPr="009F0293">
        <w:rPr>
          <w:szCs w:val="22"/>
        </w:rPr>
        <w:br w:type="page"/>
      </w:r>
    </w:p>
    <w:p w14:paraId="450E90FD" w14:textId="77777777" w:rsidR="00AE6755" w:rsidRPr="009F0293" w:rsidRDefault="00AE6755" w:rsidP="001F2847">
      <w:pPr>
        <w:pBdr>
          <w:top w:val="single" w:sz="4" w:space="1" w:color="auto"/>
          <w:left w:val="single" w:sz="4" w:space="4" w:color="auto"/>
          <w:bottom w:val="single" w:sz="4" w:space="1" w:color="auto"/>
          <w:right w:val="single" w:sz="4" w:space="4" w:color="auto"/>
        </w:pBdr>
        <w:rPr>
          <w:b/>
          <w:szCs w:val="22"/>
        </w:rPr>
      </w:pPr>
      <w:r w:rsidRPr="009F0293">
        <w:rPr>
          <w:b/>
          <w:szCs w:val="22"/>
        </w:rPr>
        <w:lastRenderedPageBreak/>
        <w:t>INFORMACIJA ANT IŠORINĖS PAKUOTĖS</w:t>
      </w:r>
    </w:p>
    <w:p w14:paraId="5ADD188B" w14:textId="77777777" w:rsidR="00AE6755" w:rsidRPr="009F0293" w:rsidRDefault="00AE6755" w:rsidP="001F2847">
      <w:pPr>
        <w:pBdr>
          <w:top w:val="single" w:sz="4" w:space="1" w:color="auto"/>
          <w:left w:val="single" w:sz="4" w:space="4" w:color="auto"/>
          <w:bottom w:val="single" w:sz="4" w:space="1" w:color="auto"/>
          <w:right w:val="single" w:sz="4" w:space="4" w:color="auto"/>
        </w:pBdr>
        <w:rPr>
          <w:b/>
          <w:szCs w:val="22"/>
        </w:rPr>
      </w:pPr>
    </w:p>
    <w:p w14:paraId="6F037624" w14:textId="77777777" w:rsidR="00AE6755" w:rsidRPr="009F0293" w:rsidRDefault="00AE6755" w:rsidP="001F2847">
      <w:pPr>
        <w:pBdr>
          <w:top w:val="single" w:sz="4" w:space="1" w:color="auto"/>
          <w:left w:val="single" w:sz="4" w:space="4" w:color="auto"/>
          <w:bottom w:val="single" w:sz="4" w:space="1" w:color="auto"/>
          <w:right w:val="single" w:sz="4" w:space="4" w:color="auto"/>
        </w:pBdr>
        <w:rPr>
          <w:b/>
          <w:szCs w:val="22"/>
        </w:rPr>
      </w:pPr>
      <w:r w:rsidRPr="009F0293">
        <w:rPr>
          <w:b/>
          <w:szCs w:val="22"/>
        </w:rPr>
        <w:t>KARTONO DĖŽUTĖ</w:t>
      </w:r>
    </w:p>
    <w:p w14:paraId="72D847A0" w14:textId="77777777" w:rsidR="00AE6755" w:rsidRPr="009F0293" w:rsidRDefault="00AE6755" w:rsidP="001F2847">
      <w:pPr>
        <w:rPr>
          <w:szCs w:val="22"/>
        </w:rPr>
      </w:pPr>
    </w:p>
    <w:p w14:paraId="6E40AB66" w14:textId="77777777" w:rsidR="00AE6755" w:rsidRPr="009F0293" w:rsidRDefault="00AE6755" w:rsidP="001F2847">
      <w:pPr>
        <w:rPr>
          <w:szCs w:val="22"/>
        </w:rPr>
      </w:pPr>
    </w:p>
    <w:p w14:paraId="41FC6602"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1.</w:t>
      </w:r>
      <w:r w:rsidRPr="009F0293">
        <w:rPr>
          <w:b/>
          <w:szCs w:val="22"/>
        </w:rPr>
        <w:tab/>
        <w:t>VAISTINIO PREPARATO PAVADINIMAS</w:t>
      </w:r>
    </w:p>
    <w:p w14:paraId="0AE2419B" w14:textId="77777777" w:rsidR="00AE6755" w:rsidRPr="009F0293" w:rsidRDefault="00AE6755" w:rsidP="001F2847">
      <w:pPr>
        <w:rPr>
          <w:szCs w:val="22"/>
        </w:rPr>
      </w:pPr>
    </w:p>
    <w:p w14:paraId="24FB99D9" w14:textId="64C0FAFD" w:rsidR="00AE6755" w:rsidRPr="009F0293" w:rsidRDefault="00247FEA" w:rsidP="00C358A6">
      <w:pPr>
        <w:rPr>
          <w:szCs w:val="22"/>
        </w:rPr>
      </w:pPr>
      <w:r w:rsidRPr="009F0293">
        <w:rPr>
          <w:szCs w:val="22"/>
        </w:rPr>
        <w:t>Carzan HCT</w:t>
      </w:r>
      <w:r w:rsidR="00AE6755" w:rsidRPr="009F0293">
        <w:rPr>
          <w:szCs w:val="22"/>
        </w:rPr>
        <w:t xml:space="preserve"> 16</w:t>
      </w:r>
      <w:r w:rsidR="00C86F82" w:rsidRPr="009F0293">
        <w:rPr>
          <w:szCs w:val="22"/>
        </w:rPr>
        <w:t> mg</w:t>
      </w:r>
      <w:r w:rsidR="00AE6755" w:rsidRPr="009F0293">
        <w:rPr>
          <w:szCs w:val="22"/>
        </w:rPr>
        <w:t>/12,5</w:t>
      </w:r>
      <w:r w:rsidR="00C86F82" w:rsidRPr="009F0293">
        <w:rPr>
          <w:szCs w:val="22"/>
        </w:rPr>
        <w:t> mg</w:t>
      </w:r>
      <w:r w:rsidR="00AE6755" w:rsidRPr="009F0293">
        <w:rPr>
          <w:szCs w:val="22"/>
        </w:rPr>
        <w:t xml:space="preserve"> tabletės</w:t>
      </w:r>
    </w:p>
    <w:p w14:paraId="6349D8B2" w14:textId="77777777" w:rsidR="00AE6755" w:rsidRPr="009F0293" w:rsidRDefault="00AE6755" w:rsidP="001F2847">
      <w:pPr>
        <w:rPr>
          <w:szCs w:val="22"/>
        </w:rPr>
      </w:pPr>
    </w:p>
    <w:p w14:paraId="6C6620E2" w14:textId="77777777" w:rsidR="00E8072C" w:rsidRPr="009F0293" w:rsidRDefault="00E8072C" w:rsidP="00E8072C">
      <w:pPr>
        <w:rPr>
          <w:szCs w:val="22"/>
        </w:rPr>
      </w:pPr>
      <w:r w:rsidRPr="00F0047E">
        <w:rPr>
          <w:szCs w:val="22"/>
        </w:rPr>
        <w:t>kandesartano cileksetilas/hidrochlorotiazidas</w:t>
      </w:r>
      <w:r w:rsidRPr="00F0047E" w:rsidDel="00F0047E">
        <w:rPr>
          <w:szCs w:val="22"/>
        </w:rPr>
        <w:t xml:space="preserve"> </w:t>
      </w:r>
    </w:p>
    <w:p w14:paraId="7A19F247" w14:textId="77777777" w:rsidR="00AE6755" w:rsidRPr="009F0293" w:rsidRDefault="00AE6755" w:rsidP="001F2847">
      <w:pPr>
        <w:rPr>
          <w:szCs w:val="22"/>
        </w:rPr>
      </w:pPr>
    </w:p>
    <w:p w14:paraId="507094F7" w14:textId="77777777" w:rsidR="00AE6755" w:rsidRPr="009F0293" w:rsidRDefault="00AE6755" w:rsidP="001F2847">
      <w:pPr>
        <w:rPr>
          <w:szCs w:val="22"/>
        </w:rPr>
      </w:pPr>
    </w:p>
    <w:p w14:paraId="0A0F9549"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2.</w:t>
      </w:r>
      <w:r w:rsidRPr="009F0293">
        <w:rPr>
          <w:b/>
          <w:szCs w:val="22"/>
        </w:rPr>
        <w:tab/>
      </w:r>
      <w:r w:rsidR="00803B8B" w:rsidRPr="009F0293">
        <w:rPr>
          <w:b/>
          <w:szCs w:val="22"/>
        </w:rPr>
        <w:t>VEIKLIOJI (-IOS) MEDŽIAGA (-OS) IR JOS (-Ų) KIEKIS (-IAI)</w:t>
      </w:r>
      <w:r w:rsidRPr="009F0293">
        <w:rPr>
          <w:b/>
          <w:szCs w:val="22"/>
        </w:rPr>
        <w:t xml:space="preserve"> </w:t>
      </w:r>
    </w:p>
    <w:p w14:paraId="12DEC4EC" w14:textId="77777777" w:rsidR="00AE6755" w:rsidRPr="009F0293" w:rsidRDefault="00AE6755" w:rsidP="001F2847">
      <w:pPr>
        <w:rPr>
          <w:szCs w:val="22"/>
        </w:rPr>
      </w:pPr>
    </w:p>
    <w:p w14:paraId="07355C71" w14:textId="1B64B01B" w:rsidR="00AE6755" w:rsidRPr="009F0293" w:rsidRDefault="008E67BD" w:rsidP="009C6C69">
      <w:pPr>
        <w:rPr>
          <w:szCs w:val="22"/>
        </w:rPr>
      </w:pPr>
      <w:r>
        <w:rPr>
          <w:szCs w:val="22"/>
        </w:rPr>
        <w:t>Kiekv</w:t>
      </w:r>
      <w:r w:rsidR="00AE6755" w:rsidRPr="009F0293">
        <w:rPr>
          <w:szCs w:val="22"/>
        </w:rPr>
        <w:t>ienoje tabletėje yra 16</w:t>
      </w:r>
      <w:r w:rsidR="00C86F82" w:rsidRPr="009F0293">
        <w:rPr>
          <w:szCs w:val="22"/>
        </w:rPr>
        <w:t> mg</w:t>
      </w:r>
      <w:r w:rsidR="00AE6755" w:rsidRPr="009F0293">
        <w:rPr>
          <w:szCs w:val="22"/>
        </w:rPr>
        <w:t xml:space="preserve"> kandesartano cileksetilo ir 12,5</w:t>
      </w:r>
      <w:r w:rsidR="00C86F82" w:rsidRPr="009F0293">
        <w:rPr>
          <w:szCs w:val="22"/>
        </w:rPr>
        <w:t> mg</w:t>
      </w:r>
      <w:r w:rsidR="00AE6755" w:rsidRPr="009F0293">
        <w:rPr>
          <w:szCs w:val="22"/>
        </w:rPr>
        <w:t xml:space="preserve"> </w:t>
      </w:r>
      <w:r w:rsidR="00AE6755" w:rsidRPr="009F0293">
        <w:rPr>
          <w:rStyle w:val="Emfaz"/>
          <w:i w:val="0"/>
          <w:szCs w:val="22"/>
        </w:rPr>
        <w:t>hidrochlorotiazido</w:t>
      </w:r>
      <w:r w:rsidR="00AE6755" w:rsidRPr="009F0293">
        <w:rPr>
          <w:szCs w:val="22"/>
        </w:rPr>
        <w:t>.</w:t>
      </w:r>
    </w:p>
    <w:p w14:paraId="25281233" w14:textId="77777777" w:rsidR="00AE6755" w:rsidRPr="009F0293" w:rsidRDefault="00AE6755" w:rsidP="001F2847">
      <w:pPr>
        <w:rPr>
          <w:szCs w:val="22"/>
        </w:rPr>
      </w:pPr>
    </w:p>
    <w:p w14:paraId="0D4EFC62" w14:textId="77777777" w:rsidR="00AE6755" w:rsidRPr="009F0293" w:rsidRDefault="00AE6755" w:rsidP="001F2847">
      <w:pPr>
        <w:rPr>
          <w:szCs w:val="22"/>
        </w:rPr>
      </w:pPr>
    </w:p>
    <w:p w14:paraId="2A34E484"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3.</w:t>
      </w:r>
      <w:r w:rsidRPr="009F0293">
        <w:rPr>
          <w:b/>
          <w:szCs w:val="22"/>
        </w:rPr>
        <w:tab/>
        <w:t>PAGALBINIŲ MEDŽIAGŲ SĄRAŠAS</w:t>
      </w:r>
    </w:p>
    <w:p w14:paraId="4A2F562C" w14:textId="77777777" w:rsidR="00AE6755" w:rsidRPr="009F0293" w:rsidRDefault="00AE6755" w:rsidP="001F2847">
      <w:pPr>
        <w:rPr>
          <w:szCs w:val="22"/>
        </w:rPr>
      </w:pPr>
    </w:p>
    <w:p w14:paraId="1509B4FF" w14:textId="00C4C4DE" w:rsidR="00AE6755" w:rsidRPr="009F0293" w:rsidRDefault="00AE6755" w:rsidP="001F2847">
      <w:pPr>
        <w:rPr>
          <w:szCs w:val="22"/>
        </w:rPr>
      </w:pPr>
      <w:r w:rsidRPr="009F0293">
        <w:rPr>
          <w:szCs w:val="22"/>
        </w:rPr>
        <w:t>Sudėtyje yra laktozės</w:t>
      </w:r>
      <w:r w:rsidR="002B23A1">
        <w:rPr>
          <w:szCs w:val="22"/>
        </w:rPr>
        <w:t>.</w:t>
      </w:r>
    </w:p>
    <w:p w14:paraId="30715A67" w14:textId="77777777" w:rsidR="00AE6755" w:rsidRPr="009F0293" w:rsidRDefault="00AE6755" w:rsidP="001F2847">
      <w:pPr>
        <w:rPr>
          <w:szCs w:val="22"/>
        </w:rPr>
      </w:pPr>
      <w:r w:rsidRPr="009F0293">
        <w:rPr>
          <w:szCs w:val="22"/>
          <w:highlight w:val="lightGray"/>
        </w:rPr>
        <w:t>Daugiau informacijos pateikta pakuotės lapelyje.</w:t>
      </w:r>
    </w:p>
    <w:p w14:paraId="07A5EB00" w14:textId="77777777" w:rsidR="00AE6755" w:rsidRPr="009F0293" w:rsidRDefault="00AE6755" w:rsidP="001F2847">
      <w:pPr>
        <w:rPr>
          <w:szCs w:val="22"/>
        </w:rPr>
      </w:pPr>
    </w:p>
    <w:p w14:paraId="033520B7" w14:textId="77777777" w:rsidR="00AE6755" w:rsidRPr="009F0293" w:rsidRDefault="00AE6755" w:rsidP="001F2847">
      <w:pPr>
        <w:rPr>
          <w:szCs w:val="22"/>
        </w:rPr>
      </w:pPr>
    </w:p>
    <w:p w14:paraId="2834CB6C"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4.</w:t>
      </w:r>
      <w:r w:rsidRPr="009F0293">
        <w:rPr>
          <w:b/>
          <w:szCs w:val="22"/>
        </w:rPr>
        <w:tab/>
        <w:t>FARMACINĖ FORMA IR KIEKIS PAKUOTĖJE</w:t>
      </w:r>
    </w:p>
    <w:p w14:paraId="0C6CB7E5" w14:textId="77777777" w:rsidR="00AE6755" w:rsidRPr="009F0293" w:rsidRDefault="00AE6755" w:rsidP="001F2847">
      <w:pPr>
        <w:rPr>
          <w:szCs w:val="22"/>
        </w:rPr>
      </w:pPr>
    </w:p>
    <w:p w14:paraId="41D78583" w14:textId="77777777" w:rsidR="00AE6755" w:rsidRPr="009F0293" w:rsidRDefault="00AE6755" w:rsidP="001F2847">
      <w:pPr>
        <w:rPr>
          <w:szCs w:val="22"/>
        </w:rPr>
      </w:pPr>
      <w:r w:rsidRPr="009F0293">
        <w:rPr>
          <w:szCs w:val="22"/>
          <w:highlight w:val="lightGray"/>
        </w:rPr>
        <w:t>Tabletė</w:t>
      </w:r>
    </w:p>
    <w:p w14:paraId="0429CAB6" w14:textId="77777777" w:rsidR="00AE6755" w:rsidRPr="009F0293" w:rsidRDefault="00AE6755" w:rsidP="001F2847">
      <w:pPr>
        <w:rPr>
          <w:szCs w:val="22"/>
        </w:rPr>
      </w:pPr>
    </w:p>
    <w:p w14:paraId="52524C9B" w14:textId="77777777" w:rsidR="00AE6755" w:rsidRPr="009F0293" w:rsidRDefault="00AE6755" w:rsidP="001F2847">
      <w:pPr>
        <w:rPr>
          <w:szCs w:val="22"/>
        </w:rPr>
      </w:pPr>
      <w:r w:rsidRPr="009F0293">
        <w:rPr>
          <w:szCs w:val="22"/>
        </w:rPr>
        <w:t>7 tabletės</w:t>
      </w:r>
    </w:p>
    <w:p w14:paraId="3A51C1C2" w14:textId="77777777" w:rsidR="00AE6755" w:rsidRPr="009F0293" w:rsidRDefault="00AE6755" w:rsidP="001F2847">
      <w:pPr>
        <w:rPr>
          <w:szCs w:val="22"/>
          <w:highlight w:val="lightGray"/>
        </w:rPr>
      </w:pPr>
      <w:r w:rsidRPr="009F0293">
        <w:rPr>
          <w:szCs w:val="22"/>
          <w:highlight w:val="lightGray"/>
        </w:rPr>
        <w:t>14 tablečių</w:t>
      </w:r>
    </w:p>
    <w:p w14:paraId="6D82F515" w14:textId="77777777" w:rsidR="00AE6755" w:rsidRPr="009F0293" w:rsidRDefault="00AE6755" w:rsidP="001F2847">
      <w:pPr>
        <w:rPr>
          <w:szCs w:val="22"/>
          <w:highlight w:val="lightGray"/>
        </w:rPr>
      </w:pPr>
      <w:r w:rsidRPr="009F0293">
        <w:rPr>
          <w:szCs w:val="22"/>
          <w:highlight w:val="lightGray"/>
        </w:rPr>
        <w:t>28 tabletės</w:t>
      </w:r>
    </w:p>
    <w:p w14:paraId="54011D04" w14:textId="77777777" w:rsidR="00AE6755" w:rsidRPr="009F0293" w:rsidRDefault="00AE6755" w:rsidP="001F2847">
      <w:pPr>
        <w:rPr>
          <w:szCs w:val="22"/>
          <w:highlight w:val="lightGray"/>
        </w:rPr>
      </w:pPr>
      <w:r w:rsidRPr="009F0293">
        <w:rPr>
          <w:szCs w:val="22"/>
          <w:highlight w:val="lightGray"/>
        </w:rPr>
        <w:t>30 tablečių</w:t>
      </w:r>
    </w:p>
    <w:p w14:paraId="49C2FBFE" w14:textId="77777777" w:rsidR="00AE6755" w:rsidRPr="009F0293" w:rsidRDefault="00AE6755" w:rsidP="001F2847">
      <w:pPr>
        <w:rPr>
          <w:szCs w:val="22"/>
          <w:highlight w:val="lightGray"/>
        </w:rPr>
      </w:pPr>
      <w:r w:rsidRPr="009F0293">
        <w:rPr>
          <w:szCs w:val="22"/>
          <w:highlight w:val="lightGray"/>
        </w:rPr>
        <w:t>56 tabletės</w:t>
      </w:r>
    </w:p>
    <w:p w14:paraId="584A1B6F" w14:textId="77777777" w:rsidR="00AE6755" w:rsidRPr="009F0293" w:rsidRDefault="00AE6755" w:rsidP="001F2847">
      <w:pPr>
        <w:rPr>
          <w:szCs w:val="22"/>
          <w:highlight w:val="lightGray"/>
        </w:rPr>
      </w:pPr>
      <w:r w:rsidRPr="009F0293">
        <w:rPr>
          <w:szCs w:val="22"/>
          <w:highlight w:val="lightGray"/>
        </w:rPr>
        <w:t>70 tablečių</w:t>
      </w:r>
    </w:p>
    <w:p w14:paraId="2E0B5B33" w14:textId="77777777" w:rsidR="00AE6755" w:rsidRPr="009F0293" w:rsidRDefault="00AE6755" w:rsidP="001F2847">
      <w:pPr>
        <w:rPr>
          <w:szCs w:val="22"/>
          <w:highlight w:val="lightGray"/>
        </w:rPr>
      </w:pPr>
      <w:r w:rsidRPr="009F0293">
        <w:rPr>
          <w:szCs w:val="22"/>
          <w:highlight w:val="lightGray"/>
        </w:rPr>
        <w:t>90 tablečių</w:t>
      </w:r>
    </w:p>
    <w:p w14:paraId="04B68042" w14:textId="77777777" w:rsidR="00AE6755" w:rsidRPr="009F0293" w:rsidRDefault="00AE6755" w:rsidP="001F2847">
      <w:pPr>
        <w:rPr>
          <w:szCs w:val="22"/>
        </w:rPr>
      </w:pPr>
      <w:r w:rsidRPr="009F0293">
        <w:rPr>
          <w:szCs w:val="22"/>
          <w:highlight w:val="lightGray"/>
        </w:rPr>
        <w:t>98 tabletės</w:t>
      </w:r>
    </w:p>
    <w:p w14:paraId="68631773" w14:textId="77777777" w:rsidR="00AE6755" w:rsidRPr="009F0293" w:rsidRDefault="00AE6755" w:rsidP="001F2847">
      <w:pPr>
        <w:rPr>
          <w:szCs w:val="22"/>
        </w:rPr>
      </w:pPr>
    </w:p>
    <w:p w14:paraId="3C878ED0" w14:textId="77777777" w:rsidR="00AE6755" w:rsidRPr="009F0293" w:rsidRDefault="00AE6755" w:rsidP="001F2847">
      <w:pPr>
        <w:rPr>
          <w:szCs w:val="22"/>
        </w:rPr>
      </w:pPr>
    </w:p>
    <w:p w14:paraId="377E9AF4"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5.</w:t>
      </w:r>
      <w:r w:rsidRPr="009F0293">
        <w:rPr>
          <w:b/>
          <w:szCs w:val="22"/>
        </w:rPr>
        <w:tab/>
        <w:t>VARTOJIMO METODAS IR BŪDAS (-AI)</w:t>
      </w:r>
    </w:p>
    <w:p w14:paraId="0F0B50DE" w14:textId="77777777" w:rsidR="00AE6755" w:rsidRPr="009F0293" w:rsidRDefault="00AE6755" w:rsidP="001F2847">
      <w:pPr>
        <w:rPr>
          <w:szCs w:val="22"/>
        </w:rPr>
      </w:pPr>
    </w:p>
    <w:p w14:paraId="402A2067" w14:textId="77777777" w:rsidR="00AE6755" w:rsidRPr="009F0293" w:rsidRDefault="00AE6755" w:rsidP="001F2847">
      <w:pPr>
        <w:rPr>
          <w:szCs w:val="22"/>
        </w:rPr>
      </w:pPr>
      <w:r w:rsidRPr="009F0293">
        <w:rPr>
          <w:szCs w:val="22"/>
        </w:rPr>
        <w:t>Vartoti per burną.</w:t>
      </w:r>
    </w:p>
    <w:p w14:paraId="2B29DB66" w14:textId="77777777" w:rsidR="00AE6755" w:rsidRPr="009F0293" w:rsidRDefault="00AE6755" w:rsidP="001F2847">
      <w:pPr>
        <w:rPr>
          <w:szCs w:val="22"/>
        </w:rPr>
      </w:pPr>
      <w:r w:rsidRPr="009F0293">
        <w:rPr>
          <w:szCs w:val="22"/>
        </w:rPr>
        <w:t>Prieš vartojimą perskaitykite pakuotės lapelį.</w:t>
      </w:r>
    </w:p>
    <w:p w14:paraId="7FD29292" w14:textId="77777777" w:rsidR="00AE6755" w:rsidRPr="009F0293" w:rsidRDefault="00AE6755" w:rsidP="001F2847">
      <w:pPr>
        <w:rPr>
          <w:szCs w:val="22"/>
        </w:rPr>
      </w:pPr>
    </w:p>
    <w:p w14:paraId="4C4DE5EC" w14:textId="77777777" w:rsidR="00AE6755" w:rsidRPr="009F0293" w:rsidRDefault="00AE6755" w:rsidP="001F2847">
      <w:pPr>
        <w:rPr>
          <w:szCs w:val="22"/>
        </w:rPr>
      </w:pPr>
    </w:p>
    <w:p w14:paraId="637A6460"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6.</w:t>
      </w:r>
      <w:r w:rsidRPr="009F0293">
        <w:rPr>
          <w:b/>
          <w:szCs w:val="22"/>
        </w:rPr>
        <w:tab/>
        <w:t xml:space="preserve">SPECIALUS ĮSPĖJIMAS, KAD VAISTINĮ PREPARATĄ BŪTINA LAIKYTI VAIKAMS </w:t>
      </w:r>
      <w:r w:rsidR="00803B8B" w:rsidRPr="009F0293">
        <w:rPr>
          <w:b/>
          <w:szCs w:val="22"/>
        </w:rPr>
        <w:t xml:space="preserve">NEPASTEBIMOJE </w:t>
      </w:r>
      <w:r w:rsidRPr="009F0293">
        <w:rPr>
          <w:b/>
          <w:szCs w:val="22"/>
        </w:rPr>
        <w:t xml:space="preserve">IR </w:t>
      </w:r>
      <w:r w:rsidR="00803B8B" w:rsidRPr="009F0293">
        <w:rPr>
          <w:b/>
          <w:szCs w:val="22"/>
        </w:rPr>
        <w:t xml:space="preserve">NEPASIEKIAMOJE </w:t>
      </w:r>
      <w:r w:rsidRPr="009F0293">
        <w:rPr>
          <w:b/>
          <w:szCs w:val="22"/>
        </w:rPr>
        <w:t>VIETOJE</w:t>
      </w:r>
    </w:p>
    <w:p w14:paraId="6969A850" w14:textId="77777777" w:rsidR="00AE6755" w:rsidRPr="009F0293" w:rsidRDefault="00AE6755" w:rsidP="001F2847">
      <w:pPr>
        <w:rPr>
          <w:szCs w:val="22"/>
        </w:rPr>
      </w:pPr>
    </w:p>
    <w:p w14:paraId="156B056B" w14:textId="77777777" w:rsidR="00AE6755" w:rsidRPr="009F0293" w:rsidRDefault="00AE6755" w:rsidP="001F2847">
      <w:pPr>
        <w:rPr>
          <w:szCs w:val="22"/>
        </w:rPr>
      </w:pPr>
      <w:r w:rsidRPr="009F0293">
        <w:rPr>
          <w:szCs w:val="22"/>
        </w:rPr>
        <w:t xml:space="preserve">Laikyti vaikams </w:t>
      </w:r>
      <w:r w:rsidR="00803B8B" w:rsidRPr="009F0293">
        <w:rPr>
          <w:szCs w:val="22"/>
        </w:rPr>
        <w:t xml:space="preserve">nepastebimoje </w:t>
      </w:r>
      <w:r w:rsidRPr="009F0293">
        <w:rPr>
          <w:szCs w:val="22"/>
        </w:rPr>
        <w:t xml:space="preserve">ir </w:t>
      </w:r>
      <w:r w:rsidR="00803B8B" w:rsidRPr="009F0293">
        <w:rPr>
          <w:szCs w:val="22"/>
        </w:rPr>
        <w:t>nepasiekiamoje</w:t>
      </w:r>
      <w:r w:rsidR="00803B8B" w:rsidRPr="009F0293" w:rsidDel="00803B8B">
        <w:rPr>
          <w:szCs w:val="22"/>
        </w:rPr>
        <w:t xml:space="preserve"> </w:t>
      </w:r>
      <w:r w:rsidRPr="009F0293">
        <w:rPr>
          <w:szCs w:val="22"/>
        </w:rPr>
        <w:t>vietoje.</w:t>
      </w:r>
      <w:r w:rsidR="00803B8B" w:rsidRPr="009F0293">
        <w:rPr>
          <w:szCs w:val="22"/>
        </w:rPr>
        <w:t xml:space="preserve"> </w:t>
      </w:r>
    </w:p>
    <w:p w14:paraId="45BB931E" w14:textId="77777777" w:rsidR="00AE6755" w:rsidRPr="009F0293" w:rsidRDefault="00AE6755" w:rsidP="001F2847">
      <w:pPr>
        <w:rPr>
          <w:szCs w:val="22"/>
        </w:rPr>
      </w:pPr>
    </w:p>
    <w:p w14:paraId="4807B70C" w14:textId="77777777" w:rsidR="00AE6755" w:rsidRPr="009F0293" w:rsidRDefault="00AE6755" w:rsidP="001F2847">
      <w:pPr>
        <w:rPr>
          <w:szCs w:val="22"/>
        </w:rPr>
      </w:pPr>
    </w:p>
    <w:p w14:paraId="6B061655"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7.</w:t>
      </w:r>
      <w:r w:rsidRPr="009F0293">
        <w:rPr>
          <w:b/>
          <w:szCs w:val="22"/>
        </w:rPr>
        <w:tab/>
        <w:t>KITAS (-I) SPECIALUS (-ŪS) ĮSPĖJIMAS (-AI) (JEI REIKIA)</w:t>
      </w:r>
    </w:p>
    <w:p w14:paraId="6393A5F3" w14:textId="77777777" w:rsidR="00AE6755" w:rsidRPr="009F0293" w:rsidRDefault="00AE6755" w:rsidP="001F2847">
      <w:pPr>
        <w:rPr>
          <w:szCs w:val="22"/>
        </w:rPr>
      </w:pPr>
    </w:p>
    <w:p w14:paraId="32524AD9" w14:textId="77777777" w:rsidR="00AE6755" w:rsidRPr="009F0293" w:rsidRDefault="00AE6755" w:rsidP="001F2847">
      <w:pPr>
        <w:rPr>
          <w:szCs w:val="22"/>
        </w:rPr>
      </w:pPr>
    </w:p>
    <w:p w14:paraId="1A0E2C12"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8.</w:t>
      </w:r>
      <w:r w:rsidRPr="009F0293">
        <w:rPr>
          <w:b/>
          <w:szCs w:val="22"/>
        </w:rPr>
        <w:tab/>
        <w:t>TINKAMUMO LAIKAS</w:t>
      </w:r>
    </w:p>
    <w:p w14:paraId="2CBD5BB9" w14:textId="77777777" w:rsidR="00AE6755" w:rsidRPr="009F0293" w:rsidRDefault="00AE6755" w:rsidP="001F2847">
      <w:pPr>
        <w:rPr>
          <w:szCs w:val="22"/>
        </w:rPr>
      </w:pPr>
    </w:p>
    <w:p w14:paraId="77748FFC" w14:textId="6844B49E" w:rsidR="00AE6755" w:rsidRPr="009F0293" w:rsidRDefault="00A45436" w:rsidP="001F2847">
      <w:pPr>
        <w:rPr>
          <w:szCs w:val="22"/>
        </w:rPr>
      </w:pPr>
      <w:r w:rsidRPr="009F0293">
        <w:rPr>
          <w:szCs w:val="22"/>
        </w:rPr>
        <w:t>EXP</w:t>
      </w:r>
      <w:r w:rsidR="00AE6755" w:rsidRPr="009F0293">
        <w:rPr>
          <w:szCs w:val="22"/>
        </w:rPr>
        <w:t xml:space="preserve"> {mm/MMMM}</w:t>
      </w:r>
    </w:p>
    <w:p w14:paraId="4DC4B733" w14:textId="77777777" w:rsidR="00AE6755" w:rsidRPr="009F0293" w:rsidRDefault="00AE6755" w:rsidP="001F2847">
      <w:pPr>
        <w:rPr>
          <w:szCs w:val="22"/>
        </w:rPr>
      </w:pPr>
    </w:p>
    <w:p w14:paraId="0EB4F4B9" w14:textId="77777777" w:rsidR="00AE6755" w:rsidRPr="009F0293" w:rsidRDefault="00AE6755" w:rsidP="001F2847">
      <w:pPr>
        <w:rPr>
          <w:szCs w:val="22"/>
        </w:rPr>
      </w:pPr>
    </w:p>
    <w:p w14:paraId="4F1D24D6"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9.</w:t>
      </w:r>
      <w:r w:rsidRPr="009F0293">
        <w:rPr>
          <w:b/>
          <w:szCs w:val="22"/>
        </w:rPr>
        <w:tab/>
        <w:t>SPECIALIOS LAIKYMO SĄLYGOS</w:t>
      </w:r>
    </w:p>
    <w:p w14:paraId="2C1B1875" w14:textId="77777777" w:rsidR="00AE6755" w:rsidRPr="009F0293" w:rsidRDefault="00AE6755" w:rsidP="001F2847">
      <w:pPr>
        <w:tabs>
          <w:tab w:val="left" w:pos="3437"/>
        </w:tabs>
        <w:rPr>
          <w:b/>
          <w:szCs w:val="22"/>
        </w:rPr>
      </w:pPr>
    </w:p>
    <w:p w14:paraId="26861DDE" w14:textId="77777777" w:rsidR="00AE6755" w:rsidRPr="009F0293" w:rsidRDefault="00AE6755" w:rsidP="001F2847">
      <w:pPr>
        <w:rPr>
          <w:szCs w:val="22"/>
        </w:rPr>
      </w:pPr>
    </w:p>
    <w:p w14:paraId="02348D91"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10.</w:t>
      </w:r>
      <w:r w:rsidRPr="009F0293">
        <w:rPr>
          <w:b/>
          <w:szCs w:val="22"/>
        </w:rPr>
        <w:tab/>
        <w:t xml:space="preserve">SPECIALIOS ATSARGUMO PRIEMONĖS DĖL NESUVARTOTO </w:t>
      </w:r>
      <w:r w:rsidRPr="009F0293">
        <w:rPr>
          <w:b/>
          <w:bCs/>
          <w:szCs w:val="22"/>
        </w:rPr>
        <w:t xml:space="preserve">VAISTINIO PREPARATO AR JO ATLIEKŲ </w:t>
      </w:r>
      <w:r w:rsidRPr="009F0293">
        <w:rPr>
          <w:b/>
          <w:szCs w:val="22"/>
        </w:rPr>
        <w:t>TVARKYMO (JEI REIKIA)</w:t>
      </w:r>
    </w:p>
    <w:p w14:paraId="3527A4D4" w14:textId="77777777" w:rsidR="00AE6755" w:rsidRPr="009F0293" w:rsidRDefault="00AE6755" w:rsidP="001F2847">
      <w:pPr>
        <w:rPr>
          <w:szCs w:val="22"/>
        </w:rPr>
      </w:pPr>
    </w:p>
    <w:p w14:paraId="4CEB38DA" w14:textId="77777777" w:rsidR="00AE6755" w:rsidRPr="009F0293" w:rsidRDefault="00AE6755" w:rsidP="001F2847">
      <w:pPr>
        <w:rPr>
          <w:szCs w:val="22"/>
        </w:rPr>
      </w:pPr>
    </w:p>
    <w:p w14:paraId="10E3B960" w14:textId="0AA42922" w:rsidR="00AE6755" w:rsidRPr="009F0293" w:rsidRDefault="00AE6755" w:rsidP="00924C8F">
      <w:pPr>
        <w:pBdr>
          <w:top w:val="single" w:sz="4" w:space="1" w:color="auto"/>
          <w:left w:val="single" w:sz="4" w:space="4" w:color="auto"/>
          <w:bottom w:val="single" w:sz="4" w:space="1" w:color="auto"/>
          <w:right w:val="single" w:sz="4" w:space="4" w:color="auto"/>
        </w:pBdr>
        <w:tabs>
          <w:tab w:val="left" w:pos="567"/>
        </w:tabs>
        <w:rPr>
          <w:szCs w:val="22"/>
        </w:rPr>
      </w:pPr>
      <w:r w:rsidRPr="009F0293">
        <w:rPr>
          <w:b/>
          <w:szCs w:val="22"/>
        </w:rPr>
        <w:t>11.</w:t>
      </w:r>
      <w:r w:rsidRPr="009F0293">
        <w:rPr>
          <w:b/>
          <w:szCs w:val="22"/>
        </w:rPr>
        <w:tab/>
      </w:r>
      <w:r w:rsidR="00924C8F" w:rsidRPr="009F0293">
        <w:rPr>
          <w:b/>
          <w:szCs w:val="22"/>
        </w:rPr>
        <w:t>REGISTRUOTOJO PAVADINIMAS IR ADRESAS</w:t>
      </w:r>
      <w:r w:rsidR="00924C8F" w:rsidRPr="009F0293" w:rsidDel="00924C8F">
        <w:rPr>
          <w:b/>
          <w:szCs w:val="22"/>
        </w:rPr>
        <w:t xml:space="preserve"> </w:t>
      </w:r>
    </w:p>
    <w:p w14:paraId="0B4B5E89" w14:textId="77777777" w:rsidR="00924C8F" w:rsidRPr="009F0293" w:rsidRDefault="00924C8F" w:rsidP="00E95BE1">
      <w:pPr>
        <w:tabs>
          <w:tab w:val="left" w:pos="567"/>
        </w:tabs>
        <w:ind w:left="567" w:hanging="567"/>
        <w:rPr>
          <w:szCs w:val="22"/>
        </w:rPr>
      </w:pPr>
    </w:p>
    <w:p w14:paraId="65766C42" w14:textId="56CAA523" w:rsidR="00AE6755" w:rsidRPr="009F0293" w:rsidRDefault="009D0F8D" w:rsidP="00E95BE1">
      <w:pPr>
        <w:tabs>
          <w:tab w:val="left" w:pos="567"/>
        </w:tabs>
        <w:ind w:left="567" w:hanging="567"/>
        <w:rPr>
          <w:szCs w:val="22"/>
        </w:rPr>
      </w:pPr>
      <w:r w:rsidRPr="009F0293">
        <w:rPr>
          <w:szCs w:val="22"/>
        </w:rPr>
        <w:t>Zentiva</w:t>
      </w:r>
      <w:r w:rsidR="00AE6755" w:rsidRPr="009F0293">
        <w:rPr>
          <w:szCs w:val="22"/>
        </w:rPr>
        <w:t>, k.s.</w:t>
      </w:r>
    </w:p>
    <w:p w14:paraId="0B240C8D" w14:textId="77777777" w:rsidR="00AE6755" w:rsidRPr="009F0293" w:rsidRDefault="00AE6755" w:rsidP="00E95BE1">
      <w:pPr>
        <w:tabs>
          <w:tab w:val="left" w:pos="567"/>
        </w:tabs>
        <w:ind w:left="567" w:hanging="567"/>
        <w:rPr>
          <w:szCs w:val="22"/>
        </w:rPr>
      </w:pPr>
      <w:r w:rsidRPr="009F0293">
        <w:rPr>
          <w:szCs w:val="22"/>
        </w:rPr>
        <w:t>U kabelovny 130</w:t>
      </w:r>
    </w:p>
    <w:p w14:paraId="01023845" w14:textId="77777777" w:rsidR="00AE6755" w:rsidRPr="009F0293" w:rsidRDefault="00AE6755" w:rsidP="00E95BE1">
      <w:pPr>
        <w:tabs>
          <w:tab w:val="left" w:pos="567"/>
        </w:tabs>
        <w:ind w:left="567" w:hanging="567"/>
        <w:rPr>
          <w:szCs w:val="22"/>
        </w:rPr>
      </w:pPr>
      <w:r w:rsidRPr="009F0293">
        <w:rPr>
          <w:szCs w:val="22"/>
        </w:rPr>
        <w:t>Dolní Měcholupy</w:t>
      </w:r>
    </w:p>
    <w:p w14:paraId="4D3567A3" w14:textId="580F7A33" w:rsidR="00AE6755" w:rsidRPr="009F0293" w:rsidRDefault="00AE6755" w:rsidP="00E95BE1">
      <w:pPr>
        <w:tabs>
          <w:tab w:val="left" w:pos="567"/>
        </w:tabs>
        <w:ind w:left="567" w:hanging="567"/>
        <w:rPr>
          <w:szCs w:val="22"/>
        </w:rPr>
      </w:pPr>
      <w:r w:rsidRPr="009F0293">
        <w:rPr>
          <w:szCs w:val="22"/>
        </w:rPr>
        <w:t>102 37 Praha 10</w:t>
      </w:r>
    </w:p>
    <w:p w14:paraId="14D5B761" w14:textId="77777777" w:rsidR="00AE6755" w:rsidRPr="009F0293" w:rsidRDefault="00AE6755" w:rsidP="00E95BE1">
      <w:pPr>
        <w:ind w:left="567" w:hanging="567"/>
        <w:rPr>
          <w:szCs w:val="22"/>
        </w:rPr>
      </w:pPr>
      <w:r w:rsidRPr="009F0293">
        <w:rPr>
          <w:szCs w:val="22"/>
        </w:rPr>
        <w:t>Čekija</w:t>
      </w:r>
    </w:p>
    <w:p w14:paraId="65E8B70A" w14:textId="77777777" w:rsidR="00AE6755" w:rsidRPr="009F0293" w:rsidRDefault="00AE6755" w:rsidP="001F2847">
      <w:pPr>
        <w:rPr>
          <w:szCs w:val="22"/>
        </w:rPr>
      </w:pPr>
    </w:p>
    <w:p w14:paraId="2BC2DA51" w14:textId="77777777" w:rsidR="00AE6755" w:rsidRPr="009F0293" w:rsidRDefault="00AE6755" w:rsidP="001F2847">
      <w:pPr>
        <w:rPr>
          <w:szCs w:val="22"/>
        </w:rPr>
      </w:pPr>
    </w:p>
    <w:p w14:paraId="6D3E2D8A" w14:textId="0E83701D"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12.</w:t>
      </w:r>
      <w:r w:rsidRPr="009F0293">
        <w:rPr>
          <w:b/>
          <w:szCs w:val="22"/>
        </w:rPr>
        <w:tab/>
      </w:r>
      <w:r w:rsidR="00924C8F" w:rsidRPr="009F0293">
        <w:rPr>
          <w:b/>
          <w:szCs w:val="22"/>
        </w:rPr>
        <w:t>REGISTRACIJOS PAŽYMĖJIMO NUMERIS</w:t>
      </w:r>
      <w:r w:rsidR="00BF425B" w:rsidRPr="009F0293">
        <w:rPr>
          <w:b/>
          <w:szCs w:val="22"/>
        </w:rPr>
        <w:t xml:space="preserve"> (-IAI)</w:t>
      </w:r>
    </w:p>
    <w:p w14:paraId="0565F85A" w14:textId="77777777" w:rsidR="00AE6755" w:rsidRPr="009F0293" w:rsidRDefault="00AE6755" w:rsidP="001F2847">
      <w:pPr>
        <w:rPr>
          <w:szCs w:val="22"/>
        </w:rPr>
      </w:pPr>
    </w:p>
    <w:p w14:paraId="33F559DB" w14:textId="77777777" w:rsidR="00AE6755" w:rsidRPr="009F0293" w:rsidRDefault="00AE6755" w:rsidP="00054377">
      <w:pPr>
        <w:rPr>
          <w:bCs/>
          <w:szCs w:val="22"/>
        </w:rPr>
      </w:pPr>
      <w:r w:rsidRPr="009F0293">
        <w:rPr>
          <w:bCs/>
          <w:szCs w:val="22"/>
        </w:rPr>
        <w:t>N7 - LT/1/11/2720/009</w:t>
      </w:r>
    </w:p>
    <w:p w14:paraId="6684F322" w14:textId="77777777" w:rsidR="00AE6755" w:rsidRPr="009F0293" w:rsidRDefault="00AE6755" w:rsidP="00054377">
      <w:pPr>
        <w:rPr>
          <w:bCs/>
          <w:szCs w:val="22"/>
        </w:rPr>
      </w:pPr>
      <w:r w:rsidRPr="009F0293">
        <w:rPr>
          <w:bCs/>
          <w:szCs w:val="22"/>
        </w:rPr>
        <w:t xml:space="preserve">N14 - LT/1/11/2720/010 </w:t>
      </w:r>
    </w:p>
    <w:p w14:paraId="1570519F" w14:textId="77777777" w:rsidR="00AE6755" w:rsidRPr="009F0293" w:rsidRDefault="00AE6755" w:rsidP="00054377">
      <w:pPr>
        <w:rPr>
          <w:bCs/>
          <w:szCs w:val="22"/>
        </w:rPr>
      </w:pPr>
      <w:r w:rsidRPr="009F0293">
        <w:rPr>
          <w:bCs/>
          <w:szCs w:val="22"/>
        </w:rPr>
        <w:t xml:space="preserve">N28 - LT/1/11/2720/011 </w:t>
      </w:r>
    </w:p>
    <w:p w14:paraId="10F7F451" w14:textId="77777777" w:rsidR="00AE6755" w:rsidRPr="009F0293" w:rsidRDefault="00AE6755" w:rsidP="00054377">
      <w:pPr>
        <w:rPr>
          <w:bCs/>
          <w:szCs w:val="22"/>
        </w:rPr>
      </w:pPr>
      <w:r w:rsidRPr="009F0293">
        <w:rPr>
          <w:bCs/>
          <w:szCs w:val="22"/>
        </w:rPr>
        <w:t xml:space="preserve">N30 - LT/1/11/2720/012 </w:t>
      </w:r>
    </w:p>
    <w:p w14:paraId="136479B5" w14:textId="77777777" w:rsidR="00AE6755" w:rsidRPr="009F0293" w:rsidRDefault="00AE6755" w:rsidP="00054377">
      <w:pPr>
        <w:rPr>
          <w:bCs/>
          <w:szCs w:val="22"/>
        </w:rPr>
      </w:pPr>
      <w:r w:rsidRPr="009F0293">
        <w:rPr>
          <w:bCs/>
          <w:szCs w:val="22"/>
        </w:rPr>
        <w:t xml:space="preserve">N56 - LT/1/11/2720/013 </w:t>
      </w:r>
    </w:p>
    <w:p w14:paraId="109DC3AA" w14:textId="77777777" w:rsidR="00AE6755" w:rsidRPr="009F0293" w:rsidRDefault="00AE6755" w:rsidP="00054377">
      <w:pPr>
        <w:rPr>
          <w:bCs/>
          <w:szCs w:val="22"/>
        </w:rPr>
      </w:pPr>
      <w:r w:rsidRPr="009F0293">
        <w:rPr>
          <w:bCs/>
          <w:szCs w:val="22"/>
        </w:rPr>
        <w:t xml:space="preserve">N70 - LT/1/11/2720/014 </w:t>
      </w:r>
    </w:p>
    <w:p w14:paraId="0F67F8FF" w14:textId="77777777" w:rsidR="00AE6755" w:rsidRPr="009F0293" w:rsidRDefault="00AE6755" w:rsidP="00054377">
      <w:pPr>
        <w:rPr>
          <w:bCs/>
          <w:szCs w:val="22"/>
        </w:rPr>
      </w:pPr>
      <w:r w:rsidRPr="009F0293">
        <w:rPr>
          <w:bCs/>
          <w:szCs w:val="22"/>
        </w:rPr>
        <w:t xml:space="preserve">N90 - LT/1/11/2720/015 </w:t>
      </w:r>
    </w:p>
    <w:p w14:paraId="22C816DF" w14:textId="77777777" w:rsidR="00AE6755" w:rsidRPr="009F0293" w:rsidRDefault="00AE6755" w:rsidP="00054377">
      <w:pPr>
        <w:rPr>
          <w:bCs/>
          <w:szCs w:val="22"/>
        </w:rPr>
      </w:pPr>
      <w:r w:rsidRPr="009F0293">
        <w:rPr>
          <w:bCs/>
          <w:szCs w:val="22"/>
        </w:rPr>
        <w:t xml:space="preserve">N98 - LT/1/11/2720/016 </w:t>
      </w:r>
    </w:p>
    <w:p w14:paraId="71222062" w14:textId="77777777" w:rsidR="00AE6755" w:rsidRPr="009F0293" w:rsidRDefault="00AE6755" w:rsidP="001F2847">
      <w:pPr>
        <w:rPr>
          <w:szCs w:val="22"/>
        </w:rPr>
      </w:pPr>
    </w:p>
    <w:p w14:paraId="4541325B" w14:textId="77777777" w:rsidR="00AE6755" w:rsidRPr="009F0293" w:rsidRDefault="00AE6755" w:rsidP="001F2847">
      <w:pPr>
        <w:rPr>
          <w:szCs w:val="22"/>
        </w:rPr>
      </w:pPr>
    </w:p>
    <w:p w14:paraId="7135B67B"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13.</w:t>
      </w:r>
      <w:r w:rsidRPr="009F0293">
        <w:rPr>
          <w:b/>
          <w:szCs w:val="22"/>
        </w:rPr>
        <w:tab/>
        <w:t>SERIJOS NUMERIS</w:t>
      </w:r>
    </w:p>
    <w:p w14:paraId="34A67C54" w14:textId="77777777" w:rsidR="00AE6755" w:rsidRPr="009F0293" w:rsidRDefault="00AE6755" w:rsidP="001F2847">
      <w:pPr>
        <w:rPr>
          <w:szCs w:val="22"/>
        </w:rPr>
      </w:pPr>
    </w:p>
    <w:p w14:paraId="71FC6EDD" w14:textId="6150A3AB" w:rsidR="00AE6755" w:rsidRPr="009F0293" w:rsidRDefault="00A45436" w:rsidP="001F2847">
      <w:pPr>
        <w:rPr>
          <w:szCs w:val="22"/>
        </w:rPr>
      </w:pPr>
      <w:r w:rsidRPr="009F0293">
        <w:rPr>
          <w:szCs w:val="22"/>
        </w:rPr>
        <w:t>Lot</w:t>
      </w:r>
    </w:p>
    <w:p w14:paraId="7C361801" w14:textId="77777777" w:rsidR="00AE6755" w:rsidRPr="009F0293" w:rsidRDefault="00AE6755" w:rsidP="001F2847">
      <w:pPr>
        <w:rPr>
          <w:szCs w:val="22"/>
        </w:rPr>
      </w:pPr>
    </w:p>
    <w:p w14:paraId="4243EB27" w14:textId="77777777" w:rsidR="00AE6755" w:rsidRPr="009F0293" w:rsidRDefault="00AE6755" w:rsidP="001F2847">
      <w:pPr>
        <w:rPr>
          <w:szCs w:val="22"/>
        </w:rPr>
      </w:pPr>
    </w:p>
    <w:p w14:paraId="42A11CB2"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14.</w:t>
      </w:r>
      <w:r w:rsidRPr="009F0293">
        <w:rPr>
          <w:b/>
          <w:szCs w:val="22"/>
        </w:rPr>
        <w:tab/>
        <w:t>PARDAVIMO (IŠDAVIMO)TVARKA</w:t>
      </w:r>
    </w:p>
    <w:p w14:paraId="39D6B739" w14:textId="77777777" w:rsidR="00AE6755" w:rsidRPr="009F0293" w:rsidRDefault="00AE6755" w:rsidP="001F2847">
      <w:pPr>
        <w:rPr>
          <w:szCs w:val="22"/>
        </w:rPr>
      </w:pPr>
    </w:p>
    <w:p w14:paraId="7D3FE862" w14:textId="6370BA36" w:rsidR="00AE6755" w:rsidRPr="009F0293" w:rsidRDefault="00AE6755" w:rsidP="001F2847">
      <w:pPr>
        <w:rPr>
          <w:szCs w:val="22"/>
        </w:rPr>
      </w:pPr>
      <w:r w:rsidRPr="009F0293">
        <w:rPr>
          <w:szCs w:val="22"/>
        </w:rPr>
        <w:t>Receptinis vaistas.</w:t>
      </w:r>
    </w:p>
    <w:p w14:paraId="17C30046" w14:textId="77777777" w:rsidR="00AE6755" w:rsidRPr="009F0293" w:rsidRDefault="00AE6755" w:rsidP="001F2847">
      <w:pPr>
        <w:rPr>
          <w:szCs w:val="22"/>
        </w:rPr>
      </w:pPr>
    </w:p>
    <w:p w14:paraId="2EEE3CE5" w14:textId="77777777" w:rsidR="00AE6755" w:rsidRPr="009F0293" w:rsidRDefault="00AE6755" w:rsidP="001F2847">
      <w:pPr>
        <w:rPr>
          <w:szCs w:val="22"/>
        </w:rPr>
      </w:pPr>
    </w:p>
    <w:p w14:paraId="04A2F144"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szCs w:val="22"/>
        </w:rPr>
      </w:pPr>
      <w:r w:rsidRPr="009F0293">
        <w:rPr>
          <w:b/>
          <w:szCs w:val="22"/>
        </w:rPr>
        <w:t>15.</w:t>
      </w:r>
      <w:r w:rsidRPr="009F0293">
        <w:rPr>
          <w:b/>
          <w:szCs w:val="22"/>
        </w:rPr>
        <w:tab/>
        <w:t>VARTOJIMO INSTRUKCIJA</w:t>
      </w:r>
    </w:p>
    <w:p w14:paraId="7A0E6988" w14:textId="77777777" w:rsidR="00AE6755" w:rsidRPr="009F0293" w:rsidRDefault="00AE6755" w:rsidP="001F2847">
      <w:pPr>
        <w:rPr>
          <w:szCs w:val="22"/>
        </w:rPr>
      </w:pPr>
    </w:p>
    <w:p w14:paraId="15F39094" w14:textId="77777777" w:rsidR="00AE6755" w:rsidRPr="009F0293" w:rsidRDefault="00AE6755" w:rsidP="001F2847">
      <w:pPr>
        <w:rPr>
          <w:szCs w:val="22"/>
        </w:rPr>
      </w:pPr>
    </w:p>
    <w:p w14:paraId="3BFE2F25"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16.</w:t>
      </w:r>
      <w:r w:rsidRPr="009F0293">
        <w:rPr>
          <w:b/>
          <w:szCs w:val="22"/>
        </w:rPr>
        <w:tab/>
        <w:t>INFORMACIJA BRAILIO RAŠTU</w:t>
      </w:r>
    </w:p>
    <w:p w14:paraId="21636CD2" w14:textId="77777777" w:rsidR="00AE6755" w:rsidRPr="009F0293" w:rsidRDefault="00AE6755" w:rsidP="001F2847">
      <w:pPr>
        <w:rPr>
          <w:szCs w:val="22"/>
        </w:rPr>
      </w:pPr>
    </w:p>
    <w:p w14:paraId="7E52679D" w14:textId="16FEEF64" w:rsidR="00AE6755" w:rsidRPr="009F0293" w:rsidRDefault="00247FEA" w:rsidP="009C6C69">
      <w:pPr>
        <w:rPr>
          <w:szCs w:val="22"/>
        </w:rPr>
      </w:pPr>
      <w:r w:rsidRPr="009F0293">
        <w:rPr>
          <w:szCs w:val="22"/>
        </w:rPr>
        <w:t>Carzan HCT</w:t>
      </w:r>
      <w:r w:rsidR="00AE6755" w:rsidRPr="009F0293">
        <w:rPr>
          <w:szCs w:val="22"/>
        </w:rPr>
        <w:t xml:space="preserve"> 16</w:t>
      </w:r>
      <w:r w:rsidR="00C86F82" w:rsidRPr="009F0293">
        <w:rPr>
          <w:szCs w:val="22"/>
        </w:rPr>
        <w:t> mg</w:t>
      </w:r>
      <w:r w:rsidR="00AE6755" w:rsidRPr="009F0293">
        <w:rPr>
          <w:szCs w:val="22"/>
        </w:rPr>
        <w:t>/12,5</w:t>
      </w:r>
      <w:r w:rsidR="00C86F82" w:rsidRPr="009F0293">
        <w:rPr>
          <w:szCs w:val="22"/>
        </w:rPr>
        <w:t> mg</w:t>
      </w:r>
    </w:p>
    <w:p w14:paraId="3A5DDC22" w14:textId="77777777" w:rsidR="00924C8F" w:rsidRPr="009F0293" w:rsidRDefault="00924C8F" w:rsidP="009C6C69">
      <w:pPr>
        <w:rPr>
          <w:szCs w:val="22"/>
        </w:rPr>
      </w:pPr>
    </w:p>
    <w:p w14:paraId="3DD2E5FC" w14:textId="77777777" w:rsidR="00924C8F" w:rsidRPr="009F0293" w:rsidRDefault="00924C8F" w:rsidP="00924C8F">
      <w:pPr>
        <w:rPr>
          <w:iCs/>
          <w:szCs w:val="22"/>
        </w:rPr>
      </w:pPr>
    </w:p>
    <w:p w14:paraId="5ECDC205" w14:textId="77777777" w:rsidR="00924C8F" w:rsidRPr="009F0293" w:rsidRDefault="00924C8F" w:rsidP="00924C8F">
      <w:pPr>
        <w:pBdr>
          <w:top w:val="single" w:sz="4" w:space="1" w:color="auto"/>
          <w:left w:val="single" w:sz="4" w:space="4" w:color="auto"/>
          <w:bottom w:val="single" w:sz="4" w:space="1" w:color="auto"/>
          <w:right w:val="single" w:sz="4" w:space="4" w:color="auto"/>
        </w:pBdr>
        <w:tabs>
          <w:tab w:val="left" w:pos="540"/>
        </w:tabs>
        <w:rPr>
          <w:b/>
          <w:noProof/>
          <w:szCs w:val="22"/>
        </w:rPr>
      </w:pPr>
      <w:r w:rsidRPr="009F0293">
        <w:rPr>
          <w:b/>
          <w:noProof/>
          <w:szCs w:val="22"/>
        </w:rPr>
        <w:t>17.</w:t>
      </w:r>
      <w:r w:rsidRPr="009F0293">
        <w:rPr>
          <w:b/>
          <w:noProof/>
          <w:szCs w:val="22"/>
        </w:rPr>
        <w:tab/>
        <w:t>UNIKALUS IDENTIFIKATORIUS – 2D BRŪKŠNINIS KODAS</w:t>
      </w:r>
    </w:p>
    <w:p w14:paraId="169932FA" w14:textId="77777777" w:rsidR="00924C8F" w:rsidRPr="009F0293" w:rsidRDefault="00924C8F" w:rsidP="00924C8F">
      <w:pPr>
        <w:tabs>
          <w:tab w:val="left" w:pos="540"/>
        </w:tabs>
        <w:rPr>
          <w:noProof/>
          <w:szCs w:val="22"/>
        </w:rPr>
      </w:pPr>
    </w:p>
    <w:p w14:paraId="0E456FA6" w14:textId="77777777" w:rsidR="00924C8F" w:rsidRPr="009F0293" w:rsidRDefault="00924C8F" w:rsidP="00924C8F">
      <w:pPr>
        <w:tabs>
          <w:tab w:val="left" w:pos="540"/>
        </w:tabs>
        <w:rPr>
          <w:noProof/>
          <w:szCs w:val="22"/>
        </w:rPr>
      </w:pPr>
      <w:r w:rsidRPr="009F0293">
        <w:rPr>
          <w:noProof/>
          <w:szCs w:val="22"/>
          <w:highlight w:val="lightGray"/>
        </w:rPr>
        <w:t>2D brūkšninis kodas su nurodytu unikaliu identifikatoriumi.</w:t>
      </w:r>
    </w:p>
    <w:p w14:paraId="18D8EA14" w14:textId="77777777" w:rsidR="00924C8F" w:rsidRPr="009F0293" w:rsidRDefault="00924C8F" w:rsidP="00924C8F">
      <w:pPr>
        <w:tabs>
          <w:tab w:val="left" w:pos="540"/>
        </w:tabs>
        <w:rPr>
          <w:noProof/>
          <w:szCs w:val="22"/>
        </w:rPr>
      </w:pPr>
    </w:p>
    <w:p w14:paraId="5498D2A3" w14:textId="77777777" w:rsidR="00924C8F" w:rsidRPr="009F0293" w:rsidRDefault="00924C8F" w:rsidP="00E13D23">
      <w:pPr>
        <w:keepNext/>
        <w:keepLines/>
        <w:tabs>
          <w:tab w:val="left" w:pos="540"/>
        </w:tabs>
        <w:rPr>
          <w:noProof/>
          <w:szCs w:val="22"/>
        </w:rPr>
      </w:pPr>
    </w:p>
    <w:p w14:paraId="05D59B19" w14:textId="77777777" w:rsidR="00924C8F" w:rsidRPr="009F0293" w:rsidRDefault="00924C8F" w:rsidP="00E13D23">
      <w:pPr>
        <w:keepNext/>
        <w:keepLines/>
        <w:pBdr>
          <w:top w:val="single" w:sz="4" w:space="1" w:color="auto"/>
          <w:left w:val="single" w:sz="4" w:space="4" w:color="auto"/>
          <w:bottom w:val="single" w:sz="4" w:space="1" w:color="auto"/>
          <w:right w:val="single" w:sz="4" w:space="4" w:color="auto"/>
        </w:pBdr>
        <w:tabs>
          <w:tab w:val="left" w:pos="540"/>
        </w:tabs>
        <w:rPr>
          <w:noProof/>
          <w:szCs w:val="22"/>
        </w:rPr>
      </w:pPr>
      <w:r w:rsidRPr="009F0293">
        <w:rPr>
          <w:b/>
          <w:noProof/>
          <w:szCs w:val="22"/>
        </w:rPr>
        <w:t>18.</w:t>
      </w:r>
      <w:r w:rsidRPr="009F0293">
        <w:rPr>
          <w:b/>
          <w:noProof/>
          <w:szCs w:val="22"/>
        </w:rPr>
        <w:tab/>
        <w:t>UNIKALUS IDENTIFIKATORIUS – ŽMONĖMS SUPRANTAMI DUOMENYS</w:t>
      </w:r>
    </w:p>
    <w:p w14:paraId="6EABC66D" w14:textId="77777777" w:rsidR="00924C8F" w:rsidRPr="009F0293" w:rsidRDefault="00924C8F" w:rsidP="00E13D23">
      <w:pPr>
        <w:keepNext/>
        <w:keepLines/>
        <w:tabs>
          <w:tab w:val="left" w:pos="540"/>
        </w:tabs>
        <w:rPr>
          <w:noProof/>
          <w:szCs w:val="22"/>
        </w:rPr>
      </w:pPr>
    </w:p>
    <w:p w14:paraId="4EE83437" w14:textId="02EEB8F4" w:rsidR="00924C8F" w:rsidRPr="009F0293" w:rsidRDefault="00F64D35" w:rsidP="00E13D23">
      <w:pPr>
        <w:keepNext/>
        <w:keepLines/>
        <w:tabs>
          <w:tab w:val="left" w:pos="540"/>
        </w:tabs>
        <w:rPr>
          <w:noProof/>
          <w:szCs w:val="22"/>
        </w:rPr>
      </w:pPr>
      <w:r w:rsidRPr="009F0293">
        <w:rPr>
          <w:noProof/>
          <w:szCs w:val="22"/>
        </w:rPr>
        <w:t>PC</w:t>
      </w:r>
    </w:p>
    <w:p w14:paraId="3D27FC1F" w14:textId="1B3A1261" w:rsidR="00924C8F" w:rsidRPr="009F0293" w:rsidRDefault="00F64D35" w:rsidP="00E13D23">
      <w:pPr>
        <w:keepNext/>
        <w:keepLines/>
        <w:tabs>
          <w:tab w:val="left" w:pos="540"/>
        </w:tabs>
        <w:rPr>
          <w:noProof/>
          <w:szCs w:val="22"/>
        </w:rPr>
      </w:pPr>
      <w:r w:rsidRPr="009F0293">
        <w:rPr>
          <w:noProof/>
          <w:szCs w:val="22"/>
        </w:rPr>
        <w:t>SN</w:t>
      </w:r>
    </w:p>
    <w:p w14:paraId="41FFF872" w14:textId="1DDFCD63" w:rsidR="00924C8F" w:rsidRPr="009F0293" w:rsidRDefault="00F64D35" w:rsidP="00924C8F">
      <w:pPr>
        <w:tabs>
          <w:tab w:val="left" w:pos="540"/>
        </w:tabs>
        <w:rPr>
          <w:noProof/>
          <w:szCs w:val="22"/>
        </w:rPr>
      </w:pPr>
      <w:r w:rsidRPr="009F0293">
        <w:rPr>
          <w:noProof/>
          <w:szCs w:val="22"/>
          <w:highlight w:val="lightGray"/>
        </w:rPr>
        <w:t>NN</w:t>
      </w:r>
    </w:p>
    <w:p w14:paraId="13EAF653" w14:textId="77777777" w:rsidR="00924C8F" w:rsidRPr="009F0293" w:rsidRDefault="00924C8F" w:rsidP="00924C8F">
      <w:pPr>
        <w:rPr>
          <w:szCs w:val="22"/>
        </w:rPr>
      </w:pPr>
    </w:p>
    <w:p w14:paraId="37F87783" w14:textId="77777777" w:rsidR="00924C8F" w:rsidRPr="009F0293" w:rsidRDefault="00924C8F" w:rsidP="009C6C69">
      <w:pPr>
        <w:rPr>
          <w:szCs w:val="22"/>
        </w:rPr>
      </w:pPr>
    </w:p>
    <w:p w14:paraId="520DC09E" w14:textId="77777777" w:rsidR="00AE6755" w:rsidRPr="009F0293" w:rsidRDefault="00AE6755" w:rsidP="000F499E">
      <w:pPr>
        <w:spacing w:after="200" w:line="276" w:lineRule="auto"/>
        <w:rPr>
          <w:szCs w:val="22"/>
        </w:rPr>
      </w:pPr>
      <w:r w:rsidRPr="009F0293">
        <w:rPr>
          <w:szCs w:val="22"/>
        </w:rPr>
        <w:br w:type="page"/>
      </w:r>
    </w:p>
    <w:p w14:paraId="74A35A0B" w14:textId="77777777" w:rsidR="00AE6755" w:rsidRPr="009F0293" w:rsidRDefault="00AE6755" w:rsidP="001F2847">
      <w:pPr>
        <w:pBdr>
          <w:top w:val="single" w:sz="4" w:space="1" w:color="auto"/>
          <w:left w:val="single" w:sz="4" w:space="1" w:color="auto"/>
          <w:bottom w:val="single" w:sz="4" w:space="1" w:color="auto"/>
          <w:right w:val="single" w:sz="4" w:space="1" w:color="auto"/>
        </w:pBdr>
        <w:rPr>
          <w:b/>
          <w:szCs w:val="22"/>
        </w:rPr>
      </w:pPr>
      <w:r w:rsidRPr="009F0293">
        <w:rPr>
          <w:b/>
          <w:szCs w:val="22"/>
        </w:rPr>
        <w:lastRenderedPageBreak/>
        <w:t>MINIMALI INFORMACIJA ANT LIZDINIŲ PLOKŠTELIŲ ARBA DVISLUOKSNIŲ JUOSTELIŲ</w:t>
      </w:r>
    </w:p>
    <w:p w14:paraId="39C2405F" w14:textId="77777777" w:rsidR="00AE6755" w:rsidRPr="009F0293" w:rsidRDefault="00AE6755" w:rsidP="001F2847">
      <w:pPr>
        <w:pBdr>
          <w:top w:val="single" w:sz="4" w:space="1" w:color="auto"/>
          <w:left w:val="single" w:sz="4" w:space="1" w:color="auto"/>
          <w:bottom w:val="single" w:sz="4" w:space="1" w:color="auto"/>
          <w:right w:val="single" w:sz="4" w:space="1" w:color="auto"/>
        </w:pBdr>
        <w:rPr>
          <w:b/>
          <w:szCs w:val="22"/>
        </w:rPr>
      </w:pPr>
    </w:p>
    <w:p w14:paraId="6C2C5766" w14:textId="77777777" w:rsidR="00AE6755" w:rsidRPr="009F0293" w:rsidRDefault="00AE6755" w:rsidP="001F2847">
      <w:pPr>
        <w:pBdr>
          <w:top w:val="single" w:sz="4" w:space="1" w:color="auto"/>
          <w:left w:val="single" w:sz="4" w:space="1" w:color="auto"/>
          <w:bottom w:val="single" w:sz="4" w:space="1" w:color="auto"/>
          <w:right w:val="single" w:sz="4" w:space="1" w:color="auto"/>
        </w:pBdr>
        <w:rPr>
          <w:b/>
          <w:szCs w:val="22"/>
        </w:rPr>
      </w:pPr>
      <w:r w:rsidRPr="009F0293">
        <w:rPr>
          <w:b/>
          <w:szCs w:val="22"/>
        </w:rPr>
        <w:t>LIZDINĖ PLOKŠTELĖ</w:t>
      </w:r>
    </w:p>
    <w:p w14:paraId="7C21CA8E" w14:textId="77777777" w:rsidR="00AE6755" w:rsidRPr="009F0293" w:rsidRDefault="00AE6755" w:rsidP="001F2847">
      <w:pPr>
        <w:rPr>
          <w:szCs w:val="22"/>
        </w:rPr>
      </w:pPr>
    </w:p>
    <w:p w14:paraId="37649602" w14:textId="77777777" w:rsidR="00AE6755" w:rsidRPr="009F0293" w:rsidRDefault="00AE6755" w:rsidP="001F2847">
      <w:pPr>
        <w:rPr>
          <w:szCs w:val="22"/>
        </w:rPr>
      </w:pPr>
    </w:p>
    <w:p w14:paraId="28DB9E46"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1.</w:t>
      </w:r>
      <w:r w:rsidRPr="009F0293">
        <w:rPr>
          <w:b/>
          <w:szCs w:val="22"/>
        </w:rPr>
        <w:tab/>
        <w:t>VAISTINIO PREPARATO PAVADINIMAS</w:t>
      </w:r>
    </w:p>
    <w:p w14:paraId="0C53AB37" w14:textId="77777777" w:rsidR="00AE6755" w:rsidRPr="009F0293" w:rsidRDefault="00AE6755" w:rsidP="001F2847">
      <w:pPr>
        <w:rPr>
          <w:szCs w:val="22"/>
        </w:rPr>
      </w:pPr>
    </w:p>
    <w:p w14:paraId="00DC10E9" w14:textId="10690D26" w:rsidR="00AE6755" w:rsidRPr="009F0293" w:rsidRDefault="00247FEA" w:rsidP="009C6C69">
      <w:pPr>
        <w:rPr>
          <w:szCs w:val="22"/>
        </w:rPr>
      </w:pPr>
      <w:r w:rsidRPr="009F0293">
        <w:rPr>
          <w:szCs w:val="22"/>
        </w:rPr>
        <w:t>Carzan HCT</w:t>
      </w:r>
      <w:r w:rsidR="00AE6755" w:rsidRPr="009F0293">
        <w:rPr>
          <w:szCs w:val="22"/>
        </w:rPr>
        <w:t xml:space="preserve"> 16</w:t>
      </w:r>
      <w:r w:rsidR="00C86F82" w:rsidRPr="009F0293">
        <w:rPr>
          <w:szCs w:val="22"/>
        </w:rPr>
        <w:t> mg</w:t>
      </w:r>
      <w:r w:rsidR="00AE6755" w:rsidRPr="009F0293">
        <w:rPr>
          <w:szCs w:val="22"/>
        </w:rPr>
        <w:t>/12,5</w:t>
      </w:r>
      <w:r w:rsidR="00C86F82" w:rsidRPr="009F0293">
        <w:rPr>
          <w:szCs w:val="22"/>
        </w:rPr>
        <w:t> mg</w:t>
      </w:r>
      <w:r w:rsidR="00AE6755" w:rsidRPr="009F0293">
        <w:rPr>
          <w:szCs w:val="22"/>
        </w:rPr>
        <w:t xml:space="preserve"> tabletės</w:t>
      </w:r>
    </w:p>
    <w:p w14:paraId="15816967" w14:textId="77777777" w:rsidR="00AE6755" w:rsidRPr="009F0293" w:rsidRDefault="00AE6755" w:rsidP="009C6C69">
      <w:pPr>
        <w:rPr>
          <w:szCs w:val="22"/>
        </w:rPr>
      </w:pPr>
    </w:p>
    <w:p w14:paraId="696BCBAB" w14:textId="77777777" w:rsidR="00E8072C" w:rsidRPr="009F0293" w:rsidRDefault="00E8072C" w:rsidP="00E8072C">
      <w:pPr>
        <w:rPr>
          <w:szCs w:val="22"/>
        </w:rPr>
      </w:pPr>
      <w:r w:rsidRPr="00F0047E">
        <w:rPr>
          <w:szCs w:val="22"/>
        </w:rPr>
        <w:t>kandesartano cileksetilas/hidrochlorotiazidas</w:t>
      </w:r>
      <w:r w:rsidRPr="00F0047E" w:rsidDel="00F0047E">
        <w:rPr>
          <w:szCs w:val="22"/>
        </w:rPr>
        <w:t xml:space="preserve"> </w:t>
      </w:r>
    </w:p>
    <w:p w14:paraId="678DE29A" w14:textId="77777777" w:rsidR="00AE6755" w:rsidRPr="009F0293" w:rsidRDefault="00AE6755" w:rsidP="001F2847">
      <w:pPr>
        <w:rPr>
          <w:szCs w:val="22"/>
        </w:rPr>
      </w:pPr>
    </w:p>
    <w:p w14:paraId="493B1994" w14:textId="77777777" w:rsidR="00AE6755" w:rsidRPr="009F0293" w:rsidRDefault="00AE6755" w:rsidP="001F2847">
      <w:pPr>
        <w:rPr>
          <w:szCs w:val="22"/>
        </w:rPr>
      </w:pPr>
    </w:p>
    <w:p w14:paraId="7B512D03" w14:textId="76A493DD"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2.</w:t>
      </w:r>
      <w:r w:rsidRPr="009F0293">
        <w:rPr>
          <w:b/>
          <w:szCs w:val="22"/>
        </w:rPr>
        <w:tab/>
      </w:r>
      <w:r w:rsidR="00924C8F" w:rsidRPr="009F0293">
        <w:rPr>
          <w:b/>
          <w:szCs w:val="22"/>
        </w:rPr>
        <w:t>REGISTRUOTOJO PAVADINIMAS</w:t>
      </w:r>
    </w:p>
    <w:p w14:paraId="7438BBA8" w14:textId="77777777" w:rsidR="00AE6755" w:rsidRPr="009F0293" w:rsidRDefault="00AE6755" w:rsidP="001F2847">
      <w:pPr>
        <w:rPr>
          <w:szCs w:val="22"/>
        </w:rPr>
      </w:pPr>
    </w:p>
    <w:p w14:paraId="3F8407B4" w14:textId="77777777" w:rsidR="00AE6755" w:rsidRPr="009F0293" w:rsidRDefault="00AE6755" w:rsidP="001F2847">
      <w:pPr>
        <w:rPr>
          <w:szCs w:val="22"/>
        </w:rPr>
      </w:pPr>
      <w:r w:rsidRPr="009F0293">
        <w:rPr>
          <w:szCs w:val="22"/>
        </w:rPr>
        <w:t>ZENTIVA</w:t>
      </w:r>
      <w:r w:rsidR="00B26E9C" w:rsidRPr="009F0293">
        <w:rPr>
          <w:szCs w:val="22"/>
        </w:rPr>
        <w:t xml:space="preserve"> </w:t>
      </w:r>
      <w:r w:rsidR="00B26E9C" w:rsidRPr="009F0293">
        <w:rPr>
          <w:szCs w:val="22"/>
          <w:highlight w:val="lightGray"/>
        </w:rPr>
        <w:t>logo</w:t>
      </w:r>
    </w:p>
    <w:p w14:paraId="47285EFB" w14:textId="77777777" w:rsidR="00AE6755" w:rsidRPr="009F0293" w:rsidRDefault="00AE6755" w:rsidP="001F2847">
      <w:pPr>
        <w:rPr>
          <w:szCs w:val="22"/>
        </w:rPr>
      </w:pPr>
    </w:p>
    <w:p w14:paraId="72D08DCF" w14:textId="77777777" w:rsidR="00AE6755" w:rsidRPr="009F0293" w:rsidRDefault="00AE6755" w:rsidP="001F2847">
      <w:pPr>
        <w:rPr>
          <w:szCs w:val="22"/>
        </w:rPr>
      </w:pPr>
    </w:p>
    <w:p w14:paraId="45DD3B1B"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3.</w:t>
      </w:r>
      <w:r w:rsidRPr="009F0293">
        <w:rPr>
          <w:b/>
          <w:szCs w:val="22"/>
        </w:rPr>
        <w:tab/>
        <w:t>TINKAMUMO LAIKAS</w:t>
      </w:r>
    </w:p>
    <w:p w14:paraId="53314CDB" w14:textId="77777777" w:rsidR="00AE6755" w:rsidRPr="009F0293" w:rsidRDefault="00AE6755" w:rsidP="001F2847">
      <w:pPr>
        <w:rPr>
          <w:szCs w:val="22"/>
        </w:rPr>
      </w:pPr>
    </w:p>
    <w:p w14:paraId="255E436E" w14:textId="77777777" w:rsidR="00AE6755" w:rsidRPr="009F0293" w:rsidRDefault="00AE6755" w:rsidP="001F2847">
      <w:pPr>
        <w:rPr>
          <w:szCs w:val="22"/>
        </w:rPr>
      </w:pPr>
      <w:r w:rsidRPr="009F0293">
        <w:rPr>
          <w:szCs w:val="22"/>
          <w:highlight w:val="lightGray"/>
        </w:rPr>
        <w:t>EXP</w:t>
      </w:r>
      <w:r w:rsidRPr="009F0293">
        <w:rPr>
          <w:szCs w:val="22"/>
        </w:rPr>
        <w:t xml:space="preserve"> {mm/MMMM}</w:t>
      </w:r>
    </w:p>
    <w:p w14:paraId="2C4D8C95" w14:textId="77777777" w:rsidR="00AE6755" w:rsidRPr="009F0293" w:rsidRDefault="00AE6755" w:rsidP="001F2847">
      <w:pPr>
        <w:rPr>
          <w:szCs w:val="22"/>
        </w:rPr>
      </w:pPr>
    </w:p>
    <w:p w14:paraId="3616FDC1" w14:textId="77777777" w:rsidR="00AE6755" w:rsidRPr="009F0293" w:rsidRDefault="00AE6755" w:rsidP="001F2847">
      <w:pPr>
        <w:rPr>
          <w:szCs w:val="22"/>
        </w:rPr>
      </w:pPr>
    </w:p>
    <w:p w14:paraId="2B11B5D9"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4.</w:t>
      </w:r>
      <w:r w:rsidRPr="009F0293">
        <w:rPr>
          <w:b/>
          <w:szCs w:val="22"/>
        </w:rPr>
        <w:tab/>
        <w:t xml:space="preserve">SERIJOS NUMERIS </w:t>
      </w:r>
    </w:p>
    <w:p w14:paraId="617A0C6A" w14:textId="77777777" w:rsidR="00AE6755" w:rsidRPr="009F0293" w:rsidRDefault="00AE6755" w:rsidP="001F2847">
      <w:pPr>
        <w:rPr>
          <w:szCs w:val="22"/>
        </w:rPr>
      </w:pPr>
    </w:p>
    <w:p w14:paraId="223B1C65" w14:textId="77777777" w:rsidR="00AE6755" w:rsidRPr="009F0293" w:rsidRDefault="00AE6755" w:rsidP="001F2847">
      <w:pPr>
        <w:rPr>
          <w:szCs w:val="22"/>
        </w:rPr>
      </w:pPr>
      <w:r w:rsidRPr="009F0293">
        <w:rPr>
          <w:szCs w:val="22"/>
          <w:highlight w:val="lightGray"/>
        </w:rPr>
        <w:t>Lot</w:t>
      </w:r>
    </w:p>
    <w:p w14:paraId="50BD1905" w14:textId="77777777" w:rsidR="00AE6755" w:rsidRPr="009F0293" w:rsidRDefault="00AE6755" w:rsidP="001F2847">
      <w:pPr>
        <w:rPr>
          <w:szCs w:val="22"/>
        </w:rPr>
      </w:pPr>
    </w:p>
    <w:p w14:paraId="0175B5DA" w14:textId="77777777" w:rsidR="00AE6755" w:rsidRPr="009F0293" w:rsidRDefault="00AE6755" w:rsidP="001F2847">
      <w:pPr>
        <w:rPr>
          <w:szCs w:val="22"/>
        </w:rPr>
      </w:pPr>
    </w:p>
    <w:p w14:paraId="1BCE284A" w14:textId="77777777" w:rsidR="00AE6755" w:rsidRPr="009F0293" w:rsidRDefault="00AE6755" w:rsidP="001F2847">
      <w:pPr>
        <w:pBdr>
          <w:top w:val="single" w:sz="4" w:space="1" w:color="auto"/>
          <w:left w:val="single" w:sz="4" w:space="4" w:color="auto"/>
          <w:bottom w:val="single" w:sz="4" w:space="1" w:color="auto"/>
          <w:right w:val="single" w:sz="4" w:space="4" w:color="auto"/>
        </w:pBdr>
        <w:tabs>
          <w:tab w:val="left" w:pos="567"/>
        </w:tabs>
        <w:rPr>
          <w:b/>
          <w:szCs w:val="22"/>
        </w:rPr>
      </w:pPr>
      <w:r w:rsidRPr="009F0293">
        <w:rPr>
          <w:b/>
          <w:szCs w:val="22"/>
        </w:rPr>
        <w:t>5.</w:t>
      </w:r>
      <w:r w:rsidRPr="009F0293">
        <w:rPr>
          <w:b/>
          <w:szCs w:val="22"/>
        </w:rPr>
        <w:tab/>
        <w:t>KITA</w:t>
      </w:r>
    </w:p>
    <w:p w14:paraId="4EEC6C49" w14:textId="77777777" w:rsidR="00AE6755" w:rsidRPr="009F0293" w:rsidRDefault="00AE6755" w:rsidP="001F2847">
      <w:pPr>
        <w:rPr>
          <w:szCs w:val="22"/>
        </w:rPr>
      </w:pPr>
    </w:p>
    <w:p w14:paraId="5F0303D9" w14:textId="77777777" w:rsidR="00AE6755" w:rsidRPr="009F0293" w:rsidRDefault="00AE6755" w:rsidP="001F2847">
      <w:pPr>
        <w:rPr>
          <w:szCs w:val="22"/>
        </w:rPr>
      </w:pPr>
    </w:p>
    <w:p w14:paraId="11B77D64" w14:textId="77777777" w:rsidR="00AE6755" w:rsidRPr="009F0293" w:rsidRDefault="00AE6755" w:rsidP="001F2847">
      <w:pPr>
        <w:rPr>
          <w:szCs w:val="22"/>
        </w:rPr>
      </w:pPr>
      <w:r w:rsidRPr="009F0293">
        <w:rPr>
          <w:szCs w:val="22"/>
        </w:rPr>
        <w:br w:type="page"/>
      </w:r>
      <w:r w:rsidRPr="009F0293" w:rsidDel="00477DDC">
        <w:rPr>
          <w:szCs w:val="22"/>
        </w:rPr>
        <w:lastRenderedPageBreak/>
        <w:t xml:space="preserve"> </w:t>
      </w:r>
    </w:p>
    <w:p w14:paraId="47522BD6" w14:textId="77777777" w:rsidR="00AE6755" w:rsidRPr="009F0293" w:rsidRDefault="00AE6755" w:rsidP="001F2847">
      <w:pPr>
        <w:rPr>
          <w:szCs w:val="22"/>
        </w:rPr>
      </w:pPr>
    </w:p>
    <w:p w14:paraId="366887A9" w14:textId="77777777" w:rsidR="00AE6755" w:rsidRPr="009F0293" w:rsidRDefault="00AE6755" w:rsidP="001F2847">
      <w:pPr>
        <w:rPr>
          <w:szCs w:val="22"/>
        </w:rPr>
      </w:pPr>
    </w:p>
    <w:p w14:paraId="63292CD8" w14:textId="77777777" w:rsidR="00AE6755" w:rsidRPr="009F0293" w:rsidRDefault="00AE6755" w:rsidP="001F2847">
      <w:pPr>
        <w:rPr>
          <w:szCs w:val="22"/>
        </w:rPr>
      </w:pPr>
    </w:p>
    <w:p w14:paraId="3DAA3B20" w14:textId="77777777" w:rsidR="00AE6755" w:rsidRPr="009F0293" w:rsidRDefault="00AE6755" w:rsidP="001F2847">
      <w:pPr>
        <w:rPr>
          <w:szCs w:val="22"/>
        </w:rPr>
      </w:pPr>
    </w:p>
    <w:p w14:paraId="46AB209A" w14:textId="77777777" w:rsidR="00AE6755" w:rsidRPr="009F0293" w:rsidRDefault="00AE6755" w:rsidP="001F2847">
      <w:pPr>
        <w:rPr>
          <w:szCs w:val="22"/>
        </w:rPr>
      </w:pPr>
    </w:p>
    <w:p w14:paraId="2E0E95F4" w14:textId="77777777" w:rsidR="00AE6755" w:rsidRPr="009F0293" w:rsidRDefault="00AE6755" w:rsidP="001F2847">
      <w:pPr>
        <w:rPr>
          <w:szCs w:val="22"/>
        </w:rPr>
      </w:pPr>
    </w:p>
    <w:p w14:paraId="009B7B99" w14:textId="77777777" w:rsidR="00AE6755" w:rsidRPr="009F0293" w:rsidRDefault="00AE6755" w:rsidP="001F2847">
      <w:pPr>
        <w:rPr>
          <w:szCs w:val="22"/>
        </w:rPr>
      </w:pPr>
    </w:p>
    <w:p w14:paraId="67E15AC5" w14:textId="77777777" w:rsidR="00AE6755" w:rsidRPr="009F0293" w:rsidRDefault="00AE6755" w:rsidP="001F2847">
      <w:pPr>
        <w:rPr>
          <w:szCs w:val="22"/>
        </w:rPr>
      </w:pPr>
    </w:p>
    <w:p w14:paraId="4B642EA1" w14:textId="77777777" w:rsidR="00AE6755" w:rsidRPr="009F0293" w:rsidRDefault="00AE6755" w:rsidP="001F2847">
      <w:pPr>
        <w:rPr>
          <w:szCs w:val="22"/>
        </w:rPr>
      </w:pPr>
    </w:p>
    <w:p w14:paraId="5D5DAD7B" w14:textId="77777777" w:rsidR="00AE6755" w:rsidRPr="009F0293" w:rsidRDefault="00AE6755" w:rsidP="001F2847">
      <w:pPr>
        <w:rPr>
          <w:szCs w:val="22"/>
        </w:rPr>
      </w:pPr>
    </w:p>
    <w:p w14:paraId="6DD51D19" w14:textId="77777777" w:rsidR="00AE6755" w:rsidRPr="009F0293" w:rsidRDefault="00AE6755" w:rsidP="001F2847">
      <w:pPr>
        <w:rPr>
          <w:szCs w:val="22"/>
        </w:rPr>
      </w:pPr>
    </w:p>
    <w:p w14:paraId="23CA4AFC" w14:textId="77777777" w:rsidR="00AE6755" w:rsidRPr="009F0293" w:rsidRDefault="00AE6755" w:rsidP="001F2847">
      <w:pPr>
        <w:rPr>
          <w:szCs w:val="22"/>
        </w:rPr>
      </w:pPr>
    </w:p>
    <w:p w14:paraId="22AB659D" w14:textId="77777777" w:rsidR="00AE6755" w:rsidRPr="009F0293" w:rsidRDefault="00AE6755" w:rsidP="001F2847">
      <w:pPr>
        <w:rPr>
          <w:szCs w:val="22"/>
        </w:rPr>
      </w:pPr>
    </w:p>
    <w:p w14:paraId="2465F720" w14:textId="77777777" w:rsidR="00AE6755" w:rsidRPr="009F0293" w:rsidRDefault="00AE6755" w:rsidP="001F2847">
      <w:pPr>
        <w:rPr>
          <w:szCs w:val="22"/>
        </w:rPr>
      </w:pPr>
    </w:p>
    <w:p w14:paraId="76C65E37" w14:textId="77777777" w:rsidR="00AE6755" w:rsidRPr="009F0293" w:rsidRDefault="00AE6755" w:rsidP="001F2847">
      <w:pPr>
        <w:rPr>
          <w:szCs w:val="22"/>
        </w:rPr>
      </w:pPr>
    </w:p>
    <w:p w14:paraId="33194AC8" w14:textId="77777777" w:rsidR="00AE6755" w:rsidRPr="009F0293" w:rsidRDefault="00AE6755" w:rsidP="001F2847">
      <w:pPr>
        <w:rPr>
          <w:szCs w:val="22"/>
        </w:rPr>
      </w:pPr>
    </w:p>
    <w:p w14:paraId="6C56BC96" w14:textId="77777777" w:rsidR="00AE6755" w:rsidRPr="009F0293" w:rsidRDefault="00AE6755" w:rsidP="001F2847">
      <w:pPr>
        <w:rPr>
          <w:szCs w:val="22"/>
        </w:rPr>
      </w:pPr>
    </w:p>
    <w:p w14:paraId="568DAFD7" w14:textId="77777777" w:rsidR="00AE6755" w:rsidRPr="009F0293" w:rsidRDefault="00AE6755" w:rsidP="001F2847">
      <w:pPr>
        <w:rPr>
          <w:szCs w:val="22"/>
        </w:rPr>
      </w:pPr>
    </w:p>
    <w:p w14:paraId="149FB3EF" w14:textId="77777777" w:rsidR="00AE6755" w:rsidRPr="009F0293" w:rsidRDefault="00AE6755" w:rsidP="001F2847">
      <w:pPr>
        <w:rPr>
          <w:szCs w:val="22"/>
        </w:rPr>
      </w:pPr>
    </w:p>
    <w:p w14:paraId="4DC68FB8" w14:textId="77777777" w:rsidR="00AE6755" w:rsidRPr="009F0293" w:rsidRDefault="00AE6755" w:rsidP="001F2847">
      <w:pPr>
        <w:rPr>
          <w:szCs w:val="22"/>
        </w:rPr>
      </w:pPr>
    </w:p>
    <w:p w14:paraId="55847303" w14:textId="77777777" w:rsidR="00AE6755" w:rsidRPr="009F0293" w:rsidRDefault="00AE6755" w:rsidP="001F2847">
      <w:pPr>
        <w:rPr>
          <w:szCs w:val="22"/>
        </w:rPr>
      </w:pPr>
    </w:p>
    <w:p w14:paraId="553D2CE1" w14:textId="77777777" w:rsidR="00AE6755" w:rsidRPr="009F0293" w:rsidRDefault="00AE6755" w:rsidP="001F2847">
      <w:pPr>
        <w:rPr>
          <w:szCs w:val="22"/>
        </w:rPr>
      </w:pPr>
    </w:p>
    <w:p w14:paraId="26EF9812" w14:textId="77777777" w:rsidR="00AE6755" w:rsidRPr="009F0293" w:rsidRDefault="00AE6755" w:rsidP="001F2847">
      <w:pPr>
        <w:jc w:val="center"/>
        <w:rPr>
          <w:b/>
          <w:szCs w:val="22"/>
        </w:rPr>
      </w:pPr>
      <w:r w:rsidRPr="009F0293">
        <w:rPr>
          <w:b/>
          <w:szCs w:val="22"/>
        </w:rPr>
        <w:t>B. PAKUOTĖS LAPELIS</w:t>
      </w:r>
    </w:p>
    <w:p w14:paraId="50A9A655" w14:textId="58674869" w:rsidR="00AE6755" w:rsidRPr="009F0293" w:rsidRDefault="00AE6755" w:rsidP="001F2847">
      <w:pPr>
        <w:jc w:val="center"/>
        <w:rPr>
          <w:b/>
          <w:szCs w:val="22"/>
        </w:rPr>
      </w:pPr>
      <w:r w:rsidRPr="009F0293">
        <w:rPr>
          <w:szCs w:val="22"/>
        </w:rPr>
        <w:br w:type="page"/>
      </w:r>
      <w:r w:rsidR="00803B8B" w:rsidRPr="009F0293">
        <w:rPr>
          <w:b/>
          <w:szCs w:val="22"/>
        </w:rPr>
        <w:lastRenderedPageBreak/>
        <w:t xml:space="preserve">Pakuotės lapelis: informacija </w:t>
      </w:r>
      <w:r w:rsidR="003B5A09" w:rsidRPr="009F0293">
        <w:rPr>
          <w:b/>
          <w:szCs w:val="22"/>
        </w:rPr>
        <w:t>pacientui</w:t>
      </w:r>
    </w:p>
    <w:p w14:paraId="175EE2C6" w14:textId="77777777" w:rsidR="00AE6755" w:rsidRPr="009F0293" w:rsidRDefault="00AE6755" w:rsidP="001F2847">
      <w:pPr>
        <w:rPr>
          <w:szCs w:val="22"/>
        </w:rPr>
      </w:pPr>
    </w:p>
    <w:p w14:paraId="2E2E7BE1" w14:textId="4DD669B2" w:rsidR="00AE6755" w:rsidRPr="009F0293" w:rsidRDefault="00247FEA" w:rsidP="001F2847">
      <w:pPr>
        <w:jc w:val="center"/>
        <w:rPr>
          <w:b/>
          <w:bCs/>
          <w:szCs w:val="22"/>
        </w:rPr>
      </w:pPr>
      <w:r w:rsidRPr="009F0293">
        <w:rPr>
          <w:b/>
          <w:bCs/>
          <w:szCs w:val="22"/>
        </w:rPr>
        <w:t>Carzan HCT</w:t>
      </w:r>
      <w:r w:rsidR="00AE6755" w:rsidRPr="009F0293">
        <w:rPr>
          <w:b/>
          <w:bCs/>
          <w:szCs w:val="22"/>
        </w:rPr>
        <w:t xml:space="preserve"> 16</w:t>
      </w:r>
      <w:r w:rsidR="00C86F82" w:rsidRPr="009F0293">
        <w:rPr>
          <w:b/>
          <w:bCs/>
          <w:szCs w:val="22"/>
        </w:rPr>
        <w:t> mg</w:t>
      </w:r>
      <w:r w:rsidR="00AE6755" w:rsidRPr="009F0293">
        <w:rPr>
          <w:b/>
          <w:bCs/>
          <w:szCs w:val="22"/>
        </w:rPr>
        <w:t>/12,5</w:t>
      </w:r>
      <w:r w:rsidR="00C86F82" w:rsidRPr="009F0293">
        <w:rPr>
          <w:b/>
          <w:bCs/>
          <w:szCs w:val="22"/>
        </w:rPr>
        <w:t> mg</w:t>
      </w:r>
      <w:r w:rsidR="00AE6755" w:rsidRPr="009F0293">
        <w:rPr>
          <w:b/>
          <w:bCs/>
          <w:szCs w:val="22"/>
        </w:rPr>
        <w:t xml:space="preserve"> tabletės</w:t>
      </w:r>
    </w:p>
    <w:p w14:paraId="4853382F" w14:textId="695932B3" w:rsidR="00AE6755" w:rsidRPr="009F0293" w:rsidRDefault="002B23A1" w:rsidP="001F2847">
      <w:pPr>
        <w:jc w:val="center"/>
        <w:rPr>
          <w:szCs w:val="22"/>
        </w:rPr>
      </w:pPr>
      <w:r>
        <w:rPr>
          <w:szCs w:val="22"/>
        </w:rPr>
        <w:t>k</w:t>
      </w:r>
      <w:r w:rsidR="00AE6755" w:rsidRPr="009F0293">
        <w:rPr>
          <w:szCs w:val="22"/>
        </w:rPr>
        <w:t>andesartan</w:t>
      </w:r>
      <w:r w:rsidR="00870D36" w:rsidRPr="009F0293">
        <w:rPr>
          <w:szCs w:val="22"/>
        </w:rPr>
        <w:t>o</w:t>
      </w:r>
      <w:r w:rsidR="00AE6755" w:rsidRPr="009F0293">
        <w:rPr>
          <w:szCs w:val="22"/>
        </w:rPr>
        <w:t xml:space="preserve"> cileksetilas/</w:t>
      </w:r>
      <w:r>
        <w:rPr>
          <w:szCs w:val="22"/>
        </w:rPr>
        <w:t>h</w:t>
      </w:r>
      <w:r w:rsidR="00AE6755" w:rsidRPr="009F0293">
        <w:rPr>
          <w:szCs w:val="22"/>
        </w:rPr>
        <w:t>idrochlorotiazidas</w:t>
      </w:r>
    </w:p>
    <w:p w14:paraId="3B9F4DEC" w14:textId="77777777" w:rsidR="00AE6755" w:rsidRPr="009F0293" w:rsidRDefault="00AE6755" w:rsidP="001F2847">
      <w:pPr>
        <w:rPr>
          <w:szCs w:val="22"/>
        </w:rPr>
      </w:pPr>
    </w:p>
    <w:p w14:paraId="697D3152" w14:textId="77777777" w:rsidR="00AE6755" w:rsidRPr="009F0293" w:rsidRDefault="00AC2DBF" w:rsidP="001F2847">
      <w:pPr>
        <w:rPr>
          <w:b/>
          <w:szCs w:val="22"/>
        </w:rPr>
      </w:pPr>
      <w:r w:rsidRPr="009F0293">
        <w:rPr>
          <w:b/>
          <w:szCs w:val="22"/>
        </w:rPr>
        <w:t>Atidžiai perskaitykite visą šį lapelį, prieš pradėdami vartoti vaistą, nes jame pateikiama Jums svarbi informacija.</w:t>
      </w:r>
    </w:p>
    <w:p w14:paraId="02DA07C9" w14:textId="77777777" w:rsidR="00AE6755" w:rsidRPr="009F0293" w:rsidRDefault="00AE6755" w:rsidP="001F2847">
      <w:pPr>
        <w:tabs>
          <w:tab w:val="left" w:pos="567"/>
        </w:tabs>
        <w:rPr>
          <w:szCs w:val="22"/>
        </w:rPr>
      </w:pPr>
      <w:r w:rsidRPr="009F0293">
        <w:rPr>
          <w:szCs w:val="22"/>
        </w:rPr>
        <w:t>-</w:t>
      </w:r>
      <w:r w:rsidRPr="009F0293">
        <w:rPr>
          <w:szCs w:val="22"/>
        </w:rPr>
        <w:tab/>
        <w:t>Neišmeskite šio lapelio, nes vėl gali prireikti jį perskaityti.</w:t>
      </w:r>
      <w:r w:rsidR="00AC2DBF" w:rsidRPr="009F0293">
        <w:rPr>
          <w:szCs w:val="22"/>
        </w:rPr>
        <w:t xml:space="preserve"> </w:t>
      </w:r>
    </w:p>
    <w:p w14:paraId="01695A34" w14:textId="77777777" w:rsidR="00AE6755" w:rsidRPr="009F0293" w:rsidRDefault="00AE6755" w:rsidP="001F2847">
      <w:pPr>
        <w:tabs>
          <w:tab w:val="left" w:pos="567"/>
        </w:tabs>
        <w:rPr>
          <w:bCs/>
          <w:szCs w:val="22"/>
        </w:rPr>
      </w:pPr>
      <w:r w:rsidRPr="009F0293">
        <w:rPr>
          <w:bCs/>
          <w:szCs w:val="22"/>
        </w:rPr>
        <w:t>-</w:t>
      </w:r>
      <w:r w:rsidRPr="009F0293">
        <w:rPr>
          <w:bCs/>
          <w:szCs w:val="22"/>
        </w:rPr>
        <w:tab/>
        <w:t>Jeigu kiltų daugiau klausimų, kreipkitės į gydytoją arba vaistininką.</w:t>
      </w:r>
    </w:p>
    <w:p w14:paraId="41B62880" w14:textId="77777777" w:rsidR="00AE6755" w:rsidRPr="009F0293" w:rsidRDefault="00AE6755" w:rsidP="0089236D">
      <w:pPr>
        <w:tabs>
          <w:tab w:val="left" w:pos="567"/>
        </w:tabs>
        <w:ind w:left="567" w:hanging="567"/>
        <w:rPr>
          <w:bCs/>
          <w:szCs w:val="22"/>
        </w:rPr>
      </w:pPr>
      <w:r w:rsidRPr="009F0293">
        <w:rPr>
          <w:bCs/>
          <w:szCs w:val="22"/>
        </w:rPr>
        <w:t>-</w:t>
      </w:r>
      <w:r w:rsidRPr="009F0293">
        <w:rPr>
          <w:bCs/>
          <w:szCs w:val="22"/>
        </w:rPr>
        <w:tab/>
        <w:t xml:space="preserve">Šis vaistas skirtas </w:t>
      </w:r>
      <w:r w:rsidR="00AC2DBF" w:rsidRPr="009F0293">
        <w:rPr>
          <w:bCs/>
          <w:szCs w:val="22"/>
        </w:rPr>
        <w:t xml:space="preserve">tik </w:t>
      </w:r>
      <w:r w:rsidRPr="009F0293">
        <w:rPr>
          <w:bCs/>
          <w:szCs w:val="22"/>
        </w:rPr>
        <w:t xml:space="preserve">Jums, todėl kitiems žmonėms jo duoti negalima. Vaistas gali jiems pakenkti (net tiems, kurių ligos </w:t>
      </w:r>
      <w:r w:rsidR="00AC2DBF" w:rsidRPr="009F0293">
        <w:rPr>
          <w:bCs/>
          <w:szCs w:val="22"/>
        </w:rPr>
        <w:t>požymiai</w:t>
      </w:r>
      <w:r w:rsidRPr="009F0293">
        <w:rPr>
          <w:bCs/>
          <w:szCs w:val="22"/>
        </w:rPr>
        <w:t xml:space="preserve"> yra tokie patys kaip Jūsų).</w:t>
      </w:r>
    </w:p>
    <w:p w14:paraId="043C9C67" w14:textId="77777777" w:rsidR="00AE6755" w:rsidRPr="009F0293" w:rsidRDefault="00AE6755" w:rsidP="0089236D">
      <w:pPr>
        <w:tabs>
          <w:tab w:val="left" w:pos="567"/>
        </w:tabs>
        <w:ind w:left="567" w:hanging="567"/>
        <w:rPr>
          <w:bCs/>
          <w:szCs w:val="22"/>
        </w:rPr>
      </w:pPr>
      <w:r w:rsidRPr="009F0293">
        <w:rPr>
          <w:bCs/>
          <w:szCs w:val="22"/>
        </w:rPr>
        <w:t>-</w:t>
      </w:r>
      <w:r w:rsidRPr="009F0293">
        <w:rPr>
          <w:bCs/>
          <w:szCs w:val="22"/>
        </w:rPr>
        <w:tab/>
      </w:r>
      <w:r w:rsidR="00AC2DBF" w:rsidRPr="009F0293">
        <w:rPr>
          <w:bCs/>
          <w:szCs w:val="22"/>
        </w:rPr>
        <w:t>Jeigu pasireiškė šalutinis poveikis (net jeigu jis šiame lapelyje nenurodytas), kreipkitės į</w:t>
      </w:r>
      <w:r w:rsidR="00AC2DBF" w:rsidRPr="009F0293" w:rsidDel="00AC2DBF">
        <w:rPr>
          <w:bCs/>
          <w:szCs w:val="22"/>
        </w:rPr>
        <w:t xml:space="preserve"> </w:t>
      </w:r>
      <w:r w:rsidRPr="009F0293">
        <w:rPr>
          <w:bCs/>
          <w:szCs w:val="22"/>
        </w:rPr>
        <w:t>gydytoj</w:t>
      </w:r>
      <w:r w:rsidR="00AC2DBF" w:rsidRPr="009F0293">
        <w:rPr>
          <w:bCs/>
          <w:szCs w:val="22"/>
        </w:rPr>
        <w:t>ą</w:t>
      </w:r>
      <w:r w:rsidRPr="009F0293">
        <w:rPr>
          <w:bCs/>
          <w:szCs w:val="22"/>
        </w:rPr>
        <w:t xml:space="preserve"> arba vaistinink</w:t>
      </w:r>
      <w:r w:rsidR="00AC2DBF" w:rsidRPr="009F0293">
        <w:rPr>
          <w:bCs/>
          <w:szCs w:val="22"/>
        </w:rPr>
        <w:t>ą</w:t>
      </w:r>
      <w:r w:rsidRPr="009F0293">
        <w:rPr>
          <w:bCs/>
          <w:szCs w:val="22"/>
        </w:rPr>
        <w:t>.</w:t>
      </w:r>
      <w:r w:rsidR="00AC2DBF" w:rsidRPr="009F0293">
        <w:rPr>
          <w:bCs/>
          <w:szCs w:val="22"/>
        </w:rPr>
        <w:t xml:space="preserve"> Žr. 4 skyrių.</w:t>
      </w:r>
    </w:p>
    <w:p w14:paraId="2448BCFD" w14:textId="77777777" w:rsidR="00AE6755" w:rsidRPr="009F0293" w:rsidRDefault="00AE6755" w:rsidP="001F2847">
      <w:pPr>
        <w:rPr>
          <w:szCs w:val="22"/>
        </w:rPr>
      </w:pPr>
    </w:p>
    <w:p w14:paraId="1586F7C6" w14:textId="77777777" w:rsidR="00AE6755" w:rsidRPr="009F0293" w:rsidRDefault="00AC2DBF" w:rsidP="001F2847">
      <w:pPr>
        <w:rPr>
          <w:b/>
          <w:szCs w:val="22"/>
        </w:rPr>
      </w:pPr>
      <w:r w:rsidRPr="009F0293">
        <w:rPr>
          <w:b/>
          <w:szCs w:val="22"/>
        </w:rPr>
        <w:t xml:space="preserve">Apie ką rašoma šiame lapelyje? </w:t>
      </w:r>
    </w:p>
    <w:p w14:paraId="75DC33CE" w14:textId="77777777" w:rsidR="00AE6755" w:rsidRPr="009F0293" w:rsidRDefault="00AE6755" w:rsidP="001F2847">
      <w:pPr>
        <w:tabs>
          <w:tab w:val="left" w:pos="567"/>
        </w:tabs>
        <w:rPr>
          <w:szCs w:val="22"/>
        </w:rPr>
      </w:pPr>
      <w:r w:rsidRPr="009F0293">
        <w:rPr>
          <w:szCs w:val="22"/>
        </w:rPr>
        <w:t>1.</w:t>
      </w:r>
      <w:r w:rsidRPr="009F0293">
        <w:rPr>
          <w:szCs w:val="22"/>
        </w:rPr>
        <w:tab/>
        <w:t xml:space="preserve">Kas yra </w:t>
      </w:r>
      <w:r w:rsidR="00247FEA" w:rsidRPr="009F0293">
        <w:rPr>
          <w:szCs w:val="22"/>
        </w:rPr>
        <w:t>Carzan HCT</w:t>
      </w:r>
      <w:r w:rsidRPr="009F0293">
        <w:rPr>
          <w:szCs w:val="22"/>
        </w:rPr>
        <w:t xml:space="preserve"> ir kam jis vartojamas</w:t>
      </w:r>
    </w:p>
    <w:p w14:paraId="1BBC4D9D" w14:textId="77777777" w:rsidR="00AE6755" w:rsidRPr="009F0293" w:rsidRDefault="00AE6755" w:rsidP="001F2847">
      <w:pPr>
        <w:tabs>
          <w:tab w:val="left" w:pos="567"/>
        </w:tabs>
        <w:rPr>
          <w:szCs w:val="22"/>
        </w:rPr>
      </w:pPr>
      <w:r w:rsidRPr="009F0293">
        <w:rPr>
          <w:szCs w:val="22"/>
        </w:rPr>
        <w:t>2.</w:t>
      </w:r>
      <w:r w:rsidRPr="009F0293">
        <w:rPr>
          <w:szCs w:val="22"/>
        </w:rPr>
        <w:tab/>
        <w:t xml:space="preserve">Kas žinotina prieš vartojant </w:t>
      </w:r>
      <w:r w:rsidR="00247FEA" w:rsidRPr="009F0293">
        <w:rPr>
          <w:szCs w:val="22"/>
        </w:rPr>
        <w:t>Carzan HCT</w:t>
      </w:r>
    </w:p>
    <w:p w14:paraId="21FA498B" w14:textId="77777777" w:rsidR="00AE6755" w:rsidRPr="009F0293" w:rsidRDefault="00AE6755" w:rsidP="001F2847">
      <w:pPr>
        <w:tabs>
          <w:tab w:val="left" w:pos="567"/>
        </w:tabs>
        <w:rPr>
          <w:szCs w:val="22"/>
        </w:rPr>
      </w:pPr>
      <w:r w:rsidRPr="009F0293">
        <w:rPr>
          <w:szCs w:val="22"/>
        </w:rPr>
        <w:t>3.</w:t>
      </w:r>
      <w:r w:rsidRPr="009F0293">
        <w:rPr>
          <w:szCs w:val="22"/>
        </w:rPr>
        <w:tab/>
        <w:t xml:space="preserve">Kaip vartoti </w:t>
      </w:r>
      <w:r w:rsidR="00247FEA" w:rsidRPr="009F0293">
        <w:rPr>
          <w:szCs w:val="22"/>
        </w:rPr>
        <w:t>Carzan HCT</w:t>
      </w:r>
    </w:p>
    <w:p w14:paraId="19E4143E" w14:textId="77777777" w:rsidR="00AE6755" w:rsidRPr="009F0293" w:rsidRDefault="00AE6755" w:rsidP="001F2847">
      <w:pPr>
        <w:tabs>
          <w:tab w:val="left" w:pos="567"/>
        </w:tabs>
        <w:rPr>
          <w:szCs w:val="22"/>
        </w:rPr>
      </w:pPr>
      <w:r w:rsidRPr="009F0293">
        <w:rPr>
          <w:szCs w:val="22"/>
        </w:rPr>
        <w:t>4.</w:t>
      </w:r>
      <w:r w:rsidRPr="009F0293">
        <w:rPr>
          <w:szCs w:val="22"/>
        </w:rPr>
        <w:tab/>
        <w:t>Galimas šalutinis poveikis</w:t>
      </w:r>
    </w:p>
    <w:p w14:paraId="5DE95195" w14:textId="77777777" w:rsidR="00AE6755" w:rsidRPr="009F0293" w:rsidRDefault="00AE6755" w:rsidP="001F2847">
      <w:pPr>
        <w:tabs>
          <w:tab w:val="left" w:pos="567"/>
        </w:tabs>
        <w:rPr>
          <w:szCs w:val="22"/>
        </w:rPr>
      </w:pPr>
      <w:r w:rsidRPr="009F0293">
        <w:rPr>
          <w:szCs w:val="22"/>
        </w:rPr>
        <w:t>5.</w:t>
      </w:r>
      <w:r w:rsidRPr="009F0293">
        <w:rPr>
          <w:szCs w:val="22"/>
        </w:rPr>
        <w:tab/>
        <w:t xml:space="preserve">Kaip laikyti </w:t>
      </w:r>
      <w:r w:rsidR="00247FEA" w:rsidRPr="009F0293">
        <w:rPr>
          <w:szCs w:val="22"/>
        </w:rPr>
        <w:t>Carzan HCT</w:t>
      </w:r>
    </w:p>
    <w:p w14:paraId="5AEBB0C5" w14:textId="77777777" w:rsidR="00AE6755" w:rsidRPr="009F0293" w:rsidRDefault="00AE6755" w:rsidP="001F2847">
      <w:pPr>
        <w:tabs>
          <w:tab w:val="left" w:pos="567"/>
        </w:tabs>
        <w:rPr>
          <w:szCs w:val="22"/>
        </w:rPr>
      </w:pPr>
      <w:r w:rsidRPr="009F0293">
        <w:rPr>
          <w:szCs w:val="22"/>
        </w:rPr>
        <w:t>6.</w:t>
      </w:r>
      <w:r w:rsidRPr="009F0293">
        <w:rPr>
          <w:szCs w:val="22"/>
        </w:rPr>
        <w:tab/>
      </w:r>
      <w:r w:rsidR="00AC2DBF" w:rsidRPr="009F0293">
        <w:rPr>
          <w:szCs w:val="22"/>
        </w:rPr>
        <w:t>Pakuotės turinys ir k</w:t>
      </w:r>
      <w:r w:rsidRPr="009F0293">
        <w:rPr>
          <w:szCs w:val="22"/>
        </w:rPr>
        <w:t>ita informacija</w:t>
      </w:r>
    </w:p>
    <w:p w14:paraId="1EE96822" w14:textId="77777777" w:rsidR="00AE6755" w:rsidRPr="009F0293" w:rsidRDefault="00AE6755" w:rsidP="001F2847">
      <w:pPr>
        <w:rPr>
          <w:szCs w:val="22"/>
        </w:rPr>
      </w:pPr>
    </w:p>
    <w:p w14:paraId="7B4CAFC6" w14:textId="77777777" w:rsidR="00AE6755" w:rsidRPr="009F0293" w:rsidRDefault="00AE6755" w:rsidP="001F2847">
      <w:pPr>
        <w:rPr>
          <w:szCs w:val="22"/>
        </w:rPr>
      </w:pPr>
    </w:p>
    <w:p w14:paraId="48002D73" w14:textId="77777777" w:rsidR="00AE6755" w:rsidRPr="009F0293" w:rsidRDefault="00AE6755" w:rsidP="00E65179">
      <w:pPr>
        <w:tabs>
          <w:tab w:val="left" w:pos="567"/>
        </w:tabs>
        <w:ind w:left="540" w:hanging="540"/>
        <w:rPr>
          <w:b/>
          <w:szCs w:val="22"/>
        </w:rPr>
      </w:pPr>
      <w:r w:rsidRPr="009F0293">
        <w:rPr>
          <w:b/>
          <w:szCs w:val="22"/>
        </w:rPr>
        <w:t xml:space="preserve">1. </w:t>
      </w:r>
      <w:r w:rsidRPr="009F0293">
        <w:rPr>
          <w:b/>
          <w:szCs w:val="22"/>
        </w:rPr>
        <w:tab/>
      </w:r>
      <w:r w:rsidR="00AC2DBF" w:rsidRPr="009F0293">
        <w:rPr>
          <w:b/>
          <w:szCs w:val="22"/>
        </w:rPr>
        <w:t>Kas yra Carzan HCT ir kam jis vartojamas</w:t>
      </w:r>
    </w:p>
    <w:p w14:paraId="49DC6B9E" w14:textId="77777777" w:rsidR="00AE6755" w:rsidRPr="009F0293" w:rsidRDefault="00AE6755" w:rsidP="001F2847">
      <w:pPr>
        <w:rPr>
          <w:szCs w:val="22"/>
        </w:rPr>
      </w:pPr>
    </w:p>
    <w:p w14:paraId="28197A3F" w14:textId="77777777" w:rsidR="00AE6755" w:rsidRPr="009F0293" w:rsidRDefault="00AE6755" w:rsidP="00A72E4F">
      <w:pPr>
        <w:autoSpaceDE w:val="0"/>
        <w:autoSpaceDN w:val="0"/>
        <w:adjustRightInd w:val="0"/>
        <w:rPr>
          <w:szCs w:val="22"/>
        </w:rPr>
      </w:pPr>
      <w:r w:rsidRPr="009F0293">
        <w:rPr>
          <w:szCs w:val="22"/>
        </w:rPr>
        <w:t xml:space="preserve">Jums paskirtas vaistas, vadinamas </w:t>
      </w:r>
      <w:r w:rsidR="00247FEA" w:rsidRPr="009F0293">
        <w:rPr>
          <w:szCs w:val="22"/>
        </w:rPr>
        <w:t>Carzan HCT</w:t>
      </w:r>
      <w:r w:rsidRPr="009F0293">
        <w:rPr>
          <w:szCs w:val="22"/>
        </w:rPr>
        <w:t>. Šiuo vaistu gydomi suaugusieji, kurių kraujospūdis yra padidėjęs (hipertenzija). Vaisto sudėtyje yra dvi veikliosios medžiagos: kandesartan</w:t>
      </w:r>
      <w:r w:rsidR="00870D36" w:rsidRPr="009F0293">
        <w:rPr>
          <w:szCs w:val="22"/>
        </w:rPr>
        <w:t>o</w:t>
      </w:r>
      <w:r w:rsidRPr="009F0293">
        <w:rPr>
          <w:szCs w:val="22"/>
        </w:rPr>
        <w:t xml:space="preserve"> cileksetilas ir hidrochlorotiazidas. Veikdamos kartu, šios medžiagos gali sumažinti kraujospūdį.</w:t>
      </w:r>
    </w:p>
    <w:p w14:paraId="7473814D" w14:textId="77777777" w:rsidR="00AE6755" w:rsidRPr="009F0293" w:rsidRDefault="00AE6755" w:rsidP="00A72E4F">
      <w:pPr>
        <w:numPr>
          <w:ilvl w:val="0"/>
          <w:numId w:val="19"/>
        </w:numPr>
        <w:tabs>
          <w:tab w:val="left" w:pos="0"/>
        </w:tabs>
        <w:autoSpaceDE w:val="0"/>
        <w:autoSpaceDN w:val="0"/>
        <w:adjustRightInd w:val="0"/>
        <w:rPr>
          <w:szCs w:val="22"/>
        </w:rPr>
      </w:pPr>
      <w:r w:rsidRPr="009F0293">
        <w:rPr>
          <w:szCs w:val="22"/>
        </w:rPr>
        <w:t>Kandesartan</w:t>
      </w:r>
      <w:r w:rsidR="00870D36" w:rsidRPr="009F0293">
        <w:rPr>
          <w:szCs w:val="22"/>
        </w:rPr>
        <w:t>o</w:t>
      </w:r>
      <w:r w:rsidRPr="009F0293">
        <w:rPr>
          <w:szCs w:val="22"/>
        </w:rPr>
        <w:t xml:space="preserve"> cileksetilas priklauso vaistų, vadinamų angiotenzino II receptorių blokatoriais, grupei. Ši medžiaga atpalaiduoja ir praplečia kraujagysles, taip padėdama mažinti kraujospūdį.</w:t>
      </w:r>
    </w:p>
    <w:p w14:paraId="0E344C94" w14:textId="77777777" w:rsidR="00AE6755" w:rsidRPr="009F0293" w:rsidRDefault="00AE6755" w:rsidP="00A72E4F">
      <w:pPr>
        <w:numPr>
          <w:ilvl w:val="0"/>
          <w:numId w:val="19"/>
        </w:numPr>
        <w:tabs>
          <w:tab w:val="left" w:pos="0"/>
        </w:tabs>
        <w:autoSpaceDE w:val="0"/>
        <w:autoSpaceDN w:val="0"/>
        <w:adjustRightInd w:val="0"/>
        <w:rPr>
          <w:szCs w:val="22"/>
        </w:rPr>
      </w:pPr>
      <w:r w:rsidRPr="009F0293">
        <w:rPr>
          <w:szCs w:val="22"/>
        </w:rPr>
        <w:t>Hidrochlorotiazidas priklauso vaistų, vadinamų diuretikais (šlapimo išsiskyrimą skatinančios tabletės), grupei. Ši medžiaga padeda kartu su šlapimu iš organizmo pašalinti vandenį ir druskas (pvz., natrį). Tai padeda sumažinti kraujospūdį.</w:t>
      </w:r>
    </w:p>
    <w:p w14:paraId="076A88EF" w14:textId="77777777" w:rsidR="00AE6755" w:rsidRPr="009F0293" w:rsidRDefault="00AE6755" w:rsidP="00A72E4F">
      <w:pPr>
        <w:autoSpaceDE w:val="0"/>
        <w:autoSpaceDN w:val="0"/>
        <w:adjustRightInd w:val="0"/>
        <w:ind w:left="567" w:hanging="567"/>
        <w:rPr>
          <w:szCs w:val="22"/>
        </w:rPr>
      </w:pPr>
    </w:p>
    <w:p w14:paraId="1D13F106" w14:textId="77777777" w:rsidR="00AE6755" w:rsidRPr="009F0293" w:rsidRDefault="00AE6755" w:rsidP="00F93EEB">
      <w:pPr>
        <w:autoSpaceDE w:val="0"/>
        <w:autoSpaceDN w:val="0"/>
        <w:adjustRightInd w:val="0"/>
        <w:rPr>
          <w:szCs w:val="22"/>
        </w:rPr>
      </w:pPr>
      <w:r w:rsidRPr="009F0293">
        <w:rPr>
          <w:szCs w:val="22"/>
        </w:rPr>
        <w:t xml:space="preserve">Gydytojas gali skirti Jums </w:t>
      </w:r>
      <w:r w:rsidR="00247FEA" w:rsidRPr="009F0293">
        <w:rPr>
          <w:szCs w:val="22"/>
        </w:rPr>
        <w:t>Carzan HCT</w:t>
      </w:r>
      <w:r w:rsidRPr="009F0293">
        <w:rPr>
          <w:szCs w:val="22"/>
        </w:rPr>
        <w:t>, jeigu kraujospūdžio nepavyko tinkamai sumažinti vartojant vieną kandesartan</w:t>
      </w:r>
      <w:r w:rsidR="00870D36" w:rsidRPr="009F0293">
        <w:rPr>
          <w:szCs w:val="22"/>
        </w:rPr>
        <w:t>o</w:t>
      </w:r>
      <w:r w:rsidRPr="009F0293">
        <w:rPr>
          <w:szCs w:val="22"/>
        </w:rPr>
        <w:t xml:space="preserve"> cileksetilą arba vieną hidrochlorotiazidą.</w:t>
      </w:r>
    </w:p>
    <w:p w14:paraId="21122F80" w14:textId="77777777" w:rsidR="00AE6755" w:rsidRPr="009F0293" w:rsidRDefault="00AE6755" w:rsidP="001F2847">
      <w:pPr>
        <w:rPr>
          <w:szCs w:val="22"/>
        </w:rPr>
      </w:pPr>
    </w:p>
    <w:p w14:paraId="51B4FD71" w14:textId="77777777" w:rsidR="00AE6755" w:rsidRPr="009F0293" w:rsidRDefault="00AE6755" w:rsidP="001F2847">
      <w:pPr>
        <w:rPr>
          <w:szCs w:val="22"/>
        </w:rPr>
      </w:pPr>
    </w:p>
    <w:p w14:paraId="276BBDE1" w14:textId="77777777" w:rsidR="00AE6755" w:rsidRPr="009F0293" w:rsidRDefault="00AE6755" w:rsidP="00E65179">
      <w:pPr>
        <w:tabs>
          <w:tab w:val="left" w:pos="567"/>
        </w:tabs>
        <w:ind w:left="540" w:hanging="540"/>
        <w:rPr>
          <w:b/>
          <w:szCs w:val="22"/>
        </w:rPr>
      </w:pPr>
      <w:r w:rsidRPr="009F0293">
        <w:rPr>
          <w:b/>
          <w:szCs w:val="22"/>
        </w:rPr>
        <w:t>2.</w:t>
      </w:r>
      <w:r w:rsidRPr="009F0293">
        <w:rPr>
          <w:b/>
          <w:szCs w:val="22"/>
        </w:rPr>
        <w:tab/>
      </w:r>
      <w:r w:rsidR="00AC2DBF" w:rsidRPr="009F0293">
        <w:rPr>
          <w:b/>
          <w:szCs w:val="22"/>
        </w:rPr>
        <w:t>Kas žinotina prieš vartojant Carzan HCT</w:t>
      </w:r>
    </w:p>
    <w:p w14:paraId="6B6034CE" w14:textId="77777777" w:rsidR="00AE6755" w:rsidRPr="009F0293" w:rsidRDefault="00AE6755" w:rsidP="001F2847">
      <w:pPr>
        <w:rPr>
          <w:szCs w:val="22"/>
        </w:rPr>
      </w:pPr>
    </w:p>
    <w:p w14:paraId="64D6BB65" w14:textId="64CFE186" w:rsidR="00AE6755" w:rsidRPr="009F0293" w:rsidRDefault="00247FEA" w:rsidP="001F2847">
      <w:pPr>
        <w:rPr>
          <w:b/>
          <w:szCs w:val="22"/>
        </w:rPr>
      </w:pPr>
      <w:r w:rsidRPr="009F0293">
        <w:rPr>
          <w:b/>
          <w:szCs w:val="22"/>
        </w:rPr>
        <w:t>Carzan HCT</w:t>
      </w:r>
      <w:r w:rsidR="00AE6755" w:rsidRPr="009F0293">
        <w:rPr>
          <w:b/>
          <w:szCs w:val="22"/>
        </w:rPr>
        <w:t xml:space="preserve"> vartoti </w:t>
      </w:r>
      <w:r w:rsidR="00C12307">
        <w:rPr>
          <w:b/>
          <w:szCs w:val="22"/>
        </w:rPr>
        <w:t>draudžiama</w:t>
      </w:r>
      <w:r w:rsidR="00AE6755" w:rsidRPr="009F0293">
        <w:rPr>
          <w:b/>
          <w:szCs w:val="22"/>
        </w:rPr>
        <w:t>:</w:t>
      </w:r>
    </w:p>
    <w:p w14:paraId="1CDFF593"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jeigu yra alergija kandesartan</w:t>
      </w:r>
      <w:r w:rsidR="00870D36" w:rsidRPr="009F0293">
        <w:rPr>
          <w:rFonts w:ascii="Times New Roman" w:hAnsi="Times New Roman"/>
          <w:sz w:val="22"/>
          <w:szCs w:val="22"/>
        </w:rPr>
        <w:t>o</w:t>
      </w:r>
      <w:r w:rsidRPr="009F0293">
        <w:rPr>
          <w:rFonts w:ascii="Times New Roman" w:hAnsi="Times New Roman"/>
          <w:sz w:val="22"/>
          <w:szCs w:val="22"/>
        </w:rPr>
        <w:t xml:space="preserve"> cileksetilui ar hidrochlorotiazidui arba bet kuriai pagalbinei </w:t>
      </w:r>
      <w:r w:rsidR="00AC2DBF" w:rsidRPr="009F0293">
        <w:rPr>
          <w:rFonts w:ascii="Times New Roman" w:hAnsi="Times New Roman"/>
          <w:sz w:val="22"/>
          <w:szCs w:val="22"/>
        </w:rPr>
        <w:t>šio vaisto</w:t>
      </w:r>
      <w:r w:rsidRPr="009F0293">
        <w:rPr>
          <w:rFonts w:ascii="Times New Roman" w:hAnsi="Times New Roman"/>
          <w:sz w:val="22"/>
          <w:szCs w:val="22"/>
        </w:rPr>
        <w:t xml:space="preserve"> medžiagai (</w:t>
      </w:r>
      <w:r w:rsidR="00AC2DBF" w:rsidRPr="009F0293">
        <w:rPr>
          <w:rFonts w:ascii="Times New Roman" w:hAnsi="Times New Roman"/>
          <w:sz w:val="22"/>
          <w:szCs w:val="22"/>
        </w:rPr>
        <w:t>jos išvardytos 6 skyriuje</w:t>
      </w:r>
      <w:r w:rsidRPr="009F0293">
        <w:rPr>
          <w:rFonts w:ascii="Times New Roman" w:hAnsi="Times New Roman"/>
          <w:sz w:val="22"/>
          <w:szCs w:val="22"/>
        </w:rPr>
        <w:t>);</w:t>
      </w:r>
    </w:p>
    <w:p w14:paraId="56DCC0BF"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jeigu yra alergija sulfonamidams. Jeigu abejojate, ar šis teiginys tinka Jums, pasitarkite su gydytoju;</w:t>
      </w:r>
    </w:p>
    <w:p w14:paraId="6DDB5000" w14:textId="2594BADF"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 xml:space="preserve">moterims: jeigu ilgiau kaip 3 mėn. esate nėščia (tačiau ir nėštumo pradžioje </w:t>
      </w:r>
      <w:r w:rsidR="00247FEA" w:rsidRPr="009F0293">
        <w:rPr>
          <w:rFonts w:ascii="Times New Roman" w:hAnsi="Times New Roman"/>
          <w:sz w:val="22"/>
          <w:szCs w:val="22"/>
        </w:rPr>
        <w:t>Carzan HCT</w:t>
      </w:r>
      <w:r w:rsidRPr="009F0293">
        <w:rPr>
          <w:rFonts w:ascii="Times New Roman" w:hAnsi="Times New Roman"/>
          <w:sz w:val="22"/>
          <w:szCs w:val="22"/>
        </w:rPr>
        <w:t xml:space="preserve"> geriau nevartoti, žr. skyrių „Nėštumas</w:t>
      </w:r>
      <w:r w:rsidR="003A3585" w:rsidRPr="009F0293">
        <w:rPr>
          <w:rFonts w:ascii="Times New Roman" w:hAnsi="Times New Roman"/>
          <w:sz w:val="22"/>
          <w:szCs w:val="22"/>
        </w:rPr>
        <w:t>, žindymo laikotarpis ir vaisingumas</w:t>
      </w:r>
      <w:r w:rsidRPr="009F0293">
        <w:rPr>
          <w:rFonts w:ascii="Times New Roman" w:hAnsi="Times New Roman"/>
          <w:sz w:val="22"/>
          <w:szCs w:val="22"/>
        </w:rPr>
        <w:t>“);</w:t>
      </w:r>
    </w:p>
    <w:p w14:paraId="1199106E"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jeigu sergate sunkia inkstų liga;</w:t>
      </w:r>
    </w:p>
    <w:p w14:paraId="38180C53"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jeigu sergate sunkia kepenų liga arba užsikimšę Jūsų tulžies latakai (tuomet sutrinka tulžies nutekėjimas iš pūslės);</w:t>
      </w:r>
    </w:p>
    <w:p w14:paraId="0D9DA71E" w14:textId="77777777" w:rsidR="00AC2DBF" w:rsidRPr="009F0293" w:rsidRDefault="00AC2DBF" w:rsidP="00AC2DBF">
      <w:pPr>
        <w:pStyle w:val="BTEMEASMCA"/>
        <w:rPr>
          <w:rFonts w:ascii="Times New Roman" w:hAnsi="Times New Roman"/>
          <w:sz w:val="22"/>
          <w:szCs w:val="22"/>
        </w:rPr>
      </w:pPr>
      <w:r w:rsidRPr="009F0293">
        <w:rPr>
          <w:rFonts w:ascii="Times New Roman" w:hAnsi="Times New Roman"/>
          <w:sz w:val="22"/>
          <w:szCs w:val="22"/>
        </w:rPr>
        <w:t>jeigu Jūs sergate cukriniu diabetu arba Jūsų inkstų veikla sutrikusi ir Jums skirtas kraujospūdį mažinantis vaistas, kurio sudėtyje yra aliskireno;</w:t>
      </w:r>
    </w:p>
    <w:p w14:paraId="7420F101"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jeigu nuolat yra sumažėjusi kalio koncentracija kraujyje;</w:t>
      </w:r>
    </w:p>
    <w:p w14:paraId="2ECA9BAA"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jeigu nuolat yra padidėjusi kalcio koncentracija kraujyje;</w:t>
      </w:r>
    </w:p>
    <w:p w14:paraId="2DC29C9B"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jeigu kada nors sirgote podagra.</w:t>
      </w:r>
    </w:p>
    <w:p w14:paraId="1DFEA39A" w14:textId="77777777" w:rsidR="00AE6755" w:rsidRPr="009F0293" w:rsidRDefault="00AE6755" w:rsidP="001F2847">
      <w:pPr>
        <w:rPr>
          <w:szCs w:val="22"/>
        </w:rPr>
      </w:pPr>
    </w:p>
    <w:p w14:paraId="4CD714C0" w14:textId="77777777" w:rsidR="00AE6755" w:rsidRPr="009F0293" w:rsidRDefault="00AE6755" w:rsidP="003A3585">
      <w:pPr>
        <w:keepNext/>
        <w:keepLines/>
        <w:rPr>
          <w:szCs w:val="22"/>
        </w:rPr>
      </w:pPr>
      <w:r w:rsidRPr="009F0293">
        <w:rPr>
          <w:szCs w:val="22"/>
        </w:rPr>
        <w:lastRenderedPageBreak/>
        <w:t xml:space="preserve">Jeigu abejojate, ar neturite kurios nors iš aukščiau išvardytų problemų, apie tai pasakykite gydytojui </w:t>
      </w:r>
    </w:p>
    <w:p w14:paraId="7243E05D" w14:textId="77777777" w:rsidR="00AE6755" w:rsidRPr="009F0293" w:rsidRDefault="00AE6755" w:rsidP="003A3585">
      <w:pPr>
        <w:keepNext/>
        <w:keepLines/>
        <w:rPr>
          <w:szCs w:val="22"/>
        </w:rPr>
      </w:pPr>
      <w:r w:rsidRPr="009F0293">
        <w:rPr>
          <w:szCs w:val="22"/>
        </w:rPr>
        <w:t xml:space="preserve">arba vaistininkui, prieš pradėdami vartoti </w:t>
      </w:r>
      <w:r w:rsidR="00247FEA" w:rsidRPr="009F0293">
        <w:rPr>
          <w:szCs w:val="22"/>
        </w:rPr>
        <w:t>Carzan HCT</w:t>
      </w:r>
      <w:r w:rsidRPr="009F0293">
        <w:rPr>
          <w:szCs w:val="22"/>
        </w:rPr>
        <w:t>.</w:t>
      </w:r>
    </w:p>
    <w:p w14:paraId="31034F17" w14:textId="77777777" w:rsidR="00AE6755" w:rsidRPr="009F0293" w:rsidRDefault="00AE6755" w:rsidP="003A3585">
      <w:pPr>
        <w:keepNext/>
        <w:keepLines/>
        <w:rPr>
          <w:szCs w:val="22"/>
        </w:rPr>
      </w:pPr>
    </w:p>
    <w:p w14:paraId="66FDF035" w14:textId="77777777" w:rsidR="00AE6755" w:rsidRPr="009F0293" w:rsidRDefault="00AC2DBF" w:rsidP="001F2847">
      <w:pPr>
        <w:rPr>
          <w:b/>
          <w:szCs w:val="22"/>
        </w:rPr>
      </w:pPr>
      <w:r w:rsidRPr="009F0293">
        <w:rPr>
          <w:b/>
          <w:szCs w:val="22"/>
        </w:rPr>
        <w:t>Įspėjimai ir atsargumo priemonės</w:t>
      </w:r>
    </w:p>
    <w:p w14:paraId="36F50CB4" w14:textId="1DFAF5ED" w:rsidR="00AE6755" w:rsidRPr="009F0293" w:rsidRDefault="00AC2DBF" w:rsidP="001F2847">
      <w:pPr>
        <w:rPr>
          <w:szCs w:val="22"/>
        </w:rPr>
      </w:pPr>
      <w:r w:rsidRPr="009F0293">
        <w:rPr>
          <w:szCs w:val="22"/>
        </w:rPr>
        <w:t xml:space="preserve">Pasitarkite su gydytoju arba vaistininku, prieš pradėdami vartoti </w:t>
      </w:r>
      <w:r w:rsidR="00EE48A5" w:rsidRPr="009F0293">
        <w:rPr>
          <w:szCs w:val="22"/>
        </w:rPr>
        <w:t>Carzan HCT</w:t>
      </w:r>
      <w:r w:rsidR="00B513A8" w:rsidRPr="009F0293">
        <w:rPr>
          <w:szCs w:val="22"/>
        </w:rPr>
        <w:t>:</w:t>
      </w:r>
      <w:r w:rsidRPr="009F0293">
        <w:rPr>
          <w:szCs w:val="22"/>
        </w:rPr>
        <w:t xml:space="preserve"> </w:t>
      </w:r>
    </w:p>
    <w:p w14:paraId="71F51AFF" w14:textId="63465F87" w:rsidR="00AE6755" w:rsidRPr="009F0293"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 xml:space="preserve">sergate </w:t>
      </w:r>
      <w:r w:rsidR="003A3585" w:rsidRPr="009F0293">
        <w:rPr>
          <w:rFonts w:ascii="Times New Roman" w:hAnsi="Times New Roman"/>
          <w:sz w:val="22"/>
          <w:szCs w:val="22"/>
        </w:rPr>
        <w:t xml:space="preserve">cukriniu </w:t>
      </w:r>
      <w:r w:rsidR="00AE6755" w:rsidRPr="009F0293">
        <w:rPr>
          <w:rFonts w:ascii="Times New Roman" w:hAnsi="Times New Roman"/>
          <w:sz w:val="22"/>
          <w:szCs w:val="22"/>
        </w:rPr>
        <w:t>diabetu;</w:t>
      </w:r>
    </w:p>
    <w:p w14:paraId="63199F06" w14:textId="1635B062" w:rsidR="00AE6755" w:rsidRPr="009F0293"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sergate širdies, kepenų ar inkst</w:t>
      </w:r>
      <w:r w:rsidR="00172EFE" w:rsidRPr="009F0293">
        <w:rPr>
          <w:rFonts w:ascii="Times New Roman" w:hAnsi="Times New Roman"/>
          <w:sz w:val="22"/>
          <w:szCs w:val="22"/>
        </w:rPr>
        <w:t>ų</w:t>
      </w:r>
      <w:r w:rsidR="00AE6755" w:rsidRPr="009F0293">
        <w:rPr>
          <w:rFonts w:ascii="Times New Roman" w:hAnsi="Times New Roman"/>
          <w:sz w:val="22"/>
          <w:szCs w:val="22"/>
        </w:rPr>
        <w:t xml:space="preserve"> ligomis;</w:t>
      </w:r>
    </w:p>
    <w:p w14:paraId="68F682B8" w14:textId="24BC4C69" w:rsidR="00AE6755" w:rsidRPr="009F0293"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neseniai Jums persodintas inkstas;</w:t>
      </w:r>
    </w:p>
    <w:p w14:paraId="5401A901" w14:textId="66CC2372" w:rsidR="00AE6755" w:rsidRPr="009F0293"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Jūs vemiate, neseniai daug vėmėte arba viduriuojate;</w:t>
      </w:r>
    </w:p>
    <w:p w14:paraId="5EBD753C" w14:textId="4078BB4F" w:rsidR="00AE6755" w:rsidRPr="009F0293"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Jūs sergate antinksčių liga, vadinama Kono (</w:t>
      </w:r>
      <w:r w:rsidR="00AE6755" w:rsidRPr="009F0293">
        <w:rPr>
          <w:rFonts w:ascii="Times New Roman" w:hAnsi="Times New Roman"/>
          <w:i/>
          <w:sz w:val="22"/>
          <w:szCs w:val="22"/>
        </w:rPr>
        <w:t>Conn</w:t>
      </w:r>
      <w:r w:rsidR="00AE6755" w:rsidRPr="009F0293">
        <w:rPr>
          <w:rFonts w:ascii="Times New Roman" w:hAnsi="Times New Roman"/>
          <w:sz w:val="22"/>
          <w:szCs w:val="22"/>
        </w:rPr>
        <w:t>) sindromu (pirminiu hiperaldosteronizmu);</w:t>
      </w:r>
    </w:p>
    <w:p w14:paraId="1A3EA3CC" w14:textId="77777777" w:rsidR="002B23A1" w:rsidRDefault="009F0293" w:rsidP="002B23A1">
      <w:pPr>
        <w:pStyle w:val="Sraopastraipa"/>
        <w:numPr>
          <w:ilvl w:val="0"/>
          <w:numId w:val="27"/>
        </w:numPr>
        <w:autoSpaceDE w:val="0"/>
        <w:autoSpaceDN w:val="0"/>
        <w:adjustRightInd w:val="0"/>
        <w:ind w:left="357" w:hanging="357"/>
        <w:rPr>
          <w:rFonts w:eastAsia="Calibri"/>
          <w:color w:val="000000"/>
          <w:szCs w:val="22"/>
          <w:lang w:eastAsia="lt-LT"/>
        </w:rPr>
      </w:pPr>
      <w:r w:rsidRPr="009F0293">
        <w:rPr>
          <w:rFonts w:eastAsia="Calibri"/>
          <w:color w:val="000000"/>
          <w:szCs w:val="22"/>
          <w:lang w:eastAsia="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Carzan HCT, saugokite savo odą nuo saulės ir ultravioletinių spindulių;</w:t>
      </w:r>
    </w:p>
    <w:p w14:paraId="25D2F4AA" w14:textId="72B698F1" w:rsidR="002B23A1" w:rsidRPr="005F2514" w:rsidRDefault="008E67BD" w:rsidP="002B23A1">
      <w:pPr>
        <w:pStyle w:val="Sraopastraipa"/>
        <w:numPr>
          <w:ilvl w:val="0"/>
          <w:numId w:val="27"/>
        </w:numPr>
        <w:autoSpaceDE w:val="0"/>
        <w:autoSpaceDN w:val="0"/>
        <w:adjustRightInd w:val="0"/>
        <w:ind w:left="357" w:hanging="357"/>
        <w:rPr>
          <w:szCs w:val="22"/>
        </w:rPr>
      </w:pPr>
      <w:r>
        <w:rPr>
          <w:szCs w:val="22"/>
        </w:rPr>
        <w:t xml:space="preserve">jeigu </w:t>
      </w:r>
      <w:r w:rsidR="002B23A1" w:rsidRPr="002B23A1">
        <w:rPr>
          <w:szCs w:val="22"/>
        </w:rPr>
        <w:t xml:space="preserve">Jums susilpnėja regėjimas arba atsiranda akies skausmas. </w:t>
      </w:r>
      <w:r w:rsidR="006A2957">
        <w:rPr>
          <w:szCs w:val="22"/>
        </w:rPr>
        <w:t>Tai</w:t>
      </w:r>
      <w:r w:rsidR="002B23A1" w:rsidRPr="002B23A1">
        <w:rPr>
          <w:szCs w:val="22"/>
        </w:rPr>
        <w:t xml:space="preserve"> gali būti skysčio susikaupimo akies kraujagysliniame dangale (</w:t>
      </w:r>
      <w:r w:rsidR="001A1875">
        <w:rPr>
          <w:szCs w:val="22"/>
        </w:rPr>
        <w:t>gyslainėje</w:t>
      </w:r>
      <w:r w:rsidR="002B23A1" w:rsidRPr="002B23A1">
        <w:rPr>
          <w:szCs w:val="22"/>
        </w:rPr>
        <w:t xml:space="preserve">) arba padidėjusio akispūdžio </w:t>
      </w:r>
      <w:r w:rsidR="006A2957">
        <w:rPr>
          <w:szCs w:val="22"/>
        </w:rPr>
        <w:t>simptomai</w:t>
      </w:r>
      <w:r w:rsidR="002B23A1" w:rsidRPr="002B23A1">
        <w:rPr>
          <w:szCs w:val="22"/>
        </w:rPr>
        <w:t xml:space="preserve"> ir</w:t>
      </w:r>
      <w:r w:rsidR="001A32D4">
        <w:rPr>
          <w:szCs w:val="22"/>
        </w:rPr>
        <w:t>, pradėjus vartoti</w:t>
      </w:r>
      <w:r w:rsidR="002B23A1" w:rsidRPr="002B23A1">
        <w:rPr>
          <w:szCs w:val="22"/>
        </w:rPr>
        <w:t xml:space="preserve"> </w:t>
      </w:r>
      <w:r w:rsidR="001A32D4">
        <w:rPr>
          <w:szCs w:val="22"/>
        </w:rPr>
        <w:t>Carzan HCT,</w:t>
      </w:r>
      <w:r w:rsidR="001A32D4" w:rsidRPr="002B23A1">
        <w:rPr>
          <w:szCs w:val="22"/>
        </w:rPr>
        <w:t xml:space="preserve"> </w:t>
      </w:r>
      <w:r w:rsidR="00653611">
        <w:rPr>
          <w:szCs w:val="22"/>
        </w:rPr>
        <w:t>jie gali pasireikšti per kelias valandas ar savaites</w:t>
      </w:r>
      <w:r w:rsidR="002B23A1" w:rsidRPr="002B23A1">
        <w:rPr>
          <w:szCs w:val="22"/>
        </w:rPr>
        <w:t>.</w:t>
      </w:r>
      <w:r w:rsidR="002B23A1" w:rsidRPr="002B23A1">
        <w:rPr>
          <w:szCs w:val="22"/>
          <w:lang w:eastAsia="x-none"/>
        </w:rPr>
        <w:t xml:space="preserve"> </w:t>
      </w:r>
      <w:r w:rsidR="002B23A1" w:rsidRPr="002B23A1">
        <w:rPr>
          <w:szCs w:val="22"/>
        </w:rPr>
        <w:t>Jei tokia būklė negydoma, galite visam laikui apakti.</w:t>
      </w:r>
      <w:r w:rsidR="002B23A1" w:rsidRPr="002B23A1">
        <w:rPr>
          <w:rFonts w:ascii="Roboto" w:hAnsi="Roboto"/>
          <w:color w:val="777777"/>
          <w:sz w:val="24"/>
          <w:szCs w:val="24"/>
          <w:lang w:eastAsia="lt-LT"/>
        </w:rPr>
        <w:t xml:space="preserve"> </w:t>
      </w:r>
      <w:r w:rsidR="002B23A1" w:rsidRPr="002B23A1">
        <w:rPr>
          <w:szCs w:val="22"/>
        </w:rPr>
        <w:t>Jei anksčiau buvo alergija penicilinui ar sulfonamidui,</w:t>
      </w:r>
      <w:r w:rsidR="002B23A1">
        <w:rPr>
          <w:szCs w:val="22"/>
        </w:rPr>
        <w:t xml:space="preserve"> J</w:t>
      </w:r>
      <w:r w:rsidR="002B23A1" w:rsidRPr="002B23A1">
        <w:rPr>
          <w:szCs w:val="22"/>
        </w:rPr>
        <w:t xml:space="preserve">ums gali būti didesnė </w:t>
      </w:r>
      <w:r w:rsidR="00662C01">
        <w:rPr>
          <w:szCs w:val="22"/>
        </w:rPr>
        <w:t>minėtos būklės išsivystymo rizika</w:t>
      </w:r>
      <w:r w:rsidR="002B23A1" w:rsidRPr="002B23A1">
        <w:rPr>
          <w:szCs w:val="22"/>
        </w:rPr>
        <w:t>.</w:t>
      </w:r>
    </w:p>
    <w:p w14:paraId="254771E4" w14:textId="62164E2F" w:rsidR="00AE6755" w:rsidRPr="009F0293" w:rsidRDefault="008E67BD" w:rsidP="009A5DED">
      <w:pPr>
        <w:pStyle w:val="BTEMEASMCA"/>
        <w:rPr>
          <w:rFonts w:ascii="Times New Roman" w:hAnsi="Times New Roman"/>
          <w:sz w:val="22"/>
          <w:szCs w:val="22"/>
        </w:rPr>
      </w:pPr>
      <w:r>
        <w:rPr>
          <w:rFonts w:ascii="Times New Roman" w:hAnsi="Times New Roman"/>
          <w:sz w:val="22"/>
          <w:szCs w:val="22"/>
        </w:rPr>
        <w:t xml:space="preserve">jeigu </w:t>
      </w:r>
      <w:r w:rsidR="00B513A8" w:rsidRPr="009F0293">
        <w:rPr>
          <w:rFonts w:ascii="Times New Roman" w:hAnsi="Times New Roman"/>
          <w:sz w:val="22"/>
          <w:szCs w:val="22"/>
        </w:rPr>
        <w:t xml:space="preserve">sergate ar </w:t>
      </w:r>
      <w:r w:rsidR="00AE6755" w:rsidRPr="009F0293">
        <w:rPr>
          <w:rFonts w:ascii="Times New Roman" w:hAnsi="Times New Roman"/>
          <w:sz w:val="22"/>
          <w:szCs w:val="22"/>
        </w:rPr>
        <w:t>kada nors sirgote liga, vadinama sistemine raudonąja vilklige (SRV);</w:t>
      </w:r>
    </w:p>
    <w:p w14:paraId="40E8EB4E" w14:textId="0CC24C00" w:rsidR="00AE6755" w:rsidRPr="009F0293"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žemas Jūsų kraujospūdis;</w:t>
      </w:r>
    </w:p>
    <w:p w14:paraId="4297E102" w14:textId="14EA5732" w:rsidR="00AE6755" w:rsidRPr="009F0293"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kada nors Jus buvo ištikęs insultas;</w:t>
      </w:r>
    </w:p>
    <w:p w14:paraId="579FE31D" w14:textId="7D1FDFAB" w:rsidR="00AE6755" w:rsidRDefault="008E67BD" w:rsidP="00F04103">
      <w:pPr>
        <w:pStyle w:val="BTEMEASMCA"/>
        <w:rPr>
          <w:rFonts w:ascii="Times New Roman" w:hAnsi="Times New Roman"/>
          <w:sz w:val="22"/>
          <w:szCs w:val="22"/>
        </w:rPr>
      </w:pPr>
      <w:r>
        <w:rPr>
          <w:rFonts w:ascii="Times New Roman" w:hAnsi="Times New Roman"/>
          <w:sz w:val="22"/>
          <w:szCs w:val="22"/>
        </w:rPr>
        <w:t xml:space="preserve">jeigu </w:t>
      </w:r>
      <w:r w:rsidR="00AE6755" w:rsidRPr="009F0293">
        <w:rPr>
          <w:rFonts w:ascii="Times New Roman" w:hAnsi="Times New Roman"/>
          <w:sz w:val="22"/>
          <w:szCs w:val="22"/>
        </w:rPr>
        <w:t>kada nors pasireiškė alergija arba astma;</w:t>
      </w:r>
    </w:p>
    <w:p w14:paraId="564735B1" w14:textId="2C340201" w:rsidR="00C12307" w:rsidRPr="009F0293" w:rsidRDefault="00C12307" w:rsidP="00F04103">
      <w:pPr>
        <w:pStyle w:val="BTEMEASMCA"/>
        <w:rPr>
          <w:rFonts w:ascii="Times New Roman" w:hAnsi="Times New Roman"/>
          <w:sz w:val="22"/>
          <w:szCs w:val="22"/>
        </w:rPr>
      </w:pPr>
      <w:r w:rsidRPr="00C12307">
        <w:rPr>
          <w:rFonts w:ascii="Times New Roman" w:hAnsi="Times New Roman"/>
          <w:sz w:val="22"/>
          <w:szCs w:val="22"/>
        </w:rPr>
        <w:t xml:space="preserve">jeigu praeityje pavartojus hidrochlorotiazido, Jums pasireiškė kvėpavimo ar plaučių veiklos sutrikimų (įskaitant plaučių uždegimą ar skysčio susidarymą juose). Jeigu pavartojus </w:t>
      </w:r>
      <w:r>
        <w:rPr>
          <w:rFonts w:ascii="Times New Roman" w:hAnsi="Times New Roman"/>
          <w:sz w:val="22"/>
          <w:szCs w:val="22"/>
        </w:rPr>
        <w:t>Carzan HCT</w:t>
      </w:r>
      <w:r w:rsidRPr="00C12307">
        <w:rPr>
          <w:rFonts w:ascii="Times New Roman" w:hAnsi="Times New Roman"/>
          <w:sz w:val="22"/>
          <w:szCs w:val="22"/>
        </w:rPr>
        <w:t xml:space="preserve"> Jums pasireikštų stiprus dusulys arba kvėpavimo sunkumų, nedelsdami kreipkitės medicininės pagalbos</w:t>
      </w:r>
      <w:r>
        <w:rPr>
          <w:rFonts w:ascii="Times New Roman" w:hAnsi="Times New Roman"/>
          <w:sz w:val="22"/>
          <w:szCs w:val="22"/>
        </w:rPr>
        <w:t>;</w:t>
      </w:r>
    </w:p>
    <w:p w14:paraId="2BD8C420"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moterims: būtinai pasakykite gydytojui, jeigu įtariate, kad pastojote (</w:t>
      </w:r>
      <w:r w:rsidRPr="009F0293">
        <w:rPr>
          <w:rFonts w:ascii="Times New Roman" w:hAnsi="Times New Roman"/>
          <w:sz w:val="22"/>
          <w:szCs w:val="22"/>
          <w:u w:val="single"/>
        </w:rPr>
        <w:t>arba ketinate pastoti</w:t>
      </w:r>
      <w:r w:rsidRPr="009F0293">
        <w:rPr>
          <w:rFonts w:ascii="Times New Roman" w:hAnsi="Times New Roman"/>
          <w:sz w:val="22"/>
          <w:szCs w:val="22"/>
        </w:rPr>
        <w:t xml:space="preserve">). Nėštumo pradžioje </w:t>
      </w:r>
      <w:r w:rsidR="00247FEA" w:rsidRPr="009F0293">
        <w:rPr>
          <w:rFonts w:ascii="Times New Roman" w:hAnsi="Times New Roman"/>
          <w:sz w:val="22"/>
          <w:szCs w:val="22"/>
        </w:rPr>
        <w:t>Carzan HCT</w:t>
      </w:r>
      <w:r w:rsidRPr="009F0293">
        <w:rPr>
          <w:rFonts w:ascii="Times New Roman" w:hAnsi="Times New Roman"/>
          <w:sz w:val="22"/>
          <w:szCs w:val="22"/>
        </w:rPr>
        <w:t xml:space="preserve"> vartoti nerekomenduojama, o jei esate nėščia ilgiau kaip 3 mėn. – negalima (šis vaistas, vartojamas tuo metu, gali labai pakenkti būsimam kūdikiui, žr. poskyrį „Nėštumas</w:t>
      </w:r>
      <w:r w:rsidR="003A3585" w:rsidRPr="009F0293">
        <w:rPr>
          <w:rFonts w:ascii="Times New Roman" w:hAnsi="Times New Roman"/>
          <w:sz w:val="22"/>
          <w:szCs w:val="22"/>
        </w:rPr>
        <w:t>, žindymo laikotarpis ir vaisingumas</w:t>
      </w:r>
      <w:r w:rsidRPr="009F0293">
        <w:rPr>
          <w:rFonts w:ascii="Times New Roman" w:hAnsi="Times New Roman"/>
          <w:sz w:val="22"/>
          <w:szCs w:val="22"/>
        </w:rPr>
        <w:t>“)</w:t>
      </w:r>
      <w:r w:rsidR="00EE48A5" w:rsidRPr="009F0293">
        <w:rPr>
          <w:rFonts w:ascii="Times New Roman" w:hAnsi="Times New Roman"/>
          <w:sz w:val="22"/>
          <w:szCs w:val="22"/>
        </w:rPr>
        <w:t>;</w:t>
      </w:r>
    </w:p>
    <w:p w14:paraId="35E8CB61" w14:textId="4AD4A067" w:rsidR="00EE48A5" w:rsidRPr="009F0293" w:rsidRDefault="008E67BD" w:rsidP="00EE48A5">
      <w:pPr>
        <w:pStyle w:val="BTEMEASMCA"/>
        <w:rPr>
          <w:rFonts w:ascii="Times New Roman" w:hAnsi="Times New Roman"/>
          <w:sz w:val="22"/>
          <w:szCs w:val="22"/>
        </w:rPr>
      </w:pPr>
      <w:r>
        <w:rPr>
          <w:rFonts w:ascii="Times New Roman" w:hAnsi="Times New Roman"/>
          <w:sz w:val="22"/>
          <w:szCs w:val="22"/>
        </w:rPr>
        <w:t xml:space="preserve">jeigu </w:t>
      </w:r>
      <w:r w:rsidR="00EE48A5" w:rsidRPr="009F0293">
        <w:rPr>
          <w:rFonts w:ascii="Times New Roman" w:hAnsi="Times New Roman"/>
          <w:sz w:val="22"/>
          <w:szCs w:val="22"/>
        </w:rPr>
        <w:t>vartojate kurį nors iš šių vaistų padidėjusiam kraujospūdžiui gydyti:</w:t>
      </w:r>
    </w:p>
    <w:p w14:paraId="3ECF1437" w14:textId="3FB94EAD" w:rsidR="00EE48A5" w:rsidRPr="009F0293" w:rsidRDefault="00EE48A5" w:rsidP="001B2FA0">
      <w:pPr>
        <w:pStyle w:val="BTEMEASMCA"/>
        <w:numPr>
          <w:ilvl w:val="0"/>
          <w:numId w:val="0"/>
        </w:numPr>
        <w:tabs>
          <w:tab w:val="left" w:pos="851"/>
        </w:tabs>
        <w:ind w:left="851" w:hanging="567"/>
        <w:rPr>
          <w:rFonts w:ascii="Times New Roman" w:hAnsi="Times New Roman"/>
          <w:sz w:val="22"/>
          <w:szCs w:val="22"/>
        </w:rPr>
      </w:pPr>
      <w:r w:rsidRPr="009F0293">
        <w:rPr>
          <w:rFonts w:ascii="Times New Roman" w:hAnsi="Times New Roman"/>
          <w:sz w:val="22"/>
          <w:szCs w:val="22"/>
        </w:rPr>
        <w:t>-</w:t>
      </w:r>
      <w:r w:rsidR="008825C3" w:rsidRPr="009F0293">
        <w:rPr>
          <w:rFonts w:ascii="Times New Roman" w:hAnsi="Times New Roman"/>
          <w:sz w:val="22"/>
          <w:szCs w:val="22"/>
        </w:rPr>
        <w:tab/>
      </w:r>
      <w:r w:rsidRPr="009F0293">
        <w:rPr>
          <w:rFonts w:ascii="Times New Roman" w:hAnsi="Times New Roman"/>
          <w:sz w:val="22"/>
          <w:szCs w:val="22"/>
        </w:rPr>
        <w:t>AKF inhibitorių (pavyzdžiui, enalaprilį, lizinoprilį, ramiprilį), ypač jei turite su</w:t>
      </w:r>
      <w:r w:rsidR="003A3585" w:rsidRPr="009F0293">
        <w:rPr>
          <w:rFonts w:ascii="Times New Roman" w:hAnsi="Times New Roman"/>
          <w:sz w:val="22"/>
          <w:szCs w:val="22"/>
        </w:rPr>
        <w:t xml:space="preserve"> cukriniu </w:t>
      </w:r>
      <w:r w:rsidRPr="009F0293">
        <w:rPr>
          <w:rFonts w:ascii="Times New Roman" w:hAnsi="Times New Roman"/>
          <w:sz w:val="22"/>
          <w:szCs w:val="22"/>
        </w:rPr>
        <w:t>diabetu susijusių inkstų sutrikimų;</w:t>
      </w:r>
    </w:p>
    <w:p w14:paraId="294762DD" w14:textId="77777777" w:rsidR="00EE48A5" w:rsidRPr="009F0293" w:rsidRDefault="00EE48A5" w:rsidP="001B2FA0">
      <w:pPr>
        <w:pStyle w:val="BTEMEASMCA"/>
        <w:numPr>
          <w:ilvl w:val="0"/>
          <w:numId w:val="0"/>
        </w:numPr>
        <w:tabs>
          <w:tab w:val="left" w:pos="567"/>
          <w:tab w:val="left" w:pos="851"/>
        </w:tabs>
        <w:ind w:left="851" w:hanging="567"/>
        <w:rPr>
          <w:rFonts w:ascii="Times New Roman" w:hAnsi="Times New Roman"/>
          <w:sz w:val="22"/>
          <w:szCs w:val="22"/>
        </w:rPr>
      </w:pPr>
      <w:r w:rsidRPr="009F0293">
        <w:rPr>
          <w:rFonts w:ascii="Times New Roman" w:hAnsi="Times New Roman"/>
          <w:sz w:val="22"/>
          <w:szCs w:val="22"/>
        </w:rPr>
        <w:t>-</w:t>
      </w:r>
      <w:r w:rsidR="008825C3" w:rsidRPr="009F0293">
        <w:rPr>
          <w:rFonts w:ascii="Times New Roman" w:hAnsi="Times New Roman"/>
          <w:sz w:val="22"/>
          <w:szCs w:val="22"/>
        </w:rPr>
        <w:tab/>
      </w:r>
      <w:r w:rsidR="008825C3" w:rsidRPr="009F0293">
        <w:rPr>
          <w:rFonts w:ascii="Times New Roman" w:hAnsi="Times New Roman"/>
          <w:sz w:val="22"/>
          <w:szCs w:val="22"/>
        </w:rPr>
        <w:tab/>
      </w:r>
      <w:r w:rsidRPr="009F0293">
        <w:rPr>
          <w:rFonts w:ascii="Times New Roman" w:hAnsi="Times New Roman"/>
          <w:sz w:val="22"/>
          <w:szCs w:val="22"/>
        </w:rPr>
        <w:t>aliskireną</w:t>
      </w:r>
      <w:r w:rsidR="00B513A8" w:rsidRPr="009F0293">
        <w:rPr>
          <w:rFonts w:ascii="Times New Roman" w:hAnsi="Times New Roman"/>
          <w:sz w:val="22"/>
          <w:szCs w:val="22"/>
        </w:rPr>
        <w:t>.</w:t>
      </w:r>
    </w:p>
    <w:p w14:paraId="32A88CCE" w14:textId="77777777" w:rsidR="00AE6755" w:rsidRPr="009F0293" w:rsidRDefault="00AE6755" w:rsidP="001F2847">
      <w:pPr>
        <w:rPr>
          <w:szCs w:val="22"/>
        </w:rPr>
      </w:pPr>
    </w:p>
    <w:p w14:paraId="072E907C" w14:textId="55D1B129" w:rsidR="00BE70CB" w:rsidRPr="009F0293" w:rsidRDefault="00BE70CB" w:rsidP="00BE70CB">
      <w:pPr>
        <w:rPr>
          <w:szCs w:val="22"/>
        </w:rPr>
      </w:pPr>
      <w:r w:rsidRPr="009F0293">
        <w:rPr>
          <w:szCs w:val="22"/>
        </w:rPr>
        <w:t>Jūsų gydytojas gali reguliariai tirti Jūsų inkstų funkciją, kraujospūdį ir elektrolitų kiekį (pvz., kalio) kraujyje.</w:t>
      </w:r>
    </w:p>
    <w:p w14:paraId="206989C4" w14:textId="430C2AEC" w:rsidR="00AE6755" w:rsidRPr="009F0293" w:rsidRDefault="00BE70CB" w:rsidP="00BE70CB">
      <w:pPr>
        <w:rPr>
          <w:szCs w:val="22"/>
        </w:rPr>
      </w:pPr>
      <w:r w:rsidRPr="009F0293">
        <w:rPr>
          <w:szCs w:val="22"/>
        </w:rPr>
        <w:t xml:space="preserve">Taip pat žiūrėkite informaciją, pateiktą poskyryje „Carzan HCT vartoti </w:t>
      </w:r>
      <w:r w:rsidR="00E02AB5">
        <w:rPr>
          <w:szCs w:val="22"/>
        </w:rPr>
        <w:t>draudžiama</w:t>
      </w:r>
      <w:r w:rsidRPr="009F0293">
        <w:rPr>
          <w:szCs w:val="22"/>
        </w:rPr>
        <w:t>“.</w:t>
      </w:r>
    </w:p>
    <w:p w14:paraId="690B37E9" w14:textId="63994372" w:rsidR="00000594" w:rsidRPr="009F0293" w:rsidRDefault="00000594" w:rsidP="00000594">
      <w:pPr>
        <w:rPr>
          <w:szCs w:val="22"/>
        </w:rPr>
      </w:pPr>
      <w:r w:rsidRPr="009F0293">
        <w:rPr>
          <w:szCs w:val="22"/>
        </w:rPr>
        <w:t>Jeigu Jums pasireiškia bet kuri iš šių būklių, gydytojas gali norėti dažniau Jus stebėti ir atlikti kai kuriuos tyrimus.</w:t>
      </w:r>
    </w:p>
    <w:p w14:paraId="6020C562" w14:textId="77777777" w:rsidR="00135B85" w:rsidRDefault="00135B85" w:rsidP="00BE70CB">
      <w:pPr>
        <w:rPr>
          <w:szCs w:val="22"/>
        </w:rPr>
      </w:pPr>
    </w:p>
    <w:p w14:paraId="0B7E06C1" w14:textId="10F7CD2B" w:rsidR="00610EED" w:rsidRDefault="00610EED" w:rsidP="00BE70CB">
      <w:pPr>
        <w:rPr>
          <w:szCs w:val="22"/>
        </w:rPr>
      </w:pPr>
      <w:r w:rsidRPr="00610EED">
        <w:rPr>
          <w:szCs w:val="22"/>
        </w:rPr>
        <w:t xml:space="preserve">Pasitarkite su gydytoju, jei pavartojus </w:t>
      </w:r>
      <w:r>
        <w:rPr>
          <w:szCs w:val="22"/>
        </w:rPr>
        <w:t>Carzan HCT</w:t>
      </w:r>
      <w:r w:rsidRPr="00610EED">
        <w:rPr>
          <w:szCs w:val="22"/>
        </w:rPr>
        <w:t xml:space="preserve"> jaučiate pilvo skausmą, pykinimą, vėmimą arba viduriavimą. Dėl tolesnio gydymo nuspręs Jūsų gydytojas. Nenustokite vartoti </w:t>
      </w:r>
      <w:r>
        <w:rPr>
          <w:szCs w:val="22"/>
        </w:rPr>
        <w:t>Carzan HCT</w:t>
      </w:r>
      <w:r w:rsidRPr="00610EED">
        <w:rPr>
          <w:szCs w:val="22"/>
        </w:rPr>
        <w:t xml:space="preserve"> pats.</w:t>
      </w:r>
    </w:p>
    <w:p w14:paraId="1939801F" w14:textId="77777777" w:rsidR="00610EED" w:rsidRPr="009F0293" w:rsidRDefault="00610EED" w:rsidP="00BE70CB">
      <w:pPr>
        <w:rPr>
          <w:szCs w:val="22"/>
        </w:rPr>
      </w:pPr>
    </w:p>
    <w:p w14:paraId="4C22BFA0" w14:textId="5085A96A" w:rsidR="00AE6755" w:rsidRPr="009F0293" w:rsidRDefault="00AE6755" w:rsidP="00197A0C">
      <w:pPr>
        <w:rPr>
          <w:szCs w:val="22"/>
        </w:rPr>
      </w:pPr>
      <w:r w:rsidRPr="009F0293">
        <w:rPr>
          <w:szCs w:val="22"/>
        </w:rPr>
        <w:t xml:space="preserve">Jeigu ruošiatės operacijai, pasakykite gydytojui arba odontologui apie tai, kad vartojate </w:t>
      </w:r>
      <w:r w:rsidR="00247FEA" w:rsidRPr="009F0293">
        <w:rPr>
          <w:szCs w:val="22"/>
        </w:rPr>
        <w:t>Carzan HCT</w:t>
      </w:r>
      <w:r w:rsidRPr="009F0293">
        <w:rPr>
          <w:szCs w:val="22"/>
        </w:rPr>
        <w:t xml:space="preserve">. Tai svarbu dėl to, kad </w:t>
      </w:r>
      <w:r w:rsidR="00247FEA" w:rsidRPr="009F0293">
        <w:rPr>
          <w:szCs w:val="22"/>
        </w:rPr>
        <w:t>Carzan HCT</w:t>
      </w:r>
      <w:r w:rsidRPr="009F0293">
        <w:rPr>
          <w:szCs w:val="22"/>
        </w:rPr>
        <w:t xml:space="preserve">, vartojamas kartu su kai kuriais anestetikais, gali sukelti </w:t>
      </w:r>
      <w:r w:rsidR="00000594" w:rsidRPr="009F0293">
        <w:rPr>
          <w:szCs w:val="22"/>
        </w:rPr>
        <w:t xml:space="preserve">pernelyg didelį </w:t>
      </w:r>
      <w:r w:rsidRPr="009F0293">
        <w:rPr>
          <w:szCs w:val="22"/>
        </w:rPr>
        <w:t>kraujospūdžio sumažėjimą.</w:t>
      </w:r>
    </w:p>
    <w:p w14:paraId="6C1E2E45" w14:textId="77777777" w:rsidR="00AE6755" w:rsidRPr="009F0293" w:rsidRDefault="00AE6755" w:rsidP="00197A0C">
      <w:pPr>
        <w:rPr>
          <w:szCs w:val="22"/>
        </w:rPr>
      </w:pPr>
    </w:p>
    <w:p w14:paraId="5CE20267" w14:textId="77777777" w:rsidR="00AE6755" w:rsidRPr="009F0293" w:rsidRDefault="00247FEA" w:rsidP="002D216B">
      <w:pPr>
        <w:pStyle w:val="Style16"/>
        <w:widowControl/>
        <w:spacing w:line="240" w:lineRule="auto"/>
        <w:jc w:val="left"/>
        <w:rPr>
          <w:sz w:val="22"/>
          <w:szCs w:val="22"/>
          <w:lang w:val="lt-LT"/>
        </w:rPr>
      </w:pPr>
      <w:r w:rsidRPr="009F0293">
        <w:rPr>
          <w:sz w:val="22"/>
          <w:szCs w:val="22"/>
          <w:lang w:val="lt-LT"/>
        </w:rPr>
        <w:t>Carzan HCT</w:t>
      </w:r>
      <w:r w:rsidR="00AE6755" w:rsidRPr="009F0293">
        <w:rPr>
          <w:rStyle w:val="FontStyle22"/>
          <w:sz w:val="22"/>
          <w:szCs w:val="22"/>
          <w:lang w:val="lt-LT"/>
        </w:rPr>
        <w:t xml:space="preserve"> </w:t>
      </w:r>
      <w:r w:rsidR="00AE6755" w:rsidRPr="009F0293">
        <w:rPr>
          <w:sz w:val="22"/>
          <w:szCs w:val="22"/>
          <w:lang w:val="lt-LT"/>
        </w:rPr>
        <w:t>gali didinti odos jautrumą saulės spinduliams</w:t>
      </w:r>
      <w:r w:rsidR="00AE6755" w:rsidRPr="009F0293">
        <w:rPr>
          <w:rStyle w:val="FontStyle22"/>
          <w:sz w:val="22"/>
          <w:szCs w:val="22"/>
          <w:lang w:val="lt-LT"/>
        </w:rPr>
        <w:t>.</w:t>
      </w:r>
      <w:r w:rsidR="00BE70CB" w:rsidRPr="009F0293">
        <w:rPr>
          <w:rStyle w:val="FontStyle22"/>
          <w:sz w:val="22"/>
          <w:szCs w:val="22"/>
          <w:lang w:val="lt-LT"/>
        </w:rPr>
        <w:t xml:space="preserve"> </w:t>
      </w:r>
    </w:p>
    <w:p w14:paraId="658314A3" w14:textId="77777777" w:rsidR="00AE6755" w:rsidRPr="009F0293" w:rsidRDefault="00AE6755" w:rsidP="001F2847">
      <w:pPr>
        <w:rPr>
          <w:szCs w:val="22"/>
        </w:rPr>
      </w:pPr>
    </w:p>
    <w:p w14:paraId="70BBAEA4" w14:textId="77777777" w:rsidR="00AE6755" w:rsidRPr="009F0293" w:rsidRDefault="0089608C" w:rsidP="001F2847">
      <w:pPr>
        <w:rPr>
          <w:b/>
          <w:szCs w:val="22"/>
        </w:rPr>
      </w:pPr>
      <w:r w:rsidRPr="009F0293">
        <w:rPr>
          <w:b/>
          <w:szCs w:val="22"/>
        </w:rPr>
        <w:t>Vaikams ir paaugliams</w:t>
      </w:r>
    </w:p>
    <w:p w14:paraId="6B27CC53" w14:textId="77777777" w:rsidR="00AE6755" w:rsidRPr="009F0293" w:rsidRDefault="00247FEA" w:rsidP="003720BA">
      <w:pPr>
        <w:rPr>
          <w:szCs w:val="22"/>
        </w:rPr>
      </w:pPr>
      <w:r w:rsidRPr="009F0293">
        <w:rPr>
          <w:szCs w:val="22"/>
        </w:rPr>
        <w:t>Carzan HCT</w:t>
      </w:r>
      <w:r w:rsidR="00AE6755" w:rsidRPr="009F0293">
        <w:rPr>
          <w:szCs w:val="22"/>
        </w:rPr>
        <w:t xml:space="preserve"> vartojimo vaikams ir paaugliams iki 18 metų patirties nėra, todėl jiems </w:t>
      </w:r>
      <w:r w:rsidRPr="009F0293">
        <w:rPr>
          <w:szCs w:val="22"/>
        </w:rPr>
        <w:t>Carzan HCT</w:t>
      </w:r>
      <w:r w:rsidR="00AE6755" w:rsidRPr="009F0293">
        <w:rPr>
          <w:szCs w:val="22"/>
        </w:rPr>
        <w:t xml:space="preserve"> vartoti negalima.</w:t>
      </w:r>
    </w:p>
    <w:p w14:paraId="70D68B01" w14:textId="77777777" w:rsidR="00AE6755" w:rsidRPr="009F0293" w:rsidRDefault="00AE6755" w:rsidP="001F2847">
      <w:pPr>
        <w:rPr>
          <w:szCs w:val="22"/>
        </w:rPr>
      </w:pPr>
    </w:p>
    <w:p w14:paraId="719F9321" w14:textId="77777777" w:rsidR="00AE6755" w:rsidRPr="009F0293" w:rsidRDefault="0089608C" w:rsidP="001F2847">
      <w:pPr>
        <w:rPr>
          <w:b/>
          <w:szCs w:val="22"/>
        </w:rPr>
      </w:pPr>
      <w:r w:rsidRPr="009F0293">
        <w:rPr>
          <w:b/>
          <w:szCs w:val="22"/>
        </w:rPr>
        <w:lastRenderedPageBreak/>
        <w:t>Kiti vaistai ir Carzan HCT</w:t>
      </w:r>
    </w:p>
    <w:p w14:paraId="11DC5D3D" w14:textId="77777777" w:rsidR="00AE6755" w:rsidRPr="009F0293" w:rsidRDefault="00AE6755" w:rsidP="00272B41">
      <w:pPr>
        <w:rPr>
          <w:szCs w:val="22"/>
        </w:rPr>
      </w:pPr>
      <w:r w:rsidRPr="009F0293">
        <w:rPr>
          <w:szCs w:val="22"/>
        </w:rPr>
        <w:t>Jeigu vartojate ar</w:t>
      </w:r>
      <w:r w:rsidR="00F64D35" w:rsidRPr="009F0293">
        <w:rPr>
          <w:szCs w:val="22"/>
        </w:rPr>
        <w:t xml:space="preserve"> </w:t>
      </w:r>
      <w:r w:rsidRPr="009F0293">
        <w:rPr>
          <w:szCs w:val="22"/>
        </w:rPr>
        <w:t xml:space="preserve">neseniai vartojote kitų vaistų </w:t>
      </w:r>
      <w:r w:rsidR="0089608C" w:rsidRPr="009F0293">
        <w:rPr>
          <w:szCs w:val="22"/>
        </w:rPr>
        <w:t>arba dėl to nesate tikri, apie tai</w:t>
      </w:r>
      <w:r w:rsidRPr="009F0293">
        <w:rPr>
          <w:szCs w:val="22"/>
        </w:rPr>
        <w:t xml:space="preserve"> pasakykite gydytojui arba vaistininkui. </w:t>
      </w:r>
      <w:r w:rsidR="00247FEA" w:rsidRPr="009F0293">
        <w:rPr>
          <w:szCs w:val="22"/>
        </w:rPr>
        <w:t>Carzan HCT</w:t>
      </w:r>
      <w:r w:rsidRPr="009F0293">
        <w:rPr>
          <w:szCs w:val="22"/>
        </w:rPr>
        <w:t xml:space="preserve"> gali pakeisti kai kurių kitų vaistų veikimą, o kai kurie kiti vaistai gali pakeisti </w:t>
      </w:r>
      <w:r w:rsidR="00247FEA" w:rsidRPr="009F0293">
        <w:rPr>
          <w:szCs w:val="22"/>
        </w:rPr>
        <w:t>Carzan HCT</w:t>
      </w:r>
      <w:r w:rsidRPr="009F0293">
        <w:rPr>
          <w:szCs w:val="22"/>
        </w:rPr>
        <w:t xml:space="preserve"> veikimą. Jeigu vartojate tam tikrus vaistus, gydytojui gali tekti periodiškai daryti kraujo tyrimus.</w:t>
      </w:r>
    </w:p>
    <w:p w14:paraId="4DF1B790" w14:textId="77777777" w:rsidR="00AE6755" w:rsidRPr="009F0293" w:rsidRDefault="00AE6755" w:rsidP="001F2847">
      <w:pPr>
        <w:rPr>
          <w:szCs w:val="22"/>
        </w:rPr>
      </w:pPr>
    </w:p>
    <w:p w14:paraId="4D1BF750" w14:textId="5B82DB41" w:rsidR="00AE6755" w:rsidRPr="009F0293" w:rsidRDefault="00AE6755" w:rsidP="001F2847">
      <w:pPr>
        <w:rPr>
          <w:szCs w:val="22"/>
        </w:rPr>
      </w:pPr>
      <w:r w:rsidRPr="009F0293">
        <w:rPr>
          <w:szCs w:val="22"/>
        </w:rPr>
        <w:t>Ypač svarbu gydytojui pasakyti, jeigu vartojate</w:t>
      </w:r>
      <w:r w:rsidR="0089608C" w:rsidRPr="009F0293">
        <w:rPr>
          <w:szCs w:val="22"/>
        </w:rPr>
        <w:t xml:space="preserve"> bet kuriuos toliau išvard</w:t>
      </w:r>
      <w:r w:rsidR="00000594" w:rsidRPr="009F0293">
        <w:rPr>
          <w:szCs w:val="22"/>
        </w:rPr>
        <w:t>y</w:t>
      </w:r>
      <w:r w:rsidR="0089608C" w:rsidRPr="009F0293">
        <w:rPr>
          <w:szCs w:val="22"/>
        </w:rPr>
        <w:t>tus vaistus</w:t>
      </w:r>
      <w:r w:rsidR="00000594" w:rsidRPr="009F0293">
        <w:rPr>
          <w:szCs w:val="22"/>
        </w:rPr>
        <w:t>, nes gydytojui gali prireikti keisti dozę ir (arba) imtis kitų atsargumo priemonių</w:t>
      </w:r>
      <w:r w:rsidRPr="009F0293">
        <w:rPr>
          <w:szCs w:val="22"/>
        </w:rPr>
        <w:t>:</w:t>
      </w:r>
    </w:p>
    <w:p w14:paraId="44EB9666" w14:textId="561A8293" w:rsidR="00AE6755" w:rsidRPr="009F0293" w:rsidRDefault="0089608C" w:rsidP="00F04103">
      <w:pPr>
        <w:pStyle w:val="BTEMEASMCA"/>
        <w:rPr>
          <w:rFonts w:ascii="Times New Roman" w:hAnsi="Times New Roman"/>
          <w:sz w:val="22"/>
          <w:szCs w:val="22"/>
        </w:rPr>
      </w:pPr>
      <w:r w:rsidRPr="009F0293">
        <w:rPr>
          <w:rFonts w:ascii="Times New Roman" w:hAnsi="Times New Roman"/>
          <w:sz w:val="22"/>
          <w:szCs w:val="22"/>
        </w:rPr>
        <w:t xml:space="preserve">kitų </w:t>
      </w:r>
      <w:r w:rsidR="00AE6755" w:rsidRPr="009F0293">
        <w:rPr>
          <w:rFonts w:ascii="Times New Roman" w:hAnsi="Times New Roman"/>
          <w:sz w:val="22"/>
          <w:szCs w:val="22"/>
        </w:rPr>
        <w:t>vaistų kraujospūdžiui mažinti, įskaitant beta adrenoblokatorius, diazoksidą</w:t>
      </w:r>
      <w:r w:rsidR="00A45436" w:rsidRPr="009F0293">
        <w:rPr>
          <w:rFonts w:ascii="Times New Roman" w:eastAsia="Times New Roman" w:hAnsi="Times New Roman"/>
          <w:sz w:val="22"/>
          <w:szCs w:val="22"/>
        </w:rPr>
        <w:t xml:space="preserve"> ir </w:t>
      </w:r>
      <w:r w:rsidR="00A45436" w:rsidRPr="009F0293">
        <w:rPr>
          <w:rFonts w:ascii="Times New Roman" w:hAnsi="Times New Roman"/>
          <w:sz w:val="22"/>
          <w:szCs w:val="22"/>
        </w:rPr>
        <w:t>AKF inhibitorių pvz., enalaprilį, kaptoprilį, lizinoprilį arba ramiprilį</w:t>
      </w:r>
      <w:r w:rsidR="00AE6755" w:rsidRPr="009F0293">
        <w:rPr>
          <w:rFonts w:ascii="Times New Roman" w:hAnsi="Times New Roman"/>
          <w:sz w:val="22"/>
          <w:szCs w:val="22"/>
        </w:rPr>
        <w:t>;</w:t>
      </w:r>
    </w:p>
    <w:p w14:paraId="1CF594D5"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nesteroidinių vaistų nuo uždegimo (NVNU), pvz., ibuprofeną, naprokseną, diklofenaką, celekoksibą arba etorikoksibą (šiais vaistais malšinamas skausmas ir uždegimas);</w:t>
      </w:r>
    </w:p>
    <w:p w14:paraId="145B77B0"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acetilsalicilo rūgštį, jei jos dozė didesnė kaip 3 g per parą (tokia šio vaisto doze malšinamas skausmas ir uždegimas);</w:t>
      </w:r>
    </w:p>
    <w:p w14:paraId="140B5948"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kalio papildų arba druskos pakaitalų, kurių sudėtyje yra kalio (jie vartojami kalio kiekiui kraujyje padidinti);</w:t>
      </w:r>
    </w:p>
    <w:p w14:paraId="126CD76E"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kalcio ar D vitamino papildus;</w:t>
      </w:r>
    </w:p>
    <w:p w14:paraId="74915A3E"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vaistus, kurie mažina cholesterolio koncentraciją kraujyje, pavyzdžiui, kolestipolį ar kolestiraminą;</w:t>
      </w:r>
    </w:p>
    <w:p w14:paraId="07400113"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 xml:space="preserve">vaistus </w:t>
      </w:r>
      <w:r w:rsidR="00343DD1" w:rsidRPr="009F0293">
        <w:rPr>
          <w:rFonts w:ascii="Times New Roman" w:hAnsi="Times New Roman"/>
          <w:sz w:val="22"/>
          <w:szCs w:val="22"/>
        </w:rPr>
        <w:t xml:space="preserve">cukriniam </w:t>
      </w:r>
      <w:r w:rsidRPr="009F0293">
        <w:rPr>
          <w:rFonts w:ascii="Times New Roman" w:hAnsi="Times New Roman"/>
          <w:sz w:val="22"/>
          <w:szCs w:val="22"/>
        </w:rPr>
        <w:t>diabetui gydyti (tabletes ar insuliną);</w:t>
      </w:r>
    </w:p>
    <w:p w14:paraId="3D75F5D1"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vaistus širdies plakimui kontroliuoti (antiaritminius vaistus), pavyzdžiui, digoksiną ir beta adrenoreceptorių blokatorius;</w:t>
      </w:r>
    </w:p>
    <w:p w14:paraId="71642A70"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vaistų, kurių veikimą gali įtakoti kalio kiekis kraujyje, pvz., kai kurių vaistų nuo psichozės;</w:t>
      </w:r>
    </w:p>
    <w:p w14:paraId="2ABD10E3"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hepariną (vaistą kraujui skystinti);</w:t>
      </w:r>
    </w:p>
    <w:p w14:paraId="323D943B"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diuretikų (šlapimo išskyrimą skatinančių vaistų);</w:t>
      </w:r>
    </w:p>
    <w:p w14:paraId="7F6C6502"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vidurius laisvinamuosius vaistus;</w:t>
      </w:r>
    </w:p>
    <w:p w14:paraId="7C6C0C29" w14:textId="3B5BB5B0"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 xml:space="preserve">peniciliną </w:t>
      </w:r>
      <w:r w:rsidR="00000594" w:rsidRPr="009F0293">
        <w:rPr>
          <w:rFonts w:ascii="Times New Roman" w:hAnsi="Times New Roman"/>
          <w:sz w:val="22"/>
          <w:szCs w:val="22"/>
        </w:rPr>
        <w:t xml:space="preserve">arba kotrimoksazolį, taip pat žinomą kaip trimetoprimo ir sulfametoksazolo derinys </w:t>
      </w:r>
      <w:r w:rsidRPr="009F0293">
        <w:rPr>
          <w:rFonts w:ascii="Times New Roman" w:hAnsi="Times New Roman"/>
          <w:sz w:val="22"/>
          <w:szCs w:val="22"/>
        </w:rPr>
        <w:t>(antibiotik</w:t>
      </w:r>
      <w:r w:rsidR="00000594" w:rsidRPr="009F0293">
        <w:rPr>
          <w:rFonts w:ascii="Times New Roman" w:hAnsi="Times New Roman"/>
          <w:sz w:val="22"/>
          <w:szCs w:val="22"/>
        </w:rPr>
        <w:t>us</w:t>
      </w:r>
      <w:r w:rsidRPr="009F0293">
        <w:rPr>
          <w:rFonts w:ascii="Times New Roman" w:hAnsi="Times New Roman"/>
          <w:sz w:val="22"/>
          <w:szCs w:val="22"/>
        </w:rPr>
        <w:t>);</w:t>
      </w:r>
    </w:p>
    <w:p w14:paraId="581B8CA2"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amfotericiną (gydomos grybelių sukeltos infekcinės ligos);</w:t>
      </w:r>
    </w:p>
    <w:p w14:paraId="33EF19EA"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litį (vaistą nuo psichikos sutrikimų);</w:t>
      </w:r>
    </w:p>
    <w:p w14:paraId="76C1F188"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steroidus, pavyzdžiui, prednizoloną;</w:t>
      </w:r>
    </w:p>
    <w:p w14:paraId="095BF235"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hipofizės hormoną (AKTH);</w:t>
      </w:r>
    </w:p>
    <w:p w14:paraId="2767A236"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vaistus vėžiui gydyti;</w:t>
      </w:r>
    </w:p>
    <w:p w14:paraId="4DC6CBFB"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amantadiną (Parkinsono ligai arba sunkioms virusų sukeltoms infekcinėms ligoms gydyti);</w:t>
      </w:r>
    </w:p>
    <w:p w14:paraId="5E8C3845" w14:textId="77777777" w:rsidR="00AE6755" w:rsidRPr="009F0293" w:rsidRDefault="00AE6755" w:rsidP="00344AE3">
      <w:pPr>
        <w:pStyle w:val="BTEMEASMCA"/>
        <w:rPr>
          <w:rFonts w:ascii="Times New Roman" w:hAnsi="Times New Roman"/>
          <w:sz w:val="22"/>
          <w:szCs w:val="22"/>
        </w:rPr>
      </w:pPr>
      <w:r w:rsidRPr="009F0293">
        <w:rPr>
          <w:rFonts w:ascii="Times New Roman" w:hAnsi="Times New Roman"/>
          <w:sz w:val="22"/>
          <w:szCs w:val="22"/>
        </w:rPr>
        <w:t>barbitūratus (raminamojo poveikio vaistai, kurie vartojami ir epilepsijai gydyti);</w:t>
      </w:r>
    </w:p>
    <w:p w14:paraId="445791F9"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karbenoksoloną (stemplės ligai arba burnos opoms gydyti);</w:t>
      </w:r>
    </w:p>
    <w:p w14:paraId="6E87CE4D"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anticholinerginius vaistus, pavyzdžiui, atropiną ir biperideną;</w:t>
      </w:r>
    </w:p>
    <w:p w14:paraId="6B025FCC"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ciklosporiną – tai vaistas, kuris vartojamas po organų persodinimo operacijos, kad būtų išvengta organo atmetimo;</w:t>
      </w:r>
    </w:p>
    <w:p w14:paraId="552210D1"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kitus vaistus, kurie gali sustiprinti antihipertenzinį poveikį, pavyzdžiui, baklofeną (spazmus malšinantis vaistas), amifostiną (vėžiui gydyti) ir kai kuriuos kitus vaistus nuo psichozių.</w:t>
      </w:r>
    </w:p>
    <w:p w14:paraId="16EBF792" w14:textId="77777777" w:rsidR="0089608C" w:rsidRPr="009F0293" w:rsidRDefault="0089608C" w:rsidP="0089608C">
      <w:pPr>
        <w:pStyle w:val="BTEMEASMCA"/>
        <w:numPr>
          <w:ilvl w:val="0"/>
          <w:numId w:val="0"/>
        </w:numPr>
        <w:rPr>
          <w:rFonts w:ascii="Times New Roman" w:hAnsi="Times New Roman"/>
          <w:sz w:val="22"/>
          <w:szCs w:val="22"/>
        </w:rPr>
      </w:pPr>
    </w:p>
    <w:p w14:paraId="7585671D" w14:textId="77777777" w:rsidR="0089608C" w:rsidRPr="009F0293" w:rsidRDefault="0089608C" w:rsidP="0089608C">
      <w:pPr>
        <w:pStyle w:val="BTEMEASMCA"/>
        <w:numPr>
          <w:ilvl w:val="0"/>
          <w:numId w:val="0"/>
        </w:numPr>
        <w:rPr>
          <w:rFonts w:ascii="Times New Roman" w:hAnsi="Times New Roman"/>
          <w:sz w:val="22"/>
          <w:szCs w:val="22"/>
        </w:rPr>
      </w:pPr>
      <w:r w:rsidRPr="009F0293">
        <w:rPr>
          <w:rFonts w:ascii="Times New Roman" w:hAnsi="Times New Roman"/>
          <w:sz w:val="22"/>
          <w:szCs w:val="22"/>
        </w:rPr>
        <w:t>Jūsų gydytojui gali tekti pakeisti Jūsų dozę ir (arba) imtis kitų atsargumo priemonių:</w:t>
      </w:r>
    </w:p>
    <w:p w14:paraId="19D1C3E4" w14:textId="44D7850A" w:rsidR="0089608C" w:rsidRPr="009F0293" w:rsidRDefault="0089608C" w:rsidP="0089608C">
      <w:pPr>
        <w:pStyle w:val="BTEMEASMCA"/>
        <w:rPr>
          <w:rFonts w:ascii="Times New Roman" w:hAnsi="Times New Roman"/>
          <w:sz w:val="22"/>
          <w:szCs w:val="22"/>
        </w:rPr>
      </w:pPr>
      <w:r w:rsidRPr="009F0293">
        <w:rPr>
          <w:rFonts w:ascii="Times New Roman" w:hAnsi="Times New Roman"/>
          <w:sz w:val="22"/>
          <w:szCs w:val="22"/>
        </w:rPr>
        <w:t>jeigu vartojate AKF inhibitorių arba aliskireną (taip pat žiūrėkite informaciją, pateiktą poskyryje „</w:t>
      </w:r>
      <w:r w:rsidR="00DF6822" w:rsidRPr="009F0293">
        <w:rPr>
          <w:rFonts w:ascii="Times New Roman" w:hAnsi="Times New Roman"/>
          <w:sz w:val="22"/>
          <w:szCs w:val="22"/>
        </w:rPr>
        <w:t>Carzan HCT</w:t>
      </w:r>
      <w:r w:rsidRPr="009F0293">
        <w:rPr>
          <w:rFonts w:ascii="Times New Roman" w:hAnsi="Times New Roman"/>
          <w:sz w:val="22"/>
          <w:szCs w:val="22"/>
        </w:rPr>
        <w:t xml:space="preserve"> vartoti </w:t>
      </w:r>
      <w:r w:rsidR="00E02AB5">
        <w:rPr>
          <w:rFonts w:ascii="Times New Roman" w:hAnsi="Times New Roman"/>
          <w:sz w:val="22"/>
          <w:szCs w:val="22"/>
        </w:rPr>
        <w:t>draudžiama</w:t>
      </w:r>
      <w:r w:rsidRPr="009F0293">
        <w:rPr>
          <w:rFonts w:ascii="Times New Roman" w:hAnsi="Times New Roman"/>
          <w:sz w:val="22"/>
          <w:szCs w:val="22"/>
        </w:rPr>
        <w:t>“ ir „Įspėjimai ir atsargumo priemonės“)</w:t>
      </w:r>
      <w:r w:rsidR="008623CF">
        <w:rPr>
          <w:rFonts w:ascii="Times New Roman" w:hAnsi="Times New Roman"/>
          <w:sz w:val="22"/>
          <w:szCs w:val="22"/>
        </w:rPr>
        <w:t>.</w:t>
      </w:r>
    </w:p>
    <w:p w14:paraId="1F54BB27" w14:textId="77777777" w:rsidR="00DF6822" w:rsidRPr="009F0293" w:rsidRDefault="00DF6822" w:rsidP="001F2847">
      <w:pPr>
        <w:rPr>
          <w:b/>
          <w:szCs w:val="22"/>
        </w:rPr>
      </w:pPr>
    </w:p>
    <w:p w14:paraId="109C78EC" w14:textId="77777777" w:rsidR="00AE6755" w:rsidRPr="009F0293" w:rsidRDefault="00247FEA" w:rsidP="001F2847">
      <w:pPr>
        <w:rPr>
          <w:b/>
          <w:szCs w:val="22"/>
        </w:rPr>
      </w:pPr>
      <w:r w:rsidRPr="009F0293">
        <w:rPr>
          <w:b/>
          <w:szCs w:val="22"/>
        </w:rPr>
        <w:t>Carzan HCT</w:t>
      </w:r>
      <w:r w:rsidR="00AE6755" w:rsidRPr="009F0293">
        <w:rPr>
          <w:b/>
          <w:szCs w:val="22"/>
        </w:rPr>
        <w:t xml:space="preserve"> vartojimas su maistu</w:t>
      </w:r>
      <w:r w:rsidR="00DA23C6" w:rsidRPr="009F0293">
        <w:rPr>
          <w:b/>
          <w:szCs w:val="22"/>
        </w:rPr>
        <w:t>,</w:t>
      </w:r>
      <w:r w:rsidR="00AE6755" w:rsidRPr="009F0293">
        <w:rPr>
          <w:b/>
          <w:szCs w:val="22"/>
        </w:rPr>
        <w:t xml:space="preserve"> gėrimais </w:t>
      </w:r>
      <w:r w:rsidR="00DA23C6" w:rsidRPr="009F0293">
        <w:rPr>
          <w:b/>
          <w:szCs w:val="22"/>
        </w:rPr>
        <w:t xml:space="preserve">ir alkoholiu </w:t>
      </w:r>
    </w:p>
    <w:p w14:paraId="5DD7C096"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 xml:space="preserve">Jeigu Jums paskirtas </w:t>
      </w:r>
      <w:r w:rsidR="00247FEA" w:rsidRPr="009F0293">
        <w:rPr>
          <w:rFonts w:ascii="Times New Roman" w:hAnsi="Times New Roman"/>
          <w:sz w:val="22"/>
          <w:szCs w:val="22"/>
        </w:rPr>
        <w:t>Carzan HCT</w:t>
      </w:r>
      <w:r w:rsidRPr="009F0293">
        <w:rPr>
          <w:rFonts w:ascii="Times New Roman" w:hAnsi="Times New Roman"/>
          <w:sz w:val="22"/>
          <w:szCs w:val="22"/>
        </w:rPr>
        <w:t>, dėl alkoholinių gėrimų vartojimo pasitarkite su gydytoju. Alkoholis gali sukelti didelį silpnumą ar galvos sukimąsi.</w:t>
      </w:r>
    </w:p>
    <w:p w14:paraId="390425F1" w14:textId="77777777" w:rsidR="00AE6755" w:rsidRPr="009F0293" w:rsidRDefault="00AE6755" w:rsidP="001F2847">
      <w:pPr>
        <w:rPr>
          <w:szCs w:val="22"/>
        </w:rPr>
      </w:pPr>
    </w:p>
    <w:p w14:paraId="6F305428" w14:textId="77777777" w:rsidR="00AE6755" w:rsidRPr="009F0293" w:rsidRDefault="007915CB" w:rsidP="001F2847">
      <w:pPr>
        <w:rPr>
          <w:szCs w:val="22"/>
        </w:rPr>
      </w:pPr>
      <w:r w:rsidRPr="009F0293">
        <w:rPr>
          <w:b/>
          <w:szCs w:val="22"/>
        </w:rPr>
        <w:t>Nėštumas,</w:t>
      </w:r>
      <w:r w:rsidR="00AE6755" w:rsidRPr="009F0293">
        <w:rPr>
          <w:b/>
          <w:szCs w:val="22"/>
        </w:rPr>
        <w:t xml:space="preserve"> žindymo laikotarpis</w:t>
      </w:r>
      <w:r w:rsidR="00DA23C6" w:rsidRPr="009F0293">
        <w:rPr>
          <w:b/>
          <w:szCs w:val="22"/>
        </w:rPr>
        <w:t xml:space="preserve"> ir vaisingumas</w:t>
      </w:r>
    </w:p>
    <w:p w14:paraId="6840A8E9" w14:textId="77777777" w:rsidR="00AE6755" w:rsidRPr="009F0293" w:rsidRDefault="00AE6755" w:rsidP="00543519">
      <w:pPr>
        <w:rPr>
          <w:szCs w:val="22"/>
          <w:u w:val="single"/>
        </w:rPr>
      </w:pPr>
      <w:r w:rsidRPr="009F0293">
        <w:rPr>
          <w:szCs w:val="22"/>
          <w:u w:val="single"/>
        </w:rPr>
        <w:t>Nėštumas</w:t>
      </w:r>
    </w:p>
    <w:p w14:paraId="139CCECF" w14:textId="77777777" w:rsidR="00AE6755" w:rsidRPr="009F0293" w:rsidRDefault="00AE6755" w:rsidP="00543519">
      <w:pPr>
        <w:rPr>
          <w:szCs w:val="22"/>
        </w:rPr>
      </w:pPr>
      <w:r w:rsidRPr="009F0293">
        <w:rPr>
          <w:szCs w:val="22"/>
        </w:rPr>
        <w:t xml:space="preserve">Būtinai pasakykite gydytojui, jeigu įtariate, kad pastojote (arba ketinate pastoti). Jis tikriausiai patars Jums nutraukti </w:t>
      </w:r>
      <w:r w:rsidR="00247FEA" w:rsidRPr="009F0293">
        <w:rPr>
          <w:szCs w:val="22"/>
        </w:rPr>
        <w:t>Carzan HCT</w:t>
      </w:r>
      <w:r w:rsidRPr="009F0293">
        <w:rPr>
          <w:szCs w:val="22"/>
        </w:rPr>
        <w:t xml:space="preserve"> vartojimą prieš pastojant arba kai tik paaiškės, kad pastojote, ir patars vietoje </w:t>
      </w:r>
      <w:r w:rsidR="00247FEA" w:rsidRPr="009F0293">
        <w:rPr>
          <w:szCs w:val="22"/>
        </w:rPr>
        <w:t>Carzan HCT</w:t>
      </w:r>
      <w:r w:rsidRPr="009F0293">
        <w:rPr>
          <w:szCs w:val="22"/>
        </w:rPr>
        <w:t xml:space="preserve"> vartoti kitą vaistą. Nėštumo metu </w:t>
      </w:r>
      <w:r w:rsidR="00247FEA" w:rsidRPr="009F0293">
        <w:rPr>
          <w:szCs w:val="22"/>
        </w:rPr>
        <w:t>Carzan HCT</w:t>
      </w:r>
      <w:r w:rsidRPr="009F0293">
        <w:rPr>
          <w:szCs w:val="22"/>
        </w:rPr>
        <w:t xml:space="preserve"> vartoti nerekomenduojama, o jei esate nėščia ilgiau kaip 3 mėn. – negalima, šis vaistas, vartojamas tuo metu, gali labai pakenkti būsimam kūdikiui.</w:t>
      </w:r>
    </w:p>
    <w:p w14:paraId="01B69EB7" w14:textId="77777777" w:rsidR="00AE6755" w:rsidRPr="009F0293" w:rsidRDefault="00AE6755" w:rsidP="001F2847">
      <w:pPr>
        <w:rPr>
          <w:szCs w:val="22"/>
        </w:rPr>
      </w:pPr>
    </w:p>
    <w:p w14:paraId="55F378D8" w14:textId="77777777" w:rsidR="00AE6755" w:rsidRPr="009F0293" w:rsidRDefault="00AE6755" w:rsidP="001B2FA0">
      <w:pPr>
        <w:keepNext/>
        <w:rPr>
          <w:szCs w:val="22"/>
          <w:u w:val="single"/>
        </w:rPr>
      </w:pPr>
      <w:r w:rsidRPr="009F0293">
        <w:rPr>
          <w:szCs w:val="22"/>
          <w:u w:val="single"/>
        </w:rPr>
        <w:t>Žindymo laikotarpis</w:t>
      </w:r>
    </w:p>
    <w:p w14:paraId="786FD04F" w14:textId="33FDD4D5" w:rsidR="00AE6755" w:rsidRPr="009F0293" w:rsidRDefault="00AE6755" w:rsidP="001F2847">
      <w:pPr>
        <w:rPr>
          <w:szCs w:val="22"/>
        </w:rPr>
      </w:pPr>
      <w:r w:rsidRPr="009F0293">
        <w:rPr>
          <w:szCs w:val="22"/>
        </w:rPr>
        <w:t xml:space="preserve">Būtinai pasakykite gydytojui, jeigu žindote arba ruošiatės žindyti kūdikį. Žindyvėms </w:t>
      </w:r>
      <w:r w:rsidR="00247FEA" w:rsidRPr="009F0293">
        <w:rPr>
          <w:szCs w:val="22"/>
        </w:rPr>
        <w:t>Carzan HCT</w:t>
      </w:r>
      <w:r w:rsidRPr="009F0293">
        <w:rPr>
          <w:szCs w:val="22"/>
        </w:rPr>
        <w:t xml:space="preserve"> vartoti nerekomenduojama. Jeigu norėtumėte žindyti</w:t>
      </w:r>
      <w:r w:rsidR="00A45436" w:rsidRPr="009F0293">
        <w:rPr>
          <w:szCs w:val="22"/>
        </w:rPr>
        <w:t>,</w:t>
      </w:r>
      <w:r w:rsidR="00000594" w:rsidRPr="009F0293">
        <w:rPr>
          <w:szCs w:val="22"/>
        </w:rPr>
        <w:t xml:space="preserve"> ypač naujagimį arba neišnešiotą kūdikį</w:t>
      </w:r>
      <w:r w:rsidRPr="009F0293">
        <w:rPr>
          <w:szCs w:val="22"/>
        </w:rPr>
        <w:t>, gydytojas gali Jums parinkti kitų vaistų.</w:t>
      </w:r>
    </w:p>
    <w:p w14:paraId="74974F5F" w14:textId="77777777" w:rsidR="00AE6755" w:rsidRPr="009F0293" w:rsidRDefault="00AE6755" w:rsidP="001F2847">
      <w:pPr>
        <w:rPr>
          <w:szCs w:val="22"/>
        </w:rPr>
      </w:pPr>
    </w:p>
    <w:p w14:paraId="6BCCE645" w14:textId="77777777" w:rsidR="00AE6755" w:rsidRPr="009F0293" w:rsidRDefault="00AE6755" w:rsidP="00543519">
      <w:pPr>
        <w:rPr>
          <w:b/>
          <w:szCs w:val="22"/>
        </w:rPr>
      </w:pPr>
      <w:r w:rsidRPr="009F0293">
        <w:rPr>
          <w:b/>
          <w:szCs w:val="22"/>
        </w:rPr>
        <w:t>Vairavimas ir mechanizmų valdymas</w:t>
      </w:r>
    </w:p>
    <w:p w14:paraId="2EAAE186" w14:textId="0581210A" w:rsidR="00AE6755" w:rsidRPr="009F0293" w:rsidRDefault="00AE6755" w:rsidP="00543519">
      <w:pPr>
        <w:rPr>
          <w:szCs w:val="22"/>
        </w:rPr>
      </w:pPr>
      <w:r w:rsidRPr="009F0293">
        <w:rPr>
          <w:szCs w:val="22"/>
        </w:rPr>
        <w:t xml:space="preserve">Kai kurie žmonės, vartojantys </w:t>
      </w:r>
      <w:r w:rsidR="00247FEA" w:rsidRPr="009F0293">
        <w:rPr>
          <w:szCs w:val="22"/>
        </w:rPr>
        <w:t>Carzan HCT</w:t>
      </w:r>
      <w:r w:rsidRPr="009F0293">
        <w:rPr>
          <w:szCs w:val="22"/>
        </w:rPr>
        <w:t xml:space="preserve">, gali jausti nuovargį ar </w:t>
      </w:r>
      <w:r w:rsidR="00343DD1" w:rsidRPr="009F0293">
        <w:rPr>
          <w:szCs w:val="22"/>
        </w:rPr>
        <w:t>svaigulį</w:t>
      </w:r>
      <w:r w:rsidRPr="009F0293">
        <w:rPr>
          <w:szCs w:val="22"/>
        </w:rPr>
        <w:t>. Pajutus tokių sutrikimų, vairuoti ir valdyti mechanizmų negalima.</w:t>
      </w:r>
    </w:p>
    <w:p w14:paraId="6C9AA047" w14:textId="77777777" w:rsidR="00AE6755" w:rsidRPr="009F0293" w:rsidRDefault="00AE6755" w:rsidP="001F2847">
      <w:pPr>
        <w:rPr>
          <w:szCs w:val="22"/>
        </w:rPr>
      </w:pPr>
    </w:p>
    <w:p w14:paraId="0303B264" w14:textId="2414ADEF" w:rsidR="00AE6755" w:rsidRPr="009F0293" w:rsidRDefault="00247FEA" w:rsidP="00C66ED2">
      <w:pPr>
        <w:keepNext/>
        <w:keepLines/>
        <w:rPr>
          <w:b/>
          <w:szCs w:val="22"/>
        </w:rPr>
      </w:pPr>
      <w:r w:rsidRPr="009F0293">
        <w:rPr>
          <w:b/>
          <w:szCs w:val="22"/>
        </w:rPr>
        <w:t>Carzan HCT</w:t>
      </w:r>
      <w:r w:rsidR="00DA23C6" w:rsidRPr="009F0293">
        <w:rPr>
          <w:b/>
          <w:szCs w:val="22"/>
        </w:rPr>
        <w:t xml:space="preserve"> sudėtyje yra laktozės</w:t>
      </w:r>
      <w:r w:rsidR="00215F6E" w:rsidRPr="009F0293">
        <w:rPr>
          <w:b/>
          <w:szCs w:val="22"/>
        </w:rPr>
        <w:t xml:space="preserve"> monohidrato ir natrio</w:t>
      </w:r>
    </w:p>
    <w:p w14:paraId="3FDF5DB3" w14:textId="48616C96" w:rsidR="00AE6755" w:rsidRPr="009F0293" w:rsidRDefault="00247FEA" w:rsidP="00C66ED2">
      <w:pPr>
        <w:keepNext/>
        <w:keepLines/>
        <w:rPr>
          <w:szCs w:val="22"/>
        </w:rPr>
      </w:pPr>
      <w:r w:rsidRPr="009F0293">
        <w:rPr>
          <w:szCs w:val="22"/>
        </w:rPr>
        <w:t>Carzan HCT</w:t>
      </w:r>
      <w:r w:rsidR="00AE6755" w:rsidRPr="009F0293">
        <w:rPr>
          <w:szCs w:val="22"/>
        </w:rPr>
        <w:t xml:space="preserve"> sudėtyje yra laktozės</w:t>
      </w:r>
      <w:r w:rsidR="00215F6E" w:rsidRPr="009F0293">
        <w:rPr>
          <w:szCs w:val="22"/>
        </w:rPr>
        <w:t xml:space="preserve"> monohidrato</w:t>
      </w:r>
      <w:r w:rsidR="00AE6755" w:rsidRPr="009F0293">
        <w:rPr>
          <w:szCs w:val="22"/>
        </w:rPr>
        <w:t xml:space="preserve"> (tam tikro angliavandenio). Jeigu gydytojas Jums yra sakęs, kad netoleruojate kokių nors angliavandenių, kreipkitės į jį prieš pradėdami vartoti šį vaistą.</w:t>
      </w:r>
    </w:p>
    <w:p w14:paraId="09B80908" w14:textId="77777777" w:rsidR="00215F6E" w:rsidRPr="009F0293" w:rsidRDefault="00215F6E" w:rsidP="00215F6E">
      <w:pPr>
        <w:rPr>
          <w:szCs w:val="22"/>
        </w:rPr>
      </w:pPr>
      <w:r w:rsidRPr="009F0293">
        <w:rPr>
          <w:szCs w:val="22"/>
        </w:rPr>
        <w:t>Šio vaisto tabletėje yra mažiau kaip 1 mmol (23 mg) natrio, t. y. jis beveik neturi reikšmės.</w:t>
      </w:r>
    </w:p>
    <w:p w14:paraId="771A7EC8" w14:textId="77777777" w:rsidR="00AE6755" w:rsidRPr="009F0293" w:rsidRDefault="00AE6755" w:rsidP="001F2847">
      <w:pPr>
        <w:rPr>
          <w:szCs w:val="22"/>
        </w:rPr>
      </w:pPr>
    </w:p>
    <w:p w14:paraId="4E7EBEEF" w14:textId="77777777" w:rsidR="00AE6755" w:rsidRPr="009F0293" w:rsidRDefault="00AE6755" w:rsidP="001F2847">
      <w:pPr>
        <w:rPr>
          <w:szCs w:val="22"/>
        </w:rPr>
      </w:pPr>
    </w:p>
    <w:p w14:paraId="6F6FAF76" w14:textId="17052662" w:rsidR="00AE6755" w:rsidRPr="009F0293" w:rsidRDefault="00AE6755" w:rsidP="00343DD1">
      <w:pPr>
        <w:keepNext/>
        <w:keepLines/>
        <w:tabs>
          <w:tab w:val="left" w:pos="567"/>
        </w:tabs>
        <w:rPr>
          <w:b/>
          <w:szCs w:val="22"/>
        </w:rPr>
      </w:pPr>
      <w:r w:rsidRPr="009F0293">
        <w:rPr>
          <w:b/>
          <w:szCs w:val="22"/>
        </w:rPr>
        <w:t>3</w:t>
      </w:r>
      <w:r w:rsidR="000C6777" w:rsidRPr="009F0293">
        <w:rPr>
          <w:b/>
          <w:szCs w:val="22"/>
        </w:rPr>
        <w:t>.</w:t>
      </w:r>
      <w:r w:rsidRPr="009F0293">
        <w:rPr>
          <w:b/>
          <w:szCs w:val="22"/>
        </w:rPr>
        <w:tab/>
      </w:r>
      <w:r w:rsidR="003448CD" w:rsidRPr="009F0293">
        <w:rPr>
          <w:b/>
          <w:szCs w:val="22"/>
        </w:rPr>
        <w:t>Kaip vartoti Carzan HCT</w:t>
      </w:r>
    </w:p>
    <w:p w14:paraId="2AAB3D80" w14:textId="77777777" w:rsidR="00AE6755" w:rsidRPr="009F0293" w:rsidRDefault="00AE6755" w:rsidP="00343DD1">
      <w:pPr>
        <w:keepNext/>
        <w:keepLines/>
        <w:rPr>
          <w:szCs w:val="22"/>
        </w:rPr>
      </w:pPr>
    </w:p>
    <w:p w14:paraId="06632641" w14:textId="77777777" w:rsidR="00F64D35" w:rsidRPr="009F0293" w:rsidRDefault="003448CD" w:rsidP="00343DD1">
      <w:pPr>
        <w:keepNext/>
        <w:keepLines/>
        <w:rPr>
          <w:szCs w:val="22"/>
        </w:rPr>
      </w:pPr>
      <w:r w:rsidRPr="009F0293">
        <w:rPr>
          <w:szCs w:val="22"/>
        </w:rPr>
        <w:t xml:space="preserve">Visada vartokite šį vaistą tiksliai kaip nurodė gydytojas arba vaistininkas. </w:t>
      </w:r>
      <w:r w:rsidR="00AE6755" w:rsidRPr="009F0293">
        <w:rPr>
          <w:szCs w:val="22"/>
        </w:rPr>
        <w:t xml:space="preserve">Jeigu abejojate, kreipkitės į gydytoją arba vaistininką. </w:t>
      </w:r>
      <w:r w:rsidR="00247FEA" w:rsidRPr="009F0293">
        <w:rPr>
          <w:szCs w:val="22"/>
        </w:rPr>
        <w:t>Carzan HCT</w:t>
      </w:r>
      <w:r w:rsidR="00AE6755" w:rsidRPr="009F0293">
        <w:rPr>
          <w:szCs w:val="22"/>
        </w:rPr>
        <w:t xml:space="preserve"> svarbu vartoti kasdien. </w:t>
      </w:r>
    </w:p>
    <w:p w14:paraId="24BF3B6B" w14:textId="2BF56A98" w:rsidR="00F64D35" w:rsidRPr="009F0293" w:rsidRDefault="00B337F3" w:rsidP="00343DD1">
      <w:pPr>
        <w:keepNext/>
        <w:keepLines/>
        <w:rPr>
          <w:szCs w:val="22"/>
        </w:rPr>
      </w:pPr>
      <w:r w:rsidRPr="009F0293">
        <w:rPr>
          <w:szCs w:val="22"/>
        </w:rPr>
        <w:t xml:space="preserve">Rekomenduojama </w:t>
      </w:r>
      <w:r w:rsidR="00247FEA" w:rsidRPr="009F0293">
        <w:rPr>
          <w:szCs w:val="22"/>
        </w:rPr>
        <w:t>Carzan HCT</w:t>
      </w:r>
      <w:r w:rsidR="00AE6755" w:rsidRPr="009F0293">
        <w:rPr>
          <w:szCs w:val="22"/>
        </w:rPr>
        <w:t xml:space="preserve"> dozė yra viena tabletė vieną kartą per parą. </w:t>
      </w:r>
    </w:p>
    <w:p w14:paraId="57574D5D" w14:textId="41763E15" w:rsidR="00AE6755" w:rsidRPr="009F0293" w:rsidRDefault="00AE6755" w:rsidP="00343DD1">
      <w:pPr>
        <w:keepNext/>
        <w:keepLines/>
        <w:rPr>
          <w:szCs w:val="22"/>
        </w:rPr>
      </w:pPr>
      <w:r w:rsidRPr="009F0293">
        <w:rPr>
          <w:szCs w:val="22"/>
        </w:rPr>
        <w:t>Nurykite tabletę, užgerdami vandeniu.</w:t>
      </w:r>
      <w:r w:rsidR="00135B85" w:rsidRPr="009F0293">
        <w:rPr>
          <w:szCs w:val="22"/>
        </w:rPr>
        <w:t xml:space="preserve"> Carzan HCT galima vartoti su maistu arba be jo.</w:t>
      </w:r>
    </w:p>
    <w:p w14:paraId="4B3FCC4A" w14:textId="77777777" w:rsidR="00AE6755" w:rsidRPr="009F0293" w:rsidRDefault="00AE6755" w:rsidP="001F2847">
      <w:pPr>
        <w:rPr>
          <w:szCs w:val="22"/>
        </w:rPr>
      </w:pPr>
      <w:r w:rsidRPr="009F0293">
        <w:rPr>
          <w:szCs w:val="22"/>
        </w:rPr>
        <w:t>Stenkitės gerti šias tabletes kasdien tuo pačiu laiku – tai padės jų neužmiršti.</w:t>
      </w:r>
      <w:r w:rsidR="003448CD" w:rsidRPr="009F0293">
        <w:rPr>
          <w:szCs w:val="22"/>
        </w:rPr>
        <w:t xml:space="preserve"> </w:t>
      </w:r>
    </w:p>
    <w:p w14:paraId="646FD864" w14:textId="297D9011" w:rsidR="003448CD" w:rsidRDefault="00A008F2" w:rsidP="001F2847">
      <w:pPr>
        <w:rPr>
          <w:szCs w:val="22"/>
        </w:rPr>
      </w:pPr>
      <w:r w:rsidRPr="009F0293">
        <w:rPr>
          <w:szCs w:val="22"/>
        </w:rPr>
        <w:t>Tabletę galima padalyti į lygias dozes.</w:t>
      </w:r>
    </w:p>
    <w:p w14:paraId="510CB437" w14:textId="77777777" w:rsidR="00A008F2" w:rsidRPr="009F0293" w:rsidRDefault="00A008F2" w:rsidP="001F2847">
      <w:pPr>
        <w:rPr>
          <w:szCs w:val="22"/>
        </w:rPr>
      </w:pPr>
    </w:p>
    <w:p w14:paraId="31CD72E2" w14:textId="160BBA35" w:rsidR="00AE6755" w:rsidRPr="009F0293" w:rsidRDefault="00190720" w:rsidP="00A3428A">
      <w:pPr>
        <w:rPr>
          <w:b/>
          <w:szCs w:val="22"/>
        </w:rPr>
      </w:pPr>
      <w:r w:rsidRPr="009F0293">
        <w:rPr>
          <w:b/>
          <w:szCs w:val="22"/>
        </w:rPr>
        <w:t>Ką daryti p</w:t>
      </w:r>
      <w:r w:rsidR="00AE6755" w:rsidRPr="009F0293">
        <w:rPr>
          <w:b/>
          <w:szCs w:val="22"/>
        </w:rPr>
        <w:t xml:space="preserve">avartojus per didelę </w:t>
      </w:r>
      <w:r w:rsidR="00247FEA" w:rsidRPr="009F0293">
        <w:rPr>
          <w:b/>
          <w:szCs w:val="22"/>
        </w:rPr>
        <w:t>Carzan HCT</w:t>
      </w:r>
      <w:r w:rsidR="00AE6755" w:rsidRPr="009F0293">
        <w:rPr>
          <w:b/>
          <w:szCs w:val="22"/>
        </w:rPr>
        <w:t xml:space="preserve"> dozę</w:t>
      </w:r>
    </w:p>
    <w:p w14:paraId="31BD19ED" w14:textId="77777777" w:rsidR="00AE6755" w:rsidRPr="009F0293" w:rsidRDefault="00AE6755" w:rsidP="00A3428A">
      <w:pPr>
        <w:rPr>
          <w:szCs w:val="22"/>
        </w:rPr>
      </w:pPr>
      <w:r w:rsidRPr="009F0293">
        <w:rPr>
          <w:szCs w:val="22"/>
        </w:rPr>
        <w:t xml:space="preserve">Išgėrę daugiau </w:t>
      </w:r>
      <w:r w:rsidR="00247FEA" w:rsidRPr="009F0293">
        <w:rPr>
          <w:szCs w:val="22"/>
        </w:rPr>
        <w:t>Carzan HCT</w:t>
      </w:r>
      <w:r w:rsidRPr="009F0293">
        <w:rPr>
          <w:szCs w:val="22"/>
        </w:rPr>
        <w:t xml:space="preserve"> negu nurodė gydytojas, nedelsdami kreipkitės patarimo į gydytoją arba vaistininką.</w:t>
      </w:r>
    </w:p>
    <w:p w14:paraId="3E985A10" w14:textId="77777777" w:rsidR="00AE6755" w:rsidRPr="009F0293" w:rsidRDefault="00AE6755" w:rsidP="001F2847">
      <w:pPr>
        <w:rPr>
          <w:szCs w:val="22"/>
        </w:rPr>
      </w:pPr>
    </w:p>
    <w:p w14:paraId="75C3DDCB" w14:textId="77777777" w:rsidR="00AE6755" w:rsidRPr="009F0293" w:rsidRDefault="00AE6755" w:rsidP="00A3428A">
      <w:pPr>
        <w:rPr>
          <w:b/>
          <w:szCs w:val="22"/>
        </w:rPr>
      </w:pPr>
      <w:r w:rsidRPr="009F0293">
        <w:rPr>
          <w:b/>
          <w:szCs w:val="22"/>
        </w:rPr>
        <w:t xml:space="preserve">Pamiršus pavartoti </w:t>
      </w:r>
      <w:r w:rsidR="00247FEA" w:rsidRPr="009F0293">
        <w:rPr>
          <w:b/>
          <w:szCs w:val="22"/>
        </w:rPr>
        <w:t>Carzan HCT</w:t>
      </w:r>
    </w:p>
    <w:p w14:paraId="7620A79C" w14:textId="77777777" w:rsidR="00AE6755" w:rsidRPr="009F0293" w:rsidRDefault="00AE6755" w:rsidP="00A3428A">
      <w:pPr>
        <w:rPr>
          <w:szCs w:val="22"/>
        </w:rPr>
      </w:pPr>
      <w:r w:rsidRPr="009F0293">
        <w:rPr>
          <w:szCs w:val="22"/>
        </w:rPr>
        <w:t>Negalima vartoti dvigubos dozės norint kompensuoti praleistą tabletę. Kitą dozę gerkite įprastu laiku.</w:t>
      </w:r>
    </w:p>
    <w:p w14:paraId="5DCAF70B" w14:textId="77777777" w:rsidR="00AE6755" w:rsidRPr="009F0293" w:rsidRDefault="00AE6755" w:rsidP="001F2847">
      <w:pPr>
        <w:rPr>
          <w:szCs w:val="22"/>
        </w:rPr>
      </w:pPr>
    </w:p>
    <w:p w14:paraId="4E744613" w14:textId="77777777" w:rsidR="00AE6755" w:rsidRPr="009F0293" w:rsidRDefault="00AE6755" w:rsidP="001F2847">
      <w:pPr>
        <w:rPr>
          <w:b/>
          <w:szCs w:val="22"/>
        </w:rPr>
      </w:pPr>
      <w:r w:rsidRPr="009F0293">
        <w:rPr>
          <w:b/>
          <w:szCs w:val="22"/>
        </w:rPr>
        <w:t xml:space="preserve">Nustojus vartoti </w:t>
      </w:r>
      <w:r w:rsidR="00247FEA" w:rsidRPr="009F0293">
        <w:rPr>
          <w:b/>
          <w:szCs w:val="22"/>
        </w:rPr>
        <w:t>Carzan HCT</w:t>
      </w:r>
    </w:p>
    <w:p w14:paraId="5DB12203" w14:textId="77777777" w:rsidR="00AE6755" w:rsidRPr="009F0293" w:rsidRDefault="00AE6755" w:rsidP="00A3428A">
      <w:pPr>
        <w:rPr>
          <w:szCs w:val="22"/>
        </w:rPr>
      </w:pPr>
      <w:r w:rsidRPr="009F0293">
        <w:rPr>
          <w:szCs w:val="22"/>
        </w:rPr>
        <w:t xml:space="preserve">Nustojus vartoti </w:t>
      </w:r>
      <w:r w:rsidR="00247FEA" w:rsidRPr="009F0293">
        <w:rPr>
          <w:szCs w:val="22"/>
        </w:rPr>
        <w:t>Carzan HCT</w:t>
      </w:r>
      <w:r w:rsidRPr="009F0293">
        <w:rPr>
          <w:szCs w:val="22"/>
        </w:rPr>
        <w:t xml:space="preserve">, Jūsų kraujospūdis gali vėl padidėti, todėl nenutraukite </w:t>
      </w:r>
      <w:r w:rsidR="00247FEA" w:rsidRPr="009F0293">
        <w:rPr>
          <w:szCs w:val="22"/>
        </w:rPr>
        <w:t>Carzan HCT</w:t>
      </w:r>
      <w:r w:rsidRPr="009F0293">
        <w:rPr>
          <w:szCs w:val="22"/>
        </w:rPr>
        <w:t xml:space="preserve"> vartojimo nepasitarę su gydytoju.</w:t>
      </w:r>
    </w:p>
    <w:p w14:paraId="6F72C87F" w14:textId="77777777" w:rsidR="00AE6755" w:rsidRPr="009F0293" w:rsidRDefault="00AE6755" w:rsidP="001F2847">
      <w:pPr>
        <w:rPr>
          <w:szCs w:val="22"/>
        </w:rPr>
      </w:pPr>
    </w:p>
    <w:p w14:paraId="21829032" w14:textId="77777777" w:rsidR="00AE6755" w:rsidRPr="009F0293" w:rsidRDefault="00AE6755" w:rsidP="00A3428A">
      <w:pPr>
        <w:rPr>
          <w:szCs w:val="22"/>
        </w:rPr>
      </w:pPr>
      <w:r w:rsidRPr="009F0293">
        <w:rPr>
          <w:szCs w:val="22"/>
        </w:rPr>
        <w:t>Jeigu kiltų daugiau klausimų dėl šio vaisto vartojimo, kreipkitės į gydytoją arba vaistininką.</w:t>
      </w:r>
    </w:p>
    <w:p w14:paraId="28E2A2E9" w14:textId="77777777" w:rsidR="00AE6755" w:rsidRPr="009F0293" w:rsidRDefault="00AE6755" w:rsidP="001F2847">
      <w:pPr>
        <w:rPr>
          <w:szCs w:val="22"/>
        </w:rPr>
      </w:pPr>
    </w:p>
    <w:p w14:paraId="199088D5" w14:textId="77777777" w:rsidR="00AE6755" w:rsidRPr="009F0293" w:rsidRDefault="00AE6755" w:rsidP="001F2847">
      <w:pPr>
        <w:rPr>
          <w:szCs w:val="22"/>
        </w:rPr>
      </w:pPr>
    </w:p>
    <w:p w14:paraId="58DE1218" w14:textId="77777777" w:rsidR="00AE6755" w:rsidRPr="009F0293" w:rsidRDefault="00AE6755" w:rsidP="001F2847">
      <w:pPr>
        <w:tabs>
          <w:tab w:val="left" w:pos="567"/>
        </w:tabs>
        <w:rPr>
          <w:b/>
          <w:szCs w:val="22"/>
        </w:rPr>
      </w:pPr>
      <w:r w:rsidRPr="009F0293">
        <w:rPr>
          <w:b/>
          <w:szCs w:val="22"/>
        </w:rPr>
        <w:t>4.</w:t>
      </w:r>
      <w:r w:rsidRPr="009F0293">
        <w:rPr>
          <w:b/>
          <w:szCs w:val="22"/>
        </w:rPr>
        <w:tab/>
      </w:r>
      <w:r w:rsidR="00190720" w:rsidRPr="009F0293">
        <w:rPr>
          <w:b/>
          <w:szCs w:val="22"/>
        </w:rPr>
        <w:t xml:space="preserve">Galimas šalutinis poveikis </w:t>
      </w:r>
    </w:p>
    <w:p w14:paraId="5A68FDD5" w14:textId="77777777" w:rsidR="00AE6755" w:rsidRPr="009F0293" w:rsidRDefault="00AE6755" w:rsidP="001F2847">
      <w:pPr>
        <w:rPr>
          <w:szCs w:val="22"/>
        </w:rPr>
      </w:pPr>
    </w:p>
    <w:p w14:paraId="08DEA96D" w14:textId="77777777" w:rsidR="00AE6755" w:rsidRPr="009F0293" w:rsidRDefault="00190720" w:rsidP="00E612A4">
      <w:pPr>
        <w:rPr>
          <w:szCs w:val="22"/>
        </w:rPr>
      </w:pPr>
      <w:r w:rsidRPr="009F0293">
        <w:rPr>
          <w:szCs w:val="22"/>
        </w:rPr>
        <w:t>Šis vaistas</w:t>
      </w:r>
      <w:r w:rsidR="00AE6755" w:rsidRPr="009F0293">
        <w:rPr>
          <w:szCs w:val="22"/>
        </w:rPr>
        <w:t xml:space="preserve">, kaip ir visi kiti, gali sukelti šalutinį poveikį, nors jis pasireiškia ne visiems žmonėms. Jums svarbu žinoti, koks šalutinis poveikis gali pasireikšti. Kai kurį šalutinį </w:t>
      </w:r>
      <w:r w:rsidR="00247FEA" w:rsidRPr="009F0293">
        <w:rPr>
          <w:szCs w:val="22"/>
        </w:rPr>
        <w:t>Carzan HCT</w:t>
      </w:r>
      <w:r w:rsidR="00AE6755" w:rsidRPr="009F0293">
        <w:rPr>
          <w:szCs w:val="22"/>
        </w:rPr>
        <w:t xml:space="preserve"> poveikį gali sukelti kandesartan</w:t>
      </w:r>
      <w:r w:rsidR="00870D36" w:rsidRPr="009F0293">
        <w:rPr>
          <w:szCs w:val="22"/>
        </w:rPr>
        <w:t>o</w:t>
      </w:r>
      <w:r w:rsidR="00AE6755" w:rsidRPr="009F0293">
        <w:rPr>
          <w:szCs w:val="22"/>
        </w:rPr>
        <w:t xml:space="preserve"> cileksetilas, o kai kurį – hidrochlorotiazidas.</w:t>
      </w:r>
    </w:p>
    <w:p w14:paraId="6116744A" w14:textId="77777777" w:rsidR="00AE6755" w:rsidRPr="009F0293" w:rsidRDefault="00AE6755" w:rsidP="00E612A4">
      <w:pPr>
        <w:rPr>
          <w:szCs w:val="22"/>
        </w:rPr>
      </w:pPr>
    </w:p>
    <w:p w14:paraId="357835D7" w14:textId="77777777" w:rsidR="00AE6755" w:rsidRPr="009F0293" w:rsidRDefault="00AE6755" w:rsidP="00804B70">
      <w:pPr>
        <w:rPr>
          <w:b/>
          <w:szCs w:val="22"/>
        </w:rPr>
      </w:pPr>
      <w:r w:rsidRPr="009F0293">
        <w:rPr>
          <w:b/>
          <w:szCs w:val="22"/>
        </w:rPr>
        <w:t xml:space="preserve">Nedelsdami nutraukite </w:t>
      </w:r>
      <w:r w:rsidR="00247FEA" w:rsidRPr="009F0293">
        <w:rPr>
          <w:b/>
          <w:szCs w:val="22"/>
        </w:rPr>
        <w:t>Carzan HCT</w:t>
      </w:r>
      <w:r w:rsidRPr="009F0293">
        <w:rPr>
          <w:b/>
          <w:szCs w:val="22"/>
        </w:rPr>
        <w:t xml:space="preserve"> vartojimą ir kreipkitės į gydytoją, jeigu pasireiškia kuri nors iš šių alerginių reakcijų:</w:t>
      </w:r>
    </w:p>
    <w:p w14:paraId="5FB655B7"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kvėpavimo pasunkėjimas patinus arba nepatinus veidui, lūpoms, liežuviui ir (arba) gerklei;</w:t>
      </w:r>
    </w:p>
    <w:p w14:paraId="71033ACC"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veido, lūpų, liežuvio ir (arba) gerklės patinimas, dėl kurio gali pasunkėti rijimas;</w:t>
      </w:r>
    </w:p>
    <w:p w14:paraId="23F3A4D7"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stiprus odos niežulys (su ruplėmis).</w:t>
      </w:r>
    </w:p>
    <w:p w14:paraId="550781FA" w14:textId="77777777" w:rsidR="00AE6755" w:rsidRPr="009F0293" w:rsidRDefault="00AE6755" w:rsidP="00804B70">
      <w:pPr>
        <w:rPr>
          <w:szCs w:val="22"/>
        </w:rPr>
      </w:pPr>
    </w:p>
    <w:p w14:paraId="1C1244AA" w14:textId="77777777" w:rsidR="00AE6755" w:rsidRPr="009F0293" w:rsidRDefault="00247FEA" w:rsidP="00E612A4">
      <w:pPr>
        <w:rPr>
          <w:szCs w:val="22"/>
        </w:rPr>
      </w:pPr>
      <w:r w:rsidRPr="009F0293">
        <w:rPr>
          <w:szCs w:val="22"/>
        </w:rPr>
        <w:t>Carzan HCT</w:t>
      </w:r>
      <w:r w:rsidR="00AE6755" w:rsidRPr="009F0293">
        <w:rPr>
          <w:szCs w:val="22"/>
        </w:rPr>
        <w:t xml:space="preserve"> gali sukelti baltųjų kraujo ląstelių kiekio sumažėjimą. Gali sumažėti atsparumas infekcijoms, galite jausti nuovargį, infekcijos požymių, pradėti karščiuoti. Atsiradus tokiems sutrikimams, kreipkitės į gydytoją. Gydytojas gali kartais daryti kraujo tyrimus, kad galėtų įsitikinti, ar nepasireiškė </w:t>
      </w:r>
      <w:r w:rsidRPr="009F0293">
        <w:rPr>
          <w:szCs w:val="22"/>
        </w:rPr>
        <w:t>Carzan HCT</w:t>
      </w:r>
      <w:r w:rsidR="00AE6755" w:rsidRPr="009F0293">
        <w:rPr>
          <w:szCs w:val="22"/>
        </w:rPr>
        <w:t xml:space="preserve"> šalutinis poveikis kraujui (agranulocitozė).</w:t>
      </w:r>
    </w:p>
    <w:p w14:paraId="03E0F65E" w14:textId="77777777" w:rsidR="00AE6755" w:rsidRPr="009F0293" w:rsidRDefault="00AE6755" w:rsidP="00804B70">
      <w:pPr>
        <w:rPr>
          <w:szCs w:val="22"/>
        </w:rPr>
      </w:pPr>
    </w:p>
    <w:p w14:paraId="685827FF" w14:textId="77777777" w:rsidR="00AE6755" w:rsidRPr="009F0293" w:rsidRDefault="00AE6755" w:rsidP="00E612A4">
      <w:pPr>
        <w:rPr>
          <w:szCs w:val="22"/>
        </w:rPr>
      </w:pPr>
      <w:r w:rsidRPr="009F0293">
        <w:rPr>
          <w:szCs w:val="22"/>
        </w:rPr>
        <w:t>Kitas galimas šalutinis poveikis nurodytas žemiau.</w:t>
      </w:r>
    </w:p>
    <w:p w14:paraId="19035627" w14:textId="77777777" w:rsidR="00AE6755" w:rsidRPr="009F0293" w:rsidRDefault="00AE6755" w:rsidP="00804B70">
      <w:pPr>
        <w:rPr>
          <w:szCs w:val="22"/>
        </w:rPr>
      </w:pPr>
    </w:p>
    <w:p w14:paraId="300CDAF4" w14:textId="41C37BDF" w:rsidR="00AE6755" w:rsidRPr="009F0293" w:rsidRDefault="00AE6755" w:rsidP="00804B70">
      <w:pPr>
        <w:rPr>
          <w:b/>
          <w:szCs w:val="22"/>
        </w:rPr>
      </w:pPr>
      <w:r w:rsidRPr="009F0293">
        <w:rPr>
          <w:b/>
          <w:szCs w:val="22"/>
        </w:rPr>
        <w:t>Dažn</w:t>
      </w:r>
      <w:r w:rsidR="00C12307">
        <w:rPr>
          <w:b/>
          <w:szCs w:val="22"/>
        </w:rPr>
        <w:t>i šalutinio poveikio reiškiniai</w:t>
      </w:r>
      <w:r w:rsidRPr="009F0293">
        <w:rPr>
          <w:b/>
          <w:szCs w:val="22"/>
        </w:rPr>
        <w:t xml:space="preserve"> (</w:t>
      </w:r>
      <w:r w:rsidR="00190720" w:rsidRPr="009F0293">
        <w:rPr>
          <w:b/>
          <w:szCs w:val="22"/>
        </w:rPr>
        <w:t xml:space="preserve">gali pasireikšti </w:t>
      </w:r>
      <w:r w:rsidR="00301388" w:rsidRPr="009F0293">
        <w:rPr>
          <w:b/>
          <w:szCs w:val="22"/>
        </w:rPr>
        <w:t>rečiau</w:t>
      </w:r>
      <w:r w:rsidR="00190720" w:rsidRPr="009F0293">
        <w:rPr>
          <w:b/>
          <w:szCs w:val="22"/>
        </w:rPr>
        <w:t xml:space="preserve"> kaip 1 iš 10</w:t>
      </w:r>
      <w:r w:rsidR="00C12307">
        <w:rPr>
          <w:b/>
          <w:szCs w:val="22"/>
        </w:rPr>
        <w:t xml:space="preserve"> asmenų</w:t>
      </w:r>
      <w:r w:rsidRPr="009F0293">
        <w:rPr>
          <w:b/>
          <w:szCs w:val="22"/>
        </w:rPr>
        <w:t>):</w:t>
      </w:r>
    </w:p>
    <w:p w14:paraId="783892BC" w14:textId="77777777" w:rsidR="00AE6755" w:rsidRPr="009F0293" w:rsidRDefault="00AE6755" w:rsidP="00430BFB">
      <w:pPr>
        <w:numPr>
          <w:ilvl w:val="0"/>
          <w:numId w:val="32"/>
        </w:numPr>
        <w:autoSpaceDE w:val="0"/>
        <w:autoSpaceDN w:val="0"/>
        <w:adjustRightInd w:val="0"/>
        <w:rPr>
          <w:szCs w:val="22"/>
        </w:rPr>
      </w:pPr>
      <w:r w:rsidRPr="009F0293">
        <w:rPr>
          <w:szCs w:val="22"/>
        </w:rPr>
        <w:t>kraujo tyrimų rodmenų pokyčiai:</w:t>
      </w:r>
    </w:p>
    <w:p w14:paraId="2D623D2B" w14:textId="77777777" w:rsidR="00AE6755" w:rsidRPr="009F0293" w:rsidRDefault="00AE6755" w:rsidP="00DA610E">
      <w:pPr>
        <w:numPr>
          <w:ilvl w:val="1"/>
          <w:numId w:val="25"/>
        </w:numPr>
        <w:tabs>
          <w:tab w:val="clear" w:pos="1440"/>
          <w:tab w:val="left" w:pos="720"/>
        </w:tabs>
        <w:autoSpaceDE w:val="0"/>
        <w:autoSpaceDN w:val="0"/>
        <w:adjustRightInd w:val="0"/>
        <w:ind w:left="720"/>
        <w:rPr>
          <w:szCs w:val="22"/>
        </w:rPr>
      </w:pPr>
      <w:r w:rsidRPr="009F0293">
        <w:rPr>
          <w:szCs w:val="22"/>
        </w:rPr>
        <w:t>natrio koncentracijos kraujyje sumažėjimas. Jeigu šis poveikis yra sunkus, galite justi silpnumą, energijos stoką ar raumenų mėšlungį;</w:t>
      </w:r>
    </w:p>
    <w:p w14:paraId="2CD172AA" w14:textId="77777777" w:rsidR="00AE6755" w:rsidRPr="009F0293" w:rsidRDefault="00AE6755" w:rsidP="00DA610E">
      <w:pPr>
        <w:numPr>
          <w:ilvl w:val="1"/>
          <w:numId w:val="25"/>
        </w:numPr>
        <w:tabs>
          <w:tab w:val="clear" w:pos="1440"/>
          <w:tab w:val="left" w:pos="720"/>
        </w:tabs>
        <w:autoSpaceDE w:val="0"/>
        <w:autoSpaceDN w:val="0"/>
        <w:adjustRightInd w:val="0"/>
        <w:ind w:left="720"/>
        <w:rPr>
          <w:szCs w:val="22"/>
        </w:rPr>
      </w:pPr>
      <w:r w:rsidRPr="009F0293">
        <w:rPr>
          <w:szCs w:val="22"/>
        </w:rPr>
        <w:t>kalio koncentracijos kraujyje padidėjimas arba sumažėjimas, ypač jeigu jau sergate inkstų liga ar širdies nepakankamumu. Jeigu šis poveikis yra sunkus, galite j</w:t>
      </w:r>
      <w:r w:rsidR="00343DD1" w:rsidRPr="009F0293">
        <w:rPr>
          <w:szCs w:val="22"/>
        </w:rPr>
        <w:t>a</w:t>
      </w:r>
      <w:r w:rsidRPr="009F0293">
        <w:rPr>
          <w:szCs w:val="22"/>
        </w:rPr>
        <w:t>usti nuovargį, silpnumą, neritmišką širdies plakimą arba dilgčiojimą ir dygsėjimą;</w:t>
      </w:r>
    </w:p>
    <w:p w14:paraId="7A28A7A4" w14:textId="77777777" w:rsidR="00AE6755" w:rsidRPr="009F0293" w:rsidRDefault="00AE6755" w:rsidP="00DA610E">
      <w:pPr>
        <w:numPr>
          <w:ilvl w:val="1"/>
          <w:numId w:val="25"/>
        </w:numPr>
        <w:tabs>
          <w:tab w:val="clear" w:pos="1440"/>
          <w:tab w:val="left" w:pos="720"/>
        </w:tabs>
        <w:autoSpaceDE w:val="0"/>
        <w:autoSpaceDN w:val="0"/>
        <w:adjustRightInd w:val="0"/>
        <w:ind w:left="720"/>
        <w:rPr>
          <w:szCs w:val="22"/>
        </w:rPr>
      </w:pPr>
      <w:r w:rsidRPr="009F0293">
        <w:rPr>
          <w:szCs w:val="22"/>
        </w:rPr>
        <w:t>cholesterolio, cukraus ar šlapimo rūgšties koncentracijos kraujyje padidėjimas;</w:t>
      </w:r>
    </w:p>
    <w:p w14:paraId="04B42E26" w14:textId="77777777" w:rsidR="00AE6755" w:rsidRPr="009F0293" w:rsidRDefault="00AE6755" w:rsidP="00430BFB">
      <w:pPr>
        <w:numPr>
          <w:ilvl w:val="0"/>
          <w:numId w:val="34"/>
        </w:numPr>
        <w:autoSpaceDE w:val="0"/>
        <w:autoSpaceDN w:val="0"/>
        <w:adjustRightInd w:val="0"/>
        <w:rPr>
          <w:szCs w:val="22"/>
        </w:rPr>
      </w:pPr>
      <w:r w:rsidRPr="009F0293">
        <w:rPr>
          <w:szCs w:val="22"/>
        </w:rPr>
        <w:t>cukrus šlapime;</w:t>
      </w:r>
    </w:p>
    <w:p w14:paraId="0F5B2D1E" w14:textId="77777777" w:rsidR="00AE6755" w:rsidRPr="009F0293" w:rsidRDefault="00AE6755" w:rsidP="005209CC">
      <w:pPr>
        <w:pStyle w:val="BTEMEASMCA"/>
        <w:rPr>
          <w:rFonts w:ascii="Times New Roman" w:hAnsi="Times New Roman"/>
          <w:sz w:val="22"/>
          <w:szCs w:val="22"/>
        </w:rPr>
      </w:pPr>
      <w:r w:rsidRPr="009F0293">
        <w:rPr>
          <w:rFonts w:ascii="Times New Roman" w:hAnsi="Times New Roman"/>
          <w:sz w:val="22"/>
          <w:szCs w:val="22"/>
        </w:rPr>
        <w:t>galvos svaigimas, sukimasis ar silpnumas;</w:t>
      </w:r>
    </w:p>
    <w:p w14:paraId="37DE8C0D"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galvos skausmas;</w:t>
      </w:r>
    </w:p>
    <w:p w14:paraId="6FAF9261"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kvėpavimo takų infekcija.</w:t>
      </w:r>
    </w:p>
    <w:p w14:paraId="3D8F9444" w14:textId="77777777" w:rsidR="00AE6755" w:rsidRPr="009F0293" w:rsidRDefault="00AE6755" w:rsidP="005209CC">
      <w:pPr>
        <w:pStyle w:val="BTEMEASMCA"/>
        <w:numPr>
          <w:ilvl w:val="0"/>
          <w:numId w:val="0"/>
        </w:numPr>
        <w:rPr>
          <w:rFonts w:ascii="Times New Roman" w:hAnsi="Times New Roman"/>
          <w:sz w:val="22"/>
          <w:szCs w:val="22"/>
        </w:rPr>
      </w:pPr>
    </w:p>
    <w:p w14:paraId="4837C673" w14:textId="0373E4F2" w:rsidR="00AE6755" w:rsidRPr="009F0293" w:rsidRDefault="00AE6755" w:rsidP="004C78F6">
      <w:pPr>
        <w:keepNext/>
        <w:keepLines/>
        <w:autoSpaceDE w:val="0"/>
        <w:autoSpaceDN w:val="0"/>
        <w:adjustRightInd w:val="0"/>
        <w:rPr>
          <w:b/>
          <w:bCs/>
          <w:szCs w:val="22"/>
        </w:rPr>
      </w:pPr>
      <w:r w:rsidRPr="009F0293">
        <w:rPr>
          <w:b/>
          <w:bCs/>
          <w:szCs w:val="22"/>
        </w:rPr>
        <w:t>Nedažni</w:t>
      </w:r>
      <w:r w:rsidR="00C12307">
        <w:rPr>
          <w:b/>
          <w:bCs/>
          <w:szCs w:val="22"/>
        </w:rPr>
        <w:t xml:space="preserve"> šalutinio poveikio reiškiniai</w:t>
      </w:r>
      <w:r w:rsidRPr="009F0293">
        <w:rPr>
          <w:b/>
          <w:bCs/>
          <w:szCs w:val="22"/>
        </w:rPr>
        <w:t xml:space="preserve"> (</w:t>
      </w:r>
      <w:r w:rsidR="00190720" w:rsidRPr="009F0293">
        <w:rPr>
          <w:b/>
          <w:bCs/>
          <w:color w:val="000000"/>
          <w:szCs w:val="22"/>
          <w:lang w:eastAsia="lt-LT"/>
        </w:rPr>
        <w:t xml:space="preserve">gali pasireikšti </w:t>
      </w:r>
      <w:r w:rsidR="00301388" w:rsidRPr="009F0293">
        <w:rPr>
          <w:b/>
          <w:bCs/>
          <w:color w:val="000000"/>
          <w:szCs w:val="22"/>
          <w:lang w:eastAsia="lt-LT"/>
        </w:rPr>
        <w:t>rečiau</w:t>
      </w:r>
      <w:r w:rsidR="00190720" w:rsidRPr="009F0293">
        <w:rPr>
          <w:b/>
          <w:bCs/>
          <w:color w:val="000000"/>
          <w:szCs w:val="22"/>
          <w:lang w:eastAsia="lt-LT"/>
        </w:rPr>
        <w:t xml:space="preserve"> kaip 1 iš 100</w:t>
      </w:r>
      <w:r w:rsidR="00C12307">
        <w:rPr>
          <w:b/>
          <w:bCs/>
          <w:color w:val="000000"/>
          <w:szCs w:val="22"/>
          <w:lang w:eastAsia="lt-LT"/>
        </w:rPr>
        <w:t xml:space="preserve"> asmenų</w:t>
      </w:r>
      <w:r w:rsidRPr="009F0293">
        <w:rPr>
          <w:b/>
          <w:bCs/>
          <w:color w:val="000000"/>
          <w:szCs w:val="22"/>
          <w:lang w:eastAsia="lt-LT"/>
        </w:rPr>
        <w:t>):</w:t>
      </w:r>
    </w:p>
    <w:p w14:paraId="1EC50A23" w14:textId="0BA67EE4" w:rsidR="00AE6755" w:rsidRPr="009F0293" w:rsidRDefault="00AE6755" w:rsidP="004C78F6">
      <w:pPr>
        <w:keepNext/>
        <w:keepLines/>
        <w:numPr>
          <w:ilvl w:val="0"/>
          <w:numId w:val="36"/>
        </w:numPr>
        <w:autoSpaceDE w:val="0"/>
        <w:autoSpaceDN w:val="0"/>
        <w:adjustRightInd w:val="0"/>
        <w:rPr>
          <w:szCs w:val="22"/>
        </w:rPr>
      </w:pPr>
      <w:r w:rsidRPr="009F0293">
        <w:rPr>
          <w:szCs w:val="22"/>
        </w:rPr>
        <w:t xml:space="preserve">kraujospūdžio sumažėjimas. Tai gali sukelti apalpimą ar </w:t>
      </w:r>
      <w:r w:rsidR="00343DD1" w:rsidRPr="009F0293">
        <w:rPr>
          <w:szCs w:val="22"/>
        </w:rPr>
        <w:t>svaigulį</w:t>
      </w:r>
      <w:r w:rsidRPr="009F0293">
        <w:rPr>
          <w:szCs w:val="22"/>
        </w:rPr>
        <w:t>;</w:t>
      </w:r>
    </w:p>
    <w:p w14:paraId="0822AAD3" w14:textId="77777777" w:rsidR="00AE6755" w:rsidRPr="009F0293" w:rsidRDefault="00AE6755" w:rsidP="00430BFB">
      <w:pPr>
        <w:numPr>
          <w:ilvl w:val="0"/>
          <w:numId w:val="36"/>
        </w:numPr>
        <w:autoSpaceDE w:val="0"/>
        <w:autoSpaceDN w:val="0"/>
        <w:adjustRightInd w:val="0"/>
        <w:rPr>
          <w:szCs w:val="22"/>
        </w:rPr>
      </w:pPr>
      <w:r w:rsidRPr="009F0293">
        <w:rPr>
          <w:szCs w:val="22"/>
        </w:rPr>
        <w:t>apetito nebuvimas, viduriavimas, vidurių užkietėjimas, pilvo dirginimas;</w:t>
      </w:r>
    </w:p>
    <w:p w14:paraId="3500066B" w14:textId="77777777" w:rsidR="00AE6755" w:rsidRPr="009F0293" w:rsidRDefault="00AE6755" w:rsidP="00430BFB">
      <w:pPr>
        <w:numPr>
          <w:ilvl w:val="0"/>
          <w:numId w:val="36"/>
        </w:numPr>
        <w:autoSpaceDE w:val="0"/>
        <w:autoSpaceDN w:val="0"/>
        <w:adjustRightInd w:val="0"/>
        <w:rPr>
          <w:szCs w:val="22"/>
        </w:rPr>
      </w:pPr>
      <w:r w:rsidRPr="009F0293">
        <w:rPr>
          <w:szCs w:val="22"/>
        </w:rPr>
        <w:t>odos išbėrimas, išbėrimas gumbeliais (dilgėlinė), išbėrimas dėl jautrumo saulės spinduliams.</w:t>
      </w:r>
    </w:p>
    <w:p w14:paraId="5D02FF53" w14:textId="77777777" w:rsidR="00AE6755" w:rsidRPr="009F0293" w:rsidRDefault="00AE6755" w:rsidP="00E612A4">
      <w:pPr>
        <w:autoSpaceDE w:val="0"/>
        <w:autoSpaceDN w:val="0"/>
        <w:adjustRightInd w:val="0"/>
        <w:rPr>
          <w:szCs w:val="22"/>
        </w:rPr>
      </w:pPr>
    </w:p>
    <w:p w14:paraId="570A05CB" w14:textId="1022BD9B" w:rsidR="00AE6755" w:rsidRPr="009F0293" w:rsidRDefault="00AE6755" w:rsidP="00E612A4">
      <w:pPr>
        <w:pStyle w:val="Style1"/>
        <w:widowControl/>
        <w:rPr>
          <w:rStyle w:val="FontStyle21"/>
          <w:bCs/>
          <w:sz w:val="22"/>
          <w:szCs w:val="22"/>
          <w:lang w:val="lt-LT"/>
        </w:rPr>
      </w:pPr>
      <w:r w:rsidRPr="009F0293">
        <w:rPr>
          <w:b/>
          <w:bCs/>
          <w:sz w:val="22"/>
          <w:szCs w:val="22"/>
          <w:lang w:val="lt-LT"/>
        </w:rPr>
        <w:t xml:space="preserve">Reti </w:t>
      </w:r>
      <w:r w:rsidR="00C12307">
        <w:rPr>
          <w:b/>
          <w:bCs/>
          <w:sz w:val="22"/>
          <w:szCs w:val="22"/>
          <w:lang w:val="lt-LT"/>
        </w:rPr>
        <w:t xml:space="preserve">šalutinio poveikio reiškiniai </w:t>
      </w:r>
      <w:r w:rsidRPr="009F0293">
        <w:rPr>
          <w:b/>
          <w:bCs/>
          <w:color w:val="000000"/>
          <w:sz w:val="22"/>
          <w:szCs w:val="22"/>
          <w:lang w:val="lt-LT" w:eastAsia="lt-LT"/>
        </w:rPr>
        <w:t>(</w:t>
      </w:r>
      <w:r w:rsidR="00190720" w:rsidRPr="009F0293">
        <w:rPr>
          <w:b/>
          <w:bCs/>
          <w:color w:val="000000"/>
          <w:sz w:val="22"/>
          <w:szCs w:val="22"/>
          <w:lang w:val="lt-LT" w:eastAsia="lt-LT"/>
        </w:rPr>
        <w:t xml:space="preserve">gali pasireikšti </w:t>
      </w:r>
      <w:r w:rsidR="00301388" w:rsidRPr="009F0293">
        <w:rPr>
          <w:b/>
          <w:bCs/>
          <w:color w:val="000000"/>
          <w:sz w:val="22"/>
          <w:szCs w:val="22"/>
          <w:lang w:val="lt-LT" w:eastAsia="lt-LT"/>
        </w:rPr>
        <w:t>rečiau</w:t>
      </w:r>
      <w:r w:rsidR="00190720" w:rsidRPr="009F0293">
        <w:rPr>
          <w:b/>
          <w:bCs/>
          <w:color w:val="000000"/>
          <w:sz w:val="22"/>
          <w:szCs w:val="22"/>
          <w:lang w:val="lt-LT" w:eastAsia="lt-LT"/>
        </w:rPr>
        <w:t xml:space="preserve"> kaip 1 iš 1</w:t>
      </w:r>
      <w:r w:rsidR="00C12307">
        <w:rPr>
          <w:b/>
          <w:bCs/>
          <w:color w:val="000000"/>
          <w:sz w:val="22"/>
          <w:szCs w:val="22"/>
          <w:lang w:val="lt-LT" w:eastAsia="lt-LT"/>
        </w:rPr>
        <w:t> </w:t>
      </w:r>
      <w:r w:rsidR="00190720" w:rsidRPr="009F0293">
        <w:rPr>
          <w:b/>
          <w:bCs/>
          <w:color w:val="000000"/>
          <w:sz w:val="22"/>
          <w:szCs w:val="22"/>
          <w:lang w:val="lt-LT" w:eastAsia="lt-LT"/>
        </w:rPr>
        <w:t>000</w:t>
      </w:r>
      <w:r w:rsidR="00C12307">
        <w:rPr>
          <w:b/>
          <w:bCs/>
          <w:color w:val="000000"/>
          <w:sz w:val="22"/>
          <w:szCs w:val="22"/>
          <w:lang w:val="lt-LT" w:eastAsia="lt-LT"/>
        </w:rPr>
        <w:t xml:space="preserve"> asmenų</w:t>
      </w:r>
      <w:r w:rsidRPr="009F0293">
        <w:rPr>
          <w:b/>
          <w:bCs/>
          <w:color w:val="000000"/>
          <w:sz w:val="22"/>
          <w:szCs w:val="22"/>
          <w:lang w:val="lt-LT" w:eastAsia="lt-LT"/>
        </w:rPr>
        <w:t>):</w:t>
      </w:r>
    </w:p>
    <w:p w14:paraId="368D1324" w14:textId="77777777" w:rsidR="00AE6755" w:rsidRPr="009F0293" w:rsidRDefault="00AE6755" w:rsidP="00430BFB">
      <w:pPr>
        <w:numPr>
          <w:ilvl w:val="0"/>
          <w:numId w:val="38"/>
        </w:numPr>
        <w:autoSpaceDE w:val="0"/>
        <w:autoSpaceDN w:val="0"/>
        <w:adjustRightInd w:val="0"/>
        <w:rPr>
          <w:szCs w:val="22"/>
        </w:rPr>
      </w:pPr>
      <w:r w:rsidRPr="009F0293">
        <w:rPr>
          <w:szCs w:val="22"/>
        </w:rPr>
        <w:t xml:space="preserve">gelta (odos ir akių baltymo pageltimas). </w:t>
      </w:r>
      <w:r w:rsidRPr="009F0293">
        <w:rPr>
          <w:bCs/>
          <w:szCs w:val="22"/>
        </w:rPr>
        <w:t>Jeigu pasireiškė toks poveikis, nedelsdami kreipkitės į gydytoją;</w:t>
      </w:r>
    </w:p>
    <w:p w14:paraId="5D24101D" w14:textId="77777777" w:rsidR="00AE6755" w:rsidRPr="009F0293" w:rsidRDefault="00AE6755" w:rsidP="00430BFB">
      <w:pPr>
        <w:numPr>
          <w:ilvl w:val="0"/>
          <w:numId w:val="38"/>
        </w:numPr>
        <w:autoSpaceDE w:val="0"/>
        <w:autoSpaceDN w:val="0"/>
        <w:adjustRightInd w:val="0"/>
        <w:rPr>
          <w:szCs w:val="22"/>
        </w:rPr>
      </w:pPr>
      <w:r w:rsidRPr="009F0293">
        <w:rPr>
          <w:szCs w:val="22"/>
        </w:rPr>
        <w:t>poveikis inkstų funkcijai, ypač, jeigu jau sergate inkstų liga arba širdies nepakankamumu;</w:t>
      </w:r>
    </w:p>
    <w:p w14:paraId="4B8AFFAD" w14:textId="77777777" w:rsidR="00AE6755" w:rsidRPr="009F0293" w:rsidRDefault="00AE6755" w:rsidP="00430BFB">
      <w:pPr>
        <w:numPr>
          <w:ilvl w:val="0"/>
          <w:numId w:val="38"/>
        </w:numPr>
        <w:autoSpaceDE w:val="0"/>
        <w:autoSpaceDN w:val="0"/>
        <w:adjustRightInd w:val="0"/>
        <w:rPr>
          <w:szCs w:val="22"/>
        </w:rPr>
      </w:pPr>
      <w:r w:rsidRPr="009F0293">
        <w:rPr>
          <w:szCs w:val="22"/>
        </w:rPr>
        <w:t>miego sutrikimas, depresija, neramumas;</w:t>
      </w:r>
    </w:p>
    <w:p w14:paraId="2E7F7334" w14:textId="77777777" w:rsidR="00AE6755" w:rsidRPr="009F0293" w:rsidRDefault="00AE6755" w:rsidP="00430BFB">
      <w:pPr>
        <w:numPr>
          <w:ilvl w:val="0"/>
          <w:numId w:val="38"/>
        </w:numPr>
        <w:autoSpaceDE w:val="0"/>
        <w:autoSpaceDN w:val="0"/>
        <w:adjustRightInd w:val="0"/>
        <w:rPr>
          <w:szCs w:val="22"/>
        </w:rPr>
      </w:pPr>
      <w:r w:rsidRPr="009F0293">
        <w:rPr>
          <w:szCs w:val="22"/>
        </w:rPr>
        <w:t>rankų ar kojų dilgčiojimas ar dygsėjimas;</w:t>
      </w:r>
    </w:p>
    <w:p w14:paraId="6A73662F" w14:textId="77777777" w:rsidR="00AE6755" w:rsidRPr="009F0293" w:rsidRDefault="00AE6755" w:rsidP="00430BFB">
      <w:pPr>
        <w:numPr>
          <w:ilvl w:val="0"/>
          <w:numId w:val="38"/>
        </w:numPr>
        <w:autoSpaceDE w:val="0"/>
        <w:autoSpaceDN w:val="0"/>
        <w:adjustRightInd w:val="0"/>
        <w:rPr>
          <w:szCs w:val="22"/>
        </w:rPr>
      </w:pPr>
      <w:r w:rsidRPr="009F0293">
        <w:rPr>
          <w:szCs w:val="22"/>
        </w:rPr>
        <w:t>trumpalaikis matymas lyg per miglą;</w:t>
      </w:r>
    </w:p>
    <w:p w14:paraId="6824002C" w14:textId="77777777" w:rsidR="00AE6755" w:rsidRPr="009F0293" w:rsidRDefault="00AE6755" w:rsidP="00430BFB">
      <w:pPr>
        <w:numPr>
          <w:ilvl w:val="0"/>
          <w:numId w:val="38"/>
        </w:numPr>
        <w:autoSpaceDE w:val="0"/>
        <w:autoSpaceDN w:val="0"/>
        <w:adjustRightInd w:val="0"/>
        <w:rPr>
          <w:szCs w:val="22"/>
        </w:rPr>
      </w:pPr>
      <w:r w:rsidRPr="009F0293">
        <w:rPr>
          <w:szCs w:val="22"/>
        </w:rPr>
        <w:t>nenormalus širdies plakimas;</w:t>
      </w:r>
    </w:p>
    <w:p w14:paraId="482795CA" w14:textId="77777777" w:rsidR="00AE6755" w:rsidRPr="009F0293" w:rsidRDefault="00AE6755" w:rsidP="00430BFB">
      <w:pPr>
        <w:numPr>
          <w:ilvl w:val="0"/>
          <w:numId w:val="38"/>
        </w:numPr>
        <w:autoSpaceDE w:val="0"/>
        <w:autoSpaceDN w:val="0"/>
        <w:adjustRightInd w:val="0"/>
        <w:rPr>
          <w:szCs w:val="22"/>
        </w:rPr>
      </w:pPr>
      <w:r w:rsidRPr="009F0293">
        <w:rPr>
          <w:szCs w:val="22"/>
        </w:rPr>
        <w:t>kvėpavimo pasunkėjimas (įskaitant plaučių uždegimą ir skysčio kaupimąsi plaučiuose);</w:t>
      </w:r>
    </w:p>
    <w:p w14:paraId="31AA3F40" w14:textId="77777777" w:rsidR="00AE6755" w:rsidRPr="009F0293" w:rsidRDefault="00AE6755" w:rsidP="00430BFB">
      <w:pPr>
        <w:numPr>
          <w:ilvl w:val="0"/>
          <w:numId w:val="38"/>
        </w:numPr>
        <w:autoSpaceDE w:val="0"/>
        <w:autoSpaceDN w:val="0"/>
        <w:adjustRightInd w:val="0"/>
        <w:rPr>
          <w:szCs w:val="22"/>
        </w:rPr>
      </w:pPr>
      <w:r w:rsidRPr="009F0293">
        <w:rPr>
          <w:szCs w:val="22"/>
        </w:rPr>
        <w:t>aukšta kūno temperatūra (karščiavimas);</w:t>
      </w:r>
    </w:p>
    <w:p w14:paraId="6B493E0F" w14:textId="77777777" w:rsidR="00AE6755" w:rsidRPr="009F0293" w:rsidRDefault="00AE6755" w:rsidP="00430BFB">
      <w:pPr>
        <w:numPr>
          <w:ilvl w:val="0"/>
          <w:numId w:val="38"/>
        </w:numPr>
        <w:autoSpaceDE w:val="0"/>
        <w:autoSpaceDN w:val="0"/>
        <w:adjustRightInd w:val="0"/>
        <w:rPr>
          <w:szCs w:val="22"/>
        </w:rPr>
      </w:pPr>
      <w:r w:rsidRPr="009F0293">
        <w:rPr>
          <w:szCs w:val="22"/>
        </w:rPr>
        <w:t>kasos uždegimas. Tai sukelia vidutinio sunkumo ar sunkų pilvo skausmą;</w:t>
      </w:r>
    </w:p>
    <w:p w14:paraId="73DEAE0C" w14:textId="77777777" w:rsidR="00AE6755" w:rsidRPr="009F0293" w:rsidRDefault="00343DD1" w:rsidP="00430BFB">
      <w:pPr>
        <w:numPr>
          <w:ilvl w:val="0"/>
          <w:numId w:val="38"/>
        </w:numPr>
        <w:autoSpaceDE w:val="0"/>
        <w:autoSpaceDN w:val="0"/>
        <w:adjustRightInd w:val="0"/>
        <w:rPr>
          <w:szCs w:val="22"/>
        </w:rPr>
      </w:pPr>
      <w:r w:rsidRPr="009F0293">
        <w:rPr>
          <w:szCs w:val="22"/>
        </w:rPr>
        <w:t xml:space="preserve">raumenų </w:t>
      </w:r>
      <w:r w:rsidR="00AE6755" w:rsidRPr="009F0293">
        <w:rPr>
          <w:szCs w:val="22"/>
        </w:rPr>
        <w:t>mėšlungis;</w:t>
      </w:r>
    </w:p>
    <w:p w14:paraId="40C7F214" w14:textId="77777777" w:rsidR="00AE6755" w:rsidRPr="009F0293" w:rsidRDefault="00AE6755" w:rsidP="00430BFB">
      <w:pPr>
        <w:numPr>
          <w:ilvl w:val="0"/>
          <w:numId w:val="38"/>
        </w:numPr>
        <w:autoSpaceDE w:val="0"/>
        <w:autoSpaceDN w:val="0"/>
        <w:adjustRightInd w:val="0"/>
        <w:rPr>
          <w:szCs w:val="22"/>
        </w:rPr>
      </w:pPr>
      <w:r w:rsidRPr="009F0293">
        <w:rPr>
          <w:szCs w:val="22"/>
        </w:rPr>
        <w:t>kraujagyslių pažaida, dėl kurios atsiranda raudonos ar purpurinės spalvos taškelių ant odos;</w:t>
      </w:r>
    </w:p>
    <w:p w14:paraId="519EBC83" w14:textId="77777777" w:rsidR="00AE6755" w:rsidRPr="009F0293" w:rsidRDefault="00AE6755" w:rsidP="00430BFB">
      <w:pPr>
        <w:numPr>
          <w:ilvl w:val="0"/>
          <w:numId w:val="38"/>
        </w:numPr>
        <w:autoSpaceDE w:val="0"/>
        <w:autoSpaceDN w:val="0"/>
        <w:adjustRightInd w:val="0"/>
        <w:rPr>
          <w:szCs w:val="22"/>
        </w:rPr>
      </w:pPr>
      <w:r w:rsidRPr="009F0293">
        <w:rPr>
          <w:szCs w:val="22"/>
        </w:rPr>
        <w:t>raudonųjų ar baltųjų kraujo ląstelių ar plokštelių kiekio sumažėjimas. Galite j</w:t>
      </w:r>
      <w:r w:rsidR="00343DD1" w:rsidRPr="009F0293">
        <w:rPr>
          <w:szCs w:val="22"/>
        </w:rPr>
        <w:t>a</w:t>
      </w:r>
      <w:r w:rsidRPr="009F0293">
        <w:rPr>
          <w:szCs w:val="22"/>
        </w:rPr>
        <w:t xml:space="preserve">usti nuovargį, gali pasireikšti infekcinė liga, karščiavimas ar greičiau atsirasti </w:t>
      </w:r>
      <w:r w:rsidR="00343DD1" w:rsidRPr="009F0293">
        <w:rPr>
          <w:szCs w:val="22"/>
        </w:rPr>
        <w:t>kraujosruvų (</w:t>
      </w:r>
      <w:r w:rsidRPr="009F0293">
        <w:rPr>
          <w:szCs w:val="22"/>
        </w:rPr>
        <w:t>mėlynių</w:t>
      </w:r>
      <w:r w:rsidR="00343DD1" w:rsidRPr="009F0293">
        <w:rPr>
          <w:szCs w:val="22"/>
        </w:rPr>
        <w:t>)</w:t>
      </w:r>
      <w:r w:rsidRPr="009F0293">
        <w:rPr>
          <w:szCs w:val="22"/>
        </w:rPr>
        <w:t>;</w:t>
      </w:r>
    </w:p>
    <w:p w14:paraId="51B2BFDC" w14:textId="01070145" w:rsidR="00AE6755" w:rsidRPr="009F0293" w:rsidRDefault="00AE6755" w:rsidP="00430BFB">
      <w:pPr>
        <w:numPr>
          <w:ilvl w:val="0"/>
          <w:numId w:val="38"/>
        </w:numPr>
        <w:autoSpaceDE w:val="0"/>
        <w:autoSpaceDN w:val="0"/>
        <w:adjustRightInd w:val="0"/>
        <w:rPr>
          <w:szCs w:val="22"/>
        </w:rPr>
      </w:pPr>
      <w:r w:rsidRPr="009F0293">
        <w:rPr>
          <w:szCs w:val="22"/>
        </w:rPr>
        <w:t>sunkus išbėrimas, kuris pasireiškia staigiai su odos pūslėmis ar lupimusi, ir gali atsirasti pūslių burnoje</w:t>
      </w:r>
      <w:r w:rsidR="00000594" w:rsidRPr="009F0293">
        <w:rPr>
          <w:szCs w:val="22"/>
        </w:rPr>
        <w:t>.</w:t>
      </w:r>
    </w:p>
    <w:p w14:paraId="67B99148" w14:textId="77777777" w:rsidR="00AE6755" w:rsidRPr="009F0293" w:rsidRDefault="00AE6755" w:rsidP="00804B70">
      <w:pPr>
        <w:rPr>
          <w:szCs w:val="22"/>
        </w:rPr>
      </w:pPr>
    </w:p>
    <w:p w14:paraId="55076C45" w14:textId="224EF682" w:rsidR="00AE6755" w:rsidRPr="009F0293" w:rsidRDefault="00AE6755" w:rsidP="00804B70">
      <w:pPr>
        <w:rPr>
          <w:b/>
          <w:szCs w:val="22"/>
        </w:rPr>
      </w:pPr>
      <w:r w:rsidRPr="009F0293">
        <w:rPr>
          <w:b/>
          <w:szCs w:val="22"/>
        </w:rPr>
        <w:t>Labai ret</w:t>
      </w:r>
      <w:r w:rsidR="00C12307">
        <w:rPr>
          <w:b/>
          <w:szCs w:val="22"/>
        </w:rPr>
        <w:t>i šalutinio poveikio reiškiniai</w:t>
      </w:r>
      <w:r w:rsidRPr="009F0293">
        <w:rPr>
          <w:b/>
          <w:szCs w:val="22"/>
        </w:rPr>
        <w:t xml:space="preserve"> (</w:t>
      </w:r>
      <w:r w:rsidR="00190720" w:rsidRPr="009F0293">
        <w:rPr>
          <w:b/>
          <w:szCs w:val="22"/>
        </w:rPr>
        <w:t xml:space="preserve">gali pasireikšti </w:t>
      </w:r>
      <w:r w:rsidR="00301388" w:rsidRPr="009F0293">
        <w:rPr>
          <w:b/>
          <w:szCs w:val="22"/>
        </w:rPr>
        <w:t>rečiau</w:t>
      </w:r>
      <w:r w:rsidR="00190720" w:rsidRPr="009F0293">
        <w:rPr>
          <w:b/>
          <w:szCs w:val="22"/>
        </w:rPr>
        <w:t xml:space="preserve"> kaip 1 iš 10</w:t>
      </w:r>
      <w:r w:rsidR="00C12307">
        <w:rPr>
          <w:b/>
          <w:szCs w:val="22"/>
        </w:rPr>
        <w:t> </w:t>
      </w:r>
      <w:r w:rsidR="00190720" w:rsidRPr="009F0293">
        <w:rPr>
          <w:b/>
          <w:szCs w:val="22"/>
        </w:rPr>
        <w:t>000</w:t>
      </w:r>
      <w:r w:rsidR="00C12307">
        <w:rPr>
          <w:b/>
          <w:szCs w:val="22"/>
        </w:rPr>
        <w:t xml:space="preserve"> asmenų</w:t>
      </w:r>
      <w:r w:rsidRPr="009F0293">
        <w:rPr>
          <w:b/>
          <w:szCs w:val="22"/>
        </w:rPr>
        <w:t>):</w:t>
      </w:r>
    </w:p>
    <w:p w14:paraId="18D1693D" w14:textId="77777777" w:rsidR="00AE6755" w:rsidRDefault="00AE6755" w:rsidP="00F04103">
      <w:pPr>
        <w:pStyle w:val="BTEMEASMCA"/>
        <w:rPr>
          <w:rFonts w:ascii="Times New Roman" w:hAnsi="Times New Roman"/>
          <w:sz w:val="22"/>
          <w:szCs w:val="22"/>
        </w:rPr>
      </w:pPr>
      <w:r w:rsidRPr="009F0293">
        <w:rPr>
          <w:rFonts w:ascii="Times New Roman" w:hAnsi="Times New Roman"/>
          <w:sz w:val="22"/>
          <w:szCs w:val="22"/>
        </w:rPr>
        <w:t>veido, lūpų, liežuvio ir (ar) gerklės patinimas;</w:t>
      </w:r>
    </w:p>
    <w:p w14:paraId="33EC9ECE" w14:textId="2DD9025E" w:rsidR="00610EED" w:rsidRPr="009F0293" w:rsidRDefault="00610EED" w:rsidP="00F04103">
      <w:pPr>
        <w:pStyle w:val="BTEMEASMCA"/>
        <w:rPr>
          <w:rFonts w:ascii="Times New Roman" w:hAnsi="Times New Roman"/>
          <w:sz w:val="22"/>
          <w:szCs w:val="22"/>
        </w:rPr>
      </w:pPr>
      <w:r>
        <w:rPr>
          <w:rFonts w:ascii="Times New Roman" w:hAnsi="Times New Roman"/>
          <w:sz w:val="22"/>
          <w:szCs w:val="22"/>
        </w:rPr>
        <w:t>ž</w:t>
      </w:r>
      <w:r w:rsidRPr="00610EED">
        <w:rPr>
          <w:rFonts w:ascii="Times New Roman" w:hAnsi="Times New Roman"/>
          <w:sz w:val="22"/>
          <w:szCs w:val="22"/>
        </w:rPr>
        <w:t>arnyno angioneurozinė edema: tinimas žarnyne, pasireiškiantis tokiais simptomais kaip pilvo skausmas, pykinimas, vėmimas ir viduriavimas</w:t>
      </w:r>
      <w:r>
        <w:rPr>
          <w:rFonts w:ascii="Times New Roman" w:hAnsi="Times New Roman"/>
          <w:sz w:val="22"/>
          <w:szCs w:val="22"/>
        </w:rPr>
        <w:t>;</w:t>
      </w:r>
    </w:p>
    <w:p w14:paraId="34BEF84B"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niežulys;</w:t>
      </w:r>
    </w:p>
    <w:p w14:paraId="1D481264"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nugaros, sąnarių ir raumenų skausmas;</w:t>
      </w:r>
    </w:p>
    <w:p w14:paraId="70F64231"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sutrikusi kepenų funkcija, kepenų uždegimas (hepatitas). Dėl to galite jausti nuovargį, pastebėti, kad pagelto oda ir akių baltymai, bei panašių į gripą simptomų;</w:t>
      </w:r>
    </w:p>
    <w:p w14:paraId="32565706" w14:textId="623DB1CF" w:rsidR="00AE6755" w:rsidRDefault="00AE6755" w:rsidP="00F04103">
      <w:pPr>
        <w:pStyle w:val="BTEMEASMCA"/>
        <w:rPr>
          <w:rFonts w:ascii="Times New Roman" w:hAnsi="Times New Roman"/>
          <w:sz w:val="22"/>
          <w:szCs w:val="22"/>
        </w:rPr>
      </w:pPr>
      <w:r w:rsidRPr="009F0293">
        <w:rPr>
          <w:rFonts w:ascii="Times New Roman" w:hAnsi="Times New Roman"/>
          <w:sz w:val="22"/>
          <w:szCs w:val="22"/>
        </w:rPr>
        <w:t>kosulys;</w:t>
      </w:r>
    </w:p>
    <w:p w14:paraId="73DB3D0B" w14:textId="75466737" w:rsidR="00C12307" w:rsidRPr="009F0293" w:rsidRDefault="00C12307" w:rsidP="00F04103">
      <w:pPr>
        <w:pStyle w:val="BTEMEASMCA"/>
        <w:rPr>
          <w:rFonts w:ascii="Times New Roman" w:hAnsi="Times New Roman"/>
          <w:sz w:val="22"/>
          <w:szCs w:val="22"/>
        </w:rPr>
      </w:pPr>
      <w:r>
        <w:rPr>
          <w:rFonts w:ascii="Times New Roman" w:hAnsi="Times New Roman"/>
          <w:sz w:val="22"/>
          <w:szCs w:val="22"/>
        </w:rPr>
        <w:t>ū</w:t>
      </w:r>
      <w:r w:rsidRPr="00C12307">
        <w:rPr>
          <w:rFonts w:ascii="Times New Roman" w:hAnsi="Times New Roman"/>
          <w:sz w:val="22"/>
          <w:szCs w:val="22"/>
        </w:rPr>
        <w:t>minis kvėpavimo sutrikimas (pasireiškia stipriu dusuliu, karščiavimu, silpnumu ir sumišimu)</w:t>
      </w:r>
      <w:r>
        <w:rPr>
          <w:rFonts w:ascii="Times New Roman" w:hAnsi="Times New Roman"/>
          <w:sz w:val="22"/>
          <w:szCs w:val="22"/>
        </w:rPr>
        <w:t>;</w:t>
      </w:r>
    </w:p>
    <w:p w14:paraId="35555985" w14:textId="77777777" w:rsidR="00AE6755" w:rsidRPr="009F0293" w:rsidRDefault="00AE6755" w:rsidP="00F04103">
      <w:pPr>
        <w:pStyle w:val="BTEMEASMCA"/>
        <w:rPr>
          <w:rFonts w:ascii="Times New Roman" w:hAnsi="Times New Roman"/>
          <w:sz w:val="22"/>
          <w:szCs w:val="22"/>
        </w:rPr>
      </w:pPr>
      <w:r w:rsidRPr="009F0293">
        <w:rPr>
          <w:rFonts w:ascii="Times New Roman" w:hAnsi="Times New Roman"/>
          <w:sz w:val="22"/>
          <w:szCs w:val="22"/>
        </w:rPr>
        <w:t>pykinimas.</w:t>
      </w:r>
    </w:p>
    <w:p w14:paraId="26582314" w14:textId="77777777" w:rsidR="00AE6755" w:rsidRPr="009F0293" w:rsidRDefault="00AE6755" w:rsidP="00804B70">
      <w:pPr>
        <w:rPr>
          <w:szCs w:val="22"/>
        </w:rPr>
      </w:pPr>
    </w:p>
    <w:p w14:paraId="1E466EFD" w14:textId="4A53AF3E" w:rsidR="00190720" w:rsidRPr="009F0293" w:rsidRDefault="00C12307" w:rsidP="00804B70">
      <w:pPr>
        <w:rPr>
          <w:b/>
          <w:szCs w:val="22"/>
        </w:rPr>
      </w:pPr>
      <w:r>
        <w:rPr>
          <w:b/>
          <w:szCs w:val="22"/>
        </w:rPr>
        <w:t>Šalutinio poveikio reiškiniai, kurių d</w:t>
      </w:r>
      <w:r w:rsidR="00190720" w:rsidRPr="009F0293">
        <w:rPr>
          <w:b/>
          <w:szCs w:val="22"/>
        </w:rPr>
        <w:t>ažnis nežinomas (negali būti apskaičiuotas pagal turimus duomenis):</w:t>
      </w:r>
    </w:p>
    <w:p w14:paraId="0F1CA6A5" w14:textId="77777777" w:rsidR="00190720" w:rsidRPr="00774DAE" w:rsidRDefault="00190720" w:rsidP="00343DD1">
      <w:pPr>
        <w:pStyle w:val="Sraopastraipa"/>
        <w:numPr>
          <w:ilvl w:val="0"/>
          <w:numId w:val="39"/>
        </w:numPr>
        <w:ind w:left="426" w:hanging="426"/>
        <w:rPr>
          <w:b/>
          <w:szCs w:val="22"/>
        </w:rPr>
      </w:pPr>
      <w:r w:rsidRPr="009F0293">
        <w:rPr>
          <w:szCs w:val="22"/>
        </w:rPr>
        <w:t xml:space="preserve">staigi </w:t>
      </w:r>
      <w:r w:rsidRPr="009F0293">
        <w:rPr>
          <w:rFonts w:eastAsia="SimSun"/>
          <w:szCs w:val="22"/>
          <w:lang w:eastAsia="zh-CN"/>
        </w:rPr>
        <w:t xml:space="preserve">trumparegystė; </w:t>
      </w:r>
    </w:p>
    <w:p w14:paraId="4392CECE" w14:textId="635B5F29" w:rsidR="00E33AFA" w:rsidRPr="005F2514" w:rsidRDefault="009F0293" w:rsidP="00E33AFA">
      <w:pPr>
        <w:numPr>
          <w:ilvl w:val="0"/>
          <w:numId w:val="39"/>
        </w:numPr>
        <w:ind w:left="425" w:hanging="425"/>
        <w:rPr>
          <w:szCs w:val="22"/>
          <w:lang w:val="pt-PT"/>
        </w:rPr>
      </w:pPr>
      <w:r w:rsidRPr="009F0293">
        <w:rPr>
          <w:szCs w:val="22"/>
        </w:rPr>
        <w:t>odos ir lūpos vėžys (nemelanominis odos vėžys);</w:t>
      </w:r>
    </w:p>
    <w:p w14:paraId="5F71C637" w14:textId="7D3B82C3" w:rsidR="00000594" w:rsidRPr="009F0293" w:rsidRDefault="00612CFC" w:rsidP="002875FA">
      <w:pPr>
        <w:pStyle w:val="Sraopastraipa"/>
        <w:numPr>
          <w:ilvl w:val="0"/>
          <w:numId w:val="39"/>
        </w:numPr>
        <w:ind w:left="426" w:hanging="426"/>
        <w:rPr>
          <w:b/>
          <w:szCs w:val="22"/>
        </w:rPr>
      </w:pPr>
      <w:r>
        <w:rPr>
          <w:rFonts w:eastAsia="SimSun"/>
          <w:iCs/>
          <w:szCs w:val="22"/>
          <w:lang w:eastAsia="zh-CN"/>
        </w:rPr>
        <w:t>s</w:t>
      </w:r>
      <w:r w:rsidRPr="00612CFC">
        <w:rPr>
          <w:rFonts w:eastAsia="SimSun"/>
          <w:iCs/>
          <w:szCs w:val="22"/>
          <w:lang w:eastAsia="zh-CN"/>
        </w:rPr>
        <w:t xml:space="preserve">usilpnėjęs regėjimas ar akių skausmas dėl padidėjusio akispūdžio (galimi skysčio susikaupimo akies kraujagysliniame dangale </w:t>
      </w:r>
      <w:r w:rsidR="00F44F1A">
        <w:rPr>
          <w:rFonts w:eastAsia="SimSun"/>
          <w:iCs/>
          <w:szCs w:val="22"/>
          <w:lang w:eastAsia="zh-CN"/>
        </w:rPr>
        <w:t>[</w:t>
      </w:r>
      <w:r w:rsidR="00487A9C">
        <w:rPr>
          <w:rFonts w:eastAsia="SimSun"/>
          <w:iCs/>
          <w:szCs w:val="22"/>
          <w:lang w:eastAsia="zh-CN"/>
        </w:rPr>
        <w:t>gyslainėje</w:t>
      </w:r>
      <w:r w:rsidR="00B5441A">
        <w:rPr>
          <w:rFonts w:eastAsia="SimSun"/>
          <w:iCs/>
          <w:szCs w:val="22"/>
          <w:lang w:eastAsia="zh-CN"/>
        </w:rPr>
        <w:t>]</w:t>
      </w:r>
      <w:r w:rsidRPr="00612CFC">
        <w:rPr>
          <w:rFonts w:eastAsia="SimSun"/>
          <w:iCs/>
          <w:szCs w:val="22"/>
          <w:lang w:eastAsia="zh-CN"/>
        </w:rPr>
        <w:t>,</w:t>
      </w:r>
      <w:r w:rsidR="009B2D05" w:rsidRPr="009F0293">
        <w:rPr>
          <w:rFonts w:eastAsia="SimSun"/>
          <w:szCs w:val="22"/>
          <w:lang w:eastAsia="zh-CN"/>
        </w:rPr>
        <w:t xml:space="preserve"> ūminės trumparegystės arba ūminės uždaro kampo glaukomos požymiai)</w:t>
      </w:r>
      <w:r w:rsidR="00000594" w:rsidRPr="009F0293">
        <w:rPr>
          <w:rFonts w:eastAsia="SimSun"/>
          <w:szCs w:val="22"/>
          <w:lang w:eastAsia="zh-CN"/>
        </w:rPr>
        <w:t>;</w:t>
      </w:r>
    </w:p>
    <w:p w14:paraId="044D9832" w14:textId="7386D18F" w:rsidR="009B2D05" w:rsidRPr="009F0293" w:rsidRDefault="00000594" w:rsidP="00B337F3">
      <w:pPr>
        <w:pStyle w:val="Sraopastraipa"/>
        <w:numPr>
          <w:ilvl w:val="0"/>
          <w:numId w:val="39"/>
        </w:numPr>
        <w:ind w:left="426" w:hanging="426"/>
        <w:rPr>
          <w:b/>
          <w:szCs w:val="22"/>
        </w:rPr>
      </w:pPr>
      <w:r w:rsidRPr="009F0293">
        <w:rPr>
          <w:rFonts w:eastAsia="SimSun"/>
          <w:szCs w:val="22"/>
          <w:lang w:eastAsia="zh-CN"/>
        </w:rPr>
        <w:lastRenderedPageBreak/>
        <w:t xml:space="preserve">sisteminė </w:t>
      </w:r>
      <w:r w:rsidR="00A008F2">
        <w:rPr>
          <w:rFonts w:eastAsia="SimSun"/>
          <w:szCs w:val="22"/>
          <w:lang w:eastAsia="zh-CN"/>
        </w:rPr>
        <w:t>ir</w:t>
      </w:r>
      <w:r w:rsidRPr="009F0293">
        <w:rPr>
          <w:rFonts w:eastAsia="SimSun"/>
          <w:szCs w:val="22"/>
          <w:lang w:eastAsia="zh-CN"/>
        </w:rPr>
        <w:t xml:space="preserve"> odos raudonoji vilkligė (alerginė būklė dėl kurios pasireiškia karščiavimas, sąnarių skausmas, odos bėrimas, kuris gali sukelti paraudimą, pūslių susidarymą, </w:t>
      </w:r>
      <w:r w:rsidR="00B337F3" w:rsidRPr="009F0293">
        <w:rPr>
          <w:rFonts w:eastAsia="SimSun"/>
          <w:szCs w:val="22"/>
          <w:lang w:eastAsia="zh-CN"/>
        </w:rPr>
        <w:t xml:space="preserve">odos </w:t>
      </w:r>
      <w:r w:rsidRPr="009F0293">
        <w:rPr>
          <w:rFonts w:eastAsia="SimSun"/>
          <w:szCs w:val="22"/>
          <w:lang w:eastAsia="zh-CN"/>
        </w:rPr>
        <w:t>lupimąsi ir gumbus).</w:t>
      </w:r>
    </w:p>
    <w:p w14:paraId="66A1AA81" w14:textId="77777777" w:rsidR="00190720" w:rsidRPr="009F0293" w:rsidRDefault="00190720" w:rsidP="00514D54">
      <w:pPr>
        <w:rPr>
          <w:szCs w:val="22"/>
        </w:rPr>
      </w:pPr>
    </w:p>
    <w:p w14:paraId="6316F8A5" w14:textId="77777777" w:rsidR="00B657AC" w:rsidRPr="009F0293" w:rsidRDefault="00B657AC" w:rsidP="001C5206">
      <w:pPr>
        <w:keepNext/>
        <w:rPr>
          <w:szCs w:val="22"/>
        </w:rPr>
      </w:pPr>
      <w:r w:rsidRPr="009F0293">
        <w:rPr>
          <w:b/>
          <w:szCs w:val="22"/>
        </w:rPr>
        <w:t>Pranešimas apie šalutinį poveikį</w:t>
      </w:r>
    </w:p>
    <w:p w14:paraId="034DAD5C" w14:textId="73B34A91" w:rsidR="00AE6755" w:rsidRPr="009F0293" w:rsidRDefault="00B657AC" w:rsidP="00804B70">
      <w:pPr>
        <w:rPr>
          <w:szCs w:val="22"/>
        </w:rPr>
      </w:pPr>
      <w:r w:rsidRPr="009F0293">
        <w:rPr>
          <w:szCs w:val="22"/>
        </w:rPr>
        <w:t xml:space="preserve">Jeigu pasireiškė šalutinis poveikis, įskaitant šiame lapelyje nenurodytą, pasakykite gydytojui arba vaistininkui. </w:t>
      </w:r>
      <w:r w:rsidR="00610EED" w:rsidRPr="00610EED">
        <w:rPr>
          <w:color w:val="000000"/>
          <w:szCs w:val="18"/>
        </w:rPr>
        <w:t xml:space="preserve">Pranešimą apie šalutinį poveikį galite užpildyti ir pateikti Valstybinės vaistų kontrolės tarnybos prie Lietuvos Respublikos sveikatos apsaugos ministerijos tinklalapyje </w:t>
      </w:r>
      <w:r w:rsidR="00610EED" w:rsidRPr="00610EED">
        <w:rPr>
          <w:color w:val="0000EE"/>
          <w:szCs w:val="18"/>
          <w:u w:val="single"/>
        </w:rPr>
        <w:t>https://vvkt.lrv.lt/lt/</w:t>
      </w:r>
      <w:r w:rsidR="00610EED" w:rsidRPr="00610EED">
        <w:rPr>
          <w:color w:val="000000"/>
          <w:szCs w:val="18"/>
        </w:rPr>
        <w:t xml:space="preserve"> nurodytais būdais arba paskambinti nemokamu telefonu </w:t>
      </w:r>
      <w:r w:rsidR="009D5EF1">
        <w:rPr>
          <w:color w:val="000000"/>
          <w:szCs w:val="18"/>
        </w:rPr>
        <w:t>+370</w:t>
      </w:r>
      <w:r w:rsidR="00610EED" w:rsidRPr="00610EED">
        <w:rPr>
          <w:color w:val="000000"/>
          <w:szCs w:val="18"/>
        </w:rPr>
        <w:t xml:space="preserve"> 800 73 568.</w:t>
      </w:r>
      <w:r w:rsidR="00961F43">
        <w:t xml:space="preserve"> </w:t>
      </w:r>
      <w:r w:rsidRPr="009F0293">
        <w:rPr>
          <w:szCs w:val="22"/>
        </w:rPr>
        <w:t>Pranešdami apie šalutinį poveikį galite mums padėti gauti daugiau informacijos apie šio vaisto saugumą.</w:t>
      </w:r>
      <w:r w:rsidR="00AE6755" w:rsidRPr="009F0293">
        <w:rPr>
          <w:szCs w:val="22"/>
        </w:rPr>
        <w:t xml:space="preserve"> </w:t>
      </w:r>
    </w:p>
    <w:p w14:paraId="5600469C" w14:textId="77777777" w:rsidR="00AE6755" w:rsidRPr="009F0293" w:rsidRDefault="00AE6755" w:rsidP="001F2847">
      <w:pPr>
        <w:rPr>
          <w:szCs w:val="22"/>
        </w:rPr>
      </w:pPr>
    </w:p>
    <w:p w14:paraId="63A1C49C" w14:textId="77777777" w:rsidR="00AE6755" w:rsidRPr="009F0293" w:rsidRDefault="00AE6755" w:rsidP="001F2847">
      <w:pPr>
        <w:rPr>
          <w:szCs w:val="22"/>
        </w:rPr>
      </w:pPr>
    </w:p>
    <w:p w14:paraId="500081C4" w14:textId="77777777" w:rsidR="00AE6755" w:rsidRPr="009F0293" w:rsidRDefault="00AE6755" w:rsidP="001F2847">
      <w:pPr>
        <w:tabs>
          <w:tab w:val="left" w:pos="567"/>
        </w:tabs>
        <w:rPr>
          <w:b/>
          <w:szCs w:val="22"/>
        </w:rPr>
      </w:pPr>
      <w:r w:rsidRPr="009F0293">
        <w:rPr>
          <w:b/>
          <w:szCs w:val="22"/>
        </w:rPr>
        <w:t>5.</w:t>
      </w:r>
      <w:r w:rsidRPr="009F0293">
        <w:rPr>
          <w:b/>
          <w:szCs w:val="22"/>
        </w:rPr>
        <w:tab/>
      </w:r>
      <w:r w:rsidR="00B657AC" w:rsidRPr="009F0293">
        <w:rPr>
          <w:b/>
          <w:szCs w:val="22"/>
        </w:rPr>
        <w:t>Kaip laikyti Carzan HCT</w:t>
      </w:r>
      <w:r w:rsidRPr="009F0293">
        <w:rPr>
          <w:b/>
          <w:szCs w:val="22"/>
        </w:rPr>
        <w:t xml:space="preserve"> </w:t>
      </w:r>
    </w:p>
    <w:p w14:paraId="3E7F2806" w14:textId="77777777" w:rsidR="00AE6755" w:rsidRPr="009F0293" w:rsidRDefault="00AE6755" w:rsidP="001F2847">
      <w:pPr>
        <w:rPr>
          <w:szCs w:val="22"/>
        </w:rPr>
      </w:pPr>
    </w:p>
    <w:p w14:paraId="461B4045" w14:textId="77777777" w:rsidR="00AE6755" w:rsidRPr="009F0293" w:rsidRDefault="00B657AC" w:rsidP="00DA610E">
      <w:pPr>
        <w:pStyle w:val="BTEMEASMCA"/>
        <w:numPr>
          <w:ilvl w:val="0"/>
          <w:numId w:val="0"/>
        </w:numPr>
        <w:rPr>
          <w:rFonts w:ascii="Times New Roman" w:hAnsi="Times New Roman"/>
          <w:sz w:val="22"/>
          <w:szCs w:val="22"/>
        </w:rPr>
      </w:pPr>
      <w:r w:rsidRPr="009F0293">
        <w:rPr>
          <w:rFonts w:ascii="Times New Roman" w:hAnsi="Times New Roman"/>
          <w:sz w:val="22"/>
          <w:szCs w:val="22"/>
        </w:rPr>
        <w:t xml:space="preserve">Šį vaistą laikykite vaikams nepastebimoje ir nepasiekiamoje vietoje. </w:t>
      </w:r>
    </w:p>
    <w:p w14:paraId="4D9DA33D" w14:textId="70053A22" w:rsidR="00AE6755" w:rsidRPr="009F0293" w:rsidRDefault="00AE6755" w:rsidP="00DA610E">
      <w:pPr>
        <w:pStyle w:val="BTEMEASMCA"/>
        <w:numPr>
          <w:ilvl w:val="0"/>
          <w:numId w:val="0"/>
        </w:numPr>
        <w:rPr>
          <w:rFonts w:ascii="Times New Roman" w:hAnsi="Times New Roman"/>
          <w:sz w:val="22"/>
          <w:szCs w:val="22"/>
        </w:rPr>
      </w:pPr>
      <w:r w:rsidRPr="009F0293">
        <w:rPr>
          <w:rFonts w:ascii="Times New Roman" w:hAnsi="Times New Roman"/>
          <w:sz w:val="22"/>
          <w:szCs w:val="22"/>
        </w:rPr>
        <w:t xml:space="preserve">Ant kartono dėžutės ir lizdinės plokštelės </w:t>
      </w:r>
      <w:r w:rsidR="00B657AC" w:rsidRPr="009F0293">
        <w:rPr>
          <w:rFonts w:ascii="Times New Roman" w:eastAsia="SimSun" w:hAnsi="Times New Roman"/>
          <w:sz w:val="22"/>
          <w:szCs w:val="22"/>
          <w:lang w:eastAsia="zh-CN"/>
        </w:rPr>
        <w:t xml:space="preserve">po </w:t>
      </w:r>
      <w:r w:rsidR="00B657AC" w:rsidRPr="009F0293">
        <w:rPr>
          <w:rFonts w:ascii="Times New Roman" w:hAnsi="Times New Roman"/>
          <w:sz w:val="22"/>
          <w:szCs w:val="22"/>
        </w:rPr>
        <w:t xml:space="preserve">„EXP“ </w:t>
      </w:r>
      <w:r w:rsidRPr="009F0293">
        <w:rPr>
          <w:rFonts w:ascii="Times New Roman" w:hAnsi="Times New Roman"/>
          <w:sz w:val="22"/>
          <w:szCs w:val="22"/>
        </w:rPr>
        <w:t xml:space="preserve">nurodytam tinkamumo laikui pasibaigus, </w:t>
      </w:r>
      <w:r w:rsidR="00B657AC" w:rsidRPr="009F0293">
        <w:rPr>
          <w:rFonts w:ascii="Times New Roman" w:hAnsi="Times New Roman"/>
          <w:sz w:val="22"/>
          <w:szCs w:val="22"/>
        </w:rPr>
        <w:t>šio vaisto</w:t>
      </w:r>
      <w:r w:rsidRPr="009F0293">
        <w:rPr>
          <w:rFonts w:ascii="Times New Roman" w:hAnsi="Times New Roman"/>
          <w:sz w:val="22"/>
          <w:szCs w:val="22"/>
        </w:rPr>
        <w:t xml:space="preserve"> vartoti negalima. Vaistas tinka</w:t>
      </w:r>
      <w:r w:rsidR="00B657AC" w:rsidRPr="009F0293">
        <w:rPr>
          <w:rFonts w:ascii="Times New Roman" w:hAnsi="Times New Roman"/>
          <w:sz w:val="22"/>
          <w:szCs w:val="22"/>
        </w:rPr>
        <w:t>mas</w:t>
      </w:r>
      <w:r w:rsidRPr="009F0293">
        <w:rPr>
          <w:rFonts w:ascii="Times New Roman" w:hAnsi="Times New Roman"/>
          <w:sz w:val="22"/>
          <w:szCs w:val="22"/>
        </w:rPr>
        <w:t xml:space="preserve"> vartoti iki paskutinės nurodyto mėnesio dienos.</w:t>
      </w:r>
    </w:p>
    <w:p w14:paraId="06F2AAC4" w14:textId="77777777" w:rsidR="00A008F2" w:rsidRPr="009F0293" w:rsidRDefault="00A008F2" w:rsidP="00A008F2">
      <w:pPr>
        <w:pStyle w:val="BTEMEASMCA"/>
        <w:numPr>
          <w:ilvl w:val="0"/>
          <w:numId w:val="0"/>
        </w:numPr>
        <w:rPr>
          <w:rFonts w:ascii="Times New Roman" w:hAnsi="Times New Roman"/>
          <w:sz w:val="22"/>
          <w:szCs w:val="22"/>
        </w:rPr>
      </w:pPr>
      <w:r w:rsidRPr="009F0293">
        <w:rPr>
          <w:rFonts w:ascii="Times New Roman" w:hAnsi="Times New Roman"/>
          <w:sz w:val="22"/>
          <w:szCs w:val="22"/>
        </w:rPr>
        <w:t>Šiam vaistui specialių laikymo sąlygų nereikia.</w:t>
      </w:r>
    </w:p>
    <w:p w14:paraId="338C2ABC" w14:textId="77777777" w:rsidR="00AE6755" w:rsidRPr="009F0293" w:rsidRDefault="00AE6755" w:rsidP="00DA610E">
      <w:pPr>
        <w:pStyle w:val="BTEMEASMCA"/>
        <w:numPr>
          <w:ilvl w:val="0"/>
          <w:numId w:val="0"/>
        </w:numPr>
        <w:rPr>
          <w:rFonts w:ascii="Times New Roman" w:hAnsi="Times New Roman"/>
          <w:sz w:val="22"/>
          <w:szCs w:val="22"/>
        </w:rPr>
      </w:pPr>
      <w:r w:rsidRPr="009F0293">
        <w:rPr>
          <w:rFonts w:ascii="Times New Roman" w:hAnsi="Times New Roman"/>
          <w:sz w:val="22"/>
          <w:szCs w:val="22"/>
        </w:rPr>
        <w:t xml:space="preserve">Vaistų negalima </w:t>
      </w:r>
      <w:r w:rsidR="00B657AC" w:rsidRPr="009F0293">
        <w:rPr>
          <w:rFonts w:ascii="Times New Roman" w:hAnsi="Times New Roman"/>
          <w:sz w:val="22"/>
          <w:szCs w:val="22"/>
        </w:rPr>
        <w:t>išmesti</w:t>
      </w:r>
      <w:r w:rsidRPr="009F0293">
        <w:rPr>
          <w:rFonts w:ascii="Times New Roman" w:hAnsi="Times New Roman"/>
          <w:sz w:val="22"/>
          <w:szCs w:val="22"/>
        </w:rPr>
        <w:t xml:space="preserve"> į kanalizaciją arba su buitinėmis atliekomis. Kaip </w:t>
      </w:r>
      <w:r w:rsidR="00B657AC" w:rsidRPr="009F0293">
        <w:rPr>
          <w:rFonts w:ascii="Times New Roman" w:hAnsi="Times New Roman"/>
          <w:sz w:val="22"/>
          <w:szCs w:val="22"/>
        </w:rPr>
        <w:t>išmesti</w:t>
      </w:r>
      <w:r w:rsidRPr="009F0293">
        <w:rPr>
          <w:rFonts w:ascii="Times New Roman" w:hAnsi="Times New Roman"/>
          <w:sz w:val="22"/>
          <w:szCs w:val="22"/>
        </w:rPr>
        <w:t xml:space="preserve"> nereikalingus vaistus, klauskite vaistininko. Šios priemonės padės apsaugoti aplinką. </w:t>
      </w:r>
    </w:p>
    <w:p w14:paraId="23504464" w14:textId="77777777" w:rsidR="00AE6755" w:rsidRPr="009F0293" w:rsidRDefault="00AE6755" w:rsidP="001F2847">
      <w:pPr>
        <w:ind w:left="567" w:hanging="567"/>
        <w:rPr>
          <w:szCs w:val="22"/>
        </w:rPr>
      </w:pPr>
    </w:p>
    <w:p w14:paraId="595C7EDA" w14:textId="77777777" w:rsidR="00AE6755" w:rsidRPr="009F0293" w:rsidRDefault="00AE6755" w:rsidP="001F2847">
      <w:pPr>
        <w:ind w:left="567" w:hanging="567"/>
        <w:rPr>
          <w:szCs w:val="22"/>
        </w:rPr>
      </w:pPr>
    </w:p>
    <w:p w14:paraId="4C7B58D2" w14:textId="77777777" w:rsidR="00AE6755" w:rsidRPr="009F0293" w:rsidRDefault="00AE6755" w:rsidP="001F2847">
      <w:pPr>
        <w:tabs>
          <w:tab w:val="left" w:pos="567"/>
        </w:tabs>
        <w:rPr>
          <w:b/>
          <w:szCs w:val="22"/>
        </w:rPr>
      </w:pPr>
      <w:r w:rsidRPr="009F0293">
        <w:rPr>
          <w:b/>
          <w:szCs w:val="22"/>
        </w:rPr>
        <w:t>6.</w:t>
      </w:r>
      <w:r w:rsidRPr="009F0293">
        <w:rPr>
          <w:b/>
          <w:szCs w:val="22"/>
        </w:rPr>
        <w:tab/>
      </w:r>
      <w:r w:rsidR="00B657AC" w:rsidRPr="009F0293">
        <w:rPr>
          <w:b/>
          <w:szCs w:val="22"/>
        </w:rPr>
        <w:t>Pakuotės turinys ir kita informacija</w:t>
      </w:r>
    </w:p>
    <w:p w14:paraId="330B5226" w14:textId="77777777" w:rsidR="00AE6755" w:rsidRPr="009F0293" w:rsidRDefault="00AE6755" w:rsidP="001F2847">
      <w:pPr>
        <w:rPr>
          <w:szCs w:val="22"/>
        </w:rPr>
      </w:pPr>
    </w:p>
    <w:p w14:paraId="545B37D2" w14:textId="77777777" w:rsidR="00AE6755" w:rsidRPr="009F0293" w:rsidRDefault="00247FEA" w:rsidP="001F2847">
      <w:pPr>
        <w:rPr>
          <w:b/>
          <w:bCs/>
          <w:szCs w:val="22"/>
        </w:rPr>
      </w:pPr>
      <w:r w:rsidRPr="009F0293">
        <w:rPr>
          <w:b/>
          <w:bCs/>
          <w:szCs w:val="22"/>
        </w:rPr>
        <w:t>Carzan HCT</w:t>
      </w:r>
      <w:r w:rsidR="00AE6755" w:rsidRPr="009F0293">
        <w:rPr>
          <w:b/>
          <w:bCs/>
          <w:szCs w:val="22"/>
        </w:rPr>
        <w:t xml:space="preserve"> sudėtis</w:t>
      </w:r>
      <w:r w:rsidR="00B657AC" w:rsidRPr="009F0293">
        <w:rPr>
          <w:b/>
          <w:bCs/>
          <w:szCs w:val="22"/>
        </w:rPr>
        <w:t xml:space="preserve"> </w:t>
      </w:r>
    </w:p>
    <w:p w14:paraId="4A796016" w14:textId="160E7BFB" w:rsidR="00AE6755" w:rsidRPr="009F0293" w:rsidRDefault="00AE6755" w:rsidP="00967B24">
      <w:pPr>
        <w:numPr>
          <w:ilvl w:val="0"/>
          <w:numId w:val="27"/>
        </w:numPr>
        <w:rPr>
          <w:szCs w:val="22"/>
        </w:rPr>
      </w:pPr>
      <w:r w:rsidRPr="009F0293">
        <w:rPr>
          <w:szCs w:val="22"/>
        </w:rPr>
        <w:t>Veiklio</w:t>
      </w:r>
      <w:r w:rsidR="00B657AC" w:rsidRPr="009F0293">
        <w:rPr>
          <w:szCs w:val="22"/>
        </w:rPr>
        <w:t>sios</w:t>
      </w:r>
      <w:r w:rsidRPr="009F0293">
        <w:rPr>
          <w:szCs w:val="22"/>
        </w:rPr>
        <w:t xml:space="preserve"> medžiag</w:t>
      </w:r>
      <w:r w:rsidR="00B657AC" w:rsidRPr="009F0293">
        <w:rPr>
          <w:szCs w:val="22"/>
        </w:rPr>
        <w:t>os</w:t>
      </w:r>
      <w:r w:rsidRPr="009F0293">
        <w:rPr>
          <w:szCs w:val="22"/>
        </w:rPr>
        <w:t xml:space="preserve"> yra kandesartan</w:t>
      </w:r>
      <w:r w:rsidR="00870D36" w:rsidRPr="009F0293">
        <w:rPr>
          <w:szCs w:val="22"/>
        </w:rPr>
        <w:t>o</w:t>
      </w:r>
      <w:r w:rsidRPr="009F0293">
        <w:rPr>
          <w:szCs w:val="22"/>
        </w:rPr>
        <w:t xml:space="preserve"> cileksetilas ir hidrochlorotiazidas. Kiekvienoje tabletėje yra 16</w:t>
      </w:r>
      <w:r w:rsidR="00C86F82" w:rsidRPr="009F0293">
        <w:rPr>
          <w:szCs w:val="22"/>
        </w:rPr>
        <w:t> mg</w:t>
      </w:r>
      <w:r w:rsidRPr="009F0293">
        <w:rPr>
          <w:szCs w:val="22"/>
        </w:rPr>
        <w:t xml:space="preserve"> kandesartano cileksetilo ir 12,5</w:t>
      </w:r>
      <w:r w:rsidR="00C86F82" w:rsidRPr="009F0293">
        <w:rPr>
          <w:szCs w:val="22"/>
        </w:rPr>
        <w:t> mg</w:t>
      </w:r>
      <w:r w:rsidRPr="009F0293">
        <w:rPr>
          <w:szCs w:val="22"/>
        </w:rPr>
        <w:t xml:space="preserve"> hidrochlorotiazido.</w:t>
      </w:r>
    </w:p>
    <w:p w14:paraId="2D67FBF1" w14:textId="1EDB2829" w:rsidR="00AE6755" w:rsidRPr="009F0293" w:rsidRDefault="00AE6755" w:rsidP="005C57B6">
      <w:pPr>
        <w:numPr>
          <w:ilvl w:val="0"/>
          <w:numId w:val="27"/>
        </w:numPr>
        <w:rPr>
          <w:szCs w:val="22"/>
        </w:rPr>
      </w:pPr>
      <w:r w:rsidRPr="009F0293">
        <w:rPr>
          <w:bCs/>
          <w:szCs w:val="22"/>
        </w:rPr>
        <w:t xml:space="preserve">Pagalbinės medžiagos yra </w:t>
      </w:r>
      <w:r w:rsidRPr="009F0293">
        <w:rPr>
          <w:szCs w:val="22"/>
        </w:rPr>
        <w:t>laktozė</w:t>
      </w:r>
      <w:r w:rsidR="007A28CD">
        <w:rPr>
          <w:szCs w:val="22"/>
        </w:rPr>
        <w:t>s</w:t>
      </w:r>
      <w:r w:rsidRPr="009F0293">
        <w:rPr>
          <w:szCs w:val="22"/>
        </w:rPr>
        <w:t xml:space="preserve"> monohidratas, kukurūzų krakmolas, hidroksipropilceliuliozė (E 463), kroskarmeliozės natrio druska (E 468), magnio stearatas (E 572) ir trietilo citratas (E 1505).</w:t>
      </w:r>
    </w:p>
    <w:p w14:paraId="09391F20" w14:textId="77777777" w:rsidR="00AE6755" w:rsidRPr="009F0293" w:rsidRDefault="00AE6755" w:rsidP="001F2847">
      <w:pPr>
        <w:rPr>
          <w:szCs w:val="22"/>
        </w:rPr>
      </w:pPr>
    </w:p>
    <w:p w14:paraId="6F6BC88B" w14:textId="77777777" w:rsidR="00AE6755" w:rsidRPr="009F0293" w:rsidRDefault="00247FEA" w:rsidP="001F2847">
      <w:pPr>
        <w:rPr>
          <w:b/>
          <w:szCs w:val="22"/>
        </w:rPr>
      </w:pPr>
      <w:r w:rsidRPr="009F0293">
        <w:rPr>
          <w:b/>
          <w:szCs w:val="22"/>
        </w:rPr>
        <w:t>Carzan HCT</w:t>
      </w:r>
      <w:r w:rsidR="00AE6755" w:rsidRPr="009F0293">
        <w:rPr>
          <w:b/>
          <w:szCs w:val="22"/>
        </w:rPr>
        <w:t xml:space="preserve"> išvaizda ir kiekis pakuotėje</w:t>
      </w:r>
    </w:p>
    <w:p w14:paraId="14F96600" w14:textId="1B179A4A" w:rsidR="00AE6755" w:rsidRPr="009F0293" w:rsidRDefault="00247FEA" w:rsidP="00967B24">
      <w:pPr>
        <w:rPr>
          <w:szCs w:val="22"/>
        </w:rPr>
      </w:pPr>
      <w:r w:rsidRPr="009F0293">
        <w:rPr>
          <w:szCs w:val="22"/>
        </w:rPr>
        <w:t>Carzan HCT</w:t>
      </w:r>
      <w:r w:rsidR="00AE6755" w:rsidRPr="009F0293">
        <w:rPr>
          <w:szCs w:val="22"/>
        </w:rPr>
        <w:t xml:space="preserve"> 16</w:t>
      </w:r>
      <w:r w:rsidR="00C86F82" w:rsidRPr="009F0293">
        <w:rPr>
          <w:szCs w:val="22"/>
        </w:rPr>
        <w:t> mg</w:t>
      </w:r>
      <w:r w:rsidR="00AE6755" w:rsidRPr="009F0293">
        <w:rPr>
          <w:szCs w:val="22"/>
        </w:rPr>
        <w:t xml:space="preserve"> /12,5</w:t>
      </w:r>
      <w:r w:rsidR="00C86F82" w:rsidRPr="009F0293">
        <w:rPr>
          <w:szCs w:val="22"/>
        </w:rPr>
        <w:t> mg</w:t>
      </w:r>
      <w:r w:rsidR="00AE6755" w:rsidRPr="009F0293">
        <w:rPr>
          <w:szCs w:val="22"/>
        </w:rPr>
        <w:t xml:space="preserve"> tabletės yra apvalios, abipus išgaubtos, baltos arba beveik baltos su laužimo vagele ir žyma CH/16 vienoje pusėje</w:t>
      </w:r>
      <w:r w:rsidR="0031484C" w:rsidRPr="009F0293">
        <w:rPr>
          <w:szCs w:val="22"/>
        </w:rPr>
        <w:t>, maždaug 8 mm skersmens</w:t>
      </w:r>
      <w:r w:rsidR="00AE6755" w:rsidRPr="009F0293">
        <w:rPr>
          <w:szCs w:val="22"/>
        </w:rPr>
        <w:t xml:space="preserve">. </w:t>
      </w:r>
    </w:p>
    <w:p w14:paraId="3ECAB7E3" w14:textId="77777777" w:rsidR="00AE6755" w:rsidRPr="009F0293" w:rsidRDefault="00AE6755" w:rsidP="00F93C22">
      <w:pPr>
        <w:rPr>
          <w:szCs w:val="22"/>
        </w:rPr>
      </w:pPr>
    </w:p>
    <w:p w14:paraId="01FD478D" w14:textId="77777777" w:rsidR="00AE6755" w:rsidRPr="009F0293" w:rsidRDefault="00AE6755" w:rsidP="00F93C22">
      <w:pPr>
        <w:rPr>
          <w:szCs w:val="22"/>
        </w:rPr>
      </w:pPr>
      <w:r w:rsidRPr="009F0293">
        <w:rPr>
          <w:szCs w:val="22"/>
        </w:rPr>
        <w:t>Pakuotės dydžiai: 7, 14, 28, 30, 56, 70, 90, 98 tabletės.</w:t>
      </w:r>
    </w:p>
    <w:p w14:paraId="6CAE95A8" w14:textId="77777777" w:rsidR="00AE6755" w:rsidRPr="009F0293" w:rsidRDefault="00AE6755" w:rsidP="00F93C22">
      <w:pPr>
        <w:rPr>
          <w:szCs w:val="22"/>
        </w:rPr>
      </w:pPr>
    </w:p>
    <w:p w14:paraId="00B03909" w14:textId="77777777" w:rsidR="00AE6755" w:rsidRPr="009F0293" w:rsidRDefault="00AE6755" w:rsidP="00F93C22">
      <w:pPr>
        <w:rPr>
          <w:szCs w:val="22"/>
        </w:rPr>
      </w:pPr>
      <w:r w:rsidRPr="009F0293">
        <w:rPr>
          <w:szCs w:val="22"/>
        </w:rPr>
        <w:t>Gali būti tiekiamos ne visų dydžių pakuotės.</w:t>
      </w:r>
    </w:p>
    <w:p w14:paraId="0388C126" w14:textId="77777777" w:rsidR="00AE6755" w:rsidRPr="009F0293" w:rsidRDefault="00AE6755" w:rsidP="001F2847">
      <w:pPr>
        <w:rPr>
          <w:szCs w:val="22"/>
        </w:rPr>
      </w:pPr>
    </w:p>
    <w:p w14:paraId="30668F18" w14:textId="6FD872C4" w:rsidR="00AE6755" w:rsidRPr="009F0293" w:rsidRDefault="00924C8F" w:rsidP="008F26EA">
      <w:pPr>
        <w:numPr>
          <w:ilvl w:val="12"/>
          <w:numId w:val="0"/>
        </w:numPr>
        <w:ind w:right="-2"/>
        <w:rPr>
          <w:b/>
          <w:szCs w:val="22"/>
        </w:rPr>
      </w:pPr>
      <w:r w:rsidRPr="009F0293">
        <w:rPr>
          <w:b/>
          <w:szCs w:val="22"/>
        </w:rPr>
        <w:t>Registruotojas</w:t>
      </w:r>
      <w:r w:rsidR="00AE6755" w:rsidRPr="009F0293">
        <w:rPr>
          <w:b/>
          <w:szCs w:val="22"/>
        </w:rPr>
        <w:t xml:space="preserve"> ir gamintojas</w:t>
      </w:r>
    </w:p>
    <w:p w14:paraId="66E72BA6" w14:textId="75190B4C" w:rsidR="00AE6755" w:rsidRPr="009F0293" w:rsidRDefault="009D0F8D" w:rsidP="008F26EA">
      <w:pPr>
        <w:tabs>
          <w:tab w:val="left" w:pos="567"/>
        </w:tabs>
        <w:ind w:left="567" w:hanging="567"/>
        <w:rPr>
          <w:szCs w:val="22"/>
        </w:rPr>
      </w:pPr>
      <w:r w:rsidRPr="009F0293">
        <w:rPr>
          <w:szCs w:val="22"/>
        </w:rPr>
        <w:t>Zentiva</w:t>
      </w:r>
      <w:r w:rsidR="00AE6755" w:rsidRPr="009F0293">
        <w:rPr>
          <w:szCs w:val="22"/>
        </w:rPr>
        <w:t>, k.s.</w:t>
      </w:r>
    </w:p>
    <w:p w14:paraId="4D827D1C" w14:textId="77777777" w:rsidR="00AE6755" w:rsidRPr="009F0293" w:rsidRDefault="00AE6755" w:rsidP="008F26EA">
      <w:pPr>
        <w:tabs>
          <w:tab w:val="left" w:pos="567"/>
        </w:tabs>
        <w:ind w:left="567" w:hanging="567"/>
        <w:rPr>
          <w:szCs w:val="22"/>
        </w:rPr>
      </w:pPr>
      <w:r w:rsidRPr="009F0293">
        <w:rPr>
          <w:szCs w:val="22"/>
        </w:rPr>
        <w:t>U kabelovny 130</w:t>
      </w:r>
    </w:p>
    <w:p w14:paraId="2206740A" w14:textId="77777777" w:rsidR="00AE6755" w:rsidRPr="009F0293" w:rsidRDefault="00AE6755" w:rsidP="008F26EA">
      <w:pPr>
        <w:tabs>
          <w:tab w:val="left" w:pos="567"/>
        </w:tabs>
        <w:ind w:left="567" w:hanging="567"/>
        <w:rPr>
          <w:szCs w:val="22"/>
        </w:rPr>
      </w:pPr>
      <w:r w:rsidRPr="009F0293">
        <w:rPr>
          <w:szCs w:val="22"/>
        </w:rPr>
        <w:t>Dolní Měcholupy</w:t>
      </w:r>
    </w:p>
    <w:p w14:paraId="6C9E6771" w14:textId="2A4DE68A" w:rsidR="00AE6755" w:rsidRPr="009F0293" w:rsidRDefault="00AE6755" w:rsidP="008F26EA">
      <w:pPr>
        <w:tabs>
          <w:tab w:val="left" w:pos="567"/>
        </w:tabs>
        <w:ind w:left="567" w:hanging="567"/>
        <w:rPr>
          <w:szCs w:val="22"/>
        </w:rPr>
      </w:pPr>
      <w:r w:rsidRPr="009F0293">
        <w:rPr>
          <w:szCs w:val="22"/>
        </w:rPr>
        <w:t>102 37 Praha 10</w:t>
      </w:r>
    </w:p>
    <w:p w14:paraId="13F342A7" w14:textId="77777777" w:rsidR="00AE6755" w:rsidRPr="009F0293" w:rsidRDefault="00AE6755" w:rsidP="008F26EA">
      <w:pPr>
        <w:autoSpaceDE w:val="0"/>
        <w:autoSpaceDN w:val="0"/>
        <w:adjustRightInd w:val="0"/>
        <w:rPr>
          <w:bCs/>
          <w:color w:val="000000"/>
          <w:szCs w:val="22"/>
          <w:lang w:eastAsia="de-CH"/>
        </w:rPr>
      </w:pPr>
      <w:r w:rsidRPr="009F0293">
        <w:rPr>
          <w:szCs w:val="22"/>
        </w:rPr>
        <w:t>Čekija</w:t>
      </w:r>
    </w:p>
    <w:p w14:paraId="7650CA05" w14:textId="77777777" w:rsidR="00C46A53" w:rsidRPr="009F0293" w:rsidRDefault="00C46A53" w:rsidP="00D825C5">
      <w:pPr>
        <w:rPr>
          <w:szCs w:val="22"/>
        </w:rPr>
      </w:pPr>
    </w:p>
    <w:p w14:paraId="71A7D768" w14:textId="099201F8" w:rsidR="00924C8F" w:rsidRPr="009F0293" w:rsidRDefault="00924C8F" w:rsidP="004C78F6">
      <w:pPr>
        <w:keepNext/>
        <w:keepLines/>
        <w:rPr>
          <w:snapToGrid w:val="0"/>
          <w:szCs w:val="22"/>
        </w:rPr>
      </w:pPr>
      <w:r w:rsidRPr="009F0293">
        <w:rPr>
          <w:b/>
          <w:snapToGrid w:val="0"/>
          <w:szCs w:val="22"/>
        </w:rPr>
        <w:t>Šis vaistas E</w:t>
      </w:r>
      <w:r w:rsidR="00961F43">
        <w:rPr>
          <w:b/>
          <w:snapToGrid w:val="0"/>
          <w:szCs w:val="22"/>
        </w:rPr>
        <w:t>uropos ekonominės erdvės</w:t>
      </w:r>
      <w:r w:rsidRPr="009F0293">
        <w:rPr>
          <w:b/>
          <w:snapToGrid w:val="0"/>
          <w:szCs w:val="22"/>
        </w:rPr>
        <w:t xml:space="preserve"> valstybėse narėse registruotas tokiais pavadinimais</w:t>
      </w:r>
      <w:r w:rsidRPr="009F0293">
        <w:rPr>
          <w:snapToGrid w:val="0"/>
          <w:szCs w:val="22"/>
        </w:rPr>
        <w:t>:</w:t>
      </w:r>
    </w:p>
    <w:p w14:paraId="7969C742" w14:textId="416245A9" w:rsidR="00961F43" w:rsidRDefault="00961F43" w:rsidP="004C78F6">
      <w:pPr>
        <w:keepNext/>
        <w:keepLines/>
        <w:rPr>
          <w:bCs/>
          <w:szCs w:val="22"/>
        </w:rPr>
      </w:pPr>
      <w:r w:rsidRPr="009F0293">
        <w:rPr>
          <w:bCs/>
          <w:szCs w:val="22"/>
        </w:rPr>
        <w:t>Bulgarij</w:t>
      </w:r>
      <w:r>
        <w:rPr>
          <w:bCs/>
          <w:szCs w:val="22"/>
        </w:rPr>
        <w:t>a:</w:t>
      </w:r>
      <w:r w:rsidRPr="009F0293">
        <w:rPr>
          <w:bCs/>
          <w:szCs w:val="22"/>
        </w:rPr>
        <w:t xml:space="preserve"> </w:t>
      </w:r>
      <w:r w:rsidR="00B657AC" w:rsidRPr="009F0293">
        <w:rPr>
          <w:bCs/>
          <w:szCs w:val="22"/>
        </w:rPr>
        <w:t>КАРЗАП H</w:t>
      </w:r>
    </w:p>
    <w:p w14:paraId="394414F0" w14:textId="32F35E16" w:rsidR="00961F43" w:rsidRDefault="00B657AC" w:rsidP="004C78F6">
      <w:pPr>
        <w:keepNext/>
        <w:keepLines/>
        <w:rPr>
          <w:bCs/>
          <w:szCs w:val="22"/>
        </w:rPr>
      </w:pPr>
      <w:r w:rsidRPr="009F0293">
        <w:rPr>
          <w:bCs/>
          <w:szCs w:val="22"/>
        </w:rPr>
        <w:t>Čekij</w:t>
      </w:r>
      <w:r w:rsidR="00961F43">
        <w:rPr>
          <w:bCs/>
          <w:szCs w:val="22"/>
        </w:rPr>
        <w:t>a</w:t>
      </w:r>
      <w:r w:rsidRPr="009F0293">
        <w:rPr>
          <w:bCs/>
          <w:szCs w:val="22"/>
        </w:rPr>
        <w:t>, Slovakij</w:t>
      </w:r>
      <w:r w:rsidR="00961F43">
        <w:rPr>
          <w:bCs/>
          <w:szCs w:val="22"/>
        </w:rPr>
        <w:t>a</w:t>
      </w:r>
      <w:r w:rsidRPr="009F0293">
        <w:rPr>
          <w:bCs/>
          <w:szCs w:val="22"/>
        </w:rPr>
        <w:t>, Lenkij</w:t>
      </w:r>
      <w:r w:rsidR="00961F43">
        <w:rPr>
          <w:bCs/>
          <w:szCs w:val="22"/>
        </w:rPr>
        <w:t>a:</w:t>
      </w:r>
      <w:r w:rsidR="00961F43" w:rsidRPr="00961F43">
        <w:rPr>
          <w:bCs/>
          <w:szCs w:val="22"/>
        </w:rPr>
        <w:t xml:space="preserve"> </w:t>
      </w:r>
      <w:r w:rsidR="00961F43" w:rsidRPr="009F0293">
        <w:rPr>
          <w:bCs/>
          <w:szCs w:val="22"/>
        </w:rPr>
        <w:t>CARZAP HCT</w:t>
      </w:r>
    </w:p>
    <w:p w14:paraId="49066F84" w14:textId="12659622" w:rsidR="00961F43" w:rsidRDefault="00C46A53" w:rsidP="004C78F6">
      <w:pPr>
        <w:keepNext/>
        <w:keepLines/>
        <w:rPr>
          <w:bCs/>
          <w:szCs w:val="22"/>
        </w:rPr>
      </w:pPr>
      <w:r w:rsidRPr="009F0293">
        <w:rPr>
          <w:bCs/>
          <w:szCs w:val="22"/>
        </w:rPr>
        <w:t>Estij</w:t>
      </w:r>
      <w:r w:rsidR="00961F43">
        <w:rPr>
          <w:bCs/>
          <w:szCs w:val="22"/>
        </w:rPr>
        <w:t>a</w:t>
      </w:r>
      <w:r w:rsidRPr="009F0293">
        <w:rPr>
          <w:bCs/>
          <w:szCs w:val="22"/>
        </w:rPr>
        <w:t>, Latvij</w:t>
      </w:r>
      <w:r w:rsidR="00961F43">
        <w:rPr>
          <w:bCs/>
          <w:szCs w:val="22"/>
        </w:rPr>
        <w:t>a</w:t>
      </w:r>
      <w:r w:rsidRPr="009F0293">
        <w:rPr>
          <w:bCs/>
          <w:szCs w:val="22"/>
        </w:rPr>
        <w:t>, Lietuv</w:t>
      </w:r>
      <w:r w:rsidR="00961F43">
        <w:rPr>
          <w:bCs/>
          <w:szCs w:val="22"/>
        </w:rPr>
        <w:t>a:</w:t>
      </w:r>
      <w:r w:rsidR="00961F43" w:rsidRPr="00961F43">
        <w:rPr>
          <w:bCs/>
          <w:szCs w:val="22"/>
        </w:rPr>
        <w:t xml:space="preserve"> </w:t>
      </w:r>
      <w:r w:rsidR="00961F43" w:rsidRPr="009F0293">
        <w:rPr>
          <w:bCs/>
          <w:szCs w:val="22"/>
        </w:rPr>
        <w:t>Carzan HCT</w:t>
      </w:r>
    </w:p>
    <w:p w14:paraId="14A032B4" w14:textId="0DD2B099" w:rsidR="00961F43" w:rsidRDefault="00C46A53" w:rsidP="004C78F6">
      <w:pPr>
        <w:keepNext/>
        <w:keepLines/>
        <w:rPr>
          <w:szCs w:val="22"/>
          <w:lang w:eastAsia="cs-CZ"/>
        </w:rPr>
      </w:pPr>
      <w:r w:rsidRPr="009F0293">
        <w:rPr>
          <w:szCs w:val="22"/>
          <w:lang w:eastAsia="cs-CZ"/>
        </w:rPr>
        <w:t>Portugalij</w:t>
      </w:r>
      <w:r w:rsidR="00961F43">
        <w:rPr>
          <w:szCs w:val="22"/>
          <w:lang w:eastAsia="cs-CZ"/>
        </w:rPr>
        <w:t>a:</w:t>
      </w:r>
      <w:r w:rsidR="00961F43" w:rsidRPr="00961F43">
        <w:rPr>
          <w:szCs w:val="22"/>
          <w:lang w:eastAsia="cs-CZ"/>
        </w:rPr>
        <w:t xml:space="preserve"> </w:t>
      </w:r>
      <w:r w:rsidR="00961F43" w:rsidRPr="009F0293">
        <w:rPr>
          <w:szCs w:val="22"/>
          <w:lang w:eastAsia="cs-CZ"/>
        </w:rPr>
        <w:t xml:space="preserve">Candesartan </w:t>
      </w:r>
      <w:r w:rsidR="00961F43" w:rsidRPr="009F0293">
        <w:rPr>
          <w:szCs w:val="22"/>
        </w:rPr>
        <w:t>+ Hidroclorotiazida</w:t>
      </w:r>
      <w:r w:rsidR="00961F43" w:rsidRPr="009F0293">
        <w:rPr>
          <w:szCs w:val="22"/>
          <w:lang w:eastAsia="cs-CZ"/>
        </w:rPr>
        <w:t xml:space="preserve"> Zentiva</w:t>
      </w:r>
    </w:p>
    <w:p w14:paraId="3F6CA55E" w14:textId="1758D994" w:rsidR="00AE6755" w:rsidRPr="009F0293" w:rsidRDefault="00C46A53" w:rsidP="004C78F6">
      <w:pPr>
        <w:keepNext/>
        <w:keepLines/>
        <w:rPr>
          <w:bCs/>
          <w:szCs w:val="22"/>
        </w:rPr>
      </w:pPr>
      <w:r w:rsidRPr="009F0293">
        <w:rPr>
          <w:szCs w:val="22"/>
          <w:lang w:eastAsia="cs-CZ"/>
        </w:rPr>
        <w:t>Rumunij</w:t>
      </w:r>
      <w:r w:rsidR="00961F43">
        <w:rPr>
          <w:szCs w:val="22"/>
          <w:lang w:eastAsia="cs-CZ"/>
        </w:rPr>
        <w:t>a:</w:t>
      </w:r>
      <w:r w:rsidR="00961F43" w:rsidRPr="00961F43">
        <w:rPr>
          <w:szCs w:val="22"/>
          <w:lang w:eastAsia="cs-CZ"/>
        </w:rPr>
        <w:t xml:space="preserve"> </w:t>
      </w:r>
      <w:r w:rsidR="00961F43" w:rsidRPr="009F0293">
        <w:rPr>
          <w:szCs w:val="22"/>
          <w:lang w:eastAsia="cs-CZ"/>
        </w:rPr>
        <w:t>CANZENO HCT</w:t>
      </w:r>
    </w:p>
    <w:p w14:paraId="4610D9B8" w14:textId="77777777" w:rsidR="00AE6755" w:rsidRPr="009F0293" w:rsidRDefault="00AE6755" w:rsidP="001F2847">
      <w:pPr>
        <w:rPr>
          <w:szCs w:val="22"/>
        </w:rPr>
      </w:pPr>
    </w:p>
    <w:p w14:paraId="7BA57BA4" w14:textId="77777777" w:rsidR="00C42373" w:rsidRPr="009F0293" w:rsidRDefault="00C42373" w:rsidP="001F2847">
      <w:pPr>
        <w:rPr>
          <w:szCs w:val="22"/>
        </w:rPr>
      </w:pPr>
    </w:p>
    <w:p w14:paraId="0F7D4821" w14:textId="40408FD7" w:rsidR="00AE6755" w:rsidRPr="009F0293" w:rsidRDefault="00AE6755" w:rsidP="00E13D23">
      <w:pPr>
        <w:keepNext/>
        <w:keepLines/>
        <w:rPr>
          <w:b/>
          <w:bCs/>
          <w:szCs w:val="22"/>
        </w:rPr>
      </w:pPr>
      <w:r w:rsidRPr="009F0293">
        <w:rPr>
          <w:b/>
          <w:bCs/>
          <w:szCs w:val="22"/>
        </w:rPr>
        <w:lastRenderedPageBreak/>
        <w:t>Šis pakuotės lapel</w:t>
      </w:r>
      <w:r w:rsidR="00A21716" w:rsidRPr="009F0293">
        <w:rPr>
          <w:b/>
          <w:bCs/>
          <w:szCs w:val="22"/>
        </w:rPr>
        <w:t xml:space="preserve">is paskutinį kartą </w:t>
      </w:r>
      <w:r w:rsidR="00C46A53" w:rsidRPr="009F0293">
        <w:rPr>
          <w:b/>
          <w:bCs/>
          <w:szCs w:val="22"/>
        </w:rPr>
        <w:t>peržiūrėtas</w:t>
      </w:r>
      <w:r w:rsidR="001A5AD4">
        <w:rPr>
          <w:b/>
          <w:bCs/>
          <w:szCs w:val="22"/>
        </w:rPr>
        <w:t xml:space="preserve"> </w:t>
      </w:r>
      <w:r w:rsidR="005F2514">
        <w:rPr>
          <w:b/>
          <w:bCs/>
          <w:szCs w:val="22"/>
        </w:rPr>
        <w:t>202</w:t>
      </w:r>
      <w:r w:rsidR="00610EED" w:rsidRPr="00615887">
        <w:rPr>
          <w:b/>
          <w:bCs/>
          <w:szCs w:val="22"/>
        </w:rPr>
        <w:t>5-01-24</w:t>
      </w:r>
      <w:r w:rsidR="00783038">
        <w:rPr>
          <w:b/>
          <w:bCs/>
          <w:szCs w:val="22"/>
        </w:rPr>
        <w:t>.</w:t>
      </w:r>
    </w:p>
    <w:p w14:paraId="6CAE7403" w14:textId="77777777" w:rsidR="00C42373" w:rsidRPr="009F0293" w:rsidRDefault="00C42373" w:rsidP="00E13D23">
      <w:pPr>
        <w:keepNext/>
        <w:keepLines/>
        <w:rPr>
          <w:szCs w:val="22"/>
        </w:rPr>
      </w:pPr>
    </w:p>
    <w:p w14:paraId="5444DD20" w14:textId="77777777" w:rsidR="00AE6755" w:rsidRPr="009F0293" w:rsidRDefault="00AE6755" w:rsidP="00E13D23">
      <w:pPr>
        <w:keepNext/>
        <w:keepLines/>
        <w:rPr>
          <w:bCs/>
          <w:szCs w:val="22"/>
        </w:rPr>
      </w:pPr>
    </w:p>
    <w:p w14:paraId="70E3E4DF" w14:textId="07DB0BFE" w:rsidR="00AE6755" w:rsidRPr="009F0293" w:rsidRDefault="00C46A53" w:rsidP="00E13D23">
      <w:pPr>
        <w:keepNext/>
        <w:keepLines/>
        <w:rPr>
          <w:rStyle w:val="Hipersaitas"/>
          <w:szCs w:val="22"/>
        </w:rPr>
      </w:pPr>
      <w:r w:rsidRPr="009F0293">
        <w:rPr>
          <w:szCs w:val="22"/>
        </w:rPr>
        <w:t>Išsami informacija apie šį vaistą pateikiama Valstybinės vaistų kontrolės tarnybos prie Lietuvos Respublikos sveikatos apsaugos ministerijos tinklalapyje</w:t>
      </w:r>
      <w:r w:rsidR="00AE6755" w:rsidRPr="009F0293">
        <w:rPr>
          <w:szCs w:val="22"/>
        </w:rPr>
        <w:t xml:space="preserve"> </w:t>
      </w:r>
      <w:r w:rsidR="00610EED" w:rsidRPr="00610EED">
        <w:rPr>
          <w:rFonts w:eastAsia="SimSun"/>
          <w:color w:val="0000FF"/>
          <w:u w:val="single"/>
        </w:rPr>
        <w:t>https://vvkt.lrv.lt/lt/</w:t>
      </w:r>
      <w:r w:rsidR="00610EED">
        <w:rPr>
          <w:rFonts w:eastAsia="SimSun"/>
          <w:color w:val="0000FF"/>
          <w:u w:val="single"/>
        </w:rPr>
        <w:t>.</w:t>
      </w:r>
    </w:p>
    <w:p w14:paraId="5D80806A" w14:textId="77777777" w:rsidR="004455B2" w:rsidRPr="009F0293" w:rsidRDefault="004455B2" w:rsidP="00E13D23">
      <w:pPr>
        <w:keepNext/>
        <w:keepLines/>
        <w:rPr>
          <w:rStyle w:val="Hipersaitas"/>
          <w:szCs w:val="22"/>
        </w:rPr>
      </w:pPr>
    </w:p>
    <w:p w14:paraId="25CB384D" w14:textId="77777777" w:rsidR="004455B2" w:rsidRPr="009F0293" w:rsidRDefault="004455B2" w:rsidP="00E13D23">
      <w:pPr>
        <w:keepNext/>
        <w:keepLines/>
        <w:rPr>
          <w:szCs w:val="22"/>
        </w:rPr>
      </w:pPr>
    </w:p>
    <w:sectPr w:rsidR="004455B2" w:rsidRPr="009F0293" w:rsidSect="00517E4F">
      <w:headerReference w:type="default" r:id="rId8"/>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D608" w14:textId="77777777" w:rsidR="00B33405" w:rsidRDefault="00B33405">
      <w:r>
        <w:separator/>
      </w:r>
    </w:p>
  </w:endnote>
  <w:endnote w:type="continuationSeparator" w:id="0">
    <w:p w14:paraId="09510D1D" w14:textId="77777777" w:rsidR="00B33405" w:rsidRDefault="00B33405">
      <w:r>
        <w:continuationSeparator/>
      </w:r>
    </w:p>
  </w:endnote>
  <w:endnote w:type="continuationNotice" w:id="1">
    <w:p w14:paraId="5287D2A8" w14:textId="77777777" w:rsidR="00B33405" w:rsidRDefault="00B33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49EE" w14:textId="77777777" w:rsidR="007E69C8" w:rsidRDefault="007E69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0F400662" w14:textId="77777777" w:rsidR="007E69C8" w:rsidRDefault="007E69C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9198" w14:textId="2D621239" w:rsidR="007E69C8" w:rsidRDefault="007E69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26D1">
      <w:rPr>
        <w:rStyle w:val="Puslapionumeris"/>
        <w:noProof/>
      </w:rPr>
      <w:t>2</w:t>
    </w:r>
    <w:r>
      <w:rPr>
        <w:rStyle w:val="Puslapionumeris"/>
      </w:rPr>
      <w:fldChar w:fldCharType="end"/>
    </w:r>
  </w:p>
  <w:p w14:paraId="6F885A32" w14:textId="77777777" w:rsidR="007E69C8" w:rsidRDefault="007E69C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A57E6" w14:textId="77777777" w:rsidR="00B33405" w:rsidRDefault="00B33405">
      <w:r>
        <w:separator/>
      </w:r>
    </w:p>
  </w:footnote>
  <w:footnote w:type="continuationSeparator" w:id="0">
    <w:p w14:paraId="4457B07A" w14:textId="77777777" w:rsidR="00B33405" w:rsidRDefault="00B33405">
      <w:r>
        <w:continuationSeparator/>
      </w:r>
    </w:p>
  </w:footnote>
  <w:footnote w:type="continuationNotice" w:id="1">
    <w:p w14:paraId="49C485BD" w14:textId="77777777" w:rsidR="00B33405" w:rsidRDefault="00B334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1AA7" w14:textId="0751CA7E" w:rsidR="007E69C8" w:rsidRDefault="007E6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BD7CE"/>
    <w:multiLevelType w:val="hybridMultilevel"/>
    <w:tmpl w:val="42B63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B4D292A"/>
    <w:multiLevelType w:val="hybridMultilevel"/>
    <w:tmpl w:val="E81E5C7A"/>
    <w:lvl w:ilvl="0" w:tplc="19FE8032">
      <w:start w:val="1"/>
      <w:numFmt w:val="bullet"/>
      <w:lvlText w:val="•"/>
      <w:lvlJc w:val="left"/>
      <w:pPr>
        <w:tabs>
          <w:tab w:val="num" w:pos="-360"/>
        </w:tabs>
        <w:ind w:left="360" w:hanging="360"/>
      </w:pPr>
      <w:rPr>
        <w:rFonts w:ascii="Times New Roman" w:hAnsi="Times New Roman"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430D1"/>
    <w:multiLevelType w:val="hybridMultilevel"/>
    <w:tmpl w:val="436E3B52"/>
    <w:lvl w:ilvl="0" w:tplc="2F9E4944">
      <w:start w:val="1"/>
      <w:numFmt w:val="bullet"/>
      <w:pStyle w:val="Antrat3"/>
      <w:lvlText w:val=""/>
      <w:lvlJc w:val="left"/>
      <w:pPr>
        <w:ind w:left="720" w:hanging="360"/>
      </w:pPr>
      <w:rPr>
        <w:rFonts w:ascii="Symbol" w:hAnsi="Symbol" w:hint="default"/>
      </w:rPr>
    </w:lvl>
    <w:lvl w:ilvl="1" w:tplc="68DC57D0">
      <w:numFmt w:val="bullet"/>
      <w:lvlText w:val="-"/>
      <w:lvlJc w:val="left"/>
      <w:pPr>
        <w:ind w:left="1710" w:hanging="63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01AE4"/>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DAA697E"/>
    <w:multiLevelType w:val="hybridMultilevel"/>
    <w:tmpl w:val="904EAA3E"/>
    <w:lvl w:ilvl="0" w:tplc="19FE80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D04"/>
    <w:multiLevelType w:val="multilevel"/>
    <w:tmpl w:val="48C04E3E"/>
    <w:lvl w:ilvl="0">
      <w:start w:val="1"/>
      <w:numFmt w:val="bullet"/>
      <w:lvlText w:val="-"/>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363DE"/>
    <w:multiLevelType w:val="hybridMultilevel"/>
    <w:tmpl w:val="609804F2"/>
    <w:lvl w:ilvl="0" w:tplc="CB6EC1BA">
      <w:numFmt w:val="bullet"/>
      <w:lvlText w:val="•"/>
      <w:lvlJc w:val="left"/>
      <w:pPr>
        <w:tabs>
          <w:tab w:val="num" w:pos="567"/>
        </w:tabs>
        <w:ind w:left="567" w:hanging="567"/>
      </w:pPr>
      <w:rPr>
        <w:rFonts w:ascii="Times New Roman" w:hAnsi="Times New Roman" w:hint="default"/>
      </w:rPr>
    </w:lvl>
    <w:lvl w:ilvl="1" w:tplc="14041EA2">
      <w:start w:val="1"/>
      <w:numFmt w:val="bullet"/>
      <w:pStyle w:val="BTEMEASMCA"/>
      <w:lvlText w:val="•"/>
      <w:lvlJc w:val="left"/>
      <w:pPr>
        <w:tabs>
          <w:tab w:val="num" w:pos="72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66EC9"/>
    <w:multiLevelType w:val="hybridMultilevel"/>
    <w:tmpl w:val="48C04E3E"/>
    <w:lvl w:ilvl="0" w:tplc="E2D8FEBE">
      <w:start w:val="1"/>
      <w:numFmt w:val="bullet"/>
      <w:lvlText w:val="-"/>
      <w:lvlJc w:val="left"/>
      <w:pPr>
        <w:tabs>
          <w:tab w:val="num" w:pos="360"/>
        </w:tabs>
        <w:ind w:left="360" w:hanging="360"/>
      </w:pPr>
      <w:rPr>
        <w:rFonts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F38D9"/>
    <w:multiLevelType w:val="hybridMultilevel"/>
    <w:tmpl w:val="38022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9A2B4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06028A9"/>
    <w:multiLevelType w:val="hybridMultilevel"/>
    <w:tmpl w:val="0A547B50"/>
    <w:lvl w:ilvl="0" w:tplc="19FE8032">
      <w:start w:val="1"/>
      <w:numFmt w:val="bullet"/>
      <w:lvlText w:val="•"/>
      <w:lvlJc w:val="left"/>
      <w:pPr>
        <w:tabs>
          <w:tab w:val="num" w:pos="-360"/>
        </w:tabs>
        <w:ind w:left="360" w:hanging="360"/>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08848B0"/>
    <w:multiLevelType w:val="hybridMultilevel"/>
    <w:tmpl w:val="7D1AB88A"/>
    <w:lvl w:ilvl="0" w:tplc="19FE8032">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B5DD1"/>
    <w:multiLevelType w:val="hybridMultilevel"/>
    <w:tmpl w:val="A9DC0880"/>
    <w:lvl w:ilvl="0" w:tplc="04090001">
      <w:start w:val="1"/>
      <w:numFmt w:val="bullet"/>
      <w:lvlText w:val=""/>
      <w:lvlJc w:val="left"/>
      <w:pPr>
        <w:tabs>
          <w:tab w:val="num" w:pos="360"/>
        </w:tabs>
        <w:ind w:left="360" w:hanging="360"/>
      </w:pPr>
      <w:rPr>
        <w:rFonts w:ascii="Symbol" w:hAnsi="Symbol"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34797"/>
    <w:multiLevelType w:val="multilevel"/>
    <w:tmpl w:val="F5148462"/>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3371F"/>
    <w:multiLevelType w:val="hybridMultilevel"/>
    <w:tmpl w:val="1B70E5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7C2F27"/>
    <w:multiLevelType w:val="hybridMultilevel"/>
    <w:tmpl w:val="293A1EC0"/>
    <w:lvl w:ilvl="0" w:tplc="19FE8032">
      <w:start w:val="1"/>
      <w:numFmt w:val="bullet"/>
      <w:lvlText w:val="•"/>
      <w:lvlJc w:val="left"/>
      <w:pPr>
        <w:tabs>
          <w:tab w:val="num" w:pos="-360"/>
        </w:tabs>
        <w:ind w:left="360" w:hanging="360"/>
      </w:pPr>
      <w:rPr>
        <w:rFonts w:ascii="Times New Roman" w:hAnsi="Times New Roman" w:hint="default"/>
      </w:rPr>
    </w:lvl>
    <w:lvl w:ilvl="1" w:tplc="B63CC542">
      <w:start w:val="1"/>
      <w:numFmt w:val="bullet"/>
      <w:lvlText w:val="•"/>
      <w:lvlJc w:val="left"/>
      <w:pPr>
        <w:tabs>
          <w:tab w:val="num" w:pos="72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70AC8"/>
    <w:multiLevelType w:val="hybridMultilevel"/>
    <w:tmpl w:val="8D1AC5BC"/>
    <w:lvl w:ilvl="0" w:tplc="7ADA996E">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456B9"/>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96103B7"/>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420B673A"/>
    <w:multiLevelType w:val="hybridMultilevel"/>
    <w:tmpl w:val="C5920A7C"/>
    <w:lvl w:ilvl="0" w:tplc="7AF6C34A">
      <w:start w:val="2"/>
      <w:numFmt w:val="decimal"/>
      <w:pStyle w:val="Antrat2"/>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36C50A1"/>
    <w:multiLevelType w:val="hybridMultilevel"/>
    <w:tmpl w:val="EDA6A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CE6188"/>
    <w:multiLevelType w:val="hybridMultilevel"/>
    <w:tmpl w:val="63DC7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351247"/>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86C0FDF"/>
    <w:multiLevelType w:val="hybridMultilevel"/>
    <w:tmpl w:val="1592F1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28D343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558A5188"/>
    <w:multiLevelType w:val="hybridMultilevel"/>
    <w:tmpl w:val="12127B8E"/>
    <w:lvl w:ilvl="0" w:tplc="0FB640A4">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070B4"/>
    <w:multiLevelType w:val="hybridMultilevel"/>
    <w:tmpl w:val="D8B661E6"/>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E173F"/>
    <w:multiLevelType w:val="hybridMultilevel"/>
    <w:tmpl w:val="F542A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EA4022"/>
    <w:multiLevelType w:val="multilevel"/>
    <w:tmpl w:val="48C04E3E"/>
    <w:lvl w:ilvl="0">
      <w:start w:val="1"/>
      <w:numFmt w:val="bullet"/>
      <w:lvlText w:val="-"/>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DD2ABB"/>
    <w:multiLevelType w:val="hybridMultilevel"/>
    <w:tmpl w:val="0952D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8C2E23"/>
    <w:multiLevelType w:val="hybridMultilevel"/>
    <w:tmpl w:val="0DD29142"/>
    <w:lvl w:ilvl="0" w:tplc="E2D8FEBE">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B6D73"/>
    <w:multiLevelType w:val="multilevel"/>
    <w:tmpl w:val="39F6DFD0"/>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72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D76946"/>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4" w15:restartNumberingAfterBreak="0">
    <w:nsid w:val="6FF54D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D55BA"/>
    <w:multiLevelType w:val="hybridMultilevel"/>
    <w:tmpl w:val="F0104294"/>
    <w:lvl w:ilvl="0" w:tplc="0807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C187FF4"/>
    <w:multiLevelType w:val="multilevel"/>
    <w:tmpl w:val="A9DC088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C837C3"/>
    <w:multiLevelType w:val="hybridMultilevel"/>
    <w:tmpl w:val="F514846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0D69A8"/>
    <w:multiLevelType w:val="hybridMultilevel"/>
    <w:tmpl w:val="38AA57E8"/>
    <w:lvl w:ilvl="0" w:tplc="19FE8032">
      <w:start w:val="1"/>
      <w:numFmt w:val="bullet"/>
      <w:lvlText w:val="•"/>
      <w:lvlJc w:val="left"/>
      <w:pPr>
        <w:tabs>
          <w:tab w:val="num" w:pos="-360"/>
        </w:tabs>
        <w:ind w:left="360" w:hanging="360"/>
      </w:pPr>
      <w:rPr>
        <w:rFonts w:ascii="Times New Roman" w:hAnsi="Times New Roman" w:hint="default"/>
      </w:rPr>
    </w:lvl>
    <w:lvl w:ilvl="1" w:tplc="E2D8FEBE">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3"/>
  </w:num>
  <w:num w:numId="3">
    <w:abstractNumId w:val="34"/>
  </w:num>
  <w:num w:numId="4">
    <w:abstractNumId w:val="19"/>
  </w:num>
  <w:num w:numId="5">
    <w:abstractNumId w:val="10"/>
  </w:num>
  <w:num w:numId="6">
    <w:abstractNumId w:val="18"/>
  </w:num>
  <w:num w:numId="7">
    <w:abstractNumId w:val="25"/>
  </w:num>
  <w:num w:numId="8">
    <w:abstractNumId w:val="4"/>
  </w:num>
  <w:num w:numId="9">
    <w:abstractNumId w:val="22"/>
  </w:num>
  <w:num w:numId="10">
    <w:abstractNumId w:val="24"/>
  </w:num>
  <w:num w:numId="11">
    <w:abstractNumId w:val="20"/>
  </w:num>
  <w:num w:numId="12">
    <w:abstractNumId w:val="20"/>
    <w:lvlOverride w:ilvl="0">
      <w:startOverride w:val="2"/>
    </w:lvlOverride>
  </w:num>
  <w:num w:numId="13">
    <w:abstractNumId w:val="20"/>
    <w:lvlOverride w:ilvl="0">
      <w:startOverride w:val="2"/>
    </w:lvlOverride>
  </w:num>
  <w:num w:numId="14">
    <w:abstractNumId w:val="9"/>
  </w:num>
  <w:num w:numId="15">
    <w:abstractNumId w:val="30"/>
  </w:num>
  <w:num w:numId="16">
    <w:abstractNumId w:val="3"/>
  </w:num>
  <w:num w:numId="17">
    <w:abstractNumId w:val="28"/>
  </w:num>
  <w:num w:numId="18">
    <w:abstractNumId w:val="17"/>
  </w:num>
  <w:num w:numId="19">
    <w:abstractNumId w:val="26"/>
  </w:num>
  <w:num w:numId="20">
    <w:abstractNumId w:val="0"/>
  </w:num>
  <w:num w:numId="21">
    <w:abstractNumId w:val="1"/>
    <w:lvlOverride w:ilvl="0">
      <w:lvl w:ilvl="0">
        <w:start w:val="1"/>
        <w:numFmt w:val="bullet"/>
        <w:lvlText w:val="-"/>
        <w:legacy w:legacy="1" w:legacySpace="0" w:legacyIndent="360"/>
        <w:lvlJc w:val="left"/>
        <w:pPr>
          <w:ind w:left="360" w:hanging="360"/>
        </w:pPr>
      </w:lvl>
    </w:lvlOverride>
  </w:num>
  <w:num w:numId="22">
    <w:abstractNumId w:val="35"/>
  </w:num>
  <w:num w:numId="23">
    <w:abstractNumId w:val="36"/>
  </w:num>
  <w:num w:numId="24">
    <w:abstractNumId w:val="31"/>
  </w:num>
  <w:num w:numId="25">
    <w:abstractNumId w:val="8"/>
  </w:num>
  <w:num w:numId="26">
    <w:abstractNumId w:val="38"/>
  </w:num>
  <w:num w:numId="27">
    <w:abstractNumId w:val="7"/>
  </w:num>
  <w:num w:numId="28">
    <w:abstractNumId w:val="11"/>
  </w:num>
  <w:num w:numId="29">
    <w:abstractNumId w:val="29"/>
  </w:num>
  <w:num w:numId="30">
    <w:abstractNumId w:val="13"/>
  </w:num>
  <w:num w:numId="31">
    <w:abstractNumId w:val="37"/>
  </w:num>
  <w:num w:numId="32">
    <w:abstractNumId w:val="39"/>
  </w:num>
  <w:num w:numId="33">
    <w:abstractNumId w:val="6"/>
  </w:num>
  <w:num w:numId="34">
    <w:abstractNumId w:val="2"/>
  </w:num>
  <w:num w:numId="35">
    <w:abstractNumId w:val="14"/>
  </w:num>
  <w:num w:numId="36">
    <w:abstractNumId w:val="12"/>
  </w:num>
  <w:num w:numId="37">
    <w:abstractNumId w:val="32"/>
  </w:num>
  <w:num w:numId="38">
    <w:abstractNumId w:val="16"/>
  </w:num>
  <w:num w:numId="39">
    <w:abstractNumId w:val="5"/>
  </w:num>
  <w:num w:numId="40">
    <w:abstractNumId w:val="15"/>
  </w:num>
  <w:num w:numId="41">
    <w:abstractNumId w:val="2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22"/>
    <w:rsid w:val="00000594"/>
    <w:rsid w:val="000006AF"/>
    <w:rsid w:val="000008F5"/>
    <w:rsid w:val="00001320"/>
    <w:rsid w:val="00001930"/>
    <w:rsid w:val="00004C34"/>
    <w:rsid w:val="0001059F"/>
    <w:rsid w:val="00010725"/>
    <w:rsid w:val="00012889"/>
    <w:rsid w:val="000278DB"/>
    <w:rsid w:val="00027F78"/>
    <w:rsid w:val="0003318C"/>
    <w:rsid w:val="0003385E"/>
    <w:rsid w:val="000412DB"/>
    <w:rsid w:val="000424A7"/>
    <w:rsid w:val="00042D41"/>
    <w:rsid w:val="0004391F"/>
    <w:rsid w:val="000502C8"/>
    <w:rsid w:val="00054377"/>
    <w:rsid w:val="00056F12"/>
    <w:rsid w:val="00057124"/>
    <w:rsid w:val="00060893"/>
    <w:rsid w:val="00062734"/>
    <w:rsid w:val="00063D1C"/>
    <w:rsid w:val="00065701"/>
    <w:rsid w:val="00067DED"/>
    <w:rsid w:val="00074FA2"/>
    <w:rsid w:val="00080BFC"/>
    <w:rsid w:val="00080D6C"/>
    <w:rsid w:val="00082F2D"/>
    <w:rsid w:val="00084066"/>
    <w:rsid w:val="0008534E"/>
    <w:rsid w:val="00085D0A"/>
    <w:rsid w:val="0009212D"/>
    <w:rsid w:val="000960F5"/>
    <w:rsid w:val="000A3492"/>
    <w:rsid w:val="000B14D5"/>
    <w:rsid w:val="000B1FFC"/>
    <w:rsid w:val="000B31D8"/>
    <w:rsid w:val="000B6E2E"/>
    <w:rsid w:val="000B7DB1"/>
    <w:rsid w:val="000C2DF6"/>
    <w:rsid w:val="000C3E53"/>
    <w:rsid w:val="000C46C5"/>
    <w:rsid w:val="000C6777"/>
    <w:rsid w:val="000C727E"/>
    <w:rsid w:val="000D055C"/>
    <w:rsid w:val="000D20DA"/>
    <w:rsid w:val="000D21F2"/>
    <w:rsid w:val="000D2EAF"/>
    <w:rsid w:val="000E0682"/>
    <w:rsid w:val="000E26B9"/>
    <w:rsid w:val="000E5F08"/>
    <w:rsid w:val="000E633F"/>
    <w:rsid w:val="000E6AFB"/>
    <w:rsid w:val="000E77AD"/>
    <w:rsid w:val="000F3C71"/>
    <w:rsid w:val="000F499E"/>
    <w:rsid w:val="000F7095"/>
    <w:rsid w:val="00100F97"/>
    <w:rsid w:val="0010170B"/>
    <w:rsid w:val="001017C4"/>
    <w:rsid w:val="00102FA7"/>
    <w:rsid w:val="00103391"/>
    <w:rsid w:val="0010475D"/>
    <w:rsid w:val="001047FD"/>
    <w:rsid w:val="00104A45"/>
    <w:rsid w:val="001079BF"/>
    <w:rsid w:val="001101C7"/>
    <w:rsid w:val="001169F4"/>
    <w:rsid w:val="00117929"/>
    <w:rsid w:val="00120753"/>
    <w:rsid w:val="001224AA"/>
    <w:rsid w:val="00122A5A"/>
    <w:rsid w:val="00122E99"/>
    <w:rsid w:val="00122F67"/>
    <w:rsid w:val="001242D7"/>
    <w:rsid w:val="0012739D"/>
    <w:rsid w:val="00127F2C"/>
    <w:rsid w:val="00130614"/>
    <w:rsid w:val="00133214"/>
    <w:rsid w:val="00134BEA"/>
    <w:rsid w:val="00135B85"/>
    <w:rsid w:val="0014393A"/>
    <w:rsid w:val="0015420E"/>
    <w:rsid w:val="00157239"/>
    <w:rsid w:val="00167815"/>
    <w:rsid w:val="001703CE"/>
    <w:rsid w:val="00172EFE"/>
    <w:rsid w:val="00174010"/>
    <w:rsid w:val="00175ECC"/>
    <w:rsid w:val="00177B31"/>
    <w:rsid w:val="0018149F"/>
    <w:rsid w:val="00184BF1"/>
    <w:rsid w:val="0018526B"/>
    <w:rsid w:val="00190720"/>
    <w:rsid w:val="00190DCA"/>
    <w:rsid w:val="00191A99"/>
    <w:rsid w:val="00192A30"/>
    <w:rsid w:val="00197A0C"/>
    <w:rsid w:val="001A09D5"/>
    <w:rsid w:val="001A1875"/>
    <w:rsid w:val="001A32D4"/>
    <w:rsid w:val="001A351B"/>
    <w:rsid w:val="001A47A9"/>
    <w:rsid w:val="001A5AD4"/>
    <w:rsid w:val="001A72CD"/>
    <w:rsid w:val="001A7826"/>
    <w:rsid w:val="001B2A5D"/>
    <w:rsid w:val="001B2FA0"/>
    <w:rsid w:val="001B37A2"/>
    <w:rsid w:val="001B3AD7"/>
    <w:rsid w:val="001C0929"/>
    <w:rsid w:val="001C40C9"/>
    <w:rsid w:val="001C5058"/>
    <w:rsid w:val="001C5204"/>
    <w:rsid w:val="001C5206"/>
    <w:rsid w:val="001C59F7"/>
    <w:rsid w:val="001C6EB9"/>
    <w:rsid w:val="001C7537"/>
    <w:rsid w:val="001D0A05"/>
    <w:rsid w:val="001D43F3"/>
    <w:rsid w:val="001E2629"/>
    <w:rsid w:val="001E2E68"/>
    <w:rsid w:val="001E4596"/>
    <w:rsid w:val="001E4D16"/>
    <w:rsid w:val="001E5EBD"/>
    <w:rsid w:val="001E689A"/>
    <w:rsid w:val="001F09F4"/>
    <w:rsid w:val="001F15FA"/>
    <w:rsid w:val="001F24AE"/>
    <w:rsid w:val="001F2847"/>
    <w:rsid w:val="001F6F77"/>
    <w:rsid w:val="00200276"/>
    <w:rsid w:val="002013CA"/>
    <w:rsid w:val="00201EF4"/>
    <w:rsid w:val="00202E35"/>
    <w:rsid w:val="00205CB9"/>
    <w:rsid w:val="00205D23"/>
    <w:rsid w:val="0020689F"/>
    <w:rsid w:val="00210782"/>
    <w:rsid w:val="00212F1D"/>
    <w:rsid w:val="00215E04"/>
    <w:rsid w:val="00215F6E"/>
    <w:rsid w:val="002229E9"/>
    <w:rsid w:val="00223234"/>
    <w:rsid w:val="00227C7C"/>
    <w:rsid w:val="00231D66"/>
    <w:rsid w:val="00240E26"/>
    <w:rsid w:val="00246AFA"/>
    <w:rsid w:val="00246D72"/>
    <w:rsid w:val="002472FA"/>
    <w:rsid w:val="00247C5F"/>
    <w:rsid w:val="00247FEA"/>
    <w:rsid w:val="00254E8A"/>
    <w:rsid w:val="0026409E"/>
    <w:rsid w:val="002679C8"/>
    <w:rsid w:val="00272B41"/>
    <w:rsid w:val="00274828"/>
    <w:rsid w:val="00274EC0"/>
    <w:rsid w:val="0027651F"/>
    <w:rsid w:val="00277EE5"/>
    <w:rsid w:val="00281D82"/>
    <w:rsid w:val="002824EC"/>
    <w:rsid w:val="002875FA"/>
    <w:rsid w:val="00290E33"/>
    <w:rsid w:val="00291C63"/>
    <w:rsid w:val="00291E00"/>
    <w:rsid w:val="00294724"/>
    <w:rsid w:val="002A0A2D"/>
    <w:rsid w:val="002A1101"/>
    <w:rsid w:val="002A196E"/>
    <w:rsid w:val="002B23A1"/>
    <w:rsid w:val="002B2520"/>
    <w:rsid w:val="002B5F5C"/>
    <w:rsid w:val="002C39A8"/>
    <w:rsid w:val="002C4340"/>
    <w:rsid w:val="002C7AA3"/>
    <w:rsid w:val="002D216B"/>
    <w:rsid w:val="002D4982"/>
    <w:rsid w:val="002D5317"/>
    <w:rsid w:val="002D7ABD"/>
    <w:rsid w:val="002E0798"/>
    <w:rsid w:val="002E34BF"/>
    <w:rsid w:val="002E3BBF"/>
    <w:rsid w:val="002E46DB"/>
    <w:rsid w:val="002E54F8"/>
    <w:rsid w:val="002F0C36"/>
    <w:rsid w:val="002F5B30"/>
    <w:rsid w:val="002F635A"/>
    <w:rsid w:val="003006B3"/>
    <w:rsid w:val="00301388"/>
    <w:rsid w:val="00304E30"/>
    <w:rsid w:val="00307D9F"/>
    <w:rsid w:val="00314164"/>
    <w:rsid w:val="0031484C"/>
    <w:rsid w:val="00314DC7"/>
    <w:rsid w:val="003157C2"/>
    <w:rsid w:val="00317409"/>
    <w:rsid w:val="00320F2E"/>
    <w:rsid w:val="00321EF6"/>
    <w:rsid w:val="003262ED"/>
    <w:rsid w:val="00327138"/>
    <w:rsid w:val="0033177E"/>
    <w:rsid w:val="00331C63"/>
    <w:rsid w:val="00331DF4"/>
    <w:rsid w:val="00337646"/>
    <w:rsid w:val="00337F3D"/>
    <w:rsid w:val="00340352"/>
    <w:rsid w:val="00342261"/>
    <w:rsid w:val="00343DD1"/>
    <w:rsid w:val="003448CD"/>
    <w:rsid w:val="00344ADD"/>
    <w:rsid w:val="00344AE3"/>
    <w:rsid w:val="003463A5"/>
    <w:rsid w:val="0035256C"/>
    <w:rsid w:val="00363186"/>
    <w:rsid w:val="00363C0A"/>
    <w:rsid w:val="00363E98"/>
    <w:rsid w:val="0036495B"/>
    <w:rsid w:val="00370A7C"/>
    <w:rsid w:val="003720BA"/>
    <w:rsid w:val="003741DD"/>
    <w:rsid w:val="0037621A"/>
    <w:rsid w:val="00376B4B"/>
    <w:rsid w:val="0038671D"/>
    <w:rsid w:val="003920EA"/>
    <w:rsid w:val="00396044"/>
    <w:rsid w:val="00396361"/>
    <w:rsid w:val="00396413"/>
    <w:rsid w:val="003A3585"/>
    <w:rsid w:val="003A5632"/>
    <w:rsid w:val="003A661C"/>
    <w:rsid w:val="003A6680"/>
    <w:rsid w:val="003B3FAC"/>
    <w:rsid w:val="003B4DA1"/>
    <w:rsid w:val="003B5A09"/>
    <w:rsid w:val="003B5E77"/>
    <w:rsid w:val="003B79EB"/>
    <w:rsid w:val="003C0937"/>
    <w:rsid w:val="003C1BDC"/>
    <w:rsid w:val="003C3C11"/>
    <w:rsid w:val="003C5A4E"/>
    <w:rsid w:val="003C5AB9"/>
    <w:rsid w:val="003C6234"/>
    <w:rsid w:val="003D0B9D"/>
    <w:rsid w:val="003D611F"/>
    <w:rsid w:val="003D7B55"/>
    <w:rsid w:val="003E3D25"/>
    <w:rsid w:val="003E5FB3"/>
    <w:rsid w:val="003E687D"/>
    <w:rsid w:val="003F4668"/>
    <w:rsid w:val="003F6B24"/>
    <w:rsid w:val="0040761D"/>
    <w:rsid w:val="004078BA"/>
    <w:rsid w:val="0041296A"/>
    <w:rsid w:val="004145AF"/>
    <w:rsid w:val="00414675"/>
    <w:rsid w:val="004152E3"/>
    <w:rsid w:val="0041659A"/>
    <w:rsid w:val="00421610"/>
    <w:rsid w:val="00423089"/>
    <w:rsid w:val="00423E55"/>
    <w:rsid w:val="004253B3"/>
    <w:rsid w:val="00430BFB"/>
    <w:rsid w:val="00430D09"/>
    <w:rsid w:val="00432EA3"/>
    <w:rsid w:val="00434151"/>
    <w:rsid w:val="00434822"/>
    <w:rsid w:val="004438F5"/>
    <w:rsid w:val="00443E58"/>
    <w:rsid w:val="00443F31"/>
    <w:rsid w:val="004444B8"/>
    <w:rsid w:val="004455B2"/>
    <w:rsid w:val="004457AA"/>
    <w:rsid w:val="004478F0"/>
    <w:rsid w:val="00455BA7"/>
    <w:rsid w:val="00456AFB"/>
    <w:rsid w:val="00456BC4"/>
    <w:rsid w:val="004576F2"/>
    <w:rsid w:val="0046076A"/>
    <w:rsid w:val="004609F9"/>
    <w:rsid w:val="00463BA3"/>
    <w:rsid w:val="004643B9"/>
    <w:rsid w:val="00464488"/>
    <w:rsid w:val="00464DD4"/>
    <w:rsid w:val="0046735B"/>
    <w:rsid w:val="004700FD"/>
    <w:rsid w:val="0047703C"/>
    <w:rsid w:val="004775C2"/>
    <w:rsid w:val="0047792F"/>
    <w:rsid w:val="00477DDC"/>
    <w:rsid w:val="00480883"/>
    <w:rsid w:val="00482BF8"/>
    <w:rsid w:val="00482CA4"/>
    <w:rsid w:val="0048304A"/>
    <w:rsid w:val="00485D63"/>
    <w:rsid w:val="0048639E"/>
    <w:rsid w:val="00487A9C"/>
    <w:rsid w:val="00490D40"/>
    <w:rsid w:val="004918DF"/>
    <w:rsid w:val="00493851"/>
    <w:rsid w:val="004945D2"/>
    <w:rsid w:val="0049558C"/>
    <w:rsid w:val="00496FBC"/>
    <w:rsid w:val="004A03D8"/>
    <w:rsid w:val="004A059E"/>
    <w:rsid w:val="004A425F"/>
    <w:rsid w:val="004A4663"/>
    <w:rsid w:val="004A5231"/>
    <w:rsid w:val="004A66E7"/>
    <w:rsid w:val="004B7769"/>
    <w:rsid w:val="004C3170"/>
    <w:rsid w:val="004C5312"/>
    <w:rsid w:val="004C5CB2"/>
    <w:rsid w:val="004C65E0"/>
    <w:rsid w:val="004C78F6"/>
    <w:rsid w:val="004D03D3"/>
    <w:rsid w:val="004D086B"/>
    <w:rsid w:val="004D0B45"/>
    <w:rsid w:val="004D2157"/>
    <w:rsid w:val="004D49CE"/>
    <w:rsid w:val="004D4FAC"/>
    <w:rsid w:val="004D6D20"/>
    <w:rsid w:val="004D7910"/>
    <w:rsid w:val="004E0C0A"/>
    <w:rsid w:val="004E1AF6"/>
    <w:rsid w:val="004E43DB"/>
    <w:rsid w:val="004F0FC4"/>
    <w:rsid w:val="004F3CEA"/>
    <w:rsid w:val="004F3FD2"/>
    <w:rsid w:val="004F4021"/>
    <w:rsid w:val="004F55E0"/>
    <w:rsid w:val="004F7F9C"/>
    <w:rsid w:val="005049A8"/>
    <w:rsid w:val="00504E0E"/>
    <w:rsid w:val="00507033"/>
    <w:rsid w:val="0050755B"/>
    <w:rsid w:val="0051139C"/>
    <w:rsid w:val="00511D51"/>
    <w:rsid w:val="005138CB"/>
    <w:rsid w:val="00514D54"/>
    <w:rsid w:val="005156B6"/>
    <w:rsid w:val="00515E2D"/>
    <w:rsid w:val="00516AFB"/>
    <w:rsid w:val="00517E4F"/>
    <w:rsid w:val="00520905"/>
    <w:rsid w:val="005209CC"/>
    <w:rsid w:val="005256A1"/>
    <w:rsid w:val="005257DE"/>
    <w:rsid w:val="00535B1B"/>
    <w:rsid w:val="0053770F"/>
    <w:rsid w:val="00540D89"/>
    <w:rsid w:val="005414F0"/>
    <w:rsid w:val="00543519"/>
    <w:rsid w:val="0054449D"/>
    <w:rsid w:val="00545ACD"/>
    <w:rsid w:val="00547B13"/>
    <w:rsid w:val="00551922"/>
    <w:rsid w:val="00553726"/>
    <w:rsid w:val="00553926"/>
    <w:rsid w:val="00553DEF"/>
    <w:rsid w:val="00560BC9"/>
    <w:rsid w:val="00561C5E"/>
    <w:rsid w:val="0056329F"/>
    <w:rsid w:val="00572424"/>
    <w:rsid w:val="00572B29"/>
    <w:rsid w:val="00572B52"/>
    <w:rsid w:val="00574378"/>
    <w:rsid w:val="00586DB2"/>
    <w:rsid w:val="00596A1D"/>
    <w:rsid w:val="00597F3A"/>
    <w:rsid w:val="005A24C2"/>
    <w:rsid w:val="005A2DA4"/>
    <w:rsid w:val="005A3408"/>
    <w:rsid w:val="005B01C8"/>
    <w:rsid w:val="005B33E3"/>
    <w:rsid w:val="005B4D3C"/>
    <w:rsid w:val="005C0A68"/>
    <w:rsid w:val="005C3825"/>
    <w:rsid w:val="005C57B6"/>
    <w:rsid w:val="005E3CA7"/>
    <w:rsid w:val="005E68DC"/>
    <w:rsid w:val="005E7CAE"/>
    <w:rsid w:val="005F2062"/>
    <w:rsid w:val="005F2514"/>
    <w:rsid w:val="005F2D48"/>
    <w:rsid w:val="005F39E3"/>
    <w:rsid w:val="00604155"/>
    <w:rsid w:val="00606699"/>
    <w:rsid w:val="00610EED"/>
    <w:rsid w:val="00612CFC"/>
    <w:rsid w:val="00612EA3"/>
    <w:rsid w:val="00613207"/>
    <w:rsid w:val="00613E1B"/>
    <w:rsid w:val="00614C55"/>
    <w:rsid w:val="00615887"/>
    <w:rsid w:val="0061744F"/>
    <w:rsid w:val="0062182F"/>
    <w:rsid w:val="00623ED9"/>
    <w:rsid w:val="006241C5"/>
    <w:rsid w:val="00637F48"/>
    <w:rsid w:val="00644A0B"/>
    <w:rsid w:val="006453F6"/>
    <w:rsid w:val="00646D9E"/>
    <w:rsid w:val="00651B44"/>
    <w:rsid w:val="00653611"/>
    <w:rsid w:val="00656FC0"/>
    <w:rsid w:val="006573AF"/>
    <w:rsid w:val="00661C94"/>
    <w:rsid w:val="0066245F"/>
    <w:rsid w:val="00662C01"/>
    <w:rsid w:val="0066493D"/>
    <w:rsid w:val="006652AD"/>
    <w:rsid w:val="00671954"/>
    <w:rsid w:val="006743A0"/>
    <w:rsid w:val="006754A2"/>
    <w:rsid w:val="006764B8"/>
    <w:rsid w:val="00676BFD"/>
    <w:rsid w:val="00681207"/>
    <w:rsid w:val="00682E1E"/>
    <w:rsid w:val="00685275"/>
    <w:rsid w:val="00691695"/>
    <w:rsid w:val="0069180F"/>
    <w:rsid w:val="006919E1"/>
    <w:rsid w:val="00692950"/>
    <w:rsid w:val="006932C9"/>
    <w:rsid w:val="00693BF3"/>
    <w:rsid w:val="0069732D"/>
    <w:rsid w:val="0069773D"/>
    <w:rsid w:val="006A1DA9"/>
    <w:rsid w:val="006A2957"/>
    <w:rsid w:val="006A391E"/>
    <w:rsid w:val="006A4E64"/>
    <w:rsid w:val="006A5F15"/>
    <w:rsid w:val="006A60F3"/>
    <w:rsid w:val="006A629A"/>
    <w:rsid w:val="006A7800"/>
    <w:rsid w:val="006B27FF"/>
    <w:rsid w:val="006B42BC"/>
    <w:rsid w:val="006B7260"/>
    <w:rsid w:val="006C4306"/>
    <w:rsid w:val="006C561D"/>
    <w:rsid w:val="006C7011"/>
    <w:rsid w:val="006D5259"/>
    <w:rsid w:val="006D5B3F"/>
    <w:rsid w:val="006D5D63"/>
    <w:rsid w:val="006E1228"/>
    <w:rsid w:val="006E2A52"/>
    <w:rsid w:val="006E32AF"/>
    <w:rsid w:val="006E50CC"/>
    <w:rsid w:val="006E5531"/>
    <w:rsid w:val="006E5A24"/>
    <w:rsid w:val="006F222A"/>
    <w:rsid w:val="006F3E25"/>
    <w:rsid w:val="006F44DB"/>
    <w:rsid w:val="006F4BBF"/>
    <w:rsid w:val="006F66F4"/>
    <w:rsid w:val="006F7AA2"/>
    <w:rsid w:val="0070029D"/>
    <w:rsid w:val="00701204"/>
    <w:rsid w:val="00702D70"/>
    <w:rsid w:val="007052AD"/>
    <w:rsid w:val="0070591D"/>
    <w:rsid w:val="00705B2B"/>
    <w:rsid w:val="00706055"/>
    <w:rsid w:val="00706A86"/>
    <w:rsid w:val="007116E5"/>
    <w:rsid w:val="007149C3"/>
    <w:rsid w:val="00716A60"/>
    <w:rsid w:val="007205C2"/>
    <w:rsid w:val="00724500"/>
    <w:rsid w:val="0072580D"/>
    <w:rsid w:val="00731DF4"/>
    <w:rsid w:val="007322CE"/>
    <w:rsid w:val="0073394C"/>
    <w:rsid w:val="00734D1F"/>
    <w:rsid w:val="00735B0C"/>
    <w:rsid w:val="007366F5"/>
    <w:rsid w:val="00736B0C"/>
    <w:rsid w:val="00742365"/>
    <w:rsid w:val="0074247C"/>
    <w:rsid w:val="0074273E"/>
    <w:rsid w:val="00752BE5"/>
    <w:rsid w:val="00753F66"/>
    <w:rsid w:val="00763347"/>
    <w:rsid w:val="00773004"/>
    <w:rsid w:val="00774DAE"/>
    <w:rsid w:val="00776748"/>
    <w:rsid w:val="00777ACE"/>
    <w:rsid w:val="00780B8F"/>
    <w:rsid w:val="00780D35"/>
    <w:rsid w:val="00781272"/>
    <w:rsid w:val="00783038"/>
    <w:rsid w:val="0078306A"/>
    <w:rsid w:val="007901B8"/>
    <w:rsid w:val="007915CB"/>
    <w:rsid w:val="00794659"/>
    <w:rsid w:val="00795D98"/>
    <w:rsid w:val="00797A1D"/>
    <w:rsid w:val="007A28CD"/>
    <w:rsid w:val="007A3C23"/>
    <w:rsid w:val="007A6B82"/>
    <w:rsid w:val="007B1313"/>
    <w:rsid w:val="007B7E6E"/>
    <w:rsid w:val="007B7E9F"/>
    <w:rsid w:val="007C2D72"/>
    <w:rsid w:val="007C3489"/>
    <w:rsid w:val="007C3E2D"/>
    <w:rsid w:val="007C448A"/>
    <w:rsid w:val="007C5443"/>
    <w:rsid w:val="007C797B"/>
    <w:rsid w:val="007D032A"/>
    <w:rsid w:val="007D402D"/>
    <w:rsid w:val="007D5E1C"/>
    <w:rsid w:val="007D65FE"/>
    <w:rsid w:val="007E10FB"/>
    <w:rsid w:val="007E283A"/>
    <w:rsid w:val="007E461D"/>
    <w:rsid w:val="007E4752"/>
    <w:rsid w:val="007E6834"/>
    <w:rsid w:val="007E69C8"/>
    <w:rsid w:val="007F241C"/>
    <w:rsid w:val="007F246B"/>
    <w:rsid w:val="007F431A"/>
    <w:rsid w:val="007F59F9"/>
    <w:rsid w:val="007F6BEF"/>
    <w:rsid w:val="00803B8B"/>
    <w:rsid w:val="00804B70"/>
    <w:rsid w:val="00805BC2"/>
    <w:rsid w:val="00810449"/>
    <w:rsid w:val="00810823"/>
    <w:rsid w:val="00814591"/>
    <w:rsid w:val="00817E31"/>
    <w:rsid w:val="00820B05"/>
    <w:rsid w:val="0082431E"/>
    <w:rsid w:val="00825AE8"/>
    <w:rsid w:val="00827188"/>
    <w:rsid w:val="00830772"/>
    <w:rsid w:val="008326D1"/>
    <w:rsid w:val="008342C9"/>
    <w:rsid w:val="00834BE2"/>
    <w:rsid w:val="00836AEE"/>
    <w:rsid w:val="00841F45"/>
    <w:rsid w:val="00845B96"/>
    <w:rsid w:val="00845C41"/>
    <w:rsid w:val="008464E9"/>
    <w:rsid w:val="008507B8"/>
    <w:rsid w:val="00852355"/>
    <w:rsid w:val="00852BED"/>
    <w:rsid w:val="0085481D"/>
    <w:rsid w:val="00854AFF"/>
    <w:rsid w:val="008607A6"/>
    <w:rsid w:val="00861819"/>
    <w:rsid w:val="0086202C"/>
    <w:rsid w:val="008623CF"/>
    <w:rsid w:val="00862741"/>
    <w:rsid w:val="00863A31"/>
    <w:rsid w:val="0086555E"/>
    <w:rsid w:val="00870109"/>
    <w:rsid w:val="00870D36"/>
    <w:rsid w:val="00872B27"/>
    <w:rsid w:val="00873A77"/>
    <w:rsid w:val="00876C26"/>
    <w:rsid w:val="00880E47"/>
    <w:rsid w:val="008822AE"/>
    <w:rsid w:val="008825C3"/>
    <w:rsid w:val="00882B2D"/>
    <w:rsid w:val="008830F9"/>
    <w:rsid w:val="00886316"/>
    <w:rsid w:val="008902F2"/>
    <w:rsid w:val="0089035C"/>
    <w:rsid w:val="0089236D"/>
    <w:rsid w:val="0089608C"/>
    <w:rsid w:val="00896983"/>
    <w:rsid w:val="008972F8"/>
    <w:rsid w:val="008A550B"/>
    <w:rsid w:val="008A55FE"/>
    <w:rsid w:val="008A6213"/>
    <w:rsid w:val="008B0115"/>
    <w:rsid w:val="008B0822"/>
    <w:rsid w:val="008B5ED1"/>
    <w:rsid w:val="008C67E0"/>
    <w:rsid w:val="008D0A93"/>
    <w:rsid w:val="008D1ADE"/>
    <w:rsid w:val="008D20B1"/>
    <w:rsid w:val="008D2B3D"/>
    <w:rsid w:val="008E2205"/>
    <w:rsid w:val="008E668A"/>
    <w:rsid w:val="008E67BD"/>
    <w:rsid w:val="008F26EA"/>
    <w:rsid w:val="008F4F7B"/>
    <w:rsid w:val="008F5332"/>
    <w:rsid w:val="008F76BA"/>
    <w:rsid w:val="008F785B"/>
    <w:rsid w:val="00901921"/>
    <w:rsid w:val="00905FA4"/>
    <w:rsid w:val="009119DE"/>
    <w:rsid w:val="009120F3"/>
    <w:rsid w:val="0091671D"/>
    <w:rsid w:val="0092228D"/>
    <w:rsid w:val="00924C8F"/>
    <w:rsid w:val="0092577B"/>
    <w:rsid w:val="00927286"/>
    <w:rsid w:val="009305C5"/>
    <w:rsid w:val="00935227"/>
    <w:rsid w:val="00935D8A"/>
    <w:rsid w:val="00935E0A"/>
    <w:rsid w:val="00935F6A"/>
    <w:rsid w:val="009366E1"/>
    <w:rsid w:val="0093755E"/>
    <w:rsid w:val="00941A7D"/>
    <w:rsid w:val="00943B4E"/>
    <w:rsid w:val="00945865"/>
    <w:rsid w:val="00950E04"/>
    <w:rsid w:val="00956CC1"/>
    <w:rsid w:val="00956D7A"/>
    <w:rsid w:val="00961F43"/>
    <w:rsid w:val="00962A05"/>
    <w:rsid w:val="00963A15"/>
    <w:rsid w:val="00964252"/>
    <w:rsid w:val="00965C33"/>
    <w:rsid w:val="0096786C"/>
    <w:rsid w:val="00967B24"/>
    <w:rsid w:val="00970B87"/>
    <w:rsid w:val="00970E7D"/>
    <w:rsid w:val="009712F0"/>
    <w:rsid w:val="00971FEF"/>
    <w:rsid w:val="00972A48"/>
    <w:rsid w:val="00977C05"/>
    <w:rsid w:val="00982A70"/>
    <w:rsid w:val="009844FA"/>
    <w:rsid w:val="009867C8"/>
    <w:rsid w:val="00990B29"/>
    <w:rsid w:val="009912BF"/>
    <w:rsid w:val="00992D6B"/>
    <w:rsid w:val="00993279"/>
    <w:rsid w:val="00994D5D"/>
    <w:rsid w:val="00996DFF"/>
    <w:rsid w:val="0099799A"/>
    <w:rsid w:val="009A0CF7"/>
    <w:rsid w:val="009A28DB"/>
    <w:rsid w:val="009A5DED"/>
    <w:rsid w:val="009A71EC"/>
    <w:rsid w:val="009A7A3B"/>
    <w:rsid w:val="009A7E42"/>
    <w:rsid w:val="009B0944"/>
    <w:rsid w:val="009B0FCB"/>
    <w:rsid w:val="009B2D05"/>
    <w:rsid w:val="009B2D45"/>
    <w:rsid w:val="009B4574"/>
    <w:rsid w:val="009B6697"/>
    <w:rsid w:val="009C1E47"/>
    <w:rsid w:val="009C6C69"/>
    <w:rsid w:val="009C7BE4"/>
    <w:rsid w:val="009D0391"/>
    <w:rsid w:val="009D0F8D"/>
    <w:rsid w:val="009D32FF"/>
    <w:rsid w:val="009D3AF5"/>
    <w:rsid w:val="009D3C00"/>
    <w:rsid w:val="009D4590"/>
    <w:rsid w:val="009D5EF1"/>
    <w:rsid w:val="009D68CA"/>
    <w:rsid w:val="009E333B"/>
    <w:rsid w:val="009E5183"/>
    <w:rsid w:val="009E71E3"/>
    <w:rsid w:val="009E73C8"/>
    <w:rsid w:val="009F0293"/>
    <w:rsid w:val="009F24D9"/>
    <w:rsid w:val="009F2A41"/>
    <w:rsid w:val="009F457A"/>
    <w:rsid w:val="009F511D"/>
    <w:rsid w:val="009F5544"/>
    <w:rsid w:val="009F68B6"/>
    <w:rsid w:val="00A008F2"/>
    <w:rsid w:val="00A03722"/>
    <w:rsid w:val="00A0444D"/>
    <w:rsid w:val="00A06817"/>
    <w:rsid w:val="00A104AC"/>
    <w:rsid w:val="00A10873"/>
    <w:rsid w:val="00A10BCC"/>
    <w:rsid w:val="00A12A78"/>
    <w:rsid w:val="00A12DD1"/>
    <w:rsid w:val="00A13C42"/>
    <w:rsid w:val="00A15DDB"/>
    <w:rsid w:val="00A16381"/>
    <w:rsid w:val="00A1727B"/>
    <w:rsid w:val="00A20391"/>
    <w:rsid w:val="00A21558"/>
    <w:rsid w:val="00A21716"/>
    <w:rsid w:val="00A21C2B"/>
    <w:rsid w:val="00A21EB2"/>
    <w:rsid w:val="00A27F02"/>
    <w:rsid w:val="00A316B4"/>
    <w:rsid w:val="00A32BFF"/>
    <w:rsid w:val="00A3428A"/>
    <w:rsid w:val="00A34804"/>
    <w:rsid w:val="00A36291"/>
    <w:rsid w:val="00A36E70"/>
    <w:rsid w:val="00A42FBB"/>
    <w:rsid w:val="00A45436"/>
    <w:rsid w:val="00A46A7D"/>
    <w:rsid w:val="00A47069"/>
    <w:rsid w:val="00A501BA"/>
    <w:rsid w:val="00A50678"/>
    <w:rsid w:val="00A52581"/>
    <w:rsid w:val="00A53D31"/>
    <w:rsid w:val="00A54F73"/>
    <w:rsid w:val="00A6058E"/>
    <w:rsid w:val="00A6152B"/>
    <w:rsid w:val="00A66E74"/>
    <w:rsid w:val="00A70825"/>
    <w:rsid w:val="00A70E13"/>
    <w:rsid w:val="00A72E4F"/>
    <w:rsid w:val="00A776F4"/>
    <w:rsid w:val="00A80892"/>
    <w:rsid w:val="00A80A08"/>
    <w:rsid w:val="00A845D7"/>
    <w:rsid w:val="00A915C0"/>
    <w:rsid w:val="00A966FE"/>
    <w:rsid w:val="00A97324"/>
    <w:rsid w:val="00A97C02"/>
    <w:rsid w:val="00AA15F3"/>
    <w:rsid w:val="00AA2F83"/>
    <w:rsid w:val="00AA33A6"/>
    <w:rsid w:val="00AA3E9A"/>
    <w:rsid w:val="00AA4261"/>
    <w:rsid w:val="00AA62A0"/>
    <w:rsid w:val="00AB1729"/>
    <w:rsid w:val="00AB563E"/>
    <w:rsid w:val="00AC2DBF"/>
    <w:rsid w:val="00AC338B"/>
    <w:rsid w:val="00AC69A9"/>
    <w:rsid w:val="00AD2515"/>
    <w:rsid w:val="00AD2700"/>
    <w:rsid w:val="00AD3AA9"/>
    <w:rsid w:val="00AE0386"/>
    <w:rsid w:val="00AE2113"/>
    <w:rsid w:val="00AE34D8"/>
    <w:rsid w:val="00AE6755"/>
    <w:rsid w:val="00AE6E64"/>
    <w:rsid w:val="00AE7450"/>
    <w:rsid w:val="00AE779E"/>
    <w:rsid w:val="00AF1D65"/>
    <w:rsid w:val="00AF2159"/>
    <w:rsid w:val="00B02CE1"/>
    <w:rsid w:val="00B03223"/>
    <w:rsid w:val="00B04536"/>
    <w:rsid w:val="00B06911"/>
    <w:rsid w:val="00B07332"/>
    <w:rsid w:val="00B10104"/>
    <w:rsid w:val="00B1046A"/>
    <w:rsid w:val="00B11312"/>
    <w:rsid w:val="00B11AE4"/>
    <w:rsid w:val="00B134F1"/>
    <w:rsid w:val="00B1422B"/>
    <w:rsid w:val="00B16B9E"/>
    <w:rsid w:val="00B22B46"/>
    <w:rsid w:val="00B22F98"/>
    <w:rsid w:val="00B23955"/>
    <w:rsid w:val="00B239C5"/>
    <w:rsid w:val="00B24EBF"/>
    <w:rsid w:val="00B26556"/>
    <w:rsid w:val="00B26D4C"/>
    <w:rsid w:val="00B26E9C"/>
    <w:rsid w:val="00B30063"/>
    <w:rsid w:val="00B305A4"/>
    <w:rsid w:val="00B326EC"/>
    <w:rsid w:val="00B33405"/>
    <w:rsid w:val="00B337F3"/>
    <w:rsid w:val="00B35D2C"/>
    <w:rsid w:val="00B367C7"/>
    <w:rsid w:val="00B36D8B"/>
    <w:rsid w:val="00B40AB2"/>
    <w:rsid w:val="00B411AF"/>
    <w:rsid w:val="00B45202"/>
    <w:rsid w:val="00B45480"/>
    <w:rsid w:val="00B513A8"/>
    <w:rsid w:val="00B51615"/>
    <w:rsid w:val="00B53793"/>
    <w:rsid w:val="00B5441A"/>
    <w:rsid w:val="00B546F8"/>
    <w:rsid w:val="00B55CD9"/>
    <w:rsid w:val="00B56C24"/>
    <w:rsid w:val="00B638A7"/>
    <w:rsid w:val="00B63EC8"/>
    <w:rsid w:val="00B657AC"/>
    <w:rsid w:val="00B65C4B"/>
    <w:rsid w:val="00B67281"/>
    <w:rsid w:val="00B711B7"/>
    <w:rsid w:val="00B71386"/>
    <w:rsid w:val="00B7709E"/>
    <w:rsid w:val="00B81C93"/>
    <w:rsid w:val="00B83357"/>
    <w:rsid w:val="00B839D4"/>
    <w:rsid w:val="00B91101"/>
    <w:rsid w:val="00B91A16"/>
    <w:rsid w:val="00B923E9"/>
    <w:rsid w:val="00B94416"/>
    <w:rsid w:val="00B95400"/>
    <w:rsid w:val="00B971DD"/>
    <w:rsid w:val="00B9777D"/>
    <w:rsid w:val="00B97DE1"/>
    <w:rsid w:val="00BA1F3F"/>
    <w:rsid w:val="00BA30DB"/>
    <w:rsid w:val="00BA5C51"/>
    <w:rsid w:val="00BA61C6"/>
    <w:rsid w:val="00BA71EA"/>
    <w:rsid w:val="00BB1FB2"/>
    <w:rsid w:val="00BB2284"/>
    <w:rsid w:val="00BB6557"/>
    <w:rsid w:val="00BC1B97"/>
    <w:rsid w:val="00BC58FA"/>
    <w:rsid w:val="00BC5FDE"/>
    <w:rsid w:val="00BC7DF8"/>
    <w:rsid w:val="00BD0E44"/>
    <w:rsid w:val="00BD1216"/>
    <w:rsid w:val="00BD6059"/>
    <w:rsid w:val="00BD7103"/>
    <w:rsid w:val="00BE4347"/>
    <w:rsid w:val="00BE70CB"/>
    <w:rsid w:val="00BF0818"/>
    <w:rsid w:val="00BF1197"/>
    <w:rsid w:val="00BF2481"/>
    <w:rsid w:val="00BF27B7"/>
    <w:rsid w:val="00BF3E18"/>
    <w:rsid w:val="00BF425B"/>
    <w:rsid w:val="00C0106C"/>
    <w:rsid w:val="00C046CD"/>
    <w:rsid w:val="00C0605B"/>
    <w:rsid w:val="00C1141A"/>
    <w:rsid w:val="00C11E11"/>
    <w:rsid w:val="00C12307"/>
    <w:rsid w:val="00C162E0"/>
    <w:rsid w:val="00C20EDC"/>
    <w:rsid w:val="00C21053"/>
    <w:rsid w:val="00C21ED2"/>
    <w:rsid w:val="00C23EF6"/>
    <w:rsid w:val="00C25628"/>
    <w:rsid w:val="00C32C95"/>
    <w:rsid w:val="00C34969"/>
    <w:rsid w:val="00C35200"/>
    <w:rsid w:val="00C358A6"/>
    <w:rsid w:val="00C37A87"/>
    <w:rsid w:val="00C40383"/>
    <w:rsid w:val="00C40642"/>
    <w:rsid w:val="00C42285"/>
    <w:rsid w:val="00C42373"/>
    <w:rsid w:val="00C4611E"/>
    <w:rsid w:val="00C46848"/>
    <w:rsid w:val="00C46A53"/>
    <w:rsid w:val="00C5010E"/>
    <w:rsid w:val="00C505A2"/>
    <w:rsid w:val="00C50708"/>
    <w:rsid w:val="00C5200B"/>
    <w:rsid w:val="00C55B01"/>
    <w:rsid w:val="00C57B9B"/>
    <w:rsid w:val="00C61AB4"/>
    <w:rsid w:val="00C6371D"/>
    <w:rsid w:val="00C63C38"/>
    <w:rsid w:val="00C65A2C"/>
    <w:rsid w:val="00C66875"/>
    <w:rsid w:val="00C66ED2"/>
    <w:rsid w:val="00C67861"/>
    <w:rsid w:val="00C70581"/>
    <w:rsid w:val="00C72EB4"/>
    <w:rsid w:val="00C76B1B"/>
    <w:rsid w:val="00C82DB4"/>
    <w:rsid w:val="00C84CCF"/>
    <w:rsid w:val="00C86F82"/>
    <w:rsid w:val="00C90A10"/>
    <w:rsid w:val="00C94415"/>
    <w:rsid w:val="00C94B14"/>
    <w:rsid w:val="00C9541B"/>
    <w:rsid w:val="00C9547B"/>
    <w:rsid w:val="00C95D34"/>
    <w:rsid w:val="00C964E8"/>
    <w:rsid w:val="00CA505D"/>
    <w:rsid w:val="00CA79DD"/>
    <w:rsid w:val="00CA7D61"/>
    <w:rsid w:val="00CB2911"/>
    <w:rsid w:val="00CB2B26"/>
    <w:rsid w:val="00CB5A50"/>
    <w:rsid w:val="00CC07FB"/>
    <w:rsid w:val="00CC1F14"/>
    <w:rsid w:val="00CC41C3"/>
    <w:rsid w:val="00CC44EC"/>
    <w:rsid w:val="00CC470E"/>
    <w:rsid w:val="00CC5507"/>
    <w:rsid w:val="00CC603F"/>
    <w:rsid w:val="00CC744D"/>
    <w:rsid w:val="00CC7EE5"/>
    <w:rsid w:val="00CD0052"/>
    <w:rsid w:val="00CD47C4"/>
    <w:rsid w:val="00CD5895"/>
    <w:rsid w:val="00CE39E7"/>
    <w:rsid w:val="00CE53AB"/>
    <w:rsid w:val="00CE5E4D"/>
    <w:rsid w:val="00CE7AF1"/>
    <w:rsid w:val="00CF191E"/>
    <w:rsid w:val="00CF263A"/>
    <w:rsid w:val="00CF3205"/>
    <w:rsid w:val="00CF3C37"/>
    <w:rsid w:val="00CF59E8"/>
    <w:rsid w:val="00CF7BE6"/>
    <w:rsid w:val="00D03138"/>
    <w:rsid w:val="00D03468"/>
    <w:rsid w:val="00D058E5"/>
    <w:rsid w:val="00D0601C"/>
    <w:rsid w:val="00D116C4"/>
    <w:rsid w:val="00D1601A"/>
    <w:rsid w:val="00D2078F"/>
    <w:rsid w:val="00D21830"/>
    <w:rsid w:val="00D22EC9"/>
    <w:rsid w:val="00D24B00"/>
    <w:rsid w:val="00D25A92"/>
    <w:rsid w:val="00D26D05"/>
    <w:rsid w:val="00D36251"/>
    <w:rsid w:val="00D36D62"/>
    <w:rsid w:val="00D37252"/>
    <w:rsid w:val="00D37D4D"/>
    <w:rsid w:val="00D428B6"/>
    <w:rsid w:val="00D45A61"/>
    <w:rsid w:val="00D512EB"/>
    <w:rsid w:val="00D51378"/>
    <w:rsid w:val="00D55240"/>
    <w:rsid w:val="00D63F8F"/>
    <w:rsid w:val="00D644D0"/>
    <w:rsid w:val="00D65DBA"/>
    <w:rsid w:val="00D6667E"/>
    <w:rsid w:val="00D669B3"/>
    <w:rsid w:val="00D70CE1"/>
    <w:rsid w:val="00D760F8"/>
    <w:rsid w:val="00D825C5"/>
    <w:rsid w:val="00D9027D"/>
    <w:rsid w:val="00D97348"/>
    <w:rsid w:val="00DA0221"/>
    <w:rsid w:val="00DA1C57"/>
    <w:rsid w:val="00DA2269"/>
    <w:rsid w:val="00DA23C6"/>
    <w:rsid w:val="00DA2F30"/>
    <w:rsid w:val="00DA4BAC"/>
    <w:rsid w:val="00DA4C18"/>
    <w:rsid w:val="00DA610E"/>
    <w:rsid w:val="00DA6ADF"/>
    <w:rsid w:val="00DB217D"/>
    <w:rsid w:val="00DB2EBA"/>
    <w:rsid w:val="00DB3C62"/>
    <w:rsid w:val="00DB57E4"/>
    <w:rsid w:val="00DB7F82"/>
    <w:rsid w:val="00DC0757"/>
    <w:rsid w:val="00DC3772"/>
    <w:rsid w:val="00DC38DE"/>
    <w:rsid w:val="00DC3D9F"/>
    <w:rsid w:val="00DC42E4"/>
    <w:rsid w:val="00DC453A"/>
    <w:rsid w:val="00DC4CEF"/>
    <w:rsid w:val="00DC641D"/>
    <w:rsid w:val="00DD0243"/>
    <w:rsid w:val="00DD1115"/>
    <w:rsid w:val="00DD12ED"/>
    <w:rsid w:val="00DD1A2A"/>
    <w:rsid w:val="00DD4297"/>
    <w:rsid w:val="00DD453A"/>
    <w:rsid w:val="00DD56FF"/>
    <w:rsid w:val="00DD76E8"/>
    <w:rsid w:val="00DD7D12"/>
    <w:rsid w:val="00DE3ED4"/>
    <w:rsid w:val="00DE4F02"/>
    <w:rsid w:val="00DF1909"/>
    <w:rsid w:val="00DF24AF"/>
    <w:rsid w:val="00DF24C6"/>
    <w:rsid w:val="00DF2E25"/>
    <w:rsid w:val="00DF3297"/>
    <w:rsid w:val="00DF4173"/>
    <w:rsid w:val="00DF66EA"/>
    <w:rsid w:val="00DF6822"/>
    <w:rsid w:val="00E0174E"/>
    <w:rsid w:val="00E02AB5"/>
    <w:rsid w:val="00E05ECA"/>
    <w:rsid w:val="00E06FE6"/>
    <w:rsid w:val="00E1000E"/>
    <w:rsid w:val="00E108F2"/>
    <w:rsid w:val="00E13860"/>
    <w:rsid w:val="00E13D23"/>
    <w:rsid w:val="00E20B8D"/>
    <w:rsid w:val="00E20CE5"/>
    <w:rsid w:val="00E243C2"/>
    <w:rsid w:val="00E32167"/>
    <w:rsid w:val="00E32FD7"/>
    <w:rsid w:val="00E33137"/>
    <w:rsid w:val="00E33AFA"/>
    <w:rsid w:val="00E343D7"/>
    <w:rsid w:val="00E4354B"/>
    <w:rsid w:val="00E50E20"/>
    <w:rsid w:val="00E51775"/>
    <w:rsid w:val="00E517EF"/>
    <w:rsid w:val="00E51B65"/>
    <w:rsid w:val="00E52B07"/>
    <w:rsid w:val="00E5345C"/>
    <w:rsid w:val="00E54F52"/>
    <w:rsid w:val="00E563E9"/>
    <w:rsid w:val="00E56E2A"/>
    <w:rsid w:val="00E574C0"/>
    <w:rsid w:val="00E611B2"/>
    <w:rsid w:val="00E612A4"/>
    <w:rsid w:val="00E639C9"/>
    <w:rsid w:val="00E64468"/>
    <w:rsid w:val="00E649A8"/>
    <w:rsid w:val="00E65179"/>
    <w:rsid w:val="00E6539F"/>
    <w:rsid w:val="00E653B5"/>
    <w:rsid w:val="00E66297"/>
    <w:rsid w:val="00E667DC"/>
    <w:rsid w:val="00E66DAD"/>
    <w:rsid w:val="00E70443"/>
    <w:rsid w:val="00E709F0"/>
    <w:rsid w:val="00E71992"/>
    <w:rsid w:val="00E7295F"/>
    <w:rsid w:val="00E7641A"/>
    <w:rsid w:val="00E8072C"/>
    <w:rsid w:val="00E82FC8"/>
    <w:rsid w:val="00E85469"/>
    <w:rsid w:val="00E86001"/>
    <w:rsid w:val="00E87F32"/>
    <w:rsid w:val="00E907DB"/>
    <w:rsid w:val="00E95BE1"/>
    <w:rsid w:val="00EA117F"/>
    <w:rsid w:val="00EA3677"/>
    <w:rsid w:val="00EA398C"/>
    <w:rsid w:val="00EA399B"/>
    <w:rsid w:val="00EA3A9A"/>
    <w:rsid w:val="00EB08FE"/>
    <w:rsid w:val="00EB3245"/>
    <w:rsid w:val="00EB42BC"/>
    <w:rsid w:val="00EB4B6A"/>
    <w:rsid w:val="00EB5E30"/>
    <w:rsid w:val="00EB6AA3"/>
    <w:rsid w:val="00EC08A2"/>
    <w:rsid w:val="00EC2027"/>
    <w:rsid w:val="00EC2A4D"/>
    <w:rsid w:val="00EC32D6"/>
    <w:rsid w:val="00EC3E2D"/>
    <w:rsid w:val="00EC72FE"/>
    <w:rsid w:val="00ED0B69"/>
    <w:rsid w:val="00ED3FEA"/>
    <w:rsid w:val="00ED724A"/>
    <w:rsid w:val="00EE3C01"/>
    <w:rsid w:val="00EE4014"/>
    <w:rsid w:val="00EE48A5"/>
    <w:rsid w:val="00EE65DF"/>
    <w:rsid w:val="00EE6D07"/>
    <w:rsid w:val="00EF0E46"/>
    <w:rsid w:val="00EF0ED3"/>
    <w:rsid w:val="00EF320C"/>
    <w:rsid w:val="00EF601B"/>
    <w:rsid w:val="00EF6642"/>
    <w:rsid w:val="00F009C2"/>
    <w:rsid w:val="00F02503"/>
    <w:rsid w:val="00F04103"/>
    <w:rsid w:val="00F072DE"/>
    <w:rsid w:val="00F12085"/>
    <w:rsid w:val="00F125C3"/>
    <w:rsid w:val="00F14446"/>
    <w:rsid w:val="00F144B2"/>
    <w:rsid w:val="00F17885"/>
    <w:rsid w:val="00F17901"/>
    <w:rsid w:val="00F26061"/>
    <w:rsid w:val="00F26A44"/>
    <w:rsid w:val="00F31D39"/>
    <w:rsid w:val="00F332A9"/>
    <w:rsid w:val="00F33792"/>
    <w:rsid w:val="00F357B5"/>
    <w:rsid w:val="00F3589E"/>
    <w:rsid w:val="00F41270"/>
    <w:rsid w:val="00F44F1A"/>
    <w:rsid w:val="00F45865"/>
    <w:rsid w:val="00F46957"/>
    <w:rsid w:val="00F47B91"/>
    <w:rsid w:val="00F50F88"/>
    <w:rsid w:val="00F535B5"/>
    <w:rsid w:val="00F54BC3"/>
    <w:rsid w:val="00F60D8B"/>
    <w:rsid w:val="00F610BB"/>
    <w:rsid w:val="00F629B7"/>
    <w:rsid w:val="00F63302"/>
    <w:rsid w:val="00F64D35"/>
    <w:rsid w:val="00F65F33"/>
    <w:rsid w:val="00F66931"/>
    <w:rsid w:val="00F73201"/>
    <w:rsid w:val="00F732CE"/>
    <w:rsid w:val="00F76BE2"/>
    <w:rsid w:val="00F80705"/>
    <w:rsid w:val="00F85E48"/>
    <w:rsid w:val="00F8618D"/>
    <w:rsid w:val="00F865CC"/>
    <w:rsid w:val="00F8730B"/>
    <w:rsid w:val="00F93C22"/>
    <w:rsid w:val="00F93EEB"/>
    <w:rsid w:val="00F95842"/>
    <w:rsid w:val="00F96DCE"/>
    <w:rsid w:val="00F974F5"/>
    <w:rsid w:val="00FA2F13"/>
    <w:rsid w:val="00FA315D"/>
    <w:rsid w:val="00FA3F4D"/>
    <w:rsid w:val="00FA6FFC"/>
    <w:rsid w:val="00FB4181"/>
    <w:rsid w:val="00FB5FAB"/>
    <w:rsid w:val="00FC39CE"/>
    <w:rsid w:val="00FC43AA"/>
    <w:rsid w:val="00FC7198"/>
    <w:rsid w:val="00FC7457"/>
    <w:rsid w:val="00FD3A86"/>
    <w:rsid w:val="00FD4030"/>
    <w:rsid w:val="00FD4BE7"/>
    <w:rsid w:val="00FD56A3"/>
    <w:rsid w:val="00FD58FE"/>
    <w:rsid w:val="00FD5B9D"/>
    <w:rsid w:val="00FD711A"/>
    <w:rsid w:val="00FE0254"/>
    <w:rsid w:val="00FE1F02"/>
    <w:rsid w:val="00FE47CE"/>
    <w:rsid w:val="00FE4E19"/>
    <w:rsid w:val="00FE647B"/>
    <w:rsid w:val="00FE6684"/>
    <w:rsid w:val="00FE6E7F"/>
    <w:rsid w:val="00FE7A03"/>
    <w:rsid w:val="00FF1163"/>
    <w:rsid w:val="00FF238D"/>
    <w:rsid w:val="00FF268D"/>
    <w:rsid w:val="00FF419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46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1922"/>
    <w:rPr>
      <w:rFonts w:ascii="Times New Roman" w:eastAsia="Times New Roman" w:hAnsi="Times New Roman"/>
      <w:sz w:val="22"/>
      <w:lang w:eastAsia="en-US"/>
    </w:rPr>
  </w:style>
  <w:style w:type="paragraph" w:styleId="Antrat1">
    <w:name w:val="heading 1"/>
    <w:basedOn w:val="prastasis"/>
    <w:next w:val="prastasis"/>
    <w:link w:val="Antrat1Diagrama"/>
    <w:autoRedefine/>
    <w:uiPriority w:val="99"/>
    <w:qFormat/>
    <w:rsid w:val="00551922"/>
    <w:pPr>
      <w:keepNext/>
      <w:tabs>
        <w:tab w:val="left" w:pos="567"/>
      </w:tabs>
      <w:outlineLvl w:val="0"/>
    </w:pPr>
    <w:rPr>
      <w:rFonts w:eastAsia="Calibri"/>
      <w:b/>
      <w:sz w:val="20"/>
      <w:lang w:val="en-US" w:eastAsia="ja-JP"/>
    </w:rPr>
  </w:style>
  <w:style w:type="paragraph" w:styleId="Antrat2">
    <w:name w:val="heading 2"/>
    <w:basedOn w:val="prastasis"/>
    <w:next w:val="prastasis"/>
    <w:link w:val="Antrat2Diagrama"/>
    <w:autoRedefine/>
    <w:uiPriority w:val="99"/>
    <w:qFormat/>
    <w:rsid w:val="002E46DB"/>
    <w:pPr>
      <w:keepNext/>
      <w:numPr>
        <w:numId w:val="11"/>
      </w:numPr>
      <w:tabs>
        <w:tab w:val="left" w:pos="567"/>
      </w:tabs>
      <w:ind w:left="567" w:hanging="567"/>
      <w:outlineLvl w:val="1"/>
    </w:pPr>
    <w:rPr>
      <w:rFonts w:eastAsia="Calibri"/>
      <w:b/>
      <w:sz w:val="20"/>
      <w:lang w:val="en-US" w:eastAsia="ja-JP"/>
    </w:rPr>
  </w:style>
  <w:style w:type="paragraph" w:styleId="Antrat3">
    <w:name w:val="heading 3"/>
    <w:basedOn w:val="prastasis"/>
    <w:next w:val="prastasis"/>
    <w:link w:val="Antrat3Diagrama"/>
    <w:autoRedefine/>
    <w:uiPriority w:val="99"/>
    <w:qFormat/>
    <w:rsid w:val="007C448A"/>
    <w:pPr>
      <w:keepNext/>
      <w:numPr>
        <w:numId w:val="16"/>
      </w:numPr>
      <w:tabs>
        <w:tab w:val="left" w:pos="567"/>
      </w:tabs>
      <w:ind w:left="567" w:hanging="567"/>
      <w:outlineLvl w:val="2"/>
    </w:pPr>
    <w:rPr>
      <w:rFonts w:eastAsia="Calibri"/>
      <w:sz w:val="20"/>
      <w:lang w:val="en-US" w:eastAsia="ja-JP"/>
    </w:rPr>
  </w:style>
  <w:style w:type="paragraph" w:styleId="Antrat4">
    <w:name w:val="heading 4"/>
    <w:basedOn w:val="prastasis"/>
    <w:next w:val="prastasis"/>
    <w:link w:val="Antrat4Diagrama"/>
    <w:uiPriority w:val="99"/>
    <w:qFormat/>
    <w:rsid w:val="00551922"/>
    <w:pPr>
      <w:keepNext/>
      <w:jc w:val="both"/>
      <w:outlineLvl w:val="3"/>
    </w:pPr>
    <w:rPr>
      <w:rFonts w:eastAsia="Calibri"/>
      <w:sz w:val="20"/>
      <w:u w:val="single"/>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51922"/>
    <w:rPr>
      <w:rFonts w:ascii="Times New Roman" w:hAnsi="Times New Roman" w:cs="Times New Roman"/>
      <w:b/>
      <w:sz w:val="20"/>
    </w:rPr>
  </w:style>
  <w:style w:type="character" w:customStyle="1" w:styleId="Antrat2Diagrama">
    <w:name w:val="Antraštė 2 Diagrama"/>
    <w:link w:val="Antrat2"/>
    <w:uiPriority w:val="99"/>
    <w:locked/>
    <w:rsid w:val="002E46DB"/>
    <w:rPr>
      <w:rFonts w:ascii="Times New Roman" w:hAnsi="Times New Roman" w:cs="Times New Roman"/>
      <w:b/>
      <w:sz w:val="20"/>
    </w:rPr>
  </w:style>
  <w:style w:type="character" w:customStyle="1" w:styleId="Antrat3Diagrama">
    <w:name w:val="Antraštė 3 Diagrama"/>
    <w:link w:val="Antrat3"/>
    <w:uiPriority w:val="99"/>
    <w:locked/>
    <w:rsid w:val="007C448A"/>
    <w:rPr>
      <w:rFonts w:ascii="Times New Roman" w:hAnsi="Times New Roman" w:cs="Times New Roman"/>
      <w:sz w:val="20"/>
    </w:rPr>
  </w:style>
  <w:style w:type="character" w:customStyle="1" w:styleId="Antrat4Diagrama">
    <w:name w:val="Antraštė 4 Diagrama"/>
    <w:link w:val="Antrat4"/>
    <w:uiPriority w:val="99"/>
    <w:locked/>
    <w:rsid w:val="00551922"/>
    <w:rPr>
      <w:rFonts w:ascii="Times New Roman" w:hAnsi="Times New Roman" w:cs="Times New Roman"/>
      <w:sz w:val="20"/>
      <w:u w:val="single"/>
    </w:rPr>
  </w:style>
  <w:style w:type="paragraph" w:styleId="Pagrindinistekstas">
    <w:name w:val="Body Text"/>
    <w:basedOn w:val="prastasis"/>
    <w:link w:val="PagrindinistekstasDiagrama"/>
    <w:uiPriority w:val="99"/>
    <w:rsid w:val="00551922"/>
    <w:pPr>
      <w:spacing w:after="120"/>
    </w:pPr>
    <w:rPr>
      <w:rFonts w:eastAsia="Calibri"/>
      <w:sz w:val="20"/>
      <w:lang w:val="en-US" w:eastAsia="ja-JP"/>
    </w:rPr>
  </w:style>
  <w:style w:type="character" w:customStyle="1" w:styleId="PagrindinistekstasDiagrama">
    <w:name w:val="Pagrindinis tekstas Diagrama"/>
    <w:link w:val="Pagrindinistekstas"/>
    <w:uiPriority w:val="99"/>
    <w:locked/>
    <w:rsid w:val="00551922"/>
    <w:rPr>
      <w:rFonts w:ascii="Times New Roman" w:hAnsi="Times New Roman" w:cs="Times New Roman"/>
      <w:sz w:val="20"/>
    </w:rPr>
  </w:style>
  <w:style w:type="paragraph" w:styleId="Porat">
    <w:name w:val="footer"/>
    <w:basedOn w:val="prastasis"/>
    <w:link w:val="PoratDiagrama"/>
    <w:uiPriority w:val="99"/>
    <w:rsid w:val="00551922"/>
    <w:pPr>
      <w:tabs>
        <w:tab w:val="center" w:pos="4153"/>
        <w:tab w:val="right" w:pos="8306"/>
      </w:tabs>
    </w:pPr>
    <w:rPr>
      <w:rFonts w:eastAsia="Calibri"/>
      <w:sz w:val="20"/>
      <w:lang w:val="en-US" w:eastAsia="ja-JP"/>
    </w:rPr>
  </w:style>
  <w:style w:type="character" w:customStyle="1" w:styleId="PoratDiagrama">
    <w:name w:val="Poraštė Diagrama"/>
    <w:link w:val="Porat"/>
    <w:uiPriority w:val="99"/>
    <w:locked/>
    <w:rsid w:val="00551922"/>
    <w:rPr>
      <w:rFonts w:ascii="Times New Roman" w:hAnsi="Times New Roman" w:cs="Times New Roman"/>
      <w:sz w:val="20"/>
    </w:rPr>
  </w:style>
  <w:style w:type="character" w:styleId="Puslapionumeris">
    <w:name w:val="page number"/>
    <w:uiPriority w:val="99"/>
    <w:rsid w:val="00551922"/>
    <w:rPr>
      <w:rFonts w:cs="Times New Roman"/>
    </w:rPr>
  </w:style>
  <w:style w:type="paragraph" w:styleId="Pavadinimas">
    <w:name w:val="Title"/>
    <w:basedOn w:val="prastasis"/>
    <w:link w:val="PavadinimasDiagrama"/>
    <w:autoRedefine/>
    <w:uiPriority w:val="99"/>
    <w:qFormat/>
    <w:rsid w:val="00551922"/>
    <w:pPr>
      <w:jc w:val="center"/>
      <w:outlineLvl w:val="0"/>
    </w:pPr>
    <w:rPr>
      <w:rFonts w:eastAsia="Calibri"/>
      <w:b/>
      <w:kern w:val="28"/>
      <w:sz w:val="20"/>
      <w:lang w:val="en-US" w:eastAsia="ja-JP"/>
    </w:rPr>
  </w:style>
  <w:style w:type="character" w:customStyle="1" w:styleId="PavadinimasDiagrama">
    <w:name w:val="Pavadinimas Diagrama"/>
    <w:link w:val="Pavadinimas"/>
    <w:uiPriority w:val="99"/>
    <w:locked/>
    <w:rsid w:val="00551922"/>
    <w:rPr>
      <w:rFonts w:ascii="Times New Roman" w:hAnsi="Times New Roman" w:cs="Times New Roman"/>
      <w:b/>
      <w:kern w:val="28"/>
      <w:sz w:val="20"/>
    </w:rPr>
  </w:style>
  <w:style w:type="character" w:styleId="Hipersaitas">
    <w:name w:val="Hyperlink"/>
    <w:uiPriority w:val="99"/>
    <w:rsid w:val="00551922"/>
    <w:rPr>
      <w:rFonts w:cs="Times New Roman"/>
      <w:color w:val="0000FF"/>
      <w:u w:val="single"/>
    </w:rPr>
  </w:style>
  <w:style w:type="paragraph" w:customStyle="1" w:styleId="BT-EMEASMCA">
    <w:name w:val="BT- EMEA_SMCA"/>
    <w:basedOn w:val="prastasis"/>
    <w:autoRedefine/>
    <w:uiPriority w:val="99"/>
    <w:rsid w:val="00551922"/>
    <w:rPr>
      <w:b/>
      <w:bCs/>
      <w:noProof/>
      <w:szCs w:val="22"/>
    </w:rPr>
  </w:style>
  <w:style w:type="paragraph" w:customStyle="1" w:styleId="BTEMEASMCA">
    <w:name w:val="BT EMEA_SMCA"/>
    <w:basedOn w:val="prastasis"/>
    <w:link w:val="BTEMEASMCAChar"/>
    <w:autoRedefine/>
    <w:uiPriority w:val="99"/>
    <w:rsid w:val="003B3FAC"/>
    <w:pPr>
      <w:numPr>
        <w:ilvl w:val="1"/>
        <w:numId w:val="27"/>
      </w:numPr>
      <w:tabs>
        <w:tab w:val="clear" w:pos="720"/>
        <w:tab w:val="num" w:pos="360"/>
      </w:tabs>
      <w:ind w:left="360"/>
    </w:pPr>
    <w:rPr>
      <w:rFonts w:ascii="Calibri" w:eastAsia="Calibri" w:hAnsi="Calibri"/>
      <w:sz w:val="20"/>
    </w:rPr>
  </w:style>
  <w:style w:type="paragraph" w:customStyle="1" w:styleId="BTuEMEASMCA">
    <w:name w:val="BT(u) EMEA_SMCA"/>
    <w:basedOn w:val="prastasis"/>
    <w:autoRedefine/>
    <w:uiPriority w:val="99"/>
    <w:rsid w:val="00551922"/>
    <w:rPr>
      <w:szCs w:val="22"/>
      <w:u w:val="single"/>
    </w:rPr>
  </w:style>
  <w:style w:type="paragraph" w:styleId="Debesliotekstas">
    <w:name w:val="Balloon Text"/>
    <w:basedOn w:val="prastasis"/>
    <w:link w:val="DebesliotekstasDiagrama"/>
    <w:uiPriority w:val="99"/>
    <w:semiHidden/>
    <w:rsid w:val="00551922"/>
    <w:rPr>
      <w:rFonts w:ascii="Tahoma" w:eastAsia="Calibri" w:hAnsi="Tahoma"/>
      <w:sz w:val="16"/>
      <w:szCs w:val="16"/>
      <w:lang w:val="en-US" w:eastAsia="ja-JP"/>
    </w:rPr>
  </w:style>
  <w:style w:type="character" w:customStyle="1" w:styleId="DebesliotekstasDiagrama">
    <w:name w:val="Debesėlio tekstas Diagrama"/>
    <w:link w:val="Debesliotekstas"/>
    <w:uiPriority w:val="99"/>
    <w:semiHidden/>
    <w:locked/>
    <w:rsid w:val="00551922"/>
    <w:rPr>
      <w:rFonts w:ascii="Tahoma" w:hAnsi="Tahoma" w:cs="Times New Roman"/>
      <w:sz w:val="16"/>
    </w:rPr>
  </w:style>
  <w:style w:type="table" w:styleId="Lentelstinklelis">
    <w:name w:val="Table Grid"/>
    <w:basedOn w:val="prastojilentel"/>
    <w:uiPriority w:val="99"/>
    <w:rsid w:val="006E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rsid w:val="004643B9"/>
    <w:pPr>
      <w:ind w:left="720"/>
      <w:contextualSpacing/>
    </w:pPr>
  </w:style>
  <w:style w:type="paragraph" w:customStyle="1" w:styleId="TTEMEASMCA">
    <w:name w:val="TT EMEA_SMCA"/>
    <w:basedOn w:val="Antrat1"/>
    <w:link w:val="TTEMEASMCAChar"/>
    <w:autoRedefine/>
    <w:uiPriority w:val="99"/>
    <w:rsid w:val="00C0605B"/>
    <w:pPr>
      <w:keepNext w:val="0"/>
      <w:ind w:left="567" w:hanging="567"/>
      <w:jc w:val="center"/>
    </w:pPr>
    <w:rPr>
      <w:caps/>
      <w:lang w:eastAsia="x-none"/>
    </w:rPr>
  </w:style>
  <w:style w:type="character" w:customStyle="1" w:styleId="TTEMEASMCAChar">
    <w:name w:val="TT EMEA_SMCA Char"/>
    <w:link w:val="TTEMEASMCA"/>
    <w:uiPriority w:val="99"/>
    <w:locked/>
    <w:rsid w:val="00C0605B"/>
    <w:rPr>
      <w:rFonts w:ascii="Times New Roman" w:hAnsi="Times New Roman"/>
      <w:b/>
      <w:caps/>
      <w:lang w:val="en-US"/>
    </w:rPr>
  </w:style>
  <w:style w:type="paragraph" w:customStyle="1" w:styleId="BTAnIIEMEASMCA">
    <w:name w:val="BT(AnII) EMEA_SMCA"/>
    <w:basedOn w:val="Debesliotekstas"/>
    <w:autoRedefine/>
    <w:uiPriority w:val="99"/>
    <w:rsid w:val="00C0605B"/>
    <w:pPr>
      <w:tabs>
        <w:tab w:val="left" w:pos="1701"/>
      </w:tabs>
      <w:ind w:left="1701" w:hanging="567"/>
    </w:pPr>
    <w:rPr>
      <w:rFonts w:ascii="Times New Roman" w:hAnsi="Times New Roman"/>
      <w:b/>
      <w:sz w:val="22"/>
      <w:szCs w:val="22"/>
      <w:lang w:val="en-GB"/>
    </w:rPr>
  </w:style>
  <w:style w:type="character" w:customStyle="1" w:styleId="BTEMEASMCAChar">
    <w:name w:val="BT EMEA_SMCA Char"/>
    <w:link w:val="BTEMEASMCA"/>
    <w:uiPriority w:val="99"/>
    <w:locked/>
    <w:rsid w:val="00F04103"/>
    <w:rPr>
      <w:sz w:val="20"/>
      <w:lang w:val="lt-LT" w:eastAsia="en-US"/>
    </w:rPr>
  </w:style>
  <w:style w:type="paragraph" w:customStyle="1" w:styleId="PI-1EMEASMCA">
    <w:name w:val="PI-1 EMEA_SMCA"/>
    <w:basedOn w:val="Antrat2"/>
    <w:autoRedefine/>
    <w:uiPriority w:val="99"/>
    <w:rsid w:val="00C0605B"/>
    <w:pPr>
      <w:numPr>
        <w:numId w:val="0"/>
      </w:numPr>
      <w:ind w:left="567" w:hanging="567"/>
    </w:pPr>
    <w:rPr>
      <w:szCs w:val="22"/>
    </w:rPr>
  </w:style>
  <w:style w:type="paragraph" w:customStyle="1" w:styleId="PI-2EMEASMCA">
    <w:name w:val="PI-2 EMEA_SMCA"/>
    <w:basedOn w:val="Antrat3"/>
    <w:autoRedefine/>
    <w:uiPriority w:val="99"/>
    <w:rsid w:val="00C0605B"/>
    <w:pPr>
      <w:keepLines/>
      <w:numPr>
        <w:numId w:val="0"/>
      </w:numPr>
      <w:ind w:left="567" w:hanging="567"/>
    </w:pPr>
    <w:rPr>
      <w:b/>
      <w:kern w:val="28"/>
      <w:szCs w:val="22"/>
    </w:rPr>
  </w:style>
  <w:style w:type="character" w:styleId="Emfaz">
    <w:name w:val="Emphasis"/>
    <w:uiPriority w:val="99"/>
    <w:qFormat/>
    <w:locked/>
    <w:rsid w:val="000E6AFB"/>
    <w:rPr>
      <w:rFonts w:cs="Times New Roman"/>
      <w:i/>
    </w:rPr>
  </w:style>
  <w:style w:type="paragraph" w:customStyle="1" w:styleId="Default">
    <w:name w:val="Default"/>
    <w:rsid w:val="0010475D"/>
    <w:pPr>
      <w:autoSpaceDE w:val="0"/>
      <w:autoSpaceDN w:val="0"/>
      <w:adjustRightInd w:val="0"/>
    </w:pPr>
    <w:rPr>
      <w:rFonts w:ascii="Times New Roman" w:eastAsia="Times New Roman" w:hAnsi="Times New Roman"/>
      <w:color w:val="000000"/>
      <w:sz w:val="24"/>
      <w:szCs w:val="24"/>
      <w:lang w:val="sl-SI" w:eastAsia="sl-SI"/>
    </w:rPr>
  </w:style>
  <w:style w:type="paragraph" w:customStyle="1" w:styleId="Style7">
    <w:name w:val="Style7"/>
    <w:basedOn w:val="prastasis"/>
    <w:uiPriority w:val="99"/>
    <w:rsid w:val="001E689A"/>
    <w:pPr>
      <w:widowControl w:val="0"/>
      <w:autoSpaceDE w:val="0"/>
      <w:autoSpaceDN w:val="0"/>
      <w:adjustRightInd w:val="0"/>
      <w:spacing w:line="254" w:lineRule="exact"/>
    </w:pPr>
    <w:rPr>
      <w:sz w:val="24"/>
      <w:szCs w:val="24"/>
      <w:lang w:val="cs-CZ" w:eastAsia="cs-CZ"/>
    </w:rPr>
  </w:style>
  <w:style w:type="character" w:customStyle="1" w:styleId="FontStyle22">
    <w:name w:val="Font Style22"/>
    <w:uiPriority w:val="99"/>
    <w:rsid w:val="001E689A"/>
    <w:rPr>
      <w:rFonts w:ascii="Times New Roman" w:hAnsi="Times New Roman"/>
      <w:sz w:val="20"/>
    </w:rPr>
  </w:style>
  <w:style w:type="paragraph" w:customStyle="1" w:styleId="Style9">
    <w:name w:val="Style9"/>
    <w:basedOn w:val="prastasis"/>
    <w:uiPriority w:val="99"/>
    <w:rsid w:val="000006AF"/>
    <w:pPr>
      <w:widowControl w:val="0"/>
      <w:autoSpaceDE w:val="0"/>
      <w:autoSpaceDN w:val="0"/>
      <w:adjustRightInd w:val="0"/>
    </w:pPr>
    <w:rPr>
      <w:sz w:val="24"/>
      <w:szCs w:val="24"/>
      <w:lang w:val="cs-CZ" w:eastAsia="cs-CZ"/>
    </w:rPr>
  </w:style>
  <w:style w:type="character" w:customStyle="1" w:styleId="FontStyle20">
    <w:name w:val="Font Style20"/>
    <w:uiPriority w:val="99"/>
    <w:rsid w:val="000006AF"/>
    <w:rPr>
      <w:rFonts w:ascii="Times New Roman" w:hAnsi="Times New Roman"/>
      <w:i/>
      <w:sz w:val="20"/>
    </w:rPr>
  </w:style>
  <w:style w:type="paragraph" w:customStyle="1" w:styleId="Style16">
    <w:name w:val="Style16"/>
    <w:basedOn w:val="prastasis"/>
    <w:uiPriority w:val="99"/>
    <w:rsid w:val="000006AF"/>
    <w:pPr>
      <w:widowControl w:val="0"/>
      <w:autoSpaceDE w:val="0"/>
      <w:autoSpaceDN w:val="0"/>
      <w:adjustRightInd w:val="0"/>
      <w:spacing w:line="254" w:lineRule="exact"/>
      <w:jc w:val="both"/>
    </w:pPr>
    <w:rPr>
      <w:sz w:val="24"/>
      <w:szCs w:val="24"/>
      <w:lang w:val="cs-CZ" w:eastAsia="cs-CZ"/>
    </w:rPr>
  </w:style>
  <w:style w:type="paragraph" w:customStyle="1" w:styleId="Style8">
    <w:name w:val="Style8"/>
    <w:basedOn w:val="prastasis"/>
    <w:uiPriority w:val="99"/>
    <w:rsid w:val="005256A1"/>
    <w:pPr>
      <w:widowControl w:val="0"/>
      <w:autoSpaceDE w:val="0"/>
      <w:autoSpaceDN w:val="0"/>
      <w:adjustRightInd w:val="0"/>
      <w:spacing w:line="509" w:lineRule="exact"/>
      <w:jc w:val="both"/>
    </w:pPr>
    <w:rPr>
      <w:sz w:val="24"/>
      <w:szCs w:val="24"/>
      <w:lang w:val="cs-CZ" w:eastAsia="cs-CZ"/>
    </w:rPr>
  </w:style>
  <w:style w:type="paragraph" w:customStyle="1" w:styleId="Style12">
    <w:name w:val="Style12"/>
    <w:basedOn w:val="prastasis"/>
    <w:uiPriority w:val="99"/>
    <w:rsid w:val="00272B41"/>
    <w:pPr>
      <w:widowControl w:val="0"/>
      <w:autoSpaceDE w:val="0"/>
      <w:autoSpaceDN w:val="0"/>
      <w:adjustRightInd w:val="0"/>
      <w:spacing w:line="254" w:lineRule="exact"/>
      <w:ind w:hanging="562"/>
    </w:pPr>
    <w:rPr>
      <w:sz w:val="24"/>
      <w:szCs w:val="24"/>
      <w:lang w:val="cs-CZ" w:eastAsia="cs-CZ"/>
    </w:rPr>
  </w:style>
  <w:style w:type="character" w:customStyle="1" w:styleId="FontStyle21">
    <w:name w:val="Font Style21"/>
    <w:uiPriority w:val="99"/>
    <w:rsid w:val="00E612A4"/>
    <w:rPr>
      <w:rFonts w:ascii="Times New Roman" w:hAnsi="Times New Roman"/>
      <w:b/>
      <w:sz w:val="20"/>
    </w:rPr>
  </w:style>
  <w:style w:type="paragraph" w:customStyle="1" w:styleId="Style1">
    <w:name w:val="Style1"/>
    <w:basedOn w:val="prastasis"/>
    <w:uiPriority w:val="99"/>
    <w:rsid w:val="00E612A4"/>
    <w:pPr>
      <w:widowControl w:val="0"/>
      <w:autoSpaceDE w:val="0"/>
      <w:autoSpaceDN w:val="0"/>
      <w:adjustRightInd w:val="0"/>
    </w:pPr>
    <w:rPr>
      <w:sz w:val="24"/>
      <w:szCs w:val="24"/>
      <w:lang w:val="cs-CZ" w:eastAsia="cs-CZ"/>
    </w:rPr>
  </w:style>
  <w:style w:type="character" w:styleId="Perirtashipersaitas">
    <w:name w:val="FollowedHyperlink"/>
    <w:uiPriority w:val="99"/>
    <w:rsid w:val="00A1727B"/>
    <w:rPr>
      <w:rFonts w:cs="Times New Roman"/>
      <w:color w:val="800080"/>
      <w:u w:val="single"/>
    </w:rPr>
  </w:style>
  <w:style w:type="character" w:customStyle="1" w:styleId="st1">
    <w:name w:val="st1"/>
    <w:uiPriority w:val="99"/>
    <w:rsid w:val="00F04103"/>
    <w:rPr>
      <w:rFonts w:cs="Times New Roman"/>
    </w:rPr>
  </w:style>
  <w:style w:type="character" w:styleId="Komentaronuoroda">
    <w:name w:val="annotation reference"/>
    <w:uiPriority w:val="99"/>
    <w:semiHidden/>
    <w:rsid w:val="00342261"/>
    <w:rPr>
      <w:rFonts w:cs="Times New Roman"/>
      <w:sz w:val="16"/>
      <w:szCs w:val="16"/>
    </w:rPr>
  </w:style>
  <w:style w:type="paragraph" w:styleId="Komentarotekstas">
    <w:name w:val="annotation text"/>
    <w:basedOn w:val="prastasis"/>
    <w:link w:val="KomentarotekstasDiagrama"/>
    <w:uiPriority w:val="99"/>
    <w:semiHidden/>
    <w:rsid w:val="00342261"/>
    <w:rPr>
      <w:sz w:val="20"/>
    </w:rPr>
  </w:style>
  <w:style w:type="character" w:customStyle="1" w:styleId="KomentarotekstasDiagrama">
    <w:name w:val="Komentaro tekstas Diagrama"/>
    <w:link w:val="Komentarotekstas"/>
    <w:uiPriority w:val="99"/>
    <w:semiHidden/>
    <w:locked/>
    <w:rsid w:val="00DA1C57"/>
    <w:rPr>
      <w:rFonts w:ascii="Times New Roman" w:hAnsi="Times New Roman" w:cs="Times New Roman"/>
      <w:sz w:val="20"/>
      <w:szCs w:val="20"/>
      <w:lang w:val="lt-LT" w:eastAsia="en-US"/>
    </w:rPr>
  </w:style>
  <w:style w:type="paragraph" w:styleId="Komentarotema">
    <w:name w:val="annotation subject"/>
    <w:basedOn w:val="Komentarotekstas"/>
    <w:next w:val="Komentarotekstas"/>
    <w:link w:val="KomentarotemaDiagrama"/>
    <w:uiPriority w:val="99"/>
    <w:semiHidden/>
    <w:rsid w:val="00342261"/>
    <w:rPr>
      <w:b/>
      <w:bCs/>
    </w:rPr>
  </w:style>
  <w:style w:type="character" w:customStyle="1" w:styleId="KomentarotemaDiagrama">
    <w:name w:val="Komentaro tema Diagrama"/>
    <w:link w:val="Komentarotema"/>
    <w:uiPriority w:val="99"/>
    <w:semiHidden/>
    <w:locked/>
    <w:rsid w:val="00DA1C57"/>
    <w:rPr>
      <w:rFonts w:ascii="Times New Roman" w:hAnsi="Times New Roman" w:cs="Times New Roman"/>
      <w:b/>
      <w:bCs/>
      <w:sz w:val="20"/>
      <w:szCs w:val="20"/>
      <w:lang w:val="lt-LT" w:eastAsia="en-US"/>
    </w:rPr>
  </w:style>
  <w:style w:type="paragraph" w:customStyle="1" w:styleId="Sraopastraipa1">
    <w:name w:val="Sąrašo pastraipa1"/>
    <w:basedOn w:val="prastasis"/>
    <w:uiPriority w:val="99"/>
    <w:rsid w:val="003B3FAC"/>
    <w:pPr>
      <w:ind w:left="720"/>
      <w:contextualSpacing/>
    </w:pPr>
  </w:style>
  <w:style w:type="paragraph" w:styleId="Antrats">
    <w:name w:val="header"/>
    <w:basedOn w:val="prastasis"/>
    <w:link w:val="AntratsDiagrama"/>
    <w:uiPriority w:val="99"/>
    <w:semiHidden/>
    <w:rsid w:val="003B3FAC"/>
    <w:pPr>
      <w:tabs>
        <w:tab w:val="center" w:pos="4819"/>
        <w:tab w:val="right" w:pos="9638"/>
      </w:tabs>
    </w:pPr>
  </w:style>
  <w:style w:type="character" w:customStyle="1" w:styleId="AntratsDiagrama">
    <w:name w:val="Antraštės Diagrama"/>
    <w:link w:val="Antrats"/>
    <w:uiPriority w:val="99"/>
    <w:semiHidden/>
    <w:locked/>
    <w:rsid w:val="003B3FAC"/>
    <w:rPr>
      <w:rFonts w:ascii="Times New Roman" w:hAnsi="Times New Roman" w:cs="Times New Roman"/>
      <w:sz w:val="20"/>
      <w:szCs w:val="20"/>
      <w:lang w:val="lt-LT" w:eastAsia="en-US"/>
    </w:rPr>
  </w:style>
  <w:style w:type="paragraph" w:styleId="Sraopastraipa">
    <w:name w:val="List Paragraph"/>
    <w:basedOn w:val="prastasis"/>
    <w:uiPriority w:val="34"/>
    <w:qFormat/>
    <w:rsid w:val="00190720"/>
    <w:pPr>
      <w:ind w:left="720"/>
      <w:contextualSpacing/>
    </w:pPr>
  </w:style>
  <w:style w:type="paragraph" w:customStyle="1" w:styleId="PI-3EMEASMCA">
    <w:name w:val="PI-3 EMEA_SMCA"/>
    <w:basedOn w:val="prastasis"/>
    <w:autoRedefine/>
    <w:uiPriority w:val="99"/>
    <w:rsid w:val="00924C8F"/>
    <w:pPr>
      <w:spacing w:line="220" w:lineRule="exact"/>
    </w:pPr>
    <w:rPr>
      <w:b/>
      <w:bCs/>
      <w:szCs w:val="22"/>
    </w:rPr>
  </w:style>
  <w:style w:type="character" w:customStyle="1" w:styleId="UnresolvedMention1">
    <w:name w:val="Unresolved Mention1"/>
    <w:basedOn w:val="Numatytasispastraiposriftas"/>
    <w:uiPriority w:val="99"/>
    <w:semiHidden/>
    <w:unhideWhenUsed/>
    <w:rsid w:val="00EB4B6A"/>
    <w:rPr>
      <w:color w:val="605E5C"/>
      <w:shd w:val="clear" w:color="auto" w:fill="E1DFDD"/>
    </w:rPr>
  </w:style>
  <w:style w:type="paragraph" w:styleId="Pataisymai">
    <w:name w:val="Revision"/>
    <w:hidden/>
    <w:uiPriority w:val="99"/>
    <w:semiHidden/>
    <w:rsid w:val="009F511D"/>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1181">
      <w:bodyDiv w:val="1"/>
      <w:marLeft w:val="0"/>
      <w:marRight w:val="0"/>
      <w:marTop w:val="0"/>
      <w:marBottom w:val="0"/>
      <w:divBdr>
        <w:top w:val="none" w:sz="0" w:space="0" w:color="auto"/>
        <w:left w:val="none" w:sz="0" w:space="0" w:color="auto"/>
        <w:bottom w:val="none" w:sz="0" w:space="0" w:color="auto"/>
        <w:right w:val="none" w:sz="0" w:space="0" w:color="auto"/>
      </w:divBdr>
      <w:divsChild>
        <w:div w:id="1052312984">
          <w:marLeft w:val="0"/>
          <w:marRight w:val="0"/>
          <w:marTop w:val="0"/>
          <w:marBottom w:val="0"/>
          <w:divBdr>
            <w:top w:val="none" w:sz="0" w:space="0" w:color="auto"/>
            <w:left w:val="none" w:sz="0" w:space="0" w:color="auto"/>
            <w:bottom w:val="none" w:sz="0" w:space="0" w:color="auto"/>
            <w:right w:val="none" w:sz="0" w:space="0" w:color="auto"/>
          </w:divBdr>
          <w:divsChild>
            <w:div w:id="700713412">
              <w:marLeft w:val="0"/>
              <w:marRight w:val="0"/>
              <w:marTop w:val="0"/>
              <w:marBottom w:val="0"/>
              <w:divBdr>
                <w:top w:val="none" w:sz="0" w:space="0" w:color="auto"/>
                <w:left w:val="none" w:sz="0" w:space="0" w:color="auto"/>
                <w:bottom w:val="none" w:sz="0" w:space="0" w:color="auto"/>
                <w:right w:val="none" w:sz="0" w:space="0" w:color="auto"/>
              </w:divBdr>
              <w:divsChild>
                <w:div w:id="1174033381">
                  <w:marLeft w:val="0"/>
                  <w:marRight w:val="0"/>
                  <w:marTop w:val="0"/>
                  <w:marBottom w:val="0"/>
                  <w:divBdr>
                    <w:top w:val="none" w:sz="0" w:space="0" w:color="auto"/>
                    <w:left w:val="none" w:sz="0" w:space="0" w:color="auto"/>
                    <w:bottom w:val="none" w:sz="0" w:space="0" w:color="auto"/>
                    <w:right w:val="none" w:sz="0" w:space="0" w:color="auto"/>
                  </w:divBdr>
                  <w:divsChild>
                    <w:div w:id="1240749080">
                      <w:marLeft w:val="0"/>
                      <w:marRight w:val="0"/>
                      <w:marTop w:val="0"/>
                      <w:marBottom w:val="0"/>
                      <w:divBdr>
                        <w:top w:val="none" w:sz="0" w:space="0" w:color="auto"/>
                        <w:left w:val="none" w:sz="0" w:space="0" w:color="auto"/>
                        <w:bottom w:val="none" w:sz="0" w:space="0" w:color="auto"/>
                        <w:right w:val="none" w:sz="0" w:space="0" w:color="auto"/>
                      </w:divBdr>
                      <w:divsChild>
                        <w:div w:id="2031255489">
                          <w:marLeft w:val="0"/>
                          <w:marRight w:val="0"/>
                          <w:marTop w:val="0"/>
                          <w:marBottom w:val="0"/>
                          <w:divBdr>
                            <w:top w:val="none" w:sz="0" w:space="0" w:color="auto"/>
                            <w:left w:val="none" w:sz="0" w:space="0" w:color="auto"/>
                            <w:bottom w:val="none" w:sz="0" w:space="0" w:color="auto"/>
                            <w:right w:val="none" w:sz="0" w:space="0" w:color="auto"/>
                          </w:divBdr>
                          <w:divsChild>
                            <w:div w:id="1975597797">
                              <w:marLeft w:val="0"/>
                              <w:marRight w:val="0"/>
                              <w:marTop w:val="0"/>
                              <w:marBottom w:val="0"/>
                              <w:divBdr>
                                <w:top w:val="none" w:sz="0" w:space="0" w:color="auto"/>
                                <w:left w:val="none" w:sz="0" w:space="0" w:color="auto"/>
                                <w:bottom w:val="none" w:sz="0" w:space="0" w:color="auto"/>
                                <w:right w:val="none" w:sz="0" w:space="0" w:color="auto"/>
                              </w:divBdr>
                              <w:divsChild>
                                <w:div w:id="986979189">
                                  <w:marLeft w:val="0"/>
                                  <w:marRight w:val="0"/>
                                  <w:marTop w:val="0"/>
                                  <w:marBottom w:val="0"/>
                                  <w:divBdr>
                                    <w:top w:val="none" w:sz="0" w:space="0" w:color="auto"/>
                                    <w:left w:val="none" w:sz="0" w:space="0" w:color="auto"/>
                                    <w:bottom w:val="none" w:sz="0" w:space="0" w:color="auto"/>
                                    <w:right w:val="none" w:sz="0" w:space="0" w:color="auto"/>
                                  </w:divBdr>
                                  <w:divsChild>
                                    <w:div w:id="1351880256">
                                      <w:marLeft w:val="0"/>
                                      <w:marRight w:val="0"/>
                                      <w:marTop w:val="0"/>
                                      <w:marBottom w:val="0"/>
                                      <w:divBdr>
                                        <w:top w:val="none" w:sz="0" w:space="0" w:color="auto"/>
                                        <w:left w:val="none" w:sz="0" w:space="0" w:color="auto"/>
                                        <w:bottom w:val="none" w:sz="0" w:space="0" w:color="auto"/>
                                        <w:right w:val="none" w:sz="0" w:space="0" w:color="auto"/>
                                      </w:divBdr>
                                      <w:divsChild>
                                        <w:div w:id="649141405">
                                          <w:marLeft w:val="0"/>
                                          <w:marRight w:val="0"/>
                                          <w:marTop w:val="0"/>
                                          <w:marBottom w:val="0"/>
                                          <w:divBdr>
                                            <w:top w:val="none" w:sz="0" w:space="0" w:color="auto"/>
                                            <w:left w:val="none" w:sz="0" w:space="0" w:color="auto"/>
                                            <w:bottom w:val="none" w:sz="0" w:space="0" w:color="auto"/>
                                            <w:right w:val="none" w:sz="0" w:space="0" w:color="auto"/>
                                          </w:divBdr>
                                          <w:divsChild>
                                            <w:div w:id="2036297997">
                                              <w:marLeft w:val="0"/>
                                              <w:marRight w:val="0"/>
                                              <w:marTop w:val="0"/>
                                              <w:marBottom w:val="495"/>
                                              <w:divBdr>
                                                <w:top w:val="none" w:sz="0" w:space="0" w:color="auto"/>
                                                <w:left w:val="none" w:sz="0" w:space="0" w:color="auto"/>
                                                <w:bottom w:val="none" w:sz="0" w:space="0" w:color="auto"/>
                                                <w:right w:val="none" w:sz="0" w:space="0" w:color="auto"/>
                                              </w:divBdr>
                                              <w:divsChild>
                                                <w:div w:id="6909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253855">
      <w:marLeft w:val="0"/>
      <w:marRight w:val="0"/>
      <w:marTop w:val="0"/>
      <w:marBottom w:val="0"/>
      <w:divBdr>
        <w:top w:val="none" w:sz="0" w:space="0" w:color="auto"/>
        <w:left w:val="none" w:sz="0" w:space="0" w:color="auto"/>
        <w:bottom w:val="none" w:sz="0" w:space="0" w:color="auto"/>
        <w:right w:val="none" w:sz="0" w:space="0" w:color="auto"/>
      </w:divBdr>
    </w:div>
    <w:div w:id="1582253856">
      <w:marLeft w:val="0"/>
      <w:marRight w:val="0"/>
      <w:marTop w:val="0"/>
      <w:marBottom w:val="0"/>
      <w:divBdr>
        <w:top w:val="none" w:sz="0" w:space="0" w:color="auto"/>
        <w:left w:val="none" w:sz="0" w:space="0" w:color="auto"/>
        <w:bottom w:val="none" w:sz="0" w:space="0" w:color="auto"/>
        <w:right w:val="none" w:sz="0" w:space="0" w:color="auto"/>
      </w:divBdr>
    </w:div>
    <w:div w:id="16184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8371</Words>
  <Characters>61404</Characters>
  <Application>Microsoft Office Word</Application>
  <DocSecurity>4</DocSecurity>
  <Lines>511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69636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2025-05-21T08:35:00Z</dcterms:created>
  <dcterms:modified xsi:type="dcterms:W3CDTF">2025-05-21T08:35:00Z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2021-12-12T17:06:30Z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9be3a853-aaed-46a3-a492-b86fe8bf4f16</vt:lpwstr>
  </property>
  <property fmtid="{D5CDD505-2E9C-101B-9397-08002B2CF9AE}" pid="8" name="MSIP_Label_c63a0701-319b-41bf-8431-58956e491e60_ContentBits">
    <vt:lpwstr>0</vt:lpwstr>
  </property>
</Properties>
</file>