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935" w:rsidRPr="00994268" w:rsidRDefault="00F85935" w:rsidP="00F85935">
      <w:pPr>
        <w:spacing w:after="0" w:line="240" w:lineRule="auto"/>
        <w:jc w:val="center"/>
        <w:rPr>
          <w:rFonts w:ascii="Times New Roman" w:hAnsi="Times New Roman"/>
          <w:b/>
          <w:lang w:val="lt-LT"/>
        </w:rPr>
      </w:pPr>
      <w:bookmarkStart w:id="0" w:name="_Toc129243138"/>
      <w:bookmarkStart w:id="1" w:name="_Toc129243263"/>
      <w:r w:rsidRPr="00D73441">
        <w:rPr>
          <w:rFonts w:ascii="Times New Roman" w:eastAsia="Times New Roman" w:hAnsi="Times New Roman"/>
          <w:b/>
          <w:lang w:val="lt-LT"/>
        </w:rPr>
        <w:t>Pakuotės lapelis: informacija</w:t>
      </w:r>
      <w:r w:rsidRPr="00D73441" w:rsidDel="0043587B">
        <w:rPr>
          <w:rFonts w:ascii="Times New Roman" w:eastAsia="Times New Roman" w:hAnsi="Times New Roman"/>
          <w:b/>
          <w:lang w:val="lt-LT"/>
        </w:rPr>
        <w:t xml:space="preserve"> </w:t>
      </w:r>
      <w:r w:rsidRPr="00D73441">
        <w:rPr>
          <w:rFonts w:ascii="Times New Roman" w:eastAsia="Times New Roman" w:hAnsi="Times New Roman"/>
          <w:b/>
          <w:bCs/>
          <w:lang w:val="lt-LT" w:eastAsia="lt-LT"/>
        </w:rPr>
        <w:t>vartotojui</w:t>
      </w:r>
    </w:p>
    <w:bookmarkEnd w:id="0"/>
    <w:bookmarkEnd w:id="1"/>
    <w:p w:rsidR="00F85935" w:rsidRPr="00D73441" w:rsidRDefault="00F85935" w:rsidP="00F85935">
      <w:pPr>
        <w:spacing w:after="0" w:line="240" w:lineRule="auto"/>
        <w:jc w:val="center"/>
        <w:rPr>
          <w:rFonts w:ascii="Times New Roman" w:eastAsia="Times New Roman" w:hAnsi="Times New Roman"/>
          <w:b/>
          <w:lang w:val="lt-LT"/>
        </w:rPr>
      </w:pPr>
    </w:p>
    <w:p w:rsidR="00F85935" w:rsidRPr="00D73441" w:rsidRDefault="00F85935" w:rsidP="00F85935">
      <w:pPr>
        <w:spacing w:after="0" w:line="240" w:lineRule="auto"/>
        <w:jc w:val="center"/>
        <w:rPr>
          <w:rFonts w:ascii="Times New Roman" w:eastAsia="Times New Roman" w:hAnsi="Times New Roman"/>
          <w:b/>
          <w:lang w:val="lt-LT"/>
        </w:rPr>
      </w:pPr>
      <w:r w:rsidRPr="00D73441">
        <w:rPr>
          <w:rFonts w:ascii="Times New Roman" w:eastAsia="Times New Roman" w:hAnsi="Times New Roman"/>
          <w:b/>
          <w:lang w:val="lt-LT"/>
        </w:rPr>
        <w:t>Panadol optizorb 500 mg plėvele dengtos tabletės</w:t>
      </w:r>
    </w:p>
    <w:p w:rsidR="00F85935" w:rsidRPr="00D73441" w:rsidRDefault="00F85935" w:rsidP="00F85935">
      <w:pPr>
        <w:spacing w:after="0" w:line="240" w:lineRule="auto"/>
        <w:ind w:left="567" w:hanging="567"/>
        <w:jc w:val="center"/>
        <w:rPr>
          <w:rFonts w:ascii="Times New Roman" w:eastAsia="Times New Roman" w:hAnsi="Times New Roman"/>
          <w:lang w:val="lt-LT"/>
        </w:rPr>
      </w:pPr>
      <w:r w:rsidRPr="00D73441">
        <w:rPr>
          <w:rFonts w:ascii="Times New Roman" w:eastAsia="Times New Roman" w:hAnsi="Times New Roman"/>
          <w:lang w:val="lt-LT"/>
        </w:rPr>
        <w:t>Paracetamolis</w:t>
      </w:r>
    </w:p>
    <w:p w:rsidR="00F85935" w:rsidRPr="00D73441" w:rsidRDefault="00F85935" w:rsidP="00F85935">
      <w:pPr>
        <w:spacing w:after="0" w:line="240" w:lineRule="auto"/>
        <w:ind w:left="567" w:hanging="567"/>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b/>
          <w:lang w:val="lt-LT"/>
        </w:rPr>
      </w:pPr>
      <w:r w:rsidRPr="00D73441">
        <w:rPr>
          <w:rFonts w:ascii="Times New Roman" w:eastAsia="Times New Roman" w:hAnsi="Times New Roman"/>
          <w:b/>
          <w:lang w:val="lt-LT"/>
        </w:rPr>
        <w:t>Atidžiai perskaitykite visą šį lapelį, prieš pradėdami vartoti šį vaistą, nes jame pateikiama Jums svarbi informacija.</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Visada vartokite šį vaistą tiksliai kaip aprašyta šiame lapelyje arba kaip nurodė gydytojas arba vaistininkas.</w:t>
      </w:r>
    </w:p>
    <w:p w:rsidR="00F85935" w:rsidRPr="00D73441" w:rsidRDefault="00F85935" w:rsidP="00F85935">
      <w:pPr>
        <w:spacing w:after="0" w:line="240" w:lineRule="auto"/>
        <w:ind w:left="540" w:hanging="540"/>
        <w:rPr>
          <w:rFonts w:ascii="Times New Roman" w:eastAsia="Times New Roman" w:hAnsi="Times New Roman"/>
          <w:lang w:val="lt-LT"/>
        </w:rPr>
      </w:pPr>
      <w:r w:rsidRPr="00D73441">
        <w:rPr>
          <w:rFonts w:ascii="Times New Roman" w:eastAsia="Times New Roman" w:hAnsi="Times New Roman"/>
          <w:lang w:val="lt-LT"/>
        </w:rPr>
        <w:t>-</w:t>
      </w:r>
      <w:r w:rsidRPr="00D73441">
        <w:rPr>
          <w:rFonts w:ascii="Times New Roman" w:eastAsia="Times New Roman" w:hAnsi="Times New Roman"/>
          <w:lang w:val="lt-LT"/>
        </w:rPr>
        <w:tab/>
        <w:t>Neišmeskite šio lapelio, nes vėl gali prireikti jį perskaityti.</w:t>
      </w:r>
    </w:p>
    <w:p w:rsidR="00F85935" w:rsidRPr="00D73441" w:rsidRDefault="00F85935" w:rsidP="00F85935">
      <w:pPr>
        <w:spacing w:after="0" w:line="240" w:lineRule="auto"/>
        <w:ind w:left="540" w:hanging="540"/>
        <w:rPr>
          <w:rFonts w:ascii="Times New Roman" w:eastAsia="Times New Roman" w:hAnsi="Times New Roman"/>
          <w:lang w:val="lt-LT"/>
        </w:rPr>
      </w:pPr>
      <w:r w:rsidRPr="00D73441">
        <w:rPr>
          <w:rFonts w:ascii="Times New Roman" w:eastAsia="Times New Roman" w:hAnsi="Times New Roman"/>
          <w:lang w:val="lt-LT"/>
        </w:rPr>
        <w:t>-</w:t>
      </w:r>
      <w:r w:rsidRPr="00D73441">
        <w:rPr>
          <w:rFonts w:ascii="Times New Roman" w:eastAsia="Times New Roman" w:hAnsi="Times New Roman"/>
          <w:lang w:val="lt-LT"/>
        </w:rPr>
        <w:tab/>
        <w:t>Jeigu norite sužinoti daugiau arba pasitarti, kreipkitės į vaistininką.</w:t>
      </w:r>
    </w:p>
    <w:p w:rsidR="00F85935" w:rsidRPr="00D73441" w:rsidRDefault="00F85935" w:rsidP="00F85935">
      <w:pPr>
        <w:tabs>
          <w:tab w:val="left" w:pos="510"/>
        </w:tabs>
        <w:spacing w:after="0" w:line="240" w:lineRule="auto"/>
        <w:rPr>
          <w:rFonts w:ascii="Times New Roman" w:eastAsia="Times New Roman" w:hAnsi="Times New Roman"/>
          <w:lang w:val="lt-LT"/>
        </w:rPr>
      </w:pPr>
      <w:r w:rsidRPr="00D73441">
        <w:rPr>
          <w:rFonts w:ascii="Times New Roman" w:eastAsia="Times New Roman" w:hAnsi="Times New Roman"/>
          <w:lang w:val="lt-LT"/>
        </w:rPr>
        <w:t>-</w:t>
      </w:r>
      <w:r w:rsidRPr="00D73441">
        <w:rPr>
          <w:rFonts w:ascii="Times New Roman" w:eastAsia="Times New Roman" w:hAnsi="Times New Roman"/>
          <w:lang w:val="lt-LT"/>
        </w:rPr>
        <w:tab/>
        <w:t>Jeigu pasireiškė šalutinis poveikis (net jeigu jis šiame lapelyje nenurodytas), kreipkitės į gydytoją arba vaistininką. Žr. 4 skyrių.</w:t>
      </w:r>
    </w:p>
    <w:p w:rsidR="00F85935" w:rsidRPr="00D73441" w:rsidRDefault="00F85935" w:rsidP="00F85935">
      <w:pPr>
        <w:tabs>
          <w:tab w:val="left" w:pos="510"/>
        </w:tabs>
        <w:spacing w:after="0" w:line="240" w:lineRule="auto"/>
        <w:rPr>
          <w:rFonts w:ascii="Times New Roman" w:eastAsia="Times New Roman" w:hAnsi="Times New Roman"/>
          <w:lang w:val="lt-LT"/>
        </w:rPr>
      </w:pPr>
      <w:r w:rsidRPr="00D73441">
        <w:rPr>
          <w:rFonts w:ascii="Times New Roman" w:eastAsia="Times New Roman" w:hAnsi="Times New Roman"/>
          <w:lang w:val="lt-LT"/>
        </w:rPr>
        <w:t>-</w:t>
      </w:r>
      <w:r w:rsidRPr="00D73441">
        <w:rPr>
          <w:rFonts w:ascii="Times New Roman" w:eastAsia="Times New Roman" w:hAnsi="Times New Roman"/>
          <w:lang w:val="lt-LT"/>
        </w:rPr>
        <w:tab/>
        <w:t>Jeigu per 3 dienas Jūsų savijauta nepagerėjo arba net pablogėjo, kreipkitės į gydytoją.</w:t>
      </w: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spacing w:after="0" w:line="240" w:lineRule="auto"/>
        <w:rPr>
          <w:rFonts w:ascii="Times New Roman" w:hAnsi="Times New Roman"/>
          <w:b/>
          <w:lang w:val="lt-LT"/>
        </w:rPr>
      </w:pPr>
      <w:r w:rsidRPr="00994268">
        <w:rPr>
          <w:rFonts w:ascii="Times New Roman" w:hAnsi="Times New Roman"/>
          <w:b/>
          <w:lang w:val="lt-LT"/>
        </w:rPr>
        <w:t>Apie ką rašoma šiame lapelyje?</w:t>
      </w:r>
    </w:p>
    <w:p w:rsidR="00F85935" w:rsidRPr="00994268" w:rsidRDefault="00F85935" w:rsidP="00F85935">
      <w:pPr>
        <w:spacing w:after="0" w:line="240" w:lineRule="auto"/>
        <w:rPr>
          <w:rFonts w:ascii="Times New Roman" w:hAnsi="Times New Roman"/>
          <w:b/>
          <w:lang w:val="lt-LT"/>
        </w:rPr>
      </w:pPr>
    </w:p>
    <w:p w:rsidR="00F85935" w:rsidRPr="00994268" w:rsidRDefault="00F85935" w:rsidP="00F85935">
      <w:pPr>
        <w:spacing w:after="0" w:line="240" w:lineRule="auto"/>
        <w:ind w:left="540" w:hanging="540"/>
        <w:rPr>
          <w:rFonts w:ascii="Times New Roman" w:hAnsi="Times New Roman"/>
          <w:lang w:val="lt-LT"/>
        </w:rPr>
      </w:pPr>
      <w:r w:rsidRPr="00994268">
        <w:rPr>
          <w:rFonts w:ascii="Times New Roman" w:hAnsi="Times New Roman"/>
          <w:lang w:val="lt-LT"/>
        </w:rPr>
        <w:t>1.</w:t>
      </w:r>
      <w:r w:rsidRPr="00994268">
        <w:rPr>
          <w:rFonts w:ascii="Times New Roman" w:hAnsi="Times New Roman"/>
          <w:lang w:val="lt-LT"/>
        </w:rPr>
        <w:tab/>
        <w:t>Kas yra Panadol optizorb ir kam jis vartojamas</w:t>
      </w:r>
    </w:p>
    <w:p w:rsidR="00F85935" w:rsidRPr="00994268" w:rsidRDefault="00F85935" w:rsidP="00F85935">
      <w:pPr>
        <w:spacing w:after="0" w:line="240" w:lineRule="auto"/>
        <w:ind w:left="540" w:hanging="540"/>
        <w:rPr>
          <w:rFonts w:ascii="Times New Roman" w:hAnsi="Times New Roman"/>
          <w:lang w:val="lt-LT"/>
        </w:rPr>
      </w:pPr>
      <w:r w:rsidRPr="00994268">
        <w:rPr>
          <w:rFonts w:ascii="Times New Roman" w:hAnsi="Times New Roman"/>
          <w:lang w:val="lt-LT"/>
        </w:rPr>
        <w:t>2.</w:t>
      </w:r>
      <w:r w:rsidRPr="00994268">
        <w:rPr>
          <w:rFonts w:ascii="Times New Roman" w:hAnsi="Times New Roman"/>
          <w:lang w:val="lt-LT"/>
        </w:rPr>
        <w:tab/>
        <w:t xml:space="preserve">Kas žinotina prieš vartojant Panadol optizorb </w:t>
      </w:r>
    </w:p>
    <w:p w:rsidR="00F85935" w:rsidRPr="00994268" w:rsidRDefault="00F85935" w:rsidP="00F85935">
      <w:pPr>
        <w:spacing w:after="0" w:line="240" w:lineRule="auto"/>
        <w:ind w:left="540" w:hanging="540"/>
        <w:rPr>
          <w:rFonts w:ascii="Times New Roman" w:hAnsi="Times New Roman"/>
          <w:lang w:val="lt-LT"/>
        </w:rPr>
      </w:pPr>
      <w:r w:rsidRPr="00994268">
        <w:rPr>
          <w:rFonts w:ascii="Times New Roman" w:hAnsi="Times New Roman"/>
          <w:lang w:val="lt-LT"/>
        </w:rPr>
        <w:t>3.</w:t>
      </w:r>
      <w:r w:rsidRPr="00994268">
        <w:rPr>
          <w:rFonts w:ascii="Times New Roman" w:hAnsi="Times New Roman"/>
          <w:lang w:val="lt-LT"/>
        </w:rPr>
        <w:tab/>
        <w:t>Kaip vartoti Panadol optizorb</w:t>
      </w:r>
    </w:p>
    <w:p w:rsidR="00F85935" w:rsidRPr="00994268" w:rsidRDefault="00F85935" w:rsidP="00F85935">
      <w:pPr>
        <w:spacing w:after="0" w:line="240" w:lineRule="auto"/>
        <w:ind w:left="540" w:hanging="540"/>
        <w:rPr>
          <w:rFonts w:ascii="Times New Roman" w:hAnsi="Times New Roman"/>
          <w:lang w:val="lt-LT"/>
        </w:rPr>
      </w:pPr>
      <w:r w:rsidRPr="00994268">
        <w:rPr>
          <w:rFonts w:ascii="Times New Roman" w:hAnsi="Times New Roman"/>
          <w:lang w:val="lt-LT"/>
        </w:rPr>
        <w:t>4.</w:t>
      </w:r>
      <w:r w:rsidRPr="00994268">
        <w:rPr>
          <w:rFonts w:ascii="Times New Roman" w:hAnsi="Times New Roman"/>
          <w:lang w:val="lt-LT"/>
        </w:rPr>
        <w:tab/>
        <w:t>Galimas šalutinis poveikis</w:t>
      </w:r>
    </w:p>
    <w:p w:rsidR="00F85935" w:rsidRPr="00994268" w:rsidRDefault="00F85935" w:rsidP="00F85935">
      <w:pPr>
        <w:spacing w:after="0" w:line="240" w:lineRule="auto"/>
        <w:ind w:left="540" w:hanging="540"/>
        <w:rPr>
          <w:rFonts w:ascii="Times New Roman" w:hAnsi="Times New Roman"/>
          <w:lang w:val="lt-LT"/>
        </w:rPr>
      </w:pPr>
      <w:r w:rsidRPr="00994268">
        <w:rPr>
          <w:rFonts w:ascii="Times New Roman" w:hAnsi="Times New Roman"/>
          <w:lang w:val="lt-LT"/>
        </w:rPr>
        <w:t>5.</w:t>
      </w:r>
      <w:r w:rsidRPr="00994268">
        <w:rPr>
          <w:rFonts w:ascii="Times New Roman" w:hAnsi="Times New Roman"/>
          <w:lang w:val="lt-LT"/>
        </w:rPr>
        <w:tab/>
        <w:t>Kaip laikyti Panadol optizorb</w:t>
      </w:r>
    </w:p>
    <w:p w:rsidR="00F85935" w:rsidRPr="00994268" w:rsidRDefault="00F85935" w:rsidP="00F85935">
      <w:pPr>
        <w:spacing w:after="0" w:line="240" w:lineRule="auto"/>
        <w:ind w:left="540" w:hanging="540"/>
        <w:rPr>
          <w:rFonts w:ascii="Times New Roman" w:hAnsi="Times New Roman"/>
          <w:lang w:val="lt-LT"/>
        </w:rPr>
      </w:pPr>
      <w:r w:rsidRPr="00994268">
        <w:rPr>
          <w:rFonts w:ascii="Times New Roman" w:hAnsi="Times New Roman"/>
          <w:lang w:val="lt-LT"/>
        </w:rPr>
        <w:t>6.</w:t>
      </w:r>
      <w:r w:rsidRPr="00994268">
        <w:rPr>
          <w:rFonts w:ascii="Times New Roman" w:hAnsi="Times New Roman"/>
          <w:lang w:val="lt-LT"/>
        </w:rPr>
        <w:tab/>
        <w:t>Pakuotės turinys ir kita informacija</w:t>
      </w: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keepNext/>
        <w:spacing w:after="0" w:line="240" w:lineRule="auto"/>
        <w:ind w:left="540" w:hanging="540"/>
        <w:outlineLvl w:val="1"/>
        <w:rPr>
          <w:rFonts w:ascii="Times New Roman" w:hAnsi="Times New Roman"/>
          <w:b/>
          <w:lang w:val="lt-LT"/>
        </w:rPr>
      </w:pPr>
      <w:r w:rsidRPr="00994268">
        <w:rPr>
          <w:rFonts w:ascii="Times New Roman" w:hAnsi="Times New Roman"/>
          <w:b/>
          <w:lang w:val="lt-LT"/>
        </w:rPr>
        <w:t>1.</w:t>
      </w:r>
      <w:r w:rsidRPr="00994268">
        <w:rPr>
          <w:rFonts w:ascii="Times New Roman" w:hAnsi="Times New Roman"/>
          <w:b/>
          <w:lang w:val="lt-LT"/>
        </w:rPr>
        <w:tab/>
        <w:t>Kas yra Panadol optizorb ir kam jis vartojamas</w:t>
      </w: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spacing w:after="0" w:line="240" w:lineRule="auto"/>
        <w:rPr>
          <w:rFonts w:ascii="Times New Roman" w:hAnsi="Times New Roman"/>
          <w:lang w:val="lt-LT"/>
        </w:rPr>
      </w:pPr>
      <w:r w:rsidRPr="00994268">
        <w:rPr>
          <w:rFonts w:ascii="Times New Roman" w:hAnsi="Times New Roman"/>
          <w:lang w:val="lt-LT"/>
        </w:rPr>
        <w:t xml:space="preserve">Veiklioji vaisto medžiaga yra paracetamolis, skausmą malšinantis vaistas, kuris Jums karščiuojant sumažins temperatūrą. </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 xml:space="preserve">Panadol optizorb skirtas malšinti silpną ir vidutinio stiprumo skausmą bei mažinti temperatūrą. </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Jeigu per 3 dienas Jūsų savijauta nepagerėjo arba net pablogėjo, kreipkitės į gydytoją.</w:t>
      </w:r>
    </w:p>
    <w:p w:rsidR="00F85935" w:rsidRPr="00D73441" w:rsidRDefault="00F85935" w:rsidP="00F85935">
      <w:pPr>
        <w:spacing w:after="0" w:line="240" w:lineRule="auto"/>
        <w:rPr>
          <w:rFonts w:ascii="Times New Roman" w:eastAsia="Times New Roman" w:hAnsi="Times New Roman"/>
          <w:lang w:val="lt-LT"/>
        </w:rPr>
      </w:pP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keepNext/>
        <w:spacing w:after="0" w:line="240" w:lineRule="auto"/>
        <w:ind w:left="540" w:hanging="540"/>
        <w:outlineLvl w:val="1"/>
        <w:rPr>
          <w:rFonts w:ascii="Times New Roman" w:hAnsi="Times New Roman"/>
          <w:b/>
          <w:lang w:val="lt-LT"/>
        </w:rPr>
      </w:pPr>
      <w:r w:rsidRPr="00994268">
        <w:rPr>
          <w:rFonts w:ascii="Times New Roman" w:hAnsi="Times New Roman"/>
          <w:b/>
          <w:lang w:val="lt-LT"/>
        </w:rPr>
        <w:t>2.</w:t>
      </w:r>
      <w:r w:rsidRPr="00994268">
        <w:rPr>
          <w:rFonts w:ascii="Times New Roman" w:hAnsi="Times New Roman"/>
          <w:b/>
          <w:lang w:val="lt-LT"/>
        </w:rPr>
        <w:tab/>
        <w:t>Kas žinotina prieš vartojant Panadol optizorb</w:t>
      </w:r>
    </w:p>
    <w:p w:rsidR="00F85935" w:rsidRPr="00994268" w:rsidRDefault="00F85935" w:rsidP="00F85935">
      <w:pPr>
        <w:spacing w:after="0" w:line="240" w:lineRule="auto"/>
        <w:rPr>
          <w:rFonts w:ascii="Times New Roman" w:hAnsi="Times New Roman"/>
          <w:lang w:val="lt-LT"/>
        </w:rPr>
      </w:pPr>
    </w:p>
    <w:p w:rsidR="00F85935" w:rsidRPr="00D73441" w:rsidRDefault="00F85935" w:rsidP="00F85935">
      <w:pPr>
        <w:spacing w:after="0" w:line="240" w:lineRule="auto"/>
        <w:rPr>
          <w:rFonts w:ascii="Times New Roman" w:eastAsia="Times New Roman" w:hAnsi="Times New Roman"/>
          <w:b/>
          <w:lang w:val="lt-LT"/>
        </w:rPr>
      </w:pPr>
      <w:r w:rsidRPr="00D73441">
        <w:rPr>
          <w:rFonts w:ascii="Times New Roman" w:eastAsia="Times New Roman" w:hAnsi="Times New Roman"/>
          <w:b/>
          <w:lang w:val="lt-LT"/>
        </w:rPr>
        <w:t xml:space="preserve">Panadol optizorb vartoti </w:t>
      </w:r>
      <w:r>
        <w:rPr>
          <w:rFonts w:ascii="Times New Roman" w:eastAsia="Times New Roman" w:hAnsi="Times New Roman"/>
          <w:b/>
          <w:lang w:val="lt-LT"/>
        </w:rPr>
        <w:t>draudžiama</w:t>
      </w:r>
      <w:r w:rsidRPr="00D73441">
        <w:rPr>
          <w:rFonts w:ascii="Times New Roman" w:eastAsia="Times New Roman" w:hAnsi="Times New Roman"/>
          <w:b/>
          <w:lang w:val="lt-LT"/>
        </w:rPr>
        <w:t>:</w:t>
      </w:r>
    </w:p>
    <w:p w:rsidR="00F85935" w:rsidRPr="00D73441" w:rsidRDefault="00F85935" w:rsidP="00F85935">
      <w:pPr>
        <w:numPr>
          <w:ilvl w:val="0"/>
          <w:numId w:val="1"/>
        </w:numPr>
        <w:tabs>
          <w:tab w:val="left" w:pos="510"/>
          <w:tab w:val="left" w:pos="567"/>
        </w:tabs>
        <w:spacing w:after="0" w:line="240" w:lineRule="auto"/>
        <w:ind w:left="357" w:hanging="357"/>
        <w:contextualSpacing/>
        <w:rPr>
          <w:rFonts w:ascii="Times New Roman" w:eastAsia="Times New Roman" w:hAnsi="Times New Roman"/>
          <w:lang w:val="lt-LT"/>
        </w:rPr>
      </w:pPr>
      <w:r w:rsidRPr="00D73441">
        <w:rPr>
          <w:rFonts w:ascii="Times New Roman" w:eastAsia="Times New Roman" w:hAnsi="Times New Roman"/>
          <w:lang w:val="lt-LT"/>
        </w:rPr>
        <w:t>jeigu yra alergija veikliajai medžiagai arba bet kuriai pagalbinei šio vaisto medžiagai (jos išvardytos 6 skyriuje).</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20" w:lineRule="exact"/>
        <w:rPr>
          <w:rFonts w:ascii="Times New Roman" w:eastAsia="Times New Roman" w:hAnsi="Times New Roman"/>
          <w:b/>
          <w:bCs/>
          <w:lang w:val="lt-LT"/>
        </w:rPr>
      </w:pPr>
      <w:r w:rsidRPr="00D73441">
        <w:rPr>
          <w:rFonts w:ascii="Times New Roman" w:eastAsia="Times New Roman" w:hAnsi="Times New Roman"/>
          <w:b/>
          <w:bCs/>
          <w:lang w:val="lt-LT"/>
        </w:rPr>
        <w:t>Įspėjimai ir atsargumo priemonės</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hAnsi="Times New Roman"/>
          <w:noProof/>
          <w:lang w:val="lt-LT"/>
        </w:rPr>
        <w:t>Pasitarkite su gydytoju arba vaistininku, prieš pradėdami vartoti Panadol optizorb.</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Per didelis paracetamolio vartojimas gali sukelti sunkų kepenų pažeidimą.</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Nevartokite šio vaisto, jei vartojate kitų receptinių ar nereceptinių vaistų, kurių sudėtyje yra paracetamolio, skirtų gydyti skausmą, karščiavimą, peršalimo ir gripo simptomus ar gerinančių miegą. Visada perskaitykite vaisto pakuotės lapelį.</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Pasitarkite su gydytoju, prieš pradėdami vartoti Panadol optizorb, jeigu:</w:t>
      </w:r>
    </w:p>
    <w:p w:rsidR="00F85935" w:rsidRPr="00D73441" w:rsidRDefault="00F85935" w:rsidP="00F85935">
      <w:pPr>
        <w:numPr>
          <w:ilvl w:val="0"/>
          <w:numId w:val="2"/>
        </w:numPr>
        <w:spacing w:after="0" w:line="240" w:lineRule="auto"/>
        <w:ind w:left="357" w:hanging="357"/>
        <w:rPr>
          <w:rFonts w:ascii="Times New Roman" w:eastAsia="Times New Roman" w:hAnsi="Times New Roman"/>
          <w:lang w:val="lt-LT"/>
        </w:rPr>
      </w:pPr>
      <w:r w:rsidRPr="00D73441">
        <w:rPr>
          <w:rFonts w:ascii="Times New Roman" w:eastAsia="Times New Roman" w:hAnsi="Times New Roman"/>
          <w:lang w:val="lt-LT"/>
        </w:rPr>
        <w:t>sergate kepenų ar inkstų liga;</w:t>
      </w:r>
    </w:p>
    <w:p w:rsidR="00F85935" w:rsidRPr="00D73441" w:rsidRDefault="00F85935" w:rsidP="00F85935">
      <w:pPr>
        <w:numPr>
          <w:ilvl w:val="0"/>
          <w:numId w:val="2"/>
        </w:numPr>
        <w:spacing w:after="0" w:line="240" w:lineRule="auto"/>
        <w:ind w:left="357" w:hanging="357"/>
        <w:rPr>
          <w:rFonts w:ascii="Times New Roman" w:eastAsia="Times New Roman" w:hAnsi="Times New Roman"/>
          <w:lang w:val="lt-LT"/>
        </w:rPr>
      </w:pPr>
      <w:r w:rsidRPr="00D73441">
        <w:rPr>
          <w:rFonts w:ascii="Times New Roman" w:eastAsia="Times New Roman" w:hAnsi="Times New Roman"/>
          <w:lang w:val="lt-LT"/>
        </w:rPr>
        <w:t>esate per mažo svorio ar nepakankamai maitinatės;</w:t>
      </w:r>
    </w:p>
    <w:p w:rsidR="00F85935" w:rsidRPr="00D73441" w:rsidRDefault="00F85935" w:rsidP="00F85935">
      <w:pPr>
        <w:numPr>
          <w:ilvl w:val="0"/>
          <w:numId w:val="2"/>
        </w:numPr>
        <w:spacing w:after="0" w:line="240" w:lineRule="auto"/>
        <w:ind w:left="357" w:hanging="357"/>
        <w:rPr>
          <w:rFonts w:ascii="Times New Roman" w:eastAsia="Times New Roman" w:hAnsi="Times New Roman"/>
          <w:lang w:val="lt-LT"/>
        </w:rPr>
      </w:pPr>
      <w:r w:rsidRPr="00D73441">
        <w:rPr>
          <w:rFonts w:ascii="Times New Roman" w:eastAsia="Times New Roman" w:hAnsi="Times New Roman"/>
          <w:lang w:val="lt-LT"/>
        </w:rPr>
        <w:t>reguliariai vartojate alkoholį.</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 xml:space="preserve">Jums gali tekti vengti šio vaisto vartojimo ar riboti vartojamo paracetamolio kiekį. </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Pasitarkite su gydytoju, prieš pradėdami vartoti Panadol optizorb, jeigu:</w:t>
      </w:r>
    </w:p>
    <w:p w:rsidR="00F85935" w:rsidRPr="00D73441" w:rsidRDefault="00F85935" w:rsidP="00F85935">
      <w:pPr>
        <w:numPr>
          <w:ilvl w:val="0"/>
          <w:numId w:val="2"/>
        </w:numPr>
        <w:spacing w:after="0" w:line="240" w:lineRule="auto"/>
        <w:ind w:left="357" w:hanging="357"/>
        <w:rPr>
          <w:rFonts w:ascii="Times New Roman" w:eastAsia="Times New Roman" w:hAnsi="Times New Roman"/>
          <w:lang w:val="lt-LT"/>
        </w:rPr>
      </w:pPr>
      <w:r w:rsidRPr="00D73441">
        <w:rPr>
          <w:rFonts w:ascii="Times New Roman" w:eastAsia="Times New Roman" w:hAnsi="Times New Roman"/>
          <w:lang w:val="lt-LT"/>
        </w:rPr>
        <w:t>sergate sunkia infekcija, nepakankamai maitinatės, esate pernelyg mažo svorio arba nesaikingai vartojate alkoholį, nes gali padidėti metabolinės acidozės rizika;</w:t>
      </w:r>
    </w:p>
    <w:p w:rsidR="00F85935" w:rsidRPr="00D73441" w:rsidRDefault="00F85935" w:rsidP="00F85935">
      <w:pPr>
        <w:spacing w:after="0" w:line="240" w:lineRule="auto"/>
        <w:ind w:firstLine="357"/>
        <w:rPr>
          <w:rFonts w:ascii="Times New Roman" w:eastAsia="Times New Roman" w:hAnsi="Times New Roman"/>
          <w:lang w:val="lt-LT"/>
        </w:rPr>
      </w:pPr>
      <w:r w:rsidRPr="00D73441">
        <w:rPr>
          <w:rFonts w:ascii="Times New Roman" w:eastAsia="Times New Roman" w:hAnsi="Times New Roman"/>
          <w:lang w:val="lt-LT"/>
        </w:rPr>
        <w:lastRenderedPageBreak/>
        <w:t>Metabolinės acidozės požymiai:</w:t>
      </w:r>
    </w:p>
    <w:p w:rsidR="00F85935" w:rsidRPr="00D73441" w:rsidRDefault="00F85935" w:rsidP="00F85935">
      <w:pPr>
        <w:numPr>
          <w:ilvl w:val="0"/>
          <w:numId w:val="2"/>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gilus, pagreitėjęs, sunkus kvėpavimas;</w:t>
      </w:r>
    </w:p>
    <w:p w:rsidR="00F85935" w:rsidRPr="00D73441" w:rsidRDefault="00F85935" w:rsidP="00F85935">
      <w:pPr>
        <w:numPr>
          <w:ilvl w:val="0"/>
          <w:numId w:val="2"/>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blogumo jausmas (pykinimas), vėmimas;</w:t>
      </w:r>
    </w:p>
    <w:p w:rsidR="00F85935" w:rsidRPr="00D73441" w:rsidRDefault="00F85935" w:rsidP="00F85935">
      <w:pPr>
        <w:numPr>
          <w:ilvl w:val="0"/>
          <w:numId w:val="2"/>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apetito praradimas.</w:t>
      </w:r>
    </w:p>
    <w:p w:rsidR="00F85935" w:rsidRPr="00D73441" w:rsidRDefault="00F85935" w:rsidP="00F85935">
      <w:pPr>
        <w:spacing w:after="0" w:line="240" w:lineRule="auto"/>
        <w:ind w:firstLine="360"/>
        <w:rPr>
          <w:rFonts w:ascii="Times New Roman" w:eastAsia="Times New Roman" w:hAnsi="Times New Roman"/>
          <w:lang w:val="lt-LT"/>
        </w:rPr>
      </w:pPr>
      <w:r w:rsidRPr="00D73441">
        <w:rPr>
          <w:rFonts w:ascii="Times New Roman" w:eastAsia="Times New Roman" w:hAnsi="Times New Roman"/>
          <w:lang w:val="lt-LT"/>
        </w:rPr>
        <w:t>Jeigu pajutote šių simptomų derinį, nedelsiant kreipkitės į gydytoją.</w:t>
      </w:r>
    </w:p>
    <w:p w:rsidR="00F85935" w:rsidRPr="00D73441" w:rsidRDefault="00F85935" w:rsidP="00F85935">
      <w:pPr>
        <w:numPr>
          <w:ilvl w:val="0"/>
          <w:numId w:val="2"/>
        </w:numPr>
        <w:spacing w:after="0" w:line="240" w:lineRule="auto"/>
        <w:ind w:left="426" w:hanging="426"/>
        <w:rPr>
          <w:rFonts w:ascii="Times New Roman" w:eastAsia="Times New Roman" w:hAnsi="Times New Roman"/>
          <w:lang w:val="lt-LT"/>
        </w:rPr>
      </w:pPr>
      <w:r w:rsidRPr="00D73441">
        <w:rPr>
          <w:rFonts w:ascii="Times New Roman" w:eastAsia="Times New Roman" w:hAnsi="Times New Roman"/>
          <w:lang w:val="lt-LT"/>
        </w:rPr>
        <w:t xml:space="preserve">sergate astma, yra padidėjęs jautrumas </w:t>
      </w:r>
      <w:r w:rsidRPr="00D73441">
        <w:rPr>
          <w:rFonts w:ascii="Times New Roman" w:eastAsia="Times New Roman" w:hAnsi="Times New Roman"/>
          <w:color w:val="000000"/>
          <w:lang w:val="lt-LT"/>
        </w:rPr>
        <w:t>acetilsalicilo rūgščiai arba nesteroidiniams vaistams nuo uždegimo, nes yra gauta pranešimų apie galimą bronchų spazmą, vartojant paracetamolio;</w:t>
      </w:r>
    </w:p>
    <w:p w:rsidR="00F85935" w:rsidRPr="00D73441" w:rsidRDefault="00F85935" w:rsidP="00F85935">
      <w:pPr>
        <w:numPr>
          <w:ilvl w:val="0"/>
          <w:numId w:val="2"/>
        </w:numPr>
        <w:spacing w:after="0" w:line="240" w:lineRule="auto"/>
        <w:ind w:left="426" w:hanging="426"/>
        <w:rPr>
          <w:rFonts w:ascii="Times New Roman" w:eastAsia="Times New Roman" w:hAnsi="Times New Roman"/>
          <w:lang w:val="lt-LT"/>
        </w:rPr>
      </w:pPr>
      <w:r w:rsidRPr="00D73441">
        <w:rPr>
          <w:rFonts w:ascii="Times New Roman" w:eastAsia="Times New Roman" w:hAnsi="Times New Roman"/>
          <w:color w:val="000000"/>
          <w:lang w:val="lt-LT"/>
        </w:rPr>
        <w:t>yra nustatyta reta paveldima būklė, vadinama fermento gliukozės – 6 – fosfatdehidrogenazės stoka, ir galinti sukelti raudonųjų kraujo kūnelių (eritrocitų) ligas;</w:t>
      </w:r>
    </w:p>
    <w:p w:rsidR="00F85935" w:rsidRPr="00D73441" w:rsidRDefault="00F85935" w:rsidP="00F85935">
      <w:pPr>
        <w:numPr>
          <w:ilvl w:val="0"/>
          <w:numId w:val="2"/>
        </w:numPr>
        <w:tabs>
          <w:tab w:val="left" w:pos="450"/>
        </w:tabs>
        <w:spacing w:after="0" w:line="240" w:lineRule="auto"/>
        <w:ind w:hanging="720"/>
        <w:contextualSpacing/>
        <w:rPr>
          <w:rFonts w:ascii="Times New Roman" w:eastAsia="Times New Roman" w:hAnsi="Times New Roman"/>
          <w:lang w:val="lt-LT"/>
        </w:rPr>
      </w:pPr>
      <w:r w:rsidRPr="00D73441">
        <w:rPr>
          <w:rFonts w:ascii="Times New Roman" w:eastAsia="Times New Roman" w:hAnsi="Times New Roman"/>
          <w:lang w:val="lt-LT"/>
        </w:rPr>
        <w:t>sergate liga, dėl kurios suyra eritrocitai (hemolizine anemija);</w:t>
      </w:r>
    </w:p>
    <w:p w:rsidR="00F85935" w:rsidRPr="00D73441" w:rsidRDefault="00F85935" w:rsidP="00F85935">
      <w:pPr>
        <w:numPr>
          <w:ilvl w:val="0"/>
          <w:numId w:val="2"/>
        </w:numPr>
        <w:spacing w:after="0" w:line="240" w:lineRule="auto"/>
        <w:ind w:left="426" w:hanging="426"/>
        <w:rPr>
          <w:rFonts w:ascii="Times New Roman" w:eastAsia="Times New Roman" w:hAnsi="Times New Roman"/>
          <w:lang w:val="lt-LT"/>
        </w:rPr>
      </w:pPr>
      <w:r w:rsidRPr="00D73441">
        <w:rPr>
          <w:rFonts w:ascii="Times New Roman" w:eastAsia="Times New Roman" w:hAnsi="Times New Roman"/>
          <w:lang w:val="lt-LT"/>
        </w:rPr>
        <w:t>netekote skysčių ir esate dehidratuotas (-a), pvz., dėl vėmimo, viduriavimo, stipraus prakaitavimo, kt.</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Jeigu pasireiškia nuolatinis galvos skausmas, kreipkitės į gydytoją. Prailgintas skausmą malšinančių vaistų didelėmis dozėmis vartojimas arba nesilaikant vartojimo rekomendacijų, gali sukelti galvos skausmą, kurio negalima gydyti naudojant didesnes šio vaisto dozes.</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Jeigu simptomai neišnyksta ilgiau kaip 3 paras arba galvos skausmas tampa nuolatiniu, kreipkitės į gydytoją.</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b/>
          <w:lang w:val="lt-LT"/>
        </w:rPr>
      </w:pPr>
      <w:r w:rsidRPr="00D73441">
        <w:rPr>
          <w:rFonts w:ascii="Times New Roman" w:eastAsia="Times New Roman" w:hAnsi="Times New Roman"/>
          <w:b/>
          <w:lang w:val="lt-LT"/>
        </w:rPr>
        <w:t>Kiti vaistai ir Panadol optizorb</w:t>
      </w:r>
    </w:p>
    <w:p w:rsidR="00F85935" w:rsidRPr="00994268" w:rsidRDefault="00F85935" w:rsidP="00F85935">
      <w:pPr>
        <w:spacing w:after="0" w:line="240" w:lineRule="auto"/>
        <w:rPr>
          <w:rFonts w:ascii="Times New Roman" w:hAnsi="Times New Roman"/>
          <w:lang w:val="lt-LT"/>
        </w:rPr>
      </w:pPr>
      <w:r w:rsidRPr="00994268">
        <w:rPr>
          <w:rFonts w:ascii="Times New Roman" w:hAnsi="Times New Roman"/>
          <w:lang w:val="lt-LT"/>
        </w:rPr>
        <w:t>Jeigu vartojate ar neseniai vartojote kitų vaistų arba dėl to nesate tikri, apie tai pasakykite gydytojui arba vaistininkui.</w:t>
      </w:r>
    </w:p>
    <w:p w:rsidR="00F85935" w:rsidRPr="00994268" w:rsidRDefault="00F85935" w:rsidP="00F85935">
      <w:pPr>
        <w:spacing w:after="0" w:line="240" w:lineRule="auto"/>
        <w:rPr>
          <w:rFonts w:ascii="Times New Roman" w:hAnsi="Times New Roman"/>
          <w:lang w:val="lt-LT"/>
        </w:rPr>
      </w:pPr>
      <w:r w:rsidRPr="00994268">
        <w:rPr>
          <w:rFonts w:ascii="Times New Roman" w:hAnsi="Times New Roman"/>
          <w:lang w:val="lt-LT"/>
        </w:rPr>
        <w:t>Pasitarkite su gydytoju ar</w:t>
      </w:r>
      <w:r w:rsidRPr="00D73441">
        <w:rPr>
          <w:rFonts w:ascii="Times New Roman" w:eastAsia="Times New Roman" w:hAnsi="Times New Roman"/>
          <w:lang w:val="lt-LT" w:eastAsia="lt-LT"/>
        </w:rPr>
        <w:t>ba</w:t>
      </w:r>
      <w:r w:rsidRPr="00994268">
        <w:rPr>
          <w:rFonts w:ascii="Times New Roman" w:hAnsi="Times New Roman"/>
          <w:lang w:val="lt-LT"/>
        </w:rPr>
        <w:t xml:space="preserve"> vaistininku</w:t>
      </w:r>
      <w:r w:rsidRPr="00D73441">
        <w:rPr>
          <w:rFonts w:ascii="Times New Roman" w:eastAsia="Times New Roman" w:hAnsi="Times New Roman"/>
          <w:lang w:val="lt-LT" w:eastAsia="lt-LT"/>
        </w:rPr>
        <w:t>,</w:t>
      </w:r>
      <w:r w:rsidRPr="00994268">
        <w:rPr>
          <w:rFonts w:ascii="Times New Roman" w:hAnsi="Times New Roman"/>
          <w:lang w:val="lt-LT"/>
        </w:rPr>
        <w:t xml:space="preserve"> prieš </w:t>
      </w:r>
      <w:r w:rsidRPr="00D73441">
        <w:rPr>
          <w:rFonts w:ascii="Times New Roman" w:eastAsia="Times New Roman" w:hAnsi="Times New Roman"/>
          <w:lang w:val="lt-LT" w:eastAsia="lt-LT"/>
        </w:rPr>
        <w:t xml:space="preserve">pradėdami </w:t>
      </w:r>
      <w:r w:rsidRPr="00994268">
        <w:rPr>
          <w:rFonts w:ascii="Times New Roman" w:hAnsi="Times New Roman"/>
          <w:lang w:val="lt-LT"/>
        </w:rPr>
        <w:t>varto</w:t>
      </w:r>
      <w:r w:rsidRPr="00D73441">
        <w:rPr>
          <w:rFonts w:ascii="Times New Roman" w:eastAsia="Times New Roman" w:hAnsi="Times New Roman"/>
          <w:lang w:val="lt-LT" w:eastAsia="lt-LT"/>
        </w:rPr>
        <w:t>ti</w:t>
      </w:r>
      <w:r w:rsidRPr="00994268">
        <w:rPr>
          <w:rFonts w:ascii="Times New Roman" w:hAnsi="Times New Roman"/>
          <w:lang w:val="lt-LT"/>
        </w:rPr>
        <w:t xml:space="preserve"> Panadol optizorb</w:t>
      </w:r>
      <w:r w:rsidRPr="00D73441">
        <w:rPr>
          <w:rFonts w:ascii="Times New Roman" w:eastAsia="Times New Roman" w:hAnsi="Times New Roman"/>
          <w:lang w:val="lt-LT" w:eastAsia="lt-LT"/>
        </w:rPr>
        <w:t>,</w:t>
      </w:r>
      <w:r w:rsidRPr="00994268">
        <w:rPr>
          <w:rFonts w:ascii="Times New Roman" w:hAnsi="Times New Roman"/>
          <w:lang w:val="lt-LT"/>
        </w:rPr>
        <w:t xml:space="preserve"> jeigu:</w:t>
      </w:r>
    </w:p>
    <w:p w:rsidR="00F85935" w:rsidRPr="00D73441" w:rsidRDefault="00F85935" w:rsidP="00F85935">
      <w:pPr>
        <w:numPr>
          <w:ilvl w:val="0"/>
          <w:numId w:val="3"/>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 xml:space="preserve">vartojate metoklopramido ar domperidono (vaistų nuo pykinimo ir vėmimo); </w:t>
      </w:r>
    </w:p>
    <w:p w:rsidR="00F85935" w:rsidRPr="00D73441" w:rsidRDefault="00F85935" w:rsidP="00F85935">
      <w:pPr>
        <w:numPr>
          <w:ilvl w:val="0"/>
          <w:numId w:val="3"/>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vartojate cholestiramino (vaisto padidėjusiai cholesterolio koncentracijai kraujyje mažinti);</w:t>
      </w:r>
    </w:p>
    <w:p w:rsidR="00F85935" w:rsidRPr="00D73441" w:rsidRDefault="00F85935" w:rsidP="00F85935">
      <w:pPr>
        <w:numPr>
          <w:ilvl w:val="0"/>
          <w:numId w:val="3"/>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vartojate kraują skystinančių vaistų (kraujo krešėjimą mažinančių vaistų, pvz., varfarino) ir Jums kiekvieną dieną reikia skausmą malšinančių vaistų, pasitarkite su gydytoju, nes Jums gresia kraujavimo rizika. Tačiau vartodami šiuos kraujo krešėjimą mažinančius vaistus, retsykiais Jūs vis tiek galite vartoti Panadol optizorb.</w:t>
      </w:r>
    </w:p>
    <w:p w:rsidR="00F85935" w:rsidRPr="00D73441" w:rsidRDefault="00F85935" w:rsidP="00F85935">
      <w:pPr>
        <w:spacing w:after="0" w:line="220" w:lineRule="exact"/>
        <w:rPr>
          <w:rFonts w:ascii="Times New Roman" w:eastAsia="Times New Roman" w:hAnsi="Times New Roman"/>
          <w:b/>
          <w:bCs/>
          <w:lang w:val="lt-LT"/>
        </w:rPr>
      </w:pPr>
    </w:p>
    <w:p w:rsidR="00F85935" w:rsidRPr="00D73441" w:rsidRDefault="00F85935" w:rsidP="00F85935">
      <w:pPr>
        <w:spacing w:after="0" w:line="220" w:lineRule="exact"/>
        <w:rPr>
          <w:rFonts w:ascii="Times New Roman" w:eastAsia="Times New Roman" w:hAnsi="Times New Roman"/>
          <w:b/>
          <w:bCs/>
          <w:lang w:val="lt-LT"/>
        </w:rPr>
      </w:pPr>
      <w:r w:rsidRPr="00D73441">
        <w:rPr>
          <w:rFonts w:ascii="Times New Roman" w:eastAsia="Times New Roman" w:hAnsi="Times New Roman"/>
          <w:b/>
          <w:bCs/>
          <w:lang w:val="lt-LT"/>
        </w:rPr>
        <w:t>Panadol optizorb vartojimas su maistu ir gėrimais</w:t>
      </w:r>
    </w:p>
    <w:p w:rsidR="00F85935" w:rsidRPr="00D73441" w:rsidRDefault="00F85935" w:rsidP="00F85935">
      <w:pPr>
        <w:spacing w:after="0" w:line="220" w:lineRule="exact"/>
        <w:rPr>
          <w:rFonts w:ascii="Times New Roman" w:eastAsia="Times New Roman" w:hAnsi="Times New Roman"/>
          <w:bCs/>
          <w:lang w:val="lt-LT"/>
        </w:rPr>
      </w:pPr>
      <w:r w:rsidRPr="00D73441">
        <w:rPr>
          <w:rFonts w:ascii="Times New Roman" w:eastAsia="Times New Roman" w:hAnsi="Times New Roman"/>
          <w:bCs/>
          <w:lang w:val="lt-LT"/>
        </w:rPr>
        <w:t>Specialių reikalavimų nėra.</w:t>
      </w:r>
    </w:p>
    <w:p w:rsidR="00F85935" w:rsidRPr="00D73441" w:rsidRDefault="00F85935" w:rsidP="00F85935">
      <w:pPr>
        <w:spacing w:after="0" w:line="240" w:lineRule="auto"/>
        <w:ind w:left="720"/>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b/>
          <w:lang w:val="lt-LT"/>
        </w:rPr>
      </w:pPr>
      <w:r w:rsidRPr="00D73441">
        <w:rPr>
          <w:rFonts w:ascii="Times New Roman" w:eastAsia="Times New Roman" w:hAnsi="Times New Roman"/>
          <w:b/>
          <w:lang w:val="lt-LT"/>
        </w:rPr>
        <w:t>Nėštumas ir žindymo laikotarpis</w:t>
      </w:r>
    </w:p>
    <w:p w:rsidR="00F85935" w:rsidRPr="00D73441" w:rsidRDefault="00F85935" w:rsidP="00F85935">
      <w:pPr>
        <w:spacing w:after="0" w:line="240" w:lineRule="auto"/>
        <w:rPr>
          <w:rFonts w:ascii="Times New Roman" w:eastAsia="Times New Roman" w:hAnsi="Times New Roman"/>
          <w:lang w:val="lt-LT" w:eastAsia="x-none"/>
        </w:rPr>
      </w:pPr>
      <w:r w:rsidRPr="00994268">
        <w:rPr>
          <w:rFonts w:ascii="Times New Roman" w:hAnsi="Times New Roman"/>
          <w:lang w:val="lt-LT"/>
        </w:rPr>
        <w:t>Jeigu esate nėščia, žindote kūdikį, manote, kad galbūt esate nėščia</w:t>
      </w:r>
      <w:r w:rsidRPr="00D73441">
        <w:rPr>
          <w:rFonts w:ascii="Times New Roman" w:eastAsia="Times New Roman" w:hAnsi="Times New Roman"/>
          <w:lang w:val="lt-LT" w:eastAsia="x-none"/>
        </w:rPr>
        <w:t>,</w:t>
      </w:r>
      <w:r w:rsidRPr="00994268">
        <w:rPr>
          <w:rFonts w:ascii="Times New Roman" w:hAnsi="Times New Roman"/>
          <w:lang w:val="lt-LT"/>
        </w:rPr>
        <w:t xml:space="preserve"> arba planuojate pastoti, tai prieš vartodama šį vaistą</w:t>
      </w:r>
      <w:r w:rsidRPr="00D73441">
        <w:rPr>
          <w:rFonts w:ascii="Times New Roman" w:eastAsia="Times New Roman" w:hAnsi="Times New Roman"/>
          <w:lang w:val="lt-LT" w:eastAsia="x-none"/>
        </w:rPr>
        <w:t>,</w:t>
      </w:r>
      <w:r w:rsidRPr="00994268">
        <w:rPr>
          <w:rFonts w:ascii="Times New Roman" w:hAnsi="Times New Roman"/>
          <w:lang w:val="lt-LT"/>
        </w:rPr>
        <w:t xml:space="preserve"> pasitarkite su gydytoju arba vaistininku. </w:t>
      </w:r>
      <w:r w:rsidRPr="00D73441">
        <w:rPr>
          <w:rFonts w:ascii="Times New Roman" w:eastAsia="Times New Roman" w:hAnsi="Times New Roman"/>
          <w:lang w:val="lt-LT" w:eastAsia="x-none"/>
        </w:rPr>
        <w:t xml:space="preserve">Jei būtina, </w:t>
      </w:r>
      <w:r w:rsidRPr="00994268">
        <w:rPr>
          <w:rFonts w:ascii="Times New Roman" w:hAnsi="Times New Roman"/>
          <w:lang w:val="lt-LT"/>
        </w:rPr>
        <w:t>Panadol optizorb gali būti vartojam</w:t>
      </w:r>
      <w:r w:rsidRPr="00D73441">
        <w:rPr>
          <w:rFonts w:ascii="Times New Roman" w:eastAsia="Times New Roman" w:hAnsi="Times New Roman"/>
          <w:lang w:val="lt-LT" w:eastAsia="x-none"/>
        </w:rPr>
        <w:t>a</w:t>
      </w:r>
      <w:r w:rsidRPr="00994268">
        <w:rPr>
          <w:rFonts w:ascii="Times New Roman" w:hAnsi="Times New Roman"/>
          <w:lang w:val="lt-LT"/>
        </w:rPr>
        <w:t>s nėštumo ir žindymo metu taip, kaip nurodė gydytojas.</w:t>
      </w:r>
      <w:r w:rsidRPr="00D73441">
        <w:rPr>
          <w:rFonts w:ascii="Times New Roman" w:eastAsia="Times New Roman" w:hAnsi="Times New Roman"/>
          <w:lang w:val="lt-LT" w:eastAsia="x-none"/>
        </w:rPr>
        <w:t xml:space="preserve"> Turėtų būti vartojama mažiausia veiksminga dozė, trumpiausiu laikotarpiu. </w:t>
      </w:r>
    </w:p>
    <w:p w:rsidR="00F85935" w:rsidRPr="00994268" w:rsidRDefault="00F85935" w:rsidP="00F85935">
      <w:pPr>
        <w:spacing w:after="0" w:line="240" w:lineRule="auto"/>
        <w:rPr>
          <w:rFonts w:ascii="Times New Roman" w:hAnsi="Times New Roman"/>
          <w:lang w:val="lt-LT"/>
        </w:rPr>
      </w:pPr>
    </w:p>
    <w:p w:rsidR="00F85935" w:rsidRPr="00D73441" w:rsidRDefault="00F85935" w:rsidP="00F85935">
      <w:pPr>
        <w:spacing w:after="0" w:line="220" w:lineRule="exact"/>
        <w:rPr>
          <w:rFonts w:ascii="Times New Roman" w:eastAsia="Times New Roman" w:hAnsi="Times New Roman"/>
          <w:b/>
          <w:bCs/>
          <w:lang w:val="lt-LT"/>
        </w:rPr>
      </w:pPr>
      <w:r w:rsidRPr="00D73441">
        <w:rPr>
          <w:rFonts w:ascii="Times New Roman" w:eastAsia="Times New Roman" w:hAnsi="Times New Roman"/>
          <w:b/>
          <w:bCs/>
          <w:lang w:val="lt-LT"/>
        </w:rPr>
        <w:t>Vairavimas ir mechanizmų valdymas</w:t>
      </w:r>
    </w:p>
    <w:p w:rsidR="00F85935" w:rsidRPr="00D73441" w:rsidRDefault="00F85935" w:rsidP="00F85935">
      <w:pPr>
        <w:spacing w:after="0" w:line="240" w:lineRule="auto"/>
        <w:rPr>
          <w:rFonts w:ascii="Times New Roman" w:eastAsia="Times New Roman" w:hAnsi="Times New Roman"/>
          <w:lang w:val="lt-LT" w:eastAsia="x-none"/>
        </w:rPr>
      </w:pPr>
      <w:r w:rsidRPr="00994268">
        <w:rPr>
          <w:rFonts w:ascii="Times New Roman" w:hAnsi="Times New Roman"/>
          <w:lang w:val="lt-LT"/>
        </w:rPr>
        <w:t>Gebėjimo vairuoti ir valdyti mechanizmus neveikia</w:t>
      </w:r>
      <w:r w:rsidRPr="00D73441">
        <w:rPr>
          <w:rFonts w:ascii="Times New Roman" w:eastAsia="Times New Roman" w:hAnsi="Times New Roman"/>
          <w:lang w:val="lt-LT" w:eastAsia="x-none"/>
        </w:rPr>
        <w:t>.</w:t>
      </w:r>
    </w:p>
    <w:p w:rsidR="00F85935" w:rsidRPr="00D73441" w:rsidRDefault="00F85935" w:rsidP="00F85935">
      <w:pPr>
        <w:spacing w:after="0" w:line="220" w:lineRule="exact"/>
        <w:rPr>
          <w:rFonts w:ascii="Times New Roman" w:eastAsia="Times New Roman" w:hAnsi="Times New Roman"/>
          <w:b/>
          <w:bCs/>
          <w:lang w:val="lt-LT"/>
        </w:rPr>
      </w:pP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keepNext/>
        <w:spacing w:after="0" w:line="240" w:lineRule="auto"/>
        <w:ind w:left="540" w:hanging="540"/>
        <w:outlineLvl w:val="1"/>
        <w:rPr>
          <w:rFonts w:ascii="Times New Roman" w:hAnsi="Times New Roman"/>
          <w:b/>
          <w:lang w:val="lt-LT"/>
        </w:rPr>
      </w:pPr>
      <w:r w:rsidRPr="00994268">
        <w:rPr>
          <w:rFonts w:ascii="Times New Roman" w:hAnsi="Times New Roman"/>
          <w:b/>
          <w:lang w:val="lt-LT"/>
        </w:rPr>
        <w:t>3.</w:t>
      </w:r>
      <w:r w:rsidRPr="00994268">
        <w:rPr>
          <w:rFonts w:ascii="Times New Roman" w:hAnsi="Times New Roman"/>
          <w:b/>
          <w:lang w:val="lt-LT"/>
        </w:rPr>
        <w:tab/>
        <w:t>Kaip vartoti Panadol optizorb</w:t>
      </w: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spacing w:after="0" w:line="240" w:lineRule="auto"/>
        <w:rPr>
          <w:rFonts w:ascii="Times New Roman" w:hAnsi="Times New Roman"/>
          <w:lang w:val="lt-LT"/>
        </w:rPr>
      </w:pPr>
      <w:r w:rsidRPr="00994268">
        <w:rPr>
          <w:rFonts w:ascii="Times New Roman" w:hAnsi="Times New Roman"/>
          <w:lang w:val="lt-LT"/>
        </w:rPr>
        <w:t>Visada vartokite šį vaistą tiksliai kaip aprašyta šiame lapelyje arba kaip nurodė gydytojas. Jeigu abejojate, kreipkitės į gydytoją arba vaistininką.</w:t>
      </w:r>
    </w:p>
    <w:p w:rsidR="00F85935" w:rsidRPr="00994268" w:rsidRDefault="00F85935" w:rsidP="00F85935">
      <w:pPr>
        <w:spacing w:after="0" w:line="240" w:lineRule="auto"/>
        <w:rPr>
          <w:rFonts w:ascii="Times New Roman" w:hAnsi="Times New Roman"/>
          <w:lang w:val="lt-LT"/>
        </w:rPr>
      </w:pPr>
    </w:p>
    <w:p w:rsidR="00F85935" w:rsidRPr="00D73441" w:rsidRDefault="00F85935" w:rsidP="00F85935">
      <w:pPr>
        <w:spacing w:after="0" w:line="240" w:lineRule="auto"/>
        <w:jc w:val="both"/>
        <w:rPr>
          <w:rFonts w:ascii="Times New Roman" w:eastAsia="Times New Roman" w:hAnsi="Times New Roman"/>
          <w:lang w:val="lt-LT"/>
        </w:rPr>
      </w:pPr>
      <w:r w:rsidRPr="00D73441">
        <w:rPr>
          <w:rFonts w:ascii="Times New Roman" w:eastAsia="Times New Roman" w:hAnsi="Times New Roman"/>
          <w:lang w:val="lt-LT"/>
        </w:rPr>
        <w:t>Neviršykite rekomenduojamos dozės.</w:t>
      </w:r>
    </w:p>
    <w:p w:rsidR="00F85935" w:rsidRPr="00D73441" w:rsidRDefault="00F85935" w:rsidP="00F85935">
      <w:pPr>
        <w:spacing w:after="0" w:line="240" w:lineRule="auto"/>
        <w:rPr>
          <w:rFonts w:ascii="Times New Roman" w:eastAsia="Times New Roman" w:hAnsi="Times New Roman"/>
          <w:lang w:val="lt-LT" w:eastAsia="x-none"/>
        </w:rPr>
      </w:pPr>
      <w:r w:rsidRPr="00D73441">
        <w:rPr>
          <w:rFonts w:ascii="Times New Roman" w:eastAsia="Times New Roman" w:hAnsi="Times New Roman"/>
          <w:lang w:val="lt-LT" w:eastAsia="x-none"/>
        </w:rPr>
        <w:t>Visada vartokite mažiausią veiksmingą dozę, reikalingą palengvinti Jūsų simptomams, trumpiausiu laikotarpiu.</w:t>
      </w:r>
    </w:p>
    <w:p w:rsidR="00F85935" w:rsidRPr="00D73441" w:rsidRDefault="00F85935" w:rsidP="00F85935">
      <w:p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Nevartokite dažniau kaip kas 4 valandas.</w:t>
      </w:r>
    </w:p>
    <w:p w:rsidR="00F85935" w:rsidRPr="00D73441" w:rsidRDefault="00F85935" w:rsidP="00F85935">
      <w:pPr>
        <w:spacing w:after="0" w:line="240" w:lineRule="auto"/>
        <w:rPr>
          <w:rFonts w:ascii="Times New Roman" w:eastAsia="Times New Roman" w:hAnsi="Times New Roman"/>
          <w:lang w:val="lt-LT" w:eastAsia="x-none"/>
        </w:rPr>
      </w:pPr>
    </w:p>
    <w:p w:rsidR="00F85935" w:rsidRPr="00D73441" w:rsidRDefault="00F85935" w:rsidP="00F85935">
      <w:pPr>
        <w:spacing w:after="0" w:line="240" w:lineRule="auto"/>
        <w:rPr>
          <w:rFonts w:ascii="Times New Roman" w:eastAsia="Times New Roman" w:hAnsi="Times New Roman"/>
          <w:i/>
          <w:lang w:val="lt-LT"/>
        </w:rPr>
      </w:pPr>
      <w:r w:rsidRPr="00D73441">
        <w:rPr>
          <w:rFonts w:ascii="Times New Roman" w:eastAsia="Times New Roman" w:hAnsi="Times New Roman"/>
          <w:i/>
          <w:lang w:val="lt-LT"/>
        </w:rPr>
        <w:t>Suaugusiesiems (įskaitant senyvus) ir vyresniems kaip 12 metų paaugliams, kurių kūno svoris didesnis nei 50 kg:</w:t>
      </w:r>
    </w:p>
    <w:p w:rsidR="00F85935" w:rsidRPr="00D73441" w:rsidRDefault="00F85935" w:rsidP="00F85935">
      <w:pPr>
        <w:numPr>
          <w:ilvl w:val="0"/>
          <w:numId w:val="4"/>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Gerti po 1-2 tabletes kas 4-6 valandas pagal poreikį.</w:t>
      </w:r>
    </w:p>
    <w:p w:rsidR="00F85935" w:rsidRPr="00D73441" w:rsidRDefault="00F85935" w:rsidP="00F85935">
      <w:pPr>
        <w:numPr>
          <w:ilvl w:val="0"/>
          <w:numId w:val="4"/>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Per 24 valandas nevartokite daugiau kaip 8 tablečių.</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autoSpaceDE w:val="0"/>
        <w:autoSpaceDN w:val="0"/>
        <w:adjustRightInd w:val="0"/>
        <w:spacing w:after="0" w:line="240" w:lineRule="auto"/>
        <w:rPr>
          <w:rFonts w:ascii="Times New Roman" w:hAnsi="Times New Roman"/>
          <w:i/>
          <w:lang w:val="lt-LT"/>
        </w:rPr>
      </w:pPr>
      <w:r w:rsidRPr="00D73441">
        <w:rPr>
          <w:rFonts w:ascii="Times New Roman" w:hAnsi="Times New Roman"/>
          <w:i/>
          <w:lang w:val="lt-LT"/>
        </w:rPr>
        <w:lastRenderedPageBreak/>
        <w:t xml:space="preserve">Suaugusiems žmonėms ir vyresniems kaip 12 metų paaugliams, kurių kūno svoris mažesnis nei 50 kg: </w:t>
      </w:r>
    </w:p>
    <w:p w:rsidR="00F85935" w:rsidRPr="00D73441" w:rsidRDefault="00F85935" w:rsidP="00F85935">
      <w:pPr>
        <w:numPr>
          <w:ilvl w:val="0"/>
          <w:numId w:val="8"/>
        </w:numPr>
        <w:autoSpaceDE w:val="0"/>
        <w:autoSpaceDN w:val="0"/>
        <w:adjustRightInd w:val="0"/>
        <w:spacing w:after="0" w:line="240" w:lineRule="auto"/>
        <w:rPr>
          <w:rFonts w:ascii="Times New Roman" w:hAnsi="Times New Roman"/>
          <w:lang w:val="lt-LT"/>
        </w:rPr>
      </w:pPr>
      <w:r w:rsidRPr="00D73441">
        <w:rPr>
          <w:rFonts w:ascii="Times New Roman" w:hAnsi="Times New Roman"/>
          <w:lang w:val="lt-LT"/>
        </w:rPr>
        <w:t>Gerti po 1 tabletę kas 4-6 valandas pagal poreikį.</w:t>
      </w:r>
    </w:p>
    <w:p w:rsidR="00F85935" w:rsidRPr="00994268" w:rsidRDefault="00F85935" w:rsidP="00F85935">
      <w:pPr>
        <w:numPr>
          <w:ilvl w:val="0"/>
          <w:numId w:val="8"/>
        </w:numPr>
        <w:autoSpaceDE w:val="0"/>
        <w:autoSpaceDN w:val="0"/>
        <w:adjustRightInd w:val="0"/>
        <w:spacing w:after="0" w:line="240" w:lineRule="auto"/>
        <w:rPr>
          <w:rFonts w:ascii="Times New Roman" w:hAnsi="Times New Roman"/>
          <w:lang w:val="lt-LT"/>
        </w:rPr>
      </w:pPr>
      <w:r w:rsidRPr="00D73441">
        <w:rPr>
          <w:rFonts w:ascii="Times New Roman" w:hAnsi="Times New Roman"/>
          <w:color w:val="000000"/>
          <w:lang w:val="lt-LT"/>
        </w:rPr>
        <w:t>Per 24 valandas nevartokite daugiau kaip 6 tablečių.</w:t>
      </w:r>
    </w:p>
    <w:p w:rsidR="00F85935" w:rsidRPr="00D73441" w:rsidRDefault="00F85935" w:rsidP="00F85935">
      <w:pPr>
        <w:spacing w:after="0" w:line="240" w:lineRule="auto"/>
        <w:rPr>
          <w:rFonts w:ascii="Times New Roman" w:eastAsia="Times New Roman" w:hAnsi="Times New Roman"/>
          <w:i/>
          <w:lang w:val="lt-LT"/>
        </w:rPr>
      </w:pPr>
    </w:p>
    <w:p w:rsidR="00F85935" w:rsidRPr="00D73441" w:rsidRDefault="00F85935" w:rsidP="00F85935">
      <w:pPr>
        <w:spacing w:after="0" w:line="240" w:lineRule="auto"/>
        <w:rPr>
          <w:rFonts w:ascii="Times New Roman" w:eastAsia="Times New Roman" w:hAnsi="Times New Roman"/>
          <w:b/>
          <w:lang w:val="lt-LT"/>
        </w:rPr>
      </w:pPr>
      <w:r w:rsidRPr="00D73441">
        <w:rPr>
          <w:rFonts w:ascii="Times New Roman" w:eastAsia="Times New Roman" w:hAnsi="Times New Roman"/>
          <w:b/>
          <w:lang w:val="lt-LT"/>
        </w:rPr>
        <w:t>Vartojimas vaikams ir paaugliams</w:t>
      </w:r>
    </w:p>
    <w:p w:rsidR="00F85935" w:rsidRPr="00D73441" w:rsidRDefault="00F85935" w:rsidP="00F85935">
      <w:pPr>
        <w:spacing w:after="0" w:line="240" w:lineRule="auto"/>
        <w:rPr>
          <w:rFonts w:ascii="Times New Roman" w:eastAsia="Times New Roman" w:hAnsi="Times New Roman"/>
          <w:i/>
          <w:lang w:val="lt-LT"/>
        </w:rPr>
      </w:pPr>
      <w:r w:rsidRPr="00D73441">
        <w:rPr>
          <w:rFonts w:ascii="Times New Roman" w:eastAsia="Times New Roman" w:hAnsi="Times New Roman"/>
          <w:i/>
          <w:lang w:val="lt-LT"/>
        </w:rPr>
        <w:t>6 – 8 metų vaikams</w:t>
      </w:r>
    </w:p>
    <w:p w:rsidR="00F85935" w:rsidRPr="00D73441" w:rsidRDefault="00F85935" w:rsidP="00F85935">
      <w:pPr>
        <w:pStyle w:val="Sraopastraipa"/>
        <w:numPr>
          <w:ilvl w:val="0"/>
          <w:numId w:val="8"/>
        </w:numPr>
        <w:spacing w:after="0" w:line="240" w:lineRule="auto"/>
        <w:rPr>
          <w:rFonts w:ascii="Times New Roman" w:eastAsia="Times New Roman" w:hAnsi="Times New Roman"/>
          <w:lang w:val="lt-LT"/>
        </w:rPr>
      </w:pPr>
      <w:r w:rsidRPr="00D73441">
        <w:rPr>
          <w:rFonts w:ascii="Times New Roman" w:eastAsia="Times New Roman" w:hAnsi="Times New Roman"/>
          <w:lang w:val="lt-LT"/>
        </w:rPr>
        <w:t>Gerti po pusę tabletės kas 4-6 valandas pagal poreikį.</w:t>
      </w:r>
    </w:p>
    <w:p w:rsidR="00F85935" w:rsidRPr="00D73441" w:rsidRDefault="00F85935" w:rsidP="00F85935">
      <w:pPr>
        <w:pStyle w:val="Sraopastraipa"/>
        <w:numPr>
          <w:ilvl w:val="0"/>
          <w:numId w:val="8"/>
        </w:numPr>
        <w:spacing w:after="0" w:line="240" w:lineRule="auto"/>
        <w:rPr>
          <w:rFonts w:ascii="Times New Roman" w:eastAsia="Times New Roman" w:hAnsi="Times New Roman"/>
          <w:lang w:val="lt-LT"/>
        </w:rPr>
      </w:pPr>
      <w:r w:rsidRPr="00D73441">
        <w:rPr>
          <w:rFonts w:ascii="Times New Roman" w:eastAsia="Times New Roman" w:hAnsi="Times New Roman"/>
          <w:lang w:val="lt-LT"/>
        </w:rPr>
        <w:t>Per 24 valandas nevartokite daugiau kaip 2 tablečių.</w:t>
      </w:r>
    </w:p>
    <w:p w:rsidR="00F85935" w:rsidRPr="00D73441" w:rsidRDefault="00F85935" w:rsidP="00F85935">
      <w:pPr>
        <w:spacing w:after="0" w:line="240" w:lineRule="auto"/>
        <w:rPr>
          <w:rFonts w:ascii="Times New Roman" w:eastAsia="Times New Roman" w:hAnsi="Times New Roman"/>
          <w:i/>
          <w:lang w:val="lt-LT"/>
        </w:rPr>
      </w:pPr>
      <w:r w:rsidRPr="00D73441">
        <w:rPr>
          <w:rFonts w:ascii="Times New Roman" w:eastAsia="Times New Roman" w:hAnsi="Times New Roman"/>
          <w:i/>
          <w:lang w:val="lt-LT"/>
        </w:rPr>
        <w:t>9 – 11 metų vaikams ir paaugliams</w:t>
      </w:r>
    </w:p>
    <w:p w:rsidR="00F85935" w:rsidRPr="00D73441" w:rsidRDefault="00F85935" w:rsidP="00F85935">
      <w:pPr>
        <w:pStyle w:val="Sraopastraipa"/>
        <w:numPr>
          <w:ilvl w:val="0"/>
          <w:numId w:val="8"/>
        </w:numPr>
        <w:spacing w:after="0" w:line="240" w:lineRule="auto"/>
        <w:rPr>
          <w:rFonts w:ascii="Times New Roman" w:eastAsia="Times New Roman" w:hAnsi="Times New Roman"/>
          <w:lang w:val="lt-LT"/>
        </w:rPr>
      </w:pPr>
      <w:r w:rsidRPr="00D73441">
        <w:rPr>
          <w:rFonts w:ascii="Times New Roman" w:eastAsia="Times New Roman" w:hAnsi="Times New Roman"/>
          <w:lang w:val="lt-LT"/>
        </w:rPr>
        <w:t>Gerti po 1 tabletę kas 4-6 valandos pagal poreikį.</w:t>
      </w:r>
    </w:p>
    <w:p w:rsidR="00F85935" w:rsidRPr="00D73441" w:rsidRDefault="00F85935" w:rsidP="00F85935">
      <w:pPr>
        <w:pStyle w:val="Sraopastraipa"/>
        <w:numPr>
          <w:ilvl w:val="0"/>
          <w:numId w:val="8"/>
        </w:numPr>
        <w:spacing w:after="0" w:line="240" w:lineRule="auto"/>
        <w:rPr>
          <w:rFonts w:ascii="Times New Roman" w:eastAsia="Times New Roman" w:hAnsi="Times New Roman"/>
          <w:lang w:val="lt-LT"/>
        </w:rPr>
      </w:pPr>
      <w:r w:rsidRPr="00D73441">
        <w:rPr>
          <w:rFonts w:ascii="Times New Roman" w:eastAsia="Times New Roman" w:hAnsi="Times New Roman"/>
          <w:lang w:val="lt-LT"/>
        </w:rPr>
        <w:t>Per 24 valandas nevartokite daugiau kaip 4 tablečių.</w:t>
      </w:r>
    </w:p>
    <w:p w:rsidR="00F85935" w:rsidRPr="00D73441" w:rsidRDefault="00F85935" w:rsidP="00F85935">
      <w:pPr>
        <w:spacing w:after="0" w:line="240" w:lineRule="auto"/>
        <w:contextualSpacing/>
        <w:jc w:val="both"/>
        <w:rPr>
          <w:rFonts w:ascii="Times New Roman" w:eastAsia="Times New Roman" w:hAnsi="Times New Roman"/>
          <w:lang w:val="lt-LT"/>
        </w:rPr>
      </w:pPr>
    </w:p>
    <w:p w:rsidR="00F85935" w:rsidRPr="00D73441" w:rsidRDefault="00F85935" w:rsidP="00F85935">
      <w:pPr>
        <w:spacing w:after="0" w:line="240" w:lineRule="auto"/>
        <w:jc w:val="both"/>
        <w:rPr>
          <w:rFonts w:ascii="Times New Roman" w:eastAsia="Times New Roman" w:hAnsi="Times New Roman"/>
          <w:lang w:val="lt-LT"/>
        </w:rPr>
      </w:pPr>
      <w:r w:rsidRPr="00D73441">
        <w:rPr>
          <w:rFonts w:ascii="Times New Roman" w:eastAsia="Times New Roman" w:hAnsi="Times New Roman"/>
          <w:lang w:val="lt-LT"/>
        </w:rPr>
        <w:t>Nevartokite ilgiau kaip 3 dienas be gydytojo leidimo.</w:t>
      </w:r>
    </w:p>
    <w:p w:rsidR="00F85935" w:rsidRPr="00D73441" w:rsidRDefault="00F85935" w:rsidP="00F85935">
      <w:pPr>
        <w:spacing w:after="0" w:line="240" w:lineRule="auto"/>
        <w:jc w:val="both"/>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i/>
          <w:lang w:val="lt-LT"/>
        </w:rPr>
      </w:pPr>
      <w:r w:rsidRPr="00D73441">
        <w:rPr>
          <w:rFonts w:ascii="Times New Roman" w:eastAsia="Times New Roman" w:hAnsi="Times New Roman"/>
          <w:i/>
          <w:lang w:val="lt-LT"/>
        </w:rPr>
        <w:t>Jaunesniems kaip 6 metų vaikams</w:t>
      </w:r>
    </w:p>
    <w:p w:rsidR="00F85935" w:rsidRPr="00D73441" w:rsidRDefault="00F85935" w:rsidP="00F85935">
      <w:pPr>
        <w:numPr>
          <w:ilvl w:val="0"/>
          <w:numId w:val="5"/>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 xml:space="preserve">Netinka vartoti jaunesniems kaip 6 metų vaikams. </w:t>
      </w:r>
    </w:p>
    <w:p w:rsidR="00F85935" w:rsidRPr="00D73441" w:rsidRDefault="00F85935" w:rsidP="00F85935">
      <w:pPr>
        <w:spacing w:after="0" w:line="240" w:lineRule="auto"/>
        <w:ind w:left="720"/>
        <w:contextualSpacing/>
        <w:rPr>
          <w:rFonts w:ascii="Times New Roman" w:eastAsia="Times New Roman" w:hAnsi="Times New Roman"/>
          <w:lang w:val="lt-LT"/>
        </w:rPr>
      </w:pPr>
    </w:p>
    <w:p w:rsidR="00F85935" w:rsidRPr="00D73441" w:rsidRDefault="00F85935" w:rsidP="00F85935">
      <w:pPr>
        <w:spacing w:after="0" w:line="240" w:lineRule="auto"/>
        <w:jc w:val="both"/>
        <w:rPr>
          <w:rFonts w:ascii="Times New Roman" w:eastAsia="Times New Roman" w:hAnsi="Times New Roman"/>
          <w:lang w:val="lt-LT"/>
        </w:rPr>
      </w:pPr>
      <w:r w:rsidRPr="00D73441">
        <w:rPr>
          <w:rFonts w:ascii="Times New Roman" w:eastAsia="Times New Roman" w:hAnsi="Times New Roman"/>
          <w:lang w:val="lt-LT"/>
        </w:rPr>
        <w:t>Jeigu per 3 dienas Jūsų savijauta nepagerėjo arba net pablogėjo, kreipkitės į gydytoją.</w:t>
      </w:r>
    </w:p>
    <w:p w:rsidR="00F85935" w:rsidRPr="00D73441" w:rsidRDefault="00F85935" w:rsidP="00F85935">
      <w:pPr>
        <w:spacing w:after="0" w:line="240" w:lineRule="auto"/>
        <w:jc w:val="both"/>
        <w:rPr>
          <w:rFonts w:ascii="Times New Roman" w:eastAsia="Times New Roman" w:hAnsi="Times New Roman"/>
          <w:lang w:val="lt-LT"/>
        </w:rPr>
      </w:pPr>
    </w:p>
    <w:p w:rsidR="00F85935" w:rsidRPr="00D73441" w:rsidRDefault="00F85935" w:rsidP="00F85935">
      <w:pPr>
        <w:spacing w:after="0" w:line="240" w:lineRule="auto"/>
        <w:jc w:val="both"/>
        <w:rPr>
          <w:rFonts w:ascii="Times New Roman" w:eastAsia="Times New Roman" w:hAnsi="Times New Roman"/>
          <w:i/>
          <w:lang w:val="lt-LT"/>
        </w:rPr>
      </w:pPr>
      <w:r w:rsidRPr="00D73441">
        <w:rPr>
          <w:rFonts w:ascii="Times New Roman" w:eastAsia="Times New Roman" w:hAnsi="Times New Roman"/>
          <w:i/>
          <w:lang w:val="lt-LT"/>
        </w:rPr>
        <w:t>Pacientams, kurių inkstų ar kepenų funkcija sutrikusi</w:t>
      </w:r>
    </w:p>
    <w:p w:rsidR="00F85935" w:rsidRPr="00D73441" w:rsidRDefault="00F85935" w:rsidP="00F85935">
      <w:pPr>
        <w:autoSpaceDE w:val="0"/>
        <w:autoSpaceDN w:val="0"/>
        <w:adjustRightInd w:val="0"/>
        <w:spacing w:after="0" w:line="240" w:lineRule="auto"/>
        <w:rPr>
          <w:rFonts w:ascii="Times New Roman" w:eastAsia="Times New Roman" w:hAnsi="Times New Roman"/>
          <w:lang w:val="lt-LT"/>
        </w:rPr>
      </w:pPr>
      <w:r w:rsidRPr="00D73441">
        <w:rPr>
          <w:rFonts w:ascii="Times New Roman" w:eastAsia="Times New Roman" w:hAnsi="Times New Roman"/>
          <w:lang w:val="lt-LT"/>
        </w:rPr>
        <w:t xml:space="preserve">Jei kepenų ar inkstų funkcija sutrikusi, prieš pradedant vartoti vaisto, būtina pasitarti su gydytoju. </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keepNext/>
        <w:spacing w:after="0" w:line="240" w:lineRule="auto"/>
        <w:outlineLvl w:val="2"/>
        <w:rPr>
          <w:rFonts w:ascii="Times New Roman" w:eastAsia="Times New Roman" w:hAnsi="Times New Roman"/>
          <w:b/>
          <w:lang w:val="lt-LT" w:eastAsia="lt-LT"/>
        </w:rPr>
      </w:pPr>
      <w:r w:rsidRPr="00994268">
        <w:rPr>
          <w:rFonts w:ascii="Times New Roman" w:hAnsi="Times New Roman"/>
          <w:b/>
          <w:lang w:val="lt-LT"/>
        </w:rPr>
        <w:t>Ką daryti pavartojus per didelę Panadol optizorb dozę</w:t>
      </w:r>
      <w:r w:rsidRPr="00D73441">
        <w:rPr>
          <w:rFonts w:ascii="Times New Roman" w:eastAsia="Times New Roman" w:hAnsi="Times New Roman"/>
          <w:b/>
          <w:lang w:val="lt-LT" w:eastAsia="lt-LT"/>
        </w:rPr>
        <w:t>?</w:t>
      </w:r>
    </w:p>
    <w:p w:rsidR="00F85935" w:rsidRPr="00994268" w:rsidRDefault="00F85935" w:rsidP="00F85935">
      <w:pPr>
        <w:spacing w:after="0" w:line="240" w:lineRule="auto"/>
        <w:rPr>
          <w:rFonts w:ascii="Times New Roman" w:hAnsi="Times New Roman"/>
          <w:lang w:val="lt-LT"/>
        </w:rPr>
      </w:pPr>
      <w:r w:rsidRPr="00994268">
        <w:rPr>
          <w:rFonts w:ascii="Times New Roman" w:hAnsi="Times New Roman"/>
          <w:lang w:val="lt-LT"/>
        </w:rPr>
        <w:t xml:space="preserve">Jei išgėrėte didesnę negu rekomenduojama dozę, nedelsdami kreipkitės į gydytoją, net jei </w:t>
      </w:r>
      <w:r w:rsidRPr="00D73441">
        <w:rPr>
          <w:rFonts w:ascii="Times New Roman" w:eastAsia="Times New Roman" w:hAnsi="Times New Roman"/>
          <w:lang w:val="lt-LT" w:eastAsia="x-none"/>
        </w:rPr>
        <w:t>nejaučiate</w:t>
      </w:r>
      <w:r w:rsidRPr="00994268">
        <w:rPr>
          <w:rFonts w:ascii="Times New Roman" w:hAnsi="Times New Roman"/>
          <w:lang w:val="lt-LT"/>
        </w:rPr>
        <w:t xml:space="preserve"> </w:t>
      </w:r>
      <w:r w:rsidRPr="00D73441">
        <w:rPr>
          <w:rFonts w:ascii="Times New Roman" w:eastAsia="Times New Roman" w:hAnsi="Times New Roman"/>
          <w:lang w:val="lt-LT" w:eastAsia="x-none"/>
        </w:rPr>
        <w:t>jokių simptomų</w:t>
      </w:r>
      <w:r w:rsidRPr="00994268">
        <w:rPr>
          <w:rFonts w:ascii="Times New Roman" w:hAnsi="Times New Roman"/>
          <w:lang w:val="lt-LT"/>
        </w:rPr>
        <w:t xml:space="preserve">, nes Jums gresia uždelsto sunkaus kepenų pakenkimo išsivystymo rizika. Perdozavus šio vaisto gali būti pažeistos kepenys. </w:t>
      </w:r>
      <w:r w:rsidRPr="00D73441">
        <w:rPr>
          <w:rFonts w:ascii="Times New Roman" w:eastAsia="Times New Roman" w:hAnsi="Times New Roman"/>
          <w:lang w:val="lt-LT"/>
        </w:rPr>
        <w:t>Buvo gauta pranešimų apie ūminio kasos uždegimo atvejus, dažnai kartu su kepenų funkcijos sutrikimu bei toksiniu poveikiu kepenims</w:t>
      </w:r>
      <w:r w:rsidRPr="00994268">
        <w:rPr>
          <w:rFonts w:ascii="Times New Roman" w:hAnsi="Times New Roman"/>
          <w:lang w:val="lt-LT"/>
        </w:rPr>
        <w:t>.</w:t>
      </w:r>
    </w:p>
    <w:p w:rsidR="00F85935" w:rsidRPr="00994268" w:rsidRDefault="00F85935" w:rsidP="00F85935">
      <w:pPr>
        <w:spacing w:after="0" w:line="240" w:lineRule="auto"/>
        <w:rPr>
          <w:rFonts w:ascii="Times New Roman" w:hAnsi="Times New Roman"/>
          <w:lang w:val="lt-LT"/>
        </w:rPr>
      </w:pPr>
    </w:p>
    <w:p w:rsidR="00F85935" w:rsidRPr="00D73441" w:rsidRDefault="00F85935" w:rsidP="00F85935">
      <w:pPr>
        <w:spacing w:after="0" w:line="220" w:lineRule="exact"/>
        <w:rPr>
          <w:rFonts w:ascii="Times New Roman" w:eastAsia="Times New Roman" w:hAnsi="Times New Roman"/>
          <w:b/>
          <w:bCs/>
          <w:lang w:val="lt-LT"/>
        </w:rPr>
      </w:pPr>
      <w:r w:rsidRPr="00D73441">
        <w:rPr>
          <w:rFonts w:ascii="Times New Roman" w:eastAsia="Times New Roman" w:hAnsi="Times New Roman"/>
          <w:b/>
          <w:bCs/>
          <w:lang w:val="lt-LT"/>
        </w:rPr>
        <w:t>Pamiršus pavartoti Panadol optizorb</w:t>
      </w:r>
    </w:p>
    <w:p w:rsidR="00F85935" w:rsidRPr="00994268" w:rsidRDefault="00F85935" w:rsidP="00F85935">
      <w:pPr>
        <w:spacing w:after="0" w:line="240" w:lineRule="auto"/>
        <w:rPr>
          <w:rFonts w:ascii="Times New Roman" w:hAnsi="Times New Roman"/>
          <w:lang w:val="lt-LT"/>
        </w:rPr>
      </w:pPr>
      <w:r w:rsidRPr="00994268">
        <w:rPr>
          <w:rFonts w:ascii="Times New Roman" w:hAnsi="Times New Roman"/>
          <w:lang w:val="lt-LT"/>
        </w:rPr>
        <w:t>Negalima vartoti dvigubos dozės norint kompensuoti praleistą dozę.</w:t>
      </w:r>
    </w:p>
    <w:p w:rsidR="00F85935" w:rsidRPr="00994268" w:rsidRDefault="00F85935" w:rsidP="00F85935">
      <w:pPr>
        <w:spacing w:after="0" w:line="240" w:lineRule="auto"/>
        <w:rPr>
          <w:rFonts w:ascii="Times New Roman" w:hAnsi="Times New Roman"/>
          <w:b/>
          <w:lang w:val="lt-LT"/>
        </w:rPr>
      </w:pPr>
    </w:p>
    <w:p w:rsidR="00F85935" w:rsidRPr="00994268" w:rsidRDefault="00F85935" w:rsidP="00F85935">
      <w:pPr>
        <w:spacing w:after="0" w:line="240" w:lineRule="auto"/>
        <w:rPr>
          <w:rFonts w:ascii="Times New Roman" w:hAnsi="Times New Roman"/>
          <w:b/>
          <w:lang w:val="lt-LT"/>
        </w:rPr>
      </w:pPr>
      <w:r w:rsidRPr="00994268">
        <w:rPr>
          <w:rFonts w:ascii="Times New Roman" w:hAnsi="Times New Roman"/>
          <w:b/>
          <w:lang w:val="lt-LT"/>
        </w:rPr>
        <w:t>Nustojus vartoti Panadol optizorb</w:t>
      </w:r>
    </w:p>
    <w:p w:rsidR="00F85935" w:rsidRPr="00994268" w:rsidRDefault="00F85935" w:rsidP="00F85935">
      <w:pPr>
        <w:spacing w:after="0" w:line="240" w:lineRule="auto"/>
        <w:rPr>
          <w:rFonts w:ascii="Times New Roman" w:hAnsi="Times New Roman"/>
          <w:lang w:val="lt-LT"/>
        </w:rPr>
      </w:pPr>
      <w:r w:rsidRPr="00994268">
        <w:rPr>
          <w:rFonts w:ascii="Times New Roman" w:hAnsi="Times New Roman"/>
          <w:lang w:val="lt-LT"/>
        </w:rPr>
        <w:t>Jeigu kiltų daugiau klausimų dėl šio vaisto vartojimo, kreipkitės į gydytoją arba vaistininką.</w:t>
      </w: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keepNext/>
        <w:spacing w:after="0" w:line="240" w:lineRule="auto"/>
        <w:ind w:left="540" w:hanging="540"/>
        <w:outlineLvl w:val="1"/>
        <w:rPr>
          <w:rFonts w:ascii="Times New Roman" w:hAnsi="Times New Roman"/>
          <w:b/>
          <w:lang w:val="lt-LT"/>
        </w:rPr>
      </w:pPr>
      <w:r w:rsidRPr="00994268">
        <w:rPr>
          <w:rFonts w:ascii="Times New Roman" w:hAnsi="Times New Roman"/>
          <w:b/>
          <w:lang w:val="lt-LT"/>
        </w:rPr>
        <w:t>4.</w:t>
      </w:r>
      <w:r w:rsidRPr="00994268">
        <w:rPr>
          <w:rFonts w:ascii="Times New Roman" w:hAnsi="Times New Roman"/>
          <w:b/>
          <w:lang w:val="lt-LT"/>
        </w:rPr>
        <w:tab/>
        <w:t>Galimas šalutinis poveikis</w:t>
      </w: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spacing w:after="0" w:line="240" w:lineRule="auto"/>
        <w:rPr>
          <w:rFonts w:ascii="Times New Roman" w:hAnsi="Times New Roman"/>
          <w:lang w:val="lt-LT"/>
        </w:rPr>
      </w:pPr>
      <w:r w:rsidRPr="00994268">
        <w:rPr>
          <w:rFonts w:ascii="Times New Roman" w:hAnsi="Times New Roman"/>
          <w:lang w:val="lt-LT"/>
        </w:rPr>
        <w:t xml:space="preserve">Šis vaistas, kaip ir visi kiti, gali sukelti šalutinį poveikį, nors jis pasireiškia ne visiems žmonėms. </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Nepageidaujamo poveikio dažnis apibūdinamas taip: labai dažnas (atsiranda daugiau kaip 1 pacientui iš 10), dažnas (atsiranda 1</w:t>
      </w:r>
      <w:r w:rsidRPr="00D73441">
        <w:rPr>
          <w:rFonts w:ascii="Times New Roman" w:eastAsia="Times New Roman" w:hAnsi="Times New Roman"/>
          <w:lang w:val="lt-LT"/>
        </w:rPr>
        <w:noBreakHyphen/>
        <w:t>10 pacientų iš 100), nedažnas (atsiranda 1</w:t>
      </w:r>
      <w:r w:rsidRPr="00D73441">
        <w:rPr>
          <w:rFonts w:ascii="Times New Roman" w:eastAsia="Times New Roman" w:hAnsi="Times New Roman"/>
          <w:lang w:val="lt-LT"/>
        </w:rPr>
        <w:noBreakHyphen/>
        <w:t>10 pacientų iš 1000), retas (atsiranda 1</w:t>
      </w:r>
      <w:r w:rsidRPr="00D73441">
        <w:rPr>
          <w:rFonts w:ascii="Times New Roman" w:eastAsia="Times New Roman" w:hAnsi="Times New Roman"/>
          <w:lang w:val="lt-LT"/>
        </w:rPr>
        <w:noBreakHyphen/>
        <w:t>10 pacientų iš 10000), labai retas (atsiranda mažiau kaip 1 pacientui iš 10000) ir nežinomas (negali būti apskaičiuotas pagal turimus duomenis).</w:t>
      </w:r>
    </w:p>
    <w:p w:rsidR="00F85935" w:rsidRPr="00D73441" w:rsidRDefault="00F85935" w:rsidP="00F85935">
      <w:pPr>
        <w:spacing w:after="0" w:line="240" w:lineRule="auto"/>
        <w:rPr>
          <w:rFonts w:ascii="Times New Roman" w:eastAsia="Times New Roman" w:hAnsi="Times New Roman"/>
          <w:lang w:val="lt-LT"/>
        </w:rPr>
      </w:pPr>
    </w:p>
    <w:p w:rsidR="00F85935" w:rsidRPr="003B4D72" w:rsidRDefault="00F85935" w:rsidP="00F85935">
      <w:pPr>
        <w:spacing w:after="0" w:line="240" w:lineRule="auto"/>
        <w:rPr>
          <w:rFonts w:ascii="Times New Roman" w:eastAsia="Times New Roman" w:hAnsi="Times New Roman"/>
          <w:i/>
          <w:lang w:val="lt-LT"/>
        </w:rPr>
      </w:pPr>
      <w:r w:rsidRPr="00682B59">
        <w:rPr>
          <w:rFonts w:ascii="Times New Roman" w:hAnsi="Times New Roman"/>
          <w:b/>
          <w:bCs/>
          <w:noProof/>
          <w:snapToGrid w:val="0"/>
          <w:lang w:val="lt-LT"/>
        </w:rPr>
        <w:t>Labai reti šalutinio poveikio reiškiniai (gali pasireikšti rečiau kaip 1 iš 10 000 asmenų</w:t>
      </w:r>
      <w:r>
        <w:rPr>
          <w:rFonts w:ascii="Times New Roman" w:hAnsi="Times New Roman"/>
          <w:b/>
          <w:bCs/>
          <w:noProof/>
          <w:snapToGrid w:val="0"/>
          <w:lang w:val="lt-LT"/>
        </w:rPr>
        <w:t>)</w:t>
      </w:r>
      <w:r w:rsidRPr="00682B59">
        <w:rPr>
          <w:rFonts w:ascii="Times New Roman" w:hAnsi="Times New Roman"/>
          <w:b/>
          <w:bCs/>
          <w:noProof/>
          <w:snapToGrid w:val="0"/>
          <w:lang w:val="lt-LT"/>
        </w:rPr>
        <w:t>:</w:t>
      </w:r>
      <w:r w:rsidRPr="00D07D90" w:rsidDel="00D07D90">
        <w:rPr>
          <w:rFonts w:ascii="Times New Roman" w:eastAsia="Times New Roman" w:hAnsi="Times New Roman"/>
          <w:i/>
          <w:lang w:val="lt-LT"/>
        </w:rPr>
        <w:t xml:space="preserve"> </w:t>
      </w:r>
    </w:p>
    <w:p w:rsidR="00F85935" w:rsidRPr="00D73441" w:rsidRDefault="00F85935" w:rsidP="00F85935">
      <w:pPr>
        <w:pStyle w:val="Spalvotasspalvinimas3parykinimas1"/>
        <w:numPr>
          <w:ilvl w:val="0"/>
          <w:numId w:val="6"/>
        </w:numPr>
        <w:tabs>
          <w:tab w:val="left" w:pos="540"/>
        </w:tabs>
        <w:spacing w:after="0" w:line="240" w:lineRule="auto"/>
        <w:ind w:left="567" w:hanging="567"/>
        <w:rPr>
          <w:rFonts w:ascii="Times New Roman" w:eastAsia="Times New Roman" w:hAnsi="Times New Roman"/>
          <w:lang w:val="lt-LT"/>
        </w:rPr>
      </w:pPr>
      <w:r w:rsidRPr="00D73441">
        <w:rPr>
          <w:rFonts w:ascii="Times New Roman" w:eastAsia="Times New Roman" w:hAnsi="Times New Roman"/>
          <w:lang w:val="lt-LT"/>
        </w:rPr>
        <w:t>kraujo plokštelių (trombocitų) kiekio sumažėjimas, baltųjų kraujo ląstelių (neutrofilų-leukocitų arba leukocitų) kiekio sumažėjimas, visų kraujo ląstelių sumažėjimas (agranuliocitozė);</w:t>
      </w:r>
    </w:p>
    <w:p w:rsidR="00F85935" w:rsidRPr="00D73441" w:rsidRDefault="00F85935" w:rsidP="00F85935">
      <w:pPr>
        <w:numPr>
          <w:ilvl w:val="0"/>
          <w:numId w:val="6"/>
        </w:numPr>
        <w:tabs>
          <w:tab w:val="left" w:pos="540"/>
        </w:tabs>
        <w:spacing w:after="0" w:line="240" w:lineRule="auto"/>
        <w:ind w:left="567" w:hanging="567"/>
        <w:rPr>
          <w:rFonts w:ascii="Times New Roman" w:eastAsia="Times New Roman" w:hAnsi="Times New Roman"/>
          <w:lang w:val="lt-LT"/>
        </w:rPr>
      </w:pPr>
      <w:r w:rsidRPr="00D73441">
        <w:rPr>
          <w:rFonts w:ascii="Times New Roman" w:eastAsia="Times New Roman" w:hAnsi="Times New Roman"/>
          <w:lang w:val="lt-LT"/>
        </w:rPr>
        <w:t xml:space="preserve">padidėjusio jautrumo (alerginės) reakcijos, kurios gali būti sunkios: anafilaksija, odos išbėrimas; dilgėlinė, alerginis patinimas; labai retais atvejais buvo pranešta apie sunkias odos reakcijas; </w:t>
      </w:r>
      <w:r w:rsidRPr="00D73441">
        <w:rPr>
          <w:rFonts w:ascii="Times New Roman" w:eastAsia="Times New Roman" w:hAnsi="Times New Roman"/>
          <w:i/>
          <w:lang w:val="lt-LT"/>
        </w:rPr>
        <w:t>Stevens Johnson’o</w:t>
      </w:r>
      <w:r w:rsidRPr="00D73441">
        <w:rPr>
          <w:rFonts w:ascii="Times New Roman" w:eastAsia="Times New Roman" w:hAnsi="Times New Roman"/>
          <w:noProof/>
          <w:lang w:val="lt-LT"/>
        </w:rPr>
        <w:t xml:space="preserve"> sindromą (</w:t>
      </w:r>
      <w:r w:rsidRPr="00D73441">
        <w:rPr>
          <w:rFonts w:ascii="Times New Roman" w:eastAsia="Times New Roman" w:hAnsi="Times New Roman"/>
          <w:lang w:val="lt-LT"/>
        </w:rPr>
        <w:t>sunkus odos ir gleivinių pažeidimas, pasireiškiantis išbėrimais dėmėmis ir pūslių susidarymu); toksinė epidermio nekrolizė;</w:t>
      </w:r>
    </w:p>
    <w:p w:rsidR="00F85935" w:rsidRPr="00D73441" w:rsidRDefault="00F85935" w:rsidP="00F85935">
      <w:pPr>
        <w:numPr>
          <w:ilvl w:val="0"/>
          <w:numId w:val="6"/>
        </w:numPr>
        <w:tabs>
          <w:tab w:val="left" w:pos="540"/>
        </w:tabs>
        <w:spacing w:after="0" w:line="240" w:lineRule="auto"/>
        <w:ind w:left="567" w:hanging="567"/>
        <w:rPr>
          <w:rFonts w:ascii="Times New Roman" w:eastAsia="Times New Roman" w:hAnsi="Times New Roman"/>
          <w:lang w:val="lt-LT"/>
        </w:rPr>
      </w:pPr>
      <w:r w:rsidRPr="00D73441">
        <w:rPr>
          <w:rFonts w:ascii="Times New Roman" w:eastAsia="Times New Roman" w:hAnsi="Times New Roman"/>
          <w:lang w:val="lt-LT"/>
        </w:rPr>
        <w:t>bronchų spazmas – labiau tikėtinas, jei Jūs alergiškas kitiems skausmą malšinantiems vaistams, pavyzdžiui, ibuprofenui ar aspirinui;</w:t>
      </w:r>
    </w:p>
    <w:p w:rsidR="00F85935" w:rsidRPr="00D73441" w:rsidRDefault="00F85935" w:rsidP="00F85935">
      <w:pPr>
        <w:pStyle w:val="Spalvotasspalvinimas3parykinimas1"/>
        <w:numPr>
          <w:ilvl w:val="0"/>
          <w:numId w:val="6"/>
        </w:numPr>
        <w:tabs>
          <w:tab w:val="left" w:pos="540"/>
        </w:tabs>
        <w:spacing w:after="0" w:line="240" w:lineRule="auto"/>
        <w:ind w:left="567" w:hanging="567"/>
        <w:rPr>
          <w:rFonts w:ascii="Times New Roman" w:eastAsia="Times New Roman" w:hAnsi="Times New Roman"/>
          <w:lang w:val="lt-LT"/>
        </w:rPr>
      </w:pPr>
      <w:r w:rsidRPr="00D73441">
        <w:rPr>
          <w:rFonts w:ascii="Times New Roman" w:eastAsia="Times New Roman" w:hAnsi="Times New Roman"/>
          <w:lang w:val="lt-LT"/>
        </w:rPr>
        <w:tab/>
        <w:t>kepenų veiklos sutrikimas.</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Nevartokite vaisto ir nedelsdami kreipkitės į gydytoją, jeigu Jums atsirado minėtas šalutinis poveikis.</w:t>
      </w:r>
    </w:p>
    <w:p w:rsidR="00F85935" w:rsidRPr="00994268" w:rsidRDefault="00F85935" w:rsidP="00F85935">
      <w:pPr>
        <w:spacing w:after="0" w:line="240" w:lineRule="auto"/>
        <w:rPr>
          <w:rFonts w:ascii="Times New Roman" w:hAnsi="Times New Roman"/>
          <w:lang w:val="lt-LT"/>
        </w:rPr>
      </w:pPr>
    </w:p>
    <w:p w:rsidR="00F85935" w:rsidRPr="00D73441" w:rsidRDefault="00F85935" w:rsidP="00F85935">
      <w:pPr>
        <w:tabs>
          <w:tab w:val="left" w:pos="567"/>
        </w:tabs>
        <w:spacing w:after="0" w:line="240" w:lineRule="auto"/>
        <w:rPr>
          <w:rFonts w:ascii="Times New Roman" w:eastAsia="Times New Roman" w:hAnsi="Times New Roman"/>
          <w:b/>
          <w:snapToGrid w:val="0"/>
          <w:lang w:val="lt-LT"/>
        </w:rPr>
      </w:pPr>
      <w:r w:rsidRPr="00D73441">
        <w:rPr>
          <w:rFonts w:ascii="Times New Roman" w:eastAsia="Times New Roman" w:hAnsi="Times New Roman"/>
          <w:b/>
          <w:noProof/>
          <w:snapToGrid w:val="0"/>
          <w:lang w:val="lt-LT"/>
        </w:rPr>
        <w:t>Pranešimas apie šalutinį poveikį</w:t>
      </w:r>
    </w:p>
    <w:p w:rsidR="00F85935" w:rsidRPr="00D73441" w:rsidRDefault="00F85935" w:rsidP="00F85935">
      <w:pPr>
        <w:tabs>
          <w:tab w:val="left" w:pos="567"/>
        </w:tabs>
        <w:spacing w:after="0" w:line="260" w:lineRule="exact"/>
        <w:ind w:right="-449"/>
        <w:rPr>
          <w:rFonts w:ascii="Times New Roman" w:eastAsia="Times New Roman" w:hAnsi="Times New Roman"/>
          <w:lang w:val="lt-LT" w:eastAsia="x-none"/>
        </w:rPr>
      </w:pPr>
      <w:r w:rsidRPr="00D73441">
        <w:rPr>
          <w:rFonts w:ascii="Times New Roman" w:eastAsia="Times New Roman" w:hAnsi="Times New Roman"/>
          <w:snapToGrid w:val="0"/>
          <w:lang w:val="lt-LT"/>
        </w:rPr>
        <w:lastRenderedPageBreak/>
        <w:t>Jeigu pasireiškė šalutinis poveikis, įskaitant šiame lapelyje nenurodytą, pasakykite gydytojui arba vaistininkui</w:t>
      </w:r>
      <w:r w:rsidRPr="00A42D86">
        <w:rPr>
          <w:rFonts w:ascii="Times New Roman" w:eastAsia="Times New Roman" w:hAnsi="Times New Roman"/>
          <w:snapToGrid w:val="0"/>
          <w:lang w:val="lt-LT"/>
        </w:rPr>
        <w:t xml:space="preserve">. </w:t>
      </w:r>
      <w:r w:rsidRPr="00682B59">
        <w:rPr>
          <w:rFonts w:ascii="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82B59">
          <w:rPr>
            <w:rFonts w:ascii="Times New Roman" w:hAnsi="Times New Roman"/>
            <w:snapToGrid w:val="0"/>
            <w:color w:val="0000FF"/>
            <w:u w:val="single"/>
            <w:lang w:val="lt-LT"/>
          </w:rPr>
          <w:t>https://vapris.vvkt.lt/vvkt-web/public/nrv</w:t>
        </w:r>
      </w:hyperlink>
      <w:r w:rsidRPr="00682B59">
        <w:rPr>
          <w:rFonts w:ascii="Times New Roman" w:hAnsi="Times New Roman"/>
          <w:snapToGrid w:val="0"/>
          <w:lang w:val="lt-LT"/>
        </w:rPr>
        <w:t xml:space="preserve"> arba užpildant Paciento pranešimo apie įtariamą nepageidaujamą reakciją (ĮNR) formą, kuri skelbiama </w:t>
      </w:r>
      <w:hyperlink r:id="rId6" w:history="1">
        <w:r w:rsidRPr="00682B59">
          <w:rPr>
            <w:rFonts w:ascii="Times New Roman" w:hAnsi="Times New Roman"/>
            <w:snapToGrid w:val="0"/>
            <w:color w:val="0000FF"/>
            <w:u w:val="single"/>
            <w:lang w:val="lt-LT"/>
          </w:rPr>
          <w:t>https://www.vvkt.lt/index.php?4004286486</w:t>
        </w:r>
      </w:hyperlink>
      <w:r w:rsidRPr="00682B59">
        <w:rPr>
          <w:rFonts w:ascii="Times New Roman" w:hAnsi="Times New Roman"/>
          <w:snapToGrid w:val="0"/>
          <w:lang w:val="lt-LT"/>
        </w:rPr>
        <w:t xml:space="preserve">, ir atsiunčiant elektroniniu paštu (adresu </w:t>
      </w:r>
      <w:hyperlink r:id="rId7" w:history="1">
        <w:r w:rsidRPr="00682B59">
          <w:rPr>
            <w:rFonts w:ascii="Times New Roman" w:hAnsi="Times New Roman"/>
            <w:snapToGrid w:val="0"/>
            <w:color w:val="0000FF"/>
            <w:u w:val="single"/>
            <w:lang w:val="lt-LT"/>
          </w:rPr>
          <w:t>NepageidaujamaR@vvkt.lt</w:t>
        </w:r>
      </w:hyperlink>
      <w:r w:rsidRPr="00682B59">
        <w:rPr>
          <w:rFonts w:ascii="Times New Roman" w:hAnsi="Times New Roman"/>
          <w:snapToGrid w:val="0"/>
          <w:lang w:val="lt-LT"/>
        </w:rPr>
        <w:t>) arba nemokamu telefonu 8 800 73 568. Pranešdami apie šalutinį poveikį galite mums padėti gauti daugiau informacijos apie šio vaisto saugumą.</w:t>
      </w:r>
    </w:p>
    <w:p w:rsidR="00F85935" w:rsidRDefault="00F85935" w:rsidP="00F85935">
      <w:pPr>
        <w:spacing w:after="0" w:line="240" w:lineRule="auto"/>
        <w:rPr>
          <w:rFonts w:ascii="Times New Roman" w:eastAsia="Times New Roman" w:hAnsi="Times New Roman"/>
          <w:lang w:val="lt-LT" w:eastAsia="x-none"/>
        </w:rPr>
      </w:pPr>
    </w:p>
    <w:p w:rsidR="00F85935" w:rsidRPr="00D73441" w:rsidRDefault="00F85935" w:rsidP="00F85935">
      <w:pPr>
        <w:spacing w:after="0" w:line="240" w:lineRule="auto"/>
        <w:rPr>
          <w:rFonts w:ascii="Times New Roman" w:eastAsia="Times New Roman" w:hAnsi="Times New Roman"/>
          <w:lang w:val="lt-LT" w:eastAsia="x-none"/>
        </w:rPr>
      </w:pPr>
    </w:p>
    <w:p w:rsidR="00F85935" w:rsidRPr="00994268" w:rsidRDefault="00F85935" w:rsidP="00F85935">
      <w:pPr>
        <w:keepNext/>
        <w:spacing w:after="0" w:line="240" w:lineRule="auto"/>
        <w:ind w:left="540" w:hanging="540"/>
        <w:outlineLvl w:val="1"/>
        <w:rPr>
          <w:rFonts w:ascii="Times New Roman" w:hAnsi="Times New Roman"/>
          <w:b/>
          <w:lang w:val="lt-LT"/>
        </w:rPr>
      </w:pPr>
      <w:r w:rsidRPr="00994268">
        <w:rPr>
          <w:rFonts w:ascii="Times New Roman" w:hAnsi="Times New Roman"/>
          <w:b/>
          <w:lang w:val="lt-LT"/>
        </w:rPr>
        <w:t>5.</w:t>
      </w:r>
      <w:r w:rsidRPr="00994268">
        <w:rPr>
          <w:rFonts w:ascii="Times New Roman" w:hAnsi="Times New Roman"/>
          <w:b/>
          <w:lang w:val="lt-LT"/>
        </w:rPr>
        <w:tab/>
        <w:t>Kaip laikyti Panadol optizorb</w:t>
      </w:r>
    </w:p>
    <w:p w:rsidR="00F85935" w:rsidRPr="00994268" w:rsidRDefault="00F85935" w:rsidP="00F85935">
      <w:pPr>
        <w:spacing w:after="0" w:line="240" w:lineRule="auto"/>
        <w:rPr>
          <w:rFonts w:ascii="Times New Roman" w:hAnsi="Times New Roman"/>
          <w:lang w:val="lt-LT"/>
        </w:rPr>
      </w:pP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Šį vaistą laikykite vaikams nepastebimoje ir nepasiekiamoje vietoje.</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Šiam vaistui specialių laikymo sąlygų nereikia.</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 xml:space="preserve">Ant dėžutės po „Tinka iki“ ir lizdinės plokštelės po „EXP“ nurodytam tinkamumo laikui pasibaigus, šio vaisto vartoti negalima. </w:t>
      </w:r>
    </w:p>
    <w:p w:rsidR="00F85935" w:rsidRPr="00D73441" w:rsidRDefault="00F85935" w:rsidP="00F85935">
      <w:pPr>
        <w:tabs>
          <w:tab w:val="left" w:pos="567"/>
        </w:tabs>
        <w:spacing w:after="0" w:line="240" w:lineRule="auto"/>
        <w:rPr>
          <w:rFonts w:ascii="Times New Roman" w:eastAsia="Times New Roman" w:hAnsi="Times New Roman"/>
          <w:lang w:val="lt-LT"/>
        </w:rPr>
      </w:pPr>
      <w:r w:rsidRPr="00D73441">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F85935" w:rsidRPr="00D73441" w:rsidRDefault="00F85935" w:rsidP="00F85935">
      <w:pPr>
        <w:tabs>
          <w:tab w:val="left" w:pos="567"/>
        </w:tabs>
        <w:spacing w:after="0" w:line="240" w:lineRule="auto"/>
        <w:rPr>
          <w:rFonts w:ascii="Times New Roman" w:eastAsia="Times New Roman" w:hAnsi="Times New Roman"/>
          <w:lang w:val="lt-LT"/>
        </w:rPr>
      </w:pPr>
    </w:p>
    <w:p w:rsidR="00F85935" w:rsidRPr="00D73441" w:rsidRDefault="00F85935" w:rsidP="00F85935">
      <w:pPr>
        <w:tabs>
          <w:tab w:val="left" w:pos="567"/>
        </w:tabs>
        <w:spacing w:after="0" w:line="240" w:lineRule="auto"/>
        <w:rPr>
          <w:rFonts w:ascii="Times New Roman" w:eastAsia="Times New Roman" w:hAnsi="Times New Roman"/>
          <w:lang w:val="lt-LT"/>
        </w:rPr>
      </w:pPr>
    </w:p>
    <w:p w:rsidR="00F85935" w:rsidRPr="00D73441" w:rsidRDefault="00F85935" w:rsidP="00F85935">
      <w:pPr>
        <w:tabs>
          <w:tab w:val="left" w:pos="567"/>
        </w:tabs>
        <w:spacing w:after="0" w:line="240" w:lineRule="auto"/>
        <w:ind w:left="540" w:hanging="540"/>
        <w:rPr>
          <w:rFonts w:ascii="Times New Roman" w:eastAsia="Times New Roman" w:hAnsi="Times New Roman"/>
          <w:b/>
          <w:lang w:val="lt-LT"/>
        </w:rPr>
      </w:pPr>
      <w:r w:rsidRPr="00D73441">
        <w:rPr>
          <w:rFonts w:ascii="Times New Roman" w:eastAsia="Times New Roman" w:hAnsi="Times New Roman"/>
          <w:b/>
          <w:lang w:val="lt-LT"/>
        </w:rPr>
        <w:t xml:space="preserve">6. </w:t>
      </w:r>
      <w:r w:rsidRPr="00D73441">
        <w:rPr>
          <w:rFonts w:ascii="Times New Roman" w:eastAsia="Times New Roman" w:hAnsi="Times New Roman"/>
          <w:b/>
          <w:lang w:val="lt-LT"/>
        </w:rPr>
        <w:tab/>
        <w:t>Pakuotės turinys ir kita informacija</w:t>
      </w:r>
    </w:p>
    <w:p w:rsidR="00F85935" w:rsidRPr="00D73441" w:rsidRDefault="00F85935" w:rsidP="00F85935">
      <w:pPr>
        <w:tabs>
          <w:tab w:val="left" w:pos="567"/>
        </w:tabs>
        <w:spacing w:after="0" w:line="240" w:lineRule="auto"/>
        <w:ind w:left="540" w:hanging="540"/>
        <w:rPr>
          <w:rFonts w:ascii="Times New Roman" w:eastAsia="Times New Roman" w:hAnsi="Times New Roman"/>
          <w:b/>
          <w:lang w:val="lt-LT"/>
        </w:rPr>
      </w:pPr>
    </w:p>
    <w:p w:rsidR="00F85935" w:rsidRPr="00D73441" w:rsidRDefault="00F85935" w:rsidP="00F85935">
      <w:pPr>
        <w:spacing w:after="0" w:line="240" w:lineRule="auto"/>
        <w:contextualSpacing/>
        <w:rPr>
          <w:rFonts w:ascii="Times New Roman" w:eastAsia="Times New Roman" w:hAnsi="Times New Roman"/>
          <w:b/>
          <w:bCs/>
          <w:iCs/>
          <w:lang w:val="lt-LT"/>
        </w:rPr>
      </w:pPr>
      <w:r w:rsidRPr="00D73441">
        <w:rPr>
          <w:rFonts w:ascii="Times New Roman" w:eastAsia="Times New Roman" w:hAnsi="Times New Roman"/>
          <w:b/>
          <w:lang w:val="lt-LT"/>
        </w:rPr>
        <w:t>Panadol optizorb</w:t>
      </w:r>
      <w:r w:rsidRPr="00D73441">
        <w:rPr>
          <w:rFonts w:ascii="Times New Roman" w:eastAsia="Times New Roman" w:hAnsi="Times New Roman"/>
          <w:b/>
          <w:bCs/>
          <w:iCs/>
          <w:lang w:val="lt-LT"/>
        </w:rPr>
        <w:t xml:space="preserve"> sudėtis</w:t>
      </w:r>
    </w:p>
    <w:p w:rsidR="00F85935" w:rsidRPr="00D73441" w:rsidRDefault="00F85935" w:rsidP="00F85935">
      <w:pPr>
        <w:numPr>
          <w:ilvl w:val="0"/>
          <w:numId w:val="7"/>
        </w:numPr>
        <w:spacing w:after="0" w:line="240" w:lineRule="auto"/>
        <w:ind w:left="357" w:hanging="357"/>
        <w:contextualSpacing/>
        <w:rPr>
          <w:rFonts w:ascii="Times New Roman" w:eastAsia="Times New Roman" w:hAnsi="Times New Roman"/>
          <w:lang w:val="lt-LT"/>
        </w:rPr>
      </w:pPr>
      <w:r w:rsidRPr="00D73441">
        <w:rPr>
          <w:rFonts w:ascii="Times New Roman" w:eastAsia="Times New Roman" w:hAnsi="Times New Roman"/>
          <w:lang w:val="lt-LT"/>
        </w:rPr>
        <w:t>Veiklioji medžiaga yra paracetamolis. Kiekvienoje plėvele dengtoje tabletėje yra 500 mg paracetamolio.</w:t>
      </w:r>
    </w:p>
    <w:p w:rsidR="00F85935" w:rsidRPr="00D73441" w:rsidRDefault="00F85935" w:rsidP="00F85935">
      <w:pPr>
        <w:numPr>
          <w:ilvl w:val="0"/>
          <w:numId w:val="7"/>
        </w:numPr>
        <w:spacing w:after="0" w:line="240" w:lineRule="auto"/>
        <w:ind w:left="357" w:hanging="357"/>
        <w:contextualSpacing/>
        <w:rPr>
          <w:rFonts w:ascii="Times New Roman" w:eastAsia="Times New Roman" w:hAnsi="Times New Roman"/>
          <w:lang w:val="lt-LT"/>
        </w:rPr>
      </w:pPr>
      <w:r w:rsidRPr="00D73441">
        <w:rPr>
          <w:rFonts w:ascii="Times New Roman" w:eastAsia="Times New Roman" w:hAnsi="Times New Roman"/>
          <w:lang w:val="lt-LT"/>
        </w:rPr>
        <w:t>Pagalbinės medžiagos tabletės šerdyje yra pregelifikuotas krakmolas, kalcio karbonatas, algino rūgštis, krospovidonas, povidonas, magnio stearatas, bevandenis koloidinis silicio dioksidas. Tabletės plėvelę sudaro titano dioksidas (E171), hipromeliozė, makrogolis 400, polisorbatas 80 ir karnaubo vaškas.</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20" w:lineRule="exact"/>
        <w:rPr>
          <w:rFonts w:ascii="Times New Roman" w:eastAsia="Times New Roman" w:hAnsi="Times New Roman"/>
          <w:b/>
          <w:bCs/>
          <w:lang w:val="lt-LT"/>
        </w:rPr>
      </w:pPr>
      <w:r w:rsidRPr="00D73441">
        <w:rPr>
          <w:rFonts w:ascii="Times New Roman" w:eastAsia="Times New Roman" w:hAnsi="Times New Roman"/>
          <w:b/>
          <w:bCs/>
          <w:lang w:val="lt-LT"/>
        </w:rPr>
        <w:t>Panadol optizorb išvaizda ir kiekis pakuotėje</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Balta ar pilkšva kapsulės formos plėvele dengta tabletė, kurios vienoje pusėje yra apskritime įspausta raidė „P“, o kitoje – laužimo linija.</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Tabletę galima padalyti į lygias dozes.</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Panadol optizorb tiekiamas:</w:t>
      </w: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rPr>
        <w:t>Kartono dėžutėse, supakuotose matinėse arba permatomose lizdinėse plokštelėse, kuriose yra 4, 6, 8, 10, 12, 16, 20 arba 24, plėvele dengtos tabletės, arba kartoninėje piniginės tipo dėžutėje supakuotose lizdinėse plokštelėse, kuriose yra 12 arba 16 plėvele dengtų tablečių.</w:t>
      </w: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spacing w:after="0" w:line="240" w:lineRule="auto"/>
        <w:rPr>
          <w:rFonts w:ascii="Times New Roman" w:eastAsia="Times New Roman" w:hAnsi="Times New Roman"/>
          <w:lang w:val="lt-LT"/>
        </w:rPr>
      </w:pPr>
      <w:r w:rsidRPr="00D73441">
        <w:rPr>
          <w:rFonts w:ascii="Times New Roman" w:eastAsia="Times New Roman" w:hAnsi="Times New Roman"/>
          <w:lang w:val="lt-LT" w:eastAsia="lt-LT"/>
        </w:rPr>
        <w:t>Gali būti tiekiamos ne visų dydžių pakuotės.</w:t>
      </w:r>
    </w:p>
    <w:p w:rsidR="00F85935" w:rsidRPr="00994268" w:rsidRDefault="00F85935" w:rsidP="00F85935">
      <w:pPr>
        <w:spacing w:after="0" w:line="240" w:lineRule="auto"/>
        <w:rPr>
          <w:rFonts w:ascii="Times New Roman" w:hAnsi="Times New Roman"/>
          <w:lang w:val="lt-LT"/>
        </w:rPr>
      </w:pPr>
    </w:p>
    <w:p w:rsidR="00F85935" w:rsidRPr="00D73441" w:rsidRDefault="00F85935" w:rsidP="00F85935">
      <w:pPr>
        <w:spacing w:after="0" w:line="240" w:lineRule="auto"/>
        <w:rPr>
          <w:rFonts w:ascii="Times New Roman" w:eastAsia="Times New Roman" w:hAnsi="Times New Roman"/>
          <w:b/>
          <w:lang w:val="lt-LT" w:eastAsia="x-none"/>
        </w:rPr>
      </w:pPr>
      <w:r w:rsidRPr="00D73441">
        <w:rPr>
          <w:rFonts w:ascii="Times New Roman" w:eastAsia="Times New Roman" w:hAnsi="Times New Roman"/>
          <w:b/>
          <w:lang w:val="lt-LT" w:eastAsia="x-none"/>
        </w:rPr>
        <w:t>Registruotojas</w:t>
      </w:r>
    </w:p>
    <w:p w:rsidR="00F85935" w:rsidRPr="00D2585E" w:rsidRDefault="00F85935" w:rsidP="00F85935">
      <w:pPr>
        <w:spacing w:after="0" w:line="240" w:lineRule="auto"/>
        <w:rPr>
          <w:rFonts w:ascii="Times New Roman" w:hAnsi="Times New Roman"/>
        </w:rPr>
      </w:pPr>
      <w:r w:rsidRPr="00D2585E">
        <w:rPr>
          <w:rFonts w:ascii="Times New Roman" w:hAnsi="Times New Roman"/>
        </w:rPr>
        <w:t>Haleon Hungary Kft.</w:t>
      </w:r>
    </w:p>
    <w:p w:rsidR="00F85935" w:rsidRPr="00D2585E" w:rsidRDefault="00F85935" w:rsidP="00F85935">
      <w:pPr>
        <w:spacing w:after="0" w:line="240" w:lineRule="auto"/>
        <w:rPr>
          <w:rFonts w:ascii="Times New Roman" w:hAnsi="Times New Roman"/>
        </w:rPr>
      </w:pPr>
      <w:r w:rsidRPr="00D2585E">
        <w:rPr>
          <w:rFonts w:ascii="Times New Roman" w:hAnsi="Times New Roman"/>
        </w:rPr>
        <w:t>1124 Budapest, Csörsz utca 43</w:t>
      </w:r>
    </w:p>
    <w:p w:rsidR="00F85935" w:rsidRPr="00994268" w:rsidRDefault="00F85935" w:rsidP="00F85935">
      <w:pPr>
        <w:spacing w:after="0" w:line="240" w:lineRule="auto"/>
        <w:rPr>
          <w:rFonts w:ascii="Times New Roman" w:hAnsi="Times New Roman"/>
          <w:lang w:val="lt-LT"/>
        </w:rPr>
      </w:pPr>
      <w:r w:rsidRPr="00D2585E">
        <w:rPr>
          <w:rFonts w:ascii="Times New Roman" w:hAnsi="Times New Roman"/>
        </w:rPr>
        <w:t>Vengrija</w:t>
      </w:r>
    </w:p>
    <w:p w:rsidR="00F85935" w:rsidRPr="00994268" w:rsidRDefault="00F85935" w:rsidP="00F85935">
      <w:pPr>
        <w:spacing w:after="0" w:line="240" w:lineRule="auto"/>
        <w:rPr>
          <w:rFonts w:ascii="Times New Roman" w:hAnsi="Times New Roman"/>
          <w:lang w:val="lt-LT"/>
        </w:rPr>
      </w:pPr>
    </w:p>
    <w:p w:rsidR="00F85935" w:rsidRPr="00994268" w:rsidRDefault="00F85935" w:rsidP="00F85935">
      <w:pPr>
        <w:spacing w:after="0" w:line="240" w:lineRule="auto"/>
        <w:rPr>
          <w:rFonts w:ascii="Times New Roman" w:hAnsi="Times New Roman"/>
          <w:b/>
          <w:lang w:val="lt-LT"/>
        </w:rPr>
      </w:pPr>
      <w:r w:rsidRPr="00994268">
        <w:rPr>
          <w:rFonts w:ascii="Times New Roman" w:hAnsi="Times New Roman"/>
          <w:b/>
          <w:lang w:val="lt-LT"/>
        </w:rPr>
        <w:t>Gamintojas</w:t>
      </w:r>
    </w:p>
    <w:p w:rsidR="00F85935" w:rsidRPr="00994268" w:rsidRDefault="00F85935" w:rsidP="00F85935">
      <w:pPr>
        <w:spacing w:after="0" w:line="240" w:lineRule="auto"/>
        <w:rPr>
          <w:rFonts w:ascii="Times New Roman" w:hAnsi="Times New Roman"/>
          <w:lang w:val="lt-LT"/>
        </w:rPr>
      </w:pPr>
      <w:r w:rsidRPr="00994268">
        <w:rPr>
          <w:rFonts w:ascii="Times New Roman" w:hAnsi="Times New Roman"/>
          <w:lang w:val="lt-LT"/>
        </w:rPr>
        <w:t>GlaxoSmithKline Dungarvan Limited, Knockbrack, Dungarvan, County Waterford, Airija</w:t>
      </w:r>
    </w:p>
    <w:p w:rsidR="00F85935" w:rsidRPr="00D73441" w:rsidRDefault="00F85935" w:rsidP="00F85935">
      <w:pPr>
        <w:autoSpaceDE w:val="0"/>
        <w:autoSpaceDN w:val="0"/>
        <w:adjustRightInd w:val="0"/>
        <w:spacing w:after="0" w:line="240" w:lineRule="auto"/>
        <w:rPr>
          <w:rFonts w:ascii="Times New Roman" w:eastAsia="Times New Roman" w:hAnsi="Times New Roman"/>
          <w:lang w:val="lt-LT" w:eastAsia="lt-LT"/>
        </w:rPr>
      </w:pPr>
    </w:p>
    <w:p w:rsidR="00F85935" w:rsidRPr="00D73441" w:rsidRDefault="00F85935" w:rsidP="00F85935">
      <w:pPr>
        <w:autoSpaceDE w:val="0"/>
        <w:autoSpaceDN w:val="0"/>
        <w:adjustRightInd w:val="0"/>
        <w:spacing w:after="0" w:line="240" w:lineRule="auto"/>
        <w:rPr>
          <w:rFonts w:ascii="Times New Roman" w:eastAsia="Times New Roman" w:hAnsi="Times New Roman"/>
          <w:lang w:val="lt-LT" w:eastAsia="lt-LT"/>
        </w:rPr>
      </w:pPr>
      <w:r w:rsidRPr="00D73441">
        <w:rPr>
          <w:rFonts w:ascii="Times New Roman" w:eastAsia="Times New Roman" w:hAnsi="Times New Roman"/>
          <w:lang w:val="lt-LT" w:eastAsia="lt-LT"/>
        </w:rPr>
        <w:t>arba</w:t>
      </w:r>
    </w:p>
    <w:p w:rsidR="00F85935" w:rsidRPr="00D73441" w:rsidRDefault="00F85935" w:rsidP="00F85935">
      <w:pPr>
        <w:autoSpaceDE w:val="0"/>
        <w:autoSpaceDN w:val="0"/>
        <w:adjustRightInd w:val="0"/>
        <w:spacing w:after="0" w:line="240" w:lineRule="auto"/>
        <w:rPr>
          <w:rFonts w:ascii="Times New Roman" w:eastAsia="Times New Roman" w:hAnsi="Times New Roman"/>
          <w:lang w:val="lt-LT" w:eastAsia="lt-LT"/>
        </w:rPr>
      </w:pPr>
    </w:p>
    <w:p w:rsidR="00F85935" w:rsidRDefault="00F85935" w:rsidP="00F85935">
      <w:pPr>
        <w:autoSpaceDE w:val="0"/>
        <w:autoSpaceDN w:val="0"/>
        <w:adjustRightInd w:val="0"/>
        <w:spacing w:after="0" w:line="240" w:lineRule="auto"/>
        <w:rPr>
          <w:rFonts w:ascii="Times New Roman" w:eastAsia="Times New Roman" w:hAnsi="Times New Roman"/>
          <w:lang w:val="lt-LT" w:eastAsia="lt-LT"/>
        </w:rPr>
      </w:pPr>
      <w:r w:rsidRPr="00D73441">
        <w:rPr>
          <w:rFonts w:ascii="Times New Roman" w:eastAsia="Times New Roman" w:hAnsi="Times New Roman"/>
          <w:lang w:val="lt-LT" w:eastAsia="lt-LT"/>
        </w:rPr>
        <w:t>SmithKline Beecham S.A., Ctra. de Ajalvir, Km. 2,500, Alcala de Henares, 28806 Madrid, Ispanija</w:t>
      </w:r>
    </w:p>
    <w:p w:rsidR="00F85935" w:rsidRDefault="00F85935" w:rsidP="00F85935">
      <w:pPr>
        <w:autoSpaceDE w:val="0"/>
        <w:autoSpaceDN w:val="0"/>
        <w:adjustRightInd w:val="0"/>
        <w:spacing w:after="0" w:line="240" w:lineRule="auto"/>
        <w:rPr>
          <w:rFonts w:ascii="Times New Roman" w:eastAsia="Times New Roman" w:hAnsi="Times New Roman"/>
          <w:lang w:val="lt-LT" w:eastAsia="lt-LT"/>
        </w:rPr>
      </w:pPr>
    </w:p>
    <w:p w:rsidR="00F85935" w:rsidRDefault="00F85935" w:rsidP="00F85935">
      <w:pPr>
        <w:autoSpaceDE w:val="0"/>
        <w:autoSpaceDN w:val="0"/>
        <w:adjustRightInd w:val="0"/>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a</w:t>
      </w:r>
      <w:r w:rsidRPr="00D07D90">
        <w:rPr>
          <w:rFonts w:ascii="Times New Roman" w:eastAsia="Times New Roman" w:hAnsi="Times New Roman"/>
          <w:lang w:val="lt-LT" w:eastAsia="lt-LT"/>
        </w:rPr>
        <w:t>rba</w:t>
      </w:r>
    </w:p>
    <w:p w:rsidR="00F85935" w:rsidRPr="00D07D90" w:rsidRDefault="00F85935" w:rsidP="00F85935">
      <w:pPr>
        <w:autoSpaceDE w:val="0"/>
        <w:autoSpaceDN w:val="0"/>
        <w:adjustRightInd w:val="0"/>
        <w:spacing w:after="0" w:line="240" w:lineRule="auto"/>
        <w:rPr>
          <w:rFonts w:ascii="Times New Roman" w:eastAsia="Times New Roman" w:hAnsi="Times New Roman"/>
          <w:lang w:val="lt-LT" w:eastAsia="lt-LT"/>
        </w:rPr>
      </w:pPr>
    </w:p>
    <w:p w:rsidR="00F85935" w:rsidRPr="00682B59" w:rsidRDefault="00F85935" w:rsidP="00F85935">
      <w:pPr>
        <w:spacing w:after="0" w:line="240" w:lineRule="auto"/>
        <w:rPr>
          <w:rFonts w:ascii="Times New Roman" w:hAnsi="Times New Roman"/>
          <w:lang w:val="en-GB"/>
        </w:rPr>
      </w:pPr>
      <w:r w:rsidRPr="00A42376">
        <w:rPr>
          <w:rFonts w:ascii="Times New Roman" w:hAnsi="Times New Roman"/>
          <w:lang w:val="en-GB"/>
        </w:rPr>
        <w:lastRenderedPageBreak/>
        <w:t>Haleon Italy Manufacturing S.r.l.</w:t>
      </w:r>
      <w:r w:rsidRPr="00682B59">
        <w:rPr>
          <w:rFonts w:ascii="Times New Roman" w:hAnsi="Times New Roman"/>
          <w:lang w:val="en-GB"/>
        </w:rPr>
        <w:t xml:space="preserve">, Via Nettunense, 90, Aprilia (LT), 04011, Italija </w:t>
      </w:r>
    </w:p>
    <w:p w:rsidR="00F85935" w:rsidRPr="00D73441" w:rsidRDefault="00F85935" w:rsidP="00F85935">
      <w:pPr>
        <w:autoSpaceDE w:val="0"/>
        <w:autoSpaceDN w:val="0"/>
        <w:adjustRightInd w:val="0"/>
        <w:spacing w:after="0" w:line="240" w:lineRule="auto"/>
        <w:rPr>
          <w:rFonts w:ascii="Times New Roman" w:eastAsia="Times New Roman" w:hAnsi="Times New Roman"/>
          <w:lang w:val="lt-LT" w:eastAsia="lt-LT"/>
        </w:rPr>
      </w:pPr>
    </w:p>
    <w:p w:rsidR="00F85935" w:rsidRPr="00D73441" w:rsidRDefault="00F85935" w:rsidP="00F85935">
      <w:pPr>
        <w:spacing w:after="0" w:line="240" w:lineRule="auto"/>
        <w:rPr>
          <w:rFonts w:ascii="Times New Roman" w:eastAsia="Times New Roman" w:hAnsi="Times New Roman"/>
          <w:lang w:val="lt-LT"/>
        </w:rPr>
      </w:pPr>
    </w:p>
    <w:p w:rsidR="00F85935" w:rsidRPr="00D73441" w:rsidRDefault="00F85935" w:rsidP="00F85935">
      <w:pPr>
        <w:keepNext/>
        <w:spacing w:after="0" w:line="240" w:lineRule="auto"/>
        <w:ind w:left="540" w:hanging="540"/>
        <w:outlineLvl w:val="1"/>
        <w:rPr>
          <w:rFonts w:ascii="Times New Roman" w:eastAsia="Times New Roman" w:hAnsi="Times New Roman"/>
          <w:b/>
          <w:lang w:val="lt-LT" w:eastAsia="x-none"/>
        </w:rPr>
      </w:pPr>
      <w:r w:rsidRPr="00994268">
        <w:rPr>
          <w:rFonts w:ascii="Times New Roman" w:hAnsi="Times New Roman"/>
          <w:b/>
          <w:lang w:val="lt-LT"/>
        </w:rPr>
        <w:t>Šis pakuotės lapelis paskutinį kartą peržiūrėtas</w:t>
      </w:r>
      <w:r>
        <w:rPr>
          <w:rFonts w:ascii="Times New Roman" w:hAnsi="Times New Roman"/>
          <w:b/>
          <w:lang w:val="lt-LT"/>
        </w:rPr>
        <w:t xml:space="preserve"> 2024-11-12</w:t>
      </w:r>
      <w:r>
        <w:rPr>
          <w:rFonts w:ascii="Times New Roman" w:eastAsia="Times New Roman" w:hAnsi="Times New Roman"/>
          <w:b/>
          <w:lang w:val="lt-LT" w:eastAsia="x-none"/>
        </w:rPr>
        <w:t>.</w:t>
      </w:r>
    </w:p>
    <w:p w:rsidR="00F85935" w:rsidRPr="00994268" w:rsidRDefault="00F85935" w:rsidP="00F85935">
      <w:pPr>
        <w:keepNext/>
        <w:spacing w:after="0" w:line="240" w:lineRule="auto"/>
        <w:ind w:left="540" w:hanging="540"/>
        <w:outlineLvl w:val="1"/>
        <w:rPr>
          <w:rFonts w:ascii="Times New Roman" w:hAnsi="Times New Roman"/>
          <w:b/>
          <w:lang w:val="lt-LT"/>
        </w:rPr>
      </w:pPr>
    </w:p>
    <w:p w:rsidR="00F85935" w:rsidRPr="00D73441" w:rsidRDefault="00F85935" w:rsidP="00F85935">
      <w:pPr>
        <w:spacing w:after="0" w:line="240" w:lineRule="auto"/>
        <w:rPr>
          <w:rFonts w:ascii="Times New Roman" w:eastAsia="Times New Roman" w:hAnsi="Times New Roman"/>
          <w:lang w:val="lt-LT" w:eastAsia="lt-LT"/>
        </w:rPr>
      </w:pPr>
    </w:p>
    <w:p w:rsidR="00F85935" w:rsidRPr="00D73441" w:rsidRDefault="00F85935" w:rsidP="00F85935">
      <w:pPr>
        <w:spacing w:after="0" w:line="240" w:lineRule="auto"/>
        <w:rPr>
          <w:rFonts w:ascii="Times New Roman" w:eastAsia="Times New Roman" w:hAnsi="Times New Roman"/>
          <w:lang w:val="lt-LT"/>
        </w:rPr>
      </w:pPr>
      <w:r w:rsidRPr="00CD2972">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CD2972">
        <w:rPr>
          <w:rFonts w:ascii="Times New Roman" w:eastAsia="Times New Roman" w:hAnsi="Times New Roman"/>
          <w:color w:val="0000EE"/>
          <w:u w:val="single"/>
          <w:lang w:val="lt-LT" w:eastAsia="lt-LT"/>
        </w:rPr>
        <w:t>https://vvkt.lrv.lt/lt/</w:t>
      </w:r>
      <w:r w:rsidRPr="00CD2972">
        <w:rPr>
          <w:rFonts w:ascii="Times New Roman" w:eastAsia="Times New Roman" w:hAnsi="Times New Roman"/>
          <w:lang w:val="lt-LT" w:eastAsia="lt-LT"/>
        </w:rPr>
        <w:t>.</w:t>
      </w:r>
    </w:p>
    <w:p w:rsidR="00F85935" w:rsidRDefault="00F85935" w:rsidP="00F85935">
      <w:pPr>
        <w:spacing w:after="0" w:line="240" w:lineRule="auto"/>
        <w:rPr>
          <w:rFonts w:ascii="Times New Roman" w:eastAsia="Times New Roman" w:hAnsi="Times New Roman"/>
          <w:lang w:val="lt-LT"/>
        </w:rPr>
      </w:pPr>
    </w:p>
    <w:p w:rsidR="00F85935" w:rsidRDefault="00F85935" w:rsidP="00F85935">
      <w:pPr>
        <w:spacing w:after="0" w:line="240" w:lineRule="auto"/>
        <w:rPr>
          <w:rFonts w:ascii="Times New Roman" w:eastAsia="Times New Roman" w:hAnsi="Times New Roman"/>
          <w:lang w:val="lt-LT"/>
        </w:rPr>
      </w:pPr>
      <w:bookmarkStart w:id="2" w:name="_GoBack"/>
      <w:bookmarkEnd w:id="2"/>
    </w:p>
    <w:p w:rsidR="00F85935" w:rsidRPr="002A0EA2" w:rsidRDefault="00F85935" w:rsidP="00F85935">
      <w:pPr>
        <w:spacing w:after="0" w:line="240" w:lineRule="auto"/>
        <w:rPr>
          <w:rFonts w:ascii="Times New Roman" w:eastAsia="Times New Roman" w:hAnsi="Times New Roman"/>
          <w:lang w:val="lt-LT"/>
        </w:rPr>
      </w:pPr>
    </w:p>
    <w:p w:rsidR="00F85935" w:rsidRPr="007C414A" w:rsidRDefault="00F85935" w:rsidP="00F85935">
      <w:pPr>
        <w:rPr>
          <w:lang w:val="lt-LT"/>
        </w:rPr>
      </w:pPr>
    </w:p>
    <w:p w:rsidR="00F85935" w:rsidRPr="0080477C" w:rsidRDefault="00F85935" w:rsidP="00F85935">
      <w:pPr>
        <w:rPr>
          <w:lang w:val="lt-LT"/>
        </w:rPr>
      </w:pPr>
    </w:p>
    <w:p w:rsidR="00BA6577" w:rsidRDefault="00BA6577"/>
    <w:sectPr w:rsidR="00BA6577" w:rsidSect="00F5465C">
      <w:headerReference w:type="default" r:id="rId8"/>
      <w:footerReference w:type="default" r:id="rId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35953"/>
      <w:docPartObj>
        <w:docPartGallery w:val="Page Numbers (Bottom of Page)"/>
        <w:docPartUnique/>
      </w:docPartObj>
    </w:sdtPr>
    <w:sdtEndPr>
      <w:rPr>
        <w:rFonts w:ascii="Times New Roman" w:hAnsi="Times New Roman"/>
        <w:sz w:val="22"/>
      </w:rPr>
    </w:sdtEndPr>
    <w:sdtContent>
      <w:p w:rsidR="002B1A12" w:rsidRPr="00D81B2D" w:rsidRDefault="00F85935">
        <w:pPr>
          <w:pStyle w:val="Porat"/>
          <w:jc w:val="center"/>
          <w:rPr>
            <w:rFonts w:ascii="Times New Roman" w:hAnsi="Times New Roman"/>
            <w:sz w:val="22"/>
          </w:rPr>
        </w:pPr>
        <w:r w:rsidRPr="00D81B2D">
          <w:rPr>
            <w:rFonts w:ascii="Times New Roman" w:hAnsi="Times New Roman"/>
            <w:sz w:val="22"/>
          </w:rPr>
          <w:fldChar w:fldCharType="begin"/>
        </w:r>
        <w:r w:rsidRPr="00D81B2D">
          <w:rPr>
            <w:rFonts w:ascii="Times New Roman" w:hAnsi="Times New Roman"/>
            <w:sz w:val="22"/>
          </w:rPr>
          <w:instrText>PAGE   \* MERGEFORMAT</w:instrText>
        </w:r>
        <w:r w:rsidRPr="00D81B2D">
          <w:rPr>
            <w:rFonts w:ascii="Times New Roman" w:hAnsi="Times New Roman"/>
            <w:sz w:val="22"/>
          </w:rPr>
          <w:fldChar w:fldCharType="separate"/>
        </w:r>
        <w:r w:rsidRPr="00F85935">
          <w:rPr>
            <w:rFonts w:ascii="Times New Roman" w:hAnsi="Times New Roman"/>
            <w:noProof/>
            <w:sz w:val="22"/>
            <w:lang w:val="lt-LT"/>
          </w:rPr>
          <w:t>1</w:t>
        </w:r>
        <w:r w:rsidRPr="00D81B2D">
          <w:rPr>
            <w:rFonts w:ascii="Times New Roman" w:hAnsi="Times New Roman"/>
            <w:sz w:val="22"/>
          </w:rPr>
          <w:fldChar w:fldCharType="end"/>
        </w:r>
      </w:p>
    </w:sdtContent>
  </w:sdt>
  <w:p w:rsidR="002B1A12" w:rsidRDefault="00F8593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128" w:rsidRDefault="00F859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BAE"/>
    <w:multiLevelType w:val="hybridMultilevel"/>
    <w:tmpl w:val="DAB051AC"/>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DB20DC1"/>
    <w:multiLevelType w:val="hybridMultilevel"/>
    <w:tmpl w:val="F89E4744"/>
    <w:lvl w:ilvl="0" w:tplc="CC625C3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911371"/>
    <w:multiLevelType w:val="hybridMultilevel"/>
    <w:tmpl w:val="2048BF9C"/>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629298C"/>
    <w:multiLevelType w:val="hybridMultilevel"/>
    <w:tmpl w:val="4B9E3982"/>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F172710"/>
    <w:multiLevelType w:val="hybridMultilevel"/>
    <w:tmpl w:val="816A32DE"/>
    <w:lvl w:ilvl="0" w:tplc="FFFFFFFF">
      <w:start w:val="1"/>
      <w:numFmt w:val="bullet"/>
      <w:lvlText w:val="-"/>
      <w:lvlJc w:val="left"/>
      <w:pPr>
        <w:ind w:left="720" w:hanging="360"/>
      </w:p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5" w15:restartNumberingAfterBreak="0">
    <w:nsid w:val="636E2DEA"/>
    <w:multiLevelType w:val="hybridMultilevel"/>
    <w:tmpl w:val="3D60DF3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D641F6"/>
    <w:multiLevelType w:val="hybridMultilevel"/>
    <w:tmpl w:val="722092A0"/>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EC72996"/>
    <w:multiLevelType w:val="hybridMultilevel"/>
    <w:tmpl w:val="D434703C"/>
    <w:lvl w:ilvl="0" w:tplc="41BC4376">
      <w:start w:val="2010"/>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35"/>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85935"/>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9BFD0-F531-43B7-A4B8-A2900D57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5935"/>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palvotasspalvinimas3parykinimas1">
    <w:name w:val="Spalvotas spalvinimas – 3 paryškinimas1"/>
    <w:basedOn w:val="prastasis"/>
    <w:uiPriority w:val="34"/>
    <w:qFormat/>
    <w:rsid w:val="00F85935"/>
    <w:pPr>
      <w:ind w:left="720"/>
      <w:contextualSpacing/>
    </w:pPr>
  </w:style>
  <w:style w:type="paragraph" w:styleId="Antrats">
    <w:name w:val="header"/>
    <w:basedOn w:val="prastasis"/>
    <w:link w:val="AntratsDiagrama"/>
    <w:uiPriority w:val="99"/>
    <w:unhideWhenUsed/>
    <w:rsid w:val="00F85935"/>
    <w:pPr>
      <w:tabs>
        <w:tab w:val="center" w:pos="4986"/>
        <w:tab w:val="right" w:pos="9972"/>
      </w:tabs>
      <w:spacing w:after="0" w:line="240" w:lineRule="auto"/>
    </w:pPr>
    <w:rPr>
      <w:sz w:val="20"/>
      <w:szCs w:val="20"/>
      <w:lang w:eastAsia="x-none"/>
    </w:rPr>
  </w:style>
  <w:style w:type="character" w:customStyle="1" w:styleId="AntratsDiagrama">
    <w:name w:val="Antraštės Diagrama"/>
    <w:basedOn w:val="Numatytasispastraiposriftas"/>
    <w:link w:val="Antrats"/>
    <w:uiPriority w:val="99"/>
    <w:rsid w:val="00F85935"/>
    <w:rPr>
      <w:rFonts w:ascii="Calibri" w:eastAsia="Calibri" w:hAnsi="Calibri" w:cs="Times New Roman"/>
      <w:sz w:val="20"/>
      <w:szCs w:val="20"/>
      <w:lang w:val="en-US" w:eastAsia="x-none"/>
    </w:rPr>
  </w:style>
  <w:style w:type="paragraph" w:styleId="Porat">
    <w:name w:val="footer"/>
    <w:basedOn w:val="prastasis"/>
    <w:link w:val="PoratDiagrama"/>
    <w:uiPriority w:val="99"/>
    <w:unhideWhenUsed/>
    <w:rsid w:val="00F85935"/>
    <w:pPr>
      <w:tabs>
        <w:tab w:val="center" w:pos="4986"/>
        <w:tab w:val="right" w:pos="9972"/>
      </w:tabs>
      <w:spacing w:after="0" w:line="240" w:lineRule="auto"/>
    </w:pPr>
    <w:rPr>
      <w:sz w:val="20"/>
      <w:szCs w:val="20"/>
      <w:lang w:eastAsia="x-none"/>
    </w:rPr>
  </w:style>
  <w:style w:type="character" w:customStyle="1" w:styleId="PoratDiagrama">
    <w:name w:val="Poraštė Diagrama"/>
    <w:basedOn w:val="Numatytasispastraiposriftas"/>
    <w:link w:val="Porat"/>
    <w:uiPriority w:val="99"/>
    <w:rsid w:val="00F85935"/>
    <w:rPr>
      <w:rFonts w:ascii="Calibri" w:eastAsia="Calibri" w:hAnsi="Calibri" w:cs="Times New Roman"/>
      <w:sz w:val="20"/>
      <w:szCs w:val="20"/>
      <w:lang w:val="en-US" w:eastAsia="x-none"/>
    </w:rPr>
  </w:style>
  <w:style w:type="paragraph" w:styleId="Sraopastraipa">
    <w:name w:val="List Paragraph"/>
    <w:basedOn w:val="prastasis"/>
    <w:uiPriority w:val="34"/>
    <w:qFormat/>
    <w:rsid w:val="00F85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7294</Words>
  <Characters>4158</Characters>
  <Application>Microsoft Office Word</Application>
  <DocSecurity>0</DocSecurity>
  <Lines>34</Lines>
  <Paragraphs>22</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1.	Kas yra Panadol optizorb ir kam jis vartojamas</vt:lpstr>
      <vt:lpstr>    2.	Kas žinotina prieš vartojant Panadol optizorb</vt:lpstr>
      <vt:lpstr>    3.	Kaip vartoti Panadol optizorb</vt:lpstr>
      <vt:lpstr>        Ką daryti pavartojus per didelę Panadol optizorb dozę?</vt:lpstr>
      <vt:lpstr>    4.	Galimas šalutinis poveikis</vt:lpstr>
      <vt:lpstr>    5.	Kaip laikyti Panadol optizorb</vt:lpstr>
      <vt:lpstr>    Šis pakuotės lapelis paskutinį kartą peržiūrėtas 2024-11-12.</vt:lpstr>
      <vt: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2024-11-13T09:47:00Z</dcterms:created>
  <dcterms:modified xsi:type="dcterms:W3CDTF">2024-11-13T09:48:00Z</dcterms:modified>
</cp:coreProperties>
</file>