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A522" w14:textId="77777777" w:rsidR="00F33154" w:rsidRPr="00C220BD" w:rsidRDefault="00F33154" w:rsidP="00F33154">
      <w:pPr>
        <w:jc w:val="center"/>
        <w:rPr>
          <w:b/>
          <w:szCs w:val="22"/>
        </w:rPr>
      </w:pPr>
      <w:r w:rsidRPr="00C220BD">
        <w:rPr>
          <w:b/>
          <w:szCs w:val="22"/>
        </w:rPr>
        <w:t>Pakuotės</w:t>
      </w:r>
      <w:r w:rsidRPr="00C220BD">
        <w:rPr>
          <w:szCs w:val="22"/>
        </w:rPr>
        <w:t xml:space="preserve"> </w:t>
      </w:r>
      <w:r w:rsidRPr="00C220BD">
        <w:rPr>
          <w:b/>
          <w:szCs w:val="22"/>
        </w:rPr>
        <w:t>lapelis: informacija pacientui</w:t>
      </w:r>
    </w:p>
    <w:p w14:paraId="54F9F732" w14:textId="77777777" w:rsidR="00F33154" w:rsidRPr="00C220BD" w:rsidRDefault="00F33154" w:rsidP="00F33154">
      <w:pPr>
        <w:jc w:val="center"/>
        <w:rPr>
          <w:szCs w:val="22"/>
        </w:rPr>
      </w:pPr>
    </w:p>
    <w:p w14:paraId="148D1E18" w14:textId="77777777" w:rsidR="00F33154" w:rsidRPr="00C220BD" w:rsidRDefault="00F33154" w:rsidP="00F33154">
      <w:pPr>
        <w:autoSpaceDE w:val="0"/>
        <w:autoSpaceDN w:val="0"/>
        <w:adjustRightInd w:val="0"/>
        <w:jc w:val="center"/>
        <w:rPr>
          <w:b/>
          <w:szCs w:val="22"/>
        </w:rPr>
      </w:pPr>
      <w:proofErr w:type="spellStart"/>
      <w:r w:rsidRPr="00C220BD">
        <w:rPr>
          <w:b/>
          <w:szCs w:val="22"/>
        </w:rPr>
        <w:t>Dretacen</w:t>
      </w:r>
      <w:proofErr w:type="spellEnd"/>
      <w:r w:rsidRPr="00C220BD">
        <w:rPr>
          <w:b/>
          <w:szCs w:val="22"/>
        </w:rPr>
        <w:t xml:space="preserve"> 250 mg plėvele dengtos tabletės</w:t>
      </w:r>
    </w:p>
    <w:p w14:paraId="04C84BE6" w14:textId="77777777" w:rsidR="00F33154" w:rsidRPr="00C220BD" w:rsidRDefault="00F33154" w:rsidP="00F33154">
      <w:pPr>
        <w:autoSpaceDE w:val="0"/>
        <w:autoSpaceDN w:val="0"/>
        <w:adjustRightInd w:val="0"/>
        <w:jc w:val="center"/>
        <w:rPr>
          <w:b/>
          <w:szCs w:val="22"/>
          <w:highlight w:val="lightGray"/>
        </w:rPr>
      </w:pPr>
      <w:proofErr w:type="spellStart"/>
      <w:r w:rsidRPr="00C220BD">
        <w:rPr>
          <w:b/>
          <w:szCs w:val="22"/>
          <w:highlight w:val="lightGray"/>
        </w:rPr>
        <w:t>Dretacen</w:t>
      </w:r>
      <w:proofErr w:type="spellEnd"/>
      <w:r w:rsidRPr="00C220BD">
        <w:rPr>
          <w:b/>
          <w:szCs w:val="22"/>
          <w:highlight w:val="lightGray"/>
        </w:rPr>
        <w:t xml:space="preserve"> 500 mg plėvele dengtos tabletės</w:t>
      </w:r>
    </w:p>
    <w:p w14:paraId="13146D7B" w14:textId="77777777" w:rsidR="00F33154" w:rsidRPr="00C220BD" w:rsidRDefault="00F33154" w:rsidP="00F33154">
      <w:pPr>
        <w:autoSpaceDE w:val="0"/>
        <w:autoSpaceDN w:val="0"/>
        <w:adjustRightInd w:val="0"/>
        <w:jc w:val="center"/>
        <w:rPr>
          <w:szCs w:val="22"/>
        </w:rPr>
      </w:pPr>
      <w:proofErr w:type="spellStart"/>
      <w:r w:rsidRPr="00C220BD">
        <w:rPr>
          <w:b/>
          <w:szCs w:val="22"/>
          <w:highlight w:val="lightGray"/>
        </w:rPr>
        <w:t>Dretacen</w:t>
      </w:r>
      <w:proofErr w:type="spellEnd"/>
      <w:r w:rsidRPr="00C220BD">
        <w:rPr>
          <w:b/>
          <w:szCs w:val="22"/>
          <w:highlight w:val="lightGray"/>
        </w:rPr>
        <w:t xml:space="preserve"> 1000 mg plėvele dengtos tabletės</w:t>
      </w:r>
    </w:p>
    <w:p w14:paraId="11B8C0A2" w14:textId="77777777" w:rsidR="00F33154" w:rsidRPr="00C220BD" w:rsidRDefault="00F33154" w:rsidP="00F33154">
      <w:pPr>
        <w:jc w:val="center"/>
        <w:rPr>
          <w:szCs w:val="22"/>
        </w:rPr>
      </w:pPr>
    </w:p>
    <w:p w14:paraId="77C2BC1F" w14:textId="77777777" w:rsidR="00F33154" w:rsidRPr="00C220BD" w:rsidRDefault="00F33154" w:rsidP="00F33154">
      <w:pPr>
        <w:jc w:val="center"/>
        <w:rPr>
          <w:bCs/>
          <w:szCs w:val="22"/>
        </w:rPr>
      </w:pPr>
      <w:proofErr w:type="spellStart"/>
      <w:r w:rsidRPr="00C220BD">
        <w:rPr>
          <w:szCs w:val="22"/>
        </w:rPr>
        <w:t>levetiracetamas</w:t>
      </w:r>
      <w:proofErr w:type="spellEnd"/>
    </w:p>
    <w:p w14:paraId="04B7F716" w14:textId="77777777" w:rsidR="00F33154" w:rsidRPr="00C220BD" w:rsidRDefault="00F33154" w:rsidP="00F33154">
      <w:pPr>
        <w:jc w:val="center"/>
        <w:rPr>
          <w:color w:val="000000"/>
          <w:szCs w:val="22"/>
        </w:rPr>
      </w:pPr>
    </w:p>
    <w:p w14:paraId="208ECA5B" w14:textId="77777777" w:rsidR="00F33154" w:rsidRPr="00C220BD" w:rsidRDefault="00F33154" w:rsidP="00F33154">
      <w:pPr>
        <w:rPr>
          <w:b/>
          <w:szCs w:val="22"/>
        </w:rPr>
      </w:pPr>
      <w:r w:rsidRPr="00C220BD">
        <w:rPr>
          <w:b/>
          <w:szCs w:val="22"/>
        </w:rPr>
        <w:t>Atidžiai perskaitykite visą šį lapelį, prieš Jums ar Jūsų vaikui pradedant vartoti vaistą, nes jame pateikiama Jums svarbi informacija.</w:t>
      </w:r>
    </w:p>
    <w:p w14:paraId="20F5C3DA" w14:textId="77777777" w:rsidR="00F33154" w:rsidRPr="00C220BD" w:rsidRDefault="00F33154" w:rsidP="00F33154">
      <w:pPr>
        <w:tabs>
          <w:tab w:val="left" w:pos="567"/>
        </w:tabs>
        <w:rPr>
          <w:szCs w:val="22"/>
        </w:rPr>
      </w:pPr>
      <w:r w:rsidRPr="00C220BD">
        <w:rPr>
          <w:szCs w:val="22"/>
        </w:rPr>
        <w:t>-</w:t>
      </w:r>
      <w:r w:rsidRPr="00C220BD">
        <w:rPr>
          <w:szCs w:val="22"/>
        </w:rPr>
        <w:tab/>
        <w:t>Neišmeskite šio lapelio, nes vėl gali prireikti jį perskaityti.</w:t>
      </w:r>
    </w:p>
    <w:p w14:paraId="0F673DEB" w14:textId="77777777" w:rsidR="00F33154" w:rsidRPr="00C220BD" w:rsidRDefault="00F33154" w:rsidP="00F33154">
      <w:pPr>
        <w:tabs>
          <w:tab w:val="left" w:pos="567"/>
        </w:tabs>
        <w:rPr>
          <w:szCs w:val="22"/>
        </w:rPr>
      </w:pPr>
      <w:r w:rsidRPr="00C220BD">
        <w:rPr>
          <w:szCs w:val="22"/>
        </w:rPr>
        <w:t>-</w:t>
      </w:r>
      <w:r w:rsidRPr="00C220BD">
        <w:rPr>
          <w:szCs w:val="22"/>
        </w:rPr>
        <w:tab/>
        <w:t>Jeigu kiltų daugiau klausimų, kreipkitės į gydytoją arba vaistininką.</w:t>
      </w:r>
    </w:p>
    <w:p w14:paraId="06BF0AEF" w14:textId="77777777" w:rsidR="00F33154" w:rsidRPr="00C220BD" w:rsidRDefault="00F33154" w:rsidP="00F33154">
      <w:pPr>
        <w:numPr>
          <w:ilvl w:val="0"/>
          <w:numId w:val="1"/>
        </w:numPr>
        <w:tabs>
          <w:tab w:val="clear" w:pos="720"/>
        </w:tabs>
        <w:ind w:left="567" w:hanging="567"/>
        <w:rPr>
          <w:szCs w:val="22"/>
        </w:rPr>
      </w:pPr>
      <w:r w:rsidRPr="00C220BD">
        <w:rPr>
          <w:szCs w:val="22"/>
        </w:rPr>
        <w:t>Šis vaistas skirtas tik Jums, todėl kitiems žmonėms jo duoti negalima. Vaistas gali jiems pakenkti (net tiems, kurių ligos požymiai yra tokie patys kaip Jūsų).</w:t>
      </w:r>
    </w:p>
    <w:p w14:paraId="6A132CE4" w14:textId="77777777" w:rsidR="00F33154" w:rsidRPr="00C220BD" w:rsidRDefault="00F33154" w:rsidP="00F33154">
      <w:pPr>
        <w:ind w:left="567" w:hanging="567"/>
        <w:rPr>
          <w:szCs w:val="22"/>
        </w:rPr>
      </w:pPr>
      <w:r w:rsidRPr="00C220BD">
        <w:rPr>
          <w:szCs w:val="22"/>
        </w:rPr>
        <w:t>-</w:t>
      </w:r>
      <w:r w:rsidRPr="00C220BD">
        <w:rPr>
          <w:szCs w:val="22"/>
        </w:rPr>
        <w:tab/>
        <w:t>Jeigu pasireiškė šalutinis poveikis (net jeigu jis šiame lapelyje nenurodytas) kreipkitės į gydytoją arba vaistininką.</w:t>
      </w:r>
      <w:r w:rsidRPr="00C220BD">
        <w:rPr>
          <w:b/>
          <w:szCs w:val="22"/>
        </w:rPr>
        <w:t xml:space="preserve"> </w:t>
      </w:r>
      <w:r w:rsidRPr="00C220BD">
        <w:rPr>
          <w:szCs w:val="22"/>
        </w:rPr>
        <w:t>Žr. 4 skyrių.</w:t>
      </w:r>
    </w:p>
    <w:p w14:paraId="7CAE1E43" w14:textId="77777777" w:rsidR="00F33154" w:rsidRPr="00C220BD" w:rsidRDefault="00F33154" w:rsidP="00F33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2"/>
        </w:rPr>
      </w:pPr>
    </w:p>
    <w:p w14:paraId="3ECBDEB6" w14:textId="77777777" w:rsidR="00F33154" w:rsidRPr="00C220BD" w:rsidRDefault="00F33154" w:rsidP="00F33154">
      <w:pPr>
        <w:rPr>
          <w:b/>
          <w:szCs w:val="22"/>
        </w:rPr>
      </w:pPr>
      <w:r w:rsidRPr="00C220BD">
        <w:rPr>
          <w:b/>
          <w:szCs w:val="22"/>
        </w:rPr>
        <w:t>Apie ką rašoma šiame lapelyje?</w:t>
      </w:r>
    </w:p>
    <w:p w14:paraId="2E2BB506" w14:textId="77777777" w:rsidR="00F33154" w:rsidRPr="00C220BD" w:rsidRDefault="00F33154" w:rsidP="00F33154">
      <w:pPr>
        <w:rPr>
          <w:b/>
          <w:szCs w:val="22"/>
        </w:rPr>
      </w:pPr>
    </w:p>
    <w:p w14:paraId="5DCC76E7" w14:textId="77777777" w:rsidR="00F33154" w:rsidRPr="00C220BD" w:rsidRDefault="00F33154" w:rsidP="00F33154">
      <w:pPr>
        <w:rPr>
          <w:szCs w:val="22"/>
        </w:rPr>
      </w:pPr>
      <w:r w:rsidRPr="00C220BD">
        <w:rPr>
          <w:szCs w:val="22"/>
        </w:rPr>
        <w:t>1.</w:t>
      </w:r>
      <w:r w:rsidRPr="00C220BD">
        <w:rPr>
          <w:szCs w:val="22"/>
        </w:rPr>
        <w:tab/>
        <w:t xml:space="preserve">Kas yra </w:t>
      </w:r>
      <w:proofErr w:type="spellStart"/>
      <w:r w:rsidRPr="00C220BD">
        <w:rPr>
          <w:szCs w:val="22"/>
        </w:rPr>
        <w:t>Dretacen</w:t>
      </w:r>
      <w:proofErr w:type="spellEnd"/>
      <w:r w:rsidRPr="00C220BD">
        <w:rPr>
          <w:szCs w:val="22"/>
        </w:rPr>
        <w:t xml:space="preserve"> ir kam jis vartojamas</w:t>
      </w:r>
    </w:p>
    <w:p w14:paraId="07FA5FF3" w14:textId="77777777" w:rsidR="00F33154" w:rsidRPr="00C220BD" w:rsidRDefault="00F33154" w:rsidP="00F33154">
      <w:pPr>
        <w:rPr>
          <w:szCs w:val="22"/>
        </w:rPr>
      </w:pPr>
      <w:r w:rsidRPr="00C220BD">
        <w:rPr>
          <w:szCs w:val="22"/>
        </w:rPr>
        <w:t>2.</w:t>
      </w:r>
      <w:r w:rsidRPr="00C220BD">
        <w:rPr>
          <w:szCs w:val="22"/>
        </w:rPr>
        <w:tab/>
        <w:t xml:space="preserve">Kas žinotina prieš vartojant </w:t>
      </w:r>
      <w:proofErr w:type="spellStart"/>
      <w:r w:rsidRPr="00C220BD">
        <w:rPr>
          <w:szCs w:val="22"/>
        </w:rPr>
        <w:t>Dretacen</w:t>
      </w:r>
      <w:proofErr w:type="spellEnd"/>
    </w:p>
    <w:p w14:paraId="2B3FB390" w14:textId="77777777" w:rsidR="00F33154" w:rsidRPr="00C220BD" w:rsidRDefault="00F33154" w:rsidP="00F33154">
      <w:pPr>
        <w:rPr>
          <w:szCs w:val="22"/>
        </w:rPr>
      </w:pPr>
      <w:r w:rsidRPr="00C220BD">
        <w:rPr>
          <w:szCs w:val="22"/>
        </w:rPr>
        <w:t>3.</w:t>
      </w:r>
      <w:r w:rsidRPr="00C220BD">
        <w:rPr>
          <w:szCs w:val="22"/>
        </w:rPr>
        <w:tab/>
        <w:t xml:space="preserve">Kaip vartoti </w:t>
      </w:r>
      <w:proofErr w:type="spellStart"/>
      <w:r w:rsidRPr="00C220BD">
        <w:rPr>
          <w:szCs w:val="22"/>
        </w:rPr>
        <w:t>Dretacen</w:t>
      </w:r>
      <w:proofErr w:type="spellEnd"/>
    </w:p>
    <w:p w14:paraId="45D85D53" w14:textId="77777777" w:rsidR="00F33154" w:rsidRPr="00C220BD" w:rsidRDefault="00F33154" w:rsidP="00F33154">
      <w:pPr>
        <w:rPr>
          <w:szCs w:val="22"/>
        </w:rPr>
      </w:pPr>
      <w:r w:rsidRPr="00C220BD">
        <w:rPr>
          <w:szCs w:val="22"/>
        </w:rPr>
        <w:t>4.</w:t>
      </w:r>
      <w:r w:rsidRPr="00C220BD">
        <w:rPr>
          <w:szCs w:val="22"/>
        </w:rPr>
        <w:tab/>
        <w:t>Galimas šalutinis poveikis</w:t>
      </w:r>
    </w:p>
    <w:p w14:paraId="188113F8" w14:textId="77777777" w:rsidR="00F33154" w:rsidRPr="00C220BD" w:rsidRDefault="00F33154" w:rsidP="00F33154">
      <w:pPr>
        <w:rPr>
          <w:szCs w:val="22"/>
        </w:rPr>
      </w:pPr>
      <w:r w:rsidRPr="00C220BD">
        <w:rPr>
          <w:szCs w:val="22"/>
        </w:rPr>
        <w:t>5.</w:t>
      </w:r>
      <w:r w:rsidRPr="00C220BD">
        <w:rPr>
          <w:szCs w:val="22"/>
        </w:rPr>
        <w:tab/>
        <w:t xml:space="preserve">Kaip laikyti </w:t>
      </w:r>
      <w:proofErr w:type="spellStart"/>
      <w:r w:rsidRPr="00C220BD">
        <w:rPr>
          <w:szCs w:val="22"/>
        </w:rPr>
        <w:t>Dretacen</w:t>
      </w:r>
      <w:proofErr w:type="spellEnd"/>
    </w:p>
    <w:p w14:paraId="2AE7CA44" w14:textId="77777777" w:rsidR="00F33154" w:rsidRPr="00C220BD" w:rsidRDefault="00F33154" w:rsidP="00F33154">
      <w:pPr>
        <w:rPr>
          <w:szCs w:val="22"/>
        </w:rPr>
      </w:pPr>
      <w:r w:rsidRPr="00C220BD">
        <w:rPr>
          <w:szCs w:val="22"/>
        </w:rPr>
        <w:t>6.</w:t>
      </w:r>
      <w:r w:rsidRPr="00C220BD">
        <w:rPr>
          <w:szCs w:val="22"/>
        </w:rPr>
        <w:tab/>
        <w:t>Pakuotės turinys ir kita informacija</w:t>
      </w:r>
    </w:p>
    <w:p w14:paraId="19475CE3" w14:textId="77777777" w:rsidR="00F33154" w:rsidRPr="00C220BD" w:rsidRDefault="00F33154" w:rsidP="00F33154">
      <w:pPr>
        <w:rPr>
          <w:szCs w:val="22"/>
        </w:rPr>
      </w:pPr>
    </w:p>
    <w:p w14:paraId="61C31D32" w14:textId="77777777" w:rsidR="00F33154" w:rsidRPr="00C220BD" w:rsidRDefault="00F33154" w:rsidP="00F33154">
      <w:pPr>
        <w:rPr>
          <w:szCs w:val="22"/>
        </w:rPr>
      </w:pPr>
    </w:p>
    <w:p w14:paraId="1543F1DD" w14:textId="77777777" w:rsidR="00F33154" w:rsidRPr="00C220BD" w:rsidRDefault="00F33154" w:rsidP="00F33154">
      <w:pPr>
        <w:numPr>
          <w:ilvl w:val="12"/>
          <w:numId w:val="0"/>
        </w:numPr>
        <w:outlineLvl w:val="0"/>
        <w:rPr>
          <w:b/>
          <w:caps/>
          <w:szCs w:val="22"/>
        </w:rPr>
      </w:pPr>
      <w:r w:rsidRPr="00C220BD">
        <w:rPr>
          <w:b/>
          <w:caps/>
          <w:szCs w:val="22"/>
        </w:rPr>
        <w:t>1.</w:t>
      </w:r>
      <w:r w:rsidRPr="00C220BD">
        <w:rPr>
          <w:b/>
          <w:caps/>
          <w:szCs w:val="22"/>
        </w:rPr>
        <w:tab/>
      </w:r>
      <w:r w:rsidRPr="00C220BD">
        <w:rPr>
          <w:b/>
          <w:szCs w:val="22"/>
        </w:rPr>
        <w:t xml:space="preserve">Kas yra </w:t>
      </w:r>
      <w:proofErr w:type="spellStart"/>
      <w:r w:rsidRPr="00C220BD">
        <w:rPr>
          <w:b/>
          <w:szCs w:val="22"/>
        </w:rPr>
        <w:t>Dretacen</w:t>
      </w:r>
      <w:proofErr w:type="spellEnd"/>
      <w:r w:rsidRPr="00C220BD">
        <w:rPr>
          <w:b/>
          <w:szCs w:val="22"/>
        </w:rPr>
        <w:t xml:space="preserve"> ir kam jis vartojamas</w:t>
      </w:r>
    </w:p>
    <w:p w14:paraId="6AA277EF" w14:textId="77777777" w:rsidR="00F33154" w:rsidRPr="00C220BD" w:rsidRDefault="00F33154" w:rsidP="00F33154">
      <w:pPr>
        <w:rPr>
          <w:szCs w:val="22"/>
        </w:rPr>
      </w:pPr>
    </w:p>
    <w:p w14:paraId="75E0050E" w14:textId="77777777" w:rsidR="00F33154" w:rsidRPr="00C220BD" w:rsidRDefault="00F33154" w:rsidP="00F33154">
      <w:pPr>
        <w:autoSpaceDE w:val="0"/>
        <w:autoSpaceDN w:val="0"/>
        <w:adjustRightInd w:val="0"/>
        <w:rPr>
          <w:szCs w:val="22"/>
        </w:rPr>
      </w:pPr>
      <w:proofErr w:type="spellStart"/>
      <w:r w:rsidRPr="00C220BD">
        <w:rPr>
          <w:szCs w:val="22"/>
        </w:rPr>
        <w:t>Levetiracetamas</w:t>
      </w:r>
      <w:proofErr w:type="spellEnd"/>
      <w:r w:rsidRPr="00C220BD">
        <w:rPr>
          <w:szCs w:val="22"/>
        </w:rPr>
        <w:t xml:space="preserve"> yra vaistas nuo epilepsijos (vartojamas epilepsijos priepuoliams gydyti).</w:t>
      </w:r>
    </w:p>
    <w:p w14:paraId="2E2EE63E" w14:textId="77777777" w:rsidR="00F33154" w:rsidRPr="00C220BD" w:rsidRDefault="00F33154" w:rsidP="00F33154">
      <w:pPr>
        <w:autoSpaceDE w:val="0"/>
        <w:autoSpaceDN w:val="0"/>
        <w:adjustRightInd w:val="0"/>
        <w:rPr>
          <w:szCs w:val="22"/>
        </w:rPr>
      </w:pPr>
      <w:proofErr w:type="spellStart"/>
      <w:r w:rsidRPr="00C220BD">
        <w:rPr>
          <w:szCs w:val="22"/>
        </w:rPr>
        <w:t>Dretacen</w:t>
      </w:r>
      <w:proofErr w:type="spellEnd"/>
      <w:r w:rsidRPr="00C220BD">
        <w:rPr>
          <w:szCs w:val="22"/>
        </w:rPr>
        <w:t xml:space="preserve"> yra vartojamas:</w:t>
      </w:r>
    </w:p>
    <w:p w14:paraId="5843B19D" w14:textId="77777777" w:rsidR="00F33154" w:rsidRPr="00C220BD" w:rsidRDefault="00F33154" w:rsidP="00F33154">
      <w:pPr>
        <w:numPr>
          <w:ilvl w:val="0"/>
          <w:numId w:val="2"/>
        </w:numPr>
        <w:autoSpaceDE w:val="0"/>
        <w:autoSpaceDN w:val="0"/>
        <w:adjustRightInd w:val="0"/>
        <w:rPr>
          <w:szCs w:val="22"/>
        </w:rPr>
      </w:pPr>
      <w:r w:rsidRPr="00C220BD">
        <w:rPr>
          <w:szCs w:val="22"/>
        </w:rPr>
        <w:t xml:space="preserve">pats vienas, gydant tam tikrą epilepsijos formą, vyresniems nei 16 metų, kuriems naujai diagnozuota epilepsija. Epilepsija – tai būklė, kai pacientams būna pasikartojantys traukulių priepuoliai. </w:t>
      </w:r>
      <w:proofErr w:type="spellStart"/>
      <w:r w:rsidRPr="00C220BD">
        <w:rPr>
          <w:szCs w:val="22"/>
        </w:rPr>
        <w:t>Levetiracetamas</w:t>
      </w:r>
      <w:proofErr w:type="spellEnd"/>
      <w:r w:rsidRPr="00C220BD">
        <w:rPr>
          <w:szCs w:val="22"/>
        </w:rPr>
        <w:t xml:space="preserve"> vartojamas, esant epilepsijos formai, kada priepuolis iš pradžių paveikia tiktai vieną smegenų pusę, bet po to gali išplisti didesniame plote į abi smegenų puses (daliniai traukuliai su antrine </w:t>
      </w:r>
      <w:proofErr w:type="spellStart"/>
      <w:r w:rsidRPr="00C220BD">
        <w:rPr>
          <w:szCs w:val="22"/>
        </w:rPr>
        <w:t>generalizacija</w:t>
      </w:r>
      <w:proofErr w:type="spellEnd"/>
      <w:r w:rsidRPr="00C220BD">
        <w:rPr>
          <w:szCs w:val="22"/>
        </w:rPr>
        <w:t xml:space="preserve"> arba be jos). </w:t>
      </w:r>
      <w:proofErr w:type="spellStart"/>
      <w:r w:rsidRPr="00C220BD">
        <w:rPr>
          <w:szCs w:val="22"/>
        </w:rPr>
        <w:t>Levetiracetamą</w:t>
      </w:r>
      <w:proofErr w:type="spellEnd"/>
      <w:r w:rsidRPr="00C220BD">
        <w:rPr>
          <w:szCs w:val="22"/>
        </w:rPr>
        <w:t xml:space="preserve"> Jums gydytojas paskyrė siekdamas sumažinti priepuolių skaičių;</w:t>
      </w:r>
    </w:p>
    <w:p w14:paraId="3801ACC0" w14:textId="77777777" w:rsidR="00F33154" w:rsidRPr="00C220BD" w:rsidRDefault="00F33154" w:rsidP="00F33154">
      <w:pPr>
        <w:numPr>
          <w:ilvl w:val="0"/>
          <w:numId w:val="2"/>
        </w:numPr>
        <w:autoSpaceDE w:val="0"/>
        <w:autoSpaceDN w:val="0"/>
        <w:adjustRightInd w:val="0"/>
        <w:rPr>
          <w:szCs w:val="22"/>
        </w:rPr>
      </w:pPr>
      <w:r w:rsidRPr="00C220BD">
        <w:rPr>
          <w:szCs w:val="22"/>
        </w:rPr>
        <w:t>kartu su kitais vaistais nuo epilepsijos:</w:t>
      </w:r>
    </w:p>
    <w:p w14:paraId="334D1DFD" w14:textId="77777777" w:rsidR="00F33154" w:rsidRPr="00C220BD" w:rsidRDefault="00F33154" w:rsidP="00F33154">
      <w:pPr>
        <w:numPr>
          <w:ilvl w:val="1"/>
          <w:numId w:val="2"/>
        </w:numPr>
        <w:autoSpaceDE w:val="0"/>
        <w:autoSpaceDN w:val="0"/>
        <w:adjustRightInd w:val="0"/>
        <w:rPr>
          <w:szCs w:val="22"/>
        </w:rPr>
      </w:pPr>
      <w:r w:rsidRPr="00C220BD">
        <w:rPr>
          <w:szCs w:val="22"/>
        </w:rPr>
        <w:t xml:space="preserve">židininių priepuolių su antrine </w:t>
      </w:r>
      <w:proofErr w:type="spellStart"/>
      <w:r w:rsidRPr="00C220BD">
        <w:rPr>
          <w:szCs w:val="22"/>
        </w:rPr>
        <w:t>generalizacija</w:t>
      </w:r>
      <w:proofErr w:type="spellEnd"/>
      <w:r w:rsidRPr="00C220BD">
        <w:rPr>
          <w:szCs w:val="22"/>
        </w:rPr>
        <w:t xml:space="preserve"> ar be jos gydymui suaugusiesiems, paaugliams, vaikams ir kūdikiams nuo vieno mėnesio amžiaus;</w:t>
      </w:r>
    </w:p>
    <w:p w14:paraId="30843D64" w14:textId="77777777" w:rsidR="00F33154" w:rsidRPr="00C220BD" w:rsidRDefault="00F33154" w:rsidP="00F33154">
      <w:pPr>
        <w:numPr>
          <w:ilvl w:val="1"/>
          <w:numId w:val="2"/>
        </w:numPr>
        <w:autoSpaceDE w:val="0"/>
        <w:autoSpaceDN w:val="0"/>
        <w:adjustRightInd w:val="0"/>
        <w:rPr>
          <w:szCs w:val="22"/>
        </w:rPr>
      </w:pPr>
      <w:proofErr w:type="spellStart"/>
      <w:r w:rsidRPr="00C220BD">
        <w:rPr>
          <w:szCs w:val="22"/>
        </w:rPr>
        <w:t>miokloninių</w:t>
      </w:r>
      <w:proofErr w:type="spellEnd"/>
      <w:r w:rsidRPr="00C220BD">
        <w:rPr>
          <w:szCs w:val="22"/>
        </w:rPr>
        <w:t xml:space="preserve"> traukulių (trumpalaikių staigių raumenų ar raumenų grupių trūkčiojimų) gydymui suaugusiesiems ir paaugliams nuo 12 metų amžiaus, kuriems yra </w:t>
      </w:r>
      <w:proofErr w:type="spellStart"/>
      <w:r w:rsidRPr="00C220BD">
        <w:rPr>
          <w:szCs w:val="22"/>
        </w:rPr>
        <w:t>juvenilinė</w:t>
      </w:r>
      <w:proofErr w:type="spellEnd"/>
      <w:r w:rsidRPr="00C220BD">
        <w:rPr>
          <w:szCs w:val="22"/>
        </w:rPr>
        <w:t xml:space="preserve"> </w:t>
      </w:r>
      <w:proofErr w:type="spellStart"/>
      <w:r w:rsidRPr="00C220BD">
        <w:rPr>
          <w:szCs w:val="22"/>
        </w:rPr>
        <w:t>miokloninė</w:t>
      </w:r>
      <w:proofErr w:type="spellEnd"/>
      <w:r w:rsidRPr="00C220BD">
        <w:rPr>
          <w:szCs w:val="22"/>
        </w:rPr>
        <w:t xml:space="preserve"> epilepsija;</w:t>
      </w:r>
    </w:p>
    <w:p w14:paraId="5C33EDEF" w14:textId="77777777" w:rsidR="00F33154" w:rsidRPr="00C220BD" w:rsidRDefault="00F33154" w:rsidP="00F33154">
      <w:pPr>
        <w:numPr>
          <w:ilvl w:val="1"/>
          <w:numId w:val="2"/>
        </w:numPr>
        <w:autoSpaceDE w:val="0"/>
        <w:autoSpaceDN w:val="0"/>
        <w:adjustRightInd w:val="0"/>
        <w:rPr>
          <w:szCs w:val="22"/>
        </w:rPr>
      </w:pPr>
      <w:r w:rsidRPr="00C220BD">
        <w:rPr>
          <w:szCs w:val="22"/>
        </w:rPr>
        <w:t xml:space="preserve">pirminių </w:t>
      </w:r>
      <w:proofErr w:type="spellStart"/>
      <w:r w:rsidRPr="00C220BD">
        <w:rPr>
          <w:szCs w:val="22"/>
        </w:rPr>
        <w:t>generalizuotų</w:t>
      </w:r>
      <w:proofErr w:type="spellEnd"/>
      <w:r w:rsidRPr="00C220BD">
        <w:rPr>
          <w:szCs w:val="22"/>
        </w:rPr>
        <w:t xml:space="preserve"> toninių-</w:t>
      </w:r>
      <w:proofErr w:type="spellStart"/>
      <w:r w:rsidRPr="00C220BD">
        <w:rPr>
          <w:szCs w:val="22"/>
        </w:rPr>
        <w:t>kloninių</w:t>
      </w:r>
      <w:proofErr w:type="spellEnd"/>
      <w:r w:rsidRPr="00C220BD">
        <w:rPr>
          <w:szCs w:val="22"/>
        </w:rPr>
        <w:t xml:space="preserve"> traukulių (didesnių priepuolių, įskaitant priepuolius kurių metu prarandama sąmonė) gydymui, suaugusiesiems ir paaugliams nuo 12 metų amžiaus, sergantiems idiopatine </w:t>
      </w:r>
      <w:proofErr w:type="spellStart"/>
      <w:r w:rsidRPr="00C220BD">
        <w:rPr>
          <w:szCs w:val="22"/>
        </w:rPr>
        <w:t>generalizuota</w:t>
      </w:r>
      <w:proofErr w:type="spellEnd"/>
      <w:r w:rsidRPr="00C220BD">
        <w:rPr>
          <w:szCs w:val="22"/>
        </w:rPr>
        <w:t xml:space="preserve"> epilepsija (epilepsijos tipas,</w:t>
      </w:r>
      <w:r w:rsidRPr="00C220BD">
        <w:t xml:space="preserve"> </w:t>
      </w:r>
      <w:r w:rsidRPr="00C220BD">
        <w:rPr>
          <w:szCs w:val="22"/>
        </w:rPr>
        <w:t>kurio priežastis, kaip manoma, yra genetinė).</w:t>
      </w:r>
    </w:p>
    <w:p w14:paraId="4F3BC40A" w14:textId="77777777" w:rsidR="00F33154" w:rsidRPr="00C220BD" w:rsidRDefault="00F33154" w:rsidP="00F33154">
      <w:pPr>
        <w:autoSpaceDE w:val="0"/>
        <w:autoSpaceDN w:val="0"/>
        <w:adjustRightInd w:val="0"/>
        <w:rPr>
          <w:szCs w:val="22"/>
        </w:rPr>
      </w:pPr>
    </w:p>
    <w:p w14:paraId="42DC81C8" w14:textId="77777777" w:rsidR="00F33154" w:rsidRPr="00C220BD" w:rsidRDefault="00F33154" w:rsidP="00F33154">
      <w:pPr>
        <w:autoSpaceDE w:val="0"/>
        <w:autoSpaceDN w:val="0"/>
        <w:adjustRightInd w:val="0"/>
        <w:rPr>
          <w:szCs w:val="22"/>
        </w:rPr>
      </w:pPr>
    </w:p>
    <w:p w14:paraId="206BC0CE" w14:textId="77777777" w:rsidR="00F33154" w:rsidRPr="00C220BD" w:rsidRDefault="00F33154" w:rsidP="00F33154">
      <w:pPr>
        <w:autoSpaceDE w:val="0"/>
        <w:autoSpaceDN w:val="0"/>
        <w:adjustRightInd w:val="0"/>
        <w:ind w:left="567" w:hanging="567"/>
        <w:rPr>
          <w:rFonts w:eastAsia="TimesNewRomanPS-BoldMT"/>
          <w:b/>
          <w:bCs/>
          <w:szCs w:val="22"/>
        </w:rPr>
      </w:pPr>
      <w:r w:rsidRPr="00C220BD">
        <w:rPr>
          <w:rFonts w:eastAsia="TimesNewRomanPS-BoldMT"/>
          <w:b/>
          <w:bCs/>
          <w:szCs w:val="22"/>
        </w:rPr>
        <w:t>2.</w:t>
      </w:r>
      <w:r w:rsidRPr="00C220BD">
        <w:rPr>
          <w:rFonts w:eastAsia="TimesNewRomanPS-BoldMT"/>
          <w:b/>
          <w:bCs/>
          <w:szCs w:val="22"/>
        </w:rPr>
        <w:tab/>
      </w:r>
      <w:r w:rsidRPr="00C220BD">
        <w:rPr>
          <w:b/>
          <w:szCs w:val="22"/>
        </w:rPr>
        <w:t xml:space="preserve">Kas žinotina prieš vartojant </w:t>
      </w:r>
      <w:proofErr w:type="spellStart"/>
      <w:r w:rsidRPr="00C220BD">
        <w:rPr>
          <w:b/>
          <w:szCs w:val="22"/>
        </w:rPr>
        <w:t>Dretacen</w:t>
      </w:r>
      <w:proofErr w:type="spellEnd"/>
    </w:p>
    <w:p w14:paraId="60D06EEF" w14:textId="77777777" w:rsidR="00F33154" w:rsidRPr="00C220BD" w:rsidRDefault="00F33154" w:rsidP="00F33154">
      <w:pPr>
        <w:autoSpaceDE w:val="0"/>
        <w:autoSpaceDN w:val="0"/>
        <w:adjustRightInd w:val="0"/>
        <w:rPr>
          <w:rFonts w:eastAsia="TimesNewRomanPS-BoldMT"/>
          <w:b/>
          <w:bCs/>
          <w:szCs w:val="22"/>
        </w:rPr>
      </w:pPr>
    </w:p>
    <w:p w14:paraId="373CA755" w14:textId="77777777" w:rsidR="00F33154" w:rsidRPr="00C220BD" w:rsidRDefault="00F33154" w:rsidP="00F33154">
      <w:pPr>
        <w:autoSpaceDE w:val="0"/>
        <w:autoSpaceDN w:val="0"/>
        <w:adjustRightInd w:val="0"/>
        <w:rPr>
          <w:rFonts w:eastAsia="TimesNewRomanPS-BoldMT"/>
          <w:b/>
          <w:bCs/>
          <w:szCs w:val="22"/>
        </w:rPr>
      </w:pPr>
      <w:proofErr w:type="spellStart"/>
      <w:r w:rsidRPr="00C220BD">
        <w:rPr>
          <w:rFonts w:eastAsia="TimesNewRomanPS-BoldMT"/>
          <w:b/>
          <w:bCs/>
          <w:szCs w:val="22"/>
        </w:rPr>
        <w:t>Dretacen</w:t>
      </w:r>
      <w:proofErr w:type="spellEnd"/>
      <w:r w:rsidRPr="00C220BD">
        <w:rPr>
          <w:rFonts w:eastAsia="TimesNewRomanPS-BoldMT"/>
          <w:b/>
          <w:bCs/>
          <w:szCs w:val="22"/>
        </w:rPr>
        <w:t xml:space="preserve"> vartoti draudžiama:</w:t>
      </w:r>
    </w:p>
    <w:p w14:paraId="2CEC3FEC" w14:textId="77777777" w:rsidR="00F33154" w:rsidRPr="00C220BD" w:rsidRDefault="00F33154" w:rsidP="00F33154">
      <w:pPr>
        <w:numPr>
          <w:ilvl w:val="0"/>
          <w:numId w:val="3"/>
        </w:numPr>
        <w:autoSpaceDE w:val="0"/>
        <w:autoSpaceDN w:val="0"/>
        <w:adjustRightInd w:val="0"/>
        <w:rPr>
          <w:szCs w:val="22"/>
        </w:rPr>
      </w:pPr>
      <w:r w:rsidRPr="00C220BD">
        <w:rPr>
          <w:szCs w:val="22"/>
        </w:rPr>
        <w:t xml:space="preserve">jeigu yra alergija </w:t>
      </w:r>
      <w:proofErr w:type="spellStart"/>
      <w:r w:rsidRPr="00C220BD">
        <w:rPr>
          <w:szCs w:val="22"/>
        </w:rPr>
        <w:t>levetiracetamui</w:t>
      </w:r>
      <w:proofErr w:type="spellEnd"/>
      <w:r w:rsidRPr="00C220BD">
        <w:rPr>
          <w:szCs w:val="22"/>
        </w:rPr>
        <w:t xml:space="preserve">, </w:t>
      </w:r>
      <w:proofErr w:type="spellStart"/>
      <w:r w:rsidRPr="00C220BD">
        <w:rPr>
          <w:szCs w:val="22"/>
        </w:rPr>
        <w:t>pirolidono</w:t>
      </w:r>
      <w:proofErr w:type="spellEnd"/>
      <w:r w:rsidRPr="00C220BD">
        <w:rPr>
          <w:szCs w:val="22"/>
        </w:rPr>
        <w:t xml:space="preserve"> dariniams arba bet kuriai pagalbinei šio vaisto medžiagai (jos išvardytos 6 skyriuje).</w:t>
      </w:r>
    </w:p>
    <w:p w14:paraId="7E5D049E" w14:textId="77777777" w:rsidR="00F33154" w:rsidRPr="00C220BD" w:rsidRDefault="00F33154" w:rsidP="00F33154">
      <w:pPr>
        <w:autoSpaceDE w:val="0"/>
        <w:autoSpaceDN w:val="0"/>
        <w:adjustRightInd w:val="0"/>
        <w:rPr>
          <w:rFonts w:eastAsia="TimesNewRomanPS-BoldMT"/>
          <w:b/>
          <w:bCs/>
          <w:szCs w:val="22"/>
        </w:rPr>
      </w:pPr>
    </w:p>
    <w:p w14:paraId="518710F7" w14:textId="77777777" w:rsidR="00F33154" w:rsidRPr="00C220BD" w:rsidRDefault="00F33154" w:rsidP="00F33154">
      <w:pPr>
        <w:autoSpaceDE w:val="0"/>
        <w:autoSpaceDN w:val="0"/>
        <w:adjustRightInd w:val="0"/>
        <w:rPr>
          <w:rFonts w:eastAsia="TimesNewRomanPS-BoldMT"/>
          <w:b/>
          <w:bCs/>
          <w:szCs w:val="22"/>
        </w:rPr>
      </w:pPr>
      <w:r w:rsidRPr="00C220BD">
        <w:rPr>
          <w:rFonts w:eastAsia="TimesNewRomanPS-BoldMT"/>
          <w:b/>
          <w:bCs/>
          <w:szCs w:val="22"/>
        </w:rPr>
        <w:t>Įspėjimai ir atsargumo priemonės</w:t>
      </w:r>
    </w:p>
    <w:p w14:paraId="45A2BF67" w14:textId="77777777" w:rsidR="00F33154" w:rsidRPr="00C220BD" w:rsidRDefault="00F33154" w:rsidP="00F33154">
      <w:pPr>
        <w:autoSpaceDE w:val="0"/>
        <w:autoSpaceDN w:val="0"/>
        <w:adjustRightInd w:val="0"/>
        <w:rPr>
          <w:b/>
          <w:szCs w:val="22"/>
        </w:rPr>
      </w:pPr>
    </w:p>
    <w:p w14:paraId="0F95ACEF" w14:textId="77777777" w:rsidR="00F33154" w:rsidRPr="00C220BD" w:rsidRDefault="00F33154" w:rsidP="00F33154">
      <w:pPr>
        <w:autoSpaceDE w:val="0"/>
        <w:autoSpaceDN w:val="0"/>
        <w:adjustRightInd w:val="0"/>
        <w:rPr>
          <w:rFonts w:eastAsia="TimesNewRomanPS-BoldMT"/>
          <w:b/>
          <w:bCs/>
          <w:szCs w:val="22"/>
        </w:rPr>
      </w:pPr>
      <w:r w:rsidRPr="00C220BD">
        <w:rPr>
          <w:b/>
          <w:szCs w:val="22"/>
        </w:rPr>
        <w:t xml:space="preserve">Pasitarkite su gydytoju prieš pradėdami vartoti </w:t>
      </w:r>
      <w:proofErr w:type="spellStart"/>
      <w:r w:rsidRPr="00C220BD">
        <w:rPr>
          <w:b/>
          <w:szCs w:val="22"/>
        </w:rPr>
        <w:t>Dretacen</w:t>
      </w:r>
      <w:proofErr w:type="spellEnd"/>
      <w:r w:rsidRPr="00C220BD">
        <w:rPr>
          <w:b/>
          <w:szCs w:val="22"/>
        </w:rPr>
        <w:t>:</w:t>
      </w:r>
    </w:p>
    <w:p w14:paraId="7C18107B" w14:textId="77777777" w:rsidR="00F33154" w:rsidRPr="00C220BD" w:rsidRDefault="00F33154" w:rsidP="00F33154">
      <w:pPr>
        <w:numPr>
          <w:ilvl w:val="0"/>
          <w:numId w:val="3"/>
        </w:numPr>
        <w:autoSpaceDE w:val="0"/>
        <w:autoSpaceDN w:val="0"/>
        <w:adjustRightInd w:val="0"/>
        <w:rPr>
          <w:szCs w:val="22"/>
        </w:rPr>
      </w:pPr>
      <w:r w:rsidRPr="00C220BD">
        <w:rPr>
          <w:szCs w:val="22"/>
        </w:rPr>
        <w:t>Jeigu Jus kamuoja inkstų problemos, laikykitės savo gydytojo nurodymų. Jis/Ji gali nuspręsti, ar reikia patikslinti Jūsų dozę.</w:t>
      </w:r>
    </w:p>
    <w:p w14:paraId="423D3FB6" w14:textId="77777777" w:rsidR="00F33154" w:rsidRPr="00C220BD" w:rsidRDefault="00F33154" w:rsidP="00F33154">
      <w:pPr>
        <w:numPr>
          <w:ilvl w:val="0"/>
          <w:numId w:val="3"/>
        </w:numPr>
        <w:autoSpaceDE w:val="0"/>
        <w:autoSpaceDN w:val="0"/>
        <w:adjustRightInd w:val="0"/>
        <w:rPr>
          <w:szCs w:val="22"/>
        </w:rPr>
      </w:pPr>
      <w:r w:rsidRPr="00C220BD">
        <w:rPr>
          <w:szCs w:val="22"/>
        </w:rPr>
        <w:t>Jeigu pastebėjote sulėtėjusį savo vaiko augimą arba staigų brendimą, kreipkitės į savo gydytoją.</w:t>
      </w:r>
    </w:p>
    <w:p w14:paraId="42C1FADD" w14:textId="77777777" w:rsidR="00F33154" w:rsidRPr="00C220BD" w:rsidRDefault="00F33154" w:rsidP="00F33154">
      <w:pPr>
        <w:numPr>
          <w:ilvl w:val="0"/>
          <w:numId w:val="3"/>
        </w:numPr>
        <w:autoSpaceDE w:val="0"/>
        <w:autoSpaceDN w:val="0"/>
        <w:adjustRightInd w:val="0"/>
        <w:rPr>
          <w:szCs w:val="22"/>
        </w:rPr>
      </w:pPr>
      <w:r w:rsidRPr="00C220BD">
        <w:rPr>
          <w:szCs w:val="22"/>
        </w:rPr>
        <w:t xml:space="preserve">Nedaugeliui pacientų, kurie buvo gydomi </w:t>
      </w:r>
      <w:proofErr w:type="spellStart"/>
      <w:r w:rsidRPr="00C220BD">
        <w:rPr>
          <w:szCs w:val="22"/>
        </w:rPr>
        <w:t>antiepilepsiniais</w:t>
      </w:r>
      <w:proofErr w:type="spellEnd"/>
      <w:r w:rsidRPr="00C220BD">
        <w:rPr>
          <w:szCs w:val="22"/>
        </w:rPr>
        <w:t xml:space="preserve"> vaistais, tokiais kaip </w:t>
      </w:r>
      <w:proofErr w:type="spellStart"/>
      <w:r w:rsidRPr="00C220BD">
        <w:rPr>
          <w:szCs w:val="22"/>
        </w:rPr>
        <w:t>Dretacen</w:t>
      </w:r>
      <w:proofErr w:type="spellEnd"/>
      <w:r w:rsidRPr="00C220BD">
        <w:rPr>
          <w:szCs w:val="22"/>
        </w:rPr>
        <w:t>, yra buvę minčių apie savęs žalojimą ar savižudybę. Jeigu Jums yra bet kokių depresijos simptomų ir (arba) kyla minčių apie savižudybę, susisiekite su savo gydytoju.</w:t>
      </w:r>
    </w:p>
    <w:p w14:paraId="26C1D0A5" w14:textId="77777777" w:rsidR="00F33154" w:rsidRPr="00C220BD" w:rsidRDefault="00F33154" w:rsidP="00F33154">
      <w:pPr>
        <w:numPr>
          <w:ilvl w:val="0"/>
          <w:numId w:val="3"/>
        </w:numPr>
        <w:autoSpaceDE w:val="0"/>
        <w:autoSpaceDN w:val="0"/>
        <w:adjustRightInd w:val="0"/>
        <w:rPr>
          <w:szCs w:val="22"/>
        </w:rPr>
      </w:pPr>
      <w:r w:rsidRPr="00C220BD">
        <w:rPr>
          <w:szCs w:val="22"/>
        </w:rPr>
        <w:t>Jeigu Jūsų šeimoje ar ligos istorijoje yra buvę nereguliaraus širdies ritmo (matomo elektrokardiogramoje) atvejų arba jei sergate liga ir (arba) Jums skirtas gydymas, dėl kurio esate linkę į nereguliarų širdies ritmą ar druskų pusiausvyros sutrikimus.</w:t>
      </w:r>
    </w:p>
    <w:p w14:paraId="746E140B" w14:textId="77777777" w:rsidR="00F33154" w:rsidRPr="00C220BD" w:rsidRDefault="00F33154" w:rsidP="00F33154">
      <w:pPr>
        <w:autoSpaceDE w:val="0"/>
        <w:autoSpaceDN w:val="0"/>
        <w:adjustRightInd w:val="0"/>
        <w:rPr>
          <w:szCs w:val="22"/>
        </w:rPr>
      </w:pPr>
    </w:p>
    <w:p w14:paraId="3E03DC7D" w14:textId="77777777" w:rsidR="00F33154" w:rsidRPr="00C220BD" w:rsidRDefault="00F33154" w:rsidP="00F33154">
      <w:pPr>
        <w:autoSpaceDE w:val="0"/>
        <w:autoSpaceDN w:val="0"/>
        <w:adjustRightInd w:val="0"/>
        <w:rPr>
          <w:rFonts w:ascii="TimesNewRomanPSMT" w:hAnsi="TimesNewRomanPSMT" w:cs="TimesNewRomanPSMT"/>
          <w:b/>
          <w:szCs w:val="22"/>
        </w:rPr>
      </w:pPr>
      <w:r w:rsidRPr="00C220BD">
        <w:rPr>
          <w:rFonts w:ascii="TimesNewRomanPSMT" w:hAnsi="TimesNewRomanPSMT" w:cs="TimesNewRomanPSMT"/>
          <w:b/>
          <w:szCs w:val="22"/>
        </w:rPr>
        <w:t>Pasakykite gydytojui arba vaistininkui, jeigu kuris nors iš išvardytų šalutinių reiškinių tampa sunkus arba trunka ilgiau nei kelias dienas:</w:t>
      </w:r>
    </w:p>
    <w:p w14:paraId="352E6FDE" w14:textId="77777777" w:rsidR="00F33154" w:rsidRPr="00C220BD" w:rsidRDefault="00F33154" w:rsidP="00F33154">
      <w:pPr>
        <w:pStyle w:val="Sraopastraipa"/>
        <w:numPr>
          <w:ilvl w:val="0"/>
          <w:numId w:val="3"/>
        </w:numPr>
        <w:autoSpaceDE w:val="0"/>
        <w:autoSpaceDN w:val="0"/>
        <w:adjustRightInd w:val="0"/>
        <w:rPr>
          <w:rFonts w:ascii="TimesNewRomanPSMT" w:hAnsi="TimesNewRomanPSMT" w:cs="TimesNewRomanPSMT"/>
          <w:szCs w:val="22"/>
        </w:rPr>
      </w:pPr>
      <w:r w:rsidRPr="00C220BD">
        <w:rPr>
          <w:rFonts w:ascii="TimesNewRomanPSMT" w:hAnsi="TimesNewRomanPSMT" w:cs="TimesNewRomanPSMT"/>
          <w:szCs w:val="22"/>
        </w:rPr>
        <w:t>Nenormalios mintys, dirglumas ar agresyvesnė reakcija nei įprastai arba jeigu Jūs ar Jūsų šeima</w:t>
      </w:r>
    </w:p>
    <w:p w14:paraId="518663ED" w14:textId="77777777" w:rsidR="00F33154" w:rsidRPr="00C220BD" w:rsidRDefault="00F33154" w:rsidP="00F33154">
      <w:pPr>
        <w:pStyle w:val="Sraopastraipa"/>
        <w:autoSpaceDE w:val="0"/>
        <w:autoSpaceDN w:val="0"/>
        <w:adjustRightInd w:val="0"/>
        <w:ind w:left="567"/>
        <w:rPr>
          <w:rFonts w:ascii="TimesNewRomanPSMT" w:hAnsi="TimesNewRomanPSMT" w:cs="TimesNewRomanPSMT"/>
          <w:szCs w:val="22"/>
        </w:rPr>
      </w:pPr>
      <w:r w:rsidRPr="00C220BD">
        <w:rPr>
          <w:rFonts w:ascii="TimesNewRomanPSMT" w:hAnsi="TimesNewRomanPSMT" w:cs="TimesNewRomanPSMT"/>
          <w:szCs w:val="22"/>
        </w:rPr>
        <w:t>ir draugai pastebite svarbių nuotaikos ar elgesio pokyčių.</w:t>
      </w:r>
    </w:p>
    <w:p w14:paraId="2BB4517E" w14:textId="77777777" w:rsidR="00F33154" w:rsidRPr="00C220BD" w:rsidRDefault="00F33154" w:rsidP="00F33154">
      <w:pPr>
        <w:pStyle w:val="Sraopastraipa"/>
        <w:numPr>
          <w:ilvl w:val="0"/>
          <w:numId w:val="13"/>
        </w:numPr>
        <w:autoSpaceDE w:val="0"/>
        <w:autoSpaceDN w:val="0"/>
        <w:adjustRightInd w:val="0"/>
        <w:ind w:left="567" w:hanging="567"/>
        <w:rPr>
          <w:rFonts w:ascii="TimesNewRomanPSMT" w:hAnsi="TimesNewRomanPSMT" w:cs="TimesNewRomanPSMT"/>
          <w:szCs w:val="22"/>
          <w:u w:val="single"/>
        </w:rPr>
      </w:pPr>
      <w:r w:rsidRPr="00C220BD">
        <w:rPr>
          <w:rFonts w:ascii="TimesNewRomanPSMT" w:hAnsi="TimesNewRomanPSMT" w:cs="TimesNewRomanPSMT"/>
          <w:szCs w:val="22"/>
          <w:u w:val="single"/>
        </w:rPr>
        <w:t>Epilepsijos pasunkėjimas</w:t>
      </w:r>
    </w:p>
    <w:p w14:paraId="3FA712CF" w14:textId="77777777" w:rsidR="00F33154" w:rsidRPr="00C220BD" w:rsidRDefault="00F33154" w:rsidP="00F33154">
      <w:pPr>
        <w:pStyle w:val="Sraopastraipa"/>
        <w:autoSpaceDE w:val="0"/>
        <w:autoSpaceDN w:val="0"/>
        <w:adjustRightInd w:val="0"/>
        <w:ind w:left="567"/>
        <w:rPr>
          <w:rFonts w:ascii="TimesNewRomanPSMT" w:hAnsi="TimesNewRomanPSMT" w:cs="TimesNewRomanPSMT"/>
          <w:szCs w:val="22"/>
        </w:rPr>
      </w:pPr>
      <w:r w:rsidRPr="00C220BD">
        <w:rPr>
          <w:rFonts w:ascii="TimesNewRomanPSMT" w:hAnsi="TimesNewRomanPSMT" w:cs="TimesNewRomanPSMT"/>
          <w:szCs w:val="22"/>
        </w:rPr>
        <w:t xml:space="preserve">Retais atvejais Jūsų priepuoliai gali pasunkėti arba tapti dažnesni, daugiausiai tai įvyksta per pirmąjį mėnesį nuo gydymo pradžios ar padidinus dozę. </w:t>
      </w:r>
    </w:p>
    <w:p w14:paraId="07896658" w14:textId="77777777" w:rsidR="00F33154" w:rsidRPr="00C220BD" w:rsidRDefault="00F33154" w:rsidP="00F33154">
      <w:pPr>
        <w:pStyle w:val="Sraopastraipa"/>
        <w:autoSpaceDE w:val="0"/>
        <w:autoSpaceDN w:val="0"/>
        <w:adjustRightInd w:val="0"/>
        <w:ind w:left="567"/>
        <w:rPr>
          <w:rFonts w:ascii="TimesNewRomanPSMT" w:hAnsi="TimesNewRomanPSMT" w:cs="TimesNewRomanPSMT"/>
          <w:szCs w:val="22"/>
        </w:rPr>
      </w:pPr>
      <w:r w:rsidRPr="00C220BD">
        <w:rPr>
          <w:rFonts w:ascii="TimesNewRomanPSMT" w:hAnsi="TimesNewRomanPSMT" w:cs="TimesNewRomanPSMT"/>
          <w:szCs w:val="22"/>
        </w:rPr>
        <w:t>Sergant labai reta ankstyvosios epilepsijos forma (su SCN8A mutacijomis susijusia epilepsija), kuri sukelia įvairių tipų priepuolius ir įgūdžių netekimą, galite pastebėti, kad gydymo metu priepuoliai išlieka arba pasunkėja.</w:t>
      </w:r>
    </w:p>
    <w:p w14:paraId="3D27FAF6" w14:textId="77777777" w:rsidR="00F33154" w:rsidRPr="00C220BD" w:rsidRDefault="00F33154" w:rsidP="00F33154">
      <w:pPr>
        <w:pStyle w:val="Sraopastraipa"/>
        <w:autoSpaceDE w:val="0"/>
        <w:autoSpaceDN w:val="0"/>
        <w:adjustRightInd w:val="0"/>
        <w:ind w:left="567"/>
        <w:rPr>
          <w:rFonts w:ascii="TimesNewRomanPSMT" w:hAnsi="TimesNewRomanPSMT" w:cs="TimesNewRomanPSMT"/>
          <w:szCs w:val="22"/>
        </w:rPr>
      </w:pPr>
    </w:p>
    <w:p w14:paraId="41D383A9" w14:textId="77777777" w:rsidR="00F33154" w:rsidRPr="00C220BD" w:rsidRDefault="00F33154" w:rsidP="00F33154">
      <w:pPr>
        <w:pStyle w:val="Sraopastraipa"/>
        <w:autoSpaceDE w:val="0"/>
        <w:autoSpaceDN w:val="0"/>
        <w:adjustRightInd w:val="0"/>
        <w:ind w:left="567"/>
        <w:rPr>
          <w:rFonts w:ascii="TimesNewRomanPSMT" w:hAnsi="TimesNewRomanPSMT" w:cs="TimesNewRomanPSMT"/>
          <w:szCs w:val="22"/>
        </w:rPr>
      </w:pPr>
      <w:r w:rsidRPr="00C220BD">
        <w:rPr>
          <w:rFonts w:ascii="TimesNewRomanPSMT" w:hAnsi="TimesNewRomanPSMT" w:cs="TimesNewRomanPSMT"/>
          <w:szCs w:val="22"/>
        </w:rPr>
        <w:t xml:space="preserve">Jeigu vartojant </w:t>
      </w:r>
      <w:proofErr w:type="spellStart"/>
      <w:r w:rsidRPr="00C220BD">
        <w:rPr>
          <w:rFonts w:ascii="TimesNewRomanPSMT" w:hAnsi="TimesNewRomanPSMT" w:cs="TimesNewRomanPSMT"/>
          <w:szCs w:val="22"/>
        </w:rPr>
        <w:t>Dretacen</w:t>
      </w:r>
      <w:proofErr w:type="spellEnd"/>
      <w:r w:rsidRPr="00C220BD">
        <w:rPr>
          <w:rFonts w:ascii="TimesNewRomanPSMT" w:hAnsi="TimesNewRomanPSMT" w:cs="TimesNewRomanPSMT"/>
          <w:szCs w:val="22"/>
        </w:rPr>
        <w:t xml:space="preserve"> Jums pasireiškė kuris nors iš šių naujų simptomų, kuo greičiau kreipkitės į gydytoją.</w:t>
      </w:r>
    </w:p>
    <w:p w14:paraId="6A6ED17E" w14:textId="77777777" w:rsidR="00F33154" w:rsidRPr="00C220BD" w:rsidRDefault="00F33154" w:rsidP="00F33154">
      <w:pPr>
        <w:autoSpaceDE w:val="0"/>
        <w:autoSpaceDN w:val="0"/>
        <w:adjustRightInd w:val="0"/>
        <w:ind w:left="567" w:hanging="567"/>
        <w:rPr>
          <w:szCs w:val="22"/>
        </w:rPr>
      </w:pPr>
    </w:p>
    <w:p w14:paraId="3867CC94" w14:textId="77777777" w:rsidR="00F33154" w:rsidRPr="00C220BD" w:rsidRDefault="00F33154" w:rsidP="00F33154">
      <w:pPr>
        <w:autoSpaceDE w:val="0"/>
        <w:autoSpaceDN w:val="0"/>
        <w:adjustRightInd w:val="0"/>
        <w:rPr>
          <w:b/>
          <w:bCs/>
          <w:szCs w:val="22"/>
        </w:rPr>
      </w:pPr>
      <w:r w:rsidRPr="00C220BD">
        <w:rPr>
          <w:b/>
          <w:bCs/>
          <w:szCs w:val="22"/>
        </w:rPr>
        <w:t>Vaikams ir paaugliams</w:t>
      </w:r>
    </w:p>
    <w:p w14:paraId="012022A2" w14:textId="77777777" w:rsidR="00F33154" w:rsidRPr="00C220BD" w:rsidRDefault="00F33154" w:rsidP="00F33154">
      <w:pPr>
        <w:numPr>
          <w:ilvl w:val="0"/>
          <w:numId w:val="8"/>
        </w:numPr>
        <w:autoSpaceDE w:val="0"/>
        <w:autoSpaceDN w:val="0"/>
        <w:adjustRightInd w:val="0"/>
        <w:ind w:left="567" w:hanging="567"/>
        <w:rPr>
          <w:szCs w:val="22"/>
        </w:rPr>
      </w:pPr>
      <w:proofErr w:type="spellStart"/>
      <w:r w:rsidRPr="00C220BD">
        <w:rPr>
          <w:szCs w:val="22"/>
        </w:rPr>
        <w:t>Dretacen</w:t>
      </w:r>
      <w:proofErr w:type="spellEnd"/>
      <w:r w:rsidRPr="00C220BD">
        <w:rPr>
          <w:szCs w:val="22"/>
        </w:rPr>
        <w:t xml:space="preserve"> n</w:t>
      </w:r>
      <w:r w:rsidRPr="00C220BD">
        <w:rPr>
          <w:rFonts w:ascii="TimesNewRomanPSMT" w:hAnsi="TimesNewRomanPSMT" w:cs="TimesNewRomanPSMT"/>
          <w:szCs w:val="22"/>
        </w:rPr>
        <w:t>ė</w:t>
      </w:r>
      <w:r w:rsidRPr="00C220BD">
        <w:rPr>
          <w:szCs w:val="22"/>
        </w:rPr>
        <w:t>ra skiriamas vaikams ir jaunesniems kaip 16 met</w:t>
      </w:r>
      <w:r w:rsidRPr="00C220BD">
        <w:rPr>
          <w:rFonts w:ascii="TimesNewRomanPSMT" w:hAnsi="TimesNewRomanPSMT" w:cs="TimesNewRomanPSMT"/>
          <w:szCs w:val="22"/>
        </w:rPr>
        <w:t xml:space="preserve">ų amžiaus </w:t>
      </w:r>
      <w:r w:rsidRPr="00C220BD">
        <w:rPr>
          <w:szCs w:val="22"/>
        </w:rPr>
        <w:t xml:space="preserve">paaugliams </w:t>
      </w:r>
      <w:r w:rsidRPr="00C220BD">
        <w:rPr>
          <w:rFonts w:ascii="TimesNewRomanPSMT" w:hAnsi="TimesNewRomanPSMT" w:cs="TimesNewRomanPSMT"/>
          <w:szCs w:val="22"/>
        </w:rPr>
        <w:t>pats vienas</w:t>
      </w:r>
      <w:r w:rsidRPr="00C220BD">
        <w:rPr>
          <w:szCs w:val="22"/>
        </w:rPr>
        <w:t xml:space="preserve"> (</w:t>
      </w:r>
      <w:proofErr w:type="spellStart"/>
      <w:r w:rsidRPr="00C220BD">
        <w:rPr>
          <w:szCs w:val="22"/>
        </w:rPr>
        <w:t>monoterapijai</w:t>
      </w:r>
      <w:proofErr w:type="spellEnd"/>
      <w:r w:rsidRPr="00C220BD">
        <w:rPr>
          <w:szCs w:val="22"/>
        </w:rPr>
        <w:t xml:space="preserve">). </w:t>
      </w:r>
    </w:p>
    <w:p w14:paraId="48DD64A9" w14:textId="77777777" w:rsidR="00F33154" w:rsidRPr="00C220BD" w:rsidRDefault="00F33154" w:rsidP="00F33154">
      <w:pPr>
        <w:autoSpaceDE w:val="0"/>
        <w:autoSpaceDN w:val="0"/>
        <w:adjustRightInd w:val="0"/>
        <w:ind w:left="567" w:hanging="567"/>
        <w:rPr>
          <w:szCs w:val="22"/>
        </w:rPr>
      </w:pPr>
    </w:p>
    <w:p w14:paraId="706B8FFE" w14:textId="77777777" w:rsidR="00F33154" w:rsidRPr="00C220BD" w:rsidRDefault="00F33154" w:rsidP="00F33154">
      <w:pPr>
        <w:rPr>
          <w:b/>
          <w:szCs w:val="22"/>
        </w:rPr>
      </w:pPr>
      <w:r w:rsidRPr="00C220BD">
        <w:rPr>
          <w:b/>
          <w:szCs w:val="22"/>
        </w:rPr>
        <w:t xml:space="preserve">Kiti vaistai ir </w:t>
      </w:r>
      <w:proofErr w:type="spellStart"/>
      <w:r w:rsidRPr="00C220BD">
        <w:rPr>
          <w:b/>
          <w:szCs w:val="22"/>
        </w:rPr>
        <w:t>Dretacen</w:t>
      </w:r>
      <w:proofErr w:type="spellEnd"/>
    </w:p>
    <w:p w14:paraId="697FFE74" w14:textId="77777777" w:rsidR="00F33154" w:rsidRPr="00C220BD" w:rsidRDefault="00F33154" w:rsidP="00F33154">
      <w:pPr>
        <w:autoSpaceDE w:val="0"/>
        <w:autoSpaceDN w:val="0"/>
        <w:adjustRightInd w:val="0"/>
        <w:rPr>
          <w:szCs w:val="22"/>
        </w:rPr>
      </w:pPr>
      <w:r w:rsidRPr="00C220BD">
        <w:rPr>
          <w:szCs w:val="22"/>
        </w:rPr>
        <w:t>Jeigu vartojate ar neseniai vartojote kitų vaistų</w:t>
      </w:r>
      <w:r w:rsidRPr="00C220BD">
        <w:t xml:space="preserve"> </w:t>
      </w:r>
      <w:r w:rsidRPr="00C220BD">
        <w:rPr>
          <w:szCs w:val="22"/>
        </w:rPr>
        <w:t>arba dėl to nesate tikri, apie tai pasakykite gydytojui arba vaistininkui.</w:t>
      </w:r>
    </w:p>
    <w:p w14:paraId="6E5199A8" w14:textId="77777777" w:rsidR="00F33154" w:rsidRPr="00C220BD" w:rsidRDefault="00F33154" w:rsidP="00F33154">
      <w:pPr>
        <w:rPr>
          <w:szCs w:val="22"/>
        </w:rPr>
      </w:pPr>
    </w:p>
    <w:p w14:paraId="4B80A2FD" w14:textId="77777777" w:rsidR="00F33154" w:rsidRPr="00C220BD" w:rsidRDefault="00F33154" w:rsidP="00F33154">
      <w:pPr>
        <w:rPr>
          <w:szCs w:val="22"/>
        </w:rPr>
      </w:pPr>
      <w:r w:rsidRPr="00C220BD">
        <w:rPr>
          <w:szCs w:val="22"/>
        </w:rPr>
        <w:t xml:space="preserve">Nevartokite </w:t>
      </w:r>
      <w:proofErr w:type="spellStart"/>
      <w:r w:rsidRPr="00C220BD">
        <w:rPr>
          <w:szCs w:val="22"/>
        </w:rPr>
        <w:t>makrogolio</w:t>
      </w:r>
      <w:proofErr w:type="spellEnd"/>
      <w:r w:rsidRPr="00C220BD">
        <w:rPr>
          <w:szCs w:val="22"/>
        </w:rPr>
        <w:t xml:space="preserve"> (vaisto vartojamo laisvinti viduriams) vieną valandą prieš ir vieną valandą po </w:t>
      </w:r>
      <w:proofErr w:type="spellStart"/>
      <w:r w:rsidRPr="00C220BD">
        <w:rPr>
          <w:szCs w:val="22"/>
        </w:rPr>
        <w:t>levetiracetamo</w:t>
      </w:r>
      <w:proofErr w:type="spellEnd"/>
      <w:r w:rsidRPr="00C220BD">
        <w:rPr>
          <w:szCs w:val="22"/>
        </w:rPr>
        <w:t xml:space="preserve"> vartojimo, nes gali sumažėti jo poveikis.</w:t>
      </w:r>
    </w:p>
    <w:p w14:paraId="20F99F8D" w14:textId="77777777" w:rsidR="00F33154" w:rsidRPr="00C220BD" w:rsidRDefault="00F33154" w:rsidP="00F33154">
      <w:pPr>
        <w:autoSpaceDE w:val="0"/>
        <w:autoSpaceDN w:val="0"/>
        <w:adjustRightInd w:val="0"/>
        <w:rPr>
          <w:rFonts w:eastAsia="TimesNewRomanPS-BoldMT"/>
          <w:szCs w:val="22"/>
        </w:rPr>
      </w:pPr>
    </w:p>
    <w:p w14:paraId="236A9D52" w14:textId="77777777" w:rsidR="00F33154" w:rsidRPr="00C220BD" w:rsidRDefault="00F33154" w:rsidP="00F33154">
      <w:pPr>
        <w:autoSpaceDE w:val="0"/>
        <w:autoSpaceDN w:val="0"/>
        <w:adjustRightInd w:val="0"/>
        <w:rPr>
          <w:rFonts w:eastAsia="TimesNewRomanPS-BoldMT"/>
          <w:b/>
          <w:bCs/>
          <w:szCs w:val="22"/>
        </w:rPr>
      </w:pPr>
      <w:r w:rsidRPr="00C220BD">
        <w:rPr>
          <w:rFonts w:eastAsia="TimesNewRomanPS-BoldMT"/>
          <w:b/>
          <w:bCs/>
          <w:szCs w:val="22"/>
        </w:rPr>
        <w:t>Nėštumas ir žindymo laikotarpis</w:t>
      </w:r>
    </w:p>
    <w:p w14:paraId="4C221600" w14:textId="77777777" w:rsidR="00F33154" w:rsidRPr="00C220BD" w:rsidRDefault="00F33154" w:rsidP="00F33154">
      <w:pPr>
        <w:autoSpaceDE w:val="0"/>
        <w:autoSpaceDN w:val="0"/>
        <w:adjustRightInd w:val="0"/>
        <w:rPr>
          <w:rFonts w:eastAsia="TimesNewRomanPS-BoldMT"/>
          <w:szCs w:val="22"/>
        </w:rPr>
      </w:pPr>
      <w:r w:rsidRPr="00C220BD">
        <w:rPr>
          <w:rFonts w:eastAsia="TimesNewRomanPS-BoldMT"/>
          <w:szCs w:val="22"/>
        </w:rPr>
        <w:t>Jeigu esate nėščia, žindote kūdikį, manote, kad galbūt esate nėščia, arba planuojate pastoti, tai prieš vartodama šį vaistą, pasitarkite su savo gydytoju.</w:t>
      </w:r>
    </w:p>
    <w:p w14:paraId="52B2D537" w14:textId="77777777" w:rsidR="00F33154" w:rsidRPr="00122A2A" w:rsidRDefault="00F33154" w:rsidP="00F33154">
      <w:pPr>
        <w:autoSpaceDE w:val="0"/>
        <w:autoSpaceDN w:val="0"/>
        <w:adjustRightInd w:val="0"/>
        <w:rPr>
          <w:rFonts w:eastAsia="TimesNewRomanPS-BoldMT"/>
          <w:szCs w:val="22"/>
        </w:rPr>
      </w:pPr>
      <w:proofErr w:type="spellStart"/>
      <w:r w:rsidRPr="00C220BD">
        <w:rPr>
          <w:rFonts w:eastAsia="TimesNewRomanPS-BoldMT"/>
          <w:szCs w:val="22"/>
        </w:rPr>
        <w:t>Dretacen</w:t>
      </w:r>
      <w:proofErr w:type="spellEnd"/>
      <w:r w:rsidRPr="00C220BD">
        <w:rPr>
          <w:rFonts w:eastAsia="TimesNewRomanPS-BoldMT"/>
          <w:szCs w:val="22"/>
        </w:rPr>
        <w:t xml:space="preserve"> nėštumo metu galima vartoti tik jeigu Jūsų gydytojas, atidžiai įvertinęs, mano, jog tai yra reikalinga. Jūs turite nenutraukti savo gydymo prieš tai neapsvarstę to su savo gydytoju. Įgimtų ydų rizika Jūsų negimusiam kūdikiui negali būti visiškai paneigta.</w:t>
      </w:r>
      <w:r>
        <w:rPr>
          <w:rFonts w:eastAsia="TimesNewRomanPS-BoldMT"/>
          <w:szCs w:val="22"/>
        </w:rPr>
        <w:t xml:space="preserve"> </w:t>
      </w:r>
      <w:r w:rsidRPr="004710A8">
        <w:rPr>
          <w:rFonts w:eastAsia="TimesNewRomanPS-BoldMT"/>
          <w:szCs w:val="22"/>
        </w:rPr>
        <w:t xml:space="preserve">Du tyrimai nerodo, kad autizmo spektro sutrikimų ar protinės negalios rizika padidėtų vaikams, gimusiems moterims, kurios nėštumo metu buvo gydomos </w:t>
      </w:r>
      <w:proofErr w:type="spellStart"/>
      <w:r w:rsidRPr="004710A8">
        <w:rPr>
          <w:rFonts w:eastAsia="TimesNewRomanPS-BoldMT"/>
          <w:szCs w:val="22"/>
        </w:rPr>
        <w:t>levetiracetamu</w:t>
      </w:r>
      <w:proofErr w:type="spellEnd"/>
      <w:r w:rsidRPr="004710A8">
        <w:rPr>
          <w:rFonts w:eastAsia="TimesNewRomanPS-BoldMT"/>
          <w:szCs w:val="22"/>
        </w:rPr>
        <w:t xml:space="preserve">. Tačiau esamų duomenų apie </w:t>
      </w:r>
      <w:proofErr w:type="spellStart"/>
      <w:r w:rsidRPr="004710A8">
        <w:rPr>
          <w:rFonts w:eastAsia="TimesNewRomanPS-BoldMT"/>
          <w:szCs w:val="22"/>
        </w:rPr>
        <w:t>levetiracetamo</w:t>
      </w:r>
      <w:proofErr w:type="spellEnd"/>
      <w:r w:rsidRPr="004710A8">
        <w:rPr>
          <w:rFonts w:eastAsia="TimesNewRomanPS-BoldMT"/>
          <w:szCs w:val="22"/>
        </w:rPr>
        <w:t xml:space="preserve"> poveikį vaikų nervų sistemos vystymuisi yra nedaug.</w:t>
      </w:r>
    </w:p>
    <w:p w14:paraId="31AA894E" w14:textId="77777777" w:rsidR="00F33154" w:rsidRPr="00C220BD" w:rsidRDefault="00F33154" w:rsidP="00F33154">
      <w:pPr>
        <w:autoSpaceDE w:val="0"/>
        <w:autoSpaceDN w:val="0"/>
        <w:adjustRightInd w:val="0"/>
        <w:rPr>
          <w:rFonts w:eastAsia="TimesNewRomanPS-BoldMT"/>
          <w:szCs w:val="22"/>
        </w:rPr>
      </w:pPr>
      <w:r w:rsidRPr="00C220BD">
        <w:rPr>
          <w:rFonts w:eastAsia="TimesNewRomanPS-BoldMT"/>
          <w:szCs w:val="22"/>
        </w:rPr>
        <w:t>Gydymo metu žindyti nerekomenduojama.</w:t>
      </w:r>
    </w:p>
    <w:p w14:paraId="76624582" w14:textId="77777777" w:rsidR="00F33154" w:rsidRPr="00C220BD" w:rsidRDefault="00F33154" w:rsidP="00F33154">
      <w:pPr>
        <w:autoSpaceDE w:val="0"/>
        <w:autoSpaceDN w:val="0"/>
        <w:adjustRightInd w:val="0"/>
        <w:rPr>
          <w:rFonts w:eastAsia="TimesNewRomanPS-BoldMT"/>
          <w:szCs w:val="22"/>
        </w:rPr>
      </w:pPr>
    </w:p>
    <w:p w14:paraId="331173B4" w14:textId="77777777" w:rsidR="00F33154" w:rsidRPr="00C220BD" w:rsidRDefault="00F33154" w:rsidP="00F33154">
      <w:pPr>
        <w:autoSpaceDE w:val="0"/>
        <w:autoSpaceDN w:val="0"/>
        <w:adjustRightInd w:val="0"/>
        <w:rPr>
          <w:rFonts w:eastAsia="TimesNewRomanPS-BoldMT"/>
          <w:b/>
          <w:bCs/>
          <w:szCs w:val="22"/>
        </w:rPr>
      </w:pPr>
      <w:r w:rsidRPr="00C220BD">
        <w:rPr>
          <w:rFonts w:eastAsia="TimesNewRomanPS-BoldMT"/>
          <w:b/>
          <w:bCs/>
          <w:szCs w:val="22"/>
        </w:rPr>
        <w:t>Vairavimas ir mechanizmų valdymas</w:t>
      </w:r>
    </w:p>
    <w:p w14:paraId="3F909463" w14:textId="77777777" w:rsidR="00F33154" w:rsidRPr="00C220BD" w:rsidRDefault="00F33154" w:rsidP="00F33154">
      <w:pPr>
        <w:autoSpaceDE w:val="0"/>
        <w:autoSpaceDN w:val="0"/>
        <w:adjustRightInd w:val="0"/>
        <w:rPr>
          <w:szCs w:val="22"/>
        </w:rPr>
      </w:pPr>
      <w:r w:rsidRPr="00C220BD">
        <w:rPr>
          <w:rFonts w:eastAsia="TimesNewRomanPS-BoldMT"/>
          <w:szCs w:val="22"/>
        </w:rPr>
        <w:t xml:space="preserve">Jei vairuojate ar dirbate kokiais nors įrankiais ar mechanizmais, būkite atsargūs, nes </w:t>
      </w:r>
      <w:proofErr w:type="spellStart"/>
      <w:r w:rsidRPr="00C220BD">
        <w:rPr>
          <w:rFonts w:eastAsia="TimesNewRomanPS-BoldMT"/>
          <w:szCs w:val="22"/>
        </w:rPr>
        <w:t>Dretacen</w:t>
      </w:r>
      <w:proofErr w:type="spellEnd"/>
      <w:r w:rsidRPr="00C220BD">
        <w:rPr>
          <w:rFonts w:eastAsia="TimesNewRomanPS-BoldMT"/>
          <w:szCs w:val="22"/>
        </w:rPr>
        <w:t xml:space="preserve"> gali sukelti mieguistumą. Šis poveikis gali būti stipresnis, kai vaisto pradedama vartoti arba padidinama jo dozė. Nevairuokite ir nedirbkite su mechanizmais iki tol, kol nebus nustatyta, kad vaisto vartojimas neveikia gebėjimo atlikti šiuos darbus.</w:t>
      </w:r>
    </w:p>
    <w:p w14:paraId="28996532" w14:textId="77777777" w:rsidR="00F33154" w:rsidRPr="00C220BD" w:rsidRDefault="00F33154" w:rsidP="00F33154">
      <w:pPr>
        <w:rPr>
          <w:szCs w:val="22"/>
        </w:rPr>
      </w:pPr>
    </w:p>
    <w:p w14:paraId="1FCBF0BB" w14:textId="77777777" w:rsidR="00F33154" w:rsidRPr="00C220BD" w:rsidRDefault="00F33154" w:rsidP="00F33154">
      <w:pPr>
        <w:rPr>
          <w:b/>
          <w:szCs w:val="22"/>
        </w:rPr>
      </w:pPr>
      <w:proofErr w:type="spellStart"/>
      <w:r w:rsidRPr="00C220BD">
        <w:rPr>
          <w:rFonts w:eastAsia="TimesNewRomanPS-BoldMT"/>
          <w:b/>
          <w:szCs w:val="22"/>
        </w:rPr>
        <w:t>Dretacen</w:t>
      </w:r>
      <w:proofErr w:type="spellEnd"/>
      <w:r w:rsidRPr="00C220BD">
        <w:rPr>
          <w:rFonts w:eastAsia="TimesNewRomanPS-BoldMT"/>
          <w:b/>
          <w:szCs w:val="22"/>
        </w:rPr>
        <w:t xml:space="preserve"> sudėtyje yra natrio</w:t>
      </w:r>
    </w:p>
    <w:p w14:paraId="6DDEE6EF" w14:textId="77777777" w:rsidR="00F33154" w:rsidRPr="00C220BD" w:rsidRDefault="00F33154" w:rsidP="00F33154">
      <w:pPr>
        <w:rPr>
          <w:szCs w:val="22"/>
        </w:rPr>
      </w:pPr>
      <w:r w:rsidRPr="00C220BD">
        <w:rPr>
          <w:szCs w:val="22"/>
        </w:rPr>
        <w:lastRenderedPageBreak/>
        <w:t>Šio vaisto plėvele dengtoje tabletėje yra mažiau kaip 1 </w:t>
      </w:r>
      <w:proofErr w:type="spellStart"/>
      <w:r w:rsidRPr="00C220BD">
        <w:rPr>
          <w:szCs w:val="22"/>
        </w:rPr>
        <w:t>mmol</w:t>
      </w:r>
      <w:proofErr w:type="spellEnd"/>
      <w:r w:rsidRPr="00C220BD">
        <w:rPr>
          <w:szCs w:val="22"/>
        </w:rPr>
        <w:t xml:space="preserve"> (23 mg) natrio, t. y. jis beveik neturi reikšmės.</w:t>
      </w:r>
    </w:p>
    <w:p w14:paraId="1B4E5716" w14:textId="77777777" w:rsidR="00F33154" w:rsidRPr="00C220BD" w:rsidRDefault="00F33154" w:rsidP="00F33154">
      <w:pPr>
        <w:rPr>
          <w:szCs w:val="22"/>
        </w:rPr>
      </w:pPr>
    </w:p>
    <w:p w14:paraId="276FAF00" w14:textId="77777777" w:rsidR="00F33154" w:rsidRPr="00C220BD" w:rsidRDefault="00F33154" w:rsidP="00F33154">
      <w:pPr>
        <w:rPr>
          <w:szCs w:val="22"/>
        </w:rPr>
      </w:pPr>
    </w:p>
    <w:p w14:paraId="02995BD6" w14:textId="77777777" w:rsidR="00F33154" w:rsidRPr="00C220BD" w:rsidRDefault="00F33154" w:rsidP="00F33154">
      <w:pPr>
        <w:rPr>
          <w:b/>
          <w:caps/>
          <w:szCs w:val="22"/>
        </w:rPr>
      </w:pPr>
      <w:r w:rsidRPr="00C220BD">
        <w:rPr>
          <w:b/>
          <w:szCs w:val="22"/>
        </w:rPr>
        <w:t>3.</w:t>
      </w:r>
      <w:r w:rsidRPr="00C220BD">
        <w:rPr>
          <w:b/>
          <w:szCs w:val="22"/>
        </w:rPr>
        <w:tab/>
        <w:t xml:space="preserve">Kaip vartoti </w:t>
      </w:r>
      <w:proofErr w:type="spellStart"/>
      <w:r w:rsidRPr="00C220BD">
        <w:rPr>
          <w:b/>
          <w:szCs w:val="22"/>
        </w:rPr>
        <w:t>Dretacen</w:t>
      </w:r>
      <w:proofErr w:type="spellEnd"/>
    </w:p>
    <w:p w14:paraId="5064C322" w14:textId="77777777" w:rsidR="00F33154" w:rsidRPr="00C220BD" w:rsidRDefault="00F33154" w:rsidP="00F33154">
      <w:pPr>
        <w:rPr>
          <w:szCs w:val="22"/>
        </w:rPr>
      </w:pPr>
    </w:p>
    <w:p w14:paraId="449ED781" w14:textId="77777777" w:rsidR="00F33154" w:rsidRPr="00C220BD" w:rsidRDefault="00F33154" w:rsidP="00F33154">
      <w:pPr>
        <w:autoSpaceDE w:val="0"/>
        <w:autoSpaceDN w:val="0"/>
        <w:adjustRightInd w:val="0"/>
        <w:rPr>
          <w:szCs w:val="22"/>
        </w:rPr>
      </w:pPr>
      <w:r w:rsidRPr="00C220BD">
        <w:rPr>
          <w:rFonts w:eastAsia="TimesNewRomanPS-BoldMT"/>
          <w:szCs w:val="22"/>
        </w:rPr>
        <w:t>V</w:t>
      </w:r>
      <w:r w:rsidRPr="00C220BD">
        <w:rPr>
          <w:szCs w:val="22"/>
        </w:rPr>
        <w:t>isada vartokite šį vaistą tiksliai kaip nurodė gydytojas arba vaistininkas. Jei abejojate, kreipkitės į gydytoją arba vaistininką.</w:t>
      </w:r>
    </w:p>
    <w:p w14:paraId="1CBE4CC7" w14:textId="77777777" w:rsidR="00F33154" w:rsidRPr="00C220BD" w:rsidRDefault="00F33154" w:rsidP="00F33154">
      <w:pPr>
        <w:autoSpaceDE w:val="0"/>
        <w:autoSpaceDN w:val="0"/>
        <w:adjustRightInd w:val="0"/>
        <w:rPr>
          <w:rFonts w:eastAsia="TimesNewRomanPS-BoldMT"/>
          <w:szCs w:val="22"/>
        </w:rPr>
      </w:pPr>
    </w:p>
    <w:p w14:paraId="4B942AC2" w14:textId="77777777" w:rsidR="00F33154" w:rsidRPr="00C220BD" w:rsidRDefault="00F33154" w:rsidP="00F33154">
      <w:pPr>
        <w:autoSpaceDE w:val="0"/>
        <w:autoSpaceDN w:val="0"/>
        <w:adjustRightInd w:val="0"/>
        <w:rPr>
          <w:rFonts w:eastAsia="TimesNewRomanPS-BoldMT"/>
          <w:szCs w:val="22"/>
        </w:rPr>
      </w:pPr>
      <w:r w:rsidRPr="00C220BD">
        <w:rPr>
          <w:szCs w:val="22"/>
        </w:rPr>
        <w:t>Gerkite tiek tablečių, kiek nurodė Jūsų gydytojas</w:t>
      </w:r>
      <w:r w:rsidRPr="00C220BD">
        <w:rPr>
          <w:rFonts w:eastAsia="TimesNewRomanPS-BoldMT"/>
          <w:szCs w:val="22"/>
        </w:rPr>
        <w:t>.</w:t>
      </w:r>
    </w:p>
    <w:p w14:paraId="0E3944B9" w14:textId="77777777" w:rsidR="00F33154" w:rsidRPr="00C220BD" w:rsidRDefault="00F33154" w:rsidP="00F33154">
      <w:pPr>
        <w:autoSpaceDE w:val="0"/>
        <w:autoSpaceDN w:val="0"/>
        <w:adjustRightInd w:val="0"/>
        <w:rPr>
          <w:szCs w:val="22"/>
        </w:rPr>
      </w:pPr>
      <w:proofErr w:type="spellStart"/>
      <w:r w:rsidRPr="00C220BD">
        <w:rPr>
          <w:rFonts w:eastAsia="TimesNewRomanPS-BoldMT"/>
          <w:szCs w:val="22"/>
        </w:rPr>
        <w:t>Dretacen</w:t>
      </w:r>
      <w:proofErr w:type="spellEnd"/>
      <w:r w:rsidRPr="00C220BD">
        <w:rPr>
          <w:szCs w:val="22"/>
        </w:rPr>
        <w:t xml:space="preserve"> reikia vartoti 2 kartus per parą, vieną kartą ryte ir vieną kartą vakare, kiekvieną parą maždaug tuo pačiu metu.</w:t>
      </w:r>
    </w:p>
    <w:p w14:paraId="460E246E" w14:textId="77777777" w:rsidR="00F33154" w:rsidRPr="00C220BD" w:rsidRDefault="00F33154" w:rsidP="00F33154">
      <w:pPr>
        <w:autoSpaceDE w:val="0"/>
        <w:autoSpaceDN w:val="0"/>
        <w:adjustRightInd w:val="0"/>
        <w:rPr>
          <w:bCs/>
          <w:iCs/>
          <w:szCs w:val="22"/>
        </w:rPr>
      </w:pPr>
    </w:p>
    <w:p w14:paraId="279864C8" w14:textId="77777777" w:rsidR="00F33154" w:rsidRPr="00C220BD" w:rsidRDefault="00F33154" w:rsidP="00F33154">
      <w:pPr>
        <w:autoSpaceDE w:val="0"/>
        <w:autoSpaceDN w:val="0"/>
        <w:adjustRightInd w:val="0"/>
        <w:rPr>
          <w:b/>
          <w:bCs/>
          <w:i/>
          <w:iCs/>
          <w:szCs w:val="22"/>
        </w:rPr>
      </w:pPr>
      <w:r w:rsidRPr="00C220BD">
        <w:rPr>
          <w:b/>
          <w:bCs/>
          <w:i/>
          <w:iCs/>
          <w:szCs w:val="22"/>
        </w:rPr>
        <w:t xml:space="preserve">Papildomas gydymas ir </w:t>
      </w:r>
      <w:proofErr w:type="spellStart"/>
      <w:r w:rsidRPr="00C220BD">
        <w:rPr>
          <w:b/>
          <w:bCs/>
          <w:i/>
          <w:iCs/>
          <w:szCs w:val="22"/>
        </w:rPr>
        <w:t>monoterapija</w:t>
      </w:r>
      <w:proofErr w:type="spellEnd"/>
      <w:r w:rsidRPr="00C220BD">
        <w:rPr>
          <w:b/>
          <w:bCs/>
          <w:i/>
          <w:iCs/>
          <w:szCs w:val="22"/>
        </w:rPr>
        <w:t xml:space="preserve"> (nuo 16 metų amžiaus)</w:t>
      </w:r>
    </w:p>
    <w:p w14:paraId="1C5F17D0" w14:textId="77777777" w:rsidR="00F33154" w:rsidRPr="00C220BD" w:rsidRDefault="00F33154" w:rsidP="00F33154">
      <w:pPr>
        <w:autoSpaceDE w:val="0"/>
        <w:autoSpaceDN w:val="0"/>
        <w:adjustRightInd w:val="0"/>
        <w:rPr>
          <w:b/>
          <w:bCs/>
          <w:i/>
          <w:iCs/>
          <w:szCs w:val="22"/>
          <w:u w:val="single"/>
        </w:rPr>
      </w:pPr>
    </w:p>
    <w:p w14:paraId="07214129" w14:textId="77777777" w:rsidR="00F33154" w:rsidRPr="00C220BD" w:rsidRDefault="00F33154" w:rsidP="00F33154">
      <w:pPr>
        <w:pStyle w:val="Sraopastraipa"/>
        <w:numPr>
          <w:ilvl w:val="0"/>
          <w:numId w:val="14"/>
        </w:numPr>
        <w:autoSpaceDE w:val="0"/>
        <w:autoSpaceDN w:val="0"/>
        <w:adjustRightInd w:val="0"/>
        <w:ind w:left="567" w:hanging="567"/>
        <w:rPr>
          <w:b/>
          <w:bCs/>
          <w:iCs/>
          <w:szCs w:val="22"/>
        </w:rPr>
      </w:pPr>
      <w:r w:rsidRPr="00C220BD">
        <w:rPr>
          <w:b/>
          <w:bCs/>
          <w:iCs/>
          <w:szCs w:val="22"/>
        </w:rPr>
        <w:t>Suaugusiesiems (≥ 18 metų) ir paaugliams (nuo 12 iki 17 metų), kurių svoris 50 kg ir didesnis:</w:t>
      </w:r>
    </w:p>
    <w:p w14:paraId="21CD7705" w14:textId="77777777" w:rsidR="00F33154" w:rsidRPr="00C220BD" w:rsidRDefault="00F33154" w:rsidP="00F33154">
      <w:pPr>
        <w:autoSpaceDE w:val="0"/>
        <w:autoSpaceDN w:val="0"/>
        <w:adjustRightInd w:val="0"/>
        <w:rPr>
          <w:bCs/>
          <w:iCs/>
          <w:szCs w:val="22"/>
        </w:rPr>
      </w:pPr>
      <w:r w:rsidRPr="00C220BD">
        <w:rPr>
          <w:bCs/>
          <w:iCs/>
          <w:szCs w:val="22"/>
        </w:rPr>
        <w:t>Rekomenduojamoji dozė: nuo 1 000 mg iki 3 000 mg kiekvieną parą.</w:t>
      </w:r>
    </w:p>
    <w:p w14:paraId="625BCC56" w14:textId="77777777" w:rsidR="00F33154" w:rsidRPr="00C220BD" w:rsidRDefault="00F33154" w:rsidP="00F33154">
      <w:pPr>
        <w:autoSpaceDE w:val="0"/>
        <w:autoSpaceDN w:val="0"/>
        <w:adjustRightInd w:val="0"/>
        <w:rPr>
          <w:bCs/>
          <w:iCs/>
          <w:szCs w:val="22"/>
        </w:rPr>
      </w:pPr>
      <w:r w:rsidRPr="00C220BD">
        <w:rPr>
          <w:bCs/>
          <w:iCs/>
          <w:szCs w:val="22"/>
        </w:rPr>
        <w:t xml:space="preserve">Pirmą kartą pradėjus vartoti </w:t>
      </w:r>
      <w:proofErr w:type="spellStart"/>
      <w:r w:rsidRPr="00C220BD">
        <w:rPr>
          <w:bCs/>
          <w:iCs/>
          <w:szCs w:val="22"/>
        </w:rPr>
        <w:t>Dretacen</w:t>
      </w:r>
      <w:proofErr w:type="spellEnd"/>
      <w:r w:rsidRPr="00C220BD">
        <w:rPr>
          <w:bCs/>
          <w:iCs/>
          <w:szCs w:val="22"/>
        </w:rPr>
        <w:t xml:space="preserve">, Jūsų gydytojas paskirs 2 savaites </w:t>
      </w:r>
      <w:r w:rsidRPr="00C220BD">
        <w:rPr>
          <w:b/>
          <w:bCs/>
          <w:iCs/>
          <w:szCs w:val="22"/>
        </w:rPr>
        <w:t>mažesnę dozę</w:t>
      </w:r>
      <w:r w:rsidRPr="00C220BD">
        <w:rPr>
          <w:bCs/>
          <w:iCs/>
          <w:szCs w:val="22"/>
        </w:rPr>
        <w:t>, prieš paskirdamas mažiausią paros dozę.</w:t>
      </w:r>
    </w:p>
    <w:p w14:paraId="76BAF10E" w14:textId="77777777" w:rsidR="00F33154" w:rsidRPr="00C220BD" w:rsidRDefault="00F33154" w:rsidP="00F33154">
      <w:pPr>
        <w:autoSpaceDE w:val="0"/>
        <w:autoSpaceDN w:val="0"/>
        <w:adjustRightInd w:val="0"/>
        <w:rPr>
          <w:bCs/>
          <w:i/>
          <w:iCs/>
          <w:szCs w:val="22"/>
        </w:rPr>
      </w:pPr>
      <w:r w:rsidRPr="00C220BD">
        <w:rPr>
          <w:bCs/>
          <w:i/>
          <w:iCs/>
          <w:szCs w:val="22"/>
        </w:rPr>
        <w:t xml:space="preserve">Pavyzdys: jeigu paros dozė turi būti 1 000 mg, o Jūsų sumažinta pradinė dozė yra viena 250 mg tabletė ryte ir viena 250 mg tabletė vakare, dozė bus palaipsniui didinama, kad po dviejų savaičių ji taptų 1 000 mg. </w:t>
      </w:r>
    </w:p>
    <w:p w14:paraId="7CBEA2EA" w14:textId="77777777" w:rsidR="00F33154" w:rsidRPr="00C220BD" w:rsidRDefault="00F33154" w:rsidP="00F33154">
      <w:pPr>
        <w:autoSpaceDE w:val="0"/>
        <w:autoSpaceDN w:val="0"/>
        <w:adjustRightInd w:val="0"/>
        <w:rPr>
          <w:bCs/>
          <w:iCs/>
          <w:szCs w:val="22"/>
        </w:rPr>
      </w:pPr>
    </w:p>
    <w:p w14:paraId="387CDC86" w14:textId="77777777" w:rsidR="00F33154" w:rsidRPr="00C220BD" w:rsidRDefault="00F33154" w:rsidP="00F33154">
      <w:pPr>
        <w:pStyle w:val="Sraopastraipa"/>
        <w:numPr>
          <w:ilvl w:val="0"/>
          <w:numId w:val="14"/>
        </w:numPr>
        <w:autoSpaceDE w:val="0"/>
        <w:autoSpaceDN w:val="0"/>
        <w:adjustRightInd w:val="0"/>
        <w:ind w:left="567" w:hanging="567"/>
        <w:rPr>
          <w:bCs/>
          <w:iCs/>
          <w:szCs w:val="22"/>
        </w:rPr>
      </w:pPr>
      <w:r w:rsidRPr="00C220BD">
        <w:rPr>
          <w:b/>
          <w:bCs/>
          <w:iCs/>
          <w:szCs w:val="22"/>
        </w:rPr>
        <w:t>Paaugliams (nuo 12 iki 17 metų), kurių svoris 50 kg ir mažesnis</w:t>
      </w:r>
      <w:r w:rsidRPr="00C220BD">
        <w:rPr>
          <w:bCs/>
          <w:iCs/>
          <w:szCs w:val="22"/>
        </w:rPr>
        <w:t>:</w:t>
      </w:r>
    </w:p>
    <w:p w14:paraId="2924E1B7" w14:textId="77777777" w:rsidR="00F33154" w:rsidRPr="00C220BD" w:rsidRDefault="00F33154" w:rsidP="00F33154">
      <w:pPr>
        <w:autoSpaceDE w:val="0"/>
        <w:autoSpaceDN w:val="0"/>
        <w:adjustRightInd w:val="0"/>
        <w:rPr>
          <w:bCs/>
          <w:iCs/>
          <w:szCs w:val="22"/>
        </w:rPr>
      </w:pPr>
      <w:r w:rsidRPr="00C220BD">
        <w:rPr>
          <w:bCs/>
          <w:iCs/>
          <w:szCs w:val="22"/>
        </w:rPr>
        <w:t xml:space="preserve">Gydytojas, įvertinęs kūno svorį ir dozę, paskirs vartoti tinkamiausią </w:t>
      </w:r>
      <w:proofErr w:type="spellStart"/>
      <w:r w:rsidRPr="00C220BD">
        <w:rPr>
          <w:bCs/>
          <w:iCs/>
          <w:szCs w:val="22"/>
        </w:rPr>
        <w:t>Dretacen</w:t>
      </w:r>
      <w:proofErr w:type="spellEnd"/>
      <w:r w:rsidRPr="00C220BD">
        <w:rPr>
          <w:bCs/>
          <w:iCs/>
          <w:szCs w:val="22"/>
        </w:rPr>
        <w:t xml:space="preserve"> farmacinę formą.</w:t>
      </w:r>
    </w:p>
    <w:p w14:paraId="06F3E594" w14:textId="77777777" w:rsidR="00F33154" w:rsidRPr="00C220BD" w:rsidRDefault="00F33154" w:rsidP="00F33154">
      <w:pPr>
        <w:autoSpaceDE w:val="0"/>
        <w:autoSpaceDN w:val="0"/>
        <w:adjustRightInd w:val="0"/>
        <w:rPr>
          <w:szCs w:val="22"/>
        </w:rPr>
      </w:pPr>
    </w:p>
    <w:p w14:paraId="55BB05CD" w14:textId="77777777" w:rsidR="00F33154" w:rsidRPr="00C220BD" w:rsidRDefault="00F33154" w:rsidP="00F33154">
      <w:pPr>
        <w:numPr>
          <w:ilvl w:val="0"/>
          <w:numId w:val="10"/>
        </w:numPr>
        <w:autoSpaceDE w:val="0"/>
        <w:autoSpaceDN w:val="0"/>
        <w:adjustRightInd w:val="0"/>
        <w:ind w:left="567" w:hanging="567"/>
        <w:rPr>
          <w:rFonts w:eastAsia="TimesNewRomanPS-BoldMT"/>
          <w:b/>
          <w:bCs/>
          <w:szCs w:val="22"/>
        </w:rPr>
      </w:pPr>
      <w:r w:rsidRPr="00C220BD">
        <w:rPr>
          <w:rFonts w:eastAsia="TimesNewRomanPS-BoldMT"/>
          <w:b/>
          <w:bCs/>
          <w:szCs w:val="22"/>
        </w:rPr>
        <w:t>Dozė kūdikiams (nuo 1 mėnesio iki 23 mėn. amžiaus) ir vaikams (nuo 2 iki 11 metų amžiaus)), kurių kūno svoris mažesnis nei 50 kg</w:t>
      </w:r>
    </w:p>
    <w:p w14:paraId="02DA7BAB" w14:textId="77777777" w:rsidR="00F33154" w:rsidRPr="00C220BD" w:rsidRDefault="00F33154" w:rsidP="00F33154">
      <w:pPr>
        <w:autoSpaceDE w:val="0"/>
        <w:autoSpaceDN w:val="0"/>
        <w:adjustRightInd w:val="0"/>
        <w:ind w:left="567"/>
        <w:rPr>
          <w:szCs w:val="22"/>
        </w:rPr>
      </w:pPr>
      <w:r w:rsidRPr="00C220BD">
        <w:rPr>
          <w:szCs w:val="22"/>
        </w:rPr>
        <w:t xml:space="preserve">Jūsų gydytojas paskirs tinkamiausią </w:t>
      </w:r>
      <w:proofErr w:type="spellStart"/>
      <w:r w:rsidRPr="00C220BD">
        <w:rPr>
          <w:szCs w:val="22"/>
        </w:rPr>
        <w:t>levetiracetamo</w:t>
      </w:r>
      <w:proofErr w:type="spellEnd"/>
      <w:r w:rsidRPr="00C220BD">
        <w:rPr>
          <w:szCs w:val="22"/>
        </w:rPr>
        <w:t xml:space="preserve"> farmacinę formą, atsižvelgdamas į amžių, kūno svorį ir dozę. </w:t>
      </w:r>
    </w:p>
    <w:p w14:paraId="12C6FBB5" w14:textId="77777777" w:rsidR="00F33154" w:rsidRPr="00C220BD" w:rsidRDefault="00F33154" w:rsidP="00F33154">
      <w:pPr>
        <w:autoSpaceDE w:val="0"/>
        <w:autoSpaceDN w:val="0"/>
        <w:adjustRightInd w:val="0"/>
        <w:rPr>
          <w:szCs w:val="22"/>
        </w:rPr>
      </w:pPr>
    </w:p>
    <w:p w14:paraId="76B30527" w14:textId="77777777" w:rsidR="00F33154" w:rsidRPr="00C220BD" w:rsidRDefault="00F33154" w:rsidP="00F33154">
      <w:pPr>
        <w:autoSpaceDE w:val="0"/>
        <w:autoSpaceDN w:val="0"/>
        <w:adjustRightInd w:val="0"/>
        <w:rPr>
          <w:szCs w:val="22"/>
        </w:rPr>
      </w:pPr>
      <w:proofErr w:type="spellStart"/>
      <w:r w:rsidRPr="00C220BD">
        <w:rPr>
          <w:szCs w:val="22"/>
        </w:rPr>
        <w:t>Levetiracetamo</w:t>
      </w:r>
      <w:proofErr w:type="spellEnd"/>
      <w:r w:rsidRPr="00C220BD">
        <w:rPr>
          <w:szCs w:val="22"/>
        </w:rPr>
        <w:t xml:space="preserve"> 100 mg/ml geriamasis tirpalas yra formuluotė, labiau tinkama kūdikiams ir jaunesniems negu 6 metų amžiaus vaikams bei vaikams ir paaugliams (nuo 6 iki 17 metų amžiaus), sveriantiems mažiau nei 50 kg, ir jeigu tabletėmis negalima pasiekti tikslios dozės.</w:t>
      </w:r>
    </w:p>
    <w:p w14:paraId="4CD99510" w14:textId="77777777" w:rsidR="00F33154" w:rsidRPr="00C220BD" w:rsidRDefault="00F33154" w:rsidP="00F33154">
      <w:pPr>
        <w:autoSpaceDE w:val="0"/>
        <w:autoSpaceDN w:val="0"/>
        <w:adjustRightInd w:val="0"/>
        <w:rPr>
          <w:rFonts w:eastAsia="TimesNewRomanPS-BoldMT"/>
          <w:b/>
          <w:bCs/>
          <w:szCs w:val="22"/>
        </w:rPr>
      </w:pPr>
    </w:p>
    <w:p w14:paraId="5238763B" w14:textId="77777777" w:rsidR="00F33154" w:rsidRPr="00C220BD" w:rsidRDefault="00F33154" w:rsidP="00F33154">
      <w:pPr>
        <w:autoSpaceDE w:val="0"/>
        <w:autoSpaceDN w:val="0"/>
        <w:adjustRightInd w:val="0"/>
        <w:rPr>
          <w:rFonts w:eastAsia="TimesNewRomanPS-BoldMT"/>
          <w:b/>
          <w:bCs/>
          <w:szCs w:val="22"/>
        </w:rPr>
      </w:pPr>
      <w:r w:rsidRPr="00C220BD">
        <w:rPr>
          <w:rFonts w:eastAsia="TimesNewRomanPS-BoldMT"/>
          <w:b/>
          <w:bCs/>
          <w:szCs w:val="22"/>
        </w:rPr>
        <w:t>Vartojimo metodas</w:t>
      </w:r>
    </w:p>
    <w:p w14:paraId="5B1C9318" w14:textId="77777777" w:rsidR="00F33154" w:rsidRPr="00C220BD" w:rsidRDefault="00F33154" w:rsidP="00F33154">
      <w:proofErr w:type="spellStart"/>
      <w:r w:rsidRPr="00C220BD">
        <w:rPr>
          <w:szCs w:val="22"/>
        </w:rPr>
        <w:t>Dretacen</w:t>
      </w:r>
      <w:proofErr w:type="spellEnd"/>
      <w:r w:rsidRPr="00C220BD">
        <w:rPr>
          <w:szCs w:val="22"/>
        </w:rPr>
        <w:t xml:space="preserve"> tabletes nurykite, užsigerdami pakankamu kiekiu skysčio (pvz., stikline vandens). </w:t>
      </w:r>
      <w:proofErr w:type="spellStart"/>
      <w:r w:rsidRPr="00C220BD">
        <w:rPr>
          <w:szCs w:val="22"/>
        </w:rPr>
        <w:t>Dretacen</w:t>
      </w:r>
      <w:proofErr w:type="spellEnd"/>
      <w:r w:rsidRPr="00C220BD">
        <w:rPr>
          <w:szCs w:val="22"/>
        </w:rPr>
        <w:t xml:space="preserve"> galite išgerti valgant ar kitu laiku.</w:t>
      </w:r>
      <w:r w:rsidRPr="00C220BD">
        <w:t xml:space="preserve"> </w:t>
      </w:r>
      <w:r w:rsidRPr="00C220BD">
        <w:rPr>
          <w:szCs w:val="22"/>
        </w:rPr>
        <w:t xml:space="preserve">Pavartojus per burną gali būti jaučiamas kartus </w:t>
      </w:r>
      <w:proofErr w:type="spellStart"/>
      <w:r w:rsidRPr="00C220BD">
        <w:rPr>
          <w:szCs w:val="22"/>
        </w:rPr>
        <w:t>levetiracetamo</w:t>
      </w:r>
      <w:proofErr w:type="spellEnd"/>
      <w:r w:rsidRPr="00C220BD">
        <w:rPr>
          <w:szCs w:val="22"/>
        </w:rPr>
        <w:t xml:space="preserve"> skonis.</w:t>
      </w:r>
      <w:r w:rsidRPr="00C220BD">
        <w:t xml:space="preserve"> </w:t>
      </w:r>
    </w:p>
    <w:p w14:paraId="7243DB81" w14:textId="77777777" w:rsidR="00F33154" w:rsidRPr="00C220BD" w:rsidRDefault="00F33154" w:rsidP="00F33154">
      <w:pPr>
        <w:rPr>
          <w:szCs w:val="22"/>
        </w:rPr>
      </w:pPr>
      <w:r w:rsidRPr="00C220BD">
        <w:rPr>
          <w:szCs w:val="22"/>
        </w:rPr>
        <w:t>Tabletę galima padalyti į lygias dozes.</w:t>
      </w:r>
    </w:p>
    <w:p w14:paraId="3048D143" w14:textId="77777777" w:rsidR="00F33154" w:rsidRPr="00C220BD" w:rsidRDefault="00F33154" w:rsidP="00F33154">
      <w:pPr>
        <w:rPr>
          <w:szCs w:val="22"/>
        </w:rPr>
      </w:pPr>
    </w:p>
    <w:p w14:paraId="7490B24E" w14:textId="77777777" w:rsidR="00F33154" w:rsidRPr="00C220BD" w:rsidRDefault="00F33154" w:rsidP="00F33154">
      <w:pPr>
        <w:autoSpaceDE w:val="0"/>
        <w:autoSpaceDN w:val="0"/>
        <w:adjustRightInd w:val="0"/>
        <w:rPr>
          <w:rFonts w:eastAsia="TimesNewRomanPS-BoldMT"/>
          <w:bCs/>
          <w:szCs w:val="22"/>
          <w:u w:val="single"/>
        </w:rPr>
      </w:pPr>
      <w:r w:rsidRPr="00C220BD">
        <w:rPr>
          <w:rFonts w:eastAsia="TimesNewRomanPS-BoldMT"/>
          <w:bCs/>
          <w:szCs w:val="22"/>
          <w:u w:val="single"/>
        </w:rPr>
        <w:t>Gydymo trukmė</w:t>
      </w:r>
    </w:p>
    <w:p w14:paraId="6E1558AA" w14:textId="77777777" w:rsidR="00F33154" w:rsidRPr="00C220BD" w:rsidRDefault="00F33154" w:rsidP="00F33154">
      <w:pPr>
        <w:numPr>
          <w:ilvl w:val="0"/>
          <w:numId w:val="4"/>
        </w:numPr>
        <w:autoSpaceDE w:val="0"/>
        <w:autoSpaceDN w:val="0"/>
        <w:adjustRightInd w:val="0"/>
        <w:rPr>
          <w:rFonts w:eastAsia="TimesNewRomanPS-BoldMT"/>
          <w:szCs w:val="22"/>
        </w:rPr>
      </w:pPr>
      <w:proofErr w:type="spellStart"/>
      <w:r w:rsidRPr="00C220BD">
        <w:rPr>
          <w:rFonts w:eastAsia="TimesNewRomanPS-BoldMT"/>
          <w:szCs w:val="22"/>
        </w:rPr>
        <w:t>Dretacen</w:t>
      </w:r>
      <w:proofErr w:type="spellEnd"/>
      <w:r w:rsidRPr="00C220BD">
        <w:rPr>
          <w:rFonts w:eastAsia="TimesNewRomanPS-BoldMT"/>
          <w:szCs w:val="22"/>
        </w:rPr>
        <w:t xml:space="preserve"> vartojamas ilgalaikiam gydymui. Jūs turite tęsti </w:t>
      </w:r>
      <w:proofErr w:type="spellStart"/>
      <w:r w:rsidRPr="00C220BD">
        <w:rPr>
          <w:rFonts w:eastAsia="TimesNewRomanPS-BoldMT"/>
          <w:szCs w:val="22"/>
        </w:rPr>
        <w:t>Dretacen</w:t>
      </w:r>
      <w:proofErr w:type="spellEnd"/>
      <w:r w:rsidRPr="00C220BD">
        <w:rPr>
          <w:rFonts w:eastAsia="TimesNewRomanPS-BoldMT"/>
          <w:szCs w:val="22"/>
        </w:rPr>
        <w:t xml:space="preserve"> vartojimą tiek laiko, kiek nurodė Jūsų gydytojas.</w:t>
      </w:r>
    </w:p>
    <w:p w14:paraId="43F75530" w14:textId="77777777" w:rsidR="00F33154" w:rsidRPr="00C220BD" w:rsidRDefault="00F33154" w:rsidP="00F33154">
      <w:pPr>
        <w:numPr>
          <w:ilvl w:val="0"/>
          <w:numId w:val="4"/>
        </w:numPr>
        <w:autoSpaceDE w:val="0"/>
        <w:autoSpaceDN w:val="0"/>
        <w:adjustRightInd w:val="0"/>
        <w:rPr>
          <w:rFonts w:eastAsia="TimesNewRomanPS-BoldMT"/>
          <w:szCs w:val="22"/>
        </w:rPr>
      </w:pPr>
      <w:r w:rsidRPr="00C220BD">
        <w:rPr>
          <w:rFonts w:eastAsia="TimesNewRomanPS-BoldMT"/>
          <w:szCs w:val="22"/>
        </w:rPr>
        <w:t>Nenutraukite gydymo, prieš tai nepasitarę su gydytoju, kadangi tai gali paskatinti traukulių atsiradimą.</w:t>
      </w:r>
    </w:p>
    <w:p w14:paraId="028BEDC7" w14:textId="77777777" w:rsidR="00F33154" w:rsidRPr="00C220BD" w:rsidRDefault="00F33154" w:rsidP="00F33154">
      <w:pPr>
        <w:autoSpaceDE w:val="0"/>
        <w:autoSpaceDN w:val="0"/>
        <w:adjustRightInd w:val="0"/>
        <w:rPr>
          <w:rFonts w:eastAsia="TimesNewRomanPS-BoldMT"/>
          <w:b/>
          <w:bCs/>
          <w:szCs w:val="22"/>
        </w:rPr>
      </w:pPr>
    </w:p>
    <w:p w14:paraId="4D2DAEE1" w14:textId="77777777" w:rsidR="00F33154" w:rsidRPr="00C220BD" w:rsidRDefault="00F33154" w:rsidP="00F33154">
      <w:pPr>
        <w:autoSpaceDE w:val="0"/>
        <w:autoSpaceDN w:val="0"/>
        <w:adjustRightInd w:val="0"/>
        <w:rPr>
          <w:rFonts w:eastAsia="TimesNewRomanPS-BoldMT"/>
          <w:b/>
          <w:bCs/>
          <w:szCs w:val="22"/>
        </w:rPr>
      </w:pPr>
      <w:r w:rsidRPr="00C220BD">
        <w:rPr>
          <w:rFonts w:eastAsia="TimesNewRomanPS-BoldMT"/>
          <w:b/>
          <w:bCs/>
          <w:szCs w:val="22"/>
        </w:rPr>
        <w:t xml:space="preserve">Ką daryti pavartojus per didelę </w:t>
      </w:r>
      <w:proofErr w:type="spellStart"/>
      <w:r w:rsidRPr="00C220BD">
        <w:rPr>
          <w:rFonts w:eastAsia="TimesNewRomanPS-BoldMT"/>
          <w:b/>
          <w:bCs/>
          <w:szCs w:val="22"/>
        </w:rPr>
        <w:t>Dretacen</w:t>
      </w:r>
      <w:proofErr w:type="spellEnd"/>
      <w:r w:rsidRPr="00C220BD">
        <w:rPr>
          <w:rFonts w:eastAsia="TimesNewRomanPS-BoldMT"/>
          <w:b/>
          <w:bCs/>
          <w:szCs w:val="22"/>
        </w:rPr>
        <w:t xml:space="preserve"> dozę</w:t>
      </w:r>
    </w:p>
    <w:p w14:paraId="6C9AC16F" w14:textId="77777777" w:rsidR="00F33154" w:rsidRPr="00C220BD" w:rsidRDefault="00F33154" w:rsidP="00F33154">
      <w:pPr>
        <w:autoSpaceDE w:val="0"/>
        <w:autoSpaceDN w:val="0"/>
        <w:adjustRightInd w:val="0"/>
        <w:rPr>
          <w:rFonts w:eastAsia="TimesNewRomanPS-BoldMT"/>
          <w:szCs w:val="22"/>
        </w:rPr>
      </w:pPr>
      <w:proofErr w:type="spellStart"/>
      <w:r w:rsidRPr="00C220BD">
        <w:rPr>
          <w:rFonts w:eastAsia="TimesNewRomanPS-BoldMT"/>
          <w:szCs w:val="22"/>
        </w:rPr>
        <w:t>Dretacen</w:t>
      </w:r>
      <w:proofErr w:type="spellEnd"/>
      <w:r w:rsidRPr="00C220BD">
        <w:rPr>
          <w:rFonts w:eastAsia="TimesNewRomanPS-BoldMT"/>
          <w:szCs w:val="22"/>
        </w:rPr>
        <w:t xml:space="preserve"> perdozavimo galimas šalutinis poveikis yra mieguistumas, susijaudinimas, agresija, sumažėjęs budrumas, kvėpavimo slopinimas ir koma.</w:t>
      </w:r>
    </w:p>
    <w:p w14:paraId="07FBAC0D" w14:textId="77777777" w:rsidR="00F33154" w:rsidRPr="00C220BD" w:rsidRDefault="00F33154" w:rsidP="00F33154">
      <w:pPr>
        <w:autoSpaceDE w:val="0"/>
        <w:autoSpaceDN w:val="0"/>
        <w:adjustRightInd w:val="0"/>
        <w:rPr>
          <w:rFonts w:eastAsia="TimesNewRomanPS-BoldMT"/>
          <w:szCs w:val="22"/>
        </w:rPr>
      </w:pPr>
      <w:r w:rsidRPr="00C220BD">
        <w:rPr>
          <w:rFonts w:eastAsia="TimesNewRomanPS-BoldMT"/>
          <w:szCs w:val="22"/>
        </w:rPr>
        <w:t>Jei išgėrėte daugiau tablečių nei turėtumėte, kreipkitės į savo gydytoją. Jūsų gydytojas paskirs tinkamiausią įmanomą perdozavimo gydymą.</w:t>
      </w:r>
    </w:p>
    <w:p w14:paraId="5D04116A" w14:textId="77777777" w:rsidR="00F33154" w:rsidRPr="00C220BD" w:rsidRDefault="00F33154" w:rsidP="00F33154">
      <w:pPr>
        <w:autoSpaceDE w:val="0"/>
        <w:autoSpaceDN w:val="0"/>
        <w:adjustRightInd w:val="0"/>
        <w:rPr>
          <w:rFonts w:eastAsia="TimesNewRomanPS-BoldMT"/>
          <w:b/>
          <w:bCs/>
          <w:szCs w:val="22"/>
        </w:rPr>
      </w:pPr>
    </w:p>
    <w:p w14:paraId="001CED2C" w14:textId="77777777" w:rsidR="00F33154" w:rsidRPr="00C220BD" w:rsidRDefault="00F33154" w:rsidP="00F33154">
      <w:pPr>
        <w:autoSpaceDE w:val="0"/>
        <w:autoSpaceDN w:val="0"/>
        <w:adjustRightInd w:val="0"/>
        <w:rPr>
          <w:rFonts w:eastAsia="TimesNewRomanPS-BoldMT"/>
          <w:b/>
          <w:bCs/>
          <w:szCs w:val="22"/>
        </w:rPr>
      </w:pPr>
      <w:r w:rsidRPr="00C220BD">
        <w:rPr>
          <w:rFonts w:eastAsia="TimesNewRomanPS-BoldMT"/>
          <w:b/>
          <w:bCs/>
          <w:szCs w:val="22"/>
        </w:rPr>
        <w:t xml:space="preserve">Pamiršus pavartoti </w:t>
      </w:r>
      <w:proofErr w:type="spellStart"/>
      <w:r w:rsidRPr="00C220BD">
        <w:rPr>
          <w:rFonts w:eastAsia="TimesNewRomanPS-BoldMT"/>
          <w:b/>
          <w:bCs/>
          <w:szCs w:val="22"/>
        </w:rPr>
        <w:t>Dretacen</w:t>
      </w:r>
      <w:proofErr w:type="spellEnd"/>
    </w:p>
    <w:p w14:paraId="70C36668" w14:textId="77777777" w:rsidR="00F33154" w:rsidRPr="00C220BD" w:rsidRDefault="00F33154" w:rsidP="00F33154">
      <w:pPr>
        <w:autoSpaceDE w:val="0"/>
        <w:autoSpaceDN w:val="0"/>
        <w:adjustRightInd w:val="0"/>
        <w:rPr>
          <w:rFonts w:eastAsia="TimesNewRomanPS-BoldMT"/>
          <w:szCs w:val="22"/>
        </w:rPr>
      </w:pPr>
      <w:r w:rsidRPr="00C220BD">
        <w:rPr>
          <w:rFonts w:eastAsia="TimesNewRomanPS-BoldMT"/>
          <w:szCs w:val="22"/>
        </w:rPr>
        <w:t>Jei pamiršote išgerti vieną ar daugiau dozių, kreipkitės į savo gydytoją.</w:t>
      </w:r>
    </w:p>
    <w:p w14:paraId="133C912E" w14:textId="77777777" w:rsidR="00F33154" w:rsidRPr="00C220BD" w:rsidRDefault="00F33154" w:rsidP="00F33154">
      <w:pPr>
        <w:autoSpaceDE w:val="0"/>
        <w:autoSpaceDN w:val="0"/>
        <w:adjustRightInd w:val="0"/>
        <w:rPr>
          <w:rFonts w:eastAsia="TimesNewRomanPS-BoldMT"/>
          <w:szCs w:val="22"/>
        </w:rPr>
      </w:pPr>
      <w:r w:rsidRPr="00C220BD">
        <w:rPr>
          <w:rFonts w:eastAsia="TimesNewRomanPS-BoldMT"/>
          <w:szCs w:val="22"/>
        </w:rPr>
        <w:lastRenderedPageBreak/>
        <w:t>Negalima vartoti dvigubos dozės norint kompensuoti praleistą dozę.</w:t>
      </w:r>
    </w:p>
    <w:p w14:paraId="159A5B12" w14:textId="77777777" w:rsidR="00F33154" w:rsidRPr="00C220BD" w:rsidRDefault="00F33154" w:rsidP="00F33154">
      <w:pPr>
        <w:autoSpaceDE w:val="0"/>
        <w:autoSpaceDN w:val="0"/>
        <w:adjustRightInd w:val="0"/>
        <w:rPr>
          <w:rFonts w:eastAsia="TimesNewRomanPS-BoldMT"/>
          <w:b/>
          <w:bCs/>
          <w:szCs w:val="22"/>
        </w:rPr>
      </w:pPr>
    </w:p>
    <w:p w14:paraId="5DA46E58" w14:textId="77777777" w:rsidR="00F33154" w:rsidRPr="00C220BD" w:rsidRDefault="00F33154" w:rsidP="00F33154">
      <w:pPr>
        <w:autoSpaceDE w:val="0"/>
        <w:autoSpaceDN w:val="0"/>
        <w:adjustRightInd w:val="0"/>
        <w:rPr>
          <w:rFonts w:eastAsia="TimesNewRomanPS-BoldMT"/>
          <w:b/>
          <w:bCs/>
          <w:szCs w:val="22"/>
        </w:rPr>
      </w:pPr>
      <w:r w:rsidRPr="00C220BD">
        <w:rPr>
          <w:rFonts w:eastAsia="TimesNewRomanPS-BoldMT"/>
          <w:b/>
          <w:bCs/>
          <w:szCs w:val="22"/>
        </w:rPr>
        <w:t xml:space="preserve">Nustojus vartoti </w:t>
      </w:r>
      <w:proofErr w:type="spellStart"/>
      <w:r w:rsidRPr="00C220BD">
        <w:rPr>
          <w:rFonts w:eastAsia="TimesNewRomanPS-BoldMT"/>
          <w:b/>
          <w:bCs/>
          <w:szCs w:val="22"/>
        </w:rPr>
        <w:t>Dretacen</w:t>
      </w:r>
      <w:proofErr w:type="spellEnd"/>
    </w:p>
    <w:p w14:paraId="082A17A4" w14:textId="77777777" w:rsidR="00F33154" w:rsidRPr="00C220BD" w:rsidRDefault="00F33154" w:rsidP="00F33154">
      <w:pPr>
        <w:autoSpaceDE w:val="0"/>
        <w:autoSpaceDN w:val="0"/>
        <w:adjustRightInd w:val="0"/>
        <w:rPr>
          <w:rFonts w:eastAsia="TimesNewRomanPS-BoldMT"/>
          <w:szCs w:val="22"/>
        </w:rPr>
      </w:pPr>
      <w:r w:rsidRPr="00C220BD">
        <w:rPr>
          <w:rFonts w:eastAsia="TimesNewRomanPS-BoldMT"/>
          <w:szCs w:val="22"/>
        </w:rPr>
        <w:t xml:space="preserve">Jeigu Jūs nutraukiate gydymą, </w:t>
      </w:r>
      <w:proofErr w:type="spellStart"/>
      <w:r w:rsidRPr="00C220BD">
        <w:rPr>
          <w:rFonts w:eastAsia="TimesNewRomanPS-BoldMT"/>
          <w:szCs w:val="22"/>
        </w:rPr>
        <w:t>Dretacen</w:t>
      </w:r>
      <w:proofErr w:type="spellEnd"/>
      <w:r w:rsidRPr="00C220BD">
        <w:rPr>
          <w:rFonts w:eastAsia="TimesNewRomanPS-BoldMT"/>
          <w:szCs w:val="22"/>
        </w:rPr>
        <w:t xml:space="preserve"> vartojimas turi būti nutraukiamas palaipsniui, kad išvengtumėte priepuolių padažnėjimo. Jeigu gydytojas nuspręs baigti Jūsų gydymą </w:t>
      </w:r>
      <w:proofErr w:type="spellStart"/>
      <w:r w:rsidRPr="00C220BD">
        <w:rPr>
          <w:rFonts w:eastAsia="TimesNewRomanPS-BoldMT"/>
          <w:szCs w:val="22"/>
        </w:rPr>
        <w:t>Dretacen</w:t>
      </w:r>
      <w:proofErr w:type="spellEnd"/>
      <w:r w:rsidRPr="00C220BD">
        <w:rPr>
          <w:rFonts w:eastAsia="TimesNewRomanPS-BoldMT"/>
          <w:szCs w:val="22"/>
        </w:rPr>
        <w:t xml:space="preserve">, Jis/Ji Jus informuos apie laipsnišką </w:t>
      </w:r>
      <w:proofErr w:type="spellStart"/>
      <w:r w:rsidRPr="00C220BD">
        <w:rPr>
          <w:rFonts w:eastAsia="TimesNewRomanPS-BoldMT"/>
          <w:szCs w:val="22"/>
        </w:rPr>
        <w:t>Dretacen</w:t>
      </w:r>
      <w:proofErr w:type="spellEnd"/>
      <w:r w:rsidRPr="00C220BD">
        <w:rPr>
          <w:rFonts w:eastAsia="TimesNewRomanPS-BoldMT"/>
          <w:szCs w:val="22"/>
        </w:rPr>
        <w:t xml:space="preserve"> nutraukimą.</w:t>
      </w:r>
    </w:p>
    <w:p w14:paraId="51D990BF" w14:textId="77777777" w:rsidR="00F33154" w:rsidRPr="00C220BD" w:rsidRDefault="00F33154" w:rsidP="00F33154">
      <w:pPr>
        <w:rPr>
          <w:rFonts w:eastAsia="TimesNewRomanPS-BoldMT"/>
          <w:szCs w:val="22"/>
        </w:rPr>
      </w:pPr>
    </w:p>
    <w:p w14:paraId="2292C2A2" w14:textId="77777777" w:rsidR="00F33154" w:rsidRPr="00C220BD" w:rsidRDefault="00F33154" w:rsidP="00F33154">
      <w:pPr>
        <w:rPr>
          <w:szCs w:val="22"/>
        </w:rPr>
      </w:pPr>
      <w:r w:rsidRPr="00C220BD">
        <w:rPr>
          <w:rFonts w:eastAsia="TimesNewRomanPS-BoldMT"/>
          <w:szCs w:val="22"/>
        </w:rPr>
        <w:t>Jeigu kiltų daugiau klausimų dėl šio vaisto vartojimo, kreipkitės į gydytoją arba vaistininką.</w:t>
      </w:r>
    </w:p>
    <w:p w14:paraId="7341931F" w14:textId="77777777" w:rsidR="00F33154" w:rsidRPr="00C220BD" w:rsidRDefault="00F33154" w:rsidP="00F33154">
      <w:pPr>
        <w:rPr>
          <w:szCs w:val="22"/>
        </w:rPr>
      </w:pPr>
    </w:p>
    <w:p w14:paraId="35B5F709" w14:textId="77777777" w:rsidR="00F33154" w:rsidRPr="00C220BD" w:rsidRDefault="00F33154" w:rsidP="00F33154">
      <w:pPr>
        <w:rPr>
          <w:color w:val="000000"/>
          <w:szCs w:val="22"/>
        </w:rPr>
      </w:pPr>
    </w:p>
    <w:p w14:paraId="20D2E7F7" w14:textId="77777777" w:rsidR="00F33154" w:rsidRPr="00C220BD" w:rsidRDefault="00F33154" w:rsidP="00F33154">
      <w:pPr>
        <w:rPr>
          <w:color w:val="000000"/>
          <w:szCs w:val="22"/>
        </w:rPr>
      </w:pPr>
      <w:r w:rsidRPr="00C220BD">
        <w:rPr>
          <w:b/>
          <w:caps/>
          <w:color w:val="000000"/>
          <w:szCs w:val="22"/>
        </w:rPr>
        <w:t>4.</w:t>
      </w:r>
      <w:r w:rsidRPr="00C220BD">
        <w:rPr>
          <w:b/>
          <w:caps/>
          <w:color w:val="000000"/>
          <w:szCs w:val="22"/>
        </w:rPr>
        <w:tab/>
      </w:r>
      <w:r w:rsidRPr="00C220BD">
        <w:rPr>
          <w:b/>
          <w:szCs w:val="22"/>
        </w:rPr>
        <w:t>Galimas šalutinis poveikis</w:t>
      </w:r>
    </w:p>
    <w:p w14:paraId="5619C473" w14:textId="77777777" w:rsidR="00F33154" w:rsidRPr="00C220BD" w:rsidRDefault="00F33154" w:rsidP="00F33154">
      <w:pPr>
        <w:rPr>
          <w:color w:val="000000"/>
          <w:szCs w:val="22"/>
        </w:rPr>
      </w:pPr>
    </w:p>
    <w:p w14:paraId="359241D3" w14:textId="77777777" w:rsidR="00F33154" w:rsidRPr="00C220BD" w:rsidRDefault="00F33154" w:rsidP="00F33154">
      <w:pPr>
        <w:autoSpaceDE w:val="0"/>
        <w:autoSpaceDN w:val="0"/>
        <w:adjustRightInd w:val="0"/>
        <w:rPr>
          <w:szCs w:val="22"/>
        </w:rPr>
      </w:pPr>
      <w:r w:rsidRPr="00C220BD">
        <w:rPr>
          <w:szCs w:val="22"/>
        </w:rPr>
        <w:t>Šis vaistas, kaip ir visi kiti, gali sukelti šalutinį poveikį, nors jis pasireiškia ne visiems žmonėms.</w:t>
      </w:r>
    </w:p>
    <w:p w14:paraId="46F41185" w14:textId="77777777" w:rsidR="00F33154" w:rsidRPr="00C220BD" w:rsidRDefault="00F33154" w:rsidP="00F33154">
      <w:pPr>
        <w:autoSpaceDE w:val="0"/>
        <w:autoSpaceDN w:val="0"/>
        <w:adjustRightInd w:val="0"/>
        <w:rPr>
          <w:szCs w:val="22"/>
        </w:rPr>
      </w:pPr>
    </w:p>
    <w:p w14:paraId="1C50FB4D" w14:textId="77777777" w:rsidR="00F33154" w:rsidRPr="00C220BD" w:rsidRDefault="00F33154" w:rsidP="00F33154">
      <w:pPr>
        <w:autoSpaceDE w:val="0"/>
        <w:autoSpaceDN w:val="0"/>
        <w:adjustRightInd w:val="0"/>
        <w:rPr>
          <w:color w:val="000000"/>
          <w:szCs w:val="22"/>
        </w:rPr>
      </w:pPr>
      <w:r w:rsidRPr="00C220BD">
        <w:rPr>
          <w:b/>
          <w:bCs/>
          <w:color w:val="000000"/>
          <w:szCs w:val="22"/>
        </w:rPr>
        <w:t xml:space="preserve">Nedelsdami pasakykite savo gydytojui arba vykite į artimiausią neatidėliotinos pagalbos skyrių, jeigu pasireiškė: </w:t>
      </w:r>
    </w:p>
    <w:p w14:paraId="69C58699" w14:textId="77777777" w:rsidR="00F33154" w:rsidRPr="00C220BD" w:rsidRDefault="00F33154" w:rsidP="00F33154">
      <w:pPr>
        <w:numPr>
          <w:ilvl w:val="0"/>
          <w:numId w:val="9"/>
        </w:numPr>
        <w:autoSpaceDE w:val="0"/>
        <w:autoSpaceDN w:val="0"/>
        <w:adjustRightInd w:val="0"/>
        <w:ind w:left="567" w:hanging="567"/>
        <w:rPr>
          <w:color w:val="000000"/>
          <w:szCs w:val="22"/>
        </w:rPr>
      </w:pPr>
      <w:r w:rsidRPr="00C220BD">
        <w:rPr>
          <w:color w:val="000000"/>
          <w:szCs w:val="22"/>
        </w:rPr>
        <w:t xml:space="preserve">silpnumas, apsvaigimas ar galvos svaigimas arba sunkumas kvėpuoti, nes tai gali būti sunkios alerginės (anafilaksinės) reakcijos požymiai; </w:t>
      </w:r>
    </w:p>
    <w:p w14:paraId="59C97C50" w14:textId="77777777" w:rsidR="00F33154" w:rsidRPr="00C220BD" w:rsidRDefault="00F33154" w:rsidP="00F33154">
      <w:pPr>
        <w:numPr>
          <w:ilvl w:val="0"/>
          <w:numId w:val="9"/>
        </w:numPr>
        <w:autoSpaceDE w:val="0"/>
        <w:autoSpaceDN w:val="0"/>
        <w:adjustRightInd w:val="0"/>
        <w:ind w:left="567" w:hanging="567"/>
        <w:rPr>
          <w:color w:val="000000"/>
          <w:szCs w:val="22"/>
        </w:rPr>
      </w:pPr>
      <w:r w:rsidRPr="00C220BD">
        <w:rPr>
          <w:color w:val="000000"/>
          <w:szCs w:val="22"/>
        </w:rPr>
        <w:t>veido, lūpų, liežuvio ir gerklės pabrinkimas (</w:t>
      </w:r>
      <w:proofErr w:type="spellStart"/>
      <w:r w:rsidRPr="00C220BD">
        <w:rPr>
          <w:color w:val="000000"/>
          <w:szCs w:val="22"/>
        </w:rPr>
        <w:t>Kvinkės</w:t>
      </w:r>
      <w:proofErr w:type="spellEnd"/>
      <w:r w:rsidRPr="00C220BD">
        <w:rPr>
          <w:color w:val="000000"/>
          <w:szCs w:val="22"/>
        </w:rPr>
        <w:t xml:space="preserve"> edema); </w:t>
      </w:r>
    </w:p>
    <w:p w14:paraId="21B2F603" w14:textId="77777777" w:rsidR="00F33154" w:rsidRPr="00C220BD" w:rsidRDefault="00F33154" w:rsidP="00F33154">
      <w:pPr>
        <w:numPr>
          <w:ilvl w:val="0"/>
          <w:numId w:val="9"/>
        </w:numPr>
        <w:autoSpaceDE w:val="0"/>
        <w:autoSpaceDN w:val="0"/>
        <w:adjustRightInd w:val="0"/>
        <w:ind w:left="567" w:hanging="567"/>
        <w:rPr>
          <w:color w:val="000000"/>
          <w:sz w:val="23"/>
          <w:szCs w:val="23"/>
        </w:rPr>
      </w:pPr>
      <w:r w:rsidRPr="00C220BD">
        <w:rPr>
          <w:color w:val="000000"/>
          <w:szCs w:val="22"/>
        </w:rPr>
        <w:t>į gripą panašūs simptomai ir išbėrimas ant veido, pereinantis į išplitusį išbėrimą su aukšta temperatūra, padidėjęs kepenų fermentų aktyvumas kraujyje ir padidėjęs tam tikrų baltųjų kraujo ląstelių kiekis (</w:t>
      </w:r>
      <w:proofErr w:type="spellStart"/>
      <w:r w:rsidRPr="00C220BD">
        <w:rPr>
          <w:color w:val="000000"/>
          <w:szCs w:val="22"/>
        </w:rPr>
        <w:t>eozinofilija</w:t>
      </w:r>
      <w:proofErr w:type="spellEnd"/>
      <w:r w:rsidRPr="00C220BD">
        <w:rPr>
          <w:color w:val="000000"/>
          <w:szCs w:val="22"/>
        </w:rPr>
        <w:t xml:space="preserve">), padidėję limfmazgiai ir </w:t>
      </w:r>
      <w:r w:rsidRPr="00F949C0">
        <w:rPr>
          <w:color w:val="000000"/>
          <w:szCs w:val="22"/>
        </w:rPr>
        <w:t xml:space="preserve">apimti kiti kūno organai </w:t>
      </w:r>
      <w:r w:rsidRPr="00C220BD">
        <w:rPr>
          <w:color w:val="000000"/>
          <w:szCs w:val="22"/>
        </w:rPr>
        <w:t xml:space="preserve">(reakcija į vaistą, pasireiškianti </w:t>
      </w:r>
      <w:proofErr w:type="spellStart"/>
      <w:r w:rsidRPr="00C220BD">
        <w:rPr>
          <w:color w:val="000000"/>
          <w:szCs w:val="22"/>
        </w:rPr>
        <w:t>eozinofilija</w:t>
      </w:r>
      <w:proofErr w:type="spellEnd"/>
      <w:r w:rsidRPr="00C220BD">
        <w:rPr>
          <w:color w:val="000000"/>
          <w:szCs w:val="22"/>
        </w:rPr>
        <w:t xml:space="preserve"> ir sisteminiais simptomais </w:t>
      </w:r>
      <w:r w:rsidRPr="00C220BD">
        <w:rPr>
          <w:color w:val="000000"/>
          <w:sz w:val="23"/>
          <w:szCs w:val="23"/>
        </w:rPr>
        <w:t>[</w:t>
      </w:r>
      <w:r w:rsidRPr="00C220BD">
        <w:rPr>
          <w:i/>
          <w:color w:val="000000"/>
          <w:sz w:val="23"/>
          <w:szCs w:val="23"/>
        </w:rPr>
        <w:t>DRESS</w:t>
      </w:r>
      <w:r w:rsidRPr="00C220BD">
        <w:rPr>
          <w:color w:val="000000"/>
          <w:sz w:val="23"/>
          <w:szCs w:val="23"/>
        </w:rPr>
        <w:t>]);</w:t>
      </w:r>
    </w:p>
    <w:p w14:paraId="6994889C" w14:textId="77777777" w:rsidR="00F33154" w:rsidRPr="00C220BD" w:rsidRDefault="00F33154" w:rsidP="00F33154">
      <w:pPr>
        <w:numPr>
          <w:ilvl w:val="0"/>
          <w:numId w:val="9"/>
        </w:numPr>
        <w:autoSpaceDE w:val="0"/>
        <w:autoSpaceDN w:val="0"/>
        <w:adjustRightInd w:val="0"/>
        <w:ind w:left="567" w:hanging="567"/>
        <w:rPr>
          <w:szCs w:val="22"/>
        </w:rPr>
      </w:pPr>
      <w:r w:rsidRPr="00C220BD">
        <w:rPr>
          <w:szCs w:val="22"/>
        </w:rPr>
        <w:t xml:space="preserve">simptomai, tokie kaip sumažėjęs šlapimo kiekis, nuovargis, pykinimas, vėmimas, sumišimas ir kojų, kulkšnių ar pėdų tinimas, nes tai gali būti staigaus inkstų funkcijos susilpnėjimo požymis; </w:t>
      </w:r>
    </w:p>
    <w:p w14:paraId="0249B95E" w14:textId="77777777" w:rsidR="00F33154" w:rsidRPr="00C220BD" w:rsidRDefault="00F33154" w:rsidP="00F33154">
      <w:pPr>
        <w:numPr>
          <w:ilvl w:val="0"/>
          <w:numId w:val="9"/>
        </w:numPr>
        <w:autoSpaceDE w:val="0"/>
        <w:autoSpaceDN w:val="0"/>
        <w:adjustRightInd w:val="0"/>
        <w:ind w:left="567" w:hanging="567"/>
        <w:rPr>
          <w:szCs w:val="22"/>
        </w:rPr>
      </w:pPr>
      <w:r w:rsidRPr="00C220BD">
        <w:rPr>
          <w:szCs w:val="22"/>
        </w:rPr>
        <w:t xml:space="preserve">odos išbėrimas, kuris gali būti </w:t>
      </w:r>
      <w:proofErr w:type="spellStart"/>
      <w:r w:rsidRPr="00C220BD">
        <w:rPr>
          <w:szCs w:val="22"/>
        </w:rPr>
        <w:t>pūslinis</w:t>
      </w:r>
      <w:proofErr w:type="spellEnd"/>
      <w:r w:rsidRPr="00C220BD">
        <w:rPr>
          <w:szCs w:val="22"/>
        </w:rPr>
        <w:t xml:space="preserve">, atrodyti panašus į taikinius (su tamsiais taškeliais centre, apsuptais šviesesniu apvadu ir tamsiu žiedu) (daugiaformė </w:t>
      </w:r>
      <w:proofErr w:type="spellStart"/>
      <w:r w:rsidRPr="00C220BD">
        <w:rPr>
          <w:szCs w:val="22"/>
        </w:rPr>
        <w:t>eritema</w:t>
      </w:r>
      <w:proofErr w:type="spellEnd"/>
      <w:r w:rsidRPr="00C220BD">
        <w:rPr>
          <w:szCs w:val="22"/>
        </w:rPr>
        <w:t xml:space="preserve">); </w:t>
      </w:r>
    </w:p>
    <w:p w14:paraId="615905D1" w14:textId="77777777" w:rsidR="00F33154" w:rsidRPr="00C220BD" w:rsidRDefault="00F33154" w:rsidP="00F33154">
      <w:pPr>
        <w:numPr>
          <w:ilvl w:val="0"/>
          <w:numId w:val="9"/>
        </w:numPr>
        <w:autoSpaceDE w:val="0"/>
        <w:autoSpaceDN w:val="0"/>
        <w:adjustRightInd w:val="0"/>
        <w:ind w:left="567" w:hanging="567"/>
        <w:rPr>
          <w:szCs w:val="22"/>
        </w:rPr>
      </w:pPr>
      <w:r w:rsidRPr="00C220BD">
        <w:rPr>
          <w:szCs w:val="22"/>
        </w:rPr>
        <w:t>išplitęs išbėrimas su pūslėmis ir besilupančia oda, ypač aplink burną, nosį, akis ir lyties organus (</w:t>
      </w:r>
      <w:proofErr w:type="spellStart"/>
      <w:r w:rsidRPr="00C220BD">
        <w:rPr>
          <w:szCs w:val="22"/>
        </w:rPr>
        <w:t>Stivenso</w:t>
      </w:r>
      <w:proofErr w:type="spellEnd"/>
      <w:r w:rsidRPr="00C220BD">
        <w:rPr>
          <w:szCs w:val="22"/>
        </w:rPr>
        <w:t xml:space="preserve"> - Džonsono [</w:t>
      </w:r>
      <w:proofErr w:type="spellStart"/>
      <w:r w:rsidRPr="00C220BD">
        <w:rPr>
          <w:i/>
          <w:iCs/>
          <w:szCs w:val="22"/>
        </w:rPr>
        <w:t>Stevens-Johnson</w:t>
      </w:r>
      <w:proofErr w:type="spellEnd"/>
      <w:r w:rsidRPr="00C220BD">
        <w:rPr>
          <w:szCs w:val="22"/>
        </w:rPr>
        <w:t xml:space="preserve">] sindromas); </w:t>
      </w:r>
    </w:p>
    <w:p w14:paraId="2F410563" w14:textId="77777777" w:rsidR="00F33154" w:rsidRPr="00C220BD" w:rsidRDefault="00F33154" w:rsidP="00F33154">
      <w:pPr>
        <w:numPr>
          <w:ilvl w:val="0"/>
          <w:numId w:val="9"/>
        </w:numPr>
        <w:autoSpaceDE w:val="0"/>
        <w:autoSpaceDN w:val="0"/>
        <w:adjustRightInd w:val="0"/>
        <w:ind w:left="567" w:hanging="567"/>
        <w:rPr>
          <w:szCs w:val="22"/>
        </w:rPr>
      </w:pPr>
      <w:r w:rsidRPr="00C220BD">
        <w:rPr>
          <w:szCs w:val="22"/>
        </w:rPr>
        <w:t xml:space="preserve">sunkesnė išbėrimo forma, sukelianti odos lupimąsi didesniame nei 30 % kūno paviršiaus plote (toksinė epidermio </w:t>
      </w:r>
      <w:proofErr w:type="spellStart"/>
      <w:r w:rsidRPr="00C220BD">
        <w:rPr>
          <w:szCs w:val="22"/>
        </w:rPr>
        <w:t>nekrolizė</w:t>
      </w:r>
      <w:proofErr w:type="spellEnd"/>
      <w:r w:rsidRPr="00C220BD">
        <w:rPr>
          <w:szCs w:val="22"/>
        </w:rPr>
        <w:t xml:space="preserve">); </w:t>
      </w:r>
    </w:p>
    <w:p w14:paraId="6C786501" w14:textId="77777777" w:rsidR="00F33154" w:rsidRPr="00C220BD" w:rsidRDefault="00F33154" w:rsidP="00F33154">
      <w:pPr>
        <w:numPr>
          <w:ilvl w:val="0"/>
          <w:numId w:val="9"/>
        </w:numPr>
        <w:autoSpaceDE w:val="0"/>
        <w:autoSpaceDN w:val="0"/>
        <w:adjustRightInd w:val="0"/>
        <w:ind w:left="567" w:hanging="567"/>
        <w:rPr>
          <w:szCs w:val="22"/>
        </w:rPr>
      </w:pPr>
      <w:r w:rsidRPr="00C220BD">
        <w:rPr>
          <w:szCs w:val="22"/>
        </w:rPr>
        <w:t xml:space="preserve">sunkių psichikos pokyčių požymiai ar jei kas nors iš aplinkinių pastebi sumišimo, </w:t>
      </w:r>
      <w:proofErr w:type="spellStart"/>
      <w:r w:rsidRPr="00C220BD">
        <w:rPr>
          <w:szCs w:val="22"/>
        </w:rPr>
        <w:t>somnolencijos</w:t>
      </w:r>
      <w:proofErr w:type="spellEnd"/>
      <w:r w:rsidRPr="00C220BD">
        <w:rPr>
          <w:szCs w:val="22"/>
        </w:rPr>
        <w:t xml:space="preserve"> (mieguistumo), amnezijos (atminties netekimo), atminties pablogėjimo (užmaršumo), nenormalaus elgesio požymių ar kitų neurologinių požymių, įskaitant nevalingus ir nekontroliuojamus judesius. Tai gali būti </w:t>
      </w:r>
      <w:proofErr w:type="spellStart"/>
      <w:r w:rsidRPr="00C220BD">
        <w:rPr>
          <w:szCs w:val="22"/>
        </w:rPr>
        <w:t>encefalopatijos</w:t>
      </w:r>
      <w:proofErr w:type="spellEnd"/>
      <w:r w:rsidRPr="00C220BD">
        <w:rPr>
          <w:szCs w:val="22"/>
        </w:rPr>
        <w:t xml:space="preserve"> simptomai. </w:t>
      </w:r>
    </w:p>
    <w:p w14:paraId="61C7C07C" w14:textId="77777777" w:rsidR="00F33154" w:rsidRPr="00C220BD" w:rsidRDefault="00F33154" w:rsidP="00F33154">
      <w:pPr>
        <w:autoSpaceDE w:val="0"/>
        <w:autoSpaceDN w:val="0"/>
        <w:adjustRightInd w:val="0"/>
        <w:rPr>
          <w:szCs w:val="22"/>
        </w:rPr>
      </w:pPr>
    </w:p>
    <w:p w14:paraId="47304F41" w14:textId="77777777" w:rsidR="00F33154" w:rsidRPr="00C220BD" w:rsidRDefault="00F33154" w:rsidP="00F33154">
      <w:pPr>
        <w:autoSpaceDE w:val="0"/>
        <w:autoSpaceDN w:val="0"/>
        <w:adjustRightInd w:val="0"/>
        <w:rPr>
          <w:szCs w:val="22"/>
        </w:rPr>
      </w:pPr>
      <w:r w:rsidRPr="00C220BD">
        <w:rPr>
          <w:szCs w:val="22"/>
        </w:rPr>
        <w:t xml:space="preserve">Šalutinis poveikis, apie kurį pranešta dažniausiai, yra </w:t>
      </w:r>
      <w:proofErr w:type="spellStart"/>
      <w:r w:rsidRPr="00C220BD">
        <w:rPr>
          <w:szCs w:val="22"/>
        </w:rPr>
        <w:t>nazofaringitas</w:t>
      </w:r>
      <w:proofErr w:type="spellEnd"/>
      <w:r w:rsidRPr="00C220BD">
        <w:rPr>
          <w:szCs w:val="22"/>
        </w:rPr>
        <w:t xml:space="preserve">, </w:t>
      </w:r>
      <w:proofErr w:type="spellStart"/>
      <w:r w:rsidRPr="00C220BD">
        <w:rPr>
          <w:szCs w:val="22"/>
        </w:rPr>
        <w:t>somnolencija</w:t>
      </w:r>
      <w:proofErr w:type="spellEnd"/>
      <w:r w:rsidRPr="00C220BD">
        <w:rPr>
          <w:szCs w:val="22"/>
        </w:rPr>
        <w:t xml:space="preserve"> (mieguistumas), galvos skausmas, nuovargis ir galvos svaigimas. Kai kuris šalutinis poveikis, pvz., mieguistumas, nuovargis ir galvos sukimasis, gali dažniau pasireikšti gydymo pradžioje arba padidinus dozę. Vis dėlto, šie reiškiniai laikui bėgant turi sumažėti.</w:t>
      </w:r>
    </w:p>
    <w:p w14:paraId="235D5445" w14:textId="77777777" w:rsidR="00F33154" w:rsidRPr="00C220BD" w:rsidRDefault="00F33154" w:rsidP="00F33154">
      <w:pPr>
        <w:autoSpaceDE w:val="0"/>
        <w:autoSpaceDN w:val="0"/>
        <w:adjustRightInd w:val="0"/>
        <w:rPr>
          <w:rFonts w:eastAsia="TimesNewRomanPS-BoldMT"/>
          <w:b/>
          <w:bCs/>
          <w:szCs w:val="22"/>
        </w:rPr>
      </w:pPr>
    </w:p>
    <w:p w14:paraId="4E76A4DF" w14:textId="77777777" w:rsidR="00F33154" w:rsidRPr="00C220BD" w:rsidRDefault="00F33154" w:rsidP="00F33154">
      <w:pPr>
        <w:autoSpaceDE w:val="0"/>
        <w:autoSpaceDN w:val="0"/>
        <w:adjustRightInd w:val="0"/>
        <w:rPr>
          <w:rFonts w:eastAsia="TimesNewRomanPS-BoldMT"/>
          <w:b/>
          <w:bCs/>
          <w:szCs w:val="22"/>
        </w:rPr>
      </w:pPr>
      <w:r w:rsidRPr="00C220BD">
        <w:rPr>
          <w:rFonts w:eastAsia="TimesNewRomanPS-BoldMT"/>
          <w:b/>
          <w:bCs/>
          <w:szCs w:val="22"/>
        </w:rPr>
        <w:t>Labai dažni</w:t>
      </w:r>
      <w:r w:rsidRPr="00C220BD">
        <w:rPr>
          <w:b/>
          <w:bCs/>
          <w:snapToGrid w:val="0"/>
          <w:szCs w:val="22"/>
        </w:rPr>
        <w:t xml:space="preserve"> šalutinio poveikio reiškiniai (gali pasireikšti ne rečiau kaip 1 iš 10 asmenų):</w:t>
      </w:r>
    </w:p>
    <w:p w14:paraId="389FD5A1" w14:textId="77777777" w:rsidR="00F33154" w:rsidRPr="00C220BD" w:rsidRDefault="00F33154" w:rsidP="00F33154">
      <w:pPr>
        <w:numPr>
          <w:ilvl w:val="0"/>
          <w:numId w:val="5"/>
        </w:numPr>
        <w:autoSpaceDE w:val="0"/>
        <w:autoSpaceDN w:val="0"/>
        <w:adjustRightInd w:val="0"/>
        <w:rPr>
          <w:szCs w:val="22"/>
        </w:rPr>
      </w:pPr>
      <w:proofErr w:type="spellStart"/>
      <w:r w:rsidRPr="00C220BD">
        <w:rPr>
          <w:szCs w:val="22"/>
        </w:rPr>
        <w:t>nazofaringitas</w:t>
      </w:r>
      <w:proofErr w:type="spellEnd"/>
      <w:r w:rsidRPr="00C220BD">
        <w:rPr>
          <w:szCs w:val="22"/>
        </w:rPr>
        <w:t>;</w:t>
      </w:r>
    </w:p>
    <w:p w14:paraId="66D35A6D" w14:textId="77777777" w:rsidR="00F33154" w:rsidRPr="00C220BD" w:rsidRDefault="00F33154" w:rsidP="00F33154">
      <w:pPr>
        <w:numPr>
          <w:ilvl w:val="0"/>
          <w:numId w:val="5"/>
        </w:numPr>
        <w:autoSpaceDE w:val="0"/>
        <w:autoSpaceDN w:val="0"/>
        <w:adjustRightInd w:val="0"/>
        <w:rPr>
          <w:szCs w:val="22"/>
        </w:rPr>
      </w:pPr>
      <w:proofErr w:type="spellStart"/>
      <w:r w:rsidRPr="00C220BD">
        <w:rPr>
          <w:szCs w:val="22"/>
        </w:rPr>
        <w:t>somnolencija</w:t>
      </w:r>
      <w:proofErr w:type="spellEnd"/>
      <w:r w:rsidRPr="00C220BD">
        <w:rPr>
          <w:szCs w:val="22"/>
        </w:rPr>
        <w:t xml:space="preserve"> (mieguistumas), galvos skausmas.</w:t>
      </w:r>
    </w:p>
    <w:p w14:paraId="5540F8BD" w14:textId="77777777" w:rsidR="00F33154" w:rsidRPr="00C220BD" w:rsidRDefault="00F33154" w:rsidP="00F33154">
      <w:pPr>
        <w:autoSpaceDE w:val="0"/>
        <w:autoSpaceDN w:val="0"/>
        <w:adjustRightInd w:val="0"/>
        <w:rPr>
          <w:rFonts w:eastAsia="TimesNewRomanPS-BoldMT"/>
          <w:b/>
          <w:bCs/>
          <w:szCs w:val="22"/>
        </w:rPr>
      </w:pPr>
    </w:p>
    <w:p w14:paraId="38934F24" w14:textId="77777777" w:rsidR="00F33154" w:rsidRPr="00C220BD" w:rsidRDefault="00F33154" w:rsidP="00F33154">
      <w:pPr>
        <w:autoSpaceDE w:val="0"/>
        <w:autoSpaceDN w:val="0"/>
        <w:adjustRightInd w:val="0"/>
        <w:rPr>
          <w:rFonts w:eastAsia="TimesNewRomanPS-BoldMT"/>
          <w:b/>
          <w:bCs/>
          <w:szCs w:val="22"/>
        </w:rPr>
      </w:pPr>
      <w:r w:rsidRPr="00C220BD">
        <w:rPr>
          <w:rFonts w:eastAsia="TimesNewRomanPS-BoldMT"/>
          <w:b/>
          <w:bCs/>
          <w:szCs w:val="22"/>
        </w:rPr>
        <w:t>Dažni</w:t>
      </w:r>
      <w:r w:rsidRPr="00C220BD">
        <w:rPr>
          <w:b/>
          <w:bCs/>
          <w:snapToGrid w:val="0"/>
          <w:szCs w:val="22"/>
        </w:rPr>
        <w:t xml:space="preserve"> šalutinio poveikio reiškiniai (gali pasireikšti rečiau kaip 1 iš 10 asmenų):</w:t>
      </w:r>
    </w:p>
    <w:p w14:paraId="064FE1D0" w14:textId="77777777" w:rsidR="00F33154" w:rsidRPr="00C220BD" w:rsidRDefault="00F33154" w:rsidP="00F33154">
      <w:pPr>
        <w:numPr>
          <w:ilvl w:val="0"/>
          <w:numId w:val="6"/>
        </w:numPr>
        <w:autoSpaceDE w:val="0"/>
        <w:autoSpaceDN w:val="0"/>
        <w:adjustRightInd w:val="0"/>
        <w:rPr>
          <w:szCs w:val="22"/>
        </w:rPr>
      </w:pPr>
      <w:r w:rsidRPr="00C220BD">
        <w:rPr>
          <w:szCs w:val="22"/>
        </w:rPr>
        <w:t>anoreksija (apetito netekimas);</w:t>
      </w:r>
    </w:p>
    <w:p w14:paraId="419691D9" w14:textId="77777777" w:rsidR="00F33154" w:rsidRPr="00C220BD" w:rsidRDefault="00F33154" w:rsidP="00F33154">
      <w:pPr>
        <w:numPr>
          <w:ilvl w:val="0"/>
          <w:numId w:val="6"/>
        </w:numPr>
        <w:autoSpaceDE w:val="0"/>
        <w:autoSpaceDN w:val="0"/>
        <w:adjustRightInd w:val="0"/>
        <w:rPr>
          <w:szCs w:val="22"/>
        </w:rPr>
      </w:pPr>
      <w:r w:rsidRPr="00C220BD">
        <w:rPr>
          <w:szCs w:val="22"/>
        </w:rPr>
        <w:t>depresija, priešiškumas arba agresija, nerimas, nemiga, nervingumas arba irzlumas;</w:t>
      </w:r>
    </w:p>
    <w:p w14:paraId="48660EE5" w14:textId="77777777" w:rsidR="00F33154" w:rsidRPr="00C220BD" w:rsidRDefault="00F33154" w:rsidP="00F33154">
      <w:pPr>
        <w:numPr>
          <w:ilvl w:val="0"/>
          <w:numId w:val="6"/>
        </w:numPr>
        <w:autoSpaceDE w:val="0"/>
        <w:autoSpaceDN w:val="0"/>
        <w:adjustRightInd w:val="0"/>
        <w:rPr>
          <w:szCs w:val="22"/>
        </w:rPr>
      </w:pPr>
      <w:r w:rsidRPr="00C220BD">
        <w:rPr>
          <w:szCs w:val="22"/>
        </w:rPr>
        <w:t>traukuliai, pusiausvyros sutrikimas, galvos svaigimas (</w:t>
      </w:r>
      <w:proofErr w:type="spellStart"/>
      <w:r w:rsidRPr="00C220BD">
        <w:rPr>
          <w:szCs w:val="22"/>
        </w:rPr>
        <w:t>netvirtumo</w:t>
      </w:r>
      <w:proofErr w:type="spellEnd"/>
      <w:r w:rsidRPr="00C220BD">
        <w:rPr>
          <w:szCs w:val="22"/>
        </w:rPr>
        <w:t xml:space="preserve"> pojūtis), letargija (energijos ir entuziazmo stoka), tremoras (nevalingas drebulys);</w:t>
      </w:r>
    </w:p>
    <w:p w14:paraId="0E563199" w14:textId="77777777" w:rsidR="00F33154" w:rsidRPr="00C220BD" w:rsidRDefault="00F33154" w:rsidP="00F33154">
      <w:pPr>
        <w:numPr>
          <w:ilvl w:val="0"/>
          <w:numId w:val="6"/>
        </w:numPr>
        <w:autoSpaceDE w:val="0"/>
        <w:autoSpaceDN w:val="0"/>
        <w:adjustRightInd w:val="0"/>
        <w:rPr>
          <w:szCs w:val="22"/>
        </w:rPr>
      </w:pPr>
      <w:proofErr w:type="spellStart"/>
      <w:r w:rsidRPr="00C220BD">
        <w:rPr>
          <w:szCs w:val="22"/>
        </w:rPr>
        <w:t>vertigo</w:t>
      </w:r>
      <w:proofErr w:type="spellEnd"/>
      <w:r w:rsidRPr="00C220BD">
        <w:rPr>
          <w:szCs w:val="22"/>
        </w:rPr>
        <w:t xml:space="preserve"> (sukimosi pojūtis);</w:t>
      </w:r>
    </w:p>
    <w:p w14:paraId="1BB97C39" w14:textId="77777777" w:rsidR="00F33154" w:rsidRPr="00C220BD" w:rsidRDefault="00F33154" w:rsidP="00F33154">
      <w:pPr>
        <w:numPr>
          <w:ilvl w:val="0"/>
          <w:numId w:val="6"/>
        </w:numPr>
        <w:autoSpaceDE w:val="0"/>
        <w:autoSpaceDN w:val="0"/>
        <w:adjustRightInd w:val="0"/>
        <w:rPr>
          <w:szCs w:val="22"/>
        </w:rPr>
      </w:pPr>
      <w:r w:rsidRPr="00C220BD">
        <w:rPr>
          <w:szCs w:val="22"/>
        </w:rPr>
        <w:t>kosulys;</w:t>
      </w:r>
    </w:p>
    <w:p w14:paraId="35DF4EAE" w14:textId="77777777" w:rsidR="00F33154" w:rsidRPr="00C220BD" w:rsidRDefault="00F33154" w:rsidP="00F33154">
      <w:pPr>
        <w:numPr>
          <w:ilvl w:val="0"/>
          <w:numId w:val="6"/>
        </w:numPr>
        <w:autoSpaceDE w:val="0"/>
        <w:autoSpaceDN w:val="0"/>
        <w:adjustRightInd w:val="0"/>
        <w:rPr>
          <w:szCs w:val="22"/>
        </w:rPr>
      </w:pPr>
      <w:r w:rsidRPr="00C220BD">
        <w:rPr>
          <w:szCs w:val="22"/>
        </w:rPr>
        <w:t>pilvo skausmas, viduriavimas, dispepsija (</w:t>
      </w:r>
      <w:proofErr w:type="spellStart"/>
      <w:r w:rsidRPr="00C220BD">
        <w:rPr>
          <w:szCs w:val="22"/>
        </w:rPr>
        <w:t>nevirškinimas</w:t>
      </w:r>
      <w:proofErr w:type="spellEnd"/>
      <w:r w:rsidRPr="00C220BD">
        <w:rPr>
          <w:szCs w:val="22"/>
        </w:rPr>
        <w:t>), vėmimas, pykinimas;</w:t>
      </w:r>
    </w:p>
    <w:p w14:paraId="52DA36FC" w14:textId="77777777" w:rsidR="00F33154" w:rsidRPr="00C220BD" w:rsidRDefault="00F33154" w:rsidP="00F33154">
      <w:pPr>
        <w:numPr>
          <w:ilvl w:val="0"/>
          <w:numId w:val="6"/>
        </w:numPr>
        <w:autoSpaceDE w:val="0"/>
        <w:autoSpaceDN w:val="0"/>
        <w:adjustRightInd w:val="0"/>
        <w:rPr>
          <w:szCs w:val="22"/>
        </w:rPr>
      </w:pPr>
      <w:r w:rsidRPr="00C220BD">
        <w:rPr>
          <w:szCs w:val="22"/>
        </w:rPr>
        <w:t>išbėrimas;</w:t>
      </w:r>
    </w:p>
    <w:p w14:paraId="187C5038" w14:textId="77777777" w:rsidR="00F33154" w:rsidRPr="00C220BD" w:rsidRDefault="00F33154" w:rsidP="00F33154">
      <w:pPr>
        <w:numPr>
          <w:ilvl w:val="0"/>
          <w:numId w:val="6"/>
        </w:numPr>
        <w:autoSpaceDE w:val="0"/>
        <w:autoSpaceDN w:val="0"/>
        <w:adjustRightInd w:val="0"/>
        <w:rPr>
          <w:szCs w:val="22"/>
        </w:rPr>
      </w:pPr>
      <w:proofErr w:type="spellStart"/>
      <w:r w:rsidRPr="00C220BD">
        <w:rPr>
          <w:szCs w:val="22"/>
        </w:rPr>
        <w:t>astenija</w:t>
      </w:r>
      <w:proofErr w:type="spellEnd"/>
      <w:r w:rsidRPr="00C220BD">
        <w:rPr>
          <w:szCs w:val="22"/>
        </w:rPr>
        <w:t xml:space="preserve"> (nuovargis).</w:t>
      </w:r>
    </w:p>
    <w:p w14:paraId="741E32AE" w14:textId="77777777" w:rsidR="00F33154" w:rsidRPr="00C220BD" w:rsidRDefault="00F33154" w:rsidP="00F33154">
      <w:pPr>
        <w:autoSpaceDE w:val="0"/>
        <w:autoSpaceDN w:val="0"/>
        <w:adjustRightInd w:val="0"/>
        <w:rPr>
          <w:rFonts w:eastAsia="TimesNewRomanPS-BoldMT"/>
          <w:b/>
          <w:bCs/>
          <w:szCs w:val="22"/>
        </w:rPr>
      </w:pPr>
    </w:p>
    <w:p w14:paraId="458B4235" w14:textId="77777777" w:rsidR="00F33154" w:rsidRPr="00C220BD" w:rsidRDefault="00F33154" w:rsidP="00F33154">
      <w:pPr>
        <w:autoSpaceDE w:val="0"/>
        <w:autoSpaceDN w:val="0"/>
        <w:adjustRightInd w:val="0"/>
        <w:rPr>
          <w:rFonts w:eastAsia="TimesNewRomanPS-BoldMT"/>
          <w:b/>
          <w:szCs w:val="22"/>
        </w:rPr>
      </w:pPr>
      <w:r w:rsidRPr="00C220BD">
        <w:rPr>
          <w:rFonts w:eastAsia="TimesNewRomanPS-BoldMT"/>
          <w:b/>
          <w:bCs/>
          <w:szCs w:val="22"/>
        </w:rPr>
        <w:t>Nedažni</w:t>
      </w:r>
      <w:r w:rsidRPr="00C220BD">
        <w:rPr>
          <w:b/>
          <w:bCs/>
          <w:snapToGrid w:val="0"/>
          <w:szCs w:val="22"/>
        </w:rPr>
        <w:t xml:space="preserve"> šalutinio poveikio reiškiniai (gali pasireikšti rečiau kaip 1 iš 100 asmenų):</w:t>
      </w:r>
    </w:p>
    <w:p w14:paraId="0A77D4FB" w14:textId="77777777" w:rsidR="00F33154" w:rsidRPr="00C220BD" w:rsidRDefault="00F33154" w:rsidP="00F33154">
      <w:pPr>
        <w:numPr>
          <w:ilvl w:val="0"/>
          <w:numId w:val="7"/>
        </w:numPr>
        <w:autoSpaceDE w:val="0"/>
        <w:autoSpaceDN w:val="0"/>
        <w:adjustRightInd w:val="0"/>
        <w:rPr>
          <w:szCs w:val="22"/>
        </w:rPr>
      </w:pPr>
      <w:r w:rsidRPr="00C220BD">
        <w:rPr>
          <w:szCs w:val="22"/>
        </w:rPr>
        <w:t>sumažėjęs kraujo plokštelių skaičius, sumažėjęs baltųjų kraujo ląstelių skaičius;</w:t>
      </w:r>
    </w:p>
    <w:p w14:paraId="32325FFA" w14:textId="77777777" w:rsidR="00F33154" w:rsidRPr="00C220BD" w:rsidRDefault="00F33154" w:rsidP="00F33154">
      <w:pPr>
        <w:numPr>
          <w:ilvl w:val="0"/>
          <w:numId w:val="7"/>
        </w:numPr>
        <w:autoSpaceDE w:val="0"/>
        <w:autoSpaceDN w:val="0"/>
        <w:adjustRightInd w:val="0"/>
        <w:rPr>
          <w:szCs w:val="22"/>
        </w:rPr>
      </w:pPr>
      <w:r w:rsidRPr="00C220BD">
        <w:rPr>
          <w:szCs w:val="22"/>
        </w:rPr>
        <w:t>kūno svorio netekimas, kūno svorio padidėjimas;</w:t>
      </w:r>
    </w:p>
    <w:p w14:paraId="5198B58A" w14:textId="77777777" w:rsidR="00F33154" w:rsidRPr="00C220BD" w:rsidRDefault="00F33154" w:rsidP="00F33154">
      <w:pPr>
        <w:numPr>
          <w:ilvl w:val="0"/>
          <w:numId w:val="7"/>
        </w:numPr>
        <w:autoSpaceDE w:val="0"/>
        <w:autoSpaceDN w:val="0"/>
        <w:adjustRightInd w:val="0"/>
        <w:rPr>
          <w:szCs w:val="22"/>
        </w:rPr>
      </w:pPr>
      <w:r w:rsidRPr="00C220BD">
        <w:rPr>
          <w:szCs w:val="22"/>
        </w:rPr>
        <w:t>bandymas žudytis ir mintys apie savižudybę, psichikos sutrikimas, nenormalus elgesys, haliucinacijos, pyktis, sumišimas, panikos priepuolis, emocinis nepastovumas/nuotaikos svyravimai, susijaudinimas;</w:t>
      </w:r>
    </w:p>
    <w:p w14:paraId="6A79400E" w14:textId="77777777" w:rsidR="00F33154" w:rsidRPr="00C220BD" w:rsidRDefault="00F33154" w:rsidP="00F33154">
      <w:pPr>
        <w:numPr>
          <w:ilvl w:val="0"/>
          <w:numId w:val="7"/>
        </w:numPr>
        <w:autoSpaceDE w:val="0"/>
        <w:autoSpaceDN w:val="0"/>
        <w:adjustRightInd w:val="0"/>
        <w:rPr>
          <w:szCs w:val="22"/>
        </w:rPr>
      </w:pPr>
      <w:r w:rsidRPr="00C220BD">
        <w:rPr>
          <w:szCs w:val="22"/>
        </w:rPr>
        <w:t>amnezija (atminties netekimas), atminties pablogėjimas (užmaršumas), sutrikusi koordinacija/</w:t>
      </w:r>
      <w:proofErr w:type="spellStart"/>
      <w:r w:rsidRPr="00C220BD">
        <w:rPr>
          <w:szCs w:val="22"/>
        </w:rPr>
        <w:t>ataksija</w:t>
      </w:r>
      <w:proofErr w:type="spellEnd"/>
      <w:r w:rsidRPr="00C220BD">
        <w:rPr>
          <w:szCs w:val="22"/>
        </w:rPr>
        <w:t xml:space="preserve"> (nesuderinti judesiai), </w:t>
      </w:r>
      <w:proofErr w:type="spellStart"/>
      <w:r w:rsidRPr="00C220BD">
        <w:rPr>
          <w:szCs w:val="22"/>
        </w:rPr>
        <w:t>parestezija</w:t>
      </w:r>
      <w:proofErr w:type="spellEnd"/>
      <w:r w:rsidRPr="00C220BD">
        <w:rPr>
          <w:szCs w:val="22"/>
        </w:rPr>
        <w:t xml:space="preserve"> (dilgčiojimas), dėmesio sutrikimas (koncentracijos netekimas);</w:t>
      </w:r>
    </w:p>
    <w:p w14:paraId="489B3985" w14:textId="77777777" w:rsidR="00F33154" w:rsidRPr="00C220BD" w:rsidRDefault="00F33154" w:rsidP="00F33154">
      <w:pPr>
        <w:numPr>
          <w:ilvl w:val="0"/>
          <w:numId w:val="7"/>
        </w:numPr>
        <w:autoSpaceDE w:val="0"/>
        <w:autoSpaceDN w:val="0"/>
        <w:adjustRightInd w:val="0"/>
        <w:rPr>
          <w:szCs w:val="22"/>
        </w:rPr>
      </w:pPr>
      <w:proofErr w:type="spellStart"/>
      <w:r w:rsidRPr="00C220BD">
        <w:rPr>
          <w:szCs w:val="22"/>
        </w:rPr>
        <w:t>diplopija</w:t>
      </w:r>
      <w:proofErr w:type="spellEnd"/>
      <w:r w:rsidRPr="00C220BD">
        <w:rPr>
          <w:szCs w:val="22"/>
        </w:rPr>
        <w:t xml:space="preserve"> (dvejinimasis akyse), neryškus matymas;</w:t>
      </w:r>
    </w:p>
    <w:p w14:paraId="05FA7465" w14:textId="77777777" w:rsidR="00F33154" w:rsidRPr="00C220BD" w:rsidRDefault="00F33154" w:rsidP="00F33154">
      <w:pPr>
        <w:numPr>
          <w:ilvl w:val="0"/>
          <w:numId w:val="7"/>
        </w:numPr>
        <w:autoSpaceDE w:val="0"/>
        <w:autoSpaceDN w:val="0"/>
        <w:adjustRightInd w:val="0"/>
        <w:rPr>
          <w:szCs w:val="22"/>
        </w:rPr>
      </w:pPr>
      <w:r w:rsidRPr="00C220BD">
        <w:rPr>
          <w:szCs w:val="22"/>
        </w:rPr>
        <w:t>padidėję/nenormalūs kepenų funkcijos tyrimo rodmenys;</w:t>
      </w:r>
    </w:p>
    <w:p w14:paraId="744FE855" w14:textId="77777777" w:rsidR="00F33154" w:rsidRPr="00C220BD" w:rsidRDefault="00F33154" w:rsidP="00F33154">
      <w:pPr>
        <w:numPr>
          <w:ilvl w:val="0"/>
          <w:numId w:val="7"/>
        </w:numPr>
        <w:autoSpaceDE w:val="0"/>
        <w:autoSpaceDN w:val="0"/>
        <w:adjustRightInd w:val="0"/>
        <w:rPr>
          <w:szCs w:val="22"/>
        </w:rPr>
      </w:pPr>
      <w:r w:rsidRPr="00C220BD">
        <w:rPr>
          <w:szCs w:val="22"/>
        </w:rPr>
        <w:t>nuplikimas, egzema, niežulys;</w:t>
      </w:r>
    </w:p>
    <w:p w14:paraId="3890F413" w14:textId="77777777" w:rsidR="00F33154" w:rsidRPr="00C220BD" w:rsidRDefault="00F33154" w:rsidP="00F33154">
      <w:pPr>
        <w:numPr>
          <w:ilvl w:val="0"/>
          <w:numId w:val="7"/>
        </w:numPr>
        <w:autoSpaceDE w:val="0"/>
        <w:autoSpaceDN w:val="0"/>
        <w:adjustRightInd w:val="0"/>
        <w:rPr>
          <w:szCs w:val="22"/>
        </w:rPr>
      </w:pPr>
      <w:r w:rsidRPr="00C220BD">
        <w:rPr>
          <w:szCs w:val="22"/>
        </w:rPr>
        <w:t xml:space="preserve">raumenų silpnumas, </w:t>
      </w:r>
      <w:proofErr w:type="spellStart"/>
      <w:r w:rsidRPr="00C220BD">
        <w:rPr>
          <w:szCs w:val="22"/>
        </w:rPr>
        <w:t>mialgija</w:t>
      </w:r>
      <w:proofErr w:type="spellEnd"/>
      <w:r w:rsidRPr="00C220BD">
        <w:rPr>
          <w:szCs w:val="22"/>
        </w:rPr>
        <w:t xml:space="preserve"> (raumenų skausmas);</w:t>
      </w:r>
    </w:p>
    <w:p w14:paraId="2BF045A9" w14:textId="77777777" w:rsidR="00F33154" w:rsidRPr="00C220BD" w:rsidRDefault="00F33154" w:rsidP="00F33154">
      <w:pPr>
        <w:numPr>
          <w:ilvl w:val="0"/>
          <w:numId w:val="7"/>
        </w:numPr>
        <w:autoSpaceDE w:val="0"/>
        <w:autoSpaceDN w:val="0"/>
        <w:adjustRightInd w:val="0"/>
        <w:rPr>
          <w:szCs w:val="22"/>
        </w:rPr>
      </w:pPr>
      <w:r w:rsidRPr="00C220BD">
        <w:rPr>
          <w:szCs w:val="22"/>
        </w:rPr>
        <w:t>susižeidimas.</w:t>
      </w:r>
    </w:p>
    <w:p w14:paraId="3BAD262F" w14:textId="77777777" w:rsidR="00F33154" w:rsidRPr="00C220BD" w:rsidRDefault="00F33154" w:rsidP="00F33154">
      <w:pPr>
        <w:autoSpaceDE w:val="0"/>
        <w:autoSpaceDN w:val="0"/>
        <w:adjustRightInd w:val="0"/>
        <w:rPr>
          <w:rFonts w:eastAsia="TimesNewRomanPS-BoldMT"/>
          <w:b/>
          <w:bCs/>
          <w:szCs w:val="22"/>
        </w:rPr>
      </w:pPr>
    </w:p>
    <w:p w14:paraId="7C9E9EFB" w14:textId="77777777" w:rsidR="00F33154" w:rsidRPr="00C220BD" w:rsidRDefault="00F33154" w:rsidP="00F33154">
      <w:pPr>
        <w:autoSpaceDE w:val="0"/>
        <w:autoSpaceDN w:val="0"/>
        <w:adjustRightInd w:val="0"/>
        <w:rPr>
          <w:szCs w:val="22"/>
        </w:rPr>
      </w:pPr>
      <w:r w:rsidRPr="00C220BD">
        <w:rPr>
          <w:rFonts w:eastAsia="TimesNewRomanPS-BoldMT"/>
          <w:b/>
          <w:bCs/>
          <w:szCs w:val="22"/>
        </w:rPr>
        <w:t>Reti</w:t>
      </w:r>
      <w:r w:rsidRPr="00C220BD">
        <w:rPr>
          <w:b/>
          <w:bCs/>
          <w:snapToGrid w:val="0"/>
          <w:szCs w:val="22"/>
        </w:rPr>
        <w:t xml:space="preserve"> šalutinio poveikio reiškiniai (gali pasireikšti rečiau kaip 1 iš 1 000 asmenų):</w:t>
      </w:r>
    </w:p>
    <w:p w14:paraId="6C45EF14" w14:textId="77777777" w:rsidR="00F33154" w:rsidRPr="00C220BD" w:rsidRDefault="00F33154" w:rsidP="00F33154">
      <w:pPr>
        <w:numPr>
          <w:ilvl w:val="0"/>
          <w:numId w:val="7"/>
        </w:numPr>
        <w:autoSpaceDE w:val="0"/>
        <w:autoSpaceDN w:val="0"/>
        <w:adjustRightInd w:val="0"/>
        <w:rPr>
          <w:szCs w:val="22"/>
        </w:rPr>
      </w:pPr>
      <w:r w:rsidRPr="00C220BD">
        <w:rPr>
          <w:szCs w:val="22"/>
        </w:rPr>
        <w:t>infekcija;</w:t>
      </w:r>
    </w:p>
    <w:p w14:paraId="51F1C1AF" w14:textId="77777777" w:rsidR="00F33154" w:rsidRPr="00C220BD" w:rsidRDefault="00F33154" w:rsidP="00F33154">
      <w:pPr>
        <w:numPr>
          <w:ilvl w:val="0"/>
          <w:numId w:val="7"/>
        </w:numPr>
        <w:autoSpaceDE w:val="0"/>
        <w:autoSpaceDN w:val="0"/>
        <w:adjustRightInd w:val="0"/>
        <w:rPr>
          <w:szCs w:val="22"/>
        </w:rPr>
      </w:pPr>
      <w:r w:rsidRPr="00C220BD">
        <w:rPr>
          <w:szCs w:val="22"/>
        </w:rPr>
        <w:t>sumažėjęs visų tipų kraujo ląstelių skaičius;</w:t>
      </w:r>
    </w:p>
    <w:p w14:paraId="42A0344F" w14:textId="77777777" w:rsidR="00F33154" w:rsidRPr="00C220BD" w:rsidRDefault="00F33154" w:rsidP="00F33154">
      <w:pPr>
        <w:numPr>
          <w:ilvl w:val="0"/>
          <w:numId w:val="7"/>
        </w:numPr>
        <w:autoSpaceDE w:val="0"/>
        <w:autoSpaceDN w:val="0"/>
        <w:adjustRightInd w:val="0"/>
        <w:rPr>
          <w:szCs w:val="22"/>
        </w:rPr>
      </w:pPr>
      <w:r w:rsidRPr="00C220BD">
        <w:rPr>
          <w:szCs w:val="22"/>
        </w:rPr>
        <w:t xml:space="preserve">sunkios alerginės reakcijos (DRESS sindromas, anafilaksinė reakcija [sunki ir reikšminga alerginė reakcija], </w:t>
      </w:r>
      <w:proofErr w:type="spellStart"/>
      <w:r w:rsidRPr="00C220BD">
        <w:rPr>
          <w:szCs w:val="22"/>
        </w:rPr>
        <w:t>Kvinkės</w:t>
      </w:r>
      <w:proofErr w:type="spellEnd"/>
      <w:r w:rsidRPr="00C220BD">
        <w:rPr>
          <w:szCs w:val="22"/>
        </w:rPr>
        <w:t xml:space="preserve"> edema [veido, lūpų, liežuvio ir gerklės tinimas]);</w:t>
      </w:r>
    </w:p>
    <w:p w14:paraId="17039D75" w14:textId="77777777" w:rsidR="00F33154" w:rsidRPr="00C220BD" w:rsidRDefault="00F33154" w:rsidP="00F33154">
      <w:pPr>
        <w:numPr>
          <w:ilvl w:val="0"/>
          <w:numId w:val="7"/>
        </w:numPr>
        <w:autoSpaceDE w:val="0"/>
        <w:autoSpaceDN w:val="0"/>
        <w:adjustRightInd w:val="0"/>
        <w:rPr>
          <w:szCs w:val="22"/>
        </w:rPr>
      </w:pPr>
      <w:r w:rsidRPr="00C220BD">
        <w:rPr>
          <w:szCs w:val="22"/>
        </w:rPr>
        <w:t>sumažėjusi natrio koncentracija kraujyje;</w:t>
      </w:r>
    </w:p>
    <w:p w14:paraId="00BC546B" w14:textId="77777777" w:rsidR="00F33154" w:rsidRPr="00C220BD" w:rsidRDefault="00F33154" w:rsidP="00F33154">
      <w:pPr>
        <w:numPr>
          <w:ilvl w:val="0"/>
          <w:numId w:val="7"/>
        </w:numPr>
        <w:autoSpaceDE w:val="0"/>
        <w:autoSpaceDN w:val="0"/>
        <w:adjustRightInd w:val="0"/>
        <w:rPr>
          <w:szCs w:val="22"/>
        </w:rPr>
      </w:pPr>
      <w:r w:rsidRPr="00C220BD">
        <w:rPr>
          <w:szCs w:val="22"/>
        </w:rPr>
        <w:t>savižudybės, asmenybės sutrikimai (elgesio problemos), pakitęs mąstymas (lėtas mąstymas, gebėjimo koncentruotis stoka);</w:t>
      </w:r>
    </w:p>
    <w:p w14:paraId="53FF4837" w14:textId="77777777" w:rsidR="00F33154" w:rsidRPr="00C220BD" w:rsidRDefault="00F33154" w:rsidP="00F33154">
      <w:pPr>
        <w:numPr>
          <w:ilvl w:val="0"/>
          <w:numId w:val="7"/>
        </w:numPr>
        <w:autoSpaceDE w:val="0"/>
        <w:autoSpaceDN w:val="0"/>
        <w:adjustRightInd w:val="0"/>
        <w:rPr>
          <w:szCs w:val="22"/>
        </w:rPr>
      </w:pPr>
      <w:r w:rsidRPr="00C220BD">
        <w:rPr>
          <w:szCs w:val="22"/>
        </w:rPr>
        <w:t>kliedesys;</w:t>
      </w:r>
    </w:p>
    <w:p w14:paraId="03823A6E" w14:textId="77777777" w:rsidR="00F33154" w:rsidRPr="00C220BD" w:rsidRDefault="00F33154" w:rsidP="00F33154">
      <w:pPr>
        <w:numPr>
          <w:ilvl w:val="0"/>
          <w:numId w:val="7"/>
        </w:numPr>
        <w:autoSpaceDE w:val="0"/>
        <w:autoSpaceDN w:val="0"/>
        <w:adjustRightInd w:val="0"/>
        <w:rPr>
          <w:szCs w:val="22"/>
        </w:rPr>
      </w:pPr>
      <w:proofErr w:type="spellStart"/>
      <w:r w:rsidRPr="00C220BD">
        <w:rPr>
          <w:szCs w:val="22"/>
        </w:rPr>
        <w:t>encefalopatija</w:t>
      </w:r>
      <w:proofErr w:type="spellEnd"/>
      <w:r w:rsidRPr="00C220BD">
        <w:rPr>
          <w:szCs w:val="22"/>
        </w:rPr>
        <w:t xml:space="preserve"> (išsamų simptomų aprašymą žr. poskyryje „Nedelsdami pasakykite savo gydytojui“);</w:t>
      </w:r>
    </w:p>
    <w:p w14:paraId="360841BD" w14:textId="77777777" w:rsidR="00F33154" w:rsidRPr="00C220BD" w:rsidRDefault="00F33154" w:rsidP="00F33154">
      <w:pPr>
        <w:numPr>
          <w:ilvl w:val="0"/>
          <w:numId w:val="7"/>
        </w:numPr>
        <w:autoSpaceDE w:val="0"/>
        <w:autoSpaceDN w:val="0"/>
        <w:adjustRightInd w:val="0"/>
        <w:rPr>
          <w:szCs w:val="22"/>
        </w:rPr>
      </w:pPr>
      <w:r w:rsidRPr="00C220BD">
        <w:rPr>
          <w:szCs w:val="22"/>
        </w:rPr>
        <w:t>priepuoliai gali pasunkėti arba tapti dažnesni;</w:t>
      </w:r>
    </w:p>
    <w:p w14:paraId="75CEB6D7" w14:textId="77777777" w:rsidR="00F33154" w:rsidRPr="00C220BD" w:rsidRDefault="00F33154" w:rsidP="00F33154">
      <w:pPr>
        <w:numPr>
          <w:ilvl w:val="0"/>
          <w:numId w:val="7"/>
        </w:numPr>
        <w:autoSpaceDE w:val="0"/>
        <w:autoSpaceDN w:val="0"/>
        <w:adjustRightInd w:val="0"/>
        <w:rPr>
          <w:szCs w:val="22"/>
        </w:rPr>
      </w:pPr>
      <w:r w:rsidRPr="00C220BD">
        <w:rPr>
          <w:szCs w:val="22"/>
        </w:rPr>
        <w:t xml:space="preserve">nekontroliuojami raumenų spazmai, apimantys galvą, liemenį ir galūnes, sunkumas kontroliuoti judesius, </w:t>
      </w:r>
      <w:proofErr w:type="spellStart"/>
      <w:r w:rsidRPr="00C220BD">
        <w:rPr>
          <w:szCs w:val="22"/>
        </w:rPr>
        <w:t>hiperkinezija</w:t>
      </w:r>
      <w:proofErr w:type="spellEnd"/>
      <w:r w:rsidRPr="00C220BD">
        <w:rPr>
          <w:szCs w:val="22"/>
        </w:rPr>
        <w:t xml:space="preserve"> (padidėjęs aktyvumas);</w:t>
      </w:r>
    </w:p>
    <w:p w14:paraId="16494560" w14:textId="77777777" w:rsidR="00F33154" w:rsidRPr="00C220BD" w:rsidRDefault="00F33154" w:rsidP="00F33154">
      <w:pPr>
        <w:numPr>
          <w:ilvl w:val="0"/>
          <w:numId w:val="7"/>
        </w:numPr>
        <w:autoSpaceDE w:val="0"/>
        <w:autoSpaceDN w:val="0"/>
        <w:adjustRightInd w:val="0"/>
        <w:rPr>
          <w:szCs w:val="22"/>
        </w:rPr>
      </w:pPr>
      <w:r w:rsidRPr="00C220BD">
        <w:rPr>
          <w:szCs w:val="22"/>
        </w:rPr>
        <w:t>širdies ritmo pakitimas (elektrokardiogramoje);</w:t>
      </w:r>
    </w:p>
    <w:p w14:paraId="13F743AD" w14:textId="77777777" w:rsidR="00F33154" w:rsidRPr="00C220BD" w:rsidRDefault="00F33154" w:rsidP="00F33154">
      <w:pPr>
        <w:numPr>
          <w:ilvl w:val="0"/>
          <w:numId w:val="7"/>
        </w:numPr>
        <w:autoSpaceDE w:val="0"/>
        <w:autoSpaceDN w:val="0"/>
        <w:adjustRightInd w:val="0"/>
        <w:rPr>
          <w:szCs w:val="22"/>
        </w:rPr>
      </w:pPr>
      <w:r w:rsidRPr="00C220BD">
        <w:rPr>
          <w:szCs w:val="22"/>
        </w:rPr>
        <w:t>pankreatitas;</w:t>
      </w:r>
    </w:p>
    <w:p w14:paraId="0FEC087C" w14:textId="77777777" w:rsidR="00F33154" w:rsidRPr="00C220BD" w:rsidRDefault="00F33154" w:rsidP="00F33154">
      <w:pPr>
        <w:numPr>
          <w:ilvl w:val="0"/>
          <w:numId w:val="7"/>
        </w:numPr>
        <w:autoSpaceDE w:val="0"/>
        <w:autoSpaceDN w:val="0"/>
        <w:adjustRightInd w:val="0"/>
        <w:rPr>
          <w:szCs w:val="22"/>
        </w:rPr>
      </w:pPr>
      <w:r w:rsidRPr="00C220BD">
        <w:rPr>
          <w:szCs w:val="22"/>
        </w:rPr>
        <w:t>kepenų nepakankamumas, hepatitas;</w:t>
      </w:r>
    </w:p>
    <w:p w14:paraId="6D0E3F35" w14:textId="77777777" w:rsidR="00F33154" w:rsidRPr="00C220BD" w:rsidRDefault="00F33154" w:rsidP="00F33154">
      <w:pPr>
        <w:numPr>
          <w:ilvl w:val="0"/>
          <w:numId w:val="7"/>
        </w:numPr>
        <w:autoSpaceDE w:val="0"/>
        <w:autoSpaceDN w:val="0"/>
        <w:adjustRightInd w:val="0"/>
        <w:rPr>
          <w:szCs w:val="22"/>
        </w:rPr>
      </w:pPr>
      <w:r w:rsidRPr="00C220BD">
        <w:rPr>
          <w:szCs w:val="22"/>
        </w:rPr>
        <w:t>staigus inkstų funkcijos susilpnėjimas;</w:t>
      </w:r>
    </w:p>
    <w:p w14:paraId="569BBD01" w14:textId="77777777" w:rsidR="00F33154" w:rsidRPr="00C220BD" w:rsidRDefault="00F33154" w:rsidP="00F33154">
      <w:pPr>
        <w:numPr>
          <w:ilvl w:val="0"/>
          <w:numId w:val="7"/>
        </w:numPr>
        <w:autoSpaceDE w:val="0"/>
        <w:autoSpaceDN w:val="0"/>
        <w:adjustRightInd w:val="0"/>
        <w:rPr>
          <w:szCs w:val="22"/>
        </w:rPr>
      </w:pPr>
      <w:r w:rsidRPr="00C220BD">
        <w:rPr>
          <w:szCs w:val="22"/>
        </w:rPr>
        <w:t xml:space="preserve">odos išbėrimas, kuris gali būti </w:t>
      </w:r>
      <w:proofErr w:type="spellStart"/>
      <w:r w:rsidRPr="00C220BD">
        <w:rPr>
          <w:szCs w:val="22"/>
        </w:rPr>
        <w:t>pūslinis</w:t>
      </w:r>
      <w:proofErr w:type="spellEnd"/>
      <w:r w:rsidRPr="00C220BD">
        <w:rPr>
          <w:szCs w:val="22"/>
        </w:rPr>
        <w:t xml:space="preserve">, atrodyti panašus į taikinius (su tamsiais taškeliais centre, apsuptais šviesesniu apvadu ir tamsiu žiedu) (daugiaformė </w:t>
      </w:r>
      <w:proofErr w:type="spellStart"/>
      <w:r w:rsidRPr="00C220BD">
        <w:rPr>
          <w:szCs w:val="22"/>
        </w:rPr>
        <w:t>eritema</w:t>
      </w:r>
      <w:proofErr w:type="spellEnd"/>
      <w:r w:rsidRPr="00C220BD">
        <w:rPr>
          <w:szCs w:val="22"/>
        </w:rPr>
        <w:t>), išplitęs išbėrimas su pūslėmis ir besilupančia oda, ypač aplink burną, nosį, akis ir lyties organus (</w:t>
      </w:r>
      <w:proofErr w:type="spellStart"/>
      <w:r w:rsidRPr="00C220BD">
        <w:rPr>
          <w:szCs w:val="22"/>
        </w:rPr>
        <w:t>Stivenso</w:t>
      </w:r>
      <w:proofErr w:type="spellEnd"/>
      <w:r w:rsidRPr="00C220BD">
        <w:rPr>
          <w:szCs w:val="22"/>
        </w:rPr>
        <w:t xml:space="preserve"> - Džonsono [</w:t>
      </w:r>
      <w:proofErr w:type="spellStart"/>
      <w:r w:rsidRPr="00F949C0">
        <w:rPr>
          <w:i/>
          <w:szCs w:val="22"/>
        </w:rPr>
        <w:t>Stevens-Johnson</w:t>
      </w:r>
      <w:proofErr w:type="spellEnd"/>
      <w:r w:rsidRPr="00C220BD">
        <w:rPr>
          <w:szCs w:val="22"/>
        </w:rPr>
        <w:t xml:space="preserve">] sindromas), ir sunkesnė forma sukelianti odos lupimąsi didesniame nei 30 % kūno paviršiaus plote (toksinė epidermio </w:t>
      </w:r>
      <w:proofErr w:type="spellStart"/>
      <w:r w:rsidRPr="00C220BD">
        <w:rPr>
          <w:szCs w:val="22"/>
        </w:rPr>
        <w:t>nekrolizė</w:t>
      </w:r>
      <w:proofErr w:type="spellEnd"/>
      <w:r w:rsidRPr="00C220BD">
        <w:rPr>
          <w:szCs w:val="22"/>
        </w:rPr>
        <w:t>);</w:t>
      </w:r>
    </w:p>
    <w:p w14:paraId="2FAEA6CE" w14:textId="77777777" w:rsidR="00F33154" w:rsidRPr="00C220BD" w:rsidRDefault="00F33154" w:rsidP="00F33154">
      <w:pPr>
        <w:numPr>
          <w:ilvl w:val="0"/>
          <w:numId w:val="7"/>
        </w:numPr>
        <w:autoSpaceDE w:val="0"/>
        <w:autoSpaceDN w:val="0"/>
        <w:adjustRightInd w:val="0"/>
        <w:rPr>
          <w:szCs w:val="22"/>
        </w:rPr>
      </w:pPr>
      <w:proofErr w:type="spellStart"/>
      <w:r w:rsidRPr="00C220BD">
        <w:rPr>
          <w:szCs w:val="22"/>
        </w:rPr>
        <w:t>rabdomiolizė</w:t>
      </w:r>
      <w:proofErr w:type="spellEnd"/>
      <w:r w:rsidRPr="00C220BD">
        <w:rPr>
          <w:szCs w:val="22"/>
        </w:rPr>
        <w:t xml:space="preserve"> (raumenų audinio irimas) ir su ja susijęs </w:t>
      </w:r>
      <w:proofErr w:type="spellStart"/>
      <w:r w:rsidRPr="00C220BD">
        <w:rPr>
          <w:szCs w:val="22"/>
        </w:rPr>
        <w:t>kreatinfosfokinazės</w:t>
      </w:r>
      <w:proofErr w:type="spellEnd"/>
      <w:r w:rsidRPr="00C220BD">
        <w:rPr>
          <w:szCs w:val="22"/>
        </w:rPr>
        <w:t xml:space="preserve"> aktyvumo padidėjimas kraujyje. Paplitimas reikšmingai didesnis japonams pacientams, lyginant su ne japonais pacientais;</w:t>
      </w:r>
    </w:p>
    <w:p w14:paraId="5A4205B3" w14:textId="77777777" w:rsidR="00F33154" w:rsidRPr="00C220BD" w:rsidRDefault="00F33154" w:rsidP="00F33154">
      <w:pPr>
        <w:pStyle w:val="Default"/>
        <w:numPr>
          <w:ilvl w:val="0"/>
          <w:numId w:val="7"/>
        </w:numPr>
        <w:rPr>
          <w:bCs/>
          <w:sz w:val="22"/>
          <w:szCs w:val="22"/>
        </w:rPr>
      </w:pPr>
      <w:r w:rsidRPr="00C220BD">
        <w:rPr>
          <w:bCs/>
          <w:sz w:val="22"/>
          <w:szCs w:val="22"/>
        </w:rPr>
        <w:t>šlubavimas arba sunkumas vaikščioti;</w:t>
      </w:r>
    </w:p>
    <w:p w14:paraId="31E18E34" w14:textId="77777777" w:rsidR="00F33154" w:rsidRPr="00C220BD" w:rsidRDefault="00F33154" w:rsidP="00F33154">
      <w:pPr>
        <w:pStyle w:val="Default"/>
        <w:numPr>
          <w:ilvl w:val="0"/>
          <w:numId w:val="7"/>
        </w:numPr>
        <w:rPr>
          <w:sz w:val="22"/>
          <w:szCs w:val="22"/>
        </w:rPr>
      </w:pPr>
      <w:r w:rsidRPr="00C220BD">
        <w:rPr>
          <w:bCs/>
          <w:sz w:val="22"/>
          <w:szCs w:val="22"/>
        </w:rPr>
        <w:t xml:space="preserve">karščiavimo, raumenų sąstingio, nepastovaus kraujospūdžio ir širdies susitraukimų dažnio, sumišimo, žemo sąmonės lygio derinys (tai gali būti sutrikimo, vadinamo piktybiniu </w:t>
      </w:r>
      <w:proofErr w:type="spellStart"/>
      <w:r w:rsidRPr="00C220BD">
        <w:rPr>
          <w:bCs/>
          <w:sz w:val="22"/>
          <w:szCs w:val="22"/>
        </w:rPr>
        <w:t>neurolepsiniu</w:t>
      </w:r>
      <w:proofErr w:type="spellEnd"/>
      <w:r w:rsidRPr="00C220BD">
        <w:rPr>
          <w:bCs/>
          <w:sz w:val="22"/>
          <w:szCs w:val="22"/>
        </w:rPr>
        <w:t xml:space="preserve"> sindromu, požymiai). Paplitimas reikšmingai didesnis japonams pacientams, lyginant su ne japonais pacientais.</w:t>
      </w:r>
      <w:r w:rsidRPr="00C220BD">
        <w:rPr>
          <w:bCs/>
          <w:sz w:val="22"/>
          <w:szCs w:val="22"/>
        </w:rPr>
        <w:cr/>
      </w:r>
    </w:p>
    <w:p w14:paraId="35192321" w14:textId="77777777" w:rsidR="00F33154" w:rsidRPr="00C220BD" w:rsidRDefault="00F33154" w:rsidP="00F33154">
      <w:pPr>
        <w:pStyle w:val="Default"/>
        <w:rPr>
          <w:b/>
          <w:sz w:val="22"/>
          <w:szCs w:val="22"/>
        </w:rPr>
      </w:pPr>
      <w:r w:rsidRPr="00C220BD">
        <w:rPr>
          <w:b/>
          <w:sz w:val="22"/>
          <w:szCs w:val="22"/>
        </w:rPr>
        <w:t>Labai reti šalutinio poveikio reiškiniai (gali pasireikšti rečiau kaip 1 iš 10 000 asmenų):</w:t>
      </w:r>
    </w:p>
    <w:p w14:paraId="20657258" w14:textId="77777777" w:rsidR="00F33154" w:rsidRPr="00C220BD" w:rsidRDefault="00F33154" w:rsidP="00F33154">
      <w:pPr>
        <w:pStyle w:val="Default"/>
        <w:numPr>
          <w:ilvl w:val="0"/>
          <w:numId w:val="15"/>
        </w:numPr>
        <w:ind w:left="567" w:hanging="567"/>
        <w:rPr>
          <w:sz w:val="22"/>
          <w:szCs w:val="22"/>
        </w:rPr>
      </w:pPr>
      <w:r w:rsidRPr="00C220BD">
        <w:rPr>
          <w:sz w:val="22"/>
          <w:szCs w:val="22"/>
        </w:rPr>
        <w:t>pasikartojančios nepageidaujamos mintys arba pojūčiai arba stiprus noras kažką daryti vėl ir vėl (</w:t>
      </w:r>
      <w:proofErr w:type="spellStart"/>
      <w:r w:rsidRPr="00C220BD">
        <w:rPr>
          <w:sz w:val="22"/>
          <w:szCs w:val="22"/>
        </w:rPr>
        <w:t>obsesinis</w:t>
      </w:r>
      <w:proofErr w:type="spellEnd"/>
      <w:r w:rsidRPr="00C220BD">
        <w:rPr>
          <w:sz w:val="22"/>
          <w:szCs w:val="22"/>
        </w:rPr>
        <w:t xml:space="preserve"> </w:t>
      </w:r>
      <w:proofErr w:type="spellStart"/>
      <w:r w:rsidRPr="00C220BD">
        <w:rPr>
          <w:sz w:val="22"/>
          <w:szCs w:val="22"/>
        </w:rPr>
        <w:t>kompulsinis</w:t>
      </w:r>
      <w:proofErr w:type="spellEnd"/>
      <w:r w:rsidRPr="00C220BD">
        <w:rPr>
          <w:sz w:val="22"/>
          <w:szCs w:val="22"/>
        </w:rPr>
        <w:t xml:space="preserve"> sutrikimas).</w:t>
      </w:r>
    </w:p>
    <w:p w14:paraId="6EE06D23" w14:textId="77777777" w:rsidR="00F33154" w:rsidRPr="00C220BD" w:rsidRDefault="00F33154" w:rsidP="00F33154">
      <w:pPr>
        <w:pStyle w:val="Default"/>
        <w:rPr>
          <w:sz w:val="22"/>
          <w:szCs w:val="22"/>
        </w:rPr>
      </w:pPr>
    </w:p>
    <w:p w14:paraId="32C7C962" w14:textId="77777777" w:rsidR="00F33154" w:rsidRPr="00C220BD" w:rsidRDefault="00F33154" w:rsidP="00F33154">
      <w:pPr>
        <w:tabs>
          <w:tab w:val="left" w:pos="567"/>
        </w:tabs>
        <w:rPr>
          <w:b/>
          <w:snapToGrid w:val="0"/>
          <w:szCs w:val="22"/>
          <w:lang w:eastAsia="en-US"/>
        </w:rPr>
      </w:pPr>
      <w:r w:rsidRPr="00C220BD">
        <w:rPr>
          <w:b/>
          <w:snapToGrid w:val="0"/>
          <w:szCs w:val="22"/>
          <w:lang w:eastAsia="en-US"/>
        </w:rPr>
        <w:t>Pranešimas apie šalutinį poveikį</w:t>
      </w:r>
    </w:p>
    <w:p w14:paraId="35857D35" w14:textId="77777777" w:rsidR="00F33154" w:rsidRPr="00C220BD" w:rsidRDefault="00F33154" w:rsidP="00F33154">
      <w:pPr>
        <w:spacing w:line="260" w:lineRule="exact"/>
        <w:ind w:right="-1"/>
        <w:rPr>
          <w:szCs w:val="22"/>
        </w:rPr>
      </w:pPr>
      <w:r w:rsidRPr="00C220BD">
        <w:rPr>
          <w:szCs w:val="22"/>
        </w:rPr>
        <w:t xml:space="preserve">Jeigu pasireiškė šalutinis poveikis, įskaitant šiame lapelyje nenurodytą, pasakykite gydytojui arba vaistininkui. </w:t>
      </w:r>
      <w:r w:rsidRPr="00C220BD">
        <w:rPr>
          <w:snapToGrid w:val="0"/>
          <w:lang w:eastAsia="en-US"/>
        </w:rPr>
        <w:t xml:space="preserve">Pranešimą apie šalutinį poveikį galite užpildyti ir pateikti Valstybinės vaistų kontrolės </w:t>
      </w:r>
      <w:r w:rsidRPr="00C220BD">
        <w:rPr>
          <w:snapToGrid w:val="0"/>
          <w:lang w:eastAsia="en-US"/>
        </w:rPr>
        <w:lastRenderedPageBreak/>
        <w:t xml:space="preserve">tarnybos prie Lietuvos Respublikos sveikatos apsaugos ministerijos tinklalapyje https://vvkt.lrv.lt/lt/ nurodytais būdais arba paskambinti nemokamu telefonu </w:t>
      </w:r>
      <w:r>
        <w:rPr>
          <w:snapToGrid w:val="0"/>
          <w:lang w:eastAsia="en-US"/>
        </w:rPr>
        <w:t>+370</w:t>
      </w:r>
      <w:r w:rsidRPr="00C220BD">
        <w:rPr>
          <w:snapToGrid w:val="0"/>
          <w:lang w:eastAsia="en-US"/>
        </w:rPr>
        <w:t xml:space="preserve"> 800 73 568.</w:t>
      </w:r>
      <w:r w:rsidRPr="00C220BD">
        <w:rPr>
          <w:szCs w:val="22"/>
        </w:rPr>
        <w:t xml:space="preserve"> Pranešdami apie šalutinį poveikį galite mums padėti gauti daugiau informacijos apie šio vaisto saugumą.</w:t>
      </w:r>
    </w:p>
    <w:p w14:paraId="5D213477" w14:textId="77777777" w:rsidR="00F33154" w:rsidRDefault="00F33154" w:rsidP="00F33154">
      <w:pPr>
        <w:autoSpaceDE w:val="0"/>
        <w:autoSpaceDN w:val="0"/>
        <w:adjustRightInd w:val="0"/>
        <w:rPr>
          <w:szCs w:val="22"/>
        </w:rPr>
      </w:pPr>
    </w:p>
    <w:p w14:paraId="5DE6ADBE" w14:textId="77777777" w:rsidR="00F33154" w:rsidRPr="00C220BD" w:rsidRDefault="00F33154" w:rsidP="00F33154">
      <w:pPr>
        <w:autoSpaceDE w:val="0"/>
        <w:autoSpaceDN w:val="0"/>
        <w:adjustRightInd w:val="0"/>
        <w:rPr>
          <w:szCs w:val="22"/>
        </w:rPr>
      </w:pPr>
    </w:p>
    <w:p w14:paraId="75A43D2B" w14:textId="77777777" w:rsidR="00F33154" w:rsidRPr="00C220BD" w:rsidRDefault="00F33154" w:rsidP="00F33154">
      <w:pPr>
        <w:autoSpaceDE w:val="0"/>
        <w:autoSpaceDN w:val="0"/>
        <w:adjustRightInd w:val="0"/>
        <w:rPr>
          <w:b/>
          <w:szCs w:val="22"/>
        </w:rPr>
      </w:pPr>
      <w:r w:rsidRPr="00C220BD">
        <w:rPr>
          <w:rFonts w:eastAsia="TimesNewRomanPS-BoldMT"/>
          <w:b/>
          <w:bCs/>
          <w:szCs w:val="22"/>
        </w:rPr>
        <w:t xml:space="preserve">5. </w:t>
      </w:r>
      <w:r w:rsidRPr="00C220BD">
        <w:rPr>
          <w:rFonts w:eastAsia="TimesNewRomanPS-BoldMT"/>
          <w:b/>
          <w:bCs/>
          <w:szCs w:val="22"/>
        </w:rPr>
        <w:tab/>
      </w:r>
      <w:r w:rsidRPr="00C220BD">
        <w:rPr>
          <w:b/>
          <w:szCs w:val="22"/>
        </w:rPr>
        <w:t xml:space="preserve">Kaip laikyti </w:t>
      </w:r>
      <w:proofErr w:type="spellStart"/>
      <w:r w:rsidRPr="00C220BD">
        <w:rPr>
          <w:b/>
          <w:szCs w:val="22"/>
        </w:rPr>
        <w:t>Dretacen</w:t>
      </w:r>
      <w:proofErr w:type="spellEnd"/>
    </w:p>
    <w:p w14:paraId="38CB9115" w14:textId="77777777" w:rsidR="00F33154" w:rsidRPr="00C220BD" w:rsidRDefault="00F33154" w:rsidP="00F33154">
      <w:pPr>
        <w:autoSpaceDE w:val="0"/>
        <w:autoSpaceDN w:val="0"/>
        <w:adjustRightInd w:val="0"/>
        <w:rPr>
          <w:szCs w:val="22"/>
        </w:rPr>
      </w:pPr>
    </w:p>
    <w:p w14:paraId="7489B335" w14:textId="77777777" w:rsidR="00F33154" w:rsidRPr="00C220BD" w:rsidRDefault="00F33154" w:rsidP="00F33154">
      <w:pPr>
        <w:autoSpaceDE w:val="0"/>
        <w:autoSpaceDN w:val="0"/>
        <w:adjustRightInd w:val="0"/>
        <w:rPr>
          <w:szCs w:val="22"/>
        </w:rPr>
      </w:pPr>
      <w:r w:rsidRPr="00C220BD">
        <w:rPr>
          <w:szCs w:val="22"/>
        </w:rPr>
        <w:t>Šį vaistą laikykite vaikams nepastebimoje ir nepasiekiamoje vietoje.</w:t>
      </w:r>
    </w:p>
    <w:p w14:paraId="61ACFDA0" w14:textId="77777777" w:rsidR="00F33154" w:rsidRPr="00C220BD" w:rsidRDefault="00F33154" w:rsidP="00F33154">
      <w:pPr>
        <w:autoSpaceDE w:val="0"/>
        <w:autoSpaceDN w:val="0"/>
        <w:adjustRightInd w:val="0"/>
        <w:rPr>
          <w:szCs w:val="22"/>
        </w:rPr>
      </w:pPr>
    </w:p>
    <w:p w14:paraId="448AC941" w14:textId="77777777" w:rsidR="00F33154" w:rsidRPr="00C220BD" w:rsidRDefault="00F33154" w:rsidP="00F33154">
      <w:pPr>
        <w:autoSpaceDE w:val="0"/>
        <w:autoSpaceDN w:val="0"/>
        <w:adjustRightInd w:val="0"/>
        <w:rPr>
          <w:szCs w:val="22"/>
        </w:rPr>
      </w:pPr>
      <w:r w:rsidRPr="00C220BD">
        <w:rPr>
          <w:szCs w:val="22"/>
        </w:rPr>
        <w:t xml:space="preserve">Ant kartono dėžutės / </w:t>
      </w:r>
      <w:r w:rsidRPr="00C220BD">
        <w:rPr>
          <w:szCs w:val="22"/>
          <w:highlight w:val="lightGray"/>
        </w:rPr>
        <w:t>buteliuko etiketės</w:t>
      </w:r>
      <w:r w:rsidRPr="00C220BD">
        <w:rPr>
          <w:szCs w:val="22"/>
        </w:rPr>
        <w:t xml:space="preserve"> ir lizdinės plokštelės po „EXP“ nurodytam tinkamumo laikui pasibaigus, šio vaisto vartoti negalima. Vaistas tinkamas vartoti iki paskutinės nurodyto mėnesio dienos. </w:t>
      </w:r>
    </w:p>
    <w:p w14:paraId="1B578C32" w14:textId="77777777" w:rsidR="00F33154" w:rsidRPr="00C220BD" w:rsidRDefault="00F33154" w:rsidP="00F33154">
      <w:pPr>
        <w:autoSpaceDE w:val="0"/>
        <w:autoSpaceDN w:val="0"/>
        <w:adjustRightInd w:val="0"/>
        <w:rPr>
          <w:szCs w:val="22"/>
        </w:rPr>
      </w:pPr>
    </w:p>
    <w:p w14:paraId="08AA1BE1" w14:textId="77777777" w:rsidR="00F33154" w:rsidRPr="00C220BD" w:rsidRDefault="00F33154" w:rsidP="00F33154">
      <w:pPr>
        <w:autoSpaceDE w:val="0"/>
        <w:autoSpaceDN w:val="0"/>
        <w:adjustRightInd w:val="0"/>
        <w:rPr>
          <w:szCs w:val="22"/>
        </w:rPr>
      </w:pPr>
      <w:r w:rsidRPr="00C220BD">
        <w:rPr>
          <w:szCs w:val="22"/>
        </w:rPr>
        <w:t>Laikyti gamintojo pakuotėje, kad vaistas būtų apsaugotas nuo drėgmės.</w:t>
      </w:r>
    </w:p>
    <w:p w14:paraId="00FC45AF" w14:textId="77777777" w:rsidR="00F33154" w:rsidRPr="00C220BD" w:rsidRDefault="00F33154" w:rsidP="00F33154">
      <w:pPr>
        <w:autoSpaceDE w:val="0"/>
        <w:autoSpaceDN w:val="0"/>
        <w:adjustRightInd w:val="0"/>
        <w:rPr>
          <w:szCs w:val="22"/>
        </w:rPr>
      </w:pPr>
    </w:p>
    <w:p w14:paraId="6909EDDD" w14:textId="77777777" w:rsidR="00F33154" w:rsidRPr="00C220BD" w:rsidRDefault="00F33154" w:rsidP="00F33154">
      <w:pPr>
        <w:autoSpaceDE w:val="0"/>
        <w:autoSpaceDN w:val="0"/>
        <w:adjustRightInd w:val="0"/>
        <w:rPr>
          <w:szCs w:val="22"/>
        </w:rPr>
      </w:pPr>
      <w:r w:rsidRPr="00C220BD">
        <w:rPr>
          <w:szCs w:val="22"/>
        </w:rPr>
        <w:t>DTPE buteliuko tinkamumo laikas po pirmojo atidarymo yra 100 parų.</w:t>
      </w:r>
    </w:p>
    <w:p w14:paraId="3CF72655" w14:textId="77777777" w:rsidR="00F33154" w:rsidRPr="00C220BD" w:rsidRDefault="00F33154" w:rsidP="00F33154">
      <w:pPr>
        <w:autoSpaceDE w:val="0"/>
        <w:autoSpaceDN w:val="0"/>
        <w:adjustRightInd w:val="0"/>
        <w:rPr>
          <w:szCs w:val="22"/>
        </w:rPr>
      </w:pPr>
    </w:p>
    <w:p w14:paraId="70865129" w14:textId="77777777" w:rsidR="00F33154" w:rsidRPr="00C220BD" w:rsidRDefault="00F33154" w:rsidP="00F33154">
      <w:pPr>
        <w:rPr>
          <w:szCs w:val="22"/>
        </w:rPr>
      </w:pPr>
      <w:r w:rsidRPr="00C220BD">
        <w:rPr>
          <w:szCs w:val="22"/>
        </w:rPr>
        <w:t>Vaistų negalima išmesti į kanalizaciją arba su buitinėmis</w:t>
      </w:r>
      <w:r w:rsidRPr="00C220BD">
        <w:rPr>
          <w:color w:val="993366"/>
          <w:szCs w:val="22"/>
        </w:rPr>
        <w:t xml:space="preserve"> </w:t>
      </w:r>
      <w:r w:rsidRPr="00C220BD">
        <w:rPr>
          <w:szCs w:val="22"/>
        </w:rPr>
        <w:t>atliekomis. Kaip išmesti nereikalingus vaistus, klauskite vaistininko. Šios priemonės padės apsaugoti aplinką.</w:t>
      </w:r>
    </w:p>
    <w:p w14:paraId="6BE47A44" w14:textId="77777777" w:rsidR="00F33154" w:rsidRPr="00C220BD" w:rsidRDefault="00F33154" w:rsidP="00F33154">
      <w:pPr>
        <w:rPr>
          <w:color w:val="000000"/>
          <w:szCs w:val="22"/>
        </w:rPr>
      </w:pPr>
    </w:p>
    <w:p w14:paraId="373383F5" w14:textId="77777777" w:rsidR="00F33154" w:rsidRPr="00C220BD" w:rsidRDefault="00F33154" w:rsidP="00F33154">
      <w:pPr>
        <w:rPr>
          <w:color w:val="000000"/>
          <w:szCs w:val="22"/>
        </w:rPr>
      </w:pPr>
    </w:p>
    <w:p w14:paraId="4E5A0E38" w14:textId="77777777" w:rsidR="00F33154" w:rsidRPr="00C220BD" w:rsidRDefault="00F33154" w:rsidP="00F33154">
      <w:pPr>
        <w:numPr>
          <w:ilvl w:val="12"/>
          <w:numId w:val="0"/>
        </w:numPr>
        <w:rPr>
          <w:b/>
          <w:szCs w:val="22"/>
        </w:rPr>
      </w:pPr>
      <w:r w:rsidRPr="00C220BD">
        <w:rPr>
          <w:b/>
          <w:szCs w:val="22"/>
        </w:rPr>
        <w:t>6.</w:t>
      </w:r>
      <w:r w:rsidRPr="00C220BD">
        <w:rPr>
          <w:b/>
          <w:szCs w:val="22"/>
        </w:rPr>
        <w:tab/>
        <w:t>Pakuotės turinys ir kita informacija</w:t>
      </w:r>
    </w:p>
    <w:p w14:paraId="6FE0475E" w14:textId="77777777" w:rsidR="00F33154" w:rsidRPr="00C220BD" w:rsidRDefault="00F33154" w:rsidP="00F33154">
      <w:pPr>
        <w:numPr>
          <w:ilvl w:val="12"/>
          <w:numId w:val="0"/>
        </w:numPr>
        <w:rPr>
          <w:szCs w:val="22"/>
        </w:rPr>
      </w:pPr>
    </w:p>
    <w:p w14:paraId="0A1ED6DD" w14:textId="77777777" w:rsidR="00F33154" w:rsidRPr="00C220BD" w:rsidRDefault="00F33154" w:rsidP="00F33154">
      <w:pPr>
        <w:numPr>
          <w:ilvl w:val="12"/>
          <w:numId w:val="0"/>
        </w:numPr>
        <w:rPr>
          <w:b/>
          <w:szCs w:val="22"/>
        </w:rPr>
      </w:pPr>
      <w:proofErr w:type="spellStart"/>
      <w:r w:rsidRPr="00C220BD">
        <w:rPr>
          <w:b/>
          <w:szCs w:val="22"/>
        </w:rPr>
        <w:t>Dretacen</w:t>
      </w:r>
      <w:proofErr w:type="spellEnd"/>
      <w:r w:rsidRPr="00C220BD">
        <w:rPr>
          <w:b/>
          <w:szCs w:val="22"/>
        </w:rPr>
        <w:t xml:space="preserve"> sudėtis</w:t>
      </w:r>
    </w:p>
    <w:p w14:paraId="5C259D8C" w14:textId="77777777" w:rsidR="00F33154" w:rsidRPr="00C220BD" w:rsidRDefault="00F33154" w:rsidP="00F33154">
      <w:pPr>
        <w:rPr>
          <w:szCs w:val="22"/>
        </w:rPr>
      </w:pPr>
    </w:p>
    <w:p w14:paraId="2A19E5B8" w14:textId="77777777" w:rsidR="00F33154" w:rsidRPr="00C220BD" w:rsidRDefault="00F33154" w:rsidP="00F33154">
      <w:pPr>
        <w:pStyle w:val="Sraopastraipa"/>
        <w:numPr>
          <w:ilvl w:val="0"/>
          <w:numId w:val="11"/>
        </w:numPr>
        <w:ind w:left="567" w:hanging="283"/>
        <w:rPr>
          <w:szCs w:val="22"/>
        </w:rPr>
      </w:pPr>
      <w:r w:rsidRPr="00C220BD">
        <w:rPr>
          <w:szCs w:val="22"/>
        </w:rPr>
        <w:t xml:space="preserve">Veiklioji medžiaga yra </w:t>
      </w:r>
      <w:proofErr w:type="spellStart"/>
      <w:r w:rsidRPr="00C220BD">
        <w:rPr>
          <w:szCs w:val="22"/>
        </w:rPr>
        <w:t>levetiracetamas</w:t>
      </w:r>
      <w:proofErr w:type="spellEnd"/>
      <w:r w:rsidRPr="00C220BD">
        <w:rPr>
          <w:szCs w:val="22"/>
        </w:rPr>
        <w:t>.</w:t>
      </w:r>
    </w:p>
    <w:p w14:paraId="3E8E7FDD" w14:textId="77777777" w:rsidR="00F33154" w:rsidRPr="00C220BD" w:rsidRDefault="00F33154" w:rsidP="00F33154">
      <w:pPr>
        <w:autoSpaceDE w:val="0"/>
        <w:autoSpaceDN w:val="0"/>
        <w:adjustRightInd w:val="0"/>
        <w:ind w:firstLine="567"/>
        <w:rPr>
          <w:szCs w:val="22"/>
        </w:rPr>
      </w:pPr>
      <w:r w:rsidRPr="00C220BD">
        <w:rPr>
          <w:szCs w:val="22"/>
        </w:rPr>
        <w:t xml:space="preserve">Kiekvienoje plėvele dengtoje tabletėje yra 250 mg </w:t>
      </w:r>
      <w:proofErr w:type="spellStart"/>
      <w:r w:rsidRPr="00C220BD">
        <w:rPr>
          <w:szCs w:val="22"/>
        </w:rPr>
        <w:t>levetiracetamo</w:t>
      </w:r>
      <w:proofErr w:type="spellEnd"/>
      <w:r w:rsidRPr="00C220BD">
        <w:rPr>
          <w:szCs w:val="22"/>
        </w:rPr>
        <w:t>.</w:t>
      </w:r>
    </w:p>
    <w:p w14:paraId="7BCC07B7" w14:textId="77777777" w:rsidR="00F33154" w:rsidRPr="00C220BD" w:rsidRDefault="00F33154" w:rsidP="00F33154">
      <w:pPr>
        <w:autoSpaceDE w:val="0"/>
        <w:autoSpaceDN w:val="0"/>
        <w:adjustRightInd w:val="0"/>
        <w:ind w:firstLine="567"/>
        <w:rPr>
          <w:szCs w:val="22"/>
          <w:highlight w:val="lightGray"/>
        </w:rPr>
      </w:pPr>
      <w:r w:rsidRPr="00C220BD">
        <w:rPr>
          <w:szCs w:val="22"/>
          <w:highlight w:val="lightGray"/>
        </w:rPr>
        <w:t xml:space="preserve">Kiekvienoje plėvele dengtoje tabletėje yra 500 mg </w:t>
      </w:r>
      <w:proofErr w:type="spellStart"/>
      <w:r w:rsidRPr="00C220BD">
        <w:rPr>
          <w:szCs w:val="22"/>
          <w:highlight w:val="lightGray"/>
        </w:rPr>
        <w:t>levetiracetamo</w:t>
      </w:r>
      <w:proofErr w:type="spellEnd"/>
      <w:r w:rsidRPr="00C220BD">
        <w:rPr>
          <w:szCs w:val="22"/>
          <w:highlight w:val="lightGray"/>
        </w:rPr>
        <w:t>.</w:t>
      </w:r>
    </w:p>
    <w:p w14:paraId="5D50EDCA" w14:textId="77777777" w:rsidR="00F33154" w:rsidRPr="00C220BD" w:rsidRDefault="00F33154" w:rsidP="00F33154">
      <w:pPr>
        <w:autoSpaceDE w:val="0"/>
        <w:autoSpaceDN w:val="0"/>
        <w:adjustRightInd w:val="0"/>
        <w:ind w:firstLine="567"/>
        <w:rPr>
          <w:szCs w:val="22"/>
        </w:rPr>
      </w:pPr>
      <w:r w:rsidRPr="00C220BD">
        <w:rPr>
          <w:szCs w:val="22"/>
          <w:highlight w:val="lightGray"/>
        </w:rPr>
        <w:t xml:space="preserve">Kiekvienoje plėvele dengtoje tabletėje yra 1000 mg </w:t>
      </w:r>
      <w:proofErr w:type="spellStart"/>
      <w:r w:rsidRPr="00C220BD">
        <w:rPr>
          <w:szCs w:val="22"/>
          <w:highlight w:val="lightGray"/>
        </w:rPr>
        <w:t>levetiracetamo</w:t>
      </w:r>
      <w:proofErr w:type="spellEnd"/>
      <w:r w:rsidRPr="00C220BD">
        <w:rPr>
          <w:szCs w:val="22"/>
          <w:highlight w:val="lightGray"/>
        </w:rPr>
        <w:t>.</w:t>
      </w:r>
    </w:p>
    <w:p w14:paraId="04BF5765" w14:textId="77777777" w:rsidR="00F33154" w:rsidRPr="00C220BD" w:rsidRDefault="00F33154" w:rsidP="00F33154">
      <w:pPr>
        <w:rPr>
          <w:szCs w:val="22"/>
        </w:rPr>
      </w:pPr>
    </w:p>
    <w:p w14:paraId="3B887E94" w14:textId="77777777" w:rsidR="00F33154" w:rsidRPr="00C220BD" w:rsidRDefault="00F33154" w:rsidP="00F33154">
      <w:pPr>
        <w:rPr>
          <w:i/>
          <w:szCs w:val="22"/>
        </w:rPr>
      </w:pPr>
      <w:r w:rsidRPr="00C220BD">
        <w:rPr>
          <w:i/>
          <w:szCs w:val="22"/>
          <w:highlight w:val="lightGray"/>
        </w:rPr>
        <w:t>250 mg plėvele dengtos tabletės</w:t>
      </w:r>
    </w:p>
    <w:p w14:paraId="7E6CD924" w14:textId="77777777" w:rsidR="00F33154" w:rsidRPr="00C220BD" w:rsidRDefault="00F33154" w:rsidP="00F33154">
      <w:pPr>
        <w:pStyle w:val="Sraopastraipa"/>
        <w:numPr>
          <w:ilvl w:val="1"/>
          <w:numId w:val="12"/>
        </w:numPr>
        <w:ind w:left="567" w:hanging="283"/>
        <w:rPr>
          <w:szCs w:val="22"/>
        </w:rPr>
      </w:pPr>
      <w:r w:rsidRPr="00C220BD">
        <w:t>Pagalbinės medžiagos</w:t>
      </w:r>
      <w:r w:rsidRPr="00C220BD">
        <w:rPr>
          <w:szCs w:val="22"/>
        </w:rPr>
        <w:t xml:space="preserve"> yra </w:t>
      </w:r>
      <w:proofErr w:type="spellStart"/>
      <w:r w:rsidRPr="00C220BD">
        <w:rPr>
          <w:szCs w:val="22"/>
        </w:rPr>
        <w:t>povidonas</w:t>
      </w:r>
      <w:proofErr w:type="spellEnd"/>
      <w:r w:rsidRPr="00C220BD">
        <w:rPr>
          <w:szCs w:val="22"/>
        </w:rPr>
        <w:t xml:space="preserve"> K25, </w:t>
      </w:r>
      <w:proofErr w:type="spellStart"/>
      <w:r w:rsidRPr="00C220BD">
        <w:rPr>
          <w:szCs w:val="22"/>
        </w:rPr>
        <w:t>mikrokristalinė</w:t>
      </w:r>
      <w:proofErr w:type="spellEnd"/>
      <w:r w:rsidRPr="00C220BD">
        <w:rPr>
          <w:szCs w:val="22"/>
        </w:rPr>
        <w:t xml:space="preserve"> celiuliozė, </w:t>
      </w:r>
      <w:proofErr w:type="spellStart"/>
      <w:r w:rsidRPr="00C220BD">
        <w:rPr>
          <w:szCs w:val="22"/>
        </w:rPr>
        <w:t>kroskarmeliozės</w:t>
      </w:r>
      <w:proofErr w:type="spellEnd"/>
      <w:r w:rsidRPr="00C220BD">
        <w:rPr>
          <w:szCs w:val="22"/>
        </w:rPr>
        <w:t xml:space="preserve"> natrio druska, </w:t>
      </w:r>
      <w:proofErr w:type="spellStart"/>
      <w:r w:rsidRPr="00C220BD">
        <w:rPr>
          <w:szCs w:val="22"/>
        </w:rPr>
        <w:t>krospovidonas</w:t>
      </w:r>
      <w:proofErr w:type="spellEnd"/>
      <w:r w:rsidRPr="00C220BD">
        <w:rPr>
          <w:szCs w:val="22"/>
        </w:rPr>
        <w:t xml:space="preserve"> A, koloidinis bevandenis silicio dioksidas, talkas, mango </w:t>
      </w:r>
      <w:proofErr w:type="spellStart"/>
      <w:r w:rsidRPr="00C220BD">
        <w:rPr>
          <w:szCs w:val="22"/>
        </w:rPr>
        <w:t>stearatas</w:t>
      </w:r>
      <w:proofErr w:type="spellEnd"/>
      <w:r w:rsidRPr="00C220BD">
        <w:rPr>
          <w:szCs w:val="22"/>
        </w:rPr>
        <w:t xml:space="preserve">, </w:t>
      </w:r>
      <w:proofErr w:type="spellStart"/>
      <w:r w:rsidRPr="00C220BD">
        <w:rPr>
          <w:szCs w:val="22"/>
        </w:rPr>
        <w:t>hipromeliozė</w:t>
      </w:r>
      <w:proofErr w:type="spellEnd"/>
      <w:r w:rsidRPr="00C220BD">
        <w:rPr>
          <w:szCs w:val="22"/>
        </w:rPr>
        <w:t xml:space="preserve">, </w:t>
      </w:r>
      <w:proofErr w:type="spellStart"/>
      <w:r w:rsidRPr="00C220BD">
        <w:rPr>
          <w:szCs w:val="22"/>
        </w:rPr>
        <w:t>hidroksipropilceliuliozė</w:t>
      </w:r>
      <w:proofErr w:type="spellEnd"/>
      <w:r w:rsidRPr="00C220BD">
        <w:rPr>
          <w:szCs w:val="22"/>
        </w:rPr>
        <w:t xml:space="preserve">, </w:t>
      </w:r>
      <w:proofErr w:type="spellStart"/>
      <w:r w:rsidRPr="00C220BD">
        <w:rPr>
          <w:szCs w:val="22"/>
        </w:rPr>
        <w:t>makrogolis</w:t>
      </w:r>
      <w:proofErr w:type="spellEnd"/>
      <w:r w:rsidRPr="00C220BD">
        <w:rPr>
          <w:szCs w:val="22"/>
        </w:rPr>
        <w:t xml:space="preserve"> 6000, titano dioksidas (E 171), talkas, </w:t>
      </w:r>
      <w:proofErr w:type="spellStart"/>
      <w:r w:rsidRPr="00C220BD">
        <w:rPr>
          <w:szCs w:val="22"/>
        </w:rPr>
        <w:t>indigokarminas</w:t>
      </w:r>
      <w:proofErr w:type="spellEnd"/>
      <w:r w:rsidRPr="00C220BD">
        <w:rPr>
          <w:szCs w:val="22"/>
        </w:rPr>
        <w:t xml:space="preserve"> (E 132) (sudėtyje yra natrio). </w:t>
      </w:r>
    </w:p>
    <w:p w14:paraId="30D33111" w14:textId="77777777" w:rsidR="00F33154" w:rsidRPr="00C220BD" w:rsidRDefault="00F33154" w:rsidP="00F33154">
      <w:pPr>
        <w:rPr>
          <w:i/>
          <w:szCs w:val="22"/>
          <w:highlight w:val="lightGray"/>
        </w:rPr>
      </w:pPr>
    </w:p>
    <w:p w14:paraId="310E1DBD" w14:textId="77777777" w:rsidR="00F33154" w:rsidRPr="00C220BD" w:rsidRDefault="00F33154" w:rsidP="00F33154">
      <w:pPr>
        <w:rPr>
          <w:i/>
          <w:szCs w:val="22"/>
          <w:highlight w:val="lightGray"/>
        </w:rPr>
      </w:pPr>
      <w:r w:rsidRPr="00C220BD">
        <w:rPr>
          <w:i/>
          <w:szCs w:val="22"/>
          <w:highlight w:val="lightGray"/>
        </w:rPr>
        <w:t>500 mg plėvele dengtos tabletės</w:t>
      </w:r>
    </w:p>
    <w:p w14:paraId="059796DB" w14:textId="77777777" w:rsidR="00F33154" w:rsidRPr="00C220BD" w:rsidRDefault="00F33154" w:rsidP="00F33154">
      <w:pPr>
        <w:pStyle w:val="Sraopastraipa"/>
        <w:numPr>
          <w:ilvl w:val="1"/>
          <w:numId w:val="12"/>
        </w:numPr>
        <w:ind w:left="567" w:hanging="283"/>
        <w:rPr>
          <w:szCs w:val="22"/>
          <w:highlight w:val="lightGray"/>
        </w:rPr>
      </w:pPr>
      <w:r w:rsidRPr="00C220BD">
        <w:rPr>
          <w:highlight w:val="lightGray"/>
        </w:rPr>
        <w:t>Pagalbinės medžiagos</w:t>
      </w:r>
      <w:r w:rsidRPr="00C220BD">
        <w:rPr>
          <w:szCs w:val="22"/>
          <w:highlight w:val="lightGray"/>
        </w:rPr>
        <w:t xml:space="preserve"> yra </w:t>
      </w:r>
      <w:proofErr w:type="spellStart"/>
      <w:r w:rsidRPr="00C220BD">
        <w:rPr>
          <w:szCs w:val="22"/>
          <w:highlight w:val="lightGray"/>
        </w:rPr>
        <w:t>povidonas</w:t>
      </w:r>
      <w:proofErr w:type="spellEnd"/>
      <w:r w:rsidRPr="00C220BD">
        <w:rPr>
          <w:szCs w:val="22"/>
          <w:highlight w:val="lightGray"/>
        </w:rPr>
        <w:t xml:space="preserve"> K25, </w:t>
      </w:r>
      <w:proofErr w:type="spellStart"/>
      <w:r w:rsidRPr="00C220BD">
        <w:rPr>
          <w:szCs w:val="22"/>
          <w:highlight w:val="lightGray"/>
        </w:rPr>
        <w:t>mikrokristalinė</w:t>
      </w:r>
      <w:proofErr w:type="spellEnd"/>
      <w:r w:rsidRPr="00C220BD">
        <w:rPr>
          <w:szCs w:val="22"/>
          <w:highlight w:val="lightGray"/>
        </w:rPr>
        <w:t xml:space="preserve"> celiuliozė, </w:t>
      </w:r>
      <w:proofErr w:type="spellStart"/>
      <w:r w:rsidRPr="00C220BD">
        <w:rPr>
          <w:szCs w:val="22"/>
          <w:highlight w:val="lightGray"/>
        </w:rPr>
        <w:t>kroskarmeliozės</w:t>
      </w:r>
      <w:proofErr w:type="spellEnd"/>
      <w:r w:rsidRPr="00C220BD">
        <w:rPr>
          <w:szCs w:val="22"/>
          <w:highlight w:val="lightGray"/>
        </w:rPr>
        <w:t xml:space="preserve"> natrio druska, </w:t>
      </w:r>
      <w:proofErr w:type="spellStart"/>
      <w:r w:rsidRPr="00C220BD">
        <w:rPr>
          <w:szCs w:val="22"/>
          <w:highlight w:val="lightGray"/>
        </w:rPr>
        <w:t>krospovidonas</w:t>
      </w:r>
      <w:proofErr w:type="spellEnd"/>
      <w:r w:rsidRPr="00C220BD">
        <w:rPr>
          <w:szCs w:val="22"/>
          <w:highlight w:val="lightGray"/>
        </w:rPr>
        <w:t xml:space="preserve"> A, koloidinis bevandenis silicio dioksidas, talkas, mango </w:t>
      </w:r>
      <w:proofErr w:type="spellStart"/>
      <w:r w:rsidRPr="00C220BD">
        <w:rPr>
          <w:szCs w:val="22"/>
          <w:highlight w:val="lightGray"/>
        </w:rPr>
        <w:t>stearatas</w:t>
      </w:r>
      <w:proofErr w:type="spellEnd"/>
      <w:r w:rsidRPr="00C220BD">
        <w:rPr>
          <w:szCs w:val="22"/>
          <w:highlight w:val="lightGray"/>
        </w:rPr>
        <w:t xml:space="preserve">, </w:t>
      </w:r>
      <w:proofErr w:type="spellStart"/>
      <w:r w:rsidRPr="00C220BD">
        <w:rPr>
          <w:szCs w:val="22"/>
          <w:highlight w:val="lightGray"/>
        </w:rPr>
        <w:t>hipromeliozė</w:t>
      </w:r>
      <w:proofErr w:type="spellEnd"/>
      <w:r w:rsidRPr="00C220BD">
        <w:rPr>
          <w:szCs w:val="22"/>
          <w:highlight w:val="lightGray"/>
        </w:rPr>
        <w:t xml:space="preserve">, </w:t>
      </w:r>
      <w:proofErr w:type="spellStart"/>
      <w:r w:rsidRPr="00C220BD">
        <w:rPr>
          <w:szCs w:val="22"/>
          <w:highlight w:val="lightGray"/>
        </w:rPr>
        <w:t>hidroksipropilceliuliozė</w:t>
      </w:r>
      <w:proofErr w:type="spellEnd"/>
      <w:r w:rsidRPr="00C220BD">
        <w:rPr>
          <w:szCs w:val="22"/>
          <w:highlight w:val="lightGray"/>
        </w:rPr>
        <w:t xml:space="preserve">, </w:t>
      </w:r>
      <w:proofErr w:type="spellStart"/>
      <w:r w:rsidRPr="00C220BD">
        <w:rPr>
          <w:szCs w:val="22"/>
          <w:highlight w:val="lightGray"/>
        </w:rPr>
        <w:t>makrogolis</w:t>
      </w:r>
      <w:proofErr w:type="spellEnd"/>
      <w:r w:rsidRPr="00C220BD">
        <w:rPr>
          <w:szCs w:val="22"/>
          <w:highlight w:val="lightGray"/>
        </w:rPr>
        <w:t xml:space="preserve"> 6000, titano dioksidas (E 171), talkas, geltonasis geležies oksidas (E 172). </w:t>
      </w:r>
    </w:p>
    <w:p w14:paraId="23831611" w14:textId="77777777" w:rsidR="00F33154" w:rsidRPr="00C220BD" w:rsidRDefault="00F33154" w:rsidP="00F33154">
      <w:pPr>
        <w:rPr>
          <w:szCs w:val="22"/>
        </w:rPr>
      </w:pPr>
    </w:p>
    <w:p w14:paraId="76F26117" w14:textId="77777777" w:rsidR="00F33154" w:rsidRPr="00C220BD" w:rsidRDefault="00F33154" w:rsidP="00F33154">
      <w:pPr>
        <w:rPr>
          <w:i/>
          <w:szCs w:val="22"/>
          <w:highlight w:val="lightGray"/>
        </w:rPr>
      </w:pPr>
      <w:r w:rsidRPr="00C220BD">
        <w:rPr>
          <w:i/>
          <w:szCs w:val="22"/>
          <w:highlight w:val="lightGray"/>
        </w:rPr>
        <w:t>1000 mg plėvele dengtos tabletės</w:t>
      </w:r>
    </w:p>
    <w:p w14:paraId="4B83A42B" w14:textId="77777777" w:rsidR="00F33154" w:rsidRPr="00C220BD" w:rsidRDefault="00F33154" w:rsidP="00F33154">
      <w:pPr>
        <w:pStyle w:val="Sraopastraipa"/>
        <w:numPr>
          <w:ilvl w:val="1"/>
          <w:numId w:val="12"/>
        </w:numPr>
        <w:ind w:left="567" w:hanging="283"/>
        <w:rPr>
          <w:szCs w:val="22"/>
          <w:highlight w:val="lightGray"/>
        </w:rPr>
      </w:pPr>
      <w:r w:rsidRPr="00C220BD">
        <w:rPr>
          <w:highlight w:val="lightGray"/>
        </w:rPr>
        <w:t>Pagalbinės medžiagos</w:t>
      </w:r>
      <w:r w:rsidRPr="00C220BD">
        <w:rPr>
          <w:szCs w:val="22"/>
          <w:highlight w:val="lightGray"/>
        </w:rPr>
        <w:t xml:space="preserve"> yra </w:t>
      </w:r>
      <w:proofErr w:type="spellStart"/>
      <w:r w:rsidRPr="00C220BD">
        <w:rPr>
          <w:szCs w:val="22"/>
          <w:highlight w:val="lightGray"/>
        </w:rPr>
        <w:t>povidonas</w:t>
      </w:r>
      <w:proofErr w:type="spellEnd"/>
      <w:r w:rsidRPr="00C220BD">
        <w:rPr>
          <w:szCs w:val="22"/>
          <w:highlight w:val="lightGray"/>
        </w:rPr>
        <w:t xml:space="preserve"> K25, </w:t>
      </w:r>
      <w:proofErr w:type="spellStart"/>
      <w:r w:rsidRPr="00C220BD">
        <w:rPr>
          <w:szCs w:val="22"/>
          <w:highlight w:val="lightGray"/>
        </w:rPr>
        <w:t>mikrokristalinė</w:t>
      </w:r>
      <w:proofErr w:type="spellEnd"/>
      <w:r w:rsidRPr="00C220BD">
        <w:rPr>
          <w:szCs w:val="22"/>
          <w:highlight w:val="lightGray"/>
        </w:rPr>
        <w:t xml:space="preserve"> celiuliozė, </w:t>
      </w:r>
      <w:proofErr w:type="spellStart"/>
      <w:r w:rsidRPr="00C220BD">
        <w:rPr>
          <w:szCs w:val="22"/>
          <w:highlight w:val="lightGray"/>
        </w:rPr>
        <w:t>kroskarmeliozės</w:t>
      </w:r>
      <w:proofErr w:type="spellEnd"/>
      <w:r w:rsidRPr="00C220BD">
        <w:rPr>
          <w:szCs w:val="22"/>
          <w:highlight w:val="lightGray"/>
        </w:rPr>
        <w:t xml:space="preserve"> natrio druska, </w:t>
      </w:r>
      <w:proofErr w:type="spellStart"/>
      <w:r w:rsidRPr="00C220BD">
        <w:rPr>
          <w:szCs w:val="22"/>
          <w:highlight w:val="lightGray"/>
        </w:rPr>
        <w:t>krospovidonas</w:t>
      </w:r>
      <w:proofErr w:type="spellEnd"/>
      <w:r w:rsidRPr="00C220BD">
        <w:rPr>
          <w:szCs w:val="22"/>
          <w:highlight w:val="lightGray"/>
        </w:rPr>
        <w:t xml:space="preserve"> A, koloidinis bevandenis silicio dioksidas, talkas, mango </w:t>
      </w:r>
      <w:proofErr w:type="spellStart"/>
      <w:r w:rsidRPr="00C220BD">
        <w:rPr>
          <w:szCs w:val="22"/>
          <w:highlight w:val="lightGray"/>
        </w:rPr>
        <w:t>stearatas</w:t>
      </w:r>
      <w:proofErr w:type="spellEnd"/>
      <w:r w:rsidRPr="00C220BD">
        <w:rPr>
          <w:szCs w:val="22"/>
          <w:highlight w:val="lightGray"/>
        </w:rPr>
        <w:t xml:space="preserve">, </w:t>
      </w:r>
      <w:proofErr w:type="spellStart"/>
      <w:r w:rsidRPr="00C220BD">
        <w:rPr>
          <w:szCs w:val="22"/>
          <w:highlight w:val="lightGray"/>
        </w:rPr>
        <w:t>hipromeliozė</w:t>
      </w:r>
      <w:proofErr w:type="spellEnd"/>
      <w:r w:rsidRPr="00C220BD">
        <w:rPr>
          <w:szCs w:val="22"/>
          <w:highlight w:val="lightGray"/>
        </w:rPr>
        <w:t xml:space="preserve">, </w:t>
      </w:r>
      <w:proofErr w:type="spellStart"/>
      <w:r w:rsidRPr="00C220BD">
        <w:rPr>
          <w:szCs w:val="22"/>
          <w:highlight w:val="lightGray"/>
        </w:rPr>
        <w:t>hidroksipropilceliuliozė</w:t>
      </w:r>
      <w:proofErr w:type="spellEnd"/>
      <w:r w:rsidRPr="00C220BD">
        <w:rPr>
          <w:szCs w:val="22"/>
          <w:highlight w:val="lightGray"/>
        </w:rPr>
        <w:t xml:space="preserve">, </w:t>
      </w:r>
      <w:proofErr w:type="spellStart"/>
      <w:r w:rsidRPr="00C220BD">
        <w:rPr>
          <w:szCs w:val="22"/>
          <w:highlight w:val="lightGray"/>
        </w:rPr>
        <w:t>makrogolis</w:t>
      </w:r>
      <w:proofErr w:type="spellEnd"/>
      <w:r w:rsidRPr="00C220BD">
        <w:rPr>
          <w:szCs w:val="22"/>
          <w:highlight w:val="lightGray"/>
        </w:rPr>
        <w:t xml:space="preserve"> 6000, titano dioksidas (E 171), talkas. </w:t>
      </w:r>
    </w:p>
    <w:p w14:paraId="143DE65B" w14:textId="77777777" w:rsidR="00F33154" w:rsidRPr="00C220BD" w:rsidRDefault="00F33154" w:rsidP="00F33154">
      <w:pPr>
        <w:autoSpaceDE w:val="0"/>
        <w:autoSpaceDN w:val="0"/>
        <w:adjustRightInd w:val="0"/>
        <w:rPr>
          <w:szCs w:val="22"/>
        </w:rPr>
      </w:pPr>
    </w:p>
    <w:p w14:paraId="25BAF7A5" w14:textId="77777777" w:rsidR="00F33154" w:rsidRPr="00C220BD" w:rsidRDefault="00F33154" w:rsidP="00F33154">
      <w:pPr>
        <w:rPr>
          <w:b/>
          <w:szCs w:val="22"/>
        </w:rPr>
      </w:pPr>
      <w:proofErr w:type="spellStart"/>
      <w:r w:rsidRPr="00C220BD">
        <w:rPr>
          <w:b/>
          <w:szCs w:val="22"/>
        </w:rPr>
        <w:t>Dretacen</w:t>
      </w:r>
      <w:proofErr w:type="spellEnd"/>
      <w:r w:rsidRPr="00C220BD">
        <w:rPr>
          <w:b/>
          <w:szCs w:val="22"/>
        </w:rPr>
        <w:t xml:space="preserve"> išvaizda ir kiekis pakuotėje</w:t>
      </w:r>
    </w:p>
    <w:p w14:paraId="10BB2C77" w14:textId="77777777" w:rsidR="00F33154" w:rsidRPr="00C220BD" w:rsidRDefault="00F33154" w:rsidP="00F33154">
      <w:pPr>
        <w:autoSpaceDE w:val="0"/>
        <w:autoSpaceDN w:val="0"/>
        <w:adjustRightInd w:val="0"/>
        <w:rPr>
          <w:szCs w:val="22"/>
          <w:highlight w:val="lightGray"/>
        </w:rPr>
      </w:pPr>
    </w:p>
    <w:p w14:paraId="77A59B8E" w14:textId="77777777" w:rsidR="00F33154" w:rsidRPr="00C220BD" w:rsidRDefault="00F33154" w:rsidP="00F33154">
      <w:pPr>
        <w:autoSpaceDE w:val="0"/>
        <w:autoSpaceDN w:val="0"/>
        <w:adjustRightInd w:val="0"/>
        <w:rPr>
          <w:i/>
          <w:szCs w:val="22"/>
        </w:rPr>
      </w:pPr>
      <w:r w:rsidRPr="00C220BD">
        <w:rPr>
          <w:i/>
          <w:szCs w:val="22"/>
          <w:highlight w:val="lightGray"/>
        </w:rPr>
        <w:t>250 mg plėvele dengtos tabletės</w:t>
      </w:r>
    </w:p>
    <w:p w14:paraId="274D9DFC" w14:textId="77777777" w:rsidR="00F33154" w:rsidRPr="00C220BD" w:rsidRDefault="00F33154" w:rsidP="00F33154">
      <w:pPr>
        <w:rPr>
          <w:b/>
          <w:szCs w:val="22"/>
        </w:rPr>
      </w:pPr>
      <w:r w:rsidRPr="00C220BD">
        <w:rPr>
          <w:szCs w:val="22"/>
        </w:rPr>
        <w:t>Šviesiai mėlynos, ovalios, abipus išgaubtos plėvele dengtos tabletės, kurių abiejose pusėse yra vagelė ir vienoje pusėje įspaudas „LVT / 250“.</w:t>
      </w:r>
    </w:p>
    <w:p w14:paraId="67B288B6" w14:textId="77777777" w:rsidR="00F33154" w:rsidRPr="00C220BD" w:rsidRDefault="00F33154" w:rsidP="00F33154">
      <w:pPr>
        <w:autoSpaceDE w:val="0"/>
        <w:autoSpaceDN w:val="0"/>
        <w:adjustRightInd w:val="0"/>
        <w:rPr>
          <w:szCs w:val="22"/>
        </w:rPr>
      </w:pPr>
    </w:p>
    <w:p w14:paraId="4733A8DA" w14:textId="77777777" w:rsidR="00F33154" w:rsidRPr="00C220BD" w:rsidRDefault="00F33154" w:rsidP="00F33154">
      <w:pPr>
        <w:autoSpaceDE w:val="0"/>
        <w:autoSpaceDN w:val="0"/>
        <w:adjustRightInd w:val="0"/>
        <w:rPr>
          <w:i/>
          <w:szCs w:val="22"/>
          <w:highlight w:val="lightGray"/>
        </w:rPr>
      </w:pPr>
      <w:r w:rsidRPr="00C220BD">
        <w:rPr>
          <w:i/>
          <w:szCs w:val="22"/>
          <w:highlight w:val="lightGray"/>
        </w:rPr>
        <w:t>500 mg plėvele dengtos tabletės</w:t>
      </w:r>
    </w:p>
    <w:p w14:paraId="23E17AE7" w14:textId="77777777" w:rsidR="00F33154" w:rsidRPr="00C220BD" w:rsidRDefault="00F33154" w:rsidP="00F33154">
      <w:pPr>
        <w:rPr>
          <w:b/>
          <w:szCs w:val="22"/>
          <w:highlight w:val="lightGray"/>
        </w:rPr>
      </w:pPr>
      <w:r w:rsidRPr="00C220BD">
        <w:rPr>
          <w:szCs w:val="22"/>
          <w:highlight w:val="lightGray"/>
        </w:rPr>
        <w:t>Geltonos, ovalios, abipus išgaubtos plėvele dengtos tabletės, kurių abiejose pusėse yra vagelė ir vienoje pusėje įspaudas „LVT / 500“.</w:t>
      </w:r>
    </w:p>
    <w:p w14:paraId="1C34C33E" w14:textId="77777777" w:rsidR="00F33154" w:rsidRPr="00C220BD" w:rsidRDefault="00F33154" w:rsidP="00F33154">
      <w:pPr>
        <w:autoSpaceDE w:val="0"/>
        <w:autoSpaceDN w:val="0"/>
        <w:adjustRightInd w:val="0"/>
        <w:rPr>
          <w:i/>
          <w:szCs w:val="22"/>
          <w:highlight w:val="lightGray"/>
        </w:rPr>
      </w:pPr>
    </w:p>
    <w:p w14:paraId="2F32D467" w14:textId="77777777" w:rsidR="00F33154" w:rsidRPr="00C220BD" w:rsidRDefault="00F33154" w:rsidP="00F33154">
      <w:pPr>
        <w:autoSpaceDE w:val="0"/>
        <w:autoSpaceDN w:val="0"/>
        <w:adjustRightInd w:val="0"/>
        <w:rPr>
          <w:i/>
          <w:szCs w:val="22"/>
          <w:highlight w:val="lightGray"/>
        </w:rPr>
      </w:pPr>
      <w:r w:rsidRPr="00C220BD">
        <w:rPr>
          <w:i/>
          <w:szCs w:val="22"/>
          <w:highlight w:val="lightGray"/>
        </w:rPr>
        <w:lastRenderedPageBreak/>
        <w:t>1000 mg plėvele dengtos tabletės</w:t>
      </w:r>
    </w:p>
    <w:p w14:paraId="4C0B33B5" w14:textId="77777777" w:rsidR="00F33154" w:rsidRPr="00C220BD" w:rsidRDefault="00F33154" w:rsidP="00F33154">
      <w:pPr>
        <w:rPr>
          <w:b/>
          <w:szCs w:val="22"/>
          <w:highlight w:val="lightGray"/>
        </w:rPr>
      </w:pPr>
      <w:r w:rsidRPr="00C220BD">
        <w:rPr>
          <w:szCs w:val="22"/>
          <w:highlight w:val="lightGray"/>
        </w:rPr>
        <w:t>Baltos, ovalios, abipus išgaubtos plėvele dengtos tabletės, kurių abiejose pusėse yra vagelė ir vienoje pusėje įspaudas „LVT / 1000“.</w:t>
      </w:r>
    </w:p>
    <w:p w14:paraId="64CB7ABF" w14:textId="77777777" w:rsidR="00F33154" w:rsidRPr="00C220BD" w:rsidRDefault="00F33154" w:rsidP="00F33154">
      <w:pPr>
        <w:rPr>
          <w:b/>
          <w:szCs w:val="22"/>
        </w:rPr>
      </w:pPr>
    </w:p>
    <w:p w14:paraId="6D30E2FA" w14:textId="77777777" w:rsidR="00F33154" w:rsidRPr="00C220BD" w:rsidRDefault="00F33154" w:rsidP="00F33154">
      <w:pPr>
        <w:autoSpaceDE w:val="0"/>
        <w:autoSpaceDN w:val="0"/>
        <w:adjustRightInd w:val="0"/>
        <w:rPr>
          <w:szCs w:val="22"/>
        </w:rPr>
      </w:pPr>
      <w:r w:rsidRPr="00C220BD">
        <w:rPr>
          <w:szCs w:val="22"/>
        </w:rPr>
        <w:t xml:space="preserve">Plėvele dengtos tabletės yra supakuotos į OPA/aliuminio/PVC- aliuminio lizdines plokšteles </w:t>
      </w:r>
      <w:r w:rsidRPr="00C220BD">
        <w:rPr>
          <w:szCs w:val="22"/>
          <w:highlight w:val="lightGray"/>
        </w:rPr>
        <w:t xml:space="preserve">ar DTPE buteliukus su užsukamuoju polipropileno dangteliu ir </w:t>
      </w:r>
      <w:proofErr w:type="spellStart"/>
      <w:r w:rsidRPr="00C220BD">
        <w:rPr>
          <w:szCs w:val="22"/>
          <w:highlight w:val="lightGray"/>
        </w:rPr>
        <w:t>silikagelio</w:t>
      </w:r>
      <w:proofErr w:type="spellEnd"/>
      <w:r w:rsidRPr="00C220BD">
        <w:rPr>
          <w:szCs w:val="22"/>
          <w:highlight w:val="lightGray"/>
        </w:rPr>
        <w:t xml:space="preserve"> kapsule</w:t>
      </w:r>
      <w:r w:rsidRPr="00C220BD">
        <w:rPr>
          <w:szCs w:val="22"/>
        </w:rPr>
        <w:t xml:space="preserve"> ir įdėtos į kartono dėžutę. </w:t>
      </w:r>
    </w:p>
    <w:p w14:paraId="078078C0" w14:textId="77777777" w:rsidR="00F33154" w:rsidRPr="00C220BD" w:rsidRDefault="00F33154" w:rsidP="00F33154">
      <w:pPr>
        <w:autoSpaceDE w:val="0"/>
        <w:autoSpaceDN w:val="0"/>
        <w:adjustRightInd w:val="0"/>
        <w:rPr>
          <w:szCs w:val="22"/>
        </w:rPr>
      </w:pPr>
    </w:p>
    <w:p w14:paraId="66A50ED3" w14:textId="77777777" w:rsidR="00F33154" w:rsidRPr="00C220BD" w:rsidRDefault="00F33154" w:rsidP="00F33154">
      <w:pPr>
        <w:autoSpaceDE w:val="0"/>
        <w:autoSpaceDN w:val="0"/>
        <w:adjustRightInd w:val="0"/>
        <w:rPr>
          <w:i/>
          <w:iCs/>
          <w:szCs w:val="22"/>
        </w:rPr>
      </w:pPr>
      <w:r w:rsidRPr="00C220BD">
        <w:rPr>
          <w:i/>
          <w:iCs/>
          <w:szCs w:val="22"/>
          <w:highlight w:val="lightGray"/>
        </w:rPr>
        <w:t>250 mg plėvele dengtos tabletės</w:t>
      </w:r>
    </w:p>
    <w:p w14:paraId="6536B3E1" w14:textId="77777777" w:rsidR="00F33154" w:rsidRPr="00C220BD" w:rsidRDefault="00F33154" w:rsidP="00F33154">
      <w:pPr>
        <w:autoSpaceDE w:val="0"/>
        <w:autoSpaceDN w:val="0"/>
        <w:adjustRightInd w:val="0"/>
        <w:rPr>
          <w:szCs w:val="22"/>
        </w:rPr>
      </w:pPr>
      <w:r w:rsidRPr="00C220BD">
        <w:rPr>
          <w:szCs w:val="22"/>
        </w:rPr>
        <w:t>Pakuotės dydžiai:</w:t>
      </w:r>
    </w:p>
    <w:p w14:paraId="7E9FA8E8" w14:textId="77777777" w:rsidR="00F33154" w:rsidRPr="00C220BD" w:rsidRDefault="00F33154" w:rsidP="00F33154">
      <w:pPr>
        <w:autoSpaceDE w:val="0"/>
        <w:autoSpaceDN w:val="0"/>
        <w:adjustRightInd w:val="0"/>
        <w:rPr>
          <w:szCs w:val="22"/>
        </w:rPr>
      </w:pPr>
      <w:r w:rsidRPr="00C220BD">
        <w:rPr>
          <w:szCs w:val="22"/>
        </w:rPr>
        <w:t>Lizdinė plokštelė: 10, 20, 30, 50, 60, 100 arba 200 plėvele dengtų tablečių.</w:t>
      </w:r>
    </w:p>
    <w:p w14:paraId="4E1FDB3E" w14:textId="77777777" w:rsidR="00F33154" w:rsidRPr="00C220BD" w:rsidRDefault="00F33154" w:rsidP="00F33154">
      <w:pPr>
        <w:autoSpaceDE w:val="0"/>
        <w:autoSpaceDN w:val="0"/>
        <w:adjustRightInd w:val="0"/>
        <w:rPr>
          <w:szCs w:val="22"/>
        </w:rPr>
      </w:pPr>
      <w:r w:rsidRPr="00C220BD">
        <w:rPr>
          <w:szCs w:val="22"/>
        </w:rPr>
        <w:t>Buteliukas: 10, 20, 30, 50, 60, 100, 120 arba 200 plėvele dengtų tablečių.</w:t>
      </w:r>
    </w:p>
    <w:p w14:paraId="372AC93E" w14:textId="77777777" w:rsidR="00F33154" w:rsidRPr="00C220BD" w:rsidRDefault="00F33154" w:rsidP="00F33154">
      <w:pPr>
        <w:autoSpaceDE w:val="0"/>
        <w:autoSpaceDN w:val="0"/>
        <w:adjustRightInd w:val="0"/>
        <w:rPr>
          <w:szCs w:val="22"/>
        </w:rPr>
      </w:pPr>
    </w:p>
    <w:p w14:paraId="7F7722B1" w14:textId="77777777" w:rsidR="00F33154" w:rsidRPr="00C220BD" w:rsidRDefault="00F33154" w:rsidP="00F33154">
      <w:pPr>
        <w:autoSpaceDE w:val="0"/>
        <w:autoSpaceDN w:val="0"/>
        <w:adjustRightInd w:val="0"/>
        <w:rPr>
          <w:i/>
          <w:iCs/>
          <w:szCs w:val="22"/>
          <w:highlight w:val="lightGray"/>
        </w:rPr>
      </w:pPr>
      <w:r w:rsidRPr="00C220BD">
        <w:rPr>
          <w:i/>
          <w:iCs/>
          <w:szCs w:val="22"/>
          <w:highlight w:val="lightGray"/>
        </w:rPr>
        <w:t>500 mg plėvele dengtos tabletės</w:t>
      </w:r>
    </w:p>
    <w:p w14:paraId="187AD1F8" w14:textId="77777777" w:rsidR="00F33154" w:rsidRPr="00C220BD" w:rsidRDefault="00F33154" w:rsidP="00F33154">
      <w:pPr>
        <w:autoSpaceDE w:val="0"/>
        <w:autoSpaceDN w:val="0"/>
        <w:adjustRightInd w:val="0"/>
        <w:rPr>
          <w:szCs w:val="22"/>
          <w:highlight w:val="lightGray"/>
        </w:rPr>
      </w:pPr>
      <w:r w:rsidRPr="00C220BD">
        <w:rPr>
          <w:szCs w:val="22"/>
          <w:highlight w:val="lightGray"/>
        </w:rPr>
        <w:t>Pakuotės dydžiai:</w:t>
      </w:r>
    </w:p>
    <w:p w14:paraId="3AD5DFB3" w14:textId="77777777" w:rsidR="00F33154" w:rsidRPr="00C220BD" w:rsidRDefault="00F33154" w:rsidP="00F33154">
      <w:pPr>
        <w:autoSpaceDE w:val="0"/>
        <w:autoSpaceDN w:val="0"/>
        <w:adjustRightInd w:val="0"/>
        <w:rPr>
          <w:szCs w:val="22"/>
          <w:highlight w:val="lightGray"/>
        </w:rPr>
      </w:pPr>
      <w:r w:rsidRPr="00C220BD">
        <w:rPr>
          <w:szCs w:val="22"/>
          <w:highlight w:val="lightGray"/>
        </w:rPr>
        <w:t>Lizdinė plokštelė: 10, 20, 30, 50, 60, 100, 120 arba 200 plėvele dengtų tablečių.</w:t>
      </w:r>
    </w:p>
    <w:p w14:paraId="39F3B03E" w14:textId="77777777" w:rsidR="00F33154" w:rsidRPr="00C220BD" w:rsidRDefault="00F33154" w:rsidP="00F33154">
      <w:pPr>
        <w:autoSpaceDE w:val="0"/>
        <w:autoSpaceDN w:val="0"/>
        <w:adjustRightInd w:val="0"/>
        <w:rPr>
          <w:szCs w:val="22"/>
          <w:highlight w:val="lightGray"/>
        </w:rPr>
      </w:pPr>
      <w:r w:rsidRPr="00C220BD">
        <w:rPr>
          <w:szCs w:val="22"/>
          <w:highlight w:val="lightGray"/>
        </w:rPr>
        <w:t>Buteliukas: 10, 20, 30, 50, 60, 100, 120 arba 200 plėvele dengtų tablečių.</w:t>
      </w:r>
    </w:p>
    <w:p w14:paraId="54BD08AC" w14:textId="77777777" w:rsidR="00F33154" w:rsidRPr="00C220BD" w:rsidRDefault="00F33154" w:rsidP="00F33154">
      <w:pPr>
        <w:autoSpaceDE w:val="0"/>
        <w:autoSpaceDN w:val="0"/>
        <w:adjustRightInd w:val="0"/>
        <w:rPr>
          <w:szCs w:val="22"/>
          <w:highlight w:val="lightGray"/>
        </w:rPr>
      </w:pPr>
    </w:p>
    <w:p w14:paraId="730299A1" w14:textId="77777777" w:rsidR="00F33154" w:rsidRPr="00C220BD" w:rsidRDefault="00F33154" w:rsidP="00F33154">
      <w:pPr>
        <w:autoSpaceDE w:val="0"/>
        <w:autoSpaceDN w:val="0"/>
        <w:adjustRightInd w:val="0"/>
        <w:rPr>
          <w:i/>
          <w:iCs/>
          <w:szCs w:val="22"/>
          <w:highlight w:val="lightGray"/>
        </w:rPr>
      </w:pPr>
      <w:r w:rsidRPr="00C220BD">
        <w:rPr>
          <w:i/>
          <w:iCs/>
          <w:szCs w:val="22"/>
          <w:highlight w:val="lightGray"/>
        </w:rPr>
        <w:t>1000 mg plėvele dengtos tabletės</w:t>
      </w:r>
    </w:p>
    <w:p w14:paraId="45CCABF3" w14:textId="77777777" w:rsidR="00F33154" w:rsidRPr="00C220BD" w:rsidRDefault="00F33154" w:rsidP="00F33154">
      <w:pPr>
        <w:autoSpaceDE w:val="0"/>
        <w:autoSpaceDN w:val="0"/>
        <w:adjustRightInd w:val="0"/>
        <w:rPr>
          <w:szCs w:val="22"/>
          <w:highlight w:val="lightGray"/>
        </w:rPr>
      </w:pPr>
      <w:r w:rsidRPr="00C220BD">
        <w:rPr>
          <w:szCs w:val="22"/>
          <w:highlight w:val="lightGray"/>
        </w:rPr>
        <w:t>Pakuotės dydžiai:</w:t>
      </w:r>
    </w:p>
    <w:p w14:paraId="57ED69DC" w14:textId="77777777" w:rsidR="00F33154" w:rsidRPr="00C220BD" w:rsidRDefault="00F33154" w:rsidP="00F33154">
      <w:pPr>
        <w:autoSpaceDE w:val="0"/>
        <w:autoSpaceDN w:val="0"/>
        <w:adjustRightInd w:val="0"/>
        <w:rPr>
          <w:szCs w:val="22"/>
          <w:highlight w:val="lightGray"/>
        </w:rPr>
      </w:pPr>
      <w:r w:rsidRPr="00C220BD">
        <w:rPr>
          <w:szCs w:val="22"/>
          <w:highlight w:val="lightGray"/>
        </w:rPr>
        <w:t>Lizdinė plokštelė: 10, 20, 30, 50, 60, 100 arba 200 plėvele dengtų tablečių.</w:t>
      </w:r>
    </w:p>
    <w:p w14:paraId="4A02FBEE" w14:textId="77777777" w:rsidR="00F33154" w:rsidRPr="00C220BD" w:rsidRDefault="00F33154" w:rsidP="00F33154">
      <w:pPr>
        <w:autoSpaceDE w:val="0"/>
        <w:autoSpaceDN w:val="0"/>
        <w:adjustRightInd w:val="0"/>
        <w:rPr>
          <w:szCs w:val="22"/>
        </w:rPr>
      </w:pPr>
      <w:r w:rsidRPr="00C220BD">
        <w:rPr>
          <w:szCs w:val="22"/>
          <w:highlight w:val="lightGray"/>
        </w:rPr>
        <w:t>Buteliukas: 10, 20, 30, 50, 60, 100, 120 arba 200 plėvele dengtų tablečių.</w:t>
      </w:r>
    </w:p>
    <w:p w14:paraId="6F87BF96" w14:textId="77777777" w:rsidR="00F33154" w:rsidRPr="00C220BD" w:rsidRDefault="00F33154" w:rsidP="00F33154">
      <w:pPr>
        <w:autoSpaceDE w:val="0"/>
        <w:autoSpaceDN w:val="0"/>
        <w:adjustRightInd w:val="0"/>
        <w:rPr>
          <w:szCs w:val="22"/>
        </w:rPr>
      </w:pPr>
    </w:p>
    <w:p w14:paraId="45CDCD6F" w14:textId="77777777" w:rsidR="00F33154" w:rsidRPr="00C220BD" w:rsidRDefault="00F33154" w:rsidP="00F33154">
      <w:pPr>
        <w:autoSpaceDE w:val="0"/>
        <w:autoSpaceDN w:val="0"/>
        <w:adjustRightInd w:val="0"/>
        <w:rPr>
          <w:szCs w:val="22"/>
        </w:rPr>
      </w:pPr>
      <w:r w:rsidRPr="00C220BD">
        <w:rPr>
          <w:szCs w:val="22"/>
        </w:rPr>
        <w:t>Gali būti tiekiamos ne visų dydžių pakuotės.</w:t>
      </w:r>
    </w:p>
    <w:p w14:paraId="034F038E" w14:textId="77777777" w:rsidR="00F33154" w:rsidRPr="00C220BD" w:rsidRDefault="00F33154" w:rsidP="00F33154">
      <w:pPr>
        <w:autoSpaceDE w:val="0"/>
        <w:autoSpaceDN w:val="0"/>
        <w:adjustRightInd w:val="0"/>
        <w:rPr>
          <w:szCs w:val="22"/>
          <w:highlight w:val="lightGray"/>
        </w:rPr>
      </w:pPr>
    </w:p>
    <w:p w14:paraId="0948051A" w14:textId="77777777" w:rsidR="00F33154" w:rsidRPr="00C220BD" w:rsidRDefault="00F33154" w:rsidP="00F33154">
      <w:pPr>
        <w:spacing w:line="220" w:lineRule="exact"/>
        <w:rPr>
          <w:b/>
          <w:szCs w:val="22"/>
          <w:lang w:eastAsia="en-US"/>
        </w:rPr>
      </w:pPr>
      <w:r w:rsidRPr="00C220BD">
        <w:rPr>
          <w:b/>
          <w:szCs w:val="22"/>
          <w:lang w:eastAsia="en-US"/>
        </w:rPr>
        <w:t>Registruotojas ir gamintojas</w:t>
      </w:r>
    </w:p>
    <w:p w14:paraId="2AF877DD" w14:textId="77777777" w:rsidR="00F33154" w:rsidRPr="00C220BD" w:rsidRDefault="00F33154" w:rsidP="00F33154">
      <w:pPr>
        <w:rPr>
          <w:szCs w:val="22"/>
        </w:rPr>
      </w:pPr>
    </w:p>
    <w:p w14:paraId="191B1359" w14:textId="77777777" w:rsidR="00F33154" w:rsidRPr="00C220BD" w:rsidRDefault="00F33154" w:rsidP="00F33154">
      <w:pPr>
        <w:rPr>
          <w:i/>
          <w:szCs w:val="22"/>
        </w:rPr>
      </w:pPr>
      <w:r w:rsidRPr="00C220BD">
        <w:rPr>
          <w:i/>
          <w:szCs w:val="22"/>
        </w:rPr>
        <w:t>Registruotojas</w:t>
      </w:r>
    </w:p>
    <w:p w14:paraId="3EC1FF28" w14:textId="77777777" w:rsidR="00F33154" w:rsidRPr="00C220BD" w:rsidRDefault="00F33154" w:rsidP="00F33154">
      <w:pPr>
        <w:rPr>
          <w:szCs w:val="22"/>
        </w:rPr>
      </w:pPr>
      <w:proofErr w:type="spellStart"/>
      <w:r w:rsidRPr="00C220BD">
        <w:rPr>
          <w:szCs w:val="22"/>
        </w:rPr>
        <w:t>Sandoz</w:t>
      </w:r>
      <w:proofErr w:type="spellEnd"/>
      <w:r w:rsidRPr="00C220BD">
        <w:rPr>
          <w:szCs w:val="22"/>
        </w:rPr>
        <w:t xml:space="preserve"> </w:t>
      </w:r>
      <w:proofErr w:type="spellStart"/>
      <w:r w:rsidRPr="00C220BD">
        <w:rPr>
          <w:szCs w:val="22"/>
        </w:rPr>
        <w:t>d.d</w:t>
      </w:r>
      <w:proofErr w:type="spellEnd"/>
      <w:r w:rsidRPr="00C220BD">
        <w:rPr>
          <w:szCs w:val="22"/>
        </w:rPr>
        <w:t>.</w:t>
      </w:r>
    </w:p>
    <w:p w14:paraId="33667E1B" w14:textId="77777777" w:rsidR="00F33154" w:rsidRPr="00C220BD" w:rsidRDefault="00F33154" w:rsidP="00F33154">
      <w:pPr>
        <w:rPr>
          <w:szCs w:val="22"/>
        </w:rPr>
      </w:pPr>
      <w:proofErr w:type="spellStart"/>
      <w:r w:rsidRPr="00C220BD">
        <w:rPr>
          <w:szCs w:val="22"/>
        </w:rPr>
        <w:t>Verovškova</w:t>
      </w:r>
      <w:proofErr w:type="spellEnd"/>
      <w:r w:rsidRPr="00C220BD">
        <w:rPr>
          <w:szCs w:val="22"/>
        </w:rPr>
        <w:t xml:space="preserve"> 57</w:t>
      </w:r>
    </w:p>
    <w:p w14:paraId="7E00A86C" w14:textId="77777777" w:rsidR="00F33154" w:rsidRPr="00C220BD" w:rsidRDefault="00F33154" w:rsidP="00F33154">
      <w:pPr>
        <w:rPr>
          <w:szCs w:val="22"/>
        </w:rPr>
      </w:pPr>
      <w:r w:rsidRPr="00C220BD">
        <w:rPr>
          <w:szCs w:val="22"/>
        </w:rPr>
        <w:t xml:space="preserve">SI-1000 </w:t>
      </w:r>
      <w:proofErr w:type="spellStart"/>
      <w:r w:rsidRPr="00C220BD">
        <w:rPr>
          <w:szCs w:val="22"/>
        </w:rPr>
        <w:t>Ljubljana</w:t>
      </w:r>
      <w:proofErr w:type="spellEnd"/>
    </w:p>
    <w:p w14:paraId="7A4A3689" w14:textId="77777777" w:rsidR="00F33154" w:rsidRPr="00C220BD" w:rsidRDefault="00F33154" w:rsidP="00F33154">
      <w:pPr>
        <w:rPr>
          <w:szCs w:val="22"/>
        </w:rPr>
      </w:pPr>
      <w:r w:rsidRPr="00C220BD">
        <w:rPr>
          <w:szCs w:val="22"/>
        </w:rPr>
        <w:t>Slovėnija</w:t>
      </w:r>
    </w:p>
    <w:p w14:paraId="0C1B16FD" w14:textId="77777777" w:rsidR="00F33154" w:rsidRPr="00C220BD" w:rsidRDefault="00F33154" w:rsidP="00F33154">
      <w:pPr>
        <w:autoSpaceDE w:val="0"/>
        <w:autoSpaceDN w:val="0"/>
        <w:adjustRightInd w:val="0"/>
        <w:rPr>
          <w:color w:val="000000"/>
          <w:szCs w:val="22"/>
        </w:rPr>
      </w:pPr>
    </w:p>
    <w:p w14:paraId="064DAD13" w14:textId="77777777" w:rsidR="00F33154" w:rsidRPr="00C220BD" w:rsidRDefault="00F33154" w:rsidP="00F33154">
      <w:pPr>
        <w:spacing w:line="220" w:lineRule="exact"/>
        <w:rPr>
          <w:i/>
          <w:szCs w:val="22"/>
          <w:lang w:eastAsia="en-US"/>
        </w:rPr>
      </w:pPr>
      <w:r w:rsidRPr="00C220BD">
        <w:rPr>
          <w:i/>
          <w:szCs w:val="22"/>
          <w:lang w:eastAsia="en-US"/>
        </w:rPr>
        <w:t>Gamintojas</w:t>
      </w:r>
    </w:p>
    <w:p w14:paraId="6CF5581D" w14:textId="77777777" w:rsidR="00F33154" w:rsidRPr="00C220BD" w:rsidRDefault="00F33154" w:rsidP="00F33154">
      <w:pPr>
        <w:rPr>
          <w:bCs/>
          <w:szCs w:val="22"/>
          <w:lang w:eastAsia="en-US"/>
        </w:rPr>
      </w:pPr>
      <w:proofErr w:type="spellStart"/>
      <w:r w:rsidRPr="00C220BD">
        <w:rPr>
          <w:bCs/>
          <w:szCs w:val="22"/>
          <w:lang w:eastAsia="en-US"/>
        </w:rPr>
        <w:t>Lek</w:t>
      </w:r>
      <w:proofErr w:type="spellEnd"/>
      <w:r w:rsidRPr="00C220BD">
        <w:rPr>
          <w:bCs/>
          <w:szCs w:val="22"/>
          <w:lang w:eastAsia="en-US"/>
        </w:rPr>
        <w:t xml:space="preserve"> </w:t>
      </w:r>
      <w:proofErr w:type="spellStart"/>
      <w:r w:rsidRPr="00C220BD">
        <w:rPr>
          <w:bCs/>
          <w:szCs w:val="22"/>
          <w:lang w:eastAsia="en-US"/>
        </w:rPr>
        <w:t>Pharmaceuticals</w:t>
      </w:r>
      <w:proofErr w:type="spellEnd"/>
      <w:r w:rsidRPr="00C220BD">
        <w:rPr>
          <w:bCs/>
          <w:szCs w:val="22"/>
          <w:lang w:eastAsia="en-US"/>
        </w:rPr>
        <w:t xml:space="preserve"> </w:t>
      </w:r>
      <w:proofErr w:type="spellStart"/>
      <w:r w:rsidRPr="00C220BD">
        <w:rPr>
          <w:bCs/>
          <w:szCs w:val="22"/>
          <w:lang w:eastAsia="en-US"/>
        </w:rPr>
        <w:t>d.d</w:t>
      </w:r>
      <w:proofErr w:type="spellEnd"/>
      <w:r w:rsidRPr="00C220BD">
        <w:rPr>
          <w:bCs/>
          <w:szCs w:val="22"/>
          <w:lang w:eastAsia="en-US"/>
        </w:rPr>
        <w:t>.</w:t>
      </w:r>
    </w:p>
    <w:p w14:paraId="1B4242CE" w14:textId="77777777" w:rsidR="00F33154" w:rsidRPr="00C220BD" w:rsidRDefault="00F33154" w:rsidP="00F33154">
      <w:pPr>
        <w:rPr>
          <w:bCs/>
          <w:szCs w:val="22"/>
          <w:lang w:eastAsia="en-US"/>
        </w:rPr>
      </w:pPr>
      <w:proofErr w:type="spellStart"/>
      <w:r w:rsidRPr="00C220BD">
        <w:rPr>
          <w:bCs/>
          <w:szCs w:val="22"/>
          <w:lang w:eastAsia="en-US"/>
        </w:rPr>
        <w:t>Verovškova</w:t>
      </w:r>
      <w:proofErr w:type="spellEnd"/>
      <w:r w:rsidRPr="00C220BD">
        <w:rPr>
          <w:bCs/>
          <w:szCs w:val="22"/>
          <w:lang w:eastAsia="en-US"/>
        </w:rPr>
        <w:t xml:space="preserve"> 57, 1526 </w:t>
      </w:r>
      <w:proofErr w:type="spellStart"/>
      <w:r w:rsidRPr="00C220BD">
        <w:rPr>
          <w:bCs/>
          <w:szCs w:val="22"/>
          <w:lang w:eastAsia="en-US"/>
        </w:rPr>
        <w:t>Ljubljana</w:t>
      </w:r>
      <w:proofErr w:type="spellEnd"/>
    </w:p>
    <w:p w14:paraId="58098C76" w14:textId="77777777" w:rsidR="00F33154" w:rsidRPr="00C220BD" w:rsidRDefault="00F33154" w:rsidP="00F33154">
      <w:pPr>
        <w:rPr>
          <w:bCs/>
          <w:szCs w:val="22"/>
          <w:lang w:eastAsia="en-US"/>
        </w:rPr>
      </w:pPr>
      <w:r w:rsidRPr="00C220BD">
        <w:rPr>
          <w:bCs/>
          <w:szCs w:val="22"/>
          <w:lang w:eastAsia="en-US"/>
        </w:rPr>
        <w:t>Slovėnija</w:t>
      </w:r>
    </w:p>
    <w:p w14:paraId="015E6A7B" w14:textId="77777777" w:rsidR="00F33154" w:rsidRPr="00C220BD" w:rsidRDefault="00F33154" w:rsidP="00F33154">
      <w:pPr>
        <w:rPr>
          <w:bCs/>
          <w:szCs w:val="22"/>
          <w:lang w:eastAsia="en-US"/>
        </w:rPr>
      </w:pPr>
    </w:p>
    <w:p w14:paraId="1E279B78" w14:textId="77777777" w:rsidR="00F33154" w:rsidRPr="00C220BD" w:rsidRDefault="00F33154" w:rsidP="00F33154">
      <w:pPr>
        <w:rPr>
          <w:bCs/>
          <w:szCs w:val="22"/>
          <w:lang w:eastAsia="en-US"/>
        </w:rPr>
      </w:pPr>
      <w:r w:rsidRPr="00C220BD">
        <w:rPr>
          <w:bCs/>
          <w:szCs w:val="22"/>
          <w:lang w:eastAsia="en-US"/>
        </w:rPr>
        <w:t>arba</w:t>
      </w:r>
    </w:p>
    <w:p w14:paraId="70841991" w14:textId="77777777" w:rsidR="00F33154" w:rsidRPr="00C220BD" w:rsidRDefault="00F33154" w:rsidP="00F33154">
      <w:pPr>
        <w:rPr>
          <w:bCs/>
          <w:szCs w:val="22"/>
          <w:lang w:eastAsia="en-US"/>
        </w:rPr>
      </w:pPr>
    </w:p>
    <w:p w14:paraId="16D5C641" w14:textId="77777777" w:rsidR="00F33154" w:rsidRPr="00C220BD" w:rsidRDefault="00F33154" w:rsidP="00F33154">
      <w:pPr>
        <w:rPr>
          <w:bCs/>
          <w:szCs w:val="22"/>
          <w:lang w:eastAsia="en-US"/>
        </w:rPr>
      </w:pPr>
      <w:r w:rsidRPr="00C220BD">
        <w:rPr>
          <w:bCs/>
          <w:szCs w:val="22"/>
          <w:lang w:eastAsia="en-US"/>
        </w:rPr>
        <w:t>LEK S.A.</w:t>
      </w:r>
    </w:p>
    <w:p w14:paraId="22235D25" w14:textId="77777777" w:rsidR="00F33154" w:rsidRPr="00C220BD" w:rsidRDefault="00F33154" w:rsidP="00F33154">
      <w:pPr>
        <w:rPr>
          <w:szCs w:val="22"/>
          <w:lang w:eastAsia="en-US"/>
        </w:rPr>
      </w:pPr>
      <w:proofErr w:type="spellStart"/>
      <w:r w:rsidRPr="00C220BD">
        <w:rPr>
          <w:szCs w:val="22"/>
          <w:lang w:eastAsia="en-US"/>
        </w:rPr>
        <w:t>ul</w:t>
      </w:r>
      <w:proofErr w:type="spellEnd"/>
      <w:r w:rsidRPr="00C220BD">
        <w:rPr>
          <w:szCs w:val="22"/>
          <w:lang w:eastAsia="en-US"/>
        </w:rPr>
        <w:t xml:space="preserve">. </w:t>
      </w:r>
      <w:proofErr w:type="spellStart"/>
      <w:r w:rsidRPr="00C220BD">
        <w:rPr>
          <w:szCs w:val="22"/>
          <w:lang w:eastAsia="en-US"/>
        </w:rPr>
        <w:t>Podlipie</w:t>
      </w:r>
      <w:proofErr w:type="spellEnd"/>
      <w:r w:rsidRPr="00C220BD">
        <w:rPr>
          <w:szCs w:val="22"/>
          <w:lang w:eastAsia="en-US"/>
        </w:rPr>
        <w:t xml:space="preserve"> 16, 95-010 </w:t>
      </w:r>
      <w:proofErr w:type="spellStart"/>
      <w:r w:rsidRPr="00C220BD">
        <w:rPr>
          <w:szCs w:val="22"/>
          <w:lang w:eastAsia="en-US"/>
        </w:rPr>
        <w:t>Stryków</w:t>
      </w:r>
      <w:proofErr w:type="spellEnd"/>
    </w:p>
    <w:p w14:paraId="41B90A64" w14:textId="77777777" w:rsidR="00F33154" w:rsidRPr="00C220BD" w:rsidRDefault="00F33154" w:rsidP="00F33154">
      <w:pPr>
        <w:rPr>
          <w:szCs w:val="22"/>
          <w:lang w:eastAsia="en-US"/>
        </w:rPr>
      </w:pPr>
      <w:r w:rsidRPr="00C220BD">
        <w:rPr>
          <w:szCs w:val="22"/>
          <w:lang w:eastAsia="en-US"/>
        </w:rPr>
        <w:t>Lenkija</w:t>
      </w:r>
    </w:p>
    <w:p w14:paraId="72D06FC6" w14:textId="77777777" w:rsidR="00F33154" w:rsidRPr="00C220BD" w:rsidRDefault="00F33154" w:rsidP="00F33154">
      <w:pPr>
        <w:rPr>
          <w:bCs/>
          <w:szCs w:val="22"/>
          <w:lang w:eastAsia="en-US"/>
        </w:rPr>
      </w:pPr>
      <w:r w:rsidRPr="00C220BD">
        <w:rPr>
          <w:bCs/>
          <w:szCs w:val="22"/>
          <w:lang w:eastAsia="en-US"/>
        </w:rPr>
        <w:t>Su gamybos vieta:</w:t>
      </w:r>
    </w:p>
    <w:p w14:paraId="415CE9C7" w14:textId="77777777" w:rsidR="00F33154" w:rsidRPr="00C220BD" w:rsidRDefault="00F33154" w:rsidP="00F33154">
      <w:pPr>
        <w:rPr>
          <w:bCs/>
          <w:szCs w:val="22"/>
          <w:lang w:eastAsia="en-US"/>
        </w:rPr>
      </w:pPr>
      <w:proofErr w:type="spellStart"/>
      <w:r w:rsidRPr="00C220BD">
        <w:rPr>
          <w:bCs/>
          <w:szCs w:val="22"/>
          <w:lang w:eastAsia="en-US"/>
        </w:rPr>
        <w:t>ul</w:t>
      </w:r>
      <w:proofErr w:type="spellEnd"/>
      <w:r w:rsidRPr="00C220BD">
        <w:rPr>
          <w:bCs/>
          <w:szCs w:val="22"/>
          <w:lang w:eastAsia="en-US"/>
        </w:rPr>
        <w:t xml:space="preserve">. </w:t>
      </w:r>
      <w:proofErr w:type="spellStart"/>
      <w:r w:rsidRPr="00C220BD">
        <w:rPr>
          <w:bCs/>
          <w:szCs w:val="22"/>
          <w:lang w:eastAsia="en-US"/>
        </w:rPr>
        <w:t>Domaniewska</w:t>
      </w:r>
      <w:proofErr w:type="spellEnd"/>
      <w:r w:rsidRPr="00C220BD">
        <w:rPr>
          <w:bCs/>
          <w:szCs w:val="22"/>
          <w:lang w:eastAsia="en-US"/>
        </w:rPr>
        <w:t xml:space="preserve"> 50 C, 02-672 </w:t>
      </w:r>
      <w:proofErr w:type="spellStart"/>
      <w:r w:rsidRPr="00C220BD">
        <w:rPr>
          <w:bCs/>
          <w:szCs w:val="22"/>
          <w:lang w:eastAsia="en-US"/>
        </w:rPr>
        <w:t>Warszawa</w:t>
      </w:r>
      <w:proofErr w:type="spellEnd"/>
    </w:p>
    <w:p w14:paraId="24815208" w14:textId="77777777" w:rsidR="00F33154" w:rsidRPr="00C220BD" w:rsidRDefault="00F33154" w:rsidP="00F33154">
      <w:pPr>
        <w:rPr>
          <w:bCs/>
          <w:szCs w:val="22"/>
          <w:lang w:eastAsia="en-US"/>
        </w:rPr>
      </w:pPr>
      <w:r w:rsidRPr="00C220BD">
        <w:rPr>
          <w:bCs/>
          <w:szCs w:val="22"/>
          <w:lang w:eastAsia="en-US"/>
        </w:rPr>
        <w:t>Lenkija</w:t>
      </w:r>
    </w:p>
    <w:p w14:paraId="1034D57A" w14:textId="77777777" w:rsidR="00F33154" w:rsidRPr="00C220BD" w:rsidRDefault="00F33154" w:rsidP="00F33154">
      <w:pPr>
        <w:rPr>
          <w:bCs/>
          <w:szCs w:val="22"/>
          <w:lang w:eastAsia="en-US"/>
        </w:rPr>
      </w:pPr>
    </w:p>
    <w:p w14:paraId="55EE5142" w14:textId="77777777" w:rsidR="00F33154" w:rsidRPr="00C220BD" w:rsidRDefault="00F33154" w:rsidP="00F33154">
      <w:pPr>
        <w:rPr>
          <w:bCs/>
          <w:szCs w:val="22"/>
          <w:lang w:eastAsia="en-US"/>
        </w:rPr>
      </w:pPr>
      <w:r w:rsidRPr="00C220BD">
        <w:rPr>
          <w:bCs/>
          <w:szCs w:val="22"/>
          <w:lang w:eastAsia="en-US"/>
        </w:rPr>
        <w:t xml:space="preserve">arba </w:t>
      </w:r>
    </w:p>
    <w:p w14:paraId="32B023B3" w14:textId="77777777" w:rsidR="00F33154" w:rsidRPr="00C220BD" w:rsidRDefault="00F33154" w:rsidP="00F33154">
      <w:pPr>
        <w:rPr>
          <w:bCs/>
          <w:szCs w:val="22"/>
          <w:lang w:eastAsia="en-US"/>
        </w:rPr>
      </w:pPr>
    </w:p>
    <w:p w14:paraId="2A5651E3" w14:textId="77777777" w:rsidR="00F33154" w:rsidRPr="00C220BD" w:rsidRDefault="00F33154" w:rsidP="00F33154">
      <w:pPr>
        <w:rPr>
          <w:bCs/>
          <w:szCs w:val="22"/>
          <w:lang w:eastAsia="en-US"/>
        </w:rPr>
      </w:pPr>
      <w:proofErr w:type="spellStart"/>
      <w:r w:rsidRPr="00C220BD">
        <w:rPr>
          <w:bCs/>
          <w:szCs w:val="22"/>
          <w:lang w:eastAsia="en-US"/>
        </w:rPr>
        <w:t>Salutas</w:t>
      </w:r>
      <w:proofErr w:type="spellEnd"/>
      <w:r w:rsidRPr="00C220BD">
        <w:rPr>
          <w:bCs/>
          <w:szCs w:val="22"/>
          <w:lang w:eastAsia="en-US"/>
        </w:rPr>
        <w:t xml:space="preserve"> Pharma </w:t>
      </w:r>
      <w:proofErr w:type="spellStart"/>
      <w:r w:rsidRPr="00C220BD">
        <w:rPr>
          <w:bCs/>
          <w:szCs w:val="22"/>
          <w:lang w:eastAsia="en-US"/>
        </w:rPr>
        <w:t>GmbH</w:t>
      </w:r>
      <w:proofErr w:type="spellEnd"/>
    </w:p>
    <w:p w14:paraId="4C902C5C" w14:textId="77777777" w:rsidR="00F33154" w:rsidRPr="00C220BD" w:rsidRDefault="00F33154" w:rsidP="00F33154">
      <w:pPr>
        <w:rPr>
          <w:szCs w:val="22"/>
          <w:lang w:eastAsia="en-US"/>
        </w:rPr>
      </w:pPr>
      <w:proofErr w:type="spellStart"/>
      <w:r w:rsidRPr="00C220BD">
        <w:rPr>
          <w:szCs w:val="22"/>
          <w:lang w:eastAsia="en-US"/>
        </w:rPr>
        <w:t>Otto-von-Guericke-Allee</w:t>
      </w:r>
      <w:proofErr w:type="spellEnd"/>
      <w:r w:rsidRPr="00C220BD">
        <w:rPr>
          <w:szCs w:val="22"/>
          <w:lang w:eastAsia="en-US"/>
        </w:rPr>
        <w:t xml:space="preserve"> 1, 39179 </w:t>
      </w:r>
      <w:proofErr w:type="spellStart"/>
      <w:r w:rsidRPr="00C220BD">
        <w:rPr>
          <w:szCs w:val="22"/>
          <w:lang w:eastAsia="en-US"/>
        </w:rPr>
        <w:t>Barleben</w:t>
      </w:r>
      <w:proofErr w:type="spellEnd"/>
    </w:p>
    <w:p w14:paraId="5202966B" w14:textId="77777777" w:rsidR="00F33154" w:rsidRPr="00C220BD" w:rsidRDefault="00F33154" w:rsidP="00F33154">
      <w:pPr>
        <w:rPr>
          <w:szCs w:val="22"/>
          <w:lang w:eastAsia="en-US"/>
        </w:rPr>
      </w:pPr>
      <w:r w:rsidRPr="00C220BD">
        <w:rPr>
          <w:szCs w:val="22"/>
          <w:lang w:eastAsia="en-US"/>
        </w:rPr>
        <w:t>Vokietija</w:t>
      </w:r>
    </w:p>
    <w:p w14:paraId="48516E46" w14:textId="77777777" w:rsidR="00F33154" w:rsidRPr="00C220BD" w:rsidRDefault="00F33154" w:rsidP="00F33154">
      <w:pPr>
        <w:rPr>
          <w:szCs w:val="22"/>
          <w:lang w:eastAsia="en-US"/>
        </w:rPr>
      </w:pPr>
    </w:p>
    <w:p w14:paraId="77004061" w14:textId="77777777" w:rsidR="00F33154" w:rsidRPr="00C220BD" w:rsidRDefault="00F33154" w:rsidP="00F33154">
      <w:pPr>
        <w:rPr>
          <w:szCs w:val="22"/>
          <w:lang w:eastAsia="en-US"/>
        </w:rPr>
      </w:pPr>
      <w:r w:rsidRPr="00C220BD">
        <w:rPr>
          <w:szCs w:val="22"/>
          <w:lang w:eastAsia="en-US"/>
        </w:rPr>
        <w:t>arba</w:t>
      </w:r>
    </w:p>
    <w:p w14:paraId="5FB2B7FB" w14:textId="77777777" w:rsidR="00F33154" w:rsidRPr="00C220BD" w:rsidRDefault="00F33154" w:rsidP="00F33154">
      <w:pPr>
        <w:rPr>
          <w:szCs w:val="22"/>
          <w:lang w:eastAsia="en-US"/>
        </w:rPr>
      </w:pPr>
    </w:p>
    <w:p w14:paraId="66490401" w14:textId="77777777" w:rsidR="00F33154" w:rsidRPr="00C220BD" w:rsidRDefault="00F33154" w:rsidP="00F33154">
      <w:pPr>
        <w:rPr>
          <w:szCs w:val="22"/>
          <w:lang w:eastAsia="en-US"/>
        </w:rPr>
      </w:pPr>
      <w:r w:rsidRPr="00C220BD">
        <w:rPr>
          <w:szCs w:val="22"/>
          <w:lang w:eastAsia="en-US"/>
        </w:rPr>
        <w:t xml:space="preserve">S.C. </w:t>
      </w:r>
      <w:proofErr w:type="spellStart"/>
      <w:r w:rsidRPr="00C220BD">
        <w:rPr>
          <w:szCs w:val="22"/>
          <w:lang w:eastAsia="en-US"/>
        </w:rPr>
        <w:t>Sandoz</w:t>
      </w:r>
      <w:proofErr w:type="spellEnd"/>
      <w:r w:rsidRPr="00C220BD">
        <w:rPr>
          <w:szCs w:val="22"/>
          <w:lang w:eastAsia="en-US"/>
        </w:rPr>
        <w:t>, S.R.L.</w:t>
      </w:r>
    </w:p>
    <w:p w14:paraId="1A2B82D1" w14:textId="77777777" w:rsidR="00F33154" w:rsidRPr="00C220BD" w:rsidRDefault="00F33154" w:rsidP="00F33154">
      <w:pPr>
        <w:rPr>
          <w:szCs w:val="22"/>
          <w:lang w:eastAsia="en-US"/>
        </w:rPr>
      </w:pPr>
      <w:r w:rsidRPr="00C220BD">
        <w:rPr>
          <w:szCs w:val="22"/>
          <w:lang w:eastAsia="en-US"/>
        </w:rPr>
        <w:t xml:space="preserve">Str. </w:t>
      </w:r>
      <w:proofErr w:type="spellStart"/>
      <w:r w:rsidRPr="00C220BD">
        <w:rPr>
          <w:szCs w:val="22"/>
          <w:lang w:eastAsia="en-US"/>
        </w:rPr>
        <w:t>Livezeni</w:t>
      </w:r>
      <w:proofErr w:type="spellEnd"/>
      <w:r w:rsidRPr="00C220BD">
        <w:rPr>
          <w:szCs w:val="22"/>
          <w:lang w:eastAsia="en-US"/>
        </w:rPr>
        <w:t xml:space="preserve"> </w:t>
      </w:r>
      <w:proofErr w:type="spellStart"/>
      <w:r w:rsidRPr="00C220BD">
        <w:rPr>
          <w:szCs w:val="22"/>
          <w:lang w:eastAsia="en-US"/>
        </w:rPr>
        <w:t>nr.</w:t>
      </w:r>
      <w:proofErr w:type="spellEnd"/>
      <w:r w:rsidRPr="00C220BD">
        <w:rPr>
          <w:szCs w:val="22"/>
          <w:lang w:eastAsia="en-US"/>
        </w:rPr>
        <w:t xml:space="preserve"> 7A, RO-540472 </w:t>
      </w:r>
      <w:proofErr w:type="spellStart"/>
      <w:r w:rsidRPr="00C220BD">
        <w:rPr>
          <w:szCs w:val="22"/>
          <w:lang w:eastAsia="en-US"/>
        </w:rPr>
        <w:t>Targu-Mures</w:t>
      </w:r>
      <w:proofErr w:type="spellEnd"/>
    </w:p>
    <w:p w14:paraId="12464759" w14:textId="77777777" w:rsidR="00F33154" w:rsidRPr="00C220BD" w:rsidRDefault="00F33154" w:rsidP="00F33154">
      <w:pPr>
        <w:rPr>
          <w:szCs w:val="22"/>
        </w:rPr>
      </w:pPr>
      <w:r w:rsidRPr="00C220BD">
        <w:rPr>
          <w:szCs w:val="22"/>
        </w:rPr>
        <w:t>Rumunija</w:t>
      </w:r>
    </w:p>
    <w:p w14:paraId="2D2BD662" w14:textId="77777777" w:rsidR="00F33154" w:rsidRPr="00C220BD" w:rsidRDefault="00F33154" w:rsidP="00F33154">
      <w:pPr>
        <w:rPr>
          <w:szCs w:val="22"/>
          <w:lang w:eastAsia="en-US"/>
        </w:rPr>
      </w:pPr>
    </w:p>
    <w:p w14:paraId="05CC3829" w14:textId="77777777" w:rsidR="00F33154" w:rsidRPr="00C220BD" w:rsidRDefault="00F33154" w:rsidP="00F33154">
      <w:pPr>
        <w:rPr>
          <w:szCs w:val="22"/>
          <w:lang w:eastAsia="en-US"/>
        </w:rPr>
      </w:pPr>
      <w:r w:rsidRPr="00C220BD">
        <w:rPr>
          <w:szCs w:val="22"/>
          <w:lang w:eastAsia="en-US"/>
        </w:rPr>
        <w:t>arba</w:t>
      </w:r>
    </w:p>
    <w:p w14:paraId="0693261C" w14:textId="77777777" w:rsidR="00F33154" w:rsidRPr="00C220BD" w:rsidRDefault="00F33154" w:rsidP="00F33154">
      <w:pPr>
        <w:rPr>
          <w:szCs w:val="22"/>
          <w:lang w:eastAsia="en-US"/>
        </w:rPr>
      </w:pPr>
    </w:p>
    <w:p w14:paraId="5629AFE6" w14:textId="77777777" w:rsidR="00F33154" w:rsidRPr="00C220BD" w:rsidRDefault="00F33154" w:rsidP="00F33154">
      <w:pPr>
        <w:rPr>
          <w:szCs w:val="22"/>
          <w:lang w:eastAsia="en-US"/>
        </w:rPr>
      </w:pPr>
      <w:proofErr w:type="spellStart"/>
      <w:r w:rsidRPr="00C220BD">
        <w:rPr>
          <w:szCs w:val="22"/>
          <w:lang w:eastAsia="en-US"/>
        </w:rPr>
        <w:t>Lek</w:t>
      </w:r>
      <w:proofErr w:type="spellEnd"/>
      <w:r w:rsidRPr="00C220BD">
        <w:rPr>
          <w:szCs w:val="22"/>
          <w:lang w:eastAsia="en-US"/>
        </w:rPr>
        <w:t xml:space="preserve"> </w:t>
      </w:r>
      <w:proofErr w:type="spellStart"/>
      <w:r w:rsidRPr="00C220BD">
        <w:rPr>
          <w:szCs w:val="22"/>
          <w:lang w:eastAsia="en-US"/>
        </w:rPr>
        <w:t>Pharmaceuticals</w:t>
      </w:r>
      <w:proofErr w:type="spellEnd"/>
      <w:r w:rsidRPr="00C220BD">
        <w:rPr>
          <w:szCs w:val="22"/>
          <w:lang w:eastAsia="en-US"/>
        </w:rPr>
        <w:t xml:space="preserve"> </w:t>
      </w:r>
      <w:proofErr w:type="spellStart"/>
      <w:r w:rsidRPr="00C220BD">
        <w:rPr>
          <w:szCs w:val="22"/>
          <w:lang w:eastAsia="en-US"/>
        </w:rPr>
        <w:t>d.d</w:t>
      </w:r>
      <w:proofErr w:type="spellEnd"/>
      <w:r w:rsidRPr="00C220BD">
        <w:rPr>
          <w:szCs w:val="22"/>
          <w:lang w:eastAsia="en-US"/>
        </w:rPr>
        <w:t>.</w:t>
      </w:r>
    </w:p>
    <w:p w14:paraId="184DFF72" w14:textId="77777777" w:rsidR="00F33154" w:rsidRPr="00C220BD" w:rsidRDefault="00F33154" w:rsidP="00F33154">
      <w:pPr>
        <w:rPr>
          <w:szCs w:val="22"/>
          <w:lang w:eastAsia="en-US"/>
        </w:rPr>
      </w:pPr>
      <w:proofErr w:type="spellStart"/>
      <w:r w:rsidRPr="00C220BD">
        <w:rPr>
          <w:szCs w:val="22"/>
          <w:lang w:eastAsia="en-US"/>
        </w:rPr>
        <w:t>Trimlini</w:t>
      </w:r>
      <w:proofErr w:type="spellEnd"/>
      <w:r w:rsidRPr="00C220BD">
        <w:rPr>
          <w:szCs w:val="22"/>
          <w:lang w:eastAsia="en-US"/>
        </w:rPr>
        <w:t xml:space="preserve"> 2 D,</w:t>
      </w:r>
    </w:p>
    <w:p w14:paraId="034D79AE" w14:textId="77777777" w:rsidR="00F33154" w:rsidRPr="00C220BD" w:rsidRDefault="00F33154" w:rsidP="00F33154">
      <w:pPr>
        <w:rPr>
          <w:szCs w:val="22"/>
          <w:lang w:eastAsia="en-US"/>
        </w:rPr>
      </w:pPr>
      <w:r w:rsidRPr="00C220BD">
        <w:rPr>
          <w:szCs w:val="22"/>
          <w:lang w:eastAsia="en-US"/>
        </w:rPr>
        <w:t xml:space="preserve">9220 </w:t>
      </w:r>
      <w:proofErr w:type="spellStart"/>
      <w:r w:rsidRPr="00C220BD">
        <w:rPr>
          <w:szCs w:val="22"/>
          <w:lang w:eastAsia="en-US"/>
        </w:rPr>
        <w:t>Lendava</w:t>
      </w:r>
      <w:proofErr w:type="spellEnd"/>
      <w:r w:rsidRPr="00C220BD">
        <w:rPr>
          <w:szCs w:val="22"/>
          <w:lang w:eastAsia="en-US"/>
        </w:rPr>
        <w:t>,</w:t>
      </w:r>
    </w:p>
    <w:p w14:paraId="4E41C3B4" w14:textId="77777777" w:rsidR="00F33154" w:rsidRPr="00C220BD" w:rsidRDefault="00F33154" w:rsidP="00F33154">
      <w:pPr>
        <w:rPr>
          <w:szCs w:val="22"/>
          <w:lang w:eastAsia="en-US"/>
        </w:rPr>
      </w:pPr>
      <w:r w:rsidRPr="00C220BD">
        <w:rPr>
          <w:szCs w:val="22"/>
          <w:lang w:eastAsia="en-US"/>
        </w:rPr>
        <w:t>Slovėnija</w:t>
      </w:r>
    </w:p>
    <w:p w14:paraId="4BFDB2C6" w14:textId="77777777" w:rsidR="00F33154" w:rsidRPr="00C220BD" w:rsidRDefault="00F33154" w:rsidP="00F33154">
      <w:pPr>
        <w:rPr>
          <w:szCs w:val="22"/>
          <w:lang w:eastAsia="en-US"/>
        </w:rPr>
      </w:pPr>
    </w:p>
    <w:p w14:paraId="5EC0335D" w14:textId="77777777" w:rsidR="00F33154" w:rsidRPr="00C220BD" w:rsidRDefault="00F33154" w:rsidP="00F33154">
      <w:pPr>
        <w:rPr>
          <w:szCs w:val="22"/>
          <w:lang w:eastAsia="en-US"/>
        </w:rPr>
      </w:pPr>
      <w:r w:rsidRPr="00C220BD">
        <w:rPr>
          <w:szCs w:val="22"/>
          <w:lang w:eastAsia="en-US"/>
        </w:rPr>
        <w:t>Jeigu apie šį vaistą norite sužinoti daugiau, kreipkitės į vietinį registruotojo atstovą:</w:t>
      </w:r>
    </w:p>
    <w:p w14:paraId="0E7F6409" w14:textId="77777777" w:rsidR="00F33154" w:rsidRPr="00C220BD" w:rsidRDefault="00F33154" w:rsidP="00F33154">
      <w:pPr>
        <w:jc w:val="both"/>
        <w:rPr>
          <w:szCs w:val="22"/>
        </w:rPr>
      </w:pPr>
    </w:p>
    <w:p w14:paraId="482D5A4D" w14:textId="77777777" w:rsidR="00F33154" w:rsidRPr="00C220BD" w:rsidRDefault="00F33154" w:rsidP="00F33154">
      <w:proofErr w:type="spellStart"/>
      <w:r w:rsidRPr="00C220BD">
        <w:t>Sandoz</w:t>
      </w:r>
      <w:proofErr w:type="spellEnd"/>
      <w:r w:rsidRPr="00C220BD">
        <w:t xml:space="preserve"> </w:t>
      </w:r>
      <w:proofErr w:type="spellStart"/>
      <w:r w:rsidRPr="00C220BD">
        <w:t>Pharmaceuticals</w:t>
      </w:r>
      <w:proofErr w:type="spellEnd"/>
      <w:r w:rsidRPr="00C220BD">
        <w:t xml:space="preserve"> </w:t>
      </w:r>
      <w:proofErr w:type="spellStart"/>
      <w:r w:rsidRPr="00C220BD">
        <w:t>d.d</w:t>
      </w:r>
      <w:proofErr w:type="spellEnd"/>
      <w:r w:rsidRPr="00C220BD">
        <w:t>. filialas</w:t>
      </w:r>
    </w:p>
    <w:p w14:paraId="0EEE1C2F" w14:textId="77777777" w:rsidR="00F33154" w:rsidRPr="00C220BD" w:rsidRDefault="00F33154" w:rsidP="00F33154">
      <w:r w:rsidRPr="00C220BD">
        <w:t>Tel. +370 5 2636 037</w:t>
      </w:r>
    </w:p>
    <w:p w14:paraId="5FBBF33D" w14:textId="77777777" w:rsidR="00F33154" w:rsidRPr="00C220BD" w:rsidRDefault="00F33154" w:rsidP="00F33154"/>
    <w:p w14:paraId="486F65E4" w14:textId="77777777" w:rsidR="00F33154" w:rsidRPr="00C220BD" w:rsidRDefault="00F33154" w:rsidP="00F33154">
      <w:pPr>
        <w:rPr>
          <w:b/>
          <w:szCs w:val="22"/>
          <w:lang w:eastAsia="en-US"/>
        </w:rPr>
      </w:pPr>
      <w:r w:rsidRPr="00C220BD">
        <w:rPr>
          <w:b/>
          <w:szCs w:val="22"/>
          <w:lang w:eastAsia="en-US"/>
        </w:rPr>
        <w:t>Šis vaistas Europos ekonominės erdvės valstybėse narėse registruotas tokiais pavadinimais:</w:t>
      </w:r>
    </w:p>
    <w:p w14:paraId="74A4C9E5" w14:textId="77777777" w:rsidR="00F33154" w:rsidRPr="00C220BD" w:rsidRDefault="00F33154" w:rsidP="00F33154">
      <w:pPr>
        <w:tabs>
          <w:tab w:val="left" w:pos="1701"/>
        </w:tabs>
        <w:autoSpaceDE w:val="0"/>
        <w:autoSpaceDN w:val="0"/>
        <w:adjustRightInd w:val="0"/>
        <w:rPr>
          <w:szCs w:val="22"/>
          <w:lang w:eastAsia="en-US"/>
        </w:rPr>
      </w:pPr>
      <w:r w:rsidRPr="00C220BD">
        <w:rPr>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1"/>
      </w:tblGrid>
      <w:tr w:rsidR="00F33154" w:rsidRPr="00C220BD" w14:paraId="05BFF6C4" w14:textId="77777777" w:rsidTr="00DC285B">
        <w:trPr>
          <w:trHeight w:val="530"/>
        </w:trPr>
        <w:tc>
          <w:tcPr>
            <w:tcW w:w="4643" w:type="dxa"/>
          </w:tcPr>
          <w:p w14:paraId="70E24FDF" w14:textId="77777777" w:rsidR="00F33154" w:rsidRPr="00C220BD" w:rsidRDefault="00F33154" w:rsidP="00DC285B">
            <w:pPr>
              <w:tabs>
                <w:tab w:val="left" w:pos="1701"/>
              </w:tabs>
              <w:autoSpaceDE w:val="0"/>
              <w:autoSpaceDN w:val="0"/>
              <w:adjustRightInd w:val="0"/>
              <w:rPr>
                <w:szCs w:val="22"/>
              </w:rPr>
            </w:pPr>
            <w:r w:rsidRPr="00C220BD">
              <w:rPr>
                <w:szCs w:val="22"/>
              </w:rPr>
              <w:t>Nyderlandai, Bulgarija, Čekija, Lietuva, Lenkija, Rumunija</w:t>
            </w:r>
          </w:p>
        </w:tc>
        <w:tc>
          <w:tcPr>
            <w:tcW w:w="4643" w:type="dxa"/>
          </w:tcPr>
          <w:p w14:paraId="351F1D9E" w14:textId="77777777" w:rsidR="00F33154" w:rsidRPr="00C220BD" w:rsidRDefault="00F33154" w:rsidP="00DC285B">
            <w:pPr>
              <w:tabs>
                <w:tab w:val="left" w:pos="1701"/>
              </w:tabs>
              <w:autoSpaceDE w:val="0"/>
              <w:autoSpaceDN w:val="0"/>
              <w:adjustRightInd w:val="0"/>
              <w:rPr>
                <w:szCs w:val="22"/>
                <w:lang w:eastAsia="en-US"/>
              </w:rPr>
            </w:pPr>
            <w:r w:rsidRPr="00C220BD">
              <w:rPr>
                <w:szCs w:val="22"/>
              </w:rPr>
              <w:t>DRETACEN</w:t>
            </w:r>
          </w:p>
        </w:tc>
      </w:tr>
    </w:tbl>
    <w:p w14:paraId="306A71CE" w14:textId="77777777" w:rsidR="00F33154" w:rsidRPr="00C220BD" w:rsidRDefault="00F33154" w:rsidP="00F33154">
      <w:pPr>
        <w:rPr>
          <w:szCs w:val="22"/>
          <w:lang w:eastAsia="en-US"/>
        </w:rPr>
      </w:pPr>
    </w:p>
    <w:p w14:paraId="7E9CB2F0" w14:textId="77777777" w:rsidR="00F33154" w:rsidRPr="00C220BD" w:rsidRDefault="00F33154" w:rsidP="00F33154">
      <w:pPr>
        <w:rPr>
          <w:szCs w:val="22"/>
          <w:lang w:eastAsia="en-US"/>
        </w:rPr>
      </w:pPr>
      <w:r w:rsidRPr="00C220BD">
        <w:rPr>
          <w:b/>
          <w:bCs/>
          <w:szCs w:val="22"/>
        </w:rPr>
        <w:t xml:space="preserve">Šis pakuotės </w:t>
      </w:r>
      <w:r w:rsidRPr="00C220BD">
        <w:rPr>
          <w:b/>
          <w:szCs w:val="22"/>
        </w:rPr>
        <w:t xml:space="preserve">lapelis paskutinį kartą peržiūrėtas </w:t>
      </w:r>
      <w:r>
        <w:rPr>
          <w:b/>
          <w:szCs w:val="22"/>
        </w:rPr>
        <w:t>2025-10-24.</w:t>
      </w:r>
    </w:p>
    <w:p w14:paraId="5C89AFD9" w14:textId="77777777" w:rsidR="00F33154" w:rsidRPr="00C220BD" w:rsidRDefault="00F33154" w:rsidP="00F33154">
      <w:pPr>
        <w:rPr>
          <w:szCs w:val="22"/>
          <w:lang w:eastAsia="en-US"/>
        </w:rPr>
      </w:pPr>
    </w:p>
    <w:p w14:paraId="292C120B" w14:textId="77777777" w:rsidR="00F33154" w:rsidRPr="00C220BD" w:rsidRDefault="00F33154" w:rsidP="00F33154">
      <w:pPr>
        <w:rPr>
          <w:szCs w:val="22"/>
          <w:lang w:eastAsia="en-US"/>
        </w:rPr>
      </w:pPr>
      <w:r w:rsidRPr="00C220BD">
        <w:rPr>
          <w:szCs w:val="22"/>
          <w:lang w:eastAsia="en-US"/>
        </w:rPr>
        <w:t xml:space="preserve">Išsami informacija apie šį vaistą pateikiama Valstybinės vaistų kontrolės tarnybos prie Lietuvos Respublikos sveikatos apsaugos ministerijos tinklalapyje </w:t>
      </w:r>
      <w:hyperlink r:id="rId5" w:history="1">
        <w:r w:rsidRPr="002A7560">
          <w:rPr>
            <w:rStyle w:val="Hipersaitas"/>
          </w:rPr>
          <w:t>https://vvkt.lrv.lt/lt/</w:t>
        </w:r>
      </w:hyperlink>
      <w:r w:rsidRPr="00F0619E">
        <w:t>.</w:t>
      </w:r>
      <w:r>
        <w:t xml:space="preserve"> </w:t>
      </w:r>
    </w:p>
    <w:p w14:paraId="1ABCED4A" w14:textId="77777777" w:rsidR="00F33154" w:rsidRPr="00C220BD" w:rsidRDefault="00F33154" w:rsidP="00F33154"/>
    <w:p w14:paraId="5CE7F9B0" w14:textId="77777777" w:rsidR="00F33154" w:rsidRPr="00C220BD" w:rsidRDefault="00F33154" w:rsidP="00F33154"/>
    <w:p w14:paraId="3039457A" w14:textId="77777777" w:rsidR="00222FED" w:rsidRDefault="00222FED"/>
    <w:sectPr w:rsidR="00222FED" w:rsidSect="00F33154">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E8D2" w14:textId="77777777" w:rsidR="00F33154" w:rsidRDefault="00F33154">
    <w:pPr>
      <w:pStyle w:val="Porat"/>
      <w:jc w:val="center"/>
    </w:pPr>
    <w:r>
      <w:fldChar w:fldCharType="begin"/>
    </w:r>
    <w:r>
      <w:instrText>PAGE   \* MERGEFORMAT</w:instrText>
    </w:r>
    <w:r>
      <w:fldChar w:fldCharType="separate"/>
    </w:r>
    <w:r>
      <w:rPr>
        <w:noProof/>
      </w:rPr>
      <w:t>1</w:t>
    </w:r>
    <w:r>
      <w:rPr>
        <w:noProof/>
      </w:rPr>
      <w:t>9</w:t>
    </w:r>
    <w:r>
      <w:fldChar w:fldCharType="end"/>
    </w:r>
  </w:p>
  <w:p w14:paraId="36D9A4C5" w14:textId="77777777" w:rsidR="00F33154" w:rsidRDefault="00F3315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AB8E" w14:textId="77777777" w:rsidR="00F33154" w:rsidRDefault="00F331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0972"/>
    <w:multiLevelType w:val="hybridMultilevel"/>
    <w:tmpl w:val="F3627946"/>
    <w:lvl w:ilvl="0" w:tplc="45424838">
      <w:start w:val="1"/>
      <w:numFmt w:val="bullet"/>
      <w:lvlText w:val=""/>
      <w:lvlJc w:val="left"/>
      <w:pPr>
        <w:tabs>
          <w:tab w:val="num" w:pos="567"/>
        </w:tabs>
        <w:ind w:left="567" w:hanging="567"/>
      </w:pPr>
      <w:rPr>
        <w:rFonts w:ascii="Symbol" w:hAnsi="Symbol" w:hint="default"/>
        <w:color w:val="auto"/>
      </w:rPr>
    </w:lvl>
    <w:lvl w:ilvl="1" w:tplc="EAECE244">
      <w:start w:val="1"/>
      <w:numFmt w:val="bullet"/>
      <w:lvlText w:val="o"/>
      <w:lvlJc w:val="left"/>
      <w:pPr>
        <w:tabs>
          <w:tab w:val="num" w:pos="1134"/>
        </w:tabs>
        <w:ind w:left="1134" w:hanging="283"/>
      </w:pPr>
      <w:rPr>
        <w:rFonts w:ascii="Courier New" w:hAnsi="Courier New"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F2EBC"/>
    <w:multiLevelType w:val="hybridMultilevel"/>
    <w:tmpl w:val="3AD80432"/>
    <w:lvl w:ilvl="0" w:tplc="33D00878">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E90DD3"/>
    <w:multiLevelType w:val="hybridMultilevel"/>
    <w:tmpl w:val="FAA06154"/>
    <w:lvl w:ilvl="0" w:tplc="33D00878">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4768E2"/>
    <w:multiLevelType w:val="hybridMultilevel"/>
    <w:tmpl w:val="090203A4"/>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444D70"/>
    <w:multiLevelType w:val="hybridMultilevel"/>
    <w:tmpl w:val="F6744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C17796"/>
    <w:multiLevelType w:val="hybridMultilevel"/>
    <w:tmpl w:val="23889B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5B5DA6"/>
    <w:multiLevelType w:val="hybridMultilevel"/>
    <w:tmpl w:val="E976D6FC"/>
    <w:lvl w:ilvl="0" w:tplc="DFC87914">
      <w:start w:val="1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549F7"/>
    <w:multiLevelType w:val="hybridMultilevel"/>
    <w:tmpl w:val="399A1F0A"/>
    <w:lvl w:ilvl="0" w:tplc="FFECBC78">
      <w:start w:val="1"/>
      <w:numFmt w:val="bullet"/>
      <w:lvlText w:val="-"/>
      <w:lvlJc w:val="left"/>
      <w:pPr>
        <w:ind w:left="720" w:hanging="360"/>
      </w:pPr>
      <w:rPr>
        <w:rFonts w:ascii="Courier New" w:hAnsi="Courier New" w:hint="default"/>
      </w:rPr>
    </w:lvl>
    <w:lvl w:ilvl="1" w:tplc="03E47A94">
      <w:numFmt w:val="bullet"/>
      <w:lvlText w:val="-"/>
      <w:lvlJc w:val="left"/>
      <w:pPr>
        <w:ind w:left="1440" w:hanging="360"/>
      </w:pPr>
      <w:rPr>
        <w:rFonts w:ascii="Times New Roman" w:hAnsi="Times New Roman"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8211B3"/>
    <w:multiLevelType w:val="hybridMultilevel"/>
    <w:tmpl w:val="57B4F4E6"/>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C41C56"/>
    <w:multiLevelType w:val="hybridMultilevel"/>
    <w:tmpl w:val="815C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41297"/>
    <w:multiLevelType w:val="hybridMultilevel"/>
    <w:tmpl w:val="D6680642"/>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724"/>
        </w:tabs>
        <w:ind w:left="1724" w:hanging="360"/>
      </w:pPr>
      <w:rPr>
        <w:rFonts w:ascii="Courier New" w:hAnsi="Courier New" w:hint="default"/>
      </w:rPr>
    </w:lvl>
    <w:lvl w:ilvl="2" w:tplc="04270005" w:tentative="1">
      <w:start w:val="1"/>
      <w:numFmt w:val="bullet"/>
      <w:lvlText w:val=""/>
      <w:lvlJc w:val="left"/>
      <w:pPr>
        <w:tabs>
          <w:tab w:val="num" w:pos="2444"/>
        </w:tabs>
        <w:ind w:left="2444" w:hanging="360"/>
      </w:pPr>
      <w:rPr>
        <w:rFonts w:ascii="Wingdings" w:hAnsi="Wingdings" w:hint="default"/>
      </w:rPr>
    </w:lvl>
    <w:lvl w:ilvl="3" w:tplc="04270001" w:tentative="1">
      <w:start w:val="1"/>
      <w:numFmt w:val="bullet"/>
      <w:lvlText w:val=""/>
      <w:lvlJc w:val="left"/>
      <w:pPr>
        <w:tabs>
          <w:tab w:val="num" w:pos="3164"/>
        </w:tabs>
        <w:ind w:left="3164" w:hanging="360"/>
      </w:pPr>
      <w:rPr>
        <w:rFonts w:ascii="Symbol" w:hAnsi="Symbol" w:hint="default"/>
      </w:rPr>
    </w:lvl>
    <w:lvl w:ilvl="4" w:tplc="04270003" w:tentative="1">
      <w:start w:val="1"/>
      <w:numFmt w:val="bullet"/>
      <w:lvlText w:val="o"/>
      <w:lvlJc w:val="left"/>
      <w:pPr>
        <w:tabs>
          <w:tab w:val="num" w:pos="3884"/>
        </w:tabs>
        <w:ind w:left="3884" w:hanging="360"/>
      </w:pPr>
      <w:rPr>
        <w:rFonts w:ascii="Courier New" w:hAnsi="Courier New" w:hint="default"/>
      </w:rPr>
    </w:lvl>
    <w:lvl w:ilvl="5" w:tplc="04270005" w:tentative="1">
      <w:start w:val="1"/>
      <w:numFmt w:val="bullet"/>
      <w:lvlText w:val=""/>
      <w:lvlJc w:val="left"/>
      <w:pPr>
        <w:tabs>
          <w:tab w:val="num" w:pos="4604"/>
        </w:tabs>
        <w:ind w:left="4604" w:hanging="360"/>
      </w:pPr>
      <w:rPr>
        <w:rFonts w:ascii="Wingdings" w:hAnsi="Wingdings" w:hint="default"/>
      </w:rPr>
    </w:lvl>
    <w:lvl w:ilvl="6" w:tplc="04270001" w:tentative="1">
      <w:start w:val="1"/>
      <w:numFmt w:val="bullet"/>
      <w:lvlText w:val=""/>
      <w:lvlJc w:val="left"/>
      <w:pPr>
        <w:tabs>
          <w:tab w:val="num" w:pos="5324"/>
        </w:tabs>
        <w:ind w:left="5324" w:hanging="360"/>
      </w:pPr>
      <w:rPr>
        <w:rFonts w:ascii="Symbol" w:hAnsi="Symbol" w:hint="default"/>
      </w:rPr>
    </w:lvl>
    <w:lvl w:ilvl="7" w:tplc="04270003" w:tentative="1">
      <w:start w:val="1"/>
      <w:numFmt w:val="bullet"/>
      <w:lvlText w:val="o"/>
      <w:lvlJc w:val="left"/>
      <w:pPr>
        <w:tabs>
          <w:tab w:val="num" w:pos="6044"/>
        </w:tabs>
        <w:ind w:left="6044" w:hanging="360"/>
      </w:pPr>
      <w:rPr>
        <w:rFonts w:ascii="Courier New" w:hAnsi="Courier New" w:hint="default"/>
      </w:rPr>
    </w:lvl>
    <w:lvl w:ilvl="8" w:tplc="0427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6D8C5659"/>
    <w:multiLevelType w:val="hybridMultilevel"/>
    <w:tmpl w:val="9984F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04543C3"/>
    <w:multiLevelType w:val="hybridMultilevel"/>
    <w:tmpl w:val="50C880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3AD16FD"/>
    <w:multiLevelType w:val="hybridMultilevel"/>
    <w:tmpl w:val="7CB23A0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B680951"/>
    <w:multiLevelType w:val="hybridMultilevel"/>
    <w:tmpl w:val="8604BDD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62545859">
    <w:abstractNumId w:val="6"/>
  </w:num>
  <w:num w:numId="2" w16cid:durableId="820538706">
    <w:abstractNumId w:val="0"/>
  </w:num>
  <w:num w:numId="3" w16cid:durableId="178324809">
    <w:abstractNumId w:val="10"/>
  </w:num>
  <w:num w:numId="4" w16cid:durableId="1774520408">
    <w:abstractNumId w:val="3"/>
  </w:num>
  <w:num w:numId="5" w16cid:durableId="382605743">
    <w:abstractNumId w:val="8"/>
  </w:num>
  <w:num w:numId="6" w16cid:durableId="177355255">
    <w:abstractNumId w:val="1"/>
  </w:num>
  <w:num w:numId="7" w16cid:durableId="818109079">
    <w:abstractNumId w:val="2"/>
  </w:num>
  <w:num w:numId="8" w16cid:durableId="1510758728">
    <w:abstractNumId w:val="5"/>
  </w:num>
  <w:num w:numId="9" w16cid:durableId="1855920241">
    <w:abstractNumId w:val="11"/>
  </w:num>
  <w:num w:numId="10" w16cid:durableId="1689408839">
    <w:abstractNumId w:val="14"/>
  </w:num>
  <w:num w:numId="11" w16cid:durableId="1523084627">
    <w:abstractNumId w:val="13"/>
  </w:num>
  <w:num w:numId="12" w16cid:durableId="101808367">
    <w:abstractNumId w:val="7"/>
  </w:num>
  <w:num w:numId="13" w16cid:durableId="1067340534">
    <w:abstractNumId w:val="4"/>
  </w:num>
  <w:num w:numId="14" w16cid:durableId="1807620095">
    <w:abstractNumId w:val="12"/>
  </w:num>
  <w:num w:numId="15" w16cid:durableId="219834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54"/>
    <w:rsid w:val="00183C70"/>
    <w:rsid w:val="00222FED"/>
    <w:rsid w:val="005F173E"/>
    <w:rsid w:val="008B3AD4"/>
    <w:rsid w:val="00984A0A"/>
    <w:rsid w:val="00D047C4"/>
    <w:rsid w:val="00EC0D97"/>
    <w:rsid w:val="00F33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D045"/>
  <w15:chartTrackingRefBased/>
  <w15:docId w15:val="{494A0E74-AD2F-4506-9FFC-598E93B1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3154"/>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F33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33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331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331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3315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3315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3315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3315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3315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315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3315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3315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3315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3315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3315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3315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3315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3315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3315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331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331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3315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331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33154"/>
    <w:rPr>
      <w:i/>
      <w:iCs/>
      <w:color w:val="404040" w:themeColor="text1" w:themeTint="BF"/>
    </w:rPr>
  </w:style>
  <w:style w:type="paragraph" w:styleId="Sraopastraipa">
    <w:name w:val="List Paragraph"/>
    <w:basedOn w:val="prastasis"/>
    <w:uiPriority w:val="34"/>
    <w:qFormat/>
    <w:rsid w:val="00F33154"/>
    <w:pPr>
      <w:ind w:left="720"/>
      <w:contextualSpacing/>
    </w:pPr>
  </w:style>
  <w:style w:type="character" w:styleId="Rykuspabraukimas">
    <w:name w:val="Intense Emphasis"/>
    <w:basedOn w:val="Numatytasispastraiposriftas"/>
    <w:uiPriority w:val="21"/>
    <w:qFormat/>
    <w:rsid w:val="00F33154"/>
    <w:rPr>
      <w:i/>
      <w:iCs/>
      <w:color w:val="0F4761" w:themeColor="accent1" w:themeShade="BF"/>
    </w:rPr>
  </w:style>
  <w:style w:type="paragraph" w:styleId="Iskirtacitata">
    <w:name w:val="Intense Quote"/>
    <w:basedOn w:val="prastasis"/>
    <w:next w:val="prastasis"/>
    <w:link w:val="IskirtacitataDiagrama"/>
    <w:uiPriority w:val="30"/>
    <w:qFormat/>
    <w:rsid w:val="00F33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33154"/>
    <w:rPr>
      <w:i/>
      <w:iCs/>
      <w:color w:val="0F4761" w:themeColor="accent1" w:themeShade="BF"/>
    </w:rPr>
  </w:style>
  <w:style w:type="character" w:styleId="Rykinuoroda">
    <w:name w:val="Intense Reference"/>
    <w:basedOn w:val="Numatytasispastraiposriftas"/>
    <w:uiPriority w:val="32"/>
    <w:qFormat/>
    <w:rsid w:val="00F33154"/>
    <w:rPr>
      <w:b/>
      <w:bCs/>
      <w:smallCaps/>
      <w:color w:val="0F4761" w:themeColor="accent1" w:themeShade="BF"/>
      <w:spacing w:val="5"/>
    </w:rPr>
  </w:style>
  <w:style w:type="paragraph" w:styleId="Porat">
    <w:name w:val="footer"/>
    <w:basedOn w:val="prastasis"/>
    <w:link w:val="PoratDiagrama"/>
    <w:uiPriority w:val="99"/>
    <w:rsid w:val="00F33154"/>
    <w:pPr>
      <w:tabs>
        <w:tab w:val="center" w:pos="4153"/>
        <w:tab w:val="right" w:pos="8306"/>
      </w:tabs>
    </w:pPr>
  </w:style>
  <w:style w:type="character" w:customStyle="1" w:styleId="PoratDiagrama">
    <w:name w:val="Poraštė Diagrama"/>
    <w:basedOn w:val="Numatytasispastraiposriftas"/>
    <w:link w:val="Porat"/>
    <w:uiPriority w:val="99"/>
    <w:rsid w:val="00F33154"/>
    <w:rPr>
      <w:rFonts w:eastAsia="Times New Roman"/>
      <w:kern w:val="0"/>
      <w:szCs w:val="20"/>
      <w:lang w:eastAsia="lt-LT"/>
      <w14:ligatures w14:val="none"/>
    </w:rPr>
  </w:style>
  <w:style w:type="character" w:styleId="Hipersaitas">
    <w:name w:val="Hyperlink"/>
    <w:uiPriority w:val="99"/>
    <w:rsid w:val="00F33154"/>
    <w:rPr>
      <w:rFonts w:cs="Times New Roman"/>
      <w:color w:val="0000FF"/>
      <w:u w:val="single"/>
    </w:rPr>
  </w:style>
  <w:style w:type="paragraph" w:styleId="Antrats">
    <w:name w:val="header"/>
    <w:basedOn w:val="prastasis"/>
    <w:link w:val="AntratsDiagrama"/>
    <w:uiPriority w:val="99"/>
    <w:rsid w:val="00F33154"/>
    <w:pPr>
      <w:tabs>
        <w:tab w:val="center" w:pos="4986"/>
        <w:tab w:val="right" w:pos="9972"/>
      </w:tabs>
    </w:pPr>
  </w:style>
  <w:style w:type="character" w:customStyle="1" w:styleId="AntratsDiagrama">
    <w:name w:val="Antraštės Diagrama"/>
    <w:basedOn w:val="Numatytasispastraiposriftas"/>
    <w:link w:val="Antrats"/>
    <w:uiPriority w:val="99"/>
    <w:rsid w:val="00F33154"/>
    <w:rPr>
      <w:rFonts w:eastAsia="Times New Roman"/>
      <w:kern w:val="0"/>
      <w:szCs w:val="20"/>
      <w:lang w:eastAsia="lt-LT"/>
      <w14:ligatures w14:val="none"/>
    </w:rPr>
  </w:style>
  <w:style w:type="paragraph" w:customStyle="1" w:styleId="Default">
    <w:name w:val="Default"/>
    <w:rsid w:val="00F33154"/>
    <w:pPr>
      <w:autoSpaceDE w:val="0"/>
      <w:autoSpaceDN w:val="0"/>
      <w:adjustRightInd w:val="0"/>
      <w:spacing w:after="0" w:line="240" w:lineRule="auto"/>
    </w:pPr>
    <w:rPr>
      <w:rFonts w:eastAsia="Times New Roman"/>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12408</Words>
  <Characters>7074</Characters>
  <Application>Microsoft Office Word</Application>
  <DocSecurity>0</DocSecurity>
  <Lines>58</Lines>
  <Paragraphs>38</Paragraphs>
  <ScaleCrop>false</ScaleCrop>
  <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2026-01-14T08:38:00Z</dcterms:created>
  <dcterms:modified xsi:type="dcterms:W3CDTF">2026-01-14T08:39:00Z</dcterms:modified>
</cp:coreProperties>
</file>