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17D99" w14:textId="77777777" w:rsidR="00D75E9B" w:rsidRPr="004C5A75" w:rsidRDefault="00D75E9B" w:rsidP="00D75E9B">
      <w:pPr>
        <w:rPr>
          <w:rFonts w:ascii="Times New Roman" w:hAnsi="Times New Roman"/>
          <w:sz w:val="22"/>
          <w:lang w:val="lt-LT"/>
        </w:rPr>
      </w:pPr>
      <w:bookmarkStart w:id="0" w:name="_GoBack"/>
      <w:bookmarkEnd w:id="0"/>
    </w:p>
    <w:p w14:paraId="17C17D9A" w14:textId="77777777" w:rsidR="00D75E9B" w:rsidRPr="004C5A75" w:rsidRDefault="00D75E9B" w:rsidP="00D75E9B">
      <w:pPr>
        <w:rPr>
          <w:rFonts w:ascii="Times New Roman" w:hAnsi="Times New Roman"/>
          <w:sz w:val="22"/>
          <w:lang w:val="lt-LT"/>
        </w:rPr>
      </w:pPr>
    </w:p>
    <w:p w14:paraId="17C17D9B"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9C"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9D"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9E"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9F"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0"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1"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2"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3"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4"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5"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6"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7"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8"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9"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A"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B"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C"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D" w14:textId="77777777" w:rsidR="00D75E9B" w:rsidRPr="004C5A75" w:rsidRDefault="00D75E9B" w:rsidP="00D75E9B">
      <w:pPr>
        <w:numPr>
          <w:ilvl w:val="12"/>
          <w:numId w:val="0"/>
        </w:numPr>
        <w:jc w:val="center"/>
        <w:rPr>
          <w:rFonts w:ascii="Times New Roman" w:hAnsi="Times New Roman"/>
          <w:b/>
          <w:bCs/>
          <w:sz w:val="22"/>
          <w:szCs w:val="22"/>
          <w:lang w:val="lt-LT"/>
        </w:rPr>
      </w:pPr>
    </w:p>
    <w:p w14:paraId="17C17DAE" w14:textId="77777777" w:rsidR="00D75E9B" w:rsidRPr="004C5A75" w:rsidRDefault="00D75E9B" w:rsidP="00D75E9B">
      <w:pPr>
        <w:numPr>
          <w:ilvl w:val="12"/>
          <w:numId w:val="0"/>
        </w:numPr>
        <w:jc w:val="center"/>
        <w:rPr>
          <w:rFonts w:ascii="Times New Roman" w:hAnsi="Times New Roman"/>
          <w:b/>
          <w:bCs/>
          <w:sz w:val="22"/>
          <w:szCs w:val="22"/>
          <w:lang w:val="lt-LT"/>
        </w:rPr>
      </w:pPr>
      <w:r w:rsidRPr="004C5A75">
        <w:rPr>
          <w:rFonts w:ascii="Times New Roman" w:hAnsi="Times New Roman"/>
          <w:b/>
          <w:bCs/>
          <w:sz w:val="22"/>
          <w:szCs w:val="22"/>
          <w:lang w:val="lt-LT"/>
        </w:rPr>
        <w:t>I PRIEDAS</w:t>
      </w:r>
    </w:p>
    <w:p w14:paraId="17C17DAF" w14:textId="77777777" w:rsidR="00D75E9B" w:rsidRPr="004C5A75" w:rsidRDefault="00D75E9B" w:rsidP="00D75E9B">
      <w:pPr>
        <w:numPr>
          <w:ilvl w:val="12"/>
          <w:numId w:val="0"/>
        </w:numPr>
        <w:jc w:val="center"/>
        <w:rPr>
          <w:rFonts w:ascii="Times New Roman" w:hAnsi="Times New Roman"/>
          <w:sz w:val="22"/>
          <w:szCs w:val="22"/>
          <w:lang w:val="lt-LT"/>
        </w:rPr>
      </w:pPr>
    </w:p>
    <w:p w14:paraId="17C17DB0" w14:textId="77777777" w:rsidR="00D75E9B" w:rsidRPr="004C5A75" w:rsidRDefault="00D75E9B" w:rsidP="00D75E9B">
      <w:pPr>
        <w:widowControl w:val="0"/>
        <w:jc w:val="center"/>
        <w:rPr>
          <w:rFonts w:ascii="Times New Roman" w:hAnsi="Times New Roman"/>
          <w:b/>
          <w:bCs/>
          <w:sz w:val="22"/>
          <w:szCs w:val="22"/>
          <w:lang w:val="lt-LT"/>
        </w:rPr>
      </w:pPr>
      <w:r w:rsidRPr="004C5A75">
        <w:rPr>
          <w:rFonts w:ascii="Times New Roman" w:hAnsi="Times New Roman"/>
          <w:b/>
          <w:sz w:val="22"/>
          <w:szCs w:val="22"/>
          <w:lang w:val="lt-LT"/>
        </w:rPr>
        <w:t>PREPARATO CHARAKTERISTIKŲ SANTRAUKA</w:t>
      </w:r>
    </w:p>
    <w:p w14:paraId="17C17DB1" w14:textId="77777777" w:rsidR="00D75E9B" w:rsidRPr="004C5A75" w:rsidRDefault="00D75E9B" w:rsidP="00D75E9B">
      <w:pPr>
        <w:widowControl w:val="0"/>
        <w:ind w:left="540" w:hanging="540"/>
        <w:rPr>
          <w:rFonts w:ascii="Times New Roman" w:hAnsi="Times New Roman"/>
          <w:b/>
          <w:bCs/>
          <w:sz w:val="22"/>
          <w:szCs w:val="22"/>
          <w:lang w:val="lt-LT"/>
        </w:rPr>
      </w:pPr>
      <w:r w:rsidRPr="004C5A75">
        <w:rPr>
          <w:rFonts w:ascii="Times New Roman" w:hAnsi="Times New Roman"/>
          <w:b/>
          <w:bCs/>
          <w:sz w:val="22"/>
          <w:szCs w:val="22"/>
          <w:lang w:val="lt-LT"/>
        </w:rPr>
        <w:br w:type="page"/>
      </w:r>
      <w:r w:rsidRPr="004C5A75">
        <w:rPr>
          <w:rFonts w:ascii="Times New Roman" w:hAnsi="Times New Roman"/>
          <w:b/>
          <w:bCs/>
          <w:sz w:val="22"/>
          <w:szCs w:val="22"/>
          <w:lang w:val="lt-LT"/>
        </w:rPr>
        <w:lastRenderedPageBreak/>
        <w:t>1.</w:t>
      </w:r>
      <w:r w:rsidRPr="004C5A75">
        <w:rPr>
          <w:rFonts w:ascii="Times New Roman" w:hAnsi="Times New Roman"/>
          <w:b/>
          <w:bCs/>
          <w:sz w:val="22"/>
          <w:szCs w:val="22"/>
          <w:lang w:val="lt-LT"/>
        </w:rPr>
        <w:tab/>
        <w:t>VAISTINIO PREPARATO PAVADINIMAS</w:t>
      </w:r>
    </w:p>
    <w:p w14:paraId="17C17DB2" w14:textId="77777777" w:rsidR="00D75E9B" w:rsidRPr="004C5A75" w:rsidRDefault="00D75E9B" w:rsidP="00D75E9B">
      <w:pPr>
        <w:rPr>
          <w:rFonts w:ascii="Times New Roman" w:hAnsi="Times New Roman"/>
          <w:sz w:val="22"/>
          <w:szCs w:val="22"/>
          <w:lang w:val="lt-LT"/>
        </w:rPr>
      </w:pPr>
    </w:p>
    <w:p w14:paraId="17C17DB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10 mg/5 mg tabletės</w:t>
      </w:r>
    </w:p>
    <w:p w14:paraId="17C17DB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 tabletės</w:t>
      </w:r>
    </w:p>
    <w:p w14:paraId="17C17DB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 tabletės</w:t>
      </w:r>
    </w:p>
    <w:p w14:paraId="17C17DB6" w14:textId="77777777" w:rsidR="00D75E9B" w:rsidRPr="004C5A75" w:rsidRDefault="00D75E9B" w:rsidP="00D75E9B">
      <w:pPr>
        <w:rPr>
          <w:rFonts w:ascii="Times New Roman" w:hAnsi="Times New Roman"/>
          <w:sz w:val="22"/>
          <w:szCs w:val="22"/>
          <w:lang w:val="lt-LT"/>
        </w:rPr>
      </w:pPr>
    </w:p>
    <w:p w14:paraId="17C17DB7" w14:textId="77777777" w:rsidR="00D75E9B" w:rsidRPr="004C5A75" w:rsidRDefault="00D75E9B" w:rsidP="00D75E9B">
      <w:pPr>
        <w:rPr>
          <w:rFonts w:ascii="Times New Roman" w:hAnsi="Times New Roman"/>
          <w:sz w:val="22"/>
          <w:szCs w:val="22"/>
          <w:lang w:val="lt-LT"/>
        </w:rPr>
      </w:pPr>
    </w:p>
    <w:p w14:paraId="17C17DB8" w14:textId="77777777" w:rsidR="00D75E9B" w:rsidRPr="004C5A75" w:rsidRDefault="00D75E9B" w:rsidP="00D75E9B">
      <w:pPr>
        <w:widowControl w:val="0"/>
        <w:ind w:left="540" w:hanging="540"/>
        <w:rPr>
          <w:rFonts w:ascii="Times New Roman" w:hAnsi="Times New Roman"/>
          <w:sz w:val="22"/>
          <w:szCs w:val="22"/>
          <w:lang w:val="lt-LT"/>
        </w:rPr>
      </w:pPr>
      <w:r w:rsidRPr="004C5A75">
        <w:rPr>
          <w:rFonts w:ascii="Times New Roman" w:hAnsi="Times New Roman"/>
          <w:b/>
          <w:bCs/>
          <w:sz w:val="22"/>
          <w:szCs w:val="22"/>
          <w:lang w:val="lt-LT"/>
        </w:rPr>
        <w:t>2.</w:t>
      </w:r>
      <w:r w:rsidRPr="004C5A75">
        <w:rPr>
          <w:rFonts w:ascii="Times New Roman" w:hAnsi="Times New Roman"/>
          <w:b/>
          <w:bCs/>
          <w:sz w:val="22"/>
          <w:szCs w:val="22"/>
          <w:lang w:val="lt-LT"/>
        </w:rPr>
        <w:tab/>
        <w:t>KOKYBINĖ IR KIEKYBINĖ SUDĖTIS</w:t>
      </w:r>
    </w:p>
    <w:p w14:paraId="17C17DB9" w14:textId="77777777" w:rsidR="00D75E9B" w:rsidRPr="004C5A75" w:rsidRDefault="00D75E9B" w:rsidP="00D75E9B">
      <w:pPr>
        <w:rPr>
          <w:rFonts w:ascii="Times New Roman" w:hAnsi="Times New Roman"/>
          <w:sz w:val="22"/>
          <w:szCs w:val="22"/>
          <w:lang w:val="lt-LT"/>
        </w:rPr>
      </w:pPr>
    </w:p>
    <w:p w14:paraId="17C17DB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10 mg/5 mg tabletės</w:t>
      </w:r>
    </w:p>
    <w:p w14:paraId="17C17DBB"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Vienoje tabletėje yra 10 mg lizinoprilio (dihidrato pavidalu) ir 5 mg amlodipino (besilato pavidalu).</w:t>
      </w:r>
    </w:p>
    <w:p w14:paraId="17C17DBC" w14:textId="77777777" w:rsidR="00D75E9B" w:rsidRPr="004C5A75" w:rsidRDefault="00D75E9B" w:rsidP="00D75E9B">
      <w:pPr>
        <w:rPr>
          <w:rFonts w:ascii="Times New Roman" w:hAnsi="Times New Roman"/>
          <w:sz w:val="22"/>
          <w:szCs w:val="22"/>
          <w:lang w:val="lt-LT"/>
        </w:rPr>
      </w:pPr>
    </w:p>
    <w:p w14:paraId="17C17DB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 tabletės</w:t>
      </w:r>
    </w:p>
    <w:p w14:paraId="17C17DBE"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Vienoje tabletėje yra 20 mg lizinoprilio (dihidrato pavidalu) ir 10 mg amlodipino (besilato pavidalu).</w:t>
      </w:r>
    </w:p>
    <w:p w14:paraId="17C17DBF" w14:textId="77777777" w:rsidR="00D75E9B" w:rsidRPr="004C5A75" w:rsidRDefault="00D75E9B" w:rsidP="00D75E9B">
      <w:pPr>
        <w:rPr>
          <w:rFonts w:ascii="Times New Roman" w:hAnsi="Times New Roman"/>
          <w:sz w:val="22"/>
          <w:szCs w:val="22"/>
          <w:lang w:val="lt-LT"/>
        </w:rPr>
      </w:pPr>
    </w:p>
    <w:p w14:paraId="17C17DC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 tabletės</w:t>
      </w:r>
    </w:p>
    <w:p w14:paraId="17C17DC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Vienoje tabletėje yra 20 mg lizinoprilio (dihidrato pavidalu) ir 5 mg amlodipino (besilato pavidalu).</w:t>
      </w:r>
    </w:p>
    <w:p w14:paraId="17C17DC2" w14:textId="77777777" w:rsidR="00172B18" w:rsidRDefault="00172B18" w:rsidP="00D75E9B">
      <w:pPr>
        <w:rPr>
          <w:rFonts w:ascii="Times New Roman" w:hAnsi="Times New Roman"/>
          <w:sz w:val="22"/>
          <w:szCs w:val="22"/>
          <w:u w:val="single"/>
          <w:lang w:val="lt-LT"/>
        </w:rPr>
      </w:pPr>
    </w:p>
    <w:p w14:paraId="17C17DC3" w14:textId="77777777" w:rsidR="00D75E9B" w:rsidRPr="003C6C6E" w:rsidRDefault="00172B18" w:rsidP="00D75E9B">
      <w:pPr>
        <w:rPr>
          <w:rFonts w:ascii="Times New Roman" w:hAnsi="Times New Roman"/>
          <w:sz w:val="22"/>
          <w:szCs w:val="22"/>
          <w:u w:val="single"/>
          <w:lang w:val="lt-LT"/>
        </w:rPr>
      </w:pPr>
      <w:r w:rsidRPr="00172B18">
        <w:rPr>
          <w:rFonts w:ascii="Times New Roman" w:hAnsi="Times New Roman"/>
          <w:sz w:val="22"/>
          <w:szCs w:val="22"/>
          <w:u w:val="single"/>
          <w:lang w:val="lt-LT"/>
        </w:rPr>
        <w:t>Pagalbinė medžiaga, kurios poveikis žinomas:</w:t>
      </w:r>
      <w:r>
        <w:rPr>
          <w:rFonts w:ascii="Times New Roman" w:hAnsi="Times New Roman"/>
          <w:sz w:val="22"/>
          <w:szCs w:val="22"/>
          <w:u w:val="single"/>
          <w:lang w:val="lt-LT"/>
        </w:rPr>
        <w:t>natris</w:t>
      </w:r>
    </w:p>
    <w:p w14:paraId="17C17DC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Visos pagalbinės medžiagos išvardytos 6.1 skyriuje.</w:t>
      </w:r>
    </w:p>
    <w:p w14:paraId="17C17DC5" w14:textId="77777777" w:rsidR="00D75E9B" w:rsidRPr="004C5A75" w:rsidRDefault="00D75E9B" w:rsidP="00D75E9B">
      <w:pPr>
        <w:rPr>
          <w:rFonts w:ascii="Times New Roman" w:hAnsi="Times New Roman"/>
          <w:sz w:val="22"/>
          <w:szCs w:val="22"/>
          <w:lang w:val="lt-LT"/>
        </w:rPr>
      </w:pPr>
    </w:p>
    <w:p w14:paraId="17C17DC6" w14:textId="77777777" w:rsidR="00D75E9B" w:rsidRPr="004C5A75" w:rsidRDefault="00D75E9B" w:rsidP="00D75E9B">
      <w:pPr>
        <w:rPr>
          <w:rFonts w:ascii="Times New Roman" w:hAnsi="Times New Roman"/>
          <w:sz w:val="22"/>
          <w:szCs w:val="22"/>
          <w:lang w:val="lt-LT"/>
        </w:rPr>
      </w:pPr>
    </w:p>
    <w:p w14:paraId="17C17DC7" w14:textId="77777777" w:rsidR="00D75E9B" w:rsidRPr="004C5A75" w:rsidRDefault="00D75E9B" w:rsidP="00D75E9B">
      <w:pPr>
        <w:ind w:left="540" w:hanging="540"/>
        <w:rPr>
          <w:rFonts w:ascii="Times New Roman" w:hAnsi="Times New Roman"/>
          <w:b/>
          <w:bCs/>
          <w:caps/>
          <w:sz w:val="22"/>
          <w:szCs w:val="22"/>
          <w:lang w:val="lt-LT"/>
        </w:rPr>
      </w:pPr>
      <w:r w:rsidRPr="004C5A75">
        <w:rPr>
          <w:rFonts w:ascii="Times New Roman" w:hAnsi="Times New Roman"/>
          <w:b/>
          <w:bCs/>
          <w:sz w:val="22"/>
          <w:szCs w:val="22"/>
          <w:lang w:val="lt-LT"/>
        </w:rPr>
        <w:t>3.</w:t>
      </w:r>
      <w:r w:rsidRPr="004C5A75">
        <w:rPr>
          <w:rFonts w:ascii="Times New Roman" w:hAnsi="Times New Roman"/>
          <w:b/>
          <w:bCs/>
          <w:sz w:val="22"/>
          <w:szCs w:val="22"/>
          <w:lang w:val="lt-LT"/>
        </w:rPr>
        <w:tab/>
        <w:t>FARMACINĖ FORMA</w:t>
      </w:r>
    </w:p>
    <w:p w14:paraId="17C17DC8" w14:textId="77777777" w:rsidR="00D75E9B" w:rsidRPr="004C5A75" w:rsidRDefault="00D75E9B" w:rsidP="00D75E9B">
      <w:pPr>
        <w:rPr>
          <w:rFonts w:ascii="Times New Roman" w:hAnsi="Times New Roman"/>
          <w:sz w:val="22"/>
          <w:szCs w:val="22"/>
          <w:lang w:val="lt-LT"/>
        </w:rPr>
      </w:pPr>
    </w:p>
    <w:p w14:paraId="17C17DC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Tabletė.</w:t>
      </w:r>
    </w:p>
    <w:p w14:paraId="17C17DCA" w14:textId="77777777" w:rsidR="00D75E9B" w:rsidRPr="004C5A75" w:rsidRDefault="00D75E9B" w:rsidP="00D75E9B">
      <w:pPr>
        <w:rPr>
          <w:rFonts w:ascii="Times New Roman" w:hAnsi="Times New Roman"/>
          <w:sz w:val="22"/>
          <w:szCs w:val="22"/>
          <w:lang w:val="lt-LT"/>
        </w:rPr>
      </w:pPr>
    </w:p>
    <w:p w14:paraId="17C17DCB"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10 mg/5 mg tabletės</w:t>
      </w:r>
    </w:p>
    <w:p w14:paraId="17C17DCC"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Tabletės yra baltos ar beveik baltos, apvalios, plokščios, suapvalintais kraštais, su laužimo vagele vienoje pusėje ir įspaudu „A+L“ kitoje pusėje, diametras: apie 8 mm.</w:t>
      </w:r>
    </w:p>
    <w:p w14:paraId="17C17DC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Vagelė skirta tik tabletei perlaužti, kad būtų lengviau nuryti, bet ne jai padalyti į lygias dozes.</w:t>
      </w:r>
    </w:p>
    <w:p w14:paraId="17C17DCE" w14:textId="77777777" w:rsidR="00D75E9B" w:rsidRPr="004C5A75" w:rsidRDefault="00D75E9B" w:rsidP="00D75E9B">
      <w:pPr>
        <w:rPr>
          <w:rFonts w:ascii="Times New Roman" w:hAnsi="Times New Roman"/>
          <w:sz w:val="22"/>
          <w:szCs w:val="22"/>
          <w:lang w:val="lt-LT"/>
        </w:rPr>
      </w:pPr>
    </w:p>
    <w:p w14:paraId="17C17DC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 tabletės</w:t>
      </w:r>
    </w:p>
    <w:p w14:paraId="17C17DD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Tabletės yra baltos ar beveik baltos, apvalios, abipus išgaubtos, vienoje pusėje yra įspaudas „CF3“, kitoje pusėje įspaudo nėra, diametras: apie 11 mm</w:t>
      </w:r>
    </w:p>
    <w:p w14:paraId="17C17DD1" w14:textId="77777777" w:rsidR="00D75E9B" w:rsidRPr="004C5A75" w:rsidRDefault="00D75E9B" w:rsidP="00D75E9B">
      <w:pPr>
        <w:rPr>
          <w:rFonts w:ascii="Times New Roman" w:hAnsi="Times New Roman"/>
          <w:sz w:val="22"/>
          <w:szCs w:val="22"/>
          <w:lang w:val="lt-LT"/>
        </w:rPr>
      </w:pPr>
    </w:p>
    <w:p w14:paraId="17C17DD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 tabletės</w:t>
      </w:r>
    </w:p>
    <w:p w14:paraId="17C17DD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Tabletės yra baltos ar beveik baltos, apvalios, abipus išgaubtos, vienoje pusėje yra įspaudas „CF2“, kitoje pusėje įspaudo nėra, diametras: apie 11 mm.</w:t>
      </w:r>
    </w:p>
    <w:p w14:paraId="17C17DD4" w14:textId="77777777" w:rsidR="00D75E9B" w:rsidRPr="004C5A75" w:rsidRDefault="00D75E9B" w:rsidP="00D75E9B">
      <w:pPr>
        <w:rPr>
          <w:rFonts w:ascii="Times New Roman" w:hAnsi="Times New Roman"/>
          <w:sz w:val="22"/>
          <w:szCs w:val="22"/>
          <w:lang w:val="lt-LT"/>
        </w:rPr>
      </w:pPr>
    </w:p>
    <w:p w14:paraId="17C17DD5" w14:textId="77777777" w:rsidR="00D75E9B" w:rsidRPr="004C5A75" w:rsidRDefault="00D75E9B" w:rsidP="00D75E9B">
      <w:pPr>
        <w:rPr>
          <w:rFonts w:ascii="Times New Roman" w:hAnsi="Times New Roman"/>
          <w:sz w:val="22"/>
          <w:szCs w:val="22"/>
          <w:lang w:val="lt-LT"/>
        </w:rPr>
      </w:pPr>
    </w:p>
    <w:p w14:paraId="17C17DD6" w14:textId="77777777" w:rsidR="00D75E9B" w:rsidRPr="004C5A75" w:rsidRDefault="00D75E9B" w:rsidP="00D75E9B">
      <w:pPr>
        <w:ind w:left="540" w:hanging="540"/>
        <w:rPr>
          <w:rFonts w:ascii="Times New Roman" w:hAnsi="Times New Roman"/>
          <w:caps/>
          <w:sz w:val="22"/>
          <w:szCs w:val="22"/>
          <w:lang w:val="lt-LT"/>
        </w:rPr>
      </w:pPr>
      <w:r w:rsidRPr="004C5A75">
        <w:rPr>
          <w:rFonts w:ascii="Times New Roman" w:hAnsi="Times New Roman"/>
          <w:b/>
          <w:bCs/>
          <w:caps/>
          <w:sz w:val="22"/>
          <w:szCs w:val="22"/>
          <w:lang w:val="lt-LT"/>
        </w:rPr>
        <w:t>4.</w:t>
      </w:r>
      <w:r w:rsidRPr="004C5A75">
        <w:rPr>
          <w:rFonts w:ascii="Times New Roman" w:hAnsi="Times New Roman"/>
          <w:b/>
          <w:bCs/>
          <w:caps/>
          <w:sz w:val="22"/>
          <w:szCs w:val="22"/>
          <w:lang w:val="lt-LT"/>
        </w:rPr>
        <w:tab/>
        <w:t>klinikinĖ informacija</w:t>
      </w:r>
    </w:p>
    <w:p w14:paraId="17C17DD7" w14:textId="77777777" w:rsidR="00D75E9B" w:rsidRPr="004C5A75" w:rsidRDefault="00D75E9B" w:rsidP="00D75E9B">
      <w:pPr>
        <w:rPr>
          <w:rFonts w:ascii="Times New Roman" w:hAnsi="Times New Roman"/>
          <w:sz w:val="22"/>
          <w:szCs w:val="22"/>
          <w:lang w:val="lt-LT"/>
        </w:rPr>
      </w:pPr>
    </w:p>
    <w:p w14:paraId="17C17DD8"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
          <w:bCs/>
          <w:sz w:val="22"/>
          <w:szCs w:val="22"/>
          <w:lang w:val="lt-LT"/>
        </w:rPr>
        <w:t>4.1</w:t>
      </w:r>
      <w:r w:rsidRPr="004C5A75">
        <w:rPr>
          <w:rFonts w:ascii="Times New Roman" w:hAnsi="Times New Roman"/>
          <w:b/>
          <w:bCs/>
          <w:sz w:val="22"/>
          <w:szCs w:val="22"/>
          <w:lang w:val="lt-LT"/>
        </w:rPr>
        <w:tab/>
        <w:t>Terapinės indikacijos</w:t>
      </w:r>
    </w:p>
    <w:p w14:paraId="17C17DD9" w14:textId="77777777" w:rsidR="00D75E9B" w:rsidRPr="004C5A75" w:rsidRDefault="00D75E9B" w:rsidP="00D75E9B">
      <w:pPr>
        <w:rPr>
          <w:rFonts w:ascii="Times New Roman" w:hAnsi="Times New Roman"/>
          <w:sz w:val="22"/>
          <w:szCs w:val="22"/>
          <w:lang w:val="lt-LT"/>
        </w:rPr>
      </w:pPr>
    </w:p>
    <w:p w14:paraId="17C17DD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Suaugusiųjų pirminės arterinės hipertenzijos gydymas. </w:t>
      </w:r>
    </w:p>
    <w:p w14:paraId="17C17DDB" w14:textId="77777777" w:rsidR="00D75E9B" w:rsidRPr="004C5A75" w:rsidRDefault="00D75E9B" w:rsidP="00D75E9B">
      <w:pPr>
        <w:rPr>
          <w:rFonts w:ascii="Times New Roman" w:hAnsi="Times New Roman"/>
          <w:sz w:val="22"/>
          <w:szCs w:val="22"/>
          <w:lang w:val="lt-LT"/>
        </w:rPr>
      </w:pPr>
    </w:p>
    <w:p w14:paraId="17C17DDC"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skirtas suaugusiems pacientams, kurių kraujospūdis tinkamai kontroliuojamas kartu vartojamų atskirų lizinoprilio ir amlodipino vaistinių preparatų dozėmis, kurios atitinka šio vaistinio preparato sudėtį.</w:t>
      </w:r>
    </w:p>
    <w:p w14:paraId="17C17DDD" w14:textId="77777777" w:rsidR="00D75E9B" w:rsidRPr="004C5A75" w:rsidRDefault="00D75E9B" w:rsidP="00D75E9B">
      <w:pPr>
        <w:rPr>
          <w:rFonts w:ascii="Times New Roman" w:hAnsi="Times New Roman"/>
          <w:sz w:val="22"/>
          <w:szCs w:val="22"/>
          <w:lang w:val="lt-LT"/>
        </w:rPr>
      </w:pPr>
    </w:p>
    <w:p w14:paraId="17C17DDE" w14:textId="77777777" w:rsidR="00D75E9B" w:rsidRPr="004C5A75" w:rsidRDefault="00D75E9B" w:rsidP="00D75E9B">
      <w:pPr>
        <w:ind w:left="540" w:hanging="540"/>
        <w:rPr>
          <w:rFonts w:ascii="Times New Roman" w:hAnsi="Times New Roman"/>
          <w:b/>
          <w:bCs/>
          <w:sz w:val="22"/>
          <w:szCs w:val="22"/>
          <w:lang w:val="lt-LT"/>
        </w:rPr>
      </w:pPr>
      <w:r w:rsidRPr="004C5A75">
        <w:rPr>
          <w:rFonts w:ascii="Times New Roman" w:hAnsi="Times New Roman"/>
          <w:b/>
          <w:bCs/>
          <w:sz w:val="22"/>
          <w:szCs w:val="22"/>
          <w:lang w:val="lt-LT"/>
        </w:rPr>
        <w:t>4.2</w:t>
      </w:r>
      <w:r w:rsidRPr="004C5A75">
        <w:rPr>
          <w:rFonts w:ascii="Times New Roman" w:hAnsi="Times New Roman"/>
          <w:b/>
          <w:bCs/>
          <w:sz w:val="22"/>
          <w:szCs w:val="22"/>
          <w:lang w:val="lt-LT"/>
        </w:rPr>
        <w:tab/>
        <w:t>Dozavimas ir vartojimo metodas</w:t>
      </w:r>
    </w:p>
    <w:p w14:paraId="17C17DDF" w14:textId="77777777" w:rsidR="00D75E9B" w:rsidRPr="004C5A75" w:rsidRDefault="00D75E9B" w:rsidP="00D75E9B">
      <w:pPr>
        <w:rPr>
          <w:rFonts w:ascii="Times New Roman" w:hAnsi="Times New Roman"/>
          <w:sz w:val="22"/>
          <w:szCs w:val="22"/>
          <w:lang w:val="lt-LT"/>
        </w:rPr>
      </w:pPr>
    </w:p>
    <w:p w14:paraId="17C17DE0"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sz w:val="22"/>
          <w:szCs w:val="22"/>
          <w:u w:val="single"/>
          <w:lang w:val="lt-LT"/>
        </w:rPr>
        <w:t>Dozavimas</w:t>
      </w:r>
    </w:p>
    <w:p w14:paraId="17C17DE1" w14:textId="77777777" w:rsidR="00D75E9B" w:rsidRPr="004C5A75" w:rsidRDefault="00D75E9B" w:rsidP="00D75E9B">
      <w:pPr>
        <w:pStyle w:val="Pagrindinistekstas2"/>
        <w:spacing w:after="0" w:line="240" w:lineRule="auto"/>
        <w:rPr>
          <w:rFonts w:ascii="Times New Roman" w:hAnsi="Times New Roman"/>
          <w:sz w:val="22"/>
          <w:szCs w:val="22"/>
          <w:lang w:val="lt-LT"/>
        </w:rPr>
      </w:pPr>
      <w:r w:rsidRPr="004C5A75">
        <w:rPr>
          <w:rFonts w:ascii="Times New Roman" w:hAnsi="Times New Roman"/>
          <w:sz w:val="22"/>
          <w:szCs w:val="22"/>
          <w:lang w:val="lt-LT"/>
        </w:rPr>
        <w:t>Įprastinė paros dozė yra viena tabletė. Didžiausia paros dozė yra viena tabletė.</w:t>
      </w:r>
    </w:p>
    <w:p w14:paraId="17C17DE2" w14:textId="77777777" w:rsidR="00D75E9B" w:rsidRPr="004C5A75" w:rsidRDefault="00D75E9B" w:rsidP="00D75E9B">
      <w:pPr>
        <w:rPr>
          <w:rFonts w:ascii="Times New Roman" w:hAnsi="Times New Roman"/>
          <w:iCs/>
          <w:sz w:val="22"/>
          <w:szCs w:val="22"/>
          <w:lang w:val="lt-LT"/>
        </w:rPr>
      </w:pPr>
      <w:r w:rsidRPr="004C5A75">
        <w:rPr>
          <w:rFonts w:ascii="Times New Roman" w:hAnsi="Times New Roman"/>
          <w:iCs/>
          <w:sz w:val="22"/>
          <w:szCs w:val="22"/>
          <w:lang w:val="lt-LT"/>
        </w:rPr>
        <w:t>Paprastai fiksuotų dozių sudėtiniai preparatai nėra tinkami gydymo pradžiai.</w:t>
      </w:r>
    </w:p>
    <w:p w14:paraId="17C17DE3" w14:textId="77777777" w:rsidR="00D75E9B" w:rsidRPr="004C5A75" w:rsidRDefault="00D75E9B" w:rsidP="00D75E9B">
      <w:pPr>
        <w:rPr>
          <w:rFonts w:ascii="Times New Roman" w:hAnsi="Times New Roman"/>
          <w:iCs/>
          <w:sz w:val="22"/>
          <w:szCs w:val="22"/>
          <w:lang w:val="lt-LT"/>
        </w:rPr>
      </w:pPr>
      <w:r w:rsidRPr="004C5A75">
        <w:rPr>
          <w:rFonts w:ascii="Times New Roman" w:hAnsi="Times New Roman"/>
          <w:sz w:val="22"/>
          <w:szCs w:val="22"/>
          <w:lang w:val="lt-LT"/>
        </w:rPr>
        <w:t xml:space="preserve">DIRONORM 10 mg/5 mg tabletės ar DIRONORM 20 mg/10 mg tabletės arba DIRONORM 20 mg/5 mg tabletės skiriamos tik tiems pacientams, kuriems nustatoma atitinkamai optimali 10 mg </w:t>
      </w:r>
      <w:r w:rsidRPr="004C5A75">
        <w:rPr>
          <w:rFonts w:ascii="Times New Roman" w:hAnsi="Times New Roman"/>
          <w:sz w:val="22"/>
          <w:szCs w:val="22"/>
          <w:lang w:val="lt-LT"/>
        </w:rPr>
        <w:lastRenderedPageBreak/>
        <w:t xml:space="preserve">lizinoprilio ir 5 mg amlodipino ar 20 mg lizinoprilio ir 10 mg amlodipino, arba 20 mg lizinoprilio ir 5 mg amlodipino palaikomoji dozė. </w:t>
      </w:r>
    </w:p>
    <w:p w14:paraId="17C17DE4" w14:textId="77777777" w:rsidR="00D75E9B" w:rsidRPr="004C5A75" w:rsidRDefault="00D75E9B" w:rsidP="00D75E9B">
      <w:pPr>
        <w:rPr>
          <w:rFonts w:ascii="Times New Roman" w:hAnsi="Times New Roman"/>
          <w:iCs/>
          <w:sz w:val="22"/>
          <w:szCs w:val="22"/>
          <w:lang w:val="lt-LT"/>
        </w:rPr>
      </w:pPr>
      <w:r w:rsidRPr="004C5A75">
        <w:rPr>
          <w:rFonts w:ascii="Times New Roman" w:hAnsi="Times New Roman"/>
          <w:iCs/>
          <w:sz w:val="22"/>
          <w:szCs w:val="22"/>
          <w:lang w:val="lt-LT"/>
        </w:rPr>
        <w:t xml:space="preserve">Jei prireikia keisti dozę, ją galima nustatyti skiriant šių vaistų derinį atskirai parenkant kiekvieno iš jų dozę. </w:t>
      </w:r>
    </w:p>
    <w:p w14:paraId="17C17DE5" w14:textId="77777777" w:rsidR="00D75E9B" w:rsidRPr="004C5A75" w:rsidRDefault="00D75E9B" w:rsidP="00D75E9B">
      <w:pPr>
        <w:rPr>
          <w:rFonts w:ascii="Times New Roman" w:hAnsi="Times New Roman"/>
          <w:i/>
          <w:iCs/>
          <w:sz w:val="22"/>
          <w:szCs w:val="22"/>
          <w:lang w:val="lt-LT"/>
        </w:rPr>
      </w:pPr>
    </w:p>
    <w:p w14:paraId="17C17DE6" w14:textId="77777777" w:rsidR="0084699D" w:rsidRDefault="0084699D" w:rsidP="0084699D">
      <w:pPr>
        <w:rPr>
          <w:rFonts w:ascii="Times New Roman" w:hAnsi="Times New Roman"/>
          <w:i/>
          <w:iCs/>
          <w:sz w:val="22"/>
          <w:szCs w:val="22"/>
          <w:lang w:val="lt-LT"/>
        </w:rPr>
      </w:pPr>
      <w:r>
        <w:rPr>
          <w:rFonts w:ascii="Times New Roman" w:hAnsi="Times New Roman"/>
          <w:i/>
          <w:iCs/>
          <w:sz w:val="22"/>
          <w:szCs w:val="22"/>
          <w:lang w:val="lt-LT"/>
        </w:rPr>
        <w:t>Ypatingos populiacijos</w:t>
      </w:r>
    </w:p>
    <w:p w14:paraId="17C17DE7" w14:textId="77777777" w:rsidR="0084699D" w:rsidRDefault="0084699D" w:rsidP="00D75E9B">
      <w:pPr>
        <w:rPr>
          <w:rFonts w:ascii="Times New Roman" w:hAnsi="Times New Roman"/>
          <w:i/>
          <w:iCs/>
          <w:sz w:val="22"/>
          <w:szCs w:val="22"/>
          <w:lang w:val="lt-LT"/>
        </w:rPr>
      </w:pPr>
    </w:p>
    <w:p w14:paraId="17C17DE8" w14:textId="77777777" w:rsidR="00D75E9B" w:rsidRPr="004C5A75" w:rsidRDefault="00D75E9B" w:rsidP="00D75E9B">
      <w:pPr>
        <w:rPr>
          <w:rFonts w:ascii="Times New Roman" w:hAnsi="Times New Roman"/>
          <w:i/>
          <w:iCs/>
          <w:sz w:val="22"/>
          <w:szCs w:val="22"/>
          <w:lang w:val="lt-LT"/>
        </w:rPr>
      </w:pPr>
      <w:r w:rsidRPr="004C5A75">
        <w:rPr>
          <w:rFonts w:ascii="Times New Roman" w:hAnsi="Times New Roman"/>
          <w:i/>
          <w:iCs/>
          <w:sz w:val="22"/>
          <w:szCs w:val="22"/>
          <w:lang w:val="lt-LT"/>
        </w:rPr>
        <w:t>Pacientams, kurių inkstų funkcija sutrikusi</w:t>
      </w:r>
    </w:p>
    <w:p w14:paraId="17C17DE9" w14:textId="77777777" w:rsidR="00D75E9B" w:rsidRPr="004C5A75" w:rsidRDefault="00D75E9B" w:rsidP="00D75E9B">
      <w:pPr>
        <w:rPr>
          <w:rFonts w:ascii="Times New Roman" w:hAnsi="Times New Roman"/>
          <w:iCs/>
          <w:sz w:val="22"/>
          <w:szCs w:val="22"/>
          <w:lang w:val="lt-LT"/>
        </w:rPr>
      </w:pPr>
      <w:r w:rsidRPr="004C5A75">
        <w:rPr>
          <w:rFonts w:ascii="Times New Roman" w:hAnsi="Times New Roman"/>
          <w:sz w:val="22"/>
          <w:szCs w:val="22"/>
          <w:lang w:val="lt-LT"/>
        </w:rPr>
        <w:t>Pacientams, kurių inkstų funkcija nepakankama, optimali pradinė ir palaikomoji dozės nustatomos individualiai, skiriant lizinoprilio ir amlodipino preparatų derinį</w:t>
      </w:r>
      <w:r w:rsidRPr="004C5A75">
        <w:rPr>
          <w:rFonts w:ascii="Times New Roman" w:hAnsi="Times New Roman"/>
          <w:iCs/>
          <w:sz w:val="22"/>
          <w:szCs w:val="22"/>
          <w:lang w:val="lt-LT"/>
        </w:rPr>
        <w:t xml:space="preserve"> atskirai parenkant kiekvieno iš jų dozę. </w:t>
      </w:r>
    </w:p>
    <w:p w14:paraId="17C17DEA" w14:textId="77777777" w:rsidR="00D75E9B" w:rsidRPr="004C5A75" w:rsidRDefault="00D75E9B" w:rsidP="00D75E9B">
      <w:pPr>
        <w:rPr>
          <w:rFonts w:ascii="Times New Roman" w:hAnsi="Times New Roman"/>
          <w:i/>
          <w:iCs/>
          <w:sz w:val="22"/>
          <w:szCs w:val="22"/>
          <w:u w:val="single"/>
          <w:lang w:val="lt-LT"/>
        </w:rPr>
      </w:pPr>
      <w:r w:rsidRPr="004C5A75">
        <w:rPr>
          <w:rFonts w:ascii="Times New Roman" w:hAnsi="Times New Roman"/>
          <w:sz w:val="22"/>
          <w:szCs w:val="22"/>
          <w:lang w:val="lt-LT"/>
        </w:rPr>
        <w:t>Gydymo DIRONORM metu reikia nuolat tikrinti inkstų funkciją, nustatinėti kalio ir natrio koncentraciją kraujo serume. Pablogėjus inkstų funkcijai, gydymą DIRONORM būtina nutraukti ir toliau skirti šių vaistų derinį atskirai nustačius kiekvieno iš jų dozę. Amlodipinas iš organizmo nepašalinamas dializės metu.</w:t>
      </w:r>
    </w:p>
    <w:p w14:paraId="17C17DEB" w14:textId="77777777" w:rsidR="00D75E9B" w:rsidRPr="004C5A75" w:rsidRDefault="00D75E9B" w:rsidP="00D75E9B">
      <w:pPr>
        <w:rPr>
          <w:rFonts w:ascii="Times New Roman" w:hAnsi="Times New Roman"/>
          <w:i/>
          <w:iCs/>
          <w:sz w:val="22"/>
          <w:szCs w:val="22"/>
          <w:lang w:val="lt-LT"/>
        </w:rPr>
      </w:pPr>
    </w:p>
    <w:p w14:paraId="17C17DEC" w14:textId="77777777" w:rsidR="00D75E9B" w:rsidRPr="004C5A75" w:rsidRDefault="00D75E9B" w:rsidP="00D75E9B">
      <w:pPr>
        <w:rPr>
          <w:rFonts w:ascii="Times New Roman" w:hAnsi="Times New Roman"/>
          <w:i/>
          <w:iCs/>
          <w:sz w:val="22"/>
          <w:szCs w:val="22"/>
          <w:lang w:val="lt-LT"/>
        </w:rPr>
      </w:pPr>
      <w:r w:rsidRPr="004C5A75">
        <w:rPr>
          <w:rFonts w:ascii="Times New Roman" w:hAnsi="Times New Roman"/>
          <w:i/>
          <w:iCs/>
          <w:sz w:val="22"/>
          <w:szCs w:val="22"/>
          <w:lang w:val="lt-LT"/>
        </w:rPr>
        <w:t>Pacientams, kurių kepenų funkcija sutrikusi</w:t>
      </w:r>
    </w:p>
    <w:p w14:paraId="17C17DE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Nėra tikslių dozavimo rekomendacijų pacientams, kuriems yra lengvas ar vidutinio sunkumo kepenų funkcijos nepakankamas, todėl dozę reikia parinkti atsargiai, gydymą reikia pradėti mažiausia rekomenduojama doze (žr. 4.4 ir 5.2 skyrius). Pacientams, kurių kepenų funkcija nepakankama, optimali pradinė ir palaikomoji dozė nustatomos individualiai, skiriant lizinoprilio ir amlodipino derinį. Amlodipino farmakokinetika pacientų, kuriems yra sunkus kepenų nepakankamumas, organizme nėra tirta. Gydymo pradžioje pacientams, kuriems yra sunkus kepenų nepakankamumas, reikia skirti mažiausią amlodipino dozę ir ją lėtai didinti.</w:t>
      </w:r>
    </w:p>
    <w:p w14:paraId="17C17DEE" w14:textId="77777777" w:rsidR="00D75E9B" w:rsidRPr="004C5A75" w:rsidRDefault="00D75E9B" w:rsidP="00D75E9B">
      <w:pPr>
        <w:rPr>
          <w:rFonts w:ascii="Times New Roman" w:hAnsi="Times New Roman"/>
          <w:i/>
          <w:sz w:val="22"/>
          <w:szCs w:val="22"/>
          <w:lang w:val="lt-LT"/>
        </w:rPr>
      </w:pPr>
    </w:p>
    <w:p w14:paraId="17C17DEF" w14:textId="77777777" w:rsidR="00D75E9B" w:rsidRPr="004C5A75" w:rsidRDefault="00D75E9B" w:rsidP="00D75E9B">
      <w:pPr>
        <w:rPr>
          <w:rFonts w:ascii="Times New Roman" w:hAnsi="Times New Roman"/>
          <w:sz w:val="22"/>
          <w:szCs w:val="22"/>
          <w:lang w:val="lt-LT"/>
        </w:rPr>
      </w:pPr>
      <w:r w:rsidRPr="004C5A75">
        <w:rPr>
          <w:rFonts w:ascii="Times New Roman" w:hAnsi="Times New Roman"/>
          <w:i/>
          <w:sz w:val="22"/>
          <w:szCs w:val="22"/>
          <w:lang w:val="lt-LT"/>
        </w:rPr>
        <w:t>Vaikų populiacija (&lt;18 metų)</w:t>
      </w:r>
    </w:p>
    <w:p w14:paraId="17C17DF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DIRONORM saugumas ir veiksmingumas jaunesniems nei 18 metų  vaikams ir paaugliams neištirti. </w:t>
      </w:r>
    </w:p>
    <w:p w14:paraId="17C17DF1" w14:textId="77777777" w:rsidR="00D75E9B" w:rsidRPr="004C5A75" w:rsidRDefault="00D75E9B" w:rsidP="00D75E9B">
      <w:pPr>
        <w:rPr>
          <w:rFonts w:ascii="Times New Roman" w:hAnsi="Times New Roman"/>
          <w:sz w:val="22"/>
          <w:szCs w:val="22"/>
          <w:lang w:val="lt-LT"/>
        </w:rPr>
      </w:pPr>
    </w:p>
    <w:p w14:paraId="17C17DF2"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 xml:space="preserve">Senyviems pacientams (&gt; 65 metų) </w:t>
      </w:r>
    </w:p>
    <w:p w14:paraId="17C17DF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Senyvus pacientus reikia gydyti atsargiai.</w:t>
      </w:r>
    </w:p>
    <w:p w14:paraId="17C17DF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Klinikinių tyrimų metu lizinoprilio ar amlodipino veiksmingumo bei saugumo pokyčių, susijusių su amžiumi, nenustatyta. Senyviems pacientams optimali palaikomoji dozė turi būti nustatoma individualiai, skiriant lizinoprilio ir amlodipino preparatų derinį. </w:t>
      </w:r>
    </w:p>
    <w:p w14:paraId="17C17DF5" w14:textId="77777777" w:rsidR="00D75E9B" w:rsidRPr="004C5A75" w:rsidRDefault="00D75E9B" w:rsidP="00D75E9B">
      <w:pPr>
        <w:pStyle w:val="Pagrindinistekstas2"/>
        <w:spacing w:after="0" w:line="240" w:lineRule="auto"/>
        <w:rPr>
          <w:rFonts w:ascii="Times New Roman" w:hAnsi="Times New Roman"/>
          <w:bCs/>
          <w:sz w:val="22"/>
          <w:szCs w:val="22"/>
          <w:lang w:val="lt-LT"/>
        </w:rPr>
      </w:pPr>
    </w:p>
    <w:p w14:paraId="17C17DF6" w14:textId="77777777" w:rsidR="00D75E9B" w:rsidRPr="004C5A75" w:rsidRDefault="00D75E9B" w:rsidP="00D75E9B">
      <w:pPr>
        <w:pStyle w:val="Pagrindinistekstas2"/>
        <w:spacing w:after="0" w:line="240" w:lineRule="auto"/>
        <w:rPr>
          <w:rFonts w:ascii="Times New Roman" w:hAnsi="Times New Roman"/>
          <w:bCs/>
          <w:sz w:val="22"/>
          <w:szCs w:val="22"/>
          <w:u w:val="single"/>
          <w:lang w:val="lt-LT"/>
        </w:rPr>
      </w:pPr>
      <w:r w:rsidRPr="004C5A75">
        <w:rPr>
          <w:rFonts w:ascii="Times New Roman" w:hAnsi="Times New Roman"/>
          <w:bCs/>
          <w:sz w:val="22"/>
          <w:szCs w:val="22"/>
          <w:u w:val="single"/>
          <w:lang w:val="lt-LT"/>
        </w:rPr>
        <w:t>Vartojimo metodas</w:t>
      </w:r>
    </w:p>
    <w:p w14:paraId="17C17DF7" w14:textId="77777777" w:rsidR="00D75E9B" w:rsidRPr="004C5A75" w:rsidRDefault="00D75E9B" w:rsidP="00D75E9B">
      <w:pPr>
        <w:pStyle w:val="Pagrindinistekstas2"/>
        <w:spacing w:after="0" w:line="240" w:lineRule="auto"/>
        <w:rPr>
          <w:rFonts w:ascii="Times New Roman" w:hAnsi="Times New Roman"/>
          <w:sz w:val="22"/>
          <w:lang w:val="lt-LT"/>
        </w:rPr>
      </w:pPr>
      <w:r w:rsidRPr="004C5A75">
        <w:rPr>
          <w:rFonts w:ascii="Times New Roman" w:hAnsi="Times New Roman"/>
          <w:sz w:val="22"/>
          <w:lang w:val="lt-LT"/>
        </w:rPr>
        <w:t>Vartoti per burną.</w:t>
      </w:r>
    </w:p>
    <w:p w14:paraId="17C17DF8" w14:textId="77777777" w:rsidR="00D75E9B" w:rsidRPr="004C5A75" w:rsidRDefault="00D75E9B" w:rsidP="00D75E9B">
      <w:pPr>
        <w:pStyle w:val="Pagrindinistekstas2"/>
        <w:spacing w:after="0" w:line="240" w:lineRule="auto"/>
        <w:rPr>
          <w:rFonts w:ascii="Times New Roman" w:hAnsi="Times New Roman"/>
          <w:bCs/>
          <w:sz w:val="22"/>
          <w:szCs w:val="22"/>
          <w:lang w:val="lt-LT"/>
        </w:rPr>
      </w:pPr>
      <w:r w:rsidRPr="004C5A75">
        <w:rPr>
          <w:rFonts w:ascii="Times New Roman" w:hAnsi="Times New Roman"/>
          <w:bCs/>
          <w:sz w:val="22"/>
          <w:szCs w:val="22"/>
          <w:lang w:val="lt-LT"/>
        </w:rPr>
        <w:t xml:space="preserve">Kadangi maistas neturi įtakos vaisto absorbcijai, DIRONORM galima vartoti prieš valgį, valgant ar pavalgius. </w:t>
      </w:r>
    </w:p>
    <w:p w14:paraId="17C17DF9" w14:textId="77777777" w:rsidR="00D75E9B" w:rsidRPr="004C5A75" w:rsidRDefault="00D75E9B" w:rsidP="00D75E9B">
      <w:pPr>
        <w:rPr>
          <w:rFonts w:ascii="Times New Roman" w:hAnsi="Times New Roman"/>
          <w:sz w:val="22"/>
          <w:szCs w:val="22"/>
          <w:lang w:val="lt-LT"/>
        </w:rPr>
      </w:pPr>
    </w:p>
    <w:p w14:paraId="17C17DFA" w14:textId="77777777" w:rsidR="00D75E9B" w:rsidRPr="004C5A75" w:rsidRDefault="00D75E9B" w:rsidP="00D75E9B">
      <w:pPr>
        <w:ind w:left="540" w:hanging="540"/>
        <w:rPr>
          <w:rFonts w:ascii="Times New Roman" w:hAnsi="Times New Roman"/>
          <w:b/>
          <w:bCs/>
          <w:sz w:val="22"/>
          <w:szCs w:val="22"/>
          <w:lang w:val="lt-LT"/>
        </w:rPr>
      </w:pPr>
      <w:r w:rsidRPr="004C5A75">
        <w:rPr>
          <w:rFonts w:ascii="Times New Roman" w:hAnsi="Times New Roman"/>
          <w:b/>
          <w:bCs/>
          <w:sz w:val="22"/>
          <w:szCs w:val="22"/>
          <w:lang w:val="lt-LT"/>
        </w:rPr>
        <w:t>4.3</w:t>
      </w:r>
      <w:r w:rsidRPr="004C5A75">
        <w:rPr>
          <w:rFonts w:ascii="Times New Roman" w:hAnsi="Times New Roman"/>
          <w:b/>
          <w:bCs/>
          <w:sz w:val="22"/>
          <w:szCs w:val="22"/>
          <w:lang w:val="lt-LT"/>
        </w:rPr>
        <w:tab/>
        <w:t>Kontraindikacijos</w:t>
      </w:r>
    </w:p>
    <w:p w14:paraId="17C17DFB" w14:textId="77777777" w:rsidR="00D75E9B" w:rsidRPr="004C5A75" w:rsidRDefault="00D75E9B" w:rsidP="00D75E9B">
      <w:pPr>
        <w:rPr>
          <w:rFonts w:ascii="Times New Roman" w:hAnsi="Times New Roman"/>
          <w:spacing w:val="-2"/>
          <w:position w:val="2"/>
          <w:sz w:val="22"/>
          <w:szCs w:val="22"/>
          <w:lang w:val="lt-LT"/>
        </w:rPr>
      </w:pPr>
    </w:p>
    <w:p w14:paraId="17C17DFC" w14:textId="77777777" w:rsidR="00D75E9B" w:rsidRPr="004C5A75" w:rsidRDefault="00D75E9B" w:rsidP="00D75E9B">
      <w:pPr>
        <w:rPr>
          <w:rFonts w:ascii="Times New Roman" w:hAnsi="Times New Roman"/>
          <w:sz w:val="22"/>
          <w:szCs w:val="22"/>
          <w:lang w:val="lt-LT"/>
        </w:rPr>
      </w:pPr>
      <w:r w:rsidRPr="004C5A75">
        <w:rPr>
          <w:rFonts w:ascii="Times New Roman" w:hAnsi="Times New Roman"/>
          <w:i/>
          <w:sz w:val="22"/>
          <w:szCs w:val="22"/>
          <w:lang w:val="lt-LT"/>
        </w:rPr>
        <w:t>Susijusios su lizinopriliu</w:t>
      </w:r>
      <w:r w:rsidRPr="004C5A75">
        <w:rPr>
          <w:rFonts w:ascii="Times New Roman" w:hAnsi="Times New Roman"/>
          <w:sz w:val="22"/>
          <w:szCs w:val="22"/>
          <w:lang w:val="lt-LT"/>
        </w:rPr>
        <w:t>:</w:t>
      </w:r>
    </w:p>
    <w:p w14:paraId="17C17DFD" w14:textId="77777777" w:rsidR="00D75E9B" w:rsidRPr="004C5A75" w:rsidRDefault="00D75E9B" w:rsidP="00D75E9B">
      <w:pPr>
        <w:pStyle w:val="Pagrindinistekstas2"/>
        <w:numPr>
          <w:ilvl w:val="0"/>
          <w:numId w:val="9"/>
        </w:numPr>
        <w:tabs>
          <w:tab w:val="num" w:pos="540"/>
        </w:tabs>
        <w:spacing w:after="0" w:line="240" w:lineRule="auto"/>
        <w:ind w:left="540" w:hanging="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Padidėjęs jautrumas lizinopriliui ar bet kuriam kitam angiotenziną konvertuojančio fermento (AKF) inhibitoriui.</w:t>
      </w:r>
    </w:p>
    <w:p w14:paraId="17C17DFE" w14:textId="77777777" w:rsidR="00D75E9B" w:rsidRPr="004C5A75" w:rsidRDefault="00D75E9B" w:rsidP="00D75E9B">
      <w:pPr>
        <w:pStyle w:val="Pagrindinistekstas2"/>
        <w:numPr>
          <w:ilvl w:val="0"/>
          <w:numId w:val="9"/>
        </w:numPr>
        <w:tabs>
          <w:tab w:val="num" w:pos="540"/>
        </w:tabs>
        <w:spacing w:after="0" w:line="240" w:lineRule="auto"/>
        <w:ind w:left="540" w:hanging="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Buvusi angioneurozinė edema, susijusi su ankstesniu gydymu AKF inhibitoriais.</w:t>
      </w:r>
    </w:p>
    <w:p w14:paraId="17C17DFF" w14:textId="77777777" w:rsidR="00D75E9B" w:rsidRPr="004C5A75" w:rsidRDefault="00D75E9B" w:rsidP="00D75E9B">
      <w:pPr>
        <w:numPr>
          <w:ilvl w:val="0"/>
          <w:numId w:val="9"/>
        </w:numPr>
        <w:tabs>
          <w:tab w:val="num" w:pos="540"/>
        </w:tabs>
        <w:ind w:left="540" w:hanging="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Paveldima ar idiopatinė angioneurozinė edema</w:t>
      </w:r>
    </w:p>
    <w:p w14:paraId="17C17E00" w14:textId="77777777" w:rsidR="00D75E9B" w:rsidRPr="004C5A75" w:rsidRDefault="00D75E9B" w:rsidP="00D75E9B">
      <w:pPr>
        <w:numPr>
          <w:ilvl w:val="0"/>
          <w:numId w:val="9"/>
        </w:numPr>
        <w:tabs>
          <w:tab w:val="num" w:pos="540"/>
        </w:tabs>
        <w:ind w:left="540" w:hanging="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 xml:space="preserve">Antras ir trečias nėštumo trimestrai (žr. 4.4 ir 4.6 skyrius). </w:t>
      </w:r>
    </w:p>
    <w:p w14:paraId="17C17E01" w14:textId="77777777" w:rsidR="00D75E9B" w:rsidRPr="003C6C6E" w:rsidRDefault="00D75E9B" w:rsidP="00D75E9B">
      <w:pPr>
        <w:numPr>
          <w:ilvl w:val="0"/>
          <w:numId w:val="9"/>
        </w:numPr>
        <w:tabs>
          <w:tab w:val="num" w:pos="567"/>
        </w:tabs>
        <w:ind w:left="567" w:hanging="567"/>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 xml:space="preserve">Pacientams, kurie serga cukriniu diabetu arba kurių inkstų funkcija sutrikusi </w:t>
      </w:r>
      <w:r w:rsidRPr="004C5A75">
        <w:rPr>
          <w:rFonts w:ascii="Times New Roman" w:hAnsi="Times New Roman"/>
          <w:iCs/>
          <w:sz w:val="22"/>
          <w:szCs w:val="22"/>
          <w:lang w:val="lt-LT"/>
        </w:rPr>
        <w:t>(GFG &lt; 60 ml/min/1,73 m</w:t>
      </w:r>
      <w:r w:rsidRPr="004C5A75">
        <w:rPr>
          <w:rFonts w:ascii="Times New Roman" w:hAnsi="Times New Roman"/>
          <w:iCs/>
          <w:position w:val="8"/>
          <w:sz w:val="22"/>
          <w:szCs w:val="22"/>
          <w:vertAlign w:val="superscript"/>
          <w:lang w:val="lt-LT"/>
        </w:rPr>
        <w:t>2</w:t>
      </w:r>
      <w:r w:rsidRPr="004C5A75">
        <w:rPr>
          <w:rFonts w:ascii="Times New Roman" w:hAnsi="Times New Roman"/>
          <w:iCs/>
          <w:sz w:val="22"/>
          <w:szCs w:val="22"/>
          <w:lang w:val="lt-LT"/>
        </w:rPr>
        <w:t>), DIRONORM negalima vartoti kartu su preparatais, kurių sudėtyje yra aliskireno (žr. 4.5 ir 5.1 skyrius).</w:t>
      </w:r>
    </w:p>
    <w:p w14:paraId="17C17E02" w14:textId="77777777" w:rsidR="00422053" w:rsidRPr="00422053" w:rsidRDefault="00422053" w:rsidP="00422053">
      <w:pPr>
        <w:numPr>
          <w:ilvl w:val="0"/>
          <w:numId w:val="9"/>
        </w:numPr>
        <w:tabs>
          <w:tab w:val="num" w:pos="567"/>
        </w:tabs>
        <w:ind w:left="567" w:hanging="567"/>
        <w:rPr>
          <w:rFonts w:ascii="Times New Roman" w:hAnsi="Times New Roman"/>
          <w:spacing w:val="-2"/>
          <w:position w:val="2"/>
          <w:sz w:val="22"/>
          <w:szCs w:val="22"/>
          <w:lang w:val="lt-LT"/>
        </w:rPr>
      </w:pPr>
      <w:r w:rsidRPr="00422053">
        <w:rPr>
          <w:rFonts w:ascii="Times New Roman" w:hAnsi="Times New Roman"/>
          <w:bCs/>
          <w:spacing w:val="-2"/>
          <w:position w:val="2"/>
          <w:sz w:val="22"/>
          <w:szCs w:val="22"/>
        </w:rPr>
        <w:t xml:space="preserve">Vartojimas kartu su sakubitrilo ir valsartano deriniu. </w:t>
      </w:r>
      <w:r>
        <w:rPr>
          <w:rFonts w:ascii="Times New Roman" w:hAnsi="Times New Roman"/>
          <w:bCs/>
          <w:spacing w:val="-2"/>
          <w:position w:val="2"/>
          <w:sz w:val="22"/>
          <w:szCs w:val="22"/>
        </w:rPr>
        <w:t xml:space="preserve">DIRONORM </w:t>
      </w:r>
      <w:r w:rsidRPr="00422053">
        <w:rPr>
          <w:rFonts w:ascii="Times New Roman" w:hAnsi="Times New Roman"/>
          <w:bCs/>
          <w:spacing w:val="-2"/>
          <w:position w:val="2"/>
          <w:sz w:val="22"/>
          <w:szCs w:val="22"/>
        </w:rPr>
        <w:t>galima pradėti vartoti tik praėjus bent 36 valandoms po paskutinės sakubitrilo ir valsartano derinio dozės (taip pat žr. 4.4 ir 4.5 skyrius).</w:t>
      </w:r>
    </w:p>
    <w:p w14:paraId="17C17E03" w14:textId="77777777" w:rsidR="00D75E9B" w:rsidRPr="000874A6" w:rsidRDefault="00D75E9B" w:rsidP="00D75E9B">
      <w:pPr>
        <w:ind w:left="540" w:hanging="540"/>
        <w:rPr>
          <w:rFonts w:ascii="Times New Roman" w:hAnsi="Times New Roman"/>
          <w:spacing w:val="-2"/>
          <w:position w:val="2"/>
          <w:sz w:val="22"/>
          <w:szCs w:val="22"/>
          <w:lang w:val="lt-LT"/>
        </w:rPr>
      </w:pPr>
    </w:p>
    <w:p w14:paraId="17C17E04" w14:textId="77777777" w:rsidR="00D75E9B" w:rsidRPr="004C5A75" w:rsidRDefault="00D75E9B" w:rsidP="00D75E9B">
      <w:pPr>
        <w:rPr>
          <w:rFonts w:ascii="Times New Roman" w:hAnsi="Times New Roman"/>
          <w:i/>
          <w:spacing w:val="-2"/>
          <w:position w:val="2"/>
          <w:sz w:val="22"/>
          <w:szCs w:val="22"/>
          <w:lang w:val="lt-LT"/>
        </w:rPr>
      </w:pPr>
      <w:r w:rsidRPr="004C5A75">
        <w:rPr>
          <w:rFonts w:ascii="Times New Roman" w:hAnsi="Times New Roman"/>
          <w:i/>
          <w:spacing w:val="-2"/>
          <w:position w:val="2"/>
          <w:sz w:val="22"/>
          <w:szCs w:val="22"/>
          <w:lang w:val="lt-LT"/>
        </w:rPr>
        <w:t>Susijusios su amlodipinu:</w:t>
      </w:r>
    </w:p>
    <w:p w14:paraId="17C17E05" w14:textId="77777777" w:rsidR="00D75E9B" w:rsidRPr="004C5A75" w:rsidRDefault="00D75E9B" w:rsidP="00D75E9B">
      <w:pPr>
        <w:numPr>
          <w:ilvl w:val="0"/>
          <w:numId w:val="9"/>
        </w:numPr>
        <w:tabs>
          <w:tab w:val="num" w:pos="540"/>
        </w:tabs>
        <w:ind w:left="540" w:hanging="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 xml:space="preserve">Padidėjęs jautrumas amlodipinui ar bet kuriems kitiems dihidropiridino dariniams. </w:t>
      </w:r>
    </w:p>
    <w:p w14:paraId="17C17E06" w14:textId="77777777" w:rsidR="00D75E9B" w:rsidRPr="004C5A75" w:rsidRDefault="00D75E9B" w:rsidP="00D75E9B">
      <w:pPr>
        <w:numPr>
          <w:ilvl w:val="0"/>
          <w:numId w:val="9"/>
        </w:numPr>
        <w:tabs>
          <w:tab w:val="num" w:pos="540"/>
        </w:tabs>
        <w:ind w:left="540" w:hanging="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lastRenderedPageBreak/>
        <w:t xml:space="preserve">Sunki hipotenzija. </w:t>
      </w:r>
    </w:p>
    <w:p w14:paraId="17C17E07" w14:textId="77777777" w:rsidR="00D75E9B" w:rsidRPr="004C5A75" w:rsidRDefault="00D75E9B" w:rsidP="00D75E9B">
      <w:pPr>
        <w:numPr>
          <w:ilvl w:val="0"/>
          <w:numId w:val="9"/>
        </w:numPr>
        <w:tabs>
          <w:tab w:val="num" w:pos="540"/>
        </w:tabs>
        <w:ind w:left="540" w:hanging="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 xml:space="preserve">Šokas (įskaitant kardiogeninį šoką). </w:t>
      </w:r>
    </w:p>
    <w:p w14:paraId="17C17E08" w14:textId="77777777" w:rsidR="00D75E9B" w:rsidRPr="004C5A75" w:rsidRDefault="00D75E9B" w:rsidP="00D75E9B">
      <w:pPr>
        <w:numPr>
          <w:ilvl w:val="0"/>
          <w:numId w:val="9"/>
        </w:numPr>
        <w:tabs>
          <w:tab w:val="num" w:pos="540"/>
        </w:tabs>
        <w:ind w:left="540" w:hanging="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 xml:space="preserve">Kraujo ištekėjimo iš kairiojo skilvelio (išvarymo trakto) obstrukcija (pvz., didelio laipsnio aortos stenozė). </w:t>
      </w:r>
    </w:p>
    <w:p w14:paraId="17C17E09" w14:textId="77777777" w:rsidR="00D75E9B" w:rsidRPr="004C5A75" w:rsidRDefault="00D75E9B" w:rsidP="00D75E9B">
      <w:pPr>
        <w:numPr>
          <w:ilvl w:val="0"/>
          <w:numId w:val="9"/>
        </w:numPr>
        <w:tabs>
          <w:tab w:val="num" w:pos="540"/>
        </w:tabs>
        <w:ind w:left="540" w:hanging="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 xml:space="preserve">Hemodinamiškai nestabilus širdies nepakankamumas po ūminio miokardo infarkto. </w:t>
      </w:r>
    </w:p>
    <w:p w14:paraId="17C17E0A" w14:textId="77777777" w:rsidR="00D75E9B" w:rsidRPr="004C5A75" w:rsidRDefault="00D75E9B" w:rsidP="00D75E9B">
      <w:pPr>
        <w:rPr>
          <w:rFonts w:ascii="Times New Roman" w:hAnsi="Times New Roman"/>
          <w:spacing w:val="-2"/>
          <w:position w:val="2"/>
          <w:sz w:val="22"/>
          <w:szCs w:val="22"/>
          <w:lang w:val="lt-LT"/>
        </w:rPr>
      </w:pPr>
    </w:p>
    <w:p w14:paraId="17C17E0B" w14:textId="77777777" w:rsidR="00D75E9B" w:rsidRPr="004C5A75" w:rsidRDefault="00D75E9B" w:rsidP="00D75E9B">
      <w:pPr>
        <w:rPr>
          <w:rFonts w:ascii="Times New Roman" w:hAnsi="Times New Roman"/>
          <w:i/>
          <w:spacing w:val="-2"/>
          <w:position w:val="2"/>
          <w:sz w:val="22"/>
          <w:szCs w:val="22"/>
          <w:lang w:val="lt-LT"/>
        </w:rPr>
      </w:pPr>
      <w:r w:rsidRPr="004C5A75">
        <w:rPr>
          <w:rFonts w:ascii="Times New Roman" w:hAnsi="Times New Roman"/>
          <w:i/>
          <w:spacing w:val="-2"/>
          <w:position w:val="2"/>
          <w:sz w:val="22"/>
          <w:szCs w:val="22"/>
          <w:lang w:val="lt-LT"/>
        </w:rPr>
        <w:t>Susijusios su</w:t>
      </w:r>
      <w:r w:rsidRPr="004C5A75">
        <w:rPr>
          <w:rFonts w:ascii="Times New Roman" w:hAnsi="Times New Roman"/>
          <w:bCs/>
          <w:sz w:val="22"/>
          <w:szCs w:val="22"/>
          <w:lang w:val="lt-LT"/>
        </w:rPr>
        <w:t xml:space="preserve"> </w:t>
      </w:r>
      <w:r w:rsidRPr="004C5A75">
        <w:rPr>
          <w:rFonts w:ascii="Times New Roman" w:hAnsi="Times New Roman"/>
          <w:bCs/>
          <w:i/>
          <w:sz w:val="22"/>
          <w:szCs w:val="22"/>
          <w:lang w:val="lt-LT"/>
        </w:rPr>
        <w:t xml:space="preserve">DIRONORM </w:t>
      </w:r>
    </w:p>
    <w:p w14:paraId="17C17E0C" w14:textId="77777777" w:rsidR="00D75E9B" w:rsidRPr="004C5A75" w:rsidRDefault="00D75E9B" w:rsidP="00D75E9B">
      <w:pPr>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 xml:space="preserve">Visos  atskiriems vaistinio preparato komponentams aukščiau išvardytos kontraindikacijos galioja ir fiksuotam deriniui - </w:t>
      </w:r>
      <w:r w:rsidRPr="004C5A75">
        <w:rPr>
          <w:rFonts w:ascii="Times New Roman" w:hAnsi="Times New Roman"/>
          <w:bCs/>
          <w:sz w:val="22"/>
          <w:szCs w:val="22"/>
          <w:lang w:val="lt-LT"/>
        </w:rPr>
        <w:t>DIRONORM</w:t>
      </w:r>
      <w:r w:rsidRPr="004C5A75">
        <w:rPr>
          <w:rFonts w:ascii="Times New Roman" w:hAnsi="Times New Roman"/>
          <w:spacing w:val="-2"/>
          <w:position w:val="2"/>
          <w:sz w:val="22"/>
          <w:szCs w:val="22"/>
          <w:lang w:val="lt-LT"/>
        </w:rPr>
        <w:t>.</w:t>
      </w:r>
    </w:p>
    <w:p w14:paraId="17C17E0D" w14:textId="77777777" w:rsidR="00D75E9B" w:rsidRPr="004C5A75" w:rsidRDefault="00D75E9B" w:rsidP="00D75E9B">
      <w:pPr>
        <w:ind w:left="540"/>
        <w:rPr>
          <w:rFonts w:ascii="Times New Roman" w:hAnsi="Times New Roman"/>
          <w:spacing w:val="-2"/>
          <w:position w:val="2"/>
          <w:sz w:val="22"/>
          <w:szCs w:val="22"/>
          <w:lang w:val="lt-LT"/>
        </w:rPr>
      </w:pPr>
      <w:r w:rsidRPr="004C5A75">
        <w:rPr>
          <w:rFonts w:ascii="Times New Roman" w:hAnsi="Times New Roman"/>
          <w:spacing w:val="-2"/>
          <w:position w:val="2"/>
          <w:sz w:val="22"/>
          <w:szCs w:val="22"/>
          <w:lang w:val="lt-LT"/>
        </w:rPr>
        <w:t xml:space="preserve">Padidėjęs jautrumas veikliajai arba bet kuriai </w:t>
      </w:r>
      <w:r w:rsidRPr="004C5A75">
        <w:rPr>
          <w:rFonts w:ascii="Times New Roman" w:hAnsi="Times New Roman"/>
          <w:sz w:val="22"/>
          <w:szCs w:val="22"/>
          <w:lang w:val="lt-LT"/>
        </w:rPr>
        <w:t xml:space="preserve">6.1 skyriuje nurodytai </w:t>
      </w:r>
      <w:r w:rsidRPr="004C5A75">
        <w:rPr>
          <w:rFonts w:ascii="Times New Roman" w:hAnsi="Times New Roman"/>
          <w:spacing w:val="-2"/>
          <w:position w:val="2"/>
          <w:sz w:val="22"/>
          <w:szCs w:val="22"/>
          <w:lang w:val="lt-LT"/>
        </w:rPr>
        <w:t xml:space="preserve">pagalbinei medžiagai. </w:t>
      </w:r>
    </w:p>
    <w:p w14:paraId="17C17E0E" w14:textId="77777777" w:rsidR="00D75E9B" w:rsidRPr="004C5A75" w:rsidRDefault="00D75E9B" w:rsidP="00D75E9B">
      <w:pPr>
        <w:rPr>
          <w:rFonts w:ascii="Times New Roman" w:hAnsi="Times New Roman"/>
          <w:sz w:val="22"/>
          <w:szCs w:val="22"/>
          <w:lang w:val="lt-LT"/>
        </w:rPr>
      </w:pPr>
    </w:p>
    <w:p w14:paraId="17C17E0F" w14:textId="77777777" w:rsidR="00D75E9B" w:rsidRPr="004C5A75" w:rsidRDefault="00D75E9B" w:rsidP="00D75E9B">
      <w:pPr>
        <w:numPr>
          <w:ilvl w:val="1"/>
          <w:numId w:val="11"/>
        </w:numPr>
        <w:ind w:left="0" w:firstLine="0"/>
        <w:rPr>
          <w:rFonts w:ascii="Times New Roman" w:hAnsi="Times New Roman"/>
          <w:b/>
          <w:bCs/>
          <w:sz w:val="22"/>
          <w:szCs w:val="22"/>
          <w:lang w:val="lt-LT"/>
        </w:rPr>
      </w:pPr>
      <w:r w:rsidRPr="004C5A75">
        <w:rPr>
          <w:rFonts w:ascii="Times New Roman" w:hAnsi="Times New Roman"/>
          <w:b/>
          <w:bCs/>
          <w:sz w:val="22"/>
          <w:szCs w:val="22"/>
          <w:lang w:val="lt-LT"/>
        </w:rPr>
        <w:t>Specialūs įspėjimai ir atsargumo priemonės</w:t>
      </w:r>
    </w:p>
    <w:p w14:paraId="17C17E10" w14:textId="77777777" w:rsidR="00D75E9B" w:rsidRPr="004C5A75" w:rsidRDefault="00D75E9B" w:rsidP="00D75E9B">
      <w:pPr>
        <w:rPr>
          <w:rFonts w:ascii="Times New Roman" w:hAnsi="Times New Roman"/>
          <w:sz w:val="22"/>
          <w:szCs w:val="22"/>
          <w:lang w:val="lt-LT"/>
        </w:rPr>
      </w:pPr>
    </w:p>
    <w:p w14:paraId="17C17E1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Visi žemiau aprašyti įspėjimai, liečiantys atskirus vaistinio preparato komponentus, galioja fiksuoto derinio </w:t>
      </w:r>
      <w:r w:rsidRPr="004C5A75">
        <w:rPr>
          <w:rFonts w:ascii="Times New Roman" w:hAnsi="Times New Roman"/>
          <w:bCs/>
          <w:sz w:val="22"/>
          <w:szCs w:val="22"/>
          <w:lang w:val="lt-LT"/>
        </w:rPr>
        <w:t xml:space="preserve">DIRONORM </w:t>
      </w:r>
      <w:r w:rsidRPr="004C5A75">
        <w:rPr>
          <w:rFonts w:ascii="Times New Roman" w:hAnsi="Times New Roman"/>
          <w:sz w:val="22"/>
          <w:szCs w:val="22"/>
          <w:lang w:val="lt-LT"/>
        </w:rPr>
        <w:t>vartojimui.</w:t>
      </w:r>
    </w:p>
    <w:p w14:paraId="17C17E12" w14:textId="77777777" w:rsidR="00D75E9B" w:rsidRPr="004C5A75" w:rsidRDefault="00D75E9B" w:rsidP="00D75E9B">
      <w:pPr>
        <w:rPr>
          <w:rFonts w:ascii="Times New Roman" w:hAnsi="Times New Roman"/>
          <w:sz w:val="22"/>
          <w:szCs w:val="22"/>
          <w:lang w:val="lt-LT"/>
        </w:rPr>
      </w:pPr>
    </w:p>
    <w:p w14:paraId="17C17E13"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Susiję su lizinopriliu</w:t>
      </w:r>
    </w:p>
    <w:p w14:paraId="17C17E14"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Simptominė hipotenzija</w:t>
      </w:r>
    </w:p>
    <w:p w14:paraId="17C17E1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Jeigu hipertenzija nekomplikuota, simptominė hipotenzija pasireiškia retai. Vartojant lizinoprilį, hipotenzija labiau galima tiems pacientams, kurių organizme trūksta elektrolitų arba skysčių, pvz., dėl diuretikų vartojimo, mažo druskos kiekio maiste, dializės, vėmimo ar viduriavimo arba sergantiems sunkia nuo renino priklausančia hipertenzija (žr. 4.5 ir 4.8 skyrius). Simptominė hipotenzija</w:t>
      </w:r>
      <w:r w:rsidRPr="004C5A75">
        <w:rPr>
          <w:rFonts w:ascii="Times New Roman" w:hAnsi="Times New Roman"/>
          <w:color w:val="FF0000"/>
          <w:sz w:val="22"/>
          <w:szCs w:val="22"/>
          <w:lang w:val="lt-LT"/>
        </w:rPr>
        <w:t xml:space="preserve"> </w:t>
      </w:r>
      <w:r w:rsidRPr="004C5A75">
        <w:rPr>
          <w:rFonts w:ascii="Times New Roman" w:hAnsi="Times New Roman"/>
          <w:sz w:val="22"/>
          <w:szCs w:val="22"/>
          <w:lang w:val="lt-LT"/>
        </w:rPr>
        <w:t xml:space="preserve">pasireiškė ligoniams, sergantiems su inkstų nepakankamumu susijusiu arba nesusijusiu sunkiu širdies nepakankamumu. Tokia komplikacija labiau galima sunkesnio laipsnio širdies nepakankamumu sergantiems pacientams, kurie vartoja didelę kilpinių diuretikų dozę, kurių inkstų funkcija sutrikusi arba kuriems yra hiponatremija. Pacientus, kuriems yra padidėjusi simptominės hipotenzijos rizika, gydymo pradžioje gydytojas turi atidžiai prižiūrėti ir koreguoti dozę. Tokių pat atsargumo priemonių būtina laikytis ir gydant išemine širdies liga arba smegenų kraujagyslių liga sergančius ligonius, kadangi pasireiškus didelei hipotenzijai juos gali ištikti miokardo infarktas arba insultas. </w:t>
      </w:r>
    </w:p>
    <w:p w14:paraId="17C17E16" w14:textId="77777777" w:rsidR="00D75E9B" w:rsidRPr="004C5A75" w:rsidRDefault="00D75E9B" w:rsidP="00D75E9B">
      <w:pPr>
        <w:rPr>
          <w:rFonts w:ascii="Times New Roman" w:hAnsi="Times New Roman"/>
          <w:sz w:val="22"/>
          <w:szCs w:val="22"/>
          <w:lang w:val="lt-LT"/>
        </w:rPr>
      </w:pPr>
    </w:p>
    <w:p w14:paraId="17C17E1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Jeigu pasireiškia hipotenzija, pacientą reikia paguldyti aukštielninką, prireikus į veną infuzuoti fiziologinio tirpalo. Pirmos dozės sukeltą hipotenziją pašalinus, toliau gydyti atsargiai didinama lizinoprilio doze nedraudžiama. </w:t>
      </w:r>
    </w:p>
    <w:p w14:paraId="17C17E18" w14:textId="77777777" w:rsidR="00D75E9B" w:rsidRPr="004C5A75" w:rsidRDefault="00D75E9B" w:rsidP="00D75E9B">
      <w:pPr>
        <w:rPr>
          <w:rFonts w:ascii="Times New Roman" w:hAnsi="Times New Roman"/>
          <w:sz w:val="22"/>
          <w:szCs w:val="22"/>
          <w:lang w:val="lt-LT"/>
        </w:rPr>
      </w:pPr>
    </w:p>
    <w:p w14:paraId="17C17E1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Kai kuriems širdies nepakankamumu sergantiems pacientams, kurių kraujospūdis yra normalus ar sumažėjęs, lizinoprilis gali papildomai sumažinti kraujospūdį. Tokį poveikį galima numatyti ir dėl to paprastai neprireikia nutraukti gydymą. Jei hipotenzija tampa simptominė, gali prireikti  mažinti lizinoprilio dozę arba nutraukti gydymą. </w:t>
      </w:r>
    </w:p>
    <w:p w14:paraId="17C17E1A" w14:textId="77777777" w:rsidR="00D75E9B" w:rsidRPr="004C5A75" w:rsidRDefault="00D75E9B" w:rsidP="00D75E9B">
      <w:pPr>
        <w:rPr>
          <w:rFonts w:ascii="Times New Roman" w:hAnsi="Times New Roman"/>
          <w:sz w:val="22"/>
          <w:szCs w:val="22"/>
          <w:u w:val="single"/>
          <w:lang w:val="lt-LT"/>
        </w:rPr>
      </w:pPr>
    </w:p>
    <w:p w14:paraId="17C17E1B"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Su ūminiu miokardo infarktu susijusi hipotenzija</w:t>
      </w:r>
    </w:p>
    <w:p w14:paraId="17C17E1C"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Ūminio infarkto ištiktus pacientus, kuriems kraujagysles plečiantys vaistiniai preparatai gali dar labiau pasunkinti kraujotakos sutrikimą, t. y. tuos, kurių sistolinis kraujospūdis yra 100 mm Hg ar mažesnis arba kuriuos ištiko kardiogeninis šokas, lizinopriliu pradėti gydyti negalima. Pirmosiomis 3 paromis po infarkto dozę reikia mažinti, jeigu kraujospūdis yra </w:t>
      </w:r>
      <w:smartTag w:uri="urn:schemas-microsoft-com:office:smarttags" w:element="metricconverter">
        <w:smartTagPr>
          <w:attr w:name="ProductID" w:val="120 mm"/>
        </w:smartTagPr>
        <w:r w:rsidRPr="004C5A75">
          <w:rPr>
            <w:rFonts w:ascii="Times New Roman" w:hAnsi="Times New Roman"/>
            <w:sz w:val="22"/>
            <w:szCs w:val="22"/>
            <w:lang w:val="lt-LT"/>
          </w:rPr>
          <w:t>120 mm</w:t>
        </w:r>
      </w:smartTag>
      <w:r w:rsidRPr="004C5A75">
        <w:rPr>
          <w:rFonts w:ascii="Times New Roman" w:hAnsi="Times New Roman"/>
          <w:sz w:val="22"/>
          <w:szCs w:val="22"/>
          <w:lang w:val="lt-LT"/>
        </w:rPr>
        <w:t xml:space="preserve"> Hg arba mažesnis. Palaikomąją dozę reikia mažinti iki 5 mg arba laikinai net iki 2,5 mg, jeigu sistolinis kraujospūdis yra </w:t>
      </w:r>
      <w:smartTag w:uri="urn:schemas-microsoft-com:office:smarttags" w:element="metricconverter">
        <w:smartTagPr>
          <w:attr w:name="ProductID" w:val="100 mm"/>
        </w:smartTagPr>
        <w:r w:rsidRPr="004C5A75">
          <w:rPr>
            <w:rFonts w:ascii="Times New Roman" w:hAnsi="Times New Roman"/>
            <w:sz w:val="22"/>
            <w:szCs w:val="22"/>
            <w:lang w:val="lt-LT"/>
          </w:rPr>
          <w:t>100 mm</w:t>
        </w:r>
      </w:smartTag>
      <w:r w:rsidRPr="004C5A75">
        <w:rPr>
          <w:rFonts w:ascii="Times New Roman" w:hAnsi="Times New Roman"/>
          <w:sz w:val="22"/>
          <w:szCs w:val="22"/>
          <w:lang w:val="lt-LT"/>
        </w:rPr>
        <w:t xml:space="preserve"> Hg arba mažesnis. Jeigu hipotenzija (sistolinis kraujospūdis ilgiau negu 1 valandą yra mažesnis negu 90 mm Hg) nepraeina, lizinoprilio vartojimą reikia nutraukti.</w:t>
      </w:r>
    </w:p>
    <w:p w14:paraId="17C17E1D" w14:textId="77777777" w:rsidR="00D75E9B" w:rsidRPr="004C5A75" w:rsidRDefault="00D75E9B" w:rsidP="00D75E9B">
      <w:pPr>
        <w:tabs>
          <w:tab w:val="left" w:pos="288"/>
          <w:tab w:val="left" w:pos="432"/>
        </w:tabs>
        <w:rPr>
          <w:rFonts w:ascii="Times New Roman" w:hAnsi="Times New Roman"/>
          <w:i/>
          <w:iCs/>
          <w:sz w:val="22"/>
          <w:szCs w:val="22"/>
          <w:lang w:val="lt-LT"/>
        </w:rPr>
      </w:pPr>
    </w:p>
    <w:p w14:paraId="17C17E1E" w14:textId="77777777" w:rsidR="00D75E9B" w:rsidRPr="004C5A75" w:rsidRDefault="00D75E9B" w:rsidP="00D75E9B">
      <w:pPr>
        <w:tabs>
          <w:tab w:val="left" w:pos="288"/>
          <w:tab w:val="left" w:pos="432"/>
        </w:tabs>
        <w:rPr>
          <w:rFonts w:ascii="Times New Roman" w:hAnsi="Times New Roman"/>
          <w:i/>
          <w:iCs/>
          <w:sz w:val="22"/>
          <w:szCs w:val="22"/>
          <w:u w:val="single"/>
          <w:lang w:val="lt-LT"/>
        </w:rPr>
      </w:pPr>
      <w:r w:rsidRPr="004C5A75">
        <w:rPr>
          <w:rFonts w:ascii="Times New Roman" w:hAnsi="Times New Roman"/>
          <w:i/>
          <w:iCs/>
          <w:sz w:val="22"/>
          <w:szCs w:val="22"/>
          <w:u w:val="single"/>
          <w:lang w:val="lt-LT"/>
        </w:rPr>
        <w:t xml:space="preserve">Aortos ir mitralinio vožtuvo stenozė, hipertrofinė kardiomiopatija </w:t>
      </w:r>
    </w:p>
    <w:p w14:paraId="17C17E1F" w14:textId="77777777" w:rsidR="00D75E9B" w:rsidRPr="004C5A75" w:rsidRDefault="00D75E9B" w:rsidP="00D75E9B">
      <w:pP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t xml:space="preserve">Kaip ir visų kitų AKFI, lizinoprilio turi būti skiriama atsargiai pacientams, kuriems yra mitralinio vožtuvo stenozė ir kraujo ištekėjimo iš kairiojo širdies skilvelio obstrukcija, įskaitant aortos stenozę ir hipertrofinę kardiomiopatiją. </w:t>
      </w:r>
    </w:p>
    <w:p w14:paraId="17C17E20" w14:textId="77777777" w:rsidR="00D75E9B" w:rsidRPr="004C5A75" w:rsidRDefault="00D75E9B" w:rsidP="00D75E9B">
      <w:pPr>
        <w:rPr>
          <w:rFonts w:ascii="Times New Roman" w:hAnsi="Times New Roman"/>
          <w:sz w:val="22"/>
          <w:szCs w:val="22"/>
          <w:lang w:val="lt-LT"/>
        </w:rPr>
      </w:pPr>
    </w:p>
    <w:p w14:paraId="17C17E21"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Inkstų nepakankamumas</w:t>
      </w:r>
    </w:p>
    <w:p w14:paraId="17C17E2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Inkstų nepakankamumu sergantiems pacientams (kreatinino klirensas &lt; 80 ml/min.) pradinę lizinoprilio dozę reikia nustatyti atsižvelgiant į ligonio kreatinino klirensą o vėliau – pagal organizmo atsaką į gydymą. Tokiems pacientams būtina nustatinėti kalio ir kreatinino koncentraciją.</w:t>
      </w:r>
    </w:p>
    <w:p w14:paraId="17C17E2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lastRenderedPageBreak/>
        <w:t xml:space="preserve">Širdies nepakankamumu sergantiems pacientams pradėjus vartoti AKFI, gali dar pablogėti inkstų funkcija. Gauta pranešimų, kad tokiems ligoniams pasireiškė ūminis (dažniausiai praeinantis) inkstų nepakankamumas. </w:t>
      </w:r>
    </w:p>
    <w:p w14:paraId="17C17E24" w14:textId="77777777" w:rsidR="00D75E9B" w:rsidRPr="004C5A75" w:rsidRDefault="00D75E9B" w:rsidP="00D75E9B">
      <w:pPr>
        <w:rPr>
          <w:rFonts w:ascii="Times New Roman" w:hAnsi="Times New Roman"/>
          <w:sz w:val="22"/>
          <w:szCs w:val="22"/>
          <w:lang w:val="lt-LT"/>
        </w:rPr>
      </w:pPr>
    </w:p>
    <w:p w14:paraId="17C17E2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Kai kuriems AKFI vartojusiems pacientams, kuriems yra abiejų inkstų (arba vieno, jeigu žmogus yra tik su vienu inkstu) arterijų stenozė, padidėjo šlapalo ir kreatinino koncentracija kraujo serume; šis padidėjimas išnyko nutraukus gydymą. Šis poveikis dažnesnis pacientams, kurių inkstų funkcija nepakankama. Pacientams, sergantiems renovaskuline hipertenzija, yra didesnė sunkios hipotenzijos ir inkstų nepakankamumo pasireiškimo galimybė. Tokius ligonius rekomenduojama pradėti gydyti ligoninėje, atidžiai prižiūrint gydytojui, maža doze, kurią didinti reikia atsargiai. Kadangi diuretikai gali paskatinti minėtus reiškinius, diuretikų vartojimą reikia nutraukti ir pirmosiomis gydymo lizinopriliu savaitėmis reikia stebėti inkstų funkciją.</w:t>
      </w:r>
    </w:p>
    <w:p w14:paraId="17C17E2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Kai kuriems </w:t>
      </w:r>
      <w:r w:rsidRPr="004C5A75">
        <w:rPr>
          <w:rFonts w:ascii="Times New Roman" w:hAnsi="Times New Roman"/>
          <w:sz w:val="22"/>
          <w:szCs w:val="22"/>
          <w:u w:val="single"/>
          <w:lang w:val="lt-LT"/>
        </w:rPr>
        <w:t>hipertenzija sergantiems pacientams</w:t>
      </w:r>
      <w:r w:rsidRPr="004C5A75">
        <w:rPr>
          <w:rFonts w:ascii="Times New Roman" w:hAnsi="Times New Roman"/>
          <w:sz w:val="22"/>
          <w:szCs w:val="22"/>
          <w:lang w:val="lt-LT"/>
        </w:rPr>
        <w:t>, kurie inkstų kraujagyslių liga prieš gydymą nesirgo, nustatytas nežymus ir dažniausiai praeinantis šlapalo ir kreatinino koncentracijos serume padidėjimas, ypač kai lizinoprilis vartojamas kartu su diuretikais. Šis poveikis dažnesnis pacientams, kurių inkstų funkcija nepakankama. Jeigu toks poveikis pasireiškia, gali prireikti mažinti lizinoprilio ir (arba) diuretikų dozę ir (arba) nutraukti jų vartojimą.</w:t>
      </w:r>
    </w:p>
    <w:p w14:paraId="17C17E27" w14:textId="77777777" w:rsidR="00D75E9B" w:rsidRPr="004C5A75" w:rsidRDefault="00D75E9B" w:rsidP="00D75E9B">
      <w:pPr>
        <w:rPr>
          <w:rFonts w:ascii="Times New Roman" w:hAnsi="Times New Roman"/>
          <w:sz w:val="22"/>
          <w:szCs w:val="22"/>
          <w:lang w:val="lt-LT"/>
        </w:rPr>
      </w:pPr>
    </w:p>
    <w:p w14:paraId="17C17E28" w14:textId="77777777" w:rsidR="00D75E9B" w:rsidRPr="004C5A75" w:rsidRDefault="00D75E9B" w:rsidP="00D75E9B">
      <w:pPr>
        <w:rPr>
          <w:rFonts w:ascii="Times New Roman" w:hAnsi="Times New Roman"/>
          <w:b/>
          <w:sz w:val="22"/>
          <w:szCs w:val="22"/>
          <w:lang w:val="lt-LT"/>
        </w:rPr>
      </w:pPr>
      <w:r w:rsidRPr="004C5A75">
        <w:rPr>
          <w:rFonts w:ascii="Times New Roman" w:hAnsi="Times New Roman"/>
          <w:sz w:val="22"/>
          <w:szCs w:val="22"/>
          <w:u w:val="single"/>
          <w:lang w:val="lt-LT"/>
        </w:rPr>
        <w:t>Ūminio miokardo ištiktų ligonių</w:t>
      </w:r>
      <w:r w:rsidRPr="004C5A75">
        <w:rPr>
          <w:rFonts w:ascii="Times New Roman" w:hAnsi="Times New Roman"/>
          <w:sz w:val="22"/>
          <w:szCs w:val="22"/>
          <w:lang w:val="lt-LT"/>
        </w:rPr>
        <w:t>, kurių inkstų funkcija sutrikusi: kreatinino koncentracija kraujo serume yra ne mažesnė kaip 177 mikromol/l arba (ir) proteinurija yra didesnė negu 500 mg per parą, lizinopriliu gydyti negalima. Jeigu inkstų funkcija sutrinka (kreatinino koncentracija kraujo serume tampa ne mažesnė negu 265 mikromol/l arba dvigubai didesnis, palyginti su tuo, kuris buvo prieš gydymą), lizinoprilio vartojimą reikia nutraukti.</w:t>
      </w:r>
    </w:p>
    <w:p w14:paraId="17C17E29" w14:textId="77777777" w:rsidR="00D75E9B" w:rsidRPr="004C5A75" w:rsidRDefault="00D75E9B" w:rsidP="00D75E9B">
      <w:pPr>
        <w:tabs>
          <w:tab w:val="left" w:pos="288"/>
          <w:tab w:val="left" w:pos="432"/>
        </w:tabs>
        <w:rPr>
          <w:rFonts w:ascii="Times New Roman" w:hAnsi="Times New Roman"/>
          <w:i/>
          <w:sz w:val="22"/>
          <w:szCs w:val="22"/>
          <w:lang w:val="lt-LT"/>
        </w:rPr>
      </w:pPr>
    </w:p>
    <w:p w14:paraId="17C17E2A" w14:textId="77777777" w:rsidR="00D75E9B" w:rsidRPr="004C5A75" w:rsidRDefault="00D75E9B" w:rsidP="00D75E9B">
      <w:pPr>
        <w:rPr>
          <w:rFonts w:ascii="Times New Roman" w:hAnsi="Times New Roman"/>
          <w:iCs/>
          <w:sz w:val="22"/>
          <w:szCs w:val="22"/>
          <w:u w:val="single"/>
          <w:lang w:val="lt-LT"/>
        </w:rPr>
      </w:pPr>
      <w:r w:rsidRPr="004C5A75">
        <w:rPr>
          <w:rFonts w:ascii="Times New Roman" w:hAnsi="Times New Roman"/>
          <w:i/>
          <w:sz w:val="22"/>
          <w:szCs w:val="22"/>
          <w:u w:val="single"/>
          <w:lang w:val="lt-LT"/>
        </w:rPr>
        <w:t>Padidėjęs jautrumas, angioneurozinė edema</w:t>
      </w:r>
      <w:r w:rsidRPr="004C5A75">
        <w:rPr>
          <w:rFonts w:ascii="Times New Roman" w:hAnsi="Times New Roman"/>
          <w:iCs/>
          <w:sz w:val="22"/>
          <w:szCs w:val="22"/>
          <w:u w:val="single"/>
          <w:lang w:val="lt-LT"/>
        </w:rPr>
        <w:t xml:space="preserve"> </w:t>
      </w:r>
    </w:p>
    <w:p w14:paraId="17C17E2B" w14:textId="77777777" w:rsidR="00D75E9B" w:rsidRPr="004C5A75" w:rsidRDefault="00D75E9B" w:rsidP="00D75E9B">
      <w:pPr>
        <w:rPr>
          <w:rFonts w:ascii="Times New Roman" w:hAnsi="Times New Roman"/>
          <w:sz w:val="22"/>
          <w:szCs w:val="22"/>
          <w:lang w:val="lt-LT"/>
        </w:rPr>
      </w:pPr>
      <w:r w:rsidRPr="004C5A75">
        <w:rPr>
          <w:rFonts w:ascii="Times New Roman" w:hAnsi="Times New Roman"/>
          <w:iCs/>
          <w:sz w:val="22"/>
          <w:szCs w:val="22"/>
          <w:lang w:val="lt-LT"/>
        </w:rPr>
        <w:t xml:space="preserve">Gauta pranešimų, </w:t>
      </w:r>
      <w:r w:rsidRPr="004C5A75">
        <w:rPr>
          <w:rFonts w:ascii="Times New Roman" w:hAnsi="Times New Roman"/>
          <w:sz w:val="22"/>
          <w:szCs w:val="22"/>
          <w:lang w:val="lt-LT"/>
        </w:rPr>
        <w:t>kad kai kuriems pacientams, gydytiems  angiotenziną konvertuojančio fermento inhibitoriais, įskaitant lizinoprilį, retai atsirado veido, galūnių, lūpų, liežuvio, tikrojo balso aparato ir (arba) gerklų angioneurozinė edema. Ji galima bet kuriuo gydymo laiku. Jai pasireiškus, lizinoprilio vartojimą būtina tuoj pat nutraukti ir pradėti ligonį tinkamai gydyti ir stebėti, kad būtų įsitikinta, jog simptomai visiškai pranyko prieš pacientus išleidžiant iš ligoninės. Net tais atvejais, kai atsiranda tik liežuvio patinimas, o kvėpavimas nepasunkėja, pacientams gali būti reikalinga ilgalaikė stebėsena, nes gydymo antihistamininiais vaistiniais preparatais ir gliukokortikoidais gali nepakakti.</w:t>
      </w:r>
    </w:p>
    <w:p w14:paraId="17C17E2C" w14:textId="77777777" w:rsidR="00D75E9B" w:rsidRPr="004C5A75" w:rsidRDefault="00D75E9B" w:rsidP="00D75E9B">
      <w:pPr>
        <w:rPr>
          <w:rFonts w:ascii="Times New Roman" w:hAnsi="Times New Roman"/>
          <w:sz w:val="22"/>
          <w:szCs w:val="22"/>
          <w:lang w:val="lt-LT"/>
        </w:rPr>
      </w:pPr>
    </w:p>
    <w:p w14:paraId="17C17E2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Gauta labai retų pranešimų apie mirties atvejus dėl angioneurozinės edemos, susijusios su gerklų ar liežuvio edema. </w:t>
      </w:r>
      <w:r w:rsidRPr="004C5A75">
        <w:rPr>
          <w:rFonts w:ascii="Times New Roman" w:hAnsi="Times New Roman"/>
          <w:iCs/>
          <w:sz w:val="22"/>
          <w:szCs w:val="22"/>
          <w:lang w:val="lt-LT"/>
        </w:rPr>
        <w:t>Pacientams, kuriems atsiranda liežuvio,</w:t>
      </w:r>
      <w:r w:rsidRPr="004C5A75">
        <w:rPr>
          <w:rFonts w:ascii="Times New Roman" w:hAnsi="Times New Roman"/>
          <w:sz w:val="22"/>
          <w:szCs w:val="22"/>
          <w:lang w:val="lt-LT"/>
        </w:rPr>
        <w:t xml:space="preserve"> tikrojo balso aparato ir (arba) gerklų angioneurozinė edema, tikėtina kvėpavimo takų obstrukcija, ypač tiems, kuriems buvo atlikta kvėpavimo takų operacija. Tokiais atvejais būtina nedelsiant imtis skubių gydymo priemonių: suleisti epinefrino ir (arba) palaikyti kvėpavimo takų praeinamumą. Tokius pacientus būtina atidžiai stebėti iki visiško ir ilgalaikio simptomų išnykimo. </w:t>
      </w:r>
    </w:p>
    <w:p w14:paraId="17C17E2E" w14:textId="77777777" w:rsidR="00D75E9B" w:rsidRPr="004C5A75" w:rsidRDefault="00D75E9B" w:rsidP="00D75E9B">
      <w:pPr>
        <w:rPr>
          <w:rFonts w:ascii="Times New Roman" w:hAnsi="Times New Roman"/>
          <w:sz w:val="22"/>
          <w:szCs w:val="22"/>
          <w:lang w:val="lt-LT"/>
        </w:rPr>
      </w:pPr>
    </w:p>
    <w:p w14:paraId="17C17E2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Angiotenziną konvertuojančio fermento inhibitoriai angioneurozinę edemą juodaodžiams pacientams sukelia dažniau, nei ne juodaodžiams.</w:t>
      </w:r>
    </w:p>
    <w:p w14:paraId="17C17E30" w14:textId="77777777" w:rsidR="00D75E9B" w:rsidRPr="004C5A75" w:rsidRDefault="00D75E9B" w:rsidP="00D75E9B">
      <w:pPr>
        <w:rPr>
          <w:rFonts w:ascii="Times New Roman" w:hAnsi="Times New Roman"/>
          <w:sz w:val="22"/>
          <w:szCs w:val="22"/>
          <w:lang w:val="lt-LT"/>
        </w:rPr>
      </w:pPr>
    </w:p>
    <w:p w14:paraId="17C17E3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Pacientams, kuriems yra buvusi angioneurozinė edema, nesusijusi su AKF inhibitorių vartojimu, gali būti didesnė angioneurozinės edemos, sukeltos AKFI, rizika (žr. 4.3 skyrių).</w:t>
      </w:r>
    </w:p>
    <w:p w14:paraId="17C17E32" w14:textId="77777777" w:rsidR="00422053" w:rsidRDefault="00422053" w:rsidP="00AE3680">
      <w:pPr>
        <w:tabs>
          <w:tab w:val="left" w:pos="288"/>
          <w:tab w:val="left" w:pos="432"/>
        </w:tabs>
        <w:rPr>
          <w:rFonts w:ascii="Times New Roman" w:hAnsi="Times New Roman"/>
          <w:i/>
          <w:sz w:val="22"/>
          <w:szCs w:val="22"/>
          <w:lang w:val="lt-LT"/>
        </w:rPr>
      </w:pPr>
    </w:p>
    <w:p w14:paraId="17C17E33" w14:textId="77777777" w:rsidR="00AE3680" w:rsidRPr="00422053" w:rsidRDefault="00422053" w:rsidP="00AE3680">
      <w:pPr>
        <w:tabs>
          <w:tab w:val="left" w:pos="288"/>
          <w:tab w:val="left" w:pos="432"/>
        </w:tabs>
        <w:rPr>
          <w:rFonts w:ascii="Times New Roman" w:hAnsi="Times New Roman"/>
          <w:sz w:val="22"/>
          <w:szCs w:val="22"/>
          <w:lang w:val="lt-LT"/>
        </w:rPr>
      </w:pPr>
      <w:r w:rsidRPr="00422053">
        <w:rPr>
          <w:rFonts w:ascii="Times New Roman" w:hAnsi="Times New Roman"/>
          <w:sz w:val="22"/>
          <w:szCs w:val="22"/>
          <w:lang w:val="lt-LT"/>
        </w:rPr>
        <w:t>Dėl padidėjusios angio</w:t>
      </w:r>
      <w:r w:rsidR="007A4480">
        <w:rPr>
          <w:rFonts w:ascii="Times New Roman" w:hAnsi="Times New Roman"/>
          <w:sz w:val="22"/>
          <w:szCs w:val="22"/>
          <w:lang w:val="lt-LT"/>
        </w:rPr>
        <w:t xml:space="preserve">neurozinės </w:t>
      </w:r>
      <w:r w:rsidRPr="00422053">
        <w:rPr>
          <w:rFonts w:ascii="Times New Roman" w:hAnsi="Times New Roman"/>
          <w:sz w:val="22"/>
          <w:szCs w:val="22"/>
          <w:lang w:val="lt-LT"/>
        </w:rPr>
        <w:t xml:space="preserve">edemos rizikos AKF inhibitorių draudžiama skirti kartu su sakubitrilo ir valsartano deriniu. Gydymo sakubitrilo ir valsartano deriniu negalima pradėti nepraėjus 36 valandoms po paskutinės </w:t>
      </w:r>
      <w:r>
        <w:rPr>
          <w:rFonts w:ascii="Times New Roman" w:hAnsi="Times New Roman"/>
          <w:sz w:val="22"/>
          <w:szCs w:val="22"/>
          <w:lang w:val="lt-LT"/>
        </w:rPr>
        <w:t>lizino</w:t>
      </w:r>
      <w:r w:rsidRPr="00422053">
        <w:rPr>
          <w:rFonts w:ascii="Times New Roman" w:hAnsi="Times New Roman"/>
          <w:sz w:val="22"/>
          <w:szCs w:val="22"/>
          <w:lang w:val="lt-LT"/>
        </w:rPr>
        <w:t xml:space="preserve">prilio dozės. Gydymo </w:t>
      </w:r>
      <w:r>
        <w:rPr>
          <w:rFonts w:ascii="Times New Roman" w:hAnsi="Times New Roman"/>
          <w:sz w:val="22"/>
          <w:szCs w:val="22"/>
          <w:lang w:val="lt-LT"/>
        </w:rPr>
        <w:t>lizino</w:t>
      </w:r>
      <w:r w:rsidRPr="00422053">
        <w:rPr>
          <w:rFonts w:ascii="Times New Roman" w:hAnsi="Times New Roman"/>
          <w:sz w:val="22"/>
          <w:szCs w:val="22"/>
          <w:lang w:val="lt-LT"/>
        </w:rPr>
        <w:t>priliu negalima pradėti nepraėjus 36 valandoms po paskutinės sakubitrilo ir valsartano derinio dozės (žr. 4.3 ir 4.5 skyrius).</w:t>
      </w:r>
    </w:p>
    <w:p w14:paraId="17C17E34" w14:textId="77777777" w:rsidR="00422053" w:rsidRDefault="00422053" w:rsidP="00AE3680">
      <w:pPr>
        <w:tabs>
          <w:tab w:val="left" w:pos="288"/>
          <w:tab w:val="left" w:pos="432"/>
        </w:tabs>
        <w:rPr>
          <w:rFonts w:ascii="Times New Roman" w:hAnsi="Times New Roman"/>
          <w:i/>
          <w:sz w:val="22"/>
          <w:szCs w:val="22"/>
          <w:lang w:val="lt-LT"/>
        </w:rPr>
      </w:pPr>
    </w:p>
    <w:p w14:paraId="17C17E35" w14:textId="77777777" w:rsidR="00422053" w:rsidRDefault="00422053" w:rsidP="00D75E9B">
      <w:pPr>
        <w:tabs>
          <w:tab w:val="left" w:pos="288"/>
          <w:tab w:val="left" w:pos="432"/>
        </w:tabs>
        <w:rPr>
          <w:rFonts w:ascii="Times New Roman" w:hAnsi="Times New Roman"/>
          <w:iCs/>
          <w:sz w:val="22"/>
          <w:szCs w:val="22"/>
          <w:u w:val="single"/>
          <w:lang w:val="lt-LT"/>
        </w:rPr>
      </w:pPr>
    </w:p>
    <w:p w14:paraId="17C17E36" w14:textId="77777777" w:rsidR="00AE3680" w:rsidRPr="00422053" w:rsidRDefault="00422053" w:rsidP="00D75E9B">
      <w:pPr>
        <w:tabs>
          <w:tab w:val="left" w:pos="288"/>
          <w:tab w:val="left" w:pos="432"/>
        </w:tabs>
        <w:rPr>
          <w:rFonts w:ascii="Times New Roman" w:hAnsi="Times New Roman"/>
          <w:iCs/>
          <w:sz w:val="22"/>
          <w:szCs w:val="22"/>
          <w:u w:val="single"/>
          <w:lang w:val="lt-LT"/>
        </w:rPr>
      </w:pPr>
      <w:r w:rsidRPr="00422053">
        <w:rPr>
          <w:rFonts w:ascii="Times New Roman" w:hAnsi="Times New Roman"/>
          <w:iCs/>
          <w:sz w:val="22"/>
          <w:szCs w:val="22"/>
          <w:u w:val="single"/>
          <w:lang w:val="lt-LT"/>
        </w:rPr>
        <w:t>AKF inhibitorių vartojimas kartu su racekadotriliu, mTOR inhibitoriais (pvz., sirolimuzu, everolimuzu, temsirolimuzu) ar vildagliptinu gali padidinti angio</w:t>
      </w:r>
      <w:r w:rsidR="007A4480">
        <w:rPr>
          <w:rFonts w:ascii="Times New Roman" w:hAnsi="Times New Roman"/>
          <w:iCs/>
          <w:sz w:val="22"/>
          <w:szCs w:val="22"/>
          <w:u w:val="single"/>
          <w:lang w:val="lt-LT"/>
        </w:rPr>
        <w:t xml:space="preserve">neurozinės </w:t>
      </w:r>
      <w:r w:rsidRPr="00422053">
        <w:rPr>
          <w:rFonts w:ascii="Times New Roman" w:hAnsi="Times New Roman"/>
          <w:iCs/>
          <w:sz w:val="22"/>
          <w:szCs w:val="22"/>
          <w:u w:val="single"/>
          <w:lang w:val="lt-LT"/>
        </w:rPr>
        <w:t xml:space="preserve">edemos </w:t>
      </w:r>
      <w:r w:rsidR="007A4480">
        <w:rPr>
          <w:rFonts w:ascii="Times New Roman" w:hAnsi="Times New Roman"/>
          <w:iCs/>
          <w:sz w:val="22"/>
          <w:szCs w:val="22"/>
          <w:u w:val="single"/>
          <w:lang w:val="lt-LT"/>
        </w:rPr>
        <w:t>riziką</w:t>
      </w:r>
      <w:r w:rsidRPr="00422053">
        <w:rPr>
          <w:rFonts w:ascii="Times New Roman" w:hAnsi="Times New Roman"/>
          <w:iCs/>
          <w:sz w:val="22"/>
          <w:szCs w:val="22"/>
          <w:u w:val="single"/>
          <w:lang w:val="lt-LT"/>
        </w:rPr>
        <w:t xml:space="preserve"> (pvz., kvėpavimo takų arba liežuvio patinimo, lydimo kvėpavimo sutrikimo arba be jo) riziką (žr. 4.5 skyrių). AKF inhibitorių vartojančiam pacientui racekadotrilio, mTOR inhibitorių ar vildagliptino skirti reikia atsargiai.</w:t>
      </w:r>
    </w:p>
    <w:p w14:paraId="17C17E37" w14:textId="77777777" w:rsidR="00422053" w:rsidRDefault="00422053" w:rsidP="00D75E9B">
      <w:pPr>
        <w:tabs>
          <w:tab w:val="left" w:pos="288"/>
          <w:tab w:val="left" w:pos="432"/>
        </w:tabs>
        <w:rPr>
          <w:rFonts w:ascii="Times New Roman" w:hAnsi="Times New Roman"/>
          <w:i/>
          <w:iCs/>
          <w:sz w:val="22"/>
          <w:szCs w:val="22"/>
          <w:u w:val="single"/>
          <w:lang w:val="lt-LT"/>
        </w:rPr>
      </w:pPr>
    </w:p>
    <w:p w14:paraId="17C17E38" w14:textId="77777777" w:rsidR="00D75E9B" w:rsidRPr="004C5A75" w:rsidRDefault="00D75E9B" w:rsidP="00D75E9B">
      <w:pPr>
        <w:tabs>
          <w:tab w:val="left" w:pos="288"/>
          <w:tab w:val="left" w:pos="432"/>
        </w:tabs>
        <w:rPr>
          <w:rFonts w:ascii="Times New Roman" w:hAnsi="Times New Roman"/>
          <w:i/>
          <w:iCs/>
          <w:sz w:val="22"/>
          <w:szCs w:val="22"/>
          <w:u w:val="single"/>
          <w:lang w:val="lt-LT"/>
        </w:rPr>
      </w:pPr>
      <w:r w:rsidRPr="004C5A75">
        <w:rPr>
          <w:rFonts w:ascii="Times New Roman" w:hAnsi="Times New Roman"/>
          <w:i/>
          <w:iCs/>
          <w:sz w:val="22"/>
          <w:szCs w:val="22"/>
          <w:u w:val="single"/>
          <w:lang w:val="lt-LT"/>
        </w:rPr>
        <w:t>Anafilaktoidinės reakcijos hemodializuojamiems pacientams</w:t>
      </w:r>
    </w:p>
    <w:p w14:paraId="17C17E3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Gauta pranešimų, jog anafilaktoidinių reakcijų pasitaikė AKF inhibitorių vartojantiems ligoniams, kuriems hemodializė atliekama naudojant didelio laidumo (angl. </w:t>
      </w:r>
      <w:r w:rsidRPr="004C5A75">
        <w:rPr>
          <w:rFonts w:ascii="Times New Roman" w:hAnsi="Times New Roman"/>
          <w:i/>
          <w:sz w:val="22"/>
          <w:szCs w:val="22"/>
          <w:lang w:val="lt-LT"/>
        </w:rPr>
        <w:t>high flux</w:t>
      </w:r>
      <w:r w:rsidRPr="004C5A75">
        <w:rPr>
          <w:rFonts w:ascii="Times New Roman" w:hAnsi="Times New Roman"/>
          <w:sz w:val="22"/>
          <w:szCs w:val="22"/>
          <w:lang w:val="lt-LT"/>
        </w:rPr>
        <w:t>) membranas (pvz., AN 69). Tokius pacientus reikia dializuoti naudojant kitokias membranas arba juos gydyti kitokiais antihipertenziniais vaistiniais preparatais.</w:t>
      </w:r>
    </w:p>
    <w:p w14:paraId="17C17E3A" w14:textId="77777777" w:rsidR="00D75E9B" w:rsidRPr="004C5A75" w:rsidRDefault="00D75E9B" w:rsidP="00D75E9B">
      <w:pPr>
        <w:tabs>
          <w:tab w:val="left" w:pos="288"/>
          <w:tab w:val="left" w:pos="432"/>
        </w:tabs>
        <w:rPr>
          <w:rFonts w:ascii="Times New Roman" w:hAnsi="Times New Roman"/>
          <w:sz w:val="22"/>
          <w:szCs w:val="22"/>
          <w:lang w:val="lt-LT"/>
        </w:rPr>
      </w:pPr>
    </w:p>
    <w:p w14:paraId="17C17E3B" w14:textId="77777777" w:rsidR="00D75E9B" w:rsidRPr="004C5A75" w:rsidRDefault="00D75E9B" w:rsidP="00D75E9B">
      <w:pPr>
        <w:tabs>
          <w:tab w:val="left" w:pos="288"/>
          <w:tab w:val="left" w:pos="432"/>
        </w:tabs>
        <w:rPr>
          <w:rFonts w:ascii="Times New Roman" w:hAnsi="Times New Roman"/>
          <w:i/>
          <w:iCs/>
          <w:sz w:val="22"/>
          <w:szCs w:val="22"/>
          <w:u w:val="single"/>
          <w:lang w:val="lt-LT"/>
        </w:rPr>
      </w:pPr>
      <w:r w:rsidRPr="004C5A75">
        <w:rPr>
          <w:rFonts w:ascii="Times New Roman" w:hAnsi="Times New Roman"/>
          <w:i/>
          <w:iCs/>
          <w:sz w:val="22"/>
          <w:szCs w:val="22"/>
          <w:u w:val="single"/>
          <w:lang w:val="lt-LT"/>
        </w:rPr>
        <w:t>Anafilaktoidinės reakcijos mažo tankio lipoproteinų (MTL) aferezės metu</w:t>
      </w:r>
    </w:p>
    <w:p w14:paraId="17C17E3C" w14:textId="77777777" w:rsidR="00D75E9B" w:rsidRPr="004C5A75" w:rsidRDefault="00D75E9B" w:rsidP="00D75E9B">
      <w:pPr>
        <w:tabs>
          <w:tab w:val="left" w:pos="288"/>
          <w:tab w:val="left" w:pos="432"/>
        </w:tabs>
        <w:rPr>
          <w:rFonts w:ascii="Times New Roman" w:hAnsi="Times New Roman"/>
          <w:iCs/>
          <w:sz w:val="22"/>
          <w:szCs w:val="22"/>
          <w:lang w:val="lt-LT"/>
        </w:rPr>
      </w:pPr>
      <w:r w:rsidRPr="004C5A75">
        <w:rPr>
          <w:rFonts w:ascii="Times New Roman" w:hAnsi="Times New Roman"/>
          <w:iCs/>
          <w:sz w:val="22"/>
          <w:szCs w:val="22"/>
          <w:lang w:val="lt-LT"/>
        </w:rPr>
        <w:t>AKFI gydomiems pacientams atliekant mažo tankio lipoproteinų (MTL) aferezę dekstrano sulfatu, retkarčiais pasitaikė gyvybei pavojingų anafilaktoidinių reakcijų. Šių reakcijų išvengta, prieš kiekvieną aferezę laikinai nutraukus AKFI vartojimą.</w:t>
      </w:r>
    </w:p>
    <w:p w14:paraId="17C17E3D" w14:textId="77777777" w:rsidR="00D75E9B" w:rsidRPr="004C5A75" w:rsidRDefault="00D75E9B" w:rsidP="00D75E9B">
      <w:pPr>
        <w:tabs>
          <w:tab w:val="left" w:pos="288"/>
          <w:tab w:val="left" w:pos="432"/>
        </w:tabs>
        <w:rPr>
          <w:rFonts w:ascii="Times New Roman" w:hAnsi="Times New Roman"/>
          <w:sz w:val="22"/>
          <w:szCs w:val="22"/>
          <w:lang w:val="lt-LT"/>
        </w:rPr>
      </w:pPr>
    </w:p>
    <w:p w14:paraId="17C17E3E" w14:textId="77777777" w:rsidR="00D75E9B" w:rsidRPr="004C5A75" w:rsidRDefault="00D75E9B" w:rsidP="00D75E9B">
      <w:pPr>
        <w:tabs>
          <w:tab w:val="left" w:pos="288"/>
          <w:tab w:val="left" w:pos="432"/>
        </w:tabs>
        <w:rPr>
          <w:rFonts w:ascii="Times New Roman" w:hAnsi="Times New Roman"/>
          <w:i/>
          <w:iCs/>
          <w:sz w:val="22"/>
          <w:szCs w:val="22"/>
          <w:u w:val="single"/>
          <w:lang w:val="lt-LT"/>
        </w:rPr>
      </w:pPr>
      <w:r w:rsidRPr="004C5A75">
        <w:rPr>
          <w:rFonts w:ascii="Times New Roman" w:hAnsi="Times New Roman"/>
          <w:i/>
          <w:iCs/>
          <w:sz w:val="22"/>
          <w:szCs w:val="22"/>
          <w:u w:val="single"/>
          <w:lang w:val="lt-LT"/>
        </w:rPr>
        <w:t xml:space="preserve">Desensibilizavimas </w:t>
      </w:r>
    </w:p>
    <w:p w14:paraId="17C17E3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Ilgalaikių anafilaktoidinių reakcijų pasireiškia pacientams, desensibilizuojamojo gydymo (pvz., plėviasparnių nuodams) metu vartojantiems AKFI. Šiems pacientams tokių reakcijų išvengta, laikinai nutraukus AKFI vartojimą, tačiau jos pasikartojo, neapdairiai vėl paskyrus vaistinį preparatą. </w:t>
      </w:r>
    </w:p>
    <w:p w14:paraId="17C17E40" w14:textId="77777777" w:rsidR="00D75E9B" w:rsidRPr="004C5A75" w:rsidRDefault="00D75E9B" w:rsidP="00D75E9B">
      <w:pPr>
        <w:rPr>
          <w:rFonts w:ascii="Times New Roman" w:hAnsi="Times New Roman"/>
          <w:b/>
          <w:sz w:val="22"/>
          <w:szCs w:val="22"/>
          <w:lang w:val="lt-LT"/>
        </w:rPr>
      </w:pPr>
    </w:p>
    <w:p w14:paraId="17C17E41"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Kepenų nepakankamumas</w:t>
      </w:r>
    </w:p>
    <w:p w14:paraId="17C17E42" w14:textId="77777777" w:rsidR="00D75E9B" w:rsidRPr="004C5A75" w:rsidRDefault="00D75E9B" w:rsidP="00D75E9B">
      <w:pPr>
        <w:rPr>
          <w:rFonts w:ascii="Times New Roman" w:hAnsi="Times New Roman"/>
          <w:iCs/>
          <w:sz w:val="22"/>
          <w:szCs w:val="22"/>
          <w:lang w:val="lt-LT"/>
        </w:rPr>
      </w:pPr>
      <w:r w:rsidRPr="004C5A75">
        <w:rPr>
          <w:rFonts w:ascii="Times New Roman" w:hAnsi="Times New Roman"/>
          <w:sz w:val="22"/>
          <w:szCs w:val="22"/>
          <w:lang w:val="lt-LT"/>
        </w:rPr>
        <w:t xml:space="preserve">Labai retai </w:t>
      </w:r>
      <w:r w:rsidRPr="004C5A75">
        <w:rPr>
          <w:rFonts w:ascii="Times New Roman" w:hAnsi="Times New Roman"/>
          <w:iCs/>
          <w:sz w:val="22"/>
          <w:szCs w:val="22"/>
          <w:lang w:val="lt-LT"/>
        </w:rPr>
        <w:t xml:space="preserve">AKF inhibitorių vartojimas siejamas su sindromo, kurio pradžioje pasireiškia cholestazinė gelta, vėliau vystosi žaibinė kepenų nekrozė ir (kartais) ištinka mirtis, pasireiškimu. Šio sindromo mechanizmas nėra aiškus. Jeigu gydymo lizinopriliu metu pacientas pagelsta arba labai padidėja kepenų fermentų aktyvumas, gydymą lizinopriliu būtina nutraukti ir pacientą tinkamai ištirti. </w:t>
      </w:r>
    </w:p>
    <w:p w14:paraId="17C17E43" w14:textId="77777777" w:rsidR="00D75E9B" w:rsidRPr="004C5A75" w:rsidRDefault="00D75E9B" w:rsidP="00D75E9B">
      <w:pPr>
        <w:rPr>
          <w:rFonts w:ascii="Times New Roman" w:hAnsi="Times New Roman"/>
          <w:iCs/>
          <w:sz w:val="22"/>
          <w:szCs w:val="22"/>
          <w:lang w:val="lt-LT"/>
        </w:rPr>
      </w:pPr>
    </w:p>
    <w:p w14:paraId="17C17E44" w14:textId="77777777" w:rsidR="00D75E9B" w:rsidRPr="004C5A75" w:rsidRDefault="00D75E9B" w:rsidP="00D75E9B">
      <w:pPr>
        <w:tabs>
          <w:tab w:val="left" w:pos="288"/>
          <w:tab w:val="left" w:pos="432"/>
        </w:tabs>
        <w:rPr>
          <w:rFonts w:ascii="Times New Roman" w:hAnsi="Times New Roman"/>
          <w:i/>
          <w:sz w:val="22"/>
          <w:szCs w:val="22"/>
          <w:u w:val="single"/>
          <w:lang w:val="lt-LT"/>
        </w:rPr>
      </w:pPr>
      <w:r w:rsidRPr="004C5A75">
        <w:rPr>
          <w:rFonts w:ascii="Times New Roman" w:hAnsi="Times New Roman"/>
          <w:i/>
          <w:sz w:val="22"/>
          <w:szCs w:val="22"/>
          <w:u w:val="single"/>
          <w:lang w:val="lt-LT"/>
        </w:rPr>
        <w:t>Neutropenija/ agranulocitozė</w:t>
      </w:r>
    </w:p>
    <w:p w14:paraId="17C17E45" w14:textId="77777777" w:rsidR="00D75E9B" w:rsidRPr="004C5A75" w:rsidRDefault="00D75E9B" w:rsidP="00D75E9B">
      <w:pP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t xml:space="preserve">Pacientams, gydomiems AKFI, atsirado neutropenija, agranulocitozė, trombocitopenija, anemija. Pacientams, kurių inkstų funkcija normali ar kuriems nėra kitų komplikuojančių veiksnių, neutropenija būna retai. Nutraukus gydymą AKFI, neutropenija ir agranulocitozė išnyksta. </w:t>
      </w:r>
    </w:p>
    <w:p w14:paraId="17C17E46" w14:textId="77777777" w:rsidR="00D75E9B" w:rsidRPr="004C5A75" w:rsidRDefault="00D75E9B" w:rsidP="00D75E9B">
      <w:pPr>
        <w:tabs>
          <w:tab w:val="left" w:pos="288"/>
          <w:tab w:val="left" w:pos="432"/>
        </w:tabs>
        <w:rPr>
          <w:rFonts w:ascii="Times New Roman" w:hAnsi="Times New Roman"/>
          <w:sz w:val="22"/>
          <w:szCs w:val="22"/>
          <w:lang w:val="lt-LT"/>
        </w:rPr>
      </w:pPr>
    </w:p>
    <w:p w14:paraId="17C17E47" w14:textId="77777777" w:rsidR="00D75E9B" w:rsidRPr="004C5A75" w:rsidRDefault="00D75E9B" w:rsidP="00D75E9B">
      <w:pP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t>Lizinoprilį būtina ypač atsargiai skirti pacientams, sergantiems kolageno (kraujagyslių) liga, gydomiems imunosupresantais, alopurinoliu ar prokainamidu, arba kuriems yra keli šie komplikuojantys veiksniai, ypač jei inkstų funkcija jau yra pažeista. Kai kuriems tokiems pacientams atsiranda sunkios infekcijos, kurių intensyvus gydymas antibiotikais kartais būna neveiksmingas. Jei lizinoprilis skiriamas tokiems pacientams, patariama periodiškai tirti leukocitų skaičių ir pacientams reikia pasakyti, jog jie praneštų apie pastebėtus bet kokius infekcijos požymius.</w:t>
      </w:r>
    </w:p>
    <w:p w14:paraId="17C17E48" w14:textId="77777777" w:rsidR="00D75E9B" w:rsidRPr="004C5A75" w:rsidRDefault="00D75E9B" w:rsidP="00D75E9B">
      <w:pPr>
        <w:rPr>
          <w:rFonts w:ascii="Times New Roman" w:hAnsi="Times New Roman"/>
          <w:b/>
          <w:sz w:val="22"/>
          <w:szCs w:val="22"/>
          <w:lang w:val="lt-LT"/>
        </w:rPr>
      </w:pPr>
    </w:p>
    <w:p w14:paraId="17C17E49" w14:textId="77777777" w:rsidR="00D75E9B" w:rsidRPr="0026536C" w:rsidRDefault="00D75E9B" w:rsidP="00D75E9B">
      <w:pPr>
        <w:autoSpaceDE w:val="0"/>
        <w:autoSpaceDN w:val="0"/>
        <w:adjustRightInd w:val="0"/>
        <w:jc w:val="both"/>
        <w:rPr>
          <w:rFonts w:ascii="Times New Roman" w:hAnsi="Times New Roman"/>
          <w:i/>
          <w:color w:val="000000"/>
          <w:sz w:val="22"/>
          <w:u w:val="single"/>
          <w:lang w:val="lt-LT"/>
        </w:rPr>
      </w:pPr>
      <w:r w:rsidRPr="0026536C">
        <w:rPr>
          <w:rFonts w:ascii="Times New Roman" w:hAnsi="Times New Roman"/>
          <w:i/>
          <w:color w:val="000000"/>
          <w:sz w:val="22"/>
          <w:u w:val="single"/>
          <w:lang w:val="lt-LT"/>
        </w:rPr>
        <w:t xml:space="preserve">Dvigubas renino, angiotenzino ir aldosterono sistemos (RAAS) nuslopinimas </w:t>
      </w:r>
    </w:p>
    <w:p w14:paraId="17C17E4A" w14:textId="77777777" w:rsidR="00D75E9B" w:rsidRPr="0026536C" w:rsidRDefault="00D75E9B" w:rsidP="00D75E9B">
      <w:pPr>
        <w:autoSpaceDE w:val="0"/>
        <w:autoSpaceDN w:val="0"/>
        <w:adjustRightInd w:val="0"/>
        <w:jc w:val="both"/>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17C17E4B" w14:textId="77777777" w:rsidR="00D75E9B" w:rsidRPr="0026536C" w:rsidRDefault="00D75E9B" w:rsidP="00D75E9B">
      <w:pPr>
        <w:autoSpaceDE w:val="0"/>
        <w:autoSpaceDN w:val="0"/>
        <w:adjustRightInd w:val="0"/>
        <w:jc w:val="both"/>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17C17E4C" w14:textId="77777777" w:rsidR="00D75E9B" w:rsidRPr="0026536C" w:rsidRDefault="00D75E9B" w:rsidP="00D75E9B">
      <w:pPr>
        <w:autoSpaceDE w:val="0"/>
        <w:autoSpaceDN w:val="0"/>
        <w:adjustRightInd w:val="0"/>
        <w:jc w:val="both"/>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Pacientams, sergantiems diabetine nefropatija, negalima kartu vartoti AKF inhibitorių ir angiotenzino II receptorių blokatorių (žr. 4.3 skyrių). </w:t>
      </w:r>
    </w:p>
    <w:p w14:paraId="17C17E4D" w14:textId="77777777" w:rsidR="00D75E9B" w:rsidRPr="004C5A75" w:rsidRDefault="00D75E9B" w:rsidP="00D75E9B">
      <w:pPr>
        <w:rPr>
          <w:rFonts w:ascii="Times New Roman" w:hAnsi="Times New Roman"/>
          <w:i/>
          <w:sz w:val="22"/>
          <w:szCs w:val="22"/>
          <w:u w:val="single"/>
          <w:lang w:val="lt-LT"/>
        </w:rPr>
      </w:pPr>
    </w:p>
    <w:p w14:paraId="17C17E4E"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Rasė</w:t>
      </w:r>
    </w:p>
    <w:p w14:paraId="17C17E4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Angiotenziną konvertuojančio fermento inhibitoriai angioneurozinę edemą juodaodžiams pacientams sukelia dažniau, nei ne juodaodžiams.</w:t>
      </w:r>
    </w:p>
    <w:p w14:paraId="17C17E50" w14:textId="77777777" w:rsidR="00D75E9B" w:rsidRPr="004C5A75" w:rsidRDefault="00D75E9B" w:rsidP="00D75E9B">
      <w:pPr>
        <w:rPr>
          <w:rFonts w:ascii="Times New Roman" w:hAnsi="Times New Roman"/>
          <w:sz w:val="22"/>
          <w:szCs w:val="22"/>
          <w:lang w:val="lt-LT"/>
        </w:rPr>
      </w:pPr>
    </w:p>
    <w:p w14:paraId="17C17E5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Lizinoprilio, kaip ir kitų AKFI, antihipertenzinis poveikis gali būti silpnesnis juodaodžiams pacientams nei ne juodaodžiams, galimai dėl to, kad juodaodžiams hipertenzija sergantiems pacientams būdingesnė maža renino koncentracija.</w:t>
      </w:r>
    </w:p>
    <w:p w14:paraId="17C17E52" w14:textId="77777777" w:rsidR="00D75E9B" w:rsidRPr="004C5A75" w:rsidRDefault="00D75E9B" w:rsidP="00D75E9B">
      <w:pPr>
        <w:rPr>
          <w:rFonts w:ascii="Times New Roman" w:hAnsi="Times New Roman"/>
          <w:b/>
          <w:sz w:val="22"/>
          <w:szCs w:val="22"/>
          <w:lang w:val="lt-LT"/>
        </w:rPr>
      </w:pPr>
    </w:p>
    <w:p w14:paraId="17C17E53" w14:textId="77777777" w:rsidR="00D75E9B" w:rsidRPr="004C5A75" w:rsidRDefault="00D75E9B" w:rsidP="00D75E9B">
      <w:pPr>
        <w:tabs>
          <w:tab w:val="left" w:pos="144"/>
        </w:tabs>
        <w:rPr>
          <w:rFonts w:ascii="Times New Roman" w:hAnsi="Times New Roman"/>
          <w:sz w:val="22"/>
          <w:szCs w:val="22"/>
          <w:u w:val="single"/>
          <w:lang w:val="lt-LT"/>
        </w:rPr>
      </w:pPr>
      <w:r w:rsidRPr="004C5A75">
        <w:rPr>
          <w:rFonts w:ascii="Times New Roman" w:hAnsi="Times New Roman"/>
          <w:i/>
          <w:sz w:val="22"/>
          <w:szCs w:val="22"/>
          <w:u w:val="single"/>
          <w:lang w:val="lt-LT"/>
        </w:rPr>
        <w:t xml:space="preserve">Kosulys </w:t>
      </w:r>
    </w:p>
    <w:p w14:paraId="17C17E54" w14:textId="77777777" w:rsidR="00D75E9B" w:rsidRPr="004C5A75" w:rsidRDefault="00D75E9B" w:rsidP="00D75E9B">
      <w:pP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lastRenderedPageBreak/>
        <w:t>Gauta pranešimų, jog vartojant AKFI, atsiranda kosulys. Būdinga tai, kad kosulys yra sausas, pastovus ir pranyksta, nutraukus gydymą. Atliekant diferencinę kosulio diagnostiką, būtina turėti omenyje ir AKFI sukeltą kosulį.</w:t>
      </w:r>
    </w:p>
    <w:p w14:paraId="17C17E55" w14:textId="77777777" w:rsidR="00D75E9B" w:rsidRPr="004C5A75" w:rsidRDefault="00D75E9B" w:rsidP="00D75E9B">
      <w:pPr>
        <w:rPr>
          <w:rFonts w:ascii="Times New Roman" w:hAnsi="Times New Roman"/>
          <w:i/>
          <w:sz w:val="22"/>
          <w:szCs w:val="22"/>
          <w:lang w:val="lt-LT"/>
        </w:rPr>
      </w:pPr>
    </w:p>
    <w:p w14:paraId="17C17E56"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Operacija/ anestezija</w:t>
      </w:r>
    </w:p>
    <w:p w14:paraId="17C17E5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Jeigu atliekama didesnė operacija arba kraujospūdį mažinančiais vaistiniais preparatais sukeliama anestezija, lizinoprilis gali blokuoti angiotenzino II atsiradimą, vykstantį dėl kompensacinio renino išsiskyrimo. Jei manoma, jog hipotenzija atsirado dėl šio mechanizmo, ją galima koreguoti suleidus skysčių.</w:t>
      </w:r>
    </w:p>
    <w:p w14:paraId="17C17E58" w14:textId="77777777" w:rsidR="00D75E9B" w:rsidRPr="004C5A75" w:rsidRDefault="00D75E9B" w:rsidP="00D75E9B">
      <w:pPr>
        <w:rPr>
          <w:rFonts w:ascii="Times New Roman" w:hAnsi="Times New Roman"/>
          <w:b/>
          <w:iCs/>
          <w:sz w:val="22"/>
          <w:szCs w:val="22"/>
          <w:lang w:val="lt-LT"/>
        </w:rPr>
      </w:pPr>
    </w:p>
    <w:p w14:paraId="17C17E59" w14:textId="77777777" w:rsidR="00D75E9B" w:rsidRPr="004C5A75" w:rsidRDefault="00D75E9B" w:rsidP="00D75E9B">
      <w:pPr>
        <w:rPr>
          <w:rFonts w:ascii="Times New Roman" w:hAnsi="Times New Roman"/>
          <w:i/>
          <w:iCs/>
          <w:sz w:val="22"/>
          <w:szCs w:val="22"/>
          <w:u w:val="single"/>
          <w:lang w:val="lt-LT"/>
        </w:rPr>
      </w:pPr>
      <w:r w:rsidRPr="004C5A75">
        <w:rPr>
          <w:rFonts w:ascii="Times New Roman" w:hAnsi="Times New Roman"/>
          <w:i/>
          <w:iCs/>
          <w:sz w:val="22"/>
          <w:szCs w:val="22"/>
          <w:u w:val="single"/>
          <w:lang w:val="lt-LT"/>
        </w:rPr>
        <w:t>Hiperkalemija</w:t>
      </w:r>
    </w:p>
    <w:p w14:paraId="17C17E5A" w14:textId="77777777" w:rsidR="00C10EA9" w:rsidRPr="00422053" w:rsidRDefault="00422053" w:rsidP="00D75E9B">
      <w:pPr>
        <w:rPr>
          <w:rFonts w:ascii="Times New Roman" w:hAnsi="Times New Roman"/>
          <w:sz w:val="22"/>
          <w:u w:val="single"/>
          <w:lang w:val="lt-LT"/>
        </w:rPr>
      </w:pPr>
      <w:r w:rsidRPr="00422053">
        <w:rPr>
          <w:rFonts w:ascii="Times New Roman" w:hAnsi="Times New Roman"/>
          <w:sz w:val="22"/>
          <w:u w:val="single"/>
          <w:lang w:val="lt-LT"/>
        </w:rPr>
        <w:t>AKF inhibitoriai gali sukelti hiperkalemiją, nes jie slopina aldosterono išsiskyrimą. Įprastai pacientams, kurių inkstų funkcija nesutrikusi, šis poveikis nėra reikšmingas. Vis dėlto hiperkalemija gali atsirasti pacientams, kurių inkstų funkcija sutrikusi,</w:t>
      </w:r>
      <w:r w:rsidR="00AD6E6C">
        <w:rPr>
          <w:rFonts w:ascii="Times New Roman" w:hAnsi="Times New Roman"/>
          <w:sz w:val="22"/>
          <w:u w:val="single"/>
          <w:lang w:val="lt-LT"/>
        </w:rPr>
        <w:t xml:space="preserve"> sergantiems cukriniu diabetu</w:t>
      </w:r>
      <w:r w:rsidRPr="00422053">
        <w:rPr>
          <w:rFonts w:ascii="Times New Roman" w:hAnsi="Times New Roman"/>
          <w:sz w:val="22"/>
          <w:u w:val="single"/>
          <w:lang w:val="lt-LT"/>
        </w:rPr>
        <w:t xml:space="preserve"> ir (arba) </w:t>
      </w:r>
      <w:r w:rsidR="007A4480" w:rsidRPr="00422053">
        <w:rPr>
          <w:rFonts w:ascii="Times New Roman" w:hAnsi="Times New Roman"/>
          <w:sz w:val="22"/>
          <w:u w:val="single"/>
          <w:lang w:val="lt-LT"/>
        </w:rPr>
        <w:t xml:space="preserve">vartojantiems </w:t>
      </w:r>
      <w:r w:rsidRPr="00422053">
        <w:rPr>
          <w:rFonts w:ascii="Times New Roman" w:hAnsi="Times New Roman"/>
          <w:sz w:val="22"/>
          <w:u w:val="single"/>
          <w:lang w:val="lt-LT"/>
        </w:rPr>
        <w:t xml:space="preserve">kalio papildų (įskaitant druskos pakaitalus), kalį </w:t>
      </w:r>
      <w:r w:rsidR="007A4480">
        <w:rPr>
          <w:rFonts w:ascii="Times New Roman" w:hAnsi="Times New Roman"/>
          <w:sz w:val="22"/>
          <w:u w:val="single"/>
          <w:lang w:val="lt-LT"/>
        </w:rPr>
        <w:t>organizme sulai</w:t>
      </w:r>
      <w:r w:rsidR="00DE4C21">
        <w:rPr>
          <w:rFonts w:ascii="Times New Roman" w:hAnsi="Times New Roman"/>
          <w:sz w:val="22"/>
          <w:u w:val="single"/>
          <w:lang w:val="lt-LT"/>
        </w:rPr>
        <w:t>ka</w:t>
      </w:r>
      <w:r w:rsidR="007A4480">
        <w:rPr>
          <w:rFonts w:ascii="Times New Roman" w:hAnsi="Times New Roman"/>
          <w:sz w:val="22"/>
          <w:u w:val="single"/>
          <w:lang w:val="lt-LT"/>
        </w:rPr>
        <w:t>nči</w:t>
      </w:r>
      <w:r w:rsidR="00DE4C21">
        <w:rPr>
          <w:rFonts w:ascii="Times New Roman" w:hAnsi="Times New Roman"/>
          <w:sz w:val="22"/>
          <w:u w:val="single"/>
          <w:lang w:val="lt-LT"/>
        </w:rPr>
        <w:t>ų</w:t>
      </w:r>
      <w:r w:rsidRPr="00422053">
        <w:rPr>
          <w:rFonts w:ascii="Times New Roman" w:hAnsi="Times New Roman"/>
          <w:sz w:val="22"/>
          <w:u w:val="single"/>
          <w:lang w:val="lt-LT"/>
        </w:rPr>
        <w:t xml:space="preserve"> diuretikų</w:t>
      </w:r>
      <w:r w:rsidR="00AD6E6C">
        <w:rPr>
          <w:rFonts w:ascii="Times New Roman" w:hAnsi="Times New Roman"/>
          <w:sz w:val="22"/>
          <w:u w:val="single"/>
          <w:lang w:val="lt-LT"/>
        </w:rPr>
        <w:t xml:space="preserve"> (spironolaktonas, triamterenas ar</w:t>
      </w:r>
      <w:r w:rsidR="00AD6E6C" w:rsidRPr="00AD6E6C">
        <w:rPr>
          <w:rFonts w:ascii="Times New Roman" w:hAnsi="Times New Roman"/>
          <w:sz w:val="22"/>
          <w:u w:val="single"/>
          <w:lang w:val="lt-LT"/>
        </w:rPr>
        <w:t xml:space="preserve"> amiloridas</w:t>
      </w:r>
      <w:r w:rsidR="00AD6E6C">
        <w:rPr>
          <w:rFonts w:ascii="Times New Roman" w:hAnsi="Times New Roman"/>
          <w:sz w:val="22"/>
          <w:u w:val="single"/>
          <w:lang w:val="lt-LT"/>
        </w:rPr>
        <w:t>)</w:t>
      </w:r>
      <w:r w:rsidR="00AD6E6C">
        <w:rPr>
          <w:rFonts w:ascii="Times New Roman" w:hAnsi="Times New Roman"/>
          <w:sz w:val="22"/>
          <w:u w:val="single"/>
          <w:lang w:val="sl-SI"/>
        </w:rPr>
        <w:t xml:space="preserve"> arba kitų</w:t>
      </w:r>
      <w:r w:rsidR="00AD6E6C" w:rsidRPr="00AD6E6C">
        <w:rPr>
          <w:rFonts w:ascii="Times New Roman" w:hAnsi="Times New Roman"/>
          <w:sz w:val="22"/>
          <w:u w:val="single"/>
          <w:lang w:val="sl-SI"/>
        </w:rPr>
        <w:t xml:space="preserve"> kalio k</w:t>
      </w:r>
      <w:r w:rsidR="00AD6E6C">
        <w:rPr>
          <w:rFonts w:ascii="Times New Roman" w:hAnsi="Times New Roman"/>
          <w:sz w:val="22"/>
          <w:u w:val="single"/>
          <w:lang w:val="sl-SI"/>
        </w:rPr>
        <w:t>oncentraciją kraujyje didinančių vaistinių preparatų</w:t>
      </w:r>
      <w:r w:rsidRPr="00422053">
        <w:rPr>
          <w:rFonts w:ascii="Times New Roman" w:hAnsi="Times New Roman"/>
          <w:sz w:val="22"/>
          <w:u w:val="single"/>
          <w:lang w:val="lt-LT"/>
        </w:rPr>
        <w:t xml:space="preserve"> </w:t>
      </w:r>
      <w:r w:rsidR="00AD6E6C">
        <w:rPr>
          <w:rFonts w:ascii="Times New Roman" w:hAnsi="Times New Roman"/>
          <w:sz w:val="22"/>
          <w:u w:val="single"/>
          <w:lang w:val="lt-LT"/>
        </w:rPr>
        <w:t xml:space="preserve">(heparino, </w:t>
      </w:r>
      <w:r w:rsidRPr="00422053">
        <w:rPr>
          <w:rFonts w:ascii="Times New Roman" w:hAnsi="Times New Roman"/>
          <w:sz w:val="22"/>
          <w:u w:val="single"/>
          <w:lang w:val="lt-LT"/>
        </w:rPr>
        <w:t>trimetoprim</w:t>
      </w:r>
      <w:r w:rsidR="00AD6E6C">
        <w:rPr>
          <w:rFonts w:ascii="Times New Roman" w:hAnsi="Times New Roman"/>
          <w:sz w:val="22"/>
          <w:u w:val="single"/>
          <w:lang w:val="lt-LT"/>
        </w:rPr>
        <w:t>o</w:t>
      </w:r>
      <w:r w:rsidRPr="00422053">
        <w:rPr>
          <w:rFonts w:ascii="Times New Roman" w:hAnsi="Times New Roman"/>
          <w:sz w:val="22"/>
          <w:u w:val="single"/>
          <w:lang w:val="lt-LT"/>
        </w:rPr>
        <w:t xml:space="preserve"> arba kotrimoksazol</w:t>
      </w:r>
      <w:r w:rsidR="00AD6E6C">
        <w:rPr>
          <w:rFonts w:ascii="Times New Roman" w:hAnsi="Times New Roman"/>
          <w:sz w:val="22"/>
          <w:u w:val="single"/>
          <w:lang w:val="lt-LT"/>
        </w:rPr>
        <w:t>o</w:t>
      </w:r>
      <w:r w:rsidRPr="00422053">
        <w:rPr>
          <w:rFonts w:ascii="Times New Roman" w:hAnsi="Times New Roman"/>
          <w:sz w:val="22"/>
          <w:u w:val="single"/>
          <w:lang w:val="lt-LT"/>
        </w:rPr>
        <w:t>, taip pat žinom</w:t>
      </w:r>
      <w:r w:rsidR="00AD6E6C">
        <w:rPr>
          <w:rFonts w:ascii="Times New Roman" w:hAnsi="Times New Roman"/>
          <w:sz w:val="22"/>
          <w:u w:val="single"/>
          <w:lang w:val="lt-LT"/>
        </w:rPr>
        <w:t>o</w:t>
      </w:r>
      <w:r w:rsidRPr="00422053">
        <w:rPr>
          <w:rFonts w:ascii="Times New Roman" w:hAnsi="Times New Roman"/>
          <w:sz w:val="22"/>
          <w:u w:val="single"/>
          <w:lang w:val="lt-LT"/>
        </w:rPr>
        <w:t xml:space="preserve"> kaip trimetoprimo ir sulfametoksazolo derinys</w:t>
      </w:r>
      <w:r w:rsidR="00AD6E6C">
        <w:rPr>
          <w:rFonts w:ascii="Times New Roman" w:hAnsi="Times New Roman"/>
          <w:sz w:val="22"/>
          <w:u w:val="single"/>
          <w:lang w:val="lt-LT"/>
        </w:rPr>
        <w:t>)</w:t>
      </w:r>
      <w:r w:rsidRPr="00422053">
        <w:rPr>
          <w:rFonts w:ascii="Times New Roman" w:hAnsi="Times New Roman"/>
          <w:sz w:val="22"/>
          <w:u w:val="single"/>
          <w:lang w:val="lt-LT"/>
        </w:rPr>
        <w:t xml:space="preserve">, </w:t>
      </w:r>
      <w:r w:rsidR="00AD6E6C">
        <w:rPr>
          <w:rFonts w:ascii="Times New Roman" w:hAnsi="Times New Roman"/>
          <w:sz w:val="22"/>
          <w:u w:val="single"/>
          <w:lang w:val="lt-LT"/>
        </w:rPr>
        <w:t>ir ypač</w:t>
      </w:r>
      <w:r w:rsidRPr="00422053">
        <w:rPr>
          <w:rFonts w:ascii="Times New Roman" w:hAnsi="Times New Roman"/>
          <w:sz w:val="22"/>
          <w:u w:val="single"/>
          <w:lang w:val="lt-LT"/>
        </w:rPr>
        <w:t xml:space="preserve"> aldosterono antagonistų ar angiotenzino receptorių blokatorių . AKF inhibitorių vartojantiems pacientams kalį </w:t>
      </w:r>
      <w:r w:rsidR="007A4480">
        <w:rPr>
          <w:rFonts w:ascii="Times New Roman" w:hAnsi="Times New Roman"/>
          <w:sz w:val="22"/>
          <w:u w:val="single"/>
          <w:lang w:val="lt-LT"/>
        </w:rPr>
        <w:t>organizme sulaikančių</w:t>
      </w:r>
      <w:r w:rsidRPr="00422053">
        <w:rPr>
          <w:rFonts w:ascii="Times New Roman" w:hAnsi="Times New Roman"/>
          <w:sz w:val="22"/>
          <w:u w:val="single"/>
          <w:lang w:val="lt-LT"/>
        </w:rPr>
        <w:t xml:space="preserve"> diuretikų ir angiotenzino receptorių blokatorių reikia skirti atsargiai</w:t>
      </w:r>
      <w:r w:rsidR="00793C46">
        <w:rPr>
          <w:rFonts w:ascii="Times New Roman" w:hAnsi="Times New Roman"/>
          <w:sz w:val="22"/>
          <w:u w:val="single"/>
          <w:lang w:val="lt-LT"/>
        </w:rPr>
        <w:t>.</w:t>
      </w:r>
      <w:r w:rsidRPr="00422053">
        <w:rPr>
          <w:rFonts w:ascii="Times New Roman" w:hAnsi="Times New Roman"/>
          <w:sz w:val="22"/>
          <w:u w:val="single"/>
          <w:lang w:val="lt-LT"/>
        </w:rPr>
        <w:t xml:space="preserve"> </w:t>
      </w:r>
      <w:r w:rsidR="00793C46" w:rsidRPr="004C5A75">
        <w:rPr>
          <w:rFonts w:ascii="Times New Roman" w:hAnsi="Times New Roman"/>
          <w:sz w:val="22"/>
          <w:szCs w:val="22"/>
          <w:lang w:val="lt-LT"/>
        </w:rPr>
        <w:t xml:space="preserve">Jeigu </w:t>
      </w:r>
      <w:r w:rsidR="00DE4C21">
        <w:rPr>
          <w:rFonts w:ascii="Times New Roman" w:hAnsi="Times New Roman"/>
          <w:sz w:val="22"/>
          <w:szCs w:val="22"/>
          <w:lang w:val="lt-LT"/>
        </w:rPr>
        <w:t xml:space="preserve">anksčiau </w:t>
      </w:r>
      <w:r w:rsidR="00793C46" w:rsidRPr="004C5A75">
        <w:rPr>
          <w:rFonts w:ascii="Times New Roman" w:hAnsi="Times New Roman"/>
          <w:sz w:val="22"/>
          <w:szCs w:val="22"/>
          <w:lang w:val="lt-LT"/>
        </w:rPr>
        <w:t xml:space="preserve">minėtų vaistinių preparatų kartu vartoti būtina, </w:t>
      </w:r>
      <w:r w:rsidRPr="00422053">
        <w:rPr>
          <w:rFonts w:ascii="Times New Roman" w:hAnsi="Times New Roman"/>
          <w:sz w:val="22"/>
          <w:u w:val="single"/>
          <w:lang w:val="lt-LT"/>
        </w:rPr>
        <w:t>reikia stebėti kalio koncentraciją kraujo serume bei inkstų funkciją (žr. 4.5 skyrių).</w:t>
      </w:r>
    </w:p>
    <w:p w14:paraId="17C17E5B" w14:textId="77777777" w:rsidR="00422053" w:rsidRDefault="00422053" w:rsidP="00D75E9B">
      <w:pPr>
        <w:rPr>
          <w:rFonts w:ascii="Times New Roman" w:hAnsi="Times New Roman"/>
          <w:i/>
          <w:sz w:val="22"/>
          <w:szCs w:val="22"/>
          <w:u w:val="single"/>
          <w:lang w:val="lt-LT"/>
        </w:rPr>
      </w:pPr>
    </w:p>
    <w:p w14:paraId="17C17E5C"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Cukrinis diabetas</w:t>
      </w:r>
    </w:p>
    <w:p w14:paraId="17C17E5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Cukriniu diabetu sergantiems pacientams, kurie vartoja geriamuosius priešdiabetinius vaistinius preparatus ar insuliną, pirmąjį gydymo AKF inhibitoriumi mėnesį būtina atidžiai nustatinėti gliukozės koncentraciją kraujyje (žr. 4.5 skyrių).</w:t>
      </w:r>
    </w:p>
    <w:p w14:paraId="17C17E5E" w14:textId="77777777" w:rsidR="00D75E9B" w:rsidRPr="004C5A75" w:rsidRDefault="00D75E9B" w:rsidP="00D75E9B">
      <w:pPr>
        <w:rPr>
          <w:rFonts w:ascii="Times New Roman" w:hAnsi="Times New Roman"/>
          <w:sz w:val="22"/>
          <w:szCs w:val="22"/>
          <w:lang w:val="lt-LT"/>
        </w:rPr>
      </w:pPr>
    </w:p>
    <w:p w14:paraId="17C17E5F"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 xml:space="preserve">Litis </w:t>
      </w:r>
    </w:p>
    <w:p w14:paraId="17C17E6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Ličio vaistinių preparatų paprastai nerekomenduojama vartoti kartu su lizinopriliu (žr. 4.5 skyrių).</w:t>
      </w:r>
    </w:p>
    <w:p w14:paraId="17C17E61" w14:textId="77777777" w:rsidR="00D75E9B" w:rsidRPr="004C5A75" w:rsidRDefault="00D75E9B" w:rsidP="00D75E9B">
      <w:pPr>
        <w:rPr>
          <w:rFonts w:ascii="Times New Roman" w:hAnsi="Times New Roman"/>
          <w:i/>
          <w:sz w:val="22"/>
          <w:szCs w:val="22"/>
          <w:lang w:val="lt-LT"/>
        </w:rPr>
      </w:pPr>
    </w:p>
    <w:p w14:paraId="17C17E62"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 xml:space="preserve">Nėštumas </w:t>
      </w:r>
    </w:p>
    <w:p w14:paraId="17C17E6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17C17E64" w14:textId="77777777" w:rsidR="00D75E9B" w:rsidRPr="004C5A75" w:rsidRDefault="00D75E9B" w:rsidP="00D75E9B">
      <w:pPr>
        <w:rPr>
          <w:rFonts w:ascii="Times New Roman" w:hAnsi="Times New Roman"/>
          <w:sz w:val="22"/>
          <w:szCs w:val="22"/>
          <w:lang w:val="lt-LT"/>
        </w:rPr>
      </w:pPr>
    </w:p>
    <w:p w14:paraId="17C17E65" w14:textId="77777777" w:rsidR="00D75E9B" w:rsidRPr="004C5A75" w:rsidRDefault="00D75E9B" w:rsidP="00D75E9B">
      <w:pPr>
        <w:rPr>
          <w:rFonts w:ascii="Times New Roman" w:hAnsi="Times New Roman"/>
          <w:sz w:val="22"/>
          <w:szCs w:val="22"/>
          <w:lang w:val="lt-LT"/>
        </w:rPr>
      </w:pPr>
    </w:p>
    <w:p w14:paraId="17C17E66" w14:textId="77777777" w:rsidR="00D75E9B" w:rsidRPr="004C5A75" w:rsidRDefault="00D75E9B" w:rsidP="00D75E9B">
      <w:pPr>
        <w:rPr>
          <w:rFonts w:ascii="Times New Roman" w:hAnsi="Times New Roman"/>
          <w:sz w:val="22"/>
          <w:szCs w:val="22"/>
          <w:lang w:val="lt-LT"/>
        </w:rPr>
      </w:pPr>
      <w:r w:rsidRPr="004C5A75">
        <w:rPr>
          <w:rFonts w:ascii="Times New Roman" w:hAnsi="Times New Roman"/>
          <w:i/>
          <w:iCs/>
          <w:sz w:val="22"/>
          <w:szCs w:val="22"/>
          <w:lang w:val="lt-LT"/>
        </w:rPr>
        <w:t>Susiję su amlodipinu</w:t>
      </w:r>
    </w:p>
    <w:p w14:paraId="17C17E6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Amlodipino veiksmingumas ir saugumas hipertenzinės krizės gydymui nenustatytas.</w:t>
      </w:r>
    </w:p>
    <w:p w14:paraId="17C17E68" w14:textId="77777777" w:rsidR="00D75E9B" w:rsidRPr="004C5A75" w:rsidRDefault="00D75E9B" w:rsidP="00D75E9B">
      <w:pPr>
        <w:rPr>
          <w:rFonts w:ascii="Times New Roman" w:hAnsi="Times New Roman"/>
          <w:sz w:val="22"/>
          <w:szCs w:val="22"/>
          <w:lang w:val="lt-LT"/>
        </w:rPr>
      </w:pPr>
    </w:p>
    <w:p w14:paraId="17C17E69" w14:textId="77777777" w:rsidR="00D75E9B" w:rsidRPr="004C5A75" w:rsidRDefault="00D75E9B" w:rsidP="00D75E9B">
      <w:pPr>
        <w:autoSpaceDE w:val="0"/>
        <w:autoSpaceDN w:val="0"/>
        <w:adjustRightInd w:val="0"/>
        <w:rPr>
          <w:rFonts w:ascii="Times New Roman" w:hAnsi="Times New Roman"/>
          <w:i/>
          <w:iCs/>
          <w:sz w:val="22"/>
          <w:szCs w:val="22"/>
          <w:u w:val="single"/>
          <w:lang w:val="lt-LT"/>
        </w:rPr>
      </w:pPr>
      <w:r w:rsidRPr="004C5A75">
        <w:rPr>
          <w:rFonts w:ascii="Times New Roman" w:hAnsi="Times New Roman"/>
          <w:i/>
          <w:iCs/>
          <w:sz w:val="22"/>
          <w:szCs w:val="22"/>
          <w:u w:val="single"/>
          <w:lang w:val="lt-LT"/>
        </w:rPr>
        <w:t>Širdies nepakankamumas</w:t>
      </w:r>
    </w:p>
    <w:p w14:paraId="17C17E6A" w14:textId="77777777" w:rsidR="00D75E9B" w:rsidRPr="004C5A75" w:rsidRDefault="00D75E9B" w:rsidP="00D75E9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Širdies nepakankamumą turinčius pacientus gydyti reikia atsargiai.</w:t>
      </w:r>
    </w:p>
    <w:p w14:paraId="17C17E6B" w14:textId="77777777" w:rsidR="00D75E9B" w:rsidRPr="004C5A75" w:rsidRDefault="00D75E9B" w:rsidP="00D75E9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 xml:space="preserve">Ilgalaikiame placebo kontroliuojamame amlodipino tyrime nustatyta, kad neišeminės kilmės ryškų širdies nepakankamumą (III ir IV NYHA klasė) turintiems pacientams amlodipinas dažniau nei placebas sukeldavo plaučių edemą (žr. 5.1 skyrių). </w:t>
      </w:r>
    </w:p>
    <w:p w14:paraId="17C17E6C"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Staziniu širdies nepakankamumu sergantiems pacientams kalcio kanalų blokatoriai, įskaitant amlodipiną, turi būti skiriami atsargiai, nes jie gali ateityje didinti kardiovaskulinių reiškinių riziką ir mirtingumą. </w:t>
      </w:r>
    </w:p>
    <w:p w14:paraId="17C17E6D" w14:textId="77777777" w:rsidR="00D75E9B" w:rsidRPr="004C5A75" w:rsidRDefault="00D75E9B" w:rsidP="00D75E9B">
      <w:pPr>
        <w:rPr>
          <w:rFonts w:ascii="Times New Roman" w:hAnsi="Times New Roman"/>
          <w:sz w:val="22"/>
          <w:szCs w:val="22"/>
          <w:lang w:val="lt-LT"/>
        </w:rPr>
      </w:pPr>
    </w:p>
    <w:p w14:paraId="17C17E6E"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Kepenų nepakankamumas</w:t>
      </w:r>
    </w:p>
    <w:p w14:paraId="17C17E6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Amlodipino pusinis eliminacijos periodas yra ilgesnis ir AUC rodmenys didesni tiems pacientams, kurių kepenų funkcija sutrikusi. Dozavimo rekomendacijų nėra, todėl šiems pacientams iš pradžių reikia vartoti mažiausią amlodipino dozę ir gydyti reikia atsargiai (ir pradedant gydymą, ir didinant dozę). Pacientams, kuriems yra sunkus kepenų sutrikimas, gali prireikti lėtesnio dozės didinimo ir atidaus stebėjimo.</w:t>
      </w:r>
    </w:p>
    <w:p w14:paraId="17C17E70" w14:textId="77777777" w:rsidR="00D75E9B" w:rsidRPr="004C5A75" w:rsidRDefault="00D75E9B" w:rsidP="00D75E9B">
      <w:pPr>
        <w:rPr>
          <w:rFonts w:ascii="Times New Roman" w:hAnsi="Times New Roman"/>
          <w:sz w:val="22"/>
          <w:szCs w:val="22"/>
          <w:lang w:val="lt-LT"/>
        </w:rPr>
      </w:pPr>
    </w:p>
    <w:p w14:paraId="17C17E71"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lastRenderedPageBreak/>
        <w:t>Senyvi pacientai</w:t>
      </w:r>
    </w:p>
    <w:p w14:paraId="17C17E7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Senyviems pacientams dozę didinti reikia atsargiai (žr. 4.2 ir 5.2 skyrius).</w:t>
      </w:r>
    </w:p>
    <w:p w14:paraId="17C17E73" w14:textId="77777777" w:rsidR="00D75E9B" w:rsidRPr="004C5A75" w:rsidRDefault="00D75E9B" w:rsidP="00D75E9B">
      <w:pPr>
        <w:rPr>
          <w:rFonts w:ascii="Times New Roman" w:hAnsi="Times New Roman"/>
          <w:sz w:val="22"/>
          <w:szCs w:val="22"/>
          <w:lang w:val="lt-LT"/>
        </w:rPr>
      </w:pPr>
    </w:p>
    <w:p w14:paraId="17C17E74"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Inkstų nepakankamumas</w:t>
      </w:r>
    </w:p>
    <w:p w14:paraId="17C17E75" w14:textId="77777777" w:rsidR="00D75E9B" w:rsidRPr="004C5A75" w:rsidRDefault="00D75E9B" w:rsidP="00D75E9B">
      <w:pPr>
        <w:tabs>
          <w:tab w:val="left" w:pos="708"/>
        </w:tabs>
        <w:rPr>
          <w:rFonts w:ascii="Times New Roman" w:hAnsi="Times New Roman"/>
          <w:bCs/>
          <w:sz w:val="22"/>
          <w:szCs w:val="22"/>
          <w:lang w:val="lt-LT"/>
        </w:rPr>
      </w:pPr>
      <w:r w:rsidRPr="004C5A75">
        <w:rPr>
          <w:rFonts w:ascii="Times New Roman" w:hAnsi="Times New Roman"/>
          <w:bCs/>
          <w:sz w:val="22"/>
          <w:szCs w:val="22"/>
          <w:lang w:val="lt-LT"/>
        </w:rPr>
        <w:t>Pacientai, sergantys inkstų nepakankamumu, amlodipiną gali vartoti kaip įprasta. Amlodipino koncentracijos pokyčiai plazmoje nėra susiję su inkstų pažeidimo laipsniu. Amlodipinas nėra dializuojamas.</w:t>
      </w:r>
    </w:p>
    <w:p w14:paraId="17C17E76" w14:textId="77777777" w:rsidR="00422053" w:rsidRDefault="00422053" w:rsidP="00422053">
      <w:pPr>
        <w:rPr>
          <w:rFonts w:ascii="Times New Roman" w:hAnsi="Times New Roman"/>
          <w:i/>
          <w:iCs/>
          <w:sz w:val="22"/>
          <w:szCs w:val="22"/>
          <w:lang w:val="lt-LT"/>
        </w:rPr>
      </w:pPr>
    </w:p>
    <w:p w14:paraId="17C17E77" w14:textId="77777777" w:rsidR="00422053" w:rsidRPr="00422053" w:rsidRDefault="00422053" w:rsidP="00422053">
      <w:pPr>
        <w:rPr>
          <w:rFonts w:ascii="Times New Roman" w:hAnsi="Times New Roman"/>
          <w:sz w:val="22"/>
          <w:szCs w:val="22"/>
          <w:lang w:val="lt-LT"/>
        </w:rPr>
      </w:pPr>
      <w:r w:rsidRPr="00422053">
        <w:rPr>
          <w:rFonts w:ascii="Times New Roman" w:hAnsi="Times New Roman"/>
          <w:iCs/>
          <w:sz w:val="22"/>
          <w:szCs w:val="22"/>
          <w:lang w:val="lt-LT"/>
        </w:rPr>
        <w:t xml:space="preserve">Susiję su </w:t>
      </w:r>
      <w:r>
        <w:rPr>
          <w:rFonts w:ascii="Times New Roman" w:hAnsi="Times New Roman"/>
          <w:iCs/>
          <w:sz w:val="22"/>
          <w:szCs w:val="22"/>
          <w:lang w:val="lt-LT"/>
        </w:rPr>
        <w:t>DIRONORM</w:t>
      </w:r>
    </w:p>
    <w:p w14:paraId="17C17E78" w14:textId="77777777" w:rsidR="00F942E3" w:rsidRPr="00F942E3" w:rsidRDefault="00F942E3" w:rsidP="00F942E3">
      <w:pPr>
        <w:rPr>
          <w:rFonts w:ascii="Times New Roman" w:hAnsi="Times New Roman"/>
          <w:sz w:val="22"/>
          <w:szCs w:val="22"/>
          <w:lang w:val="lt-LT"/>
        </w:rPr>
      </w:pPr>
      <w:r>
        <w:rPr>
          <w:rFonts w:ascii="Times New Roman" w:hAnsi="Times New Roman"/>
          <w:sz w:val="22"/>
          <w:szCs w:val="22"/>
          <w:lang w:val="lt-LT"/>
        </w:rPr>
        <w:t xml:space="preserve">Kiekvienoje šio </w:t>
      </w:r>
      <w:r w:rsidRPr="00F942E3">
        <w:rPr>
          <w:rFonts w:ascii="Times New Roman" w:hAnsi="Times New Roman"/>
          <w:sz w:val="22"/>
          <w:szCs w:val="22"/>
          <w:lang w:val="lt-LT"/>
        </w:rPr>
        <w:t>vais</w:t>
      </w:r>
      <w:r>
        <w:rPr>
          <w:rFonts w:ascii="Times New Roman" w:hAnsi="Times New Roman"/>
          <w:sz w:val="22"/>
          <w:szCs w:val="22"/>
          <w:lang w:val="lt-LT"/>
        </w:rPr>
        <w:t xml:space="preserve">tinio preparato tabletėje </w:t>
      </w:r>
      <w:r w:rsidRPr="00F942E3">
        <w:rPr>
          <w:rFonts w:ascii="Times New Roman" w:hAnsi="Times New Roman"/>
          <w:sz w:val="22"/>
          <w:szCs w:val="22"/>
          <w:lang w:val="lt-LT"/>
        </w:rPr>
        <w:t>yra</w:t>
      </w:r>
      <w:r>
        <w:rPr>
          <w:rFonts w:ascii="Times New Roman" w:hAnsi="Times New Roman"/>
          <w:sz w:val="22"/>
          <w:szCs w:val="22"/>
          <w:lang w:val="lt-LT"/>
        </w:rPr>
        <w:t xml:space="preserve"> </w:t>
      </w:r>
      <w:r w:rsidRPr="00F942E3">
        <w:rPr>
          <w:rFonts w:ascii="Times New Roman" w:hAnsi="Times New Roman"/>
          <w:sz w:val="22"/>
          <w:szCs w:val="22"/>
          <w:lang w:val="lt-LT"/>
        </w:rPr>
        <w:t>mažiau kaip 1</w:t>
      </w:r>
      <w:r w:rsidR="00DE4C21">
        <w:rPr>
          <w:rFonts w:ascii="Times New Roman" w:hAnsi="Times New Roman"/>
          <w:sz w:val="22"/>
          <w:szCs w:val="22"/>
          <w:lang w:val="lt-LT"/>
        </w:rPr>
        <w:t> </w:t>
      </w:r>
      <w:r w:rsidRPr="00F942E3">
        <w:rPr>
          <w:rFonts w:ascii="Times New Roman" w:hAnsi="Times New Roman"/>
          <w:sz w:val="22"/>
          <w:szCs w:val="22"/>
          <w:lang w:val="lt-LT"/>
        </w:rPr>
        <w:t>mmol (23</w:t>
      </w:r>
      <w:r w:rsidR="00DE4C21">
        <w:rPr>
          <w:rFonts w:ascii="Times New Roman" w:hAnsi="Times New Roman"/>
          <w:sz w:val="22"/>
          <w:szCs w:val="22"/>
          <w:lang w:val="lt-LT"/>
        </w:rPr>
        <w:t> </w:t>
      </w:r>
      <w:r w:rsidRPr="00F942E3">
        <w:rPr>
          <w:rFonts w:ascii="Times New Roman" w:hAnsi="Times New Roman"/>
          <w:sz w:val="22"/>
          <w:szCs w:val="22"/>
          <w:lang w:val="lt-LT"/>
        </w:rPr>
        <w:t>mg) natrio, t.y. jis beveik</w:t>
      </w:r>
    </w:p>
    <w:p w14:paraId="17C17E79" w14:textId="77777777" w:rsidR="00D75E9B" w:rsidRDefault="00F942E3" w:rsidP="00F942E3">
      <w:pPr>
        <w:rPr>
          <w:rFonts w:ascii="Times New Roman" w:hAnsi="Times New Roman"/>
          <w:sz w:val="22"/>
          <w:szCs w:val="22"/>
          <w:lang w:val="lt-LT"/>
        </w:rPr>
      </w:pPr>
      <w:r w:rsidRPr="00F942E3">
        <w:rPr>
          <w:rFonts w:ascii="Times New Roman" w:hAnsi="Times New Roman"/>
          <w:sz w:val="22"/>
          <w:szCs w:val="22"/>
          <w:lang w:val="lt-LT"/>
        </w:rPr>
        <w:t>neturi reikšmės.</w:t>
      </w:r>
    </w:p>
    <w:p w14:paraId="17C17E7A" w14:textId="77777777" w:rsidR="00422053" w:rsidRPr="004C5A75" w:rsidRDefault="00422053" w:rsidP="00D75E9B">
      <w:pPr>
        <w:rPr>
          <w:rFonts w:ascii="Times New Roman" w:hAnsi="Times New Roman"/>
          <w:sz w:val="22"/>
          <w:szCs w:val="22"/>
          <w:lang w:val="lt-LT"/>
        </w:rPr>
      </w:pPr>
    </w:p>
    <w:p w14:paraId="17C17E7B"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
          <w:bCs/>
          <w:sz w:val="22"/>
          <w:szCs w:val="22"/>
          <w:lang w:val="lt-LT"/>
        </w:rPr>
        <w:t>4.5</w:t>
      </w:r>
      <w:r w:rsidRPr="004C5A75">
        <w:rPr>
          <w:rFonts w:ascii="Times New Roman" w:hAnsi="Times New Roman"/>
          <w:b/>
          <w:bCs/>
          <w:sz w:val="22"/>
          <w:szCs w:val="22"/>
          <w:lang w:val="lt-LT"/>
        </w:rPr>
        <w:tab/>
        <w:t>Sąveika su kitais vaistiniais preparatais ir kitokia sąveika</w:t>
      </w:r>
    </w:p>
    <w:p w14:paraId="17C17E7C" w14:textId="77777777" w:rsidR="00D75E9B" w:rsidRPr="004C5A75" w:rsidRDefault="00D75E9B" w:rsidP="00D75E9B">
      <w:pPr>
        <w:rPr>
          <w:rFonts w:ascii="Times New Roman" w:hAnsi="Times New Roman"/>
          <w:sz w:val="22"/>
          <w:szCs w:val="22"/>
          <w:lang w:val="lt-LT"/>
        </w:rPr>
      </w:pPr>
    </w:p>
    <w:p w14:paraId="17C17E7D" w14:textId="77777777" w:rsidR="00D75E9B" w:rsidRPr="004C5A75" w:rsidRDefault="00D75E9B" w:rsidP="00D75E9B">
      <w:pPr>
        <w:rPr>
          <w:rFonts w:ascii="Times New Roman" w:hAnsi="Times New Roman"/>
          <w:iCs/>
          <w:sz w:val="22"/>
          <w:szCs w:val="22"/>
          <w:u w:val="single"/>
          <w:lang w:val="lt-LT"/>
        </w:rPr>
      </w:pPr>
      <w:r w:rsidRPr="004C5A75">
        <w:rPr>
          <w:rFonts w:ascii="Times New Roman" w:hAnsi="Times New Roman"/>
          <w:iCs/>
          <w:sz w:val="22"/>
          <w:szCs w:val="22"/>
          <w:u w:val="single"/>
          <w:lang w:val="lt-LT"/>
        </w:rPr>
        <w:t>Sąveika, susijusi su lizinopriliu</w:t>
      </w:r>
    </w:p>
    <w:p w14:paraId="17C17E7E" w14:textId="77777777" w:rsidR="00D75E9B" w:rsidRPr="004C5A75" w:rsidRDefault="00D75E9B" w:rsidP="00D75E9B">
      <w:pPr>
        <w:rPr>
          <w:rFonts w:ascii="Times New Roman" w:hAnsi="Times New Roman"/>
          <w:i/>
          <w:sz w:val="22"/>
          <w:u w:val="single"/>
          <w:lang w:val="lt-LT"/>
        </w:rPr>
      </w:pPr>
    </w:p>
    <w:p w14:paraId="17C17E7F"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i/>
          <w:sz w:val="22"/>
          <w:szCs w:val="22"/>
          <w:u w:val="single"/>
          <w:lang w:val="lt-LT"/>
        </w:rPr>
        <w:t>Antihipertenziniai preparatai</w:t>
      </w:r>
    </w:p>
    <w:p w14:paraId="17C17E8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Kartu su lizinopriliu vartojant kitų antihipertenzinių preparatų (pvz., nitroglicerino ir kitų nitratų ar kitų vazodilatatorių), kraujospūdis gali dar labiau mažėti. </w:t>
      </w:r>
    </w:p>
    <w:p w14:paraId="17C17E81" w14:textId="77777777" w:rsidR="00D75E9B" w:rsidRPr="004C5A75" w:rsidRDefault="00D75E9B" w:rsidP="00D75E9B">
      <w:pPr>
        <w:rPr>
          <w:rFonts w:ascii="Times New Roman" w:hAnsi="Times New Roman"/>
          <w:color w:val="000000"/>
          <w:sz w:val="22"/>
          <w:u w:val="single"/>
          <w:lang w:val="lt-LT"/>
        </w:rPr>
      </w:pPr>
    </w:p>
    <w:p w14:paraId="17C17E82" w14:textId="77777777" w:rsidR="00D75E9B" w:rsidRPr="004C5A75" w:rsidRDefault="00D75E9B" w:rsidP="00D75E9B">
      <w:pPr>
        <w:pStyle w:val="Pagrindinistekstas"/>
        <w:jc w:val="left"/>
        <w:rPr>
          <w:rFonts w:ascii="Times New Roman" w:hAnsi="Times New Roman"/>
          <w:color w:val="000000"/>
          <w:lang w:val="lt-LT"/>
        </w:rPr>
      </w:pPr>
      <w:r w:rsidRPr="004C5A75">
        <w:rPr>
          <w:rFonts w:ascii="Times New Roman" w:hAnsi="Times New Roman"/>
          <w:color w:val="000000"/>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17C17E83" w14:textId="77777777" w:rsidR="00D75E9B" w:rsidRDefault="00D75E9B" w:rsidP="00D75E9B">
      <w:pPr>
        <w:pStyle w:val="Pagrindinistekstas"/>
        <w:jc w:val="left"/>
        <w:rPr>
          <w:rFonts w:ascii="Times New Roman" w:hAnsi="Times New Roman"/>
          <w:i/>
          <w:color w:val="000000"/>
          <w:u w:val="single"/>
          <w:lang w:val="lt-LT"/>
        </w:rPr>
      </w:pPr>
    </w:p>
    <w:p w14:paraId="17C17E84" w14:textId="77777777" w:rsidR="00C10EA9" w:rsidRPr="005C0DB6" w:rsidRDefault="00C10EA9" w:rsidP="00C10EA9">
      <w:pPr>
        <w:rPr>
          <w:rFonts w:ascii="Times New Roman" w:hAnsi="Times New Roman"/>
          <w:i/>
          <w:sz w:val="22"/>
          <w:szCs w:val="22"/>
          <w:lang w:val="lt-LT"/>
        </w:rPr>
      </w:pPr>
      <w:r w:rsidRPr="005C0DB6">
        <w:rPr>
          <w:rFonts w:ascii="Times New Roman" w:hAnsi="Times New Roman"/>
          <w:i/>
          <w:sz w:val="22"/>
          <w:szCs w:val="22"/>
          <w:lang w:val="lt-LT"/>
        </w:rPr>
        <w:t xml:space="preserve">Vaistiniai preparatai, </w:t>
      </w:r>
      <w:r>
        <w:rPr>
          <w:rFonts w:ascii="Times New Roman" w:hAnsi="Times New Roman"/>
          <w:i/>
          <w:sz w:val="22"/>
          <w:szCs w:val="22"/>
          <w:lang w:val="lt-LT"/>
        </w:rPr>
        <w:t>didinantys</w:t>
      </w:r>
      <w:r w:rsidRPr="005C0DB6">
        <w:rPr>
          <w:rFonts w:ascii="Times New Roman" w:hAnsi="Times New Roman"/>
          <w:i/>
          <w:sz w:val="22"/>
          <w:szCs w:val="22"/>
          <w:lang w:val="lt-LT"/>
        </w:rPr>
        <w:t xml:space="preserve"> angioneurozinės edemos riziką</w:t>
      </w:r>
    </w:p>
    <w:p w14:paraId="17C17E85" w14:textId="77777777" w:rsidR="00F942E3" w:rsidRDefault="00F942E3" w:rsidP="00C10EA9">
      <w:pPr>
        <w:rPr>
          <w:rFonts w:ascii="Times New Roman" w:hAnsi="Times New Roman"/>
          <w:sz w:val="22"/>
          <w:szCs w:val="22"/>
          <w:lang w:val="lt-LT"/>
        </w:rPr>
      </w:pPr>
    </w:p>
    <w:p w14:paraId="17C17E86" w14:textId="77777777" w:rsidR="00F942E3" w:rsidRDefault="00F942E3" w:rsidP="00C10EA9">
      <w:pPr>
        <w:rPr>
          <w:rFonts w:ascii="Times New Roman" w:hAnsi="Times New Roman"/>
          <w:sz w:val="22"/>
          <w:szCs w:val="22"/>
          <w:lang w:val="lt-LT"/>
        </w:rPr>
      </w:pPr>
      <w:r w:rsidRPr="00F942E3">
        <w:rPr>
          <w:rFonts w:ascii="Times New Roman" w:hAnsi="Times New Roman"/>
          <w:sz w:val="22"/>
          <w:szCs w:val="22"/>
          <w:lang w:val="lt-LT"/>
        </w:rPr>
        <w:t>AKF inhibitorių vartoti kartu su sakubitrilo ir valsartano deriniu draudžiama, nes tai padidina angio</w:t>
      </w:r>
      <w:r w:rsidR="00DE4C21">
        <w:rPr>
          <w:rFonts w:ascii="Times New Roman" w:hAnsi="Times New Roman"/>
          <w:sz w:val="22"/>
          <w:szCs w:val="22"/>
          <w:lang w:val="lt-LT"/>
        </w:rPr>
        <w:t xml:space="preserve">neurozinės </w:t>
      </w:r>
      <w:r w:rsidRPr="00F942E3">
        <w:rPr>
          <w:rFonts w:ascii="Times New Roman" w:hAnsi="Times New Roman"/>
          <w:sz w:val="22"/>
          <w:szCs w:val="22"/>
          <w:lang w:val="lt-LT"/>
        </w:rPr>
        <w:t>edemos riziką (žr. 4.3 ir 4.4 skyrius).</w:t>
      </w:r>
    </w:p>
    <w:p w14:paraId="17C17E87" w14:textId="77777777" w:rsidR="00F942E3" w:rsidRDefault="00F942E3" w:rsidP="00C10EA9">
      <w:pPr>
        <w:rPr>
          <w:rFonts w:ascii="Times New Roman" w:hAnsi="Times New Roman"/>
          <w:sz w:val="22"/>
          <w:szCs w:val="22"/>
          <w:lang w:val="lt-LT"/>
        </w:rPr>
      </w:pPr>
    </w:p>
    <w:p w14:paraId="17C17E88" w14:textId="77777777" w:rsidR="00C10EA9" w:rsidRPr="00000F59" w:rsidRDefault="00C10EA9" w:rsidP="00C10EA9">
      <w:pPr>
        <w:rPr>
          <w:rFonts w:ascii="Times New Roman" w:hAnsi="Times New Roman"/>
          <w:iCs/>
          <w:sz w:val="22"/>
          <w:szCs w:val="22"/>
          <w:lang w:val="lt-LT"/>
        </w:rPr>
      </w:pPr>
      <w:r w:rsidRPr="00EB2CBD">
        <w:rPr>
          <w:rFonts w:ascii="Times New Roman" w:hAnsi="Times New Roman"/>
          <w:sz w:val="22"/>
          <w:szCs w:val="22"/>
          <w:lang w:val="lt-LT"/>
        </w:rPr>
        <w:t>Kartu su AKF inhibitoriais vartoja</w:t>
      </w:r>
      <w:r w:rsidRPr="00F53D82">
        <w:rPr>
          <w:rFonts w:ascii="Times New Roman" w:hAnsi="Times New Roman"/>
          <w:sz w:val="22"/>
          <w:szCs w:val="22"/>
          <w:lang w:val="lt-LT"/>
        </w:rPr>
        <w:t>nt ži</w:t>
      </w:r>
      <w:r w:rsidRPr="00F53D82">
        <w:rPr>
          <w:rFonts w:ascii="Times New Roman" w:eastAsia="Calibri" w:hAnsi="Times New Roman"/>
          <w:sz w:val="22"/>
          <w:szCs w:val="22"/>
          <w:lang w:val="lt-LT"/>
        </w:rPr>
        <w:t>nduolių rapamicino taikinio</w:t>
      </w:r>
      <w:r w:rsidRPr="00F53D82">
        <w:rPr>
          <w:rFonts w:ascii="Times New Roman" w:eastAsia="Calibri" w:hAnsi="Times New Roman"/>
          <w:i/>
          <w:sz w:val="22"/>
          <w:szCs w:val="22"/>
          <w:lang w:val="lt-LT"/>
        </w:rPr>
        <w:t xml:space="preserve"> (angl. „</w:t>
      </w:r>
      <w:r w:rsidRPr="00F53D82">
        <w:rPr>
          <w:rFonts w:ascii="Times New Roman" w:eastAsia="Calibri" w:hAnsi="Times New Roman"/>
          <w:i/>
          <w:iCs/>
          <w:sz w:val="22"/>
          <w:szCs w:val="22"/>
          <w:lang w:val="lt-LT"/>
        </w:rPr>
        <w:t>mammalian target of rapamycin</w:t>
      </w:r>
      <w:r w:rsidRPr="00F53D82">
        <w:rPr>
          <w:rFonts w:ascii="Times New Roman" w:eastAsia="Calibri" w:hAnsi="Times New Roman"/>
          <w:i/>
          <w:sz w:val="22"/>
          <w:szCs w:val="22"/>
          <w:lang w:val="lt-LT"/>
        </w:rPr>
        <w:t xml:space="preserve">”, mTOR) </w:t>
      </w:r>
      <w:r w:rsidRPr="00E766FD">
        <w:rPr>
          <w:rFonts w:ascii="Times New Roman" w:hAnsi="Times New Roman"/>
          <w:bCs/>
          <w:sz w:val="22"/>
          <w:szCs w:val="22"/>
          <w:lang w:val="lt-LT"/>
        </w:rPr>
        <w:t>inhibitorių</w:t>
      </w:r>
      <w:r w:rsidRPr="00EB2CBD">
        <w:rPr>
          <w:rFonts w:ascii="Times New Roman" w:hAnsi="Times New Roman"/>
          <w:bCs/>
          <w:i/>
          <w:sz w:val="22"/>
          <w:szCs w:val="22"/>
          <w:u w:val="single"/>
          <w:lang w:val="lt-LT"/>
        </w:rPr>
        <w:t xml:space="preserve"> </w:t>
      </w:r>
      <w:r w:rsidRPr="00E766FD">
        <w:rPr>
          <w:rFonts w:ascii="Times New Roman" w:hAnsi="Times New Roman"/>
          <w:bCs/>
          <w:sz w:val="22"/>
          <w:szCs w:val="22"/>
          <w:lang w:val="lt-LT"/>
        </w:rPr>
        <w:t>(pvz</w:t>
      </w:r>
      <w:r w:rsidRPr="00E14026">
        <w:rPr>
          <w:rFonts w:ascii="Times New Roman" w:hAnsi="Times New Roman"/>
          <w:bCs/>
          <w:sz w:val="22"/>
          <w:szCs w:val="22"/>
          <w:lang w:val="lt-LT"/>
        </w:rPr>
        <w:t>.</w:t>
      </w:r>
      <w:r w:rsidRPr="00E14026">
        <w:rPr>
          <w:rFonts w:ascii="Times New Roman" w:hAnsi="Times New Roman"/>
          <w:bCs/>
          <w:i/>
          <w:sz w:val="22"/>
          <w:szCs w:val="22"/>
          <w:lang w:val="lt-LT"/>
        </w:rPr>
        <w:t xml:space="preserve">, </w:t>
      </w:r>
      <w:r w:rsidRPr="00E14026">
        <w:rPr>
          <w:rFonts w:ascii="Times New Roman" w:hAnsi="Times New Roman"/>
          <w:bCs/>
          <w:sz w:val="22"/>
          <w:szCs w:val="22"/>
          <w:lang w:val="lt-LT"/>
        </w:rPr>
        <w:t>temsirolimuzo,</w:t>
      </w:r>
      <w:r w:rsidRPr="00E14026">
        <w:rPr>
          <w:rFonts w:ascii="Times New Roman" w:hAnsi="Times New Roman"/>
          <w:bCs/>
          <w:i/>
          <w:sz w:val="22"/>
          <w:szCs w:val="22"/>
          <w:lang w:val="lt-LT"/>
        </w:rPr>
        <w:t xml:space="preserve"> </w:t>
      </w:r>
      <w:r w:rsidRPr="00E14026">
        <w:rPr>
          <w:rFonts w:ascii="Times New Roman" w:hAnsi="Times New Roman"/>
          <w:bCs/>
          <w:sz w:val="22"/>
          <w:szCs w:val="22"/>
          <w:lang w:val="lt-LT"/>
        </w:rPr>
        <w:t xml:space="preserve">sirolimuzo, everolimuzo), neutraliosios endopeptidazės (NEP) inhibitorių (pvz., racekadotrilio) arba </w:t>
      </w:r>
      <w:r w:rsidRPr="00884401">
        <w:rPr>
          <w:rFonts w:ascii="Times New Roman" w:hAnsi="Times New Roman"/>
          <w:iCs/>
          <w:sz w:val="22"/>
          <w:szCs w:val="22"/>
          <w:lang w:val="lt-LT"/>
        </w:rPr>
        <w:t>audinių plazminogeno aktyvatori</w:t>
      </w:r>
      <w:r w:rsidRPr="002D311C">
        <w:rPr>
          <w:rFonts w:ascii="Times New Roman" w:hAnsi="Times New Roman"/>
          <w:iCs/>
          <w:sz w:val="22"/>
          <w:szCs w:val="22"/>
          <w:lang w:val="lt-LT"/>
        </w:rPr>
        <w:t>ų</w:t>
      </w:r>
      <w:r w:rsidR="00F942E3" w:rsidRPr="00F942E3">
        <w:t xml:space="preserve"> </w:t>
      </w:r>
      <w:r w:rsidR="00F942E3" w:rsidRPr="00F942E3">
        <w:rPr>
          <w:rFonts w:ascii="Times New Roman" w:hAnsi="Times New Roman"/>
          <w:iCs/>
          <w:sz w:val="22"/>
          <w:szCs w:val="22"/>
          <w:lang w:val="lt-LT"/>
        </w:rPr>
        <w:t>ar vildagliptin</w:t>
      </w:r>
      <w:r w:rsidR="000874A6">
        <w:rPr>
          <w:rFonts w:ascii="Times New Roman" w:hAnsi="Times New Roman"/>
          <w:iCs/>
          <w:sz w:val="22"/>
          <w:szCs w:val="22"/>
          <w:lang w:val="lt-LT"/>
        </w:rPr>
        <w:t>o</w:t>
      </w:r>
      <w:r w:rsidR="00F942E3">
        <w:rPr>
          <w:rFonts w:ascii="Times New Roman" w:hAnsi="Times New Roman"/>
          <w:iCs/>
          <w:sz w:val="22"/>
          <w:szCs w:val="22"/>
          <w:lang w:val="lt-LT"/>
        </w:rPr>
        <w:t xml:space="preserve"> </w:t>
      </w:r>
      <w:r w:rsidRPr="002D311C">
        <w:rPr>
          <w:rFonts w:ascii="Times New Roman" w:hAnsi="Times New Roman"/>
          <w:iCs/>
          <w:sz w:val="22"/>
          <w:szCs w:val="22"/>
          <w:lang w:val="lt-LT"/>
        </w:rPr>
        <w:t xml:space="preserve">, </w:t>
      </w:r>
      <w:r w:rsidR="000874A6">
        <w:rPr>
          <w:rFonts w:ascii="Times New Roman" w:hAnsi="Times New Roman"/>
          <w:iCs/>
          <w:sz w:val="22"/>
          <w:szCs w:val="22"/>
          <w:lang w:val="lt-LT"/>
        </w:rPr>
        <w:t>gali pa</w:t>
      </w:r>
      <w:r w:rsidRPr="00000F59">
        <w:rPr>
          <w:rFonts w:ascii="Times New Roman" w:hAnsi="Times New Roman"/>
          <w:iCs/>
          <w:sz w:val="22"/>
          <w:szCs w:val="22"/>
          <w:lang w:val="lt-LT"/>
        </w:rPr>
        <w:t>didė</w:t>
      </w:r>
      <w:r w:rsidR="000874A6">
        <w:rPr>
          <w:rFonts w:ascii="Times New Roman" w:hAnsi="Times New Roman"/>
          <w:iCs/>
          <w:sz w:val="22"/>
          <w:szCs w:val="22"/>
          <w:lang w:val="lt-LT"/>
        </w:rPr>
        <w:t>ti</w:t>
      </w:r>
      <w:r w:rsidRPr="00000F59">
        <w:rPr>
          <w:rFonts w:ascii="Times New Roman" w:hAnsi="Times New Roman"/>
          <w:iCs/>
          <w:sz w:val="22"/>
          <w:szCs w:val="22"/>
          <w:lang w:val="lt-LT"/>
        </w:rPr>
        <w:t xml:space="preserve"> angioneurozinės edemos rizika</w:t>
      </w:r>
      <w:r w:rsidR="00F942E3">
        <w:rPr>
          <w:rFonts w:ascii="Times New Roman" w:hAnsi="Times New Roman"/>
          <w:iCs/>
          <w:sz w:val="22"/>
          <w:szCs w:val="22"/>
          <w:lang w:val="lt-LT"/>
        </w:rPr>
        <w:t xml:space="preserve"> </w:t>
      </w:r>
      <w:r w:rsidR="00F942E3" w:rsidRPr="00F942E3">
        <w:rPr>
          <w:rFonts w:ascii="Times New Roman" w:hAnsi="Times New Roman"/>
          <w:iCs/>
          <w:sz w:val="22"/>
          <w:szCs w:val="22"/>
          <w:lang w:val="lt-LT"/>
        </w:rPr>
        <w:t>(žr. 4.4 skyri</w:t>
      </w:r>
      <w:r w:rsidR="000874A6">
        <w:rPr>
          <w:rFonts w:ascii="Times New Roman" w:hAnsi="Times New Roman"/>
          <w:iCs/>
          <w:sz w:val="22"/>
          <w:szCs w:val="22"/>
          <w:lang w:val="lt-LT"/>
        </w:rPr>
        <w:t>ų</w:t>
      </w:r>
      <w:r w:rsidR="00F942E3" w:rsidRPr="00F942E3">
        <w:rPr>
          <w:rFonts w:ascii="Times New Roman" w:hAnsi="Times New Roman"/>
          <w:iCs/>
          <w:sz w:val="22"/>
          <w:szCs w:val="22"/>
          <w:lang w:val="lt-LT"/>
        </w:rPr>
        <w:t>)</w:t>
      </w:r>
      <w:r w:rsidRPr="00000F59">
        <w:rPr>
          <w:rFonts w:ascii="Times New Roman" w:hAnsi="Times New Roman"/>
          <w:iCs/>
          <w:sz w:val="22"/>
          <w:szCs w:val="22"/>
          <w:lang w:val="lt-LT"/>
        </w:rPr>
        <w:t>.</w:t>
      </w:r>
    </w:p>
    <w:p w14:paraId="17C17E89" w14:textId="77777777" w:rsidR="00C10EA9" w:rsidRPr="00C10EA9" w:rsidRDefault="00C10EA9" w:rsidP="00D75E9B">
      <w:pPr>
        <w:pStyle w:val="Pagrindinistekstas"/>
        <w:jc w:val="left"/>
        <w:rPr>
          <w:rFonts w:ascii="Times New Roman" w:hAnsi="Times New Roman"/>
          <w:color w:val="000000"/>
          <w:u w:val="single"/>
          <w:lang w:val="lt-LT"/>
        </w:rPr>
      </w:pPr>
    </w:p>
    <w:p w14:paraId="17C17E8A" w14:textId="77777777" w:rsidR="00C10EA9" w:rsidRPr="004C5A75" w:rsidRDefault="00C10EA9" w:rsidP="00D75E9B">
      <w:pPr>
        <w:pStyle w:val="Pagrindinistekstas"/>
        <w:jc w:val="left"/>
        <w:rPr>
          <w:rFonts w:ascii="Times New Roman" w:hAnsi="Times New Roman"/>
          <w:i/>
          <w:color w:val="000000"/>
          <w:u w:val="single"/>
          <w:lang w:val="lt-LT"/>
        </w:rPr>
      </w:pPr>
    </w:p>
    <w:p w14:paraId="17C17E8B" w14:textId="77777777" w:rsidR="00D75E9B" w:rsidRPr="004C5A75" w:rsidRDefault="00D75E9B" w:rsidP="00D75E9B">
      <w:pPr>
        <w:pStyle w:val="Pagrindinistekstas"/>
        <w:jc w:val="left"/>
        <w:rPr>
          <w:rFonts w:ascii="Times New Roman" w:hAnsi="Times New Roman"/>
          <w:color w:val="000000"/>
          <w:u w:val="single"/>
          <w:lang w:val="lt-LT"/>
        </w:rPr>
      </w:pPr>
      <w:r w:rsidRPr="004C5A75">
        <w:rPr>
          <w:rFonts w:ascii="Times New Roman" w:hAnsi="Times New Roman"/>
          <w:i/>
          <w:color w:val="000000"/>
          <w:u w:val="single"/>
          <w:lang w:val="lt-LT"/>
        </w:rPr>
        <w:t>Diuretikai</w:t>
      </w:r>
      <w:r w:rsidRPr="004C5A75">
        <w:rPr>
          <w:rFonts w:ascii="Times New Roman" w:hAnsi="Times New Roman"/>
          <w:color w:val="000000"/>
          <w:u w:val="single"/>
          <w:lang w:val="lt-LT"/>
        </w:rPr>
        <w:t xml:space="preserve"> </w:t>
      </w:r>
    </w:p>
    <w:p w14:paraId="17C17E8C" w14:textId="77777777" w:rsidR="00D75E9B" w:rsidRPr="004C5A75" w:rsidRDefault="00D75E9B" w:rsidP="00D75E9B">
      <w:pPr>
        <w:pStyle w:val="Pagrindinistekstas"/>
        <w:jc w:val="left"/>
        <w:rPr>
          <w:rFonts w:ascii="Times New Roman" w:hAnsi="Times New Roman"/>
          <w:color w:val="auto"/>
          <w:lang w:val="lt-LT"/>
        </w:rPr>
      </w:pPr>
      <w:r w:rsidRPr="004C5A75">
        <w:rPr>
          <w:rFonts w:ascii="Times New Roman" w:hAnsi="Times New Roman"/>
          <w:color w:val="auto"/>
          <w:lang w:val="lt-LT"/>
        </w:rPr>
        <w:t xml:space="preserve">Kai lizinopriliu gydomas pacientas papildomai vartoja diuretikų, antihipertenzinis poveikis stiprėja. </w:t>
      </w:r>
    </w:p>
    <w:p w14:paraId="17C17E8D" w14:textId="77777777" w:rsidR="00D75E9B" w:rsidRPr="004C5A75" w:rsidRDefault="00D75E9B" w:rsidP="00D75E9B">
      <w:pPr>
        <w:pStyle w:val="Pagrindinistekstas"/>
        <w:jc w:val="left"/>
        <w:rPr>
          <w:rFonts w:ascii="Times New Roman" w:hAnsi="Times New Roman"/>
          <w:color w:val="auto"/>
          <w:lang w:val="lt-LT"/>
        </w:rPr>
      </w:pPr>
      <w:r w:rsidRPr="004C5A75">
        <w:rPr>
          <w:rFonts w:ascii="Times New Roman" w:hAnsi="Times New Roman"/>
          <w:color w:val="auto"/>
          <w:lang w:val="lt-LT"/>
        </w:rPr>
        <w:t>Pacientams, kurie jau vartoja diuretikų, ypač tiems, kurie diuretikus pradėjo vartoti neseniai, pradėjus kartu vartoti lizinoprilį, retkarčiais gali stipriai sumažėti kraujospūdis. Simptominės hipotenzijos pavojus gali būti sumažintas, nutraukus diuretikų vartojimą prieš pradedant gydymą lizinopriliu (žr. 4.4 ir 4.2 skyrius).</w:t>
      </w:r>
    </w:p>
    <w:p w14:paraId="17C17E8E" w14:textId="77777777" w:rsidR="00D75E9B" w:rsidRPr="004C5A75" w:rsidRDefault="00D75E9B" w:rsidP="00D75E9B">
      <w:pPr>
        <w:rPr>
          <w:rFonts w:ascii="Times New Roman" w:hAnsi="Times New Roman"/>
          <w:iCs/>
          <w:sz w:val="22"/>
          <w:szCs w:val="22"/>
          <w:u w:val="single"/>
          <w:lang w:val="lt-LT"/>
        </w:rPr>
      </w:pPr>
    </w:p>
    <w:p w14:paraId="17C17E8F" w14:textId="77777777" w:rsidR="00A935BF" w:rsidRPr="00C052A0" w:rsidRDefault="00D75E9B" w:rsidP="00A935BF">
      <w:pPr>
        <w:rPr>
          <w:rFonts w:ascii="Times New Roman" w:hAnsi="Times New Roman"/>
          <w:i/>
          <w:sz w:val="22"/>
          <w:lang w:val="lt-LT"/>
        </w:rPr>
      </w:pPr>
      <w:r w:rsidRPr="003C6C6E">
        <w:rPr>
          <w:rFonts w:ascii="Times New Roman" w:hAnsi="Times New Roman"/>
          <w:i/>
          <w:iCs/>
          <w:sz w:val="22"/>
          <w:szCs w:val="22"/>
          <w:lang w:val="lt-LT"/>
        </w:rPr>
        <w:t>Kalio papildai, kalį tausojantys diuretikai, kalio turintys valgomosios druskos pakaitalai</w:t>
      </w:r>
      <w:r w:rsidR="00A935BF" w:rsidRPr="003C6C6E">
        <w:rPr>
          <w:rFonts w:ascii="Times New Roman" w:hAnsi="Times New Roman"/>
          <w:i/>
          <w:iCs/>
          <w:sz w:val="22"/>
          <w:szCs w:val="22"/>
          <w:lang w:val="lt-LT"/>
        </w:rPr>
        <w:t xml:space="preserve"> bei</w:t>
      </w:r>
      <w:r w:rsidR="00A935BF" w:rsidRPr="00A935BF">
        <w:rPr>
          <w:rFonts w:ascii="Times New Roman" w:hAnsi="Times New Roman"/>
          <w:i/>
          <w:sz w:val="22"/>
          <w:szCs w:val="22"/>
          <w:lang w:val="lt-LT"/>
        </w:rPr>
        <w:t xml:space="preserve"> </w:t>
      </w:r>
      <w:r w:rsidR="00A935BF" w:rsidRPr="0081259A">
        <w:rPr>
          <w:rFonts w:ascii="Times New Roman" w:hAnsi="Times New Roman"/>
          <w:i/>
          <w:sz w:val="22"/>
          <w:szCs w:val="22"/>
          <w:lang w:val="lt-LT"/>
        </w:rPr>
        <w:t>kiti vaistiniai preparatai, galintys didinti kalio koncentraciją kraujo serume</w:t>
      </w:r>
    </w:p>
    <w:p w14:paraId="17C17E90" w14:textId="77777777" w:rsidR="000874A6" w:rsidRPr="000874A6" w:rsidRDefault="000874A6" w:rsidP="000874A6">
      <w:pPr>
        <w:rPr>
          <w:rFonts w:ascii="Times New Roman" w:hAnsi="Times New Roman"/>
          <w:sz w:val="22"/>
          <w:szCs w:val="22"/>
          <w:lang w:val="lt-LT"/>
        </w:rPr>
      </w:pPr>
      <w:r w:rsidRPr="000874A6">
        <w:rPr>
          <w:rFonts w:ascii="Times New Roman" w:hAnsi="Times New Roman"/>
          <w:sz w:val="22"/>
          <w:szCs w:val="22"/>
          <w:lang w:val="lt-LT"/>
        </w:rPr>
        <w:t xml:space="preserve">Nors įprastai kalio koncentracija serume išlieka normos ribose, kai kuriems </w:t>
      </w:r>
      <w:r w:rsidR="00EA4420">
        <w:rPr>
          <w:rFonts w:ascii="Times New Roman" w:hAnsi="Times New Roman"/>
          <w:sz w:val="22"/>
          <w:szCs w:val="22"/>
          <w:lang w:val="lt-LT"/>
        </w:rPr>
        <w:t>lizino</w:t>
      </w:r>
      <w:r w:rsidRPr="000874A6">
        <w:rPr>
          <w:rFonts w:ascii="Times New Roman" w:hAnsi="Times New Roman"/>
          <w:sz w:val="22"/>
          <w:szCs w:val="22"/>
          <w:lang w:val="lt-LT"/>
        </w:rPr>
        <w:t>priliu</w:t>
      </w:r>
      <w:r>
        <w:rPr>
          <w:rFonts w:ascii="Times New Roman" w:hAnsi="Times New Roman"/>
          <w:sz w:val="22"/>
          <w:szCs w:val="22"/>
          <w:lang w:val="lt-LT"/>
        </w:rPr>
        <w:t xml:space="preserve"> </w:t>
      </w:r>
      <w:r w:rsidRPr="000874A6">
        <w:rPr>
          <w:rFonts w:ascii="Times New Roman" w:hAnsi="Times New Roman"/>
          <w:sz w:val="22"/>
          <w:szCs w:val="22"/>
          <w:lang w:val="lt-LT"/>
        </w:rPr>
        <w:t xml:space="preserve">gydytiems pacientams gali pasireikšti hiperkalemija. Kalį </w:t>
      </w:r>
      <w:r w:rsidR="00DE4C21">
        <w:rPr>
          <w:rFonts w:ascii="Times New Roman" w:hAnsi="Times New Roman"/>
          <w:sz w:val="22"/>
          <w:szCs w:val="22"/>
          <w:lang w:val="lt-LT"/>
        </w:rPr>
        <w:t>organizme sulaikantys</w:t>
      </w:r>
      <w:r w:rsidRPr="000874A6">
        <w:rPr>
          <w:rFonts w:ascii="Times New Roman" w:hAnsi="Times New Roman"/>
          <w:sz w:val="22"/>
          <w:szCs w:val="22"/>
          <w:lang w:val="lt-LT"/>
        </w:rPr>
        <w:t xml:space="preserve"> diuretikai (pvz., spironolaktonas, triamterenas arba amiloridas), kalio papildai arba kalio turintys druskos pakaitalai gali kraujo serume reikšmingai padidinti kalio koncentraciją</w:t>
      </w:r>
      <w:r w:rsidR="00821FFA">
        <w:rPr>
          <w:rFonts w:ascii="Times New Roman" w:hAnsi="Times New Roman"/>
          <w:sz w:val="22"/>
          <w:szCs w:val="22"/>
          <w:lang w:val="lt-LT"/>
        </w:rPr>
        <w:t>, ypač pacientams, kurių inkstų funkcija sutrikusi</w:t>
      </w:r>
      <w:r w:rsidR="00EA4420">
        <w:rPr>
          <w:rFonts w:ascii="Times New Roman" w:hAnsi="Times New Roman"/>
          <w:sz w:val="22"/>
          <w:szCs w:val="22"/>
          <w:lang w:val="lt-LT"/>
        </w:rPr>
        <w:t>. Lizinopril</w:t>
      </w:r>
      <w:r w:rsidRPr="000874A6">
        <w:rPr>
          <w:rFonts w:ascii="Times New Roman" w:hAnsi="Times New Roman"/>
          <w:sz w:val="22"/>
          <w:szCs w:val="22"/>
          <w:lang w:val="lt-LT"/>
        </w:rPr>
        <w:t xml:space="preserve">į kartu su kitais kalio kiekį kraujo serume didinančiais vaistiniais preparatais, pvz., trimetoprimu ir kotrimoksazolu (trimetoprimo ir sulfametoksazolo deriniu) skirti reikia atsargiai, kadangi yra žinoma, kad trimetoprimas veikia kaip kalį </w:t>
      </w:r>
      <w:r w:rsidR="00DE4C21">
        <w:rPr>
          <w:rFonts w:ascii="Times New Roman" w:hAnsi="Times New Roman"/>
          <w:sz w:val="22"/>
          <w:szCs w:val="22"/>
          <w:lang w:val="lt-LT"/>
        </w:rPr>
        <w:t>organizme sulaikantis</w:t>
      </w:r>
      <w:r w:rsidRPr="000874A6">
        <w:rPr>
          <w:rFonts w:ascii="Times New Roman" w:hAnsi="Times New Roman"/>
          <w:sz w:val="22"/>
          <w:szCs w:val="22"/>
          <w:lang w:val="lt-LT"/>
        </w:rPr>
        <w:t xml:space="preserve"> diuretikas, toks kaip amiloridas. Dėl to </w:t>
      </w:r>
      <w:r w:rsidR="00EA4420">
        <w:rPr>
          <w:rFonts w:ascii="Times New Roman" w:hAnsi="Times New Roman"/>
          <w:sz w:val="22"/>
          <w:szCs w:val="22"/>
          <w:lang w:val="lt-LT"/>
        </w:rPr>
        <w:t>lizino</w:t>
      </w:r>
      <w:r w:rsidRPr="000874A6">
        <w:rPr>
          <w:rFonts w:ascii="Times New Roman" w:hAnsi="Times New Roman"/>
          <w:sz w:val="22"/>
          <w:szCs w:val="22"/>
          <w:lang w:val="lt-LT"/>
        </w:rPr>
        <w:t>prilio skirti kartu su minėtais vaistiniais preparatais nerekomenduojama. Jeigu tokį derinį skirti reikia, tai daryti reikia atsargiai bei dažnai stebėti kalio koncentraciją kraujo serume</w:t>
      </w:r>
      <w:r w:rsidR="00821FFA">
        <w:rPr>
          <w:rFonts w:ascii="Times New Roman" w:hAnsi="Times New Roman"/>
          <w:sz w:val="22"/>
          <w:szCs w:val="22"/>
          <w:lang w:val="lt-LT"/>
        </w:rPr>
        <w:t xml:space="preserve"> (žr. 4.4 skyrių)</w:t>
      </w:r>
      <w:r w:rsidRPr="000874A6">
        <w:rPr>
          <w:rFonts w:ascii="Times New Roman" w:hAnsi="Times New Roman"/>
          <w:sz w:val="22"/>
          <w:szCs w:val="22"/>
          <w:lang w:val="lt-LT"/>
        </w:rPr>
        <w:t>.</w:t>
      </w:r>
    </w:p>
    <w:p w14:paraId="17C17E91" w14:textId="77777777" w:rsidR="00692A16" w:rsidRDefault="00692A16" w:rsidP="000874A6">
      <w:pPr>
        <w:rPr>
          <w:rFonts w:ascii="Times New Roman" w:hAnsi="Times New Roman"/>
          <w:i/>
          <w:sz w:val="22"/>
          <w:szCs w:val="22"/>
          <w:lang w:val="lt-LT"/>
        </w:rPr>
      </w:pPr>
    </w:p>
    <w:p w14:paraId="17C17E92" w14:textId="77777777" w:rsidR="000874A6" w:rsidRPr="00EA4420" w:rsidRDefault="000874A6" w:rsidP="000874A6">
      <w:pPr>
        <w:rPr>
          <w:rFonts w:ascii="Times New Roman" w:hAnsi="Times New Roman"/>
          <w:i/>
          <w:sz w:val="22"/>
          <w:szCs w:val="22"/>
          <w:lang w:val="lt-LT"/>
        </w:rPr>
      </w:pPr>
      <w:r w:rsidRPr="00EA4420">
        <w:rPr>
          <w:rFonts w:ascii="Times New Roman" w:hAnsi="Times New Roman"/>
          <w:i/>
          <w:sz w:val="22"/>
          <w:szCs w:val="22"/>
          <w:lang w:val="lt-LT"/>
        </w:rPr>
        <w:lastRenderedPageBreak/>
        <w:t>Ciklosporinas</w:t>
      </w:r>
    </w:p>
    <w:p w14:paraId="17C17E93" w14:textId="77777777" w:rsidR="000874A6" w:rsidRPr="000874A6" w:rsidRDefault="000874A6" w:rsidP="000874A6">
      <w:pPr>
        <w:rPr>
          <w:rFonts w:ascii="Times New Roman" w:hAnsi="Times New Roman"/>
          <w:sz w:val="22"/>
          <w:szCs w:val="22"/>
          <w:lang w:val="lt-LT"/>
        </w:rPr>
      </w:pPr>
      <w:r w:rsidRPr="000874A6">
        <w:rPr>
          <w:rFonts w:ascii="Times New Roman" w:hAnsi="Times New Roman"/>
          <w:sz w:val="22"/>
          <w:szCs w:val="22"/>
          <w:lang w:val="lt-LT"/>
        </w:rPr>
        <w:t>AKF inhibitorių vartojant kartu su ciklosporinu gali pasireikšti hiperkalemija. Rekomenduojama stebėti kalio koncentraciją kraujo serume.</w:t>
      </w:r>
    </w:p>
    <w:p w14:paraId="17C17E94" w14:textId="77777777" w:rsidR="00692A16" w:rsidRDefault="00692A16" w:rsidP="000874A6">
      <w:pPr>
        <w:rPr>
          <w:rFonts w:ascii="Times New Roman" w:hAnsi="Times New Roman"/>
          <w:i/>
          <w:sz w:val="22"/>
          <w:szCs w:val="22"/>
          <w:lang w:val="lt-LT"/>
        </w:rPr>
      </w:pPr>
    </w:p>
    <w:p w14:paraId="17C17E95" w14:textId="77777777" w:rsidR="000874A6" w:rsidRPr="00EA4420" w:rsidRDefault="000874A6" w:rsidP="000874A6">
      <w:pPr>
        <w:rPr>
          <w:rFonts w:ascii="Times New Roman" w:hAnsi="Times New Roman"/>
          <w:i/>
          <w:sz w:val="22"/>
          <w:szCs w:val="22"/>
          <w:lang w:val="lt-LT"/>
        </w:rPr>
      </w:pPr>
      <w:r w:rsidRPr="00EA4420">
        <w:rPr>
          <w:rFonts w:ascii="Times New Roman" w:hAnsi="Times New Roman"/>
          <w:i/>
          <w:sz w:val="22"/>
          <w:szCs w:val="22"/>
          <w:lang w:val="lt-LT"/>
        </w:rPr>
        <w:t>Heparinas</w:t>
      </w:r>
    </w:p>
    <w:p w14:paraId="17C17E96" w14:textId="77777777" w:rsidR="000874A6" w:rsidRPr="000874A6" w:rsidRDefault="000874A6" w:rsidP="000874A6">
      <w:pPr>
        <w:rPr>
          <w:rFonts w:ascii="Times New Roman" w:hAnsi="Times New Roman"/>
          <w:sz w:val="22"/>
          <w:szCs w:val="22"/>
          <w:lang w:val="lt-LT"/>
        </w:rPr>
      </w:pPr>
      <w:r w:rsidRPr="000874A6">
        <w:rPr>
          <w:rFonts w:ascii="Times New Roman" w:hAnsi="Times New Roman"/>
          <w:sz w:val="22"/>
          <w:szCs w:val="22"/>
          <w:lang w:val="lt-LT"/>
        </w:rPr>
        <w:t>AKF inhibitorių vartojant kartu su heparinu gali pasireikšti hiperkalemija.</w:t>
      </w:r>
      <w:r w:rsidR="00DE4C21">
        <w:rPr>
          <w:rFonts w:ascii="Times New Roman" w:hAnsi="Times New Roman"/>
          <w:sz w:val="22"/>
          <w:szCs w:val="22"/>
          <w:lang w:val="lt-LT"/>
        </w:rPr>
        <w:t xml:space="preserve"> </w:t>
      </w:r>
      <w:r w:rsidRPr="000874A6">
        <w:rPr>
          <w:rFonts w:ascii="Times New Roman" w:hAnsi="Times New Roman"/>
          <w:sz w:val="22"/>
          <w:szCs w:val="22"/>
          <w:lang w:val="lt-LT"/>
        </w:rPr>
        <w:t>Rekomenduojama stebėti kalio koncentraciją kraujo serume.</w:t>
      </w:r>
    </w:p>
    <w:p w14:paraId="17C17E9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Lizinoprilis sumažina kaliuretinių diuretikų sukeltą hipokalemiją.</w:t>
      </w:r>
    </w:p>
    <w:p w14:paraId="17C17E98" w14:textId="77777777" w:rsidR="00D75E9B" w:rsidRPr="004C5A75" w:rsidRDefault="00D75E9B" w:rsidP="00D75E9B">
      <w:pPr>
        <w:tabs>
          <w:tab w:val="left" w:pos="567"/>
        </w:tabs>
        <w:rPr>
          <w:rFonts w:ascii="Times New Roman" w:hAnsi="Times New Roman"/>
          <w:i/>
          <w:sz w:val="22"/>
          <w:szCs w:val="22"/>
          <w:u w:val="single"/>
          <w:lang w:val="lt-LT"/>
        </w:rPr>
      </w:pPr>
    </w:p>
    <w:p w14:paraId="17C17E99" w14:textId="77777777" w:rsidR="00D75E9B" w:rsidRPr="004C5A75" w:rsidRDefault="00D75E9B" w:rsidP="00D75E9B">
      <w:pPr>
        <w:tabs>
          <w:tab w:val="left" w:pos="567"/>
        </w:tabs>
        <w:rPr>
          <w:rFonts w:ascii="Times New Roman" w:hAnsi="Times New Roman"/>
          <w:i/>
          <w:sz w:val="22"/>
          <w:szCs w:val="22"/>
          <w:u w:val="single"/>
          <w:lang w:val="lt-LT"/>
        </w:rPr>
      </w:pPr>
      <w:r w:rsidRPr="004C5A75">
        <w:rPr>
          <w:rFonts w:ascii="Times New Roman" w:hAnsi="Times New Roman"/>
          <w:i/>
          <w:sz w:val="22"/>
          <w:szCs w:val="22"/>
          <w:u w:val="single"/>
          <w:lang w:val="lt-LT"/>
        </w:rPr>
        <w:t>Litis</w:t>
      </w:r>
    </w:p>
    <w:p w14:paraId="17C17E9A" w14:textId="77777777" w:rsidR="00D75E9B" w:rsidRPr="004C5A75" w:rsidRDefault="00D75E9B" w:rsidP="00D75E9B">
      <w:pPr>
        <w:tabs>
          <w:tab w:val="left" w:pos="567"/>
        </w:tabs>
        <w:rPr>
          <w:rFonts w:ascii="Times New Roman" w:hAnsi="Times New Roman"/>
          <w:i/>
          <w:iCs/>
          <w:sz w:val="22"/>
          <w:szCs w:val="22"/>
          <w:lang w:val="lt-LT"/>
        </w:rPr>
      </w:pPr>
      <w:r w:rsidRPr="004C5A75">
        <w:rPr>
          <w:rFonts w:ascii="Times New Roman" w:hAnsi="Times New Roman"/>
          <w:sz w:val="22"/>
          <w:szCs w:val="22"/>
          <w:lang w:val="lt-LT"/>
        </w:rPr>
        <w:t>Kartu su AKF inhibitoriais vartojant ličio, kai kuriems pacientams laikinai padidėdavo ličio koncentracija kraujo serume, sustiprėdavo toksinis jo poveikis. Kartu vartojami tiazidiniai diuretikai gali didinti toksinio ličio poveikio pasireiškimo riziką ir dar labiau stiprinti dėl sąveikos su AKF inhibitoriais sustiprėjusį toksinį ličio poveikį. Kartu su lizinopriliu ličio vartoti nerekomenduojama. Jeigu taip gydyti būtina, reikia atidžiai sekti ličio koncentraciją kraujo serume (žr. 4.4 skyrių).</w:t>
      </w:r>
      <w:r w:rsidRPr="004C5A75">
        <w:rPr>
          <w:rFonts w:ascii="Times New Roman" w:hAnsi="Times New Roman"/>
          <w:i/>
          <w:iCs/>
          <w:sz w:val="22"/>
          <w:szCs w:val="22"/>
          <w:lang w:val="lt-LT"/>
        </w:rPr>
        <w:t xml:space="preserve"> </w:t>
      </w:r>
    </w:p>
    <w:p w14:paraId="17C17E9B" w14:textId="77777777" w:rsidR="00D75E9B" w:rsidRPr="004C5A75" w:rsidRDefault="00D75E9B" w:rsidP="00D75E9B">
      <w:pPr>
        <w:tabs>
          <w:tab w:val="left" w:pos="567"/>
        </w:tabs>
        <w:rPr>
          <w:rFonts w:ascii="Times New Roman" w:hAnsi="Times New Roman"/>
          <w:i/>
          <w:iCs/>
          <w:sz w:val="22"/>
          <w:szCs w:val="22"/>
          <w:u w:val="single"/>
          <w:lang w:val="lt-LT"/>
        </w:rPr>
      </w:pPr>
    </w:p>
    <w:p w14:paraId="17C17E9C" w14:textId="77777777" w:rsidR="00D75E9B" w:rsidRPr="004C5A75" w:rsidRDefault="00D75E9B" w:rsidP="00D75E9B">
      <w:pPr>
        <w:tabs>
          <w:tab w:val="left" w:pos="567"/>
        </w:tabs>
        <w:rPr>
          <w:rFonts w:ascii="Times New Roman" w:hAnsi="Times New Roman"/>
          <w:i/>
          <w:iCs/>
          <w:sz w:val="22"/>
          <w:szCs w:val="22"/>
          <w:u w:val="single"/>
          <w:lang w:val="lt-LT"/>
        </w:rPr>
      </w:pPr>
      <w:r w:rsidRPr="004C5A75">
        <w:rPr>
          <w:rFonts w:ascii="Times New Roman" w:hAnsi="Times New Roman"/>
          <w:i/>
          <w:iCs/>
          <w:sz w:val="22"/>
          <w:szCs w:val="22"/>
          <w:u w:val="single"/>
          <w:lang w:val="lt-LT"/>
        </w:rPr>
        <w:t xml:space="preserve">Nesteroidiniai vaistiniai preparatai nuo uždegimo (NVNU), įskaitant </w:t>
      </w:r>
      <w:r w:rsidRPr="004C5A75">
        <w:rPr>
          <w:rFonts w:ascii="Times New Roman" w:hAnsi="Times New Roman"/>
          <w:i/>
          <w:iCs/>
          <w:sz w:val="22"/>
          <w:szCs w:val="22"/>
          <w:u w:val="single"/>
          <w:lang w:val="lt-LT"/>
        </w:rPr>
        <w:sym w:font="Symbol" w:char="F0B3"/>
      </w:r>
      <w:r w:rsidRPr="004C5A75">
        <w:rPr>
          <w:rFonts w:ascii="Times New Roman" w:hAnsi="Times New Roman"/>
          <w:i/>
          <w:sz w:val="22"/>
          <w:szCs w:val="22"/>
          <w:u w:val="single"/>
          <w:lang w:val="lt-LT"/>
        </w:rPr>
        <w:t>3</w:t>
      </w:r>
      <w:r w:rsidRPr="004C5A75">
        <w:rPr>
          <w:rFonts w:ascii="Times New Roman" w:hAnsi="Times New Roman"/>
          <w:i/>
          <w:iCs/>
          <w:sz w:val="22"/>
          <w:szCs w:val="22"/>
          <w:u w:val="single"/>
          <w:lang w:val="lt-LT"/>
        </w:rPr>
        <w:t> g acetilsalicilo rūgšties paros dozę</w:t>
      </w:r>
    </w:p>
    <w:p w14:paraId="17C17E9D" w14:textId="77777777" w:rsidR="00D75E9B" w:rsidRPr="004C5A75" w:rsidRDefault="00D75E9B" w:rsidP="00D75E9B">
      <w:pPr>
        <w:rPr>
          <w:rFonts w:ascii="Times New Roman" w:hAnsi="Times New Roman"/>
          <w:sz w:val="22"/>
          <w:lang w:val="lt-LT"/>
        </w:rPr>
      </w:pPr>
      <w:r w:rsidRPr="004C5A75">
        <w:rPr>
          <w:rFonts w:ascii="Times New Roman" w:hAnsi="Times New Roman"/>
          <w:sz w:val="22"/>
          <w:lang w:val="lt-LT"/>
        </w:rPr>
        <w:t>AKF inhibitorius vartojant kartu su nesteroidiniais vaistais nuo uždegimo (t.y. priešuždegiminėmis acetilsalicilo rūgšties dozėmis, COX-2 inhibitoriais ar neselektyviais NVNU), gali susilpnėti kraujospūdį mažinantis poveikis. AKF inhibitorių ir NVNU vartojimas kartu gali padidinti inkstų veiklos pablogėjimo pavojų, įskaitant galimą ūminį inkstų veiklos nepakankamumą, bei gali padidinti kalio koncentraciją serume, ypač pacientams, kurių inkstų veikla jau yra bloga. Šį derinį reikia skirti atsargiai, ypač senyviems pacientams. Pacientas turi gauti pakankamai skysčių, o taip pat reikia apsvarstyti, ar sudėtinio gydymo pradžioje ir periodiškai po to nevertėtų stebėti inkstų veiklos.</w:t>
      </w:r>
    </w:p>
    <w:p w14:paraId="17C17E9E" w14:textId="77777777" w:rsidR="00D75E9B" w:rsidRPr="004C5A75" w:rsidRDefault="00D75E9B" w:rsidP="00D75E9B">
      <w:pPr>
        <w:tabs>
          <w:tab w:val="left" w:pos="567"/>
        </w:tabs>
        <w:jc w:val="both"/>
        <w:rPr>
          <w:rFonts w:ascii="Times New Roman" w:hAnsi="Times New Roman"/>
          <w:i/>
          <w:sz w:val="22"/>
          <w:szCs w:val="22"/>
          <w:u w:val="single"/>
          <w:lang w:val="lt-LT" w:eastAsia="hu-HU"/>
        </w:rPr>
      </w:pPr>
    </w:p>
    <w:p w14:paraId="17C17E9F" w14:textId="77777777" w:rsidR="00D75E9B" w:rsidRPr="004C5A75" w:rsidRDefault="00D75E9B" w:rsidP="00D75E9B">
      <w:pPr>
        <w:tabs>
          <w:tab w:val="left" w:pos="567"/>
        </w:tabs>
        <w:jc w:val="both"/>
        <w:rPr>
          <w:rFonts w:ascii="Times New Roman" w:hAnsi="Times New Roman"/>
          <w:i/>
          <w:sz w:val="22"/>
          <w:szCs w:val="22"/>
          <w:u w:val="single"/>
          <w:lang w:val="lt-LT" w:eastAsia="hu-HU"/>
        </w:rPr>
      </w:pPr>
      <w:r w:rsidRPr="004C5A75">
        <w:rPr>
          <w:rFonts w:ascii="Times New Roman" w:hAnsi="Times New Roman"/>
          <w:i/>
          <w:sz w:val="22"/>
          <w:szCs w:val="22"/>
          <w:u w:val="single"/>
          <w:lang w:val="lt-LT" w:eastAsia="hu-HU"/>
        </w:rPr>
        <w:t>Aukso preparatai</w:t>
      </w:r>
    </w:p>
    <w:p w14:paraId="17C17EA0" w14:textId="77777777" w:rsidR="00D75E9B" w:rsidRPr="004C5A75" w:rsidRDefault="00D75E9B" w:rsidP="00D75E9B">
      <w:pPr>
        <w:tabs>
          <w:tab w:val="left" w:pos="567"/>
        </w:tabs>
        <w:rPr>
          <w:rFonts w:ascii="Times New Roman" w:hAnsi="Times New Roman"/>
          <w:sz w:val="22"/>
          <w:szCs w:val="22"/>
          <w:lang w:val="lt-LT"/>
        </w:rPr>
      </w:pPr>
      <w:r w:rsidRPr="004C5A75">
        <w:rPr>
          <w:rFonts w:ascii="Times New Roman" w:hAnsi="Times New Roman"/>
          <w:sz w:val="22"/>
          <w:szCs w:val="22"/>
          <w:lang w:val="lt-LT"/>
        </w:rPr>
        <w:t xml:space="preserve">AKF inhibitorių vartojantiems ligoniams, gydomiems injekciniu aukso preparatu (natrio aurotiomalatu), buvo dažnesnių </w:t>
      </w:r>
      <w:r w:rsidRPr="004C5A75">
        <w:rPr>
          <w:rFonts w:ascii="Times New Roman" w:hAnsi="Times New Roman"/>
          <w:iCs/>
          <w:sz w:val="22"/>
          <w:szCs w:val="22"/>
          <w:lang w:val="lt-LT"/>
        </w:rPr>
        <w:t>vazomotorinių reakcijų</w:t>
      </w:r>
      <w:r w:rsidRPr="004C5A75">
        <w:rPr>
          <w:rFonts w:ascii="Times New Roman" w:hAnsi="Times New Roman"/>
          <w:sz w:val="22"/>
          <w:szCs w:val="22"/>
          <w:lang w:val="lt-LT"/>
        </w:rPr>
        <w:t xml:space="preserve"> (jų simptomai, kurie gali būti labai sunkūs, yra veido paraudimas, pykinimas, svaigulys ir hipotenzija) atvejų.</w:t>
      </w:r>
    </w:p>
    <w:p w14:paraId="17C17EA1" w14:textId="77777777" w:rsidR="00D75E9B" w:rsidRPr="004C5A75" w:rsidRDefault="00D75E9B" w:rsidP="00D75E9B">
      <w:pPr>
        <w:pStyle w:val="Pagrindinistekstas"/>
        <w:rPr>
          <w:rFonts w:ascii="Times New Roman" w:hAnsi="Times New Roman"/>
          <w:color w:val="auto"/>
          <w:lang w:val="lt-LT"/>
        </w:rPr>
      </w:pPr>
    </w:p>
    <w:p w14:paraId="17C17EA2" w14:textId="77777777" w:rsidR="00D75E9B" w:rsidRPr="004C5A75" w:rsidRDefault="00D75E9B" w:rsidP="00D75E9B">
      <w:pPr>
        <w:rPr>
          <w:rFonts w:ascii="Times New Roman" w:hAnsi="Times New Roman"/>
          <w:sz w:val="22"/>
          <w:szCs w:val="22"/>
          <w:lang w:val="lt-LT"/>
        </w:rPr>
      </w:pPr>
    </w:p>
    <w:p w14:paraId="17C17EA3"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i/>
          <w:sz w:val="22"/>
          <w:szCs w:val="22"/>
          <w:u w:val="single"/>
          <w:lang w:val="lt-LT"/>
        </w:rPr>
        <w:t>Tricikliai antidepresantai, antipsichoziniai preparatai, anestetikai</w:t>
      </w:r>
    </w:p>
    <w:p w14:paraId="17C17EA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Vartojant kai kurių anestetinių vaistinių preparatų, triciklių antidepresantų ir antipsichozinių preparatų kartu su AKFI, kraujospūdis gali dar labiau mažėti (žr. 4.4 skyrių). </w:t>
      </w:r>
    </w:p>
    <w:p w14:paraId="17C17EA5" w14:textId="77777777" w:rsidR="00D75E9B" w:rsidRPr="004C5A75" w:rsidRDefault="00D75E9B" w:rsidP="00D75E9B">
      <w:pPr>
        <w:rPr>
          <w:rFonts w:ascii="Times New Roman" w:hAnsi="Times New Roman"/>
          <w:i/>
          <w:sz w:val="22"/>
          <w:szCs w:val="22"/>
          <w:lang w:val="lt-LT"/>
        </w:rPr>
      </w:pPr>
    </w:p>
    <w:p w14:paraId="17C17EA6" w14:textId="77777777" w:rsidR="00D75E9B" w:rsidRPr="004C5A75" w:rsidRDefault="00D75E9B" w:rsidP="00D75E9B">
      <w:pPr>
        <w:rPr>
          <w:rFonts w:ascii="Times New Roman" w:hAnsi="Times New Roman"/>
          <w:i/>
          <w:sz w:val="22"/>
          <w:szCs w:val="22"/>
          <w:u w:val="single"/>
          <w:lang w:val="lt-LT"/>
        </w:rPr>
      </w:pPr>
      <w:r w:rsidRPr="004C5A75">
        <w:rPr>
          <w:rFonts w:ascii="Times New Roman" w:hAnsi="Times New Roman"/>
          <w:i/>
          <w:sz w:val="22"/>
          <w:szCs w:val="22"/>
          <w:u w:val="single"/>
          <w:lang w:val="lt-LT"/>
        </w:rPr>
        <w:t xml:space="preserve">Simpatikomimetikai </w:t>
      </w:r>
    </w:p>
    <w:p w14:paraId="17C17EA7"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sz w:val="22"/>
          <w:szCs w:val="22"/>
          <w:lang w:val="lt-LT"/>
        </w:rPr>
        <w:t>Simpatikomimetikai</w:t>
      </w:r>
      <w:r w:rsidRPr="004C5A75">
        <w:rPr>
          <w:rFonts w:ascii="Times New Roman" w:hAnsi="Times New Roman"/>
          <w:i/>
          <w:sz w:val="22"/>
          <w:szCs w:val="22"/>
          <w:lang w:val="lt-LT"/>
        </w:rPr>
        <w:t xml:space="preserve"> </w:t>
      </w:r>
      <w:r w:rsidRPr="004C5A75">
        <w:rPr>
          <w:rFonts w:ascii="Times New Roman" w:hAnsi="Times New Roman"/>
          <w:sz w:val="22"/>
          <w:szCs w:val="22"/>
          <w:lang w:val="lt-LT"/>
        </w:rPr>
        <w:t>gali mažinti AKFI antihipertenzinį poveikį.</w:t>
      </w:r>
    </w:p>
    <w:p w14:paraId="17C17EA8" w14:textId="77777777" w:rsidR="00D75E9B" w:rsidRPr="004C5A75" w:rsidRDefault="00D75E9B" w:rsidP="00D75E9B">
      <w:pPr>
        <w:rPr>
          <w:rFonts w:ascii="Times New Roman" w:hAnsi="Times New Roman"/>
          <w:i/>
          <w:sz w:val="22"/>
          <w:szCs w:val="22"/>
          <w:lang w:val="lt-LT"/>
        </w:rPr>
      </w:pPr>
    </w:p>
    <w:p w14:paraId="17C17EA9"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i/>
          <w:sz w:val="22"/>
          <w:szCs w:val="22"/>
          <w:u w:val="single"/>
          <w:lang w:val="lt-LT"/>
        </w:rPr>
        <w:t>Antidiabetiniai preparatai</w:t>
      </w:r>
      <w:r w:rsidRPr="004C5A75">
        <w:rPr>
          <w:rFonts w:ascii="Times New Roman" w:hAnsi="Times New Roman"/>
          <w:sz w:val="22"/>
          <w:szCs w:val="22"/>
          <w:u w:val="single"/>
          <w:lang w:val="lt-LT"/>
        </w:rPr>
        <w:t xml:space="preserve">. </w:t>
      </w:r>
    </w:p>
    <w:p w14:paraId="17C17EA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Epidemiologinių tyrimų rezultatai leidžia manyti, kad AKFI ir antidiabetinių preparatų (insulinų, geriamųjų antidiabetinių preparatų) skiriant kartu, gali stiprėti gliukozės kiekį mažinantis poveikis, sąlygojantis hipoglikemijos pavojų. Toks poveikis dažnesnis pirmosiomis gydymo savaitėmis ir pacientams, kurių inkstų funkcija pažeista.</w:t>
      </w:r>
    </w:p>
    <w:p w14:paraId="17C17EAB" w14:textId="77777777" w:rsidR="00D75E9B" w:rsidRPr="004C5A75" w:rsidRDefault="00D75E9B" w:rsidP="00D75E9B">
      <w:pPr>
        <w:rPr>
          <w:rFonts w:ascii="Times New Roman" w:hAnsi="Times New Roman"/>
          <w:i/>
          <w:sz w:val="22"/>
          <w:szCs w:val="22"/>
          <w:lang w:val="lt-LT"/>
        </w:rPr>
      </w:pPr>
    </w:p>
    <w:p w14:paraId="17C17EAC" w14:textId="77777777" w:rsidR="00D75E9B" w:rsidRPr="004C5A75" w:rsidRDefault="00D75E9B" w:rsidP="00D75E9B">
      <w:pPr>
        <w:rPr>
          <w:rFonts w:ascii="Times New Roman" w:hAnsi="Times New Roman"/>
          <w:sz w:val="22"/>
          <w:szCs w:val="22"/>
          <w:lang w:val="lt-LT"/>
        </w:rPr>
      </w:pPr>
    </w:p>
    <w:p w14:paraId="17C17EAD" w14:textId="77777777" w:rsidR="00D75E9B" w:rsidRPr="004C5A75" w:rsidRDefault="00D75E9B" w:rsidP="00D75E9B">
      <w:pPr>
        <w:tabs>
          <w:tab w:val="left" w:pos="567"/>
        </w:tabs>
        <w:rPr>
          <w:rFonts w:ascii="Times New Roman" w:hAnsi="Times New Roman"/>
          <w:i/>
          <w:sz w:val="22"/>
          <w:szCs w:val="22"/>
          <w:u w:val="single"/>
          <w:lang w:val="lt-LT"/>
        </w:rPr>
      </w:pPr>
      <w:r w:rsidRPr="004C5A75">
        <w:rPr>
          <w:rFonts w:ascii="Times New Roman" w:hAnsi="Times New Roman"/>
          <w:i/>
          <w:sz w:val="22"/>
          <w:szCs w:val="22"/>
          <w:u w:val="single"/>
          <w:lang w:val="lt-LT"/>
        </w:rPr>
        <w:t>Acetilsalicilo rūgštis, tromboliziniai preparatai, beta adrenoblokatoriai, nitratai</w:t>
      </w:r>
    </w:p>
    <w:p w14:paraId="17C17EAE" w14:textId="77777777" w:rsidR="00D75E9B" w:rsidRPr="004C5A75" w:rsidRDefault="00D75E9B" w:rsidP="00D75E9B">
      <w:pPr>
        <w:tabs>
          <w:tab w:val="left" w:pos="567"/>
        </w:tabs>
        <w:rPr>
          <w:rFonts w:ascii="Times New Roman" w:hAnsi="Times New Roman"/>
          <w:iCs/>
          <w:sz w:val="22"/>
          <w:szCs w:val="22"/>
          <w:lang w:val="lt-LT"/>
        </w:rPr>
      </w:pPr>
      <w:r w:rsidRPr="004C5A75">
        <w:rPr>
          <w:rFonts w:ascii="Times New Roman" w:hAnsi="Times New Roman"/>
          <w:iCs/>
          <w:sz w:val="22"/>
          <w:szCs w:val="22"/>
          <w:lang w:val="lt-LT"/>
        </w:rPr>
        <w:t>Lizinoprilio galima vartoti kartu su acetilsalicilo rūgštimi (širdies ligų atveju skiriamomis dozėmis), tromboliziniais preparatais, beta adrenoblokatoriais ir (arba) nitratais.</w:t>
      </w:r>
    </w:p>
    <w:p w14:paraId="17C17EAF" w14:textId="77777777" w:rsidR="00AE3680" w:rsidRPr="0026536C" w:rsidRDefault="00AE3680" w:rsidP="00AE3680">
      <w:pPr>
        <w:tabs>
          <w:tab w:val="left" w:pos="567"/>
        </w:tabs>
        <w:rPr>
          <w:rFonts w:ascii="Times New Roman" w:hAnsi="Times New Roman"/>
          <w:b/>
          <w:sz w:val="22"/>
          <w:lang w:val="lt-LT"/>
        </w:rPr>
      </w:pPr>
    </w:p>
    <w:p w14:paraId="17C17EB0" w14:textId="77777777" w:rsidR="00D75E9B" w:rsidRPr="004C5A75" w:rsidRDefault="00D75E9B" w:rsidP="00D75E9B">
      <w:pPr>
        <w:rPr>
          <w:rFonts w:ascii="Times New Roman" w:hAnsi="Times New Roman"/>
          <w:i/>
          <w:iCs/>
          <w:sz w:val="22"/>
          <w:szCs w:val="22"/>
          <w:u w:val="single"/>
          <w:lang w:val="lt-LT"/>
        </w:rPr>
      </w:pPr>
      <w:r w:rsidRPr="004C5A75">
        <w:rPr>
          <w:rFonts w:ascii="Times New Roman" w:hAnsi="Times New Roman"/>
          <w:i/>
          <w:sz w:val="22"/>
          <w:u w:val="single"/>
          <w:lang w:val="lt-LT"/>
        </w:rPr>
        <w:t>Sąveika, susijusi su amlodipinu</w:t>
      </w:r>
    </w:p>
    <w:p w14:paraId="17C17EB1" w14:textId="77777777" w:rsidR="00D75E9B" w:rsidRPr="004C5A75" w:rsidRDefault="00D75E9B" w:rsidP="00D75E9B">
      <w:pPr>
        <w:rPr>
          <w:rFonts w:ascii="Times New Roman" w:hAnsi="Times New Roman"/>
          <w:sz w:val="22"/>
          <w:lang w:val="lt-LT"/>
        </w:rPr>
      </w:pPr>
      <w:r w:rsidRPr="004C5A75">
        <w:rPr>
          <w:rFonts w:ascii="Times New Roman" w:hAnsi="Times New Roman"/>
          <w:i/>
          <w:sz w:val="22"/>
          <w:lang w:val="lt-LT"/>
        </w:rPr>
        <w:t>Kitų vaistinių preparatų poveikis amlodipinui</w:t>
      </w:r>
    </w:p>
    <w:p w14:paraId="17C17EB2" w14:textId="77777777" w:rsidR="00D75E9B" w:rsidRPr="004C5A75" w:rsidRDefault="00D75E9B" w:rsidP="00D75E9B">
      <w:pPr>
        <w:rPr>
          <w:rFonts w:ascii="Times New Roman" w:hAnsi="Times New Roman"/>
          <w:sz w:val="22"/>
          <w:szCs w:val="22"/>
          <w:u w:val="single"/>
          <w:lang w:val="lt-LT"/>
        </w:rPr>
      </w:pPr>
    </w:p>
    <w:p w14:paraId="17C17EB3"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sz w:val="22"/>
          <w:szCs w:val="22"/>
          <w:u w:val="single"/>
          <w:lang w:val="lt-LT"/>
        </w:rPr>
        <w:t>CYP3A4 inhibitoriai</w:t>
      </w:r>
    </w:p>
    <w:p w14:paraId="17C17EB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w:t>
      </w:r>
      <w:r w:rsidRPr="004C5A75">
        <w:rPr>
          <w:rFonts w:ascii="Times New Roman" w:hAnsi="Times New Roman"/>
          <w:sz w:val="22"/>
          <w:szCs w:val="22"/>
          <w:lang w:val="lt-LT"/>
        </w:rPr>
        <w:lastRenderedPageBreak/>
        <w:t>amlodipino ekspozicija</w:t>
      </w:r>
      <w:r w:rsidRPr="004C5A75">
        <w:rPr>
          <w:lang w:val="lt-LT"/>
        </w:rPr>
        <w:t xml:space="preserve"> </w:t>
      </w:r>
      <w:r w:rsidRPr="004C5A75">
        <w:rPr>
          <w:rFonts w:ascii="Times New Roman" w:hAnsi="Times New Roman"/>
          <w:sz w:val="22"/>
          <w:szCs w:val="22"/>
          <w:lang w:val="lt-LT"/>
        </w:rPr>
        <w:t>todėl gali padidėti hipotenzijos rizika. Klinikinė tokių farmakokinetikos (FK) pokyčių reikšmė gali būti didesnė senyviems pacientams, todėl rekomenduojama stebėti paciento klinikinę būklę ir prireikus keisti dozę.</w:t>
      </w:r>
    </w:p>
    <w:p w14:paraId="17C17EB5" w14:textId="77777777" w:rsidR="00D75E9B" w:rsidRPr="004C5A75" w:rsidRDefault="00D75E9B" w:rsidP="00D75E9B">
      <w:pPr>
        <w:rPr>
          <w:rFonts w:ascii="Times New Roman" w:hAnsi="Times New Roman"/>
          <w:sz w:val="22"/>
          <w:szCs w:val="22"/>
          <w:u w:val="single"/>
          <w:lang w:val="lt-LT"/>
        </w:rPr>
      </w:pPr>
    </w:p>
    <w:p w14:paraId="17C17EB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Klaritromicinas yra CYP3A4 inhibitorius. Skiriant klaritromiciną kartu su amlodipinu,</w:t>
      </w:r>
    </w:p>
    <w:p w14:paraId="17C17EB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pacientams padidėja hipotenzijos rizika. Rekomenduojama atidžiai stebėti pacientus,</w:t>
      </w:r>
    </w:p>
    <w:p w14:paraId="17C17EB8"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skiriant amlodipiną kartu su klaritromicinu.</w:t>
      </w:r>
    </w:p>
    <w:p w14:paraId="17C17EB9" w14:textId="77777777" w:rsidR="00D75E9B" w:rsidRPr="004C5A75" w:rsidRDefault="00D75E9B" w:rsidP="00D75E9B">
      <w:pPr>
        <w:rPr>
          <w:rFonts w:ascii="Times New Roman" w:hAnsi="Times New Roman"/>
          <w:sz w:val="22"/>
          <w:szCs w:val="22"/>
          <w:lang w:val="lt-LT"/>
        </w:rPr>
      </w:pPr>
    </w:p>
    <w:p w14:paraId="17C17EBA"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sz w:val="22"/>
          <w:szCs w:val="22"/>
          <w:u w:val="single"/>
          <w:lang w:val="lt-LT"/>
        </w:rPr>
        <w:t>CYP3A4 induktoriai</w:t>
      </w:r>
    </w:p>
    <w:p w14:paraId="17C17EBB" w14:textId="77777777" w:rsidR="0084699D" w:rsidRPr="00F55A7A" w:rsidRDefault="0084699D" w:rsidP="0084699D">
      <w:pPr>
        <w:autoSpaceDE w:val="0"/>
        <w:autoSpaceDN w:val="0"/>
        <w:adjustRightInd w:val="0"/>
        <w:rPr>
          <w:rFonts w:ascii="Times New Roman" w:eastAsia="Calibri" w:hAnsi="Times New Roman"/>
          <w:bCs/>
          <w:sz w:val="22"/>
          <w:szCs w:val="22"/>
          <w:lang w:val="lt-LT" w:eastAsia="lt-LT"/>
        </w:rPr>
      </w:pPr>
      <w:r w:rsidRPr="00F55A7A">
        <w:rPr>
          <w:rFonts w:ascii="Times New Roman" w:eastAsia="Calibri" w:hAnsi="Times New Roman"/>
          <w:bCs/>
          <w:sz w:val="22"/>
          <w:szCs w:val="22"/>
          <w:lang w:val="lt-LT" w:eastAsia="lt-LT"/>
        </w:rPr>
        <w:t>Kartu vartojant žinomų CYP3A4 induktorių, amlodipino koncentracija kraujo plazmoje gali</w:t>
      </w:r>
    </w:p>
    <w:p w14:paraId="17C17EBC" w14:textId="77777777" w:rsidR="0084699D" w:rsidRPr="00F55A7A" w:rsidRDefault="0084699D" w:rsidP="0084699D">
      <w:pPr>
        <w:autoSpaceDE w:val="0"/>
        <w:autoSpaceDN w:val="0"/>
        <w:adjustRightInd w:val="0"/>
        <w:rPr>
          <w:rFonts w:ascii="Times New Roman" w:eastAsia="Calibri" w:hAnsi="Times New Roman"/>
          <w:bCs/>
          <w:sz w:val="22"/>
          <w:szCs w:val="22"/>
          <w:lang w:val="lt-LT" w:eastAsia="lt-LT"/>
        </w:rPr>
      </w:pPr>
      <w:r w:rsidRPr="00F55A7A">
        <w:rPr>
          <w:rFonts w:ascii="Times New Roman" w:eastAsia="Calibri" w:hAnsi="Times New Roman"/>
          <w:bCs/>
          <w:sz w:val="22"/>
          <w:szCs w:val="22"/>
          <w:lang w:val="lt-LT" w:eastAsia="lt-LT"/>
        </w:rPr>
        <w:t>kisti, todėl reikia stebėti kraujospūdį ir įvertinti dozės koregavimo poreikį vartojant šių vaistinių</w:t>
      </w:r>
    </w:p>
    <w:p w14:paraId="17C17EBD" w14:textId="77777777" w:rsidR="0084699D" w:rsidRPr="00F55A7A" w:rsidRDefault="0084699D" w:rsidP="0084699D">
      <w:pPr>
        <w:autoSpaceDE w:val="0"/>
        <w:autoSpaceDN w:val="0"/>
        <w:adjustRightInd w:val="0"/>
        <w:rPr>
          <w:rFonts w:ascii="Times New Roman" w:eastAsia="Calibri" w:hAnsi="Times New Roman"/>
          <w:bCs/>
          <w:sz w:val="22"/>
          <w:szCs w:val="22"/>
          <w:lang w:val="lt-LT" w:eastAsia="lt-LT"/>
        </w:rPr>
      </w:pPr>
      <w:r w:rsidRPr="00F55A7A">
        <w:rPr>
          <w:rFonts w:ascii="Times New Roman" w:eastAsia="Calibri" w:hAnsi="Times New Roman"/>
          <w:bCs/>
          <w:sz w:val="22"/>
          <w:szCs w:val="22"/>
          <w:lang w:val="lt-LT" w:eastAsia="lt-LT"/>
        </w:rPr>
        <w:t>preparatų kartu ir po jų pavartojimo, ypač jeigu kartu vartojama stiprių CYP3A4 induktorių</w:t>
      </w:r>
    </w:p>
    <w:p w14:paraId="17C17EBE" w14:textId="77777777" w:rsidR="00D75E9B" w:rsidRPr="004C5A75" w:rsidRDefault="0084699D" w:rsidP="0084699D">
      <w:pPr>
        <w:rPr>
          <w:rFonts w:ascii="Times New Roman" w:hAnsi="Times New Roman"/>
          <w:sz w:val="22"/>
          <w:szCs w:val="22"/>
          <w:lang w:val="lt-LT"/>
        </w:rPr>
      </w:pPr>
      <w:r w:rsidRPr="00F55A7A">
        <w:rPr>
          <w:rFonts w:ascii="Times New Roman" w:eastAsia="Calibri" w:hAnsi="Times New Roman"/>
          <w:bCs/>
          <w:sz w:val="22"/>
          <w:szCs w:val="22"/>
          <w:lang w:val="lt-LT" w:eastAsia="lt-LT"/>
        </w:rPr>
        <w:t>(pvz., rifampicino ar paprastosios jonažolės [</w:t>
      </w:r>
      <w:r w:rsidRPr="00F55A7A">
        <w:rPr>
          <w:rFonts w:ascii="Times New Roman" w:eastAsia="Calibri" w:hAnsi="Times New Roman"/>
          <w:bCs/>
          <w:i/>
          <w:iCs/>
          <w:sz w:val="22"/>
          <w:szCs w:val="22"/>
          <w:lang w:val="lt-LT" w:eastAsia="lt-LT"/>
        </w:rPr>
        <w:t>Hypericum perforatum</w:t>
      </w:r>
      <w:r w:rsidRPr="00F55A7A">
        <w:rPr>
          <w:rFonts w:ascii="Times New Roman" w:eastAsia="Calibri" w:hAnsi="Times New Roman"/>
          <w:bCs/>
          <w:sz w:val="22"/>
          <w:szCs w:val="22"/>
          <w:lang w:val="lt-LT" w:eastAsia="lt-LT"/>
        </w:rPr>
        <w:t>] preparatų).</w:t>
      </w:r>
    </w:p>
    <w:p w14:paraId="17C17EBF" w14:textId="77777777" w:rsidR="00D75E9B" w:rsidRPr="004C5A75" w:rsidRDefault="00D75E9B" w:rsidP="00D75E9B">
      <w:pPr>
        <w:rPr>
          <w:rFonts w:ascii="Times New Roman" w:hAnsi="Times New Roman"/>
          <w:i/>
          <w:iCs/>
          <w:sz w:val="22"/>
          <w:szCs w:val="22"/>
          <w:lang w:val="lt-LT"/>
        </w:rPr>
      </w:pPr>
    </w:p>
    <w:p w14:paraId="17C17EC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Amlodipino nerekomenduojama vartoti kartu su greipfrutų sultimis, nes gali padidėti vaistinio preparato biologinis prieinamumas ir dėl to sustiprėti kraujospūdį mažinantis veikimas.</w:t>
      </w:r>
    </w:p>
    <w:p w14:paraId="17C17EC1" w14:textId="77777777" w:rsidR="00D75E9B" w:rsidRPr="004C5A75" w:rsidRDefault="00D75E9B" w:rsidP="00D75E9B">
      <w:pPr>
        <w:rPr>
          <w:rFonts w:ascii="Times New Roman" w:hAnsi="Times New Roman"/>
          <w:sz w:val="22"/>
          <w:szCs w:val="22"/>
          <w:lang w:val="lt-LT"/>
        </w:rPr>
      </w:pPr>
    </w:p>
    <w:p w14:paraId="17C17EC2"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sz w:val="22"/>
          <w:szCs w:val="22"/>
          <w:u w:val="single"/>
          <w:lang w:val="lt-LT"/>
        </w:rPr>
        <w:t>Dantrolenas (infuzija)</w:t>
      </w:r>
    </w:p>
    <w:p w14:paraId="17C17EC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Tyrimų su gyvūnais duomenimis, pavartojus verapamilio ir dantroleno į veną, pasireiškė su hiperkalemija susijęs mirtinas skilvelių virpėjimas ir ūminis kardiovaskulinis nepakankamumas. Dėl hiperkalemijos rizikos rekomenduojama vengti vartoti kalcio kanalų blokatorius (pvz., amlodipiną) pacientams, kuriems yra piktybinės hipertermijos rizika ir piktybinei hipertermijai gydyti.</w:t>
      </w:r>
    </w:p>
    <w:p w14:paraId="17C17EC4" w14:textId="77777777" w:rsidR="00D75E9B" w:rsidRPr="004C5A75" w:rsidRDefault="00D75E9B" w:rsidP="00D75E9B">
      <w:pPr>
        <w:outlineLvl w:val="0"/>
        <w:rPr>
          <w:rFonts w:ascii="Times New Roman" w:hAnsi="Times New Roman"/>
          <w:sz w:val="22"/>
          <w:szCs w:val="22"/>
          <w:u w:val="single"/>
          <w:lang w:val="lt-LT"/>
        </w:rPr>
      </w:pPr>
    </w:p>
    <w:p w14:paraId="17C17EC5" w14:textId="77777777" w:rsidR="00D75E9B" w:rsidRPr="004C5A75" w:rsidRDefault="00D75E9B" w:rsidP="00D75E9B">
      <w:pPr>
        <w:outlineLvl w:val="0"/>
        <w:rPr>
          <w:rFonts w:ascii="Times New Roman" w:hAnsi="Times New Roman"/>
          <w:sz w:val="22"/>
          <w:szCs w:val="22"/>
          <w:lang w:val="lt-LT"/>
        </w:rPr>
      </w:pPr>
      <w:r w:rsidRPr="004C5A75">
        <w:rPr>
          <w:rFonts w:ascii="Times New Roman" w:hAnsi="Times New Roman"/>
          <w:i/>
          <w:sz w:val="22"/>
          <w:szCs w:val="22"/>
          <w:u w:val="single"/>
          <w:lang w:val="lt-LT"/>
        </w:rPr>
        <w:t>Amlodipino poveikis kitiems vaistiniams preparatams</w:t>
      </w:r>
    </w:p>
    <w:p w14:paraId="17C17EC6" w14:textId="77777777" w:rsidR="00D75E9B" w:rsidRPr="004C5A75" w:rsidRDefault="00D75E9B" w:rsidP="00D75E9B">
      <w:pPr>
        <w:outlineLvl w:val="0"/>
        <w:rPr>
          <w:rFonts w:ascii="Times New Roman" w:hAnsi="Times New Roman"/>
          <w:sz w:val="22"/>
          <w:szCs w:val="22"/>
          <w:lang w:val="lt-LT"/>
        </w:rPr>
      </w:pPr>
      <w:r w:rsidRPr="004C5A75">
        <w:rPr>
          <w:rFonts w:ascii="Times New Roman" w:hAnsi="Times New Roman"/>
          <w:sz w:val="22"/>
          <w:szCs w:val="22"/>
          <w:lang w:val="lt-LT"/>
        </w:rPr>
        <w:t>Amlodipino kraujospūdį mažinantis veikimas prisideda prie kitų antihipertenzinių vaistinių preparatų kraujospūdį mažinančio veikimo.</w:t>
      </w:r>
    </w:p>
    <w:p w14:paraId="17C17EC7" w14:textId="77777777" w:rsidR="00D75E9B" w:rsidRPr="004C5A75" w:rsidRDefault="00D75E9B" w:rsidP="00D75E9B">
      <w:pPr>
        <w:rPr>
          <w:rFonts w:ascii="Times New Roman" w:hAnsi="Times New Roman"/>
          <w:sz w:val="22"/>
          <w:szCs w:val="22"/>
          <w:lang w:val="lt-LT"/>
        </w:rPr>
      </w:pPr>
    </w:p>
    <w:p w14:paraId="17C17EC8" w14:textId="77777777" w:rsidR="00D75E9B" w:rsidRPr="00C052A0" w:rsidRDefault="00D75E9B" w:rsidP="00D75E9B">
      <w:pPr>
        <w:rPr>
          <w:rFonts w:ascii="Times New Roman" w:hAnsi="Times New Roman"/>
          <w:sz w:val="22"/>
          <w:u w:val="single"/>
          <w:lang w:val="lt-LT"/>
        </w:rPr>
      </w:pPr>
      <w:r w:rsidRPr="00C052A0">
        <w:rPr>
          <w:rFonts w:ascii="Times New Roman" w:hAnsi="Times New Roman"/>
          <w:sz w:val="22"/>
          <w:u w:val="single"/>
          <w:lang w:val="lt-LT"/>
        </w:rPr>
        <w:t>Takrolimuzas</w:t>
      </w:r>
    </w:p>
    <w:p w14:paraId="17C17EC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14:paraId="17C17ECA" w14:textId="77777777" w:rsidR="00A935BF" w:rsidRPr="00C052A0" w:rsidRDefault="00A935BF" w:rsidP="00C052A0">
      <w:pPr>
        <w:tabs>
          <w:tab w:val="left" w:pos="-720"/>
          <w:tab w:val="left" w:pos="0"/>
          <w:tab w:val="left" w:pos="567"/>
        </w:tabs>
        <w:suppressAutoHyphens/>
        <w:spacing w:line="260" w:lineRule="exact"/>
        <w:ind w:hanging="11"/>
        <w:rPr>
          <w:rFonts w:ascii="Times New Roman" w:hAnsi="Times New Roman"/>
          <w:i/>
          <w:sz w:val="22"/>
          <w:lang w:val="lt-LT"/>
        </w:rPr>
      </w:pPr>
    </w:p>
    <w:p w14:paraId="17C17ECB" w14:textId="77777777" w:rsidR="00A935BF" w:rsidRPr="00A935BF" w:rsidRDefault="00A935BF" w:rsidP="00A935BF">
      <w:pPr>
        <w:tabs>
          <w:tab w:val="left" w:pos="-720"/>
          <w:tab w:val="left" w:pos="0"/>
          <w:tab w:val="left" w:pos="567"/>
        </w:tabs>
        <w:suppressAutoHyphens/>
        <w:spacing w:line="260" w:lineRule="exact"/>
        <w:ind w:hanging="11"/>
        <w:rPr>
          <w:rFonts w:ascii="Times New Roman" w:hAnsi="Times New Roman"/>
          <w:sz w:val="22"/>
          <w:szCs w:val="22"/>
          <w:u w:val="single"/>
          <w:lang w:val="lt-LT"/>
        </w:rPr>
      </w:pPr>
      <w:r w:rsidRPr="00A935BF">
        <w:rPr>
          <w:rFonts w:ascii="Times New Roman" w:hAnsi="Times New Roman"/>
          <w:sz w:val="22"/>
          <w:szCs w:val="22"/>
          <w:u w:val="single"/>
          <w:lang w:val="lt-LT"/>
        </w:rPr>
        <w:t xml:space="preserve">Žinduolių rapamicino taikinio o (angl. mTOR) inhibitoriai </w:t>
      </w:r>
    </w:p>
    <w:p w14:paraId="17C17ECC" w14:textId="77777777" w:rsidR="00A935BF" w:rsidRPr="00920F84" w:rsidRDefault="00A935BF" w:rsidP="00A935BF">
      <w:pPr>
        <w:tabs>
          <w:tab w:val="left" w:pos="567"/>
        </w:tabs>
        <w:spacing w:line="260" w:lineRule="exact"/>
        <w:rPr>
          <w:rFonts w:ascii="Times New Roman" w:hAnsi="Times New Roman"/>
          <w:sz w:val="22"/>
          <w:szCs w:val="22"/>
          <w:lang w:val="lt-LT"/>
        </w:rPr>
      </w:pPr>
      <w:r w:rsidRPr="00920F84">
        <w:rPr>
          <w:rFonts w:ascii="Times New Roman" w:hAnsi="Times New Roman"/>
          <w:sz w:val="22"/>
          <w:szCs w:val="22"/>
          <w:lang w:val="lt-LT"/>
        </w:rPr>
        <w:t>mTOR inhibitoriai, pvz., sirolimuzas, temsirolimuzas ir everolimuzas yra CYP3A substratai. Amlodipinas yra silpnas CYP3A inhibitorius. Amlodipinas, vartojamas kartu su mTOR inhibitoriais, gali padidinti mTOR inhibitorių ekspoziciją.</w:t>
      </w:r>
    </w:p>
    <w:p w14:paraId="17C17ECD" w14:textId="77777777" w:rsidR="00D75E9B" w:rsidRPr="004C5A75" w:rsidRDefault="00D75E9B" w:rsidP="00D75E9B">
      <w:pPr>
        <w:rPr>
          <w:rFonts w:ascii="Times New Roman" w:hAnsi="Times New Roman"/>
          <w:sz w:val="22"/>
          <w:szCs w:val="22"/>
          <w:lang w:val="lt-LT"/>
        </w:rPr>
      </w:pPr>
    </w:p>
    <w:p w14:paraId="17C17ECE" w14:textId="77777777" w:rsidR="00AE3680" w:rsidRPr="004C5A75" w:rsidRDefault="00D75E9B" w:rsidP="00D75E9B">
      <w:pPr>
        <w:rPr>
          <w:rFonts w:ascii="Times New Roman" w:hAnsi="Times New Roman"/>
          <w:sz w:val="22"/>
          <w:szCs w:val="22"/>
          <w:u w:val="single"/>
          <w:lang w:val="lt-LT"/>
        </w:rPr>
      </w:pPr>
      <w:r w:rsidRPr="0026536C">
        <w:rPr>
          <w:rFonts w:ascii="Times New Roman" w:hAnsi="Times New Roman"/>
          <w:sz w:val="22"/>
          <w:u w:val="single"/>
          <w:lang w:val="lt-LT"/>
        </w:rPr>
        <w:t xml:space="preserve">Ciklosporinas. </w:t>
      </w:r>
    </w:p>
    <w:p w14:paraId="17C17EC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17C17ED0" w14:textId="77777777" w:rsidR="00D75E9B" w:rsidRPr="004C5A75" w:rsidRDefault="00D75E9B" w:rsidP="00D75E9B">
      <w:pPr>
        <w:rPr>
          <w:rFonts w:ascii="Times New Roman" w:hAnsi="Times New Roman"/>
          <w:sz w:val="22"/>
          <w:szCs w:val="22"/>
          <w:lang w:val="lt-LT"/>
        </w:rPr>
      </w:pPr>
    </w:p>
    <w:p w14:paraId="17C17ED1"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sz w:val="22"/>
          <w:szCs w:val="22"/>
          <w:u w:val="single"/>
          <w:lang w:val="lt-LT"/>
        </w:rPr>
        <w:t>Simvastatinas</w:t>
      </w:r>
    </w:p>
    <w:p w14:paraId="17C17ED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Kartu vartojant 10 mg amlodipino ir 80 mg simvastatino kartotines dozes, simvastatino ekspozicija padidėjo 77%, palyginti su vien simvastatino vartojimu. Pacientams, vartojantiems amlodipiną, didžiausia simvastatino paros dozė yra 20 mg.</w:t>
      </w:r>
    </w:p>
    <w:p w14:paraId="17C17ED3" w14:textId="77777777" w:rsidR="00D75E9B" w:rsidRPr="004C5A75" w:rsidRDefault="00D75E9B" w:rsidP="00D75E9B">
      <w:pPr>
        <w:rPr>
          <w:rFonts w:ascii="Times New Roman" w:hAnsi="Times New Roman"/>
          <w:sz w:val="22"/>
          <w:szCs w:val="22"/>
          <w:lang w:val="lt-LT"/>
        </w:rPr>
      </w:pPr>
    </w:p>
    <w:p w14:paraId="17C17ED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Klinikinių sąveikos tyrimų duomenimis, amlodipinas neveikė atorvastatino, digoksino, varfarino farmakokinetikos.</w:t>
      </w:r>
    </w:p>
    <w:p w14:paraId="17C17ED5" w14:textId="77777777" w:rsidR="00D75E9B" w:rsidRPr="004C5A75" w:rsidRDefault="00D75E9B" w:rsidP="00D75E9B">
      <w:pPr>
        <w:ind w:left="540" w:hanging="540"/>
        <w:rPr>
          <w:rFonts w:ascii="Times New Roman" w:hAnsi="Times New Roman"/>
          <w:b/>
          <w:sz w:val="22"/>
          <w:lang w:val="lt-LT"/>
        </w:rPr>
      </w:pPr>
    </w:p>
    <w:p w14:paraId="17C17ED6"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
          <w:bCs/>
          <w:sz w:val="22"/>
          <w:szCs w:val="22"/>
          <w:lang w:val="lt-LT"/>
        </w:rPr>
        <w:t>4.6</w:t>
      </w:r>
      <w:r w:rsidRPr="004C5A75">
        <w:rPr>
          <w:rFonts w:ascii="Times New Roman" w:hAnsi="Times New Roman"/>
          <w:b/>
          <w:bCs/>
          <w:sz w:val="22"/>
          <w:szCs w:val="22"/>
          <w:lang w:val="lt-LT"/>
        </w:rPr>
        <w:tab/>
        <w:t>Vaisingumas, nėštumo ir žindymo laikotarpis</w:t>
      </w:r>
    </w:p>
    <w:p w14:paraId="17C17ED7" w14:textId="77777777" w:rsidR="00D75E9B" w:rsidRPr="004C5A75" w:rsidRDefault="00D75E9B" w:rsidP="00D75E9B">
      <w:pPr>
        <w:rPr>
          <w:rFonts w:ascii="Times New Roman" w:hAnsi="Times New Roman"/>
          <w:i/>
          <w:iCs/>
          <w:sz w:val="22"/>
          <w:szCs w:val="22"/>
          <w:u w:val="single"/>
          <w:lang w:val="lt-LT"/>
        </w:rPr>
      </w:pPr>
    </w:p>
    <w:p w14:paraId="17C17ED8" w14:textId="77777777" w:rsidR="00D75E9B" w:rsidRPr="004C5A75" w:rsidRDefault="00D75E9B" w:rsidP="00D75E9B">
      <w:pPr>
        <w:rPr>
          <w:rFonts w:ascii="Times New Roman" w:hAnsi="Times New Roman"/>
          <w:iCs/>
          <w:sz w:val="22"/>
          <w:szCs w:val="22"/>
          <w:u w:val="single"/>
          <w:lang w:val="lt-LT"/>
        </w:rPr>
      </w:pPr>
      <w:r w:rsidRPr="004C5A75">
        <w:rPr>
          <w:rFonts w:ascii="Times New Roman" w:hAnsi="Times New Roman"/>
          <w:iCs/>
          <w:sz w:val="22"/>
          <w:szCs w:val="22"/>
          <w:u w:val="single"/>
          <w:lang w:val="lt-LT"/>
        </w:rPr>
        <w:t>Nėštumas</w:t>
      </w:r>
    </w:p>
    <w:p w14:paraId="17C17ED9" w14:textId="77777777" w:rsidR="00D75E9B" w:rsidRPr="004C5A75" w:rsidRDefault="00D75E9B" w:rsidP="00D75E9B">
      <w:pPr>
        <w:pBdr>
          <w:top w:val="single" w:sz="4" w:space="1" w:color="auto"/>
          <w:left w:val="single" w:sz="4" w:space="4" w:color="auto"/>
          <w:bottom w:val="single" w:sz="4" w:space="1" w:color="auto"/>
          <w:right w:val="single" w:sz="4" w:space="4" w:color="auto"/>
        </w:pBdr>
        <w:tabs>
          <w:tab w:val="left" w:pos="288"/>
          <w:tab w:val="left" w:pos="432"/>
        </w:tabs>
        <w:rPr>
          <w:rFonts w:ascii="Times New Roman" w:hAnsi="Times New Roman"/>
          <w:sz w:val="22"/>
          <w:szCs w:val="22"/>
          <w:lang w:val="lt-LT"/>
        </w:rPr>
      </w:pPr>
      <w:r w:rsidRPr="004C5A75">
        <w:rPr>
          <w:rFonts w:ascii="Times New Roman" w:hAnsi="Times New Roman"/>
          <w:bCs/>
          <w:sz w:val="22"/>
          <w:szCs w:val="22"/>
          <w:lang w:val="lt-LT"/>
        </w:rPr>
        <w:lastRenderedPageBreak/>
        <w:t xml:space="preserve">DIRONORM </w:t>
      </w:r>
      <w:r w:rsidRPr="004C5A75">
        <w:rPr>
          <w:rFonts w:ascii="Times New Roman" w:hAnsi="Times New Roman"/>
          <w:sz w:val="22"/>
          <w:szCs w:val="22"/>
          <w:lang w:val="lt-LT"/>
        </w:rPr>
        <w:t xml:space="preserve">nerekomenduojama vartoti pirmojo nėštumo trimestro metu, draudžiama jo vartoti antrojo ir trečiojo nėštumo trimestro metu. </w:t>
      </w:r>
    </w:p>
    <w:p w14:paraId="17C17EDA" w14:textId="77777777" w:rsidR="00D75E9B" w:rsidRPr="004C5A75" w:rsidRDefault="00D75E9B" w:rsidP="00D75E9B">
      <w:pPr>
        <w:tabs>
          <w:tab w:val="left" w:pos="288"/>
          <w:tab w:val="left" w:pos="432"/>
        </w:tabs>
        <w:rPr>
          <w:rFonts w:ascii="Times New Roman" w:hAnsi="Times New Roman"/>
          <w:sz w:val="22"/>
          <w:szCs w:val="22"/>
          <w:lang w:val="lt-LT"/>
        </w:rPr>
      </w:pPr>
    </w:p>
    <w:p w14:paraId="17C17EDB" w14:textId="77777777" w:rsidR="00D75E9B" w:rsidRPr="004C5A75" w:rsidRDefault="00D75E9B" w:rsidP="00D75E9B">
      <w:pP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t>Tinkamai kontroliuojamų klinikinių tyrimų duomenų apie lizinoprilio ir amlodipino vartojimą nėštumo metu neturima. Tačiau, ir vienos, ir kitos veikliosios medžiagos nėštumo metu vartoti nerekomenduojama arba draudžiama (smulkesnė informacija apie kiekvieną veikliąją medžiagą pateikta žemiau).</w:t>
      </w:r>
    </w:p>
    <w:p w14:paraId="17C17EDC" w14:textId="77777777" w:rsidR="00D75E9B" w:rsidRPr="004C5A75" w:rsidRDefault="00D75E9B" w:rsidP="00D75E9B">
      <w:pPr>
        <w:tabs>
          <w:tab w:val="left" w:pos="288"/>
          <w:tab w:val="left" w:pos="432"/>
        </w:tabs>
        <w:rPr>
          <w:rFonts w:ascii="Times New Roman" w:hAnsi="Times New Roman"/>
          <w:sz w:val="22"/>
          <w:szCs w:val="22"/>
          <w:lang w:val="lt-LT"/>
        </w:rPr>
      </w:pPr>
    </w:p>
    <w:p w14:paraId="17C17EDD" w14:textId="77777777" w:rsidR="00D75E9B" w:rsidRPr="004C5A75" w:rsidRDefault="00D75E9B" w:rsidP="00D75E9B">
      <w:pP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t>Nustačius nėštumą, gydymą DIRONORM būtina nedelsiant nutraukti ir jei reikia, pradėti gydymą kitais antihipertenziniais preparatais (žr. 4.4 skyrių).</w:t>
      </w:r>
    </w:p>
    <w:p w14:paraId="17C17EDE" w14:textId="77777777" w:rsidR="00D75E9B" w:rsidRPr="004C5A75" w:rsidRDefault="00D75E9B" w:rsidP="00D75E9B">
      <w:pPr>
        <w:tabs>
          <w:tab w:val="left" w:pos="288"/>
          <w:tab w:val="left" w:pos="432"/>
        </w:tabs>
        <w:rPr>
          <w:rFonts w:ascii="Times New Roman" w:hAnsi="Times New Roman"/>
          <w:sz w:val="22"/>
          <w:szCs w:val="22"/>
          <w:lang w:val="lt-LT"/>
        </w:rPr>
      </w:pPr>
    </w:p>
    <w:p w14:paraId="17C17EDF" w14:textId="77777777" w:rsidR="00D75E9B" w:rsidRPr="004C5A75" w:rsidRDefault="00D75E9B" w:rsidP="00D75E9B">
      <w:pP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t>Gydymo DIRONORM negalima pradėti nėštumo metu. Net jei gydymą DIRONORM būtina tęsti, moterims, planuojančioms pastoti, gydymą reikia keisti kitais antihipertenziniais preparatais, kurių saugumas nėštumo metu yra patvirtintas.</w:t>
      </w:r>
    </w:p>
    <w:p w14:paraId="17C17EE0" w14:textId="77777777" w:rsidR="00D75E9B" w:rsidRPr="004C5A75" w:rsidRDefault="00D75E9B" w:rsidP="00D75E9B">
      <w:pPr>
        <w:tabs>
          <w:tab w:val="left" w:pos="288"/>
          <w:tab w:val="left" w:pos="432"/>
        </w:tabs>
        <w:rPr>
          <w:rFonts w:ascii="Times New Roman" w:hAnsi="Times New Roman"/>
          <w:sz w:val="22"/>
          <w:szCs w:val="22"/>
          <w:lang w:val="lt-LT"/>
        </w:rPr>
      </w:pPr>
    </w:p>
    <w:p w14:paraId="17C17EE1" w14:textId="77777777" w:rsidR="00D75E9B" w:rsidRPr="004C5A75" w:rsidRDefault="00D75E9B" w:rsidP="00D75E9B">
      <w:pPr>
        <w:tabs>
          <w:tab w:val="left" w:pos="288"/>
          <w:tab w:val="left" w:pos="432"/>
        </w:tabs>
        <w:rPr>
          <w:rFonts w:ascii="Times New Roman" w:hAnsi="Times New Roman"/>
          <w:i/>
          <w:sz w:val="22"/>
          <w:szCs w:val="22"/>
          <w:lang w:val="lt-LT"/>
        </w:rPr>
      </w:pPr>
      <w:r w:rsidRPr="004C5A75">
        <w:rPr>
          <w:rFonts w:ascii="Times New Roman" w:hAnsi="Times New Roman"/>
          <w:i/>
          <w:sz w:val="22"/>
          <w:szCs w:val="22"/>
          <w:lang w:val="lt-LT"/>
        </w:rPr>
        <w:t>Susiję su lizinopriliu</w:t>
      </w:r>
    </w:p>
    <w:p w14:paraId="17C17EE2" w14:textId="77777777" w:rsidR="00D75E9B" w:rsidRPr="004C5A75" w:rsidRDefault="00D75E9B" w:rsidP="00D75E9B">
      <w:pPr>
        <w:pBdr>
          <w:top w:val="single" w:sz="4" w:space="1" w:color="auto"/>
          <w:left w:val="single" w:sz="4" w:space="4" w:color="auto"/>
          <w:bottom w:val="single" w:sz="4" w:space="1" w:color="auto"/>
          <w:right w:val="single" w:sz="4" w:space="4" w:color="auto"/>
        </w:pBd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t>AKFI nerekomenduojama vartoti pirmojo nėštumo trimestro metu (žr. 4.4 skyrių). AKFI draudžiama vartoti antrojo ir trečiojo nėštumo trimestro metu (žr. 4.3 ir 4.4 skyrius).</w:t>
      </w:r>
    </w:p>
    <w:p w14:paraId="17C17EE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17C17EE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17C17EE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Jeigu moteris nuo antrojo nėštumo trimestro vartojo AKF inhibitorių, reikia ultragarsu sekti vaisiaus inkstų funkciją ir kaukolę.</w:t>
      </w:r>
    </w:p>
    <w:p w14:paraId="17C17EE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Reikia atidžiai sekti, ar naujagimiams, kurių motinos nėštumo metu vartojo AKF inhibitorių, nepasireiškia hipotenzija (žr. 4.3 ir 4.4 skyrius). </w:t>
      </w:r>
    </w:p>
    <w:p w14:paraId="17C17EE7" w14:textId="77777777" w:rsidR="00D75E9B" w:rsidRPr="004C5A75" w:rsidRDefault="00D75E9B" w:rsidP="00D75E9B">
      <w:pPr>
        <w:tabs>
          <w:tab w:val="left" w:pos="288"/>
          <w:tab w:val="left" w:pos="432"/>
        </w:tabs>
        <w:rPr>
          <w:rFonts w:ascii="Times New Roman" w:hAnsi="Times New Roman"/>
          <w:i/>
          <w:sz w:val="22"/>
          <w:szCs w:val="22"/>
          <w:lang w:val="lt-LT"/>
        </w:rPr>
      </w:pPr>
    </w:p>
    <w:p w14:paraId="17C17EE8" w14:textId="77777777" w:rsidR="00D75E9B" w:rsidRPr="004C5A75" w:rsidRDefault="00D75E9B" w:rsidP="00D75E9B">
      <w:pPr>
        <w:tabs>
          <w:tab w:val="left" w:pos="288"/>
          <w:tab w:val="left" w:pos="432"/>
        </w:tabs>
        <w:rPr>
          <w:rFonts w:ascii="Times New Roman" w:hAnsi="Times New Roman"/>
          <w:i/>
          <w:sz w:val="22"/>
          <w:szCs w:val="22"/>
          <w:lang w:val="lt-LT"/>
        </w:rPr>
      </w:pPr>
      <w:r w:rsidRPr="004C5A75">
        <w:rPr>
          <w:rFonts w:ascii="Times New Roman" w:hAnsi="Times New Roman"/>
          <w:i/>
          <w:sz w:val="22"/>
          <w:szCs w:val="22"/>
          <w:lang w:val="lt-LT"/>
        </w:rPr>
        <w:t>Susiję su amlodipinu</w:t>
      </w:r>
    </w:p>
    <w:p w14:paraId="17C17EE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Amlodipino vartojimo moterų nėštumo metu saugumas nebuvo nustatytas.</w:t>
      </w:r>
    </w:p>
    <w:p w14:paraId="17C17EE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Su gyvūnais atlikti tyrimai parodė toksinį poveikį reprodukcijai vartojant dideles vaistinio preparato dozes (žr. 5.3 skyrių).</w:t>
      </w:r>
    </w:p>
    <w:p w14:paraId="17C17EEB"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Nėštumo metu rekomenduojama skirti tik tada, kai nėra kito saugesnio gydymo arba kai pati liga kelia didesnę riziką motinai ir vaisiui.</w:t>
      </w:r>
    </w:p>
    <w:p w14:paraId="17C17EEC" w14:textId="77777777" w:rsidR="00D75E9B" w:rsidRPr="004C5A75" w:rsidRDefault="00D75E9B" w:rsidP="00D75E9B">
      <w:pPr>
        <w:rPr>
          <w:rFonts w:ascii="Times New Roman" w:hAnsi="Times New Roman"/>
          <w:iCs/>
          <w:sz w:val="22"/>
          <w:szCs w:val="22"/>
          <w:u w:val="single"/>
          <w:lang w:val="lt-LT"/>
        </w:rPr>
      </w:pPr>
    </w:p>
    <w:p w14:paraId="17C17EED" w14:textId="77777777" w:rsidR="00D75E9B" w:rsidRPr="004C5A75" w:rsidRDefault="00D75E9B" w:rsidP="00D75E9B">
      <w:pPr>
        <w:rPr>
          <w:rFonts w:ascii="Times New Roman" w:hAnsi="Times New Roman"/>
          <w:iCs/>
          <w:sz w:val="22"/>
          <w:szCs w:val="22"/>
          <w:u w:val="single"/>
          <w:lang w:val="lt-LT"/>
        </w:rPr>
      </w:pPr>
      <w:r w:rsidRPr="004C5A75">
        <w:rPr>
          <w:rFonts w:ascii="Times New Roman" w:hAnsi="Times New Roman"/>
          <w:iCs/>
          <w:sz w:val="22"/>
          <w:szCs w:val="22"/>
          <w:u w:val="single"/>
          <w:lang w:val="lt-LT"/>
        </w:rPr>
        <w:t>Žindymas</w:t>
      </w:r>
    </w:p>
    <w:p w14:paraId="17C17EEE" w14:textId="77777777" w:rsidR="00D75E9B" w:rsidRPr="004C5A75" w:rsidRDefault="0084699D" w:rsidP="0084699D">
      <w:pPr>
        <w:rPr>
          <w:rFonts w:ascii="Times New Roman" w:hAnsi="Times New Roman"/>
          <w:sz w:val="22"/>
          <w:szCs w:val="22"/>
          <w:lang w:val="lt-LT"/>
        </w:rPr>
      </w:pPr>
      <w:r>
        <w:rPr>
          <w:rFonts w:ascii="Times New Roman" w:hAnsi="Times New Roman"/>
          <w:sz w:val="22"/>
          <w:szCs w:val="22"/>
          <w:lang w:val="lt-LT"/>
        </w:rPr>
        <w:t>N</w:t>
      </w:r>
      <w:r w:rsidRPr="00835479">
        <w:rPr>
          <w:rFonts w:ascii="Times New Roman" w:hAnsi="Times New Roman"/>
          <w:sz w:val="22"/>
          <w:szCs w:val="22"/>
          <w:lang w:val="lt-LT"/>
        </w:rPr>
        <w:t>ėra informacijos apie lizinoprilio vartojimą žindymo metu</w:t>
      </w:r>
      <w:r>
        <w:rPr>
          <w:rFonts w:ascii="Times New Roman" w:hAnsi="Times New Roman"/>
          <w:sz w:val="22"/>
          <w:szCs w:val="22"/>
          <w:lang w:val="lt-LT"/>
        </w:rPr>
        <w:t>.</w:t>
      </w:r>
      <w:r w:rsidRPr="00835479">
        <w:rPr>
          <w:rFonts w:ascii="Times New Roman" w:hAnsi="Times New Roman"/>
          <w:sz w:val="22"/>
          <w:szCs w:val="22"/>
          <w:lang w:val="lt-LT"/>
        </w:rPr>
        <w:t xml:space="preserve"> </w:t>
      </w:r>
      <w:r w:rsidRPr="00F55A7A">
        <w:rPr>
          <w:rFonts w:ascii="TimesNewRoman,Bold" w:eastAsia="Calibri" w:hAnsi="TimesNewRoman,Bold" w:cs="TimesNewRoman,Bold"/>
          <w:bCs/>
          <w:sz w:val="22"/>
          <w:szCs w:val="22"/>
          <w:lang w:val="lt-LT" w:eastAsia="lt-LT"/>
        </w:rPr>
        <w:t>Amlodipinas išsiskiria į motinos pieną. Apskaičiuota motinos suvartotos dozės dalis, kurią gauna</w:t>
      </w:r>
      <w:r>
        <w:rPr>
          <w:rFonts w:ascii="TimesNewRoman,Bold" w:eastAsia="Calibri" w:hAnsi="TimesNewRoman,Bold" w:cs="TimesNewRoman,Bold"/>
          <w:bCs/>
          <w:sz w:val="22"/>
          <w:szCs w:val="22"/>
          <w:lang w:val="lt-LT" w:eastAsia="lt-LT"/>
        </w:rPr>
        <w:t xml:space="preserve"> </w:t>
      </w:r>
      <w:r w:rsidRPr="00F55A7A">
        <w:rPr>
          <w:rFonts w:ascii="TimesNewRoman,Bold" w:eastAsia="Calibri" w:hAnsi="TimesNewRoman,Bold" w:cs="TimesNewRoman,Bold"/>
          <w:bCs/>
          <w:sz w:val="22"/>
          <w:szCs w:val="22"/>
          <w:lang w:val="lt-LT" w:eastAsia="lt-LT"/>
        </w:rPr>
        <w:t>kūdikis, atitinka 3–7 % intervalą tarp kvartilių, o maksimalią dozę sudaro 15 %. Amlodipino</w:t>
      </w:r>
      <w:r>
        <w:rPr>
          <w:rFonts w:ascii="TimesNewRoman,Bold" w:eastAsia="Calibri" w:hAnsi="TimesNewRoman,Bold" w:cs="TimesNewRoman,Bold"/>
          <w:bCs/>
          <w:sz w:val="22"/>
          <w:szCs w:val="22"/>
          <w:lang w:val="lt-LT" w:eastAsia="lt-LT"/>
        </w:rPr>
        <w:t xml:space="preserve"> </w:t>
      </w:r>
      <w:r w:rsidRPr="00F55A7A">
        <w:rPr>
          <w:rFonts w:ascii="TimesNewRoman,Bold" w:eastAsia="Calibri" w:hAnsi="TimesNewRoman,Bold" w:cs="TimesNewRoman,Bold"/>
          <w:bCs/>
          <w:sz w:val="22"/>
          <w:szCs w:val="22"/>
          <w:lang w:val="lt-LT" w:eastAsia="lt-LT"/>
        </w:rPr>
        <w:t>poveikis kūdikiams nežinomas</w:t>
      </w:r>
      <w:r w:rsidR="00D75E9B" w:rsidRPr="004C5A75">
        <w:rPr>
          <w:rFonts w:ascii="Times New Roman" w:hAnsi="Times New Roman"/>
          <w:sz w:val="22"/>
          <w:szCs w:val="22"/>
          <w:lang w:val="lt-LT"/>
        </w:rPr>
        <w:t>.</w:t>
      </w:r>
    </w:p>
    <w:p w14:paraId="17C17EEF" w14:textId="77777777" w:rsidR="004E746C" w:rsidRPr="00835479" w:rsidRDefault="004E746C" w:rsidP="004E746C">
      <w:pPr>
        <w:rPr>
          <w:rFonts w:ascii="Times New Roman" w:hAnsi="Times New Roman"/>
          <w:sz w:val="22"/>
          <w:szCs w:val="22"/>
          <w:lang w:val="lt-LT"/>
        </w:rPr>
      </w:pPr>
      <w:r w:rsidRPr="002F7C59">
        <w:rPr>
          <w:rFonts w:ascii="Times New Roman" w:hAnsi="Times New Roman"/>
          <w:sz w:val="22"/>
          <w:szCs w:val="22"/>
          <w:lang w:val="lt-LT"/>
        </w:rPr>
        <w:t>DIRONORM</w:t>
      </w:r>
      <w:r w:rsidRPr="002F7C59">
        <w:rPr>
          <w:rFonts w:ascii="Times New Roman" w:hAnsi="Times New Roman"/>
          <w:i/>
          <w:sz w:val="22"/>
          <w:szCs w:val="22"/>
          <w:lang w:val="lt-LT"/>
        </w:rPr>
        <w:t xml:space="preserve"> </w:t>
      </w:r>
      <w:r w:rsidRPr="002F7C59">
        <w:rPr>
          <w:rFonts w:ascii="Times New Roman" w:hAnsi="Times New Roman"/>
          <w:sz w:val="22"/>
          <w:szCs w:val="22"/>
          <w:lang w:val="lt-LT"/>
        </w:rPr>
        <w:t>yra nerekomenduojamas, ir alternatyvus gydymas vaistu, geriau ištirtu dėl saugumo žindymo metu yra tinkamesnis, ypač žindant naujagimius bei prieš laiką gimusius kūdikius.</w:t>
      </w:r>
    </w:p>
    <w:p w14:paraId="17C17EF0" w14:textId="77777777" w:rsidR="00D75E9B" w:rsidRPr="004C5A75" w:rsidRDefault="00D75E9B" w:rsidP="00D75E9B">
      <w:pPr>
        <w:rPr>
          <w:rFonts w:ascii="Times New Roman" w:hAnsi="Times New Roman"/>
          <w:sz w:val="22"/>
          <w:szCs w:val="22"/>
          <w:lang w:val="lt-LT"/>
        </w:rPr>
      </w:pPr>
    </w:p>
    <w:p w14:paraId="17C17EF1"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sz w:val="22"/>
          <w:szCs w:val="22"/>
          <w:u w:val="single"/>
          <w:lang w:val="lt-LT"/>
        </w:rPr>
        <w:t xml:space="preserve">Vaisingumas </w:t>
      </w:r>
    </w:p>
    <w:p w14:paraId="17C17EF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Tinkamai kontroliuojamų klinikinių tyrimų duomenų apie lizinoprilio ir amlodipino poveikį vaisingumui neturima.</w:t>
      </w:r>
    </w:p>
    <w:p w14:paraId="17C17EF3" w14:textId="77777777" w:rsidR="00D75E9B" w:rsidRPr="004C5A75" w:rsidRDefault="00D75E9B" w:rsidP="00D75E9B">
      <w:pPr>
        <w:rPr>
          <w:rFonts w:ascii="Times New Roman" w:hAnsi="Times New Roman"/>
          <w:sz w:val="22"/>
          <w:szCs w:val="22"/>
          <w:lang w:val="lt-LT"/>
        </w:rPr>
      </w:pPr>
    </w:p>
    <w:p w14:paraId="17C17EF4" w14:textId="77777777" w:rsidR="00D75E9B" w:rsidRPr="004C5A75" w:rsidRDefault="00D75E9B" w:rsidP="00D75E9B">
      <w:pPr>
        <w:rPr>
          <w:rFonts w:ascii="Times New Roman" w:hAnsi="Times New Roman"/>
          <w:i/>
          <w:iCs/>
          <w:sz w:val="22"/>
          <w:szCs w:val="22"/>
          <w:u w:val="single"/>
          <w:lang w:val="lt-LT"/>
        </w:rPr>
      </w:pPr>
      <w:r w:rsidRPr="004C5A75">
        <w:rPr>
          <w:rFonts w:ascii="Times New Roman" w:hAnsi="Times New Roman"/>
          <w:i/>
          <w:iCs/>
          <w:sz w:val="22"/>
          <w:szCs w:val="22"/>
          <w:u w:val="single"/>
          <w:lang w:val="lt-LT"/>
        </w:rPr>
        <w:t>Susiję su amlodipinu</w:t>
      </w:r>
    </w:p>
    <w:p w14:paraId="17C17EF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Buvo pranešta apie kai kurių kalcio kanalų blokatoriais gydomų vyrų spermatozoidų galvutės biocheminius pokyčius. Nepakanka klinikinių duomenų, kad būtų galima nustatyti amlodipino įtaką vaisingumui. Vieno tyrimo su žiurkėmis metu nustatytas nepageidaujamas poveikis vyrų vaisingumui (žr. 5.3 skyrių).</w:t>
      </w:r>
    </w:p>
    <w:p w14:paraId="17C17EF6" w14:textId="77777777" w:rsidR="00D75E9B" w:rsidRPr="004C5A75" w:rsidRDefault="00D75E9B" w:rsidP="00D75E9B">
      <w:pPr>
        <w:rPr>
          <w:rFonts w:ascii="Times New Roman" w:hAnsi="Times New Roman"/>
          <w:sz w:val="22"/>
          <w:szCs w:val="22"/>
          <w:lang w:val="lt-LT"/>
        </w:rPr>
      </w:pPr>
    </w:p>
    <w:p w14:paraId="17C17EF7"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
          <w:bCs/>
          <w:sz w:val="22"/>
          <w:szCs w:val="22"/>
          <w:lang w:val="lt-LT"/>
        </w:rPr>
        <w:t>4.7</w:t>
      </w:r>
      <w:r w:rsidRPr="004C5A75">
        <w:rPr>
          <w:rFonts w:ascii="Times New Roman" w:hAnsi="Times New Roman"/>
          <w:b/>
          <w:bCs/>
          <w:sz w:val="22"/>
          <w:szCs w:val="22"/>
          <w:lang w:val="lt-LT"/>
        </w:rPr>
        <w:tab/>
        <w:t>Poveikis gebėjimui vairuoti ir valdyti mechanizmus</w:t>
      </w:r>
    </w:p>
    <w:p w14:paraId="17C17EF8" w14:textId="77777777" w:rsidR="00D75E9B" w:rsidRPr="004C5A75" w:rsidRDefault="00D75E9B" w:rsidP="00D75E9B">
      <w:pPr>
        <w:rPr>
          <w:rFonts w:ascii="Times New Roman" w:hAnsi="Times New Roman"/>
          <w:i/>
          <w:sz w:val="22"/>
          <w:szCs w:val="22"/>
          <w:lang w:val="lt-LT"/>
        </w:rPr>
      </w:pPr>
    </w:p>
    <w:p w14:paraId="17C17EF9"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Susiję su lizinopriliu</w:t>
      </w:r>
    </w:p>
    <w:p w14:paraId="17C17EF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Vairuojant ir valdant mechanizmus, reikia turėti omenyje, kad retkarčiais gali atsirasti svaigulys ir nuovargis.</w:t>
      </w:r>
    </w:p>
    <w:p w14:paraId="17C17EFB" w14:textId="77777777" w:rsidR="00D75E9B" w:rsidRPr="004C5A75" w:rsidRDefault="00D75E9B" w:rsidP="00D75E9B">
      <w:pPr>
        <w:rPr>
          <w:rFonts w:ascii="Times New Roman" w:hAnsi="Times New Roman"/>
          <w:sz w:val="22"/>
          <w:szCs w:val="22"/>
          <w:lang w:val="lt-LT"/>
        </w:rPr>
      </w:pPr>
    </w:p>
    <w:p w14:paraId="17C17EFC"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Susiję su amlodipinu</w:t>
      </w:r>
    </w:p>
    <w:p w14:paraId="17C17EF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Amlodipinas gebėjimą vairuoti ir valdyti mechanizmus veikia silpnai arba vidutiniškai. Jeigu pacientams, vartojantiems amlodipiną, pasireiškia svaigulys, galvos skausmas, nuovargis ar pykinimas, gali sutrikti gebėjimas greitai reaguoti, todėl rekomenduojama būti atsargiems, ypač gydymo pradžioje.</w:t>
      </w:r>
    </w:p>
    <w:p w14:paraId="17C17EFE" w14:textId="77777777" w:rsidR="00D75E9B" w:rsidRPr="004C5A75" w:rsidRDefault="00D75E9B" w:rsidP="00D75E9B">
      <w:pPr>
        <w:rPr>
          <w:rFonts w:ascii="Times New Roman" w:hAnsi="Times New Roman"/>
          <w:sz w:val="22"/>
          <w:szCs w:val="22"/>
          <w:lang w:val="lt-LT"/>
        </w:rPr>
      </w:pPr>
    </w:p>
    <w:p w14:paraId="17C17EF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Todėl DIRONORM gali daryti įtaką gebėjimui vairuoti ir valdyti mechanizmus, ypač gydymo pradžioje.</w:t>
      </w:r>
    </w:p>
    <w:p w14:paraId="17C17F00" w14:textId="77777777" w:rsidR="00D75E9B" w:rsidRPr="004C5A75" w:rsidRDefault="00D75E9B" w:rsidP="00D75E9B">
      <w:pPr>
        <w:rPr>
          <w:rFonts w:ascii="Times New Roman" w:hAnsi="Times New Roman"/>
          <w:sz w:val="22"/>
          <w:szCs w:val="22"/>
          <w:lang w:val="lt-LT"/>
        </w:rPr>
      </w:pPr>
    </w:p>
    <w:p w14:paraId="17C17F01" w14:textId="77777777" w:rsidR="00D75E9B" w:rsidRPr="004C5A75" w:rsidRDefault="00D75E9B" w:rsidP="00D75E9B">
      <w:pPr>
        <w:numPr>
          <w:ilvl w:val="1"/>
          <w:numId w:val="12"/>
        </w:numPr>
        <w:ind w:left="0" w:firstLine="0"/>
        <w:rPr>
          <w:rFonts w:ascii="Times New Roman" w:hAnsi="Times New Roman"/>
          <w:b/>
          <w:bCs/>
          <w:sz w:val="22"/>
          <w:szCs w:val="22"/>
          <w:lang w:val="lt-LT"/>
        </w:rPr>
      </w:pPr>
      <w:r w:rsidRPr="004C5A75">
        <w:rPr>
          <w:rFonts w:ascii="Times New Roman" w:hAnsi="Times New Roman"/>
          <w:b/>
          <w:bCs/>
          <w:sz w:val="22"/>
          <w:szCs w:val="22"/>
          <w:lang w:val="lt-LT"/>
        </w:rPr>
        <w:t>Nepageidaujamas poveikis</w:t>
      </w:r>
    </w:p>
    <w:p w14:paraId="17C17F02" w14:textId="77777777" w:rsidR="00D75E9B" w:rsidRPr="004C5A75" w:rsidRDefault="00D75E9B" w:rsidP="00D75E9B">
      <w:pPr>
        <w:rPr>
          <w:rFonts w:ascii="Times New Roman" w:hAnsi="Times New Roman"/>
          <w:sz w:val="22"/>
          <w:szCs w:val="22"/>
          <w:lang w:val="lt-LT"/>
        </w:rPr>
      </w:pPr>
    </w:p>
    <w:p w14:paraId="17C17F0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Kontroliuojamų klinikinių tyrimų metu (n=195) nepageidaujamų reakcijų dažnis nebuvo didesnis pacientams, gaunantiems dvi veikliąsias medžiagas kartu, nei pacientams, gydomiems monoterapija. Nepageidaujami poveikiai buvo tokie patys kaip ir anksčiau nustatyta vartojant amlodipiną ir (arba) lizinoprilį. Nepageidaujamos reakcijos dažniausiai buvo lengvos, laikinos ir retai sąlygojančios gydymo DIRONORM nutraukimą. Dažniausi nepageidaujami poveikiai buvo galvos skausmas (8%), kosulys (5%) ir galvos svaigimas (3%).</w:t>
      </w:r>
    </w:p>
    <w:p w14:paraId="17C17F04" w14:textId="77777777" w:rsidR="00D75E9B" w:rsidRPr="004C5A75" w:rsidRDefault="00D75E9B" w:rsidP="00D75E9B">
      <w:pPr>
        <w:pStyle w:val="Dokumentoinaostekstas"/>
        <w:rPr>
          <w:snapToGrid w:val="0"/>
          <w:szCs w:val="22"/>
          <w:lang w:val="lt-LT" w:eastAsia="lt-LT"/>
        </w:rPr>
      </w:pPr>
    </w:p>
    <w:p w14:paraId="17C17F05" w14:textId="77777777" w:rsidR="00D75E9B" w:rsidRPr="004C5A75" w:rsidRDefault="00D75E9B" w:rsidP="00D75E9B">
      <w:pPr>
        <w:pStyle w:val="Dokumentoinaostekstas"/>
        <w:rPr>
          <w:szCs w:val="22"/>
          <w:lang w:val="lt-LT"/>
        </w:rPr>
      </w:pPr>
      <w:r w:rsidRPr="004C5A75">
        <w:rPr>
          <w:szCs w:val="22"/>
          <w:lang w:val="lt-LT"/>
        </w:rPr>
        <w:t>Nepageidaujamo poveikio dažnis apibūdinamas taip:labai dažnas (≥ 1/10), dažnas (nuo ≥ 1/100 iki &lt; 1/10), nedažnas (nuo ≥ 1/1000 iki &lt; 1/100), retas (nuo ≥ 1/10000 iki &lt; 1/1000), labai retas (&lt; 1/10000) ir nežinomas (negali būti apskaičiuotas pagal turimus duomenis).&gt;.</w:t>
      </w:r>
    </w:p>
    <w:p w14:paraId="17C17F0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Gydymo atskirai amlodipinu ir lizinopriliu metu pasireiškė tokie nepageidaujami poveikiai:</w:t>
      </w:r>
    </w:p>
    <w:p w14:paraId="17C17F07" w14:textId="77777777" w:rsidR="00D75E9B" w:rsidRPr="004C5A75" w:rsidRDefault="00D75E9B" w:rsidP="00D75E9B">
      <w:pPr>
        <w:rPr>
          <w:rFonts w:ascii="Times New Roman" w:hAnsi="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1841"/>
        <w:gridCol w:w="2930"/>
        <w:gridCol w:w="2176"/>
      </w:tblGrid>
      <w:tr w:rsidR="00D75E9B" w:rsidRPr="004C5A75" w14:paraId="17C17F0C" w14:textId="77777777" w:rsidTr="000B746C">
        <w:trPr>
          <w:tblHeader/>
        </w:trPr>
        <w:tc>
          <w:tcPr>
            <w:tcW w:w="11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08" w14:textId="77777777" w:rsidR="00D75E9B" w:rsidRPr="004C5A75" w:rsidRDefault="00D75E9B" w:rsidP="000B746C">
            <w:pPr>
              <w:rPr>
                <w:rFonts w:ascii="Times New Roman" w:hAnsi="Times New Roman"/>
                <w:b/>
                <w:sz w:val="22"/>
                <w:lang w:val="lt-LT"/>
              </w:rPr>
            </w:pPr>
            <w:r w:rsidRPr="004C5A75">
              <w:rPr>
                <w:rFonts w:ascii="Times New Roman" w:hAnsi="Times New Roman"/>
                <w:b/>
                <w:sz w:val="22"/>
                <w:lang w:val="lt-LT"/>
              </w:rPr>
              <w:t>Organų sistemų klasė</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09" w14:textId="77777777" w:rsidR="00D75E9B" w:rsidRPr="004C5A75" w:rsidRDefault="00D75E9B" w:rsidP="000B746C">
            <w:pPr>
              <w:rPr>
                <w:rFonts w:ascii="Times New Roman" w:hAnsi="Times New Roman"/>
                <w:b/>
                <w:sz w:val="22"/>
                <w:lang w:val="lt-LT"/>
              </w:rPr>
            </w:pPr>
            <w:r w:rsidRPr="004C5A75">
              <w:rPr>
                <w:rFonts w:ascii="Times New Roman" w:hAnsi="Times New Roman"/>
                <w:b/>
                <w:sz w:val="22"/>
                <w:lang w:val="lt-LT"/>
              </w:rPr>
              <w:t>Dažnis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0A" w14:textId="77777777" w:rsidR="00D75E9B" w:rsidRPr="004C5A75" w:rsidRDefault="00D75E9B" w:rsidP="000B746C">
            <w:pPr>
              <w:rPr>
                <w:rFonts w:ascii="Times New Roman" w:hAnsi="Times New Roman"/>
                <w:b/>
                <w:sz w:val="22"/>
                <w:lang w:val="lt-LT"/>
              </w:rPr>
            </w:pPr>
            <w:r w:rsidRPr="004C5A75">
              <w:rPr>
                <w:rFonts w:ascii="Times New Roman" w:hAnsi="Times New Roman"/>
                <w:b/>
                <w:sz w:val="22"/>
                <w:lang w:val="lt-LT"/>
              </w:rPr>
              <w:t>Lizinoprilio sukeltas nepageidaujamas poveikis</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0B" w14:textId="77777777" w:rsidR="00D75E9B" w:rsidRPr="004C5A75" w:rsidRDefault="00D75E9B" w:rsidP="000B746C">
            <w:pPr>
              <w:rPr>
                <w:rFonts w:ascii="Times New Roman" w:hAnsi="Times New Roman"/>
                <w:b/>
                <w:sz w:val="22"/>
                <w:u w:val="single"/>
                <w:lang w:val="lt-LT"/>
              </w:rPr>
            </w:pPr>
            <w:r w:rsidRPr="004C5A75">
              <w:rPr>
                <w:rFonts w:ascii="Times New Roman" w:hAnsi="Times New Roman"/>
                <w:b/>
                <w:sz w:val="22"/>
                <w:lang w:val="lt-LT"/>
              </w:rPr>
              <w:t>Amlodipino sukeltas nepageidaujamas poveikis</w:t>
            </w:r>
          </w:p>
        </w:tc>
      </w:tr>
      <w:tr w:rsidR="00D75E9B" w:rsidRPr="004C5A75" w14:paraId="17C17F18" w14:textId="77777777" w:rsidTr="000B746C">
        <w:trPr>
          <w:trHeight w:val="617"/>
        </w:trPr>
        <w:tc>
          <w:tcPr>
            <w:tcW w:w="1166" w:type="pct"/>
            <w:tcBorders>
              <w:top w:val="single" w:sz="4" w:space="0" w:color="auto"/>
              <w:left w:val="single" w:sz="4" w:space="0" w:color="auto"/>
              <w:right w:val="single" w:sz="4" w:space="0" w:color="auto"/>
            </w:tcBorders>
            <w:tcMar>
              <w:top w:w="0" w:type="dxa"/>
              <w:left w:w="28" w:type="dxa"/>
              <w:bottom w:w="0" w:type="dxa"/>
              <w:right w:w="28" w:type="dxa"/>
            </w:tcMar>
          </w:tcPr>
          <w:p w14:paraId="17C17F0D" w14:textId="77777777" w:rsidR="00D75E9B" w:rsidRPr="004C5A75" w:rsidRDefault="00D75E9B" w:rsidP="000B746C">
            <w:pPr>
              <w:pStyle w:val="Pavadinimas"/>
              <w:jc w:val="left"/>
              <w:rPr>
                <w:rFonts w:ascii="Times New Roman" w:hAnsi="Times New Roman"/>
                <w:b/>
                <w:sz w:val="22"/>
                <w:szCs w:val="22"/>
                <w:lang w:val="lt-LT" w:eastAsia="lt-LT"/>
              </w:rPr>
            </w:pPr>
            <w:r w:rsidRPr="004C5A75">
              <w:rPr>
                <w:rFonts w:ascii="Times New Roman" w:hAnsi="Times New Roman"/>
                <w:b/>
                <w:sz w:val="22"/>
                <w:szCs w:val="22"/>
                <w:lang w:val="lt-LT" w:eastAsia="lt-LT"/>
              </w:rPr>
              <w:t>Kraujo ir limfinės sistemos sutrikimai</w:t>
            </w:r>
          </w:p>
          <w:p w14:paraId="17C17F0E" w14:textId="77777777" w:rsidR="00D75E9B" w:rsidRPr="004C5A75" w:rsidRDefault="00D75E9B" w:rsidP="000B746C">
            <w:pPr>
              <w:rPr>
                <w:rFonts w:ascii="Times New Roman" w:hAnsi="Times New Roman"/>
                <w:b/>
                <w:sz w:val="22"/>
                <w:szCs w:val="22"/>
                <w:u w:val="single"/>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0F"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Retas</w:t>
            </w:r>
          </w:p>
          <w:p w14:paraId="17C17F10" w14:textId="77777777" w:rsidR="00D75E9B" w:rsidRPr="004C5A75" w:rsidRDefault="00D75E9B" w:rsidP="000B746C">
            <w:pPr>
              <w:rPr>
                <w:rFonts w:ascii="Times New Roman" w:hAnsi="Times New Roman"/>
                <w:sz w:val="22"/>
                <w:szCs w:val="22"/>
                <w:lang w:val="lt-LT" w:eastAsia="lt-LT"/>
              </w:rPr>
            </w:pPr>
          </w:p>
          <w:p w14:paraId="17C17F11"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12"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Sumažėjęs hemoglobino kiekis,</w:t>
            </w:r>
          </w:p>
          <w:p w14:paraId="17C17F13"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sumažėjęs hematokritas</w:t>
            </w:r>
          </w:p>
          <w:p w14:paraId="17C17F14"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15" w14:textId="77777777" w:rsidR="00D75E9B" w:rsidRPr="004C5A75" w:rsidRDefault="00D75E9B" w:rsidP="000B746C">
            <w:pPr>
              <w:rPr>
                <w:rFonts w:ascii="Times New Roman" w:hAnsi="Times New Roman"/>
                <w:sz w:val="22"/>
                <w:szCs w:val="22"/>
                <w:lang w:val="lt-LT" w:eastAsia="lt-LT"/>
              </w:rPr>
            </w:pPr>
          </w:p>
          <w:p w14:paraId="17C17F16" w14:textId="77777777" w:rsidR="00D75E9B" w:rsidRPr="004C5A75" w:rsidRDefault="00D75E9B" w:rsidP="000B746C">
            <w:pPr>
              <w:rPr>
                <w:rFonts w:ascii="Times New Roman" w:hAnsi="Times New Roman"/>
                <w:sz w:val="22"/>
                <w:szCs w:val="22"/>
                <w:lang w:val="lt-LT" w:eastAsia="lt-LT"/>
              </w:rPr>
            </w:pPr>
          </w:p>
          <w:p w14:paraId="17C17F17" w14:textId="77777777" w:rsidR="00D75E9B" w:rsidRPr="004C5A75" w:rsidRDefault="00D75E9B" w:rsidP="000B746C">
            <w:pPr>
              <w:rPr>
                <w:rFonts w:ascii="Times New Roman" w:hAnsi="Times New Roman"/>
                <w:sz w:val="22"/>
                <w:szCs w:val="22"/>
                <w:u w:val="single"/>
                <w:lang w:val="lt-LT" w:eastAsia="lt-LT"/>
              </w:rPr>
            </w:pPr>
          </w:p>
        </w:tc>
      </w:tr>
      <w:tr w:rsidR="00D75E9B" w:rsidRPr="004C5A75" w14:paraId="17C17F1D" w14:textId="77777777" w:rsidTr="000B746C">
        <w:trPr>
          <w:trHeight w:val="1403"/>
        </w:trPr>
        <w:tc>
          <w:tcPr>
            <w:tcW w:w="1166" w:type="pct"/>
            <w:tcBorders>
              <w:left w:val="single" w:sz="4" w:space="0" w:color="auto"/>
              <w:bottom w:val="single" w:sz="4" w:space="0" w:color="auto"/>
              <w:right w:val="single" w:sz="4" w:space="0" w:color="auto"/>
            </w:tcBorders>
            <w:tcMar>
              <w:top w:w="0" w:type="dxa"/>
              <w:left w:w="28" w:type="dxa"/>
              <w:bottom w:w="0" w:type="dxa"/>
              <w:right w:w="28" w:type="dxa"/>
            </w:tcMar>
          </w:tcPr>
          <w:p w14:paraId="17C17F19" w14:textId="77777777" w:rsidR="00D75E9B" w:rsidRPr="004C5A75" w:rsidRDefault="00D75E9B" w:rsidP="000B746C">
            <w:pPr>
              <w:pStyle w:val="Pavadinimas"/>
              <w:jc w:val="left"/>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1A"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1B" w14:textId="77777777" w:rsidR="00D75E9B" w:rsidRPr="004C5A75" w:rsidRDefault="00D75E9B" w:rsidP="000B746C">
            <w:pPr>
              <w:rPr>
                <w:rFonts w:ascii="Times New Roman" w:hAnsi="Times New Roman"/>
                <w:sz w:val="22"/>
                <w:lang w:val="lt-LT"/>
              </w:rPr>
            </w:pPr>
            <w:r w:rsidRPr="004C5A75">
              <w:rPr>
                <w:rFonts w:ascii="Times New Roman" w:hAnsi="Times New Roman"/>
                <w:sz w:val="22"/>
                <w:szCs w:val="22"/>
                <w:lang w:val="lt-LT" w:eastAsia="lt-LT"/>
              </w:rPr>
              <w:t>Kaulų čiulpų slopinimas, agranulocitozė (žr. 4.4 skyrių), leukopenija,  neutropenija , trombocitopenija hemolizinė anemija, anemija,limfadenopatija</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1C" w14:textId="77777777" w:rsidR="00D75E9B" w:rsidRPr="004C5A75" w:rsidRDefault="00D75E9B" w:rsidP="000B746C">
            <w:pPr>
              <w:rPr>
                <w:rFonts w:ascii="Times New Roman" w:hAnsi="Times New Roman"/>
                <w:sz w:val="22"/>
                <w:lang w:val="lt-LT"/>
              </w:rPr>
            </w:pPr>
            <w:r w:rsidRPr="004C5A75">
              <w:rPr>
                <w:rFonts w:ascii="Times New Roman" w:hAnsi="Times New Roman"/>
                <w:sz w:val="22"/>
                <w:szCs w:val="22"/>
                <w:lang w:val="lt-LT" w:eastAsia="lt-LT"/>
              </w:rPr>
              <w:t>Trombocitopenija, leukocitopenija</w:t>
            </w:r>
          </w:p>
        </w:tc>
      </w:tr>
      <w:tr w:rsidR="008A17DE" w:rsidRPr="004C5A75" w14:paraId="17C17F22" w14:textId="77777777" w:rsidTr="000B746C">
        <w:trPr>
          <w:trHeight w:val="1403"/>
        </w:trPr>
        <w:tc>
          <w:tcPr>
            <w:tcW w:w="1166" w:type="pct"/>
            <w:tcBorders>
              <w:left w:val="single" w:sz="4" w:space="0" w:color="auto"/>
              <w:bottom w:val="single" w:sz="4" w:space="0" w:color="auto"/>
              <w:right w:val="single" w:sz="4" w:space="0" w:color="auto"/>
            </w:tcBorders>
            <w:tcMar>
              <w:top w:w="0" w:type="dxa"/>
              <w:left w:w="28" w:type="dxa"/>
              <w:bottom w:w="0" w:type="dxa"/>
              <w:right w:w="28" w:type="dxa"/>
            </w:tcMar>
          </w:tcPr>
          <w:p w14:paraId="17C17F1E" w14:textId="77777777" w:rsidR="008A17DE" w:rsidRPr="004C5A75" w:rsidRDefault="008A17DE" w:rsidP="000B746C">
            <w:pPr>
              <w:pStyle w:val="Pavadinimas"/>
              <w:jc w:val="left"/>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1F" w14:textId="77777777" w:rsidR="008A17DE" w:rsidRPr="004C5A75" w:rsidRDefault="008A17DE"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20" w14:textId="77777777" w:rsidR="008A17DE" w:rsidRPr="004C5A75" w:rsidRDefault="008A17DE"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21" w14:textId="77777777" w:rsidR="008A17DE" w:rsidRPr="004C5A75" w:rsidRDefault="008A17DE" w:rsidP="000B746C">
            <w:pPr>
              <w:rPr>
                <w:rFonts w:ascii="Times New Roman" w:hAnsi="Times New Roman"/>
                <w:sz w:val="22"/>
                <w:szCs w:val="22"/>
                <w:lang w:val="lt-LT" w:eastAsia="lt-LT"/>
              </w:rPr>
            </w:pPr>
          </w:p>
        </w:tc>
      </w:tr>
      <w:tr w:rsidR="00D75E9B" w:rsidRPr="004C5A75" w14:paraId="17C17F27" w14:textId="77777777" w:rsidTr="000B746C">
        <w:tc>
          <w:tcPr>
            <w:tcW w:w="11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23" w14:textId="77777777" w:rsidR="00D75E9B" w:rsidRPr="004C5A75" w:rsidRDefault="00D75E9B" w:rsidP="000B746C">
            <w:pPr>
              <w:rPr>
                <w:rFonts w:ascii="Times New Roman" w:hAnsi="Times New Roman"/>
                <w:b/>
                <w:sz w:val="22"/>
                <w:u w:val="single"/>
                <w:lang w:val="lt-LT"/>
              </w:rPr>
            </w:pPr>
            <w:r w:rsidRPr="004C5A75">
              <w:rPr>
                <w:rFonts w:ascii="Times New Roman" w:hAnsi="Times New Roman"/>
                <w:b/>
                <w:sz w:val="22"/>
                <w:lang w:val="lt-LT"/>
              </w:rPr>
              <w:t>Imuninės sistemos sutrikimai</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24"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25" w14:textId="77777777" w:rsidR="00D75E9B" w:rsidRPr="004C5A75" w:rsidRDefault="00D75E9B" w:rsidP="000B746C">
            <w:pPr>
              <w:rPr>
                <w:rFonts w:ascii="Times New Roman" w:hAnsi="Times New Roman"/>
                <w:sz w:val="22"/>
                <w:szCs w:val="22"/>
                <w:u w:val="single"/>
                <w:lang w:val="lt-LT" w:eastAsia="lt-LT"/>
              </w:rPr>
            </w:pPr>
            <w:r w:rsidRPr="004C5A75">
              <w:rPr>
                <w:rFonts w:ascii="Times New Roman" w:hAnsi="Times New Roman"/>
                <w:sz w:val="22"/>
                <w:szCs w:val="22"/>
                <w:lang w:val="lt-LT" w:eastAsia="lt-LT"/>
              </w:rPr>
              <w:t>Autoimuninė liga</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26"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Alerginės reakcijos</w:t>
            </w:r>
          </w:p>
        </w:tc>
      </w:tr>
      <w:tr w:rsidR="008A17DE" w:rsidRPr="004C5A75" w14:paraId="17C17F2C" w14:textId="77777777" w:rsidTr="000B746C">
        <w:tc>
          <w:tcPr>
            <w:tcW w:w="11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28" w14:textId="77777777" w:rsidR="008A17DE" w:rsidRPr="004C5A75" w:rsidRDefault="008A17DE" w:rsidP="000B746C">
            <w:pPr>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29" w14:textId="77777777" w:rsidR="008A17DE" w:rsidRPr="004C5A75" w:rsidRDefault="008A17DE"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Dažnis nežinomas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2A" w14:textId="77777777" w:rsidR="008A17DE" w:rsidRPr="004C5A75" w:rsidRDefault="008A17DE" w:rsidP="008A17DE">
            <w:pPr>
              <w:rPr>
                <w:rFonts w:ascii="Times New Roman" w:hAnsi="Times New Roman"/>
                <w:sz w:val="22"/>
                <w:szCs w:val="22"/>
                <w:lang w:val="lt-LT" w:eastAsia="lt-LT"/>
              </w:rPr>
            </w:pPr>
            <w:r>
              <w:rPr>
                <w:rFonts w:ascii="Times New Roman" w:hAnsi="Times New Roman"/>
                <w:sz w:val="22"/>
                <w:szCs w:val="22"/>
                <w:lang w:val="lt-LT" w:eastAsia="lt-LT"/>
              </w:rPr>
              <w:t>Anafilaksinė/anafilaktoidinė reakcija</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2B" w14:textId="77777777" w:rsidR="008A17DE" w:rsidRPr="004C5A75" w:rsidRDefault="008A17DE" w:rsidP="000B746C">
            <w:pPr>
              <w:rPr>
                <w:rFonts w:ascii="Times New Roman" w:hAnsi="Times New Roman"/>
                <w:sz w:val="22"/>
                <w:szCs w:val="22"/>
                <w:lang w:val="lt-LT" w:eastAsia="lt-LT"/>
              </w:rPr>
            </w:pPr>
          </w:p>
        </w:tc>
      </w:tr>
      <w:tr w:rsidR="00D75E9B" w:rsidRPr="004C5A75" w14:paraId="17C17F31" w14:textId="77777777" w:rsidTr="000B746C">
        <w:tc>
          <w:tcPr>
            <w:tcW w:w="11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2D" w14:textId="77777777" w:rsidR="00D75E9B" w:rsidRPr="004C5A75" w:rsidRDefault="00D75E9B" w:rsidP="000B746C">
            <w:pPr>
              <w:rPr>
                <w:rFonts w:ascii="Times New Roman" w:hAnsi="Times New Roman"/>
                <w:b/>
                <w:sz w:val="22"/>
                <w:lang w:val="lt-LT"/>
              </w:rPr>
            </w:pPr>
            <w:r w:rsidRPr="004C5A75">
              <w:rPr>
                <w:rFonts w:ascii="Times New Roman" w:hAnsi="Times New Roman"/>
                <w:b/>
                <w:sz w:val="22"/>
                <w:lang w:val="lt-LT"/>
              </w:rPr>
              <w:t>Endokrininiai sutrikimai</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2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2F"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Sutrikusios antidiurezinio hormono sekrecijos sindromas</w:t>
            </w:r>
            <w:r w:rsidRPr="004C5A75">
              <w:rPr>
                <w:rFonts w:ascii="Times New Roman" w:hAnsi="Times New Roman"/>
                <w:sz w:val="22"/>
                <w:szCs w:val="22"/>
                <w:lang w:val="lt-LT"/>
              </w:rPr>
              <w:t xml:space="preserve"> (SAHSS)</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30" w14:textId="77777777" w:rsidR="00D75E9B" w:rsidRPr="004C5A75" w:rsidRDefault="00D75E9B" w:rsidP="000B746C">
            <w:pPr>
              <w:rPr>
                <w:rFonts w:ascii="Times New Roman" w:hAnsi="Times New Roman"/>
                <w:sz w:val="22"/>
                <w:szCs w:val="22"/>
                <w:lang w:val="lt-LT" w:eastAsia="lt-LT"/>
              </w:rPr>
            </w:pPr>
          </w:p>
        </w:tc>
      </w:tr>
      <w:tr w:rsidR="00D75E9B" w:rsidRPr="004C5A75" w14:paraId="17C17F37" w14:textId="77777777" w:rsidTr="000B746C">
        <w:tc>
          <w:tcPr>
            <w:tcW w:w="11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32"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t>Metabolizmo ir mitybos sutrikimai</w:t>
            </w:r>
          </w:p>
          <w:p w14:paraId="17C17F33" w14:textId="77777777" w:rsidR="00D75E9B" w:rsidRPr="004C5A75" w:rsidRDefault="00D75E9B" w:rsidP="000B746C">
            <w:pPr>
              <w:rPr>
                <w:rFonts w:ascii="Times New Roman" w:hAnsi="Times New Roman"/>
                <w:b/>
                <w:sz w:val="22"/>
                <w:u w:val="single"/>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34" w14:textId="77777777" w:rsidR="00D75E9B" w:rsidRPr="004C5A75" w:rsidRDefault="00D75E9B" w:rsidP="000B746C">
            <w:pPr>
              <w:rPr>
                <w:rFonts w:ascii="Times New Roman" w:hAnsi="Times New Roman"/>
                <w:sz w:val="22"/>
                <w:szCs w:val="22"/>
                <w:u w:val="single"/>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35"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Hipoglikemija</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36"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Hiperglikemija</w:t>
            </w:r>
          </w:p>
        </w:tc>
      </w:tr>
      <w:tr w:rsidR="00D75E9B" w:rsidRPr="004C5A75" w14:paraId="17C17F42"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7F38" w14:textId="77777777" w:rsidR="00D75E9B" w:rsidRPr="004C5A75" w:rsidRDefault="00D75E9B" w:rsidP="000B746C">
            <w:pPr>
              <w:rPr>
                <w:rFonts w:ascii="Times New Roman" w:hAnsi="Times New Roman"/>
                <w:b/>
                <w:sz w:val="22"/>
                <w:lang w:val="lt-LT"/>
              </w:rPr>
            </w:pPr>
            <w:r w:rsidRPr="004C5A75">
              <w:rPr>
                <w:rFonts w:ascii="Times New Roman" w:hAnsi="Times New Roman"/>
                <w:b/>
                <w:sz w:val="22"/>
                <w:lang w:val="lt-LT"/>
              </w:rPr>
              <w:lastRenderedPageBreak/>
              <w:t>Psichikos sutrikimai</w:t>
            </w:r>
          </w:p>
          <w:p w14:paraId="17C17F39" w14:textId="77777777" w:rsidR="00D75E9B" w:rsidRPr="004C5A75" w:rsidRDefault="00D75E9B" w:rsidP="000B746C">
            <w:pPr>
              <w:rPr>
                <w:rFonts w:ascii="Times New Roman" w:hAnsi="Times New Roman"/>
                <w:b/>
                <w:sz w:val="22"/>
                <w:lang w:val="lt-LT"/>
              </w:rPr>
            </w:pPr>
          </w:p>
          <w:p w14:paraId="17C17F3A" w14:textId="77777777" w:rsidR="00D75E9B" w:rsidRPr="004C5A75" w:rsidRDefault="00D75E9B" w:rsidP="000B746C">
            <w:pPr>
              <w:rPr>
                <w:rFonts w:ascii="Times New Roman" w:hAnsi="Times New Roman"/>
                <w:b/>
                <w:sz w:val="22"/>
                <w:u w:val="single"/>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3B"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Nedažnas</w:t>
            </w:r>
          </w:p>
          <w:p w14:paraId="17C17F3C" w14:textId="77777777" w:rsidR="00D75E9B" w:rsidRPr="004C5A75" w:rsidRDefault="00D75E9B" w:rsidP="000B746C">
            <w:pPr>
              <w:rPr>
                <w:rFonts w:ascii="Times New Roman" w:hAnsi="Times New Roman"/>
                <w:sz w:val="22"/>
                <w:szCs w:val="22"/>
                <w:lang w:val="lt-LT" w:eastAsia="lt-LT"/>
              </w:rPr>
            </w:pPr>
          </w:p>
          <w:p w14:paraId="17C17F3D" w14:textId="77777777" w:rsidR="00D75E9B" w:rsidRPr="004C5A75" w:rsidRDefault="00D75E9B" w:rsidP="000B746C">
            <w:pPr>
              <w:rPr>
                <w:rFonts w:ascii="Times New Roman" w:hAnsi="Times New Roman"/>
                <w:sz w:val="22"/>
                <w:szCs w:val="22"/>
                <w:u w:val="single"/>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3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Nuotaikos pokyčiai, miego sutrikimas, haliucinacijos</w:t>
            </w:r>
          </w:p>
          <w:p w14:paraId="17C17F3F"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40"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Nemiga, nuotaikos pokyčiai (įskaitant nerimą), depresija,</w:t>
            </w:r>
          </w:p>
          <w:p w14:paraId="17C17F41" w14:textId="77777777" w:rsidR="00D75E9B" w:rsidRPr="004C5A75" w:rsidRDefault="00D75E9B" w:rsidP="000B746C">
            <w:pPr>
              <w:rPr>
                <w:rFonts w:ascii="Times New Roman" w:hAnsi="Times New Roman"/>
                <w:sz w:val="22"/>
                <w:szCs w:val="22"/>
                <w:lang w:val="lt-LT" w:eastAsia="lt-LT"/>
              </w:rPr>
            </w:pPr>
          </w:p>
        </w:tc>
      </w:tr>
      <w:tr w:rsidR="00D75E9B" w:rsidRPr="004C5A75" w14:paraId="17C17F49" w14:textId="77777777" w:rsidTr="000B746C">
        <w:trPr>
          <w:trHeight w:val="374"/>
        </w:trPr>
        <w:tc>
          <w:tcPr>
            <w:tcW w:w="1166" w:type="pct"/>
            <w:vMerge w:val="restart"/>
            <w:tcBorders>
              <w:top w:val="nil"/>
              <w:left w:val="single" w:sz="4" w:space="0" w:color="auto"/>
              <w:right w:val="single" w:sz="4" w:space="0" w:color="auto"/>
            </w:tcBorders>
            <w:tcMar>
              <w:top w:w="0" w:type="dxa"/>
              <w:left w:w="28" w:type="dxa"/>
              <w:bottom w:w="0" w:type="dxa"/>
              <w:right w:w="28" w:type="dxa"/>
            </w:tcMar>
          </w:tcPr>
          <w:p w14:paraId="17C17F43"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44"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Retas</w:t>
            </w:r>
          </w:p>
          <w:p w14:paraId="17C17F45"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46"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Sumišimas</w:t>
            </w:r>
          </w:p>
          <w:p w14:paraId="17C17F47"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48"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Sumišimas</w:t>
            </w:r>
          </w:p>
        </w:tc>
      </w:tr>
      <w:tr w:rsidR="00D75E9B" w:rsidRPr="004C5A75" w14:paraId="17C17F4E" w14:textId="77777777" w:rsidTr="000B746C">
        <w:trPr>
          <w:trHeight w:val="374"/>
        </w:trPr>
        <w:tc>
          <w:tcPr>
            <w:tcW w:w="1166" w:type="pct"/>
            <w:vMerge/>
            <w:tcBorders>
              <w:left w:val="single" w:sz="4" w:space="0" w:color="auto"/>
              <w:bottom w:val="single" w:sz="4" w:space="0" w:color="auto"/>
              <w:right w:val="single" w:sz="4" w:space="0" w:color="auto"/>
            </w:tcBorders>
            <w:tcMar>
              <w:top w:w="0" w:type="dxa"/>
              <w:left w:w="28" w:type="dxa"/>
              <w:bottom w:w="0" w:type="dxa"/>
              <w:right w:w="28" w:type="dxa"/>
            </w:tcMar>
          </w:tcPr>
          <w:p w14:paraId="17C17F4A"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4B"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Dažnis nežinomas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4C"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Depresijos simptomai</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4D" w14:textId="77777777" w:rsidR="00D75E9B" w:rsidRPr="004C5A75" w:rsidRDefault="00D75E9B" w:rsidP="000B746C">
            <w:pPr>
              <w:rPr>
                <w:rFonts w:ascii="Times New Roman" w:hAnsi="Times New Roman"/>
                <w:sz w:val="22"/>
                <w:szCs w:val="22"/>
                <w:lang w:val="lt-LT" w:eastAsia="lt-LT"/>
              </w:rPr>
            </w:pPr>
          </w:p>
        </w:tc>
      </w:tr>
      <w:tr w:rsidR="00D75E9B" w:rsidRPr="004C5A75" w14:paraId="17C17F5E"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7F4F"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t>Nervų sistemos sutrikimai</w:t>
            </w:r>
          </w:p>
          <w:p w14:paraId="17C17F50" w14:textId="77777777" w:rsidR="00D75E9B" w:rsidRPr="004C5A75" w:rsidRDefault="00D75E9B" w:rsidP="000B746C">
            <w:pPr>
              <w:rPr>
                <w:rFonts w:ascii="Times New Roman" w:hAnsi="Times New Roman"/>
                <w:b/>
                <w:sz w:val="22"/>
                <w:lang w:val="lt-LT"/>
              </w:rPr>
            </w:pPr>
          </w:p>
          <w:p w14:paraId="17C17F51" w14:textId="77777777" w:rsidR="00D75E9B" w:rsidRPr="004C5A75" w:rsidRDefault="00D75E9B" w:rsidP="000B746C">
            <w:pPr>
              <w:rPr>
                <w:rFonts w:ascii="Times New Roman" w:hAnsi="Times New Roman"/>
                <w:b/>
                <w:sz w:val="22"/>
                <w:lang w:val="lt-LT"/>
              </w:rPr>
            </w:pPr>
          </w:p>
          <w:p w14:paraId="17C17F52" w14:textId="77777777" w:rsidR="00D75E9B" w:rsidRPr="004C5A75" w:rsidRDefault="00D75E9B" w:rsidP="000B746C">
            <w:pPr>
              <w:rPr>
                <w:rFonts w:ascii="Times New Roman" w:hAnsi="Times New Roman"/>
                <w:b/>
                <w:sz w:val="22"/>
                <w:u w:val="single"/>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53"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Dažnas</w:t>
            </w:r>
          </w:p>
          <w:p w14:paraId="17C17F54" w14:textId="77777777" w:rsidR="00D75E9B" w:rsidRPr="004C5A75" w:rsidRDefault="00D75E9B" w:rsidP="000B746C">
            <w:pPr>
              <w:rPr>
                <w:rFonts w:ascii="Times New Roman" w:hAnsi="Times New Roman"/>
                <w:sz w:val="22"/>
                <w:szCs w:val="22"/>
                <w:lang w:val="lt-LT" w:eastAsia="lt-LT"/>
              </w:rPr>
            </w:pPr>
          </w:p>
          <w:p w14:paraId="17C17F55" w14:textId="77777777" w:rsidR="00D75E9B" w:rsidRPr="004C5A75" w:rsidRDefault="00D75E9B" w:rsidP="000B746C">
            <w:pPr>
              <w:rPr>
                <w:rFonts w:ascii="Times New Roman" w:hAnsi="Times New Roman"/>
                <w:sz w:val="22"/>
                <w:szCs w:val="22"/>
                <w:lang w:val="lt-LT" w:eastAsia="lt-LT"/>
              </w:rPr>
            </w:pPr>
          </w:p>
          <w:p w14:paraId="17C17F56"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57"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Svaigulys, galvos skausmas</w:t>
            </w:r>
          </w:p>
          <w:p w14:paraId="17C17F58" w14:textId="77777777" w:rsidR="00D75E9B" w:rsidRPr="004C5A75" w:rsidRDefault="00D75E9B" w:rsidP="000B746C">
            <w:pPr>
              <w:rPr>
                <w:rFonts w:ascii="Times New Roman" w:hAnsi="Times New Roman"/>
                <w:sz w:val="22"/>
                <w:szCs w:val="22"/>
                <w:lang w:val="lt-LT" w:eastAsia="lt-LT"/>
              </w:rPr>
            </w:pPr>
          </w:p>
          <w:p w14:paraId="17C17F59"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5A"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Mieguistumas,</w:t>
            </w:r>
          </w:p>
          <w:p w14:paraId="17C17F5B"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svaigulys, galvos skausmas (ypač gydymo pradžioje)</w:t>
            </w:r>
          </w:p>
          <w:p w14:paraId="17C17F5C" w14:textId="77777777" w:rsidR="00D75E9B" w:rsidRPr="004C5A75" w:rsidRDefault="00D75E9B" w:rsidP="000B746C">
            <w:pPr>
              <w:rPr>
                <w:rFonts w:ascii="Times New Roman" w:hAnsi="Times New Roman"/>
                <w:sz w:val="22"/>
                <w:szCs w:val="22"/>
                <w:lang w:val="lt-LT" w:eastAsia="lt-LT"/>
              </w:rPr>
            </w:pPr>
          </w:p>
          <w:p w14:paraId="17C17F5D" w14:textId="77777777" w:rsidR="00D75E9B" w:rsidRPr="004C5A75" w:rsidRDefault="00D75E9B" w:rsidP="000B746C">
            <w:pPr>
              <w:rPr>
                <w:rFonts w:ascii="Times New Roman" w:hAnsi="Times New Roman"/>
                <w:sz w:val="22"/>
                <w:szCs w:val="22"/>
                <w:lang w:val="lt-LT" w:eastAsia="lt-LT"/>
              </w:rPr>
            </w:pPr>
          </w:p>
        </w:tc>
      </w:tr>
      <w:tr w:rsidR="00D75E9B" w:rsidRPr="004C5A75" w14:paraId="17C17F66" w14:textId="77777777" w:rsidTr="000B746C">
        <w:trPr>
          <w:trHeight w:val="617"/>
        </w:trPr>
        <w:tc>
          <w:tcPr>
            <w:tcW w:w="1166" w:type="pct"/>
            <w:vMerge w:val="restart"/>
            <w:tcBorders>
              <w:top w:val="nil"/>
              <w:left w:val="single" w:sz="4" w:space="0" w:color="auto"/>
              <w:right w:val="single" w:sz="4" w:space="0" w:color="auto"/>
            </w:tcBorders>
            <w:tcMar>
              <w:top w:w="0" w:type="dxa"/>
              <w:left w:w="28" w:type="dxa"/>
              <w:bottom w:w="0" w:type="dxa"/>
              <w:right w:w="28" w:type="dxa"/>
            </w:tcMar>
          </w:tcPr>
          <w:p w14:paraId="17C17F5F"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60"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Nedažnas</w:t>
            </w:r>
          </w:p>
          <w:p w14:paraId="17C17F61" w14:textId="77777777" w:rsidR="00D75E9B" w:rsidRPr="004C5A75" w:rsidRDefault="00D75E9B" w:rsidP="000B746C">
            <w:pPr>
              <w:rPr>
                <w:rFonts w:ascii="Times New Roman" w:hAnsi="Times New Roman"/>
                <w:sz w:val="22"/>
                <w:szCs w:val="22"/>
                <w:lang w:val="lt-LT" w:eastAsia="lt-LT"/>
              </w:rPr>
            </w:pPr>
          </w:p>
          <w:p w14:paraId="17C17F62"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63"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Galvos sukimasis, parestezijos, disgeuzija</w:t>
            </w:r>
          </w:p>
          <w:p w14:paraId="17C17F64"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65"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Sinkopė, tremoras, disgeuzija, hipestezija, parestezija</w:t>
            </w:r>
          </w:p>
        </w:tc>
      </w:tr>
      <w:tr w:rsidR="00D75E9B" w:rsidRPr="004C5A75" w14:paraId="17C17F6C" w14:textId="77777777" w:rsidTr="000B746C">
        <w:trPr>
          <w:trHeight w:val="636"/>
        </w:trPr>
        <w:tc>
          <w:tcPr>
            <w:tcW w:w="1166" w:type="pct"/>
            <w:vMerge/>
            <w:tcBorders>
              <w:left w:val="single" w:sz="4" w:space="0" w:color="auto"/>
              <w:bottom w:val="nil"/>
              <w:right w:val="single" w:sz="4" w:space="0" w:color="auto"/>
            </w:tcBorders>
            <w:tcMar>
              <w:top w:w="0" w:type="dxa"/>
              <w:left w:w="28" w:type="dxa"/>
              <w:bottom w:w="0" w:type="dxa"/>
              <w:right w:w="28" w:type="dxa"/>
            </w:tcMar>
          </w:tcPr>
          <w:p w14:paraId="17C17F67"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68"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Retas</w:t>
            </w:r>
          </w:p>
          <w:p w14:paraId="17C17F69"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6A"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Uoslės sutrikimas</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6B" w14:textId="77777777" w:rsidR="00D75E9B" w:rsidRPr="004C5A75" w:rsidRDefault="00D75E9B" w:rsidP="000B746C">
            <w:pPr>
              <w:rPr>
                <w:rFonts w:ascii="Times New Roman" w:hAnsi="Times New Roman"/>
                <w:sz w:val="22"/>
                <w:szCs w:val="22"/>
                <w:lang w:val="lt-LT" w:eastAsia="lt-LT"/>
              </w:rPr>
            </w:pPr>
          </w:p>
        </w:tc>
      </w:tr>
      <w:tr w:rsidR="00D75E9B" w:rsidRPr="004C5A75" w14:paraId="17C17F73" w14:textId="77777777" w:rsidTr="000B746C">
        <w:trPr>
          <w:trHeight w:val="430"/>
        </w:trPr>
        <w:tc>
          <w:tcPr>
            <w:tcW w:w="1166" w:type="pct"/>
            <w:vMerge w:val="restart"/>
            <w:tcBorders>
              <w:top w:val="nil"/>
              <w:left w:val="single" w:sz="4" w:space="0" w:color="auto"/>
              <w:right w:val="single" w:sz="4" w:space="0" w:color="auto"/>
            </w:tcBorders>
            <w:tcMar>
              <w:top w:w="0" w:type="dxa"/>
              <w:left w:w="28" w:type="dxa"/>
              <w:bottom w:w="0" w:type="dxa"/>
              <w:right w:w="28" w:type="dxa"/>
            </w:tcMar>
          </w:tcPr>
          <w:p w14:paraId="17C17F6D"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6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p w14:paraId="17C17F6F"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70" w14:textId="77777777" w:rsidR="00D75E9B" w:rsidRPr="004C5A75" w:rsidRDefault="00D75E9B" w:rsidP="000B746C">
            <w:pPr>
              <w:rPr>
                <w:rFonts w:ascii="Times New Roman" w:hAnsi="Times New Roman"/>
                <w:sz w:val="22"/>
                <w:szCs w:val="22"/>
                <w:u w:val="single"/>
                <w:lang w:val="lt-LT" w:eastAsia="lt-LT"/>
              </w:rPr>
            </w:pPr>
          </w:p>
          <w:p w14:paraId="17C17F71"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72" w14:textId="77777777" w:rsidR="00D75E9B" w:rsidRPr="004C5A75" w:rsidRDefault="00D75E9B" w:rsidP="00E14026">
            <w:pPr>
              <w:rPr>
                <w:rFonts w:ascii="Times New Roman" w:hAnsi="Times New Roman"/>
                <w:sz w:val="22"/>
                <w:szCs w:val="22"/>
                <w:lang w:val="lt-LT" w:eastAsia="lt-LT"/>
              </w:rPr>
            </w:pPr>
            <w:r w:rsidRPr="004C5A75">
              <w:rPr>
                <w:rFonts w:ascii="Times New Roman" w:hAnsi="Times New Roman"/>
                <w:sz w:val="22"/>
                <w:szCs w:val="22"/>
                <w:lang w:val="lt-LT" w:eastAsia="lt-LT"/>
              </w:rPr>
              <w:t>Hip</w:t>
            </w:r>
            <w:r w:rsidR="00E14026">
              <w:rPr>
                <w:rFonts w:ascii="Times New Roman" w:hAnsi="Times New Roman"/>
                <w:sz w:val="22"/>
                <w:szCs w:val="22"/>
                <w:lang w:val="lt-LT" w:eastAsia="lt-LT"/>
              </w:rPr>
              <w:t>er</w:t>
            </w:r>
            <w:r w:rsidRPr="004C5A75">
              <w:rPr>
                <w:rFonts w:ascii="Times New Roman" w:hAnsi="Times New Roman"/>
                <w:sz w:val="22"/>
                <w:szCs w:val="22"/>
                <w:lang w:val="lt-LT" w:eastAsia="lt-LT"/>
              </w:rPr>
              <w:t>tonija, periferinė neuropatija</w:t>
            </w:r>
          </w:p>
        </w:tc>
      </w:tr>
      <w:tr w:rsidR="00D75E9B" w:rsidRPr="004C5A75" w14:paraId="17C17F79" w14:textId="77777777" w:rsidTr="000B746C">
        <w:trPr>
          <w:trHeight w:val="561"/>
        </w:trPr>
        <w:tc>
          <w:tcPr>
            <w:tcW w:w="1166" w:type="pct"/>
            <w:vMerge/>
            <w:tcBorders>
              <w:left w:val="single" w:sz="4" w:space="0" w:color="auto"/>
              <w:bottom w:val="single" w:sz="4" w:space="0" w:color="auto"/>
              <w:right w:val="single" w:sz="4" w:space="0" w:color="auto"/>
            </w:tcBorders>
            <w:tcMar>
              <w:top w:w="0" w:type="dxa"/>
              <w:left w:w="28" w:type="dxa"/>
              <w:bottom w:w="0" w:type="dxa"/>
              <w:right w:w="28" w:type="dxa"/>
            </w:tcMar>
          </w:tcPr>
          <w:p w14:paraId="17C17F74"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75"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Dažnis nežinomas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76" w14:textId="77777777" w:rsidR="00D75E9B" w:rsidRPr="00E14026" w:rsidRDefault="00D75E9B" w:rsidP="000B746C">
            <w:pPr>
              <w:rPr>
                <w:rFonts w:ascii="Times New Roman" w:hAnsi="Times New Roman"/>
                <w:sz w:val="22"/>
                <w:szCs w:val="22"/>
                <w:lang w:val="lt-LT" w:eastAsia="lt-LT"/>
              </w:rPr>
            </w:pPr>
            <w:r w:rsidRPr="00E14026">
              <w:rPr>
                <w:rFonts w:ascii="Times New Roman" w:hAnsi="Times New Roman"/>
                <w:sz w:val="22"/>
                <w:szCs w:val="22"/>
                <w:lang w:val="lt-LT" w:eastAsia="lt-LT"/>
              </w:rPr>
              <w:t>Sinkopė</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77"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Ekstrapiramidiniai sutrikimai</w:t>
            </w:r>
          </w:p>
          <w:p w14:paraId="17C17F78" w14:textId="77777777" w:rsidR="00D75E9B" w:rsidRPr="004C5A75" w:rsidRDefault="00D75E9B" w:rsidP="000B746C">
            <w:pPr>
              <w:rPr>
                <w:rFonts w:ascii="Times New Roman" w:hAnsi="Times New Roman"/>
                <w:sz w:val="22"/>
                <w:szCs w:val="22"/>
                <w:lang w:val="lt-LT" w:eastAsia="lt-LT"/>
              </w:rPr>
            </w:pPr>
          </w:p>
        </w:tc>
      </w:tr>
      <w:tr w:rsidR="00D75E9B" w:rsidRPr="004C5A75" w14:paraId="17C17F7F" w14:textId="77777777" w:rsidTr="000B746C">
        <w:tc>
          <w:tcPr>
            <w:tcW w:w="11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7A"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t>Akių sutrikimai</w:t>
            </w:r>
          </w:p>
          <w:p w14:paraId="17C17F7B" w14:textId="77777777" w:rsidR="00D75E9B" w:rsidRPr="004C5A75" w:rsidRDefault="00D75E9B" w:rsidP="000B746C">
            <w:pPr>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7C" w14:textId="77777777" w:rsidR="00D75E9B" w:rsidRPr="004C5A75" w:rsidRDefault="00D75E9B" w:rsidP="000B746C">
            <w:pPr>
              <w:rPr>
                <w:rFonts w:ascii="Times New Roman" w:hAnsi="Times New Roman"/>
                <w:sz w:val="22"/>
                <w:szCs w:val="22"/>
                <w:u w:val="single"/>
                <w:lang w:val="lt-LT" w:eastAsia="lt-LT"/>
              </w:rPr>
            </w:pPr>
            <w:r w:rsidRPr="004C5A75">
              <w:rPr>
                <w:rFonts w:ascii="Times New Roman" w:hAnsi="Times New Roman"/>
                <w:sz w:val="22"/>
                <w:szCs w:val="22"/>
                <w:lang w:val="lt-LT" w:eastAsia="lt-LT"/>
              </w:rPr>
              <w:t>Dažnas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7D"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7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Regos sutrikimai (įskaitant dvejinimąsi akyse)</w:t>
            </w:r>
          </w:p>
        </w:tc>
      </w:tr>
      <w:tr w:rsidR="00D75E9B" w:rsidRPr="004C5A75" w14:paraId="17C17F84" w14:textId="77777777" w:rsidTr="000B746C">
        <w:tc>
          <w:tcPr>
            <w:tcW w:w="11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80"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t>Ausų ir labirintų sutrikimai</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81" w14:textId="77777777" w:rsidR="00D75E9B" w:rsidRPr="004C5A75" w:rsidRDefault="00D75E9B" w:rsidP="000B746C">
            <w:pPr>
              <w:rPr>
                <w:rFonts w:ascii="Times New Roman" w:hAnsi="Times New Roman"/>
                <w:sz w:val="22"/>
                <w:szCs w:val="22"/>
                <w:u w:val="single"/>
                <w:lang w:val="lt-LT" w:eastAsia="lt-LT"/>
              </w:rPr>
            </w:pPr>
            <w:r w:rsidRPr="004C5A75">
              <w:rPr>
                <w:rFonts w:ascii="Times New Roman" w:hAnsi="Times New Roman"/>
                <w:sz w:val="22"/>
                <w:szCs w:val="22"/>
                <w:lang w:val="lt-LT" w:eastAsia="lt-LT"/>
              </w:rPr>
              <w:t>Nedažnas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82"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83"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Spengimas</w:t>
            </w:r>
          </w:p>
        </w:tc>
      </w:tr>
      <w:tr w:rsidR="00D75E9B" w:rsidRPr="004C5A75" w14:paraId="17C17F8F"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7F85" w14:textId="77777777" w:rsidR="00D75E9B" w:rsidRPr="004C5A75" w:rsidRDefault="00D75E9B" w:rsidP="000B746C">
            <w:pPr>
              <w:rPr>
                <w:rFonts w:ascii="Times New Roman" w:hAnsi="Times New Roman"/>
                <w:b/>
                <w:sz w:val="22"/>
                <w:lang w:val="lt-LT"/>
              </w:rPr>
            </w:pPr>
            <w:r w:rsidRPr="004C5A75">
              <w:rPr>
                <w:rFonts w:ascii="Times New Roman" w:hAnsi="Times New Roman"/>
                <w:b/>
                <w:sz w:val="22"/>
                <w:lang w:val="lt-LT"/>
              </w:rPr>
              <w:t>Širdies sutrikimai</w:t>
            </w:r>
          </w:p>
          <w:p w14:paraId="17C17F86" w14:textId="77777777" w:rsidR="00D75E9B" w:rsidRPr="004C5A75" w:rsidRDefault="00D75E9B" w:rsidP="000B746C">
            <w:pPr>
              <w:rPr>
                <w:rFonts w:ascii="Times New Roman" w:hAnsi="Times New Roman"/>
                <w:b/>
                <w:sz w:val="22"/>
                <w:lang w:val="lt-LT"/>
              </w:rPr>
            </w:pPr>
          </w:p>
          <w:p w14:paraId="17C17F87" w14:textId="77777777" w:rsidR="00D75E9B" w:rsidRPr="004C5A75" w:rsidRDefault="00D75E9B" w:rsidP="000B746C">
            <w:pPr>
              <w:rPr>
                <w:rFonts w:ascii="Times New Roman" w:hAnsi="Times New Roman"/>
                <w:b/>
                <w:sz w:val="22"/>
                <w:lang w:val="lt-LT"/>
              </w:rPr>
            </w:pPr>
          </w:p>
          <w:p w14:paraId="17C17F88" w14:textId="77777777" w:rsidR="00D75E9B" w:rsidRPr="004C5A75" w:rsidRDefault="00D75E9B" w:rsidP="000B746C">
            <w:pPr>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89"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Dažnas</w:t>
            </w:r>
          </w:p>
          <w:p w14:paraId="17C17F8A"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8B" w14:textId="77777777" w:rsidR="00D75E9B" w:rsidRPr="004C5A75" w:rsidRDefault="00D75E9B" w:rsidP="000B746C">
            <w:pPr>
              <w:rPr>
                <w:rFonts w:ascii="Times New Roman" w:hAnsi="Times New Roman"/>
                <w:sz w:val="22"/>
                <w:szCs w:val="22"/>
                <w:lang w:val="lt-LT" w:eastAsia="lt-LT"/>
              </w:rPr>
            </w:pPr>
          </w:p>
          <w:p w14:paraId="17C17F8C"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8D"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Palpitacijos</w:t>
            </w:r>
          </w:p>
          <w:p w14:paraId="17C17F8E" w14:textId="77777777" w:rsidR="00D75E9B" w:rsidRPr="004C5A75" w:rsidRDefault="00D75E9B" w:rsidP="000B746C">
            <w:pPr>
              <w:rPr>
                <w:rFonts w:ascii="Times New Roman" w:hAnsi="Times New Roman"/>
                <w:sz w:val="22"/>
                <w:szCs w:val="22"/>
                <w:lang w:val="lt-LT" w:eastAsia="lt-LT"/>
              </w:rPr>
            </w:pPr>
          </w:p>
        </w:tc>
      </w:tr>
      <w:tr w:rsidR="00D75E9B" w:rsidRPr="008B736A" w14:paraId="17C17F95" w14:textId="77777777" w:rsidTr="000B746C">
        <w:tc>
          <w:tcPr>
            <w:tcW w:w="1166" w:type="pct"/>
            <w:tcBorders>
              <w:top w:val="nil"/>
              <w:left w:val="single" w:sz="4" w:space="0" w:color="auto"/>
              <w:bottom w:val="nil"/>
              <w:right w:val="single" w:sz="4" w:space="0" w:color="auto"/>
            </w:tcBorders>
            <w:tcMar>
              <w:top w:w="0" w:type="dxa"/>
              <w:left w:w="28" w:type="dxa"/>
              <w:bottom w:w="0" w:type="dxa"/>
              <w:right w:w="28" w:type="dxa"/>
            </w:tcMar>
          </w:tcPr>
          <w:p w14:paraId="17C17F90" w14:textId="77777777" w:rsidR="00D75E9B" w:rsidRPr="004C5A75" w:rsidRDefault="00D75E9B" w:rsidP="000B746C">
            <w:pPr>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91"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Nedažnas</w:t>
            </w:r>
          </w:p>
          <w:p w14:paraId="17C17F92"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93"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 xml:space="preserve">Miokardo infarktas, galimai dėl ryškios hipotenzijos didelę riziką turintiems  pacientams (žr. 4.4 skyrių), palpitacijos, tachikardija </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94"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Aritmija(įskaitant bradikardiją, skilvelinę tachikardiją ir prieširdžių virpėjimą)</w:t>
            </w:r>
          </w:p>
        </w:tc>
      </w:tr>
      <w:tr w:rsidR="00D75E9B" w:rsidRPr="004C5A75" w14:paraId="17C17F9A" w14:textId="77777777" w:rsidTr="000B746C">
        <w:tc>
          <w:tcPr>
            <w:tcW w:w="1166" w:type="pct"/>
            <w:tcBorders>
              <w:top w:val="nil"/>
              <w:left w:val="single" w:sz="4" w:space="0" w:color="auto"/>
              <w:bottom w:val="single" w:sz="4" w:space="0" w:color="auto"/>
              <w:right w:val="single" w:sz="4" w:space="0" w:color="auto"/>
            </w:tcBorders>
            <w:tcMar>
              <w:top w:w="0" w:type="dxa"/>
              <w:left w:w="28" w:type="dxa"/>
              <w:bottom w:w="0" w:type="dxa"/>
              <w:right w:w="28" w:type="dxa"/>
            </w:tcMar>
          </w:tcPr>
          <w:p w14:paraId="17C17F96" w14:textId="77777777" w:rsidR="00D75E9B" w:rsidRPr="004C5A75" w:rsidRDefault="00D75E9B" w:rsidP="000B746C">
            <w:pPr>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97"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98"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99"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Miokardo infarktas, aritmija</w:t>
            </w:r>
          </w:p>
        </w:tc>
      </w:tr>
      <w:tr w:rsidR="00D75E9B" w:rsidRPr="004C5A75" w14:paraId="17C17FAA"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7F9B" w14:textId="77777777" w:rsidR="00D75E9B" w:rsidRPr="004C5A75" w:rsidRDefault="00D75E9B" w:rsidP="000B746C">
            <w:pPr>
              <w:rPr>
                <w:rFonts w:ascii="Times New Roman" w:hAnsi="Times New Roman"/>
                <w:b/>
                <w:sz w:val="22"/>
                <w:lang w:val="lt-LT"/>
              </w:rPr>
            </w:pPr>
            <w:r w:rsidRPr="004C5A75">
              <w:rPr>
                <w:rFonts w:ascii="Times New Roman" w:hAnsi="Times New Roman"/>
                <w:b/>
                <w:sz w:val="22"/>
                <w:lang w:val="lt-LT"/>
              </w:rPr>
              <w:t>Kraujagyslių sutrikimai</w:t>
            </w:r>
          </w:p>
          <w:p w14:paraId="17C17F9C" w14:textId="77777777" w:rsidR="00D75E9B" w:rsidRPr="004C5A75" w:rsidRDefault="00D75E9B" w:rsidP="000B746C">
            <w:pPr>
              <w:rPr>
                <w:rFonts w:ascii="Times New Roman" w:hAnsi="Times New Roman"/>
                <w:b/>
                <w:sz w:val="22"/>
                <w:lang w:val="lt-LT"/>
              </w:rPr>
            </w:pPr>
          </w:p>
          <w:p w14:paraId="17C17F9D" w14:textId="77777777" w:rsidR="00D75E9B" w:rsidRPr="004C5A75" w:rsidRDefault="00D75E9B" w:rsidP="000B746C">
            <w:pPr>
              <w:rPr>
                <w:rFonts w:ascii="Times New Roman" w:hAnsi="Times New Roman"/>
                <w:b/>
                <w:sz w:val="22"/>
                <w:lang w:val="lt-LT"/>
              </w:rPr>
            </w:pPr>
          </w:p>
          <w:p w14:paraId="17C17F9E" w14:textId="77777777" w:rsidR="00D75E9B" w:rsidRPr="004C5A75" w:rsidRDefault="00D75E9B" w:rsidP="000B746C">
            <w:pPr>
              <w:rPr>
                <w:rFonts w:ascii="Times New Roman" w:hAnsi="Times New Roman"/>
                <w:b/>
                <w:sz w:val="22"/>
                <w:lang w:val="lt-LT"/>
              </w:rPr>
            </w:pPr>
          </w:p>
          <w:p w14:paraId="17C17F9F" w14:textId="77777777" w:rsidR="00D75E9B" w:rsidRPr="004C5A75" w:rsidRDefault="00D75E9B" w:rsidP="000B746C">
            <w:pPr>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A0"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Dažnas</w:t>
            </w:r>
          </w:p>
          <w:p w14:paraId="17C17FA1" w14:textId="77777777" w:rsidR="00D75E9B" w:rsidRPr="004C5A75" w:rsidRDefault="00D75E9B" w:rsidP="000B746C">
            <w:pPr>
              <w:rPr>
                <w:rFonts w:ascii="Times New Roman" w:hAnsi="Times New Roman"/>
                <w:sz w:val="22"/>
                <w:szCs w:val="22"/>
                <w:lang w:val="lt-LT" w:eastAsia="lt-LT"/>
              </w:rPr>
            </w:pPr>
          </w:p>
          <w:p w14:paraId="17C17FA2" w14:textId="77777777" w:rsidR="00D75E9B" w:rsidRPr="004C5A75" w:rsidRDefault="00D75E9B" w:rsidP="000B746C">
            <w:pPr>
              <w:rPr>
                <w:rFonts w:ascii="Times New Roman" w:hAnsi="Times New Roman"/>
                <w:sz w:val="22"/>
                <w:szCs w:val="22"/>
                <w:lang w:val="lt-LT" w:eastAsia="lt-LT"/>
              </w:rPr>
            </w:pPr>
          </w:p>
          <w:p w14:paraId="17C17FA3" w14:textId="77777777" w:rsidR="00D75E9B" w:rsidRPr="004C5A75" w:rsidRDefault="00D75E9B" w:rsidP="000B746C">
            <w:pPr>
              <w:rPr>
                <w:rFonts w:ascii="Times New Roman" w:hAnsi="Times New Roman"/>
                <w:sz w:val="22"/>
                <w:szCs w:val="22"/>
                <w:lang w:val="lt-LT" w:eastAsia="lt-LT"/>
              </w:rPr>
            </w:pPr>
          </w:p>
          <w:p w14:paraId="17C17FA4"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A5"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 xml:space="preserve">Ortostatinis poveikis (įskaitant hipotenziją </w:t>
            </w:r>
          </w:p>
          <w:p w14:paraId="17C17FA6" w14:textId="77777777" w:rsidR="00D75E9B" w:rsidRPr="004C5A75" w:rsidRDefault="00D75E9B" w:rsidP="000B746C">
            <w:pPr>
              <w:pStyle w:val="Pagrindinistekstas2"/>
              <w:spacing w:after="0" w:line="240" w:lineRule="auto"/>
              <w:rPr>
                <w:rFonts w:ascii="Times New Roman" w:hAnsi="Times New Roman"/>
                <w:bCs/>
                <w:sz w:val="22"/>
                <w:szCs w:val="22"/>
                <w:lang w:val="lt-LT" w:eastAsia="lt-LT"/>
              </w:rPr>
            </w:pPr>
          </w:p>
          <w:p w14:paraId="17C17FA7" w14:textId="77777777" w:rsidR="00D75E9B" w:rsidRPr="004C5A75" w:rsidRDefault="00D75E9B" w:rsidP="000B746C">
            <w:pPr>
              <w:pStyle w:val="Pagrindinistekstas2"/>
              <w:spacing w:after="0" w:line="240" w:lineRule="auto"/>
              <w:rPr>
                <w:rFonts w:ascii="Times New Roman" w:hAnsi="Times New Roman"/>
                <w:bCs/>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A8"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Paraudimas</w:t>
            </w:r>
          </w:p>
          <w:p w14:paraId="17C17FA9" w14:textId="77777777" w:rsidR="00D75E9B" w:rsidRPr="004C5A75" w:rsidRDefault="00D75E9B" w:rsidP="000B746C">
            <w:pPr>
              <w:rPr>
                <w:rFonts w:ascii="Times New Roman" w:hAnsi="Times New Roman"/>
                <w:sz w:val="22"/>
                <w:szCs w:val="22"/>
                <w:lang w:val="lt-LT" w:eastAsia="lt-LT"/>
              </w:rPr>
            </w:pPr>
          </w:p>
        </w:tc>
      </w:tr>
      <w:tr w:rsidR="00D75E9B" w:rsidRPr="004C5A75" w14:paraId="17C17FB0" w14:textId="77777777" w:rsidTr="000B746C">
        <w:tc>
          <w:tcPr>
            <w:tcW w:w="1166" w:type="pct"/>
            <w:tcBorders>
              <w:top w:val="nil"/>
              <w:left w:val="single" w:sz="4" w:space="0" w:color="auto"/>
              <w:bottom w:val="nil"/>
              <w:right w:val="single" w:sz="4" w:space="0" w:color="auto"/>
            </w:tcBorders>
            <w:tcMar>
              <w:top w:w="0" w:type="dxa"/>
              <w:left w:w="28" w:type="dxa"/>
              <w:bottom w:w="0" w:type="dxa"/>
              <w:right w:w="28" w:type="dxa"/>
            </w:tcMar>
          </w:tcPr>
          <w:p w14:paraId="17C17FAB"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AC"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Nedažnas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AD"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bCs/>
                <w:sz w:val="22"/>
                <w:szCs w:val="22"/>
                <w:lang w:val="lt-LT" w:eastAsia="lt-LT"/>
              </w:rPr>
              <w:t xml:space="preserve">Cerebrovaskulinis priepuolis </w:t>
            </w:r>
            <w:r w:rsidRPr="004C5A75">
              <w:rPr>
                <w:rFonts w:ascii="Times New Roman" w:hAnsi="Times New Roman"/>
                <w:sz w:val="22"/>
                <w:szCs w:val="22"/>
                <w:lang w:val="lt-LT" w:eastAsia="lt-LT"/>
              </w:rPr>
              <w:t xml:space="preserve">galimai dėl ryškios hipotenzijos didelę riziką turintiems pacientams </w:t>
            </w:r>
            <w:r w:rsidRPr="004C5A75">
              <w:rPr>
                <w:rFonts w:ascii="Times New Roman" w:hAnsi="Times New Roman"/>
                <w:bCs/>
                <w:sz w:val="22"/>
                <w:szCs w:val="22"/>
                <w:lang w:val="lt-LT" w:eastAsia="lt-LT"/>
              </w:rPr>
              <w:t xml:space="preserve">(žr. 4.4 skyrių), </w:t>
            </w:r>
            <w:r w:rsidRPr="004C5A75">
              <w:rPr>
                <w:rFonts w:ascii="Times New Roman" w:hAnsi="Times New Roman"/>
                <w:i/>
                <w:sz w:val="22"/>
                <w:szCs w:val="22"/>
                <w:lang w:val="lt-LT" w:eastAsia="lt-LT"/>
              </w:rPr>
              <w:t>Raynaud‘o</w:t>
            </w:r>
            <w:r w:rsidRPr="004C5A75">
              <w:rPr>
                <w:rFonts w:ascii="Times New Roman" w:hAnsi="Times New Roman"/>
                <w:sz w:val="22"/>
                <w:szCs w:val="22"/>
                <w:lang w:val="lt-LT" w:eastAsia="lt-LT"/>
              </w:rPr>
              <w:t xml:space="preserve"> fenomenas</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A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Hipotenzija</w:t>
            </w:r>
          </w:p>
          <w:p w14:paraId="17C17FAF" w14:textId="77777777" w:rsidR="00D75E9B" w:rsidRPr="004C5A75" w:rsidRDefault="00D75E9B" w:rsidP="000B746C">
            <w:pPr>
              <w:rPr>
                <w:rFonts w:ascii="Times New Roman" w:hAnsi="Times New Roman"/>
                <w:sz w:val="22"/>
                <w:szCs w:val="22"/>
                <w:lang w:val="lt-LT" w:eastAsia="lt-LT"/>
              </w:rPr>
            </w:pPr>
          </w:p>
        </w:tc>
      </w:tr>
      <w:tr w:rsidR="00D75E9B" w:rsidRPr="004C5A75" w14:paraId="17C17FB5" w14:textId="77777777" w:rsidTr="000B746C">
        <w:tc>
          <w:tcPr>
            <w:tcW w:w="1166" w:type="pct"/>
            <w:tcBorders>
              <w:top w:val="nil"/>
              <w:left w:val="single" w:sz="4" w:space="0" w:color="auto"/>
              <w:bottom w:val="single" w:sz="4" w:space="0" w:color="auto"/>
              <w:right w:val="single" w:sz="4" w:space="0" w:color="auto"/>
            </w:tcBorders>
            <w:tcMar>
              <w:top w:w="0" w:type="dxa"/>
              <w:left w:w="28" w:type="dxa"/>
              <w:bottom w:w="0" w:type="dxa"/>
              <w:right w:w="28" w:type="dxa"/>
            </w:tcMar>
          </w:tcPr>
          <w:p w14:paraId="17C17FB1"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B2"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B3"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B4"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Vaskulitas</w:t>
            </w:r>
          </w:p>
        </w:tc>
      </w:tr>
      <w:tr w:rsidR="00D75E9B" w:rsidRPr="004C5A75" w14:paraId="17C17FBF"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7FB6"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lastRenderedPageBreak/>
              <w:t>Kvėpavimo sistemos, krūtinės ląstos ir tarpuplaučio sutrikimai</w:t>
            </w:r>
          </w:p>
          <w:p w14:paraId="17C17FB7" w14:textId="77777777" w:rsidR="00D75E9B" w:rsidRPr="004C5A75" w:rsidRDefault="00D75E9B" w:rsidP="000B746C">
            <w:pPr>
              <w:rPr>
                <w:rFonts w:ascii="Times New Roman" w:hAnsi="Times New Roman"/>
                <w:b/>
                <w:sz w:val="22"/>
                <w:u w:val="single"/>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B8"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Dažnas</w:t>
            </w:r>
          </w:p>
          <w:p w14:paraId="17C17FB9"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BA"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Kosulys</w:t>
            </w:r>
          </w:p>
          <w:p w14:paraId="17C17FBB"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BC"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Dusulys</w:t>
            </w:r>
          </w:p>
          <w:p w14:paraId="17C17FBD" w14:textId="77777777" w:rsidR="00D75E9B" w:rsidRPr="004C5A75" w:rsidRDefault="00D75E9B" w:rsidP="000B746C">
            <w:pPr>
              <w:rPr>
                <w:rFonts w:ascii="Times New Roman" w:hAnsi="Times New Roman"/>
                <w:sz w:val="22"/>
                <w:szCs w:val="22"/>
                <w:lang w:val="lt-LT" w:eastAsia="lt-LT"/>
              </w:rPr>
            </w:pPr>
          </w:p>
          <w:p w14:paraId="17C17FBE" w14:textId="77777777" w:rsidR="00D75E9B" w:rsidRPr="004C5A75" w:rsidRDefault="00D75E9B" w:rsidP="000B746C">
            <w:pPr>
              <w:rPr>
                <w:rFonts w:ascii="Times New Roman" w:hAnsi="Times New Roman"/>
                <w:sz w:val="22"/>
                <w:szCs w:val="22"/>
                <w:lang w:val="lt-LT" w:eastAsia="lt-LT"/>
              </w:rPr>
            </w:pPr>
          </w:p>
        </w:tc>
      </w:tr>
      <w:tr w:rsidR="00D75E9B" w:rsidRPr="004C5A75" w14:paraId="17C17FC6" w14:textId="77777777" w:rsidTr="000B746C">
        <w:tc>
          <w:tcPr>
            <w:tcW w:w="1166" w:type="pct"/>
            <w:tcBorders>
              <w:top w:val="nil"/>
              <w:left w:val="single" w:sz="4" w:space="0" w:color="auto"/>
              <w:bottom w:val="nil"/>
              <w:right w:val="single" w:sz="4" w:space="0" w:color="auto"/>
            </w:tcBorders>
            <w:tcMar>
              <w:top w:w="0" w:type="dxa"/>
              <w:left w:w="28" w:type="dxa"/>
              <w:bottom w:w="0" w:type="dxa"/>
              <w:right w:w="28" w:type="dxa"/>
            </w:tcMar>
          </w:tcPr>
          <w:p w14:paraId="17C17FC0"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C1"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Nedažnas</w:t>
            </w:r>
          </w:p>
          <w:p w14:paraId="17C17FC2"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C3"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Rinitas</w:t>
            </w:r>
          </w:p>
          <w:p w14:paraId="17C17FC4"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C5"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Kosulys, rinitas</w:t>
            </w:r>
          </w:p>
        </w:tc>
      </w:tr>
      <w:tr w:rsidR="00D75E9B" w:rsidRPr="004C5A75" w14:paraId="17C17FCB" w14:textId="77777777" w:rsidTr="000B746C">
        <w:tc>
          <w:tcPr>
            <w:tcW w:w="1166" w:type="pct"/>
            <w:tcBorders>
              <w:top w:val="nil"/>
              <w:left w:val="single" w:sz="4" w:space="0" w:color="auto"/>
              <w:bottom w:val="single" w:sz="4" w:space="0" w:color="auto"/>
              <w:right w:val="single" w:sz="4" w:space="0" w:color="auto"/>
            </w:tcBorders>
            <w:tcMar>
              <w:top w:w="0" w:type="dxa"/>
              <w:left w:w="28" w:type="dxa"/>
              <w:bottom w:w="0" w:type="dxa"/>
              <w:right w:w="28" w:type="dxa"/>
            </w:tcMar>
          </w:tcPr>
          <w:p w14:paraId="17C17FC7"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C8"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C9"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Bronchų spazmas, alerginis alveolitas, eozinofilinė pneumonija, sinusitas</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CA" w14:textId="77777777" w:rsidR="00D75E9B" w:rsidRPr="004C5A75" w:rsidRDefault="00D75E9B" w:rsidP="000B746C">
            <w:pPr>
              <w:rPr>
                <w:rFonts w:ascii="Times New Roman" w:hAnsi="Times New Roman"/>
                <w:sz w:val="22"/>
                <w:szCs w:val="22"/>
                <w:lang w:val="lt-LT" w:eastAsia="lt-LT"/>
              </w:rPr>
            </w:pPr>
          </w:p>
        </w:tc>
      </w:tr>
      <w:tr w:rsidR="00D75E9B" w:rsidRPr="008B736A" w14:paraId="17C17FD6"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7FCC"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t>Virškinimo trakto sutrikimai</w:t>
            </w:r>
          </w:p>
          <w:p w14:paraId="17C17FCD" w14:textId="77777777" w:rsidR="00D75E9B" w:rsidRPr="004C5A75" w:rsidRDefault="00D75E9B" w:rsidP="000B746C">
            <w:pPr>
              <w:rPr>
                <w:rFonts w:ascii="Times New Roman" w:hAnsi="Times New Roman"/>
                <w:b/>
                <w:sz w:val="22"/>
                <w:u w:val="single"/>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C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Dažnas</w:t>
            </w:r>
          </w:p>
          <w:p w14:paraId="17C17FCF" w14:textId="77777777" w:rsidR="00D75E9B" w:rsidRPr="004C5A75" w:rsidRDefault="00D75E9B" w:rsidP="000B746C">
            <w:pPr>
              <w:rPr>
                <w:rFonts w:ascii="Times New Roman" w:hAnsi="Times New Roman"/>
                <w:sz w:val="22"/>
                <w:szCs w:val="22"/>
                <w:lang w:val="lt-LT" w:eastAsia="lt-LT"/>
              </w:rPr>
            </w:pPr>
          </w:p>
          <w:p w14:paraId="17C17FD0" w14:textId="77777777" w:rsidR="00D75E9B" w:rsidRPr="004C5A75" w:rsidRDefault="00D75E9B" w:rsidP="000B746C">
            <w:pPr>
              <w:rPr>
                <w:rFonts w:ascii="Times New Roman" w:hAnsi="Times New Roman"/>
                <w:sz w:val="22"/>
                <w:szCs w:val="22"/>
                <w:u w:val="single"/>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D1"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Viduriavimas, vėmimas</w:t>
            </w:r>
          </w:p>
          <w:p w14:paraId="17C17FD2" w14:textId="77777777" w:rsidR="00D75E9B" w:rsidRPr="004C5A75" w:rsidRDefault="00D75E9B" w:rsidP="000B746C">
            <w:pPr>
              <w:rPr>
                <w:rFonts w:ascii="Times New Roman" w:hAnsi="Times New Roman"/>
                <w:sz w:val="22"/>
                <w:szCs w:val="22"/>
                <w:lang w:val="lt-LT" w:eastAsia="lt-LT"/>
              </w:rPr>
            </w:pPr>
          </w:p>
          <w:p w14:paraId="17C17FD3"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D4"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Pilvo skausmas, pykinimas, skrandžio veiklos sutrikimas, pakitusi žarnyno veikla (viduriavimas ir vidurių užkietėjimas)</w:t>
            </w:r>
          </w:p>
          <w:p w14:paraId="17C17FD5" w14:textId="77777777" w:rsidR="00D75E9B" w:rsidRPr="004C5A75" w:rsidRDefault="00D75E9B" w:rsidP="000B746C">
            <w:pPr>
              <w:rPr>
                <w:rFonts w:ascii="Times New Roman" w:hAnsi="Times New Roman"/>
                <w:sz w:val="22"/>
                <w:szCs w:val="22"/>
                <w:u w:val="single"/>
                <w:lang w:val="lt-LT" w:eastAsia="lt-LT"/>
              </w:rPr>
            </w:pPr>
          </w:p>
        </w:tc>
      </w:tr>
      <w:tr w:rsidR="00D75E9B" w:rsidRPr="004C5A75" w14:paraId="17C17FE0" w14:textId="77777777" w:rsidTr="000B746C">
        <w:tc>
          <w:tcPr>
            <w:tcW w:w="1166" w:type="pct"/>
            <w:tcBorders>
              <w:top w:val="nil"/>
              <w:left w:val="single" w:sz="4" w:space="0" w:color="auto"/>
              <w:bottom w:val="nil"/>
              <w:right w:val="single" w:sz="4" w:space="0" w:color="auto"/>
            </w:tcBorders>
            <w:tcMar>
              <w:top w:w="0" w:type="dxa"/>
              <w:left w:w="28" w:type="dxa"/>
              <w:bottom w:w="0" w:type="dxa"/>
              <w:right w:w="28" w:type="dxa"/>
            </w:tcMar>
          </w:tcPr>
          <w:p w14:paraId="17C17FD7"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D8"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Nedažnas</w:t>
            </w:r>
          </w:p>
          <w:p w14:paraId="17C17FD9" w14:textId="77777777" w:rsidR="00D75E9B" w:rsidRPr="004C5A75" w:rsidRDefault="00D75E9B" w:rsidP="000B746C">
            <w:pPr>
              <w:rPr>
                <w:rFonts w:ascii="Times New Roman" w:hAnsi="Times New Roman"/>
                <w:sz w:val="22"/>
                <w:szCs w:val="22"/>
                <w:lang w:val="lt-LT" w:eastAsia="lt-LT"/>
              </w:rPr>
            </w:pPr>
          </w:p>
          <w:p w14:paraId="17C17FDA"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DB"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Pykinimas, pilvo skausmas, virškinimo sutrikimas</w:t>
            </w:r>
          </w:p>
          <w:p w14:paraId="17C17FDC" w14:textId="77777777" w:rsidR="00D75E9B" w:rsidRPr="004C5A75" w:rsidRDefault="00D75E9B" w:rsidP="000B746C">
            <w:pPr>
              <w:rPr>
                <w:rFonts w:ascii="Times New Roman" w:hAnsi="Times New Roman"/>
                <w:sz w:val="22"/>
                <w:szCs w:val="22"/>
                <w:lang w:val="lt-LT" w:eastAsia="lt-LT"/>
              </w:rPr>
            </w:pPr>
          </w:p>
          <w:p w14:paraId="17C17FDD"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D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Vėmimas, burnos džiūvimas</w:t>
            </w:r>
          </w:p>
          <w:p w14:paraId="17C17FDF" w14:textId="77777777" w:rsidR="00D75E9B" w:rsidRPr="004C5A75" w:rsidRDefault="00D75E9B" w:rsidP="000B746C">
            <w:pPr>
              <w:rPr>
                <w:rFonts w:ascii="Times New Roman" w:hAnsi="Times New Roman"/>
                <w:sz w:val="22"/>
                <w:szCs w:val="22"/>
                <w:lang w:val="lt-LT" w:eastAsia="lt-LT"/>
              </w:rPr>
            </w:pPr>
          </w:p>
        </w:tc>
      </w:tr>
      <w:tr w:rsidR="00D75E9B" w:rsidRPr="004C5A75" w14:paraId="17C17FE7" w14:textId="77777777" w:rsidTr="000B746C">
        <w:tc>
          <w:tcPr>
            <w:tcW w:w="1166" w:type="pct"/>
            <w:tcBorders>
              <w:top w:val="nil"/>
              <w:left w:val="single" w:sz="4" w:space="0" w:color="auto"/>
              <w:bottom w:val="nil"/>
              <w:right w:val="single" w:sz="4" w:space="0" w:color="auto"/>
            </w:tcBorders>
            <w:tcMar>
              <w:top w:w="0" w:type="dxa"/>
              <w:left w:w="28" w:type="dxa"/>
              <w:bottom w:w="0" w:type="dxa"/>
              <w:right w:w="28" w:type="dxa"/>
            </w:tcMar>
          </w:tcPr>
          <w:p w14:paraId="17C17FE1"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E2"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Retas</w:t>
            </w:r>
          </w:p>
          <w:p w14:paraId="17C17FE3"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E4"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Burnos džiūvimas</w:t>
            </w:r>
          </w:p>
          <w:p w14:paraId="17C17FE5"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E6" w14:textId="77777777" w:rsidR="00D75E9B" w:rsidRPr="004C5A75" w:rsidRDefault="00D75E9B" w:rsidP="000B746C">
            <w:pPr>
              <w:rPr>
                <w:rFonts w:ascii="Times New Roman" w:hAnsi="Times New Roman"/>
                <w:sz w:val="22"/>
                <w:szCs w:val="22"/>
                <w:lang w:val="lt-LT" w:eastAsia="lt-LT"/>
              </w:rPr>
            </w:pPr>
          </w:p>
        </w:tc>
      </w:tr>
      <w:tr w:rsidR="00D75E9B" w:rsidRPr="004C5A75" w14:paraId="17C17FEC" w14:textId="77777777" w:rsidTr="000B746C">
        <w:tc>
          <w:tcPr>
            <w:tcW w:w="1166" w:type="pct"/>
            <w:tcBorders>
              <w:top w:val="nil"/>
              <w:left w:val="single" w:sz="4" w:space="0" w:color="auto"/>
              <w:bottom w:val="single" w:sz="4" w:space="0" w:color="auto"/>
              <w:right w:val="single" w:sz="4" w:space="0" w:color="auto"/>
            </w:tcBorders>
            <w:tcMar>
              <w:top w:w="0" w:type="dxa"/>
              <w:left w:w="28" w:type="dxa"/>
              <w:bottom w:w="0" w:type="dxa"/>
              <w:right w:w="28" w:type="dxa"/>
            </w:tcMar>
          </w:tcPr>
          <w:p w14:paraId="17C17FE8"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E9"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EA"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Pankreatitas, žarnyno angioneurozinė edema</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EB"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Pankreatitas, gastritas, dantenų hiperplazija</w:t>
            </w:r>
          </w:p>
        </w:tc>
      </w:tr>
      <w:tr w:rsidR="00D75E9B" w:rsidRPr="004C5A75" w14:paraId="17C17FF2" w14:textId="77777777" w:rsidTr="000B746C">
        <w:tc>
          <w:tcPr>
            <w:tcW w:w="116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ED"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t>Kepenų, tulžies pūslės ir latakų sutrikimai</w:t>
            </w:r>
          </w:p>
          <w:p w14:paraId="17C17FEE" w14:textId="77777777" w:rsidR="00D75E9B" w:rsidRPr="004C5A75" w:rsidRDefault="00D75E9B" w:rsidP="000B746C">
            <w:pPr>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EF"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F0"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hepatoceliulinis arba cholestazinis hepatitas, cholestazinė gelta ir kepenų nepakankamumas (žr. 4.4 skyrių)</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7FF1"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Hepatitas, gelta, Padidėjęs kepenų fermentų aktyvumas**</w:t>
            </w:r>
            <w:r w:rsidRPr="0026536C">
              <w:rPr>
                <w:lang w:val="lt-LT"/>
              </w:rPr>
              <w:t xml:space="preserve"> </w:t>
            </w:r>
          </w:p>
        </w:tc>
      </w:tr>
      <w:tr w:rsidR="00D75E9B" w:rsidRPr="004C5A75" w14:paraId="17C17FFC"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7FF3"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t>Odos ir poodinio audinio sutrikimai</w:t>
            </w:r>
          </w:p>
          <w:p w14:paraId="17C17FF4" w14:textId="77777777" w:rsidR="00D75E9B" w:rsidRPr="004C5A75" w:rsidRDefault="00D75E9B" w:rsidP="000B746C">
            <w:pPr>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F5" w14:textId="77777777" w:rsidR="00D75E9B" w:rsidRPr="004C5A75" w:rsidRDefault="00D75E9B" w:rsidP="000B746C">
            <w:pPr>
              <w:pStyle w:val="Pavadinimas"/>
              <w:jc w:val="left"/>
              <w:rPr>
                <w:rFonts w:ascii="Times New Roman" w:hAnsi="Times New Roman"/>
                <w:sz w:val="22"/>
                <w:szCs w:val="22"/>
                <w:lang w:val="lt-LT" w:eastAsia="lt-LT"/>
              </w:rPr>
            </w:pPr>
            <w:r w:rsidRPr="004C5A75">
              <w:rPr>
                <w:rFonts w:ascii="Times New Roman" w:hAnsi="Times New Roman"/>
                <w:sz w:val="22"/>
                <w:szCs w:val="22"/>
                <w:lang w:val="lt-LT" w:eastAsia="lt-LT"/>
              </w:rPr>
              <w:t>Nedažnas</w:t>
            </w:r>
          </w:p>
          <w:p w14:paraId="17C17FF6" w14:textId="77777777" w:rsidR="00D75E9B" w:rsidRPr="004C5A75" w:rsidRDefault="00D75E9B" w:rsidP="000B746C">
            <w:pPr>
              <w:rPr>
                <w:rFonts w:ascii="Times New Roman" w:hAnsi="Times New Roman"/>
                <w:sz w:val="22"/>
                <w:szCs w:val="22"/>
                <w:u w:val="single"/>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F7"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Bėrimas niežulys</w:t>
            </w:r>
          </w:p>
          <w:p w14:paraId="17C17FF8" w14:textId="77777777" w:rsidR="00D75E9B" w:rsidRPr="004C5A75" w:rsidRDefault="00D75E9B" w:rsidP="000B746C">
            <w:pPr>
              <w:rPr>
                <w:rFonts w:ascii="Times New Roman" w:hAnsi="Times New Roman"/>
                <w:sz w:val="22"/>
                <w:szCs w:val="22"/>
                <w:lang w:val="lt-LT" w:eastAsia="lt-LT"/>
              </w:rPr>
            </w:pPr>
          </w:p>
          <w:p w14:paraId="17C17FF9"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 xml:space="preserve"> </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FA"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 xml:space="preserve">Alopecija, bėrimas, egzantema, purpura, odos spalvos pokyčiai, prakaitavimas, niežulys,  </w:t>
            </w:r>
          </w:p>
          <w:p w14:paraId="17C17FFB"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dilgėlinė</w:t>
            </w:r>
          </w:p>
        </w:tc>
      </w:tr>
      <w:tr w:rsidR="00D75E9B" w:rsidRPr="008B736A" w14:paraId="17C18002" w14:textId="77777777" w:rsidTr="000B746C">
        <w:tc>
          <w:tcPr>
            <w:tcW w:w="1166" w:type="pct"/>
            <w:tcBorders>
              <w:top w:val="nil"/>
              <w:left w:val="single" w:sz="4" w:space="0" w:color="auto"/>
              <w:bottom w:val="nil"/>
              <w:right w:val="single" w:sz="4" w:space="0" w:color="auto"/>
            </w:tcBorders>
            <w:tcMar>
              <w:top w:w="0" w:type="dxa"/>
              <w:left w:w="28" w:type="dxa"/>
              <w:bottom w:w="0" w:type="dxa"/>
              <w:right w:w="28" w:type="dxa"/>
            </w:tcMar>
          </w:tcPr>
          <w:p w14:paraId="17C17FFD"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7FF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Retas</w:t>
            </w:r>
          </w:p>
          <w:p w14:paraId="17C17FFF"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00" w14:textId="77777777" w:rsidR="00D75E9B" w:rsidRPr="004C5A75" w:rsidRDefault="00D75E9B" w:rsidP="000B746C">
            <w:pPr>
              <w:rPr>
                <w:rFonts w:ascii="Times New Roman" w:hAnsi="Times New Roman"/>
                <w:sz w:val="22"/>
                <w:szCs w:val="22"/>
                <w:u w:val="single"/>
                <w:lang w:val="lt-LT" w:eastAsia="lt-LT"/>
              </w:rPr>
            </w:pPr>
            <w:r w:rsidRPr="004C5A75">
              <w:rPr>
                <w:rFonts w:ascii="Times New Roman" w:hAnsi="Times New Roman"/>
                <w:sz w:val="22"/>
                <w:szCs w:val="22"/>
                <w:lang w:val="lt-LT" w:eastAsia="lt-LT"/>
              </w:rPr>
              <w:t xml:space="preserve">Psoriazė,  dilgėlinė, alopecija,  padidėjęs jautrumas/angioneurozinė veido, galūnių, lūpų, liežuvio, balso plyšio ir (arba) gerklų edema (žr. 4.4 skyrių) </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01" w14:textId="77777777" w:rsidR="00D75E9B" w:rsidRPr="004C5A75" w:rsidRDefault="00D75E9B" w:rsidP="000B746C">
            <w:pPr>
              <w:rPr>
                <w:rFonts w:ascii="Times New Roman" w:hAnsi="Times New Roman"/>
                <w:sz w:val="22"/>
                <w:szCs w:val="22"/>
                <w:lang w:val="lt-LT" w:eastAsia="lt-LT"/>
              </w:rPr>
            </w:pPr>
          </w:p>
        </w:tc>
      </w:tr>
      <w:tr w:rsidR="0084699D" w:rsidRPr="008B736A" w14:paraId="17C18008" w14:textId="77777777" w:rsidTr="00C10EA9">
        <w:tc>
          <w:tcPr>
            <w:tcW w:w="1166" w:type="pct"/>
            <w:vMerge w:val="restart"/>
            <w:tcBorders>
              <w:top w:val="nil"/>
              <w:left w:val="single" w:sz="4" w:space="0" w:color="auto"/>
              <w:right w:val="single" w:sz="4" w:space="0" w:color="auto"/>
            </w:tcBorders>
            <w:tcMar>
              <w:top w:w="0" w:type="dxa"/>
              <w:left w:w="28" w:type="dxa"/>
              <w:bottom w:w="0" w:type="dxa"/>
              <w:right w:w="28" w:type="dxa"/>
            </w:tcMar>
          </w:tcPr>
          <w:p w14:paraId="17C18003" w14:textId="77777777" w:rsidR="0084699D" w:rsidRPr="004C5A75" w:rsidRDefault="0084699D"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04" w14:textId="77777777" w:rsidR="0084699D" w:rsidRPr="004C5A75" w:rsidRDefault="0084699D"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05" w14:textId="77777777" w:rsidR="0084699D" w:rsidRPr="004C5A75" w:rsidRDefault="0084699D" w:rsidP="000B746C">
            <w:pPr>
              <w:rPr>
                <w:rFonts w:ascii="Times New Roman" w:hAnsi="Times New Roman"/>
                <w:sz w:val="22"/>
                <w:szCs w:val="22"/>
                <w:lang w:val="lt-LT" w:eastAsia="lt-LT"/>
              </w:rPr>
            </w:pPr>
            <w:r w:rsidRPr="004C5A75">
              <w:rPr>
                <w:rFonts w:ascii="Times New Roman" w:hAnsi="Times New Roman"/>
                <w:sz w:val="22"/>
                <w:szCs w:val="22"/>
                <w:lang w:val="lt-LT" w:eastAsia="lt-LT"/>
              </w:rPr>
              <w:t>Toksinė epidermio nekrolizė, Stevens-Johnson‘o sindromas, daugiaformė eritema, pūslinė, prakaitavimas,</w:t>
            </w:r>
          </w:p>
          <w:p w14:paraId="17C18006" w14:textId="77777777" w:rsidR="0084699D" w:rsidRPr="004C5A75" w:rsidRDefault="0084699D" w:rsidP="000B746C">
            <w:pPr>
              <w:rPr>
                <w:rFonts w:ascii="Times New Roman" w:hAnsi="Times New Roman"/>
                <w:sz w:val="22"/>
                <w:szCs w:val="22"/>
                <w:u w:val="single"/>
                <w:lang w:val="lt-LT" w:eastAsia="lt-LT"/>
              </w:rPr>
            </w:pPr>
            <w:r w:rsidRPr="004C5A75">
              <w:rPr>
                <w:rFonts w:ascii="Times New Roman" w:hAnsi="Times New Roman"/>
                <w:sz w:val="22"/>
                <w:szCs w:val="22"/>
                <w:lang w:val="lt-LT" w:eastAsia="lt-LT"/>
              </w:rPr>
              <w:t xml:space="preserve"> odos pseudolimfoma*</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07" w14:textId="77777777" w:rsidR="0084699D" w:rsidRPr="004C5A75" w:rsidRDefault="0084699D"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Daugiaformė eritema, angioneurozinė edema, eksfoliacinis dermatitas, Stivenso-Džonsono (</w:t>
            </w:r>
            <w:r w:rsidRPr="004C5A75">
              <w:rPr>
                <w:rFonts w:ascii="Times New Roman" w:hAnsi="Times New Roman"/>
                <w:i/>
                <w:iCs/>
                <w:sz w:val="22"/>
                <w:szCs w:val="22"/>
                <w:lang w:val="lt-LT" w:eastAsia="lt-LT"/>
              </w:rPr>
              <w:t>Stevens-Johnson</w:t>
            </w:r>
            <w:r w:rsidRPr="004C5A75">
              <w:rPr>
                <w:rFonts w:ascii="Times New Roman" w:hAnsi="Times New Roman"/>
                <w:sz w:val="22"/>
                <w:szCs w:val="22"/>
                <w:lang w:val="lt-LT" w:eastAsia="lt-LT"/>
              </w:rPr>
              <w:t>) sindromas, Kvinkės (</w:t>
            </w:r>
            <w:r w:rsidRPr="004C5A75">
              <w:rPr>
                <w:rFonts w:ascii="Times New Roman" w:hAnsi="Times New Roman"/>
                <w:i/>
                <w:iCs/>
                <w:sz w:val="22"/>
                <w:szCs w:val="22"/>
                <w:lang w:val="lt-LT" w:eastAsia="lt-LT"/>
              </w:rPr>
              <w:t>Quincke</w:t>
            </w:r>
            <w:r w:rsidRPr="004C5A75">
              <w:rPr>
                <w:rFonts w:ascii="Times New Roman" w:hAnsi="Times New Roman"/>
                <w:sz w:val="22"/>
                <w:szCs w:val="22"/>
                <w:lang w:val="lt-LT" w:eastAsia="lt-LT"/>
              </w:rPr>
              <w:t>) edema, padidėjęs jautrumas šviesai</w:t>
            </w:r>
          </w:p>
        </w:tc>
      </w:tr>
      <w:tr w:rsidR="0084699D" w:rsidRPr="00BE67C7" w14:paraId="17C1800D" w14:textId="77777777" w:rsidTr="00C10EA9">
        <w:tc>
          <w:tcPr>
            <w:tcW w:w="1166" w:type="pct"/>
            <w:vMerge/>
            <w:tcBorders>
              <w:left w:val="single" w:sz="4" w:space="0" w:color="auto"/>
              <w:bottom w:val="single" w:sz="4" w:space="0" w:color="auto"/>
              <w:right w:val="single" w:sz="4" w:space="0" w:color="auto"/>
            </w:tcBorders>
            <w:tcMar>
              <w:top w:w="0" w:type="dxa"/>
              <w:left w:w="28" w:type="dxa"/>
              <w:bottom w:w="0" w:type="dxa"/>
              <w:right w:w="28" w:type="dxa"/>
            </w:tcMar>
          </w:tcPr>
          <w:p w14:paraId="17C18009" w14:textId="77777777" w:rsidR="0084699D" w:rsidRPr="004C5A75" w:rsidRDefault="0084699D"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0A" w14:textId="77777777" w:rsidR="0084699D" w:rsidRPr="004C5A75" w:rsidRDefault="0084699D" w:rsidP="000B746C">
            <w:pPr>
              <w:rPr>
                <w:rFonts w:ascii="Times New Roman" w:hAnsi="Times New Roman"/>
                <w:sz w:val="22"/>
                <w:szCs w:val="22"/>
                <w:lang w:val="lt-LT" w:eastAsia="lt-LT"/>
              </w:rPr>
            </w:pPr>
            <w:r>
              <w:rPr>
                <w:rFonts w:ascii="Times New Roman" w:hAnsi="Times New Roman"/>
                <w:sz w:val="22"/>
                <w:szCs w:val="22"/>
                <w:lang w:val="lt-LT" w:eastAsia="lt-LT"/>
              </w:rPr>
              <w:t>Dažnis nežinomas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0B" w14:textId="77777777" w:rsidR="0084699D" w:rsidRPr="004C5A75" w:rsidRDefault="0084699D"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0C" w14:textId="77777777" w:rsidR="0084699D" w:rsidRPr="004C5A75" w:rsidRDefault="0084699D" w:rsidP="000B746C">
            <w:pPr>
              <w:rPr>
                <w:rFonts w:ascii="Times New Roman" w:hAnsi="Times New Roman"/>
                <w:sz w:val="22"/>
                <w:szCs w:val="22"/>
                <w:lang w:val="lt-LT" w:eastAsia="lt-LT"/>
              </w:rPr>
            </w:pPr>
            <w:r w:rsidRPr="00467892">
              <w:rPr>
                <w:rFonts w:ascii="Times New Roman" w:hAnsi="Times New Roman"/>
                <w:sz w:val="22"/>
                <w:szCs w:val="22"/>
                <w:lang w:val="lt-LT" w:eastAsia="lt-LT"/>
              </w:rPr>
              <w:t>Toksinė epidermio nekrolizė</w:t>
            </w:r>
          </w:p>
        </w:tc>
      </w:tr>
      <w:tr w:rsidR="00D75E9B" w:rsidRPr="004C5A75" w14:paraId="17C18013" w14:textId="77777777" w:rsidTr="000B746C">
        <w:trPr>
          <w:trHeight w:val="505"/>
        </w:trPr>
        <w:tc>
          <w:tcPr>
            <w:tcW w:w="1166" w:type="pct"/>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14:paraId="17C1800E"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lastRenderedPageBreak/>
              <w:t>Skeleto, raumenų ir jungiamojo audinio sutrikimai</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0F"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Dažnas</w:t>
            </w:r>
          </w:p>
          <w:p w14:paraId="17C18010" w14:textId="77777777" w:rsidR="00D75E9B" w:rsidRPr="004C5A75" w:rsidRDefault="00D75E9B" w:rsidP="000B746C">
            <w:pPr>
              <w:rPr>
                <w:rFonts w:ascii="Times New Roman" w:hAnsi="Times New Roman"/>
                <w:sz w:val="22"/>
                <w:szCs w:val="22"/>
                <w:u w:val="single"/>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11"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12"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 xml:space="preserve">Kulkšnių edema, raumenų spazmai </w:t>
            </w:r>
          </w:p>
        </w:tc>
      </w:tr>
      <w:tr w:rsidR="00D75E9B" w:rsidRPr="004C5A75" w14:paraId="17C18018" w14:textId="77777777" w:rsidTr="000B746C">
        <w:trPr>
          <w:trHeight w:val="1010"/>
        </w:trPr>
        <w:tc>
          <w:tcPr>
            <w:tcW w:w="1166" w:type="pct"/>
            <w:vMerge/>
            <w:tcBorders>
              <w:left w:val="single" w:sz="4" w:space="0" w:color="auto"/>
              <w:bottom w:val="single" w:sz="4" w:space="0" w:color="auto"/>
              <w:right w:val="single" w:sz="4" w:space="0" w:color="auto"/>
            </w:tcBorders>
            <w:tcMar>
              <w:top w:w="0" w:type="dxa"/>
              <w:left w:w="28" w:type="dxa"/>
              <w:bottom w:w="0" w:type="dxa"/>
              <w:right w:w="28" w:type="dxa"/>
            </w:tcMar>
            <w:hideMark/>
          </w:tcPr>
          <w:p w14:paraId="17C18014"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15"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Nedažnas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16"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17"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Artralgija, mialgija, nugaros skausmas</w:t>
            </w:r>
          </w:p>
        </w:tc>
      </w:tr>
      <w:tr w:rsidR="00D75E9B" w:rsidRPr="004C5A75" w14:paraId="17C18022"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8019"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t>Inkstų ir šlapimo takų sutrikimai</w:t>
            </w:r>
          </w:p>
          <w:p w14:paraId="17C1801A" w14:textId="77777777" w:rsidR="00D75E9B" w:rsidRPr="004C5A75" w:rsidRDefault="00D75E9B" w:rsidP="000B746C">
            <w:pPr>
              <w:rPr>
                <w:rFonts w:ascii="Times New Roman" w:hAnsi="Times New Roman"/>
                <w:b/>
                <w:sz w:val="22"/>
                <w:u w:val="single"/>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1B"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Dažnas</w:t>
            </w:r>
          </w:p>
          <w:p w14:paraId="17C1801C" w14:textId="77777777" w:rsidR="00D75E9B" w:rsidRPr="004C5A75" w:rsidRDefault="00D75E9B" w:rsidP="000B746C">
            <w:pPr>
              <w:rPr>
                <w:rFonts w:ascii="Times New Roman" w:hAnsi="Times New Roman"/>
                <w:sz w:val="22"/>
                <w:szCs w:val="22"/>
                <w:lang w:val="lt-LT" w:eastAsia="lt-LT"/>
              </w:rPr>
            </w:pPr>
          </w:p>
          <w:p w14:paraId="17C1801D" w14:textId="77777777" w:rsidR="00D75E9B" w:rsidRPr="004C5A75" w:rsidRDefault="00D75E9B" w:rsidP="000B746C">
            <w:pPr>
              <w:rPr>
                <w:rFonts w:ascii="Times New Roman" w:hAnsi="Times New Roman"/>
                <w:sz w:val="22"/>
                <w:szCs w:val="22"/>
                <w:u w:val="single"/>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1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Inkstų funkcijos sutrikimas</w:t>
            </w:r>
          </w:p>
          <w:p w14:paraId="17C1801F"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20" w14:textId="77777777" w:rsidR="00D75E9B" w:rsidRPr="004C5A75" w:rsidRDefault="00D75E9B" w:rsidP="000B746C">
            <w:pPr>
              <w:rPr>
                <w:rFonts w:ascii="Times New Roman" w:hAnsi="Times New Roman"/>
                <w:sz w:val="22"/>
                <w:szCs w:val="22"/>
                <w:u w:val="single"/>
                <w:lang w:val="lt-LT" w:eastAsia="lt-LT"/>
              </w:rPr>
            </w:pPr>
          </w:p>
          <w:p w14:paraId="17C18021" w14:textId="77777777" w:rsidR="00D75E9B" w:rsidRPr="004C5A75" w:rsidRDefault="00D75E9B" w:rsidP="000B746C">
            <w:pPr>
              <w:rPr>
                <w:rFonts w:ascii="Times New Roman" w:hAnsi="Times New Roman"/>
                <w:sz w:val="22"/>
                <w:szCs w:val="22"/>
                <w:lang w:val="lt-LT" w:eastAsia="lt-LT"/>
              </w:rPr>
            </w:pPr>
          </w:p>
        </w:tc>
      </w:tr>
      <w:tr w:rsidR="00D75E9B" w:rsidRPr="008B736A" w14:paraId="17C18028" w14:textId="77777777" w:rsidTr="000B746C">
        <w:tc>
          <w:tcPr>
            <w:tcW w:w="1166" w:type="pct"/>
            <w:tcBorders>
              <w:top w:val="nil"/>
              <w:left w:val="single" w:sz="4" w:space="0" w:color="auto"/>
              <w:bottom w:val="nil"/>
              <w:right w:val="single" w:sz="4" w:space="0" w:color="auto"/>
            </w:tcBorders>
            <w:tcMar>
              <w:top w:w="0" w:type="dxa"/>
              <w:left w:w="28" w:type="dxa"/>
              <w:bottom w:w="0" w:type="dxa"/>
              <w:right w:w="28" w:type="dxa"/>
            </w:tcMar>
          </w:tcPr>
          <w:p w14:paraId="17C18023"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24"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Nedažnas</w:t>
            </w:r>
          </w:p>
          <w:p w14:paraId="17C18025"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26"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27"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Šlapinimosi sutrikimai, naktinis šlapinimasis, padažnėjęs šlapinimasis</w:t>
            </w:r>
          </w:p>
        </w:tc>
      </w:tr>
      <w:tr w:rsidR="00D75E9B" w:rsidRPr="004C5A75" w14:paraId="17C1802F" w14:textId="77777777" w:rsidTr="000B746C">
        <w:tc>
          <w:tcPr>
            <w:tcW w:w="1166" w:type="pct"/>
            <w:tcBorders>
              <w:top w:val="nil"/>
              <w:left w:val="single" w:sz="4" w:space="0" w:color="auto"/>
              <w:bottom w:val="nil"/>
              <w:right w:val="single" w:sz="4" w:space="0" w:color="auto"/>
            </w:tcBorders>
            <w:tcMar>
              <w:top w:w="0" w:type="dxa"/>
              <w:left w:w="28" w:type="dxa"/>
              <w:bottom w:w="0" w:type="dxa"/>
              <w:right w:w="28" w:type="dxa"/>
            </w:tcMar>
          </w:tcPr>
          <w:p w14:paraId="17C18029"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2A"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Retas</w:t>
            </w:r>
          </w:p>
          <w:p w14:paraId="17C1802B" w14:textId="77777777" w:rsidR="00D75E9B" w:rsidRPr="004C5A75" w:rsidRDefault="00D75E9B" w:rsidP="000B746C">
            <w:pPr>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2C"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Ūminis inkstų nepakankamumas, uremija</w:t>
            </w:r>
          </w:p>
          <w:p w14:paraId="17C1802D"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2E" w14:textId="77777777" w:rsidR="00D75E9B" w:rsidRPr="004C5A75" w:rsidRDefault="00D75E9B" w:rsidP="000B746C">
            <w:pPr>
              <w:rPr>
                <w:rFonts w:ascii="Times New Roman" w:hAnsi="Times New Roman"/>
                <w:sz w:val="22"/>
                <w:szCs w:val="22"/>
                <w:lang w:val="lt-LT" w:eastAsia="lt-LT"/>
              </w:rPr>
            </w:pPr>
          </w:p>
        </w:tc>
      </w:tr>
      <w:tr w:rsidR="00D75E9B" w:rsidRPr="004C5A75" w14:paraId="17C18034" w14:textId="77777777" w:rsidTr="000B746C">
        <w:tc>
          <w:tcPr>
            <w:tcW w:w="1166" w:type="pct"/>
            <w:tcBorders>
              <w:top w:val="nil"/>
              <w:left w:val="single" w:sz="4" w:space="0" w:color="auto"/>
              <w:bottom w:val="single" w:sz="4" w:space="0" w:color="auto"/>
              <w:right w:val="single" w:sz="4" w:space="0" w:color="auto"/>
            </w:tcBorders>
            <w:tcMar>
              <w:top w:w="0" w:type="dxa"/>
              <w:left w:w="28" w:type="dxa"/>
              <w:bottom w:w="0" w:type="dxa"/>
              <w:right w:w="28" w:type="dxa"/>
            </w:tcMar>
          </w:tcPr>
          <w:p w14:paraId="17C18030"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31"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32"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Oligurija arba anurija</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33" w14:textId="77777777" w:rsidR="00D75E9B" w:rsidRPr="004C5A75" w:rsidRDefault="00D75E9B" w:rsidP="000B746C">
            <w:pPr>
              <w:rPr>
                <w:rFonts w:ascii="Times New Roman" w:hAnsi="Times New Roman"/>
                <w:sz w:val="22"/>
                <w:szCs w:val="22"/>
                <w:lang w:val="lt-LT" w:eastAsia="lt-LT"/>
              </w:rPr>
            </w:pPr>
          </w:p>
        </w:tc>
      </w:tr>
      <w:tr w:rsidR="00D75E9B" w:rsidRPr="004C5A75" w14:paraId="17C1803B"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hideMark/>
          </w:tcPr>
          <w:p w14:paraId="17C18035" w14:textId="77777777" w:rsidR="00D75E9B" w:rsidRPr="004C5A75" w:rsidRDefault="00D75E9B" w:rsidP="000B746C">
            <w:pPr>
              <w:rPr>
                <w:rFonts w:ascii="Times New Roman" w:hAnsi="Times New Roman"/>
                <w:b/>
                <w:sz w:val="22"/>
                <w:u w:val="single"/>
                <w:lang w:val="lt-LT"/>
              </w:rPr>
            </w:pPr>
            <w:r w:rsidRPr="004C5A75">
              <w:rPr>
                <w:rFonts w:ascii="Times New Roman" w:hAnsi="Times New Roman"/>
                <w:b/>
                <w:sz w:val="22"/>
                <w:lang w:val="lt-LT"/>
              </w:rPr>
              <w:t xml:space="preserve">Lytinės sistemos ir krūties sutrikimai </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36"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Nedažnas</w:t>
            </w:r>
          </w:p>
          <w:p w14:paraId="17C18037" w14:textId="77777777" w:rsidR="00D75E9B" w:rsidRPr="004C5A75" w:rsidRDefault="00D75E9B" w:rsidP="000B746C">
            <w:pPr>
              <w:rPr>
                <w:rFonts w:ascii="Times New Roman" w:hAnsi="Times New Roman"/>
                <w:sz w:val="22"/>
                <w:szCs w:val="22"/>
                <w:u w:val="single"/>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38"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Impotencija</w:t>
            </w:r>
          </w:p>
          <w:p w14:paraId="17C18039"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3A"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Impotencija, ginekomastija</w:t>
            </w:r>
          </w:p>
        </w:tc>
      </w:tr>
      <w:tr w:rsidR="00D75E9B" w:rsidRPr="004C5A75" w14:paraId="17C18040" w14:textId="77777777" w:rsidTr="000B746C">
        <w:tc>
          <w:tcPr>
            <w:tcW w:w="1166" w:type="pct"/>
            <w:tcBorders>
              <w:top w:val="nil"/>
              <w:left w:val="single" w:sz="4" w:space="0" w:color="auto"/>
              <w:bottom w:val="single" w:sz="4" w:space="0" w:color="auto"/>
              <w:right w:val="single" w:sz="4" w:space="0" w:color="auto"/>
            </w:tcBorders>
            <w:tcMar>
              <w:top w:w="0" w:type="dxa"/>
              <w:left w:w="28" w:type="dxa"/>
              <w:bottom w:w="0" w:type="dxa"/>
              <w:right w:w="28" w:type="dxa"/>
            </w:tcMar>
          </w:tcPr>
          <w:p w14:paraId="17C1803C"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3D"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Retas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3E" w14:textId="77777777" w:rsidR="00D75E9B" w:rsidRPr="004C5A75" w:rsidRDefault="00D75E9B" w:rsidP="000B746C">
            <w:pPr>
              <w:rPr>
                <w:rFonts w:ascii="Times New Roman" w:hAnsi="Times New Roman"/>
                <w:sz w:val="22"/>
                <w:szCs w:val="22"/>
                <w:u w:val="single"/>
                <w:lang w:val="lt-LT" w:eastAsia="lt-LT"/>
              </w:rPr>
            </w:pPr>
            <w:r w:rsidRPr="004C5A75">
              <w:rPr>
                <w:rFonts w:ascii="Times New Roman" w:hAnsi="Times New Roman"/>
                <w:sz w:val="22"/>
                <w:szCs w:val="22"/>
                <w:lang w:val="lt-LT" w:eastAsia="lt-LT"/>
              </w:rPr>
              <w:t>Ginekomastija</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3F" w14:textId="77777777" w:rsidR="00D75E9B" w:rsidRPr="004C5A75" w:rsidRDefault="00D75E9B" w:rsidP="000B746C">
            <w:pPr>
              <w:rPr>
                <w:rFonts w:ascii="Times New Roman" w:hAnsi="Times New Roman"/>
                <w:sz w:val="22"/>
                <w:szCs w:val="22"/>
                <w:lang w:val="lt-LT" w:eastAsia="lt-LT"/>
              </w:rPr>
            </w:pPr>
          </w:p>
        </w:tc>
      </w:tr>
      <w:tr w:rsidR="00D75E9B" w:rsidRPr="004C5A75" w14:paraId="17C1804B" w14:textId="77777777" w:rsidTr="000B746C">
        <w:trPr>
          <w:trHeight w:val="636"/>
        </w:trPr>
        <w:tc>
          <w:tcPr>
            <w:tcW w:w="1166" w:type="pct"/>
            <w:vMerge w:val="restart"/>
            <w:tcBorders>
              <w:top w:val="single" w:sz="4" w:space="0" w:color="auto"/>
              <w:left w:val="single" w:sz="4" w:space="0" w:color="auto"/>
              <w:right w:val="single" w:sz="4" w:space="0" w:color="auto"/>
            </w:tcBorders>
            <w:tcMar>
              <w:top w:w="0" w:type="dxa"/>
              <w:left w:w="28" w:type="dxa"/>
              <w:bottom w:w="0" w:type="dxa"/>
              <w:right w:w="28" w:type="dxa"/>
            </w:tcMar>
          </w:tcPr>
          <w:p w14:paraId="17C18041" w14:textId="77777777" w:rsidR="00D75E9B" w:rsidRPr="004C5A75" w:rsidRDefault="00D75E9B" w:rsidP="000B746C">
            <w:pPr>
              <w:pStyle w:val="Pavadinimas"/>
              <w:jc w:val="left"/>
              <w:rPr>
                <w:rFonts w:ascii="Times New Roman" w:hAnsi="Times New Roman"/>
                <w:b/>
                <w:sz w:val="22"/>
                <w:lang w:val="lt-LT"/>
              </w:rPr>
            </w:pPr>
            <w:r w:rsidRPr="004C5A75">
              <w:rPr>
                <w:rFonts w:ascii="Times New Roman" w:hAnsi="Times New Roman"/>
                <w:b/>
                <w:sz w:val="22"/>
                <w:lang w:val="lt-LT"/>
              </w:rPr>
              <w:t>Bendrieji sutrikimai ir vartojimo vietos pažeidimai</w:t>
            </w:r>
          </w:p>
          <w:p w14:paraId="17C18042" w14:textId="77777777" w:rsidR="00D75E9B" w:rsidRPr="004C5A75" w:rsidRDefault="00D75E9B" w:rsidP="000B746C">
            <w:pPr>
              <w:rPr>
                <w:rFonts w:ascii="Times New Roman" w:hAnsi="Times New Roman"/>
                <w:b/>
                <w:sz w:val="22"/>
                <w:u w:val="single"/>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43"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Labai dažnas</w:t>
            </w:r>
          </w:p>
          <w:p w14:paraId="17C18044" w14:textId="77777777" w:rsidR="00D75E9B" w:rsidRPr="004C5A75" w:rsidRDefault="00D75E9B" w:rsidP="000B746C">
            <w:pPr>
              <w:rPr>
                <w:rFonts w:ascii="Times New Roman" w:hAnsi="Times New Roman"/>
                <w:sz w:val="22"/>
                <w:szCs w:val="22"/>
                <w:lang w:val="lt-LT" w:eastAsia="lt-LT"/>
              </w:rPr>
            </w:pPr>
          </w:p>
          <w:p w14:paraId="17C18045" w14:textId="77777777" w:rsidR="00D75E9B" w:rsidRPr="004C5A75" w:rsidRDefault="00D75E9B" w:rsidP="000B746C">
            <w:pPr>
              <w:rPr>
                <w:rFonts w:ascii="Times New Roman" w:hAnsi="Times New Roman"/>
                <w:sz w:val="22"/>
                <w:szCs w:val="22"/>
                <w:u w:val="single"/>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46" w14:textId="77777777" w:rsidR="00D75E9B" w:rsidRPr="004C5A75" w:rsidRDefault="00D75E9B" w:rsidP="000B746C">
            <w:pPr>
              <w:rPr>
                <w:rFonts w:ascii="Times New Roman" w:hAnsi="Times New Roman"/>
                <w:sz w:val="22"/>
                <w:szCs w:val="22"/>
                <w:u w:val="single"/>
                <w:lang w:val="lt-LT" w:eastAsia="lt-LT"/>
              </w:rPr>
            </w:pPr>
          </w:p>
          <w:p w14:paraId="17C18047"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48"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Edema</w:t>
            </w:r>
          </w:p>
          <w:p w14:paraId="17C18049" w14:textId="77777777" w:rsidR="00D75E9B" w:rsidRPr="004C5A75" w:rsidRDefault="00D75E9B" w:rsidP="000B746C">
            <w:pPr>
              <w:rPr>
                <w:rFonts w:ascii="Times New Roman" w:hAnsi="Times New Roman"/>
                <w:sz w:val="22"/>
                <w:szCs w:val="22"/>
                <w:lang w:val="lt-LT" w:eastAsia="lt-LT"/>
              </w:rPr>
            </w:pPr>
          </w:p>
          <w:p w14:paraId="17C1804A" w14:textId="77777777" w:rsidR="00D75E9B" w:rsidRPr="004C5A75" w:rsidRDefault="00D75E9B" w:rsidP="000B746C">
            <w:pPr>
              <w:rPr>
                <w:rFonts w:ascii="Times New Roman" w:hAnsi="Times New Roman"/>
                <w:sz w:val="22"/>
                <w:szCs w:val="22"/>
                <w:u w:val="single"/>
                <w:lang w:val="lt-LT" w:eastAsia="lt-LT"/>
              </w:rPr>
            </w:pPr>
          </w:p>
        </w:tc>
      </w:tr>
      <w:tr w:rsidR="00D75E9B" w:rsidRPr="004C5A75" w14:paraId="17C18052" w14:textId="77777777" w:rsidTr="000B746C">
        <w:trPr>
          <w:trHeight w:val="879"/>
        </w:trPr>
        <w:tc>
          <w:tcPr>
            <w:tcW w:w="1166" w:type="pct"/>
            <w:vMerge/>
            <w:tcBorders>
              <w:left w:val="single" w:sz="4" w:space="0" w:color="auto"/>
              <w:bottom w:val="nil"/>
              <w:right w:val="single" w:sz="4" w:space="0" w:color="auto"/>
            </w:tcBorders>
            <w:tcMar>
              <w:top w:w="0" w:type="dxa"/>
              <w:left w:w="28" w:type="dxa"/>
              <w:bottom w:w="0" w:type="dxa"/>
              <w:right w:w="28" w:type="dxa"/>
            </w:tcMar>
          </w:tcPr>
          <w:p w14:paraId="17C1804C" w14:textId="77777777" w:rsidR="00D75E9B" w:rsidRPr="004C5A75" w:rsidRDefault="00D75E9B" w:rsidP="000B746C">
            <w:pPr>
              <w:pStyle w:val="Pavadinimas"/>
              <w:jc w:val="left"/>
              <w:rPr>
                <w:rFonts w:ascii="Times New Roman" w:hAnsi="Times New Roman"/>
                <w:b/>
                <w:sz w:val="22"/>
                <w:szCs w:val="22"/>
                <w:lang w:val="lt-LT" w:eastAsia="lt-LT"/>
              </w:rPr>
            </w:pPr>
          </w:p>
        </w:tc>
        <w:tc>
          <w:tcPr>
            <w:tcW w:w="101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804D"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Dažnas</w:t>
            </w:r>
          </w:p>
          <w:p w14:paraId="17C1804E" w14:textId="77777777" w:rsidR="00D75E9B" w:rsidRPr="004C5A75" w:rsidRDefault="00D75E9B" w:rsidP="000B746C">
            <w:pPr>
              <w:rPr>
                <w:rFonts w:ascii="Times New Roman" w:hAnsi="Times New Roman"/>
                <w:sz w:val="22"/>
                <w:lang w:val="lt-LT"/>
              </w:rPr>
            </w:pPr>
          </w:p>
        </w:tc>
        <w:tc>
          <w:tcPr>
            <w:tcW w:w="1617"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804F" w14:textId="77777777" w:rsidR="00D75E9B" w:rsidRPr="004C5A75" w:rsidRDefault="00D75E9B" w:rsidP="000B746C">
            <w:pPr>
              <w:rPr>
                <w:rFonts w:ascii="Times New Roman" w:hAnsi="Times New Roman"/>
                <w:sz w:val="22"/>
                <w:u w:val="single"/>
                <w:lang w:val="lt-LT"/>
              </w:rPr>
            </w:pPr>
          </w:p>
        </w:tc>
        <w:tc>
          <w:tcPr>
            <w:tcW w:w="1201"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8050"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Nuovargis, astenija</w:t>
            </w:r>
          </w:p>
          <w:p w14:paraId="17C18051" w14:textId="77777777" w:rsidR="00D75E9B" w:rsidRPr="004C5A75" w:rsidRDefault="00D75E9B" w:rsidP="000B746C">
            <w:pPr>
              <w:rPr>
                <w:rFonts w:ascii="Times New Roman" w:hAnsi="Times New Roman"/>
                <w:sz w:val="22"/>
                <w:szCs w:val="22"/>
                <w:lang w:val="lt-LT" w:eastAsia="lt-LT"/>
              </w:rPr>
            </w:pPr>
          </w:p>
        </w:tc>
      </w:tr>
      <w:tr w:rsidR="00D75E9B" w:rsidRPr="004C5A75" w14:paraId="17C18057" w14:textId="77777777" w:rsidTr="000B746C">
        <w:tc>
          <w:tcPr>
            <w:tcW w:w="1166" w:type="pct"/>
            <w:tcBorders>
              <w:top w:val="nil"/>
              <w:left w:val="single" w:sz="4" w:space="0" w:color="auto"/>
              <w:bottom w:val="single" w:sz="4" w:space="0" w:color="auto"/>
              <w:right w:val="single" w:sz="4" w:space="0" w:color="auto"/>
            </w:tcBorders>
            <w:tcMar>
              <w:top w:w="0" w:type="dxa"/>
              <w:left w:w="28" w:type="dxa"/>
              <w:bottom w:w="0" w:type="dxa"/>
              <w:right w:w="28" w:type="dxa"/>
            </w:tcMar>
          </w:tcPr>
          <w:p w14:paraId="17C18053" w14:textId="77777777" w:rsidR="00D75E9B" w:rsidRPr="004C5A75" w:rsidRDefault="00D75E9B" w:rsidP="000B746C">
            <w:pPr>
              <w:pStyle w:val="Pavadinimas"/>
              <w:jc w:val="left"/>
              <w:outlineLvl w:val="0"/>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54" w14:textId="77777777" w:rsidR="00D75E9B" w:rsidRPr="004C5A75" w:rsidRDefault="00D75E9B" w:rsidP="000B746C">
            <w:pPr>
              <w:pStyle w:val="Pavadinimas"/>
              <w:jc w:val="left"/>
              <w:outlineLvl w:val="0"/>
              <w:rPr>
                <w:rFonts w:ascii="Times New Roman" w:hAnsi="Times New Roman"/>
                <w:sz w:val="22"/>
                <w:szCs w:val="22"/>
                <w:lang w:val="lt-LT" w:eastAsia="lt-LT"/>
              </w:rPr>
            </w:pPr>
            <w:r w:rsidRPr="004C5A75">
              <w:rPr>
                <w:rFonts w:ascii="Times New Roman" w:hAnsi="Times New Roman"/>
                <w:sz w:val="22"/>
                <w:szCs w:val="22"/>
                <w:lang w:val="lt-LT" w:eastAsia="lt-LT"/>
              </w:rPr>
              <w:t>Nedažnas</w:t>
            </w: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55"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Nuovargis, astenija</w:t>
            </w: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18056"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Krūtinės skausmas, skausmas, negalavimas</w:t>
            </w:r>
          </w:p>
        </w:tc>
      </w:tr>
      <w:tr w:rsidR="00D75E9B" w:rsidRPr="004C5A75" w14:paraId="17C18060" w14:textId="77777777" w:rsidTr="000B746C">
        <w:tc>
          <w:tcPr>
            <w:tcW w:w="116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8058" w14:textId="77777777" w:rsidR="00D75E9B" w:rsidRPr="004C5A75" w:rsidRDefault="00D75E9B" w:rsidP="000B746C">
            <w:pPr>
              <w:pStyle w:val="Pavadinimas"/>
              <w:jc w:val="left"/>
              <w:outlineLvl w:val="0"/>
              <w:rPr>
                <w:rFonts w:ascii="Times New Roman" w:hAnsi="Times New Roman"/>
                <w:b/>
                <w:sz w:val="22"/>
                <w:lang w:val="lt-LT"/>
              </w:rPr>
            </w:pPr>
            <w:r w:rsidRPr="004C5A75">
              <w:rPr>
                <w:rFonts w:ascii="Times New Roman" w:hAnsi="Times New Roman"/>
                <w:b/>
                <w:sz w:val="22"/>
                <w:lang w:val="lt-LT"/>
              </w:rPr>
              <w:t>Tyrimai</w:t>
            </w:r>
          </w:p>
          <w:p w14:paraId="17C18059" w14:textId="77777777" w:rsidR="00D75E9B" w:rsidRPr="004C5A75" w:rsidRDefault="00D75E9B" w:rsidP="000B746C">
            <w:pPr>
              <w:pStyle w:val="Pavadinimas"/>
              <w:jc w:val="left"/>
              <w:outlineLvl w:val="0"/>
              <w:rPr>
                <w:rFonts w:ascii="Times New Roman" w:hAnsi="Times New Roman"/>
                <w:b/>
                <w:sz w:val="22"/>
                <w:lang w:val="lt-LT"/>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5A" w14:textId="77777777" w:rsidR="00D75E9B" w:rsidRPr="004C5A75" w:rsidRDefault="00D75E9B" w:rsidP="000B746C">
            <w:pPr>
              <w:pStyle w:val="Pavadinimas"/>
              <w:jc w:val="left"/>
              <w:outlineLvl w:val="0"/>
              <w:rPr>
                <w:rFonts w:ascii="Times New Roman" w:hAnsi="Times New Roman"/>
                <w:sz w:val="22"/>
                <w:szCs w:val="22"/>
                <w:lang w:val="lt-LT" w:eastAsia="lt-LT"/>
              </w:rPr>
            </w:pPr>
            <w:r w:rsidRPr="004C5A75">
              <w:rPr>
                <w:rFonts w:ascii="Times New Roman" w:hAnsi="Times New Roman"/>
                <w:sz w:val="22"/>
                <w:szCs w:val="22"/>
                <w:lang w:val="lt-LT" w:eastAsia="lt-LT"/>
              </w:rPr>
              <w:t>Nedažnas</w:t>
            </w:r>
          </w:p>
          <w:p w14:paraId="17C1805B" w14:textId="77777777" w:rsidR="00D75E9B" w:rsidRPr="004C5A75" w:rsidRDefault="00D75E9B" w:rsidP="000B746C">
            <w:pPr>
              <w:pStyle w:val="Pavadinimas"/>
              <w:jc w:val="left"/>
              <w:outlineLvl w:val="0"/>
              <w:rPr>
                <w:rFonts w:ascii="Times New Roman" w:hAnsi="Times New Roman"/>
                <w:sz w:val="22"/>
                <w:szCs w:val="22"/>
                <w:lang w:val="lt-LT" w:eastAsia="lt-LT"/>
              </w:rPr>
            </w:pPr>
          </w:p>
        </w:tc>
        <w:tc>
          <w:tcPr>
            <w:tcW w:w="16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5C"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 xml:space="preserve">Šlapalo kiekio padidėjimas kraujyje, kreatinino kiekio padidėjimas serume, hiperkalemija, kepenų fermentų aktyvumo padidėjimas, </w:t>
            </w:r>
          </w:p>
          <w:p w14:paraId="17C1805D" w14:textId="77777777" w:rsidR="00D75E9B" w:rsidRPr="004C5A75" w:rsidRDefault="00D75E9B" w:rsidP="000B746C">
            <w:pPr>
              <w:rPr>
                <w:rFonts w:ascii="Times New Roman" w:hAnsi="Times New Roman"/>
                <w:sz w:val="22"/>
                <w:szCs w:val="22"/>
                <w:lang w:val="lt-LT" w:eastAsia="lt-LT"/>
              </w:rPr>
            </w:pPr>
          </w:p>
        </w:tc>
        <w:tc>
          <w:tcPr>
            <w:tcW w:w="1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C1805E"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Padidėjęs kūno svoris, sumažėjęs kūno svoris</w:t>
            </w:r>
          </w:p>
          <w:p w14:paraId="17C1805F" w14:textId="77777777" w:rsidR="00D75E9B" w:rsidRPr="004C5A75" w:rsidRDefault="00D75E9B" w:rsidP="000B746C">
            <w:pPr>
              <w:rPr>
                <w:rFonts w:ascii="Times New Roman" w:hAnsi="Times New Roman"/>
                <w:sz w:val="22"/>
                <w:szCs w:val="22"/>
                <w:lang w:val="lt-LT" w:eastAsia="lt-LT"/>
              </w:rPr>
            </w:pPr>
          </w:p>
        </w:tc>
      </w:tr>
      <w:tr w:rsidR="00D75E9B" w:rsidRPr="004C5A75" w14:paraId="17C18066" w14:textId="77777777" w:rsidTr="000B746C">
        <w:tc>
          <w:tcPr>
            <w:tcW w:w="1166" w:type="pct"/>
            <w:tcBorders>
              <w:top w:val="nil"/>
              <w:left w:val="single" w:sz="4" w:space="0" w:color="auto"/>
              <w:bottom w:val="nil"/>
              <w:right w:val="single" w:sz="4" w:space="0" w:color="auto"/>
            </w:tcBorders>
            <w:tcMar>
              <w:top w:w="0" w:type="dxa"/>
              <w:left w:w="28" w:type="dxa"/>
              <w:bottom w:w="0" w:type="dxa"/>
              <w:right w:w="28" w:type="dxa"/>
            </w:tcMar>
          </w:tcPr>
          <w:p w14:paraId="17C18061" w14:textId="77777777" w:rsidR="00D75E9B" w:rsidRPr="004C5A75" w:rsidRDefault="00D75E9B" w:rsidP="000B746C">
            <w:pPr>
              <w:pStyle w:val="Pavadinimas"/>
              <w:jc w:val="left"/>
              <w:outlineLvl w:val="0"/>
              <w:rPr>
                <w:rFonts w:ascii="Times New Roman" w:hAnsi="Times New Roman"/>
                <w:b/>
                <w:sz w:val="22"/>
                <w:lang w:val="lt-LT"/>
              </w:rPr>
            </w:pPr>
          </w:p>
        </w:tc>
        <w:tc>
          <w:tcPr>
            <w:tcW w:w="1016"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8062" w14:textId="77777777" w:rsidR="00D75E9B" w:rsidRPr="004C5A75" w:rsidRDefault="00D75E9B" w:rsidP="000B746C">
            <w:pPr>
              <w:pStyle w:val="Pavadinimas"/>
              <w:jc w:val="left"/>
              <w:outlineLvl w:val="0"/>
              <w:rPr>
                <w:rFonts w:ascii="Times New Roman" w:hAnsi="Times New Roman"/>
                <w:sz w:val="22"/>
                <w:szCs w:val="22"/>
                <w:lang w:val="lt-LT" w:eastAsia="lt-LT"/>
              </w:rPr>
            </w:pPr>
            <w:r w:rsidRPr="004C5A75">
              <w:rPr>
                <w:rFonts w:ascii="Times New Roman" w:hAnsi="Times New Roman"/>
                <w:sz w:val="22"/>
                <w:szCs w:val="22"/>
                <w:lang w:val="lt-LT" w:eastAsia="lt-LT"/>
              </w:rPr>
              <w:t>Retas</w:t>
            </w:r>
          </w:p>
          <w:p w14:paraId="17C18063" w14:textId="77777777" w:rsidR="00D75E9B" w:rsidRPr="004C5A75" w:rsidRDefault="00D75E9B" w:rsidP="000B746C">
            <w:pPr>
              <w:pStyle w:val="Pavadinimas"/>
              <w:jc w:val="left"/>
              <w:outlineLvl w:val="0"/>
              <w:rPr>
                <w:rFonts w:ascii="Times New Roman" w:hAnsi="Times New Roman"/>
                <w:sz w:val="22"/>
                <w:szCs w:val="22"/>
                <w:lang w:val="lt-LT" w:eastAsia="lt-LT"/>
              </w:rPr>
            </w:pPr>
          </w:p>
        </w:tc>
        <w:tc>
          <w:tcPr>
            <w:tcW w:w="1617" w:type="pct"/>
            <w:tcBorders>
              <w:top w:val="single" w:sz="4" w:space="0" w:color="auto"/>
              <w:left w:val="single" w:sz="4" w:space="0" w:color="auto"/>
              <w:bottom w:val="nil"/>
              <w:right w:val="single" w:sz="4" w:space="0" w:color="auto"/>
            </w:tcBorders>
            <w:tcMar>
              <w:top w:w="0" w:type="dxa"/>
              <w:left w:w="28" w:type="dxa"/>
              <w:bottom w:w="0" w:type="dxa"/>
              <w:right w:w="28" w:type="dxa"/>
            </w:tcMar>
            <w:hideMark/>
          </w:tcPr>
          <w:p w14:paraId="17C18064" w14:textId="77777777" w:rsidR="00D75E9B" w:rsidRPr="004C5A75" w:rsidRDefault="00D75E9B" w:rsidP="000B746C">
            <w:pPr>
              <w:rPr>
                <w:rFonts w:ascii="Times New Roman" w:hAnsi="Times New Roman"/>
                <w:sz w:val="22"/>
                <w:szCs w:val="22"/>
                <w:lang w:val="lt-LT" w:eastAsia="lt-LT"/>
              </w:rPr>
            </w:pPr>
            <w:r w:rsidRPr="004C5A75">
              <w:rPr>
                <w:rFonts w:ascii="Times New Roman" w:hAnsi="Times New Roman"/>
                <w:sz w:val="22"/>
                <w:szCs w:val="22"/>
                <w:lang w:val="lt-LT" w:eastAsia="lt-LT"/>
              </w:rPr>
              <w:t>Padidėjusi bilirubino koncentracija serume, hiponatremija</w:t>
            </w:r>
          </w:p>
        </w:tc>
        <w:tc>
          <w:tcPr>
            <w:tcW w:w="1201" w:type="pct"/>
            <w:tcBorders>
              <w:top w:val="single" w:sz="4" w:space="0" w:color="auto"/>
              <w:left w:val="single" w:sz="4" w:space="0" w:color="auto"/>
              <w:bottom w:val="nil"/>
              <w:right w:val="single" w:sz="4" w:space="0" w:color="auto"/>
            </w:tcBorders>
            <w:tcMar>
              <w:top w:w="0" w:type="dxa"/>
              <w:left w:w="28" w:type="dxa"/>
              <w:bottom w:w="0" w:type="dxa"/>
              <w:right w:w="28" w:type="dxa"/>
            </w:tcMar>
          </w:tcPr>
          <w:p w14:paraId="17C18065" w14:textId="77777777" w:rsidR="00D75E9B" w:rsidRPr="004C5A75" w:rsidRDefault="00D75E9B" w:rsidP="000B746C">
            <w:pPr>
              <w:rPr>
                <w:rFonts w:ascii="Times New Roman" w:hAnsi="Times New Roman"/>
                <w:sz w:val="22"/>
                <w:szCs w:val="22"/>
                <w:lang w:val="lt-LT" w:eastAsia="lt-LT"/>
              </w:rPr>
            </w:pPr>
          </w:p>
        </w:tc>
      </w:tr>
      <w:tr w:rsidR="00D75E9B" w:rsidRPr="004C5A75" w14:paraId="17C1806B" w14:textId="77777777" w:rsidTr="000B746C">
        <w:tc>
          <w:tcPr>
            <w:tcW w:w="1166" w:type="pct"/>
            <w:tcBorders>
              <w:top w:val="nil"/>
              <w:left w:val="single" w:sz="4" w:space="0" w:color="auto"/>
              <w:bottom w:val="single" w:sz="4" w:space="0" w:color="auto"/>
              <w:right w:val="single" w:sz="4" w:space="0" w:color="auto"/>
            </w:tcBorders>
            <w:tcMar>
              <w:top w:w="0" w:type="dxa"/>
              <w:left w:w="28" w:type="dxa"/>
              <w:bottom w:w="0" w:type="dxa"/>
              <w:right w:w="28" w:type="dxa"/>
            </w:tcMar>
          </w:tcPr>
          <w:p w14:paraId="17C18067" w14:textId="77777777" w:rsidR="00D75E9B" w:rsidRPr="004C5A75" w:rsidRDefault="00D75E9B" w:rsidP="000B746C">
            <w:pPr>
              <w:pStyle w:val="Pavadinimas"/>
              <w:jc w:val="left"/>
              <w:outlineLvl w:val="0"/>
              <w:rPr>
                <w:rFonts w:ascii="Times New Roman" w:hAnsi="Times New Roman"/>
                <w:b/>
                <w:sz w:val="22"/>
                <w:u w:val="single"/>
                <w:lang w:val="lt-LT"/>
              </w:rPr>
            </w:pPr>
          </w:p>
        </w:tc>
        <w:tc>
          <w:tcPr>
            <w:tcW w:w="1016"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17C18068" w14:textId="77777777" w:rsidR="00D75E9B" w:rsidRPr="004C5A75" w:rsidRDefault="00D75E9B" w:rsidP="000B746C">
            <w:pPr>
              <w:rPr>
                <w:rFonts w:ascii="Times New Roman" w:hAnsi="Times New Roman"/>
                <w:sz w:val="22"/>
                <w:szCs w:val="22"/>
                <w:lang w:val="lt-LT" w:eastAsia="lt-LT"/>
              </w:rPr>
            </w:pPr>
          </w:p>
        </w:tc>
        <w:tc>
          <w:tcPr>
            <w:tcW w:w="1617" w:type="pct"/>
            <w:tcBorders>
              <w:top w:val="nil"/>
              <w:left w:val="single" w:sz="4" w:space="0" w:color="auto"/>
              <w:bottom w:val="single" w:sz="4" w:space="0" w:color="auto"/>
              <w:right w:val="single" w:sz="4" w:space="0" w:color="auto"/>
            </w:tcBorders>
            <w:tcMar>
              <w:top w:w="0" w:type="dxa"/>
              <w:left w:w="28" w:type="dxa"/>
              <w:bottom w:w="0" w:type="dxa"/>
              <w:right w:w="28" w:type="dxa"/>
            </w:tcMar>
          </w:tcPr>
          <w:p w14:paraId="17C18069" w14:textId="77777777" w:rsidR="00D75E9B" w:rsidRPr="004C5A75" w:rsidRDefault="00D75E9B" w:rsidP="000B746C">
            <w:pPr>
              <w:rPr>
                <w:rFonts w:ascii="Times New Roman" w:hAnsi="Times New Roman"/>
                <w:sz w:val="22"/>
                <w:szCs w:val="22"/>
                <w:u w:val="single"/>
                <w:lang w:val="lt-LT" w:eastAsia="lt-LT"/>
              </w:rPr>
            </w:pPr>
          </w:p>
        </w:tc>
        <w:tc>
          <w:tcPr>
            <w:tcW w:w="1201"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17C1806A" w14:textId="77777777" w:rsidR="00D75E9B" w:rsidRPr="004C5A75" w:rsidRDefault="00D75E9B" w:rsidP="000B746C">
            <w:pPr>
              <w:rPr>
                <w:rFonts w:ascii="Times New Roman" w:hAnsi="Times New Roman"/>
                <w:sz w:val="22"/>
                <w:szCs w:val="22"/>
                <w:lang w:val="lt-LT" w:eastAsia="lt-LT"/>
              </w:rPr>
            </w:pPr>
          </w:p>
        </w:tc>
      </w:tr>
    </w:tbl>
    <w:p w14:paraId="17C1806C"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 gali pasireikšti simptomų kompleksas, kurį sudaro vienas ar daugiau simptomų: karščiavimas, vaskulitas, mialgija, artralgija, artritas, teigiami antinukleariniai antikūnai (ANA), padidėjęs eritrocitų nusėdimo greitis (ENG), eozinofilija, leukocitozė, bėrimas, jautrumas saulės šviesai ar kiti dermatologiniai simptomai. </w:t>
      </w:r>
    </w:p>
    <w:p w14:paraId="17C1806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dažniausiai susijęs su cholestaze.</w:t>
      </w:r>
    </w:p>
    <w:p w14:paraId="17C1806E" w14:textId="77777777" w:rsidR="00D75E9B" w:rsidRPr="004C5A75" w:rsidRDefault="00D75E9B" w:rsidP="00D75E9B">
      <w:pPr>
        <w:rPr>
          <w:rFonts w:ascii="Times New Roman" w:hAnsi="Times New Roman"/>
          <w:sz w:val="22"/>
          <w:lang w:val="lt-LT"/>
        </w:rPr>
      </w:pPr>
    </w:p>
    <w:p w14:paraId="17C1806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Klinikinių tyrimų duomenimis, arterine hipertenzija sergantys vaikai gerai toleruoja lizinoprilį ir vaikams jis yra toks pats saugus, kaip ir suaugusiesiems. </w:t>
      </w:r>
    </w:p>
    <w:p w14:paraId="17C18070" w14:textId="77777777" w:rsidR="00D75E9B" w:rsidRPr="0026536C" w:rsidRDefault="00D75E9B" w:rsidP="00D75E9B">
      <w:pPr>
        <w:tabs>
          <w:tab w:val="left" w:pos="567"/>
        </w:tabs>
        <w:autoSpaceDE w:val="0"/>
        <w:autoSpaceDN w:val="0"/>
        <w:adjustRightInd w:val="0"/>
        <w:spacing w:line="260" w:lineRule="exact"/>
        <w:jc w:val="both"/>
        <w:rPr>
          <w:rFonts w:ascii="Times New Roman" w:hAnsi="Times New Roman"/>
          <w:snapToGrid w:val="0"/>
          <w:sz w:val="22"/>
          <w:szCs w:val="22"/>
          <w:u w:val="single"/>
          <w:lang w:val="lt-LT"/>
        </w:rPr>
      </w:pPr>
    </w:p>
    <w:p w14:paraId="17C18071"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sz w:val="22"/>
          <w:szCs w:val="22"/>
          <w:u w:val="single"/>
          <w:lang w:val="lt-LT"/>
        </w:rPr>
        <w:t>Pranešimas apie įtariamas nepageidaujamas reakcijas</w:t>
      </w:r>
    </w:p>
    <w:p w14:paraId="17C18073" w14:textId="77777777" w:rsidR="00396B8D" w:rsidRPr="00396B8D" w:rsidRDefault="00396B8D" w:rsidP="002E48B8">
      <w:pPr>
        <w:tabs>
          <w:tab w:val="left" w:pos="567"/>
        </w:tabs>
        <w:autoSpaceDE w:val="0"/>
        <w:autoSpaceDN w:val="0"/>
        <w:adjustRightInd w:val="0"/>
        <w:spacing w:line="260" w:lineRule="exact"/>
        <w:rPr>
          <w:rFonts w:ascii="Times New Roman" w:hAnsi="Times New Roman"/>
          <w:noProof/>
          <w:snapToGrid w:val="0"/>
          <w:sz w:val="22"/>
          <w:lang w:val="lt-LT"/>
        </w:rPr>
      </w:pPr>
      <w:r w:rsidRPr="00396B8D">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396B8D">
        <w:rPr>
          <w:rFonts w:ascii="Times New Roman" w:hAnsi="Times New Roman"/>
          <w:snapToGrid w:val="0"/>
          <w:sz w:val="22"/>
          <w:lang w:val="lt-LT"/>
        </w:rPr>
        <w:t xml:space="preserve"> </w:t>
      </w:r>
      <w:r w:rsidRPr="00396B8D">
        <w:rPr>
          <w:rFonts w:ascii="Times New Roman" w:hAnsi="Times New Roman"/>
          <w:noProof/>
          <w:snapToGrid w:val="0"/>
          <w:sz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396B8D">
          <w:rPr>
            <w:rFonts w:ascii="Times New Roman" w:hAnsi="Times New Roman"/>
            <w:noProof/>
            <w:snapToGrid w:val="0"/>
            <w:color w:val="0000FF"/>
            <w:sz w:val="22"/>
            <w:u w:val="single"/>
            <w:lang w:val="lt-LT"/>
          </w:rPr>
          <w:t>https://vapris.vvkt.lt/vvkt-web/public/nrvSpecialist</w:t>
        </w:r>
      </w:hyperlink>
      <w:r w:rsidRPr="00396B8D">
        <w:rPr>
          <w:rFonts w:ascii="Times New Roman" w:hAnsi="Times New Roman"/>
          <w:noProof/>
          <w:snapToGrid w:val="0"/>
          <w:sz w:val="22"/>
          <w:lang w:val="lt-LT"/>
        </w:rPr>
        <w:t xml:space="preserve"> arba užpildę Sveikatos priežiūros ar farmacijos specialisto pranešimo apie įtariamą nepageidaujamą reakciją (ĮNR) formą, kuri skelbiama </w:t>
      </w:r>
      <w:hyperlink r:id="rId12" w:history="1">
        <w:r w:rsidRPr="00396B8D">
          <w:rPr>
            <w:rFonts w:ascii="Times New Roman" w:hAnsi="Times New Roman"/>
            <w:noProof/>
            <w:snapToGrid w:val="0"/>
            <w:color w:val="0000FF"/>
            <w:sz w:val="22"/>
            <w:u w:val="single"/>
            <w:lang w:val="lt-LT"/>
          </w:rPr>
          <w:t>https://www.vvkt.lt/index.php?1399030386</w:t>
        </w:r>
      </w:hyperlink>
      <w:r w:rsidRPr="00396B8D">
        <w:rPr>
          <w:rFonts w:ascii="Times New Roman" w:hAnsi="Times New Roman"/>
          <w:noProof/>
          <w:snapToGrid w:val="0"/>
          <w:sz w:val="22"/>
          <w:lang w:val="lt-LT"/>
        </w:rPr>
        <w:t>, ir atsiųsti elektroniniu paštu (adresu NepageidaujamaR@vvkt.lt).</w:t>
      </w:r>
    </w:p>
    <w:p w14:paraId="17C18074" w14:textId="77777777" w:rsidR="00D75E9B" w:rsidRPr="004C5A75" w:rsidRDefault="00D75E9B" w:rsidP="00D75E9B">
      <w:pPr>
        <w:ind w:left="540" w:hanging="540"/>
        <w:rPr>
          <w:rFonts w:ascii="Times New Roman" w:hAnsi="Times New Roman"/>
          <w:b/>
          <w:sz w:val="22"/>
          <w:lang w:val="lt-LT"/>
        </w:rPr>
      </w:pPr>
    </w:p>
    <w:p w14:paraId="17C18075"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
          <w:bCs/>
          <w:sz w:val="22"/>
          <w:szCs w:val="22"/>
          <w:lang w:val="lt-LT"/>
        </w:rPr>
        <w:t>4.9</w:t>
      </w:r>
      <w:r w:rsidRPr="004C5A75">
        <w:rPr>
          <w:rFonts w:ascii="Times New Roman" w:hAnsi="Times New Roman"/>
          <w:b/>
          <w:bCs/>
          <w:sz w:val="22"/>
          <w:szCs w:val="22"/>
          <w:lang w:val="lt-LT"/>
        </w:rPr>
        <w:tab/>
        <w:t>Perdozavimas</w:t>
      </w:r>
    </w:p>
    <w:p w14:paraId="17C18076" w14:textId="77777777" w:rsidR="00D75E9B" w:rsidRPr="004C5A75" w:rsidRDefault="00D75E9B" w:rsidP="00D75E9B">
      <w:pPr>
        <w:rPr>
          <w:rFonts w:ascii="Times New Roman" w:hAnsi="Times New Roman"/>
          <w:sz w:val="22"/>
          <w:szCs w:val="22"/>
          <w:lang w:val="lt-LT"/>
        </w:rPr>
      </w:pPr>
    </w:p>
    <w:p w14:paraId="17C1807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Nėra duomenų apie DIRONORM perdozavimą žmonėms.</w:t>
      </w:r>
    </w:p>
    <w:p w14:paraId="17C18078" w14:textId="77777777" w:rsidR="00D75E9B" w:rsidRPr="004C5A75" w:rsidRDefault="00D75E9B" w:rsidP="00D75E9B">
      <w:pPr>
        <w:rPr>
          <w:rFonts w:ascii="Times New Roman" w:hAnsi="Times New Roman"/>
          <w:sz w:val="22"/>
          <w:szCs w:val="22"/>
          <w:lang w:val="lt-LT"/>
        </w:rPr>
      </w:pPr>
    </w:p>
    <w:p w14:paraId="17C18079" w14:textId="77777777" w:rsidR="00D75E9B" w:rsidRPr="004C5A75" w:rsidRDefault="00D75E9B" w:rsidP="00D75E9B">
      <w:pPr>
        <w:rPr>
          <w:rFonts w:ascii="Times New Roman" w:hAnsi="Times New Roman"/>
          <w:i/>
          <w:iCs/>
          <w:sz w:val="22"/>
          <w:szCs w:val="22"/>
          <w:lang w:val="lt-LT"/>
        </w:rPr>
      </w:pPr>
      <w:r w:rsidRPr="004C5A75">
        <w:rPr>
          <w:rFonts w:ascii="Times New Roman" w:hAnsi="Times New Roman"/>
          <w:i/>
          <w:iCs/>
          <w:sz w:val="22"/>
          <w:szCs w:val="22"/>
          <w:lang w:val="lt-LT"/>
        </w:rPr>
        <w:t>Susiję su lizinoprilio perdozavimu</w:t>
      </w:r>
    </w:p>
    <w:p w14:paraId="17C1807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Turima nedaug duomenų apie perdozavimą žmonėms. Perdozavus AKFI, gali pasireikšti tokie simptomai: hipotenzija, cirkuliacinis šokas, elektrolitų balanso sutrikimas, inkstų nepakankamumas, hiperventiliacija, tachikardija, palpitacijos, bradikardija, svaigulys, nerimas ir kosulys. </w:t>
      </w:r>
    </w:p>
    <w:p w14:paraId="17C1807B" w14:textId="77777777" w:rsidR="00D75E9B" w:rsidRPr="004C5A75" w:rsidRDefault="00D75E9B" w:rsidP="00D75E9B">
      <w:pPr>
        <w:rPr>
          <w:rFonts w:ascii="Times New Roman" w:hAnsi="Times New Roman"/>
          <w:sz w:val="22"/>
          <w:szCs w:val="22"/>
          <w:lang w:val="lt-LT"/>
        </w:rPr>
      </w:pPr>
    </w:p>
    <w:p w14:paraId="17C1807C"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Perdozavimo atveju rekomenduojama į veną infuzuoti izotoninio natrio chlorido tirpalo. Atsiradus hipotenzijai, pacientą reikia paguldyti ant nugaros, pakelti kojas. Jei įmanoma, svarstytinas ir gydymas angiotenzino II infuzija ir (arba) katecholaminų skyrimas į veną. Jei preparato pavartota neseniai, reikia imtis priemonių lizinopriliui iš organizmo pašalinti (pvz., sukelti vėmimą, plauti skrandį, skirti absorbentų ir natrio sulfato), lizinoprilis hemodialize gali būti pašalintas iš sisteminės kraujotakos (žr. 4.4 skyrių). Jei bradikardija atspari gydymui, taikytinas širdies stimuliatorius. Būtina dažnai tikrinti gyvybines funkcijas, elektrolitų ir kreatinino koncentraciją serume.</w:t>
      </w:r>
    </w:p>
    <w:p w14:paraId="17C1807D" w14:textId="77777777" w:rsidR="00D75E9B" w:rsidRPr="004C5A75" w:rsidRDefault="00D75E9B" w:rsidP="00D75E9B">
      <w:pPr>
        <w:rPr>
          <w:rFonts w:ascii="Times New Roman" w:hAnsi="Times New Roman"/>
          <w:sz w:val="22"/>
          <w:szCs w:val="22"/>
          <w:lang w:val="lt-LT"/>
        </w:rPr>
      </w:pPr>
    </w:p>
    <w:p w14:paraId="17C1807E" w14:textId="77777777" w:rsidR="00D75E9B" w:rsidRPr="004C5A75" w:rsidRDefault="00D75E9B" w:rsidP="00D75E9B">
      <w:pPr>
        <w:rPr>
          <w:rFonts w:ascii="Times New Roman" w:hAnsi="Times New Roman"/>
          <w:i/>
          <w:iCs/>
          <w:sz w:val="22"/>
          <w:szCs w:val="22"/>
          <w:lang w:val="lt-LT"/>
        </w:rPr>
      </w:pPr>
      <w:r w:rsidRPr="004C5A75">
        <w:rPr>
          <w:rFonts w:ascii="Times New Roman" w:hAnsi="Times New Roman"/>
          <w:i/>
          <w:iCs/>
          <w:sz w:val="22"/>
          <w:szCs w:val="22"/>
          <w:lang w:val="lt-LT"/>
        </w:rPr>
        <w:t>Susiję su amlodipino perdozavimu</w:t>
      </w:r>
    </w:p>
    <w:p w14:paraId="17C1807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Duomenys apie apgalvotą perdozavimą žmonėms yra riboti. </w:t>
      </w:r>
    </w:p>
    <w:p w14:paraId="17C18080" w14:textId="77777777" w:rsidR="00D75E9B" w:rsidRPr="004C5A75" w:rsidRDefault="00D75E9B" w:rsidP="00D75E9B">
      <w:pPr>
        <w:rPr>
          <w:rFonts w:ascii="Times New Roman" w:hAnsi="Times New Roman"/>
          <w:sz w:val="22"/>
          <w:szCs w:val="22"/>
          <w:lang w:val="lt-LT"/>
        </w:rPr>
      </w:pPr>
    </w:p>
    <w:p w14:paraId="17C18081" w14:textId="77777777" w:rsidR="00D75E9B" w:rsidRPr="004C5A75" w:rsidRDefault="00D75E9B" w:rsidP="00D75E9B">
      <w:pPr>
        <w:rPr>
          <w:rFonts w:ascii="Times New Roman" w:hAnsi="Times New Roman"/>
          <w:i/>
          <w:iCs/>
          <w:sz w:val="22"/>
          <w:szCs w:val="22"/>
          <w:u w:val="single"/>
          <w:lang w:val="lt-LT"/>
        </w:rPr>
      </w:pPr>
      <w:r w:rsidRPr="004C5A75">
        <w:rPr>
          <w:rFonts w:ascii="Times New Roman" w:hAnsi="Times New Roman"/>
          <w:i/>
          <w:iCs/>
          <w:sz w:val="22"/>
          <w:szCs w:val="22"/>
          <w:u w:val="single"/>
          <w:lang w:val="lt-LT"/>
        </w:rPr>
        <w:t>Simptomai</w:t>
      </w:r>
    </w:p>
    <w:p w14:paraId="17C1808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Turimi duomenys rodo, kad didelio perdozavimo atveju pernelyg išsiplečia kraujagyslės ir gali pasireikšti refleksinė tachikardija. Pranešta apie žymią ir greičiausiai ilgalaikę sisteminę hipotenziją, įskaitant šoką, lėmusį mirtį.</w:t>
      </w:r>
    </w:p>
    <w:p w14:paraId="17C18083" w14:textId="77777777" w:rsidR="0027344F" w:rsidRDefault="0027344F" w:rsidP="00D75E9B">
      <w:pPr>
        <w:rPr>
          <w:rFonts w:ascii="Times New Roman" w:hAnsi="Times New Roman"/>
          <w:sz w:val="22"/>
          <w:szCs w:val="22"/>
          <w:lang w:val="lt-LT"/>
        </w:rPr>
      </w:pPr>
    </w:p>
    <w:p w14:paraId="17C18084" w14:textId="77777777" w:rsidR="00D75E9B" w:rsidRPr="004C5A75" w:rsidRDefault="0027344F" w:rsidP="00D75E9B">
      <w:pPr>
        <w:rPr>
          <w:rFonts w:ascii="Times New Roman" w:hAnsi="Times New Roman"/>
          <w:sz w:val="22"/>
          <w:szCs w:val="22"/>
          <w:lang w:val="lt-LT"/>
        </w:rPr>
      </w:pPr>
      <w:r w:rsidRPr="0027344F">
        <w:rPr>
          <w:rFonts w:ascii="Times New Roman" w:hAnsi="Times New Roman"/>
          <w:sz w:val="22"/>
          <w:szCs w:val="22"/>
          <w:lang w:val="lt-LT"/>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17C18085" w14:textId="77777777" w:rsidR="0027344F" w:rsidRDefault="0027344F" w:rsidP="00D75E9B">
      <w:pPr>
        <w:rPr>
          <w:rFonts w:ascii="Times New Roman" w:hAnsi="Times New Roman"/>
          <w:i/>
          <w:iCs/>
          <w:sz w:val="22"/>
          <w:szCs w:val="22"/>
          <w:u w:val="single"/>
          <w:lang w:val="lt-LT"/>
        </w:rPr>
      </w:pPr>
    </w:p>
    <w:p w14:paraId="17C18086" w14:textId="77777777" w:rsidR="00D75E9B" w:rsidRPr="004C5A75" w:rsidRDefault="00D75E9B" w:rsidP="00D75E9B">
      <w:pPr>
        <w:rPr>
          <w:rFonts w:ascii="Times New Roman" w:hAnsi="Times New Roman"/>
          <w:i/>
          <w:iCs/>
          <w:sz w:val="22"/>
          <w:szCs w:val="22"/>
          <w:u w:val="single"/>
          <w:lang w:val="lt-LT"/>
        </w:rPr>
      </w:pPr>
      <w:r w:rsidRPr="004C5A75">
        <w:rPr>
          <w:rFonts w:ascii="Times New Roman" w:hAnsi="Times New Roman"/>
          <w:i/>
          <w:iCs/>
          <w:sz w:val="22"/>
          <w:szCs w:val="22"/>
          <w:u w:val="single"/>
          <w:lang w:val="lt-LT"/>
        </w:rPr>
        <w:t>Gydymas</w:t>
      </w:r>
    </w:p>
    <w:p w14:paraId="17C1808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Perdozavus amlodipino, būtina imtis priemonių, aktyviai palaikančių širdies ir kraujagyslių funkciją, įskaitant dažną širdies ir kvėpavimo funkcijos tyrimą, galūnių pakėlimą ir cirkuliuojančio kraujo tūrio ir išsiskiriančio šlapimo kiekio stebėjimą. </w:t>
      </w:r>
    </w:p>
    <w:p w14:paraId="17C18088" w14:textId="77777777" w:rsidR="00D75E9B" w:rsidRPr="004C5A75" w:rsidRDefault="00D75E9B" w:rsidP="00D75E9B">
      <w:pPr>
        <w:rPr>
          <w:rFonts w:ascii="Times New Roman" w:hAnsi="Times New Roman"/>
          <w:sz w:val="22"/>
          <w:szCs w:val="22"/>
          <w:lang w:val="lt-LT"/>
        </w:rPr>
      </w:pPr>
    </w:p>
    <w:p w14:paraId="17C1808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Vazokonstriktoriai, jei jie nėra kontraindikuotini, gali būti naudingi atstatant kraujagyslių tonusą ir kraujospūdį. Kalcio gliukonato skyrimas į veną gali būti naudingas kalcio kanalų blokatorių sukeltam poveikiui mažinti. Kai kuriais atvejais gali būti veiksminga plauti skrandį. Sveikiems savanoriams per dvi valandas po 10 mg amlodipino išgėrimo pavartojus aktyvintosios anglies, amlodipino absorbcija sulėtėjo. Daug amlodipino prisijungia prie kraujo baltymų, todėl perdozavimo gydymas dialize greičiausiai bus neveiksmingas.  </w:t>
      </w:r>
    </w:p>
    <w:p w14:paraId="17C1808A" w14:textId="77777777" w:rsidR="00D75E9B" w:rsidRPr="004C5A75" w:rsidRDefault="00D75E9B" w:rsidP="00D75E9B">
      <w:pPr>
        <w:rPr>
          <w:rFonts w:ascii="Times New Roman" w:hAnsi="Times New Roman"/>
          <w:sz w:val="22"/>
          <w:szCs w:val="22"/>
          <w:lang w:val="lt-LT"/>
        </w:rPr>
      </w:pPr>
    </w:p>
    <w:p w14:paraId="17C1808B" w14:textId="77777777" w:rsidR="00D75E9B" w:rsidRPr="004C5A75" w:rsidRDefault="00D75E9B" w:rsidP="00D75E9B">
      <w:pP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t xml:space="preserve">DIRONORM perdozavimas gali sukelti ryškią periferinę vazodilataciją su </w:t>
      </w:r>
      <w:r w:rsidRPr="004C5A75">
        <w:rPr>
          <w:rFonts w:ascii="Times New Roman" w:hAnsi="Times New Roman"/>
          <w:iCs/>
          <w:sz w:val="22"/>
          <w:szCs w:val="22"/>
          <w:lang w:val="lt-LT"/>
        </w:rPr>
        <w:t>ryškia hipotenzija</w:t>
      </w:r>
      <w:r w:rsidRPr="004C5A75">
        <w:rPr>
          <w:rFonts w:ascii="Times New Roman" w:hAnsi="Times New Roman"/>
          <w:sz w:val="22"/>
          <w:szCs w:val="22"/>
          <w:lang w:val="lt-LT"/>
        </w:rPr>
        <w:t xml:space="preserve">, šoką, elektrolitų balanso sutrikimą, inkstų nepakankamumą, hiperventiliaciją, tachikardiją, palpitacijas, bradikardiją, svaigulį, nerimą ir kosulį. Rekomenduojamas simptominis gydymas (paciento guldymas ant nugaros, stebėjimas ir, jei reikalinga, širdies ir kvėpavimo funkcijos, kraujospūdžio, skysčių ir elektrolitų balanso palaikymas, kreatinino koncentracijos stebėjimas). Sunkios hipotenzijos atveju apatinės galūnės turėtų būti pakeltos ir, jei skysčių infuzija į veną nepakankamai veiksminga, gali būti reikalingas palaikomasis gydymas periferiniais vazopresoriais, nebent tai yra kontraindikuotina. Turėtina omenyje ir angiotenzino II infuzija. Kalcio gliukonato skyrimas į veną gali būti naudingas kalcio kanalų blokatorių sukeltam poveikiui mažinti. </w:t>
      </w:r>
    </w:p>
    <w:p w14:paraId="17C1808C" w14:textId="77777777" w:rsidR="00D75E9B" w:rsidRPr="004C5A75" w:rsidRDefault="00D75E9B" w:rsidP="00D75E9B">
      <w:pPr>
        <w:tabs>
          <w:tab w:val="left" w:pos="288"/>
          <w:tab w:val="left" w:pos="432"/>
        </w:tabs>
        <w:rPr>
          <w:rFonts w:ascii="Times New Roman" w:hAnsi="Times New Roman"/>
          <w:sz w:val="22"/>
          <w:szCs w:val="22"/>
          <w:lang w:val="lt-LT"/>
        </w:rPr>
      </w:pPr>
    </w:p>
    <w:p w14:paraId="17C1808D" w14:textId="77777777" w:rsidR="00D75E9B" w:rsidRPr="004C5A75" w:rsidRDefault="00D75E9B" w:rsidP="00D75E9B">
      <w:pPr>
        <w:tabs>
          <w:tab w:val="left" w:pos="288"/>
          <w:tab w:val="left" w:pos="432"/>
        </w:tabs>
        <w:rPr>
          <w:rFonts w:ascii="Times New Roman" w:hAnsi="Times New Roman"/>
          <w:sz w:val="22"/>
          <w:szCs w:val="22"/>
          <w:lang w:val="lt-LT"/>
        </w:rPr>
      </w:pPr>
    </w:p>
    <w:p w14:paraId="17C1808E" w14:textId="77777777" w:rsidR="00D75E9B" w:rsidRPr="004C5A75" w:rsidRDefault="00D75E9B" w:rsidP="00D75E9B">
      <w:pPr>
        <w:pStyle w:val="Pagrindinistekstas"/>
        <w:tabs>
          <w:tab w:val="left" w:pos="144"/>
        </w:tabs>
        <w:rPr>
          <w:rFonts w:ascii="Times New Roman" w:hAnsi="Times New Roman"/>
          <w:color w:val="auto"/>
          <w:lang w:val="lt-LT"/>
        </w:rPr>
      </w:pPr>
      <w:r w:rsidRPr="004C5A75">
        <w:rPr>
          <w:rFonts w:ascii="Times New Roman" w:hAnsi="Times New Roman"/>
          <w:color w:val="auto"/>
          <w:lang w:val="lt-LT"/>
        </w:rPr>
        <w:lastRenderedPageBreak/>
        <w:t xml:space="preserve">Lizinoprilis iš sisteminės kraujotakos gali būti šalinamas hemodializės pagalba. Atliekant hemodializę reikia vengti naudoti poliakrilonitrilo didelio laidumo (angl. </w:t>
      </w:r>
      <w:r w:rsidRPr="004C5A75">
        <w:rPr>
          <w:rFonts w:ascii="Times New Roman" w:hAnsi="Times New Roman"/>
          <w:i/>
          <w:color w:val="auto"/>
          <w:lang w:val="lt-LT"/>
        </w:rPr>
        <w:t>high flux</w:t>
      </w:r>
      <w:r w:rsidRPr="004C5A75">
        <w:rPr>
          <w:rFonts w:ascii="Times New Roman" w:hAnsi="Times New Roman"/>
          <w:color w:val="auto"/>
          <w:lang w:val="lt-LT"/>
        </w:rPr>
        <w:t xml:space="preserve">) membranas. </w:t>
      </w:r>
    </w:p>
    <w:p w14:paraId="17C1808F" w14:textId="77777777" w:rsidR="00D75E9B" w:rsidRPr="004C5A75" w:rsidRDefault="00D75E9B" w:rsidP="00D75E9B">
      <w:pPr>
        <w:pStyle w:val="Pagrindinistekstas"/>
        <w:tabs>
          <w:tab w:val="left" w:pos="144"/>
        </w:tabs>
        <w:rPr>
          <w:rFonts w:ascii="Times New Roman" w:hAnsi="Times New Roman"/>
          <w:color w:val="auto"/>
          <w:lang w:val="lt-LT"/>
        </w:rPr>
      </w:pPr>
    </w:p>
    <w:p w14:paraId="17C18090" w14:textId="77777777" w:rsidR="00D75E9B" w:rsidRPr="004C5A75" w:rsidRDefault="00D75E9B" w:rsidP="00D75E9B">
      <w:pPr>
        <w:rPr>
          <w:rFonts w:ascii="Times New Roman" w:hAnsi="Times New Roman"/>
          <w:sz w:val="22"/>
          <w:szCs w:val="22"/>
          <w:lang w:val="lt-LT"/>
        </w:rPr>
      </w:pPr>
    </w:p>
    <w:p w14:paraId="17C18091"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
          <w:bCs/>
          <w:sz w:val="22"/>
          <w:szCs w:val="22"/>
          <w:lang w:val="lt-LT"/>
        </w:rPr>
        <w:t>5.</w:t>
      </w:r>
      <w:r w:rsidRPr="004C5A75">
        <w:rPr>
          <w:rFonts w:ascii="Times New Roman" w:hAnsi="Times New Roman"/>
          <w:b/>
          <w:bCs/>
          <w:sz w:val="22"/>
          <w:szCs w:val="22"/>
          <w:lang w:val="lt-LT"/>
        </w:rPr>
        <w:tab/>
        <w:t>FARMAKOLOGINĖS SAVYBĖS</w:t>
      </w:r>
    </w:p>
    <w:p w14:paraId="17C18092" w14:textId="77777777" w:rsidR="00D75E9B" w:rsidRPr="004C5A75" w:rsidRDefault="00D75E9B" w:rsidP="00D75E9B">
      <w:pPr>
        <w:rPr>
          <w:rFonts w:ascii="Times New Roman" w:hAnsi="Times New Roman"/>
          <w:b/>
          <w:bCs/>
          <w:sz w:val="22"/>
          <w:szCs w:val="22"/>
          <w:lang w:val="lt-LT"/>
        </w:rPr>
      </w:pPr>
    </w:p>
    <w:p w14:paraId="17C18093"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
          <w:bCs/>
          <w:sz w:val="22"/>
          <w:szCs w:val="22"/>
          <w:lang w:val="lt-LT"/>
        </w:rPr>
        <w:t xml:space="preserve">5.1 </w:t>
      </w:r>
      <w:r w:rsidRPr="004C5A75">
        <w:rPr>
          <w:rFonts w:ascii="Times New Roman" w:hAnsi="Times New Roman"/>
          <w:b/>
          <w:bCs/>
          <w:sz w:val="22"/>
          <w:szCs w:val="22"/>
          <w:lang w:val="lt-LT"/>
        </w:rPr>
        <w:tab/>
        <w:t>Farmakodinaminės savybės</w:t>
      </w:r>
    </w:p>
    <w:p w14:paraId="17C18094" w14:textId="77777777" w:rsidR="00D75E9B" w:rsidRPr="004C5A75" w:rsidRDefault="00D75E9B" w:rsidP="00D75E9B">
      <w:pPr>
        <w:rPr>
          <w:rFonts w:ascii="Times New Roman" w:hAnsi="Times New Roman"/>
          <w:sz w:val="22"/>
          <w:szCs w:val="22"/>
          <w:lang w:val="lt-LT"/>
        </w:rPr>
      </w:pPr>
    </w:p>
    <w:p w14:paraId="17C18095" w14:textId="77777777" w:rsidR="00D75E9B" w:rsidRPr="004C5A75" w:rsidRDefault="00D75E9B" w:rsidP="00D75E9B">
      <w:pPr>
        <w:tabs>
          <w:tab w:val="left" w:pos="288"/>
          <w:tab w:val="left" w:pos="432"/>
        </w:tabs>
        <w:rPr>
          <w:rFonts w:ascii="Times New Roman" w:hAnsi="Times New Roman"/>
          <w:sz w:val="22"/>
          <w:szCs w:val="22"/>
          <w:lang w:val="lt-LT"/>
        </w:rPr>
      </w:pPr>
      <w:r w:rsidRPr="004C5A75">
        <w:rPr>
          <w:rFonts w:ascii="Times New Roman" w:hAnsi="Times New Roman"/>
          <w:sz w:val="22"/>
          <w:szCs w:val="22"/>
          <w:lang w:val="lt-LT"/>
        </w:rPr>
        <w:t>Farmakoterapinė grupė -  AKF inhibitoriai ir kalcio kanalų blokatoriai, lizinoprilis ir amlodipinas, ATC kodas - C09BB03</w:t>
      </w:r>
    </w:p>
    <w:p w14:paraId="17C18096" w14:textId="77777777" w:rsidR="00D75E9B" w:rsidRPr="004C5A75" w:rsidRDefault="00D75E9B" w:rsidP="00D75E9B">
      <w:pPr>
        <w:pStyle w:val="Pagrindinistekstas"/>
        <w:jc w:val="left"/>
        <w:rPr>
          <w:rFonts w:ascii="Times New Roman" w:hAnsi="Times New Roman"/>
          <w:color w:val="auto"/>
          <w:lang w:val="lt-LT"/>
        </w:rPr>
      </w:pPr>
    </w:p>
    <w:p w14:paraId="17C18097" w14:textId="77777777" w:rsidR="00D75E9B" w:rsidRPr="004C5A75" w:rsidRDefault="00D75E9B" w:rsidP="00D75E9B">
      <w:pPr>
        <w:pStyle w:val="Pagrindinistekstas"/>
        <w:jc w:val="left"/>
        <w:rPr>
          <w:rFonts w:ascii="Times New Roman" w:hAnsi="Times New Roman"/>
          <w:color w:val="auto"/>
          <w:lang w:val="lt-LT"/>
        </w:rPr>
      </w:pPr>
      <w:r w:rsidRPr="004C5A75">
        <w:rPr>
          <w:rFonts w:ascii="Times New Roman" w:hAnsi="Times New Roman"/>
          <w:color w:val="auto"/>
          <w:lang w:val="lt-LT"/>
        </w:rPr>
        <w:t>DIRONORM yra kombinuotas preparatas, susidedantis iš veikliųjų medžiagų lizinoprilio ir amlodipino.</w:t>
      </w:r>
    </w:p>
    <w:p w14:paraId="17C18098" w14:textId="77777777" w:rsidR="00D75E9B" w:rsidRPr="004C5A75" w:rsidRDefault="00D75E9B" w:rsidP="00D75E9B">
      <w:pPr>
        <w:pStyle w:val="Pagrindinistekstas"/>
        <w:jc w:val="left"/>
        <w:rPr>
          <w:rFonts w:ascii="Times New Roman" w:hAnsi="Times New Roman"/>
          <w:color w:val="auto"/>
          <w:lang w:val="lt-LT"/>
        </w:rPr>
      </w:pPr>
      <w:r w:rsidRPr="004C5A75">
        <w:rPr>
          <w:rFonts w:ascii="Times New Roman" w:hAnsi="Times New Roman"/>
          <w:color w:val="auto"/>
          <w:lang w:val="lt-LT"/>
        </w:rPr>
        <w:t xml:space="preserve"> </w:t>
      </w:r>
    </w:p>
    <w:p w14:paraId="17C18099" w14:textId="77777777" w:rsidR="00D75E9B" w:rsidRPr="004C5A75" w:rsidRDefault="00D75E9B" w:rsidP="00D75E9B">
      <w:pPr>
        <w:pStyle w:val="Pagrindinistekstas"/>
        <w:jc w:val="left"/>
        <w:rPr>
          <w:rFonts w:ascii="Times New Roman" w:hAnsi="Times New Roman"/>
          <w:color w:val="auto"/>
          <w:u w:val="single"/>
          <w:lang w:val="lt-LT"/>
        </w:rPr>
      </w:pPr>
      <w:r w:rsidRPr="004C5A75">
        <w:rPr>
          <w:rFonts w:ascii="Times New Roman" w:hAnsi="Times New Roman"/>
          <w:color w:val="auto"/>
          <w:u w:val="single"/>
          <w:lang w:val="lt-LT"/>
        </w:rPr>
        <w:t>Lizinoprilis</w:t>
      </w:r>
    </w:p>
    <w:p w14:paraId="17C1809A"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Veikimo meckanizmas</w:t>
      </w:r>
    </w:p>
    <w:p w14:paraId="17C1809B"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Lizinoprilis yra peptidildipeptidazės inhibitorius. Jis slopina angiotenziną konvertuojantį fermentą (AKF), kuris katalizuoja angiotenzino I virtimą kraujagysles sutraukiančiu peptidu angiotenzinu II. Angiotenzinas II taip pat skatina aldosterono išsiskyrimą iš antinksčių žievės. AKF užslopinus, mažėja angiotenzino II kiekis kraujyje, todėl silpniau sutraukiamos kraujagyslės ir išsiskiria  mažiau aldosterono. Dėl pastarojo poveikio serume gali padidėti kalio koncentracija. </w:t>
      </w:r>
    </w:p>
    <w:p w14:paraId="17C1809C" w14:textId="77777777" w:rsidR="00D75E9B" w:rsidRPr="004C5A75" w:rsidRDefault="00D75E9B" w:rsidP="00D75E9B">
      <w:pPr>
        <w:rPr>
          <w:lang w:val="lt-LT"/>
        </w:rPr>
      </w:pPr>
    </w:p>
    <w:p w14:paraId="17C1809D" w14:textId="77777777" w:rsidR="00D75E9B" w:rsidRPr="004C5A75" w:rsidRDefault="00D75E9B" w:rsidP="00D75E9B">
      <w:pPr>
        <w:rPr>
          <w:rFonts w:ascii="Times New Roman" w:hAnsi="Times New Roman"/>
          <w:i/>
          <w:sz w:val="22"/>
          <w:szCs w:val="22"/>
          <w:lang w:val="lt-LT"/>
        </w:rPr>
      </w:pPr>
      <w:r w:rsidRPr="0026536C">
        <w:rPr>
          <w:rFonts w:ascii="Times New Roman" w:hAnsi="Times New Roman"/>
          <w:i/>
          <w:sz w:val="22"/>
          <w:szCs w:val="22"/>
          <w:lang w:val="lt-LT"/>
        </w:rPr>
        <w:t>Farmakodinaminis poveikis</w:t>
      </w:r>
    </w:p>
    <w:p w14:paraId="17C1809E"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Manoma, kad lizinoprilis mažina kraujospūdį pirmiausiai slopindamas renino-angiotenzino-aldosterono sistemą, todėl jis yra veiksmingas ir tiems hipertenzija sergantiems pacientams, kurių kraujyje yra mažai renino. AKF yra identiškas kininazei II – fermentui, suardančiam bradikininą. Iki šiol nežinoma, ar padidėjęs bradikinino (potencialaus kraujagysles plečiančio peptido) kiekis turi reikšmės lizinoprilio terapiniam poveikiui.</w:t>
      </w:r>
    </w:p>
    <w:p w14:paraId="17C1809F" w14:textId="77777777" w:rsidR="00D75E9B" w:rsidRPr="004C5A75" w:rsidRDefault="00D75E9B" w:rsidP="00D75E9B">
      <w:pPr>
        <w:rPr>
          <w:lang w:val="lt-LT"/>
        </w:rPr>
      </w:pPr>
    </w:p>
    <w:p w14:paraId="17C180A0" w14:textId="77777777" w:rsidR="00D75E9B" w:rsidRPr="004C5A75" w:rsidRDefault="00D75E9B" w:rsidP="00D75E9B">
      <w:pPr>
        <w:rPr>
          <w:rFonts w:ascii="Times New Roman" w:hAnsi="Times New Roman"/>
          <w:i/>
          <w:sz w:val="22"/>
          <w:szCs w:val="22"/>
          <w:lang w:val="lt-LT"/>
        </w:rPr>
      </w:pPr>
      <w:r w:rsidRPr="0026536C">
        <w:rPr>
          <w:rFonts w:ascii="Times New Roman" w:hAnsi="Times New Roman"/>
          <w:i/>
          <w:sz w:val="22"/>
          <w:szCs w:val="22"/>
          <w:lang w:val="lt-LT"/>
        </w:rPr>
        <w:t>Klinikinis veiksmingumas ir saugumas</w:t>
      </w:r>
    </w:p>
    <w:p w14:paraId="17C180A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Lizinoprilio poveikis širdies nepakankamumu sergančių pacientų mirštamumui ir sergamumui buvo tirtas lyginant didelių dozių (32,5 mg arba 35 mg kartą per parą) ir mažų dozių (2,5 mg arba 5 mg kartą per parą) efektą. Tyrime dalyvavo 3164 pacientai, išgyvenusių pacientų stebėjimo laikotarpio mediana buvo 46 mėnesiai. Šio tyrimo rezultatai parodė, kad didelės lizinoprilio dozės, palyginti su mažomis, 12% sumažino bendrą mirštamumo dėl visų priežasčių bei hospitalizavimo dėl visų priežasčių riziką (p = 0,002) ir 8% sumažino mirštamumo dėl visų priežasčių bei hospitalizavimo dėl kardiovaskulinių priežasčių riziką (p = 0,036). Nustatyta, kad sumažėjo mirštamumo dėl visų priežasčių (8%; p = 0,128) ir mirštamumo dėl kardiovaskulinių priežasčių (10%; p = 0,073) rizika. Atlikus antrinę analizę, paaiškėjo, kad didelėmis lizinoprilio dozėmis gydytų ligonių hospitalizacijos dėl širdies nepakankamumo atvejų skaičius buvo 24% (p = 0,002) mažesnis negu mažomis dozėmis gydytų ligonių. Didelėmis ir mažomis lizinoprilio dozėmis gydytų pacientų simptominis pagerėjimas buvo panašus.</w:t>
      </w:r>
    </w:p>
    <w:p w14:paraId="17C180A2" w14:textId="77777777" w:rsidR="00D75E9B" w:rsidRPr="004C5A75" w:rsidRDefault="00D75E9B" w:rsidP="00D75E9B">
      <w:pPr>
        <w:rPr>
          <w:rFonts w:ascii="Times New Roman" w:hAnsi="Times New Roman"/>
          <w:sz w:val="22"/>
          <w:szCs w:val="22"/>
          <w:lang w:val="lt-LT"/>
        </w:rPr>
      </w:pPr>
    </w:p>
    <w:p w14:paraId="17C180A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Tyrimo rezultatai parodė, kad bendras nepageidaujamų poveikių pobūdis ir dažnis, tiek gydant didelėmis ir tiek mažomis lizinoprilio dozėmis, buvo panašus. Tikėtini AKF slopinimui būdingi poveikiai, pvz., hipotenzija ar inkstų funkcijos pokyčiai, buvo pagydomi ir dėl jų retai prireikdavo užbaigti gydymą. Didelėmis lizinoprilio dozėmis gydytiems ligoniams kosulys pasireiškė rečiau, negu gydytiems mažomis dozėmis.</w:t>
      </w:r>
    </w:p>
    <w:p w14:paraId="17C180A4" w14:textId="77777777" w:rsidR="00D75E9B" w:rsidRPr="004C5A75" w:rsidRDefault="00D75E9B" w:rsidP="00D75E9B">
      <w:pPr>
        <w:rPr>
          <w:rFonts w:ascii="Times New Roman" w:hAnsi="Times New Roman"/>
          <w:sz w:val="22"/>
          <w:szCs w:val="22"/>
          <w:lang w:val="lt-LT"/>
        </w:rPr>
      </w:pPr>
    </w:p>
    <w:p w14:paraId="17C180A5" w14:textId="77777777" w:rsidR="00D75E9B" w:rsidRPr="0026536C"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GISSI-3 tyrime, taikant 2x2 veiksnių modelį, 6 savaites buvo lyginamas po vieną arba kartu vartojamų lizinoprilio ir glicerolio trinitrato poveikis bei kontrolinės grupės būklė. 19 394 pacientams per 24 valandas po ūminio miokardo infarkto buvo paskirtas gydymas. Nustatyta, kad, palyginti su kontroline grupe, lizinoprilis statistiškai reikšmingai (11%) sumažino mirštamumo riziką (2p = 0,03). Glicerolio trinitratas reikšmingai nesumažino šios rizikos, tačiau lizinoprilio ir glicerolio trinitrato derinys, palyginti su kontroline grupe, lėmė ženklų mirštamumo rizikos sumažėjimą (17%, 2p = 0,02). Senyvo amžiaus (&gt; 70 metų) žmonių ir moterų, kurioms yra didelė mirštamumo rizika, pogrupiuose, vertinant sudėtinius mirštamumo ir širdies funkcijos rezultatus, nustatyta, kad jie žymiai pagerėjo. Kaip ir </w:t>
      </w:r>
      <w:r w:rsidRPr="004C5A75">
        <w:rPr>
          <w:rFonts w:ascii="Times New Roman" w:hAnsi="Times New Roman"/>
          <w:sz w:val="22"/>
          <w:szCs w:val="22"/>
          <w:lang w:val="lt-LT"/>
        </w:rPr>
        <w:lastRenderedPageBreak/>
        <w:t>didelės rizikos pogrupių, visų pacientų sudėtiniai rezultatai po 6 mėnesių taip pat parodė reikšmingą pagerėjimą tiems pacientams, kurie 6 savaites buvo gydomi lizinopriliu arba lizinoprilio ir glicerolio trinitrato deriniu. Tai rodo prevencinį lizinoprilio poveikį. Kaip ir galima tikėtis gydant bet kuriais kraujagysles plečiančiais vaistiniais preparatais, padaugėjo su lizinopriliu susijusių hipotenzijos ir inkstų funkcijos sutrikimo atvejų, bet tai nenulėmė proporcinio mirštamumo padidėjimo.</w:t>
      </w:r>
    </w:p>
    <w:p w14:paraId="17C180A6" w14:textId="77777777" w:rsidR="00D75E9B" w:rsidRPr="0026536C" w:rsidRDefault="00D75E9B" w:rsidP="00D75E9B">
      <w:pPr>
        <w:rPr>
          <w:rFonts w:ascii="Times New Roman" w:hAnsi="Times New Roman"/>
          <w:sz w:val="22"/>
          <w:szCs w:val="22"/>
          <w:lang w:val="lt-LT"/>
        </w:rPr>
      </w:pPr>
    </w:p>
    <w:p w14:paraId="17C180A7" w14:textId="77777777" w:rsidR="00D75E9B" w:rsidRPr="0026536C" w:rsidRDefault="00D75E9B" w:rsidP="00D75E9B">
      <w:pPr>
        <w:rPr>
          <w:rFonts w:ascii="Times New Roman" w:hAnsi="Times New Roman"/>
          <w:sz w:val="22"/>
          <w:szCs w:val="22"/>
          <w:lang w:val="lt-LT"/>
        </w:rPr>
      </w:pPr>
      <w:r w:rsidRPr="0026536C">
        <w:rPr>
          <w:rFonts w:ascii="Times New Roman" w:hAnsi="Times New Roman"/>
          <w:sz w:val="22"/>
          <w:szCs w:val="22"/>
          <w:lang w:val="lt-LT"/>
        </w:rPr>
        <w:t xml:space="preserve">Atliekant dvigubai koduotą, atsitiktinės atrankos, daugiacentrį tyrimą, buvo lyginamas lizinoprilio ir kalcio kanalų blokatorių poveikis 335 ligoniams, sergantiems 2 tipo cukriniu diabetu ir hipertenzija bei pradinės stadijos nefropatija, kuriai būdinga mikroalbuminurija. 12 mėnesių kartą per parą skiriant 10–20 mg lizinoprilio, sistolinis ir diastolinis kraujospūdis sumažėjo 13 ir 10 mmHg atitinkamai, o albuminų išsiskyrimas su šlapimu – 40%. Palyginti su panašiai kraujospūdį sumažinusiais kalcio kanalų blokatoriais, lizinoprilis žymiai labiau sumažino albuminų išsiskyrimą su šlapimu, ir tai rodo, kad, lizinopriliui slopinant AKF, mikroalbuminurija sumažėja ne tik dėl kraujospūdį mažinančio poveikio, bet ir dėl tiesioginio mechanizmo, veikiančio inkstų audinius. </w:t>
      </w:r>
    </w:p>
    <w:p w14:paraId="17C180A8" w14:textId="77777777" w:rsidR="00D75E9B" w:rsidRPr="0026536C" w:rsidRDefault="00D75E9B" w:rsidP="00D75E9B">
      <w:pPr>
        <w:rPr>
          <w:rFonts w:ascii="Times New Roman" w:hAnsi="Times New Roman"/>
          <w:sz w:val="22"/>
          <w:szCs w:val="22"/>
          <w:lang w:val="lt-LT"/>
        </w:rPr>
      </w:pPr>
    </w:p>
    <w:p w14:paraId="17C180A9" w14:textId="77777777" w:rsidR="00D75E9B" w:rsidRPr="0026536C" w:rsidRDefault="00D75E9B" w:rsidP="00D75E9B">
      <w:pPr>
        <w:rPr>
          <w:rFonts w:ascii="Times New Roman" w:hAnsi="Times New Roman"/>
          <w:sz w:val="22"/>
          <w:szCs w:val="22"/>
          <w:lang w:val="lt-LT"/>
        </w:rPr>
      </w:pPr>
      <w:r w:rsidRPr="0026536C">
        <w:rPr>
          <w:rFonts w:ascii="Times New Roman" w:hAnsi="Times New Roman"/>
          <w:sz w:val="22"/>
          <w:szCs w:val="22"/>
          <w:lang w:val="lt-LT"/>
        </w:rPr>
        <w:t>Kaip pastebėta, lizinoprilis reikšmingai neveikia glikuoto hemoglobino (HbA</w:t>
      </w:r>
      <w:r w:rsidRPr="0026536C">
        <w:rPr>
          <w:rFonts w:ascii="Times New Roman" w:hAnsi="Times New Roman"/>
          <w:sz w:val="22"/>
          <w:szCs w:val="22"/>
          <w:vertAlign w:val="subscript"/>
          <w:lang w:val="lt-LT"/>
        </w:rPr>
        <w:t>1C</w:t>
      </w:r>
      <w:r w:rsidRPr="0026536C">
        <w:rPr>
          <w:rFonts w:ascii="Times New Roman" w:hAnsi="Times New Roman"/>
          <w:sz w:val="22"/>
          <w:szCs w:val="22"/>
          <w:lang w:val="lt-LT"/>
        </w:rPr>
        <w:t xml:space="preserve">) koncentracijos, taigi gydymas lizinopriliu neturi neigiamos įtakos glikemijos kontrolei.     </w:t>
      </w:r>
    </w:p>
    <w:p w14:paraId="17C180AA" w14:textId="77777777" w:rsidR="00D75E9B" w:rsidRPr="004C5A75" w:rsidRDefault="00D75E9B" w:rsidP="00D75E9B">
      <w:pPr>
        <w:pStyle w:val="Pagrindinistekstas"/>
        <w:jc w:val="left"/>
        <w:rPr>
          <w:rFonts w:ascii="Times New Roman" w:hAnsi="Times New Roman"/>
          <w:i/>
          <w:color w:val="auto"/>
          <w:lang w:val="lt-LT"/>
        </w:rPr>
      </w:pPr>
    </w:p>
    <w:p w14:paraId="17C180AB" w14:textId="77777777" w:rsidR="00D75E9B" w:rsidRPr="004C5A75" w:rsidRDefault="00D75E9B" w:rsidP="00D75E9B">
      <w:pPr>
        <w:rPr>
          <w:rFonts w:ascii="Times New Roman" w:hAnsi="Times New Roman"/>
          <w:b/>
          <w:sz w:val="22"/>
          <w:szCs w:val="22"/>
          <w:lang w:val="lt-LT"/>
        </w:rPr>
      </w:pPr>
    </w:p>
    <w:p w14:paraId="17C180AC" w14:textId="77777777" w:rsidR="00D75E9B" w:rsidRPr="004C5A75" w:rsidRDefault="00D75E9B" w:rsidP="00D75E9B">
      <w:pPr>
        <w:autoSpaceDE w:val="0"/>
        <w:autoSpaceDN w:val="0"/>
        <w:adjustRightInd w:val="0"/>
        <w:jc w:val="both"/>
        <w:rPr>
          <w:rFonts w:ascii="Times New Roman" w:hAnsi="Times New Roman"/>
          <w:i/>
          <w:iCs/>
          <w:color w:val="000000"/>
          <w:sz w:val="22"/>
          <w:szCs w:val="22"/>
          <w:lang w:val="lt-LT"/>
        </w:rPr>
      </w:pPr>
      <w:r w:rsidRPr="004C5A75">
        <w:rPr>
          <w:rFonts w:ascii="Times New Roman" w:hAnsi="Times New Roman"/>
          <w:i/>
          <w:iCs/>
          <w:color w:val="000000"/>
          <w:sz w:val="22"/>
          <w:szCs w:val="22"/>
          <w:lang w:val="lt-LT"/>
        </w:rPr>
        <w:t>Renino- angiotenzino sistemą (RAS) veikiantys preparatai</w:t>
      </w:r>
    </w:p>
    <w:p w14:paraId="17C180AD" w14:textId="77777777" w:rsidR="00D75E9B" w:rsidRPr="0026536C" w:rsidRDefault="00D75E9B" w:rsidP="00D75E9B">
      <w:pPr>
        <w:autoSpaceDE w:val="0"/>
        <w:autoSpaceDN w:val="0"/>
        <w:adjustRightInd w:val="0"/>
        <w:jc w:val="both"/>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 </w:t>
      </w:r>
    </w:p>
    <w:p w14:paraId="17C180AE" w14:textId="77777777" w:rsidR="00D75E9B" w:rsidRPr="0026536C" w:rsidRDefault="00D75E9B" w:rsidP="00D75E9B">
      <w:pPr>
        <w:autoSpaceDE w:val="0"/>
        <w:autoSpaceDN w:val="0"/>
        <w:adjustRightInd w:val="0"/>
        <w:jc w:val="both"/>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17C180AF" w14:textId="77777777" w:rsidR="00D75E9B" w:rsidRPr="0026536C" w:rsidRDefault="00D75E9B" w:rsidP="00D75E9B">
      <w:pPr>
        <w:autoSpaceDE w:val="0"/>
        <w:autoSpaceDN w:val="0"/>
        <w:adjustRightInd w:val="0"/>
        <w:jc w:val="both"/>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17C180B0" w14:textId="77777777" w:rsidR="00D75E9B" w:rsidRPr="0026536C" w:rsidRDefault="00D75E9B" w:rsidP="00D75E9B">
      <w:pPr>
        <w:autoSpaceDE w:val="0"/>
        <w:autoSpaceDN w:val="0"/>
        <w:adjustRightInd w:val="0"/>
        <w:jc w:val="both"/>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Todėl pacientams, sergantiems diabetine nefropatija, negalima kartu vartoti AKF inhibitorių ir angiotenzino II receptorių blokatorių. </w:t>
      </w:r>
    </w:p>
    <w:p w14:paraId="17C180B1" w14:textId="77777777" w:rsidR="00D75E9B" w:rsidRPr="0026536C" w:rsidRDefault="00D75E9B" w:rsidP="00D75E9B">
      <w:pPr>
        <w:autoSpaceDE w:val="0"/>
        <w:autoSpaceDN w:val="0"/>
        <w:adjustRightInd w:val="0"/>
        <w:jc w:val="both"/>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 </w:t>
      </w:r>
    </w:p>
    <w:p w14:paraId="17C180B2" w14:textId="77777777" w:rsidR="00D75E9B" w:rsidRPr="004C5A75" w:rsidRDefault="00D75E9B" w:rsidP="00D75E9B">
      <w:pPr>
        <w:rPr>
          <w:rFonts w:ascii="Times New Roman" w:hAnsi="Times New Roman"/>
          <w:sz w:val="22"/>
          <w:szCs w:val="22"/>
          <w:lang w:val="lt-LT"/>
        </w:rPr>
      </w:pPr>
    </w:p>
    <w:p w14:paraId="17C180B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Vaikų populiacija</w:t>
      </w:r>
    </w:p>
    <w:p w14:paraId="17C180B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Klinikiniame tyrime, kuriame dalyvavo 115 vaikų, 6-16 metų amžiaus, sergančių hipertenzija, pacientai, kurie svėrė mažiau kaip 50 kg, kartą per parą gavo 0,625 mg arba 2,5 mg arba 20 mg lizinoprilio, pacientai, kurie svėrė 50 kg ar daugiau per parą gavo 1,25 mg, 5 mg ar 40 mg lizinoprilio. Antros savaitės pabaigoje kartą per parą vartojamas lizinoprilis sumažino kraujospūdį, vartojant jį didesnėmis dozėmis nei 1,25 mg.</w:t>
      </w:r>
    </w:p>
    <w:p w14:paraId="17C180B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Efektas buvo patvirtintas nutraukimo fazėje, kai diastolinis kraujospūdis pakilo 9 mm Hg placebo grupėje lyginant su tais pacientais, kurie tęsė vidutines ar dideles lizinoprilio dozes. Nuo dozės priklausomo lizinoprilio antihipertenzinis efektas nesiskyrė įvairiose demografinėse grupėse: amžiaus, Tanerio stadijos, lyties ir rasės.</w:t>
      </w:r>
    </w:p>
    <w:p w14:paraId="17C180B6" w14:textId="77777777" w:rsidR="00D75E9B" w:rsidRPr="004C5A75" w:rsidRDefault="00D75E9B" w:rsidP="00D75E9B">
      <w:pPr>
        <w:tabs>
          <w:tab w:val="left" w:pos="864"/>
          <w:tab w:val="left" w:pos="1008"/>
        </w:tabs>
        <w:rPr>
          <w:rFonts w:ascii="Times New Roman" w:hAnsi="Times New Roman"/>
          <w:sz w:val="22"/>
          <w:lang w:val="lt-LT"/>
        </w:rPr>
      </w:pPr>
    </w:p>
    <w:p w14:paraId="17C180B7" w14:textId="77777777" w:rsidR="00D75E9B" w:rsidRPr="004C5A75" w:rsidRDefault="00D75E9B" w:rsidP="00D75E9B">
      <w:pPr>
        <w:tabs>
          <w:tab w:val="left" w:pos="864"/>
          <w:tab w:val="left" w:pos="1008"/>
        </w:tabs>
        <w:rPr>
          <w:rFonts w:ascii="Times New Roman" w:hAnsi="Times New Roman"/>
          <w:sz w:val="22"/>
          <w:szCs w:val="22"/>
          <w:u w:val="single"/>
          <w:lang w:val="lt-LT"/>
        </w:rPr>
      </w:pPr>
      <w:r w:rsidRPr="004C5A75">
        <w:rPr>
          <w:rFonts w:ascii="Times New Roman" w:hAnsi="Times New Roman"/>
          <w:iCs/>
          <w:sz w:val="22"/>
          <w:szCs w:val="22"/>
          <w:u w:val="single"/>
          <w:lang w:val="lt-LT"/>
        </w:rPr>
        <w:t>Amlodipinas</w:t>
      </w:r>
    </w:p>
    <w:p w14:paraId="17C180B8" w14:textId="77777777" w:rsidR="00D75E9B" w:rsidRPr="004C5A75" w:rsidRDefault="00D75E9B" w:rsidP="00C97BD4">
      <w:pPr>
        <w:pStyle w:val="BTEMEASMCA"/>
        <w:rPr>
          <w:lang w:val="lt-LT"/>
        </w:rPr>
      </w:pPr>
      <w:r w:rsidRPr="004C5A75">
        <w:rPr>
          <w:iCs/>
          <w:lang w:val="lt-LT"/>
        </w:rPr>
        <w:lastRenderedPageBreak/>
        <w:t xml:space="preserve">Amlodipinas </w:t>
      </w:r>
      <w:r w:rsidRPr="004C5A75">
        <w:rPr>
          <w:lang w:val="lt-LT"/>
        </w:rPr>
        <w:t>yra dihidropiridinų grupei priklausantis kalcio jonų srautą į ląstelę slopinantis preparatas (lėtųjų kanalų blokatorius), slopinantis kalcio jonų srautą pro membraną į širdies ir lygiuosius kraujagyslių raumenis.</w:t>
      </w:r>
    </w:p>
    <w:p w14:paraId="17C180B9" w14:textId="77777777" w:rsidR="00D75E9B" w:rsidRPr="004C5A75" w:rsidRDefault="00D75E9B" w:rsidP="00C97BD4">
      <w:pPr>
        <w:pStyle w:val="BTEMEASMCA"/>
        <w:rPr>
          <w:lang w:val="lt-LT"/>
        </w:rPr>
      </w:pPr>
    </w:p>
    <w:p w14:paraId="17C180BA" w14:textId="77777777" w:rsidR="00D75E9B" w:rsidRPr="004C5A75" w:rsidRDefault="00D75E9B" w:rsidP="00D75E9B">
      <w:pPr>
        <w:tabs>
          <w:tab w:val="left" w:pos="864"/>
          <w:tab w:val="left" w:pos="1008"/>
        </w:tabs>
        <w:rPr>
          <w:rFonts w:ascii="Times New Roman" w:hAnsi="Times New Roman"/>
          <w:sz w:val="22"/>
          <w:szCs w:val="22"/>
          <w:lang w:val="lt-LT"/>
        </w:rPr>
      </w:pPr>
      <w:r w:rsidRPr="004C5A75">
        <w:rPr>
          <w:rFonts w:ascii="Times New Roman" w:hAnsi="Times New Roman"/>
          <w:sz w:val="22"/>
          <w:szCs w:val="22"/>
          <w:lang w:val="lt-LT"/>
        </w:rPr>
        <w:t>Antihipertenzinis amlodipino poveikis pasireiškia dėl tiesioginio lygiųjų kraujagyslių raumenis atpalaiduojančio poveikio. Tikslus mechanizmas, kaip amlodipinas palengvina krūtinės anginą, iki galo neišaiškintas, tačiau nustatyta, kad išemiją amlodipinas mažina dviem būdais.</w:t>
      </w:r>
    </w:p>
    <w:p w14:paraId="17C180BB" w14:textId="77777777" w:rsidR="00D75E9B" w:rsidRPr="004C5A75" w:rsidRDefault="00D75E9B" w:rsidP="00D75E9B">
      <w:pPr>
        <w:tabs>
          <w:tab w:val="left" w:pos="864"/>
          <w:tab w:val="left" w:pos="1008"/>
        </w:tabs>
        <w:rPr>
          <w:rFonts w:ascii="Times New Roman" w:hAnsi="Times New Roman"/>
          <w:sz w:val="22"/>
          <w:szCs w:val="22"/>
          <w:lang w:val="lt-LT"/>
        </w:rPr>
      </w:pPr>
    </w:p>
    <w:p w14:paraId="17C180BC" w14:textId="77777777" w:rsidR="00D75E9B" w:rsidRPr="004C5A75" w:rsidRDefault="006C6058" w:rsidP="00D75E9B">
      <w:pPr>
        <w:tabs>
          <w:tab w:val="left" w:pos="864"/>
          <w:tab w:val="left" w:pos="1008"/>
        </w:tabs>
        <w:rPr>
          <w:rFonts w:ascii="Times New Roman" w:hAnsi="Times New Roman"/>
          <w:sz w:val="22"/>
          <w:szCs w:val="22"/>
          <w:lang w:val="lt-LT"/>
        </w:rPr>
      </w:pPr>
      <w:r w:rsidRPr="004C5A75">
        <w:rPr>
          <w:rFonts w:ascii="Times New Roman" w:hAnsi="Times New Roman"/>
          <w:sz w:val="22"/>
          <w:szCs w:val="22"/>
          <w:lang w:val="lt-LT"/>
        </w:rPr>
        <w:t xml:space="preserve">-  </w:t>
      </w:r>
      <w:r w:rsidR="00D75E9B" w:rsidRPr="004C5A75">
        <w:rPr>
          <w:rFonts w:ascii="Times New Roman" w:hAnsi="Times New Roman"/>
          <w:sz w:val="22"/>
          <w:szCs w:val="22"/>
          <w:lang w:val="lt-LT"/>
        </w:rPr>
        <w:t>Amlodipinas plečia periferines arterioles ir dėl to mažina bendrąjį periferinį pasipriešinimą (pokrūvį) širdžiai. Kadangi širdies susitraukimų dažnis lieka pastovus, tai mažinant širdies pokrūvį, mažėja miokardo energijos sąnaudos ir deguonies poreikis.</w:t>
      </w:r>
    </w:p>
    <w:p w14:paraId="17C180BD" w14:textId="77777777" w:rsidR="00D75E9B" w:rsidRPr="004C5A75" w:rsidRDefault="00D75E9B" w:rsidP="00D75E9B">
      <w:pPr>
        <w:tabs>
          <w:tab w:val="left" w:pos="864"/>
          <w:tab w:val="left" w:pos="1008"/>
        </w:tabs>
        <w:rPr>
          <w:rFonts w:ascii="Times New Roman" w:hAnsi="Times New Roman"/>
          <w:sz w:val="22"/>
          <w:szCs w:val="22"/>
          <w:lang w:val="lt-LT"/>
        </w:rPr>
      </w:pPr>
    </w:p>
    <w:p w14:paraId="17C180BE" w14:textId="77777777" w:rsidR="00D75E9B" w:rsidRPr="004C5A75" w:rsidRDefault="006C6058" w:rsidP="00D75E9B">
      <w:pPr>
        <w:tabs>
          <w:tab w:val="left" w:pos="864"/>
          <w:tab w:val="left" w:pos="1008"/>
        </w:tabs>
        <w:rPr>
          <w:rFonts w:ascii="Times New Roman" w:hAnsi="Times New Roman"/>
          <w:sz w:val="22"/>
          <w:szCs w:val="22"/>
          <w:lang w:val="lt-LT"/>
        </w:rPr>
      </w:pPr>
      <w:r w:rsidRPr="004C5A75">
        <w:rPr>
          <w:rFonts w:ascii="Times New Roman" w:hAnsi="Times New Roman"/>
          <w:sz w:val="22"/>
          <w:szCs w:val="22"/>
          <w:lang w:val="lt-LT"/>
        </w:rPr>
        <w:t xml:space="preserve">-  </w:t>
      </w:r>
      <w:r w:rsidR="00D75E9B" w:rsidRPr="004C5A75">
        <w:rPr>
          <w:rFonts w:ascii="Times New Roman" w:hAnsi="Times New Roman"/>
          <w:sz w:val="22"/>
          <w:szCs w:val="22"/>
          <w:lang w:val="lt-LT"/>
        </w:rPr>
        <w:t>Be to, manoma, kad amlodipinas taip pat plečia pagrindines vainikines arterijas bei vainikines arterioles ir sveikose, ir išeminėse zonose, todėl gerina miokardo aprūpinimą deguonimi pacientams, kuriems būna vainikinių arterijų spazmų (Prinzmetal arba variantinė krūtinės angina).</w:t>
      </w:r>
    </w:p>
    <w:p w14:paraId="17C180BF" w14:textId="77777777" w:rsidR="00D75E9B" w:rsidRPr="004C5A75" w:rsidRDefault="00D75E9B" w:rsidP="00D75E9B">
      <w:pPr>
        <w:tabs>
          <w:tab w:val="left" w:pos="864"/>
          <w:tab w:val="left" w:pos="1008"/>
        </w:tabs>
        <w:rPr>
          <w:rFonts w:ascii="Times New Roman" w:hAnsi="Times New Roman"/>
          <w:sz w:val="22"/>
          <w:szCs w:val="22"/>
          <w:lang w:val="lt-LT"/>
        </w:rPr>
      </w:pPr>
    </w:p>
    <w:p w14:paraId="17C180C0" w14:textId="77777777" w:rsidR="00D75E9B" w:rsidRPr="004C5A75" w:rsidRDefault="00D75E9B" w:rsidP="00C97BD4">
      <w:pPr>
        <w:pStyle w:val="BTEMEASMCA"/>
        <w:rPr>
          <w:lang w:val="lt-LT"/>
        </w:rPr>
      </w:pPr>
      <w:r w:rsidRPr="004C5A75">
        <w:rPr>
          <w:lang w:val="lt-LT"/>
        </w:rPr>
        <w:t>Hipertenzija sergantiems ligoniams vartojamas vieną kartą per parą jis užtikrina kliniškai reikšmingą 24 valandas trunkantį kraujospūdžio sumažėjimą tiek gulint, tiek stovint. Amlodipinas pradeda veikti lėtai ir todėl nesukelia ūminės hipotenzijos.</w:t>
      </w:r>
    </w:p>
    <w:p w14:paraId="17C180C1" w14:textId="77777777" w:rsidR="00D75E9B" w:rsidRPr="004C5A75" w:rsidRDefault="00D75E9B" w:rsidP="00C97BD4">
      <w:pPr>
        <w:pStyle w:val="BTEMEASMCA"/>
        <w:rPr>
          <w:lang w:val="lt-LT"/>
        </w:rPr>
      </w:pPr>
    </w:p>
    <w:p w14:paraId="17C180C2" w14:textId="77777777" w:rsidR="00D75E9B" w:rsidRPr="004C5A75" w:rsidRDefault="00D75E9B" w:rsidP="00C97BD4">
      <w:pPr>
        <w:pStyle w:val="BTEMEASMCA"/>
        <w:rPr>
          <w:lang w:val="lt-LT"/>
        </w:rPr>
      </w:pPr>
      <w:r w:rsidRPr="004C5A75">
        <w:rPr>
          <w:lang w:val="lt-LT"/>
        </w:rPr>
        <w:t>Krūtinės angina sergantys pacientai, amlodipino vartojantys vieną kartą per parą, ilgiau toleruoja fizinį krūvį, jiems ilgiau nepasireiškia krūtinės anginos priepuolis, vėliau per 1 mm nusileidžia ST segmentas, rečiau pasireiškia krūtinės anginos priepuoliai ir reikia mažiau vartoti nitroglicerino tablečių.</w:t>
      </w:r>
    </w:p>
    <w:p w14:paraId="17C180C3" w14:textId="77777777" w:rsidR="00D75E9B" w:rsidRPr="004C5A75" w:rsidRDefault="00D75E9B" w:rsidP="00C97BD4">
      <w:pPr>
        <w:pStyle w:val="BTEMEASMCA"/>
        <w:rPr>
          <w:lang w:val="lt-LT"/>
        </w:rPr>
      </w:pPr>
    </w:p>
    <w:p w14:paraId="17C180C4" w14:textId="77777777" w:rsidR="00D75E9B" w:rsidRPr="004C5A75" w:rsidRDefault="00D75E9B" w:rsidP="00C97BD4">
      <w:pPr>
        <w:pStyle w:val="BTEMEASMCA"/>
        <w:rPr>
          <w:lang w:val="lt-LT"/>
        </w:rPr>
      </w:pPr>
      <w:r w:rsidRPr="004C5A75">
        <w:rPr>
          <w:lang w:val="lt-LT"/>
        </w:rPr>
        <w:t>Amlodipinas nesukelia nepageidaujamo metabolinio poveikio bei riebalų koncentracijos kraujo plazmoje pokyčio, todėl šis vaistinis preparatas tinka astma, diabetu ir podagra sergantiems ligoniams.</w:t>
      </w:r>
    </w:p>
    <w:p w14:paraId="17C180C5" w14:textId="77777777" w:rsidR="00D75E9B" w:rsidRPr="004C5A75" w:rsidRDefault="00D75E9B" w:rsidP="00C97BD4">
      <w:pPr>
        <w:pStyle w:val="BTEMEASMCA"/>
        <w:rPr>
          <w:lang w:val="lt-LT"/>
        </w:rPr>
      </w:pPr>
    </w:p>
    <w:p w14:paraId="17C180C6" w14:textId="77777777" w:rsidR="00D75E9B" w:rsidRPr="004C5A75" w:rsidRDefault="00D75E9B" w:rsidP="00C97BD4">
      <w:pPr>
        <w:pStyle w:val="BTEMEASMCA"/>
        <w:rPr>
          <w:lang w:val="lt-LT"/>
        </w:rPr>
      </w:pPr>
    </w:p>
    <w:p w14:paraId="17C180C7" w14:textId="77777777" w:rsidR="00D75E9B" w:rsidRPr="004C5A75" w:rsidRDefault="00D75E9B" w:rsidP="00C97BD4">
      <w:pPr>
        <w:pStyle w:val="BTEMEASMCA"/>
        <w:rPr>
          <w:lang w:val="lt-LT"/>
        </w:rPr>
      </w:pPr>
      <w:r w:rsidRPr="004C5A75">
        <w:rPr>
          <w:lang w:val="lt-LT"/>
        </w:rPr>
        <w:t xml:space="preserve"> Širdies nepakankamumas</w:t>
      </w:r>
    </w:p>
    <w:p w14:paraId="17C180C8" w14:textId="77777777" w:rsidR="00D75E9B" w:rsidRPr="004C5A75" w:rsidRDefault="00D75E9B" w:rsidP="00C97BD4">
      <w:pPr>
        <w:pStyle w:val="BTEMEASMCA"/>
        <w:rPr>
          <w:lang w:val="lt-LT"/>
        </w:rPr>
      </w:pPr>
      <w:r w:rsidRPr="004C5A75">
        <w:rPr>
          <w:lang w:val="lt-LT"/>
        </w:rPr>
        <w:t>Klinikiniai kontroliuojamieji poveikio hemodinamikai ir fizinio krūvio toleravimui tyrimai, kuriuose dalyvavo pacientai, kuriems yra II IV klasės širdies nepakankamumas pagal NYHA, rodo, kad amlodipinas nepablogino pacientų klinikinės būklės (įvertinta pagal fizinio krūvio toleravimą, kairiojo širdies skilvelio išstūmimo frakciją bei klinikinius simptomus).</w:t>
      </w:r>
    </w:p>
    <w:p w14:paraId="17C180C9" w14:textId="77777777" w:rsidR="00D75E9B" w:rsidRPr="004C5A75" w:rsidRDefault="00D75E9B" w:rsidP="00C97BD4">
      <w:pPr>
        <w:pStyle w:val="BTEMEASMCA"/>
        <w:rPr>
          <w:lang w:val="lt-LT"/>
        </w:rPr>
      </w:pPr>
    </w:p>
    <w:p w14:paraId="17C180CA" w14:textId="77777777" w:rsidR="00D75E9B" w:rsidRPr="004C5A75" w:rsidRDefault="00D75E9B" w:rsidP="00C97BD4">
      <w:pPr>
        <w:pStyle w:val="BTEMEASMCA"/>
        <w:rPr>
          <w:lang w:val="lt-LT"/>
        </w:rPr>
      </w:pPr>
      <w:r w:rsidRPr="004C5A75">
        <w:rPr>
          <w:lang w:val="lt-LT"/>
        </w:rPr>
        <w:t>Placebu kontroliuojamojo tyrimo (PRAISE), kurio tikslas buvo įvertinti pacientų, kuriems yra III IV klasės širdies nepakankamumas pagal NYHA, gydymą digoksinu, diuretikais ir AKF inhibitoriais, duomenimis, amlodipinas nedidino mirtingumo arba bendrai mirtingumo ir sergamumo rizikos, susijusios su širdies nepakankamumus.</w:t>
      </w:r>
    </w:p>
    <w:p w14:paraId="17C180CB" w14:textId="77777777" w:rsidR="00D75E9B" w:rsidRPr="004C5A75" w:rsidRDefault="00D75E9B" w:rsidP="00C97BD4">
      <w:pPr>
        <w:pStyle w:val="BTEMEASMCA"/>
        <w:rPr>
          <w:lang w:val="lt-LT"/>
        </w:rPr>
      </w:pPr>
    </w:p>
    <w:p w14:paraId="17C180CC" w14:textId="77777777" w:rsidR="00D75E9B" w:rsidRPr="004C5A75" w:rsidRDefault="00D75E9B" w:rsidP="00C97BD4">
      <w:pPr>
        <w:pStyle w:val="BTEMEASMCA"/>
        <w:rPr>
          <w:lang w:val="lt-LT"/>
        </w:rPr>
      </w:pPr>
      <w:r w:rsidRPr="004C5A75">
        <w:rPr>
          <w:lang w:val="lt-LT"/>
        </w:rPr>
        <w:t>Placebu kontroliuojamojo Norvasc tyrimo (PRAISE II) su pacientais, kuriems yra III IV klasės širdies nepakankamumas pagal NYHA be klinikinių simptomų arba objektyvių požymių, kurie leidžia įtarti arba rodo išeminę ligą, vartojančiais pastovias AKF inhibitorių, širdį veikiančių glikozidų ar diuretikų dozes, ilgalaikio stebėjimo duomenimis, amlodipinas neturėjo įtakos bendram kardiovaskuliniam mirtingumui. Norvasc buvo susijęs su dažnesniais pranešimais apie plaučių edemą toje pačioje populiacijoje.</w:t>
      </w:r>
    </w:p>
    <w:p w14:paraId="17C180CD" w14:textId="77777777" w:rsidR="00D75E9B" w:rsidRPr="004C5A75" w:rsidRDefault="00D75E9B" w:rsidP="00C97BD4">
      <w:pPr>
        <w:pStyle w:val="BTEMEASMCA"/>
        <w:rPr>
          <w:lang w:val="lt-LT"/>
        </w:rPr>
      </w:pPr>
    </w:p>
    <w:p w14:paraId="17C180CE" w14:textId="77777777" w:rsidR="00D75E9B" w:rsidRPr="004C5A75" w:rsidRDefault="00D75E9B" w:rsidP="00C97BD4">
      <w:pPr>
        <w:pStyle w:val="BTEMEASMCA"/>
        <w:rPr>
          <w:lang w:val="lt-LT"/>
        </w:rPr>
      </w:pPr>
      <w:r w:rsidRPr="004C5A75">
        <w:rPr>
          <w:lang w:val="lt-LT"/>
        </w:rPr>
        <w:t xml:space="preserve">Antihipertenzinio ir lipidų kiekį mažinančio gydymo, saugančio nuo širdies priepuolio tyrimas (angl. ALLHAT) </w:t>
      </w:r>
    </w:p>
    <w:p w14:paraId="17C180CF" w14:textId="77777777" w:rsidR="00D75E9B" w:rsidRPr="004C5A75" w:rsidRDefault="00D75E9B" w:rsidP="00C97BD4">
      <w:pPr>
        <w:pStyle w:val="BTEMEASMCA"/>
        <w:rPr>
          <w:lang w:val="lt-LT"/>
        </w:rPr>
      </w:pPr>
      <w:r w:rsidRPr="004C5A75">
        <w:rPr>
          <w:lang w:val="lt-LT"/>
        </w:rPr>
        <w:t>Atsitiktinių imčių dvigubai koduoto poveikio sergamumui ir mirštamumui tyrimo Antihypertensive and Lipid-Lowering Treatment to Prevent Heart Attack Trial (ALLHAT) metu lygintas naujesnių vaistinių preparatų kalcio kanalų blokatoriaus amlodipino (paros dozė 2,5</w:t>
      </w:r>
      <w:r w:rsidRPr="004C5A75">
        <w:rPr>
          <w:lang w:val="lt-LT"/>
        </w:rPr>
        <w:noBreakHyphen/>
        <w:t>10 mg), AKF inhibitoriaus lizinoprilio (paros dozė 10</w:t>
      </w:r>
      <w:r w:rsidRPr="004C5A75">
        <w:rPr>
          <w:lang w:val="lt-LT"/>
        </w:rPr>
        <w:noBreakHyphen/>
        <w:t>40 mg) ir tiazidinio diuretiko chlortalidono ( paros dozė 12,5</w:t>
      </w:r>
      <w:r w:rsidRPr="004C5A75">
        <w:rPr>
          <w:lang w:val="lt-LT"/>
        </w:rPr>
        <w:noBreakHyphen/>
        <w:t>25 mg) poveikis sergant lengva ar vidutinio sunkumo hipertenzija.</w:t>
      </w:r>
    </w:p>
    <w:p w14:paraId="17C180D0" w14:textId="77777777" w:rsidR="00D75E9B" w:rsidRPr="004C5A75" w:rsidRDefault="00D75E9B" w:rsidP="00C97BD4">
      <w:pPr>
        <w:pStyle w:val="BTEMEASMCA"/>
        <w:rPr>
          <w:lang w:val="lt-LT"/>
        </w:rPr>
      </w:pPr>
    </w:p>
    <w:p w14:paraId="17C180D1" w14:textId="77777777" w:rsidR="00D75E9B" w:rsidRPr="004C5A75" w:rsidRDefault="00D75E9B" w:rsidP="00C97BD4">
      <w:pPr>
        <w:pStyle w:val="BTEMEASMCA"/>
        <w:rPr>
          <w:lang w:val="lt-LT"/>
        </w:rPr>
      </w:pPr>
      <w:r w:rsidRPr="004C5A75">
        <w:rPr>
          <w:lang w:val="lt-LT"/>
        </w:rPr>
        <w:t xml:space="preserve">Į atsitiktines imtis buvo suskirstyti 33357 hipertenzija sirgę 55 metų ir vyresni pacientai, vidutinis stebėjimo laikotarpis buvo 4,9 metų. Visi šie pacientai turėjo bent vieną papildomą išeminės širdies </w:t>
      </w:r>
      <w:r w:rsidRPr="004C5A75">
        <w:rPr>
          <w:lang w:val="lt-LT"/>
        </w:rPr>
        <w:lastRenderedPageBreak/>
        <w:t>ligos rizikos faktorių: 51,5</w:t>
      </w:r>
      <w:r w:rsidRPr="0026536C">
        <w:rPr>
          <w:lang w:val="lt-LT"/>
        </w:rPr>
        <w:sym w:font="Symbol" w:char="F025"/>
      </w:r>
      <w:r w:rsidRPr="004C5A75">
        <w:rPr>
          <w:lang w:val="lt-LT"/>
        </w:rPr>
        <w:t xml:space="preserve"> ligonių daugiau kaip prieš 6 mėnesius nuo įtraukimo į tyrimą buvo ištikęs miokardo infarktas ar insultas arba jie sirgo dokumentuota aterosklerozine širdies ir kraujagyslių sistemos liga, 36,1</w:t>
      </w:r>
      <w:r w:rsidRPr="0026536C">
        <w:rPr>
          <w:lang w:val="lt-LT"/>
        </w:rPr>
        <w:sym w:font="Symbol" w:char="F025"/>
      </w:r>
      <w:r w:rsidRPr="004C5A75">
        <w:rPr>
          <w:lang w:val="lt-LT"/>
        </w:rPr>
        <w:t xml:space="preserve"> pacientų sirgo II tipo cukriniu diabetu, 11,6</w:t>
      </w:r>
      <w:r w:rsidRPr="0026536C">
        <w:rPr>
          <w:lang w:val="lt-LT"/>
        </w:rPr>
        <w:sym w:font="Symbol" w:char="F025"/>
      </w:r>
      <w:r w:rsidRPr="004C5A75">
        <w:rPr>
          <w:lang w:val="lt-LT"/>
        </w:rPr>
        <w:t xml:space="preserve"> ligonių DTL cholesterolio koncentracija buvo mažesnė kaip 35 mg/dl, 20,9</w:t>
      </w:r>
      <w:r w:rsidRPr="0026536C">
        <w:rPr>
          <w:lang w:val="lt-LT"/>
        </w:rPr>
        <w:sym w:font="Symbol" w:char="F025"/>
      </w:r>
      <w:r w:rsidRPr="004C5A75">
        <w:rPr>
          <w:lang w:val="lt-LT"/>
        </w:rPr>
        <w:t xml:space="preserve"> pacientų elektrokardiografiniu ar ultragarsiniu tyrimu buvo nustatyta kairiojo skilvelio hipertrofija bei 21,9</w:t>
      </w:r>
      <w:r w:rsidRPr="0026536C">
        <w:rPr>
          <w:lang w:val="lt-LT"/>
        </w:rPr>
        <w:sym w:font="Symbol" w:char="F025"/>
      </w:r>
      <w:r w:rsidRPr="004C5A75">
        <w:rPr>
          <w:lang w:val="lt-LT"/>
        </w:rPr>
        <w:t xml:space="preserve"> ligonių rūkė cigaretes.</w:t>
      </w:r>
    </w:p>
    <w:p w14:paraId="17C180D2" w14:textId="77777777" w:rsidR="00D75E9B" w:rsidRPr="004C5A75" w:rsidRDefault="00D75E9B" w:rsidP="00C97BD4">
      <w:pPr>
        <w:pStyle w:val="BTEMEASMCA"/>
        <w:rPr>
          <w:lang w:val="lt-LT"/>
        </w:rPr>
      </w:pPr>
    </w:p>
    <w:p w14:paraId="17C180D3" w14:textId="77777777" w:rsidR="00D75E9B" w:rsidRPr="004C5A75" w:rsidRDefault="00D75E9B" w:rsidP="00C97BD4">
      <w:pPr>
        <w:pStyle w:val="BTEMEASMCA"/>
        <w:rPr>
          <w:lang w:val="lt-LT"/>
        </w:rPr>
      </w:pPr>
      <w:r w:rsidRPr="004C5A75">
        <w:rPr>
          <w:lang w:val="lt-LT"/>
        </w:rPr>
        <w:t>Pagrindinė vertinamoji baigtis buvo sudėtinė ir apėmė mirtį sukėlusią išeminę širdies ligą bei nemirtiną miokardo infarktą. Amlodipino ir chlortalidono vartojusių pacientų grupėse poveikis pagrindinei vertinamajai baigčiai reikšmingai nesiskyrė: RR 0,98, 95</w:t>
      </w:r>
      <w:r w:rsidRPr="0026536C">
        <w:rPr>
          <w:lang w:val="lt-LT"/>
        </w:rPr>
        <w:sym w:font="Symbol" w:char="F025"/>
      </w:r>
      <w:r w:rsidRPr="004C5A75">
        <w:rPr>
          <w:lang w:val="lt-LT"/>
        </w:rPr>
        <w:t xml:space="preserve"> PI - 0,90</w:t>
      </w:r>
      <w:r w:rsidRPr="004C5A75">
        <w:rPr>
          <w:lang w:val="lt-LT"/>
        </w:rPr>
        <w:noBreakHyphen/>
        <w:t>1,07, p=0,65. Analizuojant antrines vertinamąsias baigtis, nustatyta, kad širdies nepakankamumas (sudėtinės vertinamosios kardiovaskulinės baigties sudedamoji dalis) buvo reikšmingai dažnesnis amlodipino grupėje, palyginti su chlortalidono grupe (10,2%, palyginti su 7,7%, SR 1,38, 95% PI [1,25 1,52] p &lt; 0,001</w:t>
      </w:r>
      <w:r w:rsidRPr="004C5A75">
        <w:rPr>
          <w:color w:val="000000"/>
          <w:lang w:val="lt-LT"/>
        </w:rPr>
        <w:t xml:space="preserve"> Vis dėlto </w:t>
      </w:r>
      <w:r w:rsidRPr="004C5A75">
        <w:rPr>
          <w:lang w:val="lt-LT"/>
        </w:rPr>
        <w:t>amlodipino ir chlortalidono vartojusių ligonių grupėse mirtingumas nuo bet kokios priežasties reikšmingai nesiskyrė: RR 0,96, 95% PI - 0,89-1,02, p=0,20).</w:t>
      </w:r>
    </w:p>
    <w:p w14:paraId="17C180D4" w14:textId="77777777" w:rsidR="00D75E9B" w:rsidRPr="004C5A75" w:rsidRDefault="00D75E9B" w:rsidP="00C97BD4">
      <w:pPr>
        <w:pStyle w:val="BTEMEASMCA"/>
        <w:rPr>
          <w:lang w:val="lt-LT"/>
        </w:rPr>
      </w:pPr>
    </w:p>
    <w:p w14:paraId="17C180D5" w14:textId="77777777" w:rsidR="00D75E9B" w:rsidRPr="0026536C" w:rsidRDefault="00D75E9B" w:rsidP="00C97BD4">
      <w:pPr>
        <w:pStyle w:val="BTEMEASMCA"/>
        <w:rPr>
          <w:lang w:val="lt-LT"/>
        </w:rPr>
      </w:pPr>
      <w:r w:rsidRPr="0026536C">
        <w:rPr>
          <w:lang w:val="lt-LT"/>
        </w:rPr>
        <w:t>Vaikų populiacija (6 metų ir vyresniems)</w:t>
      </w:r>
    </w:p>
    <w:p w14:paraId="17C180D6" w14:textId="77777777" w:rsidR="00D75E9B" w:rsidRPr="0026536C" w:rsidRDefault="00D75E9B" w:rsidP="00C97BD4">
      <w:pPr>
        <w:pStyle w:val="BTEMEASMCA"/>
        <w:rPr>
          <w:lang w:val="lt-LT"/>
        </w:rPr>
      </w:pPr>
      <w:r w:rsidRPr="0026536C">
        <w:rPr>
          <w:lang w:val="lt-LT"/>
        </w:rPr>
        <w:t>Tyrimo, kuriame dalyvavo 268 vaikai ir paaugliai 6-17 metų amžiaus, sirgę antrine hipertenzija, ir kurio metu 2,5 mg ir 5,0 mg amlodipino dozių poveikis buvo lyginamas su placebo, duomenys rodo, kad abi dozės sistolinį kraujospūdį sumažino reikšmingai stipriau, nei placebas. Abiejų dozių poveikio skirtumas buvo statistiškai nereikšmingas.</w:t>
      </w:r>
    </w:p>
    <w:p w14:paraId="17C180D7" w14:textId="77777777" w:rsidR="00D75E9B" w:rsidRPr="0026536C" w:rsidRDefault="00D75E9B" w:rsidP="00C97BD4">
      <w:pPr>
        <w:pStyle w:val="BTEMEASMCA"/>
        <w:rPr>
          <w:lang w:val="lt-LT"/>
        </w:rPr>
      </w:pPr>
    </w:p>
    <w:p w14:paraId="17C180D8" w14:textId="77777777" w:rsidR="00D75E9B" w:rsidRPr="0026536C" w:rsidRDefault="00D75E9B" w:rsidP="00C97BD4">
      <w:pPr>
        <w:pStyle w:val="BTEMEASMCA"/>
        <w:rPr>
          <w:lang w:val="lt-LT"/>
        </w:rPr>
      </w:pPr>
      <w:r w:rsidRPr="0026536C">
        <w:rPr>
          <w:lang w:val="lt-LT"/>
        </w:rPr>
        <w:t>Ilgalaikio amlodipino poveikio augimui, brendimui bei bendrajam vystymuisi tyrimų neatlikta. Ilgalaikis gydymo amlodipinu vaikystėje poveikis mažinant sergamumą širdies ir kraujagyslių sutrikimais bei mirštamumą nuo jų suaugusiame amžiuje nenustatytas.</w:t>
      </w:r>
    </w:p>
    <w:p w14:paraId="17C180D9" w14:textId="77777777" w:rsidR="00D75E9B" w:rsidRPr="004C5A75" w:rsidRDefault="00D75E9B" w:rsidP="00D75E9B">
      <w:pPr>
        <w:rPr>
          <w:rFonts w:ascii="Times New Roman" w:hAnsi="Times New Roman"/>
          <w:sz w:val="22"/>
          <w:szCs w:val="22"/>
          <w:lang w:val="lt-LT"/>
        </w:rPr>
      </w:pPr>
    </w:p>
    <w:p w14:paraId="17C180DA"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
          <w:bCs/>
          <w:sz w:val="22"/>
          <w:szCs w:val="22"/>
          <w:lang w:val="lt-LT"/>
        </w:rPr>
        <w:t>5.2</w:t>
      </w:r>
      <w:r w:rsidRPr="004C5A75">
        <w:rPr>
          <w:rFonts w:ascii="Times New Roman" w:hAnsi="Times New Roman"/>
          <w:b/>
          <w:bCs/>
          <w:sz w:val="22"/>
          <w:szCs w:val="22"/>
          <w:lang w:val="lt-LT"/>
        </w:rPr>
        <w:tab/>
        <w:t>Farmakokinetinės savybės</w:t>
      </w:r>
    </w:p>
    <w:p w14:paraId="17C180DB" w14:textId="77777777" w:rsidR="00D75E9B" w:rsidRPr="004C5A75" w:rsidRDefault="00D75E9B" w:rsidP="00D75E9B">
      <w:pPr>
        <w:rPr>
          <w:rFonts w:ascii="Times New Roman" w:hAnsi="Times New Roman"/>
          <w:bCs/>
          <w:sz w:val="22"/>
          <w:szCs w:val="22"/>
          <w:u w:val="single"/>
          <w:lang w:val="lt-LT"/>
        </w:rPr>
      </w:pPr>
    </w:p>
    <w:p w14:paraId="17C180DC"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u w:val="single"/>
          <w:lang w:val="lt-LT"/>
        </w:rPr>
        <w:t>Lizinoprilis</w:t>
      </w:r>
      <w:r w:rsidRPr="004C5A75">
        <w:rPr>
          <w:rFonts w:ascii="Times New Roman" w:hAnsi="Times New Roman"/>
          <w:bCs/>
          <w:sz w:val="22"/>
          <w:szCs w:val="22"/>
          <w:lang w:val="lt-LT"/>
        </w:rPr>
        <w:t xml:space="preserve"> </w:t>
      </w:r>
    </w:p>
    <w:p w14:paraId="17C180D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Lizinoprilis yra per burną vartojamas aktyvus sulfhidrilo grupės neturintis AKF inhibitorius.</w:t>
      </w:r>
    </w:p>
    <w:p w14:paraId="17C180DE" w14:textId="77777777" w:rsidR="00D75E9B" w:rsidRPr="004C5A75" w:rsidRDefault="00D75E9B" w:rsidP="00D75E9B">
      <w:pPr>
        <w:rPr>
          <w:rFonts w:ascii="Times New Roman" w:hAnsi="Times New Roman"/>
          <w:sz w:val="22"/>
          <w:szCs w:val="22"/>
          <w:lang w:val="lt-LT"/>
        </w:rPr>
      </w:pPr>
    </w:p>
    <w:p w14:paraId="17C180DF"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Absorbcija</w:t>
      </w:r>
    </w:p>
    <w:p w14:paraId="17C180E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Per burną pavartojus lizinoprilio, didžiausia koncentracija serume susidaro per 7 valandas, nors ištikus miokardo infarktui pastebima, kad didžiausia koncentracija susidaro šiek tiek vėliau. Sprendžiant pagal išsiskyrimą su šlapimu, vidutinė lizinoprilio absorbcija apytikriai yra 25%; skirtingiems pacientams ji gali būti nuo 6% iki 60%, tiriant 5–80 mg dozę. Pacientams, kuriems yra širdies nepakankamumas, absoliutus biologinis prieinamumas yra apytikriai 16% mažesnis. Maistas lizinoprilio absorbcijai įtakos nedaro.</w:t>
      </w:r>
    </w:p>
    <w:p w14:paraId="17C180E1" w14:textId="77777777" w:rsidR="00D75E9B" w:rsidRPr="004C5A75" w:rsidRDefault="00D75E9B" w:rsidP="00D75E9B">
      <w:pPr>
        <w:rPr>
          <w:rFonts w:ascii="Times New Roman" w:hAnsi="Times New Roman"/>
          <w:sz w:val="22"/>
          <w:szCs w:val="22"/>
          <w:lang w:val="lt-LT"/>
        </w:rPr>
      </w:pPr>
    </w:p>
    <w:p w14:paraId="17C180E2" w14:textId="77777777" w:rsidR="00D75E9B" w:rsidRPr="004C5A75" w:rsidRDefault="00D75E9B" w:rsidP="00D75E9B">
      <w:pPr>
        <w:rPr>
          <w:rFonts w:ascii="Times New Roman" w:hAnsi="Times New Roman"/>
          <w:sz w:val="22"/>
          <w:szCs w:val="22"/>
          <w:lang w:val="lt-LT"/>
        </w:rPr>
      </w:pPr>
      <w:r w:rsidRPr="004C5A75">
        <w:rPr>
          <w:rFonts w:ascii="Times New Roman" w:hAnsi="Times New Roman"/>
          <w:i/>
          <w:sz w:val="22"/>
          <w:szCs w:val="22"/>
          <w:lang w:val="lt-LT"/>
        </w:rPr>
        <w:t xml:space="preserve">Pasiskirstymas </w:t>
      </w:r>
      <w:r w:rsidRPr="004C5A75">
        <w:rPr>
          <w:rFonts w:ascii="Times New Roman" w:hAnsi="Times New Roman"/>
          <w:sz w:val="22"/>
          <w:szCs w:val="22"/>
          <w:lang w:val="lt-LT"/>
        </w:rPr>
        <w:t xml:space="preserve">Prie kraujo plazmos baltymų, išskyrus angiotenziną konvertuojantį fermentą (AKF), lizinoprilis nesijungia. Tyrimais su žiurkėmis nustatyta, kad lizinoprilis menkai prasiskverbia per kraujo-smegenų barjerą. </w:t>
      </w:r>
    </w:p>
    <w:p w14:paraId="17C180E3" w14:textId="77777777" w:rsidR="00D75E9B" w:rsidRPr="004C5A75" w:rsidRDefault="00D75E9B" w:rsidP="00D75E9B">
      <w:pPr>
        <w:rPr>
          <w:rFonts w:ascii="Times New Roman" w:hAnsi="Times New Roman"/>
          <w:sz w:val="22"/>
          <w:szCs w:val="22"/>
          <w:lang w:val="lt-LT"/>
        </w:rPr>
      </w:pPr>
    </w:p>
    <w:p w14:paraId="17C180E4"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Eliminacija</w:t>
      </w:r>
    </w:p>
    <w:p w14:paraId="17C180E5" w14:textId="77777777" w:rsidR="00D75E9B" w:rsidRPr="0026536C"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Preparatas nemetabolizuojamas, iš organizmo išsiskiria su šlapimu visiškai nepakitęs. Kartotinėmis dozėmis skiriamo lizinoprilio efektyvus pusinės eliminacijos periodas yra 12,6 val. Lizinoprilio klirensas sveikų žmonių organizme apytikriai yra 50 ml/min. Mažėjanti serumo koncentracija rodo, kad likusios nedidelės, kaupimosi neskatinančios dozės dalies galutinės eliminacijos laikas yra ilgas. Galutinės eliminacijos fazė nėra proporcinga išgertai dozei ir galbūt rodo, kad prisijungimas prie AKF yra prisotintas. </w:t>
      </w:r>
    </w:p>
    <w:p w14:paraId="17C180E6" w14:textId="77777777" w:rsidR="00D75E9B" w:rsidRPr="004C5A75" w:rsidRDefault="00D75E9B" w:rsidP="00D75E9B">
      <w:pPr>
        <w:ind w:firstLine="1296"/>
        <w:rPr>
          <w:rFonts w:ascii="Times New Roman" w:hAnsi="Times New Roman"/>
          <w:sz w:val="22"/>
          <w:u w:val="single"/>
          <w:lang w:val="lt-LT"/>
        </w:rPr>
      </w:pPr>
      <w:bookmarkStart w:id="1" w:name="OLE_LINK4"/>
    </w:p>
    <w:p w14:paraId="17C180E7"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u w:val="single"/>
          <w:lang w:val="lt-LT"/>
        </w:rPr>
        <w:t>Ypatingos populiacijos</w:t>
      </w:r>
      <w:r w:rsidRPr="004C5A75">
        <w:rPr>
          <w:rFonts w:ascii="Times New Roman" w:hAnsi="Times New Roman"/>
          <w:i/>
          <w:iCs/>
          <w:sz w:val="22"/>
          <w:szCs w:val="22"/>
          <w:u w:val="single"/>
          <w:lang w:val="lt-LT"/>
        </w:rPr>
        <w:t xml:space="preserve"> ir jų farmakokinetikos ypatumai</w:t>
      </w:r>
    </w:p>
    <w:bookmarkEnd w:id="1"/>
    <w:p w14:paraId="17C180E8" w14:textId="77777777" w:rsidR="00D75E9B" w:rsidRPr="004C5A75" w:rsidRDefault="00D75E9B" w:rsidP="00D75E9B">
      <w:pPr>
        <w:rPr>
          <w:rFonts w:ascii="Times New Roman" w:hAnsi="Times New Roman"/>
          <w:sz w:val="22"/>
          <w:szCs w:val="22"/>
          <w:lang w:val="lt-LT"/>
        </w:rPr>
      </w:pPr>
    </w:p>
    <w:p w14:paraId="17C180E9"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Sutrikusi kepenų funkcija</w:t>
      </w:r>
    </w:p>
    <w:p w14:paraId="17C180E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Kepenų ciroze sergantiems pacientams, kurių sutrikusi kepenų funkcija, susilpnėja lizinoprilio absorbcija (sprendžiant pagal išsiskyrimą su šlapimuapie  30%), bet, palyginti su sveikais žmonėmis, padidėja lizinoprilio ekspozicija (maždaug 50%), nes susilpnėja klirensas.</w:t>
      </w:r>
    </w:p>
    <w:p w14:paraId="17C180EB" w14:textId="77777777" w:rsidR="00D75E9B" w:rsidRPr="004C5A75" w:rsidRDefault="00D75E9B" w:rsidP="00D75E9B">
      <w:pPr>
        <w:rPr>
          <w:rFonts w:ascii="Times New Roman" w:hAnsi="Times New Roman"/>
          <w:sz w:val="22"/>
          <w:szCs w:val="22"/>
          <w:lang w:val="lt-LT"/>
        </w:rPr>
      </w:pPr>
    </w:p>
    <w:p w14:paraId="17C180EC"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lastRenderedPageBreak/>
        <w:t>Sutrikusi kepenų funkcija</w:t>
      </w:r>
    </w:p>
    <w:p w14:paraId="17C180E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Sutrikus inkstų funkcijai, lizinoprilio šalinimas per inkstus būna lėtesnis, bet tai kliniškai reikšminga tik tada, jei glomerulų filtracijos greitis yra mažesnis negu 30 ml/min. Esant nesunkiam arba vidutiniam inkstų nepakankamumui (kreatinino klirensas 30–80 ml/min.), vidutinis plotas po koncentracijos kreive (AUC) padidėja tik 13%, o esant sunkiam inkstų nepakankamumui (kreatinino klirensas 5–30 ml/min.) – 4,5 karto. Lizinoprilį iš organizmo galima pašalinti dialize. Per 4 valandas trukusią hemodializę, kai dializės klirensas buvo 40–55 ml/min., lizinoprilio koncentracija kraujo plazmoje sumažėjo 60%.</w:t>
      </w:r>
    </w:p>
    <w:p w14:paraId="17C180EE" w14:textId="77777777" w:rsidR="00D75E9B" w:rsidRPr="004C5A75" w:rsidRDefault="00D75E9B" w:rsidP="00D75E9B">
      <w:pPr>
        <w:rPr>
          <w:rFonts w:ascii="Times New Roman" w:hAnsi="Times New Roman"/>
          <w:sz w:val="22"/>
          <w:szCs w:val="22"/>
          <w:lang w:val="lt-LT"/>
        </w:rPr>
      </w:pPr>
    </w:p>
    <w:p w14:paraId="17C180EF"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Širdies nepakankamumas</w:t>
      </w:r>
    </w:p>
    <w:p w14:paraId="17C180F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Palyginti su sveikais žmonėmis, pacientų, kuriems yra širdies nepakankamumas, lizinoprilio ekspozicija yra didesnė (plotas po koncentracijos kreive (AUC) vidutiniškai būna 125% didesnis), bet, sprendžiant pagal lizinoprilio išsiskyrimą su šlapimu, absorbcija būna apytikriai 16% mažesnė negu sveikų žmonių.</w:t>
      </w:r>
    </w:p>
    <w:p w14:paraId="17C180F1" w14:textId="77777777" w:rsidR="00D75E9B" w:rsidRPr="004C5A75" w:rsidRDefault="00D75E9B" w:rsidP="00D75E9B">
      <w:pPr>
        <w:rPr>
          <w:rFonts w:ascii="Times New Roman" w:hAnsi="Times New Roman"/>
          <w:i/>
          <w:iCs/>
          <w:sz w:val="22"/>
          <w:szCs w:val="22"/>
          <w:lang w:val="lt-LT"/>
        </w:rPr>
      </w:pPr>
    </w:p>
    <w:p w14:paraId="17C180F2" w14:textId="77777777" w:rsidR="00D75E9B" w:rsidRPr="004C5A75" w:rsidRDefault="00D75E9B" w:rsidP="00D75E9B">
      <w:pPr>
        <w:rPr>
          <w:rFonts w:ascii="Times New Roman" w:hAnsi="Times New Roman"/>
          <w:i/>
          <w:iCs/>
          <w:sz w:val="22"/>
          <w:szCs w:val="22"/>
          <w:lang w:val="lt-LT"/>
        </w:rPr>
      </w:pPr>
      <w:r w:rsidRPr="004C5A75">
        <w:rPr>
          <w:rFonts w:ascii="Times New Roman" w:hAnsi="Times New Roman"/>
          <w:i/>
          <w:iCs/>
          <w:sz w:val="22"/>
          <w:szCs w:val="22"/>
          <w:lang w:val="lt-LT"/>
        </w:rPr>
        <w:t>Vaikų populiacija</w:t>
      </w:r>
    </w:p>
    <w:p w14:paraId="17C180F3" w14:textId="77777777" w:rsidR="00D75E9B" w:rsidRPr="004C5A75" w:rsidRDefault="00D75E9B" w:rsidP="00D75E9B">
      <w:pPr>
        <w:rPr>
          <w:rFonts w:ascii="Times New Roman" w:hAnsi="Times New Roman"/>
          <w:color w:val="000000"/>
          <w:sz w:val="22"/>
          <w:szCs w:val="22"/>
          <w:lang w:val="lt-LT" w:eastAsia="is-IS"/>
        </w:rPr>
      </w:pPr>
      <w:r w:rsidRPr="004C5A75">
        <w:rPr>
          <w:rFonts w:ascii="Times New Roman" w:hAnsi="Times New Roman"/>
          <w:sz w:val="22"/>
          <w:szCs w:val="22"/>
          <w:lang w:val="lt-LT"/>
        </w:rPr>
        <w:t>Lizinoprilio farmakokinetika buvo tirta 29 padidintą kraujospūdį turintiems pediatriniams pacientams nuo 6 iki 16 metų amžiaus, kurių glomerulų filtracijos greitis (</w:t>
      </w:r>
      <w:r w:rsidRPr="004C5A75">
        <w:rPr>
          <w:rFonts w:ascii="Times New Roman" w:hAnsi="Times New Roman"/>
          <w:color w:val="000000"/>
          <w:sz w:val="22"/>
          <w:szCs w:val="22"/>
          <w:lang w:val="lt-LT" w:eastAsia="is-IS"/>
        </w:rPr>
        <w:t>GFG) &lt;30ml/min/1.73m</w:t>
      </w:r>
      <w:r w:rsidRPr="004C5A75">
        <w:rPr>
          <w:rFonts w:ascii="Times New Roman" w:hAnsi="Times New Roman"/>
          <w:color w:val="000000"/>
          <w:sz w:val="22"/>
          <w:szCs w:val="22"/>
          <w:vertAlign w:val="superscript"/>
          <w:lang w:val="lt-LT" w:eastAsia="is-IS"/>
        </w:rPr>
        <w:t>2</w:t>
      </w:r>
      <w:r w:rsidRPr="004C5A75">
        <w:rPr>
          <w:rFonts w:ascii="Times New Roman" w:hAnsi="Times New Roman"/>
          <w:color w:val="000000"/>
          <w:sz w:val="22"/>
          <w:szCs w:val="22"/>
          <w:lang w:val="lt-LT" w:eastAsia="is-IS"/>
        </w:rPr>
        <w:t>. Pavartojus nuo 0,1 iki 0,2 mg/kg dozes, maksimali lizinoprilio plazmos koncentracija buvo po 6 valandų, bet sprendžiant pagal lizinoprilio išsiskyrimą su šlapimu, absorbcija buvo apie 28 %. Šie duomenis atitinka anksčiau iš suaugusiųjų gautus duomenis.</w:t>
      </w:r>
    </w:p>
    <w:p w14:paraId="17C180F4" w14:textId="77777777" w:rsidR="00D75E9B" w:rsidRPr="004C5A75" w:rsidRDefault="00D75E9B" w:rsidP="00D75E9B">
      <w:pPr>
        <w:rPr>
          <w:rFonts w:ascii="Times New Roman" w:hAnsi="Times New Roman"/>
          <w:sz w:val="22"/>
          <w:szCs w:val="22"/>
          <w:lang w:val="lt-LT"/>
        </w:rPr>
      </w:pPr>
      <w:r w:rsidRPr="004C5A75">
        <w:rPr>
          <w:rFonts w:ascii="Times New Roman" w:hAnsi="Times New Roman"/>
          <w:color w:val="000000"/>
          <w:sz w:val="22"/>
          <w:szCs w:val="22"/>
          <w:lang w:val="lt-LT" w:eastAsia="is-IS"/>
        </w:rPr>
        <w:t>Vaikų AUC ir C</w:t>
      </w:r>
      <w:r w:rsidRPr="004C5A75">
        <w:rPr>
          <w:rFonts w:ascii="Times New Roman" w:hAnsi="Times New Roman"/>
          <w:color w:val="000000"/>
          <w:sz w:val="22"/>
          <w:szCs w:val="22"/>
          <w:vertAlign w:val="subscript"/>
          <w:lang w:val="lt-LT" w:eastAsia="is-IS"/>
        </w:rPr>
        <w:t>max</w:t>
      </w:r>
      <w:r w:rsidRPr="004C5A75">
        <w:rPr>
          <w:rFonts w:ascii="Times New Roman" w:hAnsi="Times New Roman"/>
          <w:color w:val="000000"/>
          <w:sz w:val="22"/>
          <w:szCs w:val="22"/>
          <w:lang w:val="lt-LT" w:eastAsia="is-IS"/>
        </w:rPr>
        <w:t xml:space="preserve"> reikšmės šio tyrimo metu atitiko suaugusių pacientų duomenis.</w:t>
      </w:r>
    </w:p>
    <w:p w14:paraId="17C180F5" w14:textId="77777777" w:rsidR="00D75E9B" w:rsidRPr="004C5A75" w:rsidRDefault="00D75E9B" w:rsidP="00D75E9B">
      <w:pPr>
        <w:rPr>
          <w:rFonts w:ascii="Times New Roman" w:hAnsi="Times New Roman"/>
          <w:sz w:val="22"/>
          <w:szCs w:val="22"/>
          <w:lang w:val="lt-LT"/>
        </w:rPr>
      </w:pPr>
    </w:p>
    <w:p w14:paraId="17C180F6"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Senyviems</w:t>
      </w:r>
    </w:p>
    <w:p w14:paraId="17C180F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Senyvų žmonių organizme lizinoprilio koncentracija kraujo plazmoje ir plotas po koncentraciją ir laiką žyminčia kreive (AUC) yra didesni negu jaunesnių žmonių (apytikriai 60%).</w:t>
      </w:r>
    </w:p>
    <w:p w14:paraId="17C180F8" w14:textId="77777777" w:rsidR="00D75E9B" w:rsidRPr="004C5A75" w:rsidRDefault="00D75E9B" w:rsidP="00D75E9B">
      <w:pPr>
        <w:rPr>
          <w:rFonts w:ascii="Times New Roman" w:hAnsi="Times New Roman"/>
          <w:bCs/>
          <w:sz w:val="22"/>
          <w:szCs w:val="22"/>
          <w:lang w:val="lt-LT"/>
        </w:rPr>
      </w:pPr>
    </w:p>
    <w:p w14:paraId="17C180F9" w14:textId="77777777" w:rsidR="00D75E9B" w:rsidRPr="004C5A75" w:rsidRDefault="00D75E9B" w:rsidP="00D75E9B">
      <w:pPr>
        <w:rPr>
          <w:rFonts w:ascii="Times New Roman" w:hAnsi="Times New Roman"/>
          <w:bCs/>
          <w:sz w:val="22"/>
          <w:szCs w:val="22"/>
          <w:u w:val="single"/>
          <w:lang w:val="lt-LT"/>
        </w:rPr>
      </w:pPr>
      <w:r w:rsidRPr="004C5A75">
        <w:rPr>
          <w:rFonts w:ascii="Times New Roman" w:hAnsi="Times New Roman"/>
          <w:bCs/>
          <w:sz w:val="22"/>
          <w:szCs w:val="22"/>
          <w:u w:val="single"/>
          <w:lang w:val="lt-LT"/>
        </w:rPr>
        <w:t>Amlodipinas</w:t>
      </w:r>
    </w:p>
    <w:p w14:paraId="17C180FA" w14:textId="77777777" w:rsidR="00D75E9B" w:rsidRPr="004C5A75" w:rsidRDefault="00D75E9B" w:rsidP="00C97BD4">
      <w:pPr>
        <w:pStyle w:val="BTEMEASMCA"/>
        <w:rPr>
          <w:lang w:val="lt-LT"/>
        </w:rPr>
      </w:pPr>
    </w:p>
    <w:p w14:paraId="17C180FB" w14:textId="77777777" w:rsidR="00D75E9B" w:rsidRPr="0026536C" w:rsidRDefault="00D75E9B" w:rsidP="00C97BD4">
      <w:pPr>
        <w:pStyle w:val="BTEMEASMCA"/>
        <w:rPr>
          <w:lang w:val="lt-LT"/>
        </w:rPr>
      </w:pPr>
      <w:r w:rsidRPr="0026536C">
        <w:rPr>
          <w:lang w:val="lt-LT"/>
        </w:rPr>
        <w:t>Absorbcija, pasiskirstymas, jungimasis prie plazmos baltymų</w:t>
      </w:r>
    </w:p>
    <w:p w14:paraId="17C180FC" w14:textId="77777777" w:rsidR="00D75E9B" w:rsidRPr="0026536C" w:rsidRDefault="00D75E9B" w:rsidP="00C97BD4">
      <w:pPr>
        <w:pStyle w:val="BTEMEASMCA"/>
        <w:rPr>
          <w:lang w:val="lt-LT"/>
        </w:rPr>
      </w:pPr>
      <w:r w:rsidRPr="0026536C">
        <w:rPr>
          <w:lang w:val="lt-LT"/>
        </w:rPr>
        <w:t>Per burną pavartota gydymoji  amlodipino dozė absorbuojama gerai, didžiausia koncentracija kraujyje atsiranda po preparato pavartojimo praėjus 6</w:t>
      </w:r>
      <w:r w:rsidRPr="0026536C">
        <w:rPr>
          <w:lang w:val="lt-LT"/>
        </w:rPr>
        <w:noBreakHyphen/>
        <w:t>12 valandų. Absoliutus biologinis prieinamumas yra 64</w:t>
      </w:r>
      <w:r w:rsidRPr="0026536C">
        <w:rPr>
          <w:lang w:val="lt-LT"/>
        </w:rPr>
        <w:noBreakHyphen/>
        <w:t>80 </w:t>
      </w:r>
      <w:r w:rsidRPr="0026536C">
        <w:rPr>
          <w:lang w:val="lt-LT"/>
        </w:rPr>
        <w:sym w:font="Symbol" w:char="F025"/>
      </w:r>
      <w:r w:rsidRPr="0026536C">
        <w:rPr>
          <w:lang w:val="lt-LT"/>
        </w:rPr>
        <w:t>. Pasiskirstymo tūris yra maždaug 21 l/kg kūno svorio. In vitro tyrimų metu nustatyta, kad prie plazmos baltymų prisijungia maždaug 97,5% kraujotakoje esančio amlodipino. Maistas amlodipino absorbcijos neveikia.</w:t>
      </w:r>
    </w:p>
    <w:p w14:paraId="17C180FD" w14:textId="77777777" w:rsidR="00D75E9B" w:rsidRPr="0026536C" w:rsidRDefault="00D75E9B" w:rsidP="00C97BD4">
      <w:pPr>
        <w:pStyle w:val="BTEMEASMCA"/>
        <w:rPr>
          <w:lang w:val="lt-LT"/>
        </w:rPr>
      </w:pPr>
    </w:p>
    <w:p w14:paraId="17C180FE" w14:textId="77777777" w:rsidR="00D75E9B" w:rsidRPr="0026536C" w:rsidRDefault="00D75E9B" w:rsidP="00C97BD4">
      <w:pPr>
        <w:pStyle w:val="BTEMEASMCA"/>
        <w:rPr>
          <w:lang w:val="lt-LT"/>
        </w:rPr>
      </w:pPr>
    </w:p>
    <w:p w14:paraId="17C180FF" w14:textId="77777777" w:rsidR="00D75E9B" w:rsidRPr="0026536C" w:rsidRDefault="00D75E9B" w:rsidP="00C97BD4">
      <w:pPr>
        <w:pStyle w:val="BTEMEASMCA"/>
        <w:rPr>
          <w:lang w:val="lt-LT"/>
        </w:rPr>
      </w:pPr>
      <w:r w:rsidRPr="0026536C">
        <w:rPr>
          <w:lang w:val="lt-LT"/>
        </w:rPr>
        <w:t>Biotransformacija, eliminacija</w:t>
      </w:r>
    </w:p>
    <w:p w14:paraId="17C18100" w14:textId="77777777" w:rsidR="00D75E9B" w:rsidRPr="0026536C" w:rsidRDefault="00D75E9B" w:rsidP="00C97BD4">
      <w:pPr>
        <w:pStyle w:val="BTEMEASMCA"/>
        <w:rPr>
          <w:lang w:val="lt-LT"/>
        </w:rPr>
      </w:pPr>
      <w:r w:rsidRPr="0026536C">
        <w:rPr>
          <w:lang w:val="lt-LT"/>
        </w:rPr>
        <w:t>Galutinis pusinės eliminacijos iš plazmos laikas yra maždaug 35</w:t>
      </w:r>
      <w:r w:rsidRPr="0026536C">
        <w:rPr>
          <w:lang w:val="lt-LT"/>
        </w:rPr>
        <w:noBreakHyphen/>
        <w:t>50 valandų, todėl preparato galima vartoti kartą per parą. Amlodipinas ekstensyviai metabolizuojamas kepenyse, susidaro neveiklūs metabolitai. 60</w:t>
      </w:r>
      <w:r w:rsidRPr="0026536C">
        <w:rPr>
          <w:lang w:val="lt-LT"/>
        </w:rPr>
        <w:sym w:font="Symbol" w:char="F025"/>
      </w:r>
      <w:r w:rsidRPr="0026536C">
        <w:rPr>
          <w:lang w:val="lt-LT"/>
        </w:rPr>
        <w:t xml:space="preserve"> pavartotos dozės išsiskiria su šlapimu metabolitų, maždaug 10% - nepakitusio amlodipino pavidalu.</w:t>
      </w:r>
    </w:p>
    <w:p w14:paraId="17C18101" w14:textId="77777777" w:rsidR="00D75E9B" w:rsidRPr="0026536C" w:rsidRDefault="00D75E9B" w:rsidP="00C97BD4">
      <w:pPr>
        <w:pStyle w:val="BTEMEASMCA"/>
        <w:rPr>
          <w:lang w:val="lt-LT"/>
        </w:rPr>
      </w:pPr>
    </w:p>
    <w:p w14:paraId="17C18102"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iCs/>
          <w:sz w:val="22"/>
          <w:szCs w:val="22"/>
          <w:u w:val="single"/>
          <w:lang w:val="lt-LT"/>
        </w:rPr>
        <w:t>Ypatingos populiacijos ir jų farmakokinetikos ypatumai</w:t>
      </w:r>
    </w:p>
    <w:p w14:paraId="17C18103" w14:textId="77777777" w:rsidR="00D75E9B" w:rsidRPr="004C5A75" w:rsidRDefault="00D75E9B" w:rsidP="00C97BD4">
      <w:pPr>
        <w:pStyle w:val="BTEMEASMCA"/>
        <w:rPr>
          <w:lang w:val="lt-LT"/>
        </w:rPr>
      </w:pPr>
    </w:p>
    <w:p w14:paraId="17C18104" w14:textId="77777777" w:rsidR="00D75E9B" w:rsidRPr="004C5A75" w:rsidRDefault="00D75E9B" w:rsidP="00C97BD4">
      <w:pPr>
        <w:pStyle w:val="BTEMEASMCA"/>
        <w:rPr>
          <w:lang w:val="lt-LT"/>
        </w:rPr>
      </w:pPr>
      <w:r w:rsidRPr="004C5A75">
        <w:rPr>
          <w:lang w:val="lt-LT"/>
        </w:rPr>
        <w:t>Kepenų funkcijos sutrikimas</w:t>
      </w:r>
    </w:p>
    <w:p w14:paraId="17C18105" w14:textId="77777777" w:rsidR="00D75E9B" w:rsidRPr="004C5A75" w:rsidRDefault="00D75E9B" w:rsidP="00C97BD4">
      <w:pPr>
        <w:pStyle w:val="BTEMEASMCA"/>
        <w:rPr>
          <w:lang w:val="lt-LT"/>
        </w:rPr>
      </w:pPr>
      <w:r w:rsidRPr="004C5A75">
        <w:rPr>
          <w:lang w:val="lt-LT"/>
        </w:rPr>
        <w:t xml:space="preserve">Amlodipino vartojimo pacientams, kurių kepenų funkcija sutrikusi, klinikiniai duomenys labai riboti. </w:t>
      </w:r>
    </w:p>
    <w:p w14:paraId="17C18106" w14:textId="77777777" w:rsidR="00D75E9B" w:rsidRPr="004C5A75" w:rsidRDefault="00D75E9B" w:rsidP="00C97BD4">
      <w:pPr>
        <w:pStyle w:val="BTEMEASMCA"/>
        <w:rPr>
          <w:lang w:val="lt-LT"/>
        </w:rPr>
      </w:pPr>
      <w:r w:rsidRPr="004C5A75">
        <w:rPr>
          <w:lang w:val="lt-LT"/>
        </w:rPr>
        <w:t xml:space="preserve">Pacientų, kurių kepenų funkcija sutrikusi, organizme amlodipino klirensas sumažėjęs, dėt to maždaug 40-60 </w:t>
      </w:r>
      <w:r w:rsidRPr="0026536C">
        <w:rPr>
          <w:lang w:val="lt-LT"/>
        </w:rPr>
        <w:sym w:font="Symbol" w:char="F025"/>
      </w:r>
      <w:r w:rsidRPr="004C5A75">
        <w:rPr>
          <w:lang w:val="lt-LT"/>
        </w:rPr>
        <w:t xml:space="preserve"> padidėja AUC ir pailgėja pusinės eliminacijos laikas.</w:t>
      </w:r>
    </w:p>
    <w:p w14:paraId="17C18107" w14:textId="77777777" w:rsidR="00D75E9B" w:rsidRPr="004C5A75" w:rsidRDefault="00D75E9B" w:rsidP="00C97BD4">
      <w:pPr>
        <w:pStyle w:val="BTEMEASMCA"/>
        <w:rPr>
          <w:lang w:val="lt-LT"/>
        </w:rPr>
      </w:pPr>
    </w:p>
    <w:p w14:paraId="17C18108" w14:textId="77777777" w:rsidR="00D75E9B" w:rsidRPr="004C5A75" w:rsidRDefault="00D75E9B" w:rsidP="00C97BD4">
      <w:pPr>
        <w:pStyle w:val="BTEMEASMCA"/>
        <w:rPr>
          <w:lang w:val="lt-LT"/>
        </w:rPr>
      </w:pPr>
      <w:r w:rsidRPr="004C5A75">
        <w:rPr>
          <w:lang w:val="lt-LT"/>
        </w:rPr>
        <w:t>Senyvi žmonės</w:t>
      </w:r>
    </w:p>
    <w:p w14:paraId="17C18109" w14:textId="77777777" w:rsidR="00D75E9B" w:rsidRPr="0026536C" w:rsidRDefault="00D75E9B" w:rsidP="00C97BD4">
      <w:pPr>
        <w:pStyle w:val="BTEMEASMCA"/>
        <w:rPr>
          <w:lang w:val="lt-LT"/>
        </w:rPr>
      </w:pPr>
      <w:r w:rsidRPr="004C5A75">
        <w:rPr>
          <w:lang w:val="lt-LT"/>
        </w:rPr>
        <w:t xml:space="preserve">Laikas, per kurį amlodipino koncentracija plazmoje tampa didžiausia, senyvų ir jaunesnių žmonių organizme yra toks pat. Klirensas senyvų žmonių organizme gali būti mažesnis, AUC didesnis, o terminalinis pusinės eliminacijos laikas ilgesnis. AUC padidėjimas ir pusinės eliminacijos laiko padidėjimas staziniu širdies nepakankamumu sirgusių senyvų žmonių organizme buvo toks, koks ir tikėtinas tokio amžiaus ligoniams. </w:t>
      </w:r>
    </w:p>
    <w:p w14:paraId="17C1810A" w14:textId="77777777" w:rsidR="00D75E9B" w:rsidRPr="0026536C" w:rsidRDefault="00D75E9B" w:rsidP="00C97BD4">
      <w:pPr>
        <w:pStyle w:val="BTEMEASMCA"/>
        <w:rPr>
          <w:lang w:val="lt-LT"/>
        </w:rPr>
      </w:pPr>
    </w:p>
    <w:p w14:paraId="17C1810B" w14:textId="77777777" w:rsidR="00D75E9B" w:rsidRPr="0026536C" w:rsidRDefault="00D75E9B" w:rsidP="00C97BD4">
      <w:pPr>
        <w:pStyle w:val="BTEMEASMCA"/>
        <w:rPr>
          <w:lang w:val="lt-LT"/>
        </w:rPr>
      </w:pPr>
      <w:r w:rsidRPr="0026536C">
        <w:rPr>
          <w:lang w:val="lt-LT"/>
        </w:rPr>
        <w:lastRenderedPageBreak/>
        <w:t xml:space="preserve">Vaikų populiacija </w:t>
      </w:r>
    </w:p>
    <w:p w14:paraId="17C1810C" w14:textId="77777777" w:rsidR="00D75E9B" w:rsidRPr="004C5A75" w:rsidRDefault="00D75E9B" w:rsidP="00D75E9B">
      <w:pPr>
        <w:tabs>
          <w:tab w:val="left" w:pos="567"/>
        </w:tabs>
        <w:rPr>
          <w:rFonts w:ascii="Times New Roman" w:hAnsi="Times New Roman"/>
          <w:sz w:val="22"/>
          <w:szCs w:val="22"/>
          <w:lang w:val="lt-LT"/>
        </w:rPr>
      </w:pPr>
      <w:r w:rsidRPr="004C5A75">
        <w:rPr>
          <w:rFonts w:ascii="Times New Roman" w:hAnsi="Times New Roman"/>
          <w:sz w:val="22"/>
          <w:szCs w:val="22"/>
          <w:lang w:val="lt-LT"/>
        </w:rPr>
        <w:t>Populiacijos FK tyrime dalyvavo 74 nuo 1 -17 metų vaikai ir paaugliai (34 pacientai 6</w:t>
      </w:r>
      <w:r w:rsidRPr="004C5A75">
        <w:rPr>
          <w:rFonts w:ascii="Times New Roman" w:hAnsi="Times New Roman"/>
          <w:sz w:val="22"/>
          <w:szCs w:val="22"/>
          <w:lang w:val="lt-LT"/>
        </w:rPr>
        <w:noBreakHyphen/>
        <w:t>12 metų ir 28 pacientai 13</w:t>
      </w:r>
      <w:r w:rsidRPr="004C5A75">
        <w:rPr>
          <w:rFonts w:ascii="Times New Roman" w:hAnsi="Times New Roman"/>
          <w:sz w:val="22"/>
          <w:szCs w:val="22"/>
          <w:lang w:val="lt-LT"/>
        </w:rPr>
        <w:noBreakHyphen/>
        <w:t>17 metų grupėse), kuriems diagnozuota hipertenzija, ir vartojo nuo 1,25 mg iki 20 mg amlodipino dozes vieną kartą arba du kartus per parą. 6</w:t>
      </w:r>
      <w:r w:rsidRPr="004C5A75">
        <w:rPr>
          <w:rFonts w:ascii="Times New Roman" w:hAnsi="Times New Roman"/>
          <w:sz w:val="22"/>
          <w:szCs w:val="22"/>
          <w:lang w:val="lt-LT"/>
        </w:rPr>
        <w:noBreakHyphen/>
        <w:t>12 metų vaikų ir 13</w:t>
      </w:r>
      <w:r w:rsidRPr="004C5A75">
        <w:rPr>
          <w:rFonts w:ascii="Times New Roman" w:hAnsi="Times New Roman"/>
          <w:sz w:val="22"/>
          <w:szCs w:val="22"/>
          <w:lang w:val="lt-LT"/>
        </w:rPr>
        <w:noBreakHyphen/>
        <w:t>17 metų paauglių grupėse per burną vartojamo vaistinio preparato klirensas (KL/F) iš vyriškos lyties pacientų organizmo buvo atitinkamai 22,5 l/val. ir 27,4 l/val., o iš moteriškos lyties atitinkamai 16,4 l/val. ir 21,3 l/val. Nustatytas didelis ekspozicijos kintamumas skirtingų tiriamųjų organizme. Duomenys apie jaunesnius kaip 6 metų pacientus yra riboti.</w:t>
      </w:r>
    </w:p>
    <w:p w14:paraId="17C1810D" w14:textId="77777777" w:rsidR="00D75E9B" w:rsidRPr="004C5A75" w:rsidRDefault="00D75E9B" w:rsidP="00D75E9B">
      <w:pPr>
        <w:rPr>
          <w:rFonts w:ascii="Times New Roman" w:hAnsi="Times New Roman"/>
          <w:bCs/>
          <w:sz w:val="22"/>
          <w:szCs w:val="22"/>
          <w:u w:val="single"/>
          <w:lang w:val="lt-LT"/>
        </w:rPr>
      </w:pPr>
    </w:p>
    <w:p w14:paraId="17C1810E" w14:textId="77777777" w:rsidR="00D75E9B" w:rsidRPr="004C5A75" w:rsidRDefault="00D75E9B" w:rsidP="00D75E9B">
      <w:pPr>
        <w:rPr>
          <w:rFonts w:ascii="Times New Roman" w:hAnsi="Times New Roman"/>
          <w:sz w:val="22"/>
          <w:u w:val="single"/>
          <w:lang w:val="lt-LT"/>
        </w:rPr>
      </w:pPr>
      <w:r w:rsidRPr="004C5A75">
        <w:rPr>
          <w:rFonts w:ascii="Times New Roman" w:hAnsi="Times New Roman"/>
          <w:sz w:val="22"/>
          <w:u w:val="single"/>
          <w:lang w:val="lt-LT"/>
        </w:rPr>
        <w:t>Nustatytų dozių derinys</w:t>
      </w:r>
    </w:p>
    <w:p w14:paraId="17C1810F"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Jokios DIRONORM veikliųjų medžiagų farmakokinetinės tarpusavio sąveikos nenustatyta. Preparato ir jo kiekvieno atskiro komponento svarbiausi parametrai (tokie kaip koncentracijos-laiko kreivės ribojamas plotas [AUC], C</w:t>
      </w:r>
      <w:r w:rsidRPr="004C5A75">
        <w:rPr>
          <w:rFonts w:ascii="Times New Roman" w:hAnsi="Times New Roman"/>
          <w:bCs/>
          <w:sz w:val="22"/>
          <w:szCs w:val="22"/>
          <w:vertAlign w:val="subscript"/>
          <w:lang w:val="lt-LT"/>
        </w:rPr>
        <w:t>max</w:t>
      </w:r>
      <w:r w:rsidRPr="004C5A75">
        <w:rPr>
          <w:rFonts w:ascii="Times New Roman" w:hAnsi="Times New Roman"/>
          <w:bCs/>
          <w:sz w:val="22"/>
          <w:szCs w:val="22"/>
          <w:lang w:val="lt-LT"/>
        </w:rPr>
        <w:t>, t</w:t>
      </w:r>
      <w:r w:rsidRPr="004C5A75">
        <w:rPr>
          <w:rFonts w:ascii="Times New Roman" w:hAnsi="Times New Roman"/>
          <w:bCs/>
          <w:sz w:val="22"/>
          <w:szCs w:val="22"/>
          <w:vertAlign w:val="subscript"/>
          <w:lang w:val="lt-LT"/>
        </w:rPr>
        <w:t xml:space="preserve">max, </w:t>
      </w:r>
      <w:r w:rsidRPr="004C5A75">
        <w:rPr>
          <w:rFonts w:ascii="Times New Roman" w:hAnsi="Times New Roman"/>
          <w:bCs/>
          <w:sz w:val="22"/>
          <w:szCs w:val="22"/>
          <w:lang w:val="lt-LT"/>
        </w:rPr>
        <w:t xml:space="preserve"> pusinės eliminacijos periodas) nesiskyrė. </w:t>
      </w:r>
    </w:p>
    <w:p w14:paraId="17C18110" w14:textId="77777777" w:rsidR="00D75E9B" w:rsidRPr="004C5A75" w:rsidRDefault="00D75E9B" w:rsidP="00D75E9B">
      <w:pPr>
        <w:rPr>
          <w:rFonts w:ascii="Times New Roman" w:hAnsi="Times New Roman"/>
          <w:bCs/>
          <w:sz w:val="22"/>
          <w:szCs w:val="22"/>
          <w:lang w:val="lt-LT"/>
        </w:rPr>
      </w:pPr>
    </w:p>
    <w:p w14:paraId="17C18111"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 xml:space="preserve">Maistas neturi įtakos DIRONORM </w:t>
      </w:r>
      <w:r w:rsidRPr="004C5A75">
        <w:rPr>
          <w:rFonts w:ascii="Times New Roman" w:hAnsi="Times New Roman"/>
          <w:sz w:val="22"/>
          <w:szCs w:val="22"/>
          <w:lang w:val="lt-LT"/>
        </w:rPr>
        <w:t xml:space="preserve">tablečių </w:t>
      </w:r>
      <w:r w:rsidRPr="004C5A75">
        <w:rPr>
          <w:rFonts w:ascii="Times New Roman" w:hAnsi="Times New Roman"/>
          <w:bCs/>
          <w:sz w:val="22"/>
          <w:szCs w:val="22"/>
          <w:lang w:val="lt-LT"/>
        </w:rPr>
        <w:t xml:space="preserve">rezorbcijai iš virškinimo trakto. </w:t>
      </w:r>
    </w:p>
    <w:p w14:paraId="17C18112" w14:textId="77777777" w:rsidR="00D75E9B" w:rsidRPr="004C5A75" w:rsidRDefault="00D75E9B" w:rsidP="00D75E9B">
      <w:pPr>
        <w:rPr>
          <w:rFonts w:ascii="Times New Roman" w:hAnsi="Times New Roman"/>
          <w:b/>
          <w:bCs/>
          <w:sz w:val="22"/>
          <w:szCs w:val="22"/>
          <w:lang w:val="lt-LT"/>
        </w:rPr>
      </w:pPr>
    </w:p>
    <w:p w14:paraId="17C18113" w14:textId="77777777" w:rsidR="00D75E9B" w:rsidRPr="004C5A75" w:rsidRDefault="00D75E9B" w:rsidP="00D75E9B">
      <w:pPr>
        <w:numPr>
          <w:ilvl w:val="1"/>
          <w:numId w:val="14"/>
        </w:numPr>
        <w:ind w:left="0" w:firstLine="0"/>
        <w:rPr>
          <w:rFonts w:ascii="Times New Roman" w:hAnsi="Times New Roman"/>
          <w:sz w:val="22"/>
          <w:szCs w:val="22"/>
          <w:lang w:val="lt-LT"/>
        </w:rPr>
      </w:pPr>
      <w:r w:rsidRPr="004C5A75">
        <w:rPr>
          <w:rFonts w:ascii="Times New Roman" w:hAnsi="Times New Roman"/>
          <w:b/>
          <w:bCs/>
          <w:sz w:val="22"/>
          <w:szCs w:val="22"/>
          <w:lang w:val="lt-LT"/>
        </w:rPr>
        <w:t>Ikiklinikinių saugumo tyrimų duomenys</w:t>
      </w:r>
    </w:p>
    <w:p w14:paraId="17C18114" w14:textId="77777777" w:rsidR="00D75E9B" w:rsidRPr="004C5A75" w:rsidRDefault="00D75E9B" w:rsidP="00D75E9B">
      <w:pPr>
        <w:rPr>
          <w:rFonts w:ascii="Times New Roman" w:hAnsi="Times New Roman"/>
          <w:sz w:val="22"/>
          <w:szCs w:val="22"/>
          <w:lang w:val="lt-LT"/>
        </w:rPr>
      </w:pPr>
    </w:p>
    <w:p w14:paraId="17C1811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Lizinoprilio ir amlodipino derinio neklinikinių tyrimų neatlikta.</w:t>
      </w:r>
    </w:p>
    <w:p w14:paraId="17C18116" w14:textId="77777777" w:rsidR="00D75E9B" w:rsidRPr="004C5A75" w:rsidRDefault="00D75E9B" w:rsidP="00D75E9B">
      <w:pPr>
        <w:rPr>
          <w:rFonts w:ascii="Times New Roman" w:hAnsi="Times New Roman"/>
          <w:sz w:val="22"/>
          <w:szCs w:val="22"/>
          <w:lang w:val="lt-LT"/>
        </w:rPr>
      </w:pPr>
    </w:p>
    <w:p w14:paraId="17C18117" w14:textId="77777777" w:rsidR="00D75E9B" w:rsidRPr="004C5A75" w:rsidRDefault="00D75E9B" w:rsidP="00D75E9B">
      <w:pPr>
        <w:rPr>
          <w:rFonts w:ascii="Times New Roman" w:hAnsi="Times New Roman"/>
          <w:sz w:val="22"/>
          <w:szCs w:val="22"/>
          <w:u w:val="single"/>
          <w:lang w:val="lt-LT"/>
        </w:rPr>
      </w:pPr>
      <w:r w:rsidRPr="004C5A75">
        <w:rPr>
          <w:rFonts w:ascii="Times New Roman" w:hAnsi="Times New Roman"/>
          <w:sz w:val="22"/>
          <w:szCs w:val="22"/>
          <w:u w:val="single"/>
          <w:lang w:val="lt-LT"/>
        </w:rPr>
        <w:t>Lizinoprilis</w:t>
      </w:r>
    </w:p>
    <w:p w14:paraId="17C18118"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 </w:t>
      </w:r>
    </w:p>
    <w:p w14:paraId="17C1811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Įprastų farmakologinio saugumo, kartotinių dozių toksiškumo, genotoksiškumo, galimo kancerogeniškumo ikiklinikinių tyrimų duomenys specifinio pavojaus žmogui nerodo.</w:t>
      </w:r>
    </w:p>
    <w:p w14:paraId="17C1811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AKF inhibitoriai, kaip vaistų grupė, vėlyvuoju vaisiaus vystymosi laikotarpiu sukelia nepageidaujamus poveikius, galinčius lemti vaisiaus žūtį arba įgimtus defektus, ypač kaukolės. Gauta pranešimų apie fetotoksinį poveikį, sulėtėjusį vaisiaus augimą ir arterinio latako neužsivėrimą. Manoma, kad šios vystymosi anomalijos atsirado ir dėl tiesioginio AKF inhibitorių poveikio vaisiaus renino-angiotenzino sistemai, ir dėl išemijos, kurią lemia motinos hipotenzija, susilpnėjusi vaisiaus bei placentos kraujo apytaka ir deguonies bei mitybinių medžiagų stoka.      </w:t>
      </w:r>
    </w:p>
    <w:p w14:paraId="17C1811B" w14:textId="77777777" w:rsidR="00D75E9B" w:rsidRPr="004C5A75" w:rsidRDefault="00D75E9B" w:rsidP="00D75E9B">
      <w:pPr>
        <w:rPr>
          <w:rFonts w:ascii="Times New Roman" w:hAnsi="Times New Roman"/>
          <w:sz w:val="22"/>
          <w:szCs w:val="22"/>
          <w:lang w:val="lt-LT"/>
        </w:rPr>
      </w:pPr>
    </w:p>
    <w:p w14:paraId="17C1811C" w14:textId="77777777" w:rsidR="00D75E9B" w:rsidRPr="004C5A75" w:rsidRDefault="00D75E9B" w:rsidP="00D75E9B">
      <w:pPr>
        <w:rPr>
          <w:rFonts w:ascii="Times New Roman" w:hAnsi="Times New Roman"/>
          <w:sz w:val="22"/>
          <w:szCs w:val="22"/>
          <w:u w:val="single"/>
          <w:lang w:val="lt-LT"/>
        </w:rPr>
      </w:pPr>
    </w:p>
    <w:p w14:paraId="17C1811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u w:val="single"/>
          <w:lang w:val="lt-LT"/>
        </w:rPr>
        <w:t>Amlodipinas</w:t>
      </w:r>
    </w:p>
    <w:p w14:paraId="17C1811E" w14:textId="77777777" w:rsidR="00D75E9B" w:rsidRPr="004C5A75" w:rsidRDefault="00D75E9B" w:rsidP="00D75E9B">
      <w:pPr>
        <w:pStyle w:val="Pagrindinistekstas"/>
        <w:rPr>
          <w:rFonts w:ascii="Times New Roman" w:hAnsi="Times New Roman"/>
          <w:i/>
          <w:u w:val="single"/>
          <w:lang w:val="lt-LT"/>
        </w:rPr>
      </w:pPr>
      <w:r w:rsidRPr="004C5A75">
        <w:rPr>
          <w:rFonts w:ascii="Times New Roman" w:hAnsi="Times New Roman"/>
          <w:i/>
          <w:color w:val="auto"/>
          <w:u w:val="single"/>
          <w:lang w:val="lt-LT"/>
        </w:rPr>
        <w:t>Toksinis poveikis reprodukcijai</w:t>
      </w:r>
    </w:p>
    <w:p w14:paraId="17C1811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Reprodukcijos tyrimai su žiurkėmis ir pelėmis parodė vėlesnį atsivedimo laiką, atsivedimo pailgėjimą ir jauniklių išgyvenamumo sumažėjimą vartojant 50 kartų didesnes už didžiausią rekomenduojamą dozę žmogui, apskaičiavus mg/kg, dozes.</w:t>
      </w:r>
    </w:p>
    <w:p w14:paraId="17C18120" w14:textId="77777777" w:rsidR="00D75E9B" w:rsidRPr="004C5A75" w:rsidRDefault="00D75E9B" w:rsidP="00D75E9B">
      <w:pPr>
        <w:rPr>
          <w:rFonts w:ascii="Times New Roman" w:hAnsi="Times New Roman"/>
          <w:sz w:val="22"/>
          <w:szCs w:val="22"/>
          <w:u w:val="single"/>
          <w:lang w:val="lt-LT"/>
        </w:rPr>
      </w:pPr>
    </w:p>
    <w:p w14:paraId="17C18121" w14:textId="77777777" w:rsidR="00D75E9B" w:rsidRPr="004C5A75" w:rsidRDefault="00D75E9B" w:rsidP="00D75E9B">
      <w:pPr>
        <w:rPr>
          <w:rFonts w:ascii="Times New Roman" w:hAnsi="Times New Roman"/>
          <w:sz w:val="22"/>
          <w:szCs w:val="22"/>
          <w:lang w:val="lt-LT"/>
        </w:rPr>
      </w:pPr>
    </w:p>
    <w:p w14:paraId="17C18122" w14:textId="77777777" w:rsidR="00D75E9B" w:rsidRPr="004C5A75" w:rsidRDefault="00D75E9B" w:rsidP="00D75E9B">
      <w:pPr>
        <w:rPr>
          <w:rFonts w:ascii="Times New Roman" w:hAnsi="Times New Roman"/>
          <w:i/>
          <w:sz w:val="22"/>
          <w:szCs w:val="22"/>
          <w:lang w:val="lt-LT"/>
        </w:rPr>
      </w:pPr>
      <w:r w:rsidRPr="004C5A75">
        <w:rPr>
          <w:rFonts w:ascii="Times New Roman" w:hAnsi="Times New Roman"/>
          <w:i/>
          <w:sz w:val="22"/>
          <w:szCs w:val="22"/>
          <w:lang w:val="lt-LT"/>
        </w:rPr>
        <w:t>Poveikis vaikingumui</w:t>
      </w:r>
    </w:p>
    <w:p w14:paraId="17C1812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Žiurkėms duodant (patinams 64 paras ir patelėms 14 parų prieš susiporavimą) iki 10mg/kg/per parą dozes (tokia dozė yra 8 kartus didesnė* už rekomenduojamą dozę žmogui, apskaičiavus mg/m</w:t>
      </w:r>
      <w:r w:rsidRPr="004C5A75">
        <w:rPr>
          <w:rFonts w:ascii="Times New Roman" w:hAnsi="Times New Roman"/>
          <w:sz w:val="22"/>
          <w:szCs w:val="22"/>
          <w:vertAlign w:val="superscript"/>
          <w:lang w:val="lt-LT"/>
        </w:rPr>
        <w:t>2</w:t>
      </w:r>
      <w:r w:rsidRPr="004C5A75">
        <w:rPr>
          <w:rFonts w:ascii="Times New Roman" w:hAnsi="Times New Roman"/>
          <w:sz w:val="22"/>
          <w:szCs w:val="22"/>
          <w:lang w:val="lt-LT"/>
        </w:rPr>
        <w:t xml:space="preserve"> kūno paviršiaus), poveikio vislumui nebuvo. Kito tyrimo su žiurkėmis, kurio metu žiurkių patinai 30 parų gavo amlodipino besilato doze, panašia į žmogui vartojamą dozę, apskaičiavus mg/kg, duomenimis, buvo išmatuotos mažesnės folikulus stimuliuojančio hormono ir testosterono koncentracijos plazmoje ir nustatytas mažesnis spermos tankis ir subrendusių spermatozoidų bei Sertoli ląstelių kiekis.</w:t>
      </w:r>
    </w:p>
    <w:p w14:paraId="17C18124" w14:textId="77777777" w:rsidR="00D75E9B" w:rsidRPr="004C5A75" w:rsidRDefault="00D75E9B" w:rsidP="00D75E9B">
      <w:pPr>
        <w:rPr>
          <w:rFonts w:ascii="Times New Roman" w:hAnsi="Times New Roman"/>
          <w:sz w:val="22"/>
          <w:szCs w:val="22"/>
          <w:lang w:val="lt-LT"/>
        </w:rPr>
      </w:pPr>
    </w:p>
    <w:p w14:paraId="17C18125" w14:textId="77777777" w:rsidR="00D75E9B" w:rsidRPr="004C5A75" w:rsidRDefault="00D75E9B" w:rsidP="00D75E9B">
      <w:pPr>
        <w:rPr>
          <w:rFonts w:ascii="Times New Roman" w:hAnsi="Times New Roman"/>
          <w:i/>
          <w:sz w:val="22"/>
          <w:lang w:val="lt-LT"/>
        </w:rPr>
      </w:pPr>
      <w:r w:rsidRPr="004C5A75">
        <w:rPr>
          <w:rFonts w:ascii="Times New Roman" w:hAnsi="Times New Roman"/>
          <w:i/>
          <w:sz w:val="22"/>
          <w:lang w:val="lt-LT"/>
        </w:rPr>
        <w:t>Kancerogeninis ir mutageninis poveikis</w:t>
      </w:r>
    </w:p>
    <w:p w14:paraId="17C1812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klinikinę paros dozę, apskaičiavus mg/m2 kūno paviršiaus) buvo artima didžiausiai toleruojamai dozei pelėms, bet ne žiurkėms.</w:t>
      </w:r>
    </w:p>
    <w:p w14:paraId="17C18127" w14:textId="77777777" w:rsidR="00D75E9B" w:rsidRPr="004C5A75" w:rsidRDefault="00D75E9B" w:rsidP="00D75E9B">
      <w:pPr>
        <w:rPr>
          <w:rFonts w:ascii="Times New Roman" w:hAnsi="Times New Roman"/>
          <w:sz w:val="22"/>
          <w:szCs w:val="22"/>
          <w:lang w:val="lt-LT"/>
        </w:rPr>
      </w:pPr>
    </w:p>
    <w:p w14:paraId="17C18128"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Mutageninio poveikio tyrimai su </w:t>
      </w:r>
      <w:r w:rsidR="004C5A75" w:rsidRPr="004C5A75">
        <w:rPr>
          <w:rFonts w:ascii="Times New Roman" w:hAnsi="Times New Roman"/>
          <w:sz w:val="22"/>
          <w:szCs w:val="22"/>
          <w:lang w:val="lt-LT"/>
        </w:rPr>
        <w:t>veikliąja</w:t>
      </w:r>
      <w:r w:rsidR="006C6058" w:rsidRPr="004C5A75">
        <w:rPr>
          <w:rFonts w:ascii="Times New Roman" w:hAnsi="Times New Roman"/>
          <w:sz w:val="22"/>
          <w:szCs w:val="22"/>
          <w:lang w:val="lt-LT"/>
        </w:rPr>
        <w:t xml:space="preserve"> medžiaga </w:t>
      </w:r>
      <w:r w:rsidRPr="004C5A75">
        <w:rPr>
          <w:rFonts w:ascii="Times New Roman" w:hAnsi="Times New Roman"/>
          <w:sz w:val="22"/>
          <w:szCs w:val="22"/>
          <w:lang w:val="lt-LT"/>
        </w:rPr>
        <w:t>susijusio poveikio nei genų, nei chromosomų lygmenyje nerodė.</w:t>
      </w:r>
    </w:p>
    <w:p w14:paraId="17C1812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*Apskaičiuota pacientui, kurio kūno masė yra 50 kg.</w:t>
      </w:r>
    </w:p>
    <w:p w14:paraId="17C1812A" w14:textId="77777777" w:rsidR="00D75E9B" w:rsidRPr="004C5A75" w:rsidRDefault="00D75E9B" w:rsidP="00D75E9B">
      <w:pPr>
        <w:rPr>
          <w:rFonts w:ascii="Times New Roman" w:hAnsi="Times New Roman"/>
          <w:sz w:val="22"/>
          <w:szCs w:val="22"/>
          <w:lang w:val="lt-LT"/>
        </w:rPr>
      </w:pPr>
    </w:p>
    <w:p w14:paraId="17C1812B" w14:textId="77777777" w:rsidR="00D75E9B" w:rsidRPr="004C5A75" w:rsidRDefault="00D75E9B" w:rsidP="00D75E9B">
      <w:pPr>
        <w:rPr>
          <w:rFonts w:ascii="Times New Roman" w:hAnsi="Times New Roman"/>
          <w:sz w:val="22"/>
          <w:szCs w:val="22"/>
          <w:lang w:val="lt-LT"/>
        </w:rPr>
      </w:pPr>
    </w:p>
    <w:p w14:paraId="17C1812C" w14:textId="77777777" w:rsidR="00D75E9B" w:rsidRPr="004C5A75" w:rsidRDefault="00D75E9B" w:rsidP="00D75E9B">
      <w:pPr>
        <w:ind w:left="540" w:hanging="540"/>
        <w:rPr>
          <w:rFonts w:ascii="Times New Roman" w:hAnsi="Times New Roman"/>
          <w:b/>
          <w:bCs/>
          <w:sz w:val="22"/>
          <w:szCs w:val="22"/>
          <w:lang w:val="lt-LT"/>
        </w:rPr>
      </w:pPr>
      <w:r w:rsidRPr="004C5A75">
        <w:rPr>
          <w:rFonts w:ascii="Times New Roman" w:hAnsi="Times New Roman"/>
          <w:b/>
          <w:bCs/>
          <w:sz w:val="22"/>
          <w:szCs w:val="22"/>
          <w:lang w:val="lt-LT"/>
        </w:rPr>
        <w:t>6.</w:t>
      </w:r>
      <w:r w:rsidRPr="004C5A75">
        <w:rPr>
          <w:rFonts w:ascii="Times New Roman" w:hAnsi="Times New Roman"/>
          <w:b/>
          <w:bCs/>
          <w:sz w:val="22"/>
          <w:szCs w:val="22"/>
          <w:lang w:val="lt-LT"/>
        </w:rPr>
        <w:tab/>
        <w:t>FARMACINĖ INFORMACIJA</w:t>
      </w:r>
    </w:p>
    <w:p w14:paraId="17C1812D" w14:textId="77777777" w:rsidR="00D75E9B" w:rsidRPr="004C5A75" w:rsidRDefault="00D75E9B" w:rsidP="00D75E9B">
      <w:pPr>
        <w:rPr>
          <w:rFonts w:ascii="Times New Roman" w:hAnsi="Times New Roman"/>
          <w:b/>
          <w:bCs/>
          <w:sz w:val="22"/>
          <w:szCs w:val="22"/>
          <w:lang w:val="lt-LT"/>
        </w:rPr>
      </w:pPr>
    </w:p>
    <w:p w14:paraId="17C1812E" w14:textId="77777777" w:rsidR="00D75E9B" w:rsidRPr="004C5A75" w:rsidRDefault="00D75E9B" w:rsidP="00D75E9B">
      <w:pPr>
        <w:ind w:left="540" w:hanging="540"/>
        <w:rPr>
          <w:rFonts w:ascii="Times New Roman" w:hAnsi="Times New Roman"/>
          <w:b/>
          <w:bCs/>
          <w:sz w:val="22"/>
          <w:szCs w:val="22"/>
          <w:lang w:val="lt-LT"/>
        </w:rPr>
      </w:pPr>
      <w:r w:rsidRPr="004C5A75">
        <w:rPr>
          <w:rFonts w:ascii="Times New Roman" w:hAnsi="Times New Roman"/>
          <w:b/>
          <w:bCs/>
          <w:sz w:val="22"/>
          <w:szCs w:val="22"/>
          <w:lang w:val="lt-LT"/>
        </w:rPr>
        <w:t>6.1</w:t>
      </w:r>
      <w:r w:rsidRPr="004C5A75">
        <w:rPr>
          <w:rFonts w:ascii="Times New Roman" w:hAnsi="Times New Roman"/>
          <w:b/>
          <w:bCs/>
          <w:sz w:val="22"/>
          <w:szCs w:val="22"/>
          <w:lang w:val="lt-LT"/>
        </w:rPr>
        <w:tab/>
        <w:t>Pagalbinių medžiagų sąrašas</w:t>
      </w:r>
    </w:p>
    <w:p w14:paraId="17C1812F" w14:textId="77777777" w:rsidR="00D75E9B" w:rsidRPr="004C5A75" w:rsidRDefault="00D75E9B" w:rsidP="00D75E9B">
      <w:pPr>
        <w:rPr>
          <w:rFonts w:ascii="Times New Roman" w:hAnsi="Times New Roman"/>
          <w:sz w:val="22"/>
          <w:szCs w:val="22"/>
          <w:lang w:val="lt-LT"/>
        </w:rPr>
      </w:pPr>
    </w:p>
    <w:p w14:paraId="17C1813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Mikrokristalinė celiuliozė </w:t>
      </w:r>
    </w:p>
    <w:p w14:paraId="17C1813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Karboksimetilkrakmolo A natrio druska </w:t>
      </w:r>
    </w:p>
    <w:p w14:paraId="17C1813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Magnio stearatas.</w:t>
      </w:r>
    </w:p>
    <w:p w14:paraId="17C18133" w14:textId="77777777" w:rsidR="00D75E9B" w:rsidRPr="004C5A75" w:rsidRDefault="00D75E9B" w:rsidP="00D75E9B">
      <w:pPr>
        <w:rPr>
          <w:rFonts w:ascii="Times New Roman" w:hAnsi="Times New Roman"/>
          <w:sz w:val="22"/>
          <w:szCs w:val="22"/>
          <w:lang w:val="lt-LT"/>
        </w:rPr>
      </w:pPr>
    </w:p>
    <w:p w14:paraId="17C18134" w14:textId="77777777" w:rsidR="00D75E9B" w:rsidRPr="004C5A75" w:rsidRDefault="00D75E9B" w:rsidP="00D75E9B">
      <w:pPr>
        <w:ind w:left="540" w:hanging="540"/>
        <w:rPr>
          <w:rFonts w:ascii="Times New Roman" w:hAnsi="Times New Roman"/>
          <w:b/>
          <w:bCs/>
          <w:sz w:val="22"/>
          <w:szCs w:val="22"/>
          <w:lang w:val="lt-LT"/>
        </w:rPr>
      </w:pPr>
      <w:r w:rsidRPr="004C5A75">
        <w:rPr>
          <w:rFonts w:ascii="Times New Roman" w:hAnsi="Times New Roman"/>
          <w:b/>
          <w:bCs/>
          <w:sz w:val="22"/>
          <w:szCs w:val="22"/>
          <w:lang w:val="lt-LT"/>
        </w:rPr>
        <w:t>6.2</w:t>
      </w:r>
      <w:r w:rsidRPr="004C5A75">
        <w:rPr>
          <w:rFonts w:ascii="Times New Roman" w:hAnsi="Times New Roman"/>
          <w:b/>
          <w:bCs/>
          <w:sz w:val="22"/>
          <w:szCs w:val="22"/>
          <w:lang w:val="lt-LT"/>
        </w:rPr>
        <w:tab/>
        <w:t>Nesuderinamumas</w:t>
      </w:r>
    </w:p>
    <w:p w14:paraId="17C18135" w14:textId="77777777" w:rsidR="00D75E9B" w:rsidRPr="004C5A75" w:rsidRDefault="00D75E9B" w:rsidP="00D75E9B">
      <w:pPr>
        <w:rPr>
          <w:rFonts w:ascii="Times New Roman" w:hAnsi="Times New Roman"/>
          <w:sz w:val="22"/>
          <w:szCs w:val="22"/>
          <w:lang w:val="lt-LT"/>
        </w:rPr>
      </w:pPr>
    </w:p>
    <w:p w14:paraId="17C1813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Duomenys nebūtini.</w:t>
      </w:r>
    </w:p>
    <w:p w14:paraId="17C18137" w14:textId="77777777" w:rsidR="00D75E9B" w:rsidRPr="004C5A75" w:rsidRDefault="00D75E9B" w:rsidP="00D75E9B">
      <w:pPr>
        <w:rPr>
          <w:rFonts w:ascii="Times New Roman" w:hAnsi="Times New Roman"/>
          <w:sz w:val="22"/>
          <w:szCs w:val="22"/>
          <w:lang w:val="lt-LT"/>
        </w:rPr>
      </w:pPr>
    </w:p>
    <w:p w14:paraId="17C18138"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
          <w:bCs/>
          <w:sz w:val="22"/>
          <w:szCs w:val="22"/>
          <w:lang w:val="lt-LT"/>
        </w:rPr>
        <w:t>6.3</w:t>
      </w:r>
      <w:r w:rsidRPr="004C5A75">
        <w:rPr>
          <w:rFonts w:ascii="Times New Roman" w:hAnsi="Times New Roman"/>
          <w:b/>
          <w:bCs/>
          <w:sz w:val="22"/>
          <w:szCs w:val="22"/>
          <w:lang w:val="lt-LT"/>
        </w:rPr>
        <w:tab/>
        <w:t>Tinkamumo laikas</w:t>
      </w:r>
    </w:p>
    <w:p w14:paraId="17C18139" w14:textId="77777777" w:rsidR="00D75E9B" w:rsidRPr="004C5A75" w:rsidRDefault="00D75E9B" w:rsidP="00D75E9B">
      <w:pPr>
        <w:rPr>
          <w:rFonts w:ascii="Times New Roman" w:hAnsi="Times New Roman"/>
          <w:sz w:val="22"/>
          <w:szCs w:val="22"/>
          <w:lang w:val="lt-LT"/>
        </w:rPr>
      </w:pPr>
    </w:p>
    <w:p w14:paraId="17C1813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10 mg/5 mg tabletės</w:t>
      </w:r>
    </w:p>
    <w:p w14:paraId="17C1813B"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4 metai</w:t>
      </w:r>
    </w:p>
    <w:p w14:paraId="17C1813C" w14:textId="77777777" w:rsidR="00D75E9B" w:rsidRPr="004C5A75" w:rsidRDefault="00D75E9B" w:rsidP="00D75E9B">
      <w:pPr>
        <w:rPr>
          <w:rFonts w:ascii="Times New Roman" w:hAnsi="Times New Roman"/>
          <w:sz w:val="22"/>
          <w:szCs w:val="22"/>
          <w:lang w:val="lt-LT"/>
        </w:rPr>
      </w:pPr>
    </w:p>
    <w:p w14:paraId="17C1813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 tabletės</w:t>
      </w:r>
    </w:p>
    <w:p w14:paraId="17C1813E"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3 metai</w:t>
      </w:r>
    </w:p>
    <w:p w14:paraId="17C1813F" w14:textId="77777777" w:rsidR="00D75E9B" w:rsidRPr="004C5A75" w:rsidRDefault="00D75E9B" w:rsidP="00D75E9B">
      <w:pPr>
        <w:rPr>
          <w:rFonts w:ascii="Times New Roman" w:hAnsi="Times New Roman"/>
          <w:sz w:val="22"/>
          <w:szCs w:val="22"/>
          <w:lang w:val="lt-LT"/>
        </w:rPr>
      </w:pPr>
    </w:p>
    <w:p w14:paraId="17C1814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 tabletės</w:t>
      </w:r>
    </w:p>
    <w:p w14:paraId="17C1814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3 metai</w:t>
      </w:r>
    </w:p>
    <w:p w14:paraId="17C18142" w14:textId="77777777" w:rsidR="00D75E9B" w:rsidRPr="004C5A75" w:rsidRDefault="00D75E9B" w:rsidP="00D75E9B">
      <w:pPr>
        <w:rPr>
          <w:rFonts w:ascii="Times New Roman" w:hAnsi="Times New Roman"/>
          <w:b/>
          <w:bCs/>
          <w:sz w:val="22"/>
          <w:szCs w:val="22"/>
          <w:lang w:val="lt-LT"/>
        </w:rPr>
      </w:pPr>
    </w:p>
    <w:p w14:paraId="17C18143" w14:textId="77777777" w:rsidR="00D75E9B" w:rsidRPr="004C5A75" w:rsidRDefault="00D75E9B" w:rsidP="00D75E9B">
      <w:pPr>
        <w:ind w:left="540" w:hanging="540"/>
        <w:rPr>
          <w:rFonts w:ascii="Times New Roman" w:hAnsi="Times New Roman"/>
          <w:b/>
          <w:bCs/>
          <w:sz w:val="22"/>
          <w:szCs w:val="22"/>
          <w:lang w:val="lt-LT"/>
        </w:rPr>
      </w:pPr>
      <w:r w:rsidRPr="004C5A75">
        <w:rPr>
          <w:rFonts w:ascii="Times New Roman" w:hAnsi="Times New Roman"/>
          <w:b/>
          <w:bCs/>
          <w:sz w:val="22"/>
          <w:szCs w:val="22"/>
          <w:lang w:val="lt-LT"/>
        </w:rPr>
        <w:t>6.4</w:t>
      </w:r>
      <w:r w:rsidRPr="004C5A75">
        <w:rPr>
          <w:rFonts w:ascii="Times New Roman" w:hAnsi="Times New Roman"/>
          <w:b/>
          <w:bCs/>
          <w:sz w:val="22"/>
          <w:szCs w:val="22"/>
          <w:lang w:val="lt-LT"/>
        </w:rPr>
        <w:tab/>
        <w:t>Specialios laikymo sąlygos</w:t>
      </w:r>
    </w:p>
    <w:p w14:paraId="17C18144" w14:textId="77777777" w:rsidR="00D75E9B" w:rsidRPr="004C5A75" w:rsidRDefault="00D75E9B" w:rsidP="00D75E9B">
      <w:pPr>
        <w:rPr>
          <w:rFonts w:ascii="Times New Roman" w:hAnsi="Times New Roman"/>
          <w:sz w:val="22"/>
          <w:szCs w:val="22"/>
          <w:lang w:val="lt-LT"/>
        </w:rPr>
      </w:pPr>
    </w:p>
    <w:p w14:paraId="17C1814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Laikyti žemesnėje kaip 25 </w:t>
      </w:r>
      <w:r w:rsidRPr="004C5A75">
        <w:rPr>
          <w:rFonts w:ascii="Times New Roman" w:hAnsi="Times New Roman"/>
          <w:sz w:val="22"/>
          <w:szCs w:val="22"/>
          <w:lang w:val="lt-LT"/>
        </w:rPr>
        <w:sym w:font="Symbol" w:char="F0B0"/>
      </w:r>
      <w:r w:rsidRPr="004C5A75">
        <w:rPr>
          <w:rFonts w:ascii="Times New Roman" w:hAnsi="Times New Roman"/>
          <w:sz w:val="22"/>
          <w:szCs w:val="22"/>
          <w:lang w:val="lt-LT"/>
        </w:rPr>
        <w:t>C temperatūroje.</w:t>
      </w:r>
    </w:p>
    <w:p w14:paraId="17C1814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Laikyti gamintojo pakuotėje, kad preparatas būtų apsaugotas nuo šviesos ir drėgmės.</w:t>
      </w:r>
    </w:p>
    <w:p w14:paraId="17C18147" w14:textId="77777777" w:rsidR="00D75E9B" w:rsidRPr="004C5A75" w:rsidRDefault="00D75E9B" w:rsidP="00D75E9B">
      <w:pPr>
        <w:rPr>
          <w:rFonts w:ascii="Times New Roman" w:hAnsi="Times New Roman"/>
          <w:sz w:val="22"/>
          <w:szCs w:val="22"/>
          <w:lang w:val="lt-LT"/>
        </w:rPr>
      </w:pPr>
    </w:p>
    <w:p w14:paraId="17C18148" w14:textId="77777777" w:rsidR="00D75E9B" w:rsidRPr="004C5A75" w:rsidRDefault="00D75E9B" w:rsidP="00D75E9B">
      <w:pPr>
        <w:numPr>
          <w:ilvl w:val="1"/>
          <w:numId w:val="16"/>
        </w:numPr>
        <w:spacing w:line="260" w:lineRule="exact"/>
        <w:ind w:left="0" w:firstLine="0"/>
        <w:rPr>
          <w:rFonts w:ascii="Times New Roman" w:hAnsi="Times New Roman"/>
          <w:b/>
          <w:bCs/>
          <w:sz w:val="22"/>
          <w:szCs w:val="22"/>
          <w:lang w:val="lt-LT"/>
        </w:rPr>
      </w:pPr>
      <w:r w:rsidRPr="004C5A75">
        <w:rPr>
          <w:rFonts w:ascii="Times New Roman" w:hAnsi="Times New Roman"/>
          <w:b/>
          <w:bCs/>
          <w:sz w:val="22"/>
          <w:szCs w:val="22"/>
          <w:lang w:val="lt-LT"/>
        </w:rPr>
        <w:t>Talpyklės pobūdis ir jos turinys</w:t>
      </w:r>
    </w:p>
    <w:p w14:paraId="17C18149" w14:textId="77777777" w:rsidR="00D75E9B" w:rsidRPr="004C5A75" w:rsidRDefault="00D75E9B" w:rsidP="00D75E9B">
      <w:pPr>
        <w:rPr>
          <w:rFonts w:ascii="Times New Roman" w:hAnsi="Times New Roman"/>
          <w:sz w:val="22"/>
          <w:szCs w:val="22"/>
          <w:lang w:val="lt-LT"/>
        </w:rPr>
      </w:pPr>
    </w:p>
    <w:p w14:paraId="17C1814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10 mg/5 mg tabletės</w:t>
      </w:r>
    </w:p>
    <w:p w14:paraId="17C1814B" w14:textId="77777777" w:rsidR="00D75E9B" w:rsidRPr="004C5A75" w:rsidRDefault="00D75E9B" w:rsidP="00D75E9B">
      <w:pPr>
        <w:rPr>
          <w:rFonts w:ascii="Times New Roman" w:hAnsi="Times New Roman"/>
          <w:sz w:val="22"/>
          <w:szCs w:val="22"/>
          <w:lang w:val="lt-LT"/>
        </w:rPr>
      </w:pPr>
    </w:p>
    <w:p w14:paraId="17C1814C"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30 arba 90 tablečių baltose PVC/PE/PVDC/Al lizdinėse plokštelėse kartono dėžutėje.</w:t>
      </w:r>
    </w:p>
    <w:p w14:paraId="17C1814D" w14:textId="77777777" w:rsidR="00D75E9B" w:rsidRPr="004C5A75" w:rsidRDefault="00D75E9B" w:rsidP="00D75E9B">
      <w:pPr>
        <w:rPr>
          <w:rFonts w:ascii="Times New Roman" w:hAnsi="Times New Roman"/>
          <w:sz w:val="22"/>
          <w:szCs w:val="22"/>
          <w:lang w:val="lt-LT"/>
        </w:rPr>
      </w:pPr>
    </w:p>
    <w:p w14:paraId="17C1814E"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 tabletės</w:t>
      </w:r>
    </w:p>
    <w:p w14:paraId="17C1814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30 arba 90 tablečių baltose PVC/PE/PVDC-aliuminio lizdinėse plokštelėse kartono dėžutėje.</w:t>
      </w:r>
    </w:p>
    <w:p w14:paraId="17C18150" w14:textId="77777777" w:rsidR="00D75E9B" w:rsidRPr="004C5A75" w:rsidRDefault="00D75E9B" w:rsidP="00D75E9B">
      <w:pPr>
        <w:rPr>
          <w:rFonts w:ascii="Times New Roman" w:hAnsi="Times New Roman"/>
          <w:sz w:val="22"/>
          <w:szCs w:val="22"/>
          <w:lang w:val="lt-LT"/>
        </w:rPr>
      </w:pPr>
    </w:p>
    <w:p w14:paraId="17C1815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 tabletės</w:t>
      </w:r>
    </w:p>
    <w:p w14:paraId="17C1815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30 arba 90 tablečių baltose PVC/PE/PVDC-aliuminio lizdinėse plokštelėse kartono dėžutėje.</w:t>
      </w:r>
    </w:p>
    <w:p w14:paraId="17C18153" w14:textId="77777777" w:rsidR="00D75E9B" w:rsidRPr="004C5A75" w:rsidRDefault="00D75E9B" w:rsidP="00D75E9B">
      <w:pPr>
        <w:rPr>
          <w:rFonts w:ascii="Times New Roman" w:hAnsi="Times New Roman"/>
          <w:sz w:val="22"/>
          <w:szCs w:val="22"/>
          <w:lang w:val="lt-LT"/>
        </w:rPr>
      </w:pPr>
    </w:p>
    <w:p w14:paraId="17C18154" w14:textId="77777777" w:rsidR="00D75E9B" w:rsidRPr="004C5A75" w:rsidRDefault="00D75E9B" w:rsidP="00D75E9B">
      <w:pPr>
        <w:outlineLvl w:val="0"/>
        <w:rPr>
          <w:rFonts w:ascii="Times New Roman" w:hAnsi="Times New Roman"/>
          <w:b/>
          <w:bCs/>
          <w:sz w:val="22"/>
          <w:szCs w:val="22"/>
          <w:lang w:val="lt-LT"/>
        </w:rPr>
      </w:pPr>
      <w:r w:rsidRPr="004C5A75">
        <w:rPr>
          <w:rFonts w:ascii="Times New Roman" w:hAnsi="Times New Roman"/>
          <w:sz w:val="22"/>
          <w:szCs w:val="22"/>
          <w:lang w:val="lt-LT"/>
        </w:rPr>
        <w:t>Gali būti tiekiamos ne visų dydžių pakuotės.</w:t>
      </w:r>
    </w:p>
    <w:p w14:paraId="17C18155" w14:textId="77777777" w:rsidR="00D75E9B" w:rsidRPr="004C5A75" w:rsidRDefault="00D75E9B" w:rsidP="00D75E9B">
      <w:pPr>
        <w:outlineLvl w:val="0"/>
        <w:rPr>
          <w:rFonts w:ascii="Times New Roman" w:hAnsi="Times New Roman"/>
          <w:b/>
          <w:bCs/>
          <w:sz w:val="22"/>
          <w:szCs w:val="22"/>
          <w:lang w:val="lt-LT"/>
        </w:rPr>
      </w:pPr>
    </w:p>
    <w:p w14:paraId="17C18156" w14:textId="77777777" w:rsidR="00D75E9B" w:rsidRPr="004C5A75" w:rsidRDefault="00D75E9B" w:rsidP="00D75E9B">
      <w:pPr>
        <w:ind w:left="540" w:hanging="540"/>
        <w:outlineLvl w:val="0"/>
        <w:rPr>
          <w:rFonts w:ascii="Times New Roman" w:hAnsi="Times New Roman"/>
          <w:sz w:val="22"/>
          <w:szCs w:val="22"/>
          <w:lang w:val="lt-LT"/>
        </w:rPr>
      </w:pPr>
      <w:r w:rsidRPr="004C5A75">
        <w:rPr>
          <w:rFonts w:ascii="Times New Roman" w:hAnsi="Times New Roman"/>
          <w:b/>
          <w:bCs/>
          <w:sz w:val="22"/>
          <w:szCs w:val="22"/>
          <w:lang w:val="lt-LT"/>
        </w:rPr>
        <w:t>6.6</w:t>
      </w:r>
      <w:r w:rsidRPr="004C5A75">
        <w:rPr>
          <w:rFonts w:ascii="Times New Roman" w:hAnsi="Times New Roman"/>
          <w:b/>
          <w:bCs/>
          <w:sz w:val="22"/>
          <w:szCs w:val="22"/>
          <w:lang w:val="lt-LT"/>
        </w:rPr>
        <w:tab/>
        <w:t>Specialūs reikalavimai atliekoms tvarkyti</w:t>
      </w:r>
    </w:p>
    <w:p w14:paraId="17C18157" w14:textId="77777777" w:rsidR="00D75E9B" w:rsidRPr="004C5A75" w:rsidRDefault="00D75E9B" w:rsidP="00C97BD4">
      <w:pPr>
        <w:pStyle w:val="BTEMEASMCA"/>
        <w:rPr>
          <w:lang w:val="lt-LT"/>
        </w:rPr>
      </w:pPr>
    </w:p>
    <w:p w14:paraId="17C18158" w14:textId="77777777" w:rsidR="00D75E9B" w:rsidRPr="0026536C" w:rsidRDefault="00D75E9B" w:rsidP="00C97BD4">
      <w:pPr>
        <w:pStyle w:val="BTEMEASMCA"/>
        <w:rPr>
          <w:lang w:val="lt-LT"/>
        </w:rPr>
      </w:pPr>
      <w:r w:rsidRPr="0026536C">
        <w:rPr>
          <w:lang w:val="lt-LT"/>
        </w:rPr>
        <w:t>Specialių reikalavimų nėra.</w:t>
      </w:r>
    </w:p>
    <w:p w14:paraId="17C18159" w14:textId="77777777" w:rsidR="00D75E9B" w:rsidRPr="004C5A75" w:rsidRDefault="00D75E9B" w:rsidP="00D75E9B">
      <w:pPr>
        <w:tabs>
          <w:tab w:val="left" w:pos="567"/>
        </w:tabs>
        <w:rPr>
          <w:rFonts w:ascii="Times New Roman" w:hAnsi="Times New Roman"/>
          <w:sz w:val="22"/>
          <w:szCs w:val="22"/>
          <w:lang w:val="lt-LT"/>
        </w:rPr>
      </w:pPr>
      <w:r w:rsidRPr="004C5A75">
        <w:rPr>
          <w:rFonts w:ascii="Times New Roman" w:hAnsi="Times New Roman"/>
          <w:sz w:val="22"/>
          <w:szCs w:val="22"/>
          <w:lang w:val="lt-LT"/>
        </w:rPr>
        <w:t>Nesuvartotą vaistinį preparatą ar atliekas reikia tvarkyti laikantis vietinių reikalavimų.</w:t>
      </w:r>
    </w:p>
    <w:p w14:paraId="17C1815A" w14:textId="77777777" w:rsidR="00D75E9B" w:rsidRPr="004C5A75" w:rsidRDefault="00D75E9B" w:rsidP="00D75E9B">
      <w:pPr>
        <w:rPr>
          <w:rFonts w:ascii="Times New Roman" w:hAnsi="Times New Roman"/>
          <w:sz w:val="22"/>
          <w:szCs w:val="22"/>
          <w:lang w:val="lt-LT"/>
        </w:rPr>
      </w:pPr>
    </w:p>
    <w:p w14:paraId="17C1815B" w14:textId="77777777" w:rsidR="00D75E9B" w:rsidRPr="004C5A75" w:rsidRDefault="00D75E9B" w:rsidP="00D75E9B">
      <w:pPr>
        <w:rPr>
          <w:rFonts w:ascii="Times New Roman" w:hAnsi="Times New Roman"/>
          <w:sz w:val="22"/>
          <w:szCs w:val="22"/>
          <w:lang w:val="lt-LT"/>
        </w:rPr>
      </w:pPr>
    </w:p>
    <w:p w14:paraId="17C1815C" w14:textId="77777777" w:rsidR="00D75E9B" w:rsidRPr="004C5A75" w:rsidRDefault="00D75E9B" w:rsidP="00D75E9B">
      <w:pPr>
        <w:pStyle w:val="PI-1EMEASMCA"/>
        <w:rPr>
          <w:lang w:val="lt-LT"/>
        </w:rPr>
      </w:pPr>
      <w:r w:rsidRPr="004C5A75">
        <w:rPr>
          <w:bCs/>
          <w:lang w:val="lt-LT"/>
        </w:rPr>
        <w:t>7.</w:t>
      </w:r>
      <w:r w:rsidRPr="004C5A75">
        <w:rPr>
          <w:bCs/>
          <w:lang w:val="lt-LT"/>
        </w:rPr>
        <w:tab/>
      </w:r>
      <w:r w:rsidRPr="004C5A75">
        <w:rPr>
          <w:lang w:val="lt-LT"/>
        </w:rPr>
        <w:t>REGISTRUOTOJAS</w:t>
      </w:r>
    </w:p>
    <w:p w14:paraId="17C1815D" w14:textId="77777777" w:rsidR="00D75E9B" w:rsidRPr="004C5A75" w:rsidRDefault="00D75E9B" w:rsidP="00D75E9B">
      <w:pPr>
        <w:rPr>
          <w:rFonts w:ascii="Times New Roman" w:hAnsi="Times New Roman"/>
          <w:b/>
          <w:bCs/>
          <w:sz w:val="22"/>
          <w:szCs w:val="22"/>
          <w:lang w:val="lt-LT"/>
        </w:rPr>
      </w:pPr>
    </w:p>
    <w:p w14:paraId="17C1815E" w14:textId="77777777" w:rsidR="00D75E9B" w:rsidRPr="004C5A75" w:rsidRDefault="00D75E9B" w:rsidP="00D75E9B">
      <w:pPr>
        <w:rPr>
          <w:rFonts w:ascii="Times New Roman" w:hAnsi="Times New Roman"/>
          <w:sz w:val="22"/>
          <w:szCs w:val="22"/>
          <w:lang w:val="lt-LT"/>
        </w:rPr>
      </w:pPr>
      <w:bookmarkStart w:id="2" w:name="OLE_LINK1"/>
      <w:r w:rsidRPr="004C5A75">
        <w:rPr>
          <w:rFonts w:ascii="Times New Roman" w:hAnsi="Times New Roman"/>
          <w:sz w:val="22"/>
          <w:szCs w:val="22"/>
          <w:lang w:val="lt-LT"/>
        </w:rPr>
        <w:t xml:space="preserve">Gedeon Richter Plc. </w:t>
      </w:r>
    </w:p>
    <w:p w14:paraId="17C1815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Gyömrői út. 19–21</w:t>
      </w:r>
    </w:p>
    <w:p w14:paraId="17C18160"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1103 Budapest</w:t>
      </w:r>
    </w:p>
    <w:p w14:paraId="17C18161"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Vengrija</w:t>
      </w:r>
    </w:p>
    <w:p w14:paraId="17C18162" w14:textId="77777777" w:rsidR="00D75E9B" w:rsidRPr="004C5A75" w:rsidRDefault="00D75E9B" w:rsidP="00D75E9B">
      <w:pPr>
        <w:rPr>
          <w:rFonts w:ascii="Times New Roman" w:hAnsi="Times New Roman"/>
          <w:sz w:val="22"/>
          <w:szCs w:val="22"/>
          <w:lang w:val="lt-LT"/>
        </w:rPr>
      </w:pPr>
    </w:p>
    <w:p w14:paraId="17C18163" w14:textId="77777777" w:rsidR="00D75E9B" w:rsidRPr="004C5A75" w:rsidRDefault="00D75E9B" w:rsidP="00D75E9B">
      <w:pPr>
        <w:rPr>
          <w:rFonts w:ascii="Times New Roman" w:hAnsi="Times New Roman"/>
          <w:sz w:val="22"/>
          <w:szCs w:val="22"/>
          <w:lang w:val="lt-LT"/>
        </w:rPr>
      </w:pPr>
    </w:p>
    <w:bookmarkEnd w:id="2"/>
    <w:p w14:paraId="17C18164" w14:textId="77777777" w:rsidR="00D75E9B" w:rsidRPr="004C5A75" w:rsidRDefault="00D75E9B" w:rsidP="00D75E9B">
      <w:pPr>
        <w:pStyle w:val="PI-1EMEASMCA"/>
        <w:rPr>
          <w:lang w:val="lt-LT"/>
        </w:rPr>
      </w:pPr>
      <w:r w:rsidRPr="004C5A75">
        <w:rPr>
          <w:bCs/>
          <w:lang w:val="lt-LT"/>
        </w:rPr>
        <w:t>8.</w:t>
      </w:r>
      <w:r w:rsidRPr="004C5A75">
        <w:rPr>
          <w:bCs/>
          <w:lang w:val="lt-LT"/>
        </w:rPr>
        <w:tab/>
      </w:r>
      <w:r w:rsidRPr="004C5A75">
        <w:rPr>
          <w:lang w:val="lt-LT"/>
        </w:rPr>
        <w:t>REGISTRACIJOS PAŽYMĖJIMO NUMERIS (-IAI)</w:t>
      </w:r>
    </w:p>
    <w:p w14:paraId="17C18165" w14:textId="77777777" w:rsidR="00D75E9B" w:rsidRPr="004C5A75" w:rsidRDefault="00D75E9B" w:rsidP="00D75E9B">
      <w:pPr>
        <w:rPr>
          <w:rFonts w:ascii="Times New Roman" w:hAnsi="Times New Roman"/>
          <w:sz w:val="22"/>
          <w:szCs w:val="22"/>
          <w:lang w:val="lt-LT"/>
        </w:rPr>
      </w:pPr>
    </w:p>
    <w:p w14:paraId="17C1816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10 mg/5 mg tabletės</w:t>
      </w:r>
    </w:p>
    <w:p w14:paraId="17C18167" w14:textId="77777777" w:rsidR="00D75E9B" w:rsidRPr="004C5A75" w:rsidRDefault="00D75E9B" w:rsidP="00D75E9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LT/1/09/1442/001</w:t>
      </w:r>
    </w:p>
    <w:p w14:paraId="17C18168" w14:textId="77777777" w:rsidR="00D75E9B" w:rsidRPr="004C5A75" w:rsidRDefault="00D75E9B" w:rsidP="00D75E9B">
      <w:pPr>
        <w:rPr>
          <w:rFonts w:ascii="Times New Roman" w:hAnsi="Times New Roman"/>
          <w:sz w:val="22"/>
          <w:szCs w:val="22"/>
          <w:lang w:val="lt-LT"/>
        </w:rPr>
      </w:pPr>
    </w:p>
    <w:p w14:paraId="17C1816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 tabletės</w:t>
      </w:r>
    </w:p>
    <w:p w14:paraId="17C1816A"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N30 - LT/1/09/1442/002</w:t>
      </w:r>
    </w:p>
    <w:p w14:paraId="17C1816B"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N90 - LT/1/09/1442/003</w:t>
      </w:r>
    </w:p>
    <w:p w14:paraId="17C1816C" w14:textId="77777777" w:rsidR="00D75E9B" w:rsidRPr="004C5A75" w:rsidRDefault="00D75E9B" w:rsidP="00D75E9B">
      <w:pPr>
        <w:rPr>
          <w:rFonts w:ascii="Times New Roman" w:hAnsi="Times New Roman"/>
          <w:bCs/>
          <w:sz w:val="22"/>
          <w:szCs w:val="22"/>
          <w:lang w:val="lt-LT"/>
        </w:rPr>
      </w:pPr>
    </w:p>
    <w:p w14:paraId="17C1816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 tabletės</w:t>
      </w:r>
    </w:p>
    <w:p w14:paraId="17C1816E" w14:textId="77777777" w:rsidR="00D75E9B" w:rsidRPr="004C5A75" w:rsidRDefault="00D75E9B" w:rsidP="00D75E9B">
      <w:pPr>
        <w:tabs>
          <w:tab w:val="left" w:pos="567"/>
        </w:tabs>
        <w:rPr>
          <w:rFonts w:ascii="Times New Roman" w:hAnsi="Times New Roman"/>
          <w:bCs/>
          <w:sz w:val="22"/>
          <w:szCs w:val="22"/>
          <w:lang w:val="lt-LT"/>
        </w:rPr>
      </w:pPr>
      <w:r w:rsidRPr="004C5A75">
        <w:rPr>
          <w:rFonts w:ascii="Times New Roman" w:hAnsi="Times New Roman"/>
          <w:bCs/>
          <w:sz w:val="22"/>
          <w:szCs w:val="22"/>
          <w:lang w:val="lt-LT"/>
        </w:rPr>
        <w:t>N30 – LT/1/09/1442/004</w:t>
      </w:r>
    </w:p>
    <w:p w14:paraId="17C1816F" w14:textId="77777777" w:rsidR="00D75E9B" w:rsidRPr="004C5A75" w:rsidRDefault="00D75E9B" w:rsidP="00D75E9B">
      <w:pPr>
        <w:tabs>
          <w:tab w:val="left" w:pos="567"/>
        </w:tabs>
        <w:rPr>
          <w:rFonts w:ascii="Times New Roman" w:hAnsi="Times New Roman"/>
          <w:bCs/>
          <w:sz w:val="22"/>
          <w:szCs w:val="22"/>
          <w:lang w:val="lt-LT"/>
        </w:rPr>
      </w:pPr>
      <w:r w:rsidRPr="004C5A75">
        <w:rPr>
          <w:rFonts w:ascii="Times New Roman" w:hAnsi="Times New Roman"/>
          <w:bCs/>
          <w:sz w:val="22"/>
          <w:szCs w:val="22"/>
          <w:lang w:val="lt-LT"/>
        </w:rPr>
        <w:t>N90 – LT/1/09/1442/005</w:t>
      </w:r>
    </w:p>
    <w:p w14:paraId="17C18170" w14:textId="77777777" w:rsidR="00D75E9B" w:rsidRPr="004C5A75" w:rsidRDefault="00D75E9B" w:rsidP="00D75E9B">
      <w:pPr>
        <w:rPr>
          <w:rFonts w:ascii="Times New Roman" w:hAnsi="Times New Roman"/>
          <w:bCs/>
          <w:sz w:val="22"/>
          <w:szCs w:val="22"/>
          <w:lang w:val="lt-LT"/>
        </w:rPr>
      </w:pPr>
    </w:p>
    <w:p w14:paraId="17C18171" w14:textId="77777777" w:rsidR="00D75E9B" w:rsidRPr="004C5A75" w:rsidRDefault="00D75E9B" w:rsidP="00D75E9B">
      <w:pPr>
        <w:rPr>
          <w:rFonts w:ascii="Times New Roman" w:hAnsi="Times New Roman"/>
          <w:iCs/>
          <w:sz w:val="22"/>
          <w:szCs w:val="22"/>
          <w:lang w:val="lt-LT"/>
        </w:rPr>
      </w:pPr>
    </w:p>
    <w:p w14:paraId="17C18172" w14:textId="77777777" w:rsidR="00D75E9B" w:rsidRPr="004C5A75" w:rsidRDefault="00D75E9B" w:rsidP="00D75E9B">
      <w:pPr>
        <w:ind w:left="540" w:hanging="540"/>
        <w:rPr>
          <w:rFonts w:ascii="Times New Roman" w:hAnsi="Times New Roman"/>
          <w:b/>
          <w:bCs/>
          <w:sz w:val="22"/>
          <w:szCs w:val="22"/>
          <w:lang w:val="lt-LT"/>
        </w:rPr>
      </w:pPr>
      <w:r w:rsidRPr="004C5A75">
        <w:rPr>
          <w:rFonts w:ascii="Times New Roman" w:hAnsi="Times New Roman"/>
          <w:b/>
          <w:bCs/>
          <w:sz w:val="22"/>
          <w:szCs w:val="22"/>
          <w:lang w:val="lt-LT"/>
        </w:rPr>
        <w:t>9.</w:t>
      </w:r>
      <w:r w:rsidRPr="004C5A75">
        <w:rPr>
          <w:rFonts w:ascii="Times New Roman" w:hAnsi="Times New Roman"/>
          <w:b/>
          <w:bCs/>
          <w:sz w:val="22"/>
          <w:szCs w:val="22"/>
          <w:lang w:val="lt-LT"/>
        </w:rPr>
        <w:tab/>
        <w:t xml:space="preserve">REGISTRAVIMO / PERREGISTRAVIMO </w:t>
      </w:r>
      <w:r w:rsidRPr="004C5A75">
        <w:rPr>
          <w:rFonts w:ascii="Times New Roman" w:hAnsi="Times New Roman"/>
          <w:b/>
          <w:sz w:val="22"/>
          <w:szCs w:val="22"/>
          <w:lang w:val="lt-LT"/>
        </w:rPr>
        <w:t>DATA</w:t>
      </w:r>
      <w:r w:rsidRPr="004C5A75">
        <w:rPr>
          <w:rFonts w:ascii="Times New Roman" w:hAnsi="Times New Roman"/>
          <w:b/>
          <w:bCs/>
          <w:sz w:val="22"/>
          <w:szCs w:val="22"/>
          <w:lang w:val="lt-LT"/>
        </w:rPr>
        <w:t xml:space="preserve"> </w:t>
      </w:r>
    </w:p>
    <w:p w14:paraId="17C18173" w14:textId="77777777" w:rsidR="00D75E9B" w:rsidRPr="004C5A75" w:rsidRDefault="00D75E9B" w:rsidP="00D75E9B">
      <w:pPr>
        <w:rPr>
          <w:rFonts w:ascii="Times New Roman" w:hAnsi="Times New Roman"/>
          <w:sz w:val="22"/>
          <w:szCs w:val="22"/>
          <w:lang w:val="lt-LT"/>
        </w:rPr>
      </w:pPr>
    </w:p>
    <w:p w14:paraId="17C18174" w14:textId="77777777" w:rsidR="00D75E9B" w:rsidRPr="004C5A75" w:rsidRDefault="00D75E9B" w:rsidP="00D75E9B">
      <w:pPr>
        <w:rPr>
          <w:rFonts w:ascii="Times New Roman" w:hAnsi="Times New Roman"/>
          <w:b/>
          <w:bCs/>
          <w:sz w:val="22"/>
          <w:szCs w:val="22"/>
          <w:lang w:val="lt-LT"/>
        </w:rPr>
      </w:pPr>
      <w:r w:rsidRPr="004C5A75">
        <w:rPr>
          <w:rFonts w:ascii="Times New Roman" w:hAnsi="Times New Roman"/>
          <w:sz w:val="22"/>
          <w:szCs w:val="22"/>
          <w:lang w:val="lt-LT"/>
        </w:rPr>
        <w:t>DIRONORM 10 mg/5 mg tabletės</w:t>
      </w:r>
    </w:p>
    <w:p w14:paraId="17C18175" w14:textId="77777777" w:rsidR="00D75E9B" w:rsidRPr="004C5A75" w:rsidRDefault="00D75E9B" w:rsidP="00D75E9B">
      <w:pPr>
        <w:rPr>
          <w:rFonts w:ascii="Times New Roman" w:hAnsi="Times New Roman"/>
          <w:sz w:val="22"/>
          <w:szCs w:val="22"/>
          <w:lang w:val="lt-LT"/>
        </w:rPr>
      </w:pPr>
      <w:r w:rsidRPr="004C5A75">
        <w:rPr>
          <w:rFonts w:ascii="Times New Roman" w:hAnsi="Times New Roman"/>
          <w:iCs/>
          <w:sz w:val="22"/>
          <w:szCs w:val="22"/>
          <w:lang w:val="lt-LT"/>
        </w:rPr>
        <w:t xml:space="preserve">Registravimo data </w:t>
      </w:r>
      <w:r w:rsidRPr="004C5A75">
        <w:rPr>
          <w:rFonts w:ascii="Times New Roman" w:hAnsi="Times New Roman"/>
          <w:sz w:val="22"/>
          <w:szCs w:val="22"/>
          <w:lang w:val="lt-LT"/>
        </w:rPr>
        <w:t>2009 m. vasario 3 d.</w:t>
      </w:r>
    </w:p>
    <w:p w14:paraId="17C1817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 tabletės</w:t>
      </w:r>
    </w:p>
    <w:p w14:paraId="17C18177" w14:textId="77777777" w:rsidR="00D75E9B" w:rsidRPr="004C5A75" w:rsidRDefault="00D75E9B" w:rsidP="00D75E9B">
      <w:pPr>
        <w:rPr>
          <w:rFonts w:ascii="Times New Roman" w:hAnsi="Times New Roman"/>
          <w:iCs/>
          <w:sz w:val="22"/>
          <w:szCs w:val="22"/>
          <w:lang w:val="lt-LT"/>
        </w:rPr>
      </w:pPr>
      <w:r w:rsidRPr="004C5A75">
        <w:rPr>
          <w:rFonts w:ascii="Times New Roman" w:hAnsi="Times New Roman"/>
          <w:iCs/>
          <w:sz w:val="22"/>
          <w:szCs w:val="22"/>
          <w:lang w:val="lt-LT"/>
        </w:rPr>
        <w:t>Registravimo data 2009 m. rugsėjo 23 d.</w:t>
      </w:r>
    </w:p>
    <w:p w14:paraId="17C18178"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 tabletės</w:t>
      </w:r>
    </w:p>
    <w:p w14:paraId="17C18179" w14:textId="77777777" w:rsidR="00D75E9B" w:rsidRPr="004C5A75" w:rsidRDefault="00D75E9B" w:rsidP="00D75E9B">
      <w:pPr>
        <w:rPr>
          <w:rFonts w:ascii="Times New Roman" w:hAnsi="Times New Roman"/>
          <w:iCs/>
          <w:sz w:val="22"/>
          <w:szCs w:val="22"/>
          <w:lang w:val="lt-LT"/>
        </w:rPr>
      </w:pPr>
      <w:r w:rsidRPr="004C5A75">
        <w:rPr>
          <w:rFonts w:ascii="Times New Roman" w:hAnsi="Times New Roman"/>
          <w:iCs/>
          <w:sz w:val="22"/>
          <w:szCs w:val="22"/>
          <w:lang w:val="lt-LT"/>
        </w:rPr>
        <w:t>Registravimo data 2012 m. kovo 15 d.</w:t>
      </w:r>
    </w:p>
    <w:p w14:paraId="17C1817A" w14:textId="77777777" w:rsidR="00D75E9B" w:rsidRPr="004C5A75" w:rsidRDefault="00D75E9B" w:rsidP="00D75E9B">
      <w:pPr>
        <w:rPr>
          <w:rFonts w:ascii="Times New Roman" w:hAnsi="Times New Roman"/>
          <w:sz w:val="22"/>
          <w:szCs w:val="22"/>
          <w:lang w:val="lt-LT"/>
        </w:rPr>
      </w:pPr>
    </w:p>
    <w:p w14:paraId="17C1817B" w14:textId="77777777" w:rsidR="00D75E9B" w:rsidRPr="004C5A75" w:rsidRDefault="00D75E9B" w:rsidP="00D75E9B">
      <w:pPr>
        <w:rPr>
          <w:rFonts w:ascii="Times New Roman" w:hAnsi="Times New Roman"/>
          <w:sz w:val="22"/>
          <w:szCs w:val="22"/>
          <w:lang w:val="lt-LT"/>
        </w:rPr>
      </w:pPr>
      <w:r w:rsidRPr="0026536C">
        <w:rPr>
          <w:rFonts w:ascii="Times New Roman" w:hAnsi="Times New Roman"/>
          <w:sz w:val="22"/>
          <w:szCs w:val="22"/>
          <w:lang w:val="lt-LT"/>
        </w:rPr>
        <w:t>Paskutinio perregistravimo data 2014 m. lapkričio 25 d.</w:t>
      </w:r>
    </w:p>
    <w:p w14:paraId="17C1817C" w14:textId="77777777" w:rsidR="00D75E9B" w:rsidRPr="004C5A75" w:rsidRDefault="00D75E9B" w:rsidP="00D75E9B">
      <w:pPr>
        <w:rPr>
          <w:rFonts w:ascii="Times New Roman" w:hAnsi="Times New Roman"/>
          <w:iCs/>
          <w:sz w:val="22"/>
          <w:szCs w:val="22"/>
          <w:lang w:val="lt-LT"/>
        </w:rPr>
      </w:pPr>
    </w:p>
    <w:p w14:paraId="17C1817D" w14:textId="77777777" w:rsidR="00D75E9B" w:rsidRPr="004C5A75" w:rsidRDefault="00D75E9B" w:rsidP="00D75E9B">
      <w:pPr>
        <w:rPr>
          <w:rFonts w:ascii="Times New Roman" w:hAnsi="Times New Roman"/>
          <w:iCs/>
          <w:sz w:val="22"/>
          <w:szCs w:val="22"/>
          <w:lang w:val="lt-LT"/>
        </w:rPr>
      </w:pPr>
    </w:p>
    <w:p w14:paraId="17C1817E" w14:textId="77777777" w:rsidR="00D75E9B" w:rsidRPr="004C5A75" w:rsidRDefault="00D75E9B" w:rsidP="00D75E9B">
      <w:pPr>
        <w:pStyle w:val="PI-1EMEASMCA"/>
        <w:rPr>
          <w:lang w:val="lt-LT"/>
        </w:rPr>
      </w:pPr>
      <w:bookmarkStart w:id="3" w:name="_Toc129243125"/>
      <w:bookmarkStart w:id="4" w:name="_Toc129243250"/>
      <w:r w:rsidRPr="004C5A75">
        <w:rPr>
          <w:lang w:val="lt-LT"/>
        </w:rPr>
        <w:t>10.</w:t>
      </w:r>
      <w:r w:rsidRPr="004C5A75">
        <w:rPr>
          <w:lang w:val="lt-LT"/>
        </w:rPr>
        <w:tab/>
        <w:t>TEKSTO PERŽIŪROS DATA</w:t>
      </w:r>
      <w:bookmarkEnd w:id="3"/>
      <w:bookmarkEnd w:id="4"/>
    </w:p>
    <w:p w14:paraId="17C1817F" w14:textId="77777777" w:rsidR="00D75E9B" w:rsidRPr="004C5A75" w:rsidRDefault="00D75E9B" w:rsidP="00D75E9B">
      <w:pPr>
        <w:rPr>
          <w:rFonts w:ascii="Times New Roman" w:hAnsi="Times New Roman"/>
          <w:iCs/>
          <w:sz w:val="22"/>
          <w:szCs w:val="22"/>
          <w:lang w:val="lt-LT"/>
        </w:rPr>
      </w:pPr>
    </w:p>
    <w:p w14:paraId="17C18181" w14:textId="63AC59E7" w:rsidR="003E3DFE" w:rsidRDefault="003777B1" w:rsidP="00D75E9B">
      <w:pPr>
        <w:rPr>
          <w:rFonts w:ascii="Times New Roman" w:hAnsi="Times New Roman"/>
          <w:iCs/>
          <w:sz w:val="22"/>
          <w:szCs w:val="22"/>
          <w:lang w:val="lt-LT"/>
        </w:rPr>
      </w:pPr>
      <w:r>
        <w:rPr>
          <w:rFonts w:ascii="Times New Roman" w:hAnsi="Times New Roman"/>
          <w:iCs/>
          <w:sz w:val="22"/>
          <w:szCs w:val="22"/>
          <w:lang w:val="lt-LT"/>
        </w:rPr>
        <w:t xml:space="preserve">2022 m. rugpjūčio </w:t>
      </w:r>
      <w:r w:rsidR="00A94B71">
        <w:rPr>
          <w:rFonts w:ascii="Times New Roman" w:hAnsi="Times New Roman"/>
          <w:iCs/>
          <w:sz w:val="22"/>
          <w:szCs w:val="22"/>
          <w:lang w:val="lt-LT"/>
        </w:rPr>
        <w:t>1</w:t>
      </w:r>
      <w:r w:rsidR="002E48B8">
        <w:rPr>
          <w:rFonts w:ascii="Times New Roman" w:hAnsi="Times New Roman"/>
          <w:iCs/>
          <w:sz w:val="22"/>
          <w:szCs w:val="22"/>
          <w:lang w:val="lt-LT"/>
        </w:rPr>
        <w:t>4</w:t>
      </w:r>
      <w:r>
        <w:rPr>
          <w:rFonts w:ascii="Times New Roman" w:hAnsi="Times New Roman"/>
          <w:iCs/>
          <w:sz w:val="22"/>
          <w:szCs w:val="22"/>
          <w:lang w:val="lt-LT"/>
        </w:rPr>
        <w:t xml:space="preserve"> d.</w:t>
      </w:r>
    </w:p>
    <w:p w14:paraId="22A0E320" w14:textId="77777777" w:rsidR="002E48B8" w:rsidRPr="004C5A75" w:rsidRDefault="002E48B8" w:rsidP="00D75E9B">
      <w:pPr>
        <w:rPr>
          <w:rFonts w:ascii="Times New Roman" w:hAnsi="Times New Roman"/>
          <w:iCs/>
          <w:sz w:val="22"/>
          <w:szCs w:val="22"/>
          <w:lang w:val="lt-LT"/>
        </w:rPr>
      </w:pPr>
    </w:p>
    <w:p w14:paraId="17C18182" w14:textId="77777777" w:rsidR="00D75E9B" w:rsidRPr="004C5A75" w:rsidRDefault="00D75E9B" w:rsidP="00D75E9B">
      <w:pPr>
        <w:pStyle w:val="Paprastasistekstas"/>
        <w:tabs>
          <w:tab w:val="left" w:pos="5954"/>
          <w:tab w:val="left" w:pos="6237"/>
          <w:tab w:val="left" w:pos="6663"/>
          <w:tab w:val="left" w:pos="6946"/>
        </w:tabs>
        <w:rPr>
          <w:rFonts w:ascii="Times New Roman" w:hAnsi="Times New Roman"/>
          <w:sz w:val="22"/>
          <w:szCs w:val="22"/>
          <w:lang w:val="lt-LT"/>
        </w:rPr>
      </w:pPr>
      <w:r w:rsidRPr="0026536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6536C">
        <w:rPr>
          <w:rFonts w:ascii="Times New Roman" w:hAnsi="Times New Roman"/>
          <w:i/>
          <w:sz w:val="22"/>
          <w:szCs w:val="22"/>
          <w:lang w:val="lt-LT"/>
        </w:rPr>
        <w:t xml:space="preserve"> </w:t>
      </w:r>
      <w:hyperlink r:id="rId13" w:history="1">
        <w:r w:rsidRPr="0026536C">
          <w:rPr>
            <w:rStyle w:val="Hipersaitas"/>
            <w:rFonts w:ascii="Times New Roman" w:hAnsi="Times New Roman"/>
            <w:sz w:val="22"/>
            <w:szCs w:val="22"/>
            <w:lang w:val="lt-LT"/>
          </w:rPr>
          <w:t>http://www.vvkt.lt</w:t>
        </w:r>
      </w:hyperlink>
    </w:p>
    <w:p w14:paraId="17C18183" w14:textId="77777777" w:rsidR="00D75E9B" w:rsidRPr="004C5A75" w:rsidRDefault="00D75E9B" w:rsidP="00D75E9B">
      <w:pPr>
        <w:rPr>
          <w:rFonts w:ascii="Times New Roman" w:hAnsi="Times New Roman"/>
          <w:iCs/>
          <w:sz w:val="22"/>
          <w:szCs w:val="22"/>
          <w:lang w:val="lt-LT"/>
        </w:rPr>
      </w:pPr>
    </w:p>
    <w:p w14:paraId="17C18184" w14:textId="77777777" w:rsidR="00D75E9B" w:rsidRPr="004C5A75" w:rsidRDefault="00D75E9B" w:rsidP="00C97BD4">
      <w:pPr>
        <w:pStyle w:val="BTEMEASMCA"/>
        <w:rPr>
          <w:lang w:val="lt-LT"/>
        </w:rPr>
      </w:pPr>
    </w:p>
    <w:p w14:paraId="17C18185" w14:textId="77777777" w:rsidR="00D75E9B" w:rsidRPr="004C5A75" w:rsidRDefault="00D75E9B" w:rsidP="00C97BD4">
      <w:pPr>
        <w:pStyle w:val="BTEMEASMCA"/>
        <w:rPr>
          <w:lang w:val="lt-LT"/>
        </w:rPr>
      </w:pPr>
      <w:r w:rsidRPr="004C5A75">
        <w:rPr>
          <w:rFonts w:eastAsia="Calibri"/>
          <w:lang w:val="lt-LT"/>
        </w:rPr>
        <w:br w:type="page"/>
      </w:r>
    </w:p>
    <w:p w14:paraId="17C18186" w14:textId="77777777" w:rsidR="00D75E9B" w:rsidRPr="004C5A75" w:rsidRDefault="00D75E9B" w:rsidP="00C97BD4">
      <w:pPr>
        <w:pStyle w:val="BTEMEASMCA"/>
        <w:rPr>
          <w:lang w:val="lt-LT"/>
        </w:rPr>
      </w:pPr>
    </w:p>
    <w:p w14:paraId="17C18187" w14:textId="77777777" w:rsidR="00D75E9B" w:rsidRPr="004C5A75" w:rsidRDefault="00D75E9B" w:rsidP="00C97BD4">
      <w:pPr>
        <w:pStyle w:val="BTEMEASMCA"/>
        <w:rPr>
          <w:lang w:val="lt-LT"/>
        </w:rPr>
      </w:pPr>
    </w:p>
    <w:p w14:paraId="17C18188" w14:textId="77777777" w:rsidR="00D75E9B" w:rsidRPr="004C5A75" w:rsidRDefault="00D75E9B" w:rsidP="00C97BD4">
      <w:pPr>
        <w:pStyle w:val="BTEMEASMCA"/>
        <w:rPr>
          <w:lang w:val="lt-LT"/>
        </w:rPr>
      </w:pPr>
    </w:p>
    <w:p w14:paraId="17C18189" w14:textId="77777777" w:rsidR="00D75E9B" w:rsidRPr="004C5A75" w:rsidRDefault="00D75E9B" w:rsidP="00C97BD4">
      <w:pPr>
        <w:pStyle w:val="BTEMEASMCA"/>
        <w:rPr>
          <w:lang w:val="lt-LT"/>
        </w:rPr>
      </w:pPr>
    </w:p>
    <w:p w14:paraId="17C1818A" w14:textId="77777777" w:rsidR="00D75E9B" w:rsidRPr="004C5A75" w:rsidRDefault="00D75E9B" w:rsidP="00C97BD4">
      <w:pPr>
        <w:pStyle w:val="BTEMEASMCA"/>
        <w:rPr>
          <w:lang w:val="lt-LT"/>
        </w:rPr>
      </w:pPr>
    </w:p>
    <w:p w14:paraId="17C1818B" w14:textId="77777777" w:rsidR="00D75E9B" w:rsidRPr="004C5A75" w:rsidRDefault="00D75E9B" w:rsidP="00C97BD4">
      <w:pPr>
        <w:pStyle w:val="BTEMEASMCA"/>
        <w:rPr>
          <w:lang w:val="lt-LT"/>
        </w:rPr>
      </w:pPr>
    </w:p>
    <w:p w14:paraId="17C1818C" w14:textId="77777777" w:rsidR="00D75E9B" w:rsidRPr="004C5A75" w:rsidRDefault="00D75E9B" w:rsidP="00C97BD4">
      <w:pPr>
        <w:pStyle w:val="BTEMEASMCA"/>
        <w:rPr>
          <w:lang w:val="lt-LT"/>
        </w:rPr>
      </w:pPr>
    </w:p>
    <w:p w14:paraId="17C1818D" w14:textId="77777777" w:rsidR="00D75E9B" w:rsidRPr="004C5A75" w:rsidRDefault="00D75E9B" w:rsidP="00C97BD4">
      <w:pPr>
        <w:pStyle w:val="BTEMEASMCA"/>
        <w:rPr>
          <w:lang w:val="lt-LT"/>
        </w:rPr>
      </w:pPr>
    </w:p>
    <w:p w14:paraId="17C1818E" w14:textId="77777777" w:rsidR="00D75E9B" w:rsidRPr="004C5A75" w:rsidRDefault="00D75E9B" w:rsidP="00C97BD4">
      <w:pPr>
        <w:pStyle w:val="BTEMEASMCA"/>
        <w:rPr>
          <w:lang w:val="lt-LT"/>
        </w:rPr>
      </w:pPr>
    </w:p>
    <w:p w14:paraId="17C1818F" w14:textId="77777777" w:rsidR="00D75E9B" w:rsidRPr="004C5A75" w:rsidRDefault="00D75E9B" w:rsidP="00C97BD4">
      <w:pPr>
        <w:pStyle w:val="BTEMEASMCA"/>
        <w:rPr>
          <w:lang w:val="lt-LT"/>
        </w:rPr>
      </w:pPr>
    </w:p>
    <w:p w14:paraId="17C18190" w14:textId="77777777" w:rsidR="00D75E9B" w:rsidRPr="004C5A75" w:rsidRDefault="00D75E9B" w:rsidP="00C97BD4">
      <w:pPr>
        <w:pStyle w:val="BTEMEASMCA"/>
        <w:rPr>
          <w:lang w:val="lt-LT"/>
        </w:rPr>
      </w:pPr>
    </w:p>
    <w:p w14:paraId="17C18191" w14:textId="77777777" w:rsidR="00D75E9B" w:rsidRPr="004C5A75" w:rsidRDefault="00D75E9B" w:rsidP="00C97BD4">
      <w:pPr>
        <w:pStyle w:val="BTEMEASMCA"/>
        <w:rPr>
          <w:lang w:val="lt-LT"/>
        </w:rPr>
      </w:pPr>
    </w:p>
    <w:p w14:paraId="17C18192" w14:textId="77777777" w:rsidR="00D75E9B" w:rsidRPr="004C5A75" w:rsidRDefault="00D75E9B" w:rsidP="00C97BD4">
      <w:pPr>
        <w:pStyle w:val="BTEMEASMCA"/>
        <w:rPr>
          <w:lang w:val="lt-LT"/>
        </w:rPr>
      </w:pPr>
    </w:p>
    <w:p w14:paraId="17C18193" w14:textId="77777777" w:rsidR="00D75E9B" w:rsidRPr="004C5A75" w:rsidRDefault="00D75E9B" w:rsidP="00C97BD4">
      <w:pPr>
        <w:pStyle w:val="BTEMEASMCA"/>
        <w:rPr>
          <w:lang w:val="lt-LT"/>
        </w:rPr>
      </w:pPr>
    </w:p>
    <w:p w14:paraId="17C18194" w14:textId="77777777" w:rsidR="00D75E9B" w:rsidRPr="004C5A75" w:rsidRDefault="00D75E9B" w:rsidP="00C97BD4">
      <w:pPr>
        <w:pStyle w:val="BTEMEASMCA"/>
        <w:rPr>
          <w:lang w:val="lt-LT"/>
        </w:rPr>
      </w:pPr>
    </w:p>
    <w:p w14:paraId="17C18195" w14:textId="77777777" w:rsidR="00D75E9B" w:rsidRPr="004C5A75" w:rsidRDefault="00D75E9B" w:rsidP="00C97BD4">
      <w:pPr>
        <w:pStyle w:val="BTEMEASMCA"/>
        <w:rPr>
          <w:lang w:val="lt-LT"/>
        </w:rPr>
      </w:pPr>
    </w:p>
    <w:p w14:paraId="17C18196" w14:textId="77777777" w:rsidR="00D75E9B" w:rsidRPr="004C5A75" w:rsidRDefault="00D75E9B" w:rsidP="00C97BD4">
      <w:pPr>
        <w:pStyle w:val="BTEMEASMCA"/>
        <w:rPr>
          <w:lang w:val="lt-LT"/>
        </w:rPr>
      </w:pPr>
    </w:p>
    <w:p w14:paraId="17C18197" w14:textId="77777777" w:rsidR="00D75E9B" w:rsidRPr="004C5A75" w:rsidRDefault="00D75E9B" w:rsidP="00C97BD4">
      <w:pPr>
        <w:pStyle w:val="BTEMEASMCA"/>
        <w:rPr>
          <w:lang w:val="lt-LT"/>
        </w:rPr>
      </w:pPr>
    </w:p>
    <w:p w14:paraId="17C18198" w14:textId="77777777" w:rsidR="00D75E9B" w:rsidRPr="004C5A75" w:rsidRDefault="00D75E9B" w:rsidP="00C97BD4">
      <w:pPr>
        <w:pStyle w:val="BTEMEASMCA"/>
        <w:rPr>
          <w:lang w:val="lt-LT"/>
        </w:rPr>
      </w:pPr>
    </w:p>
    <w:p w14:paraId="17C18199" w14:textId="77777777" w:rsidR="00D75E9B" w:rsidRPr="004C5A75" w:rsidRDefault="00D75E9B" w:rsidP="00C97BD4">
      <w:pPr>
        <w:pStyle w:val="BTEMEASMCA"/>
        <w:rPr>
          <w:lang w:val="lt-LT"/>
        </w:rPr>
      </w:pPr>
    </w:p>
    <w:p w14:paraId="17C1819A" w14:textId="77777777" w:rsidR="00D75E9B" w:rsidRPr="004C5A75" w:rsidRDefault="00D75E9B" w:rsidP="00C97BD4">
      <w:pPr>
        <w:pStyle w:val="BTEMEASMCA"/>
        <w:rPr>
          <w:lang w:val="lt-LT"/>
        </w:rPr>
      </w:pPr>
    </w:p>
    <w:p w14:paraId="17C1819B" w14:textId="77777777" w:rsidR="00D75E9B" w:rsidRPr="004C5A75" w:rsidRDefault="00D75E9B" w:rsidP="00C97BD4">
      <w:pPr>
        <w:pStyle w:val="BTEMEASMCA"/>
        <w:rPr>
          <w:lang w:val="lt-LT"/>
        </w:rPr>
      </w:pPr>
    </w:p>
    <w:p w14:paraId="17C1819C" w14:textId="77777777" w:rsidR="00D75E9B" w:rsidRPr="004C5A75" w:rsidRDefault="00D75E9B" w:rsidP="00D75E9B">
      <w:pPr>
        <w:pStyle w:val="TTEMEASMCA"/>
        <w:rPr>
          <w:lang w:val="lt-LT"/>
        </w:rPr>
      </w:pPr>
    </w:p>
    <w:p w14:paraId="17C1819D" w14:textId="77777777" w:rsidR="00D75E9B" w:rsidRPr="0026536C" w:rsidRDefault="00D75E9B" w:rsidP="00D75E9B">
      <w:pPr>
        <w:pStyle w:val="TTEMEASMCA"/>
        <w:rPr>
          <w:lang w:val="lt-LT"/>
        </w:rPr>
      </w:pPr>
      <w:r w:rsidRPr="0026536C">
        <w:rPr>
          <w:lang w:val="lt-LT"/>
        </w:rPr>
        <w:t>II PRIEDAS</w:t>
      </w:r>
    </w:p>
    <w:p w14:paraId="17C1819E" w14:textId="77777777" w:rsidR="00D75E9B" w:rsidRPr="0026536C" w:rsidRDefault="00D75E9B" w:rsidP="00D75E9B">
      <w:pPr>
        <w:pStyle w:val="TTEMEASMCA"/>
        <w:rPr>
          <w:lang w:val="lt-LT"/>
        </w:rPr>
      </w:pPr>
    </w:p>
    <w:p w14:paraId="17C1819F" w14:textId="77777777" w:rsidR="00D75E9B" w:rsidRPr="0026536C" w:rsidRDefault="00D75E9B" w:rsidP="00D75E9B">
      <w:pPr>
        <w:pStyle w:val="TTEMEASMCA"/>
        <w:rPr>
          <w:lang w:val="lt-LT"/>
        </w:rPr>
      </w:pPr>
      <w:r w:rsidRPr="0026536C">
        <w:rPr>
          <w:lang w:val="lt-LT"/>
        </w:rPr>
        <w:t>REGISTRACIJOS SĄLYGOS</w:t>
      </w:r>
    </w:p>
    <w:p w14:paraId="17C181A0" w14:textId="77777777" w:rsidR="00D75E9B" w:rsidRPr="0026536C" w:rsidRDefault="00D75E9B" w:rsidP="00C97BD4">
      <w:pPr>
        <w:pStyle w:val="BTEMEASMCA"/>
        <w:rPr>
          <w:lang w:val="lt-LT"/>
        </w:rPr>
      </w:pPr>
    </w:p>
    <w:p w14:paraId="17C181A1" w14:textId="77777777" w:rsidR="00D75E9B" w:rsidRPr="004C5A75" w:rsidRDefault="00D75E9B" w:rsidP="00D75E9B">
      <w:pPr>
        <w:pStyle w:val="BTAnIIEMEASMCA"/>
        <w:rPr>
          <w:rFonts w:cs="Times New Roman"/>
          <w:lang w:val="lt-LT"/>
        </w:rPr>
      </w:pPr>
      <w:r w:rsidRPr="004C5A75">
        <w:rPr>
          <w:rFonts w:cs="Times New Roman"/>
          <w:lang w:val="lt-LT"/>
        </w:rPr>
        <w:t>A.</w:t>
      </w:r>
      <w:r w:rsidRPr="004C5A75">
        <w:rPr>
          <w:rFonts w:cs="Times New Roman"/>
          <w:lang w:val="lt-LT"/>
        </w:rPr>
        <w:tab/>
        <w:t>GAMINTOJAS (-AI), ATSAKINGAS (-I) UŽ SERIJŲ IŠLEIDIMĄ</w:t>
      </w:r>
    </w:p>
    <w:p w14:paraId="17C181A2" w14:textId="77777777" w:rsidR="00D75E9B" w:rsidRPr="004C5A75" w:rsidRDefault="00D75E9B" w:rsidP="00C97BD4">
      <w:pPr>
        <w:pStyle w:val="BTEMEASMCA"/>
        <w:rPr>
          <w:lang w:val="lt-LT"/>
        </w:rPr>
      </w:pPr>
    </w:p>
    <w:p w14:paraId="17C181A3" w14:textId="77777777" w:rsidR="00D75E9B" w:rsidRPr="004C5A75" w:rsidRDefault="00D75E9B" w:rsidP="00D75E9B">
      <w:pPr>
        <w:pStyle w:val="BTAnIIEMEASMCA"/>
        <w:rPr>
          <w:rFonts w:cs="Times New Roman"/>
          <w:lang w:val="lt-LT"/>
        </w:rPr>
      </w:pPr>
      <w:r w:rsidRPr="004C5A75">
        <w:rPr>
          <w:rFonts w:cs="Times New Roman"/>
          <w:lang w:val="lt-LT"/>
        </w:rPr>
        <w:t>B.</w:t>
      </w:r>
      <w:r w:rsidRPr="004C5A75">
        <w:rPr>
          <w:rFonts w:cs="Times New Roman"/>
          <w:lang w:val="lt-LT"/>
        </w:rPr>
        <w:tab/>
        <w:t>TIEKIMO IR VARTOJIMO SĄLYGOS IR APRIBOJIMAI</w:t>
      </w:r>
    </w:p>
    <w:p w14:paraId="17C181A4" w14:textId="77777777" w:rsidR="00D75E9B" w:rsidRPr="004C5A75" w:rsidRDefault="00D75E9B" w:rsidP="00C97BD4">
      <w:pPr>
        <w:pStyle w:val="BTEMEASMCA"/>
        <w:rPr>
          <w:lang w:val="lt-LT"/>
        </w:rPr>
      </w:pPr>
    </w:p>
    <w:p w14:paraId="17C181A5" w14:textId="77777777" w:rsidR="00D75E9B" w:rsidRPr="004C5A75" w:rsidRDefault="00D75E9B" w:rsidP="00D75E9B">
      <w:pPr>
        <w:pStyle w:val="PI-1EMEASMCA"/>
        <w:rPr>
          <w:lang w:val="lt-LT"/>
        </w:rPr>
      </w:pPr>
      <w:r w:rsidRPr="004C5A75">
        <w:rPr>
          <w:lang w:val="lt-LT"/>
        </w:rPr>
        <w:br w:type="page"/>
      </w:r>
      <w:r w:rsidRPr="004C5A75">
        <w:rPr>
          <w:lang w:val="lt-LT"/>
        </w:rPr>
        <w:lastRenderedPageBreak/>
        <w:t>A.</w:t>
      </w:r>
      <w:r w:rsidRPr="004C5A75">
        <w:rPr>
          <w:lang w:val="lt-LT"/>
        </w:rPr>
        <w:tab/>
        <w:t>GAMINTOJAS, ATSAKINGAS UŽ SERIJŲ IŠLEIDIMĄ</w:t>
      </w:r>
    </w:p>
    <w:p w14:paraId="17C181A6" w14:textId="77777777" w:rsidR="00D75E9B" w:rsidRPr="004C5A75" w:rsidRDefault="00D75E9B" w:rsidP="00C97BD4">
      <w:pPr>
        <w:pStyle w:val="BTuEMEASMCA"/>
        <w:rPr>
          <w:lang w:val="lt-LT"/>
        </w:rPr>
      </w:pPr>
    </w:p>
    <w:p w14:paraId="17C181A7" w14:textId="77777777" w:rsidR="00D75E9B" w:rsidRPr="0026536C" w:rsidRDefault="00D75E9B" w:rsidP="00C97BD4">
      <w:pPr>
        <w:pStyle w:val="BTuEMEASMCA"/>
        <w:rPr>
          <w:lang w:val="lt-LT"/>
        </w:rPr>
      </w:pPr>
      <w:r w:rsidRPr="0026536C">
        <w:rPr>
          <w:lang w:val="lt-LT"/>
        </w:rPr>
        <w:t xml:space="preserve">Gamintojo, atsakingo už serijų išleidimą, pavadinimas ir adresas </w:t>
      </w:r>
    </w:p>
    <w:p w14:paraId="17C181A8" w14:textId="77777777" w:rsidR="00D75E9B" w:rsidRPr="0026536C" w:rsidRDefault="00D75E9B" w:rsidP="00C97BD4">
      <w:pPr>
        <w:pStyle w:val="BTEMEASMCA"/>
        <w:rPr>
          <w:lang w:val="lt-LT"/>
        </w:rPr>
      </w:pPr>
    </w:p>
    <w:p w14:paraId="17C181A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Gedeon Richter Plc. </w:t>
      </w:r>
    </w:p>
    <w:p w14:paraId="17C181A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Gyömrői út. 19–21</w:t>
      </w:r>
    </w:p>
    <w:p w14:paraId="17C181AB"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1103 Budapest</w:t>
      </w:r>
    </w:p>
    <w:p w14:paraId="17C181AC"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Vengrija</w:t>
      </w:r>
    </w:p>
    <w:p w14:paraId="17C181AD" w14:textId="77777777" w:rsidR="00D75E9B" w:rsidRPr="004C5A75" w:rsidRDefault="00D75E9B" w:rsidP="00C97BD4">
      <w:pPr>
        <w:pStyle w:val="BTEMEASMCA"/>
        <w:rPr>
          <w:lang w:val="lt-LT"/>
        </w:rPr>
      </w:pPr>
    </w:p>
    <w:p w14:paraId="17C181AE" w14:textId="77777777" w:rsidR="00D75E9B" w:rsidRPr="0026536C" w:rsidRDefault="00D75E9B" w:rsidP="00C97BD4">
      <w:pPr>
        <w:pStyle w:val="BTEMEASMCA"/>
        <w:rPr>
          <w:lang w:val="lt-LT"/>
        </w:rPr>
      </w:pPr>
    </w:p>
    <w:p w14:paraId="17C181AF" w14:textId="77777777" w:rsidR="00D75E9B" w:rsidRPr="004C5A75" w:rsidRDefault="00D75E9B" w:rsidP="00D75E9B">
      <w:pPr>
        <w:pStyle w:val="PI-1EMEASMCA"/>
        <w:rPr>
          <w:lang w:val="lt-LT"/>
        </w:rPr>
      </w:pPr>
      <w:bookmarkStart w:id="5" w:name="_Toc129243129"/>
      <w:bookmarkStart w:id="6" w:name="_Toc129243254"/>
      <w:r w:rsidRPr="004C5A75">
        <w:rPr>
          <w:lang w:val="lt-LT"/>
        </w:rPr>
        <w:t>B.</w:t>
      </w:r>
      <w:r w:rsidRPr="004C5A75">
        <w:rPr>
          <w:lang w:val="lt-LT"/>
        </w:rPr>
        <w:tab/>
        <w:t xml:space="preserve">TIEKIMO IR VARTOJIMO SĄLYGOS IR APRIBOJIMAI </w:t>
      </w:r>
      <w:bookmarkEnd w:id="5"/>
      <w:bookmarkEnd w:id="6"/>
    </w:p>
    <w:p w14:paraId="17C181B0" w14:textId="77777777" w:rsidR="00D75E9B" w:rsidRPr="004C5A75" w:rsidRDefault="00D75E9B" w:rsidP="00C97BD4">
      <w:pPr>
        <w:pStyle w:val="BTEMEASMCA"/>
        <w:rPr>
          <w:lang w:val="lt-LT"/>
        </w:rPr>
      </w:pPr>
    </w:p>
    <w:p w14:paraId="17C181B1" w14:textId="77777777" w:rsidR="00D75E9B" w:rsidRPr="0026536C" w:rsidRDefault="00D75E9B" w:rsidP="00C97BD4">
      <w:pPr>
        <w:pStyle w:val="BTEMEASMCA"/>
        <w:rPr>
          <w:lang w:val="lt-LT"/>
        </w:rPr>
      </w:pPr>
    </w:p>
    <w:p w14:paraId="17C181B2"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Receptinis vaistinis preparatas.</w:t>
      </w:r>
    </w:p>
    <w:p w14:paraId="17C181B3" w14:textId="77777777" w:rsidR="00D75E9B" w:rsidRPr="004C5A75" w:rsidRDefault="00D75E9B" w:rsidP="00D75E9B">
      <w:pPr>
        <w:pStyle w:val="Pagrindinistekstas"/>
        <w:rPr>
          <w:rFonts w:ascii="Times New Roman" w:hAnsi="Times New Roman"/>
          <w:color w:val="auto"/>
          <w:lang w:val="lt-LT"/>
        </w:rPr>
      </w:pPr>
    </w:p>
    <w:p w14:paraId="17C181B4" w14:textId="77777777" w:rsidR="00D75E9B" w:rsidRPr="004C5A75" w:rsidRDefault="00D75E9B" w:rsidP="00C97BD4">
      <w:pPr>
        <w:pStyle w:val="BTEMEASMCA"/>
        <w:rPr>
          <w:lang w:val="lt-LT"/>
        </w:rPr>
      </w:pPr>
    </w:p>
    <w:p w14:paraId="17C181B5" w14:textId="77777777" w:rsidR="00D75E9B" w:rsidRPr="0026536C" w:rsidRDefault="00D75E9B" w:rsidP="00C97BD4">
      <w:pPr>
        <w:pStyle w:val="BTEMEASMCA"/>
        <w:rPr>
          <w:lang w:val="lt-LT"/>
        </w:rPr>
      </w:pPr>
    </w:p>
    <w:p w14:paraId="17C181B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br w:type="page"/>
      </w:r>
    </w:p>
    <w:p w14:paraId="17C181B7" w14:textId="77777777" w:rsidR="00D75E9B" w:rsidRPr="004C5A75" w:rsidRDefault="00D75E9B" w:rsidP="00D75E9B">
      <w:pPr>
        <w:rPr>
          <w:rFonts w:ascii="Times New Roman" w:hAnsi="Times New Roman"/>
          <w:sz w:val="22"/>
          <w:szCs w:val="22"/>
          <w:lang w:val="lt-LT"/>
        </w:rPr>
      </w:pPr>
    </w:p>
    <w:p w14:paraId="17C181B8" w14:textId="77777777" w:rsidR="00D75E9B" w:rsidRPr="004C5A75" w:rsidRDefault="00D75E9B" w:rsidP="00D75E9B">
      <w:pPr>
        <w:rPr>
          <w:rFonts w:ascii="Times New Roman" w:hAnsi="Times New Roman"/>
          <w:sz w:val="22"/>
          <w:szCs w:val="22"/>
          <w:lang w:val="lt-LT"/>
        </w:rPr>
      </w:pPr>
    </w:p>
    <w:p w14:paraId="17C181B9" w14:textId="77777777" w:rsidR="00D75E9B" w:rsidRPr="004C5A75" w:rsidRDefault="00D75E9B" w:rsidP="00D75E9B">
      <w:pPr>
        <w:rPr>
          <w:rFonts w:ascii="Times New Roman" w:hAnsi="Times New Roman"/>
          <w:sz w:val="22"/>
          <w:szCs w:val="22"/>
          <w:lang w:val="lt-LT"/>
        </w:rPr>
      </w:pPr>
    </w:p>
    <w:p w14:paraId="17C181BA" w14:textId="77777777" w:rsidR="00D75E9B" w:rsidRPr="004C5A75" w:rsidRDefault="00D75E9B" w:rsidP="00D75E9B">
      <w:pPr>
        <w:rPr>
          <w:rFonts w:ascii="Times New Roman" w:hAnsi="Times New Roman"/>
          <w:sz w:val="22"/>
          <w:szCs w:val="22"/>
          <w:lang w:val="lt-LT"/>
        </w:rPr>
      </w:pPr>
    </w:p>
    <w:p w14:paraId="17C181BB" w14:textId="77777777" w:rsidR="00D75E9B" w:rsidRPr="004C5A75" w:rsidRDefault="00D75E9B" w:rsidP="00D75E9B">
      <w:pPr>
        <w:rPr>
          <w:rFonts w:ascii="Times New Roman" w:hAnsi="Times New Roman"/>
          <w:sz w:val="22"/>
          <w:szCs w:val="22"/>
          <w:lang w:val="lt-LT"/>
        </w:rPr>
      </w:pPr>
    </w:p>
    <w:p w14:paraId="17C181BC" w14:textId="77777777" w:rsidR="00D75E9B" w:rsidRPr="004C5A75" w:rsidRDefault="00D75E9B" w:rsidP="00D75E9B">
      <w:pPr>
        <w:rPr>
          <w:rFonts w:ascii="Times New Roman" w:hAnsi="Times New Roman"/>
          <w:sz w:val="22"/>
          <w:szCs w:val="22"/>
          <w:lang w:val="lt-LT"/>
        </w:rPr>
      </w:pPr>
    </w:p>
    <w:p w14:paraId="17C181BD" w14:textId="77777777" w:rsidR="00D75E9B" w:rsidRPr="004C5A75" w:rsidRDefault="00D75E9B" w:rsidP="00D75E9B">
      <w:pPr>
        <w:rPr>
          <w:rFonts w:ascii="Times New Roman" w:hAnsi="Times New Roman"/>
          <w:sz w:val="22"/>
          <w:szCs w:val="22"/>
          <w:lang w:val="lt-LT"/>
        </w:rPr>
      </w:pPr>
    </w:p>
    <w:p w14:paraId="17C181BE" w14:textId="77777777" w:rsidR="00D75E9B" w:rsidRPr="004C5A75" w:rsidRDefault="00D75E9B" w:rsidP="00D75E9B">
      <w:pPr>
        <w:rPr>
          <w:rFonts w:ascii="Times New Roman" w:hAnsi="Times New Roman"/>
          <w:sz w:val="22"/>
          <w:szCs w:val="22"/>
          <w:lang w:val="lt-LT"/>
        </w:rPr>
      </w:pPr>
    </w:p>
    <w:p w14:paraId="17C181BF" w14:textId="77777777" w:rsidR="00D75E9B" w:rsidRPr="004C5A75" w:rsidRDefault="00D75E9B" w:rsidP="00D75E9B">
      <w:pPr>
        <w:rPr>
          <w:rFonts w:ascii="Times New Roman" w:hAnsi="Times New Roman"/>
          <w:sz w:val="22"/>
          <w:szCs w:val="22"/>
          <w:lang w:val="lt-LT"/>
        </w:rPr>
      </w:pPr>
    </w:p>
    <w:p w14:paraId="17C181C0" w14:textId="77777777" w:rsidR="00D75E9B" w:rsidRPr="004C5A75" w:rsidRDefault="00D75E9B" w:rsidP="00D75E9B">
      <w:pPr>
        <w:rPr>
          <w:rFonts w:ascii="Times New Roman" w:hAnsi="Times New Roman"/>
          <w:sz w:val="22"/>
          <w:szCs w:val="22"/>
          <w:lang w:val="lt-LT"/>
        </w:rPr>
      </w:pPr>
    </w:p>
    <w:p w14:paraId="17C181C1" w14:textId="77777777" w:rsidR="00D75E9B" w:rsidRPr="004C5A75" w:rsidRDefault="00D75E9B" w:rsidP="00D75E9B">
      <w:pPr>
        <w:rPr>
          <w:rFonts w:ascii="Times New Roman" w:hAnsi="Times New Roman"/>
          <w:sz w:val="22"/>
          <w:szCs w:val="22"/>
          <w:lang w:val="lt-LT"/>
        </w:rPr>
      </w:pPr>
    </w:p>
    <w:p w14:paraId="17C181C2" w14:textId="77777777" w:rsidR="00D75E9B" w:rsidRPr="004C5A75" w:rsidRDefault="00D75E9B" w:rsidP="00D75E9B">
      <w:pPr>
        <w:rPr>
          <w:rFonts w:ascii="Times New Roman" w:hAnsi="Times New Roman"/>
          <w:sz w:val="22"/>
          <w:szCs w:val="22"/>
          <w:lang w:val="lt-LT"/>
        </w:rPr>
      </w:pPr>
    </w:p>
    <w:p w14:paraId="17C181C3" w14:textId="77777777" w:rsidR="00D75E9B" w:rsidRPr="004C5A75" w:rsidRDefault="00D75E9B" w:rsidP="00D75E9B">
      <w:pPr>
        <w:rPr>
          <w:rFonts w:ascii="Times New Roman" w:hAnsi="Times New Roman"/>
          <w:sz w:val="22"/>
          <w:szCs w:val="22"/>
          <w:lang w:val="lt-LT"/>
        </w:rPr>
      </w:pPr>
    </w:p>
    <w:p w14:paraId="17C181C4" w14:textId="77777777" w:rsidR="00D75E9B" w:rsidRPr="004C5A75" w:rsidRDefault="00D75E9B" w:rsidP="00D75E9B">
      <w:pPr>
        <w:rPr>
          <w:rFonts w:ascii="Times New Roman" w:hAnsi="Times New Roman"/>
          <w:sz w:val="22"/>
          <w:szCs w:val="22"/>
          <w:lang w:val="lt-LT"/>
        </w:rPr>
      </w:pPr>
    </w:p>
    <w:p w14:paraId="17C181C5" w14:textId="77777777" w:rsidR="00D75E9B" w:rsidRPr="004C5A75" w:rsidRDefault="00D75E9B" w:rsidP="00D75E9B">
      <w:pPr>
        <w:rPr>
          <w:rFonts w:ascii="Times New Roman" w:hAnsi="Times New Roman"/>
          <w:sz w:val="22"/>
          <w:szCs w:val="22"/>
          <w:lang w:val="lt-LT"/>
        </w:rPr>
      </w:pPr>
    </w:p>
    <w:p w14:paraId="17C181C6" w14:textId="77777777" w:rsidR="00D75E9B" w:rsidRPr="004C5A75" w:rsidRDefault="00D75E9B" w:rsidP="00D75E9B">
      <w:pPr>
        <w:rPr>
          <w:rFonts w:ascii="Times New Roman" w:hAnsi="Times New Roman"/>
          <w:sz w:val="22"/>
          <w:szCs w:val="22"/>
          <w:lang w:val="lt-LT"/>
        </w:rPr>
      </w:pPr>
    </w:p>
    <w:p w14:paraId="17C181C7" w14:textId="77777777" w:rsidR="00D75E9B" w:rsidRPr="004C5A75" w:rsidRDefault="00D75E9B" w:rsidP="00D75E9B">
      <w:pPr>
        <w:rPr>
          <w:rFonts w:ascii="Times New Roman" w:hAnsi="Times New Roman"/>
          <w:sz w:val="22"/>
          <w:szCs w:val="22"/>
          <w:lang w:val="lt-LT"/>
        </w:rPr>
      </w:pPr>
    </w:p>
    <w:p w14:paraId="17C181C8" w14:textId="77777777" w:rsidR="00D75E9B" w:rsidRPr="004C5A75" w:rsidRDefault="00D75E9B" w:rsidP="00D75E9B">
      <w:pPr>
        <w:rPr>
          <w:rFonts w:ascii="Times New Roman" w:hAnsi="Times New Roman"/>
          <w:sz w:val="22"/>
          <w:szCs w:val="22"/>
          <w:lang w:val="lt-LT"/>
        </w:rPr>
      </w:pPr>
    </w:p>
    <w:p w14:paraId="17C181C9" w14:textId="77777777" w:rsidR="00D75E9B" w:rsidRPr="004C5A75" w:rsidRDefault="00D75E9B" w:rsidP="00D75E9B">
      <w:pPr>
        <w:rPr>
          <w:rFonts w:ascii="Times New Roman" w:hAnsi="Times New Roman"/>
          <w:sz w:val="22"/>
          <w:szCs w:val="22"/>
          <w:lang w:val="lt-LT"/>
        </w:rPr>
      </w:pPr>
    </w:p>
    <w:p w14:paraId="17C181CA" w14:textId="77777777" w:rsidR="00D75E9B" w:rsidRPr="004C5A75" w:rsidRDefault="00D75E9B" w:rsidP="00D75E9B">
      <w:pPr>
        <w:rPr>
          <w:rFonts w:ascii="Times New Roman" w:hAnsi="Times New Roman"/>
          <w:sz w:val="22"/>
          <w:szCs w:val="22"/>
          <w:lang w:val="lt-LT"/>
        </w:rPr>
      </w:pPr>
    </w:p>
    <w:p w14:paraId="17C181CB" w14:textId="77777777" w:rsidR="00D75E9B" w:rsidRPr="004C5A75" w:rsidRDefault="00D75E9B" w:rsidP="00D75E9B">
      <w:pPr>
        <w:rPr>
          <w:rFonts w:ascii="Times New Roman" w:hAnsi="Times New Roman"/>
          <w:sz w:val="22"/>
          <w:szCs w:val="22"/>
          <w:lang w:val="lt-LT"/>
        </w:rPr>
      </w:pPr>
    </w:p>
    <w:p w14:paraId="17C181CC" w14:textId="77777777" w:rsidR="00D75E9B" w:rsidRPr="004C5A75" w:rsidRDefault="00D75E9B" w:rsidP="00D75E9B">
      <w:pPr>
        <w:rPr>
          <w:rFonts w:ascii="Times New Roman" w:hAnsi="Times New Roman"/>
          <w:sz w:val="22"/>
          <w:szCs w:val="22"/>
          <w:lang w:val="lt-LT"/>
        </w:rPr>
      </w:pPr>
    </w:p>
    <w:p w14:paraId="17C181CD" w14:textId="77777777" w:rsidR="00D75E9B" w:rsidRPr="004C5A75" w:rsidRDefault="00D75E9B" w:rsidP="00D75E9B">
      <w:pPr>
        <w:pStyle w:val="TTEMEASMCA"/>
        <w:rPr>
          <w:lang w:val="lt-LT"/>
        </w:rPr>
      </w:pPr>
      <w:bookmarkStart w:id="7" w:name="_Toc129243134"/>
      <w:bookmarkStart w:id="8" w:name="_Toc129243259"/>
    </w:p>
    <w:p w14:paraId="17C181CE" w14:textId="77777777" w:rsidR="00D75E9B" w:rsidRPr="0026536C" w:rsidRDefault="00D75E9B" w:rsidP="00D75E9B">
      <w:pPr>
        <w:pStyle w:val="TTEMEASMCA"/>
        <w:rPr>
          <w:lang w:val="lt-LT"/>
        </w:rPr>
      </w:pPr>
      <w:r w:rsidRPr="0026536C">
        <w:rPr>
          <w:lang w:val="lt-LT"/>
        </w:rPr>
        <w:t>III PRIEDAS</w:t>
      </w:r>
      <w:bookmarkEnd w:id="7"/>
      <w:bookmarkEnd w:id="8"/>
    </w:p>
    <w:p w14:paraId="17C181CF" w14:textId="77777777" w:rsidR="00D75E9B" w:rsidRPr="0026536C" w:rsidRDefault="00D75E9B" w:rsidP="00C97BD4">
      <w:pPr>
        <w:pStyle w:val="BTEMEASMCA"/>
        <w:rPr>
          <w:lang w:val="lt-LT"/>
        </w:rPr>
      </w:pPr>
    </w:p>
    <w:p w14:paraId="17C181D0" w14:textId="77777777" w:rsidR="00D75E9B" w:rsidRPr="0026536C" w:rsidRDefault="00D75E9B" w:rsidP="00D75E9B">
      <w:pPr>
        <w:pStyle w:val="TTEMEASMCA"/>
        <w:rPr>
          <w:lang w:val="lt-LT"/>
        </w:rPr>
      </w:pPr>
      <w:r w:rsidRPr="0026536C">
        <w:rPr>
          <w:lang w:val="lt-LT"/>
        </w:rPr>
        <w:t>ŽENKLINIMAS IR PAKUOTĖS LAPELIS</w:t>
      </w:r>
    </w:p>
    <w:p w14:paraId="17C181D1" w14:textId="77777777" w:rsidR="00D75E9B" w:rsidRPr="0026536C" w:rsidRDefault="00D75E9B" w:rsidP="00C97BD4">
      <w:pPr>
        <w:pStyle w:val="BTEMEASMCA"/>
        <w:rPr>
          <w:lang w:val="lt-LT"/>
        </w:rPr>
      </w:pPr>
      <w:r w:rsidRPr="004C5A75">
        <w:rPr>
          <w:rFonts w:eastAsia="Calibri"/>
          <w:lang w:val="lt-LT"/>
        </w:rPr>
        <w:br w:type="page"/>
      </w:r>
    </w:p>
    <w:p w14:paraId="17C181D2" w14:textId="77777777" w:rsidR="00D75E9B" w:rsidRPr="004C5A75" w:rsidRDefault="00D75E9B" w:rsidP="00D75E9B">
      <w:pPr>
        <w:jc w:val="center"/>
        <w:rPr>
          <w:rFonts w:ascii="Times New Roman" w:hAnsi="Times New Roman"/>
          <w:sz w:val="22"/>
          <w:szCs w:val="22"/>
          <w:lang w:val="lt-LT"/>
        </w:rPr>
      </w:pPr>
    </w:p>
    <w:p w14:paraId="17C181D3" w14:textId="77777777" w:rsidR="00D75E9B" w:rsidRPr="004C5A75" w:rsidRDefault="00D75E9B" w:rsidP="00D75E9B">
      <w:pPr>
        <w:jc w:val="center"/>
        <w:rPr>
          <w:rFonts w:ascii="Times New Roman" w:hAnsi="Times New Roman"/>
          <w:sz w:val="22"/>
          <w:szCs w:val="22"/>
          <w:lang w:val="lt-LT"/>
        </w:rPr>
      </w:pPr>
    </w:p>
    <w:p w14:paraId="17C181D4" w14:textId="77777777" w:rsidR="00D75E9B" w:rsidRPr="004C5A75" w:rsidRDefault="00D75E9B" w:rsidP="00D75E9B">
      <w:pPr>
        <w:jc w:val="center"/>
        <w:rPr>
          <w:rFonts w:ascii="Times New Roman" w:hAnsi="Times New Roman"/>
          <w:sz w:val="22"/>
          <w:szCs w:val="22"/>
          <w:lang w:val="lt-LT"/>
        </w:rPr>
      </w:pPr>
    </w:p>
    <w:p w14:paraId="17C181D5" w14:textId="77777777" w:rsidR="00D75E9B" w:rsidRPr="004C5A75" w:rsidRDefault="00D75E9B" w:rsidP="00D75E9B">
      <w:pPr>
        <w:jc w:val="center"/>
        <w:rPr>
          <w:rFonts w:ascii="Times New Roman" w:hAnsi="Times New Roman"/>
          <w:sz w:val="22"/>
          <w:szCs w:val="22"/>
          <w:lang w:val="lt-LT"/>
        </w:rPr>
      </w:pPr>
    </w:p>
    <w:p w14:paraId="17C181D6" w14:textId="77777777" w:rsidR="00D75E9B" w:rsidRPr="004C5A75" w:rsidRDefault="00D75E9B" w:rsidP="00D75E9B">
      <w:pPr>
        <w:jc w:val="center"/>
        <w:rPr>
          <w:rFonts w:ascii="Times New Roman" w:hAnsi="Times New Roman"/>
          <w:sz w:val="22"/>
          <w:szCs w:val="22"/>
          <w:lang w:val="lt-LT"/>
        </w:rPr>
      </w:pPr>
    </w:p>
    <w:p w14:paraId="17C181D7" w14:textId="77777777" w:rsidR="00D75E9B" w:rsidRPr="004C5A75" w:rsidRDefault="00D75E9B" w:rsidP="00D75E9B">
      <w:pPr>
        <w:jc w:val="center"/>
        <w:rPr>
          <w:rFonts w:ascii="Times New Roman" w:hAnsi="Times New Roman"/>
          <w:sz w:val="22"/>
          <w:szCs w:val="22"/>
          <w:lang w:val="lt-LT"/>
        </w:rPr>
      </w:pPr>
    </w:p>
    <w:p w14:paraId="17C181D8" w14:textId="77777777" w:rsidR="00D75E9B" w:rsidRPr="004C5A75" w:rsidRDefault="00D75E9B" w:rsidP="00D75E9B">
      <w:pPr>
        <w:jc w:val="center"/>
        <w:rPr>
          <w:rFonts w:ascii="Times New Roman" w:hAnsi="Times New Roman"/>
          <w:sz w:val="22"/>
          <w:szCs w:val="22"/>
          <w:lang w:val="lt-LT"/>
        </w:rPr>
      </w:pPr>
    </w:p>
    <w:p w14:paraId="17C181D9" w14:textId="77777777" w:rsidR="00D75E9B" w:rsidRPr="004C5A75" w:rsidRDefault="00D75E9B" w:rsidP="00D75E9B">
      <w:pPr>
        <w:jc w:val="center"/>
        <w:rPr>
          <w:rFonts w:ascii="Times New Roman" w:hAnsi="Times New Roman"/>
          <w:sz w:val="22"/>
          <w:szCs w:val="22"/>
          <w:lang w:val="lt-LT"/>
        </w:rPr>
      </w:pPr>
    </w:p>
    <w:p w14:paraId="17C181DA" w14:textId="77777777" w:rsidR="00D75E9B" w:rsidRPr="004C5A75" w:rsidRDefault="00D75E9B" w:rsidP="00D75E9B">
      <w:pPr>
        <w:jc w:val="center"/>
        <w:rPr>
          <w:rFonts w:ascii="Times New Roman" w:hAnsi="Times New Roman"/>
          <w:sz w:val="22"/>
          <w:szCs w:val="22"/>
          <w:lang w:val="lt-LT"/>
        </w:rPr>
      </w:pPr>
    </w:p>
    <w:p w14:paraId="17C181DB" w14:textId="77777777" w:rsidR="00D75E9B" w:rsidRPr="004C5A75" w:rsidRDefault="00D75E9B" w:rsidP="00D75E9B">
      <w:pPr>
        <w:jc w:val="center"/>
        <w:rPr>
          <w:rFonts w:ascii="Times New Roman" w:hAnsi="Times New Roman"/>
          <w:sz w:val="22"/>
          <w:szCs w:val="22"/>
          <w:lang w:val="lt-LT"/>
        </w:rPr>
      </w:pPr>
    </w:p>
    <w:p w14:paraId="17C181DC" w14:textId="77777777" w:rsidR="00D75E9B" w:rsidRPr="004C5A75" w:rsidRDefault="00D75E9B" w:rsidP="00D75E9B">
      <w:pPr>
        <w:jc w:val="center"/>
        <w:rPr>
          <w:rFonts w:ascii="Times New Roman" w:hAnsi="Times New Roman"/>
          <w:sz w:val="22"/>
          <w:szCs w:val="22"/>
          <w:lang w:val="lt-LT"/>
        </w:rPr>
      </w:pPr>
    </w:p>
    <w:p w14:paraId="17C181DD" w14:textId="77777777" w:rsidR="00D75E9B" w:rsidRPr="004C5A75" w:rsidRDefault="00D75E9B" w:rsidP="00D75E9B">
      <w:pPr>
        <w:jc w:val="center"/>
        <w:rPr>
          <w:rFonts w:ascii="Times New Roman" w:hAnsi="Times New Roman"/>
          <w:sz w:val="22"/>
          <w:szCs w:val="22"/>
          <w:lang w:val="lt-LT"/>
        </w:rPr>
      </w:pPr>
    </w:p>
    <w:p w14:paraId="17C181DE" w14:textId="77777777" w:rsidR="00D75E9B" w:rsidRPr="004C5A75" w:rsidRDefault="00D75E9B" w:rsidP="00D75E9B">
      <w:pPr>
        <w:jc w:val="center"/>
        <w:rPr>
          <w:rFonts w:ascii="Times New Roman" w:hAnsi="Times New Roman"/>
          <w:sz w:val="22"/>
          <w:szCs w:val="22"/>
          <w:lang w:val="lt-LT"/>
        </w:rPr>
      </w:pPr>
    </w:p>
    <w:p w14:paraId="17C181DF" w14:textId="77777777" w:rsidR="00D75E9B" w:rsidRPr="004C5A75" w:rsidRDefault="00D75E9B" w:rsidP="00D75E9B">
      <w:pPr>
        <w:jc w:val="center"/>
        <w:rPr>
          <w:rFonts w:ascii="Times New Roman" w:hAnsi="Times New Roman"/>
          <w:sz w:val="22"/>
          <w:szCs w:val="22"/>
          <w:lang w:val="lt-LT"/>
        </w:rPr>
      </w:pPr>
    </w:p>
    <w:p w14:paraId="17C181E0" w14:textId="77777777" w:rsidR="00D75E9B" w:rsidRPr="004C5A75" w:rsidRDefault="00D75E9B" w:rsidP="00D75E9B">
      <w:pPr>
        <w:jc w:val="center"/>
        <w:rPr>
          <w:rFonts w:ascii="Times New Roman" w:hAnsi="Times New Roman"/>
          <w:sz w:val="22"/>
          <w:szCs w:val="22"/>
          <w:lang w:val="lt-LT"/>
        </w:rPr>
      </w:pPr>
    </w:p>
    <w:p w14:paraId="17C181E1" w14:textId="77777777" w:rsidR="00D75E9B" w:rsidRPr="004C5A75" w:rsidRDefault="00D75E9B" w:rsidP="00D75E9B">
      <w:pPr>
        <w:jc w:val="center"/>
        <w:rPr>
          <w:rFonts w:ascii="Times New Roman" w:hAnsi="Times New Roman"/>
          <w:sz w:val="22"/>
          <w:szCs w:val="22"/>
          <w:lang w:val="lt-LT"/>
        </w:rPr>
      </w:pPr>
    </w:p>
    <w:p w14:paraId="17C181E2" w14:textId="77777777" w:rsidR="00D75E9B" w:rsidRPr="004C5A75" w:rsidRDefault="00D75E9B" w:rsidP="00D75E9B">
      <w:pPr>
        <w:jc w:val="center"/>
        <w:rPr>
          <w:rFonts w:ascii="Times New Roman" w:hAnsi="Times New Roman"/>
          <w:sz w:val="22"/>
          <w:szCs w:val="22"/>
          <w:lang w:val="lt-LT"/>
        </w:rPr>
      </w:pPr>
    </w:p>
    <w:p w14:paraId="17C181E3" w14:textId="77777777" w:rsidR="00D75E9B" w:rsidRPr="004C5A75" w:rsidRDefault="00D75E9B" w:rsidP="00D75E9B">
      <w:pPr>
        <w:jc w:val="center"/>
        <w:rPr>
          <w:rFonts w:ascii="Times New Roman" w:hAnsi="Times New Roman"/>
          <w:sz w:val="22"/>
          <w:szCs w:val="22"/>
          <w:lang w:val="lt-LT"/>
        </w:rPr>
      </w:pPr>
    </w:p>
    <w:p w14:paraId="17C181E4" w14:textId="77777777" w:rsidR="00D75E9B" w:rsidRPr="004C5A75" w:rsidRDefault="00D75E9B" w:rsidP="00D75E9B">
      <w:pPr>
        <w:jc w:val="center"/>
        <w:rPr>
          <w:rFonts w:ascii="Times New Roman" w:hAnsi="Times New Roman"/>
          <w:sz w:val="22"/>
          <w:szCs w:val="22"/>
          <w:lang w:val="lt-LT"/>
        </w:rPr>
      </w:pPr>
    </w:p>
    <w:p w14:paraId="17C181E5" w14:textId="77777777" w:rsidR="00D75E9B" w:rsidRPr="004C5A75" w:rsidRDefault="00D75E9B" w:rsidP="00D75E9B">
      <w:pPr>
        <w:jc w:val="center"/>
        <w:rPr>
          <w:rFonts w:ascii="Times New Roman" w:hAnsi="Times New Roman"/>
          <w:sz w:val="22"/>
          <w:szCs w:val="22"/>
          <w:lang w:val="lt-LT"/>
        </w:rPr>
      </w:pPr>
    </w:p>
    <w:p w14:paraId="17C181E6" w14:textId="77777777" w:rsidR="00D75E9B" w:rsidRPr="004C5A75" w:rsidRDefault="00D75E9B" w:rsidP="00D75E9B">
      <w:pPr>
        <w:jc w:val="center"/>
        <w:rPr>
          <w:rFonts w:ascii="Times New Roman" w:hAnsi="Times New Roman"/>
          <w:sz w:val="22"/>
          <w:szCs w:val="22"/>
          <w:lang w:val="lt-LT"/>
        </w:rPr>
      </w:pPr>
    </w:p>
    <w:p w14:paraId="17C181E7" w14:textId="77777777" w:rsidR="00D75E9B" w:rsidRPr="004C5A75" w:rsidRDefault="00D75E9B" w:rsidP="00C97BD4">
      <w:pPr>
        <w:pStyle w:val="BTEMEASMCA"/>
        <w:rPr>
          <w:lang w:val="lt-LT"/>
        </w:rPr>
      </w:pPr>
    </w:p>
    <w:p w14:paraId="17C181E8" w14:textId="77777777" w:rsidR="00D75E9B" w:rsidRPr="0026536C" w:rsidRDefault="00D75E9B" w:rsidP="00D75E9B">
      <w:pPr>
        <w:pStyle w:val="TTEMEASMCA"/>
        <w:numPr>
          <w:ilvl w:val="0"/>
          <w:numId w:val="18"/>
        </w:numPr>
        <w:ind w:hanging="720"/>
        <w:rPr>
          <w:lang w:val="lt-LT"/>
        </w:rPr>
      </w:pPr>
      <w:bookmarkStart w:id="9" w:name="_Toc129243135"/>
      <w:bookmarkStart w:id="10" w:name="_Toc129243260"/>
      <w:r w:rsidRPr="0026536C">
        <w:rPr>
          <w:lang w:val="lt-LT"/>
        </w:rPr>
        <w:t xml:space="preserve">ŽENKLINIMAS </w:t>
      </w:r>
      <w:bookmarkEnd w:id="9"/>
      <w:bookmarkEnd w:id="10"/>
    </w:p>
    <w:p w14:paraId="17C181E9" w14:textId="77777777" w:rsidR="00D75E9B" w:rsidRPr="0026536C" w:rsidRDefault="00D75E9B" w:rsidP="00D75E9B">
      <w:pPr>
        <w:pStyle w:val="TTEMEASMCA"/>
        <w:rPr>
          <w:lang w:val="lt-LT"/>
        </w:rPr>
      </w:pPr>
    </w:p>
    <w:p w14:paraId="17C181EA" w14:textId="77777777" w:rsidR="00D75E9B" w:rsidRPr="0026536C" w:rsidRDefault="00D75E9B" w:rsidP="00D75E9B">
      <w:pPr>
        <w:pStyle w:val="TTEMEASMCA"/>
        <w:rPr>
          <w:lang w:val="lt-LT"/>
        </w:rPr>
      </w:pPr>
    </w:p>
    <w:p w14:paraId="17C181EB" w14:textId="77777777" w:rsidR="00D75E9B" w:rsidRPr="0026536C" w:rsidRDefault="00D75E9B" w:rsidP="00D75E9B">
      <w:pPr>
        <w:pStyle w:val="TTEMEASMCA"/>
        <w:rPr>
          <w:lang w:val="lt-LT"/>
        </w:rPr>
      </w:pPr>
    </w:p>
    <w:p w14:paraId="17C181EC" w14:textId="77777777" w:rsidR="00D75E9B" w:rsidRPr="0026536C" w:rsidRDefault="00D75E9B" w:rsidP="00D75E9B">
      <w:pPr>
        <w:pStyle w:val="TTEMEASMCA"/>
        <w:rPr>
          <w:lang w:val="lt-LT"/>
        </w:rPr>
      </w:pPr>
    </w:p>
    <w:p w14:paraId="17C181ED" w14:textId="77777777" w:rsidR="00D75E9B" w:rsidRPr="0026536C" w:rsidRDefault="00D75E9B" w:rsidP="00D75E9B">
      <w:pPr>
        <w:pStyle w:val="TTEMEASMCA"/>
        <w:rPr>
          <w:lang w:val="lt-LT"/>
        </w:rPr>
      </w:pPr>
    </w:p>
    <w:p w14:paraId="17C181EE" w14:textId="77777777" w:rsidR="00D75E9B" w:rsidRPr="0026536C" w:rsidRDefault="00D75E9B" w:rsidP="00D75E9B">
      <w:pPr>
        <w:pStyle w:val="TTEMEASMCA"/>
        <w:rPr>
          <w:lang w:val="lt-LT"/>
        </w:rPr>
      </w:pPr>
    </w:p>
    <w:p w14:paraId="17C181EF" w14:textId="77777777" w:rsidR="00D75E9B" w:rsidRPr="0026536C" w:rsidRDefault="00D75E9B" w:rsidP="00D75E9B">
      <w:pPr>
        <w:pStyle w:val="TTEMEASMCA"/>
        <w:rPr>
          <w:lang w:val="lt-LT"/>
        </w:rPr>
      </w:pPr>
    </w:p>
    <w:p w14:paraId="17C181F0" w14:textId="77777777" w:rsidR="00D75E9B" w:rsidRPr="0026536C" w:rsidRDefault="00D75E9B" w:rsidP="00D75E9B">
      <w:pPr>
        <w:pStyle w:val="TTEMEASMCA"/>
        <w:rPr>
          <w:lang w:val="lt-LT"/>
        </w:rPr>
      </w:pPr>
    </w:p>
    <w:p w14:paraId="17C181F1" w14:textId="77777777" w:rsidR="00D75E9B" w:rsidRPr="0026536C" w:rsidRDefault="00D75E9B" w:rsidP="00D75E9B">
      <w:pPr>
        <w:pStyle w:val="TTEMEASMCA"/>
        <w:rPr>
          <w:lang w:val="lt-LT"/>
        </w:rPr>
      </w:pPr>
    </w:p>
    <w:p w14:paraId="17C181F2" w14:textId="77777777" w:rsidR="00D75E9B" w:rsidRPr="0026536C" w:rsidRDefault="00D75E9B" w:rsidP="00D75E9B">
      <w:pPr>
        <w:pStyle w:val="TTEMEASMCA"/>
        <w:rPr>
          <w:lang w:val="lt-LT"/>
        </w:rPr>
      </w:pPr>
    </w:p>
    <w:p w14:paraId="17C181F3" w14:textId="77777777" w:rsidR="00D75E9B" w:rsidRPr="0026536C" w:rsidRDefault="00D75E9B" w:rsidP="00D75E9B">
      <w:pPr>
        <w:pStyle w:val="TTEMEASMCA"/>
        <w:rPr>
          <w:lang w:val="lt-LT"/>
        </w:rPr>
      </w:pPr>
    </w:p>
    <w:p w14:paraId="17C181F4" w14:textId="77777777" w:rsidR="00D75E9B" w:rsidRPr="0026536C" w:rsidRDefault="00D75E9B" w:rsidP="00D75E9B">
      <w:pPr>
        <w:pStyle w:val="TTEMEASMCA"/>
        <w:rPr>
          <w:lang w:val="lt-LT"/>
        </w:rPr>
      </w:pPr>
    </w:p>
    <w:p w14:paraId="17C181F5" w14:textId="77777777" w:rsidR="00D75E9B" w:rsidRPr="0026536C" w:rsidRDefault="00D75E9B" w:rsidP="00D75E9B">
      <w:pPr>
        <w:pStyle w:val="TTEMEASMCA"/>
        <w:rPr>
          <w:lang w:val="lt-LT"/>
        </w:rPr>
      </w:pPr>
    </w:p>
    <w:p w14:paraId="17C181F6" w14:textId="77777777" w:rsidR="00D75E9B" w:rsidRPr="0026536C" w:rsidRDefault="00D75E9B" w:rsidP="00D75E9B">
      <w:pPr>
        <w:pStyle w:val="TTEMEASMCA"/>
        <w:rPr>
          <w:lang w:val="lt-LT"/>
        </w:rPr>
      </w:pPr>
    </w:p>
    <w:p w14:paraId="17C181F7" w14:textId="77777777" w:rsidR="00D75E9B" w:rsidRPr="0026536C" w:rsidRDefault="00D75E9B" w:rsidP="00D75E9B">
      <w:pPr>
        <w:pStyle w:val="TTEMEASMCA"/>
        <w:rPr>
          <w:lang w:val="lt-LT"/>
        </w:rPr>
      </w:pPr>
    </w:p>
    <w:p w14:paraId="17C181F8" w14:textId="77777777" w:rsidR="00D75E9B" w:rsidRPr="0026536C" w:rsidRDefault="00D75E9B" w:rsidP="00D75E9B">
      <w:pPr>
        <w:pStyle w:val="TTEMEASMCA"/>
        <w:rPr>
          <w:lang w:val="lt-LT"/>
        </w:rPr>
      </w:pPr>
    </w:p>
    <w:p w14:paraId="17C181F9" w14:textId="77777777" w:rsidR="00D75E9B" w:rsidRPr="0026536C" w:rsidRDefault="00D75E9B" w:rsidP="00D75E9B">
      <w:pPr>
        <w:pStyle w:val="TTEMEASMCA"/>
        <w:rPr>
          <w:lang w:val="lt-LT"/>
        </w:rPr>
      </w:pPr>
    </w:p>
    <w:p w14:paraId="17C181FA" w14:textId="77777777" w:rsidR="00D75E9B" w:rsidRPr="0026536C" w:rsidRDefault="00D75E9B" w:rsidP="00D75E9B">
      <w:pPr>
        <w:pStyle w:val="TTEMEASMCA"/>
        <w:rPr>
          <w:lang w:val="lt-LT"/>
        </w:rPr>
      </w:pPr>
    </w:p>
    <w:p w14:paraId="17C181FB" w14:textId="77777777" w:rsidR="00D75E9B" w:rsidRPr="0026536C" w:rsidRDefault="00D75E9B" w:rsidP="00D75E9B">
      <w:pPr>
        <w:pStyle w:val="TTEMEASMCA"/>
        <w:rPr>
          <w:lang w:val="lt-LT"/>
        </w:rPr>
      </w:pPr>
    </w:p>
    <w:p w14:paraId="17C181FC" w14:textId="77777777" w:rsidR="00D75E9B" w:rsidRPr="0026536C" w:rsidRDefault="00D75E9B" w:rsidP="00D75E9B">
      <w:pPr>
        <w:pStyle w:val="TTEMEASMCA"/>
        <w:rPr>
          <w:lang w:val="lt-LT"/>
        </w:rPr>
      </w:pPr>
    </w:p>
    <w:p w14:paraId="17C181FD" w14:textId="77777777" w:rsidR="00D75E9B" w:rsidRPr="0026536C" w:rsidRDefault="00D75E9B" w:rsidP="00D75E9B">
      <w:pPr>
        <w:pStyle w:val="TTEMEASMCA"/>
        <w:rPr>
          <w:lang w:val="lt-LT"/>
        </w:rPr>
      </w:pPr>
    </w:p>
    <w:p w14:paraId="17C181FE" w14:textId="77777777" w:rsidR="00D75E9B" w:rsidRPr="0026536C" w:rsidRDefault="00D75E9B" w:rsidP="00D75E9B">
      <w:pPr>
        <w:pStyle w:val="TTEMEASMCA"/>
        <w:rPr>
          <w:lang w:val="lt-LT"/>
        </w:rPr>
      </w:pPr>
    </w:p>
    <w:p w14:paraId="17C181FF" w14:textId="77777777" w:rsidR="00D75E9B" w:rsidRPr="0026536C" w:rsidRDefault="00D75E9B" w:rsidP="00D75E9B">
      <w:pPr>
        <w:pStyle w:val="TTEMEASMCA"/>
        <w:rPr>
          <w:lang w:val="lt-LT"/>
        </w:rPr>
      </w:pPr>
    </w:p>
    <w:p w14:paraId="17C18200" w14:textId="77777777" w:rsidR="00D75E9B" w:rsidRPr="0026536C" w:rsidRDefault="00D75E9B" w:rsidP="00D75E9B">
      <w:pPr>
        <w:pStyle w:val="TTEMEASMCA"/>
        <w:rPr>
          <w:lang w:val="lt-LT"/>
        </w:rPr>
      </w:pPr>
    </w:p>
    <w:p w14:paraId="17C18201" w14:textId="77777777" w:rsidR="00D75E9B" w:rsidRPr="0026536C" w:rsidRDefault="00D75E9B" w:rsidP="00D75E9B">
      <w:pPr>
        <w:pStyle w:val="TTEMEASMCA"/>
        <w:rPr>
          <w:lang w:val="lt-LT"/>
        </w:rPr>
      </w:pPr>
    </w:p>
    <w:p w14:paraId="17C18202" w14:textId="77777777" w:rsidR="00D75E9B" w:rsidRPr="0026536C" w:rsidRDefault="00D75E9B" w:rsidP="00D75E9B">
      <w:pPr>
        <w:pStyle w:val="TTEMEASMCA"/>
        <w:rPr>
          <w:lang w:val="lt-LT"/>
        </w:rPr>
      </w:pPr>
    </w:p>
    <w:p w14:paraId="17C18203" w14:textId="77777777" w:rsidR="00D75E9B" w:rsidRPr="0026536C" w:rsidRDefault="00D75E9B" w:rsidP="00D75E9B">
      <w:pPr>
        <w:pStyle w:val="TTEMEASMCA"/>
        <w:rPr>
          <w:lang w:val="lt-LT"/>
        </w:rPr>
      </w:pPr>
    </w:p>
    <w:p w14:paraId="17C18204" w14:textId="77777777" w:rsidR="00D75E9B" w:rsidRPr="0026536C" w:rsidRDefault="00D75E9B" w:rsidP="00D75E9B">
      <w:pPr>
        <w:pStyle w:val="TTEMEASMCA"/>
        <w:rPr>
          <w:lang w:val="lt-LT"/>
        </w:rPr>
      </w:pPr>
    </w:p>
    <w:p w14:paraId="17C18205" w14:textId="77777777" w:rsidR="00D75E9B" w:rsidRPr="0026536C" w:rsidRDefault="00D75E9B" w:rsidP="00D75E9B">
      <w:pPr>
        <w:pStyle w:val="TTEMEASMCA"/>
        <w:rPr>
          <w:lang w:val="lt-LT"/>
        </w:rPr>
      </w:pPr>
    </w:p>
    <w:p w14:paraId="17C18206" w14:textId="77777777" w:rsidR="00D75E9B" w:rsidRPr="0026536C" w:rsidRDefault="00D75E9B" w:rsidP="00D75E9B">
      <w:pPr>
        <w:pStyle w:val="TTEMEASMCA"/>
        <w:rPr>
          <w:lang w:val="lt-LT"/>
        </w:rPr>
      </w:pPr>
    </w:p>
    <w:p w14:paraId="17C18207" w14:textId="77777777" w:rsidR="00D75E9B" w:rsidRPr="0026536C" w:rsidRDefault="00D75E9B" w:rsidP="00D75E9B">
      <w:pPr>
        <w:pStyle w:val="TTEMEASMCA"/>
        <w:rPr>
          <w:lang w:val="lt-LT"/>
        </w:rPr>
      </w:pPr>
    </w:p>
    <w:p w14:paraId="17C18208" w14:textId="77777777" w:rsidR="00D75E9B" w:rsidRPr="0026536C" w:rsidRDefault="00D75E9B" w:rsidP="00D75E9B">
      <w:pPr>
        <w:pStyle w:val="TTEMEASMCA"/>
        <w:rPr>
          <w:lang w:val="lt-LT"/>
        </w:rPr>
      </w:pPr>
    </w:p>
    <w:p w14:paraId="17C18209" w14:textId="77777777" w:rsidR="00D75E9B" w:rsidRPr="0026536C" w:rsidRDefault="00D75E9B" w:rsidP="00D75E9B">
      <w:pPr>
        <w:pStyle w:val="TTEMEASMCA"/>
        <w:rPr>
          <w:lang w:val="lt-LT"/>
        </w:rPr>
      </w:pPr>
    </w:p>
    <w:p w14:paraId="17C1820A" w14:textId="77777777" w:rsidR="00D75E9B" w:rsidRPr="0026536C" w:rsidRDefault="00D75E9B" w:rsidP="00D75E9B">
      <w:pPr>
        <w:pStyle w:val="TTEMEASMCA"/>
        <w:rPr>
          <w:lang w:val="lt-LT"/>
        </w:rPr>
      </w:pPr>
    </w:p>
    <w:p w14:paraId="17C1820B" w14:textId="77777777" w:rsidR="00D75E9B" w:rsidRPr="0026536C" w:rsidRDefault="00D75E9B" w:rsidP="00D75E9B">
      <w:pPr>
        <w:pStyle w:val="TTEMEASMCA"/>
        <w:rPr>
          <w:lang w:val="lt-LT"/>
        </w:rPr>
      </w:pPr>
    </w:p>
    <w:p w14:paraId="17C1820C" w14:textId="77777777" w:rsidR="00D75E9B" w:rsidRPr="0026536C" w:rsidRDefault="00D75E9B" w:rsidP="00D75E9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26536C">
        <w:rPr>
          <w:rFonts w:ascii="Times New Roman" w:hAnsi="Times New Roman"/>
          <w:b/>
          <w:sz w:val="22"/>
          <w:szCs w:val="22"/>
          <w:lang w:val="lt-LT"/>
        </w:rPr>
        <w:t>INFORMACIJA ANT IŠORINĖS PAKUOTĖS</w:t>
      </w:r>
    </w:p>
    <w:p w14:paraId="17C1820D" w14:textId="77777777" w:rsidR="00D75E9B" w:rsidRPr="0026536C" w:rsidRDefault="00D75E9B" w:rsidP="00D75E9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p>
    <w:p w14:paraId="17C1820E" w14:textId="77777777" w:rsidR="00D75E9B" w:rsidRPr="0026536C" w:rsidRDefault="00D75E9B" w:rsidP="00D75E9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26536C">
        <w:rPr>
          <w:rFonts w:ascii="Times New Roman" w:hAnsi="Times New Roman"/>
          <w:b/>
          <w:sz w:val="22"/>
          <w:szCs w:val="22"/>
          <w:lang w:val="lt-LT"/>
        </w:rPr>
        <w:t>KARTONO DĖŽUTĖ</w:t>
      </w:r>
    </w:p>
    <w:p w14:paraId="17C1820F" w14:textId="77777777" w:rsidR="00D75E9B" w:rsidRPr="0026536C" w:rsidRDefault="00D75E9B" w:rsidP="00D75E9B">
      <w:pPr>
        <w:rPr>
          <w:rFonts w:ascii="Times New Roman" w:hAnsi="Times New Roman"/>
          <w:sz w:val="22"/>
          <w:szCs w:val="22"/>
          <w:lang w:val="lt-LT"/>
        </w:rPr>
      </w:pPr>
    </w:p>
    <w:p w14:paraId="17C18210" w14:textId="77777777" w:rsidR="00D75E9B" w:rsidRPr="0026536C" w:rsidRDefault="00D75E9B" w:rsidP="00D75E9B">
      <w:pPr>
        <w:rPr>
          <w:rFonts w:ascii="Times New Roman" w:hAnsi="Times New Roman"/>
          <w:sz w:val="22"/>
          <w:szCs w:val="22"/>
          <w:lang w:val="lt-LT"/>
        </w:rPr>
      </w:pPr>
    </w:p>
    <w:p w14:paraId="17C18211"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1.</w:t>
      </w:r>
      <w:r w:rsidRPr="0026536C">
        <w:rPr>
          <w:rFonts w:ascii="Times New Roman" w:hAnsi="Times New Roman"/>
          <w:b/>
          <w:sz w:val="22"/>
          <w:szCs w:val="22"/>
          <w:lang w:val="lt-LT"/>
        </w:rPr>
        <w:tab/>
        <w:t>VAISTINIO PREPARATO PAVADINIMAS</w:t>
      </w:r>
    </w:p>
    <w:p w14:paraId="17C18212" w14:textId="77777777" w:rsidR="00D75E9B" w:rsidRPr="0026536C" w:rsidRDefault="00D75E9B" w:rsidP="00D75E9B">
      <w:pPr>
        <w:rPr>
          <w:rFonts w:ascii="Times New Roman" w:hAnsi="Times New Roman"/>
          <w:sz w:val="22"/>
          <w:szCs w:val="22"/>
          <w:lang w:val="lt-LT"/>
        </w:rPr>
      </w:pPr>
    </w:p>
    <w:p w14:paraId="17C18213"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DIRONORM 10 mg/5 mg tabletės</w:t>
      </w:r>
    </w:p>
    <w:p w14:paraId="17C18214" w14:textId="7D7D9DAA" w:rsidR="00D75E9B" w:rsidRPr="004C5A75" w:rsidRDefault="0027344F" w:rsidP="00D75E9B">
      <w:pPr>
        <w:pStyle w:val="Pagrindinistekstas"/>
        <w:rPr>
          <w:rFonts w:ascii="Times New Roman" w:hAnsi="Times New Roman"/>
          <w:color w:val="auto"/>
          <w:lang w:val="lt-LT"/>
        </w:rPr>
      </w:pPr>
      <w:r>
        <w:rPr>
          <w:rFonts w:ascii="Times New Roman" w:hAnsi="Times New Roman"/>
          <w:color w:val="auto"/>
          <w:lang w:val="lt-LT"/>
        </w:rPr>
        <w:t>l</w:t>
      </w:r>
      <w:r w:rsidR="00D75E9B" w:rsidRPr="004C5A75">
        <w:rPr>
          <w:rFonts w:ascii="Times New Roman" w:hAnsi="Times New Roman"/>
          <w:color w:val="auto"/>
          <w:lang w:val="lt-LT"/>
        </w:rPr>
        <w:t xml:space="preserve">isinoprilum / </w:t>
      </w:r>
      <w:r>
        <w:rPr>
          <w:rFonts w:ascii="Times New Roman" w:hAnsi="Times New Roman"/>
          <w:color w:val="auto"/>
          <w:lang w:val="lt-LT"/>
        </w:rPr>
        <w:t>a</w:t>
      </w:r>
      <w:r w:rsidR="00D75E9B" w:rsidRPr="004C5A75">
        <w:rPr>
          <w:rFonts w:ascii="Times New Roman" w:hAnsi="Times New Roman"/>
          <w:color w:val="auto"/>
          <w:lang w:val="lt-LT"/>
        </w:rPr>
        <w:t>mlodipinum</w:t>
      </w:r>
    </w:p>
    <w:p w14:paraId="17C18215" w14:textId="77777777" w:rsidR="00D75E9B" w:rsidRPr="0026536C" w:rsidRDefault="00D75E9B" w:rsidP="00D75E9B">
      <w:pPr>
        <w:rPr>
          <w:rFonts w:ascii="Times New Roman" w:hAnsi="Times New Roman"/>
          <w:sz w:val="22"/>
          <w:szCs w:val="22"/>
          <w:lang w:val="lt-LT"/>
        </w:rPr>
      </w:pPr>
    </w:p>
    <w:p w14:paraId="17C18216" w14:textId="77777777" w:rsidR="00D75E9B" w:rsidRPr="0026536C" w:rsidRDefault="00D75E9B" w:rsidP="00D75E9B">
      <w:pPr>
        <w:rPr>
          <w:rFonts w:ascii="Times New Roman" w:hAnsi="Times New Roman"/>
          <w:sz w:val="22"/>
          <w:szCs w:val="22"/>
          <w:lang w:val="lt-LT"/>
        </w:rPr>
      </w:pPr>
    </w:p>
    <w:p w14:paraId="17C18217"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26536C">
        <w:rPr>
          <w:rFonts w:ascii="Times New Roman" w:hAnsi="Times New Roman"/>
          <w:b/>
          <w:sz w:val="22"/>
          <w:szCs w:val="22"/>
          <w:lang w:val="lt-LT"/>
        </w:rPr>
        <w:t>2.</w:t>
      </w:r>
      <w:r w:rsidRPr="0026536C">
        <w:rPr>
          <w:rFonts w:ascii="Times New Roman" w:hAnsi="Times New Roman"/>
          <w:b/>
          <w:sz w:val="22"/>
          <w:szCs w:val="22"/>
          <w:lang w:val="lt-LT"/>
        </w:rPr>
        <w:tab/>
        <w:t>VEIKLIOJI MEDŽIAGA IR JOS KIEKIS</w:t>
      </w:r>
    </w:p>
    <w:p w14:paraId="17C18218" w14:textId="77777777" w:rsidR="00D75E9B" w:rsidRPr="0026536C" w:rsidRDefault="00D75E9B" w:rsidP="00D75E9B">
      <w:pPr>
        <w:jc w:val="both"/>
        <w:rPr>
          <w:rFonts w:ascii="Times New Roman" w:hAnsi="Times New Roman"/>
          <w:sz w:val="22"/>
          <w:szCs w:val="22"/>
          <w:lang w:val="lt-LT"/>
        </w:rPr>
      </w:pPr>
    </w:p>
    <w:p w14:paraId="17C18219"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Vienoje tabletėje yra 10 mg lizinoprilio (dihidrato pavidalu) ir 5 mg amlodipino (besilato pavidalu).</w:t>
      </w:r>
    </w:p>
    <w:p w14:paraId="17C1821A" w14:textId="77777777" w:rsidR="00D75E9B" w:rsidRPr="004C5A75" w:rsidRDefault="00D75E9B" w:rsidP="00D75E9B">
      <w:pPr>
        <w:jc w:val="both"/>
        <w:rPr>
          <w:rFonts w:ascii="Times New Roman" w:hAnsi="Times New Roman"/>
          <w:sz w:val="22"/>
          <w:szCs w:val="22"/>
          <w:lang w:val="lt-LT"/>
        </w:rPr>
      </w:pPr>
    </w:p>
    <w:p w14:paraId="17C1821B" w14:textId="77777777" w:rsidR="00D75E9B" w:rsidRPr="0026536C" w:rsidRDefault="00D75E9B" w:rsidP="00D75E9B">
      <w:pPr>
        <w:rPr>
          <w:rFonts w:ascii="Times New Roman" w:hAnsi="Times New Roman"/>
          <w:sz w:val="22"/>
          <w:szCs w:val="22"/>
          <w:lang w:val="lt-LT"/>
        </w:rPr>
      </w:pPr>
    </w:p>
    <w:p w14:paraId="17C1821C" w14:textId="77777777" w:rsidR="00D75E9B" w:rsidRPr="0026536C" w:rsidRDefault="00D75E9B" w:rsidP="00D75E9B">
      <w:pPr>
        <w:pBdr>
          <w:top w:val="single" w:sz="4" w:space="2"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3.</w:t>
      </w:r>
      <w:r w:rsidRPr="0026536C">
        <w:rPr>
          <w:rFonts w:ascii="Times New Roman" w:hAnsi="Times New Roman"/>
          <w:b/>
          <w:sz w:val="22"/>
          <w:szCs w:val="22"/>
          <w:lang w:val="lt-LT"/>
        </w:rPr>
        <w:tab/>
        <w:t>PAGALBINIŲ MEDŽIAGŲ SĄRAŠAS</w:t>
      </w:r>
    </w:p>
    <w:p w14:paraId="17C1821D" w14:textId="77777777" w:rsidR="00D75E9B" w:rsidRPr="0026536C" w:rsidRDefault="00D75E9B" w:rsidP="00D75E9B">
      <w:pPr>
        <w:rPr>
          <w:rFonts w:ascii="Times New Roman" w:hAnsi="Times New Roman"/>
          <w:sz w:val="22"/>
          <w:szCs w:val="22"/>
          <w:lang w:val="lt-LT"/>
        </w:rPr>
      </w:pPr>
    </w:p>
    <w:p w14:paraId="17C1821E" w14:textId="77777777" w:rsidR="00D75E9B" w:rsidRPr="0026536C" w:rsidRDefault="00D75E9B" w:rsidP="00D75E9B">
      <w:pPr>
        <w:rPr>
          <w:rFonts w:ascii="Times New Roman" w:hAnsi="Times New Roman"/>
          <w:sz w:val="22"/>
          <w:szCs w:val="22"/>
          <w:lang w:val="lt-LT"/>
        </w:rPr>
      </w:pPr>
    </w:p>
    <w:p w14:paraId="17C1821F"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4.</w:t>
      </w:r>
      <w:r w:rsidRPr="0026536C">
        <w:rPr>
          <w:rFonts w:ascii="Times New Roman" w:hAnsi="Times New Roman"/>
          <w:b/>
          <w:sz w:val="22"/>
          <w:szCs w:val="22"/>
          <w:lang w:val="lt-LT"/>
        </w:rPr>
        <w:tab/>
        <w:t>FARMACINĖ FORMA IR KIEKIS PAKUOTĖJE</w:t>
      </w:r>
    </w:p>
    <w:p w14:paraId="17C18220" w14:textId="77777777" w:rsidR="00D75E9B" w:rsidRPr="0026536C" w:rsidRDefault="00D75E9B" w:rsidP="00D75E9B">
      <w:pPr>
        <w:rPr>
          <w:rFonts w:ascii="Times New Roman" w:hAnsi="Times New Roman"/>
          <w:sz w:val="22"/>
          <w:szCs w:val="22"/>
          <w:lang w:val="lt-LT"/>
        </w:rPr>
      </w:pPr>
    </w:p>
    <w:p w14:paraId="17C18221" w14:textId="77777777" w:rsidR="00D75E9B" w:rsidRPr="0026536C" w:rsidRDefault="00D75E9B" w:rsidP="00D75E9B">
      <w:pPr>
        <w:pStyle w:val="Antrats"/>
        <w:tabs>
          <w:tab w:val="right" w:pos="1080"/>
        </w:tabs>
        <w:rPr>
          <w:rFonts w:ascii="Times New Roman" w:hAnsi="Times New Roman"/>
          <w:sz w:val="22"/>
          <w:szCs w:val="22"/>
          <w:lang w:val="lt-LT"/>
        </w:rPr>
      </w:pPr>
      <w:r w:rsidRPr="0026536C">
        <w:rPr>
          <w:rFonts w:ascii="Times New Roman" w:hAnsi="Times New Roman"/>
          <w:sz w:val="22"/>
          <w:szCs w:val="22"/>
          <w:lang w:val="lt-LT"/>
        </w:rPr>
        <w:t>30 tablečių</w:t>
      </w:r>
    </w:p>
    <w:p w14:paraId="17C18222" w14:textId="77777777" w:rsidR="00D75E9B" w:rsidRPr="0026536C" w:rsidRDefault="00D75E9B" w:rsidP="00D75E9B">
      <w:pPr>
        <w:rPr>
          <w:rFonts w:ascii="Times New Roman" w:hAnsi="Times New Roman"/>
          <w:sz w:val="22"/>
          <w:szCs w:val="22"/>
          <w:lang w:val="lt-LT"/>
        </w:rPr>
      </w:pPr>
    </w:p>
    <w:p w14:paraId="17C18223" w14:textId="77777777" w:rsidR="00D75E9B" w:rsidRPr="0026536C" w:rsidRDefault="00D75E9B" w:rsidP="00D75E9B">
      <w:pPr>
        <w:rPr>
          <w:rFonts w:ascii="Times New Roman" w:hAnsi="Times New Roman"/>
          <w:sz w:val="22"/>
          <w:szCs w:val="22"/>
          <w:lang w:val="lt-LT"/>
        </w:rPr>
      </w:pPr>
    </w:p>
    <w:p w14:paraId="17C18224"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5.</w:t>
      </w:r>
      <w:r w:rsidRPr="0026536C">
        <w:rPr>
          <w:rFonts w:ascii="Times New Roman" w:hAnsi="Times New Roman"/>
          <w:b/>
          <w:sz w:val="22"/>
          <w:szCs w:val="22"/>
          <w:lang w:val="lt-LT"/>
        </w:rPr>
        <w:tab/>
        <w:t>VARTOJIMO METODAS IR BŪDAS</w:t>
      </w:r>
    </w:p>
    <w:p w14:paraId="17C18225" w14:textId="77777777" w:rsidR="00D75E9B" w:rsidRPr="004C5A75" w:rsidRDefault="00D75E9B" w:rsidP="00D75E9B">
      <w:pPr>
        <w:rPr>
          <w:rFonts w:ascii="Times New Roman" w:hAnsi="Times New Roman"/>
          <w:sz w:val="22"/>
          <w:szCs w:val="22"/>
          <w:lang w:val="lt-LT"/>
        </w:rPr>
      </w:pPr>
    </w:p>
    <w:p w14:paraId="17C1822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Vartoti per burną.</w:t>
      </w:r>
    </w:p>
    <w:p w14:paraId="17C1822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Prieš vartojimą perskaitykite pakuotės lapelį.</w:t>
      </w:r>
    </w:p>
    <w:p w14:paraId="17C18228" w14:textId="77777777" w:rsidR="00D75E9B" w:rsidRPr="004C5A75" w:rsidRDefault="00D75E9B" w:rsidP="00D75E9B">
      <w:pPr>
        <w:rPr>
          <w:rFonts w:ascii="Times New Roman" w:hAnsi="Times New Roman"/>
          <w:sz w:val="22"/>
          <w:szCs w:val="22"/>
          <w:lang w:val="lt-LT"/>
        </w:rPr>
      </w:pPr>
    </w:p>
    <w:p w14:paraId="17C18229" w14:textId="77777777" w:rsidR="00D75E9B" w:rsidRPr="0026536C" w:rsidRDefault="00D75E9B" w:rsidP="00D75E9B">
      <w:pPr>
        <w:rPr>
          <w:rFonts w:ascii="Times New Roman" w:hAnsi="Times New Roman"/>
          <w:i/>
          <w:sz w:val="22"/>
          <w:szCs w:val="22"/>
          <w:lang w:val="lt-LT"/>
        </w:rPr>
      </w:pPr>
    </w:p>
    <w:p w14:paraId="17C1822A" w14:textId="77777777" w:rsidR="00D75E9B" w:rsidRPr="0026536C" w:rsidRDefault="00D75E9B" w:rsidP="00D75E9B">
      <w:pPr>
        <w:pBdr>
          <w:top w:val="single" w:sz="4" w:space="0"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6.</w:t>
      </w:r>
      <w:r w:rsidRPr="0026536C">
        <w:rPr>
          <w:rFonts w:ascii="Times New Roman" w:hAnsi="Times New Roman"/>
          <w:b/>
          <w:sz w:val="22"/>
          <w:szCs w:val="22"/>
          <w:lang w:val="lt-LT"/>
        </w:rPr>
        <w:tab/>
      </w:r>
      <w:r w:rsidRPr="0026536C">
        <w:rPr>
          <w:rFonts w:ascii="Times New Roman" w:hAnsi="Times New Roman"/>
          <w:b/>
          <w:bCs/>
          <w:sz w:val="22"/>
          <w:szCs w:val="22"/>
          <w:lang w:val="lt-LT"/>
        </w:rPr>
        <w:t>SPECIALUS ĮSPĖJIMAS, KAD VAISTINĮ PREPARATĄ BŪTINA LAIKYTI VAIKAMS NEPASTEBIMOJE IR NEPASIEKIAMOJE VIETOJE</w:t>
      </w:r>
    </w:p>
    <w:p w14:paraId="17C1822B" w14:textId="77777777" w:rsidR="00D75E9B" w:rsidRPr="0026536C" w:rsidRDefault="00D75E9B" w:rsidP="00D75E9B">
      <w:pPr>
        <w:rPr>
          <w:rFonts w:ascii="Times New Roman" w:hAnsi="Times New Roman"/>
          <w:sz w:val="22"/>
          <w:szCs w:val="22"/>
          <w:lang w:val="lt-LT"/>
        </w:rPr>
      </w:pPr>
    </w:p>
    <w:p w14:paraId="17C1822C"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Laikyti vaikams nepastebimoje ir nepasiekiamoje vietoje.</w:t>
      </w:r>
    </w:p>
    <w:p w14:paraId="17C1822D" w14:textId="77777777" w:rsidR="00D75E9B" w:rsidRPr="004C5A75" w:rsidRDefault="00D75E9B" w:rsidP="00D75E9B">
      <w:pPr>
        <w:pStyle w:val="Pagrindinistekstas"/>
        <w:rPr>
          <w:rFonts w:ascii="Times New Roman" w:hAnsi="Times New Roman"/>
          <w:color w:val="auto"/>
          <w:lang w:val="lt-LT"/>
        </w:rPr>
      </w:pPr>
    </w:p>
    <w:p w14:paraId="17C1822E" w14:textId="77777777" w:rsidR="00D75E9B" w:rsidRPr="0026536C" w:rsidRDefault="00D75E9B" w:rsidP="00D75E9B">
      <w:pPr>
        <w:rPr>
          <w:rFonts w:ascii="Times New Roman" w:hAnsi="Times New Roman"/>
          <w:sz w:val="22"/>
          <w:szCs w:val="22"/>
          <w:lang w:val="lt-LT"/>
        </w:rPr>
      </w:pPr>
    </w:p>
    <w:p w14:paraId="17C1822F"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7.</w:t>
      </w:r>
      <w:r w:rsidRPr="0026536C">
        <w:rPr>
          <w:rFonts w:ascii="Times New Roman" w:hAnsi="Times New Roman"/>
          <w:b/>
          <w:sz w:val="22"/>
          <w:szCs w:val="22"/>
          <w:lang w:val="lt-LT"/>
        </w:rPr>
        <w:tab/>
      </w:r>
      <w:r w:rsidRPr="0026536C">
        <w:rPr>
          <w:rFonts w:ascii="Times New Roman" w:hAnsi="Times New Roman"/>
          <w:b/>
          <w:bCs/>
          <w:sz w:val="22"/>
          <w:szCs w:val="22"/>
          <w:lang w:val="lt-LT"/>
        </w:rPr>
        <w:t>KITAS SPECIALUS ĮSPĖJIMAS (JEI REIKIA)</w:t>
      </w:r>
    </w:p>
    <w:p w14:paraId="17C18230" w14:textId="77777777" w:rsidR="00D75E9B" w:rsidRPr="0026536C" w:rsidRDefault="00D75E9B" w:rsidP="00D75E9B">
      <w:pPr>
        <w:rPr>
          <w:rFonts w:ascii="Times New Roman" w:hAnsi="Times New Roman"/>
          <w:sz w:val="22"/>
          <w:szCs w:val="22"/>
          <w:lang w:val="lt-LT"/>
        </w:rPr>
      </w:pPr>
    </w:p>
    <w:p w14:paraId="17C18231" w14:textId="77777777" w:rsidR="00D75E9B" w:rsidRPr="0026536C" w:rsidRDefault="00D75E9B" w:rsidP="00D75E9B">
      <w:pPr>
        <w:rPr>
          <w:rFonts w:ascii="Times New Roman" w:hAnsi="Times New Roman"/>
          <w:sz w:val="22"/>
          <w:szCs w:val="22"/>
          <w:lang w:val="lt-LT"/>
        </w:rPr>
      </w:pPr>
    </w:p>
    <w:p w14:paraId="17C18232"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8.</w:t>
      </w:r>
      <w:r w:rsidRPr="0026536C">
        <w:rPr>
          <w:rFonts w:ascii="Times New Roman" w:hAnsi="Times New Roman"/>
          <w:b/>
          <w:sz w:val="22"/>
          <w:szCs w:val="22"/>
          <w:lang w:val="lt-LT"/>
        </w:rPr>
        <w:tab/>
      </w:r>
      <w:r w:rsidRPr="0026536C">
        <w:rPr>
          <w:rFonts w:ascii="Times New Roman" w:hAnsi="Times New Roman"/>
          <w:b/>
          <w:bCs/>
          <w:sz w:val="22"/>
          <w:szCs w:val="22"/>
          <w:lang w:val="lt-LT"/>
        </w:rPr>
        <w:t>TINKAMUMO LAIKAS</w:t>
      </w:r>
    </w:p>
    <w:p w14:paraId="17C18233" w14:textId="77777777" w:rsidR="00D75E9B" w:rsidRPr="0026536C" w:rsidRDefault="00D75E9B" w:rsidP="00D75E9B">
      <w:pPr>
        <w:rPr>
          <w:rFonts w:ascii="Times New Roman" w:hAnsi="Times New Roman"/>
          <w:sz w:val="22"/>
          <w:szCs w:val="22"/>
          <w:lang w:val="lt-LT"/>
        </w:rPr>
      </w:pPr>
    </w:p>
    <w:p w14:paraId="17C18234"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Tinka iki {mm/MMMM}</w:t>
      </w:r>
    </w:p>
    <w:p w14:paraId="17C18235" w14:textId="77777777" w:rsidR="00D75E9B" w:rsidRPr="0026536C" w:rsidRDefault="00D75E9B" w:rsidP="00D75E9B">
      <w:pPr>
        <w:rPr>
          <w:rFonts w:ascii="Times New Roman" w:hAnsi="Times New Roman"/>
          <w:sz w:val="22"/>
          <w:szCs w:val="22"/>
          <w:lang w:val="lt-LT"/>
        </w:rPr>
      </w:pPr>
    </w:p>
    <w:p w14:paraId="17C18236" w14:textId="77777777" w:rsidR="00D75E9B" w:rsidRPr="0026536C" w:rsidRDefault="00D75E9B" w:rsidP="00D75E9B">
      <w:pPr>
        <w:rPr>
          <w:rFonts w:ascii="Times New Roman" w:hAnsi="Times New Roman"/>
          <w:sz w:val="22"/>
          <w:szCs w:val="22"/>
          <w:lang w:val="lt-LT"/>
        </w:rPr>
      </w:pPr>
    </w:p>
    <w:p w14:paraId="17C18237"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9.</w:t>
      </w:r>
      <w:r w:rsidRPr="0026536C">
        <w:rPr>
          <w:rFonts w:ascii="Times New Roman" w:hAnsi="Times New Roman"/>
          <w:b/>
          <w:sz w:val="22"/>
          <w:szCs w:val="22"/>
          <w:lang w:val="lt-LT"/>
        </w:rPr>
        <w:tab/>
      </w:r>
      <w:r w:rsidRPr="0026536C">
        <w:rPr>
          <w:rFonts w:ascii="Times New Roman" w:hAnsi="Times New Roman"/>
          <w:b/>
          <w:caps/>
          <w:sz w:val="22"/>
          <w:szCs w:val="22"/>
          <w:lang w:val="lt-LT"/>
        </w:rPr>
        <w:t>SPECIALIOS laikymo sąlygos</w:t>
      </w:r>
    </w:p>
    <w:p w14:paraId="17C18238" w14:textId="77777777" w:rsidR="00D75E9B" w:rsidRPr="0026536C" w:rsidRDefault="00D75E9B" w:rsidP="00D75E9B">
      <w:pPr>
        <w:rPr>
          <w:rFonts w:ascii="Times New Roman" w:hAnsi="Times New Roman"/>
          <w:sz w:val="22"/>
          <w:szCs w:val="22"/>
          <w:lang w:val="lt-LT"/>
        </w:rPr>
      </w:pPr>
    </w:p>
    <w:p w14:paraId="17C18239" w14:textId="77777777" w:rsidR="00D75E9B" w:rsidRPr="004C5A75" w:rsidRDefault="00D75E9B" w:rsidP="00D75E9B">
      <w:pPr>
        <w:rPr>
          <w:rFonts w:ascii="Times New Roman" w:hAnsi="Times New Roman"/>
          <w:sz w:val="22"/>
          <w:szCs w:val="22"/>
          <w:lang w:val="lt-LT"/>
        </w:rPr>
      </w:pPr>
      <w:r w:rsidRPr="0026536C">
        <w:rPr>
          <w:rFonts w:ascii="Times New Roman" w:hAnsi="Times New Roman"/>
          <w:sz w:val="22"/>
          <w:szCs w:val="22"/>
          <w:lang w:val="lt-LT"/>
        </w:rPr>
        <w:t xml:space="preserve">Laikyti žemesnėje kaip 25 </w:t>
      </w:r>
      <w:r w:rsidRPr="0026536C">
        <w:rPr>
          <w:rFonts w:ascii="Times New Roman" w:hAnsi="Times New Roman"/>
          <w:sz w:val="22"/>
          <w:szCs w:val="22"/>
          <w:lang w:val="lt-LT"/>
        </w:rPr>
        <w:sym w:font="Symbol" w:char="F0B0"/>
      </w:r>
      <w:r w:rsidRPr="0026536C">
        <w:rPr>
          <w:rFonts w:ascii="Times New Roman" w:hAnsi="Times New Roman"/>
          <w:sz w:val="22"/>
          <w:szCs w:val="22"/>
          <w:lang w:val="lt-LT"/>
        </w:rPr>
        <w:t xml:space="preserve">C temperatūroje. </w:t>
      </w:r>
    </w:p>
    <w:p w14:paraId="17C1823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Laikyti gamintojo pakuotėje, kad preparatas būtų apsaugotas nuo šviesos ir drėgmės.</w:t>
      </w:r>
    </w:p>
    <w:p w14:paraId="17C1823B" w14:textId="77777777" w:rsidR="00D75E9B" w:rsidRPr="0026536C" w:rsidRDefault="00D75E9B" w:rsidP="00D75E9B">
      <w:pPr>
        <w:rPr>
          <w:rFonts w:ascii="Times New Roman" w:hAnsi="Times New Roman"/>
          <w:sz w:val="22"/>
          <w:szCs w:val="22"/>
          <w:lang w:val="lt-LT"/>
        </w:rPr>
      </w:pPr>
    </w:p>
    <w:p w14:paraId="17C1823C" w14:textId="77777777" w:rsidR="00D75E9B" w:rsidRPr="0026536C" w:rsidRDefault="00D75E9B" w:rsidP="00D75E9B">
      <w:pPr>
        <w:rPr>
          <w:rFonts w:ascii="Times New Roman" w:hAnsi="Times New Roman"/>
          <w:sz w:val="22"/>
          <w:szCs w:val="22"/>
          <w:lang w:val="lt-LT"/>
        </w:rPr>
      </w:pPr>
    </w:p>
    <w:p w14:paraId="17C1823D"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26536C">
        <w:rPr>
          <w:rFonts w:ascii="Times New Roman" w:hAnsi="Times New Roman"/>
          <w:b/>
          <w:sz w:val="22"/>
          <w:szCs w:val="22"/>
          <w:lang w:val="lt-LT"/>
        </w:rPr>
        <w:t>10.</w:t>
      </w:r>
      <w:r w:rsidRPr="0026536C">
        <w:rPr>
          <w:rFonts w:ascii="Times New Roman" w:hAnsi="Times New Roman"/>
          <w:b/>
          <w:sz w:val="22"/>
          <w:szCs w:val="22"/>
          <w:lang w:val="lt-LT"/>
        </w:rPr>
        <w:tab/>
      </w:r>
      <w:r w:rsidRPr="0026536C">
        <w:rPr>
          <w:rFonts w:ascii="Times New Roman" w:hAnsi="Times New Roman"/>
          <w:b/>
          <w:caps/>
          <w:sz w:val="22"/>
          <w:szCs w:val="22"/>
          <w:lang w:val="lt-LT"/>
        </w:rPr>
        <w:t>specialios atsargumo priemonės</w:t>
      </w:r>
      <w:r w:rsidRPr="0026536C">
        <w:rPr>
          <w:rFonts w:ascii="Times New Roman" w:hAnsi="Times New Roman"/>
          <w:b/>
          <w:bCs/>
          <w:sz w:val="22"/>
          <w:szCs w:val="22"/>
          <w:lang w:val="lt-LT"/>
        </w:rPr>
        <w:t xml:space="preserve"> DĖL NESUVARTOTO VAISTINIO PREPARATO AR JO ATLIEKŲ TVARKYMO </w:t>
      </w:r>
      <w:r w:rsidRPr="0026536C">
        <w:rPr>
          <w:rFonts w:ascii="Times New Roman" w:hAnsi="Times New Roman"/>
          <w:b/>
          <w:caps/>
          <w:sz w:val="22"/>
          <w:szCs w:val="22"/>
          <w:lang w:val="lt-LT"/>
        </w:rPr>
        <w:t>(jei reikia)</w:t>
      </w:r>
    </w:p>
    <w:p w14:paraId="17C1823E" w14:textId="77777777" w:rsidR="00D75E9B" w:rsidRPr="0026536C" w:rsidRDefault="00D75E9B" w:rsidP="00D75E9B">
      <w:pPr>
        <w:rPr>
          <w:rFonts w:ascii="Times New Roman" w:hAnsi="Times New Roman"/>
          <w:sz w:val="22"/>
          <w:szCs w:val="22"/>
          <w:lang w:val="lt-LT"/>
        </w:rPr>
      </w:pPr>
    </w:p>
    <w:p w14:paraId="17C1823F" w14:textId="77777777" w:rsidR="00D75E9B" w:rsidRPr="0026536C" w:rsidRDefault="00D75E9B" w:rsidP="00D75E9B">
      <w:pPr>
        <w:rPr>
          <w:rFonts w:ascii="Times New Roman" w:hAnsi="Times New Roman"/>
          <w:sz w:val="22"/>
          <w:szCs w:val="22"/>
          <w:lang w:val="lt-LT"/>
        </w:rPr>
      </w:pPr>
    </w:p>
    <w:p w14:paraId="17C18240"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26536C">
        <w:rPr>
          <w:rFonts w:ascii="Times New Roman" w:hAnsi="Times New Roman"/>
          <w:b/>
          <w:sz w:val="22"/>
          <w:szCs w:val="22"/>
          <w:lang w:val="lt-LT"/>
        </w:rPr>
        <w:t>11.</w:t>
      </w:r>
      <w:r w:rsidRPr="0026536C">
        <w:rPr>
          <w:rFonts w:ascii="Times New Roman" w:hAnsi="Times New Roman"/>
          <w:b/>
          <w:sz w:val="22"/>
          <w:szCs w:val="22"/>
          <w:lang w:val="lt-LT"/>
        </w:rPr>
        <w:tab/>
      </w:r>
      <w:r w:rsidRPr="0026536C">
        <w:rPr>
          <w:rFonts w:ascii="Times New Roman" w:hAnsi="Times New Roman"/>
          <w:b/>
          <w:caps/>
          <w:sz w:val="22"/>
          <w:szCs w:val="22"/>
          <w:lang w:val="lt-LT"/>
        </w:rPr>
        <w:t>REGISTRUOTOJO pavadinimas ir adresas</w:t>
      </w:r>
    </w:p>
    <w:p w14:paraId="17C18241" w14:textId="77777777" w:rsidR="00D75E9B" w:rsidRPr="0026536C" w:rsidRDefault="00D75E9B" w:rsidP="00D75E9B">
      <w:pPr>
        <w:rPr>
          <w:rFonts w:ascii="Times New Roman" w:hAnsi="Times New Roman"/>
          <w:sz w:val="22"/>
          <w:szCs w:val="22"/>
          <w:lang w:val="lt-LT"/>
        </w:rPr>
      </w:pPr>
    </w:p>
    <w:p w14:paraId="17C18242" w14:textId="77777777" w:rsidR="00D75E9B" w:rsidRPr="0026536C" w:rsidRDefault="00D75E9B" w:rsidP="00D75E9B">
      <w:pPr>
        <w:rPr>
          <w:rFonts w:ascii="Times New Roman" w:hAnsi="Times New Roman"/>
          <w:sz w:val="22"/>
          <w:szCs w:val="22"/>
          <w:lang w:val="lt-LT"/>
        </w:rPr>
      </w:pPr>
      <w:r w:rsidRPr="0026536C">
        <w:rPr>
          <w:rFonts w:ascii="Times New Roman" w:hAnsi="Times New Roman"/>
          <w:sz w:val="22"/>
          <w:szCs w:val="22"/>
          <w:lang w:val="lt-LT"/>
        </w:rPr>
        <w:t>Gedeon Richter Plc.</w:t>
      </w:r>
    </w:p>
    <w:p w14:paraId="17C18243" w14:textId="77777777" w:rsidR="00D75E9B" w:rsidRPr="0026536C" w:rsidRDefault="00D75E9B" w:rsidP="00D75E9B">
      <w:pPr>
        <w:rPr>
          <w:rFonts w:ascii="Times New Roman" w:hAnsi="Times New Roman"/>
          <w:sz w:val="22"/>
          <w:szCs w:val="22"/>
          <w:lang w:val="lt-LT"/>
        </w:rPr>
      </w:pPr>
      <w:r w:rsidRPr="0026536C">
        <w:rPr>
          <w:rFonts w:ascii="Times New Roman" w:hAnsi="Times New Roman"/>
          <w:sz w:val="22"/>
          <w:szCs w:val="22"/>
          <w:lang w:val="lt-LT"/>
        </w:rPr>
        <w:t>Gyömrői út 19–21.</w:t>
      </w:r>
    </w:p>
    <w:p w14:paraId="17C18244" w14:textId="77777777" w:rsidR="00D75E9B" w:rsidRPr="0026536C" w:rsidRDefault="00D75E9B" w:rsidP="00D75E9B">
      <w:pPr>
        <w:jc w:val="both"/>
        <w:rPr>
          <w:rFonts w:ascii="Times New Roman" w:hAnsi="Times New Roman"/>
          <w:sz w:val="22"/>
          <w:szCs w:val="22"/>
          <w:lang w:val="lt-LT"/>
        </w:rPr>
      </w:pPr>
      <w:r w:rsidRPr="0026536C">
        <w:rPr>
          <w:rFonts w:ascii="Times New Roman" w:hAnsi="Times New Roman"/>
          <w:sz w:val="22"/>
          <w:szCs w:val="22"/>
          <w:lang w:val="lt-LT"/>
        </w:rPr>
        <w:t>1103 Budapest, Vengrija</w:t>
      </w:r>
    </w:p>
    <w:p w14:paraId="17C18245" w14:textId="77777777" w:rsidR="00D75E9B" w:rsidRPr="0026536C" w:rsidRDefault="00D75E9B" w:rsidP="00D75E9B">
      <w:pPr>
        <w:rPr>
          <w:rFonts w:ascii="Times New Roman" w:hAnsi="Times New Roman"/>
          <w:sz w:val="22"/>
          <w:szCs w:val="22"/>
          <w:lang w:val="lt-LT"/>
        </w:rPr>
      </w:pPr>
    </w:p>
    <w:p w14:paraId="17C18246" w14:textId="77777777" w:rsidR="00D75E9B" w:rsidRPr="0026536C" w:rsidRDefault="00D75E9B" w:rsidP="00D75E9B">
      <w:pPr>
        <w:rPr>
          <w:rFonts w:ascii="Times New Roman" w:hAnsi="Times New Roman"/>
          <w:sz w:val="22"/>
          <w:szCs w:val="22"/>
          <w:lang w:val="lt-LT"/>
        </w:rPr>
      </w:pPr>
      <w:r w:rsidRPr="0026536C">
        <w:rPr>
          <w:rFonts w:ascii="Times New Roman" w:hAnsi="Times New Roman"/>
          <w:sz w:val="22"/>
          <w:szCs w:val="22"/>
          <w:lang w:val="lt-LT"/>
        </w:rPr>
        <w:t>((RG logo))</w:t>
      </w:r>
    </w:p>
    <w:p w14:paraId="17C18247" w14:textId="77777777" w:rsidR="00D75E9B" w:rsidRPr="0026536C" w:rsidRDefault="00D75E9B" w:rsidP="00D75E9B">
      <w:pPr>
        <w:rPr>
          <w:rFonts w:ascii="Times New Roman" w:hAnsi="Times New Roman"/>
          <w:sz w:val="22"/>
          <w:szCs w:val="22"/>
          <w:lang w:val="lt-LT"/>
        </w:rPr>
      </w:pPr>
    </w:p>
    <w:p w14:paraId="17C18248" w14:textId="77777777" w:rsidR="00D75E9B" w:rsidRPr="0026536C" w:rsidRDefault="00D75E9B" w:rsidP="00D75E9B">
      <w:pPr>
        <w:rPr>
          <w:rFonts w:ascii="Times New Roman" w:hAnsi="Times New Roman"/>
          <w:sz w:val="22"/>
          <w:szCs w:val="22"/>
          <w:lang w:val="lt-LT"/>
        </w:rPr>
      </w:pPr>
    </w:p>
    <w:p w14:paraId="17C18249"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12.</w:t>
      </w:r>
      <w:r w:rsidRPr="0026536C">
        <w:rPr>
          <w:rFonts w:ascii="Times New Roman" w:hAnsi="Times New Roman"/>
          <w:b/>
          <w:sz w:val="22"/>
          <w:szCs w:val="22"/>
          <w:lang w:val="lt-LT"/>
        </w:rPr>
        <w:tab/>
      </w:r>
      <w:r w:rsidRPr="0026536C">
        <w:rPr>
          <w:rFonts w:ascii="Times New Roman" w:hAnsi="Times New Roman"/>
          <w:b/>
          <w:caps/>
          <w:sz w:val="22"/>
          <w:szCs w:val="22"/>
          <w:lang w:val="lt-LT"/>
        </w:rPr>
        <w:t>REGISTRACIJOS pažymėjimo numeris</w:t>
      </w:r>
      <w:r w:rsidRPr="0026536C">
        <w:rPr>
          <w:rFonts w:ascii="Times New Roman" w:hAnsi="Times New Roman"/>
          <w:b/>
          <w:sz w:val="22"/>
          <w:szCs w:val="22"/>
          <w:lang w:val="lt-LT"/>
        </w:rPr>
        <w:t xml:space="preserve"> (-IAI)</w:t>
      </w:r>
    </w:p>
    <w:p w14:paraId="17C1824A" w14:textId="77777777" w:rsidR="00D75E9B" w:rsidRPr="0026536C" w:rsidRDefault="00D75E9B" w:rsidP="00D75E9B">
      <w:pPr>
        <w:rPr>
          <w:rFonts w:ascii="Times New Roman" w:hAnsi="Times New Roman"/>
          <w:sz w:val="22"/>
          <w:szCs w:val="22"/>
          <w:lang w:val="lt-LT"/>
        </w:rPr>
      </w:pPr>
    </w:p>
    <w:p w14:paraId="17C1824B" w14:textId="77777777" w:rsidR="00D75E9B" w:rsidRPr="004C5A75" w:rsidRDefault="00D75E9B" w:rsidP="00D75E9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LT/1/09/1442/001</w:t>
      </w:r>
    </w:p>
    <w:p w14:paraId="17C1824C" w14:textId="77777777" w:rsidR="00D75E9B" w:rsidRPr="0026536C" w:rsidRDefault="00D75E9B" w:rsidP="00D75E9B">
      <w:pPr>
        <w:rPr>
          <w:rFonts w:ascii="Times New Roman" w:hAnsi="Times New Roman"/>
          <w:sz w:val="22"/>
          <w:szCs w:val="22"/>
          <w:lang w:val="lt-LT"/>
        </w:rPr>
      </w:pPr>
    </w:p>
    <w:p w14:paraId="17C1824D" w14:textId="77777777" w:rsidR="00D75E9B" w:rsidRPr="0026536C" w:rsidRDefault="00D75E9B" w:rsidP="00D75E9B">
      <w:pPr>
        <w:rPr>
          <w:rFonts w:ascii="Times New Roman" w:hAnsi="Times New Roman"/>
          <w:sz w:val="22"/>
          <w:szCs w:val="22"/>
          <w:lang w:val="lt-LT"/>
        </w:rPr>
      </w:pPr>
    </w:p>
    <w:p w14:paraId="17C1824E"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13.</w:t>
      </w:r>
      <w:r w:rsidRPr="0026536C">
        <w:rPr>
          <w:rFonts w:ascii="Times New Roman" w:hAnsi="Times New Roman"/>
          <w:b/>
          <w:sz w:val="22"/>
          <w:szCs w:val="22"/>
          <w:lang w:val="lt-LT"/>
        </w:rPr>
        <w:tab/>
        <w:t>SERIJOS NUMERIS</w:t>
      </w:r>
    </w:p>
    <w:p w14:paraId="17C1824F" w14:textId="77777777" w:rsidR="00D75E9B" w:rsidRPr="0026536C" w:rsidRDefault="00D75E9B" w:rsidP="00D75E9B">
      <w:pPr>
        <w:rPr>
          <w:rFonts w:ascii="Times New Roman" w:hAnsi="Times New Roman"/>
          <w:sz w:val="22"/>
          <w:szCs w:val="22"/>
          <w:lang w:val="lt-LT"/>
        </w:rPr>
      </w:pPr>
    </w:p>
    <w:p w14:paraId="17C18250" w14:textId="77777777" w:rsidR="00D75E9B" w:rsidRPr="004C5A75" w:rsidRDefault="00D75E9B" w:rsidP="00D75E9B">
      <w:pPr>
        <w:pStyle w:val="Pagrindinistekstas"/>
        <w:rPr>
          <w:rFonts w:ascii="Times New Roman" w:hAnsi="Times New Roman"/>
          <w:color w:val="auto"/>
          <w:lang w:val="lt-LT"/>
        </w:rPr>
      </w:pPr>
      <w:r w:rsidRPr="0026536C">
        <w:rPr>
          <w:rFonts w:ascii="Times New Roman" w:hAnsi="Times New Roman"/>
          <w:color w:val="auto"/>
          <w:lang w:val="lt-LT"/>
        </w:rPr>
        <w:t>Serija</w:t>
      </w:r>
    </w:p>
    <w:p w14:paraId="17C18251" w14:textId="77777777" w:rsidR="00D75E9B" w:rsidRPr="0026536C" w:rsidRDefault="00D75E9B" w:rsidP="00D75E9B">
      <w:pPr>
        <w:rPr>
          <w:rFonts w:ascii="Times New Roman" w:hAnsi="Times New Roman"/>
          <w:sz w:val="22"/>
          <w:szCs w:val="22"/>
          <w:lang w:val="lt-LT"/>
        </w:rPr>
      </w:pPr>
    </w:p>
    <w:p w14:paraId="17C18252" w14:textId="77777777" w:rsidR="00D75E9B" w:rsidRPr="0026536C" w:rsidRDefault="00D75E9B" w:rsidP="00D75E9B">
      <w:pPr>
        <w:rPr>
          <w:rFonts w:ascii="Times New Roman" w:hAnsi="Times New Roman"/>
          <w:sz w:val="22"/>
          <w:szCs w:val="22"/>
          <w:lang w:val="lt-LT"/>
        </w:rPr>
      </w:pPr>
    </w:p>
    <w:p w14:paraId="17C18253"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14.</w:t>
      </w:r>
      <w:r w:rsidRPr="0026536C">
        <w:rPr>
          <w:rFonts w:ascii="Times New Roman" w:hAnsi="Times New Roman"/>
          <w:b/>
          <w:sz w:val="22"/>
          <w:szCs w:val="22"/>
          <w:lang w:val="lt-LT"/>
        </w:rPr>
        <w:tab/>
        <w:t xml:space="preserve">PARDAVIMO (IŠDAVIMO) TVARKA </w:t>
      </w:r>
    </w:p>
    <w:p w14:paraId="17C18254" w14:textId="77777777" w:rsidR="00D75E9B" w:rsidRPr="0026536C" w:rsidRDefault="00D75E9B" w:rsidP="00D75E9B">
      <w:pPr>
        <w:rPr>
          <w:rFonts w:ascii="Times New Roman" w:hAnsi="Times New Roman"/>
          <w:sz w:val="22"/>
          <w:szCs w:val="22"/>
          <w:lang w:val="lt-LT"/>
        </w:rPr>
      </w:pPr>
    </w:p>
    <w:p w14:paraId="17C18255" w14:textId="77777777" w:rsidR="00D75E9B" w:rsidRPr="0026536C" w:rsidRDefault="00D75E9B" w:rsidP="00D75E9B">
      <w:pPr>
        <w:pStyle w:val="Pagrindinistekstas"/>
        <w:rPr>
          <w:rFonts w:ascii="Times New Roman" w:hAnsi="Times New Roman"/>
          <w:color w:val="auto"/>
          <w:lang w:val="lt-LT"/>
        </w:rPr>
      </w:pPr>
      <w:r w:rsidRPr="0026536C">
        <w:rPr>
          <w:rFonts w:ascii="Times New Roman" w:hAnsi="Times New Roman"/>
          <w:color w:val="auto"/>
          <w:lang w:val="lt-LT"/>
        </w:rPr>
        <w:t xml:space="preserve">Receptinis </w:t>
      </w:r>
      <w:r w:rsidR="007420AA">
        <w:rPr>
          <w:rFonts w:ascii="Times New Roman" w:hAnsi="Times New Roman"/>
          <w:color w:val="auto"/>
          <w:lang w:val="lt-LT"/>
        </w:rPr>
        <w:t>vaistas</w:t>
      </w:r>
      <w:r w:rsidRPr="0026536C">
        <w:rPr>
          <w:rFonts w:ascii="Times New Roman" w:hAnsi="Times New Roman"/>
          <w:color w:val="auto"/>
          <w:lang w:val="lt-LT"/>
        </w:rPr>
        <w:t>.</w:t>
      </w:r>
    </w:p>
    <w:p w14:paraId="17C18256" w14:textId="77777777" w:rsidR="00D75E9B" w:rsidRPr="0026536C" w:rsidRDefault="00D75E9B" w:rsidP="00D75E9B">
      <w:pPr>
        <w:rPr>
          <w:rFonts w:ascii="Times New Roman" w:hAnsi="Times New Roman"/>
          <w:sz w:val="22"/>
          <w:szCs w:val="22"/>
          <w:lang w:val="lt-LT"/>
        </w:rPr>
      </w:pPr>
    </w:p>
    <w:p w14:paraId="17C18257" w14:textId="77777777" w:rsidR="00D75E9B" w:rsidRPr="0026536C" w:rsidRDefault="00D75E9B" w:rsidP="00D75E9B">
      <w:pPr>
        <w:rPr>
          <w:rFonts w:ascii="Times New Roman" w:hAnsi="Times New Roman"/>
          <w:sz w:val="22"/>
          <w:szCs w:val="22"/>
          <w:lang w:val="lt-LT"/>
        </w:rPr>
      </w:pPr>
    </w:p>
    <w:p w14:paraId="17C18258"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15.</w:t>
      </w:r>
      <w:r w:rsidRPr="0026536C">
        <w:rPr>
          <w:rFonts w:ascii="Times New Roman" w:hAnsi="Times New Roman"/>
          <w:b/>
          <w:sz w:val="22"/>
          <w:szCs w:val="22"/>
          <w:lang w:val="lt-LT"/>
        </w:rPr>
        <w:tab/>
      </w:r>
      <w:r w:rsidRPr="0026536C">
        <w:rPr>
          <w:rFonts w:ascii="Times New Roman" w:hAnsi="Times New Roman"/>
          <w:b/>
          <w:caps/>
          <w:sz w:val="22"/>
          <w:szCs w:val="22"/>
          <w:lang w:val="lt-LT"/>
        </w:rPr>
        <w:t>vartojimo instrukcijA</w:t>
      </w:r>
    </w:p>
    <w:p w14:paraId="17C18259" w14:textId="77777777" w:rsidR="00D75E9B" w:rsidRPr="0026536C" w:rsidRDefault="00D75E9B" w:rsidP="00D75E9B">
      <w:pPr>
        <w:rPr>
          <w:rFonts w:ascii="Times New Roman" w:hAnsi="Times New Roman"/>
          <w:sz w:val="22"/>
          <w:szCs w:val="22"/>
          <w:lang w:val="lt-LT"/>
        </w:rPr>
      </w:pPr>
    </w:p>
    <w:p w14:paraId="17C1825A" w14:textId="77777777" w:rsidR="00D75E9B" w:rsidRPr="0026536C" w:rsidRDefault="00D75E9B" w:rsidP="00D75E9B">
      <w:pPr>
        <w:rPr>
          <w:rFonts w:ascii="Times New Roman" w:hAnsi="Times New Roman"/>
          <w:sz w:val="22"/>
          <w:szCs w:val="22"/>
          <w:lang w:val="lt-LT"/>
        </w:rPr>
      </w:pPr>
    </w:p>
    <w:p w14:paraId="17C1825B" w14:textId="77777777" w:rsidR="00D75E9B" w:rsidRPr="0026536C"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26536C">
        <w:rPr>
          <w:rFonts w:ascii="Times New Roman" w:hAnsi="Times New Roman"/>
          <w:b/>
          <w:sz w:val="22"/>
          <w:szCs w:val="22"/>
          <w:lang w:val="lt-LT"/>
        </w:rPr>
        <w:t>16.</w:t>
      </w:r>
      <w:r w:rsidRPr="0026536C">
        <w:rPr>
          <w:rFonts w:ascii="Times New Roman" w:hAnsi="Times New Roman"/>
          <w:b/>
          <w:sz w:val="22"/>
          <w:szCs w:val="22"/>
          <w:lang w:val="lt-LT"/>
        </w:rPr>
        <w:tab/>
        <w:t>INFORMACIJA BRAILIO RAŠTU</w:t>
      </w:r>
    </w:p>
    <w:p w14:paraId="17C1825C" w14:textId="77777777" w:rsidR="00D75E9B" w:rsidRPr="0026536C" w:rsidRDefault="00D75E9B" w:rsidP="00D75E9B">
      <w:pPr>
        <w:rPr>
          <w:rFonts w:ascii="Times New Roman" w:hAnsi="Times New Roman"/>
          <w:sz w:val="22"/>
          <w:szCs w:val="22"/>
          <w:lang w:val="lt-LT"/>
        </w:rPr>
      </w:pPr>
    </w:p>
    <w:p w14:paraId="17C1825D" w14:textId="77777777" w:rsidR="00D75E9B" w:rsidRPr="0026536C" w:rsidRDefault="00D75E9B" w:rsidP="00D75E9B">
      <w:pPr>
        <w:rPr>
          <w:rFonts w:ascii="Times New Roman" w:hAnsi="Times New Roman"/>
          <w:sz w:val="22"/>
          <w:szCs w:val="22"/>
          <w:lang w:val="lt-LT"/>
        </w:rPr>
      </w:pPr>
      <w:r w:rsidRPr="0026536C">
        <w:rPr>
          <w:rFonts w:ascii="Times New Roman" w:hAnsi="Times New Roman"/>
          <w:sz w:val="22"/>
          <w:szCs w:val="22"/>
          <w:lang w:val="lt-LT"/>
        </w:rPr>
        <w:t>DIRONORM 10/5 mg</w:t>
      </w:r>
    </w:p>
    <w:p w14:paraId="17C1825E" w14:textId="77777777" w:rsidR="00D75E9B" w:rsidRPr="0026536C" w:rsidRDefault="00D75E9B" w:rsidP="00D75E9B">
      <w:pPr>
        <w:rPr>
          <w:rFonts w:ascii="Times New Roman" w:hAnsi="Times New Roman"/>
          <w:b/>
          <w:sz w:val="22"/>
          <w:szCs w:val="22"/>
          <w:lang w:val="lt-LT"/>
        </w:rPr>
      </w:pPr>
    </w:p>
    <w:p w14:paraId="17C1825F" w14:textId="77777777" w:rsidR="00D75E9B" w:rsidRPr="0026536C" w:rsidRDefault="00D75E9B" w:rsidP="00D75E9B">
      <w:pPr>
        <w:pStyle w:val="Pagrindinistekstas"/>
        <w:rPr>
          <w:rFonts w:ascii="Times New Roman" w:hAnsi="Times New Roman"/>
          <w:color w:val="auto"/>
          <w:lang w:val="lt-LT"/>
        </w:rPr>
      </w:pPr>
    </w:p>
    <w:p w14:paraId="17C18260" w14:textId="77777777" w:rsidR="00D75E9B" w:rsidRPr="0026536C" w:rsidRDefault="00D75E9B" w:rsidP="00D75E9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26536C">
        <w:rPr>
          <w:rFonts w:ascii="Times New Roman" w:hAnsi="Times New Roman"/>
          <w:b/>
          <w:sz w:val="22"/>
          <w:szCs w:val="22"/>
          <w:lang w:val="lt-LT"/>
        </w:rPr>
        <w:t>17.</w:t>
      </w:r>
      <w:r w:rsidRPr="0026536C">
        <w:rPr>
          <w:rFonts w:ascii="Times New Roman" w:hAnsi="Times New Roman"/>
          <w:b/>
          <w:sz w:val="22"/>
          <w:szCs w:val="22"/>
          <w:lang w:val="lt-LT"/>
        </w:rPr>
        <w:tab/>
        <w:t>UNIKALUS IDENTIFIKATORIUS – 2D BRŪKŠNINIS KODAS</w:t>
      </w:r>
    </w:p>
    <w:p w14:paraId="17C18261" w14:textId="77777777" w:rsidR="00D75E9B" w:rsidRPr="0026536C" w:rsidRDefault="00D75E9B" w:rsidP="00D75E9B">
      <w:pPr>
        <w:rPr>
          <w:rFonts w:ascii="Times New Roman" w:hAnsi="Times New Roman"/>
          <w:sz w:val="22"/>
          <w:szCs w:val="22"/>
          <w:lang w:val="lt-LT"/>
        </w:rPr>
      </w:pPr>
    </w:p>
    <w:p w14:paraId="17C18262" w14:textId="77777777" w:rsidR="00D75E9B" w:rsidRPr="0026536C" w:rsidRDefault="00D75E9B" w:rsidP="00D75E9B">
      <w:pPr>
        <w:tabs>
          <w:tab w:val="left" w:pos="567"/>
        </w:tabs>
        <w:rPr>
          <w:rFonts w:ascii="Times New Roman" w:hAnsi="Times New Roman"/>
          <w:sz w:val="22"/>
          <w:szCs w:val="22"/>
          <w:shd w:val="clear" w:color="auto" w:fill="CCCCCC"/>
          <w:lang w:val="lt-LT" w:eastAsia="lt-LT" w:bidi="lt-LT"/>
        </w:rPr>
      </w:pPr>
      <w:r w:rsidRPr="00D41710">
        <w:rPr>
          <w:rFonts w:ascii="Times New Roman" w:hAnsi="Times New Roman"/>
          <w:sz w:val="22"/>
          <w:highlight w:val="lightGray"/>
          <w:lang w:val="lt-LT"/>
        </w:rPr>
        <w:t>&lt;2D brūkšninis kodas su nurodytu unikaliu identifikatoriumi.&gt;</w:t>
      </w:r>
    </w:p>
    <w:p w14:paraId="17C18263" w14:textId="77777777" w:rsidR="00D75E9B" w:rsidRPr="0026536C" w:rsidRDefault="00D75E9B" w:rsidP="00D75E9B">
      <w:pPr>
        <w:rPr>
          <w:rFonts w:ascii="Times New Roman" w:hAnsi="Times New Roman"/>
          <w:sz w:val="22"/>
          <w:szCs w:val="22"/>
          <w:lang w:val="lt-LT"/>
        </w:rPr>
      </w:pPr>
    </w:p>
    <w:p w14:paraId="17C18264" w14:textId="77777777" w:rsidR="00D75E9B" w:rsidRPr="0026536C" w:rsidRDefault="00D75E9B" w:rsidP="00D75E9B">
      <w:pPr>
        <w:rPr>
          <w:rFonts w:ascii="Times New Roman" w:hAnsi="Times New Roman"/>
          <w:sz w:val="22"/>
          <w:szCs w:val="22"/>
          <w:lang w:val="lt-LT"/>
        </w:rPr>
      </w:pPr>
    </w:p>
    <w:p w14:paraId="17C18265" w14:textId="77777777" w:rsidR="00D75E9B" w:rsidRPr="0026536C" w:rsidRDefault="00D75E9B" w:rsidP="00D75E9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26536C">
        <w:rPr>
          <w:rFonts w:ascii="Times New Roman" w:hAnsi="Times New Roman"/>
          <w:b/>
          <w:sz w:val="22"/>
          <w:szCs w:val="22"/>
          <w:lang w:val="lt-LT"/>
        </w:rPr>
        <w:t>18.</w:t>
      </w:r>
      <w:r w:rsidRPr="0026536C">
        <w:rPr>
          <w:rFonts w:ascii="Times New Roman" w:hAnsi="Times New Roman"/>
          <w:b/>
          <w:sz w:val="22"/>
          <w:szCs w:val="22"/>
          <w:lang w:val="lt-LT"/>
        </w:rPr>
        <w:tab/>
        <w:t>UNIKALUS IDENTIFIKATORIUS – ŽMONĖMS SUPRANTAMI DUOMENYS</w:t>
      </w:r>
    </w:p>
    <w:p w14:paraId="17C18266" w14:textId="77777777" w:rsidR="00D75E9B" w:rsidRPr="0026536C" w:rsidRDefault="00D75E9B" w:rsidP="00D75E9B">
      <w:pPr>
        <w:pStyle w:val="Pagrindinistekstas"/>
        <w:rPr>
          <w:rFonts w:ascii="Times New Roman" w:hAnsi="Times New Roman"/>
          <w:color w:val="auto"/>
          <w:szCs w:val="22"/>
          <w:lang w:val="lt-LT"/>
        </w:rPr>
      </w:pPr>
    </w:p>
    <w:p w14:paraId="17C18267" w14:textId="77777777" w:rsidR="00D75E9B" w:rsidRPr="0026536C" w:rsidRDefault="00D75E9B" w:rsidP="00D75E9B">
      <w:pPr>
        <w:tabs>
          <w:tab w:val="left" w:pos="567"/>
        </w:tabs>
        <w:spacing w:line="260" w:lineRule="exact"/>
        <w:rPr>
          <w:rFonts w:ascii="Times New Roman" w:hAnsi="Times New Roman"/>
          <w:sz w:val="22"/>
          <w:szCs w:val="22"/>
          <w:lang w:val="lt-LT" w:eastAsia="lt-LT" w:bidi="lt-LT"/>
        </w:rPr>
      </w:pPr>
      <w:r w:rsidRPr="004C5A75">
        <w:rPr>
          <w:rFonts w:ascii="Times New Roman" w:hAnsi="Times New Roman"/>
          <w:sz w:val="22"/>
          <w:szCs w:val="20"/>
          <w:lang w:val="lt-LT" w:eastAsia="lt-LT" w:bidi="lt-LT"/>
        </w:rPr>
        <w:t xml:space="preserve">PC: {numeris} </w:t>
      </w:r>
      <w:r w:rsidRPr="0026536C">
        <w:rPr>
          <w:rFonts w:ascii="Times New Roman" w:hAnsi="Times New Roman"/>
          <w:sz w:val="22"/>
          <w:szCs w:val="20"/>
          <w:lang w:val="lt-LT" w:eastAsia="lt-LT" w:bidi="lt-LT"/>
        </w:rPr>
        <w:t>[preparato kodas]</w:t>
      </w:r>
    </w:p>
    <w:p w14:paraId="17C18268" w14:textId="77777777" w:rsidR="00D75E9B" w:rsidRPr="004C5A75" w:rsidRDefault="00D75E9B" w:rsidP="00D75E9B">
      <w:pPr>
        <w:tabs>
          <w:tab w:val="left" w:pos="567"/>
        </w:tabs>
        <w:spacing w:line="260" w:lineRule="exact"/>
        <w:rPr>
          <w:rFonts w:ascii="Times New Roman" w:hAnsi="Times New Roman"/>
          <w:sz w:val="22"/>
          <w:szCs w:val="22"/>
          <w:lang w:val="lt-LT" w:eastAsia="lt-LT" w:bidi="lt-LT"/>
        </w:rPr>
      </w:pPr>
      <w:r w:rsidRPr="004C5A75">
        <w:rPr>
          <w:rFonts w:ascii="Times New Roman" w:hAnsi="Times New Roman"/>
          <w:sz w:val="22"/>
          <w:szCs w:val="20"/>
          <w:lang w:val="lt-LT" w:eastAsia="lt-LT" w:bidi="lt-LT"/>
        </w:rPr>
        <w:t xml:space="preserve">SN: {numeris} </w:t>
      </w:r>
      <w:r w:rsidRPr="0026536C">
        <w:rPr>
          <w:rFonts w:ascii="Times New Roman" w:hAnsi="Times New Roman"/>
          <w:sz w:val="22"/>
          <w:szCs w:val="20"/>
          <w:lang w:val="lt-LT" w:eastAsia="lt-LT" w:bidi="lt-LT"/>
        </w:rPr>
        <w:t>[nuoseklusis numeris]</w:t>
      </w:r>
    </w:p>
    <w:p w14:paraId="17C18269" w14:textId="77777777" w:rsidR="00D75E9B" w:rsidRPr="0026536C" w:rsidRDefault="00D75E9B" w:rsidP="00D75E9B">
      <w:pPr>
        <w:rPr>
          <w:rFonts w:ascii="Times New Roman" w:hAnsi="Times New Roman"/>
          <w:b/>
          <w:sz w:val="22"/>
          <w:szCs w:val="22"/>
          <w:lang w:val="lt-LT"/>
        </w:rPr>
      </w:pPr>
    </w:p>
    <w:p w14:paraId="17C1826A" w14:textId="77777777" w:rsidR="00D75E9B" w:rsidRPr="0026536C" w:rsidRDefault="00D75E9B" w:rsidP="00D75E9B">
      <w:pPr>
        <w:rPr>
          <w:rFonts w:ascii="Times New Roman" w:hAnsi="Times New Roman"/>
          <w:b/>
          <w:sz w:val="22"/>
          <w:szCs w:val="22"/>
          <w:lang w:val="lt-LT"/>
        </w:rPr>
      </w:pPr>
      <w:r w:rsidRPr="0026536C">
        <w:rPr>
          <w:rFonts w:ascii="Times New Roman" w:hAnsi="Times New Roman"/>
          <w:b/>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26D" w14:textId="77777777" w:rsidTr="000B746C">
        <w:trPr>
          <w:trHeight w:val="442"/>
        </w:trPr>
        <w:tc>
          <w:tcPr>
            <w:tcW w:w="9287" w:type="dxa"/>
            <w:tcBorders>
              <w:top w:val="single" w:sz="4" w:space="0" w:color="auto"/>
              <w:left w:val="single" w:sz="4" w:space="0" w:color="auto"/>
              <w:bottom w:val="single" w:sz="4" w:space="0" w:color="auto"/>
              <w:right w:val="single" w:sz="4" w:space="0" w:color="auto"/>
            </w:tcBorders>
          </w:tcPr>
          <w:p w14:paraId="17C1826B" w14:textId="77777777" w:rsidR="00D75E9B" w:rsidRPr="0026536C" w:rsidRDefault="00D75E9B" w:rsidP="000B746C">
            <w:pPr>
              <w:rPr>
                <w:rFonts w:ascii="Times New Roman" w:hAnsi="Times New Roman"/>
                <w:b/>
                <w:sz w:val="22"/>
                <w:szCs w:val="22"/>
                <w:lang w:val="lt-LT" w:eastAsia="lt-LT"/>
              </w:rPr>
            </w:pPr>
            <w:r w:rsidRPr="0026536C">
              <w:rPr>
                <w:rFonts w:ascii="Times New Roman" w:hAnsi="Times New Roman"/>
                <w:b/>
                <w:sz w:val="22"/>
                <w:szCs w:val="22"/>
                <w:lang w:val="lt-LT" w:eastAsia="lt-LT"/>
              </w:rPr>
              <w:lastRenderedPageBreak/>
              <w:t xml:space="preserve">MINIMALI </w:t>
            </w:r>
            <w:r w:rsidRPr="0026536C">
              <w:rPr>
                <w:rFonts w:ascii="Times New Roman" w:hAnsi="Times New Roman"/>
                <w:b/>
                <w:caps/>
                <w:sz w:val="22"/>
                <w:szCs w:val="22"/>
                <w:lang w:val="lt-LT" w:eastAsia="lt-LT"/>
              </w:rPr>
              <w:t xml:space="preserve">informacija ant </w:t>
            </w:r>
            <w:r w:rsidRPr="0026536C">
              <w:rPr>
                <w:rFonts w:ascii="Times New Roman" w:hAnsi="Times New Roman"/>
                <w:b/>
                <w:sz w:val="22"/>
                <w:szCs w:val="22"/>
                <w:lang w:val="lt-LT" w:eastAsia="lt-LT"/>
              </w:rPr>
              <w:t xml:space="preserve">LIZDINIŲ PLOKŠTELIŲ </w:t>
            </w:r>
          </w:p>
          <w:p w14:paraId="17C1826C" w14:textId="77777777" w:rsidR="00D75E9B" w:rsidRPr="0026536C" w:rsidRDefault="00D75E9B" w:rsidP="000B746C">
            <w:pPr>
              <w:rPr>
                <w:rFonts w:ascii="Times New Roman" w:hAnsi="Times New Roman"/>
                <w:b/>
                <w:sz w:val="22"/>
                <w:szCs w:val="22"/>
                <w:lang w:val="lt-LT" w:eastAsia="lt-LT"/>
              </w:rPr>
            </w:pPr>
          </w:p>
        </w:tc>
      </w:tr>
    </w:tbl>
    <w:p w14:paraId="17C1826E" w14:textId="77777777" w:rsidR="00D75E9B" w:rsidRPr="0026536C" w:rsidRDefault="00D75E9B" w:rsidP="00D75E9B">
      <w:pPr>
        <w:rPr>
          <w:rFonts w:ascii="Times New Roman" w:hAnsi="Times New Roman"/>
          <w:b/>
          <w:sz w:val="22"/>
          <w:szCs w:val="22"/>
          <w:lang w:val="lt-LT"/>
        </w:rPr>
      </w:pPr>
    </w:p>
    <w:p w14:paraId="17C1826F" w14:textId="77777777" w:rsidR="00D75E9B" w:rsidRPr="0026536C" w:rsidRDefault="00D75E9B" w:rsidP="00D75E9B">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271"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270" w14:textId="77777777" w:rsidR="00D75E9B" w:rsidRPr="0026536C" w:rsidRDefault="00D75E9B" w:rsidP="000B746C">
            <w:pPr>
              <w:tabs>
                <w:tab w:val="left" w:pos="142"/>
              </w:tabs>
              <w:rPr>
                <w:rFonts w:ascii="Times New Roman" w:hAnsi="Times New Roman"/>
                <w:b/>
                <w:sz w:val="22"/>
                <w:szCs w:val="22"/>
                <w:lang w:val="lt-LT" w:eastAsia="lt-LT"/>
              </w:rPr>
            </w:pPr>
            <w:r w:rsidRPr="0026536C">
              <w:rPr>
                <w:rFonts w:ascii="Times New Roman" w:hAnsi="Times New Roman"/>
                <w:b/>
                <w:sz w:val="22"/>
                <w:szCs w:val="22"/>
                <w:lang w:val="lt-LT" w:eastAsia="lt-LT"/>
              </w:rPr>
              <w:t>1.</w:t>
            </w:r>
            <w:r w:rsidRPr="0026536C">
              <w:rPr>
                <w:rFonts w:ascii="Times New Roman" w:hAnsi="Times New Roman"/>
                <w:b/>
                <w:sz w:val="22"/>
                <w:szCs w:val="22"/>
                <w:lang w:val="lt-LT" w:eastAsia="lt-LT"/>
              </w:rPr>
              <w:tab/>
            </w:r>
            <w:r w:rsidRPr="0026536C">
              <w:rPr>
                <w:rFonts w:ascii="Times New Roman" w:hAnsi="Times New Roman"/>
                <w:b/>
                <w:caps/>
                <w:sz w:val="22"/>
                <w:szCs w:val="22"/>
                <w:lang w:val="lt-LT" w:eastAsia="lt-LT"/>
              </w:rPr>
              <w:t>Vaistinio preparato pavadinimas</w:t>
            </w:r>
          </w:p>
        </w:tc>
      </w:tr>
    </w:tbl>
    <w:p w14:paraId="17C18272" w14:textId="77777777" w:rsidR="00D75E9B" w:rsidRPr="0026536C" w:rsidRDefault="00D75E9B" w:rsidP="00D75E9B">
      <w:pPr>
        <w:rPr>
          <w:rFonts w:ascii="Times New Roman" w:hAnsi="Times New Roman"/>
          <w:sz w:val="22"/>
          <w:szCs w:val="22"/>
          <w:lang w:val="lt-LT"/>
        </w:rPr>
      </w:pPr>
    </w:p>
    <w:p w14:paraId="17C18273" w14:textId="77777777" w:rsidR="00D75E9B" w:rsidRPr="0026536C" w:rsidRDefault="00D75E9B" w:rsidP="00D75E9B">
      <w:pPr>
        <w:pStyle w:val="Pagrindinistekstas"/>
        <w:rPr>
          <w:rFonts w:ascii="Times New Roman" w:hAnsi="Times New Roman"/>
          <w:color w:val="auto"/>
          <w:lang w:val="lt-LT"/>
        </w:rPr>
      </w:pPr>
      <w:r w:rsidRPr="0026536C">
        <w:rPr>
          <w:rFonts w:ascii="Times New Roman" w:hAnsi="Times New Roman"/>
          <w:color w:val="auto"/>
          <w:lang w:val="lt-LT"/>
        </w:rPr>
        <w:t>DIRONORM 10 mg/5 mg tabletės</w:t>
      </w:r>
    </w:p>
    <w:p w14:paraId="17C18274" w14:textId="1637C2B4" w:rsidR="00D75E9B" w:rsidRPr="0026536C" w:rsidRDefault="0027344F" w:rsidP="00D75E9B">
      <w:pPr>
        <w:pStyle w:val="Pagrindinistekstas"/>
        <w:rPr>
          <w:rFonts w:ascii="Times New Roman" w:hAnsi="Times New Roman"/>
          <w:color w:val="auto"/>
          <w:lang w:val="lt-LT"/>
        </w:rPr>
      </w:pPr>
      <w:r>
        <w:rPr>
          <w:rFonts w:ascii="Times New Roman" w:hAnsi="Times New Roman"/>
          <w:color w:val="auto"/>
          <w:lang w:val="lt-LT"/>
        </w:rPr>
        <w:t>l</w:t>
      </w:r>
      <w:r w:rsidR="00D75E9B" w:rsidRPr="0026536C">
        <w:rPr>
          <w:rFonts w:ascii="Times New Roman" w:hAnsi="Times New Roman"/>
          <w:color w:val="auto"/>
          <w:lang w:val="lt-LT"/>
        </w:rPr>
        <w:t xml:space="preserve">isinoprilum / </w:t>
      </w:r>
      <w:r>
        <w:rPr>
          <w:rFonts w:ascii="Times New Roman" w:hAnsi="Times New Roman"/>
          <w:color w:val="auto"/>
          <w:lang w:val="lt-LT"/>
        </w:rPr>
        <w:t>a</w:t>
      </w:r>
      <w:r w:rsidR="00D75E9B" w:rsidRPr="0026536C">
        <w:rPr>
          <w:rFonts w:ascii="Times New Roman" w:hAnsi="Times New Roman"/>
          <w:color w:val="auto"/>
          <w:lang w:val="lt-LT"/>
        </w:rPr>
        <w:t>mlodipinum</w:t>
      </w:r>
    </w:p>
    <w:p w14:paraId="17C18275" w14:textId="77777777" w:rsidR="00D75E9B" w:rsidRPr="0026536C" w:rsidRDefault="00D75E9B" w:rsidP="00D75E9B">
      <w:pPr>
        <w:rPr>
          <w:rFonts w:ascii="Times New Roman" w:hAnsi="Times New Roman"/>
          <w:b/>
          <w:sz w:val="22"/>
          <w:szCs w:val="22"/>
          <w:lang w:val="lt-LT"/>
        </w:rPr>
      </w:pPr>
    </w:p>
    <w:p w14:paraId="17C18276" w14:textId="77777777" w:rsidR="00D75E9B" w:rsidRPr="0026536C" w:rsidRDefault="00D75E9B" w:rsidP="00D75E9B">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278"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277" w14:textId="77777777" w:rsidR="00D75E9B" w:rsidRPr="0026536C" w:rsidRDefault="00D75E9B" w:rsidP="000B746C">
            <w:pPr>
              <w:tabs>
                <w:tab w:val="left" w:pos="142"/>
              </w:tabs>
              <w:rPr>
                <w:rFonts w:ascii="Times New Roman" w:hAnsi="Times New Roman"/>
                <w:b/>
                <w:sz w:val="22"/>
                <w:szCs w:val="22"/>
                <w:lang w:val="lt-LT" w:eastAsia="lt-LT"/>
              </w:rPr>
            </w:pPr>
            <w:r w:rsidRPr="0026536C">
              <w:rPr>
                <w:rFonts w:ascii="Times New Roman" w:hAnsi="Times New Roman"/>
                <w:b/>
                <w:sz w:val="22"/>
                <w:szCs w:val="22"/>
                <w:lang w:val="lt-LT" w:eastAsia="lt-LT"/>
              </w:rPr>
              <w:t>2.</w:t>
            </w:r>
            <w:r w:rsidRPr="0026536C">
              <w:rPr>
                <w:rFonts w:ascii="Times New Roman" w:hAnsi="Times New Roman"/>
                <w:b/>
                <w:sz w:val="22"/>
                <w:szCs w:val="22"/>
                <w:lang w:val="lt-LT" w:eastAsia="lt-LT"/>
              </w:rPr>
              <w:tab/>
            </w:r>
            <w:r w:rsidRPr="0026536C">
              <w:rPr>
                <w:rFonts w:ascii="Times New Roman" w:hAnsi="Times New Roman"/>
                <w:b/>
                <w:caps/>
                <w:sz w:val="22"/>
                <w:szCs w:val="22"/>
                <w:lang w:val="lt-LT" w:eastAsia="lt-LT"/>
              </w:rPr>
              <w:t>REGISTRUOTOJO pavadinimas</w:t>
            </w:r>
          </w:p>
        </w:tc>
      </w:tr>
    </w:tbl>
    <w:p w14:paraId="17C18279" w14:textId="77777777" w:rsidR="00D75E9B" w:rsidRPr="0026536C" w:rsidRDefault="00D75E9B" w:rsidP="00D75E9B">
      <w:pPr>
        <w:rPr>
          <w:rFonts w:ascii="Times New Roman" w:hAnsi="Times New Roman"/>
          <w:b/>
          <w:sz w:val="22"/>
          <w:szCs w:val="22"/>
          <w:lang w:val="lt-LT"/>
        </w:rPr>
      </w:pPr>
    </w:p>
    <w:p w14:paraId="17C1827A" w14:textId="77777777" w:rsidR="00D75E9B" w:rsidRPr="0026536C" w:rsidRDefault="00D75E9B" w:rsidP="00D75E9B">
      <w:pPr>
        <w:jc w:val="both"/>
        <w:rPr>
          <w:rFonts w:ascii="Times New Roman" w:hAnsi="Times New Roman"/>
          <w:sz w:val="22"/>
          <w:szCs w:val="22"/>
          <w:lang w:val="lt-LT"/>
        </w:rPr>
      </w:pPr>
      <w:r w:rsidRPr="0026536C">
        <w:rPr>
          <w:rFonts w:ascii="Times New Roman" w:hAnsi="Times New Roman"/>
          <w:sz w:val="22"/>
          <w:szCs w:val="22"/>
          <w:lang w:val="lt-LT"/>
        </w:rPr>
        <w:t>Gedeon Richter Plc.</w:t>
      </w:r>
    </w:p>
    <w:p w14:paraId="17C1827B" w14:textId="77777777" w:rsidR="00D75E9B" w:rsidRPr="0026536C" w:rsidRDefault="00D75E9B" w:rsidP="00D75E9B">
      <w:pPr>
        <w:jc w:val="both"/>
        <w:rPr>
          <w:rFonts w:ascii="Times New Roman" w:hAnsi="Times New Roman"/>
          <w:sz w:val="22"/>
          <w:szCs w:val="22"/>
          <w:lang w:val="lt-LT"/>
        </w:rPr>
      </w:pPr>
    </w:p>
    <w:p w14:paraId="17C1827C" w14:textId="77777777" w:rsidR="00D75E9B" w:rsidRPr="0026536C" w:rsidRDefault="00D75E9B" w:rsidP="00D75E9B">
      <w:pPr>
        <w:jc w:val="both"/>
        <w:rPr>
          <w:rFonts w:ascii="Times New Roman" w:hAnsi="Times New Roman"/>
          <w:sz w:val="22"/>
          <w:szCs w:val="22"/>
          <w:lang w:val="lt-LT"/>
        </w:rPr>
      </w:pPr>
      <w:r w:rsidRPr="0026536C">
        <w:rPr>
          <w:rFonts w:ascii="Times New Roman" w:hAnsi="Times New Roman"/>
          <w:sz w:val="22"/>
          <w:szCs w:val="22"/>
          <w:lang w:val="lt-LT"/>
        </w:rPr>
        <w:t>((RG-emblema))</w:t>
      </w:r>
    </w:p>
    <w:p w14:paraId="17C1827D" w14:textId="77777777" w:rsidR="00D75E9B" w:rsidRPr="0026536C" w:rsidRDefault="00D75E9B" w:rsidP="00D75E9B">
      <w:pPr>
        <w:rPr>
          <w:rFonts w:ascii="Times New Roman" w:hAnsi="Times New Roman"/>
          <w:sz w:val="22"/>
          <w:szCs w:val="22"/>
          <w:lang w:val="lt-LT"/>
        </w:rPr>
      </w:pPr>
    </w:p>
    <w:p w14:paraId="17C1827E" w14:textId="77777777" w:rsidR="00D75E9B" w:rsidRPr="0026536C" w:rsidRDefault="00D75E9B" w:rsidP="00D75E9B">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280"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27F" w14:textId="77777777" w:rsidR="00D75E9B" w:rsidRPr="0026536C" w:rsidRDefault="00D75E9B" w:rsidP="000B746C">
            <w:pPr>
              <w:tabs>
                <w:tab w:val="left" w:pos="142"/>
              </w:tabs>
              <w:rPr>
                <w:rFonts w:ascii="Times New Roman" w:hAnsi="Times New Roman"/>
                <w:b/>
                <w:sz w:val="22"/>
                <w:szCs w:val="22"/>
                <w:lang w:val="lt-LT" w:eastAsia="lt-LT"/>
              </w:rPr>
            </w:pPr>
            <w:r w:rsidRPr="0026536C">
              <w:rPr>
                <w:rFonts w:ascii="Times New Roman" w:hAnsi="Times New Roman"/>
                <w:b/>
                <w:sz w:val="22"/>
                <w:szCs w:val="22"/>
                <w:lang w:val="lt-LT" w:eastAsia="lt-LT"/>
              </w:rPr>
              <w:t>3.</w:t>
            </w:r>
            <w:r w:rsidRPr="0026536C">
              <w:rPr>
                <w:rFonts w:ascii="Times New Roman" w:hAnsi="Times New Roman"/>
                <w:b/>
                <w:sz w:val="22"/>
                <w:szCs w:val="22"/>
                <w:lang w:val="lt-LT" w:eastAsia="lt-LT"/>
              </w:rPr>
              <w:tab/>
            </w:r>
            <w:r w:rsidRPr="0026536C">
              <w:rPr>
                <w:rFonts w:ascii="Times New Roman" w:hAnsi="Times New Roman"/>
                <w:b/>
                <w:caps/>
                <w:sz w:val="22"/>
                <w:szCs w:val="22"/>
                <w:lang w:val="lt-LT" w:eastAsia="lt-LT"/>
              </w:rPr>
              <w:t>tinkamumo laikas</w:t>
            </w:r>
          </w:p>
        </w:tc>
      </w:tr>
    </w:tbl>
    <w:p w14:paraId="17C18281" w14:textId="77777777" w:rsidR="00D75E9B" w:rsidRPr="0026536C" w:rsidRDefault="00D75E9B" w:rsidP="00D75E9B">
      <w:pPr>
        <w:pStyle w:val="Pagrindinistekstas"/>
        <w:rPr>
          <w:rFonts w:ascii="Times New Roman" w:eastAsia="Calibri" w:hAnsi="Times New Roman"/>
          <w:color w:val="auto"/>
          <w:lang w:val="lt-LT"/>
        </w:rPr>
      </w:pPr>
    </w:p>
    <w:p w14:paraId="17C18282" w14:textId="77777777" w:rsidR="00D75E9B" w:rsidRPr="0026536C" w:rsidRDefault="00C27EBE" w:rsidP="00D75E9B">
      <w:pPr>
        <w:pStyle w:val="Pagrindinistekstas"/>
        <w:rPr>
          <w:rFonts w:ascii="Times New Roman" w:hAnsi="Times New Roman"/>
          <w:vanish/>
          <w:color w:val="auto"/>
          <w:lang w:val="lt-LT"/>
        </w:rPr>
      </w:pPr>
      <w:r>
        <w:rPr>
          <w:rFonts w:ascii="Times New Roman" w:hAnsi="Times New Roman"/>
          <w:vanish/>
          <w:color w:val="auto"/>
          <w:lang w:val="lt-LT"/>
        </w:rPr>
        <w:t>[</w:t>
      </w:r>
      <w:r w:rsidR="00D75E9B" w:rsidRPr="0026536C">
        <w:rPr>
          <w:rFonts w:ascii="Times New Roman" w:hAnsi="Times New Roman"/>
          <w:vanish/>
          <w:color w:val="auto"/>
          <w:lang w:val="lt-LT"/>
        </w:rPr>
        <w:t>EXP]</w:t>
      </w:r>
      <w:r w:rsidRPr="00C27EBE">
        <w:rPr>
          <w:rFonts w:ascii="Times New Roman" w:hAnsi="Times New Roman"/>
          <w:color w:val="auto"/>
          <w:lang w:val="lt-LT"/>
        </w:rPr>
        <w:t xml:space="preserve"> </w:t>
      </w:r>
      <w:r w:rsidRPr="0026536C">
        <w:rPr>
          <w:rFonts w:ascii="Times New Roman" w:hAnsi="Times New Roman"/>
          <w:color w:val="auto"/>
          <w:lang w:val="lt-LT"/>
        </w:rPr>
        <w:t>{mm/MMMM}</w:t>
      </w:r>
    </w:p>
    <w:p w14:paraId="17C18283" w14:textId="77777777" w:rsidR="00D75E9B" w:rsidRPr="0026536C" w:rsidRDefault="00D75E9B" w:rsidP="00D75E9B">
      <w:pPr>
        <w:rPr>
          <w:rFonts w:ascii="Times New Roman" w:hAnsi="Times New Roman"/>
          <w:sz w:val="22"/>
          <w:szCs w:val="22"/>
          <w:lang w:val="lt-LT"/>
        </w:rPr>
      </w:pPr>
    </w:p>
    <w:p w14:paraId="17C18284" w14:textId="77777777" w:rsidR="00D75E9B" w:rsidRPr="0026536C" w:rsidRDefault="00D75E9B" w:rsidP="00D75E9B">
      <w:pPr>
        <w:rPr>
          <w:rFonts w:ascii="Times New Roman" w:hAnsi="Times New Roman"/>
          <w:sz w:val="22"/>
          <w:szCs w:val="22"/>
          <w:lang w:val="lt-LT"/>
        </w:rPr>
      </w:pPr>
    </w:p>
    <w:p w14:paraId="17C18285" w14:textId="77777777" w:rsidR="00D75E9B" w:rsidRPr="0026536C" w:rsidRDefault="00D75E9B" w:rsidP="00D75E9B">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287"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286" w14:textId="77777777" w:rsidR="00D75E9B" w:rsidRPr="0026536C" w:rsidRDefault="00D75E9B" w:rsidP="000B746C">
            <w:pPr>
              <w:tabs>
                <w:tab w:val="left" w:pos="142"/>
              </w:tabs>
              <w:rPr>
                <w:rFonts w:ascii="Times New Roman" w:hAnsi="Times New Roman"/>
                <w:b/>
                <w:sz w:val="22"/>
                <w:szCs w:val="22"/>
                <w:lang w:val="lt-LT" w:eastAsia="lt-LT"/>
              </w:rPr>
            </w:pPr>
            <w:r w:rsidRPr="0026536C">
              <w:rPr>
                <w:rFonts w:ascii="Times New Roman" w:hAnsi="Times New Roman"/>
                <w:b/>
                <w:sz w:val="22"/>
                <w:szCs w:val="22"/>
                <w:lang w:val="lt-LT" w:eastAsia="lt-LT"/>
              </w:rPr>
              <w:t>4.</w:t>
            </w:r>
            <w:r w:rsidRPr="0026536C">
              <w:rPr>
                <w:rFonts w:ascii="Times New Roman" w:hAnsi="Times New Roman"/>
                <w:b/>
                <w:sz w:val="22"/>
                <w:szCs w:val="22"/>
                <w:lang w:val="lt-LT" w:eastAsia="lt-LT"/>
              </w:rPr>
              <w:tab/>
            </w:r>
            <w:r w:rsidRPr="0026536C">
              <w:rPr>
                <w:rFonts w:ascii="Times New Roman" w:hAnsi="Times New Roman"/>
                <w:b/>
                <w:caps/>
                <w:sz w:val="22"/>
                <w:szCs w:val="22"/>
                <w:lang w:val="lt-LT" w:eastAsia="lt-LT"/>
              </w:rPr>
              <w:t>serijos numeris</w:t>
            </w:r>
          </w:p>
        </w:tc>
      </w:tr>
    </w:tbl>
    <w:p w14:paraId="17C18288" w14:textId="77777777" w:rsidR="00D75E9B" w:rsidRPr="0026536C" w:rsidRDefault="00D75E9B" w:rsidP="00D75E9B">
      <w:pPr>
        <w:pStyle w:val="Pagrindinistekstas"/>
        <w:rPr>
          <w:rFonts w:ascii="Times New Roman" w:eastAsia="Calibri" w:hAnsi="Times New Roman"/>
          <w:color w:val="auto"/>
          <w:lang w:val="lt-LT"/>
        </w:rPr>
      </w:pPr>
    </w:p>
    <w:p w14:paraId="17C18289" w14:textId="77777777" w:rsidR="00D75E9B" w:rsidRPr="004C5A75" w:rsidRDefault="00D75E9B" w:rsidP="00D75E9B">
      <w:pPr>
        <w:pStyle w:val="Pagrindinistekstas"/>
        <w:rPr>
          <w:rFonts w:ascii="Times New Roman" w:hAnsi="Times New Roman"/>
          <w:vanish/>
          <w:color w:val="auto"/>
          <w:lang w:val="lt-LT"/>
        </w:rPr>
      </w:pPr>
      <w:r w:rsidRPr="0026536C">
        <w:rPr>
          <w:rFonts w:ascii="Times New Roman" w:hAnsi="Times New Roman"/>
          <w:vanish/>
          <w:color w:val="auto"/>
          <w:lang w:val="lt-LT"/>
        </w:rPr>
        <w:t>[Lot]</w:t>
      </w:r>
    </w:p>
    <w:p w14:paraId="17C1828A" w14:textId="77777777" w:rsidR="00D75E9B" w:rsidRPr="0026536C" w:rsidRDefault="00D75E9B" w:rsidP="00D75E9B">
      <w:pPr>
        <w:ind w:right="113"/>
        <w:rPr>
          <w:rFonts w:ascii="Times New Roman" w:hAnsi="Times New Roman"/>
          <w:sz w:val="22"/>
          <w:szCs w:val="22"/>
          <w:lang w:val="lt-LT"/>
        </w:rPr>
      </w:pPr>
    </w:p>
    <w:p w14:paraId="17C1828B" w14:textId="77777777" w:rsidR="00D75E9B" w:rsidRPr="0026536C" w:rsidRDefault="00D75E9B" w:rsidP="00D75E9B">
      <w:pPr>
        <w:ind w:right="113"/>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28D"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28C" w14:textId="77777777" w:rsidR="00D75E9B" w:rsidRPr="0026536C" w:rsidRDefault="00D75E9B" w:rsidP="000B746C">
            <w:pPr>
              <w:tabs>
                <w:tab w:val="left" w:pos="142"/>
              </w:tabs>
              <w:rPr>
                <w:rFonts w:ascii="Times New Roman" w:hAnsi="Times New Roman"/>
                <w:b/>
                <w:sz w:val="22"/>
                <w:szCs w:val="22"/>
                <w:lang w:val="lt-LT" w:eastAsia="lt-LT"/>
              </w:rPr>
            </w:pPr>
            <w:r w:rsidRPr="0026536C">
              <w:rPr>
                <w:rFonts w:ascii="Times New Roman" w:hAnsi="Times New Roman"/>
                <w:b/>
                <w:sz w:val="22"/>
                <w:szCs w:val="22"/>
                <w:lang w:val="lt-LT" w:eastAsia="lt-LT"/>
              </w:rPr>
              <w:t>5.</w:t>
            </w:r>
            <w:r w:rsidRPr="0026536C">
              <w:rPr>
                <w:rFonts w:ascii="Times New Roman" w:hAnsi="Times New Roman"/>
                <w:b/>
                <w:sz w:val="22"/>
                <w:szCs w:val="22"/>
                <w:lang w:val="lt-LT" w:eastAsia="lt-LT"/>
              </w:rPr>
              <w:tab/>
              <w:t>KITA</w:t>
            </w:r>
          </w:p>
        </w:tc>
      </w:tr>
    </w:tbl>
    <w:p w14:paraId="17C1828E" w14:textId="77777777" w:rsidR="00D75E9B" w:rsidRPr="004C5A75" w:rsidRDefault="00D75E9B" w:rsidP="00D75E9B">
      <w:pPr>
        <w:rPr>
          <w:rFonts w:ascii="Times New Roman" w:hAnsi="Times New Roman"/>
          <w:sz w:val="22"/>
          <w:szCs w:val="22"/>
          <w:lang w:val="lt-LT"/>
        </w:rPr>
      </w:pPr>
    </w:p>
    <w:p w14:paraId="17C1828F" w14:textId="77777777" w:rsidR="00D75E9B" w:rsidRPr="004C5A75" w:rsidRDefault="00D75E9B" w:rsidP="00D75E9B">
      <w:pPr>
        <w:rPr>
          <w:rFonts w:ascii="Times New Roman" w:hAnsi="Times New Roman"/>
          <w:sz w:val="22"/>
          <w:szCs w:val="22"/>
          <w:lang w:val="lt-LT"/>
        </w:rPr>
      </w:pPr>
    </w:p>
    <w:p w14:paraId="17C18290" w14:textId="77777777" w:rsidR="00D75E9B" w:rsidRPr="004C5A75" w:rsidRDefault="00D75E9B" w:rsidP="00D75E9B">
      <w:pPr>
        <w:rPr>
          <w:rFonts w:ascii="Times New Roman" w:hAnsi="Times New Roman"/>
          <w:sz w:val="22"/>
          <w:szCs w:val="22"/>
          <w:lang w:val="lt-LT"/>
        </w:rPr>
      </w:pPr>
    </w:p>
    <w:p w14:paraId="17C18291" w14:textId="77777777" w:rsidR="00D75E9B" w:rsidRPr="004C5A75" w:rsidRDefault="00D75E9B" w:rsidP="00D75E9B">
      <w:pPr>
        <w:rPr>
          <w:rFonts w:ascii="Times New Roman" w:hAnsi="Times New Roman"/>
          <w:sz w:val="22"/>
          <w:szCs w:val="22"/>
          <w:lang w:val="lt-LT"/>
        </w:rPr>
      </w:pPr>
    </w:p>
    <w:p w14:paraId="17C18292" w14:textId="77777777" w:rsidR="00D75E9B" w:rsidRPr="004C5A75" w:rsidRDefault="00D75E9B" w:rsidP="00D75E9B">
      <w:pPr>
        <w:rPr>
          <w:rFonts w:ascii="Times New Roman" w:hAnsi="Times New Roman"/>
          <w:sz w:val="22"/>
          <w:szCs w:val="22"/>
          <w:lang w:val="lt-LT"/>
        </w:rPr>
      </w:pPr>
    </w:p>
    <w:p w14:paraId="17C18293" w14:textId="77777777" w:rsidR="00D75E9B" w:rsidRPr="004C5A75" w:rsidRDefault="00D75E9B" w:rsidP="00D75E9B">
      <w:pPr>
        <w:rPr>
          <w:rFonts w:ascii="Times New Roman" w:hAnsi="Times New Roman"/>
          <w:sz w:val="22"/>
          <w:szCs w:val="22"/>
          <w:lang w:val="lt-LT"/>
        </w:rPr>
      </w:pPr>
    </w:p>
    <w:p w14:paraId="17C18294" w14:textId="77777777" w:rsidR="00D75E9B" w:rsidRPr="004C5A75" w:rsidRDefault="00D75E9B" w:rsidP="00D75E9B">
      <w:pPr>
        <w:rPr>
          <w:rFonts w:ascii="Times New Roman" w:hAnsi="Times New Roman"/>
          <w:sz w:val="22"/>
          <w:szCs w:val="22"/>
          <w:lang w:val="lt-LT"/>
        </w:rPr>
      </w:pPr>
    </w:p>
    <w:p w14:paraId="17C18295" w14:textId="77777777" w:rsidR="00D75E9B" w:rsidRPr="004C5A75" w:rsidRDefault="00D75E9B" w:rsidP="00D75E9B">
      <w:pPr>
        <w:rPr>
          <w:rFonts w:ascii="Times New Roman" w:hAnsi="Times New Roman"/>
          <w:sz w:val="22"/>
          <w:szCs w:val="22"/>
          <w:lang w:val="lt-LT"/>
        </w:rPr>
      </w:pPr>
    </w:p>
    <w:p w14:paraId="17C18296" w14:textId="77777777" w:rsidR="00D75E9B" w:rsidRPr="004C5A75" w:rsidRDefault="00D75E9B" w:rsidP="00D75E9B">
      <w:pPr>
        <w:rPr>
          <w:rFonts w:ascii="Times New Roman" w:hAnsi="Times New Roman"/>
          <w:sz w:val="22"/>
          <w:szCs w:val="22"/>
          <w:lang w:val="lt-LT"/>
        </w:rPr>
      </w:pPr>
    </w:p>
    <w:p w14:paraId="17C18297" w14:textId="77777777" w:rsidR="00D75E9B" w:rsidRPr="004C5A75" w:rsidRDefault="00D75E9B" w:rsidP="00D75E9B">
      <w:pPr>
        <w:rPr>
          <w:rFonts w:ascii="Times New Roman" w:hAnsi="Times New Roman"/>
          <w:sz w:val="22"/>
          <w:szCs w:val="22"/>
          <w:lang w:val="lt-LT"/>
        </w:rPr>
      </w:pPr>
    </w:p>
    <w:p w14:paraId="17C18298" w14:textId="77777777" w:rsidR="00D75E9B" w:rsidRPr="004C5A75" w:rsidRDefault="00D75E9B" w:rsidP="00D75E9B">
      <w:pPr>
        <w:rPr>
          <w:rFonts w:ascii="Times New Roman" w:hAnsi="Times New Roman"/>
          <w:sz w:val="22"/>
          <w:szCs w:val="22"/>
          <w:lang w:val="lt-LT"/>
        </w:rPr>
      </w:pPr>
    </w:p>
    <w:p w14:paraId="17C18299" w14:textId="77777777" w:rsidR="00D75E9B" w:rsidRPr="004C5A75" w:rsidRDefault="00D75E9B" w:rsidP="00D75E9B">
      <w:pPr>
        <w:rPr>
          <w:rFonts w:ascii="Times New Roman" w:hAnsi="Times New Roman"/>
          <w:sz w:val="22"/>
          <w:szCs w:val="22"/>
          <w:lang w:val="lt-LT"/>
        </w:rPr>
      </w:pPr>
    </w:p>
    <w:p w14:paraId="17C1829A" w14:textId="77777777" w:rsidR="00D75E9B" w:rsidRPr="004C5A75" w:rsidRDefault="00D75E9B" w:rsidP="00D75E9B">
      <w:pPr>
        <w:rPr>
          <w:rFonts w:ascii="Times New Roman" w:hAnsi="Times New Roman"/>
          <w:sz w:val="22"/>
          <w:szCs w:val="22"/>
          <w:lang w:val="lt-LT"/>
        </w:rPr>
      </w:pPr>
    </w:p>
    <w:p w14:paraId="17C1829B" w14:textId="77777777" w:rsidR="00D75E9B" w:rsidRPr="004C5A75" w:rsidRDefault="00D75E9B" w:rsidP="00D75E9B">
      <w:pPr>
        <w:rPr>
          <w:rFonts w:ascii="Times New Roman" w:hAnsi="Times New Roman"/>
          <w:sz w:val="22"/>
          <w:szCs w:val="22"/>
          <w:lang w:val="lt-LT"/>
        </w:rPr>
      </w:pPr>
    </w:p>
    <w:p w14:paraId="17C1829C" w14:textId="77777777" w:rsidR="00D75E9B" w:rsidRPr="004C5A75" w:rsidRDefault="00D75E9B" w:rsidP="00D75E9B">
      <w:pPr>
        <w:rPr>
          <w:rFonts w:ascii="Times New Roman" w:hAnsi="Times New Roman"/>
          <w:sz w:val="22"/>
          <w:szCs w:val="22"/>
          <w:lang w:val="lt-LT"/>
        </w:rPr>
      </w:pPr>
    </w:p>
    <w:p w14:paraId="17C1829D" w14:textId="77777777" w:rsidR="00D75E9B" w:rsidRPr="004C5A75" w:rsidRDefault="00D75E9B" w:rsidP="00D75E9B">
      <w:pPr>
        <w:rPr>
          <w:rFonts w:ascii="Times New Roman" w:hAnsi="Times New Roman"/>
          <w:sz w:val="22"/>
          <w:szCs w:val="22"/>
          <w:lang w:val="lt-LT"/>
        </w:rPr>
      </w:pPr>
    </w:p>
    <w:p w14:paraId="17C1829E" w14:textId="77777777" w:rsidR="00D75E9B" w:rsidRPr="004C5A75" w:rsidRDefault="00D75E9B" w:rsidP="00D75E9B">
      <w:pPr>
        <w:rPr>
          <w:rFonts w:ascii="Times New Roman" w:hAnsi="Times New Roman"/>
          <w:sz w:val="22"/>
          <w:szCs w:val="22"/>
          <w:lang w:val="lt-LT"/>
        </w:rPr>
      </w:pPr>
    </w:p>
    <w:p w14:paraId="17C1829F" w14:textId="77777777" w:rsidR="00D75E9B" w:rsidRPr="004C5A75" w:rsidRDefault="00D75E9B" w:rsidP="00D75E9B">
      <w:pPr>
        <w:rPr>
          <w:rFonts w:ascii="Times New Roman" w:hAnsi="Times New Roman"/>
          <w:sz w:val="22"/>
          <w:szCs w:val="22"/>
          <w:lang w:val="lt-LT"/>
        </w:rPr>
      </w:pPr>
    </w:p>
    <w:p w14:paraId="17C182A0" w14:textId="77777777" w:rsidR="00D75E9B" w:rsidRPr="004C5A75" w:rsidRDefault="00D75E9B" w:rsidP="00D75E9B">
      <w:pPr>
        <w:rPr>
          <w:rFonts w:ascii="Times New Roman" w:hAnsi="Times New Roman"/>
          <w:sz w:val="22"/>
          <w:szCs w:val="22"/>
          <w:lang w:val="lt-LT"/>
        </w:rPr>
      </w:pPr>
    </w:p>
    <w:p w14:paraId="17C182A1" w14:textId="77777777" w:rsidR="00D75E9B" w:rsidRPr="004C5A75" w:rsidRDefault="00D75E9B" w:rsidP="00D75E9B">
      <w:pPr>
        <w:rPr>
          <w:rFonts w:ascii="Times New Roman" w:hAnsi="Times New Roman"/>
          <w:sz w:val="22"/>
          <w:szCs w:val="22"/>
          <w:lang w:val="lt-LT"/>
        </w:rPr>
      </w:pPr>
    </w:p>
    <w:p w14:paraId="17C182A2" w14:textId="77777777" w:rsidR="00D75E9B" w:rsidRPr="004C5A75" w:rsidRDefault="00D75E9B" w:rsidP="00D75E9B">
      <w:pPr>
        <w:rPr>
          <w:rFonts w:ascii="Times New Roman" w:hAnsi="Times New Roman"/>
          <w:sz w:val="22"/>
          <w:szCs w:val="22"/>
          <w:lang w:val="lt-LT"/>
        </w:rPr>
      </w:pPr>
    </w:p>
    <w:p w14:paraId="17C182A3" w14:textId="77777777" w:rsidR="00D75E9B" w:rsidRPr="004C5A75" w:rsidRDefault="00D75E9B" w:rsidP="00D75E9B">
      <w:pPr>
        <w:rPr>
          <w:rFonts w:ascii="Times New Roman" w:hAnsi="Times New Roman"/>
          <w:sz w:val="22"/>
          <w:szCs w:val="22"/>
          <w:lang w:val="lt-LT"/>
        </w:rPr>
      </w:pPr>
    </w:p>
    <w:p w14:paraId="17C182A4" w14:textId="77777777" w:rsidR="00D75E9B" w:rsidRPr="004C5A75" w:rsidRDefault="00D75E9B" w:rsidP="00D75E9B">
      <w:pPr>
        <w:rPr>
          <w:rFonts w:ascii="Times New Roman" w:hAnsi="Times New Roman"/>
          <w:sz w:val="22"/>
          <w:szCs w:val="22"/>
          <w:lang w:val="lt-LT"/>
        </w:rPr>
      </w:pPr>
    </w:p>
    <w:p w14:paraId="17C182A5" w14:textId="77777777" w:rsidR="00D75E9B" w:rsidRPr="004C5A75" w:rsidRDefault="00D75E9B" w:rsidP="00D75E9B">
      <w:pPr>
        <w:rPr>
          <w:rFonts w:ascii="Times New Roman" w:hAnsi="Times New Roman"/>
          <w:sz w:val="22"/>
          <w:szCs w:val="22"/>
          <w:lang w:val="lt-LT"/>
        </w:rPr>
      </w:pPr>
    </w:p>
    <w:p w14:paraId="17C182A6" w14:textId="77777777" w:rsidR="00D75E9B" w:rsidRPr="004C5A75" w:rsidRDefault="00D75E9B" w:rsidP="00D75E9B">
      <w:pPr>
        <w:rPr>
          <w:rFonts w:ascii="Times New Roman" w:hAnsi="Times New Roman"/>
          <w:sz w:val="22"/>
          <w:szCs w:val="22"/>
          <w:lang w:val="lt-LT"/>
        </w:rPr>
      </w:pPr>
    </w:p>
    <w:p w14:paraId="17C182A7" w14:textId="77777777" w:rsidR="00D75E9B" w:rsidRPr="004C5A75" w:rsidRDefault="00D75E9B" w:rsidP="00D75E9B">
      <w:pPr>
        <w:rPr>
          <w:rFonts w:ascii="Times New Roman" w:hAnsi="Times New Roman"/>
          <w:sz w:val="22"/>
          <w:szCs w:val="22"/>
          <w:lang w:val="lt-LT"/>
        </w:rPr>
      </w:pPr>
    </w:p>
    <w:p w14:paraId="17C182A8" w14:textId="77777777" w:rsidR="00D75E9B" w:rsidRPr="004C5A75" w:rsidRDefault="00D75E9B" w:rsidP="00D75E9B">
      <w:pPr>
        <w:rPr>
          <w:rFonts w:ascii="Times New Roman" w:hAnsi="Times New Roman"/>
          <w:sz w:val="22"/>
          <w:szCs w:val="22"/>
          <w:lang w:val="lt-LT"/>
        </w:rPr>
      </w:pPr>
    </w:p>
    <w:p w14:paraId="17C182A9" w14:textId="77777777" w:rsidR="00D75E9B" w:rsidRPr="004C5A75" w:rsidRDefault="00D75E9B" w:rsidP="00D75E9B">
      <w:pPr>
        <w:rPr>
          <w:rFonts w:ascii="Times New Roman" w:hAnsi="Times New Roman"/>
          <w:sz w:val="22"/>
          <w:szCs w:val="22"/>
          <w:lang w:val="lt-LT"/>
        </w:rPr>
      </w:pPr>
    </w:p>
    <w:p w14:paraId="17C182AA" w14:textId="77777777" w:rsidR="00D75E9B" w:rsidRPr="004C5A75" w:rsidRDefault="00D75E9B" w:rsidP="00D75E9B">
      <w:pPr>
        <w:rPr>
          <w:rFonts w:ascii="Times New Roman" w:hAnsi="Times New Roman"/>
          <w:sz w:val="22"/>
          <w:szCs w:val="22"/>
          <w:lang w:val="lt-LT"/>
        </w:rPr>
      </w:pPr>
    </w:p>
    <w:p w14:paraId="17C182AB" w14:textId="77777777" w:rsidR="00D75E9B" w:rsidRPr="004C5A75" w:rsidRDefault="00D75E9B" w:rsidP="00D75E9B">
      <w:pPr>
        <w:rPr>
          <w:rFonts w:ascii="Times New Roman" w:hAnsi="Times New Roman"/>
          <w:sz w:val="22"/>
          <w:szCs w:val="22"/>
          <w:lang w:val="lt-LT"/>
        </w:rPr>
      </w:pPr>
    </w:p>
    <w:p w14:paraId="17C182AC" w14:textId="77777777" w:rsidR="00D75E9B" w:rsidRPr="004C5A75" w:rsidRDefault="00D75E9B" w:rsidP="00D75E9B">
      <w:pPr>
        <w:rPr>
          <w:rFonts w:ascii="Times New Roman" w:hAnsi="Times New Roman"/>
          <w:sz w:val="22"/>
          <w:szCs w:val="22"/>
          <w:lang w:val="lt-LT"/>
        </w:rPr>
      </w:pPr>
    </w:p>
    <w:p w14:paraId="17C182AD" w14:textId="77777777" w:rsidR="00D75E9B" w:rsidRPr="004C5A75" w:rsidRDefault="00D75E9B" w:rsidP="00D75E9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4C5A75">
        <w:rPr>
          <w:rFonts w:ascii="Times New Roman" w:hAnsi="Times New Roman"/>
          <w:b/>
          <w:sz w:val="22"/>
          <w:szCs w:val="22"/>
          <w:lang w:val="lt-LT"/>
        </w:rPr>
        <w:t>INFORMACIJA ANT IŠORINĖS PAKUOTĖS</w:t>
      </w:r>
    </w:p>
    <w:p w14:paraId="17C182AE" w14:textId="77777777" w:rsidR="00D75E9B" w:rsidRPr="004C5A75" w:rsidRDefault="00D75E9B" w:rsidP="00D75E9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p>
    <w:p w14:paraId="17C182AF" w14:textId="77777777" w:rsidR="00D75E9B" w:rsidRPr="004C5A75" w:rsidRDefault="00D75E9B" w:rsidP="00D75E9B">
      <w:pPr>
        <w:pBdr>
          <w:top w:val="single" w:sz="4" w:space="1" w:color="auto"/>
          <w:left w:val="single" w:sz="4" w:space="4" w:color="auto"/>
          <w:bottom w:val="single" w:sz="4" w:space="1" w:color="auto"/>
          <w:right w:val="single" w:sz="4" w:space="4" w:color="auto"/>
        </w:pBdr>
        <w:rPr>
          <w:rFonts w:ascii="Times New Roman" w:hAnsi="Times New Roman"/>
          <w:bCs/>
          <w:sz w:val="22"/>
          <w:szCs w:val="22"/>
          <w:lang w:val="lt-LT"/>
        </w:rPr>
      </w:pPr>
      <w:r w:rsidRPr="004C5A75">
        <w:rPr>
          <w:rFonts w:ascii="Times New Roman" w:hAnsi="Times New Roman"/>
          <w:b/>
          <w:sz w:val="22"/>
          <w:szCs w:val="22"/>
          <w:lang w:val="lt-LT"/>
        </w:rPr>
        <w:t>KARTONO DĖŽUTĖ</w:t>
      </w:r>
    </w:p>
    <w:p w14:paraId="17C182B0" w14:textId="77777777" w:rsidR="00D75E9B" w:rsidRPr="004C5A75" w:rsidRDefault="00D75E9B" w:rsidP="00D75E9B">
      <w:pPr>
        <w:rPr>
          <w:rFonts w:ascii="Times New Roman" w:hAnsi="Times New Roman"/>
          <w:sz w:val="22"/>
          <w:szCs w:val="22"/>
          <w:lang w:val="lt-LT"/>
        </w:rPr>
      </w:pPr>
    </w:p>
    <w:p w14:paraId="17C182B1" w14:textId="77777777" w:rsidR="00D75E9B" w:rsidRPr="004C5A75" w:rsidRDefault="00D75E9B" w:rsidP="00D75E9B">
      <w:pPr>
        <w:rPr>
          <w:rFonts w:ascii="Times New Roman" w:hAnsi="Times New Roman"/>
          <w:sz w:val="22"/>
          <w:szCs w:val="22"/>
          <w:lang w:val="lt-LT"/>
        </w:rPr>
      </w:pPr>
    </w:p>
    <w:p w14:paraId="17C182B2"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1.</w:t>
      </w:r>
      <w:r w:rsidRPr="004C5A75">
        <w:rPr>
          <w:rFonts w:ascii="Times New Roman" w:hAnsi="Times New Roman"/>
          <w:b/>
          <w:sz w:val="22"/>
          <w:szCs w:val="22"/>
          <w:lang w:val="lt-LT"/>
        </w:rPr>
        <w:tab/>
        <w:t>VAISTINIO PREPARATO PAVADINIMAS</w:t>
      </w:r>
    </w:p>
    <w:p w14:paraId="17C182B3" w14:textId="77777777" w:rsidR="00D75E9B" w:rsidRPr="004C5A75" w:rsidRDefault="00D75E9B" w:rsidP="00D75E9B">
      <w:pPr>
        <w:rPr>
          <w:rFonts w:ascii="Times New Roman" w:hAnsi="Times New Roman"/>
          <w:sz w:val="22"/>
          <w:szCs w:val="22"/>
          <w:lang w:val="lt-LT"/>
        </w:rPr>
      </w:pPr>
    </w:p>
    <w:p w14:paraId="17C182B4"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DIRONORM 20 mg/10 mg tabletės</w:t>
      </w:r>
    </w:p>
    <w:p w14:paraId="17C182B5" w14:textId="3A4B5457" w:rsidR="00D75E9B" w:rsidRPr="004C5A75" w:rsidRDefault="0027344F" w:rsidP="00D75E9B">
      <w:pPr>
        <w:pStyle w:val="Pagrindinistekstas"/>
        <w:rPr>
          <w:rFonts w:ascii="Times New Roman" w:hAnsi="Times New Roman"/>
          <w:color w:val="auto"/>
          <w:lang w:val="lt-LT"/>
        </w:rPr>
      </w:pPr>
      <w:r>
        <w:rPr>
          <w:rFonts w:ascii="Times New Roman" w:hAnsi="Times New Roman"/>
          <w:color w:val="auto"/>
          <w:lang w:val="lt-LT"/>
        </w:rPr>
        <w:t>l</w:t>
      </w:r>
      <w:r w:rsidR="00D75E9B" w:rsidRPr="004C5A75">
        <w:rPr>
          <w:rFonts w:ascii="Times New Roman" w:hAnsi="Times New Roman"/>
          <w:color w:val="auto"/>
          <w:lang w:val="lt-LT"/>
        </w:rPr>
        <w:t>isinoprilum/</w:t>
      </w:r>
      <w:r>
        <w:rPr>
          <w:rFonts w:ascii="Times New Roman" w:hAnsi="Times New Roman"/>
          <w:color w:val="auto"/>
          <w:lang w:val="lt-LT"/>
        </w:rPr>
        <w:t>a</w:t>
      </w:r>
      <w:r w:rsidR="00D75E9B" w:rsidRPr="004C5A75">
        <w:rPr>
          <w:rFonts w:ascii="Times New Roman" w:hAnsi="Times New Roman"/>
          <w:color w:val="auto"/>
          <w:lang w:val="lt-LT"/>
        </w:rPr>
        <w:t>mlodipinum</w:t>
      </w:r>
    </w:p>
    <w:p w14:paraId="17C182B6" w14:textId="77777777" w:rsidR="00D75E9B" w:rsidRPr="004C5A75" w:rsidRDefault="00D75E9B" w:rsidP="00D75E9B">
      <w:pPr>
        <w:pStyle w:val="Pagrindinistekstas"/>
        <w:rPr>
          <w:rFonts w:ascii="Times New Roman" w:hAnsi="Times New Roman"/>
          <w:color w:val="auto"/>
          <w:lang w:val="lt-LT"/>
        </w:rPr>
      </w:pPr>
    </w:p>
    <w:p w14:paraId="17C182B7" w14:textId="77777777" w:rsidR="00D75E9B" w:rsidRPr="004C5A75" w:rsidRDefault="00D75E9B" w:rsidP="00D75E9B">
      <w:pPr>
        <w:rPr>
          <w:rFonts w:ascii="Times New Roman" w:hAnsi="Times New Roman"/>
          <w:sz w:val="22"/>
          <w:szCs w:val="22"/>
          <w:lang w:val="lt-LT"/>
        </w:rPr>
      </w:pPr>
    </w:p>
    <w:p w14:paraId="17C182B8"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4C5A75">
        <w:rPr>
          <w:rFonts w:ascii="Times New Roman" w:hAnsi="Times New Roman"/>
          <w:b/>
          <w:sz w:val="22"/>
          <w:szCs w:val="22"/>
          <w:lang w:val="lt-LT"/>
        </w:rPr>
        <w:t>2.</w:t>
      </w:r>
      <w:r w:rsidRPr="004C5A75">
        <w:rPr>
          <w:rFonts w:ascii="Times New Roman" w:hAnsi="Times New Roman"/>
          <w:b/>
          <w:sz w:val="22"/>
          <w:szCs w:val="22"/>
          <w:lang w:val="lt-LT"/>
        </w:rPr>
        <w:tab/>
        <w:t>VEIKLIOJI MEDŽIAGA IR JOS KIEKIS</w:t>
      </w:r>
    </w:p>
    <w:p w14:paraId="17C182B9" w14:textId="77777777" w:rsidR="00D75E9B" w:rsidRPr="004C5A75" w:rsidRDefault="00D75E9B" w:rsidP="00D75E9B">
      <w:pPr>
        <w:rPr>
          <w:rFonts w:ascii="Times New Roman" w:hAnsi="Times New Roman"/>
          <w:sz w:val="22"/>
          <w:szCs w:val="22"/>
          <w:lang w:val="lt-LT"/>
        </w:rPr>
      </w:pPr>
    </w:p>
    <w:p w14:paraId="17C182BA"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Vienoje tabletėje yra 20 mg lizinoprilio (dihidrato pavidalu) ir 10 mg amlodipino (besilato pavidalu).</w:t>
      </w:r>
    </w:p>
    <w:p w14:paraId="17C182BB" w14:textId="77777777" w:rsidR="00D75E9B" w:rsidRPr="004C5A75" w:rsidRDefault="00D75E9B" w:rsidP="00D75E9B">
      <w:pPr>
        <w:jc w:val="both"/>
        <w:rPr>
          <w:rFonts w:ascii="Times New Roman" w:hAnsi="Times New Roman"/>
          <w:sz w:val="22"/>
          <w:szCs w:val="22"/>
          <w:lang w:val="lt-LT"/>
        </w:rPr>
      </w:pPr>
    </w:p>
    <w:p w14:paraId="17C182BC" w14:textId="77777777" w:rsidR="00D75E9B" w:rsidRPr="004C5A75" w:rsidRDefault="00D75E9B" w:rsidP="00D75E9B">
      <w:pPr>
        <w:rPr>
          <w:rFonts w:ascii="Times New Roman" w:hAnsi="Times New Roman"/>
          <w:sz w:val="22"/>
          <w:szCs w:val="22"/>
          <w:lang w:val="lt-LT"/>
        </w:rPr>
      </w:pPr>
    </w:p>
    <w:p w14:paraId="17C182BD"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3.</w:t>
      </w:r>
      <w:r w:rsidRPr="004C5A75">
        <w:rPr>
          <w:rFonts w:ascii="Times New Roman" w:hAnsi="Times New Roman"/>
          <w:b/>
          <w:sz w:val="22"/>
          <w:szCs w:val="22"/>
          <w:lang w:val="lt-LT"/>
        </w:rPr>
        <w:tab/>
        <w:t>PAGALBINIŲ MEDŽIAGŲ SĄRAŠAS</w:t>
      </w:r>
    </w:p>
    <w:p w14:paraId="17C182BE" w14:textId="77777777" w:rsidR="00D75E9B" w:rsidRPr="004C5A75" w:rsidRDefault="00D75E9B" w:rsidP="00D75E9B">
      <w:pPr>
        <w:rPr>
          <w:rFonts w:ascii="Times New Roman" w:hAnsi="Times New Roman"/>
          <w:sz w:val="22"/>
          <w:szCs w:val="22"/>
          <w:lang w:val="lt-LT"/>
        </w:rPr>
      </w:pPr>
    </w:p>
    <w:p w14:paraId="17C182BF" w14:textId="77777777" w:rsidR="00D75E9B" w:rsidRPr="004C5A75" w:rsidRDefault="00D75E9B" w:rsidP="00D75E9B">
      <w:pPr>
        <w:rPr>
          <w:rFonts w:ascii="Times New Roman" w:hAnsi="Times New Roman"/>
          <w:sz w:val="22"/>
          <w:szCs w:val="22"/>
          <w:lang w:val="lt-LT"/>
        </w:rPr>
      </w:pPr>
    </w:p>
    <w:p w14:paraId="17C182C0"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4.</w:t>
      </w:r>
      <w:r w:rsidRPr="004C5A75">
        <w:rPr>
          <w:rFonts w:ascii="Times New Roman" w:hAnsi="Times New Roman"/>
          <w:b/>
          <w:sz w:val="22"/>
          <w:szCs w:val="22"/>
          <w:lang w:val="lt-LT"/>
        </w:rPr>
        <w:tab/>
        <w:t>FARMACINĖ FORMA IR KIEKIS PAKUOTĖJE</w:t>
      </w:r>
    </w:p>
    <w:p w14:paraId="17C182C1" w14:textId="77777777" w:rsidR="00D75E9B" w:rsidRPr="004C5A75" w:rsidRDefault="00D75E9B" w:rsidP="00D75E9B">
      <w:pPr>
        <w:rPr>
          <w:rFonts w:ascii="Times New Roman" w:hAnsi="Times New Roman"/>
          <w:sz w:val="22"/>
          <w:szCs w:val="22"/>
          <w:lang w:val="lt-LT"/>
        </w:rPr>
      </w:pPr>
    </w:p>
    <w:p w14:paraId="17C182C2" w14:textId="77777777" w:rsidR="00D75E9B" w:rsidRPr="004C5A75" w:rsidRDefault="00D75E9B" w:rsidP="00D75E9B">
      <w:pPr>
        <w:pStyle w:val="Antrats"/>
        <w:tabs>
          <w:tab w:val="right" w:pos="1080"/>
        </w:tabs>
        <w:rPr>
          <w:rFonts w:ascii="Times New Roman" w:hAnsi="Times New Roman"/>
          <w:sz w:val="22"/>
          <w:szCs w:val="22"/>
          <w:lang w:val="lt-LT"/>
        </w:rPr>
      </w:pPr>
      <w:r w:rsidRPr="004C5A75">
        <w:rPr>
          <w:rFonts w:ascii="Times New Roman" w:hAnsi="Times New Roman"/>
          <w:sz w:val="22"/>
          <w:szCs w:val="22"/>
          <w:lang w:val="lt-LT"/>
        </w:rPr>
        <w:t>30 tablečių</w:t>
      </w:r>
    </w:p>
    <w:p w14:paraId="17C182C3" w14:textId="77777777" w:rsidR="00D75E9B" w:rsidRPr="004C5A75" w:rsidRDefault="00D75E9B" w:rsidP="00D75E9B">
      <w:pPr>
        <w:pStyle w:val="Antrats"/>
        <w:tabs>
          <w:tab w:val="right" w:pos="1080"/>
        </w:tabs>
        <w:rPr>
          <w:rFonts w:ascii="Times New Roman" w:hAnsi="Times New Roman"/>
          <w:sz w:val="22"/>
          <w:szCs w:val="22"/>
          <w:lang w:val="lt-LT"/>
        </w:rPr>
      </w:pPr>
      <w:r w:rsidRPr="004C5A75">
        <w:rPr>
          <w:rFonts w:ascii="Times New Roman" w:hAnsi="Times New Roman"/>
          <w:sz w:val="22"/>
          <w:szCs w:val="22"/>
          <w:lang w:val="lt-LT"/>
        </w:rPr>
        <w:t>90 tablečių</w:t>
      </w:r>
    </w:p>
    <w:p w14:paraId="17C182C4" w14:textId="77777777" w:rsidR="00D75E9B" w:rsidRPr="004C5A75" w:rsidRDefault="00D75E9B" w:rsidP="00D75E9B">
      <w:pPr>
        <w:rPr>
          <w:rFonts w:ascii="Times New Roman" w:hAnsi="Times New Roman"/>
          <w:sz w:val="22"/>
          <w:szCs w:val="22"/>
          <w:lang w:val="lt-LT"/>
        </w:rPr>
      </w:pPr>
    </w:p>
    <w:p w14:paraId="17C182C5" w14:textId="77777777" w:rsidR="00D75E9B" w:rsidRPr="004C5A75" w:rsidRDefault="00D75E9B" w:rsidP="00D75E9B">
      <w:pPr>
        <w:rPr>
          <w:rFonts w:ascii="Times New Roman" w:hAnsi="Times New Roman"/>
          <w:sz w:val="22"/>
          <w:szCs w:val="22"/>
          <w:lang w:val="lt-LT"/>
        </w:rPr>
      </w:pPr>
    </w:p>
    <w:p w14:paraId="17C182C6"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5.</w:t>
      </w:r>
      <w:r w:rsidRPr="004C5A75">
        <w:rPr>
          <w:rFonts w:ascii="Times New Roman" w:hAnsi="Times New Roman"/>
          <w:b/>
          <w:sz w:val="22"/>
          <w:szCs w:val="22"/>
          <w:lang w:val="lt-LT"/>
        </w:rPr>
        <w:tab/>
        <w:t>VARTOJIMO METODAS IR BŪDAS</w:t>
      </w:r>
    </w:p>
    <w:p w14:paraId="17C182C7" w14:textId="77777777" w:rsidR="00D75E9B" w:rsidRPr="004C5A75" w:rsidRDefault="00D75E9B" w:rsidP="00D75E9B">
      <w:pPr>
        <w:rPr>
          <w:rFonts w:ascii="Times New Roman" w:hAnsi="Times New Roman"/>
          <w:sz w:val="22"/>
          <w:szCs w:val="22"/>
          <w:lang w:val="lt-LT"/>
        </w:rPr>
      </w:pPr>
    </w:p>
    <w:p w14:paraId="17C182C8"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Vartoti per burną.</w:t>
      </w:r>
    </w:p>
    <w:p w14:paraId="17C182C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Prieš vartojimą perskaitykite pakuotės lapelį.</w:t>
      </w:r>
    </w:p>
    <w:p w14:paraId="17C182CA" w14:textId="77777777" w:rsidR="00D75E9B" w:rsidRPr="004C5A75" w:rsidRDefault="00D75E9B" w:rsidP="00D75E9B">
      <w:pPr>
        <w:rPr>
          <w:rFonts w:ascii="Times New Roman" w:hAnsi="Times New Roman"/>
          <w:sz w:val="22"/>
          <w:szCs w:val="22"/>
          <w:lang w:val="lt-LT"/>
        </w:rPr>
      </w:pPr>
    </w:p>
    <w:p w14:paraId="17C182CB" w14:textId="77777777" w:rsidR="00D75E9B" w:rsidRPr="004C5A75" w:rsidRDefault="00D75E9B" w:rsidP="00D75E9B">
      <w:pPr>
        <w:rPr>
          <w:rFonts w:ascii="Times New Roman" w:hAnsi="Times New Roman"/>
          <w:i/>
          <w:sz w:val="22"/>
          <w:szCs w:val="22"/>
          <w:lang w:val="lt-LT"/>
        </w:rPr>
      </w:pPr>
    </w:p>
    <w:p w14:paraId="17C182CC" w14:textId="77777777" w:rsidR="00D75E9B" w:rsidRPr="004C5A75" w:rsidRDefault="00D75E9B" w:rsidP="00D75E9B">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6.</w:t>
      </w:r>
      <w:r w:rsidRPr="004C5A75">
        <w:rPr>
          <w:rFonts w:ascii="Times New Roman" w:hAnsi="Times New Roman"/>
          <w:b/>
          <w:sz w:val="22"/>
          <w:szCs w:val="22"/>
          <w:lang w:val="lt-LT"/>
        </w:rPr>
        <w:tab/>
      </w:r>
      <w:r w:rsidRPr="004C5A75">
        <w:rPr>
          <w:rFonts w:ascii="Times New Roman" w:hAnsi="Times New Roman"/>
          <w:b/>
          <w:bCs/>
          <w:sz w:val="22"/>
          <w:szCs w:val="22"/>
          <w:lang w:val="lt-LT"/>
        </w:rPr>
        <w:t>SPECIALUS ĮSPĖJIMAS, KAD VAISTINĮ PREPARATĄ BŪTINA LAIKYTI VAIKAMS NEPASTEBIMOJE IR NEPASIEKIAMOJE VIETOJE</w:t>
      </w:r>
    </w:p>
    <w:p w14:paraId="17C182CD" w14:textId="77777777" w:rsidR="00D75E9B" w:rsidRPr="004C5A75" w:rsidRDefault="00D75E9B" w:rsidP="00D75E9B">
      <w:pPr>
        <w:rPr>
          <w:rFonts w:ascii="Times New Roman" w:hAnsi="Times New Roman"/>
          <w:sz w:val="22"/>
          <w:szCs w:val="22"/>
          <w:lang w:val="lt-LT"/>
        </w:rPr>
      </w:pPr>
    </w:p>
    <w:p w14:paraId="17C182CE"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Laikyti vaikams nepastebimoje</w:t>
      </w:r>
      <w:r w:rsidR="007420AA">
        <w:rPr>
          <w:rFonts w:ascii="Times New Roman" w:hAnsi="Times New Roman"/>
          <w:color w:val="auto"/>
          <w:lang w:val="lt-LT"/>
        </w:rPr>
        <w:t xml:space="preserve"> ir</w:t>
      </w:r>
      <w:r w:rsidRPr="004C5A75">
        <w:rPr>
          <w:rFonts w:ascii="Times New Roman" w:hAnsi="Times New Roman"/>
          <w:color w:val="auto"/>
          <w:lang w:val="lt-LT"/>
        </w:rPr>
        <w:t xml:space="preserve"> nepasiekiamoje vietoje.</w:t>
      </w:r>
    </w:p>
    <w:p w14:paraId="17C182CF" w14:textId="77777777" w:rsidR="00D75E9B" w:rsidRPr="004C5A75" w:rsidRDefault="00D75E9B" w:rsidP="00D75E9B">
      <w:pPr>
        <w:pStyle w:val="Pagrindinistekstas"/>
        <w:rPr>
          <w:rFonts w:ascii="Times New Roman" w:hAnsi="Times New Roman"/>
          <w:color w:val="auto"/>
          <w:lang w:val="lt-LT"/>
        </w:rPr>
      </w:pPr>
    </w:p>
    <w:p w14:paraId="17C182D0" w14:textId="77777777" w:rsidR="00D75E9B" w:rsidRPr="004C5A75" w:rsidRDefault="00D75E9B" w:rsidP="00D75E9B">
      <w:pPr>
        <w:rPr>
          <w:rFonts w:ascii="Times New Roman" w:hAnsi="Times New Roman"/>
          <w:sz w:val="22"/>
          <w:szCs w:val="22"/>
          <w:lang w:val="lt-LT"/>
        </w:rPr>
      </w:pPr>
    </w:p>
    <w:p w14:paraId="17C182D1"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7.</w:t>
      </w:r>
      <w:r w:rsidRPr="004C5A75">
        <w:rPr>
          <w:rFonts w:ascii="Times New Roman" w:hAnsi="Times New Roman"/>
          <w:b/>
          <w:sz w:val="22"/>
          <w:szCs w:val="22"/>
          <w:lang w:val="lt-LT"/>
        </w:rPr>
        <w:tab/>
      </w:r>
      <w:r w:rsidRPr="004C5A75">
        <w:rPr>
          <w:rFonts w:ascii="Times New Roman" w:hAnsi="Times New Roman"/>
          <w:b/>
          <w:bCs/>
          <w:sz w:val="22"/>
          <w:szCs w:val="22"/>
          <w:lang w:val="lt-LT"/>
        </w:rPr>
        <w:t>KITAS SPECIALUS ĮSPĖJIMAS (JEI REIKIA)</w:t>
      </w:r>
    </w:p>
    <w:p w14:paraId="17C182D2" w14:textId="77777777" w:rsidR="00D75E9B" w:rsidRPr="004C5A75" w:rsidRDefault="00D75E9B" w:rsidP="00D75E9B">
      <w:pPr>
        <w:rPr>
          <w:rFonts w:ascii="Times New Roman" w:hAnsi="Times New Roman"/>
          <w:sz w:val="22"/>
          <w:szCs w:val="22"/>
          <w:lang w:val="lt-LT"/>
        </w:rPr>
      </w:pPr>
    </w:p>
    <w:p w14:paraId="17C182D3" w14:textId="77777777" w:rsidR="00D75E9B" w:rsidRPr="004C5A75" w:rsidRDefault="00D75E9B" w:rsidP="00D75E9B">
      <w:pPr>
        <w:rPr>
          <w:rFonts w:ascii="Times New Roman" w:hAnsi="Times New Roman"/>
          <w:sz w:val="22"/>
          <w:szCs w:val="22"/>
          <w:lang w:val="lt-LT"/>
        </w:rPr>
      </w:pPr>
    </w:p>
    <w:p w14:paraId="17C182D4" w14:textId="77777777" w:rsidR="00D75E9B" w:rsidRPr="004C5A75" w:rsidRDefault="00D75E9B" w:rsidP="00D75E9B">
      <w:pPr>
        <w:rPr>
          <w:rFonts w:ascii="Times New Roman" w:hAnsi="Times New Roman"/>
          <w:sz w:val="22"/>
          <w:szCs w:val="22"/>
          <w:lang w:val="lt-LT"/>
        </w:rPr>
      </w:pPr>
    </w:p>
    <w:p w14:paraId="17C182D5"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8.</w:t>
      </w:r>
      <w:r w:rsidRPr="004C5A75">
        <w:rPr>
          <w:rFonts w:ascii="Times New Roman" w:hAnsi="Times New Roman"/>
          <w:b/>
          <w:sz w:val="22"/>
          <w:szCs w:val="22"/>
          <w:lang w:val="lt-LT"/>
        </w:rPr>
        <w:tab/>
      </w:r>
      <w:r w:rsidRPr="004C5A75">
        <w:rPr>
          <w:rFonts w:ascii="Times New Roman" w:hAnsi="Times New Roman"/>
          <w:b/>
          <w:bCs/>
          <w:sz w:val="22"/>
          <w:szCs w:val="22"/>
          <w:lang w:val="lt-LT"/>
        </w:rPr>
        <w:t>TINKAMUMO LAIKAS</w:t>
      </w:r>
    </w:p>
    <w:p w14:paraId="17C182D6" w14:textId="77777777" w:rsidR="00D75E9B" w:rsidRPr="004C5A75" w:rsidRDefault="00D75E9B" w:rsidP="00D75E9B">
      <w:pPr>
        <w:rPr>
          <w:rFonts w:ascii="Times New Roman" w:hAnsi="Times New Roman"/>
          <w:sz w:val="22"/>
          <w:szCs w:val="22"/>
          <w:lang w:val="lt-LT"/>
        </w:rPr>
      </w:pPr>
    </w:p>
    <w:p w14:paraId="17C182D7"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Tinka iki {mm/MMMM}</w:t>
      </w:r>
    </w:p>
    <w:p w14:paraId="17C182D8" w14:textId="77777777" w:rsidR="00D75E9B" w:rsidRPr="004C5A75" w:rsidRDefault="00D75E9B" w:rsidP="00D75E9B">
      <w:pPr>
        <w:pStyle w:val="Pagrindinistekstas"/>
        <w:rPr>
          <w:rFonts w:ascii="Times New Roman" w:hAnsi="Times New Roman"/>
          <w:color w:val="auto"/>
          <w:lang w:val="lt-LT"/>
        </w:rPr>
      </w:pPr>
    </w:p>
    <w:p w14:paraId="17C182D9" w14:textId="77777777" w:rsidR="00D75E9B" w:rsidRPr="004C5A75" w:rsidRDefault="00D75E9B" w:rsidP="00D75E9B">
      <w:pPr>
        <w:rPr>
          <w:rFonts w:ascii="Times New Roman" w:hAnsi="Times New Roman"/>
          <w:sz w:val="22"/>
          <w:szCs w:val="22"/>
          <w:lang w:val="lt-LT"/>
        </w:rPr>
      </w:pPr>
    </w:p>
    <w:p w14:paraId="17C182DA"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9.</w:t>
      </w:r>
      <w:r w:rsidRPr="004C5A75">
        <w:rPr>
          <w:rFonts w:ascii="Times New Roman" w:hAnsi="Times New Roman"/>
          <w:b/>
          <w:sz w:val="22"/>
          <w:szCs w:val="22"/>
          <w:lang w:val="lt-LT"/>
        </w:rPr>
        <w:tab/>
      </w:r>
      <w:r w:rsidRPr="004C5A75">
        <w:rPr>
          <w:rFonts w:ascii="Times New Roman" w:hAnsi="Times New Roman"/>
          <w:b/>
          <w:caps/>
          <w:sz w:val="22"/>
          <w:szCs w:val="22"/>
          <w:lang w:val="lt-LT"/>
        </w:rPr>
        <w:t>SPECIALIOS laikymo sąlygos</w:t>
      </w:r>
    </w:p>
    <w:p w14:paraId="17C182DB" w14:textId="77777777" w:rsidR="00D75E9B" w:rsidRPr="004C5A75" w:rsidRDefault="00D75E9B" w:rsidP="00D75E9B">
      <w:pPr>
        <w:rPr>
          <w:rFonts w:ascii="Times New Roman" w:hAnsi="Times New Roman"/>
          <w:sz w:val="22"/>
          <w:szCs w:val="22"/>
          <w:lang w:val="lt-LT"/>
        </w:rPr>
      </w:pPr>
    </w:p>
    <w:p w14:paraId="17C182DC"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Laikyti žemesnėje kaip 25 </w:t>
      </w:r>
      <w:r w:rsidRPr="004C5A75">
        <w:rPr>
          <w:rFonts w:ascii="Times New Roman" w:hAnsi="Times New Roman"/>
          <w:sz w:val="22"/>
          <w:szCs w:val="22"/>
          <w:lang w:val="lt-LT"/>
        </w:rPr>
        <w:sym w:font="Symbol" w:char="F0B0"/>
      </w:r>
      <w:r w:rsidRPr="004C5A75">
        <w:rPr>
          <w:rFonts w:ascii="Times New Roman" w:hAnsi="Times New Roman"/>
          <w:sz w:val="22"/>
          <w:szCs w:val="22"/>
          <w:lang w:val="lt-LT"/>
        </w:rPr>
        <w:t>C temperatūroje.</w:t>
      </w:r>
    </w:p>
    <w:p w14:paraId="17C182DD"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Laikyti gamintojo pakuotėje, kad preparatas būtų apsaugotas nuo šviesos ir drėgmės.</w:t>
      </w:r>
    </w:p>
    <w:p w14:paraId="17C182DE" w14:textId="77777777" w:rsidR="00D75E9B" w:rsidRPr="004C5A75" w:rsidRDefault="00D75E9B" w:rsidP="00D75E9B">
      <w:pPr>
        <w:rPr>
          <w:rFonts w:ascii="Times New Roman" w:hAnsi="Times New Roman"/>
          <w:sz w:val="22"/>
          <w:szCs w:val="22"/>
          <w:lang w:val="lt-LT"/>
        </w:rPr>
      </w:pPr>
    </w:p>
    <w:p w14:paraId="17C182DF" w14:textId="77777777" w:rsidR="00D75E9B" w:rsidRPr="004C5A75" w:rsidRDefault="00D75E9B" w:rsidP="00D75E9B">
      <w:pPr>
        <w:ind w:left="567" w:hanging="567"/>
        <w:rPr>
          <w:rFonts w:ascii="Times New Roman" w:hAnsi="Times New Roman"/>
          <w:sz w:val="22"/>
          <w:szCs w:val="22"/>
          <w:lang w:val="lt-LT"/>
        </w:rPr>
      </w:pPr>
    </w:p>
    <w:p w14:paraId="17C182E0"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4C5A75">
        <w:rPr>
          <w:rFonts w:ascii="Times New Roman" w:hAnsi="Times New Roman"/>
          <w:b/>
          <w:sz w:val="22"/>
          <w:szCs w:val="22"/>
          <w:lang w:val="lt-LT"/>
        </w:rPr>
        <w:lastRenderedPageBreak/>
        <w:t>10.</w:t>
      </w:r>
      <w:r w:rsidRPr="004C5A75">
        <w:rPr>
          <w:rFonts w:ascii="Times New Roman" w:hAnsi="Times New Roman"/>
          <w:b/>
          <w:sz w:val="22"/>
          <w:szCs w:val="22"/>
          <w:lang w:val="lt-LT"/>
        </w:rPr>
        <w:tab/>
      </w:r>
      <w:r w:rsidRPr="004C5A75">
        <w:rPr>
          <w:rFonts w:ascii="Times New Roman" w:hAnsi="Times New Roman"/>
          <w:b/>
          <w:caps/>
          <w:sz w:val="22"/>
          <w:szCs w:val="22"/>
          <w:lang w:val="lt-LT"/>
        </w:rPr>
        <w:t>specialios atsargumo priemonės DĖL</w:t>
      </w:r>
      <w:r w:rsidRPr="004C5A75">
        <w:rPr>
          <w:rFonts w:ascii="Times New Roman" w:hAnsi="Times New Roman"/>
          <w:b/>
          <w:bCs/>
          <w:sz w:val="22"/>
          <w:szCs w:val="22"/>
          <w:lang w:val="lt-LT"/>
        </w:rPr>
        <w:t xml:space="preserve"> NESUVARTOTO</w:t>
      </w:r>
      <w:r w:rsidRPr="004C5A75">
        <w:rPr>
          <w:rFonts w:ascii="Times New Roman" w:hAnsi="Times New Roman"/>
          <w:b/>
          <w:bCs/>
          <w:caps/>
          <w:sz w:val="22"/>
          <w:szCs w:val="22"/>
          <w:lang w:val="lt-LT"/>
        </w:rPr>
        <w:t xml:space="preserve"> VAISTINIO PREPARATO AR JO ATLIEKŲ TVARKYMO</w:t>
      </w:r>
      <w:r w:rsidRPr="004C5A75">
        <w:rPr>
          <w:rFonts w:ascii="Times New Roman" w:hAnsi="Times New Roman"/>
          <w:caps/>
          <w:sz w:val="22"/>
          <w:szCs w:val="22"/>
          <w:lang w:val="lt-LT"/>
        </w:rPr>
        <w:t xml:space="preserve"> </w:t>
      </w:r>
      <w:r w:rsidRPr="004C5A75">
        <w:rPr>
          <w:rFonts w:ascii="Times New Roman" w:hAnsi="Times New Roman"/>
          <w:b/>
          <w:caps/>
          <w:sz w:val="22"/>
          <w:szCs w:val="22"/>
          <w:lang w:val="lt-LT"/>
        </w:rPr>
        <w:t>(jei reikia)</w:t>
      </w:r>
    </w:p>
    <w:p w14:paraId="17C182E1" w14:textId="77777777" w:rsidR="00D75E9B" w:rsidRPr="004C5A75" w:rsidRDefault="00D75E9B" w:rsidP="00D75E9B">
      <w:pPr>
        <w:rPr>
          <w:rFonts w:ascii="Times New Roman" w:hAnsi="Times New Roman"/>
          <w:sz w:val="22"/>
          <w:szCs w:val="22"/>
          <w:lang w:val="lt-LT"/>
        </w:rPr>
      </w:pPr>
    </w:p>
    <w:p w14:paraId="17C182E2" w14:textId="77777777" w:rsidR="00D75E9B" w:rsidRPr="004C5A75" w:rsidRDefault="00D75E9B" w:rsidP="00D75E9B">
      <w:pPr>
        <w:rPr>
          <w:rFonts w:ascii="Times New Roman" w:hAnsi="Times New Roman"/>
          <w:sz w:val="22"/>
          <w:szCs w:val="22"/>
          <w:lang w:val="lt-LT"/>
        </w:rPr>
      </w:pPr>
    </w:p>
    <w:p w14:paraId="17C182E3"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4C5A75">
        <w:rPr>
          <w:rFonts w:ascii="Times New Roman" w:hAnsi="Times New Roman"/>
          <w:b/>
          <w:sz w:val="22"/>
          <w:szCs w:val="22"/>
          <w:lang w:val="lt-LT"/>
        </w:rPr>
        <w:t>11.</w:t>
      </w:r>
      <w:r w:rsidRPr="004C5A75">
        <w:rPr>
          <w:rFonts w:ascii="Times New Roman" w:hAnsi="Times New Roman"/>
          <w:b/>
          <w:sz w:val="22"/>
          <w:szCs w:val="22"/>
          <w:lang w:val="lt-LT"/>
        </w:rPr>
        <w:tab/>
      </w:r>
      <w:r w:rsidRPr="004C5A75">
        <w:rPr>
          <w:rFonts w:ascii="Times New Roman" w:hAnsi="Times New Roman"/>
          <w:b/>
          <w:caps/>
          <w:sz w:val="22"/>
          <w:szCs w:val="22"/>
          <w:lang w:val="lt-LT"/>
        </w:rPr>
        <w:t>REGISTRUOTOJO pavadinimas ir adresas</w:t>
      </w:r>
    </w:p>
    <w:p w14:paraId="17C182E4" w14:textId="77777777" w:rsidR="00D75E9B" w:rsidRPr="004C5A75" w:rsidRDefault="00D75E9B" w:rsidP="00D75E9B">
      <w:pPr>
        <w:rPr>
          <w:rFonts w:ascii="Times New Roman" w:hAnsi="Times New Roman"/>
          <w:sz w:val="22"/>
          <w:szCs w:val="22"/>
          <w:lang w:val="lt-LT"/>
        </w:rPr>
      </w:pPr>
    </w:p>
    <w:p w14:paraId="17C182E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Gedeon Richter Plc. </w:t>
      </w:r>
    </w:p>
    <w:p w14:paraId="17C182E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Gyömrői út. 19–21</w:t>
      </w:r>
    </w:p>
    <w:p w14:paraId="17C182E7"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1103 Budapest</w:t>
      </w:r>
    </w:p>
    <w:p w14:paraId="17C182E8"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Vengrija</w:t>
      </w:r>
    </w:p>
    <w:p w14:paraId="17C182E9" w14:textId="77777777" w:rsidR="00D75E9B" w:rsidRPr="004C5A75" w:rsidRDefault="00D75E9B" w:rsidP="00D75E9B">
      <w:pPr>
        <w:rPr>
          <w:rFonts w:ascii="Times New Roman" w:hAnsi="Times New Roman"/>
          <w:sz w:val="22"/>
          <w:szCs w:val="22"/>
          <w:lang w:val="lt-LT"/>
        </w:rPr>
      </w:pPr>
    </w:p>
    <w:p w14:paraId="17C182E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((RG logo))</w:t>
      </w:r>
    </w:p>
    <w:p w14:paraId="17C182EB" w14:textId="77777777" w:rsidR="00D75E9B" w:rsidRPr="004C5A75" w:rsidRDefault="00D75E9B" w:rsidP="00D75E9B">
      <w:pPr>
        <w:rPr>
          <w:rFonts w:ascii="Times New Roman" w:hAnsi="Times New Roman"/>
          <w:sz w:val="22"/>
          <w:szCs w:val="22"/>
          <w:lang w:val="lt-LT"/>
        </w:rPr>
      </w:pPr>
    </w:p>
    <w:p w14:paraId="17C182EC" w14:textId="77777777" w:rsidR="00D75E9B" w:rsidRPr="004C5A75" w:rsidRDefault="00D75E9B" w:rsidP="00D75E9B">
      <w:pPr>
        <w:rPr>
          <w:rFonts w:ascii="Times New Roman" w:hAnsi="Times New Roman"/>
          <w:sz w:val="22"/>
          <w:szCs w:val="22"/>
          <w:lang w:val="lt-LT"/>
        </w:rPr>
      </w:pPr>
    </w:p>
    <w:p w14:paraId="17C182ED"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12.</w:t>
      </w:r>
      <w:r w:rsidRPr="004C5A75">
        <w:rPr>
          <w:rFonts w:ascii="Times New Roman" w:hAnsi="Times New Roman"/>
          <w:b/>
          <w:sz w:val="22"/>
          <w:szCs w:val="22"/>
          <w:lang w:val="lt-LT"/>
        </w:rPr>
        <w:tab/>
      </w:r>
      <w:r w:rsidRPr="004C5A75">
        <w:rPr>
          <w:rFonts w:ascii="Times New Roman" w:hAnsi="Times New Roman"/>
          <w:b/>
          <w:caps/>
          <w:sz w:val="22"/>
          <w:szCs w:val="22"/>
          <w:lang w:val="lt-LT"/>
        </w:rPr>
        <w:t>REGISTRACIJOS PAŽYMĖJIMO numeris</w:t>
      </w:r>
      <w:r w:rsidRPr="004C5A75">
        <w:rPr>
          <w:rFonts w:ascii="Times New Roman" w:hAnsi="Times New Roman"/>
          <w:b/>
          <w:sz w:val="22"/>
          <w:szCs w:val="22"/>
          <w:lang w:val="lt-LT"/>
        </w:rPr>
        <w:t xml:space="preserve"> (-AI)</w:t>
      </w:r>
    </w:p>
    <w:p w14:paraId="17C182EE" w14:textId="77777777" w:rsidR="00D75E9B" w:rsidRPr="004C5A75" w:rsidRDefault="00D75E9B" w:rsidP="00D75E9B">
      <w:pPr>
        <w:rPr>
          <w:rFonts w:ascii="Times New Roman" w:hAnsi="Times New Roman"/>
          <w:sz w:val="22"/>
          <w:szCs w:val="22"/>
          <w:lang w:val="lt-LT"/>
        </w:rPr>
      </w:pPr>
    </w:p>
    <w:p w14:paraId="17C182EF"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N30 - LT/1/09/1442/002</w:t>
      </w:r>
    </w:p>
    <w:p w14:paraId="17C182F0"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N90 - LT/1/09/1442/003</w:t>
      </w:r>
    </w:p>
    <w:p w14:paraId="17C182F1" w14:textId="77777777" w:rsidR="00D75E9B" w:rsidRPr="004C5A75" w:rsidRDefault="00D75E9B" w:rsidP="00D75E9B">
      <w:pPr>
        <w:rPr>
          <w:rFonts w:ascii="Times New Roman" w:hAnsi="Times New Roman"/>
          <w:sz w:val="22"/>
          <w:szCs w:val="22"/>
          <w:lang w:val="lt-LT"/>
        </w:rPr>
      </w:pPr>
    </w:p>
    <w:p w14:paraId="17C182F2" w14:textId="77777777" w:rsidR="00D75E9B" w:rsidRPr="004C5A75" w:rsidRDefault="00D75E9B" w:rsidP="00D75E9B">
      <w:pPr>
        <w:rPr>
          <w:rFonts w:ascii="Times New Roman" w:hAnsi="Times New Roman"/>
          <w:sz w:val="22"/>
          <w:szCs w:val="22"/>
          <w:lang w:val="lt-LT"/>
        </w:rPr>
      </w:pPr>
    </w:p>
    <w:p w14:paraId="17C182F3"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13.</w:t>
      </w:r>
      <w:r w:rsidRPr="004C5A75">
        <w:rPr>
          <w:rFonts w:ascii="Times New Roman" w:hAnsi="Times New Roman"/>
          <w:b/>
          <w:sz w:val="22"/>
          <w:szCs w:val="22"/>
          <w:lang w:val="lt-LT"/>
        </w:rPr>
        <w:tab/>
        <w:t>SERIJOS NUMERIS</w:t>
      </w:r>
    </w:p>
    <w:p w14:paraId="17C182F4" w14:textId="77777777" w:rsidR="00D75E9B" w:rsidRPr="004C5A75" w:rsidRDefault="00D75E9B" w:rsidP="00D75E9B">
      <w:pPr>
        <w:rPr>
          <w:rFonts w:ascii="Times New Roman" w:hAnsi="Times New Roman"/>
          <w:sz w:val="22"/>
          <w:szCs w:val="22"/>
          <w:lang w:val="lt-LT"/>
        </w:rPr>
      </w:pPr>
    </w:p>
    <w:p w14:paraId="17C182F5"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Serija</w:t>
      </w:r>
    </w:p>
    <w:p w14:paraId="17C182F6" w14:textId="77777777" w:rsidR="00D75E9B" w:rsidRPr="004C5A75" w:rsidRDefault="00D75E9B" w:rsidP="00D75E9B">
      <w:pPr>
        <w:pStyle w:val="Pagrindinistekstas"/>
        <w:rPr>
          <w:rFonts w:ascii="Times New Roman" w:hAnsi="Times New Roman"/>
          <w:color w:val="auto"/>
          <w:lang w:val="lt-LT"/>
        </w:rPr>
      </w:pPr>
    </w:p>
    <w:p w14:paraId="17C182F7" w14:textId="77777777" w:rsidR="00D75E9B" w:rsidRPr="004C5A75" w:rsidRDefault="00D75E9B" w:rsidP="00D75E9B">
      <w:pPr>
        <w:rPr>
          <w:rFonts w:ascii="Times New Roman" w:hAnsi="Times New Roman"/>
          <w:sz w:val="22"/>
          <w:szCs w:val="22"/>
          <w:lang w:val="lt-LT"/>
        </w:rPr>
      </w:pPr>
    </w:p>
    <w:p w14:paraId="17C182F8"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14.</w:t>
      </w:r>
      <w:r w:rsidRPr="004C5A75">
        <w:rPr>
          <w:rFonts w:ascii="Times New Roman" w:hAnsi="Times New Roman"/>
          <w:b/>
          <w:sz w:val="22"/>
          <w:szCs w:val="22"/>
          <w:lang w:val="lt-LT"/>
        </w:rPr>
        <w:tab/>
      </w:r>
      <w:r w:rsidRPr="004C5A75">
        <w:rPr>
          <w:rFonts w:ascii="Times New Roman" w:hAnsi="Times New Roman"/>
          <w:b/>
          <w:caps/>
          <w:sz w:val="22"/>
          <w:szCs w:val="22"/>
          <w:lang w:val="lt-LT"/>
        </w:rPr>
        <w:t>PARDAVIMO (IŠDAVIMO) tvarka</w:t>
      </w:r>
    </w:p>
    <w:p w14:paraId="17C182F9" w14:textId="77777777" w:rsidR="00D75E9B" w:rsidRPr="004C5A75" w:rsidRDefault="00D75E9B" w:rsidP="00D75E9B">
      <w:pPr>
        <w:rPr>
          <w:rFonts w:ascii="Times New Roman" w:hAnsi="Times New Roman"/>
          <w:sz w:val="22"/>
          <w:szCs w:val="22"/>
          <w:lang w:val="lt-LT"/>
        </w:rPr>
      </w:pPr>
    </w:p>
    <w:p w14:paraId="17C182FA"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 xml:space="preserve">Receptinis </w:t>
      </w:r>
      <w:r w:rsidR="007420AA">
        <w:rPr>
          <w:rFonts w:ascii="Times New Roman" w:hAnsi="Times New Roman"/>
          <w:color w:val="auto"/>
          <w:lang w:val="lt-LT"/>
        </w:rPr>
        <w:t>vaistas</w:t>
      </w:r>
      <w:r w:rsidRPr="004C5A75">
        <w:rPr>
          <w:rFonts w:ascii="Times New Roman" w:hAnsi="Times New Roman"/>
          <w:color w:val="auto"/>
          <w:lang w:val="lt-LT"/>
        </w:rPr>
        <w:t>.</w:t>
      </w:r>
    </w:p>
    <w:p w14:paraId="17C182FB" w14:textId="77777777" w:rsidR="00D75E9B" w:rsidRPr="004C5A75" w:rsidRDefault="00D75E9B" w:rsidP="00D75E9B">
      <w:pPr>
        <w:pStyle w:val="Pagrindinistekstas"/>
        <w:rPr>
          <w:rFonts w:ascii="Times New Roman" w:hAnsi="Times New Roman"/>
          <w:color w:val="auto"/>
          <w:lang w:val="lt-LT"/>
        </w:rPr>
      </w:pPr>
    </w:p>
    <w:p w14:paraId="17C182FC" w14:textId="77777777" w:rsidR="00D75E9B" w:rsidRPr="004C5A75" w:rsidRDefault="00D75E9B" w:rsidP="00D75E9B">
      <w:pPr>
        <w:rPr>
          <w:rFonts w:ascii="Times New Roman" w:hAnsi="Times New Roman"/>
          <w:sz w:val="22"/>
          <w:szCs w:val="22"/>
          <w:lang w:val="lt-LT"/>
        </w:rPr>
      </w:pPr>
    </w:p>
    <w:p w14:paraId="17C182FD"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15.</w:t>
      </w:r>
      <w:r w:rsidRPr="004C5A75">
        <w:rPr>
          <w:rFonts w:ascii="Times New Roman" w:hAnsi="Times New Roman"/>
          <w:b/>
          <w:sz w:val="22"/>
          <w:szCs w:val="22"/>
          <w:lang w:val="lt-LT"/>
        </w:rPr>
        <w:tab/>
      </w:r>
      <w:r w:rsidRPr="004C5A75">
        <w:rPr>
          <w:rFonts w:ascii="Times New Roman" w:hAnsi="Times New Roman"/>
          <w:b/>
          <w:caps/>
          <w:sz w:val="22"/>
          <w:szCs w:val="22"/>
          <w:lang w:val="lt-LT"/>
        </w:rPr>
        <w:t>vartojimo instrukcijA</w:t>
      </w:r>
    </w:p>
    <w:p w14:paraId="17C182FE" w14:textId="77777777" w:rsidR="00D75E9B" w:rsidRPr="004C5A75" w:rsidRDefault="00D75E9B" w:rsidP="00D75E9B">
      <w:pPr>
        <w:rPr>
          <w:rFonts w:ascii="Times New Roman" w:hAnsi="Times New Roman"/>
          <w:sz w:val="22"/>
          <w:szCs w:val="22"/>
          <w:lang w:val="lt-LT"/>
        </w:rPr>
      </w:pPr>
    </w:p>
    <w:p w14:paraId="17C182FF" w14:textId="77777777" w:rsidR="00D75E9B" w:rsidRPr="004C5A75" w:rsidRDefault="00D75E9B" w:rsidP="00D75E9B">
      <w:pPr>
        <w:rPr>
          <w:rFonts w:ascii="Times New Roman" w:hAnsi="Times New Roman"/>
          <w:sz w:val="22"/>
          <w:szCs w:val="22"/>
          <w:lang w:val="lt-LT"/>
        </w:rPr>
      </w:pPr>
    </w:p>
    <w:p w14:paraId="17C18300" w14:textId="77777777" w:rsidR="00D75E9B" w:rsidRPr="004C5A75" w:rsidRDefault="00D75E9B" w:rsidP="00D75E9B">
      <w:pPr>
        <w:rPr>
          <w:rFonts w:ascii="Times New Roman" w:hAnsi="Times New Roman"/>
          <w:sz w:val="22"/>
          <w:szCs w:val="22"/>
          <w:lang w:val="lt-LT"/>
        </w:rPr>
      </w:pPr>
    </w:p>
    <w:p w14:paraId="17C18301"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16.</w:t>
      </w:r>
      <w:r w:rsidRPr="004C5A75">
        <w:rPr>
          <w:rFonts w:ascii="Times New Roman" w:hAnsi="Times New Roman"/>
          <w:b/>
          <w:sz w:val="22"/>
          <w:szCs w:val="22"/>
          <w:lang w:val="lt-LT"/>
        </w:rPr>
        <w:tab/>
        <w:t>INFORMACIJA BRAILIO RAŠTU</w:t>
      </w:r>
    </w:p>
    <w:p w14:paraId="17C18302" w14:textId="77777777" w:rsidR="00D75E9B" w:rsidRPr="004C5A75" w:rsidRDefault="00D75E9B" w:rsidP="00D75E9B">
      <w:pPr>
        <w:rPr>
          <w:rFonts w:ascii="Times New Roman" w:hAnsi="Times New Roman"/>
          <w:sz w:val="22"/>
          <w:szCs w:val="22"/>
          <w:lang w:val="lt-LT"/>
        </w:rPr>
      </w:pPr>
    </w:p>
    <w:p w14:paraId="17C18303"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w:t>
      </w:r>
    </w:p>
    <w:p w14:paraId="17C18304" w14:textId="77777777" w:rsidR="00D75E9B" w:rsidRPr="004C5A75" w:rsidRDefault="00D75E9B" w:rsidP="00D75E9B">
      <w:pPr>
        <w:rPr>
          <w:rFonts w:ascii="Times New Roman" w:hAnsi="Times New Roman"/>
          <w:sz w:val="22"/>
          <w:szCs w:val="22"/>
          <w:lang w:val="lt-LT"/>
        </w:rPr>
      </w:pPr>
    </w:p>
    <w:p w14:paraId="17C18305" w14:textId="77777777" w:rsidR="00D75E9B" w:rsidRPr="0026536C" w:rsidRDefault="00D75E9B" w:rsidP="00D75E9B">
      <w:pPr>
        <w:pStyle w:val="Pagrindinistekstas"/>
        <w:rPr>
          <w:rFonts w:ascii="Times New Roman" w:hAnsi="Times New Roman"/>
          <w:color w:val="auto"/>
          <w:szCs w:val="22"/>
          <w:lang w:val="lt-LT"/>
        </w:rPr>
      </w:pPr>
    </w:p>
    <w:p w14:paraId="17C18306" w14:textId="77777777" w:rsidR="00D75E9B" w:rsidRPr="0026536C" w:rsidRDefault="00D75E9B" w:rsidP="00D75E9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26536C">
        <w:rPr>
          <w:rFonts w:ascii="Times New Roman" w:hAnsi="Times New Roman"/>
          <w:b/>
          <w:sz w:val="22"/>
          <w:szCs w:val="22"/>
          <w:lang w:val="lt-LT"/>
        </w:rPr>
        <w:t>17.</w:t>
      </w:r>
      <w:r w:rsidRPr="0026536C">
        <w:rPr>
          <w:rFonts w:ascii="Times New Roman" w:hAnsi="Times New Roman"/>
          <w:b/>
          <w:sz w:val="22"/>
          <w:szCs w:val="22"/>
          <w:lang w:val="lt-LT"/>
        </w:rPr>
        <w:tab/>
        <w:t>UNIKALUS IDENTIFIKATORIUS – 2D BRŪKŠNINIS KODAS</w:t>
      </w:r>
    </w:p>
    <w:p w14:paraId="17C18307" w14:textId="77777777" w:rsidR="00D75E9B" w:rsidRPr="0026536C" w:rsidRDefault="00D75E9B" w:rsidP="00D75E9B">
      <w:pPr>
        <w:rPr>
          <w:rFonts w:ascii="Times New Roman" w:hAnsi="Times New Roman"/>
          <w:sz w:val="22"/>
          <w:szCs w:val="22"/>
          <w:lang w:val="lt-LT"/>
        </w:rPr>
      </w:pPr>
    </w:p>
    <w:p w14:paraId="17C18308" w14:textId="77777777" w:rsidR="00D75E9B" w:rsidRPr="0026536C" w:rsidRDefault="00D75E9B" w:rsidP="00D75E9B">
      <w:pPr>
        <w:tabs>
          <w:tab w:val="left" w:pos="567"/>
        </w:tabs>
        <w:rPr>
          <w:rFonts w:ascii="Times New Roman" w:hAnsi="Times New Roman"/>
          <w:sz w:val="22"/>
          <w:szCs w:val="22"/>
          <w:shd w:val="clear" w:color="auto" w:fill="CCCCCC"/>
          <w:lang w:val="lt-LT" w:eastAsia="lt-LT" w:bidi="lt-LT"/>
        </w:rPr>
      </w:pPr>
      <w:r w:rsidRPr="00D41710">
        <w:rPr>
          <w:rFonts w:ascii="Times New Roman" w:hAnsi="Times New Roman"/>
          <w:sz w:val="22"/>
          <w:highlight w:val="lightGray"/>
          <w:lang w:val="lt-LT"/>
        </w:rPr>
        <w:t>&lt;2D brūkšninis kodas su nurodytu unikaliu identifikatoriumi.&gt;</w:t>
      </w:r>
    </w:p>
    <w:p w14:paraId="17C18309" w14:textId="77777777" w:rsidR="00D75E9B" w:rsidRPr="0026536C" w:rsidRDefault="00D75E9B" w:rsidP="00D75E9B">
      <w:pPr>
        <w:rPr>
          <w:rFonts w:ascii="Times New Roman" w:hAnsi="Times New Roman"/>
          <w:sz w:val="22"/>
          <w:szCs w:val="22"/>
          <w:lang w:val="lt-LT"/>
        </w:rPr>
      </w:pPr>
    </w:p>
    <w:p w14:paraId="17C1830A" w14:textId="77777777" w:rsidR="00D75E9B" w:rsidRPr="0026536C" w:rsidRDefault="00D75E9B" w:rsidP="00D75E9B">
      <w:pPr>
        <w:rPr>
          <w:rFonts w:ascii="Times New Roman" w:hAnsi="Times New Roman"/>
          <w:sz w:val="22"/>
          <w:szCs w:val="22"/>
          <w:lang w:val="lt-LT"/>
        </w:rPr>
      </w:pPr>
    </w:p>
    <w:p w14:paraId="17C1830B" w14:textId="77777777" w:rsidR="00D75E9B" w:rsidRPr="0026536C" w:rsidRDefault="00D75E9B" w:rsidP="00D75E9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26536C">
        <w:rPr>
          <w:rFonts w:ascii="Times New Roman" w:hAnsi="Times New Roman"/>
          <w:b/>
          <w:sz w:val="22"/>
          <w:szCs w:val="22"/>
          <w:lang w:val="lt-LT"/>
        </w:rPr>
        <w:t>18.</w:t>
      </w:r>
      <w:r w:rsidRPr="0026536C">
        <w:rPr>
          <w:rFonts w:ascii="Times New Roman" w:hAnsi="Times New Roman"/>
          <w:b/>
          <w:sz w:val="22"/>
          <w:szCs w:val="22"/>
          <w:lang w:val="lt-LT"/>
        </w:rPr>
        <w:tab/>
        <w:t>UNIKALUS IDENTIFIKATORIUS – ŽMONĖMS SUPRANTAMI DUOMENYS</w:t>
      </w:r>
    </w:p>
    <w:p w14:paraId="17C1830C" w14:textId="77777777" w:rsidR="00D75E9B" w:rsidRPr="0026536C" w:rsidRDefault="00D75E9B" w:rsidP="00D75E9B">
      <w:pPr>
        <w:pStyle w:val="Pagrindinistekstas"/>
        <w:rPr>
          <w:rFonts w:ascii="Times New Roman" w:hAnsi="Times New Roman"/>
          <w:color w:val="auto"/>
          <w:szCs w:val="22"/>
          <w:lang w:val="lt-LT"/>
        </w:rPr>
      </w:pPr>
    </w:p>
    <w:p w14:paraId="17C1830D" w14:textId="77777777" w:rsidR="00D75E9B" w:rsidRPr="0026536C" w:rsidRDefault="00D75E9B" w:rsidP="00D75E9B">
      <w:pPr>
        <w:tabs>
          <w:tab w:val="left" w:pos="567"/>
        </w:tabs>
        <w:spacing w:line="260" w:lineRule="exact"/>
        <w:rPr>
          <w:rFonts w:ascii="Times New Roman" w:hAnsi="Times New Roman"/>
          <w:sz w:val="22"/>
          <w:szCs w:val="22"/>
          <w:lang w:val="lt-LT" w:eastAsia="lt-LT" w:bidi="lt-LT"/>
        </w:rPr>
      </w:pPr>
      <w:r w:rsidRPr="004C5A75">
        <w:rPr>
          <w:rFonts w:ascii="Times New Roman" w:hAnsi="Times New Roman"/>
          <w:sz w:val="22"/>
          <w:szCs w:val="20"/>
          <w:lang w:val="lt-LT" w:eastAsia="lt-LT" w:bidi="lt-LT"/>
        </w:rPr>
        <w:t>PC: {numeris} [preparato kodas]</w:t>
      </w:r>
    </w:p>
    <w:p w14:paraId="17C1830E" w14:textId="77777777" w:rsidR="00D75E9B" w:rsidRPr="004C5A75" w:rsidRDefault="00D75E9B" w:rsidP="00D75E9B">
      <w:pPr>
        <w:tabs>
          <w:tab w:val="left" w:pos="567"/>
        </w:tabs>
        <w:spacing w:line="260" w:lineRule="exact"/>
        <w:rPr>
          <w:rFonts w:ascii="Times New Roman" w:hAnsi="Times New Roman"/>
          <w:sz w:val="22"/>
          <w:szCs w:val="22"/>
          <w:lang w:val="lt-LT" w:eastAsia="lt-LT" w:bidi="lt-LT"/>
        </w:rPr>
      </w:pPr>
      <w:r w:rsidRPr="004C5A75">
        <w:rPr>
          <w:rFonts w:ascii="Times New Roman" w:hAnsi="Times New Roman"/>
          <w:sz w:val="22"/>
          <w:szCs w:val="20"/>
          <w:lang w:val="lt-LT" w:eastAsia="lt-LT" w:bidi="lt-LT"/>
        </w:rPr>
        <w:t xml:space="preserve">SN: {numeris} </w:t>
      </w:r>
      <w:r w:rsidRPr="0026536C">
        <w:rPr>
          <w:rFonts w:ascii="Times New Roman" w:hAnsi="Times New Roman"/>
          <w:sz w:val="22"/>
          <w:szCs w:val="20"/>
          <w:lang w:val="lt-LT" w:eastAsia="lt-LT" w:bidi="lt-LT"/>
        </w:rPr>
        <w:t>[nuoseklusis numeris]</w:t>
      </w:r>
    </w:p>
    <w:p w14:paraId="17C1830F" w14:textId="77777777" w:rsidR="00D75E9B" w:rsidRPr="004C5A75" w:rsidRDefault="00D75E9B" w:rsidP="00D75E9B">
      <w:pPr>
        <w:rPr>
          <w:rFonts w:ascii="Times New Roman" w:hAnsi="Times New Roman"/>
          <w:b/>
          <w:sz w:val="22"/>
          <w:szCs w:val="22"/>
          <w:lang w:val="lt-LT"/>
        </w:rPr>
      </w:pPr>
      <w:r w:rsidRPr="004C5A75">
        <w:rPr>
          <w:rFonts w:ascii="Times New Roman" w:hAnsi="Times New Roman"/>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13" w14:textId="77777777" w:rsidTr="000B746C">
        <w:trPr>
          <w:trHeight w:val="785"/>
        </w:trPr>
        <w:tc>
          <w:tcPr>
            <w:tcW w:w="9287" w:type="dxa"/>
            <w:tcBorders>
              <w:top w:val="single" w:sz="4" w:space="0" w:color="auto"/>
              <w:left w:val="single" w:sz="4" w:space="0" w:color="auto"/>
              <w:bottom w:val="single" w:sz="4" w:space="0" w:color="auto"/>
              <w:right w:val="single" w:sz="4" w:space="0" w:color="auto"/>
            </w:tcBorders>
          </w:tcPr>
          <w:p w14:paraId="17C18310" w14:textId="77777777" w:rsidR="00D75E9B" w:rsidRPr="004C5A75" w:rsidRDefault="00D75E9B" w:rsidP="000B746C">
            <w:pPr>
              <w:rPr>
                <w:rFonts w:ascii="Times New Roman" w:hAnsi="Times New Roman"/>
                <w:b/>
                <w:sz w:val="22"/>
                <w:szCs w:val="22"/>
                <w:lang w:val="lt-LT" w:eastAsia="lt-LT"/>
              </w:rPr>
            </w:pPr>
            <w:r w:rsidRPr="004C5A75">
              <w:rPr>
                <w:rFonts w:ascii="Times New Roman" w:hAnsi="Times New Roman"/>
                <w:b/>
                <w:sz w:val="22"/>
                <w:szCs w:val="22"/>
                <w:lang w:val="lt-LT" w:eastAsia="lt-LT"/>
              </w:rPr>
              <w:lastRenderedPageBreak/>
              <w:t xml:space="preserve">MINIMALI </w:t>
            </w:r>
            <w:r w:rsidRPr="004C5A75">
              <w:rPr>
                <w:rFonts w:ascii="Times New Roman" w:hAnsi="Times New Roman"/>
                <w:b/>
                <w:caps/>
                <w:sz w:val="22"/>
                <w:szCs w:val="22"/>
                <w:lang w:val="lt-LT" w:eastAsia="lt-LT"/>
              </w:rPr>
              <w:t xml:space="preserve">informacija ant </w:t>
            </w:r>
            <w:r w:rsidRPr="004C5A75">
              <w:rPr>
                <w:rFonts w:ascii="Times New Roman" w:hAnsi="Times New Roman"/>
                <w:b/>
                <w:sz w:val="22"/>
                <w:szCs w:val="22"/>
                <w:lang w:val="lt-LT" w:eastAsia="lt-LT"/>
              </w:rPr>
              <w:t>LIZDINIŲ PLOKŠTELIŲ ARBA DVISLUOKSNIŲ JUOSTELIŲ</w:t>
            </w:r>
          </w:p>
          <w:p w14:paraId="17C18311" w14:textId="77777777" w:rsidR="00D75E9B" w:rsidRPr="004C5A75" w:rsidRDefault="00D75E9B" w:rsidP="000B746C">
            <w:pPr>
              <w:rPr>
                <w:rFonts w:ascii="Times New Roman" w:hAnsi="Times New Roman"/>
                <w:b/>
                <w:sz w:val="22"/>
                <w:szCs w:val="22"/>
                <w:lang w:val="lt-LT" w:eastAsia="lt-LT"/>
              </w:rPr>
            </w:pPr>
          </w:p>
          <w:p w14:paraId="17C18312" w14:textId="77777777" w:rsidR="00D75E9B" w:rsidRPr="004C5A75" w:rsidRDefault="00D75E9B" w:rsidP="000B746C">
            <w:pPr>
              <w:rPr>
                <w:rFonts w:ascii="Times New Roman" w:hAnsi="Times New Roman"/>
                <w:b/>
                <w:sz w:val="22"/>
                <w:szCs w:val="22"/>
                <w:lang w:val="lt-LT" w:eastAsia="lt-LT"/>
              </w:rPr>
            </w:pPr>
            <w:r w:rsidRPr="004C5A75">
              <w:rPr>
                <w:rFonts w:ascii="Times New Roman" w:hAnsi="Times New Roman"/>
                <w:b/>
                <w:sz w:val="22"/>
                <w:szCs w:val="22"/>
                <w:lang w:val="lt-LT" w:eastAsia="lt-LT"/>
              </w:rPr>
              <w:t>LIZDINĖ PLOKŠTELĖ</w:t>
            </w:r>
          </w:p>
        </w:tc>
      </w:tr>
    </w:tbl>
    <w:p w14:paraId="17C18314" w14:textId="77777777" w:rsidR="00D75E9B" w:rsidRPr="004C5A75" w:rsidRDefault="00D75E9B" w:rsidP="00D75E9B">
      <w:pPr>
        <w:rPr>
          <w:rFonts w:ascii="Times New Roman" w:hAnsi="Times New Roman"/>
          <w:b/>
          <w:sz w:val="22"/>
          <w:szCs w:val="22"/>
          <w:lang w:val="lt-LT"/>
        </w:rPr>
      </w:pPr>
    </w:p>
    <w:p w14:paraId="17C18315" w14:textId="77777777" w:rsidR="00D75E9B" w:rsidRPr="004C5A75" w:rsidRDefault="00D75E9B" w:rsidP="00D75E9B">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17"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16"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1.</w:t>
            </w:r>
            <w:r w:rsidRPr="004C5A75">
              <w:rPr>
                <w:rFonts w:ascii="Times New Roman" w:hAnsi="Times New Roman"/>
                <w:b/>
                <w:sz w:val="22"/>
                <w:szCs w:val="22"/>
                <w:lang w:val="lt-LT" w:eastAsia="lt-LT"/>
              </w:rPr>
              <w:tab/>
            </w:r>
            <w:r w:rsidRPr="004C5A75">
              <w:rPr>
                <w:rFonts w:ascii="Times New Roman" w:hAnsi="Times New Roman"/>
                <w:b/>
                <w:caps/>
                <w:sz w:val="22"/>
                <w:szCs w:val="22"/>
                <w:lang w:val="lt-LT" w:eastAsia="lt-LT"/>
              </w:rPr>
              <w:t>Vaistinio preparato pavadinimas</w:t>
            </w:r>
          </w:p>
        </w:tc>
      </w:tr>
    </w:tbl>
    <w:p w14:paraId="17C18318" w14:textId="77777777" w:rsidR="00D75E9B" w:rsidRPr="004C5A75" w:rsidRDefault="00D75E9B" w:rsidP="00D75E9B">
      <w:pPr>
        <w:pStyle w:val="Pagrindinistekstas"/>
        <w:rPr>
          <w:rFonts w:ascii="Times New Roman" w:eastAsia="Calibri" w:hAnsi="Times New Roman"/>
          <w:color w:val="auto"/>
          <w:lang w:val="lt-LT"/>
        </w:rPr>
      </w:pPr>
    </w:p>
    <w:p w14:paraId="17C18319"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DIRONORM 20 mg/10 mg tabletės</w:t>
      </w:r>
    </w:p>
    <w:p w14:paraId="17C1831A" w14:textId="5A298908" w:rsidR="00D75E9B" w:rsidRPr="004C5A75" w:rsidRDefault="0027344F" w:rsidP="00D75E9B">
      <w:pPr>
        <w:pStyle w:val="Pagrindinistekstas"/>
        <w:rPr>
          <w:rFonts w:ascii="Times New Roman" w:hAnsi="Times New Roman"/>
          <w:color w:val="auto"/>
          <w:lang w:val="lt-LT"/>
        </w:rPr>
      </w:pPr>
      <w:r>
        <w:rPr>
          <w:rFonts w:ascii="Times New Roman" w:hAnsi="Times New Roman"/>
          <w:color w:val="auto"/>
          <w:lang w:val="lt-LT"/>
        </w:rPr>
        <w:t>l</w:t>
      </w:r>
      <w:r w:rsidR="00D75E9B" w:rsidRPr="004C5A75">
        <w:rPr>
          <w:rFonts w:ascii="Times New Roman" w:hAnsi="Times New Roman"/>
          <w:color w:val="auto"/>
          <w:lang w:val="lt-LT"/>
        </w:rPr>
        <w:t>isinoprilum/</w:t>
      </w:r>
      <w:r>
        <w:rPr>
          <w:rFonts w:ascii="Times New Roman" w:hAnsi="Times New Roman"/>
          <w:color w:val="auto"/>
          <w:lang w:val="lt-LT"/>
        </w:rPr>
        <w:t>a</w:t>
      </w:r>
      <w:r w:rsidR="00D75E9B" w:rsidRPr="004C5A75">
        <w:rPr>
          <w:rFonts w:ascii="Times New Roman" w:hAnsi="Times New Roman"/>
          <w:color w:val="auto"/>
          <w:lang w:val="lt-LT"/>
        </w:rPr>
        <w:t>mlodipinum</w:t>
      </w:r>
    </w:p>
    <w:p w14:paraId="17C1831B" w14:textId="77777777" w:rsidR="00D75E9B" w:rsidRPr="004C5A75" w:rsidRDefault="00D75E9B" w:rsidP="00D75E9B">
      <w:pPr>
        <w:pStyle w:val="Pagrindinistekstas"/>
        <w:rPr>
          <w:rFonts w:ascii="Times New Roman" w:hAnsi="Times New Roman"/>
          <w:color w:val="auto"/>
          <w:lang w:val="lt-LT"/>
        </w:rPr>
      </w:pPr>
    </w:p>
    <w:p w14:paraId="17C1831C" w14:textId="77777777" w:rsidR="00D75E9B" w:rsidRPr="004C5A75" w:rsidRDefault="00D75E9B" w:rsidP="00D75E9B">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1E"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1D"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2.</w:t>
            </w:r>
            <w:r w:rsidRPr="004C5A75">
              <w:rPr>
                <w:rFonts w:ascii="Times New Roman" w:hAnsi="Times New Roman"/>
                <w:b/>
                <w:sz w:val="22"/>
                <w:szCs w:val="22"/>
                <w:lang w:val="lt-LT" w:eastAsia="lt-LT"/>
              </w:rPr>
              <w:tab/>
            </w:r>
            <w:r w:rsidRPr="004C5A75">
              <w:rPr>
                <w:rFonts w:ascii="Times New Roman" w:hAnsi="Times New Roman"/>
                <w:b/>
                <w:caps/>
                <w:sz w:val="22"/>
                <w:szCs w:val="22"/>
                <w:lang w:val="lt-LT" w:eastAsia="lt-LT"/>
              </w:rPr>
              <w:t>REGISTRUOTOJO pavadinimas</w:t>
            </w:r>
          </w:p>
        </w:tc>
      </w:tr>
    </w:tbl>
    <w:p w14:paraId="17C1831F" w14:textId="77777777" w:rsidR="00D75E9B" w:rsidRPr="004C5A75" w:rsidRDefault="00D75E9B" w:rsidP="00D75E9B">
      <w:pPr>
        <w:rPr>
          <w:rFonts w:ascii="Times New Roman" w:hAnsi="Times New Roman"/>
          <w:b/>
          <w:sz w:val="22"/>
          <w:szCs w:val="22"/>
          <w:lang w:val="lt-LT"/>
        </w:rPr>
      </w:pPr>
    </w:p>
    <w:p w14:paraId="17C18320"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Gedeon Richter Plc.</w:t>
      </w:r>
    </w:p>
    <w:p w14:paraId="17C18321" w14:textId="77777777" w:rsidR="00D75E9B" w:rsidRPr="004C5A75" w:rsidRDefault="00D75E9B" w:rsidP="00D75E9B">
      <w:pPr>
        <w:jc w:val="both"/>
        <w:rPr>
          <w:rFonts w:ascii="Times New Roman" w:hAnsi="Times New Roman"/>
          <w:sz w:val="22"/>
          <w:szCs w:val="22"/>
          <w:lang w:val="lt-LT"/>
        </w:rPr>
      </w:pPr>
    </w:p>
    <w:p w14:paraId="17C18322"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((RG-emblema))</w:t>
      </w:r>
    </w:p>
    <w:p w14:paraId="17C18323" w14:textId="77777777" w:rsidR="00D75E9B" w:rsidRPr="004C5A75" w:rsidRDefault="00D75E9B" w:rsidP="00D75E9B">
      <w:pPr>
        <w:jc w:val="both"/>
        <w:rPr>
          <w:rFonts w:ascii="Times New Roman" w:hAnsi="Times New Roman"/>
          <w:sz w:val="22"/>
          <w:szCs w:val="22"/>
          <w:lang w:val="lt-LT"/>
        </w:rPr>
      </w:pPr>
    </w:p>
    <w:p w14:paraId="17C18324" w14:textId="77777777" w:rsidR="00D75E9B" w:rsidRPr="004C5A75" w:rsidRDefault="00D75E9B" w:rsidP="00D75E9B">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26"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25"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3.</w:t>
            </w:r>
            <w:r w:rsidRPr="004C5A75">
              <w:rPr>
                <w:rFonts w:ascii="Times New Roman" w:hAnsi="Times New Roman"/>
                <w:b/>
                <w:sz w:val="22"/>
                <w:szCs w:val="22"/>
                <w:lang w:val="lt-LT" w:eastAsia="lt-LT"/>
              </w:rPr>
              <w:tab/>
            </w:r>
            <w:r w:rsidRPr="004C5A75">
              <w:rPr>
                <w:rFonts w:ascii="Times New Roman" w:hAnsi="Times New Roman"/>
                <w:b/>
                <w:caps/>
                <w:sz w:val="22"/>
                <w:szCs w:val="22"/>
                <w:lang w:val="lt-LT" w:eastAsia="lt-LT"/>
              </w:rPr>
              <w:t>tinkamumo laikas</w:t>
            </w:r>
          </w:p>
        </w:tc>
      </w:tr>
    </w:tbl>
    <w:p w14:paraId="17C18327" w14:textId="77777777" w:rsidR="00D75E9B" w:rsidRPr="004C5A75" w:rsidRDefault="00D75E9B" w:rsidP="00D75E9B">
      <w:pPr>
        <w:rPr>
          <w:rFonts w:ascii="Times New Roman" w:hAnsi="Times New Roman"/>
          <w:b/>
          <w:sz w:val="22"/>
          <w:szCs w:val="22"/>
          <w:lang w:val="lt-LT"/>
        </w:rPr>
      </w:pPr>
    </w:p>
    <w:p w14:paraId="17C18328"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Tinka iki {mm/MMMM}</w:t>
      </w:r>
    </w:p>
    <w:p w14:paraId="17C18329" w14:textId="77777777" w:rsidR="00D75E9B" w:rsidRPr="004C5A75" w:rsidRDefault="00D75E9B" w:rsidP="00D75E9B">
      <w:pPr>
        <w:pStyle w:val="Pagrindinistekstas"/>
        <w:rPr>
          <w:rFonts w:ascii="Times New Roman" w:hAnsi="Times New Roman"/>
          <w:color w:val="auto"/>
          <w:lang w:val="lt-LT"/>
        </w:rPr>
      </w:pPr>
    </w:p>
    <w:p w14:paraId="17C1832A" w14:textId="77777777" w:rsidR="00D75E9B" w:rsidRPr="004C5A75" w:rsidRDefault="00D75E9B" w:rsidP="00D75E9B">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2C"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2B"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4.</w:t>
            </w:r>
            <w:r w:rsidRPr="004C5A75">
              <w:rPr>
                <w:rFonts w:ascii="Times New Roman" w:hAnsi="Times New Roman"/>
                <w:b/>
                <w:sz w:val="22"/>
                <w:szCs w:val="22"/>
                <w:lang w:val="lt-LT" w:eastAsia="lt-LT"/>
              </w:rPr>
              <w:tab/>
            </w:r>
            <w:r w:rsidRPr="004C5A75">
              <w:rPr>
                <w:rFonts w:ascii="Times New Roman" w:hAnsi="Times New Roman"/>
                <w:b/>
                <w:caps/>
                <w:sz w:val="22"/>
                <w:szCs w:val="22"/>
                <w:lang w:val="lt-LT" w:eastAsia="lt-LT"/>
              </w:rPr>
              <w:t>serijos numeris</w:t>
            </w:r>
          </w:p>
        </w:tc>
      </w:tr>
    </w:tbl>
    <w:p w14:paraId="17C1832D" w14:textId="77777777" w:rsidR="00D75E9B" w:rsidRPr="004C5A75" w:rsidRDefault="00D75E9B" w:rsidP="00D75E9B">
      <w:pPr>
        <w:ind w:right="113"/>
        <w:rPr>
          <w:rFonts w:ascii="Times New Roman" w:hAnsi="Times New Roman"/>
          <w:sz w:val="22"/>
          <w:szCs w:val="22"/>
          <w:lang w:val="lt-LT"/>
        </w:rPr>
      </w:pPr>
    </w:p>
    <w:p w14:paraId="17C1832E"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Serija</w:t>
      </w:r>
    </w:p>
    <w:p w14:paraId="17C1832F" w14:textId="77777777" w:rsidR="00D75E9B" w:rsidRPr="004C5A75" w:rsidRDefault="00D75E9B" w:rsidP="00D75E9B">
      <w:pPr>
        <w:pStyle w:val="Pagrindinistekstas"/>
        <w:rPr>
          <w:rFonts w:ascii="Times New Roman" w:hAnsi="Times New Roman"/>
          <w:color w:val="auto"/>
          <w:lang w:val="lt-LT"/>
        </w:rPr>
      </w:pPr>
    </w:p>
    <w:p w14:paraId="17C18330" w14:textId="77777777" w:rsidR="00D75E9B" w:rsidRPr="004C5A75" w:rsidRDefault="00D75E9B" w:rsidP="00D75E9B">
      <w:pPr>
        <w:ind w:right="113"/>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32"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31"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5.</w:t>
            </w:r>
            <w:r w:rsidRPr="004C5A75">
              <w:rPr>
                <w:rFonts w:ascii="Times New Roman" w:hAnsi="Times New Roman"/>
                <w:b/>
                <w:sz w:val="22"/>
                <w:szCs w:val="22"/>
                <w:lang w:val="lt-LT" w:eastAsia="lt-LT"/>
              </w:rPr>
              <w:tab/>
              <w:t>KITA</w:t>
            </w:r>
          </w:p>
        </w:tc>
      </w:tr>
    </w:tbl>
    <w:p w14:paraId="17C18333" w14:textId="77777777" w:rsidR="00D75E9B" w:rsidRPr="004C5A75" w:rsidRDefault="00D75E9B" w:rsidP="00D75E9B">
      <w:pPr>
        <w:ind w:right="113"/>
        <w:rPr>
          <w:rFonts w:ascii="Times New Roman" w:hAnsi="Times New Roman"/>
          <w:sz w:val="22"/>
          <w:szCs w:val="22"/>
          <w:lang w:val="lt-LT"/>
        </w:rPr>
      </w:pPr>
    </w:p>
    <w:p w14:paraId="17C18334" w14:textId="77777777" w:rsidR="00D75E9B" w:rsidRPr="004C5A75" w:rsidRDefault="00D75E9B" w:rsidP="00D75E9B">
      <w:pPr>
        <w:pStyle w:val="Antrats"/>
        <w:tabs>
          <w:tab w:val="left" w:pos="708"/>
          <w:tab w:val="right" w:pos="9000"/>
        </w:tabs>
        <w:rPr>
          <w:rFonts w:ascii="Times New Roman" w:hAnsi="Times New Roman"/>
          <w:sz w:val="22"/>
          <w:szCs w:val="22"/>
          <w:lang w:val="lt-LT"/>
        </w:rPr>
      </w:pPr>
    </w:p>
    <w:p w14:paraId="17C18335" w14:textId="77777777" w:rsidR="00D75E9B" w:rsidRPr="004C5A75" w:rsidRDefault="00D75E9B" w:rsidP="00D75E9B">
      <w:pPr>
        <w:rPr>
          <w:rFonts w:ascii="Times New Roman" w:hAnsi="Times New Roman"/>
          <w:b/>
          <w:sz w:val="22"/>
          <w:szCs w:val="22"/>
          <w:lang w:val="lt-LT"/>
        </w:rPr>
      </w:pPr>
    </w:p>
    <w:p w14:paraId="17C18336" w14:textId="77777777" w:rsidR="00D75E9B" w:rsidRPr="004C5A75" w:rsidRDefault="00D75E9B" w:rsidP="00D75E9B">
      <w:pPr>
        <w:rPr>
          <w:rFonts w:ascii="Times New Roman" w:hAnsi="Times New Roman"/>
          <w:sz w:val="22"/>
          <w:szCs w:val="22"/>
          <w:lang w:val="lt-LT"/>
        </w:rPr>
      </w:pPr>
    </w:p>
    <w:p w14:paraId="17C18337" w14:textId="77777777" w:rsidR="00D75E9B" w:rsidRPr="004C5A75" w:rsidRDefault="00D75E9B" w:rsidP="00D75E9B">
      <w:pPr>
        <w:jc w:val="center"/>
        <w:rPr>
          <w:rFonts w:ascii="Times New Roman" w:hAnsi="Times New Roman"/>
          <w:sz w:val="22"/>
          <w:szCs w:val="22"/>
          <w:lang w:val="lt-LT"/>
        </w:rPr>
      </w:pPr>
      <w:r w:rsidRPr="004C5A75">
        <w:rPr>
          <w:rFonts w:ascii="Times New Roman" w:hAnsi="Times New Roman"/>
          <w:sz w:val="22"/>
          <w:szCs w:val="22"/>
          <w:lang w:val="lt-LT"/>
        </w:rPr>
        <w:br w:type="page"/>
      </w:r>
    </w:p>
    <w:p w14:paraId="17C18338" w14:textId="77777777" w:rsidR="00D75E9B" w:rsidRPr="004C5A75" w:rsidRDefault="00D75E9B" w:rsidP="00D75E9B">
      <w:pPr>
        <w:rPr>
          <w:rFonts w:ascii="Times New Roman" w:hAnsi="Times New Roman"/>
          <w:sz w:val="22"/>
          <w:szCs w:val="22"/>
          <w:lang w:val="lt-LT"/>
        </w:rPr>
      </w:pPr>
    </w:p>
    <w:p w14:paraId="17C18339" w14:textId="77777777" w:rsidR="00D75E9B" w:rsidRPr="004C5A75" w:rsidRDefault="00D75E9B" w:rsidP="00D75E9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4C5A75">
        <w:rPr>
          <w:rFonts w:ascii="Times New Roman" w:hAnsi="Times New Roman"/>
          <w:b/>
          <w:sz w:val="22"/>
          <w:szCs w:val="22"/>
          <w:lang w:val="lt-LT"/>
        </w:rPr>
        <w:t>INFORMACIJA ANT IŠORINĖS PAKUOTĖS</w:t>
      </w:r>
    </w:p>
    <w:p w14:paraId="17C1833A" w14:textId="77777777" w:rsidR="00D75E9B" w:rsidRPr="004C5A75" w:rsidRDefault="00D75E9B" w:rsidP="00D75E9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p>
    <w:p w14:paraId="17C1833B" w14:textId="77777777" w:rsidR="00D75E9B" w:rsidRPr="004C5A75" w:rsidRDefault="00D75E9B" w:rsidP="00D75E9B">
      <w:pPr>
        <w:pBdr>
          <w:top w:val="single" w:sz="4" w:space="1" w:color="auto"/>
          <w:left w:val="single" w:sz="4" w:space="4" w:color="auto"/>
          <w:bottom w:val="single" w:sz="4" w:space="1" w:color="auto"/>
          <w:right w:val="single" w:sz="4" w:space="4" w:color="auto"/>
        </w:pBdr>
        <w:rPr>
          <w:rFonts w:ascii="Times New Roman" w:hAnsi="Times New Roman"/>
          <w:bCs/>
          <w:sz w:val="22"/>
          <w:szCs w:val="22"/>
          <w:lang w:val="lt-LT"/>
        </w:rPr>
      </w:pPr>
      <w:r w:rsidRPr="004C5A75">
        <w:rPr>
          <w:rFonts w:ascii="Times New Roman" w:hAnsi="Times New Roman"/>
          <w:b/>
          <w:sz w:val="22"/>
          <w:szCs w:val="22"/>
          <w:lang w:val="lt-LT"/>
        </w:rPr>
        <w:t>KARTONO DĖŽUTĖ</w:t>
      </w:r>
    </w:p>
    <w:p w14:paraId="17C1833C" w14:textId="77777777" w:rsidR="00D75E9B" w:rsidRPr="004C5A75" w:rsidRDefault="00D75E9B" w:rsidP="00D75E9B">
      <w:pPr>
        <w:rPr>
          <w:rFonts w:ascii="Times New Roman" w:hAnsi="Times New Roman"/>
          <w:sz w:val="22"/>
          <w:szCs w:val="22"/>
          <w:lang w:val="lt-LT"/>
        </w:rPr>
      </w:pPr>
    </w:p>
    <w:p w14:paraId="17C1833D" w14:textId="77777777" w:rsidR="00D75E9B" w:rsidRPr="004C5A75" w:rsidRDefault="00D75E9B" w:rsidP="00D75E9B">
      <w:pPr>
        <w:rPr>
          <w:rFonts w:ascii="Times New Roman" w:hAnsi="Times New Roman"/>
          <w:sz w:val="22"/>
          <w:szCs w:val="22"/>
          <w:lang w:val="lt-LT"/>
        </w:rPr>
      </w:pPr>
    </w:p>
    <w:p w14:paraId="17C1833E"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1.</w:t>
      </w:r>
      <w:r w:rsidRPr="004C5A75">
        <w:rPr>
          <w:rFonts w:ascii="Times New Roman" w:hAnsi="Times New Roman"/>
          <w:b/>
          <w:sz w:val="22"/>
          <w:szCs w:val="22"/>
          <w:lang w:val="lt-LT"/>
        </w:rPr>
        <w:tab/>
        <w:t>VAISTINIO PREPARATO PAVADINIMAS</w:t>
      </w:r>
    </w:p>
    <w:p w14:paraId="17C1833F" w14:textId="77777777" w:rsidR="00D75E9B" w:rsidRPr="004C5A75" w:rsidRDefault="00D75E9B" w:rsidP="00D75E9B">
      <w:pPr>
        <w:rPr>
          <w:rFonts w:ascii="Times New Roman" w:hAnsi="Times New Roman"/>
          <w:sz w:val="22"/>
          <w:szCs w:val="22"/>
          <w:lang w:val="lt-LT"/>
        </w:rPr>
      </w:pPr>
    </w:p>
    <w:p w14:paraId="17C18340"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DIRONORM 20 mg/5 mg tabletės</w:t>
      </w:r>
    </w:p>
    <w:p w14:paraId="17C18341" w14:textId="337F3F05" w:rsidR="00D75E9B" w:rsidRPr="004C5A75" w:rsidRDefault="0027344F" w:rsidP="00D75E9B">
      <w:pPr>
        <w:pStyle w:val="Pagrindinistekstas"/>
        <w:rPr>
          <w:rFonts w:ascii="Times New Roman" w:hAnsi="Times New Roman"/>
          <w:color w:val="auto"/>
          <w:lang w:val="lt-LT"/>
        </w:rPr>
      </w:pPr>
      <w:r>
        <w:rPr>
          <w:rFonts w:ascii="Times New Roman" w:hAnsi="Times New Roman"/>
          <w:color w:val="auto"/>
          <w:lang w:val="lt-LT"/>
        </w:rPr>
        <w:t>l</w:t>
      </w:r>
      <w:r w:rsidR="00D75E9B" w:rsidRPr="004C5A75">
        <w:rPr>
          <w:rFonts w:ascii="Times New Roman" w:hAnsi="Times New Roman"/>
          <w:color w:val="auto"/>
          <w:lang w:val="lt-LT"/>
        </w:rPr>
        <w:t>isinoprilum/</w:t>
      </w:r>
      <w:r>
        <w:rPr>
          <w:rFonts w:ascii="Times New Roman" w:hAnsi="Times New Roman"/>
          <w:color w:val="auto"/>
          <w:lang w:val="lt-LT"/>
        </w:rPr>
        <w:t>a</w:t>
      </w:r>
      <w:r w:rsidR="00D75E9B" w:rsidRPr="004C5A75">
        <w:rPr>
          <w:rFonts w:ascii="Times New Roman" w:hAnsi="Times New Roman"/>
          <w:color w:val="auto"/>
          <w:lang w:val="lt-LT"/>
        </w:rPr>
        <w:t>mlodipinum</w:t>
      </w:r>
    </w:p>
    <w:p w14:paraId="17C18342" w14:textId="77777777" w:rsidR="00D75E9B" w:rsidRPr="004C5A75" w:rsidRDefault="00D75E9B" w:rsidP="00D75E9B">
      <w:pPr>
        <w:pStyle w:val="Pagrindinistekstas"/>
        <w:rPr>
          <w:rFonts w:ascii="Times New Roman" w:hAnsi="Times New Roman"/>
          <w:color w:val="auto"/>
          <w:lang w:val="lt-LT"/>
        </w:rPr>
      </w:pPr>
    </w:p>
    <w:p w14:paraId="17C18343" w14:textId="77777777" w:rsidR="00D75E9B" w:rsidRPr="004C5A75" w:rsidRDefault="00D75E9B" w:rsidP="00D75E9B">
      <w:pPr>
        <w:rPr>
          <w:rFonts w:ascii="Times New Roman" w:hAnsi="Times New Roman"/>
          <w:sz w:val="22"/>
          <w:szCs w:val="22"/>
          <w:lang w:val="lt-LT"/>
        </w:rPr>
      </w:pPr>
    </w:p>
    <w:p w14:paraId="17C18344"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4C5A75">
        <w:rPr>
          <w:rFonts w:ascii="Times New Roman" w:hAnsi="Times New Roman"/>
          <w:b/>
          <w:sz w:val="22"/>
          <w:szCs w:val="22"/>
          <w:lang w:val="lt-LT"/>
        </w:rPr>
        <w:t>2.</w:t>
      </w:r>
      <w:r w:rsidRPr="004C5A75">
        <w:rPr>
          <w:rFonts w:ascii="Times New Roman" w:hAnsi="Times New Roman"/>
          <w:b/>
          <w:sz w:val="22"/>
          <w:szCs w:val="22"/>
          <w:lang w:val="lt-LT"/>
        </w:rPr>
        <w:tab/>
        <w:t>VEIKLIOJI MEDŽIAGA IR JOS KIEKIS</w:t>
      </w:r>
    </w:p>
    <w:p w14:paraId="17C18345" w14:textId="77777777" w:rsidR="00D75E9B" w:rsidRPr="004C5A75" w:rsidRDefault="00D75E9B" w:rsidP="00D75E9B">
      <w:pPr>
        <w:rPr>
          <w:rFonts w:ascii="Times New Roman" w:hAnsi="Times New Roman"/>
          <w:sz w:val="22"/>
          <w:szCs w:val="22"/>
          <w:lang w:val="lt-LT"/>
        </w:rPr>
      </w:pPr>
    </w:p>
    <w:p w14:paraId="17C18346"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Vienoje tabletėje yra 20 mg lizinoprilio (dihidrato pavidalu) ir 5 mg amlodipino (besilato pavidalu).</w:t>
      </w:r>
    </w:p>
    <w:p w14:paraId="17C18347" w14:textId="77777777" w:rsidR="00D75E9B" w:rsidRPr="004C5A75" w:rsidRDefault="00D75E9B" w:rsidP="00D75E9B">
      <w:pPr>
        <w:jc w:val="both"/>
        <w:rPr>
          <w:rFonts w:ascii="Times New Roman" w:hAnsi="Times New Roman"/>
          <w:sz w:val="22"/>
          <w:szCs w:val="22"/>
          <w:lang w:val="lt-LT"/>
        </w:rPr>
      </w:pPr>
    </w:p>
    <w:p w14:paraId="17C18348" w14:textId="77777777" w:rsidR="00D75E9B" w:rsidRPr="004C5A75" w:rsidRDefault="00D75E9B" w:rsidP="00D75E9B">
      <w:pPr>
        <w:rPr>
          <w:rFonts w:ascii="Times New Roman" w:hAnsi="Times New Roman"/>
          <w:sz w:val="22"/>
          <w:szCs w:val="22"/>
          <w:lang w:val="lt-LT"/>
        </w:rPr>
      </w:pPr>
    </w:p>
    <w:p w14:paraId="17C18349"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3.</w:t>
      </w:r>
      <w:r w:rsidRPr="004C5A75">
        <w:rPr>
          <w:rFonts w:ascii="Times New Roman" w:hAnsi="Times New Roman"/>
          <w:b/>
          <w:sz w:val="22"/>
          <w:szCs w:val="22"/>
          <w:lang w:val="lt-LT"/>
        </w:rPr>
        <w:tab/>
        <w:t>PAGALBINIŲ MEDŽIAGŲ SĄRAŠAS</w:t>
      </w:r>
    </w:p>
    <w:p w14:paraId="17C1834A" w14:textId="77777777" w:rsidR="00D75E9B" w:rsidRPr="004C5A75" w:rsidRDefault="00D75E9B" w:rsidP="00D75E9B">
      <w:pPr>
        <w:rPr>
          <w:rFonts w:ascii="Times New Roman" w:hAnsi="Times New Roman"/>
          <w:sz w:val="22"/>
          <w:szCs w:val="22"/>
          <w:lang w:val="lt-LT"/>
        </w:rPr>
      </w:pPr>
    </w:p>
    <w:p w14:paraId="17C1834B" w14:textId="77777777" w:rsidR="00D75E9B" w:rsidRPr="004C5A75" w:rsidRDefault="00D75E9B" w:rsidP="00D75E9B">
      <w:pPr>
        <w:rPr>
          <w:rFonts w:ascii="Times New Roman" w:hAnsi="Times New Roman"/>
          <w:sz w:val="22"/>
          <w:szCs w:val="22"/>
          <w:lang w:val="lt-LT"/>
        </w:rPr>
      </w:pPr>
    </w:p>
    <w:p w14:paraId="17C1834C"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4.</w:t>
      </w:r>
      <w:r w:rsidRPr="004C5A75">
        <w:rPr>
          <w:rFonts w:ascii="Times New Roman" w:hAnsi="Times New Roman"/>
          <w:b/>
          <w:sz w:val="22"/>
          <w:szCs w:val="22"/>
          <w:lang w:val="lt-LT"/>
        </w:rPr>
        <w:tab/>
        <w:t>FARMACINĖ FORMA IR KIEKIS PAKUOTĖJE</w:t>
      </w:r>
    </w:p>
    <w:p w14:paraId="17C1834D" w14:textId="77777777" w:rsidR="00D75E9B" w:rsidRPr="004C5A75" w:rsidRDefault="00D75E9B" w:rsidP="00D75E9B">
      <w:pPr>
        <w:rPr>
          <w:rFonts w:ascii="Times New Roman" w:hAnsi="Times New Roman"/>
          <w:sz w:val="22"/>
          <w:szCs w:val="22"/>
          <w:lang w:val="lt-LT"/>
        </w:rPr>
      </w:pPr>
    </w:p>
    <w:p w14:paraId="17C1834E" w14:textId="77777777" w:rsidR="00D75E9B" w:rsidRPr="004C5A75" w:rsidRDefault="00D75E9B" w:rsidP="00D75E9B">
      <w:pPr>
        <w:pStyle w:val="Antrats"/>
        <w:tabs>
          <w:tab w:val="right" w:pos="1080"/>
        </w:tabs>
        <w:rPr>
          <w:rFonts w:ascii="Times New Roman" w:hAnsi="Times New Roman"/>
          <w:sz w:val="22"/>
          <w:szCs w:val="22"/>
          <w:lang w:val="lt-LT"/>
        </w:rPr>
      </w:pPr>
      <w:r w:rsidRPr="004C5A75">
        <w:rPr>
          <w:rFonts w:ascii="Times New Roman" w:hAnsi="Times New Roman"/>
          <w:sz w:val="22"/>
          <w:szCs w:val="22"/>
          <w:lang w:val="lt-LT"/>
        </w:rPr>
        <w:t>30 tablečių</w:t>
      </w:r>
    </w:p>
    <w:p w14:paraId="17C1834F" w14:textId="77777777" w:rsidR="00D75E9B" w:rsidRPr="004C5A75" w:rsidRDefault="00D75E9B" w:rsidP="00D75E9B">
      <w:pPr>
        <w:pStyle w:val="Antrats"/>
        <w:tabs>
          <w:tab w:val="right" w:pos="1080"/>
        </w:tabs>
        <w:rPr>
          <w:rFonts w:ascii="Times New Roman" w:hAnsi="Times New Roman"/>
          <w:sz w:val="22"/>
          <w:szCs w:val="22"/>
          <w:lang w:val="lt-LT"/>
        </w:rPr>
      </w:pPr>
      <w:r w:rsidRPr="004C5A75">
        <w:rPr>
          <w:rFonts w:ascii="Times New Roman" w:hAnsi="Times New Roman"/>
          <w:sz w:val="22"/>
          <w:szCs w:val="22"/>
          <w:lang w:val="lt-LT"/>
        </w:rPr>
        <w:t>90 tablečių</w:t>
      </w:r>
    </w:p>
    <w:p w14:paraId="17C18350" w14:textId="77777777" w:rsidR="00D75E9B" w:rsidRPr="004C5A75" w:rsidRDefault="00D75E9B" w:rsidP="00D75E9B">
      <w:pPr>
        <w:rPr>
          <w:rFonts w:ascii="Times New Roman" w:hAnsi="Times New Roman"/>
          <w:sz w:val="22"/>
          <w:szCs w:val="22"/>
          <w:lang w:val="lt-LT"/>
        </w:rPr>
      </w:pPr>
    </w:p>
    <w:p w14:paraId="17C18351" w14:textId="77777777" w:rsidR="00D75E9B" w:rsidRPr="004C5A75" w:rsidRDefault="00D75E9B" w:rsidP="00D75E9B">
      <w:pPr>
        <w:rPr>
          <w:rFonts w:ascii="Times New Roman" w:hAnsi="Times New Roman"/>
          <w:sz w:val="22"/>
          <w:szCs w:val="22"/>
          <w:lang w:val="lt-LT"/>
        </w:rPr>
      </w:pPr>
    </w:p>
    <w:p w14:paraId="17C18352"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5.</w:t>
      </w:r>
      <w:r w:rsidRPr="004C5A75">
        <w:rPr>
          <w:rFonts w:ascii="Times New Roman" w:hAnsi="Times New Roman"/>
          <w:b/>
          <w:sz w:val="22"/>
          <w:szCs w:val="22"/>
          <w:lang w:val="lt-LT"/>
        </w:rPr>
        <w:tab/>
        <w:t>VARTOJIMO METODAS IR BŪDAS</w:t>
      </w:r>
    </w:p>
    <w:p w14:paraId="17C18353" w14:textId="77777777" w:rsidR="00D75E9B" w:rsidRPr="004C5A75" w:rsidRDefault="00D75E9B" w:rsidP="00D75E9B">
      <w:pPr>
        <w:rPr>
          <w:rFonts w:ascii="Times New Roman" w:hAnsi="Times New Roman"/>
          <w:sz w:val="22"/>
          <w:szCs w:val="22"/>
          <w:lang w:val="lt-LT"/>
        </w:rPr>
      </w:pPr>
    </w:p>
    <w:p w14:paraId="17C1835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Vartoti per burną.</w:t>
      </w:r>
    </w:p>
    <w:p w14:paraId="17C1835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Prieš vartojimą perskaitykite pakuotės lapelį.</w:t>
      </w:r>
    </w:p>
    <w:p w14:paraId="17C18356" w14:textId="77777777" w:rsidR="00D75E9B" w:rsidRPr="004C5A75" w:rsidRDefault="00D75E9B" w:rsidP="00D75E9B">
      <w:pPr>
        <w:rPr>
          <w:rFonts w:ascii="Times New Roman" w:hAnsi="Times New Roman"/>
          <w:sz w:val="22"/>
          <w:szCs w:val="22"/>
          <w:lang w:val="lt-LT"/>
        </w:rPr>
      </w:pPr>
    </w:p>
    <w:p w14:paraId="17C18357" w14:textId="77777777" w:rsidR="00D75E9B" w:rsidRPr="004C5A75" w:rsidRDefault="00D75E9B" w:rsidP="00D75E9B">
      <w:pPr>
        <w:rPr>
          <w:rFonts w:ascii="Times New Roman" w:hAnsi="Times New Roman"/>
          <w:i/>
          <w:sz w:val="22"/>
          <w:szCs w:val="22"/>
          <w:lang w:val="lt-LT"/>
        </w:rPr>
      </w:pPr>
    </w:p>
    <w:p w14:paraId="17C18358" w14:textId="77777777" w:rsidR="00D75E9B" w:rsidRPr="004C5A75" w:rsidRDefault="00D75E9B" w:rsidP="00D75E9B">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6.</w:t>
      </w:r>
      <w:r w:rsidRPr="004C5A75">
        <w:rPr>
          <w:rFonts w:ascii="Times New Roman" w:hAnsi="Times New Roman"/>
          <w:b/>
          <w:sz w:val="22"/>
          <w:szCs w:val="22"/>
          <w:lang w:val="lt-LT"/>
        </w:rPr>
        <w:tab/>
      </w:r>
      <w:r w:rsidRPr="004C5A75">
        <w:rPr>
          <w:rFonts w:ascii="Times New Roman" w:hAnsi="Times New Roman"/>
          <w:b/>
          <w:bCs/>
          <w:sz w:val="22"/>
          <w:szCs w:val="22"/>
          <w:lang w:val="lt-LT"/>
        </w:rPr>
        <w:t>SPECIALUS ĮSPĖJIMAS, KAD VAISTINĮ PREPARATĄ BŪTINA LAIKYTI VAIKAMS NEPASTEBIMOJE IR NEPASIEKIAMOJE VIETOJE</w:t>
      </w:r>
    </w:p>
    <w:p w14:paraId="17C18359" w14:textId="77777777" w:rsidR="00D75E9B" w:rsidRPr="004C5A75" w:rsidRDefault="00D75E9B" w:rsidP="00D75E9B">
      <w:pPr>
        <w:rPr>
          <w:rFonts w:ascii="Times New Roman" w:hAnsi="Times New Roman"/>
          <w:sz w:val="22"/>
          <w:szCs w:val="22"/>
          <w:lang w:val="lt-LT"/>
        </w:rPr>
      </w:pPr>
    </w:p>
    <w:p w14:paraId="17C1835A"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 xml:space="preserve">Laikyti vaikams nepastebimoje </w:t>
      </w:r>
      <w:r w:rsidR="007420AA">
        <w:rPr>
          <w:rFonts w:ascii="Times New Roman" w:hAnsi="Times New Roman"/>
          <w:color w:val="auto"/>
          <w:lang w:val="lt-LT"/>
        </w:rPr>
        <w:t xml:space="preserve">ir </w:t>
      </w:r>
      <w:r w:rsidRPr="004C5A75">
        <w:rPr>
          <w:rFonts w:ascii="Times New Roman" w:hAnsi="Times New Roman"/>
          <w:color w:val="auto"/>
          <w:lang w:val="lt-LT"/>
        </w:rPr>
        <w:t>nepasiekiamoje vietoje.</w:t>
      </w:r>
    </w:p>
    <w:p w14:paraId="17C1835B" w14:textId="77777777" w:rsidR="00D75E9B" w:rsidRPr="004C5A75" w:rsidRDefault="00D75E9B" w:rsidP="00D75E9B">
      <w:pPr>
        <w:pStyle w:val="Pagrindinistekstas"/>
        <w:rPr>
          <w:rFonts w:ascii="Times New Roman" w:hAnsi="Times New Roman"/>
          <w:color w:val="auto"/>
          <w:lang w:val="lt-LT"/>
        </w:rPr>
      </w:pPr>
    </w:p>
    <w:p w14:paraId="17C1835C" w14:textId="77777777" w:rsidR="00D75E9B" w:rsidRPr="004C5A75" w:rsidRDefault="00D75E9B" w:rsidP="00D75E9B">
      <w:pPr>
        <w:rPr>
          <w:rFonts w:ascii="Times New Roman" w:hAnsi="Times New Roman"/>
          <w:sz w:val="22"/>
          <w:szCs w:val="22"/>
          <w:lang w:val="lt-LT"/>
        </w:rPr>
      </w:pPr>
    </w:p>
    <w:p w14:paraId="17C1835D"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7.</w:t>
      </w:r>
      <w:r w:rsidRPr="004C5A75">
        <w:rPr>
          <w:rFonts w:ascii="Times New Roman" w:hAnsi="Times New Roman"/>
          <w:b/>
          <w:sz w:val="22"/>
          <w:szCs w:val="22"/>
          <w:lang w:val="lt-LT"/>
        </w:rPr>
        <w:tab/>
      </w:r>
      <w:r w:rsidRPr="004C5A75">
        <w:rPr>
          <w:rFonts w:ascii="Times New Roman" w:hAnsi="Times New Roman"/>
          <w:b/>
          <w:bCs/>
          <w:sz w:val="22"/>
          <w:szCs w:val="22"/>
          <w:lang w:val="lt-LT"/>
        </w:rPr>
        <w:t>KITAS SPECIALUS ĮSPĖJIMAS (JEI REIKIA)</w:t>
      </w:r>
    </w:p>
    <w:p w14:paraId="17C1835E" w14:textId="77777777" w:rsidR="00D75E9B" w:rsidRPr="004C5A75" w:rsidRDefault="00D75E9B" w:rsidP="00D75E9B">
      <w:pPr>
        <w:rPr>
          <w:rFonts w:ascii="Times New Roman" w:hAnsi="Times New Roman"/>
          <w:sz w:val="22"/>
          <w:szCs w:val="22"/>
          <w:lang w:val="lt-LT"/>
        </w:rPr>
      </w:pPr>
    </w:p>
    <w:p w14:paraId="17C1835F" w14:textId="77777777" w:rsidR="00D75E9B" w:rsidRPr="004C5A75" w:rsidRDefault="00D75E9B" w:rsidP="00D75E9B">
      <w:pPr>
        <w:rPr>
          <w:rFonts w:ascii="Times New Roman" w:hAnsi="Times New Roman"/>
          <w:sz w:val="22"/>
          <w:szCs w:val="22"/>
          <w:lang w:val="lt-LT"/>
        </w:rPr>
      </w:pPr>
    </w:p>
    <w:p w14:paraId="17C18360" w14:textId="77777777" w:rsidR="00D75E9B" w:rsidRPr="004C5A75" w:rsidRDefault="00D75E9B" w:rsidP="00D75E9B">
      <w:pPr>
        <w:rPr>
          <w:rFonts w:ascii="Times New Roman" w:hAnsi="Times New Roman"/>
          <w:sz w:val="22"/>
          <w:szCs w:val="22"/>
          <w:lang w:val="lt-LT"/>
        </w:rPr>
      </w:pPr>
    </w:p>
    <w:p w14:paraId="17C18361"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8.</w:t>
      </w:r>
      <w:r w:rsidRPr="004C5A75">
        <w:rPr>
          <w:rFonts w:ascii="Times New Roman" w:hAnsi="Times New Roman"/>
          <w:b/>
          <w:sz w:val="22"/>
          <w:szCs w:val="22"/>
          <w:lang w:val="lt-LT"/>
        </w:rPr>
        <w:tab/>
      </w:r>
      <w:r w:rsidRPr="004C5A75">
        <w:rPr>
          <w:rFonts w:ascii="Times New Roman" w:hAnsi="Times New Roman"/>
          <w:b/>
          <w:bCs/>
          <w:sz w:val="22"/>
          <w:szCs w:val="22"/>
          <w:lang w:val="lt-LT"/>
        </w:rPr>
        <w:t>TINKAMUMO LAIKAS</w:t>
      </w:r>
    </w:p>
    <w:p w14:paraId="17C18362" w14:textId="77777777" w:rsidR="00D75E9B" w:rsidRPr="004C5A75" w:rsidRDefault="00D75E9B" w:rsidP="00D75E9B">
      <w:pPr>
        <w:rPr>
          <w:rFonts w:ascii="Times New Roman" w:hAnsi="Times New Roman"/>
          <w:sz w:val="22"/>
          <w:szCs w:val="22"/>
          <w:lang w:val="lt-LT"/>
        </w:rPr>
      </w:pPr>
    </w:p>
    <w:p w14:paraId="17C18363"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Tinka iki {mm/MMMM}</w:t>
      </w:r>
    </w:p>
    <w:p w14:paraId="17C18364" w14:textId="77777777" w:rsidR="00D75E9B" w:rsidRPr="004C5A75" w:rsidRDefault="00D75E9B" w:rsidP="00D75E9B">
      <w:pPr>
        <w:pStyle w:val="Pagrindinistekstas"/>
        <w:rPr>
          <w:rFonts w:ascii="Times New Roman" w:hAnsi="Times New Roman"/>
          <w:color w:val="auto"/>
          <w:lang w:val="lt-LT"/>
        </w:rPr>
      </w:pPr>
    </w:p>
    <w:p w14:paraId="17C18365" w14:textId="77777777" w:rsidR="00D75E9B" w:rsidRPr="004C5A75" w:rsidRDefault="00D75E9B" w:rsidP="00D75E9B">
      <w:pPr>
        <w:rPr>
          <w:rFonts w:ascii="Times New Roman" w:hAnsi="Times New Roman"/>
          <w:sz w:val="22"/>
          <w:szCs w:val="22"/>
          <w:lang w:val="lt-LT"/>
        </w:rPr>
      </w:pPr>
    </w:p>
    <w:p w14:paraId="17C18366"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4C5A75">
        <w:rPr>
          <w:rFonts w:ascii="Times New Roman" w:hAnsi="Times New Roman"/>
          <w:b/>
          <w:sz w:val="22"/>
          <w:szCs w:val="22"/>
          <w:lang w:val="lt-LT"/>
        </w:rPr>
        <w:t>9.</w:t>
      </w:r>
      <w:r w:rsidRPr="004C5A75">
        <w:rPr>
          <w:rFonts w:ascii="Times New Roman" w:hAnsi="Times New Roman"/>
          <w:b/>
          <w:sz w:val="22"/>
          <w:szCs w:val="22"/>
          <w:lang w:val="lt-LT"/>
        </w:rPr>
        <w:tab/>
      </w:r>
      <w:r w:rsidRPr="004C5A75">
        <w:rPr>
          <w:rFonts w:ascii="Times New Roman" w:hAnsi="Times New Roman"/>
          <w:b/>
          <w:caps/>
          <w:sz w:val="22"/>
          <w:szCs w:val="22"/>
          <w:lang w:val="lt-LT"/>
        </w:rPr>
        <w:t>SPECIALIOS laikymo sąlygos</w:t>
      </w:r>
    </w:p>
    <w:p w14:paraId="17C18367" w14:textId="77777777" w:rsidR="00D75E9B" w:rsidRPr="004C5A75" w:rsidRDefault="00D75E9B" w:rsidP="00D75E9B">
      <w:pPr>
        <w:rPr>
          <w:rFonts w:ascii="Times New Roman" w:hAnsi="Times New Roman"/>
          <w:sz w:val="22"/>
          <w:szCs w:val="22"/>
          <w:lang w:val="lt-LT"/>
        </w:rPr>
      </w:pPr>
    </w:p>
    <w:p w14:paraId="17C18368"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Laikyti žemesnėje kaip 25 </w:t>
      </w:r>
      <w:r w:rsidRPr="004C5A75">
        <w:rPr>
          <w:rFonts w:ascii="Times New Roman" w:hAnsi="Times New Roman"/>
          <w:sz w:val="22"/>
          <w:szCs w:val="22"/>
          <w:lang w:val="lt-LT"/>
        </w:rPr>
        <w:sym w:font="Symbol" w:char="F0B0"/>
      </w:r>
      <w:r w:rsidRPr="004C5A75">
        <w:rPr>
          <w:rFonts w:ascii="Times New Roman" w:hAnsi="Times New Roman"/>
          <w:sz w:val="22"/>
          <w:szCs w:val="22"/>
          <w:lang w:val="lt-LT"/>
        </w:rPr>
        <w:t>C temperatūroje.</w:t>
      </w:r>
    </w:p>
    <w:p w14:paraId="17C1836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Laikyti gamintojo pakuotėje, kad preparatas būtų apsaugotas nuo šviesos ir drėgmės.</w:t>
      </w:r>
    </w:p>
    <w:p w14:paraId="17C1836A" w14:textId="77777777" w:rsidR="00D75E9B" w:rsidRPr="004C5A75" w:rsidRDefault="00D75E9B" w:rsidP="00D75E9B">
      <w:pPr>
        <w:rPr>
          <w:rFonts w:ascii="Times New Roman" w:hAnsi="Times New Roman"/>
          <w:sz w:val="22"/>
          <w:szCs w:val="22"/>
          <w:lang w:val="lt-LT"/>
        </w:rPr>
      </w:pPr>
    </w:p>
    <w:p w14:paraId="17C1836B" w14:textId="77777777" w:rsidR="00D75E9B" w:rsidRPr="004C5A75" w:rsidRDefault="00D75E9B" w:rsidP="00D75E9B">
      <w:pPr>
        <w:ind w:left="567" w:hanging="567"/>
        <w:rPr>
          <w:rFonts w:ascii="Times New Roman" w:hAnsi="Times New Roman"/>
          <w:sz w:val="22"/>
          <w:szCs w:val="22"/>
          <w:lang w:val="lt-LT"/>
        </w:rPr>
      </w:pPr>
    </w:p>
    <w:p w14:paraId="17C1836C" w14:textId="77777777" w:rsidR="00D75E9B" w:rsidRPr="004C5A75" w:rsidRDefault="00D75E9B" w:rsidP="00D75E9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4C5A75">
        <w:rPr>
          <w:rFonts w:ascii="Times New Roman" w:hAnsi="Times New Roman"/>
          <w:b/>
          <w:sz w:val="22"/>
          <w:szCs w:val="22"/>
          <w:lang w:val="lt-LT"/>
        </w:rPr>
        <w:lastRenderedPageBreak/>
        <w:t>10.</w:t>
      </w:r>
      <w:r w:rsidRPr="004C5A75">
        <w:rPr>
          <w:rFonts w:ascii="Times New Roman" w:hAnsi="Times New Roman"/>
          <w:b/>
          <w:sz w:val="22"/>
          <w:szCs w:val="22"/>
          <w:lang w:val="lt-LT"/>
        </w:rPr>
        <w:tab/>
      </w:r>
      <w:r w:rsidRPr="004C5A75">
        <w:rPr>
          <w:rFonts w:ascii="Times New Roman" w:hAnsi="Times New Roman"/>
          <w:b/>
          <w:caps/>
          <w:sz w:val="22"/>
          <w:szCs w:val="22"/>
          <w:lang w:val="lt-LT"/>
        </w:rPr>
        <w:t>specialios atsargumo priemonės DĖL</w:t>
      </w:r>
      <w:r w:rsidRPr="004C5A75">
        <w:rPr>
          <w:rFonts w:ascii="Times New Roman" w:hAnsi="Times New Roman"/>
          <w:b/>
          <w:bCs/>
          <w:sz w:val="22"/>
          <w:szCs w:val="22"/>
          <w:lang w:val="lt-LT"/>
        </w:rPr>
        <w:t xml:space="preserve"> NESUVARTOTO</w:t>
      </w:r>
      <w:r w:rsidRPr="004C5A75">
        <w:rPr>
          <w:rFonts w:ascii="Times New Roman" w:hAnsi="Times New Roman"/>
          <w:b/>
          <w:bCs/>
          <w:caps/>
          <w:sz w:val="22"/>
          <w:szCs w:val="22"/>
          <w:lang w:val="lt-LT"/>
        </w:rPr>
        <w:t xml:space="preserve"> VAISTINIO PREPARATO AR JO ATLIEKŲ TVARKYMO</w:t>
      </w:r>
      <w:r w:rsidRPr="004C5A75">
        <w:rPr>
          <w:rFonts w:ascii="Times New Roman" w:hAnsi="Times New Roman"/>
          <w:caps/>
          <w:sz w:val="22"/>
          <w:szCs w:val="22"/>
          <w:lang w:val="lt-LT"/>
        </w:rPr>
        <w:t xml:space="preserve"> </w:t>
      </w:r>
      <w:r w:rsidRPr="004C5A75">
        <w:rPr>
          <w:rFonts w:ascii="Times New Roman" w:hAnsi="Times New Roman"/>
          <w:b/>
          <w:caps/>
          <w:sz w:val="22"/>
          <w:szCs w:val="22"/>
          <w:lang w:val="lt-LT"/>
        </w:rPr>
        <w:t>(jei reikia)</w:t>
      </w:r>
    </w:p>
    <w:p w14:paraId="17C1836D" w14:textId="77777777" w:rsidR="00D75E9B" w:rsidRPr="004C5A75" w:rsidRDefault="00D75E9B" w:rsidP="00D75E9B">
      <w:pPr>
        <w:rPr>
          <w:rFonts w:ascii="Times New Roman" w:hAnsi="Times New Roman"/>
          <w:sz w:val="22"/>
          <w:szCs w:val="22"/>
          <w:lang w:val="lt-LT"/>
        </w:rPr>
      </w:pPr>
    </w:p>
    <w:p w14:paraId="17C1836E" w14:textId="77777777" w:rsidR="00D75E9B" w:rsidRPr="004C5A75" w:rsidRDefault="00D75E9B" w:rsidP="00D75E9B">
      <w:pPr>
        <w:rPr>
          <w:rFonts w:ascii="Times New Roman" w:hAnsi="Times New Roman"/>
          <w:sz w:val="22"/>
          <w:szCs w:val="22"/>
          <w:lang w:val="lt-LT"/>
        </w:rPr>
      </w:pPr>
    </w:p>
    <w:p w14:paraId="17C1836F"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4C5A75">
        <w:rPr>
          <w:rFonts w:ascii="Times New Roman" w:hAnsi="Times New Roman"/>
          <w:b/>
          <w:sz w:val="22"/>
          <w:szCs w:val="22"/>
          <w:lang w:val="lt-LT"/>
        </w:rPr>
        <w:t>11.</w:t>
      </w:r>
      <w:r w:rsidRPr="004C5A75">
        <w:rPr>
          <w:rFonts w:ascii="Times New Roman" w:hAnsi="Times New Roman"/>
          <w:b/>
          <w:sz w:val="22"/>
          <w:szCs w:val="22"/>
          <w:lang w:val="lt-LT"/>
        </w:rPr>
        <w:tab/>
      </w:r>
      <w:r w:rsidRPr="004C5A75">
        <w:rPr>
          <w:rFonts w:ascii="Times New Roman" w:hAnsi="Times New Roman"/>
          <w:b/>
          <w:caps/>
          <w:sz w:val="22"/>
          <w:szCs w:val="22"/>
          <w:lang w:val="lt-LT"/>
        </w:rPr>
        <w:t>REGISTRUOTOJO pavadinimas ir adresas</w:t>
      </w:r>
    </w:p>
    <w:p w14:paraId="17C18370" w14:textId="77777777" w:rsidR="00D75E9B" w:rsidRPr="004C5A75" w:rsidRDefault="00D75E9B" w:rsidP="00D75E9B">
      <w:pPr>
        <w:rPr>
          <w:rFonts w:ascii="Times New Roman" w:hAnsi="Times New Roman"/>
          <w:sz w:val="22"/>
          <w:szCs w:val="22"/>
          <w:lang w:val="lt-LT"/>
        </w:rPr>
      </w:pPr>
    </w:p>
    <w:p w14:paraId="17C1837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Gedeon Richter Plc. </w:t>
      </w:r>
    </w:p>
    <w:p w14:paraId="17C1837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Gyömrői út. 19–21</w:t>
      </w:r>
    </w:p>
    <w:p w14:paraId="17C18373"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1103 Budapest</w:t>
      </w:r>
    </w:p>
    <w:p w14:paraId="17C18374"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Vengrija</w:t>
      </w:r>
    </w:p>
    <w:p w14:paraId="17C18375" w14:textId="77777777" w:rsidR="00D75E9B" w:rsidRPr="004C5A75" w:rsidRDefault="00D75E9B" w:rsidP="00D75E9B">
      <w:pPr>
        <w:rPr>
          <w:rFonts w:ascii="Times New Roman" w:hAnsi="Times New Roman"/>
          <w:sz w:val="22"/>
          <w:szCs w:val="22"/>
          <w:lang w:val="lt-LT"/>
        </w:rPr>
      </w:pPr>
    </w:p>
    <w:p w14:paraId="17C1837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((RG logo))</w:t>
      </w:r>
    </w:p>
    <w:p w14:paraId="17C18377" w14:textId="77777777" w:rsidR="00D75E9B" w:rsidRPr="004C5A75" w:rsidRDefault="00D75E9B" w:rsidP="00D75E9B">
      <w:pPr>
        <w:rPr>
          <w:rFonts w:ascii="Times New Roman" w:hAnsi="Times New Roman"/>
          <w:sz w:val="22"/>
          <w:szCs w:val="22"/>
          <w:lang w:val="lt-LT"/>
        </w:rPr>
      </w:pPr>
    </w:p>
    <w:p w14:paraId="17C18378" w14:textId="77777777" w:rsidR="00D75E9B" w:rsidRPr="004C5A75" w:rsidRDefault="00D75E9B" w:rsidP="00D75E9B">
      <w:pPr>
        <w:rPr>
          <w:rFonts w:ascii="Times New Roman" w:hAnsi="Times New Roman"/>
          <w:sz w:val="22"/>
          <w:szCs w:val="22"/>
          <w:lang w:val="lt-LT"/>
        </w:rPr>
      </w:pPr>
    </w:p>
    <w:p w14:paraId="17C18379"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12.</w:t>
      </w:r>
      <w:r w:rsidRPr="004C5A75">
        <w:rPr>
          <w:rFonts w:ascii="Times New Roman" w:hAnsi="Times New Roman"/>
          <w:b/>
          <w:sz w:val="22"/>
          <w:szCs w:val="22"/>
          <w:lang w:val="lt-LT"/>
        </w:rPr>
        <w:tab/>
      </w:r>
      <w:r w:rsidRPr="004C5A75">
        <w:rPr>
          <w:rFonts w:ascii="Times New Roman" w:hAnsi="Times New Roman"/>
          <w:b/>
          <w:caps/>
          <w:sz w:val="22"/>
          <w:szCs w:val="22"/>
          <w:lang w:val="lt-LT"/>
        </w:rPr>
        <w:t>REGISTRACIJOS PAŽYMĖJIMO numeris</w:t>
      </w:r>
      <w:r w:rsidRPr="004C5A75">
        <w:rPr>
          <w:rFonts w:ascii="Times New Roman" w:hAnsi="Times New Roman"/>
          <w:b/>
          <w:sz w:val="22"/>
          <w:szCs w:val="22"/>
          <w:lang w:val="lt-LT"/>
        </w:rPr>
        <w:t xml:space="preserve"> (-IAI)</w:t>
      </w:r>
    </w:p>
    <w:p w14:paraId="17C1837A" w14:textId="77777777" w:rsidR="00D75E9B" w:rsidRPr="004C5A75" w:rsidRDefault="00D75E9B" w:rsidP="00D75E9B">
      <w:pPr>
        <w:rPr>
          <w:rFonts w:ascii="Times New Roman" w:hAnsi="Times New Roman"/>
          <w:sz w:val="22"/>
          <w:szCs w:val="22"/>
          <w:lang w:val="lt-LT"/>
        </w:rPr>
      </w:pPr>
    </w:p>
    <w:p w14:paraId="17C1837B"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N30 - LT/1/09/1442/004</w:t>
      </w:r>
    </w:p>
    <w:p w14:paraId="17C1837C"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N90 - LT/1/09/1442/005</w:t>
      </w:r>
    </w:p>
    <w:p w14:paraId="17C1837D" w14:textId="77777777" w:rsidR="00D75E9B" w:rsidRPr="004C5A75" w:rsidRDefault="00D75E9B" w:rsidP="00D75E9B">
      <w:pPr>
        <w:rPr>
          <w:rFonts w:ascii="Times New Roman" w:hAnsi="Times New Roman"/>
          <w:sz w:val="22"/>
          <w:szCs w:val="22"/>
          <w:lang w:val="lt-LT"/>
        </w:rPr>
      </w:pPr>
    </w:p>
    <w:p w14:paraId="17C1837E" w14:textId="77777777" w:rsidR="00D75E9B" w:rsidRPr="004C5A75" w:rsidRDefault="00D75E9B" w:rsidP="00D75E9B">
      <w:pPr>
        <w:rPr>
          <w:rFonts w:ascii="Times New Roman" w:hAnsi="Times New Roman"/>
          <w:sz w:val="22"/>
          <w:szCs w:val="22"/>
          <w:lang w:val="lt-LT"/>
        </w:rPr>
      </w:pPr>
    </w:p>
    <w:p w14:paraId="17C1837F"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13.</w:t>
      </w:r>
      <w:r w:rsidRPr="004C5A75">
        <w:rPr>
          <w:rFonts w:ascii="Times New Roman" w:hAnsi="Times New Roman"/>
          <w:b/>
          <w:sz w:val="22"/>
          <w:szCs w:val="22"/>
          <w:lang w:val="lt-LT"/>
        </w:rPr>
        <w:tab/>
        <w:t>SERIJOS NUMERIS</w:t>
      </w:r>
    </w:p>
    <w:p w14:paraId="17C18380" w14:textId="77777777" w:rsidR="00D75E9B" w:rsidRPr="004C5A75" w:rsidRDefault="00D75E9B" w:rsidP="00D75E9B">
      <w:pPr>
        <w:rPr>
          <w:rFonts w:ascii="Times New Roman" w:hAnsi="Times New Roman"/>
          <w:sz w:val="22"/>
          <w:szCs w:val="22"/>
          <w:lang w:val="lt-LT"/>
        </w:rPr>
      </w:pPr>
    </w:p>
    <w:p w14:paraId="17C18381"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Serija</w:t>
      </w:r>
    </w:p>
    <w:p w14:paraId="17C18382" w14:textId="77777777" w:rsidR="00D75E9B" w:rsidRPr="004C5A75" w:rsidRDefault="00D75E9B" w:rsidP="00D75E9B">
      <w:pPr>
        <w:pStyle w:val="Pagrindinistekstas"/>
        <w:rPr>
          <w:rFonts w:ascii="Times New Roman" w:hAnsi="Times New Roman"/>
          <w:color w:val="auto"/>
          <w:lang w:val="lt-LT"/>
        </w:rPr>
      </w:pPr>
    </w:p>
    <w:p w14:paraId="17C18383" w14:textId="77777777" w:rsidR="00D75E9B" w:rsidRPr="004C5A75" w:rsidRDefault="00D75E9B" w:rsidP="00D75E9B">
      <w:pPr>
        <w:rPr>
          <w:rFonts w:ascii="Times New Roman" w:hAnsi="Times New Roman"/>
          <w:sz w:val="22"/>
          <w:szCs w:val="22"/>
          <w:lang w:val="lt-LT"/>
        </w:rPr>
      </w:pPr>
    </w:p>
    <w:p w14:paraId="17C18384"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14.</w:t>
      </w:r>
      <w:r w:rsidRPr="004C5A75">
        <w:rPr>
          <w:rFonts w:ascii="Times New Roman" w:hAnsi="Times New Roman"/>
          <w:b/>
          <w:sz w:val="22"/>
          <w:szCs w:val="22"/>
          <w:lang w:val="lt-LT"/>
        </w:rPr>
        <w:tab/>
      </w:r>
      <w:r w:rsidRPr="004C5A75">
        <w:rPr>
          <w:rFonts w:ascii="Times New Roman" w:hAnsi="Times New Roman"/>
          <w:b/>
          <w:caps/>
          <w:sz w:val="22"/>
          <w:szCs w:val="22"/>
          <w:lang w:val="lt-LT"/>
        </w:rPr>
        <w:t>PARDAVIMO (IŠDAVIMO) tvarka</w:t>
      </w:r>
    </w:p>
    <w:p w14:paraId="17C18385" w14:textId="77777777" w:rsidR="00D75E9B" w:rsidRPr="004C5A75" w:rsidRDefault="00D75E9B" w:rsidP="00D75E9B">
      <w:pPr>
        <w:rPr>
          <w:rFonts w:ascii="Times New Roman" w:hAnsi="Times New Roman"/>
          <w:sz w:val="22"/>
          <w:szCs w:val="22"/>
          <w:lang w:val="lt-LT"/>
        </w:rPr>
      </w:pPr>
    </w:p>
    <w:p w14:paraId="17C18386"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 xml:space="preserve">Receptinis </w:t>
      </w:r>
      <w:r w:rsidR="007420AA">
        <w:rPr>
          <w:rFonts w:ascii="Times New Roman" w:hAnsi="Times New Roman"/>
          <w:color w:val="auto"/>
          <w:lang w:val="lt-LT"/>
        </w:rPr>
        <w:t>vaistas</w:t>
      </w:r>
      <w:r w:rsidRPr="004C5A75">
        <w:rPr>
          <w:rFonts w:ascii="Times New Roman" w:hAnsi="Times New Roman"/>
          <w:color w:val="auto"/>
          <w:lang w:val="lt-LT"/>
        </w:rPr>
        <w:t>.</w:t>
      </w:r>
    </w:p>
    <w:p w14:paraId="17C18387" w14:textId="77777777" w:rsidR="00D75E9B" w:rsidRPr="004C5A75" w:rsidRDefault="00D75E9B" w:rsidP="00D75E9B">
      <w:pPr>
        <w:pStyle w:val="Pagrindinistekstas"/>
        <w:rPr>
          <w:rFonts w:ascii="Times New Roman" w:hAnsi="Times New Roman"/>
          <w:color w:val="auto"/>
          <w:lang w:val="lt-LT"/>
        </w:rPr>
      </w:pPr>
    </w:p>
    <w:p w14:paraId="17C18388" w14:textId="77777777" w:rsidR="00D75E9B" w:rsidRPr="004C5A75" w:rsidRDefault="00D75E9B" w:rsidP="00D75E9B">
      <w:pPr>
        <w:rPr>
          <w:rFonts w:ascii="Times New Roman" w:hAnsi="Times New Roman"/>
          <w:sz w:val="22"/>
          <w:szCs w:val="22"/>
          <w:lang w:val="lt-LT"/>
        </w:rPr>
      </w:pPr>
    </w:p>
    <w:p w14:paraId="17C18389"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15.</w:t>
      </w:r>
      <w:r w:rsidRPr="004C5A75">
        <w:rPr>
          <w:rFonts w:ascii="Times New Roman" w:hAnsi="Times New Roman"/>
          <w:b/>
          <w:sz w:val="22"/>
          <w:szCs w:val="22"/>
          <w:lang w:val="lt-LT"/>
        </w:rPr>
        <w:tab/>
      </w:r>
      <w:r w:rsidRPr="004C5A75">
        <w:rPr>
          <w:rFonts w:ascii="Times New Roman" w:hAnsi="Times New Roman"/>
          <w:b/>
          <w:caps/>
          <w:sz w:val="22"/>
          <w:szCs w:val="22"/>
          <w:lang w:val="lt-LT"/>
        </w:rPr>
        <w:t>vartojimo instrukcijA</w:t>
      </w:r>
    </w:p>
    <w:p w14:paraId="17C1838A" w14:textId="77777777" w:rsidR="00D75E9B" w:rsidRPr="004C5A75" w:rsidRDefault="00D75E9B" w:rsidP="00D75E9B">
      <w:pPr>
        <w:rPr>
          <w:rFonts w:ascii="Times New Roman" w:hAnsi="Times New Roman"/>
          <w:sz w:val="22"/>
          <w:szCs w:val="22"/>
          <w:lang w:val="lt-LT"/>
        </w:rPr>
      </w:pPr>
    </w:p>
    <w:p w14:paraId="17C1838B" w14:textId="77777777" w:rsidR="00D75E9B" w:rsidRPr="004C5A75" w:rsidRDefault="00D75E9B" w:rsidP="00D75E9B">
      <w:pPr>
        <w:rPr>
          <w:rFonts w:ascii="Times New Roman" w:hAnsi="Times New Roman"/>
          <w:sz w:val="22"/>
          <w:szCs w:val="22"/>
          <w:lang w:val="lt-LT"/>
        </w:rPr>
      </w:pPr>
    </w:p>
    <w:p w14:paraId="17C1838C" w14:textId="77777777" w:rsidR="00D75E9B" w:rsidRPr="004C5A75" w:rsidRDefault="00D75E9B" w:rsidP="00D75E9B">
      <w:pPr>
        <w:rPr>
          <w:rFonts w:ascii="Times New Roman" w:hAnsi="Times New Roman"/>
          <w:sz w:val="22"/>
          <w:szCs w:val="22"/>
          <w:lang w:val="lt-LT"/>
        </w:rPr>
      </w:pPr>
    </w:p>
    <w:p w14:paraId="17C1838D" w14:textId="77777777" w:rsidR="00D75E9B" w:rsidRPr="004C5A75" w:rsidRDefault="00D75E9B" w:rsidP="00D75E9B">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4C5A75">
        <w:rPr>
          <w:rFonts w:ascii="Times New Roman" w:hAnsi="Times New Roman"/>
          <w:b/>
          <w:sz w:val="22"/>
          <w:szCs w:val="22"/>
          <w:lang w:val="lt-LT"/>
        </w:rPr>
        <w:t>16.</w:t>
      </w:r>
      <w:r w:rsidRPr="004C5A75">
        <w:rPr>
          <w:rFonts w:ascii="Times New Roman" w:hAnsi="Times New Roman"/>
          <w:b/>
          <w:sz w:val="22"/>
          <w:szCs w:val="22"/>
          <w:lang w:val="lt-LT"/>
        </w:rPr>
        <w:tab/>
        <w:t>INFORMACIJA BRAILIO RAŠTU</w:t>
      </w:r>
    </w:p>
    <w:p w14:paraId="17C1838E" w14:textId="77777777" w:rsidR="00D75E9B" w:rsidRPr="004C5A75" w:rsidRDefault="00D75E9B" w:rsidP="00D75E9B">
      <w:pPr>
        <w:rPr>
          <w:rFonts w:ascii="Times New Roman" w:hAnsi="Times New Roman"/>
          <w:sz w:val="22"/>
          <w:szCs w:val="22"/>
          <w:lang w:val="lt-LT"/>
        </w:rPr>
      </w:pPr>
    </w:p>
    <w:p w14:paraId="17C1838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w:t>
      </w:r>
    </w:p>
    <w:p w14:paraId="17C18390" w14:textId="77777777" w:rsidR="00D75E9B" w:rsidRPr="004C5A75" w:rsidRDefault="00D75E9B" w:rsidP="00D75E9B">
      <w:pPr>
        <w:rPr>
          <w:rFonts w:ascii="Times New Roman" w:hAnsi="Times New Roman"/>
          <w:sz w:val="22"/>
          <w:szCs w:val="22"/>
          <w:lang w:val="lt-LT"/>
        </w:rPr>
      </w:pPr>
    </w:p>
    <w:p w14:paraId="17C18391" w14:textId="77777777" w:rsidR="00D75E9B" w:rsidRPr="0026536C" w:rsidRDefault="00D75E9B" w:rsidP="00D75E9B">
      <w:pPr>
        <w:pStyle w:val="Pagrindinistekstas"/>
        <w:rPr>
          <w:rFonts w:ascii="Times New Roman" w:hAnsi="Times New Roman"/>
          <w:color w:val="auto"/>
          <w:szCs w:val="22"/>
          <w:lang w:val="lt-LT"/>
        </w:rPr>
      </w:pPr>
    </w:p>
    <w:p w14:paraId="17C18392" w14:textId="77777777" w:rsidR="00D75E9B" w:rsidRPr="0026536C" w:rsidRDefault="00D75E9B" w:rsidP="00D75E9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26536C">
        <w:rPr>
          <w:rFonts w:ascii="Times New Roman" w:hAnsi="Times New Roman"/>
          <w:b/>
          <w:sz w:val="22"/>
          <w:szCs w:val="22"/>
          <w:lang w:val="lt-LT"/>
        </w:rPr>
        <w:t>17.</w:t>
      </w:r>
      <w:r w:rsidRPr="0026536C">
        <w:rPr>
          <w:rFonts w:ascii="Times New Roman" w:hAnsi="Times New Roman"/>
          <w:b/>
          <w:sz w:val="22"/>
          <w:szCs w:val="22"/>
          <w:lang w:val="lt-LT"/>
        </w:rPr>
        <w:tab/>
        <w:t>UNIKALUS IDENTIFIKATORIUS – 2D BRŪKŠNINIS KODAS</w:t>
      </w:r>
    </w:p>
    <w:p w14:paraId="17C18393" w14:textId="77777777" w:rsidR="00D75E9B" w:rsidRPr="0026536C" w:rsidRDefault="00D75E9B" w:rsidP="00D75E9B">
      <w:pPr>
        <w:rPr>
          <w:rFonts w:ascii="Times New Roman" w:hAnsi="Times New Roman"/>
          <w:sz w:val="22"/>
          <w:szCs w:val="22"/>
          <w:lang w:val="lt-LT"/>
        </w:rPr>
      </w:pPr>
    </w:p>
    <w:p w14:paraId="17C18394" w14:textId="77777777" w:rsidR="00D75E9B" w:rsidRPr="0026536C" w:rsidRDefault="00D75E9B" w:rsidP="00D75E9B">
      <w:pPr>
        <w:tabs>
          <w:tab w:val="left" w:pos="567"/>
        </w:tabs>
        <w:rPr>
          <w:rFonts w:ascii="Times New Roman" w:hAnsi="Times New Roman"/>
          <w:sz w:val="22"/>
          <w:szCs w:val="22"/>
          <w:shd w:val="clear" w:color="auto" w:fill="CCCCCC"/>
          <w:lang w:val="lt-LT" w:eastAsia="lt-LT" w:bidi="lt-LT"/>
        </w:rPr>
      </w:pPr>
      <w:r w:rsidRPr="00D41710">
        <w:rPr>
          <w:rFonts w:ascii="Times New Roman" w:hAnsi="Times New Roman"/>
          <w:sz w:val="22"/>
          <w:highlight w:val="lightGray"/>
          <w:lang w:val="lt-LT"/>
        </w:rPr>
        <w:t>&lt;2D brūkšninis kodas su nurodytu unikaliu identifikatoriumi.&gt;</w:t>
      </w:r>
    </w:p>
    <w:p w14:paraId="17C18395" w14:textId="77777777" w:rsidR="00D75E9B" w:rsidRPr="0026536C" w:rsidRDefault="00D75E9B" w:rsidP="00D75E9B">
      <w:pPr>
        <w:rPr>
          <w:rFonts w:ascii="Times New Roman" w:hAnsi="Times New Roman"/>
          <w:sz w:val="22"/>
          <w:szCs w:val="22"/>
          <w:lang w:val="lt-LT"/>
        </w:rPr>
      </w:pPr>
    </w:p>
    <w:p w14:paraId="17C18396" w14:textId="77777777" w:rsidR="00D75E9B" w:rsidRPr="0026536C" w:rsidRDefault="00D75E9B" w:rsidP="00D75E9B">
      <w:pPr>
        <w:rPr>
          <w:rFonts w:ascii="Times New Roman" w:hAnsi="Times New Roman"/>
          <w:sz w:val="22"/>
          <w:szCs w:val="22"/>
          <w:lang w:val="lt-LT"/>
        </w:rPr>
      </w:pPr>
    </w:p>
    <w:p w14:paraId="17C18397" w14:textId="77777777" w:rsidR="00D75E9B" w:rsidRPr="0026536C" w:rsidRDefault="00D75E9B" w:rsidP="00D75E9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26536C">
        <w:rPr>
          <w:rFonts w:ascii="Times New Roman" w:hAnsi="Times New Roman"/>
          <w:b/>
          <w:sz w:val="22"/>
          <w:szCs w:val="22"/>
          <w:lang w:val="lt-LT"/>
        </w:rPr>
        <w:t>18.</w:t>
      </w:r>
      <w:r w:rsidRPr="0026536C">
        <w:rPr>
          <w:rFonts w:ascii="Times New Roman" w:hAnsi="Times New Roman"/>
          <w:b/>
          <w:sz w:val="22"/>
          <w:szCs w:val="22"/>
          <w:lang w:val="lt-LT"/>
        </w:rPr>
        <w:tab/>
        <w:t>UNIKALUS IDENTIFIKATORIUS – ŽMONĖMS SUPRANTAMI DUOMENYS</w:t>
      </w:r>
    </w:p>
    <w:p w14:paraId="17C18398" w14:textId="77777777" w:rsidR="00D75E9B" w:rsidRPr="0026536C" w:rsidRDefault="00D75E9B" w:rsidP="00D75E9B">
      <w:pPr>
        <w:pStyle w:val="Pagrindinistekstas"/>
        <w:rPr>
          <w:rFonts w:ascii="Times New Roman" w:hAnsi="Times New Roman"/>
          <w:color w:val="auto"/>
          <w:szCs w:val="22"/>
          <w:lang w:val="lt-LT"/>
        </w:rPr>
      </w:pPr>
    </w:p>
    <w:p w14:paraId="17C18399" w14:textId="77777777" w:rsidR="00D75E9B" w:rsidRPr="0026536C" w:rsidRDefault="00D75E9B" w:rsidP="00D75E9B">
      <w:pPr>
        <w:tabs>
          <w:tab w:val="left" w:pos="567"/>
        </w:tabs>
        <w:spacing w:line="260" w:lineRule="exact"/>
        <w:rPr>
          <w:rFonts w:ascii="Times New Roman" w:hAnsi="Times New Roman"/>
          <w:sz w:val="22"/>
          <w:szCs w:val="22"/>
          <w:lang w:val="lt-LT" w:eastAsia="lt-LT" w:bidi="lt-LT"/>
        </w:rPr>
      </w:pPr>
      <w:r w:rsidRPr="004C5A75">
        <w:rPr>
          <w:rFonts w:ascii="Times New Roman" w:hAnsi="Times New Roman"/>
          <w:sz w:val="22"/>
          <w:szCs w:val="20"/>
          <w:lang w:val="lt-LT" w:eastAsia="lt-LT" w:bidi="lt-LT"/>
        </w:rPr>
        <w:t xml:space="preserve">PC: {numeris} </w:t>
      </w:r>
      <w:r w:rsidRPr="0026536C">
        <w:rPr>
          <w:rFonts w:ascii="Times New Roman" w:hAnsi="Times New Roman"/>
          <w:sz w:val="22"/>
          <w:szCs w:val="20"/>
          <w:lang w:val="lt-LT" w:eastAsia="lt-LT" w:bidi="lt-LT"/>
        </w:rPr>
        <w:t>[preparato kodas]</w:t>
      </w:r>
    </w:p>
    <w:p w14:paraId="17C1839A" w14:textId="77777777" w:rsidR="00D75E9B" w:rsidRPr="004C5A75" w:rsidRDefault="00D75E9B" w:rsidP="00D75E9B">
      <w:pPr>
        <w:tabs>
          <w:tab w:val="left" w:pos="567"/>
        </w:tabs>
        <w:spacing w:line="260" w:lineRule="exact"/>
        <w:rPr>
          <w:rFonts w:ascii="Times New Roman" w:hAnsi="Times New Roman"/>
          <w:sz w:val="22"/>
          <w:szCs w:val="22"/>
          <w:lang w:val="lt-LT" w:eastAsia="lt-LT" w:bidi="lt-LT"/>
        </w:rPr>
      </w:pPr>
      <w:r w:rsidRPr="004C5A75">
        <w:rPr>
          <w:rFonts w:ascii="Times New Roman" w:hAnsi="Times New Roman"/>
          <w:sz w:val="22"/>
          <w:szCs w:val="20"/>
          <w:lang w:val="lt-LT" w:eastAsia="lt-LT" w:bidi="lt-LT"/>
        </w:rPr>
        <w:t xml:space="preserve">SN: {numeris} </w:t>
      </w:r>
      <w:r w:rsidRPr="0026536C">
        <w:rPr>
          <w:rFonts w:ascii="Times New Roman" w:hAnsi="Times New Roman"/>
          <w:sz w:val="22"/>
          <w:szCs w:val="20"/>
          <w:lang w:val="lt-LT" w:eastAsia="lt-LT" w:bidi="lt-LT"/>
        </w:rPr>
        <w:t>[nuoseklusis numeris]</w:t>
      </w:r>
    </w:p>
    <w:p w14:paraId="17C1839B" w14:textId="77777777" w:rsidR="00D75E9B" w:rsidRPr="004C5A75" w:rsidRDefault="00D75E9B" w:rsidP="00D75E9B">
      <w:pPr>
        <w:rPr>
          <w:rFonts w:ascii="Times New Roman" w:hAnsi="Times New Roman"/>
          <w:b/>
          <w:sz w:val="22"/>
          <w:szCs w:val="22"/>
          <w:lang w:val="lt-LT"/>
        </w:rPr>
      </w:pPr>
      <w:r w:rsidRPr="004C5A75">
        <w:rPr>
          <w:rFonts w:ascii="Times New Roman" w:hAnsi="Times New Roman"/>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9F" w14:textId="77777777" w:rsidTr="000B746C">
        <w:trPr>
          <w:trHeight w:val="785"/>
        </w:trPr>
        <w:tc>
          <w:tcPr>
            <w:tcW w:w="9287" w:type="dxa"/>
            <w:tcBorders>
              <w:top w:val="single" w:sz="4" w:space="0" w:color="auto"/>
              <w:left w:val="single" w:sz="4" w:space="0" w:color="auto"/>
              <w:bottom w:val="single" w:sz="4" w:space="0" w:color="auto"/>
              <w:right w:val="single" w:sz="4" w:space="0" w:color="auto"/>
            </w:tcBorders>
          </w:tcPr>
          <w:p w14:paraId="17C1839C" w14:textId="77777777" w:rsidR="00D75E9B" w:rsidRPr="004C5A75" w:rsidRDefault="00D75E9B" w:rsidP="000B746C">
            <w:pPr>
              <w:rPr>
                <w:rFonts w:ascii="Times New Roman" w:hAnsi="Times New Roman"/>
                <w:b/>
                <w:sz w:val="22"/>
                <w:szCs w:val="22"/>
                <w:lang w:val="lt-LT" w:eastAsia="lt-LT"/>
              </w:rPr>
            </w:pPr>
            <w:r w:rsidRPr="004C5A75">
              <w:rPr>
                <w:rFonts w:ascii="Times New Roman" w:hAnsi="Times New Roman"/>
                <w:b/>
                <w:sz w:val="22"/>
                <w:szCs w:val="22"/>
                <w:lang w:val="lt-LT" w:eastAsia="lt-LT"/>
              </w:rPr>
              <w:lastRenderedPageBreak/>
              <w:t xml:space="preserve">MINIMALI </w:t>
            </w:r>
            <w:r w:rsidRPr="004C5A75">
              <w:rPr>
                <w:rFonts w:ascii="Times New Roman" w:hAnsi="Times New Roman"/>
                <w:b/>
                <w:caps/>
                <w:sz w:val="22"/>
                <w:szCs w:val="22"/>
                <w:lang w:val="lt-LT" w:eastAsia="lt-LT"/>
              </w:rPr>
              <w:t xml:space="preserve">informacija ant </w:t>
            </w:r>
            <w:r w:rsidRPr="004C5A75">
              <w:rPr>
                <w:rFonts w:ascii="Times New Roman" w:hAnsi="Times New Roman"/>
                <w:b/>
                <w:sz w:val="22"/>
                <w:szCs w:val="22"/>
                <w:lang w:val="lt-LT" w:eastAsia="lt-LT"/>
              </w:rPr>
              <w:t>LIZDINIŲ PLOKŠTELIŲ ARBA DVISLUOKSNIŲ JUOSTELIŲ</w:t>
            </w:r>
          </w:p>
          <w:p w14:paraId="17C1839D" w14:textId="77777777" w:rsidR="00D75E9B" w:rsidRPr="004C5A75" w:rsidRDefault="00D75E9B" w:rsidP="000B746C">
            <w:pPr>
              <w:rPr>
                <w:rFonts w:ascii="Times New Roman" w:hAnsi="Times New Roman"/>
                <w:b/>
                <w:sz w:val="22"/>
                <w:szCs w:val="22"/>
                <w:lang w:val="lt-LT" w:eastAsia="lt-LT"/>
              </w:rPr>
            </w:pPr>
          </w:p>
          <w:p w14:paraId="17C1839E" w14:textId="77777777" w:rsidR="00D75E9B" w:rsidRPr="004C5A75" w:rsidRDefault="00D75E9B" w:rsidP="000B746C">
            <w:pPr>
              <w:rPr>
                <w:rFonts w:ascii="Times New Roman" w:hAnsi="Times New Roman"/>
                <w:b/>
                <w:sz w:val="22"/>
                <w:szCs w:val="22"/>
                <w:lang w:val="lt-LT" w:eastAsia="lt-LT"/>
              </w:rPr>
            </w:pPr>
            <w:r w:rsidRPr="004C5A75">
              <w:rPr>
                <w:rFonts w:ascii="Times New Roman" w:hAnsi="Times New Roman"/>
                <w:b/>
                <w:sz w:val="22"/>
                <w:szCs w:val="22"/>
                <w:lang w:val="lt-LT" w:eastAsia="lt-LT"/>
              </w:rPr>
              <w:t>LIZDINĖ PLOKŠTELĖ</w:t>
            </w:r>
          </w:p>
        </w:tc>
      </w:tr>
    </w:tbl>
    <w:p w14:paraId="17C183A0" w14:textId="77777777" w:rsidR="00D75E9B" w:rsidRPr="004C5A75" w:rsidRDefault="00D75E9B" w:rsidP="00D75E9B">
      <w:pPr>
        <w:rPr>
          <w:rFonts w:ascii="Times New Roman" w:hAnsi="Times New Roman"/>
          <w:b/>
          <w:sz w:val="22"/>
          <w:szCs w:val="22"/>
          <w:lang w:val="lt-LT"/>
        </w:rPr>
      </w:pPr>
    </w:p>
    <w:p w14:paraId="17C183A1" w14:textId="77777777" w:rsidR="00D75E9B" w:rsidRPr="004C5A75" w:rsidRDefault="00D75E9B" w:rsidP="00D75E9B">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A3"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A2"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1.</w:t>
            </w:r>
            <w:r w:rsidRPr="004C5A75">
              <w:rPr>
                <w:rFonts w:ascii="Times New Roman" w:hAnsi="Times New Roman"/>
                <w:b/>
                <w:sz w:val="22"/>
                <w:szCs w:val="22"/>
                <w:lang w:val="lt-LT" w:eastAsia="lt-LT"/>
              </w:rPr>
              <w:tab/>
            </w:r>
            <w:r w:rsidRPr="004C5A75">
              <w:rPr>
                <w:rFonts w:ascii="Times New Roman" w:hAnsi="Times New Roman"/>
                <w:b/>
                <w:caps/>
                <w:sz w:val="22"/>
                <w:szCs w:val="22"/>
                <w:lang w:val="lt-LT" w:eastAsia="lt-LT"/>
              </w:rPr>
              <w:t>Vaistinio preparato pavadinimas</w:t>
            </w:r>
          </w:p>
        </w:tc>
      </w:tr>
    </w:tbl>
    <w:p w14:paraId="17C183A4" w14:textId="77777777" w:rsidR="00D75E9B" w:rsidRPr="004C5A75" w:rsidRDefault="00D75E9B" w:rsidP="00D75E9B">
      <w:pPr>
        <w:pStyle w:val="Pagrindinistekstas"/>
        <w:rPr>
          <w:rFonts w:ascii="Times New Roman" w:eastAsia="Calibri" w:hAnsi="Times New Roman"/>
          <w:color w:val="auto"/>
          <w:lang w:val="lt-LT"/>
        </w:rPr>
      </w:pPr>
    </w:p>
    <w:p w14:paraId="17C183A5"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DIRONORM 20 mg/5 mg tabletės</w:t>
      </w:r>
    </w:p>
    <w:p w14:paraId="17C183A6" w14:textId="5668BCFE" w:rsidR="00D75E9B" w:rsidRPr="004C5A75" w:rsidRDefault="0027344F" w:rsidP="00D75E9B">
      <w:pPr>
        <w:pStyle w:val="Pagrindinistekstas"/>
        <w:rPr>
          <w:rFonts w:ascii="Times New Roman" w:hAnsi="Times New Roman"/>
          <w:color w:val="auto"/>
          <w:lang w:val="lt-LT"/>
        </w:rPr>
      </w:pPr>
      <w:r>
        <w:rPr>
          <w:rFonts w:ascii="Times New Roman" w:hAnsi="Times New Roman"/>
          <w:color w:val="auto"/>
          <w:lang w:val="lt-LT"/>
        </w:rPr>
        <w:t>l</w:t>
      </w:r>
      <w:r w:rsidR="00D75E9B" w:rsidRPr="004C5A75">
        <w:rPr>
          <w:rFonts w:ascii="Times New Roman" w:hAnsi="Times New Roman"/>
          <w:color w:val="auto"/>
          <w:lang w:val="lt-LT"/>
        </w:rPr>
        <w:t>isinoprilum/</w:t>
      </w:r>
      <w:r>
        <w:rPr>
          <w:rFonts w:ascii="Times New Roman" w:hAnsi="Times New Roman"/>
          <w:color w:val="auto"/>
          <w:lang w:val="lt-LT"/>
        </w:rPr>
        <w:t>a</w:t>
      </w:r>
      <w:r w:rsidR="00D75E9B" w:rsidRPr="004C5A75">
        <w:rPr>
          <w:rFonts w:ascii="Times New Roman" w:hAnsi="Times New Roman"/>
          <w:color w:val="auto"/>
          <w:lang w:val="lt-LT"/>
        </w:rPr>
        <w:t>mlodipinum</w:t>
      </w:r>
    </w:p>
    <w:p w14:paraId="17C183A7" w14:textId="77777777" w:rsidR="00D75E9B" w:rsidRPr="004C5A75" w:rsidRDefault="00D75E9B" w:rsidP="00D75E9B">
      <w:pPr>
        <w:pStyle w:val="Pagrindinistekstas"/>
        <w:rPr>
          <w:rFonts w:ascii="Times New Roman" w:hAnsi="Times New Roman"/>
          <w:color w:val="auto"/>
          <w:lang w:val="lt-LT"/>
        </w:rPr>
      </w:pPr>
    </w:p>
    <w:p w14:paraId="17C183A8" w14:textId="77777777" w:rsidR="00D75E9B" w:rsidRPr="004C5A75" w:rsidRDefault="00D75E9B" w:rsidP="00D75E9B">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AA"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A9"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2.</w:t>
            </w:r>
            <w:r w:rsidRPr="004C5A75">
              <w:rPr>
                <w:rFonts w:ascii="Times New Roman" w:hAnsi="Times New Roman"/>
                <w:b/>
                <w:sz w:val="22"/>
                <w:szCs w:val="22"/>
                <w:lang w:val="lt-LT" w:eastAsia="lt-LT"/>
              </w:rPr>
              <w:tab/>
            </w:r>
            <w:r w:rsidRPr="004C5A75">
              <w:rPr>
                <w:rFonts w:ascii="Times New Roman" w:hAnsi="Times New Roman"/>
                <w:b/>
                <w:caps/>
                <w:sz w:val="22"/>
                <w:szCs w:val="22"/>
                <w:lang w:val="lt-LT" w:eastAsia="lt-LT"/>
              </w:rPr>
              <w:t>REGISTRUOTOJO pavadinimas</w:t>
            </w:r>
          </w:p>
        </w:tc>
      </w:tr>
    </w:tbl>
    <w:p w14:paraId="17C183AB" w14:textId="77777777" w:rsidR="00D75E9B" w:rsidRPr="004C5A75" w:rsidRDefault="00D75E9B" w:rsidP="00D75E9B">
      <w:pPr>
        <w:rPr>
          <w:rFonts w:ascii="Times New Roman" w:hAnsi="Times New Roman"/>
          <w:b/>
          <w:sz w:val="22"/>
          <w:szCs w:val="22"/>
          <w:lang w:val="lt-LT"/>
        </w:rPr>
      </w:pPr>
    </w:p>
    <w:p w14:paraId="17C183AC"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Gedeon Richter Plc.</w:t>
      </w:r>
    </w:p>
    <w:p w14:paraId="17C183AD" w14:textId="77777777" w:rsidR="00D75E9B" w:rsidRPr="004C5A75" w:rsidRDefault="00D75E9B" w:rsidP="00D75E9B">
      <w:pPr>
        <w:jc w:val="both"/>
        <w:rPr>
          <w:rFonts w:ascii="Times New Roman" w:hAnsi="Times New Roman"/>
          <w:sz w:val="22"/>
          <w:szCs w:val="22"/>
          <w:lang w:val="lt-LT"/>
        </w:rPr>
      </w:pPr>
    </w:p>
    <w:p w14:paraId="17C183AE"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((RG-emblema))</w:t>
      </w:r>
    </w:p>
    <w:p w14:paraId="17C183AF" w14:textId="77777777" w:rsidR="00D75E9B" w:rsidRPr="004C5A75" w:rsidRDefault="00D75E9B" w:rsidP="00D75E9B">
      <w:pPr>
        <w:jc w:val="both"/>
        <w:rPr>
          <w:rFonts w:ascii="Times New Roman" w:hAnsi="Times New Roman"/>
          <w:sz w:val="22"/>
          <w:szCs w:val="22"/>
          <w:lang w:val="lt-LT"/>
        </w:rPr>
      </w:pPr>
    </w:p>
    <w:p w14:paraId="17C183B0" w14:textId="77777777" w:rsidR="00D75E9B" w:rsidRPr="004C5A75" w:rsidRDefault="00D75E9B" w:rsidP="00D75E9B">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B2"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B1"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3.</w:t>
            </w:r>
            <w:r w:rsidRPr="004C5A75">
              <w:rPr>
                <w:rFonts w:ascii="Times New Roman" w:hAnsi="Times New Roman"/>
                <w:b/>
                <w:sz w:val="22"/>
                <w:szCs w:val="22"/>
                <w:lang w:val="lt-LT" w:eastAsia="lt-LT"/>
              </w:rPr>
              <w:tab/>
            </w:r>
            <w:r w:rsidRPr="004C5A75">
              <w:rPr>
                <w:rFonts w:ascii="Times New Roman" w:hAnsi="Times New Roman"/>
                <w:b/>
                <w:caps/>
                <w:sz w:val="22"/>
                <w:szCs w:val="22"/>
                <w:lang w:val="lt-LT" w:eastAsia="lt-LT"/>
              </w:rPr>
              <w:t>tinkamumo laikas</w:t>
            </w:r>
          </w:p>
        </w:tc>
      </w:tr>
    </w:tbl>
    <w:p w14:paraId="17C183B3" w14:textId="77777777" w:rsidR="00D75E9B" w:rsidRPr="004C5A75" w:rsidRDefault="00D75E9B" w:rsidP="00D75E9B">
      <w:pPr>
        <w:rPr>
          <w:rFonts w:ascii="Times New Roman" w:hAnsi="Times New Roman"/>
          <w:b/>
          <w:sz w:val="22"/>
          <w:szCs w:val="22"/>
          <w:lang w:val="lt-LT"/>
        </w:rPr>
      </w:pPr>
    </w:p>
    <w:p w14:paraId="17C183B4"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Tinka iki {mm/MMMM}</w:t>
      </w:r>
    </w:p>
    <w:p w14:paraId="17C183B5" w14:textId="77777777" w:rsidR="00D75E9B" w:rsidRPr="004C5A75" w:rsidRDefault="00D75E9B" w:rsidP="00D75E9B">
      <w:pPr>
        <w:pStyle w:val="Pagrindinistekstas"/>
        <w:rPr>
          <w:rFonts w:ascii="Times New Roman" w:hAnsi="Times New Roman"/>
          <w:color w:val="auto"/>
          <w:lang w:val="lt-LT"/>
        </w:rPr>
      </w:pPr>
    </w:p>
    <w:p w14:paraId="17C183B6" w14:textId="77777777" w:rsidR="00D75E9B" w:rsidRPr="004C5A75" w:rsidRDefault="00D75E9B" w:rsidP="00D75E9B">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B8"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B7"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4.</w:t>
            </w:r>
            <w:r w:rsidRPr="004C5A75">
              <w:rPr>
                <w:rFonts w:ascii="Times New Roman" w:hAnsi="Times New Roman"/>
                <w:b/>
                <w:sz w:val="22"/>
                <w:szCs w:val="22"/>
                <w:lang w:val="lt-LT" w:eastAsia="lt-LT"/>
              </w:rPr>
              <w:tab/>
            </w:r>
            <w:r w:rsidRPr="004C5A75">
              <w:rPr>
                <w:rFonts w:ascii="Times New Roman" w:hAnsi="Times New Roman"/>
                <w:b/>
                <w:caps/>
                <w:sz w:val="22"/>
                <w:szCs w:val="22"/>
                <w:lang w:val="lt-LT" w:eastAsia="lt-LT"/>
              </w:rPr>
              <w:t>serijos numeris</w:t>
            </w:r>
          </w:p>
        </w:tc>
      </w:tr>
    </w:tbl>
    <w:p w14:paraId="17C183B9" w14:textId="77777777" w:rsidR="00D75E9B" w:rsidRPr="004C5A75" w:rsidRDefault="00D75E9B" w:rsidP="00D75E9B">
      <w:pPr>
        <w:ind w:right="113"/>
        <w:rPr>
          <w:rFonts w:ascii="Times New Roman" w:hAnsi="Times New Roman"/>
          <w:sz w:val="22"/>
          <w:szCs w:val="22"/>
          <w:lang w:val="lt-LT"/>
        </w:rPr>
      </w:pPr>
    </w:p>
    <w:p w14:paraId="17C183BA" w14:textId="77777777" w:rsidR="00D75E9B" w:rsidRPr="004C5A75" w:rsidRDefault="00D75E9B" w:rsidP="00D75E9B">
      <w:pPr>
        <w:pStyle w:val="Pagrindinistekstas"/>
        <w:rPr>
          <w:rFonts w:ascii="Times New Roman" w:hAnsi="Times New Roman"/>
          <w:color w:val="auto"/>
          <w:lang w:val="lt-LT"/>
        </w:rPr>
      </w:pPr>
      <w:r w:rsidRPr="004C5A75">
        <w:rPr>
          <w:rFonts w:ascii="Times New Roman" w:hAnsi="Times New Roman"/>
          <w:color w:val="auto"/>
          <w:lang w:val="lt-LT"/>
        </w:rPr>
        <w:t>Serija</w:t>
      </w:r>
    </w:p>
    <w:p w14:paraId="17C183BB" w14:textId="77777777" w:rsidR="00D75E9B" w:rsidRPr="004C5A75" w:rsidRDefault="00D75E9B" w:rsidP="00D75E9B">
      <w:pPr>
        <w:pStyle w:val="Pagrindinistekstas"/>
        <w:rPr>
          <w:rFonts w:ascii="Times New Roman" w:hAnsi="Times New Roman"/>
          <w:color w:val="auto"/>
          <w:lang w:val="lt-LT"/>
        </w:rPr>
      </w:pPr>
    </w:p>
    <w:p w14:paraId="17C183BC" w14:textId="77777777" w:rsidR="00D75E9B" w:rsidRPr="004C5A75" w:rsidRDefault="00D75E9B" w:rsidP="00D75E9B">
      <w:pPr>
        <w:ind w:right="113"/>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5E9B" w:rsidRPr="004C5A75" w14:paraId="17C183BE" w14:textId="77777777" w:rsidTr="000B746C">
        <w:tc>
          <w:tcPr>
            <w:tcW w:w="9287" w:type="dxa"/>
            <w:tcBorders>
              <w:top w:val="single" w:sz="4" w:space="0" w:color="auto"/>
              <w:left w:val="single" w:sz="4" w:space="0" w:color="auto"/>
              <w:bottom w:val="single" w:sz="4" w:space="0" w:color="auto"/>
              <w:right w:val="single" w:sz="4" w:space="0" w:color="auto"/>
            </w:tcBorders>
            <w:hideMark/>
          </w:tcPr>
          <w:p w14:paraId="17C183BD" w14:textId="77777777" w:rsidR="00D75E9B" w:rsidRPr="004C5A75" w:rsidRDefault="00D75E9B" w:rsidP="000B746C">
            <w:pPr>
              <w:tabs>
                <w:tab w:val="left" w:pos="142"/>
              </w:tabs>
              <w:ind w:left="567" w:hanging="567"/>
              <w:rPr>
                <w:rFonts w:ascii="Times New Roman" w:hAnsi="Times New Roman"/>
                <w:b/>
                <w:sz w:val="22"/>
                <w:szCs w:val="22"/>
                <w:lang w:val="lt-LT" w:eastAsia="lt-LT"/>
              </w:rPr>
            </w:pPr>
            <w:r w:rsidRPr="004C5A75">
              <w:rPr>
                <w:rFonts w:ascii="Times New Roman" w:hAnsi="Times New Roman"/>
                <w:b/>
                <w:sz w:val="22"/>
                <w:szCs w:val="22"/>
                <w:lang w:val="lt-LT" w:eastAsia="lt-LT"/>
              </w:rPr>
              <w:t>5.</w:t>
            </w:r>
            <w:r w:rsidRPr="004C5A75">
              <w:rPr>
                <w:rFonts w:ascii="Times New Roman" w:hAnsi="Times New Roman"/>
                <w:b/>
                <w:sz w:val="22"/>
                <w:szCs w:val="22"/>
                <w:lang w:val="lt-LT" w:eastAsia="lt-LT"/>
              </w:rPr>
              <w:tab/>
              <w:t>KITA</w:t>
            </w:r>
          </w:p>
        </w:tc>
      </w:tr>
    </w:tbl>
    <w:p w14:paraId="17C183BF" w14:textId="77777777" w:rsidR="00D75E9B" w:rsidRPr="004C5A75" w:rsidRDefault="00D75E9B" w:rsidP="00D75E9B">
      <w:pPr>
        <w:jc w:val="center"/>
        <w:rPr>
          <w:rFonts w:ascii="Times New Roman" w:hAnsi="Times New Roman"/>
          <w:sz w:val="22"/>
          <w:szCs w:val="22"/>
          <w:lang w:val="lt-LT"/>
        </w:rPr>
      </w:pPr>
    </w:p>
    <w:p w14:paraId="17C183C0" w14:textId="77777777" w:rsidR="00D75E9B" w:rsidRPr="004C5A75" w:rsidRDefault="00D75E9B" w:rsidP="00D75E9B">
      <w:pPr>
        <w:jc w:val="center"/>
        <w:rPr>
          <w:rFonts w:ascii="Times New Roman" w:hAnsi="Times New Roman"/>
          <w:sz w:val="22"/>
          <w:szCs w:val="22"/>
          <w:lang w:val="lt-LT"/>
        </w:rPr>
      </w:pPr>
    </w:p>
    <w:p w14:paraId="17C183C1" w14:textId="77777777" w:rsidR="00D75E9B" w:rsidRPr="004C5A75" w:rsidRDefault="00D75E9B" w:rsidP="00D75E9B">
      <w:pPr>
        <w:jc w:val="center"/>
        <w:rPr>
          <w:rFonts w:ascii="Times New Roman" w:hAnsi="Times New Roman"/>
          <w:sz w:val="22"/>
          <w:szCs w:val="22"/>
          <w:lang w:val="lt-LT"/>
        </w:rPr>
      </w:pPr>
    </w:p>
    <w:p w14:paraId="17C183C2" w14:textId="77777777" w:rsidR="00D75E9B" w:rsidRPr="004C5A75" w:rsidRDefault="00D75E9B" w:rsidP="00D75E9B">
      <w:pPr>
        <w:jc w:val="center"/>
        <w:rPr>
          <w:rFonts w:ascii="Times New Roman" w:hAnsi="Times New Roman"/>
          <w:sz w:val="22"/>
          <w:szCs w:val="22"/>
          <w:lang w:val="lt-LT"/>
        </w:rPr>
      </w:pPr>
    </w:p>
    <w:p w14:paraId="17C183C3" w14:textId="77777777" w:rsidR="00D75E9B" w:rsidRPr="004C5A75" w:rsidRDefault="00D75E9B" w:rsidP="00D75E9B">
      <w:pPr>
        <w:jc w:val="center"/>
        <w:rPr>
          <w:rFonts w:ascii="Times New Roman" w:hAnsi="Times New Roman"/>
          <w:sz w:val="22"/>
          <w:szCs w:val="22"/>
          <w:lang w:val="lt-LT"/>
        </w:rPr>
      </w:pPr>
    </w:p>
    <w:p w14:paraId="17C183C4" w14:textId="77777777" w:rsidR="00D75E9B" w:rsidRPr="004C5A75" w:rsidRDefault="00D75E9B" w:rsidP="00D75E9B">
      <w:pPr>
        <w:jc w:val="center"/>
        <w:rPr>
          <w:rFonts w:ascii="Times New Roman" w:hAnsi="Times New Roman"/>
          <w:sz w:val="22"/>
          <w:szCs w:val="22"/>
          <w:lang w:val="lt-LT"/>
        </w:rPr>
      </w:pPr>
    </w:p>
    <w:p w14:paraId="17C183C5" w14:textId="77777777" w:rsidR="00D75E9B" w:rsidRPr="004C5A75" w:rsidRDefault="00D75E9B" w:rsidP="00D75E9B">
      <w:pPr>
        <w:jc w:val="center"/>
        <w:rPr>
          <w:rFonts w:ascii="Times New Roman" w:hAnsi="Times New Roman"/>
          <w:sz w:val="22"/>
          <w:szCs w:val="22"/>
          <w:lang w:val="lt-LT"/>
        </w:rPr>
      </w:pPr>
    </w:p>
    <w:p w14:paraId="17C183C6" w14:textId="77777777" w:rsidR="00D75E9B" w:rsidRPr="004C5A75" w:rsidRDefault="00D75E9B" w:rsidP="00D75E9B">
      <w:pPr>
        <w:jc w:val="center"/>
        <w:rPr>
          <w:rFonts w:ascii="Times New Roman" w:hAnsi="Times New Roman"/>
          <w:sz w:val="22"/>
          <w:szCs w:val="22"/>
          <w:lang w:val="lt-LT"/>
        </w:rPr>
      </w:pPr>
    </w:p>
    <w:p w14:paraId="17C183C7" w14:textId="77777777" w:rsidR="00D75E9B" w:rsidRPr="004C5A75" w:rsidRDefault="00D75E9B" w:rsidP="00D75E9B">
      <w:pPr>
        <w:jc w:val="center"/>
        <w:rPr>
          <w:rFonts w:ascii="Times New Roman" w:hAnsi="Times New Roman"/>
          <w:sz w:val="22"/>
          <w:szCs w:val="22"/>
          <w:lang w:val="lt-LT"/>
        </w:rPr>
      </w:pPr>
    </w:p>
    <w:p w14:paraId="17C183C8" w14:textId="77777777" w:rsidR="00D75E9B" w:rsidRPr="004C5A75" w:rsidRDefault="00D75E9B" w:rsidP="00D75E9B">
      <w:pPr>
        <w:jc w:val="center"/>
        <w:rPr>
          <w:rFonts w:ascii="Times New Roman" w:hAnsi="Times New Roman"/>
          <w:sz w:val="22"/>
          <w:szCs w:val="22"/>
          <w:lang w:val="lt-LT"/>
        </w:rPr>
      </w:pPr>
    </w:p>
    <w:p w14:paraId="17C183C9" w14:textId="77777777" w:rsidR="00D75E9B" w:rsidRPr="004C5A75" w:rsidRDefault="00D75E9B" w:rsidP="00D75E9B">
      <w:pPr>
        <w:jc w:val="center"/>
        <w:rPr>
          <w:rFonts w:ascii="Times New Roman" w:hAnsi="Times New Roman"/>
          <w:sz w:val="22"/>
          <w:szCs w:val="22"/>
          <w:lang w:val="lt-LT"/>
        </w:rPr>
      </w:pPr>
    </w:p>
    <w:p w14:paraId="17C183CA" w14:textId="77777777" w:rsidR="00D75E9B" w:rsidRPr="004C5A75" w:rsidRDefault="00D75E9B" w:rsidP="00D75E9B">
      <w:pPr>
        <w:jc w:val="center"/>
        <w:rPr>
          <w:rFonts w:ascii="Times New Roman" w:hAnsi="Times New Roman"/>
          <w:sz w:val="22"/>
          <w:szCs w:val="22"/>
          <w:lang w:val="lt-LT"/>
        </w:rPr>
      </w:pPr>
    </w:p>
    <w:p w14:paraId="17C183CB" w14:textId="77777777" w:rsidR="00D75E9B" w:rsidRPr="004C5A75" w:rsidRDefault="00D75E9B" w:rsidP="00D75E9B">
      <w:pPr>
        <w:jc w:val="center"/>
        <w:rPr>
          <w:rFonts w:ascii="Times New Roman" w:hAnsi="Times New Roman"/>
          <w:sz w:val="22"/>
          <w:szCs w:val="22"/>
          <w:lang w:val="lt-LT"/>
        </w:rPr>
      </w:pPr>
    </w:p>
    <w:p w14:paraId="17C183CC" w14:textId="77777777" w:rsidR="00D75E9B" w:rsidRPr="004C5A75" w:rsidRDefault="00D75E9B" w:rsidP="00D75E9B">
      <w:pPr>
        <w:jc w:val="center"/>
        <w:rPr>
          <w:rFonts w:ascii="Times New Roman" w:hAnsi="Times New Roman"/>
          <w:sz w:val="22"/>
          <w:szCs w:val="22"/>
          <w:lang w:val="lt-LT"/>
        </w:rPr>
      </w:pPr>
    </w:p>
    <w:p w14:paraId="17C183CD" w14:textId="77777777" w:rsidR="00D75E9B" w:rsidRPr="004C5A75" w:rsidRDefault="00D75E9B" w:rsidP="00D75E9B">
      <w:pPr>
        <w:jc w:val="center"/>
        <w:rPr>
          <w:rFonts w:ascii="Times New Roman" w:hAnsi="Times New Roman"/>
          <w:sz w:val="22"/>
          <w:szCs w:val="22"/>
          <w:lang w:val="lt-LT"/>
        </w:rPr>
      </w:pPr>
    </w:p>
    <w:p w14:paraId="17C183CE" w14:textId="77777777" w:rsidR="00D75E9B" w:rsidRPr="004C5A75" w:rsidRDefault="00D75E9B" w:rsidP="00D75E9B">
      <w:pPr>
        <w:jc w:val="center"/>
        <w:rPr>
          <w:rFonts w:ascii="Times New Roman" w:hAnsi="Times New Roman"/>
          <w:sz w:val="22"/>
          <w:szCs w:val="22"/>
          <w:lang w:val="lt-LT"/>
        </w:rPr>
      </w:pPr>
    </w:p>
    <w:p w14:paraId="17C183CF" w14:textId="77777777" w:rsidR="00D75E9B" w:rsidRPr="004C5A75" w:rsidRDefault="00D75E9B" w:rsidP="00D75E9B">
      <w:pPr>
        <w:jc w:val="center"/>
        <w:rPr>
          <w:rFonts w:ascii="Times New Roman" w:hAnsi="Times New Roman"/>
          <w:sz w:val="22"/>
          <w:szCs w:val="22"/>
          <w:lang w:val="lt-LT"/>
        </w:rPr>
      </w:pPr>
    </w:p>
    <w:p w14:paraId="17C183D0" w14:textId="77777777" w:rsidR="00D75E9B" w:rsidRPr="004C5A75" w:rsidRDefault="00D75E9B" w:rsidP="00D75E9B">
      <w:pPr>
        <w:jc w:val="center"/>
        <w:rPr>
          <w:rFonts w:ascii="Times New Roman" w:hAnsi="Times New Roman"/>
          <w:sz w:val="22"/>
          <w:szCs w:val="22"/>
          <w:lang w:val="lt-LT"/>
        </w:rPr>
      </w:pPr>
    </w:p>
    <w:p w14:paraId="17C183D1" w14:textId="77777777" w:rsidR="00D75E9B" w:rsidRPr="004C5A75" w:rsidRDefault="00D75E9B" w:rsidP="00D75E9B">
      <w:pPr>
        <w:jc w:val="center"/>
        <w:rPr>
          <w:rFonts w:ascii="Times New Roman" w:hAnsi="Times New Roman"/>
          <w:sz w:val="22"/>
          <w:szCs w:val="22"/>
          <w:lang w:val="lt-LT"/>
        </w:rPr>
      </w:pPr>
    </w:p>
    <w:p w14:paraId="17C183D2" w14:textId="77777777" w:rsidR="00D75E9B" w:rsidRPr="004C5A75" w:rsidRDefault="00D75E9B" w:rsidP="00D75E9B">
      <w:pPr>
        <w:jc w:val="center"/>
        <w:rPr>
          <w:rFonts w:ascii="Times New Roman" w:hAnsi="Times New Roman"/>
          <w:sz w:val="22"/>
          <w:szCs w:val="22"/>
          <w:lang w:val="lt-LT"/>
        </w:rPr>
      </w:pPr>
    </w:p>
    <w:p w14:paraId="17C183D3" w14:textId="77777777" w:rsidR="00D75E9B" w:rsidRPr="004C5A75" w:rsidRDefault="00D75E9B" w:rsidP="00D75E9B">
      <w:pPr>
        <w:jc w:val="center"/>
        <w:rPr>
          <w:rFonts w:ascii="Times New Roman" w:hAnsi="Times New Roman"/>
          <w:sz w:val="22"/>
          <w:szCs w:val="22"/>
          <w:lang w:val="lt-LT"/>
        </w:rPr>
      </w:pPr>
    </w:p>
    <w:p w14:paraId="17C183D4" w14:textId="77777777" w:rsidR="00D75E9B" w:rsidRPr="004C5A75" w:rsidRDefault="00D75E9B" w:rsidP="00D75E9B">
      <w:pPr>
        <w:rPr>
          <w:rFonts w:ascii="Times New Roman" w:hAnsi="Times New Roman"/>
          <w:sz w:val="22"/>
          <w:szCs w:val="22"/>
          <w:lang w:val="lt-LT"/>
        </w:rPr>
      </w:pPr>
    </w:p>
    <w:p w14:paraId="17C183D5" w14:textId="77777777" w:rsidR="00D75E9B" w:rsidRPr="004C5A75" w:rsidRDefault="00D75E9B" w:rsidP="00D75E9B">
      <w:pPr>
        <w:rPr>
          <w:rFonts w:ascii="Times New Roman" w:hAnsi="Times New Roman"/>
          <w:sz w:val="22"/>
          <w:szCs w:val="22"/>
          <w:lang w:val="lt-LT"/>
        </w:rPr>
      </w:pPr>
    </w:p>
    <w:p w14:paraId="17C183D6" w14:textId="77777777" w:rsidR="00D75E9B" w:rsidRPr="004C5A75" w:rsidRDefault="00D75E9B" w:rsidP="00D75E9B">
      <w:pPr>
        <w:rPr>
          <w:rFonts w:ascii="Times New Roman" w:hAnsi="Times New Roman"/>
          <w:sz w:val="22"/>
          <w:szCs w:val="22"/>
          <w:lang w:val="lt-LT"/>
        </w:rPr>
      </w:pPr>
    </w:p>
    <w:p w14:paraId="17C183D7" w14:textId="77777777" w:rsidR="00D75E9B" w:rsidRPr="004C5A75" w:rsidRDefault="00D75E9B" w:rsidP="00D75E9B">
      <w:pPr>
        <w:rPr>
          <w:rFonts w:ascii="Times New Roman" w:hAnsi="Times New Roman"/>
          <w:sz w:val="22"/>
          <w:szCs w:val="22"/>
          <w:lang w:val="lt-LT"/>
        </w:rPr>
      </w:pPr>
    </w:p>
    <w:p w14:paraId="17C183D8" w14:textId="77777777" w:rsidR="00D75E9B" w:rsidRPr="004C5A75" w:rsidRDefault="00D75E9B" w:rsidP="00D75E9B">
      <w:pPr>
        <w:rPr>
          <w:rFonts w:ascii="Times New Roman" w:hAnsi="Times New Roman"/>
          <w:sz w:val="22"/>
          <w:szCs w:val="22"/>
          <w:lang w:val="lt-LT"/>
        </w:rPr>
      </w:pPr>
    </w:p>
    <w:p w14:paraId="17C183D9" w14:textId="77777777" w:rsidR="00D75E9B" w:rsidRPr="004C5A75" w:rsidRDefault="00D75E9B" w:rsidP="00D75E9B">
      <w:pPr>
        <w:rPr>
          <w:rFonts w:ascii="Times New Roman" w:hAnsi="Times New Roman"/>
          <w:sz w:val="22"/>
          <w:szCs w:val="22"/>
          <w:lang w:val="lt-LT"/>
        </w:rPr>
      </w:pPr>
    </w:p>
    <w:p w14:paraId="17C183DA" w14:textId="77777777" w:rsidR="00D75E9B" w:rsidRPr="004C5A75" w:rsidRDefault="00D75E9B" w:rsidP="00D75E9B">
      <w:pPr>
        <w:rPr>
          <w:rFonts w:ascii="Times New Roman" w:hAnsi="Times New Roman"/>
          <w:sz w:val="22"/>
          <w:szCs w:val="22"/>
          <w:lang w:val="lt-LT"/>
        </w:rPr>
      </w:pPr>
    </w:p>
    <w:p w14:paraId="17C183DB" w14:textId="77777777" w:rsidR="00D75E9B" w:rsidRPr="004C5A75" w:rsidRDefault="00D75E9B" w:rsidP="00D75E9B">
      <w:pPr>
        <w:rPr>
          <w:rFonts w:ascii="Times New Roman" w:hAnsi="Times New Roman"/>
          <w:sz w:val="22"/>
          <w:szCs w:val="22"/>
          <w:lang w:val="lt-LT"/>
        </w:rPr>
      </w:pPr>
    </w:p>
    <w:p w14:paraId="17C183DC" w14:textId="77777777" w:rsidR="00D75E9B" w:rsidRPr="004C5A75" w:rsidRDefault="00D75E9B" w:rsidP="00D75E9B">
      <w:pPr>
        <w:rPr>
          <w:rFonts w:ascii="Times New Roman" w:hAnsi="Times New Roman"/>
          <w:sz w:val="22"/>
          <w:szCs w:val="22"/>
          <w:lang w:val="lt-LT"/>
        </w:rPr>
      </w:pPr>
    </w:p>
    <w:p w14:paraId="17C183DD" w14:textId="77777777" w:rsidR="00D75E9B" w:rsidRPr="004C5A75" w:rsidRDefault="00D75E9B" w:rsidP="00D75E9B">
      <w:pPr>
        <w:rPr>
          <w:rFonts w:ascii="Times New Roman" w:hAnsi="Times New Roman"/>
          <w:sz w:val="22"/>
          <w:szCs w:val="22"/>
          <w:lang w:val="lt-LT"/>
        </w:rPr>
      </w:pPr>
    </w:p>
    <w:p w14:paraId="17C183DE" w14:textId="77777777" w:rsidR="00D75E9B" w:rsidRPr="004C5A75" w:rsidRDefault="00D75E9B" w:rsidP="00D75E9B">
      <w:pPr>
        <w:rPr>
          <w:rFonts w:ascii="Times New Roman" w:hAnsi="Times New Roman"/>
          <w:sz w:val="22"/>
          <w:szCs w:val="22"/>
          <w:lang w:val="lt-LT"/>
        </w:rPr>
      </w:pPr>
    </w:p>
    <w:p w14:paraId="17C183DF" w14:textId="77777777" w:rsidR="00D75E9B" w:rsidRPr="004C5A75" w:rsidRDefault="00D75E9B" w:rsidP="00D75E9B">
      <w:pPr>
        <w:rPr>
          <w:rFonts w:ascii="Times New Roman" w:hAnsi="Times New Roman"/>
          <w:sz w:val="22"/>
          <w:szCs w:val="22"/>
          <w:lang w:val="lt-LT"/>
        </w:rPr>
      </w:pPr>
    </w:p>
    <w:p w14:paraId="17C183E0" w14:textId="77777777" w:rsidR="00D75E9B" w:rsidRPr="004C5A75" w:rsidRDefault="00D75E9B" w:rsidP="00D75E9B">
      <w:pPr>
        <w:rPr>
          <w:rFonts w:ascii="Times New Roman" w:hAnsi="Times New Roman"/>
          <w:sz w:val="22"/>
          <w:szCs w:val="22"/>
          <w:lang w:val="lt-LT"/>
        </w:rPr>
      </w:pPr>
    </w:p>
    <w:p w14:paraId="17C183E1" w14:textId="77777777" w:rsidR="00D75E9B" w:rsidRPr="004C5A75" w:rsidRDefault="00D75E9B" w:rsidP="00D75E9B">
      <w:pPr>
        <w:rPr>
          <w:rFonts w:ascii="Times New Roman" w:hAnsi="Times New Roman"/>
          <w:sz w:val="22"/>
          <w:szCs w:val="22"/>
          <w:lang w:val="lt-LT"/>
        </w:rPr>
      </w:pPr>
    </w:p>
    <w:p w14:paraId="17C183E2" w14:textId="77777777" w:rsidR="00D75E9B" w:rsidRPr="004C5A75" w:rsidRDefault="00D75E9B" w:rsidP="00D75E9B">
      <w:pPr>
        <w:rPr>
          <w:rFonts w:ascii="Times New Roman" w:hAnsi="Times New Roman"/>
          <w:sz w:val="22"/>
          <w:szCs w:val="22"/>
          <w:lang w:val="lt-LT"/>
        </w:rPr>
      </w:pPr>
    </w:p>
    <w:p w14:paraId="17C183E3" w14:textId="77777777" w:rsidR="00D75E9B" w:rsidRPr="004C5A75" w:rsidRDefault="00D75E9B" w:rsidP="00D75E9B">
      <w:pPr>
        <w:rPr>
          <w:rFonts w:ascii="Times New Roman" w:hAnsi="Times New Roman"/>
          <w:sz w:val="22"/>
          <w:szCs w:val="22"/>
          <w:lang w:val="lt-LT"/>
        </w:rPr>
      </w:pPr>
    </w:p>
    <w:p w14:paraId="17C183E4" w14:textId="77777777" w:rsidR="00D75E9B" w:rsidRPr="004C5A75" w:rsidRDefault="00D75E9B" w:rsidP="00D75E9B">
      <w:pPr>
        <w:rPr>
          <w:rFonts w:ascii="Times New Roman" w:hAnsi="Times New Roman"/>
          <w:sz w:val="22"/>
          <w:szCs w:val="22"/>
          <w:lang w:val="lt-LT"/>
        </w:rPr>
      </w:pPr>
    </w:p>
    <w:p w14:paraId="17C183E5" w14:textId="77777777" w:rsidR="00D75E9B" w:rsidRPr="004C5A75" w:rsidRDefault="00D75E9B" w:rsidP="00D75E9B">
      <w:pPr>
        <w:pStyle w:val="TTEMEASMCA"/>
        <w:ind w:left="0" w:firstLine="0"/>
        <w:rPr>
          <w:lang w:val="lt-LT"/>
        </w:rPr>
      </w:pPr>
      <w:bookmarkStart w:id="11" w:name="_Toc129243137"/>
      <w:bookmarkStart w:id="12" w:name="_Toc129243262"/>
    </w:p>
    <w:p w14:paraId="17C183E6" w14:textId="77777777" w:rsidR="00D75E9B" w:rsidRPr="0026536C" w:rsidRDefault="00D75E9B" w:rsidP="00D75E9B">
      <w:pPr>
        <w:pStyle w:val="TTEMEASMCA"/>
        <w:ind w:left="0" w:firstLine="0"/>
        <w:rPr>
          <w:lang w:val="lt-LT"/>
        </w:rPr>
      </w:pPr>
    </w:p>
    <w:p w14:paraId="17C183E7" w14:textId="77777777" w:rsidR="00D75E9B" w:rsidRPr="0026536C" w:rsidRDefault="00D75E9B" w:rsidP="00D75E9B">
      <w:pPr>
        <w:pStyle w:val="TTEMEASMCA"/>
        <w:ind w:left="0" w:firstLine="0"/>
        <w:rPr>
          <w:lang w:val="lt-LT"/>
        </w:rPr>
      </w:pPr>
    </w:p>
    <w:p w14:paraId="17C183E8" w14:textId="77777777" w:rsidR="00D75E9B" w:rsidRPr="0026536C" w:rsidRDefault="00D75E9B" w:rsidP="00D75E9B">
      <w:pPr>
        <w:pStyle w:val="TTEMEASMCA"/>
        <w:ind w:left="0" w:firstLine="0"/>
        <w:rPr>
          <w:lang w:val="lt-LT"/>
        </w:rPr>
      </w:pPr>
    </w:p>
    <w:p w14:paraId="17C183E9" w14:textId="77777777" w:rsidR="00D75E9B" w:rsidRPr="0026536C" w:rsidRDefault="00D75E9B" w:rsidP="00D75E9B">
      <w:pPr>
        <w:pStyle w:val="TTEMEASMCA"/>
        <w:ind w:left="0" w:firstLine="0"/>
        <w:rPr>
          <w:lang w:val="lt-LT"/>
        </w:rPr>
      </w:pPr>
    </w:p>
    <w:p w14:paraId="17C183EA" w14:textId="77777777" w:rsidR="00D75E9B" w:rsidRPr="0026536C" w:rsidRDefault="00D75E9B" w:rsidP="00D75E9B">
      <w:pPr>
        <w:pStyle w:val="TTEMEASMCA"/>
        <w:ind w:left="0" w:firstLine="0"/>
        <w:rPr>
          <w:lang w:val="lt-LT"/>
        </w:rPr>
      </w:pPr>
    </w:p>
    <w:p w14:paraId="17C183EB" w14:textId="77777777" w:rsidR="00D75E9B" w:rsidRPr="0026536C" w:rsidRDefault="00D75E9B" w:rsidP="00D75E9B">
      <w:pPr>
        <w:pStyle w:val="TTEMEASMCA"/>
        <w:ind w:left="0" w:firstLine="0"/>
        <w:rPr>
          <w:lang w:val="lt-LT"/>
        </w:rPr>
      </w:pPr>
    </w:p>
    <w:p w14:paraId="17C183EC" w14:textId="77777777" w:rsidR="00D75E9B" w:rsidRPr="0026536C" w:rsidRDefault="00D75E9B" w:rsidP="00D75E9B">
      <w:pPr>
        <w:pStyle w:val="TTEMEASMCA"/>
        <w:ind w:left="0" w:firstLine="0"/>
        <w:rPr>
          <w:lang w:val="lt-LT"/>
        </w:rPr>
      </w:pPr>
    </w:p>
    <w:p w14:paraId="17C183ED" w14:textId="77777777" w:rsidR="00D75E9B" w:rsidRPr="0026536C" w:rsidRDefault="00D75E9B" w:rsidP="00D75E9B">
      <w:pPr>
        <w:pStyle w:val="TTEMEASMCA"/>
        <w:ind w:left="0" w:firstLine="0"/>
        <w:rPr>
          <w:lang w:val="lt-LT"/>
        </w:rPr>
      </w:pPr>
    </w:p>
    <w:p w14:paraId="17C183EE" w14:textId="77777777" w:rsidR="00D75E9B" w:rsidRPr="0026536C" w:rsidRDefault="00D75E9B" w:rsidP="00D75E9B">
      <w:pPr>
        <w:pStyle w:val="TTEMEASMCA"/>
        <w:ind w:left="0" w:firstLine="0"/>
        <w:rPr>
          <w:lang w:val="lt-LT"/>
        </w:rPr>
      </w:pPr>
    </w:p>
    <w:p w14:paraId="17C183EF" w14:textId="77777777" w:rsidR="00D75E9B" w:rsidRPr="0026536C" w:rsidRDefault="00D75E9B" w:rsidP="00D75E9B">
      <w:pPr>
        <w:pStyle w:val="TTEMEASMCA"/>
        <w:ind w:left="0" w:firstLine="0"/>
        <w:rPr>
          <w:lang w:val="lt-LT"/>
        </w:rPr>
      </w:pPr>
    </w:p>
    <w:p w14:paraId="17C183F0" w14:textId="77777777" w:rsidR="00D75E9B" w:rsidRPr="0026536C" w:rsidRDefault="00D75E9B" w:rsidP="00D75E9B">
      <w:pPr>
        <w:pStyle w:val="TTEMEASMCA"/>
        <w:ind w:left="0" w:firstLine="0"/>
        <w:rPr>
          <w:lang w:val="lt-LT"/>
        </w:rPr>
      </w:pPr>
    </w:p>
    <w:p w14:paraId="17C183F1" w14:textId="77777777" w:rsidR="00D75E9B" w:rsidRPr="0026536C" w:rsidRDefault="00D75E9B" w:rsidP="00D75E9B">
      <w:pPr>
        <w:pStyle w:val="TTEMEASMCA"/>
        <w:ind w:left="0" w:firstLine="0"/>
        <w:rPr>
          <w:lang w:val="lt-LT"/>
        </w:rPr>
      </w:pPr>
      <w:r w:rsidRPr="0026536C">
        <w:rPr>
          <w:lang w:val="lt-LT"/>
        </w:rPr>
        <w:t>B. PAKUOTĖS LAPELIS</w:t>
      </w:r>
      <w:bookmarkEnd w:id="11"/>
      <w:bookmarkEnd w:id="12"/>
    </w:p>
    <w:p w14:paraId="17C183F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br w:type="page"/>
      </w:r>
    </w:p>
    <w:p w14:paraId="17C183F3" w14:textId="77777777" w:rsidR="00D75E9B" w:rsidRPr="004C5A75" w:rsidRDefault="00D75E9B" w:rsidP="00D75E9B">
      <w:pPr>
        <w:pStyle w:val="Pagrindinistekstas"/>
        <w:jc w:val="center"/>
        <w:rPr>
          <w:rFonts w:ascii="Times New Roman" w:hAnsi="Times New Roman"/>
          <w:b/>
          <w:color w:val="auto"/>
          <w:lang w:val="lt-LT"/>
        </w:rPr>
      </w:pPr>
      <w:r w:rsidRPr="004C5A75">
        <w:rPr>
          <w:rFonts w:ascii="Times New Roman" w:hAnsi="Times New Roman"/>
          <w:b/>
          <w:color w:val="auto"/>
          <w:lang w:val="lt-LT"/>
        </w:rPr>
        <w:lastRenderedPageBreak/>
        <w:t>Pakuotės lapelis: informacija vartotojui</w:t>
      </w:r>
    </w:p>
    <w:p w14:paraId="17C183F4" w14:textId="77777777" w:rsidR="00D75E9B" w:rsidRPr="004C5A75" w:rsidRDefault="00D75E9B" w:rsidP="00D75E9B">
      <w:pPr>
        <w:pStyle w:val="TTEMEASMCA"/>
        <w:ind w:left="0" w:firstLine="0"/>
        <w:rPr>
          <w:lang w:val="lt-LT"/>
        </w:rPr>
      </w:pPr>
    </w:p>
    <w:p w14:paraId="17C183F5" w14:textId="77777777" w:rsidR="00D75E9B" w:rsidRPr="004C5A75" w:rsidRDefault="00D75E9B" w:rsidP="00D75E9B">
      <w:pPr>
        <w:jc w:val="center"/>
        <w:rPr>
          <w:rFonts w:ascii="Times New Roman" w:hAnsi="Times New Roman"/>
          <w:b/>
          <w:sz w:val="22"/>
          <w:szCs w:val="22"/>
          <w:lang w:val="lt-LT"/>
        </w:rPr>
      </w:pPr>
      <w:r w:rsidRPr="004C5A75">
        <w:rPr>
          <w:rFonts w:ascii="Times New Roman" w:hAnsi="Times New Roman"/>
          <w:b/>
          <w:sz w:val="22"/>
          <w:szCs w:val="22"/>
          <w:lang w:val="lt-LT"/>
        </w:rPr>
        <w:t>DIRONORM 10 mg/5 mg tabletės</w:t>
      </w:r>
    </w:p>
    <w:p w14:paraId="17C183F6" w14:textId="77777777" w:rsidR="00D75E9B" w:rsidRPr="004C5A75" w:rsidRDefault="00D75E9B" w:rsidP="00D75E9B">
      <w:pPr>
        <w:pStyle w:val="Pagrindinistekstas"/>
        <w:jc w:val="center"/>
        <w:rPr>
          <w:rFonts w:ascii="Times New Roman" w:hAnsi="Times New Roman"/>
          <w:b/>
          <w:color w:val="auto"/>
          <w:lang w:val="lt-LT"/>
        </w:rPr>
      </w:pPr>
      <w:r w:rsidRPr="004C5A75">
        <w:rPr>
          <w:rFonts w:ascii="Times New Roman" w:hAnsi="Times New Roman"/>
          <w:b/>
          <w:color w:val="auto"/>
          <w:lang w:val="lt-LT"/>
        </w:rPr>
        <w:t>DIRONORM 20 mg/10 mg tabletės</w:t>
      </w:r>
    </w:p>
    <w:p w14:paraId="17C183F7" w14:textId="77777777" w:rsidR="00D75E9B" w:rsidRPr="004C5A75" w:rsidRDefault="00D75E9B" w:rsidP="00D75E9B">
      <w:pPr>
        <w:pStyle w:val="Pagrindinistekstas"/>
        <w:jc w:val="center"/>
        <w:rPr>
          <w:rFonts w:ascii="Times New Roman" w:hAnsi="Times New Roman"/>
          <w:b/>
          <w:color w:val="auto"/>
          <w:lang w:val="lt-LT"/>
        </w:rPr>
      </w:pPr>
      <w:r w:rsidRPr="004C5A75">
        <w:rPr>
          <w:rFonts w:ascii="Times New Roman" w:hAnsi="Times New Roman"/>
          <w:b/>
          <w:color w:val="auto"/>
          <w:lang w:val="lt-LT"/>
        </w:rPr>
        <w:t>DIRONORM 20 mg/5 mg tabletės</w:t>
      </w:r>
    </w:p>
    <w:p w14:paraId="17C183F8" w14:textId="77777777" w:rsidR="00D75E9B" w:rsidRPr="004C5A75" w:rsidRDefault="00D75E9B" w:rsidP="00D75E9B">
      <w:pPr>
        <w:pStyle w:val="Pagrindinistekstas"/>
        <w:jc w:val="center"/>
        <w:rPr>
          <w:rFonts w:ascii="Times New Roman" w:hAnsi="Times New Roman"/>
          <w:b/>
          <w:color w:val="auto"/>
          <w:lang w:val="lt-LT"/>
        </w:rPr>
      </w:pPr>
    </w:p>
    <w:p w14:paraId="17C183F9" w14:textId="0B274D32" w:rsidR="00D75E9B" w:rsidRPr="004C5A75" w:rsidRDefault="00B848F2" w:rsidP="00D75E9B">
      <w:pPr>
        <w:pStyle w:val="Pagrindinistekstas"/>
        <w:jc w:val="center"/>
        <w:rPr>
          <w:rFonts w:ascii="Times New Roman" w:hAnsi="Times New Roman"/>
          <w:color w:val="auto"/>
          <w:lang w:val="lt-LT"/>
        </w:rPr>
      </w:pPr>
      <w:r>
        <w:rPr>
          <w:rFonts w:ascii="Times New Roman" w:hAnsi="Times New Roman"/>
          <w:color w:val="auto"/>
          <w:lang w:val="lt-LT"/>
        </w:rPr>
        <w:t>l</w:t>
      </w:r>
      <w:r w:rsidR="00D75E9B" w:rsidRPr="004C5A75">
        <w:rPr>
          <w:rFonts w:ascii="Times New Roman" w:hAnsi="Times New Roman"/>
          <w:color w:val="auto"/>
          <w:lang w:val="lt-LT"/>
        </w:rPr>
        <w:t>izinoprilis/</w:t>
      </w:r>
      <w:r w:rsidR="00EB7BF3">
        <w:rPr>
          <w:rFonts w:ascii="Times New Roman" w:hAnsi="Times New Roman"/>
          <w:color w:val="auto"/>
          <w:lang w:val="lt-LT"/>
        </w:rPr>
        <w:t>a</w:t>
      </w:r>
      <w:r w:rsidR="00D75E9B" w:rsidRPr="004C5A75">
        <w:rPr>
          <w:rFonts w:ascii="Times New Roman" w:hAnsi="Times New Roman"/>
          <w:color w:val="auto"/>
          <w:lang w:val="lt-LT"/>
        </w:rPr>
        <w:t>mlodipinas</w:t>
      </w:r>
    </w:p>
    <w:p w14:paraId="17C183FA" w14:textId="77777777" w:rsidR="00D75E9B" w:rsidRPr="004C5A75" w:rsidRDefault="00D75E9B" w:rsidP="00D75E9B">
      <w:pPr>
        <w:pStyle w:val="Pagrindinistekstas"/>
        <w:jc w:val="center"/>
        <w:rPr>
          <w:rFonts w:ascii="Times New Roman" w:hAnsi="Times New Roman"/>
          <w:color w:val="auto"/>
          <w:lang w:val="lt-LT"/>
        </w:rPr>
      </w:pPr>
    </w:p>
    <w:p w14:paraId="17C183FB" w14:textId="77777777" w:rsidR="00D75E9B" w:rsidRPr="004C5A75" w:rsidRDefault="00D75E9B" w:rsidP="00C97BD4">
      <w:pPr>
        <w:pStyle w:val="BTbEMEASMCA"/>
        <w:rPr>
          <w:lang w:val="lt-LT"/>
        </w:rPr>
      </w:pPr>
      <w:r w:rsidRPr="004C5A75">
        <w:rPr>
          <w:lang w:val="lt-LT"/>
        </w:rPr>
        <w:t>Atidžiai perskaitykite visą šį lapelį, prieš pradėdami vartoti vaistą, nes jame pateikiama Jums svarbi informacija.</w:t>
      </w:r>
    </w:p>
    <w:p w14:paraId="17C183FC" w14:textId="77777777" w:rsidR="00D75E9B" w:rsidRPr="0026536C" w:rsidRDefault="00D75E9B" w:rsidP="00BA2725">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09"/>
        </w:tabs>
        <w:ind w:left="709" w:hanging="426"/>
        <w:rPr>
          <w:b w:val="0"/>
          <w:noProof w:val="0"/>
        </w:rPr>
      </w:pPr>
      <w:r w:rsidRPr="0026536C">
        <w:rPr>
          <w:b w:val="0"/>
          <w:noProof w:val="0"/>
        </w:rPr>
        <w:t>Neišmeskite šio lapelio, nes vėl gali prireikti jį perskaityti.</w:t>
      </w:r>
    </w:p>
    <w:p w14:paraId="17C183FD" w14:textId="77777777" w:rsidR="00D75E9B" w:rsidRPr="0026536C" w:rsidRDefault="00D75E9B" w:rsidP="00BA2725">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09"/>
        </w:tabs>
        <w:ind w:left="709" w:hanging="426"/>
        <w:rPr>
          <w:b w:val="0"/>
          <w:noProof w:val="0"/>
        </w:rPr>
      </w:pPr>
      <w:r w:rsidRPr="0026536C">
        <w:rPr>
          <w:b w:val="0"/>
          <w:noProof w:val="0"/>
        </w:rPr>
        <w:t>Jeigu kiltų daugiau klausimų, kreipkitės į gydytoją arba vaistininką.</w:t>
      </w:r>
    </w:p>
    <w:p w14:paraId="17C183FE" w14:textId="77777777" w:rsidR="00D75E9B" w:rsidRPr="0026536C" w:rsidRDefault="00D75E9B" w:rsidP="00BA2725">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09"/>
        </w:tabs>
        <w:ind w:left="709" w:hanging="426"/>
        <w:rPr>
          <w:b w:val="0"/>
          <w:noProof w:val="0"/>
        </w:rPr>
      </w:pPr>
      <w:r w:rsidRPr="0026536C">
        <w:rPr>
          <w:b w:val="0"/>
          <w:noProof w:val="0"/>
        </w:rPr>
        <w:t>Šis vaistas skirtas tik Jums, todėl kitiems žmonėms jo duoti negalima. Vaistas gali jiems pakenkti (net tiems, kurių ligos požymiai yra tokie patys kaip Jūsų).</w:t>
      </w:r>
    </w:p>
    <w:p w14:paraId="17C183FF" w14:textId="77777777" w:rsidR="00D75E9B" w:rsidRPr="0026536C" w:rsidRDefault="00D75E9B" w:rsidP="00BA2725">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09"/>
        </w:tabs>
        <w:ind w:left="709" w:hanging="426"/>
        <w:rPr>
          <w:b w:val="0"/>
          <w:noProof w:val="0"/>
        </w:rPr>
      </w:pPr>
      <w:r w:rsidRPr="0026536C">
        <w:rPr>
          <w:b w:val="0"/>
          <w:noProof w:val="0"/>
        </w:rPr>
        <w:t>Jeigu pasireiškė šalutinis poveikis (net jeigu jis šiame lapelyje nenurodytas, kreipkitės į  gydytoją  arba vaistininką. Žr. 4 skyrių.</w:t>
      </w:r>
    </w:p>
    <w:p w14:paraId="17C18400" w14:textId="77777777" w:rsidR="00D75E9B" w:rsidRPr="0026536C" w:rsidRDefault="00D75E9B" w:rsidP="00C97BD4">
      <w:pPr>
        <w:pStyle w:val="BTEMEASMCA"/>
        <w:rPr>
          <w:lang w:val="lt-LT"/>
        </w:rPr>
      </w:pPr>
    </w:p>
    <w:p w14:paraId="17C18401" w14:textId="77777777" w:rsidR="00D75E9B" w:rsidRPr="0026536C" w:rsidRDefault="00D75E9B" w:rsidP="00C97BD4">
      <w:pPr>
        <w:pStyle w:val="BTbEMEASMCA"/>
        <w:rPr>
          <w:lang w:val="lt-LT"/>
        </w:rPr>
      </w:pPr>
      <w:r w:rsidRPr="0026536C">
        <w:rPr>
          <w:lang w:val="lt-LT"/>
        </w:rPr>
        <w:t>Apie ką rašoma šiame lapelyje?</w:t>
      </w:r>
    </w:p>
    <w:p w14:paraId="17C18402" w14:textId="77777777" w:rsidR="00D75E9B" w:rsidRPr="0026536C" w:rsidRDefault="00D75E9B" w:rsidP="00C97BD4">
      <w:pPr>
        <w:pStyle w:val="BTEMEASMCA"/>
        <w:rPr>
          <w:lang w:val="lt-LT"/>
        </w:rPr>
      </w:pPr>
      <w:r w:rsidRPr="0026536C">
        <w:rPr>
          <w:lang w:val="lt-LT"/>
        </w:rPr>
        <w:t>1.</w:t>
      </w:r>
      <w:r w:rsidRPr="0026536C">
        <w:rPr>
          <w:lang w:val="lt-LT"/>
        </w:rPr>
        <w:tab/>
        <w:t>Kas yra DIRONORM ir kam jis vartojamas</w:t>
      </w:r>
    </w:p>
    <w:p w14:paraId="17C18403" w14:textId="77777777" w:rsidR="00D75E9B" w:rsidRPr="0026536C" w:rsidRDefault="00D75E9B" w:rsidP="00C97BD4">
      <w:pPr>
        <w:pStyle w:val="BTEMEASMCA"/>
        <w:rPr>
          <w:lang w:val="lt-LT"/>
        </w:rPr>
      </w:pPr>
      <w:r w:rsidRPr="0026536C">
        <w:rPr>
          <w:lang w:val="lt-LT"/>
        </w:rPr>
        <w:t>2.</w:t>
      </w:r>
      <w:r w:rsidRPr="0026536C">
        <w:rPr>
          <w:lang w:val="lt-LT"/>
        </w:rPr>
        <w:tab/>
        <w:t>Kas žinotina prieš vartojant DIRONORM</w:t>
      </w:r>
    </w:p>
    <w:p w14:paraId="17C18404" w14:textId="77777777" w:rsidR="00D75E9B" w:rsidRPr="0026536C" w:rsidRDefault="00D75E9B" w:rsidP="00C97BD4">
      <w:pPr>
        <w:pStyle w:val="BTEMEASMCA"/>
        <w:rPr>
          <w:lang w:val="lt-LT"/>
        </w:rPr>
      </w:pPr>
      <w:r w:rsidRPr="0026536C">
        <w:rPr>
          <w:lang w:val="lt-LT"/>
        </w:rPr>
        <w:t>3.</w:t>
      </w:r>
      <w:r w:rsidRPr="0026536C">
        <w:rPr>
          <w:lang w:val="lt-LT"/>
        </w:rPr>
        <w:tab/>
        <w:t xml:space="preserve">Kaip vartoti DIRONORM </w:t>
      </w:r>
    </w:p>
    <w:p w14:paraId="17C18405" w14:textId="77777777" w:rsidR="00D75E9B" w:rsidRPr="0026536C" w:rsidRDefault="00D75E9B" w:rsidP="00C97BD4">
      <w:pPr>
        <w:pStyle w:val="BTEMEASMCA"/>
        <w:rPr>
          <w:lang w:val="lt-LT"/>
        </w:rPr>
      </w:pPr>
      <w:r w:rsidRPr="0026536C">
        <w:rPr>
          <w:lang w:val="lt-LT"/>
        </w:rPr>
        <w:t>4.</w:t>
      </w:r>
      <w:r w:rsidRPr="0026536C">
        <w:rPr>
          <w:lang w:val="lt-LT"/>
        </w:rPr>
        <w:tab/>
        <w:t>Galimas šalutinis poveikis</w:t>
      </w:r>
    </w:p>
    <w:p w14:paraId="17C18406" w14:textId="77777777" w:rsidR="00D75E9B" w:rsidRPr="0026536C" w:rsidRDefault="00D75E9B" w:rsidP="00C97BD4">
      <w:pPr>
        <w:pStyle w:val="BTEMEASMCA"/>
        <w:rPr>
          <w:lang w:val="lt-LT"/>
        </w:rPr>
      </w:pPr>
      <w:r w:rsidRPr="0026536C">
        <w:rPr>
          <w:lang w:val="lt-LT"/>
        </w:rPr>
        <w:t>5.</w:t>
      </w:r>
      <w:r w:rsidRPr="0026536C">
        <w:rPr>
          <w:lang w:val="lt-LT"/>
        </w:rPr>
        <w:tab/>
        <w:t>Kaip laikyti DIRONORM</w:t>
      </w:r>
    </w:p>
    <w:p w14:paraId="17C18407" w14:textId="77777777" w:rsidR="00D75E9B" w:rsidRPr="0026536C" w:rsidRDefault="00D75E9B" w:rsidP="00C97BD4">
      <w:pPr>
        <w:pStyle w:val="BTEMEASMCA"/>
        <w:rPr>
          <w:lang w:val="lt-LT"/>
        </w:rPr>
      </w:pPr>
      <w:r w:rsidRPr="0026536C">
        <w:rPr>
          <w:lang w:val="lt-LT"/>
        </w:rPr>
        <w:t>6.</w:t>
      </w:r>
      <w:r w:rsidRPr="0026536C">
        <w:rPr>
          <w:lang w:val="lt-LT"/>
        </w:rPr>
        <w:tab/>
        <w:t>Pakuotės turinys ir kita informacija</w:t>
      </w:r>
    </w:p>
    <w:p w14:paraId="17C18408" w14:textId="77777777" w:rsidR="00D75E9B" w:rsidRPr="0026536C" w:rsidRDefault="00D75E9B" w:rsidP="00C97BD4">
      <w:pPr>
        <w:pStyle w:val="BTEMEASMCA"/>
        <w:rPr>
          <w:lang w:val="lt-LT"/>
        </w:rPr>
      </w:pPr>
    </w:p>
    <w:p w14:paraId="17C18409" w14:textId="77777777" w:rsidR="00D75E9B" w:rsidRPr="0026536C" w:rsidRDefault="00D75E9B" w:rsidP="00C97BD4">
      <w:pPr>
        <w:pStyle w:val="BTEMEASMCA"/>
        <w:rPr>
          <w:lang w:val="lt-LT"/>
        </w:rPr>
      </w:pPr>
    </w:p>
    <w:p w14:paraId="17C1840A" w14:textId="77777777" w:rsidR="00D75E9B" w:rsidRPr="004C5A75" w:rsidRDefault="00D75E9B" w:rsidP="00D75E9B">
      <w:pPr>
        <w:pStyle w:val="PI-1EMEASMCA"/>
        <w:rPr>
          <w:lang w:val="lt-LT"/>
        </w:rPr>
      </w:pPr>
      <w:bookmarkStart w:id="13" w:name="_Toc129243139"/>
      <w:bookmarkStart w:id="14" w:name="_Toc129243264"/>
      <w:r w:rsidRPr="004C5A75">
        <w:rPr>
          <w:lang w:val="lt-LT"/>
        </w:rPr>
        <w:t>1.</w:t>
      </w:r>
      <w:r w:rsidRPr="004C5A75">
        <w:rPr>
          <w:lang w:val="lt-LT"/>
        </w:rPr>
        <w:tab/>
        <w:t>Kas yra DIRONORM ir kam jis vartojamas</w:t>
      </w:r>
      <w:bookmarkEnd w:id="13"/>
      <w:bookmarkEnd w:id="14"/>
    </w:p>
    <w:p w14:paraId="17C1840B" w14:textId="77777777" w:rsidR="00D75E9B" w:rsidRPr="004C5A75" w:rsidRDefault="00D75E9B" w:rsidP="00C97BD4">
      <w:pPr>
        <w:pStyle w:val="BTEMEASMCA"/>
        <w:rPr>
          <w:lang w:val="lt-LT"/>
        </w:rPr>
      </w:pPr>
    </w:p>
    <w:p w14:paraId="17C1840C" w14:textId="77777777" w:rsidR="00D75E9B" w:rsidRPr="004C5A75" w:rsidRDefault="00D75E9B" w:rsidP="00D75E9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 xml:space="preserve">DIRONORM tabletės yra sudėtinis vaistinis preparatas, kurio sudėtyje yra amlodipino, priklausančio vaistų, vadinamų kalcio kanalų blokatoriais, ir lizinoprilio, priklausančio vaistų, vadinamų angiotenziną konvertuojančio fermento (AKF) inhibitoriais. DIRONORM gydoma </w:t>
      </w:r>
      <w:r w:rsidRPr="004C5A75">
        <w:rPr>
          <w:rFonts w:ascii="Times New Roman" w:hAnsi="Times New Roman"/>
          <w:bCs/>
          <w:iCs/>
          <w:sz w:val="22"/>
          <w:szCs w:val="22"/>
          <w:lang w:val="lt-LT"/>
        </w:rPr>
        <w:t>hipertenzija</w:t>
      </w:r>
      <w:r w:rsidRPr="004C5A75">
        <w:rPr>
          <w:rFonts w:ascii="Times New Roman" w:hAnsi="Times New Roman"/>
          <w:sz w:val="22"/>
          <w:szCs w:val="22"/>
          <w:lang w:val="lt-LT"/>
        </w:rPr>
        <w:t xml:space="preserve"> (padidėjęs kraujospūdis) suaugusiesiems. </w:t>
      </w:r>
    </w:p>
    <w:p w14:paraId="17C1840D" w14:textId="77777777" w:rsidR="00D75E9B" w:rsidRPr="004C5A75" w:rsidRDefault="00D75E9B" w:rsidP="00D75E9B">
      <w:pPr>
        <w:rPr>
          <w:rFonts w:ascii="Times New Roman" w:hAnsi="Times New Roman"/>
          <w:sz w:val="22"/>
          <w:szCs w:val="22"/>
          <w:lang w:val="lt-LT"/>
        </w:rPr>
      </w:pPr>
      <w:r w:rsidRPr="004C5A75">
        <w:rPr>
          <w:rFonts w:ascii="Times New Roman" w:hAnsi="Times New Roman"/>
          <w:i/>
          <w:sz w:val="22"/>
          <w:szCs w:val="22"/>
          <w:lang w:val="lt-LT"/>
        </w:rPr>
        <w:t>DIRONORM 10 mg/5 mg tabletės</w:t>
      </w:r>
      <w:r w:rsidRPr="004C5A75">
        <w:rPr>
          <w:rFonts w:ascii="Times New Roman" w:hAnsi="Times New Roman"/>
          <w:sz w:val="22"/>
          <w:szCs w:val="22"/>
          <w:lang w:val="lt-LT"/>
        </w:rPr>
        <w:t xml:space="preserve"> skiriamos suaugusiesiems, kurių kraujospūdis jau kontroliuojamas 10 mg lizinoprilio ir 5 mg amlodipino deriniu.</w:t>
      </w:r>
    </w:p>
    <w:p w14:paraId="17C1840E" w14:textId="77777777" w:rsidR="00D75E9B" w:rsidRPr="004C5A75" w:rsidRDefault="00D75E9B" w:rsidP="00D75E9B">
      <w:pPr>
        <w:rPr>
          <w:rFonts w:ascii="Times New Roman" w:hAnsi="Times New Roman"/>
          <w:sz w:val="22"/>
          <w:szCs w:val="22"/>
          <w:lang w:val="lt-LT"/>
        </w:rPr>
      </w:pPr>
      <w:r w:rsidRPr="004C5A75">
        <w:rPr>
          <w:rFonts w:ascii="Times New Roman" w:hAnsi="Times New Roman"/>
          <w:i/>
          <w:sz w:val="22"/>
          <w:szCs w:val="22"/>
          <w:lang w:val="lt-LT"/>
        </w:rPr>
        <w:t>DIRONORM 20 mg/10 mg tabletės</w:t>
      </w:r>
      <w:r w:rsidRPr="004C5A75">
        <w:rPr>
          <w:rFonts w:ascii="Times New Roman" w:hAnsi="Times New Roman"/>
          <w:sz w:val="22"/>
          <w:szCs w:val="22"/>
          <w:lang w:val="lt-LT"/>
        </w:rPr>
        <w:t xml:space="preserve"> skiriamos suaugusiesiems, kurių kraujospūdis jau kontroliuojamas 20 mg lizinoprilio ir 10 mg amlodipino deriniu.</w:t>
      </w:r>
    </w:p>
    <w:p w14:paraId="17C1840F" w14:textId="77777777" w:rsidR="00D75E9B" w:rsidRPr="004C5A75" w:rsidRDefault="00D75E9B" w:rsidP="00D75E9B">
      <w:pPr>
        <w:rPr>
          <w:rFonts w:ascii="Times New Roman" w:hAnsi="Times New Roman"/>
          <w:sz w:val="22"/>
          <w:szCs w:val="22"/>
          <w:lang w:val="lt-LT"/>
        </w:rPr>
      </w:pPr>
      <w:r w:rsidRPr="004C5A75">
        <w:rPr>
          <w:rFonts w:ascii="Times New Roman" w:hAnsi="Times New Roman"/>
          <w:i/>
          <w:sz w:val="22"/>
          <w:szCs w:val="22"/>
          <w:lang w:val="lt-LT"/>
        </w:rPr>
        <w:t>DIRONORM 20 mg/5 mg tabletės</w:t>
      </w:r>
      <w:r w:rsidRPr="004C5A75">
        <w:rPr>
          <w:rFonts w:ascii="Times New Roman" w:hAnsi="Times New Roman"/>
          <w:sz w:val="22"/>
          <w:szCs w:val="22"/>
          <w:lang w:val="lt-LT"/>
        </w:rPr>
        <w:t xml:space="preserve"> suaugusiesiems, kurių kraujospūdis jau kontroliuojamas 20 mg lizinoprilio ir 5 mg amlodipino deriniu.</w:t>
      </w:r>
    </w:p>
    <w:p w14:paraId="17C18410" w14:textId="77777777" w:rsidR="00D75E9B" w:rsidRPr="004C5A75" w:rsidRDefault="00D75E9B" w:rsidP="00D75E9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 xml:space="preserve">Pacientams, kurių kraujospūdis yra padidėjęs, amlodipinas išplečia kraujagysles ir kraujas jomis teka lengviau. Vaistas pagerina širdies raumens aprūpinimą krauju. Dėl lizinoprilio poveikio kraujagyslės silpniau sutraukiamos ir kraujospūdis sumažėja. </w:t>
      </w:r>
    </w:p>
    <w:p w14:paraId="17C18411" w14:textId="77777777" w:rsidR="00D75E9B" w:rsidRPr="004C5A75" w:rsidRDefault="00D75E9B" w:rsidP="00D75E9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Padidėjęs kraujospūdis nebūtinai pasireiškia kokiais nors simptomais, tačiau jis gali būti susijęs su didesne tam tikrų komplikacijų rizika (pvz., insultas, miokardo infarktas), jei Jūs reguliariai nevartosite kraujospūdį mažinančių vaistų.</w:t>
      </w:r>
    </w:p>
    <w:p w14:paraId="17C18412" w14:textId="77777777" w:rsidR="00D75E9B" w:rsidRPr="004C5A75" w:rsidRDefault="00D75E9B" w:rsidP="00C97BD4">
      <w:pPr>
        <w:pStyle w:val="BTEMEASMCA"/>
        <w:rPr>
          <w:lang w:val="lt-LT"/>
        </w:rPr>
      </w:pPr>
    </w:p>
    <w:p w14:paraId="17C18413" w14:textId="77777777" w:rsidR="00D75E9B" w:rsidRPr="004C5A75" w:rsidRDefault="00D75E9B" w:rsidP="00C97BD4">
      <w:pPr>
        <w:pStyle w:val="BTEMEASMCA"/>
        <w:rPr>
          <w:lang w:val="lt-LT"/>
        </w:rPr>
      </w:pPr>
    </w:p>
    <w:p w14:paraId="17C18414" w14:textId="77777777" w:rsidR="00D75E9B" w:rsidRPr="004C5A75" w:rsidRDefault="00D75E9B" w:rsidP="00D75E9B">
      <w:pPr>
        <w:pStyle w:val="PI-1EMEASMCA"/>
        <w:rPr>
          <w:lang w:val="lt-LT"/>
        </w:rPr>
      </w:pPr>
      <w:bookmarkStart w:id="15" w:name="_Toc129243140"/>
      <w:bookmarkStart w:id="16" w:name="_Toc129243265"/>
      <w:r w:rsidRPr="004C5A75">
        <w:rPr>
          <w:lang w:val="lt-LT"/>
        </w:rPr>
        <w:t>2.</w:t>
      </w:r>
      <w:r w:rsidRPr="004C5A75">
        <w:rPr>
          <w:lang w:val="lt-LT"/>
        </w:rPr>
        <w:tab/>
        <w:t xml:space="preserve">Kas žinotina prieš vartojant </w:t>
      </w:r>
      <w:bookmarkEnd w:id="15"/>
      <w:bookmarkEnd w:id="16"/>
      <w:r w:rsidRPr="004C5A75">
        <w:rPr>
          <w:lang w:val="lt-LT"/>
        </w:rPr>
        <w:t>DIRONORM</w:t>
      </w:r>
    </w:p>
    <w:p w14:paraId="17C18415" w14:textId="77777777" w:rsidR="00D75E9B" w:rsidRPr="004C5A75" w:rsidRDefault="00D75E9B" w:rsidP="00C97BD4">
      <w:pPr>
        <w:pStyle w:val="BTEMEASMCA"/>
        <w:rPr>
          <w:lang w:val="lt-LT"/>
        </w:rPr>
      </w:pPr>
    </w:p>
    <w:p w14:paraId="17C18416" w14:textId="7DC9205F" w:rsidR="00D75E9B" w:rsidRPr="004C5A75" w:rsidRDefault="00D75E9B" w:rsidP="0093067C">
      <w:pPr>
        <w:pStyle w:val="PI-3EMEASMCA"/>
      </w:pPr>
      <w:r w:rsidRPr="004C5A75">
        <w:t xml:space="preserve">DIRONORM vartoti </w:t>
      </w:r>
      <w:r w:rsidR="0027344F">
        <w:t>draudž</w:t>
      </w:r>
      <w:r w:rsidRPr="004C5A75">
        <w:t>i</w:t>
      </w:r>
      <w:r w:rsidR="0027344F">
        <w:t>a</w:t>
      </w:r>
      <w:r w:rsidRPr="004C5A75">
        <w:t>ma</w:t>
      </w:r>
      <w:r w:rsidR="00942F09">
        <w:t>:</w:t>
      </w:r>
    </w:p>
    <w:p w14:paraId="17C18417" w14:textId="77777777" w:rsidR="00D75E9B" w:rsidRPr="004C5A75" w:rsidRDefault="00C27EBE" w:rsidP="0093067C">
      <w:pPr>
        <w:pStyle w:val="PI-3EMEASMCA"/>
      </w:pPr>
      <w:r>
        <w:t xml:space="preserve">     </w:t>
      </w:r>
      <w:r w:rsidR="00D75E9B" w:rsidRPr="004C5A75">
        <w:t>- jeigu yra alergija lizinopriliui ar amlodipinui arba bet kuriai pagalbinei šio vaisto medžiagai (jos išvardytos 6 skyriuje),</w:t>
      </w:r>
    </w:p>
    <w:p w14:paraId="17C18418" w14:textId="77777777" w:rsidR="00D75E9B" w:rsidRPr="0026536C" w:rsidRDefault="00D75E9B" w:rsidP="00C27EBE">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jeigu Jums anksčiau alerginę reakciją sukėlė kiti AKF inhibitoriai (pvz., enalaprilis, kaptoprilis ir ramiprilis) arba kiti kalcio kanalų blokatoriai (pvz., nifedipinas, felodipinas ar nimodipinas),</w:t>
      </w:r>
    </w:p>
    <w:p w14:paraId="17C18419" w14:textId="77777777" w:rsidR="00D75E9B" w:rsidRPr="0026536C" w:rsidRDefault="00D75E9B" w:rsidP="00C27EBE">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jeigu anksčiau yra buvusi angioneurozinė edema (sunki alerginė reakcija, kurios požymiai yra niežulys, dilgėlinė, švokštimas ir plaštakų, gerklės, burnos ar akių vokų patinimas), kuri atsirado  vartojant AKF inhibitorių arba nebuvo susijusi su AKFI vartojimu,</w:t>
      </w:r>
    </w:p>
    <w:p w14:paraId="17C1841A" w14:textId="77777777" w:rsidR="0093067C" w:rsidRPr="0093067C" w:rsidRDefault="0093067C" w:rsidP="0093067C">
      <w:pPr>
        <w:pStyle w:val="PI-1labEMEASMCA"/>
        <w:numPr>
          <w:ilvl w:val="0"/>
          <w:numId w:val="7"/>
        </w:numPr>
        <w:pBdr>
          <w:top w:val="none" w:sz="0" w:space="0" w:color="auto"/>
          <w:left w:val="none" w:sz="0" w:space="0" w:color="auto"/>
          <w:bottom w:val="none" w:sz="0" w:space="0" w:color="auto"/>
          <w:right w:val="none" w:sz="0" w:space="0" w:color="auto"/>
        </w:pBdr>
        <w:ind w:left="1069"/>
        <w:rPr>
          <w:b w:val="0"/>
        </w:rPr>
      </w:pPr>
      <w:r w:rsidRPr="0093067C">
        <w:rPr>
          <w:b w:val="0"/>
        </w:rPr>
        <w:lastRenderedPageBreak/>
        <w:t>jeigu Jūsų kraujo giminaičiui kada nors yra buvusi sunki alerginė reakcija (paveldima angioedema) arba Jums ankščiau yra buvusi sunki alerginė reakcija, kurios priežastis nežinoma (idiopatinė angioedema),</w:t>
      </w:r>
    </w:p>
    <w:p w14:paraId="17C1841B" w14:textId="77777777" w:rsidR="00D75E9B" w:rsidRPr="0026536C" w:rsidRDefault="00D75E9B" w:rsidP="00C27EBE">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jeigu Jūsų kraujospūdis yra labai žemas (sunki hipotenzija),</w:t>
      </w:r>
    </w:p>
    <w:p w14:paraId="17C1841C" w14:textId="77777777" w:rsidR="00D75E9B" w:rsidRPr="0026536C" w:rsidRDefault="00D75E9B" w:rsidP="00C27EBE">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 xml:space="preserve">jeigu Jums yra ryškus aortos susiaurėjimas (aortos stenozė), dviburio vožtuvo susiaurėjimas (mitralinė stenozė) arba labai sustorėjęs širdies raumuo (hipertrofinė kardiomiopatija), </w:t>
      </w:r>
    </w:p>
    <w:p w14:paraId="17C1841D" w14:textId="77777777" w:rsidR="00D75E9B" w:rsidRPr="0026536C" w:rsidRDefault="00D75E9B" w:rsidP="00C27EBE">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jeigu Jums yra kraujotakos nepakankamumas (įskaitant kardiogeninį šoką),</w:t>
      </w:r>
    </w:p>
    <w:p w14:paraId="17C1841E" w14:textId="77777777" w:rsidR="00D75E9B" w:rsidRPr="004C5A75" w:rsidRDefault="00D75E9B" w:rsidP="00C27EBE">
      <w:pPr>
        <w:pStyle w:val="CharChar2"/>
        <w:tabs>
          <w:tab w:val="left" w:pos="360"/>
          <w:tab w:val="left" w:pos="720"/>
        </w:tabs>
        <w:ind w:left="426" w:firstLine="0"/>
        <w:jc w:val="both"/>
        <w:rPr>
          <w:rFonts w:ascii="Times New Roman" w:hAnsi="Times New Roman"/>
          <w:sz w:val="22"/>
          <w:szCs w:val="22"/>
          <w:lang w:val="lt-LT"/>
        </w:rPr>
      </w:pPr>
      <w:r w:rsidRPr="004C5A75">
        <w:rPr>
          <w:rFonts w:ascii="Times New Roman" w:hAnsi="Times New Roman"/>
          <w:sz w:val="22"/>
          <w:szCs w:val="22"/>
          <w:lang w:val="lt-LT"/>
        </w:rPr>
        <w:t xml:space="preserve">      -     jeigu Jus buvo ištikęs širdies priepuolis (miokardo infarktas) su širdies nepakankamumu,</w:t>
      </w:r>
    </w:p>
    <w:p w14:paraId="17C1841F" w14:textId="77777777" w:rsidR="00D75E9B" w:rsidRPr="0026536C" w:rsidRDefault="00D75E9B" w:rsidP="00C27EBE">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jeigu esate nėščia daugiau nei tris mėnesius. Nėštumo pradžioje taip pat reikia vengti vartoti DIRONORM (žr. skyrelį „</w:t>
      </w:r>
      <w:r w:rsidR="001B3A4F" w:rsidRPr="001B3A4F">
        <w:rPr>
          <w:b w:val="0"/>
          <w:noProof w:val="0"/>
        </w:rPr>
        <w:t>Nėštumas</w:t>
      </w:r>
      <w:r w:rsidR="001B3A4F">
        <w:rPr>
          <w:b w:val="0"/>
          <w:noProof w:val="0"/>
        </w:rPr>
        <w:t xml:space="preserve"> ir </w:t>
      </w:r>
      <w:r w:rsidR="001B3A4F" w:rsidRPr="001B3A4F">
        <w:rPr>
          <w:b w:val="0"/>
          <w:noProof w:val="0"/>
        </w:rPr>
        <w:t>žindymo laikotarpis</w:t>
      </w:r>
      <w:r w:rsidRPr="0026536C">
        <w:rPr>
          <w:b w:val="0"/>
          <w:noProof w:val="0"/>
        </w:rPr>
        <w:t>“),</w:t>
      </w:r>
    </w:p>
    <w:p w14:paraId="17C18420" w14:textId="77777777" w:rsidR="006C6058" w:rsidRPr="0026536C" w:rsidRDefault="00D75E9B" w:rsidP="00C27EBE">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ind w:left="1069"/>
        <w:jc w:val="both"/>
        <w:rPr>
          <w:b w:val="0"/>
          <w:noProof w:val="0"/>
        </w:rPr>
      </w:pPr>
      <w:r w:rsidRPr="0026536C">
        <w:rPr>
          <w:b w:val="0"/>
          <w:noProof w:val="0"/>
        </w:rPr>
        <w:t>jeigu Jūs sergate cukriniu diabetu arba Jūsų inkstų veikla sutrikusi ir Jums skirtas kraujospūdį mažinantis vaistas, kurio sudėtyje yra aliskireno</w:t>
      </w:r>
      <w:r w:rsidR="006C6058" w:rsidRPr="0026536C">
        <w:rPr>
          <w:b w:val="0"/>
          <w:noProof w:val="0"/>
        </w:rPr>
        <w:t>,</w:t>
      </w:r>
    </w:p>
    <w:p w14:paraId="17C18421" w14:textId="77777777" w:rsidR="00EA4420" w:rsidRPr="00EA4420" w:rsidRDefault="00EA4420" w:rsidP="00EA4420">
      <w:pPr>
        <w:pStyle w:val="PI-1labEMEASMCA"/>
        <w:numPr>
          <w:ilvl w:val="0"/>
          <w:numId w:val="7"/>
        </w:numPr>
        <w:pBdr>
          <w:top w:val="none" w:sz="0" w:space="0" w:color="auto"/>
          <w:left w:val="none" w:sz="0" w:space="0" w:color="auto"/>
          <w:bottom w:val="none" w:sz="0" w:space="0" w:color="auto"/>
          <w:right w:val="none" w:sz="0" w:space="0" w:color="auto"/>
        </w:pBdr>
        <w:tabs>
          <w:tab w:val="left" w:pos="720"/>
        </w:tabs>
        <w:ind w:left="1069"/>
        <w:jc w:val="both"/>
        <w:rPr>
          <w:b w:val="0"/>
          <w:bCs/>
          <w:noProof w:val="0"/>
        </w:rPr>
      </w:pPr>
      <w:r w:rsidRPr="00AA3E17">
        <w:rPr>
          <w:b w:val="0"/>
          <w:bCs/>
          <w:noProof w:val="0"/>
        </w:rPr>
        <w:t>jeigu vartojote</w:t>
      </w:r>
      <w:r w:rsidRPr="00EA4420">
        <w:rPr>
          <w:b w:val="0"/>
          <w:bCs/>
          <w:noProof w:val="0"/>
        </w:rPr>
        <w:t xml:space="preserve"> arba šiuo metu vartojate sakubitrilo ir valsartano derinį suaugusiųjų ilgalaikio (lėtinio) širdies nepakankamumo gydymui, nes yra padidėjęs angio</w:t>
      </w:r>
      <w:r w:rsidR="00DE4C21">
        <w:rPr>
          <w:b w:val="0"/>
          <w:bCs/>
          <w:noProof w:val="0"/>
        </w:rPr>
        <w:t xml:space="preserve">neurozinės </w:t>
      </w:r>
      <w:r w:rsidRPr="00EA4420">
        <w:rPr>
          <w:b w:val="0"/>
          <w:bCs/>
          <w:noProof w:val="0"/>
        </w:rPr>
        <w:t xml:space="preserve">edemos (staigaus patinimo po oda tokiose vietose kaip </w:t>
      </w:r>
      <w:r w:rsidR="00DE4C21">
        <w:rPr>
          <w:b w:val="0"/>
          <w:bCs/>
          <w:noProof w:val="0"/>
        </w:rPr>
        <w:t>ryklė</w:t>
      </w:r>
      <w:r w:rsidRPr="00EA4420">
        <w:rPr>
          <w:b w:val="0"/>
          <w:bCs/>
          <w:noProof w:val="0"/>
        </w:rPr>
        <w:t>) pavojus.</w:t>
      </w:r>
    </w:p>
    <w:p w14:paraId="17C18422" w14:textId="77777777" w:rsidR="00D75E9B" w:rsidRPr="004C5A75" w:rsidRDefault="00D75E9B" w:rsidP="00EB1DEF">
      <w:pPr>
        <w:pStyle w:val="BTEMEASMCA"/>
        <w:rPr>
          <w:lang w:val="lt-LT"/>
        </w:rPr>
      </w:pPr>
    </w:p>
    <w:p w14:paraId="17C18423" w14:textId="77777777" w:rsidR="00D75E9B" w:rsidRPr="003E3DFE" w:rsidRDefault="00D75E9B" w:rsidP="0093067C">
      <w:pPr>
        <w:pStyle w:val="PI-3EMEASMCA"/>
        <w:rPr>
          <w:b/>
        </w:rPr>
      </w:pPr>
      <w:r w:rsidRPr="003E3DFE">
        <w:rPr>
          <w:b/>
        </w:rPr>
        <w:t xml:space="preserve">Įspėjimai ir atsargumo priemonės </w:t>
      </w:r>
    </w:p>
    <w:p w14:paraId="17C18424" w14:textId="77777777" w:rsidR="00D75E9B" w:rsidRPr="004C5A75" w:rsidRDefault="00D75E9B" w:rsidP="0093067C">
      <w:pPr>
        <w:pStyle w:val="PI-3EMEASMCA"/>
      </w:pPr>
    </w:p>
    <w:p w14:paraId="17C18425" w14:textId="77777777" w:rsidR="00D75E9B" w:rsidRPr="004C5A75" w:rsidRDefault="00D75E9B" w:rsidP="003E3DFE">
      <w:pPr>
        <w:pStyle w:val="PI-3EMEASMCA"/>
      </w:pPr>
      <w:r w:rsidRPr="004C5A75">
        <w:t>Jei manote, kad esate nėščia (ar galite tapti nėščia), pasakykite gydytojui. DIRONORM nerekomenduojama</w:t>
      </w:r>
      <w:r w:rsidR="0093067C">
        <w:t xml:space="preserve"> </w:t>
      </w:r>
      <w:r w:rsidRPr="004C5A75">
        <w:t>vartoti nėštumo pradžioje ir draudžiama vartoti, jei esate nėščia daugiau nei tris mėnesius, kadangi vartojamas šiuo nėštumo laikotarpiu vaistas gali pakenkti Jūsų kūdikiui (žr. skyrelį „</w:t>
      </w:r>
      <w:r w:rsidR="001B3A4F" w:rsidRPr="001B3A4F">
        <w:t>Nėštumas</w:t>
      </w:r>
      <w:r w:rsidR="001B3A4F">
        <w:t xml:space="preserve"> ir </w:t>
      </w:r>
      <w:r w:rsidR="001B3A4F" w:rsidRPr="001B3A4F">
        <w:t>žindymo laikotarpis</w:t>
      </w:r>
      <w:r w:rsidRPr="004C5A75">
        <w:t>“).</w:t>
      </w:r>
    </w:p>
    <w:p w14:paraId="17C18426" w14:textId="77777777" w:rsidR="00D75E9B" w:rsidRPr="004C5A75" w:rsidRDefault="00D75E9B" w:rsidP="0093067C">
      <w:pPr>
        <w:pStyle w:val="PI-3EMEASMCA"/>
      </w:pPr>
    </w:p>
    <w:p w14:paraId="17C18427" w14:textId="77777777" w:rsidR="00D75E9B" w:rsidRPr="004C5A75" w:rsidRDefault="00D75E9B" w:rsidP="0093067C">
      <w:pPr>
        <w:pStyle w:val="PI-3EMEASMCA"/>
      </w:pPr>
      <w:r w:rsidRPr="004C5A75">
        <w:t>Pasitarkite su gydytoju, prieš pradėdami vartoti DIRONORM:</w:t>
      </w:r>
    </w:p>
    <w:p w14:paraId="17C18428"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sergate širdies liga</w:t>
      </w:r>
    </w:p>
    <w:p w14:paraId="17C18429" w14:textId="77777777" w:rsidR="00D75E9B" w:rsidRPr="0026536C" w:rsidRDefault="00D75E9B" w:rsidP="00D75E9B">
      <w:pPr>
        <w:pStyle w:val="PI-1labEMEASMCA"/>
        <w:pBdr>
          <w:top w:val="none" w:sz="0" w:space="0" w:color="auto"/>
          <w:left w:val="none" w:sz="0" w:space="0" w:color="auto"/>
          <w:bottom w:val="none" w:sz="0" w:space="0" w:color="auto"/>
          <w:right w:val="none" w:sz="0" w:space="0" w:color="auto"/>
        </w:pBdr>
        <w:ind w:left="360"/>
        <w:rPr>
          <w:b w:val="0"/>
          <w:noProof w:val="0"/>
        </w:rPr>
      </w:pPr>
      <w:r w:rsidRPr="0026536C">
        <w:rPr>
          <w:b w:val="0"/>
          <w:noProof w:val="0"/>
        </w:rPr>
        <w:t>-     jeigu sergate kraujagyslių liga (kolagenine kraujagyslių liga)</w:t>
      </w:r>
    </w:p>
    <w:p w14:paraId="17C1842A"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sergate inkstų liga</w:t>
      </w:r>
    </w:p>
    <w:p w14:paraId="17C1842B"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sergate kepenų liga</w:t>
      </w:r>
    </w:p>
    <w:p w14:paraId="17C1842C"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Jums numatyta operacija (įskaitant dantų) ar anestezija</w:t>
      </w:r>
    </w:p>
    <w:p w14:paraId="17C1842D"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Jums atliekama hemodializė</w:t>
      </w:r>
    </w:p>
    <w:p w14:paraId="17C1842E"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Jums numatyta atlikti vadinamąją mažo tankio lipidų aferezę (specialiu prietaisu iš kraujo pašalinti cholesterolį)</w:t>
      </w:r>
    </w:p>
    <w:p w14:paraId="17C1842F"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esate vyresni kaip 65 metų</w:t>
      </w:r>
    </w:p>
    <w:p w14:paraId="17C18430"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Jums ribojamas druskos kiekis maiste arba vartojate kalio turinčių druskos pakaitalų ar papildų  arba kalio kiekis Jūsų kraujyje yra padidėjęs (hiperkaliemija)</w:t>
      </w:r>
    </w:p>
    <w:p w14:paraId="17C18431"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 sergate cukriniu diabetu</w:t>
      </w:r>
    </w:p>
    <w:p w14:paraId="17C18432"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viduriuojate ar vemiate</w:t>
      </w:r>
    </w:p>
    <w:p w14:paraId="17C18433"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Jums numatytas desensibilizuojamasis gydymas (pvz., gydymas bičių ar vapsvų įgėlimo sukeliamai alergijai silpninti)</w:t>
      </w:r>
    </w:p>
    <w:p w14:paraId="17C18434"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esate juodaodis, AKFI gali būti mažiau veiksmingi ir labiau tikėtinas angioedemos pasireiškimas</w:t>
      </w:r>
    </w:p>
    <w:p w14:paraId="17C18435" w14:textId="77777777" w:rsidR="00D75E9B" w:rsidRPr="0026536C" w:rsidRDefault="00D75E9B" w:rsidP="00D75E9B">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vartojate kurį nors iš šių vaistų padidėjusiam kraujospūdžiui gydyti:</w:t>
      </w:r>
    </w:p>
    <w:p w14:paraId="17C18436" w14:textId="77777777" w:rsidR="00D75E9B" w:rsidRPr="0026536C" w:rsidRDefault="00D75E9B" w:rsidP="00D75E9B">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26536C">
        <w:rPr>
          <w:b w:val="0"/>
          <w:noProof w:val="0"/>
        </w:rPr>
        <w:t xml:space="preserve">- </w:t>
      </w:r>
      <w:r w:rsidRPr="0026536C">
        <w:rPr>
          <w:b w:val="0"/>
          <w:noProof w:val="0"/>
        </w:rPr>
        <w:tab/>
        <w:t xml:space="preserve">angiotenzino II receptorių blokatorių (ARB) (vadinamąjį sartaną, pavyzdžiui, valsartaną, telmisartaną, irbesartaną), ypač jei turite su diabetu susijusių inkstų sutrikimų, </w:t>
      </w:r>
    </w:p>
    <w:p w14:paraId="17C18437" w14:textId="77777777" w:rsidR="00A824B6" w:rsidRDefault="00D75E9B" w:rsidP="00D75E9B">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26536C">
        <w:rPr>
          <w:b w:val="0"/>
          <w:noProof w:val="0"/>
        </w:rPr>
        <w:t xml:space="preserve">-        </w:t>
      </w:r>
      <w:r w:rsidRPr="0026536C">
        <w:rPr>
          <w:b w:val="0"/>
          <w:noProof w:val="0"/>
        </w:rPr>
        <w:tab/>
        <w:t>aliskireną</w:t>
      </w:r>
    </w:p>
    <w:p w14:paraId="17C18438" w14:textId="77777777" w:rsidR="00AA3E17" w:rsidRDefault="00AA3E17" w:rsidP="003C6C6E">
      <w:pPr>
        <w:pStyle w:val="PI-1labEMEASMCA"/>
        <w:numPr>
          <w:ilvl w:val="0"/>
          <w:numId w:val="7"/>
        </w:numPr>
        <w:pBdr>
          <w:top w:val="none" w:sz="0" w:space="0" w:color="auto"/>
          <w:left w:val="none" w:sz="0" w:space="0" w:color="auto"/>
          <w:bottom w:val="none" w:sz="0" w:space="0" w:color="auto"/>
          <w:right w:val="none" w:sz="0" w:space="0" w:color="auto"/>
        </w:pBdr>
        <w:tabs>
          <w:tab w:val="clear" w:pos="540"/>
          <w:tab w:val="left" w:pos="709"/>
        </w:tabs>
        <w:rPr>
          <w:b w:val="0"/>
          <w:noProof w:val="0"/>
        </w:rPr>
      </w:pPr>
      <w:r w:rsidRPr="0026536C">
        <w:rPr>
          <w:b w:val="0"/>
          <w:noProof w:val="0"/>
        </w:rPr>
        <w:t xml:space="preserve">jeigu vartojate kurį nors iš šių </w:t>
      </w:r>
      <w:r w:rsidRPr="00A824B6">
        <w:rPr>
          <w:b w:val="0"/>
          <w:noProof w:val="0"/>
        </w:rPr>
        <w:t>toliau išvardytų vaistų, padidėja angio</w:t>
      </w:r>
      <w:r w:rsidR="00DE4C21">
        <w:rPr>
          <w:b w:val="0"/>
          <w:noProof w:val="0"/>
        </w:rPr>
        <w:t xml:space="preserve">neurozinės </w:t>
      </w:r>
      <w:r w:rsidRPr="00A824B6">
        <w:rPr>
          <w:b w:val="0"/>
          <w:noProof w:val="0"/>
        </w:rPr>
        <w:t xml:space="preserve">edemos (staigaus patinimo po oda ir tokiose vietose kaip </w:t>
      </w:r>
      <w:r w:rsidR="00DE4C21">
        <w:rPr>
          <w:b w:val="0"/>
          <w:noProof w:val="0"/>
        </w:rPr>
        <w:t>ryklė</w:t>
      </w:r>
      <w:r w:rsidRPr="00A824B6">
        <w:rPr>
          <w:b w:val="0"/>
          <w:noProof w:val="0"/>
        </w:rPr>
        <w:t>) rizika:</w:t>
      </w:r>
    </w:p>
    <w:p w14:paraId="17C18439" w14:textId="77777777" w:rsidR="00A824B6" w:rsidRPr="003C6C6E" w:rsidRDefault="000458C5" w:rsidP="00A824B6">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1B4225">
        <w:rPr>
          <w:b w:val="0"/>
          <w:noProof w:val="0"/>
        </w:rPr>
        <w:t xml:space="preserve"> </w:t>
      </w:r>
      <w:r w:rsidR="00A824B6" w:rsidRPr="001B4225">
        <w:rPr>
          <w:b w:val="0"/>
          <w:noProof w:val="0"/>
        </w:rPr>
        <w:t xml:space="preserve">-  </w:t>
      </w:r>
      <w:r w:rsidR="00A824B6" w:rsidRPr="001B4225">
        <w:rPr>
          <w:b w:val="0"/>
          <w:noProof w:val="0"/>
        </w:rPr>
        <w:tab/>
      </w:r>
      <w:r w:rsidR="001B4225" w:rsidRPr="003C6C6E">
        <w:rPr>
          <w:b w:val="0"/>
          <w:noProof w:val="0"/>
        </w:rPr>
        <w:t>sirolimuz</w:t>
      </w:r>
      <w:r w:rsidR="006D5EA2" w:rsidRPr="003C6C6E">
        <w:rPr>
          <w:b w:val="0"/>
          <w:noProof w:val="0"/>
        </w:rPr>
        <w:t>o</w:t>
      </w:r>
      <w:r w:rsidR="001B4225" w:rsidRPr="003C6C6E">
        <w:rPr>
          <w:b w:val="0"/>
          <w:noProof w:val="0"/>
        </w:rPr>
        <w:t>, everolimuz</w:t>
      </w:r>
      <w:r w:rsidR="006D5EA2" w:rsidRPr="003C6C6E">
        <w:rPr>
          <w:b w:val="0"/>
          <w:noProof w:val="0"/>
        </w:rPr>
        <w:t>o</w:t>
      </w:r>
      <w:r w:rsidR="001B4225" w:rsidRPr="003C6C6E">
        <w:rPr>
          <w:b w:val="0"/>
          <w:noProof w:val="0"/>
        </w:rPr>
        <w:t>, temsirolimuz</w:t>
      </w:r>
      <w:r w:rsidR="006D5EA2" w:rsidRPr="003C6C6E">
        <w:rPr>
          <w:b w:val="0"/>
          <w:noProof w:val="0"/>
        </w:rPr>
        <w:t>o</w:t>
      </w:r>
      <w:r w:rsidR="001B4225" w:rsidRPr="003C6C6E">
        <w:rPr>
          <w:b w:val="0"/>
          <w:noProof w:val="0"/>
        </w:rPr>
        <w:t xml:space="preserve"> ir kitų vaistų iš mTOR inhibitorių klasės (vaistų, vartojamų norint </w:t>
      </w:r>
      <w:r w:rsidR="00DE4C21">
        <w:rPr>
          <w:b w:val="0"/>
          <w:noProof w:val="0"/>
        </w:rPr>
        <w:t>apsisaugoti nuo</w:t>
      </w:r>
      <w:r w:rsidR="001B4225" w:rsidRPr="003C6C6E">
        <w:rPr>
          <w:b w:val="0"/>
          <w:noProof w:val="0"/>
        </w:rPr>
        <w:t xml:space="preserve"> persodinto organo atmetim</w:t>
      </w:r>
      <w:r w:rsidR="00DE4C21">
        <w:rPr>
          <w:b w:val="0"/>
          <w:noProof w:val="0"/>
        </w:rPr>
        <w:t>o</w:t>
      </w:r>
      <w:r w:rsidR="001B4225" w:rsidRPr="003C6C6E">
        <w:rPr>
          <w:b w:val="0"/>
          <w:noProof w:val="0"/>
        </w:rPr>
        <w:t xml:space="preserve"> ir vėžiui gydyti)</w:t>
      </w:r>
      <w:r w:rsidR="00184BD6">
        <w:rPr>
          <w:b w:val="0"/>
          <w:noProof w:val="0"/>
        </w:rPr>
        <w:t>;</w:t>
      </w:r>
      <w:r w:rsidR="001B4225" w:rsidRPr="003C6C6E">
        <w:rPr>
          <w:b w:val="0"/>
          <w:noProof w:val="0"/>
        </w:rPr>
        <w:t xml:space="preserve"> </w:t>
      </w:r>
    </w:p>
    <w:p w14:paraId="17C1843A" w14:textId="77777777" w:rsidR="001B4225" w:rsidRPr="003C6C6E" w:rsidRDefault="001B4225" w:rsidP="001B4225">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3C6C6E">
        <w:rPr>
          <w:b w:val="0"/>
          <w:noProof w:val="0"/>
        </w:rPr>
        <w:t xml:space="preserve">-  </w:t>
      </w:r>
      <w:r w:rsidRPr="003C6C6E">
        <w:rPr>
          <w:b w:val="0"/>
          <w:noProof w:val="0"/>
        </w:rPr>
        <w:tab/>
        <w:t>audinių plazminogeno aktyvatorių (vaistų, tirpdančių kraujo krešulius, paprastai vartojamų ligoninėje);</w:t>
      </w:r>
    </w:p>
    <w:p w14:paraId="17C1843B" w14:textId="77777777" w:rsidR="000458C5" w:rsidRPr="00942F09" w:rsidRDefault="000458C5" w:rsidP="00A824B6">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172B18">
        <w:rPr>
          <w:b w:val="0"/>
          <w:noProof w:val="0"/>
        </w:rPr>
        <w:t xml:space="preserve">-  </w:t>
      </w:r>
      <w:r w:rsidRPr="00942F09">
        <w:rPr>
          <w:b w:val="0"/>
          <w:noProof w:val="0"/>
        </w:rPr>
        <w:tab/>
        <w:t>vildagliptino – cukriniam diabetui gydyti vartojamo vaisto</w:t>
      </w:r>
      <w:r w:rsidR="00184BD6">
        <w:rPr>
          <w:b w:val="0"/>
          <w:noProof w:val="0"/>
        </w:rPr>
        <w:t>;</w:t>
      </w:r>
    </w:p>
    <w:p w14:paraId="17C1843C" w14:textId="77777777" w:rsidR="00A824B6" w:rsidRDefault="000458C5" w:rsidP="00D75E9B">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BB56D4">
        <w:rPr>
          <w:b w:val="0"/>
          <w:noProof w:val="0"/>
        </w:rPr>
        <w:t xml:space="preserve"> -</w:t>
      </w:r>
      <w:r w:rsidRPr="00BB56D4">
        <w:rPr>
          <w:b w:val="0"/>
          <w:noProof w:val="0"/>
        </w:rPr>
        <w:tab/>
        <w:t>racekadotrilio - viduriavimui gydyti vartojamo vaisto</w:t>
      </w:r>
      <w:r w:rsidR="00184BD6">
        <w:rPr>
          <w:b w:val="0"/>
          <w:noProof w:val="0"/>
        </w:rPr>
        <w:t>.</w:t>
      </w:r>
    </w:p>
    <w:p w14:paraId="17C1843D" w14:textId="77777777" w:rsidR="00901FFE" w:rsidRDefault="00901FFE" w:rsidP="00D75E9B">
      <w:pPr>
        <w:pStyle w:val="PI-1labEMEASMCA"/>
        <w:pBdr>
          <w:top w:val="none" w:sz="0" w:space="0" w:color="auto"/>
          <w:left w:val="none" w:sz="0" w:space="0" w:color="auto"/>
          <w:bottom w:val="none" w:sz="0" w:space="0" w:color="auto"/>
          <w:right w:val="none" w:sz="0" w:space="0" w:color="auto"/>
        </w:pBdr>
        <w:rPr>
          <w:b w:val="0"/>
          <w:noProof w:val="0"/>
        </w:rPr>
      </w:pPr>
      <w:r>
        <w:rPr>
          <w:b w:val="0"/>
          <w:noProof w:val="0"/>
        </w:rPr>
        <w:t xml:space="preserve">  - </w:t>
      </w:r>
      <w:r w:rsidR="00D75E9B" w:rsidRPr="00901FFE">
        <w:rPr>
          <w:b w:val="0"/>
          <w:noProof w:val="0"/>
        </w:rPr>
        <w:t>jeigu vartojate bet kurių žemiau išvardytų vaistų</w:t>
      </w:r>
      <w:r w:rsidR="001B3A4F" w:rsidRPr="00901FFE">
        <w:rPr>
          <w:b w:val="0"/>
          <w:noProof w:val="0"/>
        </w:rPr>
        <w:t xml:space="preserve"> (žr. Kiti vaistai ir DIRONORM“)</w:t>
      </w:r>
      <w:r w:rsidR="006D5EA2">
        <w:rPr>
          <w:b w:val="0"/>
          <w:noProof w:val="0"/>
        </w:rPr>
        <w:t>.</w:t>
      </w:r>
    </w:p>
    <w:p w14:paraId="17C1843E" w14:textId="77777777" w:rsidR="00901FFE" w:rsidRDefault="00901FFE" w:rsidP="00D75E9B">
      <w:pPr>
        <w:pStyle w:val="PI-1labEMEASMCA"/>
        <w:pBdr>
          <w:top w:val="none" w:sz="0" w:space="0" w:color="auto"/>
          <w:left w:val="none" w:sz="0" w:space="0" w:color="auto"/>
          <w:bottom w:val="none" w:sz="0" w:space="0" w:color="auto"/>
          <w:right w:val="none" w:sz="0" w:space="0" w:color="auto"/>
        </w:pBdr>
        <w:rPr>
          <w:b w:val="0"/>
          <w:noProof w:val="0"/>
        </w:rPr>
      </w:pPr>
    </w:p>
    <w:p w14:paraId="17C1843F" w14:textId="77777777" w:rsidR="00D75E9B" w:rsidRPr="0026536C" w:rsidRDefault="00D75E9B" w:rsidP="00D75E9B">
      <w:pPr>
        <w:pStyle w:val="PI-1labEMEASMCA"/>
        <w:pBdr>
          <w:top w:val="none" w:sz="0" w:space="0" w:color="auto"/>
          <w:left w:val="none" w:sz="0" w:space="0" w:color="auto"/>
          <w:bottom w:val="none" w:sz="0" w:space="0" w:color="auto"/>
          <w:right w:val="none" w:sz="0" w:space="0" w:color="auto"/>
        </w:pBdr>
        <w:rPr>
          <w:b w:val="0"/>
          <w:noProof w:val="0"/>
        </w:rPr>
      </w:pPr>
      <w:r w:rsidRPr="0026536C">
        <w:rPr>
          <w:b w:val="0"/>
          <w:noProof w:val="0"/>
        </w:rPr>
        <w:t>Jeigu pradėjus vartoti DIRONORM atsirado ir ligai neišnyksta sausas kosulys, pasakykite gydytojui.</w:t>
      </w:r>
    </w:p>
    <w:p w14:paraId="17C18440" w14:textId="77777777" w:rsidR="00D75E9B" w:rsidRPr="004C5A75" w:rsidRDefault="00D75E9B" w:rsidP="00D75E9B">
      <w:pPr>
        <w:ind w:right="-2"/>
        <w:rPr>
          <w:rFonts w:ascii="Times New Roman" w:hAnsi="Times New Roman"/>
          <w:sz w:val="22"/>
          <w:szCs w:val="22"/>
          <w:lang w:val="lt-LT"/>
        </w:rPr>
      </w:pPr>
    </w:p>
    <w:p w14:paraId="17C18441" w14:textId="77777777" w:rsidR="00D75E9B" w:rsidRPr="004C5A75" w:rsidRDefault="00D75E9B" w:rsidP="00D75E9B">
      <w:pPr>
        <w:autoSpaceDE w:val="0"/>
        <w:autoSpaceDN w:val="0"/>
        <w:adjustRightInd w:val="0"/>
        <w:rPr>
          <w:rFonts w:ascii="Times New Roman" w:hAnsi="Times New Roman"/>
          <w:iCs/>
          <w:color w:val="000000"/>
          <w:sz w:val="22"/>
          <w:szCs w:val="22"/>
          <w:lang w:val="lt-LT"/>
        </w:rPr>
      </w:pPr>
      <w:r w:rsidRPr="004C5A75">
        <w:rPr>
          <w:rFonts w:ascii="Times New Roman" w:hAnsi="Times New Roman"/>
          <w:iCs/>
          <w:color w:val="000000"/>
          <w:sz w:val="22"/>
          <w:szCs w:val="22"/>
          <w:lang w:val="lt-LT"/>
        </w:rPr>
        <w:t xml:space="preserve">Jūsų gydytojas gali reguliariai ištirti Jūsų inkstų funkciją, kraujospūdį ir elektrolitų kiekį (pvz., kalio) kraujyje. </w:t>
      </w:r>
    </w:p>
    <w:p w14:paraId="17C18442" w14:textId="77777777" w:rsidR="00D75E9B" w:rsidRPr="004C5A75" w:rsidRDefault="00D75E9B" w:rsidP="00D75E9B">
      <w:pPr>
        <w:autoSpaceDE w:val="0"/>
        <w:autoSpaceDN w:val="0"/>
        <w:adjustRightInd w:val="0"/>
        <w:rPr>
          <w:rFonts w:ascii="Times New Roman" w:hAnsi="Times New Roman"/>
          <w:color w:val="000000"/>
          <w:sz w:val="22"/>
          <w:szCs w:val="22"/>
          <w:lang w:val="lt-LT"/>
        </w:rPr>
      </w:pPr>
    </w:p>
    <w:p w14:paraId="17C18443" w14:textId="77777777" w:rsidR="00D75E9B" w:rsidRPr="0026536C" w:rsidRDefault="00D75E9B" w:rsidP="00D75E9B">
      <w:pPr>
        <w:autoSpaceDE w:val="0"/>
        <w:autoSpaceDN w:val="0"/>
        <w:adjustRightInd w:val="0"/>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Taip pat žiūrėkite informaciją, pateiktą poskyryje „DIRONORM  vartoti negalima“. </w:t>
      </w:r>
    </w:p>
    <w:p w14:paraId="17C18444" w14:textId="77777777" w:rsidR="00D75E9B" w:rsidRPr="004C5A75" w:rsidRDefault="00D75E9B" w:rsidP="00D75E9B">
      <w:pPr>
        <w:numPr>
          <w:ilvl w:val="12"/>
          <w:numId w:val="0"/>
        </w:numPr>
        <w:ind w:right="-2"/>
        <w:rPr>
          <w:rFonts w:ascii="Times New Roman" w:hAnsi="Times New Roman"/>
          <w:b/>
          <w:sz w:val="22"/>
          <w:szCs w:val="22"/>
          <w:lang w:val="lt-LT"/>
        </w:rPr>
      </w:pPr>
    </w:p>
    <w:p w14:paraId="17C18445" w14:textId="77777777" w:rsidR="00D75E9B" w:rsidRPr="004C5A75" w:rsidRDefault="00D75E9B" w:rsidP="00D75E9B">
      <w:pPr>
        <w:numPr>
          <w:ilvl w:val="12"/>
          <w:numId w:val="0"/>
        </w:numPr>
        <w:ind w:right="-2"/>
        <w:rPr>
          <w:rFonts w:ascii="Times New Roman" w:hAnsi="Times New Roman"/>
          <w:b/>
          <w:sz w:val="22"/>
          <w:szCs w:val="22"/>
          <w:lang w:val="lt-LT"/>
        </w:rPr>
      </w:pPr>
      <w:r w:rsidRPr="004C5A75">
        <w:rPr>
          <w:rFonts w:ascii="Times New Roman" w:hAnsi="Times New Roman"/>
          <w:b/>
          <w:sz w:val="22"/>
          <w:szCs w:val="22"/>
          <w:lang w:val="lt-LT"/>
        </w:rPr>
        <w:t>Vaikams ir paaugliams</w:t>
      </w:r>
    </w:p>
    <w:p w14:paraId="17C18446" w14:textId="77777777" w:rsidR="00D75E9B" w:rsidRPr="004C5A75" w:rsidRDefault="00D75E9B" w:rsidP="00D75E9B">
      <w:pPr>
        <w:numPr>
          <w:ilvl w:val="12"/>
          <w:numId w:val="0"/>
        </w:numPr>
        <w:ind w:right="-2"/>
        <w:rPr>
          <w:rFonts w:ascii="Times New Roman" w:hAnsi="Times New Roman"/>
          <w:sz w:val="22"/>
          <w:szCs w:val="22"/>
          <w:lang w:val="lt-LT"/>
        </w:rPr>
      </w:pPr>
      <w:r w:rsidRPr="004C5A75">
        <w:rPr>
          <w:rFonts w:ascii="Times New Roman" w:hAnsi="Times New Roman"/>
          <w:sz w:val="22"/>
          <w:szCs w:val="22"/>
          <w:lang w:val="lt-LT"/>
        </w:rPr>
        <w:t>Jaunesniems nei 18 metų vaikams ir paaugliams DIRONORM vartoti draudžiama.</w:t>
      </w:r>
    </w:p>
    <w:p w14:paraId="17C18447" w14:textId="77777777" w:rsidR="00D75E9B" w:rsidRPr="004C5A75" w:rsidRDefault="00D75E9B" w:rsidP="00C97BD4">
      <w:pPr>
        <w:pStyle w:val="BTEMEASMCA"/>
        <w:rPr>
          <w:lang w:val="lt-LT"/>
        </w:rPr>
      </w:pPr>
    </w:p>
    <w:p w14:paraId="17C18448" w14:textId="77777777" w:rsidR="00D75E9B" w:rsidRPr="00AB433D" w:rsidRDefault="00D75E9B" w:rsidP="0093067C">
      <w:pPr>
        <w:pStyle w:val="PI-3EMEASMCA"/>
        <w:rPr>
          <w:b/>
        </w:rPr>
      </w:pPr>
      <w:r w:rsidRPr="00AB433D">
        <w:rPr>
          <w:b/>
        </w:rPr>
        <w:t>Kiti vaistai ir DIRONORM</w:t>
      </w:r>
    </w:p>
    <w:p w14:paraId="17C18449" w14:textId="77777777" w:rsidR="00D75E9B" w:rsidRPr="004C5A75" w:rsidRDefault="00D75E9B" w:rsidP="0093067C">
      <w:pPr>
        <w:pStyle w:val="PI-3EMEASMCA"/>
      </w:pPr>
    </w:p>
    <w:p w14:paraId="17C1844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Jeigu vartojate ar neseniai vartojote kitų vaistų arba dėl to nesate tikri, apie tai pasakykite gydytojui arba vaistininkui.</w:t>
      </w:r>
    </w:p>
    <w:p w14:paraId="17C1844B" w14:textId="77777777" w:rsidR="00D75E9B" w:rsidRPr="004C5A75" w:rsidRDefault="00D75E9B" w:rsidP="00C97BD4">
      <w:pPr>
        <w:pStyle w:val="BTEMEASMCA"/>
        <w:rPr>
          <w:lang w:val="lt-LT"/>
        </w:rPr>
      </w:pPr>
      <w:r w:rsidRPr="004C5A75">
        <w:rPr>
          <w:lang w:val="lt-LT"/>
        </w:rPr>
        <w:t>Kalį sulaikantys diuretikai (pvz., spironolaktonas, amiloridas, triamterenas, vartojami šlapimo išsiskyrimui skatinti) ir kalio papildai bei kalio turintys druskos pakaitalai kartu su DIRONORM gali būti vartojami tik gydytojui atidžiai prižiūrint.</w:t>
      </w:r>
    </w:p>
    <w:p w14:paraId="17C1844C" w14:textId="77777777" w:rsidR="00D75E9B" w:rsidRPr="004C5A75" w:rsidRDefault="00D75E9B" w:rsidP="00C97BD4">
      <w:pPr>
        <w:pStyle w:val="BTEMEASMCA"/>
        <w:rPr>
          <w:lang w:val="lt-LT"/>
        </w:rPr>
      </w:pPr>
    </w:p>
    <w:p w14:paraId="17C1844D" w14:textId="77777777" w:rsidR="00D75E9B" w:rsidRPr="0026536C" w:rsidRDefault="00D75E9B" w:rsidP="00C97BD4">
      <w:pPr>
        <w:pStyle w:val="BTEMEASMCA"/>
        <w:rPr>
          <w:lang w:val="lt-LT"/>
        </w:rPr>
      </w:pPr>
      <w:r w:rsidRPr="0026536C">
        <w:rPr>
          <w:lang w:val="lt-LT"/>
        </w:rPr>
        <w:t>Būtinas ypatingas atsargumas, kai kartu su DIRONORM vartojami šie vaistai:</w:t>
      </w:r>
    </w:p>
    <w:p w14:paraId="17C1844E" w14:textId="77777777" w:rsidR="00D75E9B" w:rsidRPr="0026536C" w:rsidRDefault="00D75E9B" w:rsidP="00C97BD4">
      <w:pPr>
        <w:pStyle w:val="BTEMEASMCA"/>
        <w:rPr>
          <w:lang w:val="lt-LT"/>
        </w:rPr>
      </w:pPr>
      <w:r w:rsidRPr="0026536C">
        <w:rPr>
          <w:lang w:val="lt-LT"/>
        </w:rPr>
        <w:t xml:space="preserve">       -     Diuretikai (šlapimo išsiskyrimą skatinantys vaistai).</w:t>
      </w:r>
    </w:p>
    <w:p w14:paraId="17C1844F" w14:textId="77777777" w:rsidR="00D75E9B" w:rsidRPr="0026536C" w:rsidRDefault="00D75E9B" w:rsidP="00C97BD4">
      <w:pPr>
        <w:pStyle w:val="BTEMEASMCA"/>
        <w:rPr>
          <w:lang w:val="lt-LT"/>
        </w:rPr>
      </w:pPr>
      <w:r w:rsidRPr="0026536C">
        <w:rPr>
          <w:lang w:val="lt-LT"/>
        </w:rPr>
        <w:t xml:space="preserve">       -     Kiti kraujospūdį mažinantys vaistai (antihipertenziniai vaistai).</w:t>
      </w:r>
    </w:p>
    <w:p w14:paraId="17C18450" w14:textId="77777777" w:rsidR="00D75E9B" w:rsidRPr="004C5A75" w:rsidRDefault="00D75E9B" w:rsidP="00D75E9B">
      <w:pPr>
        <w:pStyle w:val="CharChar2"/>
        <w:numPr>
          <w:ilvl w:val="0"/>
          <w:numId w:val="19"/>
        </w:numPr>
        <w:rPr>
          <w:rFonts w:ascii="Times New Roman" w:hAnsi="Times New Roman"/>
          <w:sz w:val="22"/>
          <w:szCs w:val="22"/>
          <w:lang w:val="lt-LT"/>
        </w:rPr>
      </w:pPr>
      <w:r w:rsidRPr="004C5A75">
        <w:rPr>
          <w:rFonts w:ascii="Times New Roman" w:hAnsi="Times New Roman"/>
          <w:sz w:val="22"/>
          <w:szCs w:val="22"/>
          <w:lang w:val="lt-LT"/>
        </w:rPr>
        <w:t>Vaistai, vartojami širdies ligoms gydyti (pvz., verapamilis, diltiazemas).</w:t>
      </w:r>
    </w:p>
    <w:p w14:paraId="17C18451" w14:textId="77777777" w:rsidR="00D75E9B" w:rsidRPr="004C5A75" w:rsidRDefault="00D75E9B" w:rsidP="00C97BD4">
      <w:pPr>
        <w:pStyle w:val="BTEMEASMCA"/>
        <w:numPr>
          <w:ilvl w:val="0"/>
          <w:numId w:val="19"/>
        </w:numPr>
        <w:rPr>
          <w:lang w:val="lt-LT"/>
        </w:rPr>
      </w:pPr>
      <w:r w:rsidRPr="004C5A75">
        <w:rPr>
          <w:lang w:val="lt-LT"/>
        </w:rPr>
        <w:t>Nesteroidiniai vaistai nuo uždegimo (NVNU), pvz., acetilsalicilo rūgštis (vaistai vartojami nuo artrito, raumenų, galvos skausmo, uždegimo, karščiavimo).</w:t>
      </w:r>
    </w:p>
    <w:p w14:paraId="17C18452" w14:textId="77777777" w:rsidR="00D75E9B" w:rsidRPr="0026536C" w:rsidRDefault="00D75E9B" w:rsidP="00C97BD4">
      <w:pPr>
        <w:pStyle w:val="BTEMEASMCA"/>
        <w:numPr>
          <w:ilvl w:val="0"/>
          <w:numId w:val="19"/>
        </w:numPr>
        <w:rPr>
          <w:lang w:val="lt-LT"/>
        </w:rPr>
      </w:pPr>
      <w:r w:rsidRPr="0026536C">
        <w:rPr>
          <w:lang w:val="lt-LT"/>
        </w:rPr>
        <w:t>Vaistai psichikos ligoms gydyti, pvz., ličio preparatai, vaistai nuo psichozės, tricikliai a antidepresantai.</w:t>
      </w:r>
    </w:p>
    <w:p w14:paraId="17C18453" w14:textId="77777777" w:rsidR="00D75E9B" w:rsidRPr="0026536C" w:rsidRDefault="00D75E9B" w:rsidP="00C97BD4">
      <w:pPr>
        <w:pStyle w:val="BTEMEASMCA"/>
        <w:numPr>
          <w:ilvl w:val="0"/>
          <w:numId w:val="19"/>
        </w:numPr>
        <w:rPr>
          <w:lang w:val="lt-LT"/>
        </w:rPr>
      </w:pPr>
      <w:r w:rsidRPr="0026536C">
        <w:rPr>
          <w:lang w:val="lt-LT"/>
        </w:rPr>
        <w:t>Vaistai cukraligei gydyti, pvz., insulinas arba geriamieji gliukozės kiekį mažinantys vaistai.</w:t>
      </w:r>
    </w:p>
    <w:p w14:paraId="17C18454" w14:textId="77777777" w:rsidR="00D75E9B" w:rsidRPr="0026536C" w:rsidRDefault="00D75E9B" w:rsidP="00C97BD4">
      <w:pPr>
        <w:pStyle w:val="BTEMEASMCA"/>
        <w:numPr>
          <w:ilvl w:val="0"/>
          <w:numId w:val="19"/>
        </w:numPr>
        <w:rPr>
          <w:lang w:val="lt-LT"/>
        </w:rPr>
      </w:pPr>
      <w:r w:rsidRPr="0026536C">
        <w:rPr>
          <w:lang w:val="lt-LT"/>
        </w:rPr>
        <w:t>Autonominę nervų sistemą stimuliuojantys vaistai (simpatomimetikai), pvz., efedrinas, fenilefrinas, ksilometazolinas ir salbutamolis, kurie vartojami nuo nosies užburkimo, peršalimo ir astmos.</w:t>
      </w:r>
    </w:p>
    <w:p w14:paraId="17C18455" w14:textId="77777777" w:rsidR="00D75E9B" w:rsidRPr="004C5A75" w:rsidRDefault="00D75E9B" w:rsidP="00D75E9B">
      <w:pPr>
        <w:pStyle w:val="CharChar2"/>
        <w:numPr>
          <w:ilvl w:val="0"/>
          <w:numId w:val="19"/>
        </w:numPr>
        <w:tabs>
          <w:tab w:val="left" w:pos="720"/>
        </w:tabs>
        <w:rPr>
          <w:rFonts w:ascii="Times New Roman" w:hAnsi="Times New Roman"/>
          <w:sz w:val="22"/>
          <w:szCs w:val="22"/>
          <w:lang w:val="lt-LT"/>
        </w:rPr>
      </w:pPr>
      <w:r w:rsidRPr="004C5A75">
        <w:rPr>
          <w:rFonts w:ascii="Times New Roman" w:hAnsi="Times New Roman"/>
          <w:sz w:val="22"/>
          <w:szCs w:val="22"/>
          <w:lang w:val="lt-LT"/>
        </w:rPr>
        <w:t>Imunosupresantai (vaistai vartojami atmetimo reakcijai po organų transplantacijos išvengti pvz., kortikosteroidai, citostatiniai ir antimetaboliniai preparatai).</w:t>
      </w:r>
    </w:p>
    <w:p w14:paraId="17C18456" w14:textId="77777777" w:rsidR="00D75E9B" w:rsidRPr="004C5A75" w:rsidRDefault="00D75E9B" w:rsidP="00C97BD4">
      <w:pPr>
        <w:pStyle w:val="BTEMEASMCA"/>
        <w:numPr>
          <w:ilvl w:val="0"/>
          <w:numId w:val="19"/>
        </w:numPr>
        <w:rPr>
          <w:lang w:val="lt-LT"/>
        </w:rPr>
      </w:pPr>
      <w:r w:rsidRPr="0026536C">
        <w:rPr>
          <w:lang w:val="lt-LT"/>
        </w:rPr>
        <w:t>Alopurinolis (vaistas podagrai gydyti).</w:t>
      </w:r>
    </w:p>
    <w:p w14:paraId="17C18457" w14:textId="77777777" w:rsidR="00D75E9B" w:rsidRDefault="00D75E9B" w:rsidP="00C97BD4">
      <w:pPr>
        <w:pStyle w:val="BTEMEASMCA"/>
        <w:numPr>
          <w:ilvl w:val="0"/>
          <w:numId w:val="19"/>
        </w:numPr>
        <w:rPr>
          <w:lang w:val="lt-LT"/>
        </w:rPr>
      </w:pPr>
      <w:r w:rsidRPr="0026536C">
        <w:rPr>
          <w:lang w:val="lt-LT"/>
        </w:rPr>
        <w:t>Prokainamidas (vartojamas aritmijai gydyti).</w:t>
      </w:r>
    </w:p>
    <w:p w14:paraId="17C18458" w14:textId="77777777" w:rsidR="004045DD" w:rsidRPr="004045DD" w:rsidRDefault="004045DD" w:rsidP="00C97BD4">
      <w:pPr>
        <w:pStyle w:val="BTEMEASMCA"/>
        <w:numPr>
          <w:ilvl w:val="0"/>
          <w:numId w:val="19"/>
        </w:numPr>
        <w:rPr>
          <w:lang w:val="lt-LT"/>
        </w:rPr>
      </w:pPr>
      <w:r w:rsidRPr="004045DD">
        <w:rPr>
          <w:lang w:val="lt-LT"/>
        </w:rPr>
        <w:t>Vaistai</w:t>
      </w:r>
      <w:r w:rsidRPr="00EC4A3C">
        <w:rPr>
          <w:lang w:val="lt-LT"/>
        </w:rPr>
        <w:t xml:space="preserve">, kurie gali didinti kalio kiekį organizme pvz., </w:t>
      </w:r>
      <w:r w:rsidR="00BB56D4" w:rsidRPr="00BB56D4">
        <w:rPr>
          <w:lang w:val="lt-LT"/>
        </w:rPr>
        <w:t>kalio papild</w:t>
      </w:r>
      <w:r w:rsidR="00BB56D4">
        <w:rPr>
          <w:lang w:val="lt-LT"/>
        </w:rPr>
        <w:t>ai</w:t>
      </w:r>
      <w:r w:rsidR="00BB56D4" w:rsidRPr="00BB56D4">
        <w:rPr>
          <w:lang w:val="lt-LT"/>
        </w:rPr>
        <w:t xml:space="preserve"> (įskaitant druskos pakaitalus), kalį </w:t>
      </w:r>
      <w:r w:rsidR="00DE4C21">
        <w:rPr>
          <w:lang w:val="lt-LT"/>
        </w:rPr>
        <w:t>organizme sulaikantys</w:t>
      </w:r>
      <w:r w:rsidR="00BB56D4" w:rsidRPr="00BB56D4">
        <w:rPr>
          <w:lang w:val="lt-LT"/>
        </w:rPr>
        <w:t xml:space="preserve"> diuretik</w:t>
      </w:r>
      <w:r w:rsidR="00BB56D4">
        <w:rPr>
          <w:lang w:val="lt-LT"/>
        </w:rPr>
        <w:t>ai</w:t>
      </w:r>
      <w:r w:rsidR="00BB56D4" w:rsidRPr="00BB56D4">
        <w:rPr>
          <w:lang w:val="lt-LT"/>
        </w:rPr>
        <w:t xml:space="preserve"> ir kit</w:t>
      </w:r>
      <w:r w:rsidR="00BB56D4">
        <w:rPr>
          <w:lang w:val="lt-LT"/>
        </w:rPr>
        <w:t>i</w:t>
      </w:r>
      <w:r w:rsidR="00BB56D4" w:rsidRPr="00BB56D4">
        <w:rPr>
          <w:lang w:val="lt-LT"/>
        </w:rPr>
        <w:t xml:space="preserve"> vaist</w:t>
      </w:r>
      <w:r w:rsidR="00BB56D4">
        <w:rPr>
          <w:lang w:val="lt-LT"/>
        </w:rPr>
        <w:t>ai</w:t>
      </w:r>
      <w:r w:rsidR="00BB56D4" w:rsidRPr="00BB56D4">
        <w:rPr>
          <w:lang w:val="lt-LT"/>
        </w:rPr>
        <w:t>, galin</w:t>
      </w:r>
      <w:r w:rsidR="00BB56D4">
        <w:rPr>
          <w:lang w:val="lt-LT"/>
        </w:rPr>
        <w:t>tys</w:t>
      </w:r>
      <w:r w:rsidR="00BB56D4" w:rsidRPr="00BB56D4">
        <w:rPr>
          <w:lang w:val="lt-LT"/>
        </w:rPr>
        <w:t xml:space="preserve"> didinti kalio kiekį kraujyje (pvz., heparin</w:t>
      </w:r>
      <w:r w:rsidR="00BB56D4">
        <w:rPr>
          <w:lang w:val="lt-LT"/>
        </w:rPr>
        <w:t>as</w:t>
      </w:r>
      <w:r w:rsidR="00BB56D4" w:rsidRPr="00BB56D4">
        <w:rPr>
          <w:lang w:val="lt-LT"/>
        </w:rPr>
        <w:t xml:space="preserve"> – kraujui skystinti vartojam</w:t>
      </w:r>
      <w:r w:rsidR="00BB56D4">
        <w:rPr>
          <w:lang w:val="lt-LT"/>
        </w:rPr>
        <w:t>as</w:t>
      </w:r>
      <w:r w:rsidR="00BB56D4" w:rsidRPr="00BB56D4">
        <w:rPr>
          <w:lang w:val="lt-LT"/>
        </w:rPr>
        <w:t xml:space="preserve"> vaist</w:t>
      </w:r>
      <w:r w:rsidR="00BB56D4">
        <w:rPr>
          <w:lang w:val="lt-LT"/>
        </w:rPr>
        <w:t>as</w:t>
      </w:r>
      <w:r w:rsidR="00BB56D4" w:rsidRPr="00BB56D4">
        <w:rPr>
          <w:lang w:val="lt-LT"/>
        </w:rPr>
        <w:t>, norint išvengti kraujo krešulių susidarymo</w:t>
      </w:r>
      <w:r w:rsidR="00BB56D4">
        <w:rPr>
          <w:lang w:val="lt-LT"/>
        </w:rPr>
        <w:t>,</w:t>
      </w:r>
      <w:r w:rsidRPr="00EC4A3C">
        <w:rPr>
          <w:lang w:val="lt-LT"/>
        </w:rPr>
        <w:t xml:space="preserve"> kotrimoksazolas, dar vadinamas trimetoprimu / sulfametoksazolu (</w:t>
      </w:r>
      <w:r w:rsidR="00050693">
        <w:rPr>
          <w:lang w:val="lt-LT"/>
        </w:rPr>
        <w:t xml:space="preserve">bakterijų sukeltoms </w:t>
      </w:r>
      <w:r w:rsidRPr="00EC4A3C">
        <w:rPr>
          <w:lang w:val="lt-LT"/>
        </w:rPr>
        <w:t>infekcijoms gydyti</w:t>
      </w:r>
      <w:r>
        <w:rPr>
          <w:lang w:val="lt-LT"/>
        </w:rPr>
        <w:t>) ir</w:t>
      </w:r>
      <w:r w:rsidRPr="00EC4A3C">
        <w:rPr>
          <w:lang w:val="lt-LT"/>
        </w:rPr>
        <w:t xml:space="preserve"> ciklosporinas </w:t>
      </w:r>
      <w:r>
        <w:rPr>
          <w:lang w:val="lt-LT"/>
        </w:rPr>
        <w:t>(</w:t>
      </w:r>
      <w:r w:rsidRPr="00EC4A3C">
        <w:rPr>
          <w:lang w:val="lt-LT"/>
        </w:rPr>
        <w:t xml:space="preserve">imunitetą </w:t>
      </w:r>
      <w:r>
        <w:rPr>
          <w:lang w:val="lt-LT"/>
        </w:rPr>
        <w:t>s</w:t>
      </w:r>
      <w:r w:rsidRPr="004C5A75">
        <w:t>lopinantis vaistas</w:t>
      </w:r>
      <w:r>
        <w:t>, vartojamas apsisaugoti nuo persodinto organo atmetimo</w:t>
      </w:r>
      <w:r w:rsidR="00BB56D4">
        <w:t>)</w:t>
      </w:r>
      <w:r w:rsidR="001012E2">
        <w:t>)</w:t>
      </w:r>
      <w:r w:rsidR="00BB56D4">
        <w:t>.</w:t>
      </w:r>
    </w:p>
    <w:p w14:paraId="17C18459" w14:textId="77777777" w:rsidR="00D75E9B" w:rsidRPr="004C5A75" w:rsidRDefault="00D75E9B" w:rsidP="00D75E9B">
      <w:pPr>
        <w:pStyle w:val="CharChar2"/>
        <w:numPr>
          <w:ilvl w:val="0"/>
          <w:numId w:val="19"/>
        </w:numPr>
        <w:tabs>
          <w:tab w:val="left" w:pos="720"/>
        </w:tabs>
        <w:rPr>
          <w:rFonts w:ascii="Times New Roman" w:hAnsi="Times New Roman"/>
          <w:sz w:val="22"/>
          <w:szCs w:val="22"/>
          <w:lang w:val="lt-LT"/>
        </w:rPr>
      </w:pPr>
      <w:r w:rsidRPr="004C5A75">
        <w:rPr>
          <w:rFonts w:ascii="Times New Roman" w:hAnsi="Times New Roman"/>
          <w:sz w:val="22"/>
          <w:szCs w:val="22"/>
          <w:lang w:val="lt-LT"/>
        </w:rPr>
        <w:t>Simvastatinas (vartojamas cholesterolio ir tam tikrų riebalų kiekiui kraujyje mažinti).</w:t>
      </w:r>
    </w:p>
    <w:p w14:paraId="17C1845A" w14:textId="77777777" w:rsidR="00D75E9B" w:rsidRPr="004C5A75" w:rsidRDefault="00D75E9B" w:rsidP="00C97BD4">
      <w:pPr>
        <w:pStyle w:val="BTEMEASMCA"/>
        <w:numPr>
          <w:ilvl w:val="0"/>
          <w:numId w:val="19"/>
        </w:numPr>
        <w:rPr>
          <w:lang w:val="lt-LT"/>
        </w:rPr>
      </w:pPr>
      <w:r w:rsidRPr="0026536C">
        <w:rPr>
          <w:lang w:val="lt-LT"/>
        </w:rPr>
        <w:t>Narkotiniai preparatai, morfino grupės vaistai, vartojami stipriam skausmui malšinti.</w:t>
      </w:r>
    </w:p>
    <w:p w14:paraId="17C1845B" w14:textId="77777777" w:rsidR="00D75E9B" w:rsidRPr="0026536C" w:rsidRDefault="00D75E9B" w:rsidP="00C97BD4">
      <w:pPr>
        <w:pStyle w:val="BTEMEASMCA"/>
        <w:numPr>
          <w:ilvl w:val="0"/>
          <w:numId w:val="19"/>
        </w:numPr>
        <w:rPr>
          <w:lang w:val="lt-LT"/>
        </w:rPr>
      </w:pPr>
      <w:r w:rsidRPr="0026536C">
        <w:rPr>
          <w:lang w:val="lt-LT"/>
        </w:rPr>
        <w:t>Vaistai, vartojami vėžiui gydyti.</w:t>
      </w:r>
    </w:p>
    <w:p w14:paraId="17C1845C" w14:textId="77777777" w:rsidR="00D75E9B" w:rsidRPr="0026536C" w:rsidRDefault="00D75E9B" w:rsidP="00C97BD4">
      <w:pPr>
        <w:pStyle w:val="BTEMEASMCA"/>
        <w:numPr>
          <w:ilvl w:val="0"/>
          <w:numId w:val="19"/>
        </w:numPr>
        <w:rPr>
          <w:lang w:val="lt-LT"/>
        </w:rPr>
      </w:pPr>
      <w:r w:rsidRPr="0026536C">
        <w:rPr>
          <w:lang w:val="lt-LT"/>
        </w:rPr>
        <w:t>Anestetikai, vartojami operacijų ir odontologinių procedūrų metu. Jei Jums numatoma taikyti vietinę ar bendrąją nejautrą, pasakykite savo gydytojui arba odontologui, kad vartojate DIRONORM, nes labai greitai gali trumpam sumažėti kraujospūdis.</w:t>
      </w:r>
    </w:p>
    <w:p w14:paraId="17C1845D" w14:textId="77777777" w:rsidR="00D75E9B" w:rsidRPr="0026536C" w:rsidRDefault="00D75E9B" w:rsidP="00C97BD4">
      <w:pPr>
        <w:pStyle w:val="BTEMEASMCA"/>
        <w:numPr>
          <w:ilvl w:val="0"/>
          <w:numId w:val="19"/>
        </w:numPr>
        <w:rPr>
          <w:lang w:val="lt-LT"/>
        </w:rPr>
      </w:pPr>
      <w:r w:rsidRPr="0026536C">
        <w:rPr>
          <w:lang w:val="lt-LT"/>
        </w:rPr>
        <w:t>Vaistai nuo traukulių (pvz., karbamazepinas, fenobarbitalis, fenitoinas), vartojami epilepsijai gydyti.</w:t>
      </w:r>
    </w:p>
    <w:p w14:paraId="17C1845E" w14:textId="729C015F" w:rsidR="0084699D" w:rsidRDefault="0027344F" w:rsidP="00C97BD4">
      <w:pPr>
        <w:pStyle w:val="BTEMEASMCA"/>
        <w:numPr>
          <w:ilvl w:val="0"/>
          <w:numId w:val="19"/>
        </w:numPr>
        <w:rPr>
          <w:lang w:val="lt-LT"/>
        </w:rPr>
      </w:pPr>
      <w:r>
        <w:rPr>
          <w:lang w:val="lt-LT"/>
        </w:rPr>
        <w:t>A</w:t>
      </w:r>
      <w:r w:rsidRPr="0026536C">
        <w:rPr>
          <w:lang w:val="lt-LT"/>
        </w:rPr>
        <w:t>ntibiotikai,</w:t>
      </w:r>
      <w:r>
        <w:rPr>
          <w:lang w:val="lt-LT"/>
        </w:rPr>
        <w:t>(</w:t>
      </w:r>
      <w:r w:rsidRPr="0026536C" w:rsidDel="0027344F">
        <w:rPr>
          <w:lang w:val="lt-LT"/>
        </w:rPr>
        <w:t xml:space="preserve"> </w:t>
      </w:r>
      <w:r>
        <w:rPr>
          <w:lang w:val="lt-LT"/>
        </w:rPr>
        <w:t>v</w:t>
      </w:r>
      <w:r w:rsidR="00D75E9B" w:rsidRPr="0026536C">
        <w:rPr>
          <w:lang w:val="lt-LT"/>
        </w:rPr>
        <w:t>aistai vartojami bakterijų</w:t>
      </w:r>
      <w:r>
        <w:rPr>
          <w:lang w:val="lt-LT"/>
        </w:rPr>
        <w:t xml:space="preserve"> sukeltoms ligoms gydyti</w:t>
      </w:r>
      <w:r w:rsidRPr="0026536C" w:rsidDel="0027344F">
        <w:rPr>
          <w:lang w:val="lt-LT"/>
        </w:rPr>
        <w:t xml:space="preserve"> </w:t>
      </w:r>
      <w:r w:rsidR="00D75E9B" w:rsidRPr="0026536C">
        <w:rPr>
          <w:lang w:val="lt-LT"/>
        </w:rPr>
        <w:t>, pvz., rifampicinas, eritromicinas arba klaritromicinas</w:t>
      </w:r>
      <w:r w:rsidR="0084699D">
        <w:rPr>
          <w:lang w:val="lt-LT"/>
        </w:rPr>
        <w:t>.</w:t>
      </w:r>
    </w:p>
    <w:p w14:paraId="17C1845F" w14:textId="77777777" w:rsidR="00D75E9B" w:rsidRPr="0026536C" w:rsidRDefault="0084699D" w:rsidP="00C97BD4">
      <w:pPr>
        <w:pStyle w:val="BTEMEASMCA"/>
        <w:numPr>
          <w:ilvl w:val="0"/>
          <w:numId w:val="19"/>
        </w:numPr>
        <w:rPr>
          <w:lang w:val="lt-LT"/>
        </w:rPr>
      </w:pPr>
      <w:r>
        <w:rPr>
          <w:lang w:val="lt-LT"/>
        </w:rPr>
        <w:t>Vaistai</w:t>
      </w:r>
      <w:r w:rsidR="004C75E0">
        <w:rPr>
          <w:lang w:val="lt-LT"/>
        </w:rPr>
        <w:t>,</w:t>
      </w:r>
      <w:r w:rsidR="00D75E9B" w:rsidRPr="0026536C">
        <w:rPr>
          <w:lang w:val="lt-LT"/>
        </w:rPr>
        <w:t xml:space="preserve"> </w:t>
      </w:r>
      <w:r w:rsidR="0027344F">
        <w:rPr>
          <w:lang w:val="lt-LT"/>
        </w:rPr>
        <w:t xml:space="preserve">vartojami </w:t>
      </w:r>
      <w:r w:rsidR="00D75E9B" w:rsidRPr="0026536C">
        <w:rPr>
          <w:lang w:val="lt-LT"/>
        </w:rPr>
        <w:t>ŽIV</w:t>
      </w:r>
      <w:r>
        <w:rPr>
          <w:lang w:val="lt-LT"/>
        </w:rPr>
        <w:t>/AIDS</w:t>
      </w:r>
      <w:r w:rsidR="00D75E9B" w:rsidRPr="0026536C">
        <w:rPr>
          <w:lang w:val="lt-LT"/>
        </w:rPr>
        <w:t xml:space="preserve"> (vadinamieji proteazės inhibitoriai, pvz., ritonaviras, indinaviras, nelfinaviras) ar grybelių (pvz., ketokonazolas, itrakonazolas) sukeltoms ligoms gydyti. </w:t>
      </w:r>
    </w:p>
    <w:p w14:paraId="17C18460" w14:textId="77777777" w:rsidR="00D75E9B" w:rsidRPr="0026536C" w:rsidRDefault="00D75E9B" w:rsidP="00C97BD4">
      <w:pPr>
        <w:pStyle w:val="BTEMEASMCA"/>
        <w:numPr>
          <w:ilvl w:val="0"/>
          <w:numId w:val="19"/>
        </w:numPr>
        <w:rPr>
          <w:lang w:val="lt-LT"/>
        </w:rPr>
      </w:pPr>
      <w:r w:rsidRPr="0026536C">
        <w:rPr>
          <w:lang w:val="lt-LT"/>
        </w:rPr>
        <w:t xml:space="preserve">Paprastosios jonažolės </w:t>
      </w:r>
      <w:r w:rsidRPr="0026536C">
        <w:rPr>
          <w:i/>
          <w:lang w:val="lt-LT"/>
        </w:rPr>
        <w:t>(Hypericum perforatum)</w:t>
      </w:r>
      <w:r w:rsidRPr="0026536C">
        <w:rPr>
          <w:lang w:val="lt-LT"/>
        </w:rPr>
        <w:t xml:space="preserve"> preparatai.</w:t>
      </w:r>
    </w:p>
    <w:p w14:paraId="17C18461" w14:textId="77777777" w:rsidR="00D75E9B" w:rsidRPr="004C5A75" w:rsidRDefault="00D75E9B" w:rsidP="00D75E9B">
      <w:pPr>
        <w:pStyle w:val="CharChar2"/>
        <w:numPr>
          <w:ilvl w:val="0"/>
          <w:numId w:val="19"/>
        </w:numPr>
        <w:tabs>
          <w:tab w:val="left" w:pos="720"/>
        </w:tabs>
        <w:rPr>
          <w:rFonts w:ascii="Times New Roman" w:hAnsi="Times New Roman"/>
          <w:sz w:val="22"/>
          <w:szCs w:val="22"/>
          <w:lang w:val="lt-LT"/>
        </w:rPr>
      </w:pPr>
      <w:r w:rsidRPr="004C5A75">
        <w:rPr>
          <w:rFonts w:ascii="Times New Roman" w:hAnsi="Times New Roman"/>
          <w:sz w:val="22"/>
          <w:szCs w:val="22"/>
          <w:lang w:val="lt-LT"/>
        </w:rPr>
        <w:t>Aukso druskos, ypač leidžiamos į veną (reumatoidinio artrito simptomams gydyti).</w:t>
      </w:r>
    </w:p>
    <w:p w14:paraId="17C18462" w14:textId="77777777" w:rsidR="00D75E9B" w:rsidRPr="004C5A75" w:rsidRDefault="00D75E9B" w:rsidP="00D75E9B">
      <w:pPr>
        <w:pStyle w:val="CharChar2"/>
        <w:numPr>
          <w:ilvl w:val="0"/>
          <w:numId w:val="19"/>
        </w:numPr>
        <w:tabs>
          <w:tab w:val="left" w:pos="720"/>
        </w:tabs>
        <w:rPr>
          <w:rFonts w:ascii="Times New Roman" w:hAnsi="Times New Roman"/>
          <w:sz w:val="22"/>
          <w:szCs w:val="22"/>
          <w:lang w:val="lt-LT"/>
        </w:rPr>
      </w:pPr>
      <w:r w:rsidRPr="004C5A75">
        <w:rPr>
          <w:rFonts w:ascii="Times New Roman" w:hAnsi="Times New Roman"/>
          <w:sz w:val="22"/>
          <w:szCs w:val="22"/>
          <w:lang w:val="lt-LT"/>
        </w:rPr>
        <w:t>Dantrolenas (skeleto raumenų relaksantas, vartojamas piktybinei hipertermijai gydyti).</w:t>
      </w:r>
    </w:p>
    <w:p w14:paraId="17C18463" w14:textId="77777777" w:rsidR="0076708B" w:rsidRDefault="00D75E9B" w:rsidP="0093067C">
      <w:pPr>
        <w:pStyle w:val="PI-3EMEASMCA"/>
        <w:numPr>
          <w:ilvl w:val="0"/>
          <w:numId w:val="19"/>
        </w:numPr>
      </w:pPr>
      <w:r w:rsidRPr="004C5A75">
        <w:t>Takrolimuzas vartojamas imuninės sistemos atsakui kontroliuoti ir skiriamas po organų transplantacijos atmetimo reakcijai slopinti</w:t>
      </w:r>
      <w:r w:rsidR="003F6761" w:rsidRPr="004C5A75">
        <w:t>.</w:t>
      </w:r>
    </w:p>
    <w:p w14:paraId="17C18464" w14:textId="77777777" w:rsidR="00D75E9B" w:rsidRDefault="00D75E9B" w:rsidP="0093067C">
      <w:pPr>
        <w:pStyle w:val="PI-3EMEASMCA"/>
      </w:pPr>
    </w:p>
    <w:p w14:paraId="17C18465" w14:textId="77777777" w:rsidR="007C1320" w:rsidRDefault="007C1320" w:rsidP="0093067C">
      <w:pPr>
        <w:pStyle w:val="PI-3EMEASMCA"/>
      </w:pPr>
      <w:r>
        <w:lastRenderedPageBreak/>
        <w:t>Toliau išardyti vaistai gali didinti angioneurozinės edemos riziką (angioedemos požymiai yra veido,  lūpų, liežuvio, ir (arba) gerklės tinimas ir pasunkėjęs kvėpavimas bei rijimas:</w:t>
      </w:r>
    </w:p>
    <w:p w14:paraId="17C18466" w14:textId="77777777" w:rsidR="007C1320" w:rsidRDefault="007C1320" w:rsidP="0093067C">
      <w:pPr>
        <w:pStyle w:val="PI-3EMEASMCA"/>
        <w:numPr>
          <w:ilvl w:val="0"/>
          <w:numId w:val="19"/>
        </w:numPr>
      </w:pPr>
      <w:r>
        <w:t xml:space="preserve"> vaistai, tirpdantys kraujo krešulius</w:t>
      </w:r>
      <w:r w:rsidR="00F07A59">
        <w:t xml:space="preserve"> </w:t>
      </w:r>
      <w:r>
        <w:t>(audinių plazminogeno aktyvatoriai, paprastai vartojami    ligoninėje);</w:t>
      </w:r>
    </w:p>
    <w:p w14:paraId="17C18467" w14:textId="77777777" w:rsidR="007C1320" w:rsidRDefault="007C1320">
      <w:pPr>
        <w:pStyle w:val="PI-3EMEASMCA"/>
        <w:numPr>
          <w:ilvl w:val="0"/>
          <w:numId w:val="19"/>
        </w:numPr>
      </w:pPr>
      <w:r w:rsidRPr="004C5A75">
        <w:t xml:space="preserve">Vaistai, kurie dažniausiai vartojami </w:t>
      </w:r>
      <w:r w:rsidR="00CD7B3C">
        <w:t xml:space="preserve">vėžiui gydyti ir </w:t>
      </w:r>
      <w:r w:rsidRPr="004C5A75">
        <w:t>norint išvengti transplantuotų organų atmetimo (sirolimuz</w:t>
      </w:r>
      <w:r>
        <w:t>as</w:t>
      </w:r>
      <w:r w:rsidRPr="004C5A75">
        <w:t>, everolimuz</w:t>
      </w:r>
      <w:r>
        <w:t>as</w:t>
      </w:r>
      <w:r w:rsidRPr="004C5A75">
        <w:t>, temsirolimuz</w:t>
      </w:r>
      <w:r>
        <w:t>as</w:t>
      </w:r>
      <w:r w:rsidRPr="004C5A75">
        <w:t xml:space="preserve"> ir kit</w:t>
      </w:r>
      <w:r>
        <w:t>i</w:t>
      </w:r>
      <w:r w:rsidRPr="004C5A75">
        <w:t xml:space="preserve"> vaist</w:t>
      </w:r>
      <w:r>
        <w:t>ai</w:t>
      </w:r>
      <w:r w:rsidRPr="004C5A75">
        <w:t xml:space="preserve"> iš mTOR inhibitorių klasės). Žr. skyrių „Įspėjimai ir atsargumo priemonės”.</w:t>
      </w:r>
    </w:p>
    <w:p w14:paraId="17C18468" w14:textId="77777777" w:rsidR="00AB433D" w:rsidRPr="004C5A75" w:rsidRDefault="00AB433D">
      <w:pPr>
        <w:pStyle w:val="PI-3EMEASMCA"/>
        <w:numPr>
          <w:ilvl w:val="0"/>
          <w:numId w:val="19"/>
        </w:numPr>
      </w:pPr>
      <w:r>
        <w:t>V</w:t>
      </w:r>
      <w:r w:rsidRPr="009006F8">
        <w:t>ildagliptin</w:t>
      </w:r>
      <w:r>
        <w:t>as</w:t>
      </w:r>
      <w:r w:rsidRPr="009006F8">
        <w:t xml:space="preserve"> – cukriniam diabetui gydyti vartojam</w:t>
      </w:r>
      <w:r>
        <w:t>as</w:t>
      </w:r>
      <w:r w:rsidRPr="009006F8">
        <w:t xml:space="preserve"> vaist</w:t>
      </w:r>
      <w:r>
        <w:t>as</w:t>
      </w:r>
      <w:r w:rsidRPr="009006F8">
        <w:t>.</w:t>
      </w:r>
    </w:p>
    <w:p w14:paraId="17C18469" w14:textId="77777777" w:rsidR="007C1320" w:rsidRDefault="007C1320">
      <w:pPr>
        <w:pStyle w:val="PI-3EMEASMCA"/>
        <w:numPr>
          <w:ilvl w:val="0"/>
          <w:numId w:val="19"/>
        </w:numPr>
      </w:pPr>
      <w:r>
        <w:t>Racekadotrilis, vartojamas viduriavimui gydyti.</w:t>
      </w:r>
    </w:p>
    <w:p w14:paraId="17C1846A" w14:textId="77777777" w:rsidR="00BB56D4" w:rsidRDefault="00BB56D4" w:rsidP="003C6C6E">
      <w:pPr>
        <w:pStyle w:val="PI-3EMEASMCA"/>
        <w:ind w:left="0"/>
      </w:pPr>
    </w:p>
    <w:p w14:paraId="17C1846B" w14:textId="77777777" w:rsidR="00BB56D4" w:rsidRDefault="00D75E9B" w:rsidP="003C6C6E">
      <w:pPr>
        <w:pStyle w:val="PI-3EMEASMCA"/>
        <w:ind w:left="0"/>
      </w:pPr>
      <w:r w:rsidRPr="004C5A75">
        <w:t>Jūsų gydytojui gali tekti pakeisti vaisto dozę ir (arba) imtis kitų atsargumo priemonių:</w:t>
      </w:r>
    </w:p>
    <w:p w14:paraId="17C1846C" w14:textId="77777777" w:rsidR="00D75E9B" w:rsidRPr="004C5A75" w:rsidRDefault="00D75E9B" w:rsidP="003C6C6E">
      <w:pPr>
        <w:pStyle w:val="PI-3EMEASMCA"/>
        <w:numPr>
          <w:ilvl w:val="0"/>
          <w:numId w:val="19"/>
        </w:numPr>
      </w:pPr>
      <w:r w:rsidRPr="004C5A75">
        <w:t>jeigu vartojate angiotenzino II receptorių blokatorių (ARB) arba aliskireną (taip pat žiūrėkite informaciją, pateiktą poskyriuose „DIRONORM vartoti negalima“ ir „Įspėjimai ir atsargumo priemonės”)</w:t>
      </w:r>
      <w:r w:rsidR="00BB56D4">
        <w:t>.</w:t>
      </w:r>
    </w:p>
    <w:p w14:paraId="17C1846D" w14:textId="77777777" w:rsidR="00D75E9B" w:rsidRPr="004C5A75" w:rsidRDefault="00D75E9B">
      <w:pPr>
        <w:pStyle w:val="PI-3EMEASMCA"/>
      </w:pPr>
    </w:p>
    <w:p w14:paraId="17C1846E" w14:textId="162E0844" w:rsidR="00D75E9B" w:rsidRPr="00AB433D" w:rsidRDefault="00D75E9B" w:rsidP="00EB1DEF">
      <w:pPr>
        <w:pStyle w:val="PI-3EMEASMCA"/>
        <w:ind w:left="0"/>
        <w:rPr>
          <w:b/>
        </w:rPr>
      </w:pPr>
      <w:r w:rsidRPr="00AB433D">
        <w:rPr>
          <w:b/>
        </w:rPr>
        <w:t xml:space="preserve">DIRONORM vartojimas su maistu, gėrimais </w:t>
      </w:r>
      <w:r w:rsidR="008A428C">
        <w:rPr>
          <w:b/>
        </w:rPr>
        <w:t>ir alkoholiu</w:t>
      </w:r>
    </w:p>
    <w:p w14:paraId="17C1846F" w14:textId="77777777" w:rsidR="0093067C" w:rsidRDefault="0093067C" w:rsidP="00D75E9B">
      <w:pPr>
        <w:autoSpaceDE w:val="0"/>
        <w:autoSpaceDN w:val="0"/>
        <w:adjustRightInd w:val="0"/>
        <w:rPr>
          <w:rFonts w:ascii="Times New Roman" w:hAnsi="Times New Roman"/>
          <w:sz w:val="22"/>
          <w:szCs w:val="22"/>
          <w:lang w:val="lt-LT"/>
        </w:rPr>
      </w:pPr>
    </w:p>
    <w:p w14:paraId="17C18470" w14:textId="19EDAA87" w:rsidR="00D75E9B" w:rsidRPr="0026536C" w:rsidRDefault="00D75E9B" w:rsidP="00D75E9B">
      <w:pPr>
        <w:autoSpaceDE w:val="0"/>
        <w:autoSpaceDN w:val="0"/>
        <w:adjustRightInd w:val="0"/>
        <w:rPr>
          <w:rFonts w:ascii="Times New Roman" w:eastAsia="Calibri" w:hAnsi="Times New Roman"/>
          <w:color w:val="000000"/>
          <w:sz w:val="22"/>
          <w:szCs w:val="22"/>
          <w:lang w:val="lt-LT"/>
        </w:rPr>
      </w:pPr>
      <w:r w:rsidRPr="004C5A75">
        <w:rPr>
          <w:rFonts w:ascii="Times New Roman" w:hAnsi="Times New Roman"/>
          <w:sz w:val="22"/>
          <w:szCs w:val="22"/>
          <w:lang w:val="lt-LT"/>
        </w:rPr>
        <w:t>DIRONORM galima gerti valgant ar pavalgius</w:t>
      </w:r>
      <w:r w:rsidR="008A428C">
        <w:rPr>
          <w:rFonts w:ascii="Times New Roman" w:hAnsi="Times New Roman"/>
          <w:sz w:val="22"/>
          <w:szCs w:val="22"/>
          <w:lang w:val="lt-LT"/>
        </w:rPr>
        <w:t>, bet gydymo metu reikia vengti alkoholio</w:t>
      </w:r>
      <w:r w:rsidRPr="004C5A75">
        <w:rPr>
          <w:rFonts w:ascii="Times New Roman" w:hAnsi="Times New Roman"/>
          <w:sz w:val="22"/>
          <w:szCs w:val="22"/>
          <w:lang w:val="lt-LT"/>
        </w:rPr>
        <w:t>.</w:t>
      </w:r>
      <w:r w:rsidR="008A428C" w:rsidRPr="008A428C">
        <w:rPr>
          <w:szCs w:val="22"/>
        </w:rPr>
        <w:t xml:space="preserve"> </w:t>
      </w:r>
    </w:p>
    <w:p w14:paraId="17C18471" w14:textId="77777777" w:rsidR="00D75E9B" w:rsidRPr="0026536C" w:rsidRDefault="00D75E9B" w:rsidP="00D75E9B">
      <w:pPr>
        <w:autoSpaceDE w:val="0"/>
        <w:autoSpaceDN w:val="0"/>
        <w:adjustRightInd w:val="0"/>
        <w:rPr>
          <w:rFonts w:ascii="Times New Roman" w:eastAsia="Calibri" w:hAnsi="Times New Roman"/>
          <w:color w:val="000000"/>
          <w:sz w:val="22"/>
          <w:szCs w:val="22"/>
          <w:lang w:val="lt-LT"/>
        </w:rPr>
      </w:pPr>
      <w:r w:rsidRPr="0026536C">
        <w:rPr>
          <w:rFonts w:ascii="Times New Roman" w:eastAsia="Calibri" w:hAnsi="Times New Roman"/>
          <w:color w:val="000000"/>
          <w:sz w:val="22"/>
          <w:szCs w:val="22"/>
          <w:lang w:val="lt-LT"/>
        </w:rPr>
        <w:t xml:space="preserve">DIRONORM vartojantiems žmonėms negalima gerti greipfrutų sulčių ar valgyti greipfrutų, nes greipfrutai ar greipfrutų sultys gali didinti veikliosios medžiagos amlodipino koncentraciją kraujyje ir dėl to gali nenuspėjamai sustiprėti kraujospūdį mažinantis DIRONORM poveikis. </w:t>
      </w:r>
    </w:p>
    <w:p w14:paraId="17C18472" w14:textId="77777777" w:rsidR="00D75E9B" w:rsidRPr="004C5A75" w:rsidRDefault="00D75E9B" w:rsidP="00C97BD4">
      <w:pPr>
        <w:pStyle w:val="BTEMEASMCA"/>
        <w:rPr>
          <w:rFonts w:eastAsia="Calibri"/>
          <w:lang w:val="lt-LT"/>
        </w:rPr>
      </w:pPr>
    </w:p>
    <w:p w14:paraId="17C18473" w14:textId="77777777" w:rsidR="00D75E9B" w:rsidRPr="00AB433D" w:rsidRDefault="00D75E9B" w:rsidP="00EB1DEF">
      <w:pPr>
        <w:pStyle w:val="PI-3EMEASMCA"/>
        <w:ind w:left="0"/>
        <w:rPr>
          <w:b/>
        </w:rPr>
      </w:pPr>
      <w:r w:rsidRPr="00AB433D">
        <w:rPr>
          <w:b/>
        </w:rPr>
        <w:t>Nėštumas, žindymo laikotarpis ir vaisingumas</w:t>
      </w:r>
    </w:p>
    <w:p w14:paraId="17C18474" w14:textId="77777777" w:rsidR="00D75E9B" w:rsidRPr="00AB433D" w:rsidRDefault="00D75E9B" w:rsidP="00D75E9B">
      <w:pPr>
        <w:pStyle w:val="Pagrindinistekstas"/>
        <w:rPr>
          <w:rFonts w:ascii="Times New Roman" w:hAnsi="Times New Roman"/>
          <w:b/>
          <w:i/>
          <w:color w:val="000000"/>
          <w:lang w:val="lt-LT"/>
        </w:rPr>
      </w:pPr>
    </w:p>
    <w:p w14:paraId="17C18475" w14:textId="77777777" w:rsidR="00D75E9B" w:rsidRPr="004C5A75" w:rsidRDefault="00D75E9B" w:rsidP="00D75E9B">
      <w:pPr>
        <w:pStyle w:val="Pagrindinistekstas"/>
        <w:rPr>
          <w:rFonts w:ascii="Times New Roman" w:hAnsi="Times New Roman"/>
          <w:i/>
          <w:color w:val="000000"/>
          <w:lang w:val="lt-LT"/>
        </w:rPr>
      </w:pPr>
      <w:r w:rsidRPr="004C5A75">
        <w:rPr>
          <w:rFonts w:ascii="Times New Roman" w:hAnsi="Times New Roman"/>
          <w:i/>
          <w:color w:val="000000"/>
          <w:lang w:val="lt-LT"/>
        </w:rPr>
        <w:t>Nėštumas</w:t>
      </w:r>
    </w:p>
    <w:p w14:paraId="17C18476" w14:textId="77777777" w:rsidR="00D75E9B" w:rsidRPr="004C5A75" w:rsidRDefault="00D75E9B" w:rsidP="00D75E9B">
      <w:pPr>
        <w:pStyle w:val="Pagrindinistekstas"/>
        <w:rPr>
          <w:rFonts w:ascii="Times New Roman" w:hAnsi="Times New Roman"/>
          <w:color w:val="000000"/>
          <w:lang w:val="lt-LT"/>
        </w:rPr>
      </w:pPr>
      <w:r w:rsidRPr="0026536C">
        <w:rPr>
          <w:rFonts w:ascii="Times New Roman" w:hAnsi="Times New Roman"/>
          <w:color w:val="000000"/>
          <w:lang w:val="lt-LT"/>
        </w:rPr>
        <w:t xml:space="preserve">Jei manote, kad esate nėščia (ar galite tapti nėščia), pasakykite gydytojui. </w:t>
      </w:r>
      <w:r w:rsidRPr="004C5A75">
        <w:rPr>
          <w:rFonts w:ascii="Times New Roman" w:hAnsi="Times New Roman"/>
          <w:color w:val="000000"/>
          <w:lang w:val="lt-LT"/>
        </w:rPr>
        <w:t xml:space="preserve">Jūsų gydytojas patars Jums  nutraukti DIRONORM vartojimą prieš nėštumą arba kai tik pastojote ir vietoje DIRONORM patars vartoti kito vaisto. </w:t>
      </w:r>
    </w:p>
    <w:p w14:paraId="17C18477" w14:textId="77777777" w:rsidR="00D75E9B" w:rsidRPr="004C5A75" w:rsidRDefault="00D75E9B" w:rsidP="00C97BD4">
      <w:pPr>
        <w:pStyle w:val="BTEMEASMCA"/>
        <w:rPr>
          <w:lang w:val="lt-LT"/>
        </w:rPr>
      </w:pPr>
      <w:r w:rsidRPr="004C5A75">
        <w:rPr>
          <w:lang w:val="lt-LT"/>
        </w:rPr>
        <w:t>DIRONORM nerekomenduojama vartoti nėštumo pradžioje ir draudžiama vartoti, jei esate nėščia daugiau nei tris mėnesius, kadangi tai gali pakenkti Jūsų kūdikiui, jei šio vaisto vartosite po trečiojo nėštumo mėnesio.</w:t>
      </w:r>
    </w:p>
    <w:p w14:paraId="17C18478" w14:textId="77777777" w:rsidR="00D75E9B" w:rsidRPr="004C5A75" w:rsidRDefault="00D75E9B" w:rsidP="00C97BD4">
      <w:pPr>
        <w:pStyle w:val="BTEMEASMCA"/>
        <w:rPr>
          <w:lang w:val="lt-LT"/>
        </w:rPr>
      </w:pPr>
    </w:p>
    <w:p w14:paraId="17C18479" w14:textId="77777777" w:rsidR="00D75E9B" w:rsidRPr="004C5A75" w:rsidRDefault="00D75E9B" w:rsidP="00C97BD4">
      <w:pPr>
        <w:pStyle w:val="BTEMEASMCA"/>
        <w:rPr>
          <w:lang w:val="lt-LT"/>
        </w:rPr>
      </w:pPr>
      <w:r w:rsidRPr="004C5A75">
        <w:rPr>
          <w:lang w:val="lt-LT"/>
        </w:rPr>
        <w:t>Žindymo laikotarpis</w:t>
      </w:r>
    </w:p>
    <w:p w14:paraId="17C1847A" w14:textId="77777777" w:rsidR="00D75E9B" w:rsidRPr="004C5A75" w:rsidRDefault="0084699D" w:rsidP="00C97BD4">
      <w:pPr>
        <w:pStyle w:val="BTEMEASMCA"/>
        <w:rPr>
          <w:lang w:val="lt-LT"/>
        </w:rPr>
      </w:pPr>
      <w:r w:rsidRPr="006E140B">
        <w:rPr>
          <w:lang w:val="lt-LT"/>
        </w:rPr>
        <w:t>Nustatyta, kad nedidelis kiekis amlodipino patenka į motinos pieną.</w:t>
      </w:r>
      <w:r>
        <w:rPr>
          <w:lang w:val="lt-LT"/>
        </w:rPr>
        <w:t xml:space="preserve"> </w:t>
      </w:r>
      <w:r w:rsidR="00D75E9B" w:rsidRPr="004C5A75">
        <w:rPr>
          <w:lang w:val="lt-LT"/>
        </w:rPr>
        <w:t>Jeigu žindote arba ketinate pradėti žindyti kūdikį, apie tai turite pasakyti gydytojui. DIRONORM nerekomenduojama vartoti žindymo laikotarpiu ir gydytojas gali Jums skirti kitokį gydymą, jei norite žindymą tęsti, ypač jei žindote naujagimį ar Jūsų kūdikis gimė prieš laiką.</w:t>
      </w:r>
    </w:p>
    <w:p w14:paraId="17C1847B" w14:textId="77777777" w:rsidR="00D75E9B" w:rsidRPr="004C5A75" w:rsidRDefault="00D75E9B" w:rsidP="0093067C">
      <w:pPr>
        <w:pStyle w:val="PI-3EMEASMCA"/>
      </w:pPr>
    </w:p>
    <w:p w14:paraId="17C1847C" w14:textId="77777777" w:rsidR="00D75E9B" w:rsidRDefault="00D75E9B" w:rsidP="0093067C">
      <w:pPr>
        <w:pStyle w:val="PI-3EMEASMCA"/>
        <w:ind w:left="0"/>
        <w:rPr>
          <w:b/>
        </w:rPr>
      </w:pPr>
      <w:r w:rsidRPr="0093067C">
        <w:rPr>
          <w:b/>
        </w:rPr>
        <w:t>Vairavimas ir mechanizmų valdymas</w:t>
      </w:r>
    </w:p>
    <w:p w14:paraId="17C1847D" w14:textId="77777777" w:rsidR="0093067C" w:rsidRPr="0093067C" w:rsidRDefault="0093067C" w:rsidP="0093067C">
      <w:pPr>
        <w:pStyle w:val="PI-3EMEASMCA"/>
        <w:ind w:left="0"/>
        <w:rPr>
          <w:b/>
        </w:rPr>
      </w:pPr>
    </w:p>
    <w:p w14:paraId="17C1847E" w14:textId="77777777" w:rsidR="00D75E9B" w:rsidRPr="004C5A75" w:rsidRDefault="00D75E9B" w:rsidP="0093067C">
      <w:pPr>
        <w:pStyle w:val="PI-3EMEASMCA"/>
        <w:ind w:left="0"/>
      </w:pPr>
      <w:r w:rsidRPr="004C5A75">
        <w:t>Prieš vairuodami ar valdydami mechanizmus, ar imdamiesi veiklos, kuriai reikalinga dėmesio koncentracija, įsitikinkite, jog žinote, kaip Jus veikia DIRONORM. DIRONORM gali trikdyti gebėjimą saugiai vairuoti ir valdyti mechanizmus (ypač gydymo pradžioje). Nevairuokite ir nevaldykite mechanizmų, jei pastebite, jog DIRONORM neigiamai veikia Jūsų gebėjimą vairuoti ir valdyti mechanizmus (pvz., sukelia pykinimą, svaigulį ar nuovargį arba galvos skausmą).</w:t>
      </w:r>
    </w:p>
    <w:p w14:paraId="17C1847F" w14:textId="77777777" w:rsidR="00D75E9B" w:rsidRDefault="00D75E9B" w:rsidP="00C97BD4">
      <w:pPr>
        <w:pStyle w:val="BTEMEASMCA"/>
        <w:rPr>
          <w:lang w:val="lt-LT"/>
        </w:rPr>
      </w:pPr>
    </w:p>
    <w:p w14:paraId="17C18480" w14:textId="77777777" w:rsidR="00AB433D" w:rsidRDefault="00AB433D" w:rsidP="00C97BD4">
      <w:pPr>
        <w:pStyle w:val="BTEMEASMCA"/>
        <w:rPr>
          <w:lang w:val="lt-LT"/>
        </w:rPr>
      </w:pPr>
    </w:p>
    <w:p w14:paraId="17C18481" w14:textId="77777777" w:rsidR="00AB433D" w:rsidRPr="00AB433D" w:rsidRDefault="00AB433D" w:rsidP="00C97BD4">
      <w:pPr>
        <w:pStyle w:val="BTEMEASMCA"/>
        <w:rPr>
          <w:lang w:val="lt-LT"/>
        </w:rPr>
      </w:pPr>
      <w:r w:rsidRPr="00AB433D">
        <w:rPr>
          <w:lang w:val="lt-LT"/>
        </w:rPr>
        <w:t xml:space="preserve">DIRONORM sudėtyje yra natrio </w:t>
      </w:r>
    </w:p>
    <w:p w14:paraId="17C18482" w14:textId="77777777" w:rsidR="00AB433D" w:rsidRPr="00F942E3" w:rsidRDefault="00AB433D" w:rsidP="00AB433D">
      <w:pPr>
        <w:rPr>
          <w:rFonts w:ascii="Times New Roman" w:hAnsi="Times New Roman"/>
          <w:sz w:val="22"/>
          <w:szCs w:val="22"/>
          <w:lang w:val="lt-LT"/>
        </w:rPr>
      </w:pPr>
      <w:r>
        <w:rPr>
          <w:rFonts w:ascii="Times New Roman" w:hAnsi="Times New Roman"/>
          <w:sz w:val="22"/>
          <w:szCs w:val="22"/>
          <w:lang w:val="lt-LT"/>
        </w:rPr>
        <w:t xml:space="preserve">Kiekvienoje šio </w:t>
      </w:r>
      <w:r w:rsidRPr="00F942E3">
        <w:rPr>
          <w:rFonts w:ascii="Times New Roman" w:hAnsi="Times New Roman"/>
          <w:sz w:val="22"/>
          <w:szCs w:val="22"/>
          <w:lang w:val="lt-LT"/>
        </w:rPr>
        <w:t>vais</w:t>
      </w:r>
      <w:r>
        <w:rPr>
          <w:rFonts w:ascii="Times New Roman" w:hAnsi="Times New Roman"/>
          <w:sz w:val="22"/>
          <w:szCs w:val="22"/>
          <w:lang w:val="lt-LT"/>
        </w:rPr>
        <w:t xml:space="preserve">to tabletėje </w:t>
      </w:r>
      <w:r w:rsidRPr="00F942E3">
        <w:rPr>
          <w:rFonts w:ascii="Times New Roman" w:hAnsi="Times New Roman"/>
          <w:sz w:val="22"/>
          <w:szCs w:val="22"/>
          <w:lang w:val="lt-LT"/>
        </w:rPr>
        <w:t>yra</w:t>
      </w:r>
      <w:r>
        <w:rPr>
          <w:rFonts w:ascii="Times New Roman" w:hAnsi="Times New Roman"/>
          <w:sz w:val="22"/>
          <w:szCs w:val="22"/>
          <w:lang w:val="lt-LT"/>
        </w:rPr>
        <w:t xml:space="preserve"> </w:t>
      </w:r>
      <w:r w:rsidRPr="00F942E3">
        <w:rPr>
          <w:rFonts w:ascii="Times New Roman" w:hAnsi="Times New Roman"/>
          <w:sz w:val="22"/>
          <w:szCs w:val="22"/>
          <w:lang w:val="lt-LT"/>
        </w:rPr>
        <w:t>mažiau kaip 1</w:t>
      </w:r>
      <w:r w:rsidR="001012E2">
        <w:rPr>
          <w:rFonts w:ascii="Times New Roman" w:hAnsi="Times New Roman"/>
          <w:sz w:val="22"/>
          <w:szCs w:val="22"/>
          <w:lang w:val="lt-LT"/>
        </w:rPr>
        <w:t> </w:t>
      </w:r>
      <w:r w:rsidRPr="00F942E3">
        <w:rPr>
          <w:rFonts w:ascii="Times New Roman" w:hAnsi="Times New Roman"/>
          <w:sz w:val="22"/>
          <w:szCs w:val="22"/>
          <w:lang w:val="lt-LT"/>
        </w:rPr>
        <w:t>mmol (23</w:t>
      </w:r>
      <w:r w:rsidR="001012E2">
        <w:rPr>
          <w:rFonts w:ascii="Times New Roman" w:hAnsi="Times New Roman"/>
          <w:sz w:val="22"/>
          <w:szCs w:val="22"/>
          <w:lang w:val="lt-LT"/>
        </w:rPr>
        <w:t> </w:t>
      </w:r>
      <w:r w:rsidRPr="00F942E3">
        <w:rPr>
          <w:rFonts w:ascii="Times New Roman" w:hAnsi="Times New Roman"/>
          <w:sz w:val="22"/>
          <w:szCs w:val="22"/>
          <w:lang w:val="lt-LT"/>
        </w:rPr>
        <w:t>mg) natrio, t.y. jis beveik</w:t>
      </w:r>
    </w:p>
    <w:p w14:paraId="17C18483" w14:textId="77777777" w:rsidR="00AB433D" w:rsidRDefault="00AB433D" w:rsidP="00AB433D">
      <w:pPr>
        <w:rPr>
          <w:rFonts w:ascii="Times New Roman" w:hAnsi="Times New Roman"/>
          <w:sz w:val="22"/>
          <w:szCs w:val="22"/>
          <w:lang w:val="lt-LT"/>
        </w:rPr>
      </w:pPr>
      <w:r w:rsidRPr="00F942E3">
        <w:rPr>
          <w:rFonts w:ascii="Times New Roman" w:hAnsi="Times New Roman"/>
          <w:sz w:val="22"/>
          <w:szCs w:val="22"/>
          <w:lang w:val="lt-LT"/>
        </w:rPr>
        <w:t>neturi reikšmės.</w:t>
      </w:r>
    </w:p>
    <w:p w14:paraId="17C18484" w14:textId="77777777" w:rsidR="00AB433D" w:rsidRPr="004C5A75" w:rsidRDefault="00AB433D" w:rsidP="00AB433D">
      <w:pPr>
        <w:rPr>
          <w:rFonts w:ascii="Times New Roman" w:hAnsi="Times New Roman"/>
          <w:sz w:val="22"/>
          <w:szCs w:val="22"/>
          <w:lang w:val="lt-LT"/>
        </w:rPr>
      </w:pPr>
    </w:p>
    <w:p w14:paraId="17C18485" w14:textId="77777777" w:rsidR="00D75E9B" w:rsidRPr="004C5A75" w:rsidRDefault="00D75E9B" w:rsidP="00C97BD4">
      <w:pPr>
        <w:pStyle w:val="BTEMEASMCA"/>
        <w:rPr>
          <w:lang w:val="lt-LT"/>
        </w:rPr>
      </w:pPr>
    </w:p>
    <w:p w14:paraId="17C18486" w14:textId="77777777" w:rsidR="00D75E9B" w:rsidRPr="004C5A75" w:rsidRDefault="00D75E9B" w:rsidP="00D75E9B">
      <w:pPr>
        <w:pStyle w:val="PI-1EMEASMCA"/>
        <w:rPr>
          <w:lang w:val="lt-LT"/>
        </w:rPr>
      </w:pPr>
      <w:bookmarkStart w:id="17" w:name="_Toc129243141"/>
      <w:bookmarkStart w:id="18" w:name="_Toc129243266"/>
      <w:r w:rsidRPr="004C5A75">
        <w:rPr>
          <w:lang w:val="lt-LT"/>
        </w:rPr>
        <w:t>3.</w:t>
      </w:r>
      <w:r w:rsidRPr="004C5A75">
        <w:rPr>
          <w:lang w:val="lt-LT"/>
        </w:rPr>
        <w:tab/>
        <w:t xml:space="preserve">Kaip vartoti </w:t>
      </w:r>
      <w:bookmarkEnd w:id="17"/>
      <w:bookmarkEnd w:id="18"/>
      <w:r w:rsidRPr="004C5A75">
        <w:rPr>
          <w:lang w:val="lt-LT"/>
        </w:rPr>
        <w:t>DIRONORM</w:t>
      </w:r>
    </w:p>
    <w:p w14:paraId="17C18487" w14:textId="77777777" w:rsidR="00D75E9B" w:rsidRPr="004C5A75" w:rsidRDefault="00D75E9B" w:rsidP="00C97BD4">
      <w:pPr>
        <w:pStyle w:val="BTEMEASMCA"/>
        <w:rPr>
          <w:lang w:val="lt-LT"/>
        </w:rPr>
      </w:pPr>
    </w:p>
    <w:p w14:paraId="17C18488"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Visada vartokite šį vaistą tiksliai kaip nurodė gydytojas. Jeigu abejojate, kreipkitės į gydytoją arba vaistininką. </w:t>
      </w:r>
    </w:p>
    <w:p w14:paraId="17C1848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Rekomenduojama dozė yra 1 DIRONORM </w:t>
      </w:r>
      <w:r w:rsidRPr="004C5A75">
        <w:rPr>
          <w:rFonts w:ascii="Times New Roman" w:hAnsi="Times New Roman"/>
          <w:bCs/>
          <w:sz w:val="22"/>
          <w:szCs w:val="22"/>
          <w:lang w:val="lt-LT"/>
        </w:rPr>
        <w:t xml:space="preserve">tabletė </w:t>
      </w:r>
      <w:r w:rsidRPr="004C5A75">
        <w:rPr>
          <w:rFonts w:ascii="Times New Roman" w:hAnsi="Times New Roman"/>
          <w:sz w:val="22"/>
          <w:szCs w:val="22"/>
          <w:lang w:val="lt-LT"/>
        </w:rPr>
        <w:t xml:space="preserve"> per parą. DIRONORM galima vartoti valgant arba nevalgius. </w:t>
      </w:r>
    </w:p>
    <w:p w14:paraId="17C1848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Jeigu manote, kad DIRONORM veikia per stipriai arba per silpnai, pasitarkite su gydytoju.</w:t>
      </w:r>
    </w:p>
    <w:p w14:paraId="17C1848B" w14:textId="77777777" w:rsidR="00D75E9B" w:rsidRPr="004C5A75" w:rsidRDefault="00D75E9B" w:rsidP="00D75E9B">
      <w:pPr>
        <w:rPr>
          <w:rFonts w:ascii="Times New Roman" w:hAnsi="Times New Roman"/>
          <w:b/>
          <w:sz w:val="22"/>
          <w:szCs w:val="22"/>
          <w:lang w:val="lt-LT"/>
        </w:rPr>
      </w:pPr>
    </w:p>
    <w:p w14:paraId="17C1848C" w14:textId="77777777" w:rsidR="00D75E9B" w:rsidRPr="004C5A75" w:rsidRDefault="00D75E9B" w:rsidP="00D75E9B">
      <w:pPr>
        <w:rPr>
          <w:rFonts w:ascii="Times New Roman" w:hAnsi="Times New Roman"/>
          <w:b/>
          <w:sz w:val="22"/>
          <w:szCs w:val="22"/>
          <w:lang w:val="lt-LT"/>
        </w:rPr>
      </w:pPr>
      <w:r w:rsidRPr="004C5A75">
        <w:rPr>
          <w:rFonts w:ascii="Times New Roman" w:hAnsi="Times New Roman"/>
          <w:b/>
          <w:sz w:val="22"/>
          <w:szCs w:val="22"/>
          <w:lang w:val="lt-LT"/>
        </w:rPr>
        <w:lastRenderedPageBreak/>
        <w:t>Vartojimas vaikams ir paaugliams</w:t>
      </w:r>
    </w:p>
    <w:p w14:paraId="17C1848D" w14:textId="77777777" w:rsidR="00D75E9B" w:rsidRPr="004C5A75" w:rsidRDefault="00D75E9B" w:rsidP="00D75E9B">
      <w:pPr>
        <w:rPr>
          <w:rFonts w:ascii="Times New Roman" w:hAnsi="Times New Roman"/>
          <w:b/>
          <w:sz w:val="22"/>
          <w:szCs w:val="22"/>
          <w:lang w:val="lt-LT"/>
        </w:rPr>
      </w:pPr>
    </w:p>
    <w:p w14:paraId="17C1848E"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Kadangi neturima duomenų apie DIRONORM vartojimo saugumą ir veiksmingumą vaikams ir paaugliams, jaunesniems nei 18 metų, jiems vaisto vartoti draudžiama.</w:t>
      </w:r>
    </w:p>
    <w:p w14:paraId="17C1848F" w14:textId="77777777" w:rsidR="00D75E9B" w:rsidRPr="004C5A75" w:rsidRDefault="00D75E9B" w:rsidP="00D75E9B">
      <w:pPr>
        <w:rPr>
          <w:rFonts w:ascii="Times New Roman" w:hAnsi="Times New Roman"/>
          <w:sz w:val="22"/>
          <w:szCs w:val="22"/>
          <w:lang w:val="lt-LT"/>
        </w:rPr>
      </w:pPr>
    </w:p>
    <w:p w14:paraId="17C18490" w14:textId="77777777" w:rsidR="00D75E9B" w:rsidRPr="004C5A75" w:rsidRDefault="00D75E9B" w:rsidP="00D75E9B">
      <w:pPr>
        <w:rPr>
          <w:rFonts w:ascii="Times New Roman" w:hAnsi="Times New Roman"/>
          <w:b/>
          <w:bCs/>
          <w:sz w:val="22"/>
          <w:szCs w:val="22"/>
          <w:lang w:val="lt-LT"/>
        </w:rPr>
      </w:pPr>
      <w:r w:rsidRPr="004C5A75">
        <w:rPr>
          <w:rFonts w:ascii="Times New Roman" w:hAnsi="Times New Roman"/>
          <w:b/>
          <w:bCs/>
          <w:sz w:val="22"/>
          <w:szCs w:val="22"/>
          <w:lang w:val="lt-LT"/>
        </w:rPr>
        <w:t>Senyviems asmenims</w:t>
      </w:r>
    </w:p>
    <w:p w14:paraId="17C18491"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Vyresniems nei 65 metų asmenims dozės keisti nereikia.</w:t>
      </w:r>
    </w:p>
    <w:p w14:paraId="17C18492" w14:textId="77777777" w:rsidR="00D75E9B" w:rsidRPr="004C5A75" w:rsidRDefault="00D75E9B" w:rsidP="00D75E9B">
      <w:pPr>
        <w:rPr>
          <w:rFonts w:ascii="Times New Roman" w:hAnsi="Times New Roman"/>
          <w:b/>
          <w:bCs/>
          <w:sz w:val="22"/>
          <w:szCs w:val="22"/>
          <w:lang w:val="lt-LT"/>
        </w:rPr>
      </w:pPr>
    </w:p>
    <w:p w14:paraId="17C18493" w14:textId="77777777" w:rsidR="00D75E9B" w:rsidRPr="004C5A75" w:rsidRDefault="00D75E9B" w:rsidP="00D75E9B">
      <w:pPr>
        <w:rPr>
          <w:rFonts w:ascii="Times New Roman" w:hAnsi="Times New Roman"/>
          <w:b/>
          <w:bCs/>
          <w:sz w:val="22"/>
          <w:szCs w:val="22"/>
          <w:lang w:val="lt-LT"/>
        </w:rPr>
      </w:pPr>
      <w:r w:rsidRPr="004C5A75">
        <w:rPr>
          <w:rFonts w:ascii="Times New Roman" w:hAnsi="Times New Roman"/>
          <w:b/>
          <w:bCs/>
          <w:sz w:val="22"/>
          <w:szCs w:val="22"/>
          <w:lang w:val="lt-LT"/>
        </w:rPr>
        <w:t>Pacientai, kurių kepenų veikla sutrikusi</w:t>
      </w:r>
    </w:p>
    <w:p w14:paraId="17C18494"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 xml:space="preserve">Kepenų ligos gali turėti įtakos amlodipino koncentracijai kraujyje. Tokiu atveju gydytojas dažniau patikrins Jūsų būklę. </w:t>
      </w:r>
    </w:p>
    <w:p w14:paraId="17C18495" w14:textId="77777777" w:rsidR="00D75E9B" w:rsidRPr="004C5A75" w:rsidRDefault="00D75E9B" w:rsidP="00D75E9B">
      <w:pPr>
        <w:rPr>
          <w:rFonts w:ascii="Times New Roman" w:hAnsi="Times New Roman"/>
          <w:b/>
          <w:bCs/>
          <w:sz w:val="22"/>
          <w:szCs w:val="22"/>
          <w:lang w:val="lt-LT"/>
        </w:rPr>
      </w:pPr>
    </w:p>
    <w:p w14:paraId="17C18496" w14:textId="77777777" w:rsidR="00D75E9B" w:rsidRPr="004C5A75" w:rsidRDefault="00D75E9B" w:rsidP="00D75E9B">
      <w:pPr>
        <w:rPr>
          <w:rFonts w:ascii="Times New Roman" w:hAnsi="Times New Roman"/>
          <w:b/>
          <w:bCs/>
          <w:sz w:val="22"/>
          <w:szCs w:val="22"/>
          <w:lang w:val="lt-LT"/>
        </w:rPr>
      </w:pPr>
      <w:r w:rsidRPr="004C5A75">
        <w:rPr>
          <w:rFonts w:ascii="Times New Roman" w:hAnsi="Times New Roman"/>
          <w:b/>
          <w:bCs/>
          <w:sz w:val="22"/>
          <w:szCs w:val="22"/>
          <w:lang w:val="lt-LT"/>
        </w:rPr>
        <w:t>Pacientai, kurių inkstų veikla sutrikusi</w:t>
      </w:r>
    </w:p>
    <w:p w14:paraId="17C18497" w14:textId="77777777" w:rsidR="00D75E9B" w:rsidRPr="004C5A75" w:rsidRDefault="00D75E9B" w:rsidP="00D75E9B">
      <w:pPr>
        <w:rPr>
          <w:rFonts w:ascii="Times New Roman" w:hAnsi="Times New Roman"/>
          <w:bCs/>
          <w:sz w:val="22"/>
          <w:szCs w:val="22"/>
          <w:lang w:val="lt-LT"/>
        </w:rPr>
      </w:pPr>
      <w:r w:rsidRPr="004C5A75">
        <w:rPr>
          <w:rFonts w:ascii="Times New Roman" w:hAnsi="Times New Roman"/>
          <w:bCs/>
          <w:sz w:val="22"/>
          <w:szCs w:val="22"/>
          <w:lang w:val="lt-LT"/>
        </w:rPr>
        <w:t xml:space="preserve">Vartojant DIRONORM, reguliarių gydytojo apžiūrų metu Jums dažnai bus tiriama inkstų veikla ir nustatomas kalio ir natrio kiekis kraujo serume. Jei pablogės inkstų veikla, DIRONORM vartojimas bus nutrauktas ir vietoj jo bus paskirta vartoti abiejų veikliųjų medžiagų atskirai, pakoregavus jų dozes.    </w:t>
      </w:r>
    </w:p>
    <w:p w14:paraId="17C18498" w14:textId="77777777" w:rsidR="00D75E9B" w:rsidRPr="004C5A75" w:rsidRDefault="00D75E9B" w:rsidP="00D75E9B">
      <w:pPr>
        <w:rPr>
          <w:rFonts w:ascii="Times New Roman" w:hAnsi="Times New Roman"/>
          <w:sz w:val="22"/>
          <w:szCs w:val="22"/>
          <w:lang w:val="lt-LT"/>
        </w:rPr>
      </w:pPr>
    </w:p>
    <w:p w14:paraId="17C18499" w14:textId="77777777" w:rsidR="00D75E9B" w:rsidRPr="004C5A75" w:rsidRDefault="00D75E9B" w:rsidP="00D75E9B">
      <w:pPr>
        <w:rPr>
          <w:rFonts w:ascii="Times New Roman" w:hAnsi="Times New Roman"/>
          <w:b/>
          <w:bCs/>
          <w:sz w:val="22"/>
          <w:szCs w:val="22"/>
          <w:lang w:val="lt-LT"/>
        </w:rPr>
      </w:pPr>
      <w:r w:rsidRPr="004C5A75">
        <w:rPr>
          <w:rFonts w:ascii="Times New Roman" w:hAnsi="Times New Roman"/>
          <w:b/>
          <w:bCs/>
          <w:sz w:val="22"/>
          <w:szCs w:val="22"/>
          <w:lang w:val="lt-LT"/>
        </w:rPr>
        <w:t>Ką daryti pavartojus per didelę DIRONORM dozę?</w:t>
      </w:r>
    </w:p>
    <w:p w14:paraId="17C1849A" w14:textId="77777777" w:rsidR="00D75E9B" w:rsidRPr="004C5A75" w:rsidRDefault="00D75E9B" w:rsidP="00D75E9B">
      <w:pPr>
        <w:pStyle w:val="Pagrindinistekstas2"/>
        <w:spacing w:after="0" w:line="240" w:lineRule="auto"/>
        <w:rPr>
          <w:rFonts w:ascii="Times New Roman" w:hAnsi="Times New Roman"/>
          <w:sz w:val="22"/>
          <w:szCs w:val="22"/>
          <w:lang w:val="lt-LT"/>
        </w:rPr>
      </w:pPr>
      <w:r w:rsidRPr="004C5A75">
        <w:rPr>
          <w:rFonts w:ascii="Times New Roman" w:hAnsi="Times New Roman"/>
          <w:sz w:val="22"/>
          <w:szCs w:val="22"/>
          <w:lang w:val="lt-LT"/>
        </w:rPr>
        <w:t xml:space="preserve">Nedelsdami kreipkitės į gydytoją arba vykite į artimiausią ligoninę. </w:t>
      </w:r>
    </w:p>
    <w:p w14:paraId="17C1849B" w14:textId="77777777" w:rsidR="00D75E9B" w:rsidRPr="004C5A75" w:rsidRDefault="00D75E9B" w:rsidP="00D75E9B">
      <w:pPr>
        <w:pStyle w:val="Pagrindinistekstas2"/>
        <w:spacing w:after="0" w:line="240" w:lineRule="auto"/>
        <w:rPr>
          <w:rFonts w:ascii="Times New Roman" w:hAnsi="Times New Roman"/>
          <w:sz w:val="22"/>
          <w:szCs w:val="22"/>
          <w:lang w:val="lt-LT"/>
        </w:rPr>
      </w:pPr>
      <w:r w:rsidRPr="004C5A75">
        <w:rPr>
          <w:rFonts w:ascii="Times New Roman" w:hAnsi="Times New Roman"/>
          <w:sz w:val="22"/>
          <w:szCs w:val="22"/>
          <w:lang w:val="lt-LT"/>
        </w:rPr>
        <w:t>Pavartojus per didelę vaistinio preparato dozę, gali ryškiai sumažėti kraujospūdis, kurį būtina atidžiai matuoti. Perdozavimo požymiai yra elektrolitų pusiausvyros sutrikimas, inkstų nepakankamumas, padažnėjęs kvėpavimas (hiperventiliacija), greitas širdies plakimas, palpitacijos, sulėtėjęs širdies ritmas, svaigulys, nerimas, kosulys.  Galite justi apsvaigimą, silpnumą arba apalpti. Pernelyg sumažėjus kraujospūdžiui gali ištikti šokas. Oda gali būti šalta, prakaituota ir Jūs galite prarasti sąmonę.</w:t>
      </w:r>
    </w:p>
    <w:p w14:paraId="17C1849C" w14:textId="77777777" w:rsidR="00D75E9B" w:rsidRPr="004C5A75" w:rsidRDefault="00D75E9B" w:rsidP="00D75E9B">
      <w:pPr>
        <w:pStyle w:val="Pagrindinistekstas2"/>
        <w:spacing w:after="0" w:line="240" w:lineRule="auto"/>
        <w:rPr>
          <w:rFonts w:ascii="Times New Roman" w:hAnsi="Times New Roman"/>
          <w:sz w:val="22"/>
          <w:szCs w:val="22"/>
          <w:lang w:val="lt-LT"/>
        </w:rPr>
      </w:pPr>
      <w:r w:rsidRPr="004C5A75">
        <w:rPr>
          <w:rFonts w:ascii="Times New Roman" w:hAnsi="Times New Roman"/>
          <w:sz w:val="22"/>
          <w:szCs w:val="22"/>
          <w:lang w:val="lt-LT"/>
        </w:rPr>
        <w:t>Jei atsiranda būdingi simptomai - svaigulys ir galvos skausmas, būtina atsigulti ant nugaros. Jūsų gydytojas imsis tolimesnių priemonių.</w:t>
      </w:r>
    </w:p>
    <w:p w14:paraId="17C1849D" w14:textId="77777777" w:rsidR="00D75E9B" w:rsidRDefault="0027344F" w:rsidP="00D75E9B">
      <w:pPr>
        <w:pStyle w:val="Pagrindinistekstas2"/>
        <w:spacing w:after="0" w:line="240" w:lineRule="auto"/>
        <w:rPr>
          <w:rFonts w:ascii="Times New Roman" w:hAnsi="Times New Roman"/>
          <w:sz w:val="22"/>
          <w:szCs w:val="22"/>
          <w:lang w:val="lt-LT"/>
        </w:rPr>
      </w:pPr>
      <w:r w:rsidRPr="0027344F">
        <w:rPr>
          <w:rFonts w:ascii="Times New Roman" w:hAnsi="Times New Roman"/>
          <w:sz w:val="22"/>
          <w:szCs w:val="22"/>
          <w:lang w:val="lt-LT"/>
        </w:rPr>
        <w:t>Jūsų plaučiuose gali kauptis skystis (plaučių edema), sukeldamas dusulį, kuris gali išsivystyti per 24 – 48 valandas nuo vaisto pavartojimo.</w:t>
      </w:r>
    </w:p>
    <w:p w14:paraId="17C1849E" w14:textId="77777777" w:rsidR="0027344F" w:rsidRPr="004C5A75" w:rsidRDefault="0027344F" w:rsidP="00D75E9B">
      <w:pPr>
        <w:pStyle w:val="Pagrindinistekstas2"/>
        <w:spacing w:after="0" w:line="240" w:lineRule="auto"/>
        <w:rPr>
          <w:rFonts w:ascii="Times New Roman" w:hAnsi="Times New Roman"/>
          <w:sz w:val="22"/>
          <w:szCs w:val="22"/>
          <w:lang w:val="lt-LT"/>
        </w:rPr>
      </w:pPr>
    </w:p>
    <w:p w14:paraId="17C1849F" w14:textId="77777777" w:rsidR="00D75E9B" w:rsidRPr="004C5A75" w:rsidRDefault="00D75E9B" w:rsidP="00D75E9B">
      <w:pPr>
        <w:rPr>
          <w:rFonts w:ascii="Times New Roman" w:hAnsi="Times New Roman"/>
          <w:b/>
          <w:bCs/>
          <w:sz w:val="22"/>
          <w:szCs w:val="22"/>
          <w:lang w:val="lt-LT"/>
        </w:rPr>
      </w:pPr>
      <w:r w:rsidRPr="004C5A75">
        <w:rPr>
          <w:rFonts w:ascii="Times New Roman" w:hAnsi="Times New Roman"/>
          <w:b/>
          <w:bCs/>
          <w:sz w:val="22"/>
          <w:szCs w:val="22"/>
          <w:lang w:val="lt-LT"/>
        </w:rPr>
        <w:t>Pamiršus pavartoti</w:t>
      </w:r>
      <w:r w:rsidRPr="004C5A75">
        <w:rPr>
          <w:rFonts w:ascii="Times New Roman" w:hAnsi="Times New Roman"/>
          <w:b/>
          <w:sz w:val="22"/>
          <w:szCs w:val="22"/>
          <w:lang w:val="lt-LT"/>
        </w:rPr>
        <w:t xml:space="preserve"> </w:t>
      </w:r>
      <w:r w:rsidRPr="004C5A75">
        <w:rPr>
          <w:rFonts w:ascii="Times New Roman" w:hAnsi="Times New Roman"/>
          <w:b/>
          <w:bCs/>
          <w:sz w:val="22"/>
          <w:szCs w:val="22"/>
          <w:lang w:val="lt-LT"/>
        </w:rPr>
        <w:t>DIRONORM</w:t>
      </w:r>
    </w:p>
    <w:p w14:paraId="17C184A0" w14:textId="77777777" w:rsidR="00D75E9B" w:rsidRPr="004C5A75" w:rsidRDefault="00D75E9B" w:rsidP="00D75E9B">
      <w:pPr>
        <w:pStyle w:val="Antrat1"/>
        <w:spacing w:before="0" w:after="0"/>
        <w:rPr>
          <w:rFonts w:ascii="Times New Roman" w:hAnsi="Times New Roman"/>
          <w:b w:val="0"/>
          <w:bCs w:val="0"/>
          <w:sz w:val="22"/>
          <w:szCs w:val="22"/>
          <w:lang w:val="lt-LT"/>
        </w:rPr>
      </w:pPr>
      <w:r w:rsidRPr="004C5A75">
        <w:rPr>
          <w:rFonts w:ascii="Times New Roman" w:hAnsi="Times New Roman"/>
          <w:b w:val="0"/>
          <w:bCs w:val="0"/>
          <w:sz w:val="22"/>
          <w:szCs w:val="22"/>
          <w:lang w:val="lt-LT"/>
        </w:rPr>
        <w:t>Negalima vartoti dvigubos dozės norint kompensuoti praleistą tabletę, nes tai gali sukelti perdozavimo pavojų. Kitą tabletę vartokite įprastu laiku.</w:t>
      </w:r>
    </w:p>
    <w:p w14:paraId="17C184A1" w14:textId="77777777" w:rsidR="00D75E9B" w:rsidRPr="004C5A75" w:rsidRDefault="00D75E9B" w:rsidP="00C97BD4">
      <w:pPr>
        <w:pStyle w:val="BTEMEASMCA"/>
        <w:rPr>
          <w:lang w:val="lt-LT"/>
        </w:rPr>
      </w:pPr>
    </w:p>
    <w:p w14:paraId="17C184A2" w14:textId="77777777" w:rsidR="00D75E9B" w:rsidRPr="0026536C" w:rsidRDefault="00D75E9B" w:rsidP="00C97BD4">
      <w:pPr>
        <w:pStyle w:val="BTEMEASMCA"/>
        <w:rPr>
          <w:lang w:val="lt-LT"/>
        </w:rPr>
      </w:pPr>
      <w:r w:rsidRPr="0026536C">
        <w:rPr>
          <w:lang w:val="lt-LT"/>
        </w:rPr>
        <w:t>Nustojus vartoti DIRONORM</w:t>
      </w:r>
    </w:p>
    <w:p w14:paraId="17C184A3" w14:textId="77777777" w:rsidR="00D75E9B" w:rsidRPr="0026536C" w:rsidRDefault="00D75E9B" w:rsidP="00C97BD4">
      <w:pPr>
        <w:pStyle w:val="BTEMEASMCA"/>
        <w:rPr>
          <w:lang w:val="lt-LT"/>
        </w:rPr>
      </w:pPr>
      <w:r w:rsidRPr="0026536C">
        <w:rPr>
          <w:lang w:val="lt-LT"/>
        </w:rPr>
        <w:t>Tabletes vartokite tol, kol gydytojas nurodys nustoti vartojus. Jei jaučiatės geriau, nenutraukite tablečių vartojimo. Jei nustosite vartoti, Jūsų būklė gali pablogėti.</w:t>
      </w:r>
    </w:p>
    <w:p w14:paraId="17C184A4" w14:textId="77777777" w:rsidR="00D75E9B" w:rsidRPr="0026536C" w:rsidRDefault="00D75E9B" w:rsidP="00C97BD4">
      <w:pPr>
        <w:pStyle w:val="BTEMEASMCA"/>
        <w:rPr>
          <w:lang w:val="lt-LT"/>
        </w:rPr>
      </w:pPr>
    </w:p>
    <w:p w14:paraId="17C184A5" w14:textId="77777777" w:rsidR="00D75E9B" w:rsidRPr="0026536C" w:rsidRDefault="00D75E9B" w:rsidP="00C97BD4">
      <w:pPr>
        <w:pStyle w:val="BTEMEASMCA"/>
        <w:rPr>
          <w:lang w:val="lt-LT"/>
        </w:rPr>
      </w:pPr>
      <w:r w:rsidRPr="0026536C">
        <w:rPr>
          <w:lang w:val="lt-LT"/>
        </w:rPr>
        <w:t>Jeigu kiltų daugiau klausimų dėl šio vaisto vartojimo, kreipkitės į gydytoją arba vaistininką.</w:t>
      </w:r>
    </w:p>
    <w:p w14:paraId="17C184A6" w14:textId="77777777" w:rsidR="00D75E9B" w:rsidRPr="0026536C" w:rsidRDefault="00D75E9B" w:rsidP="00C97BD4">
      <w:pPr>
        <w:pStyle w:val="BTEMEASMCA"/>
        <w:rPr>
          <w:lang w:val="lt-LT"/>
        </w:rPr>
      </w:pPr>
    </w:p>
    <w:p w14:paraId="17C184A7" w14:textId="77777777" w:rsidR="00D75E9B" w:rsidRPr="0026536C" w:rsidRDefault="00D75E9B" w:rsidP="00C97BD4">
      <w:pPr>
        <w:pStyle w:val="BTEMEASMCA"/>
        <w:rPr>
          <w:lang w:val="lt-LT"/>
        </w:rPr>
      </w:pPr>
    </w:p>
    <w:p w14:paraId="17C184A8" w14:textId="77777777" w:rsidR="00D75E9B" w:rsidRPr="004C5A75" w:rsidRDefault="00D75E9B" w:rsidP="00D75E9B">
      <w:pPr>
        <w:pStyle w:val="PI-1EMEASMCA"/>
        <w:rPr>
          <w:lang w:val="lt-LT"/>
        </w:rPr>
      </w:pPr>
      <w:bookmarkStart w:id="19" w:name="_Toc129243142"/>
      <w:bookmarkStart w:id="20" w:name="_Toc129243267"/>
      <w:r w:rsidRPr="004C5A75">
        <w:rPr>
          <w:lang w:val="lt-LT"/>
        </w:rPr>
        <w:t>4.</w:t>
      </w:r>
      <w:r w:rsidRPr="004C5A75">
        <w:rPr>
          <w:lang w:val="lt-LT"/>
        </w:rPr>
        <w:tab/>
        <w:t xml:space="preserve">Galimas šalutinis poveikis </w:t>
      </w:r>
      <w:bookmarkEnd w:id="19"/>
      <w:bookmarkEnd w:id="20"/>
    </w:p>
    <w:p w14:paraId="17C184A9" w14:textId="77777777" w:rsidR="00D75E9B" w:rsidRPr="004C5A75" w:rsidRDefault="00D75E9B" w:rsidP="00C97BD4">
      <w:pPr>
        <w:pStyle w:val="BTEMEASMCA"/>
        <w:rPr>
          <w:lang w:val="lt-LT"/>
        </w:rPr>
      </w:pPr>
    </w:p>
    <w:p w14:paraId="17C184AA" w14:textId="77777777" w:rsidR="00D75E9B" w:rsidRPr="0026536C" w:rsidRDefault="00D75E9B" w:rsidP="00C97BD4">
      <w:pPr>
        <w:pStyle w:val="BTEMEASMCA"/>
        <w:rPr>
          <w:lang w:val="lt-LT"/>
        </w:rPr>
      </w:pPr>
      <w:r w:rsidRPr="0026536C">
        <w:rPr>
          <w:lang w:val="lt-LT"/>
        </w:rPr>
        <w:t>Šis vaistas, kaip ir visi kiti, gali sukelti šalutinį poveikį, nors jis pasireiškia ne visiems žmonėms.</w:t>
      </w:r>
    </w:p>
    <w:p w14:paraId="17C184AB" w14:textId="77777777" w:rsidR="00D75E9B" w:rsidRPr="0026536C" w:rsidRDefault="00D75E9B" w:rsidP="00C97BD4">
      <w:pPr>
        <w:pStyle w:val="BTEMEASMCA"/>
        <w:rPr>
          <w:lang w:val="lt-LT"/>
        </w:rPr>
      </w:pPr>
    </w:p>
    <w:p w14:paraId="17C184AC" w14:textId="35B918DA" w:rsidR="00D75E9B" w:rsidRPr="0026536C" w:rsidRDefault="0027344F" w:rsidP="00C97BD4">
      <w:pPr>
        <w:pStyle w:val="BTEMEASMCA"/>
        <w:rPr>
          <w:lang w:val="lt-LT"/>
        </w:rPr>
      </w:pPr>
      <w:r w:rsidRPr="0027344F">
        <w:rPr>
          <w:lang w:val="lt-LT"/>
        </w:rPr>
        <w:t>Dažni šalutinio poveikio reiškiniai (gali pasireikšti rečiau kaip 1 iš 10 asmenų</w:t>
      </w:r>
      <w:r w:rsidR="00D75E9B" w:rsidRPr="0026536C">
        <w:rPr>
          <w:lang w:val="lt-LT"/>
        </w:rPr>
        <w:t>)</w:t>
      </w:r>
    </w:p>
    <w:p w14:paraId="17C184AD" w14:textId="77777777" w:rsidR="00D75E9B" w:rsidRPr="0026536C" w:rsidRDefault="00D75E9B" w:rsidP="00C97BD4">
      <w:pPr>
        <w:pStyle w:val="BTEMEASMCA"/>
        <w:rPr>
          <w:lang w:val="lt-LT"/>
        </w:rPr>
      </w:pPr>
      <w:r w:rsidRPr="0026536C">
        <w:rPr>
          <w:lang w:val="lt-LT"/>
        </w:rPr>
        <w:t>Klinikiniuose DIRONORM tyrimuose dažnai  pasireiškė šie šalutiniai poveikiai: galvos skausmas, kosulys, galvos svaigimas.</w:t>
      </w:r>
    </w:p>
    <w:p w14:paraId="17C184AE" w14:textId="77777777" w:rsidR="00D75E9B" w:rsidRPr="0026536C" w:rsidRDefault="00D75E9B" w:rsidP="00C97BD4">
      <w:pPr>
        <w:pStyle w:val="BTEMEASMCA"/>
        <w:rPr>
          <w:lang w:val="lt-LT"/>
        </w:rPr>
      </w:pPr>
    </w:p>
    <w:p w14:paraId="17C184AF" w14:textId="77777777" w:rsidR="00D75E9B" w:rsidRPr="0026536C" w:rsidRDefault="00D75E9B" w:rsidP="00C97BD4">
      <w:pPr>
        <w:pStyle w:val="BTEMEASMCA"/>
        <w:rPr>
          <w:lang w:val="lt-LT"/>
        </w:rPr>
      </w:pPr>
      <w:r w:rsidRPr="0026536C">
        <w:rPr>
          <w:lang w:val="lt-LT"/>
        </w:rPr>
        <w:t>Vartojant DIRONORM galimos alerginės (padidėjusio jautrumo) reakcijos.</w:t>
      </w:r>
    </w:p>
    <w:p w14:paraId="17C184B0" w14:textId="77777777" w:rsidR="00D75E9B" w:rsidRPr="0026536C" w:rsidRDefault="00D75E9B" w:rsidP="00C97BD4">
      <w:pPr>
        <w:pStyle w:val="BTEMEASMCA"/>
        <w:rPr>
          <w:lang w:val="lt-LT"/>
        </w:rPr>
      </w:pPr>
      <w:r w:rsidRPr="0026536C">
        <w:rPr>
          <w:lang w:val="lt-LT"/>
        </w:rPr>
        <w:t>Nutraukite</w:t>
      </w:r>
      <w:r w:rsidRPr="0026536C">
        <w:rPr>
          <w:i/>
          <w:lang w:val="lt-LT"/>
        </w:rPr>
        <w:t xml:space="preserve"> </w:t>
      </w:r>
      <w:r w:rsidRPr="0026536C">
        <w:rPr>
          <w:lang w:val="lt-LT"/>
        </w:rPr>
        <w:t>DIRONORM vartojimą ir nedelsiant kreipkitės medicininės pagalbos, jei atsiranda šie angioneurozinės edemos požymiai:</w:t>
      </w:r>
    </w:p>
    <w:p w14:paraId="17C184B1" w14:textId="77777777" w:rsidR="00D75E9B" w:rsidRPr="0026536C" w:rsidRDefault="00D75E9B" w:rsidP="00C97BD4">
      <w:pPr>
        <w:pStyle w:val="BTEMEASMCA"/>
        <w:rPr>
          <w:lang w:val="lt-LT"/>
        </w:rPr>
      </w:pPr>
      <w:r w:rsidRPr="0026536C">
        <w:rPr>
          <w:lang w:val="lt-LT"/>
        </w:rPr>
        <w:t>-</w:t>
      </w:r>
      <w:r w:rsidRPr="0026536C">
        <w:rPr>
          <w:lang w:val="lt-LT"/>
        </w:rPr>
        <w:tab/>
        <w:t>pasunkėjęs kvėpavimas su ar be veido, lūpų, liežuvio ir (arba) gerklės tinimo.</w:t>
      </w:r>
    </w:p>
    <w:p w14:paraId="17C184B2" w14:textId="77777777" w:rsidR="00D75E9B" w:rsidRPr="0026536C" w:rsidRDefault="00D75E9B" w:rsidP="00C97BD4">
      <w:pPr>
        <w:pStyle w:val="BTEMEASMCA"/>
        <w:rPr>
          <w:lang w:val="lt-LT"/>
        </w:rPr>
      </w:pPr>
      <w:r w:rsidRPr="0026536C">
        <w:rPr>
          <w:lang w:val="lt-LT"/>
        </w:rPr>
        <w:t>-</w:t>
      </w:r>
      <w:r w:rsidRPr="0026536C">
        <w:rPr>
          <w:lang w:val="lt-LT"/>
        </w:rPr>
        <w:tab/>
        <w:t>veido, lūpų, liežuvio ir (arba) gerklės tinimas, dėl kurio gali būti sunku ryti.</w:t>
      </w:r>
    </w:p>
    <w:p w14:paraId="17C184B3" w14:textId="77777777" w:rsidR="00D75E9B" w:rsidRPr="0084699D" w:rsidRDefault="00D75E9B" w:rsidP="00EB1DEF">
      <w:pPr>
        <w:pStyle w:val="BTEMEASMCA"/>
        <w:rPr>
          <w:lang w:val="lt-LT"/>
        </w:rPr>
      </w:pPr>
      <w:r w:rsidRPr="0026536C">
        <w:rPr>
          <w:lang w:val="lt-LT"/>
        </w:rPr>
        <w:lastRenderedPageBreak/>
        <w:t>-</w:t>
      </w:r>
      <w:r w:rsidRPr="0026536C">
        <w:rPr>
          <w:lang w:val="lt-LT"/>
        </w:rPr>
        <w:tab/>
      </w:r>
      <w:r w:rsidR="0084699D" w:rsidRPr="0084699D">
        <w:rPr>
          <w:lang w:val="lt-LT"/>
        </w:rPr>
        <w:t>sunkios odos reakcijos, įskaitant intensyvų odos išbėrimą, dilgėlinę, viso kūno odos paraudimą, sunkų niežėjimą, odos pūslėtumą, lupimą ir patinimą, gleivinių uždegimą (Stivenso- Džonsono [Stevens-Johnson] sindromas, toksinė epidermio nekrolizė) arba kitos alerginės reakcijos.</w:t>
      </w:r>
    </w:p>
    <w:p w14:paraId="17C184B4" w14:textId="77777777" w:rsidR="00D75E9B" w:rsidRPr="0026536C" w:rsidRDefault="00D75E9B" w:rsidP="00C97BD4">
      <w:pPr>
        <w:pStyle w:val="BTEMEASMCA"/>
        <w:rPr>
          <w:lang w:val="lt-LT"/>
        </w:rPr>
      </w:pPr>
    </w:p>
    <w:p w14:paraId="17C184B5" w14:textId="77777777" w:rsidR="00D75E9B" w:rsidRPr="0026536C" w:rsidRDefault="00D75E9B" w:rsidP="00C97BD4">
      <w:pPr>
        <w:pStyle w:val="BTEMEASMCA"/>
        <w:rPr>
          <w:lang w:val="lt-LT"/>
        </w:rPr>
      </w:pPr>
      <w:r w:rsidRPr="0026536C">
        <w:rPr>
          <w:lang w:val="lt-LT"/>
        </w:rPr>
        <w:t xml:space="preserve">Kiti šalutiniai poveikiai buvo stebimi vartojant arba amlodipiną, arba lizinoprilį atskirai (dvi veikliosios DIRONORM medžiagos) ir gali pasireikšti vartojant DIRONORM: </w:t>
      </w:r>
    </w:p>
    <w:p w14:paraId="17C184B6" w14:textId="77777777" w:rsidR="00D75E9B" w:rsidRPr="0026536C" w:rsidRDefault="00D75E9B" w:rsidP="00C97BD4">
      <w:pPr>
        <w:pStyle w:val="BTEMEASMCA"/>
        <w:rPr>
          <w:lang w:val="lt-LT"/>
        </w:rPr>
      </w:pPr>
    </w:p>
    <w:p w14:paraId="17C184B7" w14:textId="77777777" w:rsidR="00D75E9B" w:rsidRPr="0026536C" w:rsidRDefault="00D75E9B" w:rsidP="00C97BD4">
      <w:pPr>
        <w:pStyle w:val="BTEMEASMCA"/>
        <w:rPr>
          <w:i/>
          <w:iCs/>
          <w:lang w:val="lt-LT"/>
        </w:rPr>
      </w:pPr>
      <w:r w:rsidRPr="0026536C">
        <w:rPr>
          <w:lang w:val="lt-LT"/>
        </w:rPr>
        <w:t>Amlodipinas</w:t>
      </w:r>
    </w:p>
    <w:p w14:paraId="17C184B8" w14:textId="77777777" w:rsidR="00D75E9B" w:rsidRPr="004C5A75" w:rsidRDefault="00D75E9B" w:rsidP="00D75E9B">
      <w:pPr>
        <w:pStyle w:val="prastasiniatinklio1"/>
        <w:spacing w:before="0" w:beforeAutospacing="0" w:after="0" w:afterAutospacing="0"/>
        <w:rPr>
          <w:i/>
          <w:iCs/>
          <w:sz w:val="22"/>
          <w:szCs w:val="22"/>
          <w:lang w:val="lt-LT"/>
        </w:rPr>
      </w:pPr>
    </w:p>
    <w:p w14:paraId="17C184BA" w14:textId="75B27E5B" w:rsidR="00D75E9B" w:rsidRPr="004C5A75" w:rsidRDefault="0027344F" w:rsidP="00D75E9B">
      <w:pPr>
        <w:pStyle w:val="prastasiniatinklio1"/>
        <w:spacing w:before="0" w:beforeAutospacing="0" w:after="0" w:afterAutospacing="0"/>
        <w:rPr>
          <w:iCs/>
          <w:sz w:val="22"/>
          <w:szCs w:val="22"/>
          <w:lang w:val="lt-LT"/>
        </w:rPr>
      </w:pPr>
      <w:r w:rsidRPr="0027344F">
        <w:rPr>
          <w:i/>
          <w:iCs/>
          <w:sz w:val="22"/>
          <w:szCs w:val="22"/>
          <w:lang w:val="lt-LT"/>
        </w:rPr>
        <w:t>Labai dažni šalutinio poveikio reiškiniai (gali pasireikšti ne rečiau kaip 1 iš 10 asmenų)</w:t>
      </w:r>
      <w:r w:rsidRPr="004C5A75" w:rsidDel="0027344F">
        <w:rPr>
          <w:i/>
          <w:iCs/>
          <w:sz w:val="22"/>
          <w:szCs w:val="22"/>
          <w:lang w:val="lt-LT"/>
        </w:rPr>
        <w:t xml:space="preserve"> </w:t>
      </w:r>
      <w:r w:rsidR="00D75E9B" w:rsidRPr="004C5A75">
        <w:rPr>
          <w:iCs/>
          <w:sz w:val="22"/>
          <w:szCs w:val="22"/>
          <w:lang w:val="lt-LT"/>
        </w:rPr>
        <w:t>Patinimas (edema)</w:t>
      </w:r>
    </w:p>
    <w:p w14:paraId="17C184BB" w14:textId="77777777" w:rsidR="00D75E9B" w:rsidRPr="004C5A75" w:rsidRDefault="00D75E9B" w:rsidP="00D75E9B">
      <w:pPr>
        <w:pStyle w:val="prastasiniatinklio1"/>
        <w:spacing w:before="0" w:beforeAutospacing="0" w:after="0" w:afterAutospacing="0"/>
        <w:rPr>
          <w:i/>
          <w:iCs/>
          <w:sz w:val="22"/>
          <w:szCs w:val="22"/>
          <w:lang w:val="lt-LT"/>
        </w:rPr>
      </w:pPr>
    </w:p>
    <w:p w14:paraId="17C184BC" w14:textId="1B68B259" w:rsidR="00D75E9B" w:rsidRPr="004C5A75" w:rsidRDefault="00EB7BF3" w:rsidP="00D75E9B">
      <w:pPr>
        <w:pStyle w:val="prastasiniatinklio1"/>
        <w:spacing w:before="0" w:beforeAutospacing="0" w:after="0" w:afterAutospacing="0"/>
        <w:rPr>
          <w:i/>
          <w:iCs/>
          <w:sz w:val="22"/>
          <w:szCs w:val="22"/>
          <w:lang w:val="lt-LT"/>
        </w:rPr>
      </w:pPr>
      <w:r w:rsidRPr="00EB7BF3">
        <w:rPr>
          <w:i/>
          <w:iCs/>
          <w:sz w:val="22"/>
          <w:szCs w:val="22"/>
          <w:lang w:val="lt-LT"/>
        </w:rPr>
        <w:t>Dažni šalutinio poveikio reiškiniai (gali pasireikšti rečiau kaip 1 iš 10 asmenų)</w:t>
      </w:r>
    </w:p>
    <w:p w14:paraId="17C184BD" w14:textId="77777777" w:rsidR="00D75E9B" w:rsidRPr="004C5A75" w:rsidRDefault="00D75E9B" w:rsidP="00D75E9B">
      <w:pPr>
        <w:pStyle w:val="prastasiniatinklio1"/>
        <w:spacing w:before="0" w:beforeAutospacing="0" w:after="0" w:afterAutospacing="0"/>
        <w:rPr>
          <w:sz w:val="22"/>
          <w:szCs w:val="22"/>
          <w:lang w:val="lt-LT"/>
        </w:rPr>
      </w:pPr>
      <w:r w:rsidRPr="004C5A75">
        <w:rPr>
          <w:sz w:val="22"/>
          <w:szCs w:val="22"/>
          <w:lang w:val="lt-LT"/>
        </w:rPr>
        <w:t xml:space="preserve">Galvos skausmas, kulkšnių patinimas,mėšlungis, nuovargis, silpnumas, mieguistumas, regos sutrikimai, blogavimas, žarnyno funkcijos pokyčiai( viduriavimas, vidurių užkietėjimas), nevirškinimas,  galvos svaigimas, pilvo skausmas, širdies plakimo pojūtis (greitesnis ar nereguliarus širdies ritmas),paraudimas, pasunkėjęs kvėpavimas. Jei toks poveikis sukelia problemų arba trunka daugiau kaip vieną savaitę, pasakykite gydytojui. </w:t>
      </w:r>
    </w:p>
    <w:p w14:paraId="17C184BE" w14:textId="77777777" w:rsidR="00D75E9B" w:rsidRPr="004C5A75" w:rsidRDefault="00D75E9B" w:rsidP="00D75E9B">
      <w:pPr>
        <w:pStyle w:val="prastasiniatinklio1"/>
        <w:spacing w:before="0" w:beforeAutospacing="0" w:after="0" w:afterAutospacing="0"/>
        <w:rPr>
          <w:sz w:val="22"/>
          <w:szCs w:val="22"/>
          <w:lang w:val="lt-LT"/>
        </w:rPr>
      </w:pPr>
    </w:p>
    <w:p w14:paraId="17C184C0" w14:textId="3E6D3EE3" w:rsidR="00D75E9B" w:rsidRPr="004C5A75" w:rsidRDefault="00EB7BF3" w:rsidP="00D75E9B">
      <w:pPr>
        <w:pStyle w:val="prastasiniatinklio1"/>
        <w:spacing w:before="0" w:beforeAutospacing="0" w:after="0" w:afterAutospacing="0"/>
        <w:rPr>
          <w:sz w:val="22"/>
          <w:szCs w:val="22"/>
          <w:lang w:val="lt-LT"/>
        </w:rPr>
      </w:pPr>
      <w:r w:rsidRPr="00EB7BF3">
        <w:rPr>
          <w:i/>
          <w:sz w:val="22"/>
          <w:szCs w:val="22"/>
          <w:lang w:val="lt-LT"/>
        </w:rPr>
        <w:t>Nedažni šalutinio poveikio reiškiniai (gali pasireikšti rečiau kaip 1 iš 100 asmenų)</w:t>
      </w:r>
      <w:r w:rsidRPr="004C5A75" w:rsidDel="00EB7BF3">
        <w:rPr>
          <w:i/>
          <w:sz w:val="22"/>
          <w:szCs w:val="22"/>
          <w:lang w:val="lt-LT"/>
        </w:rPr>
        <w:t xml:space="preserve"> </w:t>
      </w:r>
      <w:r w:rsidR="00D75E9B" w:rsidRPr="004C5A75">
        <w:rPr>
          <w:sz w:val="22"/>
          <w:szCs w:val="22"/>
          <w:lang w:val="lt-LT"/>
        </w:rPr>
        <w:t>Odos bėrimas, odos niežėjimas, plaukų slinkimas, raudonos dėmės odoje, pakitusi odos spalva, dilgėlinė,  vėmimas, raumenų ar sąnarių skausmas, nugaros skausmas, krūtinės skausmas, nuotaikos kitimai (įskaitant nerimą), prislėgta nuotaika, nemiga, drebulys, spengimas ausyse, nereguliarus širdies ritmas (aritmija), sumažėjęs kraujospūdis, kosulys, skonio jutimo pokyčiai, parestezijos (tirpulio ar dilgsėjimo pojūtis), išskyros iš nosies, šlapinimosi padažnėjimas naktį, šlapinimosi sutrikimai, burnos džiūvimas, skausmo jutimo nebuvimas, padidėjęs prakaitavimas, alpulys, skausmas, negalavimas (bloga bendra savijauta), vyrams - krūtų padidėjimas, impotencija, kūno svorio padidėjimas ar sumažėjimas.</w:t>
      </w:r>
    </w:p>
    <w:p w14:paraId="17C184C1" w14:textId="77777777" w:rsidR="00D75E9B" w:rsidRPr="004C5A75" w:rsidRDefault="00D75E9B" w:rsidP="00D75E9B">
      <w:pPr>
        <w:pStyle w:val="prastasiniatinklio1"/>
        <w:spacing w:before="0" w:beforeAutospacing="0" w:after="0" w:afterAutospacing="0"/>
        <w:rPr>
          <w:sz w:val="22"/>
          <w:szCs w:val="22"/>
          <w:lang w:val="lt-LT"/>
        </w:rPr>
      </w:pPr>
    </w:p>
    <w:p w14:paraId="17C184C2" w14:textId="00125420" w:rsidR="00D75E9B" w:rsidRPr="004C5A75" w:rsidRDefault="00EB7BF3" w:rsidP="00C97BD4">
      <w:pPr>
        <w:pStyle w:val="BTEMEASMCA"/>
        <w:rPr>
          <w:lang w:val="lt-LT"/>
        </w:rPr>
      </w:pPr>
      <w:r w:rsidRPr="00EB7BF3">
        <w:rPr>
          <w:lang w:val="lt-LT"/>
        </w:rPr>
        <w:t xml:space="preserve">Reti šalutinio poveikio reiškiniai (gali pasireikšti rečiau kaip 1 iš 1 000 asmenų) </w:t>
      </w:r>
    </w:p>
    <w:p w14:paraId="17C184C3" w14:textId="77777777" w:rsidR="00D75E9B" w:rsidRPr="004C5A75" w:rsidRDefault="00D75E9B" w:rsidP="00D75E9B">
      <w:pPr>
        <w:pStyle w:val="prastasiniatinklio1"/>
        <w:spacing w:before="0" w:beforeAutospacing="0" w:after="0" w:afterAutospacing="0"/>
        <w:rPr>
          <w:sz w:val="22"/>
          <w:szCs w:val="22"/>
          <w:lang w:val="lt-LT"/>
        </w:rPr>
      </w:pPr>
      <w:r w:rsidRPr="004C5A75">
        <w:rPr>
          <w:sz w:val="22"/>
          <w:szCs w:val="22"/>
          <w:lang w:val="lt-LT"/>
        </w:rPr>
        <w:t>Sumišimas (minčių susipainiojimas).</w:t>
      </w:r>
    </w:p>
    <w:p w14:paraId="17C184C4" w14:textId="77777777" w:rsidR="00D75E9B" w:rsidRPr="004C5A75" w:rsidRDefault="00D75E9B" w:rsidP="00D75E9B">
      <w:pPr>
        <w:pStyle w:val="prastasiniatinklio1"/>
        <w:spacing w:before="0" w:beforeAutospacing="0" w:after="0" w:afterAutospacing="0"/>
        <w:rPr>
          <w:sz w:val="22"/>
          <w:szCs w:val="22"/>
          <w:lang w:val="lt-LT"/>
        </w:rPr>
      </w:pPr>
    </w:p>
    <w:p w14:paraId="17C184C5" w14:textId="5A31F1F1" w:rsidR="00D75E9B" w:rsidRPr="004C5A75" w:rsidRDefault="00EB7BF3" w:rsidP="00C97BD4">
      <w:pPr>
        <w:pStyle w:val="BTEMEASMCA"/>
        <w:rPr>
          <w:lang w:val="lt-LT"/>
        </w:rPr>
      </w:pPr>
      <w:r w:rsidRPr="00EB7BF3">
        <w:rPr>
          <w:lang w:val="lt-LT"/>
        </w:rPr>
        <w:t>Labai reti šalutinio poveikio reiškiniai (gali pasireikšti rečiau kaip 1 iš 10 000 asmenų</w:t>
      </w:r>
      <w:r>
        <w:rPr>
          <w:lang w:val="lt-LT"/>
        </w:rPr>
        <w:t>)</w:t>
      </w:r>
      <w:r w:rsidRPr="00EB7BF3">
        <w:rPr>
          <w:lang w:val="lt-LT"/>
        </w:rPr>
        <w:t xml:space="preserve"> </w:t>
      </w:r>
    </w:p>
    <w:p w14:paraId="17C184C6" w14:textId="77777777" w:rsidR="00D75E9B" w:rsidRPr="004C5A75" w:rsidRDefault="00D75E9B" w:rsidP="00D75E9B">
      <w:pPr>
        <w:pStyle w:val="prastasiniatinklio1"/>
        <w:spacing w:before="0" w:beforeAutospacing="0" w:after="0" w:afterAutospacing="0"/>
        <w:rPr>
          <w:sz w:val="22"/>
          <w:szCs w:val="22"/>
          <w:lang w:val="lt-LT"/>
        </w:rPr>
      </w:pPr>
      <w:r w:rsidRPr="004C5A75">
        <w:rPr>
          <w:sz w:val="22"/>
          <w:szCs w:val="22"/>
          <w:lang w:val="lt-LT"/>
        </w:rPr>
        <w:t>Alerginės reakcijos, nenormalūs kepenų funkcijos tyrimai, kepenų uždegimas (hepatitas), odos pageltimas, sumažėjęs kraujo baltųjų ląstelių ir kraujo plokštelių skaičius, padidėjęs cukraus kiekis kraujyje, širdies priepuolis (miokardo infarktas), , sunkios odos reakcijos (dilgėlinė, odos žvyneliai ar odos lupimasis), sunkios alerginės reakcijos, lydimos karščiavimo, raudonų dėmių, sąnarių skausmo ir (arba) akių sutrikimų (Stivenso-Džonsono [</w:t>
      </w:r>
      <w:r w:rsidRPr="004C5A75">
        <w:rPr>
          <w:i/>
          <w:iCs/>
          <w:sz w:val="22"/>
          <w:szCs w:val="22"/>
          <w:lang w:val="lt-LT"/>
        </w:rPr>
        <w:t>Stevens-Johnson</w:t>
      </w:r>
      <w:r w:rsidRPr="004C5A75">
        <w:rPr>
          <w:sz w:val="22"/>
          <w:szCs w:val="22"/>
          <w:lang w:val="lt-LT"/>
        </w:rPr>
        <w:t>] sindromas), lūpų, akių vokų ir lyties organų paburkimas (Kvinkės [Quincke] edema), dantenų patinimas ar skausmas, kasos uždegimas (pankreatitas), skrandžio gleivinės uždegimas (gastritas), padidėjęs jautrumas šviesai, hipertonija (padidėjęs raumenų tonusas), periferinė neuropatija (nervų sutrikimas, sukeliantis silpnumo ir dilgsėjimo pojūtį), kraujagyslių uždegimas.</w:t>
      </w:r>
    </w:p>
    <w:p w14:paraId="17C184C7" w14:textId="77777777" w:rsidR="00D75E9B" w:rsidRPr="0026536C" w:rsidRDefault="00D75E9B" w:rsidP="00D75E9B">
      <w:pPr>
        <w:rPr>
          <w:rFonts w:ascii="Times New Roman" w:hAnsi="Times New Roman"/>
          <w:b/>
          <w:sz w:val="22"/>
          <w:lang w:val="lt-LT"/>
        </w:rPr>
      </w:pPr>
    </w:p>
    <w:p w14:paraId="17C184C8" w14:textId="491B8BBC" w:rsidR="00D75E9B" w:rsidRPr="0026536C" w:rsidRDefault="005B0712" w:rsidP="00D75E9B">
      <w:pPr>
        <w:rPr>
          <w:rFonts w:ascii="Times New Roman" w:hAnsi="Times New Roman"/>
          <w:i/>
          <w:sz w:val="22"/>
          <w:szCs w:val="22"/>
          <w:lang w:val="lt-LT"/>
        </w:rPr>
      </w:pPr>
      <w:r w:rsidRPr="00EB1DEF">
        <w:rPr>
          <w:rFonts w:ascii="Times New Roman" w:hAnsi="Times New Roman"/>
          <w:i/>
          <w:sz w:val="22"/>
          <w:szCs w:val="22"/>
          <w:lang w:val="lt-LT"/>
        </w:rPr>
        <w:t>Šalutinio poveikio reiškiniai, kurių dažnis nežinomas (negali būti apskaičiuotas pagal turimus duomenis)</w:t>
      </w:r>
    </w:p>
    <w:p w14:paraId="17C184C9" w14:textId="77777777" w:rsidR="00D75E9B" w:rsidRPr="004C5A75" w:rsidRDefault="00D75E9B" w:rsidP="00D75E9B">
      <w:pPr>
        <w:tabs>
          <w:tab w:val="num" w:pos="360"/>
          <w:tab w:val="num" w:pos="1083"/>
        </w:tabs>
        <w:rPr>
          <w:rFonts w:ascii="Times New Roman" w:hAnsi="Times New Roman"/>
          <w:sz w:val="22"/>
          <w:szCs w:val="22"/>
          <w:lang w:val="lt-LT"/>
        </w:rPr>
      </w:pPr>
      <w:r w:rsidRPr="004C5A75">
        <w:rPr>
          <w:rFonts w:ascii="Times New Roman" w:hAnsi="Times New Roman"/>
          <w:sz w:val="22"/>
          <w:szCs w:val="22"/>
          <w:lang w:val="lt-LT"/>
        </w:rPr>
        <w:t>Drebulys, sukaustyta laikysena, kaukę primenantis veidas, sulėtėję judesiai ir sąstingis, sutrikusi eisena.</w:t>
      </w:r>
    </w:p>
    <w:p w14:paraId="17C184CA" w14:textId="77777777" w:rsidR="00D75E9B" w:rsidRPr="004C5A75" w:rsidRDefault="00D75E9B" w:rsidP="00D75E9B">
      <w:pPr>
        <w:pStyle w:val="prastasiniatinklio1"/>
        <w:spacing w:before="0" w:beforeAutospacing="0" w:after="0" w:afterAutospacing="0"/>
        <w:rPr>
          <w:sz w:val="22"/>
          <w:szCs w:val="22"/>
          <w:lang w:val="lt-LT"/>
        </w:rPr>
      </w:pPr>
    </w:p>
    <w:p w14:paraId="17C184CB" w14:textId="77777777" w:rsidR="00D75E9B" w:rsidRPr="004C5A75" w:rsidRDefault="00D75E9B" w:rsidP="00D75E9B">
      <w:pPr>
        <w:pStyle w:val="prastasiniatinklio1"/>
        <w:spacing w:before="0" w:beforeAutospacing="0" w:after="0" w:afterAutospacing="0"/>
        <w:rPr>
          <w:sz w:val="22"/>
          <w:szCs w:val="22"/>
          <w:u w:val="single"/>
          <w:lang w:val="lt-LT"/>
        </w:rPr>
      </w:pPr>
      <w:r w:rsidRPr="004C5A75">
        <w:rPr>
          <w:sz w:val="22"/>
          <w:szCs w:val="22"/>
          <w:u w:val="single"/>
          <w:lang w:val="lt-LT"/>
        </w:rPr>
        <w:t>Lizinoprilis</w:t>
      </w:r>
    </w:p>
    <w:p w14:paraId="17C184CC" w14:textId="77777777" w:rsidR="00D75E9B" w:rsidRPr="0026536C" w:rsidRDefault="00D75E9B" w:rsidP="00C97BD4">
      <w:pPr>
        <w:pStyle w:val="BTEMEASMCA"/>
        <w:rPr>
          <w:lang w:val="lt-LT"/>
        </w:rPr>
      </w:pPr>
    </w:p>
    <w:p w14:paraId="17C184CD" w14:textId="40CC82F7" w:rsidR="00D75E9B" w:rsidRPr="004C5A75" w:rsidRDefault="00EB7BF3" w:rsidP="00C97BD4">
      <w:pPr>
        <w:pStyle w:val="BTEMEASMCA"/>
        <w:rPr>
          <w:lang w:val="lt-LT"/>
        </w:rPr>
      </w:pPr>
      <w:r w:rsidRPr="00EB7BF3">
        <w:rPr>
          <w:lang w:val="lt-LT"/>
        </w:rPr>
        <w:t>Dažni šalutinio poveikio reiškiniai (gali pasireikšti rečiau kaip 1 iš 10 asmenų</w:t>
      </w:r>
    </w:p>
    <w:p w14:paraId="17C184CE" w14:textId="77777777" w:rsidR="00D75E9B" w:rsidRPr="004C5A75" w:rsidRDefault="00D75E9B" w:rsidP="00D75E9B">
      <w:pPr>
        <w:pStyle w:val="prastasiniatinklio1"/>
        <w:spacing w:before="0" w:beforeAutospacing="0" w:after="0" w:afterAutospacing="0"/>
        <w:rPr>
          <w:sz w:val="22"/>
          <w:szCs w:val="22"/>
          <w:lang w:val="lt-LT"/>
        </w:rPr>
      </w:pPr>
      <w:r w:rsidRPr="004C5A75">
        <w:rPr>
          <w:sz w:val="22"/>
          <w:szCs w:val="22"/>
          <w:lang w:val="lt-LT"/>
        </w:rPr>
        <w:t>Galvos skausmas, galvos svaigimas ar svaigulys, ypač staiga atsistojus, viduriavimas, kosulys, vėmimas, inkstų veiklos sutrikimas.</w:t>
      </w:r>
    </w:p>
    <w:p w14:paraId="17C184CF" w14:textId="77777777" w:rsidR="00D75E9B" w:rsidRPr="004C5A75" w:rsidRDefault="00D75E9B" w:rsidP="00D75E9B">
      <w:pPr>
        <w:pStyle w:val="prastasiniatinklio1"/>
        <w:spacing w:before="0" w:beforeAutospacing="0" w:after="0" w:afterAutospacing="0"/>
        <w:rPr>
          <w:i/>
          <w:sz w:val="22"/>
          <w:szCs w:val="22"/>
          <w:lang w:val="lt-LT"/>
        </w:rPr>
      </w:pPr>
    </w:p>
    <w:p w14:paraId="17C184D0" w14:textId="00C90524" w:rsidR="00D75E9B" w:rsidRPr="004C5A75" w:rsidRDefault="00EB7BF3" w:rsidP="00C97BD4">
      <w:pPr>
        <w:pStyle w:val="BTEMEASMCA"/>
        <w:rPr>
          <w:lang w:val="lt-LT"/>
        </w:rPr>
      </w:pPr>
      <w:r w:rsidRPr="00EB7BF3">
        <w:rPr>
          <w:lang w:val="lt-LT"/>
        </w:rPr>
        <w:t>Nedažni šalutinio poveikio reiškiniai (gali pasireikšti rečiau kaip 1 iš 100 asmenų)</w:t>
      </w:r>
    </w:p>
    <w:p w14:paraId="17C184D1" w14:textId="77777777" w:rsidR="00D75E9B" w:rsidRPr="004C5A75" w:rsidRDefault="00D75E9B" w:rsidP="00D75E9B">
      <w:pPr>
        <w:pStyle w:val="prastasiniatinklio1"/>
        <w:spacing w:before="0" w:beforeAutospacing="0" w:after="0" w:afterAutospacing="0"/>
        <w:rPr>
          <w:sz w:val="22"/>
          <w:szCs w:val="22"/>
          <w:lang w:val="lt-LT"/>
        </w:rPr>
      </w:pPr>
      <w:r w:rsidRPr="004C5A75">
        <w:rPr>
          <w:sz w:val="22"/>
          <w:szCs w:val="22"/>
          <w:lang w:val="lt-LT"/>
        </w:rPr>
        <w:t>Nuotaikos kitimai, odos spalvos kitimai (blyškiai pamėlusi, vėliau paraudusi) ir (arba) aptirpimo ar dilgčiojimo pojūtis rankų ar kojų pirštuose (Reino [</w:t>
      </w:r>
      <w:r w:rsidRPr="004C5A75">
        <w:rPr>
          <w:i/>
          <w:iCs/>
          <w:sz w:val="22"/>
          <w:szCs w:val="22"/>
          <w:lang w:val="lt-LT"/>
        </w:rPr>
        <w:t>Raynaud</w:t>
      </w:r>
      <w:r w:rsidRPr="004C5A75">
        <w:rPr>
          <w:sz w:val="22"/>
          <w:szCs w:val="22"/>
          <w:lang w:val="lt-LT"/>
        </w:rPr>
        <w:t>] fenomenas), skonio jutimo pokyčiai, haliucinacijos (nesamų</w:t>
      </w:r>
      <w:r w:rsidRPr="004C5A75">
        <w:rPr>
          <w:color w:val="000000"/>
          <w:sz w:val="22"/>
          <w:szCs w:val="22"/>
          <w:lang w:val="lt-LT"/>
        </w:rPr>
        <w:t xml:space="preserve"> dalykų girdėjimas ar regėjimas</w:t>
      </w:r>
      <w:r w:rsidRPr="004C5A75">
        <w:rPr>
          <w:sz w:val="22"/>
          <w:szCs w:val="22"/>
          <w:lang w:val="lt-LT"/>
        </w:rPr>
        <w:t xml:space="preserve"> ), nuovargis, mieguistumas ar negalėjimas </w:t>
      </w:r>
      <w:r w:rsidRPr="004C5A75">
        <w:rPr>
          <w:sz w:val="22"/>
          <w:szCs w:val="22"/>
          <w:lang w:val="lt-LT"/>
        </w:rPr>
        <w:lastRenderedPageBreak/>
        <w:t>užmigti, galvos sukimasis, neįprasti jutimai odoje (dilgsėjimas ar kutenimas, ar niežulys arba deginimas), greitas ir nereguliarus širdies ritmas (palpitacijos), širdies priepuolis (miokardo infarktas), insultas, sloga, pykinimas, pilvo skausmas ar nevirškinimas, impotencija, nuvargimas, tam tikrų laboratorinių tyrimų rodmenų pokyčiai (rodantys inkstų ir kepenų veiklą), odos bėrimas, niežulys, greitas širdies plakimas (tachikardija).</w:t>
      </w:r>
    </w:p>
    <w:p w14:paraId="17C184D2" w14:textId="77777777" w:rsidR="00D75E9B" w:rsidRPr="004C5A75" w:rsidRDefault="00D75E9B" w:rsidP="00D75E9B">
      <w:pPr>
        <w:pStyle w:val="prastasiniatinklio1"/>
        <w:spacing w:before="0" w:beforeAutospacing="0" w:after="0" w:afterAutospacing="0"/>
        <w:rPr>
          <w:i/>
          <w:sz w:val="22"/>
          <w:szCs w:val="22"/>
          <w:lang w:val="lt-LT"/>
        </w:rPr>
      </w:pPr>
    </w:p>
    <w:p w14:paraId="17C184D3" w14:textId="3AD6ED87" w:rsidR="00D75E9B" w:rsidRPr="004C5A75" w:rsidRDefault="00EB7BF3" w:rsidP="00C97BD4">
      <w:pPr>
        <w:pStyle w:val="BTEMEASMCA"/>
        <w:rPr>
          <w:lang w:val="lt-LT"/>
        </w:rPr>
      </w:pPr>
      <w:r w:rsidRPr="00EB7BF3">
        <w:rPr>
          <w:lang w:val="lt-LT"/>
        </w:rPr>
        <w:t>Reti šalutinio poveikio reiškiniai (gali pasireikšti rečiau kaip 1 iš 1 000 asmenų)</w:t>
      </w:r>
    </w:p>
    <w:p w14:paraId="17C184D4" w14:textId="77777777" w:rsidR="00D75E9B" w:rsidRPr="004C5A75" w:rsidRDefault="00D75E9B" w:rsidP="00D75E9B">
      <w:pPr>
        <w:pStyle w:val="prastasiniatinklio1"/>
        <w:spacing w:before="0" w:beforeAutospacing="0" w:after="0" w:afterAutospacing="0"/>
        <w:rPr>
          <w:sz w:val="22"/>
          <w:szCs w:val="22"/>
          <w:lang w:val="lt-LT"/>
        </w:rPr>
      </w:pPr>
      <w:r w:rsidRPr="004C5A75">
        <w:rPr>
          <w:sz w:val="22"/>
          <w:szCs w:val="22"/>
          <w:lang w:val="lt-LT"/>
        </w:rPr>
        <w:t xml:space="preserve">Angioneurozinė edema (padidėjusio jautrumo reakcija, pasireiškianti lūpų, veido ir kaklo, retkarčiais – pėdų ir plaštakų patinimu; angioneurozinė edema dažnesnė juodaodžiams nei nejuodaodžiams pacientams). Minčių susipainiojimas (sumišimas), nenormali antidiurezinio hormono, kuris reguliuoja išsiskiriančio šlapimo kiekį, sekrecija, ūminis inkstų veiklos sutrikimas, inkstų nepakankamumas, burnos džiūvimas, plaukų slinkimas, psoriazė, dilgėlinė, krūtų padidėjimas vyrams, uoslės pokyčiai. Kraujo tyrimo rodmenų pokyčiai: sumažėjęs hemoglobino kiekis ir hematokritas. Padidėjęs bilirubino (tulžies pigmento) kiekis, sumažėjęs natrio kiekis kraujyje. </w:t>
      </w:r>
    </w:p>
    <w:p w14:paraId="17C184D5" w14:textId="77777777" w:rsidR="00D75E9B" w:rsidRPr="004C5A75" w:rsidRDefault="00D75E9B" w:rsidP="00D75E9B">
      <w:pPr>
        <w:pStyle w:val="PI-1EMEASMCA"/>
        <w:rPr>
          <w:b w:val="0"/>
          <w:lang w:val="lt-LT"/>
        </w:rPr>
      </w:pPr>
    </w:p>
    <w:p w14:paraId="17C184D6" w14:textId="62631767" w:rsidR="00D75E9B" w:rsidRPr="004C5A75" w:rsidRDefault="00EB7BF3" w:rsidP="00C97BD4">
      <w:pPr>
        <w:pStyle w:val="BTEMEASMCA"/>
        <w:rPr>
          <w:lang w:val="lt-LT"/>
        </w:rPr>
      </w:pPr>
      <w:r w:rsidRPr="00EB7BF3">
        <w:rPr>
          <w:lang w:val="lt-LT"/>
        </w:rPr>
        <w:t xml:space="preserve">Labai reti šalutinio poveikio reiškiniai (gali pasireikšti rečiau kaip 1 iš 10 000 asmenų </w:t>
      </w:r>
      <w:r>
        <w:rPr>
          <w:lang w:val="lt-LT"/>
        </w:rPr>
        <w:t>)</w:t>
      </w:r>
    </w:p>
    <w:p w14:paraId="17C184D7" w14:textId="77777777" w:rsidR="00D75E9B" w:rsidRPr="004C5A75" w:rsidRDefault="00D75E9B" w:rsidP="00D75E9B">
      <w:pPr>
        <w:pStyle w:val="Pavadinimas"/>
        <w:jc w:val="left"/>
        <w:rPr>
          <w:rFonts w:ascii="Times New Roman" w:hAnsi="Times New Roman"/>
          <w:i/>
          <w:iCs/>
          <w:spacing w:val="-2"/>
          <w:position w:val="2"/>
          <w:sz w:val="22"/>
          <w:szCs w:val="22"/>
          <w:lang w:val="lt-LT"/>
        </w:rPr>
      </w:pPr>
      <w:r w:rsidRPr="004C5A75">
        <w:rPr>
          <w:rFonts w:ascii="Times New Roman" w:hAnsi="Times New Roman"/>
          <w:snapToGrid w:val="0"/>
          <w:sz w:val="22"/>
          <w:szCs w:val="22"/>
          <w:lang w:val="lt-LT" w:eastAsia="lt-LT"/>
        </w:rPr>
        <w:t>Sumažėjusi gliukozės koncentracija kraujyje (hipoglikemija), sinusų skausmas, švokštimas, plaučių uždegimas (pneumonija), odos ir (arba) akių pageltimas (gelta), kepenų ar kasos uždegimas, kepenų nepakankamumas, sunkūs odos pažeidimai (pasireiškiantys šiais simptomais: paraudimu, pūslių susidarymu ir lupimusi), prakaitavimas. Šlapimo tūrio sumažėjimas (iš organizmo išsiskiria mažiau vandens (šlapimo) ar jo visai neišsiskiria). Žarnų edema. Kraujo tyrimų rodmenų pokyčiai: sumažėjęs kraujo raudonųjų ląstelių skaičius (anemija), sumažėjęs kraujo plokštelių skaičius (trombocitopenija), sumažėjęs kraujo baltųjų ląstelių skaičius (neutropenija, leukopenija, agranulocitozė). Šie pokyčiai gali sąlygoti kraujavimo laiko pailgėjimą, nuovargį, silpnumą, limfmazgių ligą, autoimunines ligas(imuninė sistema gamina antikūnius prieš organizmo audinius). Gali lengviau prasidėti infekcinės ligos.</w:t>
      </w:r>
    </w:p>
    <w:p w14:paraId="17C184D8" w14:textId="77777777" w:rsidR="00D75E9B" w:rsidRPr="004C5A75" w:rsidRDefault="00D75E9B" w:rsidP="00D75E9B">
      <w:pPr>
        <w:pStyle w:val="PI-1EMEASMCA"/>
        <w:rPr>
          <w:b w:val="0"/>
          <w:i/>
          <w:snapToGrid w:val="0"/>
          <w:lang w:val="lt-LT" w:eastAsia="lt-LT"/>
        </w:rPr>
      </w:pPr>
    </w:p>
    <w:p w14:paraId="17C184D9" w14:textId="3B652255" w:rsidR="00D75E9B" w:rsidRPr="00EB1DEF" w:rsidRDefault="00EB7BF3" w:rsidP="00D75E9B">
      <w:pPr>
        <w:pStyle w:val="PI-1EMEASMCA"/>
        <w:rPr>
          <w:b w:val="0"/>
          <w:i/>
          <w:snapToGrid w:val="0"/>
          <w:lang w:val="lt-LT" w:eastAsia="lt-LT"/>
        </w:rPr>
      </w:pPr>
      <w:r w:rsidRPr="00EB1DEF">
        <w:rPr>
          <w:b w:val="0"/>
          <w:i/>
          <w:snapToGrid w:val="0"/>
          <w:lang w:val="lt-LT" w:eastAsia="lt-LT"/>
        </w:rPr>
        <w:t>Šalutinio poveikio reiškiniai, kurių dažnis nežinomas (negali būti apskaičiuotas pagal turimus duomenis)</w:t>
      </w:r>
    </w:p>
    <w:p w14:paraId="17C184DA" w14:textId="77777777" w:rsidR="002E586B" w:rsidRDefault="00D75E9B" w:rsidP="00D75E9B">
      <w:pPr>
        <w:pStyle w:val="PI-1EMEASMCA"/>
        <w:rPr>
          <w:b w:val="0"/>
          <w:snapToGrid w:val="0"/>
          <w:lang w:val="lt-LT" w:eastAsia="lt-LT"/>
        </w:rPr>
      </w:pPr>
      <w:r w:rsidRPr="00EB1DEF">
        <w:rPr>
          <w:b w:val="0"/>
          <w:snapToGrid w:val="0"/>
          <w:lang w:val="lt-LT" w:eastAsia="lt-LT"/>
        </w:rPr>
        <w:t>Alpulys, prislėgta nuotaika</w:t>
      </w:r>
      <w:r w:rsidR="007C1320" w:rsidRPr="00EB1DEF">
        <w:rPr>
          <w:b w:val="0"/>
          <w:snapToGrid w:val="0"/>
          <w:lang w:val="lt-LT" w:eastAsia="lt-LT"/>
        </w:rPr>
        <w:t>, sunkios alerginės padidėjusio jautrumo reakcijos (anafilaktinės</w:t>
      </w:r>
      <w:r w:rsidR="00600EF9" w:rsidRPr="00EB1DEF">
        <w:rPr>
          <w:b w:val="0"/>
          <w:snapToGrid w:val="0"/>
          <w:lang w:val="lt-LT" w:eastAsia="lt-LT"/>
        </w:rPr>
        <w:t>/</w:t>
      </w:r>
      <w:r w:rsidR="007C1320" w:rsidRPr="00EB1DEF">
        <w:rPr>
          <w:b w:val="0"/>
          <w:snapToGrid w:val="0"/>
          <w:lang w:val="lt-LT" w:eastAsia="lt-LT"/>
        </w:rPr>
        <w:t xml:space="preserve"> </w:t>
      </w:r>
      <w:r w:rsidR="002E586B" w:rsidRPr="00EB1DEF">
        <w:rPr>
          <w:b w:val="0"/>
          <w:snapToGrid w:val="0"/>
          <w:lang w:val="lt-LT" w:eastAsia="lt-LT"/>
        </w:rPr>
        <w:t>anafilaktoidinės reakcijos).</w:t>
      </w:r>
    </w:p>
    <w:p w14:paraId="17C184DB" w14:textId="77777777" w:rsidR="002E586B" w:rsidRDefault="002E586B" w:rsidP="00D75E9B">
      <w:pPr>
        <w:pStyle w:val="PI-1EMEASMCA"/>
        <w:rPr>
          <w:b w:val="0"/>
          <w:snapToGrid w:val="0"/>
          <w:lang w:val="lt-LT" w:eastAsia="lt-LT"/>
        </w:rPr>
      </w:pPr>
    </w:p>
    <w:p w14:paraId="17C184DC" w14:textId="77777777" w:rsidR="002E586B" w:rsidRPr="004C5A75" w:rsidRDefault="002E586B" w:rsidP="00D75E9B">
      <w:pPr>
        <w:pStyle w:val="PI-1EMEASMCA"/>
        <w:rPr>
          <w:b w:val="0"/>
          <w:snapToGrid w:val="0"/>
          <w:lang w:val="lt-LT" w:eastAsia="lt-LT"/>
        </w:rPr>
      </w:pPr>
    </w:p>
    <w:p w14:paraId="17C184DD" w14:textId="77777777" w:rsidR="00D75E9B" w:rsidRPr="004C5A75" w:rsidRDefault="00D75E9B" w:rsidP="00D75E9B">
      <w:pPr>
        <w:rPr>
          <w:rFonts w:ascii="Times New Roman" w:hAnsi="Times New Roman"/>
          <w:b/>
          <w:sz w:val="22"/>
          <w:szCs w:val="22"/>
          <w:lang w:val="lt-LT"/>
        </w:rPr>
      </w:pPr>
      <w:r w:rsidRPr="0026536C">
        <w:rPr>
          <w:rFonts w:ascii="Times New Roman" w:hAnsi="Times New Roman"/>
          <w:b/>
          <w:sz w:val="22"/>
          <w:szCs w:val="22"/>
          <w:lang w:val="lt-LT"/>
        </w:rPr>
        <w:t>Pranešimas apie šalutinį poveikį</w:t>
      </w:r>
    </w:p>
    <w:p w14:paraId="17C184DF" w14:textId="5400F1BD" w:rsidR="00EB7BF3" w:rsidRPr="00EB7BF3" w:rsidRDefault="00D75E9B" w:rsidP="00EB7BF3">
      <w:pPr>
        <w:rPr>
          <w:rFonts w:ascii="Times New Roman" w:hAnsi="Times New Roman"/>
          <w:sz w:val="22"/>
          <w:szCs w:val="22"/>
          <w:lang w:val="lt-LT" w:eastAsia="x-none"/>
        </w:rPr>
      </w:pPr>
      <w:r w:rsidRPr="0026536C">
        <w:rPr>
          <w:rFonts w:ascii="Times New Roman" w:hAnsi="Times New Roman"/>
          <w:sz w:val="22"/>
          <w:szCs w:val="22"/>
          <w:lang w:val="lt-LT"/>
        </w:rPr>
        <w:t>Jeigu pasireiškė šalutinis poveikis, įskaitant šiame lapelyje nenurodytą, pasakykite gydytojui arba vaistininkui arba slaugytojui</w:t>
      </w:r>
      <w:r w:rsidR="00EB7BF3" w:rsidRPr="00EB7BF3">
        <w:rPr>
          <w:rFonts w:ascii="Times New Roman" w:hAnsi="Times New Roman"/>
          <w:sz w:val="22"/>
          <w:szCs w:val="22"/>
          <w:lang w:val="lt-LT" w:eastAsia="x-none"/>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7C184E0" w14:textId="77777777" w:rsidR="00D75E9B" w:rsidRPr="004C5A75" w:rsidRDefault="00D75E9B" w:rsidP="00D75E9B">
      <w:pPr>
        <w:pStyle w:val="PI-1EMEASMCA"/>
        <w:rPr>
          <w:b w:val="0"/>
          <w:lang w:val="lt-LT"/>
        </w:rPr>
      </w:pPr>
    </w:p>
    <w:p w14:paraId="17C184E1" w14:textId="77777777" w:rsidR="00D75E9B" w:rsidRPr="004C5A75" w:rsidRDefault="00D75E9B" w:rsidP="00C97BD4">
      <w:pPr>
        <w:pStyle w:val="BTEMEASMCA"/>
        <w:rPr>
          <w:lang w:val="lt-LT"/>
        </w:rPr>
      </w:pPr>
    </w:p>
    <w:p w14:paraId="17C184E2" w14:textId="77777777" w:rsidR="00D75E9B" w:rsidRPr="004C5A75" w:rsidRDefault="00D75E9B" w:rsidP="00D75E9B">
      <w:pPr>
        <w:pStyle w:val="PI-1EMEASMCA"/>
        <w:rPr>
          <w:lang w:val="lt-LT"/>
        </w:rPr>
      </w:pPr>
      <w:bookmarkStart w:id="21" w:name="_Toc129243143"/>
      <w:bookmarkStart w:id="22" w:name="_Toc129243268"/>
      <w:r w:rsidRPr="004C5A75">
        <w:rPr>
          <w:lang w:val="lt-LT"/>
        </w:rPr>
        <w:t>5.</w:t>
      </w:r>
      <w:r w:rsidRPr="004C5A75">
        <w:rPr>
          <w:lang w:val="lt-LT"/>
        </w:rPr>
        <w:tab/>
        <w:t xml:space="preserve">Kaip laikyti </w:t>
      </w:r>
      <w:bookmarkEnd w:id="21"/>
      <w:bookmarkEnd w:id="22"/>
      <w:r w:rsidRPr="004C5A75">
        <w:rPr>
          <w:lang w:val="lt-LT"/>
        </w:rPr>
        <w:t>DIRONORM</w:t>
      </w:r>
    </w:p>
    <w:p w14:paraId="17C184E3" w14:textId="77777777" w:rsidR="00D75E9B" w:rsidRPr="004C5A75" w:rsidRDefault="00D75E9B" w:rsidP="00C97BD4">
      <w:pPr>
        <w:pStyle w:val="BTEMEASMCA"/>
        <w:rPr>
          <w:lang w:val="lt-LT"/>
        </w:rPr>
      </w:pPr>
    </w:p>
    <w:p w14:paraId="17C184E4" w14:textId="77777777" w:rsidR="00D75E9B" w:rsidRPr="0026536C" w:rsidRDefault="00D75E9B" w:rsidP="00C97BD4">
      <w:pPr>
        <w:pStyle w:val="BTEMEASMCA"/>
        <w:rPr>
          <w:lang w:val="lt-LT"/>
        </w:rPr>
      </w:pPr>
    </w:p>
    <w:p w14:paraId="17C184E5" w14:textId="77777777" w:rsidR="00D75E9B" w:rsidRPr="0026536C" w:rsidRDefault="00D75E9B" w:rsidP="00C97BD4">
      <w:pPr>
        <w:pStyle w:val="BTEMEASMCA"/>
        <w:rPr>
          <w:lang w:val="lt-LT"/>
        </w:rPr>
      </w:pPr>
      <w:r w:rsidRPr="0026536C">
        <w:rPr>
          <w:lang w:val="lt-LT"/>
        </w:rPr>
        <w:t xml:space="preserve">Laikyti žemesnėje kaip 25 </w:t>
      </w:r>
      <w:r w:rsidRPr="0026536C">
        <w:rPr>
          <w:lang w:val="lt-LT"/>
        </w:rPr>
        <w:sym w:font="Symbol" w:char="F0B0"/>
      </w:r>
      <w:r w:rsidRPr="0026536C">
        <w:rPr>
          <w:lang w:val="lt-LT"/>
        </w:rPr>
        <w:t>C temperatūroje.</w:t>
      </w:r>
    </w:p>
    <w:p w14:paraId="17C184E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Laikyti gamintojo pakuotėje, kad preparatas būtų apsaugotas nuo šviesos ir drėgmės.</w:t>
      </w:r>
    </w:p>
    <w:p w14:paraId="17C184E7" w14:textId="77777777" w:rsidR="00D75E9B" w:rsidRPr="004C5A75" w:rsidRDefault="00D75E9B" w:rsidP="00C97BD4">
      <w:pPr>
        <w:pStyle w:val="BTEMEASMCA"/>
        <w:rPr>
          <w:lang w:val="lt-LT"/>
        </w:rPr>
      </w:pPr>
    </w:p>
    <w:p w14:paraId="17C184E8" w14:textId="77777777" w:rsidR="00D75E9B" w:rsidRPr="004C5A75" w:rsidRDefault="00D75E9B" w:rsidP="00C97BD4">
      <w:pPr>
        <w:pStyle w:val="BTEMEASMCA"/>
        <w:rPr>
          <w:lang w:val="lt-LT"/>
        </w:rPr>
      </w:pPr>
      <w:r w:rsidRPr="004C5A75">
        <w:rPr>
          <w:lang w:val="lt-LT"/>
        </w:rPr>
        <w:t>Šį vaistą laikykite vaikams nepastebimoje ir nepasiekiamoje vietoje.</w:t>
      </w:r>
    </w:p>
    <w:p w14:paraId="17C184E9" w14:textId="77777777" w:rsidR="00D75E9B" w:rsidRPr="004C5A75" w:rsidRDefault="00D75E9B" w:rsidP="00C97BD4">
      <w:pPr>
        <w:pStyle w:val="BTEMEASMCA"/>
        <w:rPr>
          <w:lang w:val="lt-LT"/>
        </w:rPr>
      </w:pPr>
    </w:p>
    <w:p w14:paraId="17C184EA" w14:textId="77777777" w:rsidR="00D75E9B" w:rsidRPr="004C5A75" w:rsidRDefault="00D75E9B" w:rsidP="00C97BD4">
      <w:pPr>
        <w:pStyle w:val="BTEMEASMCA"/>
        <w:rPr>
          <w:lang w:val="lt-LT"/>
        </w:rPr>
      </w:pPr>
      <w:r w:rsidRPr="004C5A75">
        <w:rPr>
          <w:lang w:val="lt-LT"/>
        </w:rPr>
        <w:t>Ant dėžutės po ,,Tinka iki“ ar lizdinės plokštelės nurodytam tinkamumo laikui pasibaigus, šio vaisto vartoti negalima. Vaistas tinkamas vartoti iki paskutinės nurodyto mėnesio dienos.</w:t>
      </w:r>
    </w:p>
    <w:p w14:paraId="17C184EB" w14:textId="77777777" w:rsidR="00D75E9B" w:rsidRPr="004C5A75" w:rsidRDefault="00D75E9B" w:rsidP="00C97BD4">
      <w:pPr>
        <w:pStyle w:val="BTEMEASMCA"/>
        <w:rPr>
          <w:lang w:val="lt-LT"/>
        </w:rPr>
      </w:pPr>
    </w:p>
    <w:p w14:paraId="17C184EC" w14:textId="77777777" w:rsidR="00D75E9B" w:rsidRPr="004C5A75" w:rsidRDefault="00D75E9B" w:rsidP="00C97BD4">
      <w:pPr>
        <w:pStyle w:val="BTEMEASMCA"/>
        <w:rPr>
          <w:lang w:val="lt-LT"/>
        </w:rPr>
      </w:pPr>
      <w:r w:rsidRPr="004C5A75">
        <w:rPr>
          <w:lang w:val="lt-LT"/>
        </w:rPr>
        <w:t>Vaistų negalima išmesti į kanalizaciją arba su buitinėmis atliekomis. Kaip išmesti nereikalingus vaistus, klauskite vaistininko. Šios priemonės padės apsaugoti aplinką.</w:t>
      </w:r>
    </w:p>
    <w:p w14:paraId="17C184ED" w14:textId="77777777" w:rsidR="00D75E9B" w:rsidRPr="004C5A75" w:rsidRDefault="00D75E9B" w:rsidP="00C97BD4">
      <w:pPr>
        <w:pStyle w:val="BTEMEASMCA"/>
        <w:rPr>
          <w:lang w:val="lt-LT"/>
        </w:rPr>
      </w:pPr>
    </w:p>
    <w:p w14:paraId="17C184EE" w14:textId="77777777" w:rsidR="00D75E9B" w:rsidRPr="004C5A75" w:rsidRDefault="00D75E9B" w:rsidP="00C97BD4">
      <w:pPr>
        <w:pStyle w:val="BTEMEASMCA"/>
        <w:rPr>
          <w:lang w:val="lt-LT"/>
        </w:rPr>
      </w:pPr>
    </w:p>
    <w:p w14:paraId="17C184EF" w14:textId="77777777" w:rsidR="00D75E9B" w:rsidRPr="004C5A75" w:rsidRDefault="00D75E9B" w:rsidP="00D75E9B">
      <w:pPr>
        <w:pStyle w:val="PI-1EMEASMCA"/>
        <w:rPr>
          <w:lang w:val="lt-LT"/>
        </w:rPr>
      </w:pPr>
      <w:bookmarkStart w:id="23" w:name="_Toc129243144"/>
      <w:bookmarkStart w:id="24" w:name="_Toc129243269"/>
      <w:r w:rsidRPr="004C5A75">
        <w:rPr>
          <w:lang w:val="lt-LT"/>
        </w:rPr>
        <w:t>6.</w:t>
      </w:r>
      <w:r w:rsidRPr="004C5A75">
        <w:rPr>
          <w:lang w:val="lt-LT"/>
        </w:rPr>
        <w:tab/>
        <w:t xml:space="preserve">Pakuotės turinys ir kita informacija </w:t>
      </w:r>
      <w:bookmarkEnd w:id="23"/>
      <w:bookmarkEnd w:id="24"/>
    </w:p>
    <w:p w14:paraId="17C184F0" w14:textId="77777777" w:rsidR="00D75E9B" w:rsidRPr="004C5A75" w:rsidRDefault="00D75E9B" w:rsidP="00D75E9B">
      <w:pPr>
        <w:pStyle w:val="PI-1EMEASMCA"/>
        <w:rPr>
          <w:lang w:val="lt-LT"/>
        </w:rPr>
      </w:pPr>
    </w:p>
    <w:p w14:paraId="17C184F1" w14:textId="77777777" w:rsidR="00D75E9B" w:rsidRPr="004C5A75" w:rsidRDefault="00D75E9B" w:rsidP="0093067C">
      <w:pPr>
        <w:pStyle w:val="PI-3EMEASMCA"/>
      </w:pPr>
      <w:r w:rsidRPr="004C5A75">
        <w:t>DIRONORM sudėtis</w:t>
      </w:r>
    </w:p>
    <w:p w14:paraId="17C184F2" w14:textId="77777777" w:rsidR="00D75E9B" w:rsidRPr="004C5A75" w:rsidRDefault="00D75E9B" w:rsidP="00D75E9B">
      <w:pPr>
        <w:ind w:left="540" w:hanging="540"/>
        <w:rPr>
          <w:rFonts w:ascii="Times New Roman" w:hAnsi="Times New Roman"/>
          <w:sz w:val="22"/>
          <w:szCs w:val="22"/>
          <w:lang w:val="lt-LT"/>
        </w:rPr>
      </w:pPr>
      <w:r w:rsidRPr="004C5A75">
        <w:rPr>
          <w:rFonts w:ascii="Times New Roman" w:hAnsi="Times New Roman"/>
          <w:bCs/>
          <w:sz w:val="22"/>
          <w:szCs w:val="22"/>
          <w:lang w:val="lt-LT"/>
        </w:rPr>
        <w:t>-</w:t>
      </w:r>
      <w:r w:rsidRPr="004C5A75">
        <w:rPr>
          <w:rFonts w:ascii="Times New Roman" w:hAnsi="Times New Roman"/>
          <w:bCs/>
          <w:sz w:val="22"/>
          <w:szCs w:val="22"/>
          <w:lang w:val="lt-LT"/>
        </w:rPr>
        <w:tab/>
      </w:r>
      <w:r w:rsidRPr="004C5A75">
        <w:rPr>
          <w:rFonts w:ascii="Times New Roman" w:hAnsi="Times New Roman"/>
          <w:sz w:val="22"/>
          <w:szCs w:val="22"/>
          <w:lang w:val="lt-LT"/>
        </w:rPr>
        <w:t xml:space="preserve">Veikliosios  medžiagos yra lizinoprilis ir amlodipinas. </w:t>
      </w:r>
    </w:p>
    <w:p w14:paraId="17C184F3" w14:textId="77777777" w:rsidR="00D75E9B" w:rsidRPr="004C5A75" w:rsidRDefault="00D75E9B" w:rsidP="00D75E9B">
      <w:pPr>
        <w:ind w:left="540" w:hanging="540"/>
        <w:rPr>
          <w:rFonts w:ascii="Times New Roman" w:hAnsi="Times New Roman"/>
          <w:sz w:val="22"/>
          <w:szCs w:val="22"/>
          <w:lang w:val="lt-LT"/>
        </w:rPr>
      </w:pPr>
    </w:p>
    <w:p w14:paraId="17C184F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10 mg/5 mg tabletės:</w:t>
      </w:r>
    </w:p>
    <w:p w14:paraId="17C184F5"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Vienoje tabletėje yra 10 mg lizinoprilio (dihidrato pavidalu) ir 5 mg amlodipino (besilato pavidalu). </w:t>
      </w:r>
    </w:p>
    <w:p w14:paraId="17C184F6" w14:textId="77777777" w:rsidR="00D75E9B" w:rsidRPr="004C5A75" w:rsidRDefault="00D75E9B" w:rsidP="00D75E9B">
      <w:pPr>
        <w:rPr>
          <w:rFonts w:ascii="Times New Roman" w:hAnsi="Times New Roman"/>
          <w:sz w:val="22"/>
          <w:szCs w:val="22"/>
          <w:lang w:val="lt-LT"/>
        </w:rPr>
      </w:pPr>
    </w:p>
    <w:p w14:paraId="17C184F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 tabletės:</w:t>
      </w:r>
    </w:p>
    <w:p w14:paraId="17C184F8"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Vienoje tabletėje yra 20 mg lizinoprilio (dihidrato pavidalu) ir 10 mg amlodipino (besilato pavidalu). </w:t>
      </w:r>
    </w:p>
    <w:p w14:paraId="17C184F9" w14:textId="77777777" w:rsidR="00D75E9B" w:rsidRPr="004C5A75" w:rsidRDefault="00D75E9B" w:rsidP="00D75E9B">
      <w:pPr>
        <w:rPr>
          <w:rFonts w:ascii="Times New Roman" w:hAnsi="Times New Roman"/>
          <w:sz w:val="22"/>
          <w:szCs w:val="22"/>
          <w:lang w:val="lt-LT"/>
        </w:rPr>
      </w:pPr>
    </w:p>
    <w:p w14:paraId="17C184F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 tabletės</w:t>
      </w:r>
    </w:p>
    <w:p w14:paraId="17C184FB"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Vienoje tabletėje yra 20 mg lizinoprilio (dihidrato pavidalu) ir 5 mg amlodipino (besilato pavidalu).</w:t>
      </w:r>
    </w:p>
    <w:p w14:paraId="17C184FC" w14:textId="77777777" w:rsidR="00D75E9B" w:rsidRPr="004C5A75" w:rsidRDefault="00D75E9B" w:rsidP="00D75E9B">
      <w:pPr>
        <w:ind w:left="540" w:hanging="540"/>
        <w:rPr>
          <w:rFonts w:ascii="Times New Roman" w:hAnsi="Times New Roman"/>
          <w:sz w:val="22"/>
          <w:szCs w:val="22"/>
          <w:lang w:val="lt-LT"/>
        </w:rPr>
      </w:pPr>
    </w:p>
    <w:p w14:paraId="17C184FD" w14:textId="77777777" w:rsidR="00D75E9B" w:rsidRPr="004C5A75" w:rsidRDefault="00D75E9B" w:rsidP="00D75E9B">
      <w:pPr>
        <w:ind w:left="540" w:hanging="540"/>
        <w:rPr>
          <w:rFonts w:ascii="Times New Roman" w:hAnsi="Times New Roman"/>
          <w:bCs/>
          <w:sz w:val="22"/>
          <w:szCs w:val="22"/>
          <w:lang w:val="lt-LT"/>
        </w:rPr>
      </w:pPr>
      <w:r w:rsidRPr="004C5A75">
        <w:rPr>
          <w:rFonts w:ascii="Times New Roman" w:hAnsi="Times New Roman"/>
          <w:sz w:val="22"/>
          <w:szCs w:val="22"/>
          <w:lang w:val="lt-LT"/>
        </w:rPr>
        <w:t>-</w:t>
      </w:r>
      <w:r w:rsidRPr="004C5A75">
        <w:rPr>
          <w:rFonts w:ascii="Times New Roman" w:hAnsi="Times New Roman"/>
          <w:sz w:val="22"/>
          <w:szCs w:val="22"/>
          <w:lang w:val="lt-LT"/>
        </w:rPr>
        <w:tab/>
        <w:t>Pagalbinės medžiagos:</w:t>
      </w:r>
      <w:r w:rsidRPr="004C5A75">
        <w:rPr>
          <w:rFonts w:ascii="Times New Roman" w:hAnsi="Times New Roman"/>
          <w:bCs/>
          <w:sz w:val="22"/>
          <w:szCs w:val="22"/>
          <w:lang w:val="lt-LT"/>
        </w:rPr>
        <w:t xml:space="preserve"> mikrokristalinė celiuliozė,  </w:t>
      </w:r>
      <w:r w:rsidRPr="004C5A75">
        <w:rPr>
          <w:rFonts w:ascii="Times New Roman" w:hAnsi="Times New Roman"/>
          <w:sz w:val="22"/>
          <w:szCs w:val="22"/>
          <w:lang w:val="lt-LT"/>
        </w:rPr>
        <w:t>karboksimetilkrakmolo A natrio druska,</w:t>
      </w:r>
      <w:r w:rsidRPr="004C5A75">
        <w:rPr>
          <w:rFonts w:ascii="Times New Roman" w:hAnsi="Times New Roman"/>
          <w:bCs/>
          <w:sz w:val="22"/>
          <w:szCs w:val="22"/>
          <w:lang w:val="lt-LT"/>
        </w:rPr>
        <w:t xml:space="preserve"> magnio stearatas.</w:t>
      </w:r>
    </w:p>
    <w:p w14:paraId="17C184FE" w14:textId="77777777" w:rsidR="00D75E9B" w:rsidRPr="004C5A75" w:rsidRDefault="00D75E9B" w:rsidP="00C97BD4">
      <w:pPr>
        <w:pStyle w:val="BTEMEASMCA"/>
        <w:rPr>
          <w:lang w:val="lt-LT"/>
        </w:rPr>
      </w:pPr>
    </w:p>
    <w:p w14:paraId="17C184FF" w14:textId="77777777" w:rsidR="00D75E9B" w:rsidRPr="0093067C" w:rsidRDefault="00D75E9B" w:rsidP="00EB1DEF">
      <w:pPr>
        <w:pStyle w:val="PI-3EMEASMCA"/>
        <w:ind w:left="0"/>
        <w:rPr>
          <w:b/>
        </w:rPr>
      </w:pPr>
      <w:r w:rsidRPr="0093067C">
        <w:rPr>
          <w:b/>
        </w:rPr>
        <w:t>DIRONORM išvaizda ir kiekis pakuotėje</w:t>
      </w:r>
    </w:p>
    <w:p w14:paraId="17C18500" w14:textId="77777777" w:rsidR="00D75E9B" w:rsidRPr="004C5A75" w:rsidRDefault="00D75E9B" w:rsidP="0093067C">
      <w:pPr>
        <w:pStyle w:val="PI-3EMEASMCA"/>
      </w:pPr>
    </w:p>
    <w:p w14:paraId="17C18501"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10 mg/5 mg tabletės</w:t>
      </w:r>
    </w:p>
    <w:p w14:paraId="17C1850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Tabletės yra baltos ar beveik baltos, apvalios, plokščios, suapvalintais kraštais tabletės su laužimo vagele vienoje pusėje ir įspaudu „A+L“ kitoje pusėje. Skersmuo: apie 8 mm</w:t>
      </w:r>
    </w:p>
    <w:p w14:paraId="17C18503" w14:textId="77777777" w:rsidR="00D75E9B" w:rsidRPr="004C5A75" w:rsidRDefault="00D75E9B" w:rsidP="00D75E9B">
      <w:pPr>
        <w:rPr>
          <w:rFonts w:ascii="Times New Roman" w:hAnsi="Times New Roman"/>
          <w:sz w:val="22"/>
          <w:szCs w:val="22"/>
          <w:lang w:val="lt-LT"/>
        </w:rPr>
      </w:pPr>
    </w:p>
    <w:p w14:paraId="17C18504"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Vagelė skirta tik tabletei perlaužti, kad būtų lengviau nuryti, bet ne jai padalyti į lygias dozes.</w:t>
      </w:r>
    </w:p>
    <w:p w14:paraId="17C18505" w14:textId="77777777" w:rsidR="00D75E9B" w:rsidRPr="004C5A75" w:rsidRDefault="00D75E9B" w:rsidP="00D75E9B">
      <w:pPr>
        <w:rPr>
          <w:rFonts w:ascii="Times New Roman" w:hAnsi="Times New Roman"/>
          <w:sz w:val="22"/>
          <w:szCs w:val="22"/>
          <w:lang w:val="lt-LT"/>
        </w:rPr>
      </w:pPr>
    </w:p>
    <w:p w14:paraId="17C18506"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Pakuotėje yra 30 arba 90 tablečių baltose PVC/PE/PVDC-aliuminio lizdinėse plokštelėse ir kartono dėžutėje. </w:t>
      </w:r>
    </w:p>
    <w:p w14:paraId="17C18507" w14:textId="77777777" w:rsidR="00D75E9B" w:rsidRPr="004C5A75" w:rsidRDefault="00D75E9B" w:rsidP="00D75E9B">
      <w:pPr>
        <w:outlineLvl w:val="0"/>
        <w:rPr>
          <w:rFonts w:ascii="Times New Roman" w:hAnsi="Times New Roman"/>
          <w:b/>
          <w:bCs/>
          <w:sz w:val="22"/>
          <w:szCs w:val="22"/>
          <w:lang w:val="lt-LT"/>
        </w:rPr>
      </w:pPr>
      <w:r w:rsidRPr="004C5A75">
        <w:rPr>
          <w:rFonts w:ascii="Times New Roman" w:hAnsi="Times New Roman"/>
          <w:sz w:val="22"/>
          <w:szCs w:val="22"/>
          <w:lang w:val="lt-LT"/>
        </w:rPr>
        <w:t>Gali būti tiekiamos ne visų dydžių pakuotės.</w:t>
      </w:r>
    </w:p>
    <w:p w14:paraId="17C18508" w14:textId="77777777" w:rsidR="00D75E9B" w:rsidRPr="004C5A75" w:rsidRDefault="00D75E9B" w:rsidP="00D75E9B">
      <w:pPr>
        <w:rPr>
          <w:rFonts w:ascii="Times New Roman" w:hAnsi="Times New Roman"/>
          <w:sz w:val="22"/>
          <w:szCs w:val="22"/>
          <w:lang w:val="lt-LT"/>
        </w:rPr>
      </w:pPr>
    </w:p>
    <w:p w14:paraId="17C18509"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mg/10 mg tabletės</w:t>
      </w:r>
    </w:p>
    <w:p w14:paraId="17C1850A"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Tabletės yra baltos ar beveik baltos, apvalios, abipus išgaubtos, vienoje pusėje yra įspaudas „CF3“, kitoje pusėje įspaudo nėra. Skersmuo: apie 11 mm</w:t>
      </w:r>
    </w:p>
    <w:p w14:paraId="17C1850B" w14:textId="77777777" w:rsidR="00D75E9B" w:rsidRPr="004C5A75" w:rsidRDefault="00D75E9B" w:rsidP="00D75E9B">
      <w:pPr>
        <w:rPr>
          <w:rFonts w:ascii="Times New Roman" w:hAnsi="Times New Roman"/>
          <w:sz w:val="22"/>
          <w:szCs w:val="22"/>
          <w:lang w:val="lt-LT"/>
        </w:rPr>
      </w:pPr>
    </w:p>
    <w:p w14:paraId="17C1850C"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Pakuotėje yra 30 arba 90 tablečių baltose PVC/PE/PVDC-aliuminio lizdinėse plokštelėse ir kartono dėžutėje. </w:t>
      </w:r>
    </w:p>
    <w:p w14:paraId="17C1850D" w14:textId="77777777" w:rsidR="00D75E9B" w:rsidRPr="004C5A75" w:rsidRDefault="00D75E9B" w:rsidP="00D75E9B">
      <w:pPr>
        <w:outlineLvl w:val="0"/>
        <w:rPr>
          <w:rFonts w:ascii="Times New Roman" w:hAnsi="Times New Roman"/>
          <w:b/>
          <w:bCs/>
          <w:sz w:val="22"/>
          <w:szCs w:val="22"/>
          <w:lang w:val="lt-LT"/>
        </w:rPr>
      </w:pPr>
      <w:r w:rsidRPr="004C5A75">
        <w:rPr>
          <w:rFonts w:ascii="Times New Roman" w:hAnsi="Times New Roman"/>
          <w:sz w:val="22"/>
          <w:szCs w:val="22"/>
          <w:lang w:val="lt-LT"/>
        </w:rPr>
        <w:t>Gali būti tiekiamos ne visų dydžių pakuotės.</w:t>
      </w:r>
    </w:p>
    <w:p w14:paraId="17C1850E" w14:textId="77777777" w:rsidR="00D75E9B" w:rsidRPr="004C5A75" w:rsidRDefault="00D75E9B" w:rsidP="00D75E9B">
      <w:pPr>
        <w:rPr>
          <w:rFonts w:ascii="Times New Roman" w:hAnsi="Times New Roman"/>
          <w:sz w:val="22"/>
          <w:szCs w:val="22"/>
          <w:lang w:val="lt-LT"/>
        </w:rPr>
      </w:pPr>
    </w:p>
    <w:p w14:paraId="17C1850F"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DIRONORM 20 mg/5 mg tabletės</w:t>
      </w:r>
    </w:p>
    <w:p w14:paraId="17C18510"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Tabletės yra baltos ar beveik baltos, apvalios, abipus išgaubtos, vienoje pusėje yra įspaudas „CF2“, kitoje pusėje įspaudo nėra, Skersmuo: apie 11 mm.</w:t>
      </w:r>
    </w:p>
    <w:p w14:paraId="17C18511" w14:textId="77777777" w:rsidR="00D75E9B" w:rsidRPr="004C5A75" w:rsidRDefault="00D75E9B" w:rsidP="00D75E9B">
      <w:pPr>
        <w:rPr>
          <w:rFonts w:ascii="Times New Roman" w:hAnsi="Times New Roman"/>
          <w:sz w:val="22"/>
          <w:szCs w:val="22"/>
          <w:lang w:val="lt-LT"/>
        </w:rPr>
      </w:pPr>
    </w:p>
    <w:p w14:paraId="17C18512"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Pakuotėje yra 30 arba 90 tablečių baltose PVC/PE/PVDC-aliuminio lizdinėse plokštelėse ir kartono dėžutėje. </w:t>
      </w:r>
    </w:p>
    <w:p w14:paraId="17C18513" w14:textId="77777777" w:rsidR="00D75E9B" w:rsidRPr="004C5A75" w:rsidRDefault="00D75E9B" w:rsidP="00D75E9B">
      <w:pPr>
        <w:outlineLvl w:val="0"/>
        <w:rPr>
          <w:rFonts w:ascii="Times New Roman" w:hAnsi="Times New Roman"/>
          <w:b/>
          <w:bCs/>
          <w:sz w:val="22"/>
          <w:szCs w:val="22"/>
          <w:lang w:val="lt-LT"/>
        </w:rPr>
      </w:pPr>
      <w:r w:rsidRPr="004C5A75">
        <w:rPr>
          <w:rFonts w:ascii="Times New Roman" w:hAnsi="Times New Roman"/>
          <w:sz w:val="22"/>
          <w:szCs w:val="22"/>
          <w:lang w:val="lt-LT"/>
        </w:rPr>
        <w:t>Gali būti tiekiamos ne visų dydžių pakuotės.</w:t>
      </w:r>
    </w:p>
    <w:p w14:paraId="17C18514" w14:textId="77777777" w:rsidR="00D75E9B" w:rsidRPr="004C5A75" w:rsidRDefault="00D75E9B" w:rsidP="00C97BD4">
      <w:pPr>
        <w:pStyle w:val="BTEMEASMCA"/>
        <w:rPr>
          <w:lang w:val="lt-LT"/>
        </w:rPr>
      </w:pPr>
    </w:p>
    <w:p w14:paraId="17C18515" w14:textId="77777777" w:rsidR="00D75E9B" w:rsidRPr="0093067C" w:rsidRDefault="00D75E9B" w:rsidP="0093067C">
      <w:pPr>
        <w:pStyle w:val="PI-3EMEASMCA"/>
        <w:rPr>
          <w:b/>
        </w:rPr>
      </w:pPr>
      <w:r w:rsidRPr="0093067C">
        <w:rPr>
          <w:b/>
        </w:rPr>
        <w:t>Registruotojas ir gamintojas</w:t>
      </w:r>
    </w:p>
    <w:p w14:paraId="17C18516" w14:textId="77777777" w:rsidR="00D75E9B" w:rsidRPr="0026536C" w:rsidRDefault="00D75E9B" w:rsidP="00C97BD4">
      <w:pPr>
        <w:pStyle w:val="BTEMEASMCA"/>
        <w:rPr>
          <w:lang w:val="lt-LT"/>
        </w:rPr>
      </w:pPr>
    </w:p>
    <w:p w14:paraId="17C18517"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 xml:space="preserve">Gedeon Richter Plc. </w:t>
      </w:r>
    </w:p>
    <w:p w14:paraId="17C18518" w14:textId="77777777" w:rsidR="00D75E9B" w:rsidRPr="004C5A75" w:rsidRDefault="00D75E9B" w:rsidP="00D75E9B">
      <w:pPr>
        <w:rPr>
          <w:rFonts w:ascii="Times New Roman" w:hAnsi="Times New Roman"/>
          <w:sz w:val="22"/>
          <w:szCs w:val="22"/>
          <w:lang w:val="lt-LT"/>
        </w:rPr>
      </w:pPr>
      <w:r w:rsidRPr="004C5A75">
        <w:rPr>
          <w:rFonts w:ascii="Times New Roman" w:hAnsi="Times New Roman"/>
          <w:sz w:val="22"/>
          <w:szCs w:val="22"/>
          <w:lang w:val="lt-LT"/>
        </w:rPr>
        <w:t>Gyömrői út. 19–21</w:t>
      </w:r>
    </w:p>
    <w:p w14:paraId="17C18519"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1103 Budapest</w:t>
      </w:r>
    </w:p>
    <w:p w14:paraId="17C1851A"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Vengrija</w:t>
      </w:r>
    </w:p>
    <w:p w14:paraId="17C1851B" w14:textId="77777777" w:rsidR="00D75E9B" w:rsidRPr="004C5A75" w:rsidRDefault="00D75E9B" w:rsidP="00C97BD4">
      <w:pPr>
        <w:pStyle w:val="BTEMEASMCA"/>
        <w:rPr>
          <w:lang w:val="lt-LT"/>
        </w:rPr>
      </w:pPr>
    </w:p>
    <w:p w14:paraId="17C1851C" w14:textId="77777777" w:rsidR="00D75E9B" w:rsidRPr="004C5A75" w:rsidRDefault="00D75E9B" w:rsidP="00C97BD4">
      <w:pPr>
        <w:pStyle w:val="BTEMEASMCA"/>
        <w:rPr>
          <w:lang w:val="lt-LT"/>
        </w:rPr>
      </w:pPr>
      <w:r w:rsidRPr="004C5A75">
        <w:rPr>
          <w:lang w:val="lt-LT"/>
        </w:rPr>
        <w:t>Jeigu apie šį vaistą norite sužinoti daugiau, kreipkitės į vietinį registruotojo atstovą.</w:t>
      </w:r>
    </w:p>
    <w:p w14:paraId="17C1851D" w14:textId="77777777" w:rsidR="00D75E9B" w:rsidRPr="004C5A75" w:rsidRDefault="00D75E9B" w:rsidP="00C97BD4">
      <w:pPr>
        <w:pStyle w:val="BTEMEASMCA"/>
        <w:rPr>
          <w:lang w:val="lt-LT"/>
        </w:rPr>
      </w:pPr>
    </w:p>
    <w:p w14:paraId="17C1851E"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Gedeon Richter Plc. atstovybė</w:t>
      </w:r>
    </w:p>
    <w:p w14:paraId="17C1851F"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Maironio 23-3,</w:t>
      </w:r>
    </w:p>
    <w:p w14:paraId="17C18520"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lastRenderedPageBreak/>
        <w:t xml:space="preserve">Vilnius </w:t>
      </w:r>
    </w:p>
    <w:p w14:paraId="17C18521" w14:textId="77777777" w:rsidR="00D75E9B" w:rsidRPr="004C5A75" w:rsidRDefault="00D75E9B" w:rsidP="00D75E9B">
      <w:pPr>
        <w:jc w:val="both"/>
        <w:rPr>
          <w:rFonts w:ascii="Times New Roman" w:hAnsi="Times New Roman"/>
          <w:sz w:val="22"/>
          <w:szCs w:val="22"/>
          <w:lang w:val="lt-LT"/>
        </w:rPr>
      </w:pPr>
      <w:r w:rsidRPr="004C5A75">
        <w:rPr>
          <w:rFonts w:ascii="Times New Roman" w:hAnsi="Times New Roman"/>
          <w:sz w:val="22"/>
          <w:szCs w:val="22"/>
          <w:lang w:val="lt-LT"/>
        </w:rPr>
        <w:t>Tel. +370 5 268 53 92</w:t>
      </w:r>
    </w:p>
    <w:p w14:paraId="17C18522" w14:textId="77777777" w:rsidR="00D75E9B" w:rsidRPr="004C5A75" w:rsidRDefault="00D75E9B" w:rsidP="00C97BD4">
      <w:pPr>
        <w:pStyle w:val="BTEMEASMCA"/>
        <w:rPr>
          <w:lang w:val="lt-LT"/>
        </w:rPr>
      </w:pPr>
    </w:p>
    <w:p w14:paraId="17C18523" w14:textId="4346C197" w:rsidR="00D75E9B" w:rsidRPr="0026536C" w:rsidRDefault="00C97BD4" w:rsidP="00C97BD4">
      <w:pPr>
        <w:pStyle w:val="BTEMEASMCA"/>
        <w:rPr>
          <w:lang w:val="lt-LT"/>
        </w:rPr>
      </w:pPr>
      <w:r w:rsidRPr="00C97BD4">
        <w:rPr>
          <w:b/>
          <w:snapToGrid w:val="0"/>
          <w:szCs w:val="20"/>
          <w:lang w:val="lt-LT"/>
        </w:rPr>
        <w:t xml:space="preserve">Šis vaistas Europos ekonominės erdvės valstybėse narėse  registruotas </w:t>
      </w:r>
      <w:r w:rsidR="00D75E9B" w:rsidRPr="0026536C">
        <w:rPr>
          <w:lang w:val="lt-LT"/>
        </w:rPr>
        <w:t>tokiais pavadinimais:</w:t>
      </w:r>
    </w:p>
    <w:p w14:paraId="17C18524" w14:textId="77777777" w:rsidR="00D75E9B" w:rsidRPr="004C5A75" w:rsidRDefault="00D75E9B" w:rsidP="00D75E9B">
      <w:pPr>
        <w:tabs>
          <w:tab w:val="left" w:pos="3600"/>
        </w:tabs>
        <w:rPr>
          <w:rFonts w:ascii="Times New Roman" w:hAnsi="Times New Roman"/>
          <w:sz w:val="22"/>
          <w:szCs w:val="22"/>
          <w:lang w:val="lt-LT" w:eastAsia="hu-HU"/>
        </w:rPr>
      </w:pPr>
      <w:r w:rsidRPr="004C5A75">
        <w:rPr>
          <w:rFonts w:ascii="Times New Roman" w:hAnsi="Times New Roman"/>
          <w:sz w:val="22"/>
          <w:szCs w:val="22"/>
          <w:lang w:val="lt-LT" w:eastAsia="hu-HU"/>
        </w:rPr>
        <w:t>Bulgarija: Dironorm</w:t>
      </w:r>
    </w:p>
    <w:p w14:paraId="17C18525" w14:textId="77777777" w:rsidR="00D75E9B" w:rsidRPr="004C5A75" w:rsidRDefault="00D75E9B" w:rsidP="00D75E9B">
      <w:pPr>
        <w:tabs>
          <w:tab w:val="left" w:pos="3600"/>
        </w:tabs>
        <w:rPr>
          <w:rFonts w:ascii="Times New Roman" w:hAnsi="Times New Roman"/>
          <w:sz w:val="22"/>
          <w:szCs w:val="22"/>
          <w:lang w:val="lt-LT"/>
        </w:rPr>
      </w:pPr>
      <w:r w:rsidRPr="004C5A75">
        <w:rPr>
          <w:rFonts w:ascii="Times New Roman" w:hAnsi="Times New Roman"/>
          <w:sz w:val="22"/>
          <w:szCs w:val="22"/>
          <w:lang w:val="lt-LT" w:eastAsia="hu-HU"/>
        </w:rPr>
        <w:t>Čekija: Amesos</w:t>
      </w:r>
    </w:p>
    <w:p w14:paraId="17C18526" w14:textId="77777777" w:rsidR="00D75E9B" w:rsidRPr="004C5A75" w:rsidRDefault="00D75E9B" w:rsidP="00D75E9B">
      <w:pPr>
        <w:tabs>
          <w:tab w:val="left" w:pos="3600"/>
        </w:tabs>
        <w:rPr>
          <w:rFonts w:ascii="Times New Roman" w:hAnsi="Times New Roman"/>
          <w:sz w:val="22"/>
          <w:szCs w:val="22"/>
          <w:lang w:val="lt-LT"/>
        </w:rPr>
      </w:pPr>
      <w:r w:rsidRPr="004C5A75">
        <w:rPr>
          <w:rFonts w:ascii="Times New Roman" w:hAnsi="Times New Roman"/>
          <w:sz w:val="22"/>
          <w:szCs w:val="22"/>
          <w:lang w:val="lt-LT"/>
        </w:rPr>
        <w:t>Estija: DIRONORM</w:t>
      </w:r>
    </w:p>
    <w:p w14:paraId="17C18527" w14:textId="77777777" w:rsidR="00D75E9B" w:rsidRPr="004C5A75" w:rsidRDefault="00D75E9B" w:rsidP="00D75E9B">
      <w:pPr>
        <w:tabs>
          <w:tab w:val="left" w:pos="3600"/>
        </w:tabs>
        <w:rPr>
          <w:rFonts w:ascii="Times New Roman" w:hAnsi="Times New Roman"/>
          <w:sz w:val="22"/>
          <w:szCs w:val="22"/>
          <w:lang w:val="lt-LT"/>
        </w:rPr>
      </w:pPr>
      <w:r w:rsidRPr="004C5A75">
        <w:rPr>
          <w:rFonts w:ascii="Times New Roman" w:hAnsi="Times New Roman"/>
          <w:sz w:val="22"/>
          <w:szCs w:val="22"/>
          <w:lang w:val="lt-LT" w:eastAsia="hu-HU"/>
        </w:rPr>
        <w:t>Latvija: DIRONORM</w:t>
      </w:r>
    </w:p>
    <w:p w14:paraId="17C18528" w14:textId="77777777" w:rsidR="00D75E9B" w:rsidRPr="004C5A75" w:rsidRDefault="00D75E9B" w:rsidP="00D75E9B">
      <w:pPr>
        <w:tabs>
          <w:tab w:val="left" w:pos="3600"/>
        </w:tabs>
        <w:rPr>
          <w:rFonts w:ascii="Times New Roman" w:hAnsi="Times New Roman"/>
          <w:sz w:val="22"/>
          <w:szCs w:val="22"/>
          <w:lang w:val="lt-LT"/>
        </w:rPr>
      </w:pPr>
      <w:r w:rsidRPr="004C5A75">
        <w:rPr>
          <w:rFonts w:ascii="Times New Roman" w:hAnsi="Times New Roman"/>
          <w:sz w:val="22"/>
          <w:szCs w:val="22"/>
          <w:lang w:val="lt-LT"/>
        </w:rPr>
        <w:t xml:space="preserve">Lietuva: DIRONORM </w:t>
      </w:r>
    </w:p>
    <w:p w14:paraId="17C18529" w14:textId="77777777" w:rsidR="00D75E9B" w:rsidRPr="004C5A75" w:rsidRDefault="00D75E9B" w:rsidP="00D75E9B">
      <w:pPr>
        <w:tabs>
          <w:tab w:val="left" w:pos="3600"/>
        </w:tabs>
        <w:rPr>
          <w:rFonts w:ascii="Times New Roman" w:hAnsi="Times New Roman"/>
          <w:sz w:val="22"/>
          <w:szCs w:val="22"/>
          <w:lang w:val="lt-LT"/>
        </w:rPr>
      </w:pPr>
      <w:r w:rsidRPr="004C5A75">
        <w:rPr>
          <w:rFonts w:ascii="Times New Roman" w:hAnsi="Times New Roman"/>
          <w:sz w:val="22"/>
          <w:szCs w:val="22"/>
          <w:lang w:val="lt-LT"/>
        </w:rPr>
        <w:t>Lenkija: Dironorm</w:t>
      </w:r>
    </w:p>
    <w:p w14:paraId="17C1852A" w14:textId="77777777" w:rsidR="00D75E9B" w:rsidRPr="004C5A75" w:rsidRDefault="00D75E9B" w:rsidP="00D75E9B">
      <w:pPr>
        <w:tabs>
          <w:tab w:val="left" w:pos="3600"/>
        </w:tabs>
        <w:rPr>
          <w:rFonts w:ascii="Times New Roman" w:hAnsi="Times New Roman"/>
          <w:sz w:val="22"/>
          <w:szCs w:val="22"/>
          <w:lang w:val="lt-LT"/>
        </w:rPr>
      </w:pPr>
      <w:r w:rsidRPr="004C5A75">
        <w:rPr>
          <w:rFonts w:ascii="Times New Roman" w:hAnsi="Times New Roman"/>
          <w:sz w:val="22"/>
          <w:szCs w:val="22"/>
          <w:lang w:val="lt-LT"/>
        </w:rPr>
        <w:t>Rumunia: Lisonorm</w:t>
      </w:r>
    </w:p>
    <w:p w14:paraId="17C1852B" w14:textId="77777777" w:rsidR="00D75E9B" w:rsidRPr="004C5A75" w:rsidRDefault="00D75E9B" w:rsidP="00D75E9B">
      <w:pPr>
        <w:tabs>
          <w:tab w:val="left" w:pos="3600"/>
        </w:tabs>
        <w:rPr>
          <w:rFonts w:ascii="Times New Roman" w:hAnsi="Times New Roman"/>
          <w:sz w:val="22"/>
          <w:szCs w:val="22"/>
          <w:lang w:val="lt-LT"/>
        </w:rPr>
      </w:pPr>
      <w:r w:rsidRPr="004C5A75">
        <w:rPr>
          <w:rFonts w:ascii="Times New Roman" w:hAnsi="Times New Roman"/>
          <w:sz w:val="22"/>
          <w:szCs w:val="22"/>
          <w:lang w:val="lt-LT"/>
        </w:rPr>
        <w:t xml:space="preserve">Slovakija: Dironorm </w:t>
      </w:r>
    </w:p>
    <w:p w14:paraId="17C1852C" w14:textId="77777777" w:rsidR="00D75E9B" w:rsidRPr="004C5A75" w:rsidRDefault="00D75E9B" w:rsidP="00D75E9B">
      <w:pPr>
        <w:tabs>
          <w:tab w:val="left" w:pos="3600"/>
        </w:tabs>
        <w:rPr>
          <w:rFonts w:ascii="Times New Roman" w:hAnsi="Times New Roman"/>
          <w:sz w:val="22"/>
          <w:szCs w:val="22"/>
          <w:lang w:val="lt-LT"/>
        </w:rPr>
      </w:pPr>
      <w:r w:rsidRPr="004C5A75">
        <w:rPr>
          <w:rFonts w:ascii="Times New Roman" w:hAnsi="Times New Roman"/>
          <w:sz w:val="22"/>
          <w:szCs w:val="22"/>
          <w:lang w:val="lt-LT"/>
        </w:rPr>
        <w:t xml:space="preserve">Vengrija: Lisonorm </w:t>
      </w:r>
    </w:p>
    <w:p w14:paraId="17C1852D" w14:textId="77777777" w:rsidR="00D75E9B" w:rsidRPr="004C5A75" w:rsidRDefault="00D75E9B" w:rsidP="00D75E9B">
      <w:pPr>
        <w:rPr>
          <w:rFonts w:ascii="Times New Roman" w:hAnsi="Times New Roman"/>
          <w:sz w:val="22"/>
          <w:szCs w:val="22"/>
          <w:lang w:val="lt-LT"/>
        </w:rPr>
      </w:pPr>
    </w:p>
    <w:p w14:paraId="17C1852E" w14:textId="77777777" w:rsidR="00D75E9B" w:rsidRPr="004C5A75" w:rsidRDefault="00D75E9B" w:rsidP="00D75E9B">
      <w:pPr>
        <w:rPr>
          <w:rFonts w:ascii="Times New Roman" w:hAnsi="Times New Roman"/>
          <w:sz w:val="22"/>
          <w:szCs w:val="22"/>
          <w:lang w:val="lt-LT"/>
        </w:rPr>
      </w:pPr>
    </w:p>
    <w:p w14:paraId="17C1852F" w14:textId="4B845E91" w:rsidR="00D75E9B" w:rsidRPr="004C5A75" w:rsidRDefault="00D75E9B" w:rsidP="00C97BD4">
      <w:pPr>
        <w:pStyle w:val="BTbEMEASMCA"/>
        <w:rPr>
          <w:lang w:val="lt-LT"/>
        </w:rPr>
      </w:pPr>
      <w:r w:rsidRPr="004C5A75">
        <w:rPr>
          <w:lang w:val="lt-LT"/>
        </w:rPr>
        <w:t>Šis pakuotės lapelis paskutinį kartą peržiūrėtas</w:t>
      </w:r>
      <w:r w:rsidR="00FC627A">
        <w:rPr>
          <w:lang w:val="lt-LT"/>
        </w:rPr>
        <w:t xml:space="preserve"> </w:t>
      </w:r>
      <w:r w:rsidR="00A94B71">
        <w:rPr>
          <w:lang w:val="lt-LT"/>
        </w:rPr>
        <w:t>2022-08-14.</w:t>
      </w:r>
    </w:p>
    <w:p w14:paraId="17C18530" w14:textId="77777777" w:rsidR="00E8194D" w:rsidRDefault="00E8194D" w:rsidP="00D75E9B">
      <w:pPr>
        <w:outlineLvl w:val="0"/>
        <w:rPr>
          <w:rFonts w:ascii="Times New Roman" w:hAnsi="Times New Roman"/>
          <w:sz w:val="22"/>
          <w:szCs w:val="22"/>
          <w:lang w:val="lt-LT"/>
        </w:rPr>
      </w:pPr>
    </w:p>
    <w:p w14:paraId="17C18531" w14:textId="77777777" w:rsidR="00D75E9B" w:rsidRDefault="00D75E9B" w:rsidP="00D75E9B">
      <w:pPr>
        <w:outlineLvl w:val="0"/>
        <w:rPr>
          <w:rFonts w:ascii="Times New Roman" w:hAnsi="Times New Roman"/>
          <w:sz w:val="22"/>
          <w:szCs w:val="22"/>
          <w:lang w:val="lt-LT"/>
        </w:rPr>
      </w:pPr>
      <w:r w:rsidRPr="004C5A75">
        <w:rPr>
          <w:rFonts w:ascii="Times New Roman" w:hAnsi="Times New Roman"/>
          <w:sz w:val="22"/>
          <w:szCs w:val="22"/>
          <w:lang w:val="lt-LT"/>
        </w:rPr>
        <w:t>Išsami informacija apie šį vaistą pateikiama Valstybinės vaistų kontrolės tarnybos prie LietuvosRespublikos sveikatos apsaugos ministerijos tinklalapyje</w:t>
      </w:r>
      <w:r w:rsidRPr="004C5A75">
        <w:rPr>
          <w:rFonts w:ascii="Times New Roman" w:hAnsi="Times New Roman"/>
          <w:i/>
          <w:sz w:val="22"/>
          <w:szCs w:val="22"/>
          <w:lang w:val="lt-LT"/>
        </w:rPr>
        <w:t xml:space="preserve"> </w:t>
      </w:r>
      <w:hyperlink r:id="rId14" w:history="1">
        <w:r w:rsidRPr="004C5A75">
          <w:rPr>
            <w:rStyle w:val="Hipersaitas"/>
            <w:rFonts w:ascii="Times New Roman" w:eastAsia="SimSun" w:hAnsi="Times New Roman"/>
            <w:sz w:val="22"/>
            <w:szCs w:val="22"/>
            <w:lang w:val="lt-LT"/>
          </w:rPr>
          <w:t>http://www.vvkt.lt/</w:t>
        </w:r>
      </w:hyperlink>
      <w:r w:rsidRPr="004C5A75">
        <w:rPr>
          <w:rFonts w:ascii="Times New Roman" w:hAnsi="Times New Roman"/>
          <w:sz w:val="22"/>
          <w:szCs w:val="22"/>
          <w:lang w:val="lt-LT"/>
        </w:rPr>
        <w:t>.</w:t>
      </w:r>
    </w:p>
    <w:p w14:paraId="17C18532" w14:textId="77777777" w:rsidR="00BE67C7" w:rsidRDefault="00BE67C7" w:rsidP="00D75E9B">
      <w:pPr>
        <w:outlineLvl w:val="0"/>
        <w:rPr>
          <w:rFonts w:ascii="Times New Roman" w:hAnsi="Times New Roman"/>
          <w:sz w:val="22"/>
          <w:szCs w:val="22"/>
          <w:lang w:val="lt-LT"/>
        </w:rPr>
      </w:pPr>
    </w:p>
    <w:sectPr w:rsidR="00BE67C7" w:rsidSect="000B746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E57EF"/>
    <w:multiLevelType w:val="hybridMultilevel"/>
    <w:tmpl w:val="FA9260E0"/>
    <w:lvl w:ilvl="0" w:tplc="E87A0D1C">
      <w:start w:val="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108C06F6"/>
    <w:multiLevelType w:val="multilevel"/>
    <w:tmpl w:val="8D321EA4"/>
    <w:lvl w:ilvl="0">
      <w:start w:val="5"/>
      <w:numFmt w:val="decimal"/>
      <w:lvlText w:val="%1"/>
      <w:lvlJc w:val="left"/>
      <w:pPr>
        <w:tabs>
          <w:tab w:val="num" w:pos="570"/>
        </w:tabs>
        <w:ind w:left="570" w:hanging="570"/>
      </w:pPr>
      <w:rPr>
        <w:b/>
      </w:rPr>
    </w:lvl>
    <w:lvl w:ilvl="1">
      <w:start w:val="3"/>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4" w15:restartNumberingAfterBreak="0">
    <w:nsid w:val="1095543A"/>
    <w:multiLevelType w:val="hybridMultilevel"/>
    <w:tmpl w:val="D622718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3E410037"/>
    <w:multiLevelType w:val="hybridMultilevel"/>
    <w:tmpl w:val="4EB870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2E73BE9"/>
    <w:multiLevelType w:val="hybridMultilevel"/>
    <w:tmpl w:val="3F68D2DE"/>
    <w:lvl w:ilvl="0" w:tplc="FFFFFFFF">
      <w:start w:val="1"/>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6D4006"/>
    <w:multiLevelType w:val="multilevel"/>
    <w:tmpl w:val="DB829FCA"/>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6EE21859"/>
    <w:multiLevelType w:val="hybridMultilevel"/>
    <w:tmpl w:val="29CA7D5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804EA8"/>
    <w:multiLevelType w:val="hybridMultilevel"/>
    <w:tmpl w:val="98CC5CD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B10566C"/>
    <w:multiLevelType w:val="hybridMultilevel"/>
    <w:tmpl w:val="1D6652E2"/>
    <w:lvl w:ilvl="0" w:tplc="2A7E89EE">
      <w:start w:val="1"/>
      <w:numFmt w:val="bullet"/>
      <w:lvlText w:val="-"/>
      <w:lvlJc w:val="left"/>
      <w:pPr>
        <w:ind w:left="643"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lvlOverride w:ilvl="0">
      <w:lvl w:ilvl="0">
        <w:start w:val="1"/>
        <w:numFmt w:val="bullet"/>
        <w:lvlText w:val="-"/>
        <w:legacy w:legacy="1" w:legacySpace="0" w:legacyIndent="360"/>
        <w:lvlJc w:val="left"/>
        <w:pPr>
          <w:ind w:left="360" w:hanging="360"/>
        </w:pPr>
      </w:lvl>
    </w:lvlOverride>
  </w:num>
  <w:num w:numId="3">
    <w:abstractNumId w:val="11"/>
  </w:num>
  <w:num w:numId="4">
    <w:abstractNumId w:val="15"/>
  </w:num>
  <w:num w:numId="5">
    <w:abstractNumId w:val="1"/>
  </w:num>
  <w:num w:numId="6">
    <w:abstractNumId w:val="9"/>
  </w:num>
  <w:num w:numId="7">
    <w:abstractNumId w:val="14"/>
  </w:num>
  <w:num w:numId="8">
    <w:abstractNumId w:val="2"/>
  </w:num>
  <w:num w:numId="9">
    <w:abstractNumId w:val="12"/>
  </w:num>
  <w:num w:numId="10">
    <w:abstractNumId w:val="10"/>
  </w:num>
  <w:num w:numId="11">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8E"/>
    <w:rsid w:val="00007718"/>
    <w:rsid w:val="00020CDA"/>
    <w:rsid w:val="000267BF"/>
    <w:rsid w:val="00026A7F"/>
    <w:rsid w:val="00026AED"/>
    <w:rsid w:val="00037869"/>
    <w:rsid w:val="0004495D"/>
    <w:rsid w:val="000458C5"/>
    <w:rsid w:val="00050693"/>
    <w:rsid w:val="00052C53"/>
    <w:rsid w:val="000551FE"/>
    <w:rsid w:val="00061B19"/>
    <w:rsid w:val="00063973"/>
    <w:rsid w:val="00065C7B"/>
    <w:rsid w:val="00067020"/>
    <w:rsid w:val="00075529"/>
    <w:rsid w:val="000874A6"/>
    <w:rsid w:val="0009033E"/>
    <w:rsid w:val="0009108C"/>
    <w:rsid w:val="00091512"/>
    <w:rsid w:val="00091A1E"/>
    <w:rsid w:val="0009380E"/>
    <w:rsid w:val="000A3859"/>
    <w:rsid w:val="000A7910"/>
    <w:rsid w:val="000B142D"/>
    <w:rsid w:val="000B2B76"/>
    <w:rsid w:val="000B6CCF"/>
    <w:rsid w:val="000B746C"/>
    <w:rsid w:val="000C2993"/>
    <w:rsid w:val="000E71F0"/>
    <w:rsid w:val="000F0C53"/>
    <w:rsid w:val="000F5D6C"/>
    <w:rsid w:val="001010AD"/>
    <w:rsid w:val="001012E2"/>
    <w:rsid w:val="0012203A"/>
    <w:rsid w:val="00124DB2"/>
    <w:rsid w:val="001258F8"/>
    <w:rsid w:val="00131886"/>
    <w:rsid w:val="001470E7"/>
    <w:rsid w:val="00147A68"/>
    <w:rsid w:val="00160890"/>
    <w:rsid w:val="001624AA"/>
    <w:rsid w:val="00162CA6"/>
    <w:rsid w:val="001716D7"/>
    <w:rsid w:val="00172B18"/>
    <w:rsid w:val="00180EB0"/>
    <w:rsid w:val="00182303"/>
    <w:rsid w:val="00184BD6"/>
    <w:rsid w:val="00197CB7"/>
    <w:rsid w:val="001B3A4F"/>
    <w:rsid w:val="001B4225"/>
    <w:rsid w:val="001B560A"/>
    <w:rsid w:val="001C2661"/>
    <w:rsid w:val="001D610E"/>
    <w:rsid w:val="001F193C"/>
    <w:rsid w:val="001F5B4E"/>
    <w:rsid w:val="0020553F"/>
    <w:rsid w:val="0021219B"/>
    <w:rsid w:val="002129B0"/>
    <w:rsid w:val="00215050"/>
    <w:rsid w:val="002249CD"/>
    <w:rsid w:val="002321B1"/>
    <w:rsid w:val="00233768"/>
    <w:rsid w:val="00240D6A"/>
    <w:rsid w:val="00242AFD"/>
    <w:rsid w:val="00255BCC"/>
    <w:rsid w:val="00264DBB"/>
    <w:rsid w:val="0026536C"/>
    <w:rsid w:val="0027344F"/>
    <w:rsid w:val="0027624D"/>
    <w:rsid w:val="00280780"/>
    <w:rsid w:val="00281AD7"/>
    <w:rsid w:val="0028521E"/>
    <w:rsid w:val="00292187"/>
    <w:rsid w:val="0029251A"/>
    <w:rsid w:val="002951B3"/>
    <w:rsid w:val="002B1ECB"/>
    <w:rsid w:val="002B6333"/>
    <w:rsid w:val="002D2E24"/>
    <w:rsid w:val="002E3D3A"/>
    <w:rsid w:val="002E48B8"/>
    <w:rsid w:val="002E586B"/>
    <w:rsid w:val="002E59A2"/>
    <w:rsid w:val="002E5A69"/>
    <w:rsid w:val="002F58D3"/>
    <w:rsid w:val="002F6DF5"/>
    <w:rsid w:val="002F7C59"/>
    <w:rsid w:val="00303528"/>
    <w:rsid w:val="00304211"/>
    <w:rsid w:val="00317EDC"/>
    <w:rsid w:val="0033061A"/>
    <w:rsid w:val="00332CD2"/>
    <w:rsid w:val="003349AB"/>
    <w:rsid w:val="003354DC"/>
    <w:rsid w:val="0034500E"/>
    <w:rsid w:val="00345D54"/>
    <w:rsid w:val="003533D4"/>
    <w:rsid w:val="00356B44"/>
    <w:rsid w:val="0036174F"/>
    <w:rsid w:val="0036646A"/>
    <w:rsid w:val="00377422"/>
    <w:rsid w:val="003777B1"/>
    <w:rsid w:val="00382A5A"/>
    <w:rsid w:val="00390E5B"/>
    <w:rsid w:val="00391E6E"/>
    <w:rsid w:val="003969E3"/>
    <w:rsid w:val="00396B8D"/>
    <w:rsid w:val="00396DBF"/>
    <w:rsid w:val="003B16C5"/>
    <w:rsid w:val="003B4091"/>
    <w:rsid w:val="003B493B"/>
    <w:rsid w:val="003B7BB0"/>
    <w:rsid w:val="003C6C6E"/>
    <w:rsid w:val="003D5CA5"/>
    <w:rsid w:val="003E0AFC"/>
    <w:rsid w:val="003E3DFE"/>
    <w:rsid w:val="003F5219"/>
    <w:rsid w:val="003F6761"/>
    <w:rsid w:val="00402F06"/>
    <w:rsid w:val="004045DD"/>
    <w:rsid w:val="00422053"/>
    <w:rsid w:val="004303CA"/>
    <w:rsid w:val="00434282"/>
    <w:rsid w:val="0045237B"/>
    <w:rsid w:val="00464554"/>
    <w:rsid w:val="004723BA"/>
    <w:rsid w:val="00475F78"/>
    <w:rsid w:val="00490DF5"/>
    <w:rsid w:val="004927D2"/>
    <w:rsid w:val="004A36CD"/>
    <w:rsid w:val="004B6AA5"/>
    <w:rsid w:val="004C0175"/>
    <w:rsid w:val="004C054C"/>
    <w:rsid w:val="004C22FB"/>
    <w:rsid w:val="004C5A75"/>
    <w:rsid w:val="004C5DC2"/>
    <w:rsid w:val="004C5E0C"/>
    <w:rsid w:val="004C75E0"/>
    <w:rsid w:val="004D191A"/>
    <w:rsid w:val="004D7925"/>
    <w:rsid w:val="004E19C6"/>
    <w:rsid w:val="004E481C"/>
    <w:rsid w:val="004E746C"/>
    <w:rsid w:val="004F6C21"/>
    <w:rsid w:val="00501562"/>
    <w:rsid w:val="00503639"/>
    <w:rsid w:val="0053696E"/>
    <w:rsid w:val="00546E4F"/>
    <w:rsid w:val="00547714"/>
    <w:rsid w:val="00550EBD"/>
    <w:rsid w:val="0055535A"/>
    <w:rsid w:val="00563796"/>
    <w:rsid w:val="00573885"/>
    <w:rsid w:val="005779A7"/>
    <w:rsid w:val="005A0621"/>
    <w:rsid w:val="005B0712"/>
    <w:rsid w:val="005B1CC8"/>
    <w:rsid w:val="005B1E29"/>
    <w:rsid w:val="005B6738"/>
    <w:rsid w:val="005B7EED"/>
    <w:rsid w:val="005C17E0"/>
    <w:rsid w:val="005C19EF"/>
    <w:rsid w:val="005C1D17"/>
    <w:rsid w:val="005C708E"/>
    <w:rsid w:val="005D2620"/>
    <w:rsid w:val="005D71AB"/>
    <w:rsid w:val="005E3B80"/>
    <w:rsid w:val="005F0483"/>
    <w:rsid w:val="00600017"/>
    <w:rsid w:val="00600EF9"/>
    <w:rsid w:val="00601719"/>
    <w:rsid w:val="00604E3E"/>
    <w:rsid w:val="00605C38"/>
    <w:rsid w:val="0060787A"/>
    <w:rsid w:val="006122A8"/>
    <w:rsid w:val="00613FB9"/>
    <w:rsid w:val="00614BAA"/>
    <w:rsid w:val="00622713"/>
    <w:rsid w:val="00641C1F"/>
    <w:rsid w:val="0065173B"/>
    <w:rsid w:val="00671DEA"/>
    <w:rsid w:val="006734CE"/>
    <w:rsid w:val="00677C12"/>
    <w:rsid w:val="00677F3F"/>
    <w:rsid w:val="006801FF"/>
    <w:rsid w:val="0068079B"/>
    <w:rsid w:val="006868E0"/>
    <w:rsid w:val="0069219A"/>
    <w:rsid w:val="00692A16"/>
    <w:rsid w:val="006A2F4F"/>
    <w:rsid w:val="006B5B18"/>
    <w:rsid w:val="006C0633"/>
    <w:rsid w:val="006C1851"/>
    <w:rsid w:val="006C6058"/>
    <w:rsid w:val="006C7626"/>
    <w:rsid w:val="006D5EA2"/>
    <w:rsid w:val="006E3411"/>
    <w:rsid w:val="006F72D4"/>
    <w:rsid w:val="00702E47"/>
    <w:rsid w:val="00723633"/>
    <w:rsid w:val="00732A8A"/>
    <w:rsid w:val="00733285"/>
    <w:rsid w:val="007420AA"/>
    <w:rsid w:val="00753EDD"/>
    <w:rsid w:val="00762C04"/>
    <w:rsid w:val="0076708B"/>
    <w:rsid w:val="00773B1A"/>
    <w:rsid w:val="00793C46"/>
    <w:rsid w:val="007969A0"/>
    <w:rsid w:val="007A3DBB"/>
    <w:rsid w:val="007A4480"/>
    <w:rsid w:val="007A7ACA"/>
    <w:rsid w:val="007B1744"/>
    <w:rsid w:val="007B1CEA"/>
    <w:rsid w:val="007C1320"/>
    <w:rsid w:val="007C2ACC"/>
    <w:rsid w:val="007D475B"/>
    <w:rsid w:val="007D4C0C"/>
    <w:rsid w:val="007D7088"/>
    <w:rsid w:val="007D726C"/>
    <w:rsid w:val="007E58BA"/>
    <w:rsid w:val="007F00DD"/>
    <w:rsid w:val="00812CE7"/>
    <w:rsid w:val="00821E23"/>
    <w:rsid w:val="00821FFA"/>
    <w:rsid w:val="00835479"/>
    <w:rsid w:val="0084699D"/>
    <w:rsid w:val="00857C28"/>
    <w:rsid w:val="00862529"/>
    <w:rsid w:val="00862A8F"/>
    <w:rsid w:val="00875068"/>
    <w:rsid w:val="008A17DE"/>
    <w:rsid w:val="008A428C"/>
    <w:rsid w:val="008B736A"/>
    <w:rsid w:val="008D1121"/>
    <w:rsid w:val="008D2751"/>
    <w:rsid w:val="008E4484"/>
    <w:rsid w:val="008E6E24"/>
    <w:rsid w:val="008F2A0C"/>
    <w:rsid w:val="009006F8"/>
    <w:rsid w:val="00901FFE"/>
    <w:rsid w:val="009101AD"/>
    <w:rsid w:val="00915F82"/>
    <w:rsid w:val="00922961"/>
    <w:rsid w:val="00922C51"/>
    <w:rsid w:val="0093067C"/>
    <w:rsid w:val="00942F09"/>
    <w:rsid w:val="00947013"/>
    <w:rsid w:val="00951FB1"/>
    <w:rsid w:val="00952C48"/>
    <w:rsid w:val="00961C7B"/>
    <w:rsid w:val="0096647F"/>
    <w:rsid w:val="00970CE9"/>
    <w:rsid w:val="00971D1E"/>
    <w:rsid w:val="009902B8"/>
    <w:rsid w:val="009A4024"/>
    <w:rsid w:val="009B2410"/>
    <w:rsid w:val="009C32B6"/>
    <w:rsid w:val="009C54A6"/>
    <w:rsid w:val="009C6D73"/>
    <w:rsid w:val="009D3AD1"/>
    <w:rsid w:val="009E505B"/>
    <w:rsid w:val="009F03E9"/>
    <w:rsid w:val="00A155E3"/>
    <w:rsid w:val="00A24601"/>
    <w:rsid w:val="00A3144B"/>
    <w:rsid w:val="00A35DC0"/>
    <w:rsid w:val="00A4304D"/>
    <w:rsid w:val="00A46E9F"/>
    <w:rsid w:val="00A53CBF"/>
    <w:rsid w:val="00A71CB6"/>
    <w:rsid w:val="00A73E54"/>
    <w:rsid w:val="00A824B6"/>
    <w:rsid w:val="00A90589"/>
    <w:rsid w:val="00A935BF"/>
    <w:rsid w:val="00A94B71"/>
    <w:rsid w:val="00A96888"/>
    <w:rsid w:val="00AA3E17"/>
    <w:rsid w:val="00AA5BD6"/>
    <w:rsid w:val="00AA6F49"/>
    <w:rsid w:val="00AB34BD"/>
    <w:rsid w:val="00AB433D"/>
    <w:rsid w:val="00AC0186"/>
    <w:rsid w:val="00AC2D18"/>
    <w:rsid w:val="00AC3441"/>
    <w:rsid w:val="00AD0A1E"/>
    <w:rsid w:val="00AD540A"/>
    <w:rsid w:val="00AD6986"/>
    <w:rsid w:val="00AD6E6C"/>
    <w:rsid w:val="00AE1BA2"/>
    <w:rsid w:val="00AE3680"/>
    <w:rsid w:val="00B03C93"/>
    <w:rsid w:val="00B049AD"/>
    <w:rsid w:val="00B05DD3"/>
    <w:rsid w:val="00B07D30"/>
    <w:rsid w:val="00B225DD"/>
    <w:rsid w:val="00B309A7"/>
    <w:rsid w:val="00B46E52"/>
    <w:rsid w:val="00B5534A"/>
    <w:rsid w:val="00B6176F"/>
    <w:rsid w:val="00B848F2"/>
    <w:rsid w:val="00B8618F"/>
    <w:rsid w:val="00B92D6E"/>
    <w:rsid w:val="00B93F89"/>
    <w:rsid w:val="00BA2725"/>
    <w:rsid w:val="00BB1E25"/>
    <w:rsid w:val="00BB341B"/>
    <w:rsid w:val="00BB56D4"/>
    <w:rsid w:val="00BB6609"/>
    <w:rsid w:val="00BD3DF4"/>
    <w:rsid w:val="00BE67C7"/>
    <w:rsid w:val="00BE7013"/>
    <w:rsid w:val="00BF708B"/>
    <w:rsid w:val="00C052A0"/>
    <w:rsid w:val="00C07357"/>
    <w:rsid w:val="00C10EA9"/>
    <w:rsid w:val="00C1309B"/>
    <w:rsid w:val="00C134BD"/>
    <w:rsid w:val="00C154F7"/>
    <w:rsid w:val="00C27EBE"/>
    <w:rsid w:val="00C3548C"/>
    <w:rsid w:val="00C37CC9"/>
    <w:rsid w:val="00C43242"/>
    <w:rsid w:val="00C46007"/>
    <w:rsid w:val="00C63912"/>
    <w:rsid w:val="00C7336D"/>
    <w:rsid w:val="00C9434C"/>
    <w:rsid w:val="00C97BD4"/>
    <w:rsid w:val="00CB36F5"/>
    <w:rsid w:val="00CC795D"/>
    <w:rsid w:val="00CD5EF3"/>
    <w:rsid w:val="00CD6ED2"/>
    <w:rsid w:val="00CD7B3C"/>
    <w:rsid w:val="00CE68A0"/>
    <w:rsid w:val="00D037CC"/>
    <w:rsid w:val="00D34327"/>
    <w:rsid w:val="00D41710"/>
    <w:rsid w:val="00D452D1"/>
    <w:rsid w:val="00D75E9B"/>
    <w:rsid w:val="00D77BAF"/>
    <w:rsid w:val="00D82FA8"/>
    <w:rsid w:val="00DA7958"/>
    <w:rsid w:val="00DB47F2"/>
    <w:rsid w:val="00DB4BB3"/>
    <w:rsid w:val="00DB59D1"/>
    <w:rsid w:val="00DC11B7"/>
    <w:rsid w:val="00DD0370"/>
    <w:rsid w:val="00DD4534"/>
    <w:rsid w:val="00DD5176"/>
    <w:rsid w:val="00DE4C21"/>
    <w:rsid w:val="00DF7C7B"/>
    <w:rsid w:val="00E04772"/>
    <w:rsid w:val="00E078B9"/>
    <w:rsid w:val="00E14026"/>
    <w:rsid w:val="00E14279"/>
    <w:rsid w:val="00E2021D"/>
    <w:rsid w:val="00E237E5"/>
    <w:rsid w:val="00E23FE7"/>
    <w:rsid w:val="00E34816"/>
    <w:rsid w:val="00E5078E"/>
    <w:rsid w:val="00E515B9"/>
    <w:rsid w:val="00E51BDC"/>
    <w:rsid w:val="00E54458"/>
    <w:rsid w:val="00E57B15"/>
    <w:rsid w:val="00E6275C"/>
    <w:rsid w:val="00E74B9F"/>
    <w:rsid w:val="00E800A9"/>
    <w:rsid w:val="00E8040E"/>
    <w:rsid w:val="00E8194D"/>
    <w:rsid w:val="00E83A82"/>
    <w:rsid w:val="00E92C31"/>
    <w:rsid w:val="00EA4420"/>
    <w:rsid w:val="00EB1DEF"/>
    <w:rsid w:val="00EB3AB2"/>
    <w:rsid w:val="00EB403C"/>
    <w:rsid w:val="00EB7BF3"/>
    <w:rsid w:val="00ED3D04"/>
    <w:rsid w:val="00EF5A0B"/>
    <w:rsid w:val="00EF6094"/>
    <w:rsid w:val="00F07A59"/>
    <w:rsid w:val="00F25F29"/>
    <w:rsid w:val="00F27500"/>
    <w:rsid w:val="00F27FB1"/>
    <w:rsid w:val="00F40C86"/>
    <w:rsid w:val="00F61845"/>
    <w:rsid w:val="00F77100"/>
    <w:rsid w:val="00F828DD"/>
    <w:rsid w:val="00F869A5"/>
    <w:rsid w:val="00F942E3"/>
    <w:rsid w:val="00F94E47"/>
    <w:rsid w:val="00FB1978"/>
    <w:rsid w:val="00FB510D"/>
    <w:rsid w:val="00FC4A22"/>
    <w:rsid w:val="00FC627A"/>
    <w:rsid w:val="00FE5B58"/>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C17D99"/>
  <w15:chartTrackingRefBased/>
  <w15:docId w15:val="{EA380408-CB78-48C2-81AE-A589B85C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FFE"/>
    <w:rPr>
      <w:rFonts w:ascii="Verdana" w:eastAsia="Times New Roman" w:hAnsi="Verdana"/>
      <w:szCs w:val="24"/>
      <w:lang w:val="en-GB" w:eastAsia="en-US"/>
    </w:rPr>
  </w:style>
  <w:style w:type="paragraph" w:styleId="Antrat1">
    <w:name w:val="heading 1"/>
    <w:basedOn w:val="prastasis"/>
    <w:next w:val="prastasis"/>
    <w:link w:val="Antrat1Diagrama"/>
    <w:qFormat/>
    <w:rsid w:val="00D75E9B"/>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D75E9B"/>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D75E9B"/>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D75E9B"/>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qFormat/>
    <w:rsid w:val="00D75E9B"/>
    <w:pPr>
      <w:keepNext/>
      <w:jc w:val="both"/>
      <w:outlineLvl w:val="4"/>
    </w:pPr>
    <w:rPr>
      <w:rFonts w:ascii="Times New Roman" w:hAnsi="Times New Roman"/>
      <w:b/>
      <w:bCs/>
      <w:sz w:val="22"/>
      <w:lang w:val="lt-LT" w:eastAsia="x-none"/>
    </w:rPr>
  </w:style>
  <w:style w:type="paragraph" w:styleId="Antrat6">
    <w:name w:val="heading 6"/>
    <w:basedOn w:val="prastasis"/>
    <w:next w:val="prastasis"/>
    <w:link w:val="Antrat6Diagrama"/>
    <w:qFormat/>
    <w:rsid w:val="00D75E9B"/>
    <w:pPr>
      <w:keepNext/>
      <w:jc w:val="both"/>
      <w:outlineLvl w:val="5"/>
    </w:pPr>
    <w:rPr>
      <w:rFonts w:ascii="Times New Roman" w:hAnsi="Times New Roman"/>
      <w:b/>
      <w:bCs/>
      <w:sz w:val="24"/>
      <w:szCs w:val="22"/>
      <w:lang w:eastAsia="x-none"/>
    </w:rPr>
  </w:style>
  <w:style w:type="paragraph" w:styleId="Antrat7">
    <w:name w:val="heading 7"/>
    <w:basedOn w:val="prastasis"/>
    <w:next w:val="prastasis"/>
    <w:link w:val="Antrat7Diagrama"/>
    <w:qFormat/>
    <w:rsid w:val="00D75E9B"/>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qFormat/>
    <w:rsid w:val="00D75E9B"/>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qFormat/>
    <w:rsid w:val="00D75E9B"/>
    <w:pPr>
      <w:spacing w:before="240" w:after="60"/>
      <w:outlineLvl w:val="8"/>
    </w:pPr>
    <w:rPr>
      <w:rFonts w:ascii="Arial" w:hAnsi="Arial"/>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75E9B"/>
    <w:rPr>
      <w:rFonts w:ascii="Arial" w:eastAsia="Times New Roman" w:hAnsi="Arial" w:cs="Times New Roman"/>
      <w:b/>
      <w:bCs/>
      <w:kern w:val="32"/>
      <w:sz w:val="32"/>
      <w:szCs w:val="32"/>
      <w:lang w:val="en-GB" w:eastAsia="x-none"/>
    </w:rPr>
  </w:style>
  <w:style w:type="character" w:customStyle="1" w:styleId="Antrat2Diagrama">
    <w:name w:val="Antraštė 2 Diagrama"/>
    <w:link w:val="Antrat2"/>
    <w:rsid w:val="00D75E9B"/>
    <w:rPr>
      <w:rFonts w:ascii="Arial" w:eastAsia="Times New Roman" w:hAnsi="Arial" w:cs="Times New Roman"/>
      <w:b/>
      <w:bCs/>
      <w:i/>
      <w:iCs/>
      <w:sz w:val="28"/>
      <w:szCs w:val="28"/>
      <w:lang w:val="en-GB" w:eastAsia="x-none"/>
    </w:rPr>
  </w:style>
  <w:style w:type="character" w:customStyle="1" w:styleId="Antrat3Diagrama">
    <w:name w:val="Antraštė 3 Diagrama"/>
    <w:link w:val="Antrat3"/>
    <w:rsid w:val="00D75E9B"/>
    <w:rPr>
      <w:rFonts w:ascii="Arial" w:eastAsia="Times New Roman" w:hAnsi="Arial" w:cs="Times New Roman"/>
      <w:b/>
      <w:bCs/>
      <w:sz w:val="26"/>
      <w:szCs w:val="26"/>
      <w:lang w:val="en-GB" w:eastAsia="x-none"/>
    </w:rPr>
  </w:style>
  <w:style w:type="character" w:customStyle="1" w:styleId="Antrat4Diagrama">
    <w:name w:val="Antraštė 4 Diagrama"/>
    <w:link w:val="Antrat4"/>
    <w:rsid w:val="00D75E9B"/>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rsid w:val="00D75E9B"/>
    <w:rPr>
      <w:rFonts w:ascii="Times New Roman" w:eastAsia="Times New Roman" w:hAnsi="Times New Roman" w:cs="Times New Roman"/>
      <w:b/>
      <w:bCs/>
      <w:szCs w:val="24"/>
      <w:lang w:val="lt-LT" w:eastAsia="x-none"/>
    </w:rPr>
  </w:style>
  <w:style w:type="character" w:customStyle="1" w:styleId="Antrat6Diagrama">
    <w:name w:val="Antraštė 6 Diagrama"/>
    <w:link w:val="Antrat6"/>
    <w:rsid w:val="00D75E9B"/>
    <w:rPr>
      <w:rFonts w:ascii="Times New Roman" w:eastAsia="Times New Roman" w:hAnsi="Times New Roman" w:cs="Times New Roman"/>
      <w:b/>
      <w:bCs/>
      <w:sz w:val="24"/>
      <w:lang w:val="en-GB" w:eastAsia="x-none"/>
    </w:rPr>
  </w:style>
  <w:style w:type="character" w:customStyle="1" w:styleId="Antrat7Diagrama">
    <w:name w:val="Antraštė 7 Diagrama"/>
    <w:link w:val="Antrat7"/>
    <w:rsid w:val="00D75E9B"/>
    <w:rPr>
      <w:rFonts w:ascii="Times New Roman" w:eastAsia="Times New Roman" w:hAnsi="Times New Roman" w:cs="Times New Roman"/>
      <w:sz w:val="24"/>
      <w:szCs w:val="24"/>
      <w:lang w:val="en-GB" w:eastAsia="x-none"/>
    </w:rPr>
  </w:style>
  <w:style w:type="character" w:customStyle="1" w:styleId="Antrat8Diagrama">
    <w:name w:val="Antraštė 8 Diagrama"/>
    <w:link w:val="Antrat8"/>
    <w:rsid w:val="00D75E9B"/>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rsid w:val="00D75E9B"/>
    <w:rPr>
      <w:rFonts w:ascii="Arial" w:eastAsia="Times New Roman" w:hAnsi="Arial" w:cs="Times New Roman"/>
      <w:lang w:val="en-GB" w:eastAsia="x-none"/>
    </w:rPr>
  </w:style>
  <w:style w:type="character" w:styleId="Hipersaitas">
    <w:name w:val="Hyperlink"/>
    <w:uiPriority w:val="99"/>
    <w:rsid w:val="00D75E9B"/>
    <w:rPr>
      <w:color w:val="0000FF"/>
      <w:u w:val="single"/>
    </w:rPr>
  </w:style>
  <w:style w:type="paragraph" w:customStyle="1" w:styleId="PI-1EMEASMCA">
    <w:name w:val="PI-1 EMEA_SMCA"/>
    <w:basedOn w:val="Antrat2"/>
    <w:autoRedefine/>
    <w:rsid w:val="00D75E9B"/>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D75E9B"/>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rsid w:val="00D75E9B"/>
    <w:rPr>
      <w:rFonts w:ascii="Times New Roman" w:eastAsia="Times New Roman" w:hAnsi="Times New Roman" w:cs="Times New Roman"/>
      <w:b/>
      <w:noProof/>
      <w:lang w:val="lt-LT"/>
    </w:rPr>
  </w:style>
  <w:style w:type="paragraph" w:customStyle="1" w:styleId="PI-2EMEASMCA">
    <w:name w:val="PI-2 EMEA_SMCA"/>
    <w:basedOn w:val="Antrat3"/>
    <w:autoRedefine/>
    <w:rsid w:val="00D75E9B"/>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rsid w:val="00C97BD4"/>
    <w:rPr>
      <w:rFonts w:ascii="Times New Roman" w:hAnsi="Times New Roman"/>
      <w:bCs/>
      <w:sz w:val="22"/>
      <w:szCs w:val="22"/>
    </w:rPr>
  </w:style>
  <w:style w:type="character" w:customStyle="1" w:styleId="BTEMEASMCAChar">
    <w:name w:val="BT EMEA_SMCA Char"/>
    <w:link w:val="BTEMEASMCA"/>
    <w:rsid w:val="00C97BD4"/>
    <w:rPr>
      <w:rFonts w:ascii="Times New Roman" w:eastAsia="Times New Roman" w:hAnsi="Times New Roman"/>
      <w:bCs/>
      <w:sz w:val="22"/>
      <w:szCs w:val="22"/>
      <w:lang w:val="en-GB" w:eastAsia="en-US"/>
    </w:rPr>
  </w:style>
  <w:style w:type="paragraph" w:customStyle="1" w:styleId="TTEMEASMCA">
    <w:name w:val="TT EMEA_SMCA"/>
    <w:basedOn w:val="Antrat1"/>
    <w:link w:val="TTEMEASMCAChar"/>
    <w:autoRedefine/>
    <w:rsid w:val="00D75E9B"/>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D75E9B"/>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75E9B"/>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D75E9B"/>
    <w:rPr>
      <w:rFonts w:ascii="Tahoma" w:hAnsi="Tahoma" w:cs="Tahoma"/>
      <w:sz w:val="16"/>
      <w:szCs w:val="16"/>
    </w:rPr>
  </w:style>
  <w:style w:type="character" w:customStyle="1" w:styleId="DebesliotekstasDiagrama">
    <w:name w:val="Debesėlio tekstas Diagrama"/>
    <w:link w:val="Debesliotekstas"/>
    <w:semiHidden/>
    <w:rsid w:val="00D75E9B"/>
    <w:rPr>
      <w:rFonts w:ascii="Tahoma" w:eastAsia="Times New Roman" w:hAnsi="Tahoma" w:cs="Tahoma"/>
      <w:sz w:val="16"/>
      <w:szCs w:val="16"/>
      <w:lang w:val="en-GB"/>
    </w:rPr>
  </w:style>
  <w:style w:type="paragraph" w:customStyle="1" w:styleId="BT-EMEASMCA">
    <w:name w:val="BT- EMEA_SMCA"/>
    <w:basedOn w:val="BTEMEASMCA"/>
    <w:autoRedefine/>
    <w:uiPriority w:val="99"/>
    <w:rsid w:val="00D75E9B"/>
    <w:pPr>
      <w:numPr>
        <w:numId w:val="1"/>
      </w:numPr>
      <w:tabs>
        <w:tab w:val="clear" w:pos="720"/>
        <w:tab w:val="num" w:pos="360"/>
      </w:tabs>
      <w:ind w:left="0" w:firstLine="0"/>
    </w:pPr>
  </w:style>
  <w:style w:type="paragraph" w:customStyle="1" w:styleId="PI-3EMEASMCA">
    <w:name w:val="PI-3 EMEA_SMCA"/>
    <w:basedOn w:val="prastasis"/>
    <w:autoRedefine/>
    <w:rsid w:val="0093067C"/>
    <w:pPr>
      <w:spacing w:line="220" w:lineRule="exact"/>
      <w:ind w:left="426"/>
    </w:pPr>
    <w:rPr>
      <w:rFonts w:ascii="Times New Roman" w:hAnsi="Times New Roman"/>
      <w:bCs/>
      <w:sz w:val="22"/>
      <w:szCs w:val="22"/>
      <w:lang w:val="lt-LT"/>
    </w:rPr>
  </w:style>
  <w:style w:type="paragraph" w:customStyle="1" w:styleId="BTbEMEASMCA">
    <w:name w:val="BT(b) EMEA_SMCA"/>
    <w:basedOn w:val="BTEMEASMCA"/>
    <w:autoRedefine/>
    <w:rsid w:val="00D75E9B"/>
    <w:rPr>
      <w:b/>
    </w:rPr>
  </w:style>
  <w:style w:type="paragraph" w:customStyle="1" w:styleId="BTbeEMEASMCA">
    <w:name w:val="BT(be) EMEA_SMCA"/>
    <w:basedOn w:val="BTEMEASMCA"/>
    <w:autoRedefine/>
    <w:rsid w:val="00D75E9B"/>
    <w:pPr>
      <w:jc w:val="center"/>
    </w:pPr>
    <w:rPr>
      <w:b/>
    </w:rPr>
  </w:style>
  <w:style w:type="paragraph" w:customStyle="1" w:styleId="BTeEMEASMCA">
    <w:name w:val="BT(e) EMEA_SMCA"/>
    <w:basedOn w:val="BTEMEASMCA"/>
    <w:autoRedefine/>
    <w:rsid w:val="00D75E9B"/>
    <w:pPr>
      <w:jc w:val="center"/>
    </w:pPr>
  </w:style>
  <w:style w:type="paragraph" w:customStyle="1" w:styleId="BTgEMEASMCA">
    <w:name w:val="BT(g) EMEA_SMCA"/>
    <w:basedOn w:val="BTEMEASMCA"/>
    <w:link w:val="BTgEMEASMCAChar"/>
    <w:autoRedefine/>
    <w:rsid w:val="00D75E9B"/>
    <w:rPr>
      <w:bCs w:val="0"/>
      <w:i/>
      <w:color w:val="008000"/>
      <w:lang w:val="lt-LT"/>
    </w:rPr>
  </w:style>
  <w:style w:type="character" w:customStyle="1" w:styleId="BTgEMEASMCAChar">
    <w:name w:val="BT(g) EMEA_SMCA Char"/>
    <w:link w:val="BTgEMEASMCA"/>
    <w:rsid w:val="00D75E9B"/>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D75E9B"/>
    <w:rPr>
      <w:u w:val="single"/>
    </w:rPr>
  </w:style>
  <w:style w:type="paragraph" w:styleId="Pagrindinistekstas">
    <w:name w:val="Body Text"/>
    <w:aliases w:val="Body Text Char Char Char,Body Text Char"/>
    <w:basedOn w:val="prastasis"/>
    <w:link w:val="PagrindinistekstasDiagrama"/>
    <w:rsid w:val="00D75E9B"/>
    <w:pPr>
      <w:jc w:val="both"/>
    </w:pPr>
    <w:rPr>
      <w:color w:val="FF0000"/>
      <w:sz w:val="22"/>
    </w:rPr>
  </w:style>
  <w:style w:type="character" w:customStyle="1" w:styleId="PagrindinistekstasDiagrama">
    <w:name w:val="Pagrindinis tekstas Diagrama"/>
    <w:aliases w:val="Body Text Char Char Char Diagrama,Body Text Char Diagrama"/>
    <w:link w:val="Pagrindinistekstas"/>
    <w:rsid w:val="00D75E9B"/>
    <w:rPr>
      <w:rFonts w:ascii="Verdana" w:eastAsia="Times New Roman" w:hAnsi="Verdana" w:cs="Times New Roman"/>
      <w:color w:val="FF0000"/>
      <w:szCs w:val="24"/>
      <w:lang w:val="en-GB"/>
    </w:rPr>
  </w:style>
  <w:style w:type="paragraph" w:styleId="Paprastasistekstas">
    <w:name w:val="Plain Text"/>
    <w:basedOn w:val="prastasis"/>
    <w:link w:val="PaprastasistekstasDiagrama"/>
    <w:uiPriority w:val="99"/>
    <w:rsid w:val="00D75E9B"/>
    <w:rPr>
      <w:rFonts w:ascii="Courier New" w:hAnsi="Courier New"/>
      <w:szCs w:val="20"/>
      <w:lang w:val="de-DE" w:eastAsia="de-DE"/>
    </w:rPr>
  </w:style>
  <w:style w:type="character" w:customStyle="1" w:styleId="PaprastasistekstasDiagrama">
    <w:name w:val="Paprastasis tekstas Diagrama"/>
    <w:link w:val="Paprastasistekstas"/>
    <w:uiPriority w:val="99"/>
    <w:rsid w:val="00D75E9B"/>
    <w:rPr>
      <w:rFonts w:ascii="Courier New" w:eastAsia="Times New Roman" w:hAnsi="Courier New" w:cs="Times New Roman"/>
      <w:sz w:val="20"/>
      <w:szCs w:val="20"/>
      <w:lang w:val="de-DE" w:eastAsia="de-DE"/>
    </w:rPr>
  </w:style>
  <w:style w:type="paragraph" w:styleId="Vokoatgalinisadresas">
    <w:name w:val="envelope return"/>
    <w:basedOn w:val="prastasis"/>
    <w:rsid w:val="00D75E9B"/>
    <w:rPr>
      <w:rFonts w:ascii="Arial" w:hAnsi="Arial"/>
      <w:b/>
      <w:sz w:val="28"/>
    </w:rPr>
  </w:style>
  <w:style w:type="paragraph" w:styleId="Adresasantvoko">
    <w:name w:val="envelope address"/>
    <w:basedOn w:val="prastasis"/>
    <w:rsid w:val="00D75E9B"/>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rsid w:val="00D75E9B"/>
    <w:pPr>
      <w:tabs>
        <w:tab w:val="center" w:pos="4819"/>
        <w:tab w:val="right" w:pos="9638"/>
      </w:tabs>
    </w:pPr>
    <w:rPr>
      <w:lang w:eastAsia="x-none"/>
    </w:rPr>
  </w:style>
  <w:style w:type="character" w:customStyle="1" w:styleId="PoratDiagrama">
    <w:name w:val="Poraštė Diagrama"/>
    <w:link w:val="Porat"/>
    <w:rsid w:val="00D75E9B"/>
    <w:rPr>
      <w:rFonts w:ascii="Verdana" w:eastAsia="Times New Roman" w:hAnsi="Verdana" w:cs="Times New Roman"/>
      <w:sz w:val="20"/>
      <w:szCs w:val="24"/>
      <w:lang w:val="en-GB" w:eastAsia="x-none"/>
    </w:rPr>
  </w:style>
  <w:style w:type="character" w:styleId="Puslapionumeris">
    <w:name w:val="page number"/>
    <w:basedOn w:val="Numatytasispastraiposriftas"/>
    <w:rsid w:val="00D75E9B"/>
  </w:style>
  <w:style w:type="paragraph" w:styleId="Antrats">
    <w:name w:val="header"/>
    <w:basedOn w:val="prastasis"/>
    <w:link w:val="AntratsDiagrama"/>
    <w:rsid w:val="00D75E9B"/>
    <w:pPr>
      <w:tabs>
        <w:tab w:val="center" w:pos="4819"/>
        <w:tab w:val="right" w:pos="9638"/>
      </w:tabs>
    </w:pPr>
  </w:style>
  <w:style w:type="character" w:customStyle="1" w:styleId="AntratsDiagrama">
    <w:name w:val="Antraštės Diagrama"/>
    <w:link w:val="Antrats"/>
    <w:rsid w:val="00D75E9B"/>
    <w:rPr>
      <w:rFonts w:ascii="Verdana" w:eastAsia="Times New Roman" w:hAnsi="Verdana" w:cs="Times New Roman"/>
      <w:sz w:val="20"/>
      <w:szCs w:val="24"/>
      <w:lang w:val="en-GB"/>
    </w:rPr>
  </w:style>
  <w:style w:type="paragraph" w:styleId="Pavadinimas">
    <w:name w:val="Title"/>
    <w:basedOn w:val="prastasis"/>
    <w:link w:val="PavadinimasDiagrama"/>
    <w:qFormat/>
    <w:rsid w:val="00D75E9B"/>
    <w:pPr>
      <w:jc w:val="center"/>
    </w:pPr>
    <w:rPr>
      <w:sz w:val="28"/>
      <w:szCs w:val="20"/>
    </w:rPr>
  </w:style>
  <w:style w:type="character" w:customStyle="1" w:styleId="PavadinimasDiagrama">
    <w:name w:val="Pavadinimas Diagrama"/>
    <w:link w:val="Pavadinimas"/>
    <w:rsid w:val="00D75E9B"/>
    <w:rPr>
      <w:rFonts w:ascii="Verdana" w:eastAsia="Times New Roman" w:hAnsi="Verdana" w:cs="Times New Roman"/>
      <w:sz w:val="28"/>
      <w:szCs w:val="20"/>
      <w:lang w:val="en-GB"/>
    </w:rPr>
  </w:style>
  <w:style w:type="paragraph" w:customStyle="1" w:styleId="SPCNormal">
    <w:name w:val="SPC Normal"/>
    <w:basedOn w:val="prastasis"/>
    <w:rsid w:val="00D75E9B"/>
    <w:pPr>
      <w:tabs>
        <w:tab w:val="left" w:pos="562"/>
      </w:tabs>
    </w:pPr>
    <w:rPr>
      <w:rFonts w:ascii="Times New Roman" w:hAnsi="Times New Roman"/>
      <w:sz w:val="22"/>
      <w:szCs w:val="20"/>
    </w:rPr>
  </w:style>
  <w:style w:type="paragraph" w:customStyle="1" w:styleId="SPC1">
    <w:name w:val="SPC1"/>
    <w:basedOn w:val="SPCNormal"/>
    <w:next w:val="SPCNormal"/>
    <w:rsid w:val="00D75E9B"/>
    <w:pPr>
      <w:keepNext/>
      <w:tabs>
        <w:tab w:val="clear" w:pos="562"/>
      </w:tabs>
      <w:spacing w:before="480"/>
      <w:ind w:left="562" w:hanging="562"/>
    </w:pPr>
    <w:rPr>
      <w:b/>
      <w:caps/>
    </w:rPr>
  </w:style>
  <w:style w:type="paragraph" w:customStyle="1" w:styleId="SPC2">
    <w:name w:val="SPC2"/>
    <w:basedOn w:val="SPCNormal"/>
    <w:next w:val="SPCNormal"/>
    <w:rsid w:val="00D75E9B"/>
    <w:pPr>
      <w:keepNext/>
      <w:tabs>
        <w:tab w:val="clear" w:pos="562"/>
      </w:tabs>
      <w:ind w:left="562" w:hanging="562"/>
    </w:pPr>
    <w:rPr>
      <w:b/>
    </w:rPr>
  </w:style>
  <w:style w:type="paragraph" w:styleId="Pagrindinistekstas3">
    <w:name w:val="Body Text 3"/>
    <w:basedOn w:val="prastasis"/>
    <w:link w:val="Pagrindinistekstas3Diagrama"/>
    <w:rsid w:val="00D75E9B"/>
    <w:pPr>
      <w:tabs>
        <w:tab w:val="left" w:pos="720"/>
      </w:tabs>
    </w:pPr>
    <w:rPr>
      <w:rFonts w:ascii="Times New Roman" w:hAnsi="Times New Roman"/>
      <w:b/>
      <w:bCs/>
      <w:i/>
      <w:iCs/>
      <w:sz w:val="24"/>
      <w:lang w:eastAsia="x-none"/>
    </w:rPr>
  </w:style>
  <w:style w:type="character" w:customStyle="1" w:styleId="Pagrindinistekstas3Diagrama">
    <w:name w:val="Pagrindinis tekstas 3 Diagrama"/>
    <w:link w:val="Pagrindinistekstas3"/>
    <w:rsid w:val="00D75E9B"/>
    <w:rPr>
      <w:rFonts w:ascii="Times New Roman" w:eastAsia="Times New Roman" w:hAnsi="Times New Roman" w:cs="Times New Roman"/>
      <w:b/>
      <w:bCs/>
      <w:i/>
      <w:iCs/>
      <w:sz w:val="24"/>
      <w:szCs w:val="24"/>
      <w:lang w:val="en-GB" w:eastAsia="x-none"/>
    </w:rPr>
  </w:style>
  <w:style w:type="character" w:styleId="Grietas">
    <w:name w:val="Strong"/>
    <w:qFormat/>
    <w:rsid w:val="00D75E9B"/>
    <w:rPr>
      <w:b/>
      <w:bCs/>
    </w:rPr>
  </w:style>
  <w:style w:type="paragraph" w:customStyle="1" w:styleId="EMEAEnBodyText">
    <w:name w:val="EMEA En Body Text"/>
    <w:basedOn w:val="prastasis"/>
    <w:rsid w:val="00D75E9B"/>
    <w:pPr>
      <w:spacing w:before="120" w:after="120"/>
      <w:jc w:val="both"/>
    </w:pPr>
    <w:rPr>
      <w:rFonts w:ascii="Times New Roman" w:hAnsi="Times New Roman"/>
      <w:sz w:val="22"/>
      <w:szCs w:val="20"/>
      <w:lang w:val="en-US"/>
    </w:rPr>
  </w:style>
  <w:style w:type="paragraph" w:styleId="Tekstoblokas">
    <w:name w:val="Block Text"/>
    <w:basedOn w:val="prastasis"/>
    <w:rsid w:val="00D75E9B"/>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D75E9B"/>
    <w:pPr>
      <w:spacing w:after="120" w:line="480" w:lineRule="auto"/>
    </w:pPr>
  </w:style>
  <w:style w:type="character" w:customStyle="1" w:styleId="Pagrindinistekstas2Diagrama">
    <w:name w:val="Pagrindinis tekstas 2 Diagrama"/>
    <w:link w:val="Pagrindinistekstas2"/>
    <w:rsid w:val="00D75E9B"/>
    <w:rPr>
      <w:rFonts w:ascii="Verdana" w:eastAsia="Times New Roman" w:hAnsi="Verdana" w:cs="Times New Roman"/>
      <w:sz w:val="20"/>
      <w:szCs w:val="24"/>
      <w:lang w:val="en-GB"/>
    </w:rPr>
  </w:style>
  <w:style w:type="character" w:styleId="Komentaronuoroda">
    <w:name w:val="annotation reference"/>
    <w:rsid w:val="00D75E9B"/>
    <w:rPr>
      <w:sz w:val="16"/>
      <w:szCs w:val="16"/>
    </w:rPr>
  </w:style>
  <w:style w:type="paragraph" w:styleId="Komentarotekstas">
    <w:name w:val="annotation text"/>
    <w:basedOn w:val="prastasis"/>
    <w:link w:val="KomentarotekstasDiagrama"/>
    <w:rsid w:val="00D75E9B"/>
    <w:rPr>
      <w:rFonts w:ascii="Times New Roman" w:hAnsi="Times New Roman"/>
      <w:szCs w:val="20"/>
      <w:lang w:val="lt-LT"/>
    </w:rPr>
  </w:style>
  <w:style w:type="character" w:customStyle="1" w:styleId="KomentarotekstasDiagrama">
    <w:name w:val="Komentaro tekstas Diagrama"/>
    <w:link w:val="Komentarotekstas"/>
    <w:rsid w:val="00D75E9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D75E9B"/>
    <w:rPr>
      <w:b/>
      <w:bCs/>
    </w:rPr>
  </w:style>
  <w:style w:type="character" w:customStyle="1" w:styleId="KomentarotemaDiagrama">
    <w:name w:val="Komentaro tema Diagrama"/>
    <w:link w:val="Komentarotema"/>
    <w:rsid w:val="00D75E9B"/>
    <w:rPr>
      <w:rFonts w:ascii="Times New Roman" w:eastAsia="Times New Roman" w:hAnsi="Times New Roman" w:cs="Times New Roman"/>
      <w:b/>
      <w:bCs/>
      <w:sz w:val="20"/>
      <w:szCs w:val="20"/>
      <w:lang w:val="lt-LT"/>
    </w:rPr>
  </w:style>
  <w:style w:type="paragraph" w:customStyle="1" w:styleId="NoNumHead3">
    <w:name w:val="NoNum:Head3"/>
    <w:basedOn w:val="prastasis"/>
    <w:next w:val="prastasis"/>
    <w:link w:val="NoNumHead3Char"/>
    <w:rsid w:val="00D75E9B"/>
    <w:pPr>
      <w:keepNext/>
      <w:spacing w:before="120" w:after="240"/>
      <w:outlineLvl w:val="0"/>
    </w:pPr>
    <w:rPr>
      <w:rFonts w:ascii="Arial" w:hAnsi="Arial" w:cs="Arial"/>
      <w:b/>
      <w:bCs/>
      <w:sz w:val="24"/>
    </w:rPr>
  </w:style>
  <w:style w:type="character" w:customStyle="1" w:styleId="NoNumHead3Char">
    <w:name w:val="NoNum:Head3 Char"/>
    <w:link w:val="NoNumHead3"/>
    <w:locked/>
    <w:rsid w:val="00D75E9B"/>
    <w:rPr>
      <w:rFonts w:ascii="Arial" w:eastAsia="Times New Roman" w:hAnsi="Arial" w:cs="Arial"/>
      <w:b/>
      <w:bCs/>
      <w:sz w:val="24"/>
      <w:szCs w:val="24"/>
      <w:lang w:val="en-GB"/>
    </w:rPr>
  </w:style>
  <w:style w:type="table" w:styleId="Lentelstinklelis">
    <w:name w:val="Table Grid"/>
    <w:basedOn w:val="prastojilentel"/>
    <w:rsid w:val="00D75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nhideWhenUsed/>
    <w:rsid w:val="00D75E9B"/>
    <w:rPr>
      <w:color w:val="800080"/>
      <w:u w:val="single"/>
    </w:rPr>
  </w:style>
  <w:style w:type="paragraph" w:styleId="Dokumentoinaostekstas">
    <w:name w:val="endnote text"/>
    <w:basedOn w:val="prastasis"/>
    <w:link w:val="DokumentoinaostekstasDiagrama"/>
    <w:unhideWhenUsed/>
    <w:rsid w:val="00D75E9B"/>
    <w:pPr>
      <w:tabs>
        <w:tab w:val="left" w:pos="567"/>
      </w:tabs>
    </w:pPr>
    <w:rPr>
      <w:rFonts w:ascii="Times New Roman" w:hAnsi="Times New Roman"/>
      <w:sz w:val="22"/>
      <w:szCs w:val="20"/>
      <w:lang w:eastAsia="x-none"/>
    </w:rPr>
  </w:style>
  <w:style w:type="character" w:customStyle="1" w:styleId="DokumentoinaostekstasDiagrama">
    <w:name w:val="Dokumento išnašos tekstas Diagrama"/>
    <w:link w:val="Dokumentoinaostekstas"/>
    <w:rsid w:val="00D75E9B"/>
    <w:rPr>
      <w:rFonts w:ascii="Times New Roman" w:eastAsia="Times New Roman" w:hAnsi="Times New Roman" w:cs="Times New Roman"/>
      <w:szCs w:val="20"/>
      <w:lang w:val="en-GB" w:eastAsia="x-none"/>
    </w:rPr>
  </w:style>
  <w:style w:type="character" w:customStyle="1" w:styleId="BodyTextCharCharCharChar1">
    <w:name w:val="Body Text Char Char Char Char1"/>
    <w:uiPriority w:val="99"/>
    <w:semiHidden/>
    <w:rsid w:val="00D75E9B"/>
    <w:rPr>
      <w:rFonts w:ascii="Verdana" w:hAnsi="Verdana"/>
      <w:szCs w:val="24"/>
      <w:lang w:val="en-GB"/>
    </w:rPr>
  </w:style>
  <w:style w:type="paragraph" w:styleId="Pagrindiniotekstotrauka">
    <w:name w:val="Body Text Indent"/>
    <w:basedOn w:val="prastasis"/>
    <w:link w:val="PagrindiniotekstotraukaDiagrama"/>
    <w:unhideWhenUsed/>
    <w:rsid w:val="00D75E9B"/>
    <w:pPr>
      <w:tabs>
        <w:tab w:val="left" w:pos="567"/>
      </w:tabs>
      <w:snapToGrid w:val="0"/>
      <w:spacing w:after="120" w:line="260" w:lineRule="exact"/>
      <w:ind w:left="283"/>
    </w:pPr>
    <w:rPr>
      <w:rFonts w:ascii="Times New Roman" w:hAnsi="Times New Roman"/>
      <w:sz w:val="22"/>
      <w:szCs w:val="22"/>
      <w:lang w:eastAsia="lt-LT"/>
    </w:rPr>
  </w:style>
  <w:style w:type="character" w:customStyle="1" w:styleId="PagrindiniotekstotraukaDiagrama">
    <w:name w:val="Pagrindinio teksto įtrauka Diagrama"/>
    <w:link w:val="Pagrindiniotekstotrauka"/>
    <w:rsid w:val="00D75E9B"/>
    <w:rPr>
      <w:rFonts w:ascii="Times New Roman" w:eastAsia="Times New Roman" w:hAnsi="Times New Roman" w:cs="Times New Roman"/>
      <w:lang w:val="en-GB" w:eastAsia="lt-LT"/>
    </w:rPr>
  </w:style>
  <w:style w:type="paragraph" w:customStyle="1" w:styleId="prastasiniatinklio1">
    <w:name w:val="Įprastas (žiniatinklio)1"/>
    <w:basedOn w:val="prastasis"/>
    <w:semiHidden/>
    <w:rsid w:val="00D75E9B"/>
    <w:pPr>
      <w:snapToGrid w:val="0"/>
      <w:spacing w:before="100" w:beforeAutospacing="1" w:after="100" w:afterAutospacing="1"/>
    </w:pPr>
    <w:rPr>
      <w:rFonts w:ascii="Times New Roman" w:hAnsi="Times New Roman"/>
      <w:sz w:val="24"/>
      <w:lang w:eastAsia="lt-LT"/>
    </w:rPr>
  </w:style>
  <w:style w:type="paragraph" w:customStyle="1" w:styleId="Default">
    <w:name w:val="Default"/>
    <w:rsid w:val="00D75E9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CharChar2">
    <w:name w:val="Char Char2"/>
    <w:basedOn w:val="prastasis"/>
    <w:rsid w:val="00D75E9B"/>
    <w:pPr>
      <w:tabs>
        <w:tab w:val="num" w:pos="4614"/>
      </w:tabs>
      <w:ind w:left="4614" w:hanging="363"/>
    </w:pPr>
  </w:style>
  <w:style w:type="paragraph" w:styleId="Pataisymai">
    <w:name w:val="Revision"/>
    <w:hidden/>
    <w:uiPriority w:val="99"/>
    <w:semiHidden/>
    <w:rsid w:val="00C97BD4"/>
    <w:rPr>
      <w:rFonts w:ascii="Verdana" w:eastAsia="Times New Roman" w:hAnsi="Verdana"/>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64025">
      <w:bodyDiv w:val="1"/>
      <w:marLeft w:val="0"/>
      <w:marRight w:val="0"/>
      <w:marTop w:val="0"/>
      <w:marBottom w:val="0"/>
      <w:divBdr>
        <w:top w:val="none" w:sz="0" w:space="0" w:color="auto"/>
        <w:left w:val="none" w:sz="0" w:space="0" w:color="auto"/>
        <w:bottom w:val="none" w:sz="0" w:space="0" w:color="auto"/>
        <w:right w:val="none" w:sz="0" w:space="0" w:color="auto"/>
      </w:divBdr>
    </w:div>
    <w:div w:id="16090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vvkt.lt/index.php?13990303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vapris.vvkt.lt/vvkt-web/public/nrvSpecialist"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EFCD-D29D-43B1-9BB6-9D210D3EF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E76881-28A5-4FC5-BB1F-C7CBB10ECAE7}">
  <ds:schemaRefs>
    <ds:schemaRef ds:uri="http://schemas.microsoft.com/sharepoint/v3/contenttype/forms"/>
  </ds:schemaRefs>
</ds:datastoreItem>
</file>

<file path=customXml/itemProps3.xml><?xml version="1.0" encoding="utf-8"?>
<ds:datastoreItem xmlns:ds="http://schemas.openxmlformats.org/officeDocument/2006/customXml" ds:itemID="{0A9710F2-174B-4510-8CAC-FE5CC8E3A6BC}">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445212F1-1E09-411D-ADEE-57546B72FB30}">
  <ds:schemaRefs>
    <ds:schemaRef ds:uri="http://schemas.microsoft.com/sharepoint/v3/contenttype/forms"/>
  </ds:schemaRefs>
</ds:datastoreItem>
</file>

<file path=customXml/itemProps5.xml><?xml version="1.0" encoding="utf-8"?>
<ds:datastoreItem xmlns:ds="http://schemas.openxmlformats.org/officeDocument/2006/customXml" ds:itemID="{85AE70D1-1756-458B-9223-E5BD72276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11621F0-6EEF-4740-AA6F-DF662BEF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64235</Words>
  <Characters>36615</Characters>
  <Application>Microsoft Office Word</Application>
  <DocSecurity>4</DocSecurity>
  <Lines>305</Lines>
  <Paragraphs>201</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100649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K.Kürti</dc:creator>
  <cp:keywords/>
  <cp:lastModifiedBy>Albina Burkauskaitė</cp:lastModifiedBy>
  <cp:revision>2</cp:revision>
  <dcterms:created xsi:type="dcterms:W3CDTF">2022-10-20T13:17:00Z</dcterms:created>
  <dcterms:modified xsi:type="dcterms:W3CDTF">2022-10-20T13:17:00Z</dcterms:modified>
</cp:coreProperties>
</file>