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C4" w:rsidRDefault="00D203C4" w:rsidP="00D203C4">
      <w:pPr>
        <w:jc w:val="center"/>
        <w:rPr>
          <w:b/>
          <w:bCs/>
        </w:rPr>
      </w:pPr>
      <w:r>
        <w:rPr>
          <w:b/>
          <w:bCs/>
        </w:rPr>
        <w:t>Pakuotės lapelis: informacija vartotojui</w:t>
      </w:r>
    </w:p>
    <w:p w:rsidR="00D203C4" w:rsidRDefault="00D203C4" w:rsidP="00D203C4">
      <w:pPr>
        <w:jc w:val="center"/>
        <w:outlineLvl w:val="0"/>
      </w:pPr>
    </w:p>
    <w:p w:rsidR="00D203C4" w:rsidRDefault="00D203C4" w:rsidP="00D203C4">
      <w:pPr>
        <w:jc w:val="center"/>
        <w:outlineLvl w:val="0"/>
        <w:rPr>
          <w:b/>
          <w:bCs/>
        </w:rPr>
      </w:pPr>
      <w:r>
        <w:rPr>
          <w:b/>
          <w:lang w:val="et-EE" w:eastAsia="et-EE"/>
        </w:rPr>
        <w:t>Bronwel</w:t>
      </w:r>
      <w:r>
        <w:rPr>
          <w:b/>
          <w:bCs/>
          <w:lang w:val="et-EE"/>
        </w:rPr>
        <w:t xml:space="preserve"> </w:t>
      </w:r>
      <w:r>
        <w:rPr>
          <w:b/>
          <w:bCs/>
        </w:rPr>
        <w:t>59,5 mg minkštosios pastilės</w:t>
      </w:r>
    </w:p>
    <w:p w:rsidR="00D203C4" w:rsidRDefault="00D203C4" w:rsidP="00D203C4">
      <w:pPr>
        <w:jc w:val="center"/>
        <w:outlineLvl w:val="0"/>
      </w:pPr>
      <w:r>
        <w:t>Vaistinių čiobrelių žolės sausasis ekstraktas</w:t>
      </w:r>
    </w:p>
    <w:p w:rsidR="00D203C4" w:rsidRDefault="00D203C4" w:rsidP="00D203C4">
      <w:pPr>
        <w:pStyle w:val="BodyText"/>
        <w:numPr>
          <w:ilvl w:val="12"/>
          <w:numId w:val="0"/>
        </w:numPr>
        <w:jc w:val="center"/>
        <w:rPr>
          <w:color w:val="auto"/>
          <w:lang w:val="lt-LT"/>
        </w:rPr>
      </w:pPr>
    </w:p>
    <w:p w:rsidR="00D203C4" w:rsidRDefault="00D203C4" w:rsidP="00D203C4">
      <w:pPr>
        <w:pStyle w:val="BodyText"/>
        <w:numPr>
          <w:ilvl w:val="12"/>
          <w:numId w:val="0"/>
        </w:numPr>
        <w:jc w:val="center"/>
        <w:rPr>
          <w:i w:val="0"/>
          <w:iCs w:val="0"/>
          <w:color w:val="auto"/>
          <w:lang w:val="lt-LT"/>
        </w:rPr>
      </w:pPr>
      <w:r>
        <w:rPr>
          <w:i w:val="0"/>
          <w:iCs w:val="0"/>
          <w:color w:val="auto"/>
          <w:lang w:val="lt-LT"/>
        </w:rPr>
        <w:t>Tradicinis augalinis vaistas</w:t>
      </w:r>
    </w:p>
    <w:p w:rsidR="00D203C4" w:rsidRDefault="00D203C4" w:rsidP="00D203C4">
      <w:pPr>
        <w:pStyle w:val="BodyText"/>
        <w:numPr>
          <w:ilvl w:val="12"/>
          <w:numId w:val="0"/>
        </w:numPr>
        <w:jc w:val="center"/>
        <w:rPr>
          <w:color w:val="auto"/>
          <w:lang w:val="lt-LT"/>
        </w:rPr>
      </w:pPr>
    </w:p>
    <w:p w:rsidR="00D203C4" w:rsidRDefault="00D203C4" w:rsidP="00D203C4">
      <w:pPr>
        <w:ind w:left="0" w:firstLine="0"/>
        <w:rPr>
          <w:b/>
          <w:bCs/>
          <w:noProof/>
        </w:rPr>
      </w:pPr>
      <w:r>
        <w:rPr>
          <w:b/>
          <w:bCs/>
          <w:noProof/>
        </w:rPr>
        <w:t>Atidžiai perskaitykite visą šį lapelį, prieš pradėdami vartoti šį vaistą, nes jame pateikiama Jums svarbi informacija.</w:t>
      </w:r>
    </w:p>
    <w:p w:rsidR="00D203C4" w:rsidRDefault="00D203C4" w:rsidP="00D203C4">
      <w:pPr>
        <w:ind w:left="0" w:firstLine="0"/>
        <w:rPr>
          <w:noProof/>
        </w:rPr>
      </w:pPr>
      <w:r>
        <w:t>Visada vartokite šį vaistą tiksliai kaip aprašyta šiame lapelyje arba kaip nurodė gydytojas arba vaistininkas</w:t>
      </w:r>
      <w:r>
        <w:rPr>
          <w:noProof/>
        </w:rPr>
        <w:t>.</w:t>
      </w:r>
    </w:p>
    <w:p w:rsidR="00D203C4" w:rsidRDefault="00D203C4" w:rsidP="00D203C4">
      <w:pPr>
        <w:rPr>
          <w:noProof/>
        </w:rPr>
      </w:pPr>
      <w:r>
        <w:rPr>
          <w:noProof/>
        </w:rPr>
        <w:t>-</w:t>
      </w:r>
      <w:r>
        <w:rPr>
          <w:noProof/>
        </w:rPr>
        <w:tab/>
        <w:t>Neišmeskite šio lapelio, nes vėl gali prireikti jį perskaityti.</w:t>
      </w:r>
    </w:p>
    <w:p w:rsidR="00D203C4" w:rsidRDefault="00D203C4" w:rsidP="00D203C4">
      <w:pPr>
        <w:rPr>
          <w:noProof/>
        </w:rPr>
      </w:pPr>
      <w:r>
        <w:rPr>
          <w:noProof/>
        </w:rPr>
        <w:t>-</w:t>
      </w:r>
      <w:r>
        <w:rPr>
          <w:noProof/>
        </w:rPr>
        <w:tab/>
        <w:t>Jeigu norite sužinoti daugiau arba pasitarti, kreipkitės į vaistininką.</w:t>
      </w:r>
    </w:p>
    <w:p w:rsidR="00D203C4" w:rsidRDefault="00D203C4" w:rsidP="00D203C4">
      <w:pPr>
        <w:numPr>
          <w:ilvl w:val="0"/>
          <w:numId w:val="1"/>
        </w:numPr>
        <w:ind w:left="567" w:hanging="567"/>
        <w:rPr>
          <w:noProof/>
        </w:rPr>
      </w:pPr>
      <w:r>
        <w:rPr>
          <w:noProof/>
        </w:rPr>
        <w:t>Jeigu pasireiškė šalutinis poveikis (net jeigu jis šiame lapelyje nenurodytas), kreipkitės į gydytoją arba vaistininką. Žr. 4 skyrių.</w:t>
      </w:r>
    </w:p>
    <w:p w:rsidR="00D203C4" w:rsidRDefault="00D203C4" w:rsidP="00D203C4">
      <w:pPr>
        <w:numPr>
          <w:ilvl w:val="0"/>
          <w:numId w:val="1"/>
        </w:numPr>
        <w:ind w:left="567" w:hanging="567"/>
        <w:rPr>
          <w:noProof/>
        </w:rPr>
      </w:pPr>
      <w:r>
        <w:rPr>
          <w:noProof/>
        </w:rPr>
        <w:t>Jeigu per 7 dienas Jūsų savijauta nepagerėjo arba net pablogėjo, kreipkitės į gydytoją.</w:t>
      </w:r>
    </w:p>
    <w:p w:rsidR="00D203C4" w:rsidRDefault="00D203C4" w:rsidP="00D203C4">
      <w:pPr>
        <w:ind w:right="-2"/>
      </w:pPr>
    </w:p>
    <w:p w:rsidR="00D203C4" w:rsidRDefault="00D203C4" w:rsidP="00D203C4">
      <w:pPr>
        <w:rPr>
          <w:b/>
          <w:bCs/>
        </w:rPr>
      </w:pPr>
      <w:r>
        <w:rPr>
          <w:b/>
          <w:bCs/>
        </w:rPr>
        <w:t>Apie ką rašoma šiame lapelyje?</w:t>
      </w:r>
    </w:p>
    <w:p w:rsidR="00D203C4" w:rsidRDefault="00D203C4" w:rsidP="00D203C4">
      <w:pPr>
        <w:rPr>
          <w:b/>
          <w:bCs/>
        </w:rPr>
      </w:pPr>
    </w:p>
    <w:p w:rsidR="00D203C4" w:rsidRDefault="00D203C4" w:rsidP="00D203C4">
      <w:r>
        <w:t>1.</w:t>
      </w:r>
      <w:r>
        <w:tab/>
        <w:t xml:space="preserve">Kas yra </w:t>
      </w:r>
      <w:r>
        <w:rPr>
          <w:lang w:val="et-EE" w:eastAsia="et-EE"/>
        </w:rPr>
        <w:t>Bronwel</w:t>
      </w:r>
      <w:r>
        <w:rPr>
          <w:lang w:val="et-EE"/>
        </w:rPr>
        <w:t xml:space="preserve"> </w:t>
      </w:r>
      <w:r>
        <w:t>ir kam jis vartojamas</w:t>
      </w:r>
    </w:p>
    <w:p w:rsidR="00D203C4" w:rsidRDefault="00D203C4" w:rsidP="00D203C4">
      <w:r>
        <w:t>2.</w:t>
      </w:r>
      <w:r>
        <w:tab/>
        <w:t xml:space="preserve">Kas žinotina prieš vartojant </w:t>
      </w:r>
      <w:r>
        <w:rPr>
          <w:lang w:val="et-EE" w:eastAsia="et-EE"/>
        </w:rPr>
        <w:t>Bronwel</w:t>
      </w:r>
    </w:p>
    <w:p w:rsidR="00D203C4" w:rsidRDefault="00D203C4" w:rsidP="00D203C4">
      <w:r>
        <w:t>3.</w:t>
      </w:r>
      <w:r>
        <w:tab/>
        <w:t xml:space="preserve">Kaip vartoti </w:t>
      </w:r>
      <w:r>
        <w:rPr>
          <w:lang w:val="et-EE" w:eastAsia="et-EE"/>
        </w:rPr>
        <w:t>Bronwel</w:t>
      </w:r>
    </w:p>
    <w:p w:rsidR="00D203C4" w:rsidRDefault="00D203C4" w:rsidP="00D203C4">
      <w:r>
        <w:t>4.</w:t>
      </w:r>
      <w:r>
        <w:tab/>
        <w:t>Galimas šalutinis poveikis</w:t>
      </w:r>
    </w:p>
    <w:p w:rsidR="00D203C4" w:rsidRDefault="00D203C4" w:rsidP="00D203C4">
      <w:r>
        <w:t>5.</w:t>
      </w:r>
      <w:r>
        <w:tab/>
        <w:t xml:space="preserve">Kaip laikyti </w:t>
      </w:r>
      <w:r>
        <w:rPr>
          <w:lang w:val="et-EE" w:eastAsia="et-EE"/>
        </w:rPr>
        <w:t>Bronwel</w:t>
      </w:r>
    </w:p>
    <w:p w:rsidR="00D203C4" w:rsidRDefault="00D203C4" w:rsidP="00D203C4">
      <w:r>
        <w:t>6.</w:t>
      </w:r>
      <w:r>
        <w:tab/>
        <w:t>Pakuotės turinys ir kita informacija</w:t>
      </w:r>
    </w:p>
    <w:p w:rsidR="00D203C4" w:rsidRDefault="00D203C4" w:rsidP="00D203C4">
      <w:pPr>
        <w:numPr>
          <w:ilvl w:val="12"/>
          <w:numId w:val="0"/>
        </w:numPr>
      </w:pPr>
    </w:p>
    <w:p w:rsidR="00D203C4" w:rsidRDefault="00D203C4" w:rsidP="00D203C4">
      <w:pPr>
        <w:numPr>
          <w:ilvl w:val="12"/>
          <w:numId w:val="0"/>
        </w:numPr>
      </w:pPr>
    </w:p>
    <w:p w:rsidR="00D203C4" w:rsidRDefault="00D203C4" w:rsidP="00D203C4">
      <w:pPr>
        <w:numPr>
          <w:ilvl w:val="12"/>
          <w:numId w:val="0"/>
        </w:numPr>
        <w:ind w:left="567" w:hanging="567"/>
        <w:outlineLvl w:val="0"/>
        <w:rPr>
          <w:b/>
          <w:bCs/>
          <w:caps/>
        </w:rPr>
      </w:pPr>
      <w:r>
        <w:rPr>
          <w:b/>
          <w:bCs/>
        </w:rPr>
        <w:t>1.</w:t>
      </w:r>
      <w:r>
        <w:rPr>
          <w:b/>
          <w:bCs/>
        </w:rPr>
        <w:tab/>
        <w:t xml:space="preserve">Kas yra </w:t>
      </w:r>
      <w:r>
        <w:rPr>
          <w:b/>
          <w:lang w:val="et-EE" w:eastAsia="et-EE"/>
        </w:rPr>
        <w:t>Bronwel</w:t>
      </w:r>
      <w:r>
        <w:rPr>
          <w:b/>
          <w:bCs/>
          <w:lang w:val="et-EE"/>
        </w:rPr>
        <w:t xml:space="preserve"> </w:t>
      </w:r>
      <w:r>
        <w:rPr>
          <w:b/>
          <w:bCs/>
        </w:rPr>
        <w:t>ir kam jis vartojamas</w:t>
      </w:r>
    </w:p>
    <w:p w:rsidR="00D203C4" w:rsidRDefault="00D203C4" w:rsidP="00D203C4"/>
    <w:p w:rsidR="00D203C4" w:rsidRDefault="00D203C4" w:rsidP="00D203C4">
      <w:pPr>
        <w:pStyle w:val="BodyText"/>
        <w:ind w:left="0" w:firstLine="0"/>
        <w:rPr>
          <w:color w:val="auto"/>
          <w:lang w:val="lt-LT"/>
        </w:rPr>
      </w:pPr>
      <w:r>
        <w:rPr>
          <w:i w:val="0"/>
          <w:iCs w:val="0"/>
          <w:color w:val="auto"/>
          <w:lang w:val="lt-LT"/>
        </w:rPr>
        <w:t xml:space="preserve">Tradicinis augalinis vaistinis preparatas, kurio indikacijos pagrįstos tik ilgalaikiu vartojimu, skirtas peršalimo sukeltam drėgnam kosuliui </w:t>
      </w:r>
      <w:r>
        <w:rPr>
          <w:i w:val="0"/>
          <w:color w:val="auto"/>
          <w:lang w:val="lt-LT"/>
        </w:rPr>
        <w:t>lengvinti</w:t>
      </w:r>
      <w:r>
        <w:rPr>
          <w:i w:val="0"/>
          <w:iCs w:val="0"/>
          <w:color w:val="auto"/>
          <w:lang w:val="lt-LT"/>
        </w:rPr>
        <w:t xml:space="preserve">. </w:t>
      </w:r>
    </w:p>
    <w:p w:rsidR="00D203C4" w:rsidRDefault="00D203C4" w:rsidP="00D203C4">
      <w:pPr>
        <w:ind w:left="0" w:firstLine="0"/>
      </w:pPr>
    </w:p>
    <w:p w:rsidR="00D203C4" w:rsidRDefault="00D203C4" w:rsidP="00D203C4">
      <w:pPr>
        <w:tabs>
          <w:tab w:val="left" w:pos="0"/>
        </w:tabs>
        <w:ind w:left="0" w:firstLine="0"/>
        <w:rPr>
          <w:noProof/>
        </w:rPr>
      </w:pPr>
      <w:r>
        <w:rPr>
          <w:noProof/>
        </w:rPr>
        <w:t>Jeigu per 7 dienas Jūsų savijauta nepagerėjo arba net pablogėjo, kreipkitės į gydytoją.</w:t>
      </w:r>
    </w:p>
    <w:p w:rsidR="00D203C4" w:rsidRDefault="00D203C4" w:rsidP="00D203C4">
      <w:pPr>
        <w:rPr>
          <w:noProof/>
        </w:rPr>
      </w:pPr>
    </w:p>
    <w:p w:rsidR="00D203C4" w:rsidRDefault="00D203C4" w:rsidP="00D203C4">
      <w:pPr>
        <w:numPr>
          <w:ilvl w:val="12"/>
          <w:numId w:val="0"/>
        </w:numPr>
      </w:pPr>
    </w:p>
    <w:p w:rsidR="00D203C4" w:rsidRDefault="00D203C4" w:rsidP="00D203C4">
      <w:pPr>
        <w:numPr>
          <w:ilvl w:val="12"/>
          <w:numId w:val="0"/>
        </w:numPr>
        <w:ind w:left="567" w:hanging="567"/>
        <w:outlineLvl w:val="0"/>
        <w:rPr>
          <w:b/>
          <w:bCs/>
          <w:caps/>
        </w:rPr>
      </w:pPr>
      <w:r>
        <w:rPr>
          <w:b/>
          <w:bCs/>
        </w:rPr>
        <w:t>2.</w:t>
      </w:r>
      <w:r>
        <w:rPr>
          <w:b/>
          <w:bCs/>
        </w:rPr>
        <w:tab/>
        <w:t xml:space="preserve">Kas žinotina prieš vartojant </w:t>
      </w:r>
      <w:r>
        <w:rPr>
          <w:b/>
          <w:lang w:val="et-EE" w:eastAsia="et-EE"/>
        </w:rPr>
        <w:t>Bronwel</w:t>
      </w:r>
    </w:p>
    <w:p w:rsidR="00D203C4" w:rsidRDefault="00D203C4" w:rsidP="00D203C4"/>
    <w:p w:rsidR="00D203C4" w:rsidRDefault="00D203C4" w:rsidP="00D203C4">
      <w:pPr>
        <w:rPr>
          <w:b/>
          <w:bCs/>
        </w:rPr>
      </w:pPr>
      <w:r>
        <w:rPr>
          <w:b/>
          <w:lang w:val="et-EE" w:eastAsia="et-EE"/>
        </w:rPr>
        <w:t>Bronwel</w:t>
      </w:r>
      <w:r>
        <w:rPr>
          <w:b/>
          <w:bCs/>
          <w:lang w:val="et-EE"/>
        </w:rPr>
        <w:t xml:space="preserve"> </w:t>
      </w:r>
      <w:r>
        <w:rPr>
          <w:b/>
          <w:bCs/>
        </w:rPr>
        <w:t>vartoti negalima</w:t>
      </w:r>
    </w:p>
    <w:p w:rsidR="00D203C4" w:rsidRDefault="00D203C4" w:rsidP="00D203C4">
      <w:pPr>
        <w:pStyle w:val="Body"/>
        <w:spacing w:line="240" w:lineRule="auto"/>
        <w:ind w:left="0" w:firstLine="0"/>
        <w:rPr>
          <w:rFonts w:ascii="Times New Roman" w:hAnsi="Times New Roman" w:cs="Times New Roman"/>
          <w:lang w:val="lt-LT"/>
        </w:rPr>
      </w:pPr>
      <w:r>
        <w:rPr>
          <w:rFonts w:ascii="Times New Roman" w:hAnsi="Times New Roman" w:cs="Times New Roman"/>
          <w:lang w:val="lt-LT"/>
        </w:rPr>
        <w:t xml:space="preserve">Jeigu yra alergija vaistiniams čiobreliams ar kitiems </w:t>
      </w:r>
      <w:r>
        <w:rPr>
          <w:rFonts w:ascii="Times New Roman" w:hAnsi="Times New Roman" w:cs="Times New Roman"/>
          <w:iCs/>
          <w:lang w:val="lt-LT"/>
        </w:rPr>
        <w:t>notrelinių</w:t>
      </w:r>
      <w:r>
        <w:rPr>
          <w:rFonts w:ascii="Times New Roman" w:hAnsi="Times New Roman" w:cs="Times New Roman"/>
          <w:i/>
          <w:iCs/>
          <w:lang w:val="lt-LT"/>
        </w:rPr>
        <w:t xml:space="preserve"> </w:t>
      </w:r>
      <w:r>
        <w:rPr>
          <w:rFonts w:ascii="Times New Roman" w:hAnsi="Times New Roman" w:cs="Times New Roman"/>
          <w:lang w:val="lt-LT"/>
        </w:rPr>
        <w:t>šeimos augalams arba bet kuriai pagalbinei šio vaisto medžiagai (jos išvardytos 6 skyriuje).</w:t>
      </w:r>
    </w:p>
    <w:p w:rsidR="00D203C4" w:rsidRDefault="00D203C4" w:rsidP="00D203C4">
      <w:pPr>
        <w:ind w:left="0" w:firstLine="0"/>
        <w:jc w:val="both"/>
      </w:pPr>
    </w:p>
    <w:p w:rsidR="00D203C4" w:rsidRDefault="00D203C4" w:rsidP="00D203C4">
      <w:pPr>
        <w:rPr>
          <w:b/>
          <w:bCs/>
        </w:rPr>
      </w:pPr>
      <w:r>
        <w:rPr>
          <w:b/>
          <w:bCs/>
        </w:rPr>
        <w:t>Įspėjimai ir atsargumo priemonės</w:t>
      </w:r>
    </w:p>
    <w:p w:rsidR="00D203C4" w:rsidRDefault="00D203C4" w:rsidP="00D203C4">
      <w:pPr>
        <w:ind w:left="0" w:firstLine="0"/>
        <w:jc w:val="both"/>
      </w:pPr>
      <w:r>
        <w:t xml:space="preserve">Pasitarkite su gydytoju arba vaistininku, prieš pradėdami vartoti </w:t>
      </w:r>
      <w:r>
        <w:rPr>
          <w:lang w:val="et-EE" w:eastAsia="et-EE"/>
        </w:rPr>
        <w:t>Bronwel</w:t>
      </w:r>
      <w:r>
        <w:t>.</w:t>
      </w:r>
    </w:p>
    <w:p w:rsidR="00D203C4" w:rsidRDefault="00D203C4" w:rsidP="00D203C4">
      <w:pPr>
        <w:pStyle w:val="Body"/>
        <w:spacing w:line="240" w:lineRule="auto"/>
        <w:ind w:left="0" w:firstLine="0"/>
        <w:rPr>
          <w:rFonts w:ascii="Times New Roman" w:eastAsia="Calibri" w:hAnsi="Times New Roman" w:cs="Times New Roman"/>
          <w:lang w:val="et-EE" w:eastAsia="et-EE"/>
        </w:rPr>
      </w:pPr>
      <w:r>
        <w:rPr>
          <w:rFonts w:ascii="Times New Roman" w:hAnsi="Times New Roman" w:cs="Times New Roman"/>
          <w:lang w:val="lt-LT"/>
        </w:rPr>
        <w:t>Jei atsirado dusulys, karščiavimas ar pūlingi skrepliai,</w:t>
      </w:r>
      <w:r>
        <w:rPr>
          <w:rFonts w:ascii="Times New Roman" w:eastAsia="Calibri" w:hAnsi="Times New Roman" w:cs="Times New Roman"/>
          <w:lang w:val="et-EE" w:eastAsia="et-EE"/>
        </w:rPr>
        <w:t xml:space="preserve"> reikia pasitarti su gydytoju.</w:t>
      </w:r>
    </w:p>
    <w:p w:rsidR="00D203C4" w:rsidRDefault="00D203C4" w:rsidP="00D203C4">
      <w:pPr>
        <w:pStyle w:val="Body"/>
        <w:spacing w:line="240" w:lineRule="auto"/>
        <w:ind w:left="0" w:firstLine="0"/>
        <w:rPr>
          <w:rFonts w:ascii="Times New Roman" w:eastAsia="Calibri" w:hAnsi="Times New Roman" w:cs="Times New Roman"/>
          <w:lang w:val="et-EE" w:eastAsia="et-EE"/>
        </w:rPr>
      </w:pPr>
    </w:p>
    <w:p w:rsidR="00D203C4" w:rsidRDefault="00D203C4" w:rsidP="00D203C4">
      <w:pPr>
        <w:autoSpaceDE w:val="0"/>
        <w:autoSpaceDN w:val="0"/>
        <w:adjustRightInd w:val="0"/>
        <w:ind w:left="0" w:firstLine="0"/>
        <w:rPr>
          <w:rFonts w:eastAsia="Calibri"/>
          <w:lang w:val="et-EE" w:eastAsia="et-EE"/>
        </w:rPr>
      </w:pPr>
      <w:r>
        <w:rPr>
          <w:rFonts w:eastAsia="Calibri"/>
          <w:lang w:val="et-EE" w:eastAsia="et-EE"/>
        </w:rPr>
        <w:t>Jeigu vartojant šį vaistinį preparatą simptomai pasunkėjo, reikia pasitarti su gydytoju.</w:t>
      </w:r>
    </w:p>
    <w:p w:rsidR="00D203C4" w:rsidRDefault="00D203C4" w:rsidP="00D203C4">
      <w:pPr>
        <w:ind w:left="0" w:firstLine="0"/>
        <w:jc w:val="both"/>
      </w:pPr>
    </w:p>
    <w:p w:rsidR="00D203C4" w:rsidRDefault="00D203C4" w:rsidP="00D203C4">
      <w:pPr>
        <w:ind w:left="0" w:firstLine="0"/>
        <w:jc w:val="both"/>
        <w:rPr>
          <w:b/>
        </w:rPr>
      </w:pPr>
      <w:r>
        <w:rPr>
          <w:b/>
        </w:rPr>
        <w:t xml:space="preserve">Vaikams </w:t>
      </w:r>
    </w:p>
    <w:p w:rsidR="00D203C4" w:rsidRDefault="00D203C4" w:rsidP="00D203C4">
      <w:pPr>
        <w:rPr>
          <w:lang w:eastAsia="lt-LT"/>
        </w:rPr>
      </w:pPr>
      <w:r>
        <w:rPr>
          <w:lang w:eastAsia="lt-LT"/>
        </w:rPr>
        <w:t>Nerekomenduojama vartoti jaunesniems nei 12 metų vaikams.</w:t>
      </w:r>
    </w:p>
    <w:p w:rsidR="00D203C4" w:rsidRDefault="00D203C4" w:rsidP="00D203C4">
      <w:pPr>
        <w:ind w:left="0" w:firstLine="0"/>
        <w:jc w:val="both"/>
      </w:pPr>
    </w:p>
    <w:p w:rsidR="00D203C4" w:rsidRDefault="00D203C4" w:rsidP="00D203C4">
      <w:pPr>
        <w:rPr>
          <w:b/>
          <w:bCs/>
        </w:rPr>
      </w:pPr>
      <w:r>
        <w:rPr>
          <w:b/>
          <w:bCs/>
        </w:rPr>
        <w:t xml:space="preserve">Kiti vaistai ir </w:t>
      </w:r>
      <w:r>
        <w:rPr>
          <w:b/>
          <w:lang w:val="et-EE" w:eastAsia="et-EE"/>
        </w:rPr>
        <w:t>Bronwel</w:t>
      </w:r>
    </w:p>
    <w:p w:rsidR="00D203C4" w:rsidRDefault="00D203C4" w:rsidP="00D203C4">
      <w:pPr>
        <w:ind w:left="0" w:firstLine="0"/>
      </w:pPr>
      <w:r>
        <w:t>Jeigu vartojate ar neseniai vartojote kitų vaistų arba dėl to nesate tikri, apie tai pasakykite gydytojui arba vaistininkui.</w:t>
      </w:r>
    </w:p>
    <w:p w:rsidR="00D203C4" w:rsidRDefault="00D203C4" w:rsidP="00D203C4">
      <w:pPr>
        <w:ind w:left="0" w:firstLine="0"/>
      </w:pPr>
    </w:p>
    <w:p w:rsidR="00D203C4" w:rsidRDefault="00D203C4" w:rsidP="00D203C4">
      <w:pPr>
        <w:ind w:left="0" w:firstLine="0"/>
      </w:pPr>
      <w:r>
        <w:t>Duomenų apie sąveiką su kitais vaistais nėra.</w:t>
      </w:r>
    </w:p>
    <w:p w:rsidR="00D203C4" w:rsidRDefault="00D203C4" w:rsidP="00D203C4">
      <w:pPr>
        <w:numPr>
          <w:ilvl w:val="12"/>
          <w:numId w:val="0"/>
        </w:numPr>
      </w:pPr>
    </w:p>
    <w:p w:rsidR="00D203C4" w:rsidRDefault="00D203C4" w:rsidP="00D203C4">
      <w:pPr>
        <w:keepNext/>
        <w:rPr>
          <w:b/>
          <w:bCs/>
        </w:rPr>
      </w:pPr>
      <w:r>
        <w:rPr>
          <w:b/>
          <w:bCs/>
        </w:rPr>
        <w:lastRenderedPageBreak/>
        <w:t>Nėštumas ir žindymo laikotarpis</w:t>
      </w:r>
    </w:p>
    <w:p w:rsidR="00D203C4" w:rsidRDefault="00D203C4" w:rsidP="00D203C4">
      <w:pPr>
        <w:keepNext/>
        <w:ind w:left="0" w:firstLine="0"/>
      </w:pPr>
      <w:r>
        <w:rPr>
          <w:noProof/>
        </w:rPr>
        <w:t>Jeigu esate nėščia, žindote kūdikį, manote, kad galbūt esate nėščia, arba planuojate pastoti, tai prieš vartodama šį vaistą, pasitarkite su gydytoju arba vaistininku.</w:t>
      </w:r>
    </w:p>
    <w:p w:rsidR="00D203C4" w:rsidRDefault="00D203C4" w:rsidP="00D203C4">
      <w:pPr>
        <w:ind w:left="0" w:firstLine="0"/>
        <w:rPr>
          <w:noProof/>
        </w:rPr>
      </w:pPr>
    </w:p>
    <w:p w:rsidR="00D203C4" w:rsidRDefault="00D203C4" w:rsidP="00D203C4">
      <w:pPr>
        <w:rPr>
          <w:b/>
          <w:bCs/>
        </w:rPr>
      </w:pPr>
      <w:r>
        <w:rPr>
          <w:b/>
          <w:bCs/>
        </w:rPr>
        <w:t>Vairavimas ir mechanizmų valdymas</w:t>
      </w:r>
    </w:p>
    <w:p w:rsidR="00D203C4" w:rsidRDefault="00D203C4" w:rsidP="00D203C4">
      <w:pPr>
        <w:pStyle w:val="Body"/>
        <w:keepNext/>
        <w:spacing w:line="240" w:lineRule="auto"/>
        <w:ind w:left="0" w:firstLine="0"/>
        <w:rPr>
          <w:rFonts w:ascii="Times New Roman" w:hAnsi="Times New Roman" w:cs="Times New Roman"/>
          <w:lang w:val="lt-LT"/>
        </w:rPr>
      </w:pPr>
      <w:r>
        <w:rPr>
          <w:rFonts w:ascii="Times New Roman" w:hAnsi="Times New Roman" w:cs="Times New Roman"/>
          <w:noProof/>
          <w:lang w:val="lt-LT"/>
        </w:rPr>
        <w:t>Bronwel gebėjimo vairuoti ir valdyti mechanizmus neveikia arba veikia nereikšmingai.</w:t>
      </w:r>
    </w:p>
    <w:p w:rsidR="00D203C4" w:rsidRDefault="00D203C4" w:rsidP="00D203C4">
      <w:pPr>
        <w:ind w:left="0" w:firstLine="0"/>
      </w:pPr>
    </w:p>
    <w:p w:rsidR="00D203C4" w:rsidRDefault="00D203C4" w:rsidP="00D203C4">
      <w:pPr>
        <w:pStyle w:val="Body"/>
        <w:spacing w:line="240" w:lineRule="auto"/>
        <w:ind w:left="0" w:firstLine="0"/>
        <w:rPr>
          <w:rFonts w:ascii="Times New Roman" w:hAnsi="Times New Roman" w:cs="Times New Roman"/>
          <w:lang w:val="lt-LT"/>
        </w:rPr>
      </w:pPr>
      <w:r>
        <w:rPr>
          <w:rFonts w:ascii="Times New Roman" w:hAnsi="Times New Roman" w:cs="Times New Roman"/>
          <w:b/>
          <w:lang w:val="et-EE" w:eastAsia="et-EE"/>
        </w:rPr>
        <w:t>Bronwel</w:t>
      </w:r>
      <w:r>
        <w:rPr>
          <w:rFonts w:ascii="Times New Roman" w:hAnsi="Times New Roman" w:cs="Times New Roman"/>
          <w:b/>
          <w:lang w:val="lt-LT"/>
        </w:rPr>
        <w:t xml:space="preserve"> sudėtyje yra fruktozės ir sorbitolio.</w:t>
      </w:r>
      <w:r>
        <w:rPr>
          <w:rFonts w:ascii="Times New Roman" w:hAnsi="Times New Roman" w:cs="Times New Roman"/>
          <w:lang w:val="lt-LT"/>
        </w:rPr>
        <w:t xml:space="preserve"> </w:t>
      </w:r>
    </w:p>
    <w:p w:rsidR="00D203C4" w:rsidRDefault="00D203C4" w:rsidP="00D203C4">
      <w:pPr>
        <w:numPr>
          <w:ilvl w:val="12"/>
          <w:numId w:val="0"/>
        </w:numPr>
        <w:ind w:right="-2"/>
      </w:pPr>
      <w:r>
        <w:rPr>
          <w:lang w:val="et-EE" w:eastAsia="et-EE"/>
        </w:rPr>
        <w:t>Kiekvienoje šio vaisto</w:t>
      </w:r>
      <w:r>
        <w:rPr>
          <w:lang w:val="et-EE"/>
        </w:rPr>
        <w:t xml:space="preserve"> </w:t>
      </w:r>
      <w:r>
        <w:t>minkštojoje pastilėje yra 523 mg sorbitolio ir 300  mg fruktozės, tai atitinka maždaug 0,1 angliavandenių vieneto. 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D203C4" w:rsidRDefault="00D203C4" w:rsidP="00D203C4">
      <w:pPr>
        <w:numPr>
          <w:ilvl w:val="12"/>
          <w:numId w:val="0"/>
        </w:numPr>
        <w:ind w:right="-2"/>
      </w:pPr>
    </w:p>
    <w:p w:rsidR="00D203C4" w:rsidRDefault="00D203C4" w:rsidP="00D203C4">
      <w:pPr>
        <w:pStyle w:val="Body"/>
        <w:spacing w:line="240" w:lineRule="auto"/>
        <w:ind w:left="0" w:firstLine="0"/>
        <w:rPr>
          <w:rFonts w:ascii="Times New Roman" w:hAnsi="Times New Roman" w:cs="Times New Roman"/>
          <w:b/>
          <w:bCs/>
          <w:u w:val="single"/>
          <w:lang w:val="lt-LT"/>
        </w:rPr>
      </w:pPr>
      <w:r>
        <w:rPr>
          <w:rFonts w:ascii="Times New Roman" w:hAnsi="Times New Roman" w:cs="Times New Roman"/>
          <w:b/>
          <w:bCs/>
          <w:u w:val="single"/>
          <w:lang w:val="lt-LT"/>
        </w:rPr>
        <w:t>Bronwel sudėtyje yra propilenglikolio (E1520)</w:t>
      </w:r>
    </w:p>
    <w:p w:rsidR="00D203C4" w:rsidRDefault="00D203C4" w:rsidP="00D203C4">
      <w:pPr>
        <w:pStyle w:val="Body"/>
        <w:spacing w:line="240" w:lineRule="auto"/>
        <w:ind w:left="0" w:firstLine="0"/>
        <w:rPr>
          <w:rFonts w:ascii="Times New Roman" w:hAnsi="Times New Roman" w:cs="Times New Roman"/>
          <w:lang w:val="lt-LT"/>
        </w:rPr>
      </w:pPr>
      <w:r>
        <w:rPr>
          <w:rFonts w:ascii="Times New Roman" w:hAnsi="Times New Roman" w:cs="Times New Roman"/>
          <w:lang w:val="lt-LT"/>
        </w:rPr>
        <w:t>Kiekvienoje šio vaisto minkštojoje pastilėje yra 5,53 mg propilenglikolio.</w:t>
      </w:r>
    </w:p>
    <w:p w:rsidR="00D203C4" w:rsidRDefault="00D203C4" w:rsidP="00D203C4">
      <w:pPr>
        <w:numPr>
          <w:ilvl w:val="12"/>
          <w:numId w:val="0"/>
        </w:numPr>
        <w:ind w:right="-2"/>
      </w:pPr>
    </w:p>
    <w:p w:rsidR="00D203C4" w:rsidRDefault="00D203C4" w:rsidP="00D203C4">
      <w:pPr>
        <w:pStyle w:val="Body"/>
        <w:spacing w:line="240" w:lineRule="auto"/>
        <w:ind w:left="0" w:firstLine="0"/>
        <w:rPr>
          <w:rFonts w:ascii="Times New Roman" w:hAnsi="Times New Roman" w:cs="Times New Roman"/>
          <w:b/>
          <w:bCs/>
          <w:u w:val="single"/>
          <w:lang w:val="lt-LT"/>
        </w:rPr>
      </w:pPr>
      <w:r>
        <w:rPr>
          <w:rFonts w:ascii="Times New Roman" w:hAnsi="Times New Roman" w:cs="Times New Roman"/>
          <w:b/>
          <w:bCs/>
          <w:u w:val="single"/>
          <w:lang w:val="lt-LT"/>
        </w:rPr>
        <w:t>Bronwel sudėtyje yra benzilo alkoholio (E1519)</w:t>
      </w:r>
    </w:p>
    <w:p w:rsidR="00D203C4" w:rsidRDefault="00D203C4" w:rsidP="00D203C4">
      <w:pPr>
        <w:pStyle w:val="Body"/>
        <w:spacing w:line="240" w:lineRule="auto"/>
        <w:ind w:left="0" w:firstLine="0"/>
        <w:rPr>
          <w:rFonts w:ascii="Times New Roman" w:hAnsi="Times New Roman" w:cs="Times New Roman"/>
          <w:lang w:val="lt-LT"/>
        </w:rPr>
      </w:pPr>
      <w:r>
        <w:rPr>
          <w:rFonts w:ascii="Times New Roman" w:hAnsi="Times New Roman" w:cs="Times New Roman"/>
          <w:lang w:val="lt-LT"/>
        </w:rPr>
        <w:t>Kiekvienoje šio vaisto minkštojoje pastilėje yra 0,0018 mg benzilo alkoholio (E1519). Benzilo alkoholis (E1519) gali sukelti alerginių reakcijų.</w:t>
      </w:r>
    </w:p>
    <w:p w:rsidR="00D203C4" w:rsidRDefault="00D203C4" w:rsidP="00D203C4">
      <w:pPr>
        <w:pStyle w:val="Body"/>
        <w:spacing w:line="240" w:lineRule="auto"/>
        <w:ind w:left="0" w:firstLine="0"/>
        <w:rPr>
          <w:rFonts w:ascii="Times New Roman" w:hAnsi="Times New Roman" w:cs="Times New Roman"/>
          <w:lang w:val="lt-LT"/>
        </w:rPr>
      </w:pPr>
    </w:p>
    <w:p w:rsidR="00D203C4" w:rsidRDefault="00D203C4" w:rsidP="00D203C4">
      <w:pPr>
        <w:pStyle w:val="Body"/>
        <w:spacing w:line="240" w:lineRule="auto"/>
        <w:ind w:left="0" w:firstLine="0"/>
        <w:rPr>
          <w:rFonts w:ascii="Times New Roman" w:hAnsi="Times New Roman" w:cs="Times New Roman"/>
          <w:b/>
          <w:bCs/>
          <w:u w:val="single"/>
          <w:lang w:val="lt-LT"/>
        </w:rPr>
      </w:pPr>
      <w:r>
        <w:rPr>
          <w:rFonts w:ascii="Times New Roman" w:hAnsi="Times New Roman" w:cs="Times New Roman"/>
          <w:b/>
          <w:bCs/>
          <w:u w:val="single"/>
          <w:lang w:val="lt-LT"/>
        </w:rPr>
        <w:t>Bronwel sudėtyje yra</w:t>
      </w:r>
      <w:r>
        <w:rPr>
          <w:rFonts w:ascii="Times New Roman" w:hAnsi="Times New Roman" w:cs="Times New Roman"/>
          <w:lang w:val="lt-LT"/>
        </w:rPr>
        <w:t xml:space="preserve"> </w:t>
      </w:r>
      <w:r>
        <w:rPr>
          <w:rFonts w:ascii="Times New Roman" w:hAnsi="Times New Roman" w:cs="Times New Roman"/>
          <w:b/>
          <w:bCs/>
          <w:u w:val="single"/>
          <w:lang w:val="lt-LT"/>
        </w:rPr>
        <w:t>natrio</w:t>
      </w:r>
    </w:p>
    <w:p w:rsidR="00D203C4" w:rsidRDefault="00D203C4" w:rsidP="00D203C4">
      <w:pPr>
        <w:pStyle w:val="Body"/>
        <w:spacing w:line="240" w:lineRule="auto"/>
        <w:ind w:left="0" w:firstLine="0"/>
        <w:rPr>
          <w:rFonts w:ascii="Times New Roman" w:hAnsi="Times New Roman" w:cs="Times New Roman"/>
          <w:lang w:val="lt-LT"/>
        </w:rPr>
      </w:pPr>
      <w:r>
        <w:rPr>
          <w:rFonts w:ascii="Times New Roman" w:hAnsi="Times New Roman" w:cs="Times New Roman"/>
          <w:lang w:val="lt-LT"/>
        </w:rPr>
        <w:t>Šio vaisto pastilėje yra mažiau kaip 1 mmol (23 mg) natrio, t.y. jis beveik neturi reikšmės.</w:t>
      </w:r>
    </w:p>
    <w:p w:rsidR="00D203C4" w:rsidRDefault="00D203C4" w:rsidP="00D203C4">
      <w:pPr>
        <w:numPr>
          <w:ilvl w:val="12"/>
          <w:numId w:val="0"/>
        </w:numPr>
        <w:ind w:right="-2"/>
      </w:pPr>
    </w:p>
    <w:p w:rsidR="00D203C4" w:rsidRDefault="00D203C4" w:rsidP="00D203C4">
      <w:pPr>
        <w:numPr>
          <w:ilvl w:val="12"/>
          <w:numId w:val="0"/>
        </w:numPr>
        <w:ind w:right="-2"/>
      </w:pPr>
    </w:p>
    <w:p w:rsidR="00D203C4" w:rsidRDefault="00D203C4" w:rsidP="00D203C4">
      <w:pPr>
        <w:numPr>
          <w:ilvl w:val="12"/>
          <w:numId w:val="0"/>
        </w:numPr>
        <w:ind w:left="567" w:hanging="567"/>
        <w:outlineLvl w:val="0"/>
        <w:rPr>
          <w:b/>
          <w:bCs/>
          <w:caps/>
        </w:rPr>
      </w:pPr>
      <w:r>
        <w:rPr>
          <w:b/>
          <w:bCs/>
        </w:rPr>
        <w:t>3.</w:t>
      </w:r>
      <w:r>
        <w:rPr>
          <w:b/>
          <w:bCs/>
        </w:rPr>
        <w:tab/>
        <w:t xml:space="preserve">Kaip vartoti </w:t>
      </w:r>
      <w:r>
        <w:rPr>
          <w:b/>
          <w:lang w:val="et-EE" w:eastAsia="et-EE"/>
        </w:rPr>
        <w:t>Bronwel</w:t>
      </w:r>
    </w:p>
    <w:p w:rsidR="00D203C4" w:rsidRDefault="00D203C4" w:rsidP="00D203C4"/>
    <w:p w:rsidR="00D203C4" w:rsidRDefault="00D203C4" w:rsidP="00D203C4">
      <w:pPr>
        <w:ind w:left="0" w:firstLine="0"/>
      </w:pPr>
      <w:r>
        <w:t>Visada vartokite šį vaistą tiksliai kaip nurodė gydytojas arba vaistininkas. Jeigu abejojate, kreipkitės į gydytoją arba vaistininką.</w:t>
      </w:r>
    </w:p>
    <w:p w:rsidR="00D203C4" w:rsidRDefault="00D203C4" w:rsidP="00D203C4">
      <w:pPr>
        <w:ind w:left="0" w:firstLine="0"/>
      </w:pPr>
    </w:p>
    <w:p w:rsidR="00D203C4" w:rsidRDefault="00D203C4" w:rsidP="00D203C4">
      <w:pPr>
        <w:ind w:left="0" w:firstLine="0"/>
        <w:rPr>
          <w:bCs/>
          <w:i/>
          <w:u w:val="single"/>
        </w:rPr>
      </w:pPr>
      <w:r>
        <w:rPr>
          <w:bCs/>
          <w:i/>
          <w:u w:val="single"/>
        </w:rPr>
        <w:t>Dozavimas</w:t>
      </w:r>
    </w:p>
    <w:p w:rsidR="00D203C4" w:rsidRDefault="00D203C4" w:rsidP="00D203C4">
      <w:pPr>
        <w:ind w:left="0" w:firstLine="0"/>
      </w:pPr>
      <w:r>
        <w:t>Jei gydytojas nenurodė kitaip, vartojamos toliau išvardytos įprastinės dozės.</w:t>
      </w:r>
    </w:p>
    <w:p w:rsidR="00D203C4" w:rsidRDefault="00D203C4" w:rsidP="00D203C4">
      <w:pPr>
        <w:autoSpaceDE w:val="0"/>
        <w:autoSpaceDN w:val="0"/>
        <w:adjustRightInd w:val="0"/>
        <w:ind w:left="0" w:firstLine="0"/>
        <w:rPr>
          <w:lang w:eastAsia="lt-LT"/>
        </w:rPr>
      </w:pPr>
    </w:p>
    <w:p w:rsidR="00D203C4" w:rsidRDefault="00D203C4" w:rsidP="00D203C4">
      <w:pPr>
        <w:autoSpaceDE w:val="0"/>
        <w:autoSpaceDN w:val="0"/>
        <w:adjustRightInd w:val="0"/>
        <w:ind w:left="0" w:firstLine="0"/>
        <w:rPr>
          <w:u w:val="single"/>
          <w:lang w:eastAsia="lt-LT"/>
        </w:rPr>
      </w:pPr>
      <w:r>
        <w:rPr>
          <w:u w:val="single"/>
          <w:lang w:eastAsia="lt-LT"/>
        </w:rPr>
        <w:t xml:space="preserve">12 metų ir vyresni paaugliai, suaugusieji ir </w:t>
      </w:r>
      <w:r>
        <w:rPr>
          <w:i/>
          <w:iCs/>
          <w:u w:val="single"/>
          <w:lang w:eastAsia="lt-LT"/>
        </w:rPr>
        <w:t>senyvi žmonės</w:t>
      </w:r>
    </w:p>
    <w:p w:rsidR="00D203C4" w:rsidRDefault="00D203C4" w:rsidP="00D203C4">
      <w:pPr>
        <w:autoSpaceDE w:val="0"/>
        <w:autoSpaceDN w:val="0"/>
        <w:adjustRightInd w:val="0"/>
        <w:ind w:left="0" w:firstLine="0"/>
        <w:rPr>
          <w:lang w:eastAsia="lt-LT"/>
        </w:rPr>
      </w:pPr>
      <w:r>
        <w:rPr>
          <w:lang w:eastAsia="lt-LT"/>
        </w:rPr>
        <w:t>Lėtai ištirpinti 1</w:t>
      </w:r>
      <w:r>
        <w:rPr>
          <w:lang w:eastAsia="lt-LT"/>
        </w:rPr>
        <w:noBreakHyphen/>
        <w:t>2 pastiles burnoje, kas 3</w:t>
      </w:r>
      <w:r>
        <w:rPr>
          <w:lang w:eastAsia="lt-LT"/>
        </w:rPr>
        <w:noBreakHyphen/>
        <w:t>4 valandas (4</w:t>
      </w:r>
      <w:r>
        <w:rPr>
          <w:lang w:eastAsia="lt-LT"/>
        </w:rPr>
        <w:noBreakHyphen/>
        <w:t>6 kartus per parą).</w:t>
      </w:r>
    </w:p>
    <w:p w:rsidR="00D203C4" w:rsidRDefault="00D203C4" w:rsidP="00D203C4">
      <w:pPr>
        <w:autoSpaceDE w:val="0"/>
        <w:autoSpaceDN w:val="0"/>
        <w:adjustRightInd w:val="0"/>
        <w:ind w:left="0" w:firstLine="0"/>
        <w:rPr>
          <w:lang w:eastAsia="lt-LT"/>
        </w:rPr>
      </w:pPr>
    </w:p>
    <w:p w:rsidR="00D203C4" w:rsidRDefault="00D203C4" w:rsidP="00D203C4">
      <w:pPr>
        <w:autoSpaceDE w:val="0"/>
        <w:autoSpaceDN w:val="0"/>
        <w:adjustRightInd w:val="0"/>
        <w:ind w:left="0" w:firstLine="0"/>
        <w:rPr>
          <w:lang w:eastAsia="lt-LT"/>
        </w:rPr>
      </w:pPr>
    </w:p>
    <w:p w:rsidR="00D203C4" w:rsidRDefault="00D203C4" w:rsidP="00D203C4">
      <w:pPr>
        <w:pStyle w:val="PI-3EMEASMCA"/>
      </w:pPr>
      <w:r>
        <w:t xml:space="preserve">Ką daryti pavartojus per didelę </w:t>
      </w:r>
      <w:r>
        <w:rPr>
          <w:lang w:val="et-EE" w:eastAsia="et-EE"/>
        </w:rPr>
        <w:t>Bronwel</w:t>
      </w:r>
      <w:r>
        <w:rPr>
          <w:lang w:val="et-EE"/>
        </w:rPr>
        <w:t xml:space="preserve"> </w:t>
      </w:r>
      <w:r>
        <w:t>dozę?</w:t>
      </w:r>
    </w:p>
    <w:p w:rsidR="00D203C4" w:rsidRDefault="00D203C4" w:rsidP="00D203C4">
      <w:pPr>
        <w:pStyle w:val="Body"/>
        <w:spacing w:line="240" w:lineRule="auto"/>
        <w:ind w:left="0" w:firstLine="0"/>
        <w:rPr>
          <w:rFonts w:ascii="Times New Roman" w:hAnsi="Times New Roman" w:cs="Times New Roman"/>
          <w:lang w:val="lt-LT"/>
        </w:rPr>
      </w:pPr>
      <w:r>
        <w:rPr>
          <w:rFonts w:ascii="Times New Roman" w:hAnsi="Times New Roman" w:cs="Times New Roman"/>
          <w:lang w:val="lt-LT"/>
        </w:rPr>
        <w:t>Jeigu suvartojama daugiau kaip 20 g per parą, kas atitinka daugiau kaip 40 pastilių, sorbitolis gali pasižymėti lengvu vidurius laisvinančiu poveikiu.</w:t>
      </w:r>
    </w:p>
    <w:p w:rsidR="00D203C4" w:rsidRDefault="00D203C4" w:rsidP="00D203C4">
      <w:pPr>
        <w:rPr>
          <w:b/>
          <w:bCs/>
        </w:rPr>
      </w:pPr>
    </w:p>
    <w:p w:rsidR="00D203C4" w:rsidRDefault="00D203C4" w:rsidP="00D203C4">
      <w:pPr>
        <w:rPr>
          <w:b/>
          <w:bCs/>
        </w:rPr>
      </w:pPr>
      <w:r>
        <w:rPr>
          <w:b/>
          <w:bCs/>
        </w:rPr>
        <w:t xml:space="preserve">Pamiršus pavartoti </w:t>
      </w:r>
      <w:r>
        <w:rPr>
          <w:b/>
          <w:lang w:val="et-EE" w:eastAsia="et-EE"/>
        </w:rPr>
        <w:t>Bronwel</w:t>
      </w:r>
    </w:p>
    <w:p w:rsidR="00D203C4" w:rsidRDefault="00D203C4" w:rsidP="00D203C4">
      <w:pPr>
        <w:pStyle w:val="BodyText"/>
        <w:rPr>
          <w:i w:val="0"/>
          <w:iCs w:val="0"/>
          <w:color w:val="auto"/>
          <w:lang w:val="lt-LT"/>
        </w:rPr>
      </w:pPr>
      <w:r>
        <w:rPr>
          <w:i w:val="0"/>
          <w:iCs w:val="0"/>
          <w:color w:val="auto"/>
          <w:lang w:val="lt-LT"/>
        </w:rPr>
        <w:t>Negalima vartoti dvigubos dozės norint kompensuoti praleistą dozę.</w:t>
      </w:r>
    </w:p>
    <w:p w:rsidR="00D203C4" w:rsidRDefault="00D203C4" w:rsidP="00D203C4">
      <w:pPr>
        <w:numPr>
          <w:ilvl w:val="12"/>
          <w:numId w:val="0"/>
        </w:numPr>
        <w:ind w:right="-2"/>
      </w:pPr>
    </w:p>
    <w:p w:rsidR="00D203C4" w:rsidRDefault="00D203C4" w:rsidP="00D203C4">
      <w:pPr>
        <w:numPr>
          <w:ilvl w:val="12"/>
          <w:numId w:val="0"/>
        </w:numPr>
        <w:ind w:right="-2"/>
      </w:pPr>
      <w:r>
        <w:t>Jeigu kiltų daugiau klausimų dėl šio vaisto vartojimo, kreipkitės į gydytoją arba vaistininką.</w:t>
      </w:r>
    </w:p>
    <w:p w:rsidR="00D203C4" w:rsidRDefault="00D203C4" w:rsidP="00D203C4">
      <w:pPr>
        <w:numPr>
          <w:ilvl w:val="12"/>
          <w:numId w:val="0"/>
        </w:numPr>
        <w:ind w:right="-2"/>
      </w:pPr>
    </w:p>
    <w:p w:rsidR="00D203C4" w:rsidRDefault="00D203C4" w:rsidP="00D203C4">
      <w:pPr>
        <w:numPr>
          <w:ilvl w:val="12"/>
          <w:numId w:val="0"/>
        </w:numPr>
        <w:ind w:right="-2"/>
      </w:pPr>
    </w:p>
    <w:p w:rsidR="00D203C4" w:rsidRDefault="00D203C4" w:rsidP="00D203C4">
      <w:pPr>
        <w:numPr>
          <w:ilvl w:val="12"/>
          <w:numId w:val="0"/>
        </w:numPr>
        <w:ind w:left="567" w:hanging="567"/>
        <w:outlineLvl w:val="0"/>
        <w:rPr>
          <w:b/>
          <w:bCs/>
          <w:caps/>
        </w:rPr>
      </w:pPr>
      <w:r>
        <w:rPr>
          <w:b/>
          <w:bCs/>
          <w:caps/>
        </w:rPr>
        <w:t>4.</w:t>
      </w:r>
      <w:r>
        <w:rPr>
          <w:b/>
          <w:bCs/>
          <w:caps/>
        </w:rPr>
        <w:tab/>
        <w:t>g</w:t>
      </w:r>
      <w:r>
        <w:rPr>
          <w:b/>
          <w:bCs/>
        </w:rPr>
        <w:t>alimas šalutinis poveikis</w:t>
      </w:r>
    </w:p>
    <w:p w:rsidR="00D203C4" w:rsidRDefault="00D203C4" w:rsidP="00D203C4">
      <w:pPr>
        <w:numPr>
          <w:ilvl w:val="12"/>
          <w:numId w:val="0"/>
        </w:numPr>
        <w:ind w:right="-2"/>
      </w:pPr>
    </w:p>
    <w:p w:rsidR="00D203C4" w:rsidRDefault="00D203C4" w:rsidP="00D203C4">
      <w:pPr>
        <w:numPr>
          <w:ilvl w:val="12"/>
          <w:numId w:val="0"/>
        </w:numPr>
        <w:ind w:right="-2"/>
      </w:pPr>
      <w:r>
        <w:t xml:space="preserve">Šis vaistas, kaip ir visi kiti, gali sukelti šalutinį poveikį, nors jis pasireiškia ne visiems žmonėms. </w:t>
      </w:r>
    </w:p>
    <w:p w:rsidR="00D203C4" w:rsidRDefault="00D203C4" w:rsidP="00D203C4">
      <w:pPr>
        <w:numPr>
          <w:ilvl w:val="12"/>
          <w:numId w:val="0"/>
        </w:numPr>
        <w:ind w:right="-2"/>
        <w:rPr>
          <w:i/>
        </w:rPr>
      </w:pPr>
    </w:p>
    <w:p w:rsidR="00D203C4" w:rsidRDefault="00D203C4" w:rsidP="00D203C4">
      <w:pPr>
        <w:numPr>
          <w:ilvl w:val="12"/>
          <w:numId w:val="0"/>
        </w:numPr>
        <w:ind w:right="-2"/>
        <w:rPr>
          <w:i/>
        </w:rPr>
      </w:pPr>
      <w:r>
        <w:rPr>
          <w:i/>
        </w:rPr>
        <w:t>Dažnis nežinomas (negali būti apskaičiuotas pagal turimus duomenis)</w:t>
      </w:r>
    </w:p>
    <w:p w:rsidR="00D203C4" w:rsidRDefault="00D203C4" w:rsidP="00D203C4">
      <w:pPr>
        <w:numPr>
          <w:ilvl w:val="12"/>
          <w:numId w:val="0"/>
        </w:numPr>
        <w:ind w:right="-2"/>
      </w:pPr>
      <w:r>
        <w:t>Sunkių, padidėjusio jautrumo reakcijų (anafilaksinis šokas, Kvinkės edema), virškinimo trakto surikimai, pykinimas, vėmimas).</w:t>
      </w:r>
    </w:p>
    <w:p w:rsidR="00D203C4" w:rsidRDefault="00D203C4" w:rsidP="00D203C4">
      <w:pPr>
        <w:numPr>
          <w:ilvl w:val="12"/>
          <w:numId w:val="0"/>
        </w:numPr>
        <w:ind w:right="-2"/>
      </w:pPr>
    </w:p>
    <w:p w:rsidR="00D203C4" w:rsidRDefault="00D203C4" w:rsidP="00D203C4">
      <w:pPr>
        <w:keepNext/>
        <w:numPr>
          <w:ilvl w:val="12"/>
          <w:numId w:val="0"/>
        </w:numPr>
        <w:rPr>
          <w:b/>
        </w:rPr>
      </w:pPr>
      <w:r>
        <w:rPr>
          <w:b/>
        </w:rPr>
        <w:lastRenderedPageBreak/>
        <w:t>Pranešimas apie šalutinį poveikį</w:t>
      </w:r>
    </w:p>
    <w:p w:rsidR="00D203C4" w:rsidRDefault="00D203C4" w:rsidP="00D203C4">
      <w:pPr>
        <w:ind w:left="0" w:right="-449" w:firstLine="0"/>
      </w:pPr>
      <w: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yperlink"/>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yperlink"/>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yperlink"/>
            <w:rFonts w:eastAsia="SimSun"/>
          </w:rPr>
          <w:t>http://www.vvkt.lt</w:t>
        </w:r>
      </w:hyperlink>
      <w:r>
        <w:t>). Pranešdami apie šalutinį poveikį galite mums padėti gauti daugiau informacijos apie šio vaisto saugumą.</w:t>
      </w:r>
    </w:p>
    <w:p w:rsidR="00D203C4" w:rsidRDefault="00D203C4" w:rsidP="00D203C4">
      <w:pPr>
        <w:ind w:left="0" w:right="-449" w:firstLine="0"/>
        <w:rPr>
          <w:noProof/>
          <w:szCs w:val="24"/>
        </w:rPr>
      </w:pPr>
    </w:p>
    <w:p w:rsidR="00D203C4" w:rsidRDefault="00D203C4" w:rsidP="00D203C4">
      <w:pPr>
        <w:numPr>
          <w:ilvl w:val="12"/>
          <w:numId w:val="0"/>
        </w:numPr>
        <w:ind w:right="-2"/>
      </w:pPr>
    </w:p>
    <w:p w:rsidR="00D203C4" w:rsidRDefault="00D203C4" w:rsidP="00D203C4">
      <w:pPr>
        <w:numPr>
          <w:ilvl w:val="12"/>
          <w:numId w:val="0"/>
        </w:numPr>
        <w:ind w:left="567" w:right="-2" w:hanging="567"/>
      </w:pPr>
      <w:r>
        <w:rPr>
          <w:b/>
          <w:bCs/>
        </w:rPr>
        <w:t>5.</w:t>
      </w:r>
      <w:r>
        <w:rPr>
          <w:b/>
          <w:bCs/>
        </w:rPr>
        <w:tab/>
        <w:t xml:space="preserve">Kaip laikyti </w:t>
      </w:r>
      <w:r>
        <w:rPr>
          <w:b/>
          <w:lang w:val="et-EE" w:eastAsia="et-EE"/>
        </w:rPr>
        <w:t>Bronwel</w:t>
      </w:r>
    </w:p>
    <w:p w:rsidR="00D203C4" w:rsidRDefault="00D203C4" w:rsidP="00D203C4">
      <w:pPr>
        <w:numPr>
          <w:ilvl w:val="12"/>
          <w:numId w:val="0"/>
        </w:numPr>
        <w:ind w:right="-2"/>
      </w:pPr>
    </w:p>
    <w:p w:rsidR="00D203C4" w:rsidRDefault="00D203C4" w:rsidP="00D203C4">
      <w:pPr>
        <w:pStyle w:val="BodyText"/>
        <w:rPr>
          <w:i w:val="0"/>
          <w:iCs w:val="0"/>
          <w:color w:val="auto"/>
          <w:lang w:val="lt-LT"/>
        </w:rPr>
      </w:pPr>
      <w:r>
        <w:rPr>
          <w:i w:val="0"/>
          <w:iCs w:val="0"/>
          <w:color w:val="auto"/>
          <w:lang w:val="lt-LT"/>
        </w:rPr>
        <w:t>Šį vaistą laikykite vaikams nepastebimoje ir nepasiekiamoje vietoje.</w:t>
      </w:r>
    </w:p>
    <w:p w:rsidR="00D203C4" w:rsidRDefault="00D203C4" w:rsidP="00D203C4">
      <w:r>
        <w:t>Laikyti ne aukštesnėje kaip 25 </w:t>
      </w:r>
      <w:r>
        <w:sym w:font="Symbol" w:char="F0B0"/>
      </w:r>
      <w:r>
        <w:t>C temperatūroje.</w:t>
      </w:r>
    </w:p>
    <w:p w:rsidR="00D203C4" w:rsidRDefault="00D203C4" w:rsidP="00D203C4">
      <w:r>
        <w:t>Lizdines plokšteles laikyti išorinėje dėžutėje, kad preparatas būtų apsaugotas nuo šviesos.</w:t>
      </w:r>
    </w:p>
    <w:p w:rsidR="00D203C4" w:rsidRDefault="00D203C4" w:rsidP="00D203C4">
      <w:pPr>
        <w:ind w:left="0" w:firstLine="0"/>
        <w:rPr>
          <w:lang w:eastAsia="lt-LT"/>
        </w:rPr>
      </w:pPr>
    </w:p>
    <w:p w:rsidR="00D203C4" w:rsidRDefault="00D203C4" w:rsidP="00D203C4">
      <w:pPr>
        <w:ind w:left="0" w:firstLine="0"/>
        <w:rPr>
          <w:lang w:eastAsia="lt-LT"/>
        </w:rPr>
      </w:pPr>
      <w:r>
        <w:rPr>
          <w:lang w:eastAsia="lt-LT"/>
        </w:rPr>
        <w:t xml:space="preserve">Ant lizdinės plokštelės ir kartono dėžutės po „Tinka iki“ nurodytam tinkamumo laikui pasibaigus, </w:t>
      </w:r>
      <w:r>
        <w:t>šio vaisto</w:t>
      </w:r>
      <w:r>
        <w:rPr>
          <w:lang w:eastAsia="lt-LT"/>
        </w:rPr>
        <w:t xml:space="preserve"> vartoti negalima. Vaistas tinkamas vartoti iki paskutinės nurodyto mėnesio dienos.</w:t>
      </w:r>
    </w:p>
    <w:p w:rsidR="00D203C4" w:rsidRDefault="00D203C4" w:rsidP="00D203C4">
      <w:pPr>
        <w:ind w:left="0" w:firstLine="0"/>
        <w:rPr>
          <w:lang w:eastAsia="lt-LT"/>
        </w:rPr>
      </w:pPr>
    </w:p>
    <w:p w:rsidR="00D203C4" w:rsidRDefault="00D203C4" w:rsidP="00D203C4">
      <w:pPr>
        <w:ind w:left="0" w:firstLine="0"/>
        <w:rPr>
          <w:noProof/>
        </w:rPr>
      </w:pPr>
      <w:r>
        <w:rPr>
          <w:lang w:eastAsia="lt-LT"/>
        </w:rPr>
        <w:t>Vaistų negalima išmesti į kanalizaciją arba su buitinėmis atliekomis. Kaip išmesti nereikalingus</w:t>
      </w:r>
      <w:r>
        <w:rPr>
          <w:noProof/>
        </w:rPr>
        <w:t xml:space="preserve"> vaistus, klauskite vaistininko. Šios priemonės padės apsaugoti aplinką.</w:t>
      </w:r>
    </w:p>
    <w:p w:rsidR="00D203C4" w:rsidRDefault="00D203C4" w:rsidP="00D203C4">
      <w:pPr>
        <w:numPr>
          <w:ilvl w:val="12"/>
          <w:numId w:val="0"/>
        </w:numPr>
        <w:ind w:right="-2"/>
      </w:pPr>
    </w:p>
    <w:p w:rsidR="00D203C4" w:rsidRDefault="00D203C4" w:rsidP="00D203C4">
      <w:pPr>
        <w:numPr>
          <w:ilvl w:val="12"/>
          <w:numId w:val="0"/>
        </w:numPr>
        <w:ind w:right="-2"/>
      </w:pPr>
    </w:p>
    <w:p w:rsidR="00D203C4" w:rsidRDefault="00D203C4" w:rsidP="00D203C4">
      <w:pPr>
        <w:numPr>
          <w:ilvl w:val="12"/>
          <w:numId w:val="0"/>
        </w:numPr>
        <w:ind w:right="-2"/>
        <w:rPr>
          <w:b/>
          <w:bCs/>
        </w:rPr>
      </w:pPr>
      <w:r>
        <w:rPr>
          <w:b/>
          <w:bCs/>
        </w:rPr>
        <w:t>6.</w:t>
      </w:r>
      <w:r>
        <w:rPr>
          <w:b/>
          <w:bCs/>
        </w:rPr>
        <w:tab/>
        <w:t>Pakuotės turinys ir kita informacija</w:t>
      </w:r>
    </w:p>
    <w:p w:rsidR="00D203C4" w:rsidRDefault="00D203C4" w:rsidP="00D203C4">
      <w:pPr>
        <w:numPr>
          <w:ilvl w:val="12"/>
          <w:numId w:val="0"/>
        </w:numPr>
        <w:ind w:right="-2"/>
      </w:pPr>
    </w:p>
    <w:p w:rsidR="00D203C4" w:rsidRDefault="00D203C4" w:rsidP="00D203C4">
      <w:pPr>
        <w:numPr>
          <w:ilvl w:val="12"/>
          <w:numId w:val="0"/>
        </w:numPr>
        <w:ind w:right="-2"/>
      </w:pPr>
      <w:r>
        <w:rPr>
          <w:b/>
          <w:lang w:val="et-EE" w:eastAsia="et-EE"/>
        </w:rPr>
        <w:t xml:space="preserve">Bronwel </w:t>
      </w:r>
      <w:r>
        <w:rPr>
          <w:b/>
          <w:bCs/>
        </w:rPr>
        <w:t xml:space="preserve">sudėtis </w:t>
      </w:r>
    </w:p>
    <w:p w:rsidR="00D203C4" w:rsidRDefault="00D203C4" w:rsidP="00D203C4">
      <w:pPr>
        <w:pStyle w:val="Body"/>
        <w:spacing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Veiklioji medžiaga yra vaistinių čiobrelių žolės sausasis ekstraktas. </w:t>
      </w:r>
    </w:p>
    <w:p w:rsidR="00D203C4" w:rsidRDefault="00D203C4" w:rsidP="00D203C4">
      <w:pPr>
        <w:pStyle w:val="Body"/>
        <w:spacing w:line="240" w:lineRule="auto"/>
        <w:ind w:firstLine="0"/>
        <w:rPr>
          <w:rFonts w:ascii="Times New Roman" w:hAnsi="Times New Roman" w:cs="Times New Roman"/>
          <w:lang w:val="lt-LT"/>
        </w:rPr>
      </w:pPr>
      <w:r>
        <w:rPr>
          <w:rFonts w:ascii="Times New Roman" w:hAnsi="Times New Roman" w:cs="Times New Roman"/>
          <w:lang w:val="lt-LT"/>
        </w:rPr>
        <w:t xml:space="preserve">Kiekvienoje minkštojoje pastilėje yra 59,5 mg </w:t>
      </w:r>
      <w:r>
        <w:rPr>
          <w:rFonts w:ascii="Times New Roman" w:hAnsi="Times New Roman" w:cs="Times New Roman"/>
          <w:i/>
          <w:iCs/>
          <w:lang w:val="lt-LT"/>
        </w:rPr>
        <w:t>Thymus vulgaris</w:t>
      </w:r>
      <w:r>
        <w:rPr>
          <w:rFonts w:ascii="Times New Roman" w:hAnsi="Times New Roman" w:cs="Times New Roman"/>
          <w:lang w:val="lt-LT"/>
        </w:rPr>
        <w:t xml:space="preserve"> L. ir (arba) </w:t>
      </w:r>
      <w:r>
        <w:rPr>
          <w:rFonts w:ascii="Times New Roman" w:hAnsi="Times New Roman" w:cs="Times New Roman"/>
          <w:i/>
          <w:iCs/>
          <w:lang w:val="lt-LT"/>
        </w:rPr>
        <w:t>Thymus zygis</w:t>
      </w:r>
      <w:r>
        <w:rPr>
          <w:rFonts w:ascii="Times New Roman" w:hAnsi="Times New Roman" w:cs="Times New Roman"/>
          <w:lang w:val="lt-LT"/>
        </w:rPr>
        <w:t xml:space="preserve"> L., </w:t>
      </w:r>
      <w:r>
        <w:rPr>
          <w:rFonts w:ascii="Times New Roman" w:hAnsi="Times New Roman" w:cs="Times New Roman"/>
          <w:i/>
          <w:iCs/>
          <w:lang w:val="lt-LT"/>
        </w:rPr>
        <w:t>herba</w:t>
      </w:r>
      <w:r>
        <w:rPr>
          <w:rFonts w:ascii="Times New Roman" w:hAnsi="Times New Roman" w:cs="Times New Roman"/>
          <w:lang w:val="lt-LT"/>
        </w:rPr>
        <w:t xml:space="preserve"> (vaistinių čiobrelių žolės) sausojo ekstrakto (7-13:1).</w:t>
      </w:r>
    </w:p>
    <w:p w:rsidR="00D203C4" w:rsidRDefault="00D203C4" w:rsidP="00D203C4">
      <w:pPr>
        <w:pStyle w:val="Body"/>
        <w:spacing w:line="240" w:lineRule="auto"/>
        <w:ind w:firstLine="0"/>
        <w:rPr>
          <w:rFonts w:ascii="Times New Roman" w:hAnsi="Times New Roman" w:cs="Times New Roman"/>
          <w:lang w:val="lt-LT"/>
        </w:rPr>
      </w:pPr>
      <w:r>
        <w:rPr>
          <w:rFonts w:ascii="Times New Roman" w:hAnsi="Times New Roman" w:cs="Times New Roman"/>
          <w:lang w:val="lt-LT"/>
        </w:rPr>
        <w:t>Ekstrakcijos tirpiklis: vanduo.</w:t>
      </w:r>
    </w:p>
    <w:p w:rsidR="00D203C4" w:rsidRDefault="00D203C4" w:rsidP="00D203C4">
      <w:pPr>
        <w:autoSpaceDE w:val="0"/>
        <w:autoSpaceDN w:val="0"/>
        <w:adjustRightInd w:val="0"/>
      </w:pPr>
      <w:r>
        <w:t>-</w:t>
      </w:r>
      <w:r>
        <w:tab/>
      </w:r>
      <w:r>
        <w:rPr>
          <w:lang w:eastAsia="lt-LT"/>
        </w:rPr>
        <w:t xml:space="preserve">Pagalbinės medžiagos </w:t>
      </w:r>
      <w:r>
        <w:t>yra gumiarabikas (E414), fruktozė, skystasis sorbitolis (70 % nesikristalizuojantis) (E420), maltodekstrinas, citrinų rūgštis (E330), sacharino natrio druska (E954), aronijų skonio medžiaga (sudėtyje yra propilenglikolio (E1520)), miško uogų skonio medžiaga (sudėtyje yra propilenglikolio (E1520) ir benzilo alkoholio (E1519)), skystasis parafinas, baltasis vaškas (E901), išgrynintas vanduo.</w:t>
      </w:r>
    </w:p>
    <w:p w:rsidR="00D203C4" w:rsidRDefault="00D203C4" w:rsidP="00D203C4"/>
    <w:p w:rsidR="00D203C4" w:rsidRDefault="00D203C4" w:rsidP="00D203C4">
      <w:pPr>
        <w:numPr>
          <w:ilvl w:val="12"/>
          <w:numId w:val="0"/>
        </w:numPr>
        <w:ind w:right="-2"/>
        <w:rPr>
          <w:u w:val="single"/>
        </w:rPr>
      </w:pPr>
      <w:r>
        <w:rPr>
          <w:b/>
          <w:lang w:val="et-EE" w:eastAsia="et-EE"/>
        </w:rPr>
        <w:t xml:space="preserve">Bronwel </w:t>
      </w:r>
      <w:r>
        <w:rPr>
          <w:b/>
          <w:bCs/>
        </w:rPr>
        <w:t xml:space="preserve">išvaizda ir kiekis pakuotėje </w:t>
      </w:r>
    </w:p>
    <w:p w:rsidR="00D203C4" w:rsidRDefault="00D203C4" w:rsidP="00D203C4">
      <w:pPr>
        <w:ind w:left="0" w:firstLine="0"/>
      </w:pPr>
      <w:r>
        <w:rPr>
          <w:lang w:val="et-EE" w:eastAsia="et-EE"/>
        </w:rPr>
        <w:t xml:space="preserve">Bronwel </w:t>
      </w:r>
      <w:r>
        <w:t>yra šešiabriaunės, rudos, vaisių skonio čiulpiamosios pastilės.</w:t>
      </w:r>
    </w:p>
    <w:p w:rsidR="00D203C4" w:rsidRDefault="00D203C4" w:rsidP="00D203C4">
      <w:pPr>
        <w:ind w:left="0" w:firstLine="0"/>
      </w:pPr>
      <w:r>
        <w:rPr>
          <w:lang w:val="et-EE" w:eastAsia="et-EE"/>
        </w:rPr>
        <w:t xml:space="preserve">Bronwel </w:t>
      </w:r>
      <w:r>
        <w:t>tiekiamos pakuotėmis po 20 ar 40 minkštųjų pastilių.</w:t>
      </w:r>
    </w:p>
    <w:p w:rsidR="00D203C4" w:rsidRDefault="00D203C4" w:rsidP="00D203C4">
      <w:pPr>
        <w:ind w:left="0" w:firstLine="0"/>
      </w:pPr>
    </w:p>
    <w:p w:rsidR="00D203C4" w:rsidRDefault="00D203C4" w:rsidP="00D203C4">
      <w:pPr>
        <w:ind w:left="0" w:firstLine="0"/>
      </w:pPr>
      <w:r>
        <w:t>Gali būti tiekiamos ne visų dydžių pakuotės.</w:t>
      </w:r>
    </w:p>
    <w:p w:rsidR="00D203C4" w:rsidRDefault="00D203C4" w:rsidP="00D203C4">
      <w:pPr>
        <w:ind w:left="0" w:firstLine="0"/>
      </w:pPr>
    </w:p>
    <w:p w:rsidR="00D203C4" w:rsidRDefault="00D203C4" w:rsidP="00D203C4">
      <w:pPr>
        <w:numPr>
          <w:ilvl w:val="12"/>
          <w:numId w:val="0"/>
        </w:numPr>
        <w:ind w:right="-2"/>
        <w:rPr>
          <w:b/>
          <w:bCs/>
        </w:rPr>
      </w:pPr>
      <w:r>
        <w:rPr>
          <w:b/>
          <w:bCs/>
        </w:rPr>
        <w:t>Registruotojas ir gamintojas</w:t>
      </w:r>
    </w:p>
    <w:p w:rsidR="00D203C4" w:rsidRDefault="00D203C4" w:rsidP="00D203C4">
      <w:pPr>
        <w:numPr>
          <w:ilvl w:val="12"/>
          <w:numId w:val="0"/>
        </w:numPr>
        <w:ind w:right="-2"/>
        <w:rPr>
          <w:b/>
          <w:bCs/>
        </w:rPr>
      </w:pPr>
    </w:p>
    <w:p w:rsidR="00D203C4" w:rsidRDefault="00D203C4" w:rsidP="00D203C4">
      <w:pPr>
        <w:numPr>
          <w:ilvl w:val="12"/>
          <w:numId w:val="0"/>
        </w:numPr>
        <w:ind w:right="-2"/>
      </w:pPr>
      <w:r>
        <w:rPr>
          <w:b/>
          <w:bCs/>
        </w:rPr>
        <w:t>Registruotojas</w:t>
      </w:r>
    </w:p>
    <w:p w:rsidR="00D203C4" w:rsidRDefault="00D203C4" w:rsidP="00D203C4">
      <w:r>
        <w:t xml:space="preserve">Kwizda Pharma GmbH </w:t>
      </w:r>
    </w:p>
    <w:p w:rsidR="00D203C4" w:rsidRDefault="00D203C4" w:rsidP="00D203C4">
      <w:r>
        <w:t xml:space="preserve">Effingergasse 21 </w:t>
      </w:r>
    </w:p>
    <w:p w:rsidR="00D203C4" w:rsidRDefault="00D203C4" w:rsidP="00D203C4">
      <w:r>
        <w:t>1160 Vienna</w:t>
      </w:r>
    </w:p>
    <w:p w:rsidR="00D203C4" w:rsidRDefault="00D203C4" w:rsidP="00D203C4">
      <w:r>
        <w:t>Austrija</w:t>
      </w:r>
    </w:p>
    <w:p w:rsidR="00D203C4" w:rsidRDefault="00D203C4" w:rsidP="00D203C4">
      <w:pPr>
        <w:numPr>
          <w:ilvl w:val="12"/>
          <w:numId w:val="0"/>
        </w:numPr>
        <w:ind w:right="-2"/>
      </w:pPr>
    </w:p>
    <w:p w:rsidR="00D203C4" w:rsidRDefault="00D203C4" w:rsidP="00D203C4">
      <w:pPr>
        <w:numPr>
          <w:ilvl w:val="12"/>
          <w:numId w:val="0"/>
        </w:numPr>
        <w:ind w:right="-2"/>
      </w:pPr>
      <w:r>
        <w:rPr>
          <w:b/>
          <w:bCs/>
        </w:rPr>
        <w:t>Gamintojas</w:t>
      </w:r>
    </w:p>
    <w:p w:rsidR="00D203C4" w:rsidRDefault="00D203C4" w:rsidP="00D203C4">
      <w:pPr>
        <w:numPr>
          <w:ilvl w:val="12"/>
          <w:numId w:val="0"/>
        </w:numPr>
        <w:ind w:right="-2"/>
      </w:pPr>
      <w:r>
        <w:t>Kwizda Pharma GmbH</w:t>
      </w:r>
      <w:r>
        <w:br/>
        <w:t>Effingergasse 21</w:t>
      </w:r>
      <w:r>
        <w:br/>
      </w:r>
      <w:r>
        <w:lastRenderedPageBreak/>
        <w:t>1160 Vienna</w:t>
      </w:r>
      <w:r>
        <w:br/>
        <w:t>Austrija</w:t>
      </w:r>
    </w:p>
    <w:p w:rsidR="00D203C4" w:rsidRDefault="00D203C4" w:rsidP="00D203C4">
      <w:pPr>
        <w:numPr>
          <w:ilvl w:val="12"/>
          <w:numId w:val="0"/>
        </w:numPr>
        <w:ind w:right="-2"/>
      </w:pPr>
    </w:p>
    <w:p w:rsidR="00D203C4" w:rsidRDefault="00D203C4" w:rsidP="00D203C4">
      <w:pPr>
        <w:numPr>
          <w:ilvl w:val="12"/>
          <w:numId w:val="0"/>
        </w:numPr>
        <w:ind w:right="-2"/>
        <w:outlineLvl w:val="0"/>
        <w:rPr>
          <w:b/>
          <w:bCs/>
        </w:rPr>
      </w:pPr>
      <w:r>
        <w:rPr>
          <w:b/>
          <w:bCs/>
        </w:rPr>
        <w:t>Šis pakuotės lapelis paskutinį kartą peržiūrėtas 2020-11-23.</w:t>
      </w:r>
    </w:p>
    <w:p w:rsidR="00D203C4" w:rsidRDefault="00D203C4" w:rsidP="00D203C4">
      <w:pPr>
        <w:numPr>
          <w:ilvl w:val="12"/>
          <w:numId w:val="0"/>
        </w:numPr>
        <w:ind w:right="-2"/>
        <w:outlineLvl w:val="0"/>
      </w:pPr>
    </w:p>
    <w:p w:rsidR="00D203C4" w:rsidRDefault="00D203C4" w:rsidP="00D203C4">
      <w:pPr>
        <w:numPr>
          <w:ilvl w:val="12"/>
          <w:numId w:val="0"/>
        </w:numPr>
        <w:ind w:right="-2"/>
        <w:outlineLvl w:val="0"/>
      </w:pPr>
    </w:p>
    <w:p w:rsidR="00D203C4" w:rsidRDefault="00D203C4" w:rsidP="00D203C4">
      <w:pPr>
        <w:pStyle w:val="BTEMEASMCA"/>
      </w:pPr>
      <w:r>
        <w:t xml:space="preserve">Išsami informacija apie šį vaistą pateikiama Valstybinės vaistų kontrolės tarnybos prie Lietuvos Respublikos sveikatos apsaugos ministerijos tinklalapyje </w:t>
      </w:r>
      <w:hyperlink r:id="rId8" w:history="1">
        <w:r>
          <w:rPr>
            <w:rStyle w:val="Hyperlink"/>
          </w:rPr>
          <w:t>http://www.vvkt.lt/</w:t>
        </w:r>
      </w:hyperlink>
      <w:r>
        <w:rPr>
          <w:rStyle w:val="Hyperlink"/>
        </w:rPr>
        <w:t>.</w:t>
      </w:r>
    </w:p>
    <w:p w:rsidR="00D203C4" w:rsidRDefault="00D203C4" w:rsidP="00D203C4">
      <w:pPr>
        <w:numPr>
          <w:ilvl w:val="12"/>
          <w:numId w:val="0"/>
        </w:numPr>
        <w:ind w:right="-2"/>
        <w:outlineLvl w:val="0"/>
      </w:pPr>
    </w:p>
    <w:p w:rsidR="00D203C4" w:rsidRDefault="00D203C4" w:rsidP="00D203C4"/>
    <w:p w:rsidR="00D203C4" w:rsidRDefault="00D203C4" w:rsidP="00D203C4"/>
    <w:p w:rsidR="008B09FB" w:rsidRDefault="008B09FB">
      <w:bookmarkStart w:id="0" w:name="_GoBack"/>
      <w:bookmarkEnd w:id="0"/>
    </w:p>
    <w:sectPr w:rsidR="008B09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5A"/>
    <w:rsid w:val="008B09FB"/>
    <w:rsid w:val="009E015A"/>
    <w:rsid w:val="00D20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390E9-2775-4485-A711-23040158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4"/>
    <w:pPr>
      <w:spacing w:after="0" w:line="240" w:lineRule="auto"/>
      <w:ind w:left="567" w:hanging="567"/>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203C4"/>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D203C4"/>
    <w:rPr>
      <w:i/>
      <w:iCs/>
      <w:color w:val="008000"/>
      <w:lang w:val="en-GB"/>
    </w:rPr>
  </w:style>
  <w:style w:type="character" w:customStyle="1" w:styleId="BodyTextChar">
    <w:name w:val="Body Text Char"/>
    <w:basedOn w:val="DefaultParagraphFont"/>
    <w:link w:val="BodyText"/>
    <w:uiPriority w:val="99"/>
    <w:semiHidden/>
    <w:rsid w:val="00D203C4"/>
    <w:rPr>
      <w:rFonts w:ascii="Times New Roman" w:eastAsia="Times New Roman" w:hAnsi="Times New Roman" w:cs="Times New Roman"/>
      <w:i/>
      <w:iCs/>
      <w:color w:val="008000"/>
      <w:lang w:val="en-GB"/>
    </w:rPr>
  </w:style>
  <w:style w:type="paragraph" w:customStyle="1" w:styleId="Body">
    <w:name w:val="_ Body"/>
    <w:basedOn w:val="Normal"/>
    <w:uiPriority w:val="99"/>
    <w:rsid w:val="00D203C4"/>
    <w:pPr>
      <w:spacing w:line="360" w:lineRule="auto"/>
    </w:pPr>
    <w:rPr>
      <w:rFonts w:ascii="Arial" w:hAnsi="Arial" w:cs="Arial"/>
      <w:lang w:val="en-GB" w:eastAsia="en-GB"/>
    </w:rPr>
  </w:style>
  <w:style w:type="character" w:customStyle="1" w:styleId="BTEMEASMCAChar">
    <w:name w:val="BT EMEA_SMCA Char"/>
    <w:link w:val="BTEMEASMCA"/>
    <w:uiPriority w:val="99"/>
    <w:locked/>
    <w:rsid w:val="00D203C4"/>
    <w:rPr>
      <w:rFonts w:ascii="Times New Roman" w:eastAsia="Times New Roman" w:hAnsi="Times New Roman" w:cs="Times New Roman"/>
      <w:noProof/>
    </w:rPr>
  </w:style>
  <w:style w:type="paragraph" w:customStyle="1" w:styleId="BTEMEASMCA">
    <w:name w:val="BT EMEA_SMCA"/>
    <w:basedOn w:val="Normal"/>
    <w:link w:val="BTEMEASMCAChar"/>
    <w:autoRedefine/>
    <w:uiPriority w:val="99"/>
    <w:rsid w:val="00D203C4"/>
    <w:pPr>
      <w:ind w:left="0" w:firstLine="0"/>
    </w:pPr>
    <w:rPr>
      <w:noProof/>
    </w:rPr>
  </w:style>
  <w:style w:type="paragraph" w:customStyle="1" w:styleId="PI-3EMEASMCA">
    <w:name w:val="PI-3 EMEA_SMCA"/>
    <w:basedOn w:val="Normal"/>
    <w:autoRedefine/>
    <w:uiPriority w:val="99"/>
    <w:rsid w:val="00D203C4"/>
    <w:pPr>
      <w:spacing w:line="220" w:lineRule="exact"/>
      <w:ind w:left="0" w:firstLine="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4755</Words>
  <Characters>2711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2020-11-25T08:48:00Z</dcterms:created>
  <dcterms:modified xsi:type="dcterms:W3CDTF">2020-11-25T08:48:00Z</dcterms:modified>
</cp:coreProperties>
</file>