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EE" w:rsidRPr="00B432D6" w:rsidRDefault="00D460EE" w:rsidP="00D460EE">
      <w:pPr>
        <w:pStyle w:val="TTEMEASMCA"/>
        <w:rPr>
          <w:lang w:val="lt-LT"/>
        </w:rPr>
      </w:pPr>
      <w:bookmarkStart w:id="0" w:name="_Toc129243138"/>
      <w:bookmarkStart w:id="1" w:name="_Toc129243263"/>
      <w:r w:rsidRPr="00B432D6">
        <w:rPr>
          <w:caps w:val="0"/>
          <w:lang w:val="lt-LT"/>
        </w:rPr>
        <w:t>Pakuotės lapelis: informacija pacientui</w:t>
      </w:r>
      <w:r w:rsidRPr="00B432D6" w:rsidDel="005A1C2F">
        <w:rPr>
          <w:caps w:val="0"/>
          <w:lang w:val="lt-LT"/>
        </w:rPr>
        <w:t xml:space="preserve"> </w:t>
      </w:r>
      <w:bookmarkEnd w:id="0"/>
      <w:bookmarkEnd w:id="1"/>
    </w:p>
    <w:p w:rsidR="00D460EE" w:rsidRPr="00B432D6" w:rsidRDefault="00D460EE" w:rsidP="00D460EE">
      <w:pPr>
        <w:pStyle w:val="BTAnIIEMEASMCA"/>
      </w:pPr>
    </w:p>
    <w:p w:rsidR="00D460EE" w:rsidRPr="00B432D6" w:rsidRDefault="00D460EE" w:rsidP="00D460EE">
      <w:pPr>
        <w:spacing w:after="0" w:line="240" w:lineRule="auto"/>
        <w:ind w:left="567" w:hanging="567"/>
        <w:jc w:val="center"/>
        <w:rPr>
          <w:rFonts w:ascii="Times New Roman" w:hAnsi="Times New Roman"/>
          <w:b/>
          <w:bCs/>
          <w:lang w:val="lt-LT"/>
        </w:rPr>
      </w:pPr>
      <w:proofErr w:type="spellStart"/>
      <w:r w:rsidRPr="00B432D6">
        <w:rPr>
          <w:rFonts w:ascii="Times New Roman" w:hAnsi="Times New Roman"/>
          <w:b/>
          <w:lang w:val="lt-LT"/>
        </w:rPr>
        <w:t>Dexamethasone</w:t>
      </w:r>
      <w:proofErr w:type="spellEnd"/>
      <w:r w:rsidRPr="00B432D6">
        <w:rPr>
          <w:rFonts w:ascii="Times New Roman" w:hAnsi="Times New Roman"/>
          <w:b/>
          <w:lang w:val="lt-LT"/>
        </w:rPr>
        <w:t xml:space="preserve"> </w:t>
      </w:r>
      <w:r>
        <w:rPr>
          <w:rFonts w:ascii="Times New Roman" w:hAnsi="Times New Roman"/>
          <w:b/>
          <w:lang w:val="lt-LT"/>
        </w:rPr>
        <w:t>PPH</w:t>
      </w:r>
      <w:r w:rsidRPr="00B432D6">
        <w:rPr>
          <w:rFonts w:ascii="Times New Roman" w:hAnsi="Times New Roman"/>
          <w:b/>
          <w:lang w:val="lt-LT"/>
        </w:rPr>
        <w:t xml:space="preserve"> 1 mg/ml </w:t>
      </w:r>
      <w:r w:rsidRPr="00B432D6">
        <w:rPr>
          <w:rFonts w:ascii="Times New Roman" w:hAnsi="Times New Roman"/>
          <w:b/>
          <w:bCs/>
          <w:lang w:val="lt-LT"/>
        </w:rPr>
        <w:t>akių lašai (suspensija)</w:t>
      </w:r>
    </w:p>
    <w:p w:rsidR="00D460EE" w:rsidRPr="00B432D6" w:rsidRDefault="00D460EE" w:rsidP="00D460EE">
      <w:pPr>
        <w:spacing w:after="0" w:line="240" w:lineRule="auto"/>
        <w:ind w:left="567" w:hanging="567"/>
        <w:jc w:val="center"/>
        <w:rPr>
          <w:rFonts w:ascii="Times New Roman" w:hAnsi="Times New Roman"/>
          <w:lang w:val="lt-LT"/>
        </w:rPr>
      </w:pPr>
      <w:proofErr w:type="spellStart"/>
      <w:r>
        <w:rPr>
          <w:rFonts w:ascii="Times New Roman" w:hAnsi="Times New Roman"/>
          <w:lang w:val="lt-LT"/>
        </w:rPr>
        <w:t>d</w:t>
      </w:r>
      <w:r w:rsidRPr="00B432D6">
        <w:rPr>
          <w:rFonts w:ascii="Times New Roman" w:hAnsi="Times New Roman"/>
          <w:lang w:val="lt-LT"/>
        </w:rPr>
        <w:t>eksametazonas</w:t>
      </w:r>
      <w:proofErr w:type="spellEnd"/>
    </w:p>
    <w:p w:rsidR="00D460EE" w:rsidRPr="00B432D6" w:rsidRDefault="00D460EE" w:rsidP="00D460EE">
      <w:pPr>
        <w:pStyle w:val="BTAnIIEMEASMCA"/>
      </w:pPr>
    </w:p>
    <w:p w:rsidR="00D460EE" w:rsidRPr="00B432D6" w:rsidRDefault="00D460EE" w:rsidP="00D460EE">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Atidžiai perskaitykite visą šį lapelį, prieš pradėdami vartoti vaistą, nes jame pateikiama Jums svarbi informacija.</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Neišmeskite šio lapelio, nes vėl gali prireikti jį perskaityti.</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kiltų daugiau klausimų, kreipkitės į gydytoją arba vaistininką.</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Šis vaistas skirtas tik Jums, todėl kitiems žmonėms jo duoti negalima. Vaistas gali jiems pakenkti (net tiems, kurių ligos požymiai yra tokie patys kaip Jūsų).</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pasireiškė šalutinis poveikis (net jeigu jis šiame lapelyje nenurodytas), kreipkitės į gydytoją arba vaistininką. Žr. 4 skyrių.</w:t>
      </w:r>
    </w:p>
    <w:p w:rsidR="00D460EE" w:rsidRPr="00B432D6" w:rsidRDefault="00D460EE" w:rsidP="00D460EE">
      <w:pPr>
        <w:pStyle w:val="BTAnIIEMEASMCA"/>
      </w:pPr>
    </w:p>
    <w:p w:rsidR="00D460EE" w:rsidRPr="00B432D6" w:rsidRDefault="00D460EE" w:rsidP="00D460EE">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Apie ką rašoma šiame lapelyje?</w:t>
      </w:r>
    </w:p>
    <w:p w:rsidR="00D460EE" w:rsidRPr="00B432D6" w:rsidRDefault="00D460EE" w:rsidP="00D460EE">
      <w:pPr>
        <w:pStyle w:val="Paprastasistekstas"/>
        <w:tabs>
          <w:tab w:val="left" w:pos="567"/>
        </w:tabs>
        <w:rPr>
          <w:rFonts w:ascii="Times New Roman" w:hAnsi="Times New Roman"/>
          <w:sz w:val="22"/>
          <w:szCs w:val="22"/>
          <w:lang w:val="lt-LT"/>
        </w:rPr>
      </w:pP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1.</w:t>
      </w:r>
      <w:r w:rsidRPr="00B432D6">
        <w:rPr>
          <w:rFonts w:ascii="Times New Roman" w:hAnsi="Times New Roman"/>
          <w:lang w:val="lt-LT"/>
        </w:rPr>
        <w:tab/>
        <w:t xml:space="preserve">Kas yra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r w:rsidRPr="00B432D6">
        <w:rPr>
          <w:rFonts w:ascii="Times New Roman" w:hAnsi="Times New Roman"/>
          <w:lang w:val="lt-LT"/>
        </w:rPr>
        <w:t xml:space="preserve"> ir kam jis vartojamas</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2.</w:t>
      </w:r>
      <w:r w:rsidRPr="00B432D6">
        <w:rPr>
          <w:rFonts w:ascii="Times New Roman" w:hAnsi="Times New Roman"/>
          <w:lang w:val="lt-LT"/>
        </w:rPr>
        <w:tab/>
        <w:t xml:space="preserve">Kas žinotina prieš vartojant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3.</w:t>
      </w:r>
      <w:r w:rsidRPr="00B432D6">
        <w:rPr>
          <w:rFonts w:ascii="Times New Roman" w:hAnsi="Times New Roman"/>
          <w:lang w:val="lt-LT"/>
        </w:rPr>
        <w:tab/>
        <w:t xml:space="preserve">Kaip vartoti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4.</w:t>
      </w:r>
      <w:r w:rsidRPr="00B432D6">
        <w:rPr>
          <w:rFonts w:ascii="Times New Roman" w:hAnsi="Times New Roman"/>
          <w:lang w:val="lt-LT"/>
        </w:rPr>
        <w:tab/>
        <w:t>Galimas šalutinis poveikis</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5.</w:t>
      </w:r>
      <w:r w:rsidRPr="00B432D6">
        <w:rPr>
          <w:rFonts w:ascii="Times New Roman" w:hAnsi="Times New Roman"/>
          <w:lang w:val="lt-LT"/>
        </w:rPr>
        <w:tab/>
        <w:t xml:space="preserve">Kaip laikyti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6.</w:t>
      </w:r>
      <w:r w:rsidRPr="00B432D6">
        <w:rPr>
          <w:rFonts w:ascii="Times New Roman" w:hAnsi="Times New Roman"/>
          <w:lang w:val="lt-LT"/>
        </w:rPr>
        <w:tab/>
        <w:t>Pakuotės turinys ir kita informacija</w:t>
      </w:r>
    </w:p>
    <w:p w:rsidR="00D460EE" w:rsidRPr="00B432D6" w:rsidRDefault="00D460EE" w:rsidP="00D460EE">
      <w:pPr>
        <w:pStyle w:val="BTAnIIEMEASMCA"/>
      </w:pPr>
    </w:p>
    <w:p w:rsidR="00D460EE" w:rsidRPr="00B432D6" w:rsidRDefault="00D460EE" w:rsidP="00D460EE">
      <w:pPr>
        <w:pStyle w:val="BTAnIIEMEASMCA"/>
      </w:pPr>
    </w:p>
    <w:p w:rsidR="00D460EE" w:rsidRPr="00B432D6" w:rsidRDefault="00D460EE" w:rsidP="00D460EE">
      <w:pPr>
        <w:pStyle w:val="PI-1EMEASMCA"/>
        <w:keepNext w:val="0"/>
      </w:pPr>
      <w:bookmarkStart w:id="2" w:name="_Toc129243139"/>
      <w:bookmarkStart w:id="3" w:name="_Toc129243264"/>
      <w:r w:rsidRPr="00B432D6">
        <w:t>1.</w:t>
      </w:r>
      <w:r w:rsidRPr="00B432D6">
        <w:tab/>
        <w:t xml:space="preserve">Kas yra </w:t>
      </w:r>
      <w:proofErr w:type="spellStart"/>
      <w:r w:rsidRPr="00B432D6">
        <w:t>Dexamethasone</w:t>
      </w:r>
      <w:proofErr w:type="spellEnd"/>
      <w:r w:rsidRPr="00B432D6">
        <w:t xml:space="preserve"> </w:t>
      </w:r>
      <w:r>
        <w:t>PPH</w:t>
      </w:r>
      <w:r w:rsidRPr="00B432D6">
        <w:t xml:space="preserve"> ir kam jis vartojamas</w:t>
      </w:r>
      <w:bookmarkEnd w:id="2"/>
      <w:bookmarkEnd w:id="3"/>
    </w:p>
    <w:p w:rsidR="00D460EE" w:rsidRPr="00B432D6" w:rsidRDefault="00D460EE" w:rsidP="00D460EE">
      <w:pPr>
        <w:pStyle w:val="BTAnIIEMEASMCA"/>
      </w:pPr>
    </w:p>
    <w:p w:rsidR="00D460EE" w:rsidRPr="00B432D6" w:rsidRDefault="00D460EE" w:rsidP="00D460EE">
      <w:pPr>
        <w:pStyle w:val="BTAnIIEMEASMCA"/>
      </w:pPr>
      <w:proofErr w:type="spellStart"/>
      <w:r w:rsidRPr="00B432D6">
        <w:t>Dexamethasone</w:t>
      </w:r>
      <w:proofErr w:type="spellEnd"/>
      <w:r w:rsidRPr="00B432D6">
        <w:t xml:space="preserve"> </w:t>
      </w:r>
      <w:r>
        <w:t>PPH</w:t>
      </w:r>
      <w:r w:rsidRPr="00B432D6">
        <w:t xml:space="preserve"> vartojamas neinfekciniam, alerginiam ar pooperaciniam akies junginės, ragenos ar priekinio akies segmento uždegimui slopinti.</w:t>
      </w:r>
    </w:p>
    <w:p w:rsidR="00D460EE" w:rsidRPr="00B432D6" w:rsidRDefault="00D460EE" w:rsidP="00D460EE">
      <w:pPr>
        <w:pStyle w:val="BTAnIIEMEASMCA"/>
      </w:pPr>
    </w:p>
    <w:p w:rsidR="00D460EE" w:rsidRPr="00B432D6" w:rsidRDefault="00D460EE" w:rsidP="00D460EE">
      <w:pPr>
        <w:pStyle w:val="BTAnIIEMEASMCA"/>
      </w:pPr>
    </w:p>
    <w:p w:rsidR="00D460EE" w:rsidRPr="00B432D6" w:rsidRDefault="00D460EE" w:rsidP="00D460EE">
      <w:pPr>
        <w:pStyle w:val="PI-1EMEASMCA"/>
        <w:keepNext w:val="0"/>
      </w:pPr>
      <w:bookmarkStart w:id="4" w:name="_Toc129243140"/>
      <w:bookmarkStart w:id="5" w:name="_Toc129243265"/>
      <w:r w:rsidRPr="00B432D6">
        <w:t>2.</w:t>
      </w:r>
      <w:r w:rsidRPr="00B432D6">
        <w:tab/>
        <w:t xml:space="preserve">Kas žinotina prieš vartojant </w:t>
      </w:r>
      <w:proofErr w:type="spellStart"/>
      <w:r w:rsidRPr="00B432D6">
        <w:t>Dexamethasone</w:t>
      </w:r>
      <w:proofErr w:type="spellEnd"/>
      <w:r w:rsidRPr="00B432D6">
        <w:t xml:space="preserve"> </w:t>
      </w:r>
      <w:bookmarkEnd w:id="4"/>
      <w:bookmarkEnd w:id="5"/>
      <w:r>
        <w:t>PPH</w:t>
      </w:r>
    </w:p>
    <w:p w:rsidR="00D460EE" w:rsidRPr="00B432D6" w:rsidRDefault="00D460EE" w:rsidP="00D460EE">
      <w:pPr>
        <w:pStyle w:val="BTAnIIEMEASMCA"/>
      </w:pPr>
    </w:p>
    <w:p w:rsidR="00D460EE" w:rsidRPr="00B432D6" w:rsidRDefault="00D460EE" w:rsidP="00D460EE">
      <w:pPr>
        <w:pStyle w:val="PI-3EMEASMCA"/>
      </w:pPr>
      <w:proofErr w:type="spellStart"/>
      <w:r w:rsidRPr="00B432D6">
        <w:t>Dexamethasone</w:t>
      </w:r>
      <w:proofErr w:type="spellEnd"/>
      <w:r w:rsidRPr="00B432D6">
        <w:t xml:space="preserve"> </w:t>
      </w:r>
      <w:r>
        <w:t>PPH</w:t>
      </w:r>
      <w:r w:rsidRPr="00B432D6">
        <w:t xml:space="preserve"> vartoti </w:t>
      </w:r>
      <w:r>
        <w:t>draudžiama</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 xml:space="preserve">jeigu yra alergija </w:t>
      </w:r>
      <w:proofErr w:type="spellStart"/>
      <w:r w:rsidRPr="00B432D6">
        <w:rPr>
          <w:rFonts w:ascii="Times New Roman" w:hAnsi="Times New Roman"/>
          <w:lang w:val="lt-LT"/>
        </w:rPr>
        <w:t>deksametazonui</w:t>
      </w:r>
      <w:proofErr w:type="spellEnd"/>
      <w:r w:rsidRPr="00B432D6">
        <w:rPr>
          <w:rFonts w:ascii="Times New Roman" w:hAnsi="Times New Roman"/>
          <w:lang w:val="lt-LT"/>
        </w:rPr>
        <w:t xml:space="preserve"> arba bet kuriai pagalbinei šio vaisto medžiagai (jos išvardytos 6 skyriuje);</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yra virusų, grybelių ir bakterijų sukelta akių liga, akių paprastoji pūslelinė, kandidamikozė, tuberkuliozė, negydyta pūlinė infekcinė akių liga, ragenos liga, kurios metu atsiranda epitelio pažeidimas, glaukoma arba katarakta;</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įdėti minkštieji kontaktiniai lęšiai.</w:t>
      </w:r>
    </w:p>
    <w:p w:rsidR="00D460EE" w:rsidRPr="00B432D6" w:rsidRDefault="00D460EE" w:rsidP="00D460EE">
      <w:pPr>
        <w:pStyle w:val="BTAnIIEMEASMCA"/>
      </w:pPr>
    </w:p>
    <w:p w:rsidR="00D460EE" w:rsidRPr="007236B6" w:rsidRDefault="00D460EE" w:rsidP="00D460EE">
      <w:pPr>
        <w:pStyle w:val="PI-3EMEASMCA"/>
      </w:pPr>
      <w:r w:rsidRPr="00631E2C">
        <w:t>Į</w:t>
      </w:r>
      <w:r w:rsidRPr="007236B6">
        <w:t>spėjimai ir atsargumo priemonės</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Pasitarkite su gydytoju arba vaistininku, prieš pradėdami vartoti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r w:rsidRPr="00B432D6">
        <w:rPr>
          <w:rFonts w:ascii="Times New Roman" w:hAnsi="Times New Roman"/>
          <w:lang w:val="lt-LT"/>
        </w:rPr>
        <w:t>.</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Vaisto vartojant ilgai, t. y. daug ilgiau, negu rekomenduojama, didėja antrinės grybelių, bakterijų ir virusų infekcijos rizika. </w:t>
      </w:r>
      <w:proofErr w:type="spellStart"/>
      <w:r w:rsidRPr="00B432D6">
        <w:rPr>
          <w:rFonts w:ascii="Times New Roman" w:hAnsi="Times New Roman"/>
          <w:lang w:val="lt-LT"/>
        </w:rPr>
        <w:t>Deksametazonas</w:t>
      </w:r>
      <w:proofErr w:type="spellEnd"/>
      <w:r w:rsidRPr="00B432D6">
        <w:rPr>
          <w:rFonts w:ascii="Times New Roman" w:hAnsi="Times New Roman"/>
          <w:lang w:val="lt-LT"/>
        </w:rPr>
        <w:t xml:space="preserve"> gali skatinti kortikosteroidų sukeltos glaukomos ir kataraktos atsiradimą, todėl šio vaisto ilgai vartojantiems ligoniams gydytojas gali rekomenduoti dažniau matuoti akispūdį ir tirti lęšiuko būklę. Šios ligos rizika didesnė ligoniams, sergantiems cukriniu diabetu. </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Ilgalaikio gydymo </w:t>
      </w:r>
      <w:proofErr w:type="spellStart"/>
      <w:r w:rsidRPr="00B432D6">
        <w:rPr>
          <w:rFonts w:ascii="Times New Roman" w:hAnsi="Times New Roman"/>
          <w:lang w:val="lt-LT"/>
        </w:rPr>
        <w:t>deksametazonu</w:t>
      </w:r>
      <w:proofErr w:type="spellEnd"/>
      <w:r w:rsidRPr="00B432D6">
        <w:rPr>
          <w:rFonts w:ascii="Times New Roman" w:hAnsi="Times New Roman"/>
          <w:lang w:val="lt-LT"/>
        </w:rPr>
        <w:t xml:space="preserve"> metu gydytojas gali nurodyti dažnai tirti rageną.</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Šio vaisto reikia vartoti labai atsargiai žmonėms, sergantiems ligomis, sukeliančioms ragenos ar junginės plonėjimą, kadangi tokiems ligoniams dažniau gali prakiurti akies obuolys.</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Jei akis paraudusi, o diagnozė neaiški, šio vaisto galima vartoti tik gydytojo leidimu, nes netinkamas jų vartojimas gali sukelti aklumą.</w:t>
      </w:r>
    </w:p>
    <w:p w:rsidR="00D460EE" w:rsidRPr="00B432D6" w:rsidRDefault="00D460EE" w:rsidP="00D460EE">
      <w:pPr>
        <w:pStyle w:val="Paprastasistekstas"/>
        <w:rPr>
          <w:rFonts w:ascii="Times New Roman" w:hAnsi="Times New Roman"/>
          <w:sz w:val="22"/>
          <w:szCs w:val="22"/>
          <w:lang w:val="lt-LT" w:eastAsia="en-US"/>
        </w:rPr>
      </w:pPr>
    </w:p>
    <w:p w:rsidR="00D460EE" w:rsidRPr="00B432D6" w:rsidRDefault="00D460EE" w:rsidP="00D460EE">
      <w:pPr>
        <w:pStyle w:val="Paprastasistekstas"/>
        <w:rPr>
          <w:rFonts w:ascii="Times New Roman" w:hAnsi="Times New Roman"/>
          <w:sz w:val="22"/>
          <w:szCs w:val="22"/>
          <w:lang w:val="lt-LT" w:eastAsia="en-US"/>
        </w:rPr>
      </w:pPr>
      <w:proofErr w:type="spellStart"/>
      <w:r w:rsidRPr="00B432D6">
        <w:rPr>
          <w:rFonts w:ascii="Times New Roman" w:hAnsi="Times New Roman"/>
          <w:sz w:val="22"/>
          <w:szCs w:val="22"/>
          <w:lang w:val="lt-LT" w:eastAsia="en-US"/>
        </w:rPr>
        <w:t>Deksametazono</w:t>
      </w:r>
      <w:proofErr w:type="spellEnd"/>
      <w:r w:rsidRPr="00B432D6">
        <w:rPr>
          <w:rFonts w:ascii="Times New Roman" w:hAnsi="Times New Roman"/>
          <w:sz w:val="22"/>
          <w:szCs w:val="22"/>
          <w:lang w:val="lt-LT" w:eastAsia="en-US"/>
        </w:rPr>
        <w:t xml:space="preserve"> vartojimas gali paslėpti ūminės pūlinės infekcinės akių ligos simptomus arba tokią ligą suaktyvinti. Tokiu atveju būtinas gydymas antibiotikais.</w:t>
      </w:r>
    </w:p>
    <w:p w:rsidR="00D460EE" w:rsidRPr="00B432D6" w:rsidRDefault="00D460EE" w:rsidP="00D460EE">
      <w:pPr>
        <w:pStyle w:val="BTAnIIEMEASMCA"/>
      </w:pPr>
    </w:p>
    <w:p w:rsidR="00D460EE" w:rsidRPr="00B432D6" w:rsidRDefault="00D460EE" w:rsidP="00D460EE">
      <w:pPr>
        <w:pStyle w:val="BTAnIIEMEASMCA"/>
      </w:pPr>
      <w:proofErr w:type="spellStart"/>
      <w:r w:rsidRPr="00B432D6">
        <w:t>Deksametazonas</w:t>
      </w:r>
      <w:proofErr w:type="spellEnd"/>
      <w:r w:rsidRPr="00B432D6">
        <w:t xml:space="preserve"> yra neveiksmingas garstyčių dujų sukelto ragenos uždegimo ar bei vadinamosios </w:t>
      </w:r>
      <w:proofErr w:type="spellStart"/>
      <w:r w:rsidRPr="00B432D6">
        <w:t>Sjogreno</w:t>
      </w:r>
      <w:proofErr w:type="spellEnd"/>
      <w:r w:rsidRPr="00B432D6">
        <w:t xml:space="preserve"> ligos, pasireiškiančios ragenos bei junginės uždegimu, atveju.</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Vaisto galima vartoti tik išoriškai. Jo lašinama į junginės maišelį.</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Draudžiama liesti lašintuvo viršūnę, kadangi į </w:t>
      </w:r>
      <w:proofErr w:type="spellStart"/>
      <w:r w:rsidRPr="00B432D6">
        <w:rPr>
          <w:rFonts w:ascii="Times New Roman" w:hAnsi="Times New Roman"/>
          <w:lang w:val="lt-LT"/>
        </w:rPr>
        <w:t>talpyklę</w:t>
      </w:r>
      <w:proofErr w:type="spellEnd"/>
      <w:r w:rsidRPr="00B432D6">
        <w:rPr>
          <w:rFonts w:ascii="Times New Roman" w:hAnsi="Times New Roman"/>
          <w:lang w:val="lt-LT"/>
        </w:rPr>
        <w:t xml:space="preserve"> gali patekti užkrato.</w:t>
      </w:r>
    </w:p>
    <w:p w:rsidR="00D460EE" w:rsidRPr="00B432D6" w:rsidRDefault="00D460EE" w:rsidP="00D460EE">
      <w:pPr>
        <w:spacing w:after="0" w:line="240" w:lineRule="auto"/>
        <w:ind w:left="567" w:hanging="567"/>
        <w:rPr>
          <w:rFonts w:ascii="Times New Roman" w:hAnsi="Times New Roman"/>
          <w:lang w:val="lt-LT"/>
        </w:rPr>
      </w:pPr>
    </w:p>
    <w:p w:rsidR="00D460EE" w:rsidRPr="00B432D6" w:rsidRDefault="00D460EE" w:rsidP="00D460EE">
      <w:pPr>
        <w:spacing w:after="0" w:line="240" w:lineRule="auto"/>
        <w:rPr>
          <w:rFonts w:ascii="Times New Roman" w:hAnsi="Times New Roman"/>
          <w:bCs/>
          <w:lang w:val="lt-LT"/>
        </w:rPr>
      </w:pPr>
      <w:r w:rsidRPr="00B432D6">
        <w:rPr>
          <w:rFonts w:ascii="Times New Roman" w:hAnsi="Times New Roman"/>
          <w:bCs/>
          <w:lang w:val="lt-LT"/>
        </w:rPr>
        <w:t xml:space="preserve">Pasakykite gydytojui, jeigu atsiranda patinimas ir kūno svorio padidėjimas liemens ir veido srityje, kadangi parastai tai yra pirmieji sindromo, vadinamo </w:t>
      </w:r>
      <w:proofErr w:type="spellStart"/>
      <w:r w:rsidRPr="00B432D6">
        <w:rPr>
          <w:rFonts w:ascii="Times New Roman" w:hAnsi="Times New Roman"/>
          <w:bCs/>
          <w:lang w:val="lt-LT"/>
        </w:rPr>
        <w:t>Kušingo</w:t>
      </w:r>
      <w:proofErr w:type="spellEnd"/>
      <w:r w:rsidRPr="00B432D6">
        <w:rPr>
          <w:rFonts w:ascii="Times New Roman" w:hAnsi="Times New Roman"/>
          <w:bCs/>
          <w:lang w:val="lt-LT"/>
        </w:rPr>
        <w:t xml:space="preserve"> sindromu, požymiai. Nutraukus ilgalaikį arba intensyvų gydymą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r w:rsidRPr="00B432D6">
        <w:rPr>
          <w:rFonts w:ascii="Times New Roman" w:hAnsi="Times New Roman"/>
          <w:bCs/>
          <w:lang w:val="lt-LT"/>
        </w:rPr>
        <w:t xml:space="preserve">, gali pasireikšti antinksčių liaukų funkcijos slopinimas. Jeigu nuspręsite nutraukti gydymą, prieš tai pasitarkite su gydytoju. Tokia rizika yra ypač svarbi vaikams ir pacientams, kurie yra gydomi vaistais, vadinamais </w:t>
      </w:r>
      <w:proofErr w:type="spellStart"/>
      <w:r w:rsidRPr="00B432D6">
        <w:rPr>
          <w:rFonts w:ascii="Times New Roman" w:hAnsi="Times New Roman"/>
          <w:bCs/>
          <w:lang w:val="lt-LT"/>
        </w:rPr>
        <w:t>ritonaviru</w:t>
      </w:r>
      <w:proofErr w:type="spellEnd"/>
      <w:r w:rsidRPr="00B432D6">
        <w:rPr>
          <w:rFonts w:ascii="Times New Roman" w:hAnsi="Times New Roman"/>
          <w:bCs/>
          <w:lang w:val="lt-LT"/>
        </w:rPr>
        <w:t xml:space="preserve"> arba </w:t>
      </w:r>
      <w:proofErr w:type="spellStart"/>
      <w:r w:rsidRPr="00B432D6">
        <w:rPr>
          <w:rFonts w:ascii="Times New Roman" w:hAnsi="Times New Roman"/>
          <w:bCs/>
          <w:lang w:val="lt-LT"/>
        </w:rPr>
        <w:t>kobicistatu</w:t>
      </w:r>
      <w:proofErr w:type="spellEnd"/>
      <w:r w:rsidRPr="00B432D6">
        <w:rPr>
          <w:rFonts w:ascii="Times New Roman" w:hAnsi="Times New Roman"/>
          <w:bCs/>
          <w:lang w:val="lt-LT"/>
        </w:rPr>
        <w:t>.</w:t>
      </w:r>
    </w:p>
    <w:p w:rsidR="00D460EE" w:rsidRPr="00677D85" w:rsidRDefault="00D460EE" w:rsidP="00D460EE">
      <w:pPr>
        <w:spacing w:after="0" w:line="240" w:lineRule="auto"/>
        <w:rPr>
          <w:rFonts w:ascii="Times New Roman" w:hAnsi="Times New Roman"/>
          <w:lang w:val="lt-LT"/>
        </w:rPr>
      </w:pPr>
    </w:p>
    <w:p w:rsidR="00D460EE" w:rsidRPr="00677D85" w:rsidRDefault="00D460EE" w:rsidP="00D460EE">
      <w:pPr>
        <w:spacing w:after="0" w:line="240" w:lineRule="auto"/>
        <w:rPr>
          <w:rFonts w:ascii="Times New Roman" w:hAnsi="Times New Roman"/>
          <w:bCs/>
          <w:lang w:val="lt-LT"/>
        </w:rPr>
      </w:pPr>
      <w:r w:rsidRPr="00677D85">
        <w:rPr>
          <w:rFonts w:ascii="Times New Roman" w:hAnsi="Times New Roman"/>
          <w:bCs/>
          <w:lang w:val="lt-LT"/>
        </w:rPr>
        <w:t>Jeigu pradėtumėte matyti lyg per miglą arba jums pasireikštų kiti regėjimo sutrikimai, kreipkitės į savo gydytoją.</w:t>
      </w:r>
    </w:p>
    <w:p w:rsidR="00D460EE" w:rsidRPr="00677D85" w:rsidRDefault="00D460EE" w:rsidP="00D460EE">
      <w:pPr>
        <w:spacing w:after="0" w:line="240" w:lineRule="auto"/>
        <w:ind w:left="567" w:hanging="567"/>
        <w:rPr>
          <w:rFonts w:ascii="Times New Roman" w:hAnsi="Times New Roman"/>
          <w:lang w:val="lt-LT"/>
        </w:rPr>
      </w:pPr>
    </w:p>
    <w:p w:rsidR="00D460EE" w:rsidRPr="00B432D6" w:rsidRDefault="00D460EE" w:rsidP="00D460EE">
      <w:pPr>
        <w:spacing w:after="0" w:line="240" w:lineRule="auto"/>
        <w:ind w:left="567" w:hanging="567"/>
        <w:rPr>
          <w:rFonts w:ascii="Times New Roman" w:hAnsi="Times New Roman"/>
          <w:iCs/>
          <w:u w:val="single"/>
          <w:lang w:val="lt-LT"/>
        </w:rPr>
      </w:pPr>
      <w:r w:rsidRPr="00B432D6">
        <w:rPr>
          <w:rFonts w:ascii="Times New Roman" w:hAnsi="Times New Roman"/>
          <w:b/>
          <w:lang w:val="lt-LT"/>
        </w:rPr>
        <w:t>Vaikams ir paaugliams</w:t>
      </w:r>
    </w:p>
    <w:p w:rsidR="00D460EE" w:rsidRPr="00B432D6" w:rsidRDefault="00D460EE" w:rsidP="00D460EE">
      <w:pPr>
        <w:spacing w:after="0" w:line="240" w:lineRule="auto"/>
        <w:rPr>
          <w:rFonts w:ascii="Times New Roman" w:hAnsi="Times New Roman"/>
          <w:lang w:val="lt-LT"/>
        </w:rPr>
      </w:pP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r w:rsidRPr="00B432D6">
        <w:rPr>
          <w:rFonts w:ascii="Times New Roman" w:hAnsi="Times New Roman"/>
          <w:lang w:val="lt-LT"/>
        </w:rPr>
        <w:t xml:space="preserve"> nerekomenduojama vartoti vaikams</w:t>
      </w:r>
      <w:r>
        <w:rPr>
          <w:rFonts w:ascii="Times New Roman" w:hAnsi="Times New Roman"/>
          <w:lang w:val="lt-LT"/>
        </w:rPr>
        <w:t>,</w:t>
      </w:r>
      <w:r w:rsidRPr="00B432D6">
        <w:rPr>
          <w:rFonts w:ascii="Times New Roman" w:hAnsi="Times New Roman"/>
          <w:lang w:val="lt-LT"/>
        </w:rPr>
        <w:t xml:space="preserve"> jaunesniems nei 18 metų, nes </w:t>
      </w:r>
      <w:proofErr w:type="spellStart"/>
      <w:r w:rsidRPr="00B432D6">
        <w:rPr>
          <w:rFonts w:ascii="Times New Roman" w:hAnsi="Times New Roman"/>
          <w:lang w:val="lt-LT"/>
        </w:rPr>
        <w:t>Dexamethasone</w:t>
      </w:r>
      <w:proofErr w:type="spellEnd"/>
      <w:r w:rsidRPr="00B432D6">
        <w:rPr>
          <w:rFonts w:ascii="Times New Roman" w:hAnsi="Times New Roman"/>
          <w:lang w:val="lt-LT"/>
        </w:rPr>
        <w:t xml:space="preserve"> </w:t>
      </w:r>
      <w:r>
        <w:rPr>
          <w:rFonts w:ascii="Times New Roman" w:hAnsi="Times New Roman"/>
          <w:lang w:val="lt-LT"/>
        </w:rPr>
        <w:t>PPH</w:t>
      </w:r>
      <w:r w:rsidRPr="00B432D6">
        <w:rPr>
          <w:rFonts w:ascii="Times New Roman" w:hAnsi="Times New Roman"/>
          <w:lang w:val="lt-LT"/>
        </w:rPr>
        <w:t xml:space="preserve"> saugumas ir veiksmingumas vaikams nebuvo tirtas.</w:t>
      </w:r>
    </w:p>
    <w:p w:rsidR="00D460EE" w:rsidRPr="00B432D6" w:rsidRDefault="00D460EE" w:rsidP="00D460EE">
      <w:pPr>
        <w:pStyle w:val="BTAnIIEMEASMCA"/>
      </w:pPr>
    </w:p>
    <w:p w:rsidR="00D460EE" w:rsidRPr="00B432D6" w:rsidRDefault="00D460EE" w:rsidP="00D460EE">
      <w:pPr>
        <w:pStyle w:val="PI-3EMEASMCA"/>
      </w:pPr>
      <w:r w:rsidRPr="00B432D6">
        <w:t xml:space="preserve">Kiti vaistai ir </w:t>
      </w:r>
      <w:proofErr w:type="spellStart"/>
      <w:r w:rsidRPr="00B432D6">
        <w:t>Dexamethasone</w:t>
      </w:r>
      <w:proofErr w:type="spellEnd"/>
      <w:r w:rsidRPr="00B432D6">
        <w:t xml:space="preserve"> </w:t>
      </w:r>
      <w:r>
        <w:t>PPH</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Jeigu vartojate ar neseniai vartojote kitų vaistų arba dėl to nesate tikri, apie tai pasakykite gydytojui arba vaistininkui.</w:t>
      </w:r>
    </w:p>
    <w:p w:rsidR="00D460EE" w:rsidRPr="00B432D6" w:rsidRDefault="00D460EE" w:rsidP="00D460EE">
      <w:pPr>
        <w:pStyle w:val="Paprastasistekstas"/>
        <w:rPr>
          <w:rFonts w:ascii="Times New Roman" w:hAnsi="Times New Roman"/>
          <w:sz w:val="22"/>
          <w:szCs w:val="22"/>
          <w:lang w:val="lt-LT" w:eastAsia="en-US"/>
        </w:rPr>
      </w:pPr>
      <w:proofErr w:type="spellStart"/>
      <w:r w:rsidRPr="00B432D6">
        <w:rPr>
          <w:rFonts w:ascii="Times New Roman" w:hAnsi="Times New Roman"/>
          <w:sz w:val="22"/>
          <w:szCs w:val="22"/>
          <w:lang w:val="lt-LT" w:eastAsia="en-US"/>
        </w:rPr>
        <w:t>Deksametazono</w:t>
      </w:r>
      <w:proofErr w:type="spellEnd"/>
      <w:r w:rsidRPr="00B432D6">
        <w:rPr>
          <w:rFonts w:ascii="Times New Roman" w:hAnsi="Times New Roman"/>
          <w:sz w:val="22"/>
          <w:szCs w:val="22"/>
          <w:lang w:val="lt-LT" w:eastAsia="en-US"/>
        </w:rPr>
        <w:t xml:space="preserve"> ir vaistų nuo glaukomos vartoti kartu nepatariama, nes pastarųjų vaistų poveikį </w:t>
      </w:r>
      <w:proofErr w:type="spellStart"/>
      <w:r w:rsidRPr="00B432D6">
        <w:rPr>
          <w:rFonts w:ascii="Times New Roman" w:hAnsi="Times New Roman"/>
          <w:sz w:val="22"/>
          <w:szCs w:val="22"/>
          <w:lang w:val="lt-LT" w:eastAsia="en-US"/>
        </w:rPr>
        <w:t>deksametazonas</w:t>
      </w:r>
      <w:proofErr w:type="spellEnd"/>
      <w:r w:rsidRPr="00B432D6">
        <w:rPr>
          <w:rFonts w:ascii="Times New Roman" w:hAnsi="Times New Roman"/>
          <w:sz w:val="22"/>
          <w:szCs w:val="22"/>
          <w:lang w:val="lt-LT" w:eastAsia="en-US"/>
        </w:rPr>
        <w:t xml:space="preserve"> gali blokuoti arba neutralizuoti.</w:t>
      </w:r>
    </w:p>
    <w:p w:rsidR="00D460EE" w:rsidRPr="00B432D6" w:rsidRDefault="00D460EE" w:rsidP="00D460EE">
      <w:pPr>
        <w:widowControl w:val="0"/>
        <w:spacing w:after="0" w:line="240" w:lineRule="auto"/>
        <w:rPr>
          <w:rFonts w:ascii="Times New Roman" w:hAnsi="Times New Roman"/>
          <w:lang w:val="lt-LT"/>
        </w:rPr>
      </w:pPr>
      <w:proofErr w:type="spellStart"/>
      <w:r w:rsidRPr="00B432D6">
        <w:rPr>
          <w:rFonts w:ascii="Times New Roman" w:hAnsi="Times New Roman"/>
          <w:lang w:val="lt-LT"/>
        </w:rPr>
        <w:t>Deksametazono</w:t>
      </w:r>
      <w:proofErr w:type="spellEnd"/>
      <w:r w:rsidRPr="00B432D6">
        <w:rPr>
          <w:rFonts w:ascii="Times New Roman" w:hAnsi="Times New Roman"/>
          <w:lang w:val="lt-LT"/>
        </w:rPr>
        <w:t xml:space="preserve"> nerekomenduojama vartoti kartu su vyzdį plečiančiais vaistais, pvz., atropinu, kadangi gali padidėti akispūdis.</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Be to, akispūdis gali padidėti pacientams, ypač turintiems polinkį į ūminį akies kampo užsivėrimą, jei </w:t>
      </w:r>
      <w:proofErr w:type="spellStart"/>
      <w:r w:rsidRPr="00B432D6">
        <w:rPr>
          <w:rFonts w:ascii="Times New Roman" w:hAnsi="Times New Roman"/>
          <w:lang w:val="lt-LT"/>
        </w:rPr>
        <w:t>deksametazono</w:t>
      </w:r>
      <w:proofErr w:type="spellEnd"/>
      <w:r w:rsidRPr="00B432D6">
        <w:rPr>
          <w:rFonts w:ascii="Times New Roman" w:hAnsi="Times New Roman"/>
          <w:lang w:val="lt-LT"/>
        </w:rPr>
        <w:t xml:space="preserve"> vartojama kartu su vaistais, kurie </w:t>
      </w:r>
      <w:proofErr w:type="spellStart"/>
      <w:r w:rsidRPr="00B432D6">
        <w:rPr>
          <w:rFonts w:ascii="Times New Roman" w:hAnsi="Times New Roman"/>
          <w:lang w:val="lt-LT"/>
        </w:rPr>
        <w:t>paralyžuoja</w:t>
      </w:r>
      <w:proofErr w:type="spellEnd"/>
      <w:r w:rsidRPr="00B432D6">
        <w:rPr>
          <w:rFonts w:ascii="Times New Roman" w:hAnsi="Times New Roman"/>
          <w:lang w:val="lt-LT"/>
        </w:rPr>
        <w:t xml:space="preserve"> </w:t>
      </w:r>
      <w:proofErr w:type="spellStart"/>
      <w:r w:rsidRPr="00B432D6">
        <w:rPr>
          <w:rFonts w:ascii="Times New Roman" w:hAnsi="Times New Roman"/>
          <w:lang w:val="lt-LT"/>
        </w:rPr>
        <w:t>krumplyno</w:t>
      </w:r>
      <w:proofErr w:type="spellEnd"/>
      <w:r w:rsidRPr="00B432D6">
        <w:rPr>
          <w:rFonts w:ascii="Times New Roman" w:hAnsi="Times New Roman"/>
          <w:lang w:val="lt-LT"/>
        </w:rPr>
        <w:t xml:space="preserve"> raumenis ar plečia vyzdžius.</w:t>
      </w:r>
    </w:p>
    <w:p w:rsidR="00D460EE" w:rsidRPr="00B432D6" w:rsidRDefault="00D460EE" w:rsidP="00D460EE">
      <w:pPr>
        <w:spacing w:after="0" w:line="240" w:lineRule="auto"/>
        <w:rPr>
          <w:rFonts w:ascii="Times New Roman" w:hAnsi="Times New Roman"/>
          <w:bCs/>
          <w:lang w:val="lt-LT"/>
        </w:rPr>
      </w:pPr>
    </w:p>
    <w:p w:rsidR="00D460EE" w:rsidRPr="00B432D6" w:rsidRDefault="00D460EE" w:rsidP="00D460EE">
      <w:pPr>
        <w:spacing w:after="0" w:line="240" w:lineRule="auto"/>
        <w:rPr>
          <w:rFonts w:ascii="Times New Roman" w:hAnsi="Times New Roman"/>
          <w:bCs/>
          <w:lang w:val="lt-LT"/>
        </w:rPr>
      </w:pPr>
      <w:r w:rsidRPr="00B432D6">
        <w:rPr>
          <w:rFonts w:ascii="Times New Roman" w:hAnsi="Times New Roman"/>
          <w:bCs/>
          <w:lang w:val="lt-LT"/>
        </w:rPr>
        <w:t xml:space="preserve">Pasakykite gydytojui, jeigu vartojate </w:t>
      </w:r>
      <w:proofErr w:type="spellStart"/>
      <w:r w:rsidRPr="00B432D6">
        <w:rPr>
          <w:rFonts w:ascii="Times New Roman" w:hAnsi="Times New Roman"/>
          <w:bCs/>
          <w:lang w:val="lt-LT"/>
        </w:rPr>
        <w:t>ritonavirą</w:t>
      </w:r>
      <w:proofErr w:type="spellEnd"/>
      <w:r w:rsidRPr="00B432D6">
        <w:rPr>
          <w:rFonts w:ascii="Times New Roman" w:hAnsi="Times New Roman"/>
          <w:bCs/>
          <w:lang w:val="lt-LT"/>
        </w:rPr>
        <w:t xml:space="preserve"> arba </w:t>
      </w:r>
      <w:proofErr w:type="spellStart"/>
      <w:r w:rsidRPr="00B432D6">
        <w:rPr>
          <w:rFonts w:ascii="Times New Roman" w:hAnsi="Times New Roman"/>
          <w:bCs/>
          <w:lang w:val="lt-LT"/>
        </w:rPr>
        <w:t>kobicistatą</w:t>
      </w:r>
      <w:proofErr w:type="spellEnd"/>
      <w:r w:rsidRPr="00B432D6">
        <w:rPr>
          <w:rFonts w:ascii="Times New Roman" w:hAnsi="Times New Roman"/>
          <w:bCs/>
          <w:lang w:val="lt-LT"/>
        </w:rPr>
        <w:t xml:space="preserve">, kadangi </w:t>
      </w:r>
      <w:r>
        <w:rPr>
          <w:rFonts w:ascii="Times New Roman" w:hAnsi="Times New Roman"/>
          <w:bCs/>
          <w:lang w:val="lt-LT"/>
        </w:rPr>
        <w:t>jie</w:t>
      </w:r>
      <w:r w:rsidRPr="00B432D6">
        <w:rPr>
          <w:rFonts w:ascii="Times New Roman" w:hAnsi="Times New Roman"/>
          <w:bCs/>
          <w:lang w:val="lt-LT"/>
        </w:rPr>
        <w:t xml:space="preserve"> gali didinti </w:t>
      </w:r>
      <w:proofErr w:type="spellStart"/>
      <w:r w:rsidRPr="00B432D6">
        <w:rPr>
          <w:rFonts w:ascii="Times New Roman" w:hAnsi="Times New Roman"/>
          <w:bCs/>
          <w:lang w:val="lt-LT"/>
        </w:rPr>
        <w:t>deksametazono</w:t>
      </w:r>
      <w:proofErr w:type="spellEnd"/>
      <w:r w:rsidRPr="00B432D6">
        <w:rPr>
          <w:rFonts w:ascii="Times New Roman" w:hAnsi="Times New Roman"/>
          <w:bCs/>
          <w:lang w:val="lt-LT"/>
        </w:rPr>
        <w:t xml:space="preserve"> kiekį kraujyje.</w:t>
      </w:r>
    </w:p>
    <w:p w:rsidR="00D460EE" w:rsidRPr="00B432D6" w:rsidRDefault="00D460EE" w:rsidP="00D460EE">
      <w:pPr>
        <w:pStyle w:val="Paprastasistekstas"/>
        <w:rPr>
          <w:rFonts w:ascii="Times New Roman" w:hAnsi="Times New Roman"/>
          <w:sz w:val="22"/>
          <w:szCs w:val="22"/>
          <w:lang w:val="lt-LT" w:eastAsia="en-US"/>
        </w:rPr>
      </w:pPr>
    </w:p>
    <w:p w:rsidR="00D460EE" w:rsidRPr="00B432D6" w:rsidRDefault="00D460EE" w:rsidP="00D460EE">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Pacientams, nešiojantiems kontaktinius lęšius, būna didesnė infekcijos atsiradimo rizika.</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pStyle w:val="PI-3EMEASMCA"/>
      </w:pPr>
      <w:r w:rsidRPr="00B432D6">
        <w:t>Nėštumas ir žindymo laikotarpis</w:t>
      </w:r>
    </w:p>
    <w:p w:rsidR="00D460EE" w:rsidRPr="00B432D6" w:rsidRDefault="00D460EE" w:rsidP="00D460EE">
      <w:pPr>
        <w:pStyle w:val="BTAnIIEMEASMCA"/>
      </w:pPr>
      <w:r w:rsidRPr="00B432D6">
        <w:t>Jeigu esate nėščia, žindote kūdikį, manote, kad galbūt esate nėščia, arba planuojate pastoti, tai prieš vartodama šį vaistą, pasitarkite su gydytoju arba vaistininku.</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Nėščiai moteriai vaisto galima vartoti tik tokiu atveju, jei, gydytojo nuomone, nauda motinai bus didesnė už riziką vaisiui.</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Žindymo laikotarpiu </w:t>
      </w:r>
      <w:r>
        <w:rPr>
          <w:rFonts w:ascii="Times New Roman" w:hAnsi="Times New Roman"/>
          <w:lang w:val="lt-LT"/>
        </w:rPr>
        <w:t>vaisto</w:t>
      </w:r>
      <w:r w:rsidRPr="00B432D6">
        <w:rPr>
          <w:rFonts w:ascii="Times New Roman" w:hAnsi="Times New Roman"/>
          <w:lang w:val="lt-LT"/>
        </w:rPr>
        <w:t xml:space="preserve"> vartoti nerekomenduojama. Jei žindyvei jo vartoti būtina, maitinimą krūtimi reikia nutraukti.</w:t>
      </w:r>
    </w:p>
    <w:p w:rsidR="00D460EE" w:rsidRPr="00B432D6" w:rsidRDefault="00D460EE" w:rsidP="00D460EE">
      <w:pPr>
        <w:pStyle w:val="BTAnIIEMEASMCA"/>
      </w:pPr>
    </w:p>
    <w:p w:rsidR="00D460EE" w:rsidRPr="00B432D6" w:rsidRDefault="00D460EE" w:rsidP="00D460EE">
      <w:pPr>
        <w:pStyle w:val="PI-3EMEASMCA"/>
      </w:pPr>
      <w:r w:rsidRPr="00B432D6">
        <w:t>Vairavimas ir mechanizmų valdymas</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Prieš vairuojant ar valdant mechanizmus, vaisto vartoti nepatariama, kadangi įlašinus vaisto</w:t>
      </w:r>
      <w:r>
        <w:rPr>
          <w:rFonts w:ascii="Times New Roman" w:hAnsi="Times New Roman"/>
          <w:lang w:val="lt-LT"/>
        </w:rPr>
        <w:t xml:space="preserve">, </w:t>
      </w:r>
      <w:r w:rsidRPr="00B432D6">
        <w:rPr>
          <w:rFonts w:ascii="Times New Roman" w:hAnsi="Times New Roman"/>
          <w:lang w:val="lt-LT"/>
        </w:rPr>
        <w:t>gali prasidėti ašarojimas.</w:t>
      </w:r>
    </w:p>
    <w:p w:rsidR="00D460EE" w:rsidRPr="00B432D6" w:rsidRDefault="00D460EE" w:rsidP="00D460EE">
      <w:pPr>
        <w:spacing w:after="0" w:line="240" w:lineRule="auto"/>
        <w:rPr>
          <w:rFonts w:ascii="Times New Roman" w:hAnsi="Times New Roman"/>
          <w:lang w:val="lt-LT"/>
        </w:rPr>
      </w:pPr>
    </w:p>
    <w:p w:rsidR="00D460EE" w:rsidRPr="00B37B0E" w:rsidRDefault="00D460EE" w:rsidP="00D460EE">
      <w:pPr>
        <w:pStyle w:val="Default"/>
        <w:rPr>
          <w:rFonts w:ascii="Times New Roman" w:hAnsi="Times New Roman" w:cs="Times New Roman"/>
          <w:b/>
          <w:bCs/>
          <w:sz w:val="22"/>
          <w:szCs w:val="22"/>
          <w:lang w:val="lt-LT"/>
        </w:rPr>
      </w:pPr>
      <w:proofErr w:type="spellStart"/>
      <w:r w:rsidRPr="007236B6">
        <w:rPr>
          <w:rFonts w:ascii="Times New Roman" w:hAnsi="Times New Roman" w:cs="Times New Roman"/>
          <w:b/>
          <w:bCs/>
          <w:sz w:val="22"/>
          <w:szCs w:val="22"/>
          <w:lang w:val="lt-LT"/>
        </w:rPr>
        <w:t>Dexamethasone</w:t>
      </w:r>
      <w:proofErr w:type="spellEnd"/>
      <w:r w:rsidRPr="007236B6">
        <w:rPr>
          <w:rFonts w:ascii="Times New Roman" w:hAnsi="Times New Roman" w:cs="Times New Roman"/>
          <w:b/>
          <w:bCs/>
          <w:sz w:val="22"/>
          <w:szCs w:val="22"/>
          <w:lang w:val="lt-LT"/>
        </w:rPr>
        <w:t xml:space="preserve"> </w:t>
      </w:r>
      <w:r>
        <w:rPr>
          <w:rFonts w:ascii="Times New Roman" w:hAnsi="Times New Roman" w:cs="Times New Roman"/>
          <w:b/>
          <w:bCs/>
          <w:sz w:val="22"/>
          <w:szCs w:val="22"/>
          <w:lang w:val="lt-LT"/>
        </w:rPr>
        <w:t>PPH</w:t>
      </w:r>
      <w:r w:rsidRPr="007236B6">
        <w:rPr>
          <w:rFonts w:ascii="Times New Roman" w:hAnsi="Times New Roman" w:cs="Times New Roman"/>
          <w:b/>
          <w:bCs/>
          <w:sz w:val="22"/>
          <w:szCs w:val="22"/>
          <w:lang w:val="lt-LT"/>
        </w:rPr>
        <w:t xml:space="preserve"> sudėtyje yra </w:t>
      </w:r>
      <w:proofErr w:type="spellStart"/>
      <w:r w:rsidRPr="007236B6">
        <w:rPr>
          <w:rFonts w:ascii="Times New Roman" w:hAnsi="Times New Roman" w:cs="Times New Roman"/>
          <w:b/>
          <w:bCs/>
          <w:sz w:val="22"/>
          <w:szCs w:val="22"/>
          <w:lang w:val="lt-LT"/>
        </w:rPr>
        <w:t>benzalkonio</w:t>
      </w:r>
      <w:proofErr w:type="spellEnd"/>
      <w:r w:rsidRPr="007236B6">
        <w:rPr>
          <w:rFonts w:ascii="Times New Roman" w:hAnsi="Times New Roman" w:cs="Times New Roman"/>
          <w:b/>
          <w:bCs/>
          <w:sz w:val="22"/>
          <w:szCs w:val="22"/>
          <w:lang w:val="lt-LT"/>
        </w:rPr>
        <w:t xml:space="preserve"> chlorido</w:t>
      </w:r>
      <w:r w:rsidRPr="0025373C">
        <w:rPr>
          <w:rFonts w:ascii="Times New Roman" w:hAnsi="Times New Roman" w:cs="Times New Roman"/>
          <w:b/>
          <w:bCs/>
          <w:sz w:val="22"/>
          <w:szCs w:val="22"/>
          <w:lang w:val="lt-LT"/>
        </w:rPr>
        <w:t xml:space="preserve"> </w:t>
      </w:r>
      <w:r w:rsidRPr="00B37B0E">
        <w:rPr>
          <w:rFonts w:ascii="Times New Roman" w:hAnsi="Times New Roman" w:cs="Times New Roman"/>
          <w:b/>
          <w:bCs/>
          <w:sz w:val="22"/>
          <w:szCs w:val="22"/>
          <w:lang w:val="lt-LT"/>
        </w:rPr>
        <w:t xml:space="preserve">ir </w:t>
      </w:r>
      <w:r w:rsidRPr="00B37B0E">
        <w:rPr>
          <w:rStyle w:val="tlid-translation"/>
          <w:rFonts w:ascii="Times New Roman" w:hAnsi="Times New Roman" w:cs="Times New Roman"/>
          <w:b/>
          <w:bCs/>
          <w:sz w:val="22"/>
          <w:szCs w:val="22"/>
          <w:lang w:val="lt-LT"/>
        </w:rPr>
        <w:t>fosfat</w:t>
      </w:r>
      <w:r>
        <w:rPr>
          <w:rStyle w:val="tlid-translation"/>
          <w:rFonts w:ascii="Times New Roman" w:hAnsi="Times New Roman" w:cs="Times New Roman"/>
          <w:b/>
          <w:bCs/>
          <w:sz w:val="22"/>
          <w:szCs w:val="22"/>
          <w:lang w:val="lt-LT"/>
        </w:rPr>
        <w:t>ų</w:t>
      </w:r>
    </w:p>
    <w:p w:rsidR="00D460EE" w:rsidRPr="00BB2247" w:rsidRDefault="00D460EE" w:rsidP="00D460EE">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w:t>
      </w:r>
      <w:r w:rsidRPr="00B37B0E">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Pr="00B37B0E">
        <w:rPr>
          <w:rFonts w:ascii="Times New Roman" w:hAnsi="Times New Roman" w:cs="Times New Roman"/>
          <w:sz w:val="22"/>
          <w:szCs w:val="22"/>
          <w:lang w:val="lt-LT"/>
        </w:rPr>
        <w:t xml:space="preserve">vaisto ml yra 0,1 mg </w:t>
      </w:r>
      <w:proofErr w:type="spellStart"/>
      <w:r w:rsidRPr="00B37B0E">
        <w:rPr>
          <w:rFonts w:ascii="Times New Roman" w:hAnsi="Times New Roman" w:cs="Times New Roman"/>
          <w:sz w:val="22"/>
          <w:szCs w:val="22"/>
          <w:lang w:val="lt-LT"/>
        </w:rPr>
        <w:t>benzalkonio</w:t>
      </w:r>
      <w:proofErr w:type="spellEnd"/>
      <w:r w:rsidRPr="00B37B0E">
        <w:rPr>
          <w:rFonts w:ascii="Times New Roman" w:hAnsi="Times New Roman" w:cs="Times New Roman"/>
          <w:sz w:val="22"/>
          <w:szCs w:val="22"/>
          <w:lang w:val="lt-LT"/>
        </w:rPr>
        <w:t xml:space="preserve"> chlorido.</w:t>
      </w:r>
      <w:r w:rsidRPr="00BB2247">
        <w:rPr>
          <w:rFonts w:ascii="Times New Roman" w:hAnsi="Times New Roman" w:cs="Times New Roman"/>
          <w:sz w:val="22"/>
          <w:szCs w:val="22"/>
          <w:lang w:val="lt-LT"/>
        </w:rPr>
        <w:t xml:space="preserve"> Minkštieji kontaktiniai lęšiai gali absorbuoti </w:t>
      </w:r>
      <w:proofErr w:type="spellStart"/>
      <w:r w:rsidRPr="00BB2247">
        <w:rPr>
          <w:rFonts w:ascii="Times New Roman" w:hAnsi="Times New Roman" w:cs="Times New Roman"/>
          <w:sz w:val="22"/>
          <w:szCs w:val="22"/>
          <w:lang w:val="lt-LT"/>
        </w:rPr>
        <w:t>benzalkonio</w:t>
      </w:r>
      <w:proofErr w:type="spellEnd"/>
      <w:r w:rsidRPr="00BB2247">
        <w:rPr>
          <w:rFonts w:ascii="Times New Roman" w:hAnsi="Times New Roman" w:cs="Times New Roman"/>
          <w:sz w:val="22"/>
          <w:szCs w:val="22"/>
          <w:lang w:val="lt-LT"/>
        </w:rPr>
        <w:t xml:space="preserve"> chloridą ir gali pasikeisti kontaktinių lęšių spalva. Prieš šio vaisto vartojimą kontaktinius lęšius reikia išimti ir vėl juos galima įdėti ne anksčiau kaip po 15 minučių. </w:t>
      </w:r>
      <w:proofErr w:type="spellStart"/>
      <w:r w:rsidRPr="00BB2247">
        <w:rPr>
          <w:rFonts w:ascii="Times New Roman" w:hAnsi="Times New Roman" w:cs="Times New Roman"/>
          <w:sz w:val="22"/>
          <w:szCs w:val="22"/>
          <w:lang w:val="lt-LT"/>
        </w:rPr>
        <w:t>Benzalkonio</w:t>
      </w:r>
      <w:proofErr w:type="spellEnd"/>
      <w:r w:rsidRPr="00BB2247">
        <w:rPr>
          <w:rFonts w:ascii="Times New Roman" w:hAnsi="Times New Roman" w:cs="Times New Roman"/>
          <w:sz w:val="22"/>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D460EE" w:rsidRPr="00BB2247" w:rsidRDefault="00D460EE" w:rsidP="00D460EE">
      <w:pPr>
        <w:pStyle w:val="Pagrindinistekstas"/>
        <w:rPr>
          <w:b w:val="0"/>
          <w:bCs/>
          <w:i w:val="0"/>
          <w:iCs/>
          <w:szCs w:val="22"/>
          <w:lang w:val="lt-LT"/>
        </w:rPr>
      </w:pPr>
    </w:p>
    <w:p w:rsidR="00D460EE" w:rsidRPr="00BB2247" w:rsidRDefault="00D460EE" w:rsidP="00D460EE">
      <w:pPr>
        <w:autoSpaceDE w:val="0"/>
        <w:autoSpaceDN w:val="0"/>
        <w:adjustRightInd w:val="0"/>
        <w:spacing w:after="0" w:line="240" w:lineRule="auto"/>
        <w:rPr>
          <w:rFonts w:ascii="Times New Roman" w:hAnsi="Times New Roman"/>
          <w:color w:val="000000"/>
          <w:lang w:val="lt-LT"/>
        </w:rPr>
      </w:pPr>
      <w:r w:rsidRPr="00BB2247">
        <w:rPr>
          <w:rFonts w:ascii="Times New Roman" w:hAnsi="Times New Roman"/>
          <w:color w:val="000000"/>
          <w:lang w:val="lt-LT"/>
        </w:rPr>
        <w:t>Kiekviename šio vaisto ml yra 1,58 mg fosfatų. Jeigu Jums yra akies priekinę dalį gaubiančio skaidraus sluoksnio (ragenos) sunkių pažeidimų, labai retais atvejais fosfatai gali sukelti drumzlinus ragenos plotelius dėl gydymo metu susiformavusių kalcio nuosėdų.</w:t>
      </w:r>
    </w:p>
    <w:p w:rsidR="00D460EE" w:rsidRPr="00B37B0E" w:rsidRDefault="00D460EE" w:rsidP="00D460EE">
      <w:pPr>
        <w:pStyle w:val="PI-3EMEASMCA"/>
      </w:pPr>
    </w:p>
    <w:p w:rsidR="00D460EE" w:rsidRPr="00B432D6" w:rsidRDefault="00D460EE" w:rsidP="00D460EE">
      <w:pPr>
        <w:pStyle w:val="BTAnIIEMEASMCA"/>
      </w:pPr>
    </w:p>
    <w:p w:rsidR="00D460EE" w:rsidRPr="00B432D6" w:rsidRDefault="00D460EE" w:rsidP="00D460EE">
      <w:pPr>
        <w:pStyle w:val="PI-1EMEASMCA"/>
        <w:keepNext w:val="0"/>
      </w:pPr>
      <w:bookmarkStart w:id="6" w:name="_Toc129243141"/>
      <w:bookmarkStart w:id="7" w:name="_Toc129243266"/>
      <w:r w:rsidRPr="00B432D6">
        <w:t>3.</w:t>
      </w:r>
      <w:r w:rsidRPr="00B432D6">
        <w:tab/>
        <w:t xml:space="preserve">Kaip vartoti </w:t>
      </w:r>
      <w:proofErr w:type="spellStart"/>
      <w:r w:rsidRPr="00B432D6">
        <w:t>Dexamethasone</w:t>
      </w:r>
      <w:proofErr w:type="spellEnd"/>
      <w:r w:rsidRPr="00B432D6">
        <w:t xml:space="preserve"> </w:t>
      </w:r>
      <w:bookmarkEnd w:id="6"/>
      <w:bookmarkEnd w:id="7"/>
      <w:r>
        <w:t>PPH</w:t>
      </w:r>
    </w:p>
    <w:p w:rsidR="00D460EE" w:rsidRPr="00B432D6" w:rsidRDefault="00D460EE" w:rsidP="00D460EE">
      <w:pPr>
        <w:pStyle w:val="BTAnIIEMEASMCA"/>
      </w:pPr>
    </w:p>
    <w:p w:rsidR="00D460EE" w:rsidRPr="00B432D6" w:rsidRDefault="00D460EE" w:rsidP="00D460EE">
      <w:pPr>
        <w:pStyle w:val="BTAnIIEMEASMCA"/>
      </w:pPr>
      <w:r w:rsidRPr="00B432D6">
        <w:t>Visada vartokite šį vaistą tiksliai kaip nurodė gydytojas. Jeigu abejojate, kreipkitės į gydytoją.</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Prieš lašinimą buteliuką būtina suplakti</w:t>
      </w:r>
      <w:r w:rsidRPr="00B432D6">
        <w:rPr>
          <w:rFonts w:ascii="Times New Roman" w:hAnsi="Times New Roman"/>
          <w:lang w:val="lt-LT"/>
        </w:rPr>
        <w:sym w:font="Symbol" w:char="F021"/>
      </w:r>
    </w:p>
    <w:p w:rsidR="00D460EE" w:rsidRPr="00B432D6" w:rsidRDefault="00D460EE" w:rsidP="00D460EE">
      <w:pPr>
        <w:pStyle w:val="Komentarotekstas"/>
        <w:rPr>
          <w:sz w:val="22"/>
          <w:szCs w:val="22"/>
        </w:rPr>
      </w:pPr>
      <w:r w:rsidRPr="00B432D6">
        <w:rPr>
          <w:sz w:val="22"/>
          <w:szCs w:val="22"/>
        </w:rPr>
        <w:t>Įprastinis dozavimas suaugusiems žmonėms (įskaitant senyvus)</w:t>
      </w:r>
    </w:p>
    <w:p w:rsidR="00D460EE" w:rsidRPr="00B432D6" w:rsidRDefault="00D460EE" w:rsidP="00D460EE">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Jei uždegimas ūminis, pirmas dvi paras į junginės maišelį reikia lašinti po 1</w:t>
      </w:r>
      <w:r w:rsidRPr="00B432D6">
        <w:rPr>
          <w:rFonts w:ascii="Times New Roman" w:hAnsi="Times New Roman"/>
          <w:lang w:val="lt-LT"/>
        </w:rPr>
        <w:noBreakHyphen/>
        <w:t>2 akių lašus 4</w:t>
      </w:r>
      <w:r w:rsidRPr="00B432D6">
        <w:rPr>
          <w:rFonts w:ascii="Times New Roman" w:hAnsi="Times New Roman"/>
          <w:lang w:val="lt-LT"/>
        </w:rPr>
        <w:noBreakHyphen/>
        <w:t>5 kartus per parą, po to 4</w:t>
      </w:r>
      <w:r w:rsidRPr="00B432D6">
        <w:rPr>
          <w:rFonts w:ascii="Times New Roman" w:hAnsi="Times New Roman"/>
          <w:lang w:val="lt-LT"/>
        </w:rPr>
        <w:noBreakHyphen/>
        <w:t>6 paras po 1</w:t>
      </w:r>
      <w:r w:rsidRPr="00B432D6">
        <w:rPr>
          <w:rFonts w:ascii="Times New Roman" w:hAnsi="Times New Roman"/>
          <w:lang w:val="lt-LT"/>
        </w:rPr>
        <w:noBreakHyphen/>
        <w:t>2 akių lašus 3</w:t>
      </w:r>
      <w:r w:rsidRPr="00B432D6">
        <w:rPr>
          <w:rFonts w:ascii="Times New Roman" w:hAnsi="Times New Roman"/>
          <w:lang w:val="lt-LT"/>
        </w:rPr>
        <w:noBreakHyphen/>
        <w:t>4 kartus per parą.</w:t>
      </w:r>
    </w:p>
    <w:p w:rsidR="00D460EE" w:rsidRPr="00B432D6" w:rsidRDefault="00D460EE" w:rsidP="00D460EE">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Lėtinio uždegimo atveju reikia lašinti po 1</w:t>
      </w:r>
      <w:r w:rsidRPr="00B432D6">
        <w:rPr>
          <w:rFonts w:ascii="Times New Roman" w:hAnsi="Times New Roman"/>
          <w:lang w:val="lt-LT"/>
        </w:rPr>
        <w:noBreakHyphen/>
        <w:t>2 akių lašus 2 kartus per parą 3</w:t>
      </w:r>
      <w:r w:rsidRPr="00B432D6">
        <w:rPr>
          <w:rFonts w:ascii="Times New Roman" w:hAnsi="Times New Roman"/>
          <w:lang w:val="lt-LT"/>
        </w:rPr>
        <w:noBreakHyphen/>
        <w:t>6 savaites. Vaistu galima gydyti ne ilgau kaip 6 savaites.</w:t>
      </w:r>
    </w:p>
    <w:p w:rsidR="00D460EE" w:rsidRPr="00B432D6" w:rsidRDefault="00D460EE" w:rsidP="00D460EE">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Pooperacinio uždegimo atveju reikia lašinti po 1</w:t>
      </w:r>
      <w:r w:rsidRPr="00B432D6">
        <w:rPr>
          <w:rFonts w:ascii="Times New Roman" w:hAnsi="Times New Roman"/>
          <w:lang w:val="lt-LT"/>
        </w:rPr>
        <w:noBreakHyphen/>
        <w:t>2 akių lašus 2</w:t>
      </w:r>
      <w:r w:rsidRPr="00B432D6">
        <w:rPr>
          <w:rFonts w:ascii="Times New Roman" w:hAnsi="Times New Roman"/>
          <w:lang w:val="lt-LT"/>
        </w:rPr>
        <w:noBreakHyphen/>
        <w:t>4 kartus per parą 2</w:t>
      </w:r>
      <w:r w:rsidRPr="00B432D6">
        <w:rPr>
          <w:rFonts w:ascii="Times New Roman" w:hAnsi="Times New Roman"/>
          <w:lang w:val="lt-LT"/>
        </w:rPr>
        <w:noBreakHyphen/>
        <w:t>4 savaites:</w:t>
      </w:r>
    </w:p>
    <w:p w:rsidR="00D460EE" w:rsidRPr="00B432D6" w:rsidRDefault="00D460EE" w:rsidP="00D460EE">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 xml:space="preserve">jei </w:t>
      </w:r>
      <w:r>
        <w:rPr>
          <w:rFonts w:ascii="Times New Roman" w:hAnsi="Times New Roman"/>
          <w:lang w:val="lt-LT"/>
        </w:rPr>
        <w:t>pacientui</w:t>
      </w:r>
      <w:r w:rsidRPr="00B432D6">
        <w:rPr>
          <w:rFonts w:ascii="Times New Roman" w:hAnsi="Times New Roman"/>
          <w:lang w:val="lt-LT"/>
        </w:rPr>
        <w:t xml:space="preserve"> </w:t>
      </w:r>
      <w:r>
        <w:rPr>
          <w:rFonts w:ascii="Times New Roman" w:hAnsi="Times New Roman"/>
          <w:lang w:val="lt-LT"/>
        </w:rPr>
        <w:t>atlikta</w:t>
      </w:r>
      <w:r w:rsidRPr="00B432D6">
        <w:rPr>
          <w:rFonts w:ascii="Times New Roman" w:hAnsi="Times New Roman"/>
          <w:lang w:val="lt-LT"/>
        </w:rPr>
        <w:t xml:space="preserve"> skysčio filtraciją </w:t>
      </w:r>
      <w:r>
        <w:rPr>
          <w:rFonts w:ascii="Times New Roman" w:hAnsi="Times New Roman"/>
          <w:lang w:val="lt-LT"/>
        </w:rPr>
        <w:t>koreguojanti</w:t>
      </w:r>
      <w:r w:rsidRPr="00B432D6">
        <w:rPr>
          <w:rFonts w:ascii="Times New Roman" w:hAnsi="Times New Roman"/>
          <w:lang w:val="lt-LT"/>
        </w:rPr>
        <w:t xml:space="preserve"> glaukomos operacija, vaisto galima vartoti tą pačią arba kitą parą;</w:t>
      </w:r>
    </w:p>
    <w:p w:rsidR="00D460EE" w:rsidRPr="00B432D6" w:rsidRDefault="00D460EE" w:rsidP="00D460EE">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po kataraktos operacijos, žvairumo koregavimo, tinklainės atšokimo vaisto galima vartoti ne anksčiau kaip 8 parą.</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Pr>
          <w:rFonts w:ascii="Times New Roman" w:hAnsi="Times New Roman"/>
          <w:lang w:val="lt-LT"/>
        </w:rPr>
        <w:t>Pacientams</w:t>
      </w:r>
      <w:r w:rsidRPr="00B432D6">
        <w:rPr>
          <w:rFonts w:ascii="Times New Roman" w:hAnsi="Times New Roman"/>
          <w:lang w:val="lt-LT"/>
        </w:rPr>
        <w:t>, kurių inkstų ar kepenų funkcija yra sutrikusi, dozės keisti nereikia.</w:t>
      </w:r>
    </w:p>
    <w:p w:rsidR="00D460EE" w:rsidRPr="00B432D6" w:rsidRDefault="00D460EE" w:rsidP="00D460EE">
      <w:pPr>
        <w:spacing w:after="0" w:line="240" w:lineRule="auto"/>
        <w:rPr>
          <w:rFonts w:ascii="Times New Roman" w:hAnsi="Times New Roman"/>
          <w:i/>
          <w:lang w:val="lt-LT"/>
        </w:rPr>
      </w:pPr>
    </w:p>
    <w:p w:rsidR="00D460EE" w:rsidRPr="00B432D6" w:rsidRDefault="00D460EE" w:rsidP="00D460EE">
      <w:pPr>
        <w:pStyle w:val="PI-3EMEASMCA"/>
      </w:pPr>
      <w:r w:rsidRPr="00B432D6">
        <w:t xml:space="preserve">Ką daryti pavartojus per didelę </w:t>
      </w:r>
      <w:proofErr w:type="spellStart"/>
      <w:r w:rsidRPr="00B432D6">
        <w:t>Dexamethasone</w:t>
      </w:r>
      <w:proofErr w:type="spellEnd"/>
      <w:r w:rsidRPr="00B432D6">
        <w:t xml:space="preserve"> </w:t>
      </w:r>
      <w:r>
        <w:t>PPH</w:t>
      </w:r>
      <w:r w:rsidRPr="00B432D6">
        <w:t xml:space="preserve"> dozę?</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Netyčia nurijus akių lašų, sunkaus šalutinio poveikio nepasireiškia. Nurytam vaistui skiesti rekomenduojama gerti skysčio.</w:t>
      </w:r>
    </w:p>
    <w:p w:rsidR="00D460EE" w:rsidRPr="00B432D6" w:rsidRDefault="00D460EE" w:rsidP="00D460EE">
      <w:pPr>
        <w:pStyle w:val="BTAnIIEMEASMCA"/>
      </w:pPr>
      <w:r w:rsidRPr="00B432D6">
        <w:t>Ilgalaikis dažnas lokalus vartojimas gali sustiprinti šalutinį poveikį ir sukelti sisteminį poveikį: imuninės sistemos slopinimą (didėja infekcijos rizika), virškinimo trakto opas, osteoporozę ir kt. Išgėrus visą buteliuką akių lašų (iki 10 ml), sunkus šalutinis poveikis n</w:t>
      </w:r>
      <w:r>
        <w:t xml:space="preserve">ėra </w:t>
      </w:r>
      <w:r w:rsidRPr="00B432D6">
        <w:t>tikėtinas.</w:t>
      </w:r>
    </w:p>
    <w:p w:rsidR="00D460EE" w:rsidRPr="002618D7" w:rsidRDefault="00D460EE" w:rsidP="00D460EE">
      <w:pPr>
        <w:spacing w:after="0" w:line="240" w:lineRule="auto"/>
        <w:rPr>
          <w:rFonts w:ascii="Times New Roman" w:hAnsi="Times New Roman"/>
          <w:iCs/>
          <w:lang w:val="lt-LT"/>
        </w:rPr>
      </w:pPr>
      <w:r w:rsidRPr="0025373C">
        <w:rPr>
          <w:rFonts w:ascii="Times New Roman" w:hAnsi="Times New Roman"/>
          <w:iCs/>
          <w:lang w:val="lt-LT"/>
        </w:rPr>
        <w:t xml:space="preserve">Įlašinus daugiau negu reikia </w:t>
      </w:r>
      <w:proofErr w:type="spellStart"/>
      <w:r w:rsidRPr="0025373C">
        <w:rPr>
          <w:rFonts w:ascii="Times New Roman" w:hAnsi="Times New Roman"/>
          <w:iCs/>
          <w:lang w:val="lt-LT"/>
        </w:rPr>
        <w:t>Dexamethasone</w:t>
      </w:r>
      <w:proofErr w:type="spellEnd"/>
      <w:r w:rsidRPr="0025373C">
        <w:rPr>
          <w:rFonts w:ascii="Times New Roman" w:hAnsi="Times New Roman"/>
          <w:iCs/>
          <w:lang w:val="lt-LT"/>
        </w:rPr>
        <w:t xml:space="preserve"> </w:t>
      </w:r>
      <w:r>
        <w:rPr>
          <w:rFonts w:ascii="Times New Roman" w:hAnsi="Times New Roman"/>
          <w:iCs/>
          <w:lang w:val="lt-LT"/>
        </w:rPr>
        <w:t>PPH</w:t>
      </w:r>
      <w:r w:rsidRPr="0025373C">
        <w:rPr>
          <w:rFonts w:ascii="Times New Roman" w:hAnsi="Times New Roman"/>
          <w:iCs/>
          <w:lang w:val="lt-LT"/>
        </w:rPr>
        <w:t>, būtina kreiptis į gydytoją arba vaistininką</w:t>
      </w:r>
      <w:r w:rsidRPr="00A63512">
        <w:rPr>
          <w:rFonts w:ascii="Times New Roman" w:hAnsi="Times New Roman"/>
          <w:iCs/>
          <w:lang w:val="lt-LT"/>
        </w:rPr>
        <w:t>.</w:t>
      </w:r>
    </w:p>
    <w:p w:rsidR="00D460EE" w:rsidRPr="00B432D6" w:rsidRDefault="00D460EE" w:rsidP="00D460EE">
      <w:pPr>
        <w:pStyle w:val="BTAnIIEMEASMCA"/>
      </w:pPr>
    </w:p>
    <w:p w:rsidR="00D460EE" w:rsidRPr="00B432D6" w:rsidRDefault="00D460EE" w:rsidP="00D460EE">
      <w:pPr>
        <w:pStyle w:val="PI-3EMEASMCA"/>
      </w:pPr>
      <w:r w:rsidRPr="00B432D6">
        <w:t xml:space="preserve">Pamiršus pavartoti </w:t>
      </w:r>
      <w:proofErr w:type="spellStart"/>
      <w:r w:rsidRPr="00B432D6">
        <w:t>Dexamethasone</w:t>
      </w:r>
      <w:proofErr w:type="spellEnd"/>
      <w:r w:rsidRPr="00B432D6">
        <w:t xml:space="preserve"> </w:t>
      </w:r>
      <w:r>
        <w:t>PPH</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Praleistą dozę reikia įlašinti kiek galima greičiau. Negalima vartoti dvigubos dozės norint kompensuoti praleistą dozę.</w:t>
      </w:r>
    </w:p>
    <w:p w:rsidR="00D460EE" w:rsidRPr="00B432D6" w:rsidRDefault="00D460EE" w:rsidP="00D460EE">
      <w:pPr>
        <w:spacing w:after="0" w:line="240" w:lineRule="auto"/>
        <w:ind w:left="567" w:hanging="567"/>
        <w:rPr>
          <w:rFonts w:ascii="Times New Roman" w:hAnsi="Times New Roman"/>
          <w:lang w:val="lt-LT"/>
        </w:rPr>
      </w:pPr>
    </w:p>
    <w:p w:rsidR="00D460EE" w:rsidRPr="00B432D6" w:rsidRDefault="00D460EE" w:rsidP="00D460EE">
      <w:pPr>
        <w:pStyle w:val="BTAnIIEMEASMCA"/>
      </w:pPr>
    </w:p>
    <w:p w:rsidR="00D460EE" w:rsidRPr="00B432D6" w:rsidRDefault="00D460EE" w:rsidP="00D460EE">
      <w:pPr>
        <w:pStyle w:val="PI-1EMEASMCA"/>
        <w:keepNext w:val="0"/>
      </w:pPr>
      <w:bookmarkStart w:id="8" w:name="_Toc129243142"/>
      <w:bookmarkStart w:id="9" w:name="_Toc129243267"/>
      <w:r w:rsidRPr="00B432D6">
        <w:t>4.</w:t>
      </w:r>
      <w:r w:rsidRPr="00B432D6">
        <w:tab/>
        <w:t>Galimas šalutinis poveikis</w:t>
      </w:r>
      <w:bookmarkEnd w:id="8"/>
      <w:bookmarkEnd w:id="9"/>
    </w:p>
    <w:p w:rsidR="00D460EE" w:rsidRPr="00B432D6" w:rsidRDefault="00D460EE" w:rsidP="00D460EE">
      <w:pPr>
        <w:pStyle w:val="BTAnIIEMEASMCA"/>
      </w:pPr>
    </w:p>
    <w:p w:rsidR="00D460EE" w:rsidRPr="00B432D6" w:rsidRDefault="00D460EE" w:rsidP="00D460EE">
      <w:pPr>
        <w:pStyle w:val="BTAnIIEMEASMCA"/>
      </w:pPr>
      <w:r w:rsidRPr="00B432D6">
        <w:t>Šis vaistas, kaip ir visi kiti, gali sukelti šalutinį poveikį, nors jis pasireiškia ne visiems žmonėms.</w:t>
      </w:r>
    </w:p>
    <w:p w:rsidR="00D460EE" w:rsidRDefault="00D460EE" w:rsidP="00D460EE">
      <w:pPr>
        <w:pStyle w:val="BTAnIIEMEASMCA"/>
      </w:pPr>
    </w:p>
    <w:p w:rsidR="00D460EE" w:rsidRPr="00BB2893" w:rsidRDefault="00D460EE" w:rsidP="00D460EE">
      <w:pPr>
        <w:pStyle w:val="BTAnIIEMEASMCA"/>
      </w:pPr>
      <w:r w:rsidRPr="005D554B">
        <w:rPr>
          <w:b/>
          <w:bCs/>
          <w:noProof/>
          <w:snapToGrid w:val="0"/>
        </w:rPr>
        <w:t>Labai reti šalutinio poveikio reiškiniai (gali pasireikšti rečiau kaip 1 iš 10 000 asmenų</w:t>
      </w:r>
      <w:r>
        <w:rPr>
          <w:b/>
          <w:bCs/>
          <w:noProof/>
          <w:snapToGrid w:val="0"/>
        </w:rPr>
        <w:t>):</w:t>
      </w:r>
    </w:p>
    <w:p w:rsidR="00D460EE" w:rsidRDefault="00D460EE" w:rsidP="00D460EE">
      <w:pPr>
        <w:pStyle w:val="BTAnIIEMEASMCA"/>
      </w:pPr>
      <w:r>
        <w:t>K</w:t>
      </w:r>
      <w:r w:rsidRPr="00B432D6">
        <w:t>ai kuriems pacientams, turintiems sunkių akies priekinę dalį gaubiančio skaidraus sluoksnio (ragenos) pažeidimų, atsirado drumzlinų ragenos plotelių dėl gydymo metu susiformavusių kalcio nuosėdų.</w:t>
      </w:r>
    </w:p>
    <w:p w:rsidR="00D460EE" w:rsidRPr="00B432D6" w:rsidRDefault="00D460EE" w:rsidP="00D460EE">
      <w:pPr>
        <w:pStyle w:val="BTAnIIEMEASMCA"/>
      </w:pPr>
    </w:p>
    <w:p w:rsidR="00D460EE" w:rsidRPr="00BB2893" w:rsidRDefault="00D460EE" w:rsidP="00D460EE">
      <w:pPr>
        <w:spacing w:after="0" w:line="240" w:lineRule="auto"/>
        <w:rPr>
          <w:rFonts w:ascii="Times New Roman" w:hAnsi="Times New Roman"/>
          <w:noProof/>
          <w:u w:val="single"/>
          <w:lang w:val="lt-LT"/>
        </w:rPr>
      </w:pPr>
      <w:r w:rsidRPr="004F0442">
        <w:rPr>
          <w:rFonts w:ascii="Times New Roman" w:hAnsi="Times New Roman"/>
          <w:b/>
          <w:bCs/>
          <w:noProof/>
          <w:snapToGrid w:val="0"/>
          <w:lang w:val="lt-LT"/>
        </w:rPr>
        <w:t>Šalutinio poveikio reiškiniai, kurių dažnis nežinomas (negali būti apskaičiuotas pagal turimus duomenis):</w:t>
      </w:r>
    </w:p>
    <w:p w:rsidR="00D460EE" w:rsidRPr="00B432D6" w:rsidRDefault="00D460EE" w:rsidP="00D460EE">
      <w:pPr>
        <w:spacing w:after="0" w:line="240" w:lineRule="auto"/>
        <w:rPr>
          <w:rFonts w:ascii="Times New Roman" w:hAnsi="Times New Roman"/>
          <w:lang w:val="lt-LT"/>
        </w:rPr>
      </w:pPr>
      <w:r>
        <w:rPr>
          <w:rFonts w:ascii="Times New Roman" w:hAnsi="Times New Roman"/>
          <w:bCs/>
          <w:lang w:val="lt-LT"/>
        </w:rPr>
        <w:t>P</w:t>
      </w:r>
      <w:r w:rsidRPr="00B432D6">
        <w:rPr>
          <w:rFonts w:ascii="Times New Roman" w:hAnsi="Times New Roman"/>
          <w:bCs/>
          <w:lang w:val="lt-LT"/>
        </w:rPr>
        <w:t>apildomų kūno plaukų augimas (ypač moterims), raumenų silpnumas ir nykimas, violetinės tempimo žymės kūno odoje</w:t>
      </w:r>
      <w:r>
        <w:rPr>
          <w:rFonts w:ascii="Times New Roman" w:hAnsi="Times New Roman"/>
          <w:bCs/>
          <w:lang w:val="lt-LT"/>
        </w:rPr>
        <w:t xml:space="preserve"> (</w:t>
      </w:r>
      <w:proofErr w:type="spellStart"/>
      <w:r>
        <w:rPr>
          <w:rFonts w:ascii="Times New Roman" w:hAnsi="Times New Roman"/>
          <w:bCs/>
          <w:lang w:val="lt-LT"/>
        </w:rPr>
        <w:t>strijos</w:t>
      </w:r>
      <w:proofErr w:type="spellEnd"/>
      <w:r>
        <w:rPr>
          <w:rFonts w:ascii="Times New Roman" w:hAnsi="Times New Roman"/>
          <w:bCs/>
          <w:lang w:val="lt-LT"/>
        </w:rPr>
        <w:t>)</w:t>
      </w:r>
      <w:r w:rsidRPr="00B432D6">
        <w:rPr>
          <w:rFonts w:ascii="Times New Roman" w:hAnsi="Times New Roman"/>
          <w:bCs/>
          <w:lang w:val="lt-LT"/>
        </w:rPr>
        <w:t>, padidėjęs kraujospūdis, nereguliarios menstruacijos arba jų išnykimas, baltymo ir kalcio kiekio organizme pokytis, sulėtėjęs vaikų bei paauglių augimas ir kūno svorio padidėjimas</w:t>
      </w:r>
      <w:r>
        <w:rPr>
          <w:rFonts w:ascii="Times New Roman" w:hAnsi="Times New Roman"/>
          <w:bCs/>
          <w:lang w:val="lt-LT"/>
        </w:rPr>
        <w:t>,</w:t>
      </w:r>
      <w:r w:rsidRPr="00B432D6">
        <w:rPr>
          <w:rFonts w:ascii="Times New Roman" w:hAnsi="Times New Roman"/>
          <w:bCs/>
          <w:lang w:val="lt-LT"/>
        </w:rPr>
        <w:t xml:space="preserve"> viso kūno ir veido patinimas (vadinamasis </w:t>
      </w:r>
      <w:proofErr w:type="spellStart"/>
      <w:r w:rsidRPr="00B432D6">
        <w:rPr>
          <w:rFonts w:ascii="Times New Roman" w:hAnsi="Times New Roman"/>
          <w:bCs/>
          <w:lang w:val="lt-LT"/>
        </w:rPr>
        <w:t>Kušingo</w:t>
      </w:r>
      <w:proofErr w:type="spellEnd"/>
      <w:r w:rsidRPr="00B432D6">
        <w:rPr>
          <w:rFonts w:ascii="Times New Roman" w:hAnsi="Times New Roman"/>
          <w:bCs/>
          <w:lang w:val="lt-LT"/>
        </w:rPr>
        <w:t xml:space="preserve"> sindromas</w:t>
      </w:r>
      <w:r>
        <w:rPr>
          <w:rFonts w:ascii="Times New Roman" w:hAnsi="Times New Roman"/>
          <w:bCs/>
          <w:lang w:val="lt-LT"/>
        </w:rPr>
        <w:t xml:space="preserve">, </w:t>
      </w:r>
      <w:r w:rsidRPr="00B432D6">
        <w:rPr>
          <w:rFonts w:ascii="Times New Roman" w:hAnsi="Times New Roman"/>
          <w:bCs/>
          <w:lang w:val="lt-LT"/>
        </w:rPr>
        <w:t>žr. 2 skyrių „Įspėjimai ir atsargumo priemonės“)</w:t>
      </w:r>
      <w:r>
        <w:rPr>
          <w:rFonts w:ascii="Times New Roman" w:hAnsi="Times New Roman"/>
          <w:i/>
          <w:lang w:val="lt-LT"/>
        </w:rPr>
        <w:t xml:space="preserve">, </w:t>
      </w:r>
      <w:r>
        <w:rPr>
          <w:rFonts w:ascii="Times New Roman" w:hAnsi="Times New Roman"/>
          <w:lang w:val="lt-LT"/>
        </w:rPr>
        <w:t>a</w:t>
      </w:r>
      <w:r w:rsidRPr="00B432D6">
        <w:rPr>
          <w:rFonts w:ascii="Times New Roman" w:hAnsi="Times New Roman"/>
          <w:lang w:val="lt-LT"/>
        </w:rPr>
        <w:t>kispūdžio padidėjimas</w:t>
      </w:r>
      <w:r>
        <w:rPr>
          <w:rFonts w:ascii="Times New Roman" w:hAnsi="Times New Roman"/>
          <w:lang w:val="lt-LT"/>
        </w:rPr>
        <w:t>, n</w:t>
      </w:r>
      <w:r w:rsidRPr="00B432D6">
        <w:rPr>
          <w:rFonts w:ascii="Times New Roman" w:hAnsi="Times New Roman"/>
          <w:lang w:val="lt-LT"/>
        </w:rPr>
        <w:t xml:space="preserve">edidelis junginės paburkimas, ragenos suplonėjimas, akies obuolio prakiurimas (sutrinka rega, prasideda ašarojimas), glaukoma, regimojo nervo pažeidimo, užpakalinė vadinamoji </w:t>
      </w:r>
      <w:proofErr w:type="spellStart"/>
      <w:r w:rsidRPr="00B432D6">
        <w:rPr>
          <w:rFonts w:ascii="Times New Roman" w:hAnsi="Times New Roman"/>
          <w:lang w:val="lt-LT"/>
        </w:rPr>
        <w:t>subkapsulinė</w:t>
      </w:r>
      <w:proofErr w:type="spellEnd"/>
      <w:r w:rsidRPr="00B432D6">
        <w:rPr>
          <w:rFonts w:ascii="Times New Roman" w:hAnsi="Times New Roman"/>
          <w:lang w:val="lt-LT"/>
        </w:rPr>
        <w:t xml:space="preserve"> katarakta, regėjimo aštrumo sumažėjimas, matymo lauko defektų atsiradimas (vaizdas tampa neryškus arba net išnyksta, prasideda akių skausmas), antrinė akių infekcija, akies deginimas, stiprus peršėjimas, ašarojimas</w:t>
      </w:r>
      <w:r>
        <w:rPr>
          <w:rFonts w:ascii="Times New Roman" w:hAnsi="Times New Roman"/>
          <w:noProof/>
          <w:lang w:val="lt-LT"/>
        </w:rPr>
        <w:t xml:space="preserve">, </w:t>
      </w:r>
      <w:r w:rsidRPr="00BB2247">
        <w:rPr>
          <w:rFonts w:ascii="Times New Roman" w:hAnsi="Times New Roman"/>
          <w:bCs/>
          <w:lang w:val="lt-LT"/>
        </w:rPr>
        <w:t>miglotas matymas</w:t>
      </w:r>
      <w:r>
        <w:rPr>
          <w:rFonts w:ascii="Times New Roman" w:hAnsi="Times New Roman"/>
          <w:i/>
          <w:lang w:val="lt-LT"/>
        </w:rPr>
        <w:t xml:space="preserve">, </w:t>
      </w:r>
      <w:r>
        <w:rPr>
          <w:rFonts w:ascii="Times New Roman" w:hAnsi="Times New Roman"/>
          <w:lang w:val="lt-LT"/>
        </w:rPr>
        <w:t>p</w:t>
      </w:r>
      <w:r w:rsidRPr="00B432D6">
        <w:rPr>
          <w:rFonts w:ascii="Times New Roman" w:hAnsi="Times New Roman"/>
          <w:lang w:val="lt-LT"/>
        </w:rPr>
        <w:t>ykinimas, vėmimas</w:t>
      </w:r>
      <w:r>
        <w:rPr>
          <w:rFonts w:ascii="Times New Roman" w:hAnsi="Times New Roman"/>
          <w:lang w:val="lt-LT"/>
        </w:rPr>
        <w:t>, sulėtėjęs ragenos gijimas (dažnai lašinant kortikosteroidų).</w:t>
      </w:r>
    </w:p>
    <w:p w:rsidR="00D460EE" w:rsidRPr="00B432D6" w:rsidRDefault="00D460EE" w:rsidP="00D460EE">
      <w:pPr>
        <w:pStyle w:val="BTAnIIEMEASMCA"/>
      </w:pPr>
    </w:p>
    <w:p w:rsidR="00D460EE" w:rsidRPr="004F0442" w:rsidRDefault="00D460EE" w:rsidP="00D460EE">
      <w:pPr>
        <w:pStyle w:val="BTAnIIEMEASMCA"/>
        <w:rPr>
          <w:b/>
          <w:bCs/>
        </w:rPr>
      </w:pPr>
      <w:r w:rsidRPr="004F0442">
        <w:rPr>
          <w:b/>
          <w:bCs/>
        </w:rPr>
        <w:t>Pranešimas apie šalutinį poveikį</w:t>
      </w:r>
    </w:p>
    <w:p w:rsidR="00D460EE" w:rsidRPr="00422970" w:rsidRDefault="00D460EE" w:rsidP="00D460EE">
      <w:pPr>
        <w:spacing w:after="0" w:line="240" w:lineRule="auto"/>
        <w:ind w:right="-449"/>
        <w:rPr>
          <w:rFonts w:ascii="Times New Roman" w:hAnsi="Times New Roman"/>
          <w:noProof/>
          <w:lang w:val="lt-LT"/>
        </w:rPr>
      </w:pPr>
      <w:r w:rsidRPr="00422970">
        <w:rPr>
          <w:rFonts w:ascii="Times New Roman" w:hAnsi="Times New Roman"/>
          <w:lang w:val="lt-LT"/>
        </w:rPr>
        <w:t xml:space="preserve">Jeigu pasireiškė šalutinis poveikis, įskaitant šiame lapelyje nenurodytą, pasakykite gydytojui arba vaistininkui. </w:t>
      </w:r>
      <w:r w:rsidRPr="00422970">
        <w:rPr>
          <w:snapToGrid w:val="0"/>
          <w:lang w:val="lt-LT"/>
        </w:rPr>
        <w:t xml:space="preserve"> </w:t>
      </w:r>
      <w:r w:rsidRPr="00422970">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22970">
          <w:rPr>
            <w:rFonts w:ascii="Times New Roman" w:hAnsi="Times New Roman"/>
            <w:snapToGrid w:val="0"/>
            <w:color w:val="0000FF"/>
            <w:u w:val="single"/>
            <w:lang w:val="lt-LT"/>
          </w:rPr>
          <w:t>https://vapris.vvkt.lt/vvkt-web/public/nrv</w:t>
        </w:r>
      </w:hyperlink>
      <w:r w:rsidRPr="00422970">
        <w:rPr>
          <w:rFonts w:ascii="Times New Roman" w:hAnsi="Times New Roman"/>
          <w:snapToGrid w:val="0"/>
          <w:lang w:val="lt-LT"/>
        </w:rPr>
        <w:t xml:space="preserve"> arba užpildant Paciento pranešimo apie įtariamą nepageidaujamą reakciją (ĮNR) formą, kuri skelbiama </w:t>
      </w:r>
      <w:hyperlink r:id="rId6" w:history="1">
        <w:r w:rsidRPr="00422970">
          <w:rPr>
            <w:rFonts w:ascii="Times New Roman" w:hAnsi="Times New Roman"/>
            <w:snapToGrid w:val="0"/>
            <w:color w:val="0000FF"/>
            <w:u w:val="single"/>
            <w:lang w:val="lt-LT"/>
          </w:rPr>
          <w:t>https://www.vvkt.lt/index.php?4004286486</w:t>
        </w:r>
      </w:hyperlink>
      <w:r w:rsidRPr="00422970">
        <w:rPr>
          <w:rFonts w:ascii="Times New Roman" w:hAnsi="Times New Roman"/>
          <w:snapToGrid w:val="0"/>
          <w:lang w:val="lt-LT"/>
        </w:rPr>
        <w:t xml:space="preserve">, ir atsiunčiant elektroniniu paštu (adresu </w:t>
      </w:r>
      <w:hyperlink r:id="rId7" w:history="1">
        <w:r w:rsidRPr="00422970">
          <w:rPr>
            <w:rFonts w:ascii="Times New Roman" w:hAnsi="Times New Roman"/>
            <w:snapToGrid w:val="0"/>
            <w:color w:val="0000FF"/>
            <w:u w:val="single"/>
            <w:lang w:val="lt-LT"/>
          </w:rPr>
          <w:t>NepageidaujamaR@vvkt.lt</w:t>
        </w:r>
      </w:hyperlink>
      <w:r w:rsidRPr="00422970">
        <w:rPr>
          <w:rFonts w:ascii="Times New Roman" w:hAnsi="Times New Roman"/>
          <w:snapToGrid w:val="0"/>
          <w:lang w:val="lt-LT"/>
        </w:rPr>
        <w:t>) arba nemokamu telefonu 8 800 73 568. Pranešdami apie šalutinį poveikį galite mums padėti gauti daugiau informacijos apie šio vaisto saugumą.</w:t>
      </w:r>
    </w:p>
    <w:p w:rsidR="00D460EE" w:rsidRPr="00B432D6" w:rsidRDefault="00D460EE" w:rsidP="00D460EE">
      <w:pPr>
        <w:pStyle w:val="BTAnIIEMEASMCA"/>
      </w:pPr>
    </w:p>
    <w:p w:rsidR="00D460EE" w:rsidRPr="00B432D6" w:rsidRDefault="00D460EE" w:rsidP="00D460EE">
      <w:pPr>
        <w:pStyle w:val="BTAnIIEMEASMCA"/>
      </w:pPr>
    </w:p>
    <w:p w:rsidR="00D460EE" w:rsidRPr="00B432D6" w:rsidRDefault="00D460EE" w:rsidP="00D460EE">
      <w:pPr>
        <w:pStyle w:val="PI-1EMEASMCA"/>
        <w:keepNext w:val="0"/>
      </w:pPr>
      <w:bookmarkStart w:id="10" w:name="_Toc129243143"/>
      <w:bookmarkStart w:id="11" w:name="_Toc129243268"/>
      <w:r w:rsidRPr="00B432D6">
        <w:t>5.</w:t>
      </w:r>
      <w:r w:rsidRPr="00B432D6">
        <w:tab/>
        <w:t xml:space="preserve">Kaip laikyti </w:t>
      </w:r>
      <w:proofErr w:type="spellStart"/>
      <w:r w:rsidRPr="00B432D6">
        <w:t>Dexamethasone</w:t>
      </w:r>
      <w:proofErr w:type="spellEnd"/>
      <w:r w:rsidRPr="00B432D6">
        <w:t xml:space="preserve"> </w:t>
      </w:r>
      <w:bookmarkEnd w:id="10"/>
      <w:bookmarkEnd w:id="11"/>
      <w:r>
        <w:t>PPH</w:t>
      </w:r>
    </w:p>
    <w:p w:rsidR="00D460EE" w:rsidRPr="00B432D6" w:rsidRDefault="00D460EE" w:rsidP="00D460EE">
      <w:pPr>
        <w:pStyle w:val="BTAnIIEMEASMCA"/>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Šį vaistą laikykite vaikams nepastebimoje ir nepasiekiamoje vietoje.</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 xml:space="preserve">Laikyti ne aukštesnėje kaip 25 </w:t>
      </w:r>
      <w:r w:rsidRPr="00B432D6">
        <w:rPr>
          <w:rFonts w:ascii="Times New Roman" w:hAnsi="Times New Roman"/>
          <w:lang w:val="lt-LT"/>
        </w:rPr>
        <w:sym w:font="Symbol" w:char="F0B0"/>
      </w:r>
      <w:r w:rsidRPr="00B432D6">
        <w:rPr>
          <w:rFonts w:ascii="Times New Roman" w:hAnsi="Times New Roman"/>
          <w:lang w:val="lt-LT"/>
        </w:rPr>
        <w:t>C temperatūroje.</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Buteliuką laikyti išorinėje dėžutėje, kad vaistas būtų apsaugotas nuo šviesos.</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Pirmą kartą atidarius buteliuką, akių lašų tinkamumo laikas – 28 dienos.</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lang w:val="lt-LT"/>
        </w:rPr>
        <w:t>Ant buteliuko ir dėžutės po „</w:t>
      </w:r>
      <w:r>
        <w:rPr>
          <w:rFonts w:ascii="Times New Roman" w:hAnsi="Times New Roman"/>
          <w:lang w:val="lt-LT"/>
        </w:rPr>
        <w:t>EXP</w:t>
      </w:r>
      <w:r w:rsidRPr="00B432D6">
        <w:rPr>
          <w:rFonts w:ascii="Times New Roman" w:hAnsi="Times New Roman"/>
          <w:lang w:val="lt-LT"/>
        </w:rPr>
        <w:t>“ nurodytam tinkamumo laikui pasibaigus, šio vaisto vartoti negalima. Vaistas tinkamas vartoti iki paskutinės nurodyto mėnesio dienos.</w:t>
      </w:r>
    </w:p>
    <w:p w:rsidR="00D460EE" w:rsidRPr="00B432D6" w:rsidRDefault="00D460EE" w:rsidP="00D460EE">
      <w:pPr>
        <w:pStyle w:val="BTAnIIEMEASMCA"/>
      </w:pPr>
    </w:p>
    <w:p w:rsidR="00D460EE" w:rsidRPr="00B432D6" w:rsidRDefault="00D460EE" w:rsidP="00D460EE">
      <w:pPr>
        <w:pStyle w:val="BTAnIIEMEASMCA"/>
      </w:pPr>
      <w:r w:rsidRPr="00B432D6">
        <w:t>Vaistų negalima išmesti į kanalizaciją arba su buitinėmis atliekomis. Kaip išmesti nereikalingus vaistus, klauskite vaistininko. Šios priemonės padės apsaugoti aplinką</w:t>
      </w:r>
    </w:p>
    <w:p w:rsidR="00D460EE" w:rsidRPr="00B432D6" w:rsidRDefault="00D460EE" w:rsidP="00D460EE">
      <w:pPr>
        <w:pStyle w:val="BTAnIIEMEASMCA"/>
      </w:pPr>
    </w:p>
    <w:p w:rsidR="00D460EE" w:rsidRPr="00B432D6" w:rsidRDefault="00D460EE" w:rsidP="00D460EE">
      <w:pPr>
        <w:pStyle w:val="BTAnIIEMEASMCA"/>
      </w:pPr>
    </w:p>
    <w:p w:rsidR="00D460EE" w:rsidRPr="00B432D6" w:rsidRDefault="00D460EE" w:rsidP="00D460EE">
      <w:pPr>
        <w:pStyle w:val="PI-1EMEASMCA"/>
        <w:keepNext w:val="0"/>
      </w:pPr>
      <w:bookmarkStart w:id="12" w:name="_Toc129243144"/>
      <w:bookmarkStart w:id="13" w:name="_Toc129243269"/>
      <w:r w:rsidRPr="00B432D6">
        <w:t>6.</w:t>
      </w:r>
      <w:r w:rsidRPr="00B432D6">
        <w:tab/>
        <w:t>Pakuotės turinys ir kita informacija</w:t>
      </w:r>
      <w:bookmarkEnd w:id="12"/>
      <w:bookmarkEnd w:id="13"/>
    </w:p>
    <w:p w:rsidR="00D460EE" w:rsidRPr="00B432D6" w:rsidRDefault="00D460EE" w:rsidP="00D460EE">
      <w:pPr>
        <w:pStyle w:val="BTAnIIEMEASMCA"/>
      </w:pPr>
    </w:p>
    <w:p w:rsidR="00D460EE" w:rsidRPr="00B432D6" w:rsidRDefault="00D460EE" w:rsidP="00D460EE">
      <w:pPr>
        <w:pStyle w:val="PI-3EMEASMCA"/>
      </w:pPr>
      <w:proofErr w:type="spellStart"/>
      <w:r w:rsidRPr="00B432D6">
        <w:t>Dexamethasone</w:t>
      </w:r>
      <w:proofErr w:type="spellEnd"/>
      <w:r w:rsidRPr="00B432D6">
        <w:t xml:space="preserve"> </w:t>
      </w:r>
      <w:r>
        <w:t>PPH</w:t>
      </w:r>
      <w:r w:rsidRPr="00B432D6">
        <w:t xml:space="preserve"> sudėtis</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 xml:space="preserve">Veiklioji medžiaga yra </w:t>
      </w:r>
      <w:proofErr w:type="spellStart"/>
      <w:r w:rsidRPr="00B432D6">
        <w:rPr>
          <w:rFonts w:ascii="Times New Roman" w:hAnsi="Times New Roman"/>
          <w:lang w:val="lt-LT"/>
        </w:rPr>
        <w:t>deksametazonas</w:t>
      </w:r>
      <w:proofErr w:type="spellEnd"/>
      <w:r w:rsidRPr="00B432D6">
        <w:rPr>
          <w:rFonts w:ascii="Times New Roman" w:hAnsi="Times New Roman"/>
          <w:lang w:val="lt-LT"/>
        </w:rPr>
        <w:t>. Viename mililitre akių lašų jo yra 1 mg.</w:t>
      </w:r>
    </w:p>
    <w:p w:rsidR="00D460EE" w:rsidRPr="00B432D6" w:rsidRDefault="00D460EE" w:rsidP="00D460EE">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 xml:space="preserve">Pagalbinės medžiagos yra </w:t>
      </w:r>
      <w:proofErr w:type="spellStart"/>
      <w:r w:rsidRPr="00B432D6">
        <w:rPr>
          <w:rFonts w:ascii="Times New Roman" w:hAnsi="Times New Roman"/>
          <w:lang w:val="lt-LT"/>
        </w:rPr>
        <w:t>dinatrio</w:t>
      </w:r>
      <w:proofErr w:type="spellEnd"/>
      <w:r w:rsidRPr="00B432D6">
        <w:rPr>
          <w:rFonts w:ascii="Times New Roman" w:hAnsi="Times New Roman"/>
          <w:lang w:val="lt-LT"/>
        </w:rPr>
        <w:t xml:space="preserve"> fosfatas </w:t>
      </w:r>
      <w:proofErr w:type="spellStart"/>
      <w:r w:rsidRPr="00B432D6">
        <w:rPr>
          <w:rFonts w:ascii="Times New Roman" w:hAnsi="Times New Roman"/>
          <w:lang w:val="lt-LT"/>
        </w:rPr>
        <w:t>dodekahidratas</w:t>
      </w:r>
      <w:proofErr w:type="spellEnd"/>
      <w:r w:rsidRPr="00B432D6">
        <w:rPr>
          <w:rFonts w:ascii="Times New Roman" w:hAnsi="Times New Roman"/>
          <w:lang w:val="lt-LT"/>
        </w:rPr>
        <w:t>, natrio-</w:t>
      </w:r>
      <w:proofErr w:type="spellStart"/>
      <w:r w:rsidRPr="00B432D6">
        <w:rPr>
          <w:rFonts w:ascii="Times New Roman" w:hAnsi="Times New Roman"/>
          <w:lang w:val="lt-LT"/>
        </w:rPr>
        <w:t>divandenilio</w:t>
      </w:r>
      <w:proofErr w:type="spellEnd"/>
      <w:r w:rsidRPr="00B432D6">
        <w:rPr>
          <w:rFonts w:ascii="Times New Roman" w:hAnsi="Times New Roman"/>
          <w:lang w:val="lt-LT"/>
        </w:rPr>
        <w:t xml:space="preserve"> fosfatas, natrio chloridas, </w:t>
      </w:r>
      <w:proofErr w:type="spellStart"/>
      <w:r w:rsidRPr="00B432D6">
        <w:rPr>
          <w:rFonts w:ascii="Times New Roman" w:hAnsi="Times New Roman"/>
          <w:lang w:val="lt-LT"/>
        </w:rPr>
        <w:t>dinatrio</w:t>
      </w:r>
      <w:proofErr w:type="spellEnd"/>
      <w:r w:rsidRPr="00B432D6">
        <w:rPr>
          <w:rFonts w:ascii="Times New Roman" w:hAnsi="Times New Roman"/>
          <w:lang w:val="lt-LT"/>
        </w:rPr>
        <w:t xml:space="preserve"> </w:t>
      </w:r>
      <w:proofErr w:type="spellStart"/>
      <w:r w:rsidRPr="00B432D6">
        <w:rPr>
          <w:rFonts w:ascii="Times New Roman" w:hAnsi="Times New Roman"/>
          <w:lang w:val="lt-LT"/>
        </w:rPr>
        <w:t>edetatas</w:t>
      </w:r>
      <w:proofErr w:type="spellEnd"/>
      <w:r w:rsidRPr="00B432D6">
        <w:rPr>
          <w:rFonts w:ascii="Times New Roman" w:hAnsi="Times New Roman"/>
          <w:lang w:val="lt-LT"/>
        </w:rPr>
        <w:t xml:space="preserve">, </w:t>
      </w:r>
      <w:proofErr w:type="spellStart"/>
      <w:r w:rsidRPr="00B432D6">
        <w:rPr>
          <w:rFonts w:ascii="Times New Roman" w:hAnsi="Times New Roman"/>
          <w:lang w:val="lt-LT"/>
        </w:rPr>
        <w:t>benzalkonio</w:t>
      </w:r>
      <w:proofErr w:type="spellEnd"/>
      <w:r w:rsidRPr="00B432D6">
        <w:rPr>
          <w:rFonts w:ascii="Times New Roman" w:hAnsi="Times New Roman"/>
          <w:lang w:val="lt-LT"/>
        </w:rPr>
        <w:t xml:space="preserve"> chloridas, </w:t>
      </w:r>
      <w:proofErr w:type="spellStart"/>
      <w:r w:rsidRPr="00B432D6">
        <w:rPr>
          <w:rFonts w:ascii="Times New Roman" w:hAnsi="Times New Roman"/>
          <w:lang w:val="lt-LT"/>
        </w:rPr>
        <w:t>polisorbatas</w:t>
      </w:r>
      <w:proofErr w:type="spellEnd"/>
      <w:r w:rsidRPr="00B432D6">
        <w:rPr>
          <w:rFonts w:ascii="Times New Roman" w:hAnsi="Times New Roman"/>
          <w:lang w:val="lt-LT"/>
        </w:rPr>
        <w:t xml:space="preserve"> 80, etanolis (96 %), natrio </w:t>
      </w:r>
      <w:proofErr w:type="spellStart"/>
      <w:r w:rsidRPr="00B432D6">
        <w:rPr>
          <w:rFonts w:ascii="Times New Roman" w:hAnsi="Times New Roman"/>
          <w:lang w:val="lt-LT"/>
        </w:rPr>
        <w:t>hidroksidas</w:t>
      </w:r>
      <w:proofErr w:type="spellEnd"/>
      <w:r w:rsidRPr="00B432D6">
        <w:rPr>
          <w:rFonts w:ascii="Times New Roman" w:hAnsi="Times New Roman"/>
          <w:lang w:val="lt-LT"/>
        </w:rPr>
        <w:t>, išgrynintas vanduo.</w:t>
      </w:r>
    </w:p>
    <w:p w:rsidR="00D460EE" w:rsidRPr="00B432D6" w:rsidRDefault="00D460EE" w:rsidP="00D460EE">
      <w:pPr>
        <w:pStyle w:val="BTAnIIEMEASMCA"/>
      </w:pPr>
    </w:p>
    <w:p w:rsidR="00D460EE" w:rsidRPr="00B432D6" w:rsidRDefault="00D460EE" w:rsidP="00D460EE">
      <w:pPr>
        <w:pStyle w:val="PI-3EMEASMCA"/>
      </w:pPr>
      <w:proofErr w:type="spellStart"/>
      <w:r w:rsidRPr="00B432D6">
        <w:t>Dexamethasone</w:t>
      </w:r>
      <w:proofErr w:type="spellEnd"/>
      <w:r w:rsidRPr="00B432D6">
        <w:t xml:space="preserve"> </w:t>
      </w:r>
      <w:r>
        <w:t>PPH</w:t>
      </w:r>
      <w:r w:rsidRPr="00B432D6">
        <w:t xml:space="preserve"> išvaizda ir kiekis pakuotėje</w:t>
      </w:r>
    </w:p>
    <w:p w:rsidR="00D460EE" w:rsidRPr="00B432D6" w:rsidRDefault="00D460EE" w:rsidP="00D460EE">
      <w:pPr>
        <w:pStyle w:val="BTAnIIEMEASMCA"/>
      </w:pPr>
      <w:r w:rsidRPr="00B432D6">
        <w:t>Balta suspensija.</w:t>
      </w:r>
    </w:p>
    <w:p w:rsidR="00D460EE" w:rsidRPr="00B432D6" w:rsidRDefault="00D460EE" w:rsidP="00D460EE">
      <w:pPr>
        <w:spacing w:after="0" w:line="240" w:lineRule="auto"/>
        <w:ind w:left="567" w:hanging="567"/>
        <w:rPr>
          <w:rFonts w:ascii="Times New Roman" w:hAnsi="Times New Roman"/>
          <w:lang w:val="lt-LT"/>
        </w:rPr>
      </w:pPr>
      <w:r w:rsidRPr="00B432D6">
        <w:rPr>
          <w:rFonts w:ascii="Times New Roman" w:hAnsi="Times New Roman"/>
          <w:lang w:val="lt-LT"/>
        </w:rPr>
        <w:t>Kartono dėžutė, kurioje yra 10 ml stiklinis arba 5 ml polietileno buteliukas su lašintuvu.</w:t>
      </w:r>
    </w:p>
    <w:p w:rsidR="00D460EE" w:rsidRPr="00FA42B3" w:rsidRDefault="00D460EE" w:rsidP="00D460EE">
      <w:pPr>
        <w:pStyle w:val="BTAnIIEMEASMCA"/>
      </w:pPr>
    </w:p>
    <w:p w:rsidR="00D460EE" w:rsidRPr="002445B0" w:rsidRDefault="00D460EE" w:rsidP="00D460EE">
      <w:pPr>
        <w:pStyle w:val="Pagrindinistekstas"/>
        <w:spacing w:line="240" w:lineRule="auto"/>
        <w:rPr>
          <w:b w:val="0"/>
          <w:i w:val="0"/>
          <w:iCs/>
          <w:szCs w:val="22"/>
          <w:lang w:val="lt-LT"/>
        </w:rPr>
      </w:pPr>
      <w:r w:rsidRPr="00BB2893">
        <w:rPr>
          <w:i w:val="0"/>
          <w:iCs/>
        </w:rPr>
        <w:t>Registruotojas</w:t>
      </w:r>
    </w:p>
    <w:p w:rsidR="00D460EE" w:rsidRDefault="00D460EE" w:rsidP="00D460EE">
      <w:pPr>
        <w:pStyle w:val="prastasiniatinklio"/>
        <w:spacing w:before="0" w:beforeAutospacing="0" w:after="0" w:afterAutospacing="0"/>
        <w:rPr>
          <w:sz w:val="22"/>
          <w:szCs w:val="22"/>
          <w:lang w:val="pl-PL"/>
        </w:rPr>
      </w:pPr>
      <w:r>
        <w:rPr>
          <w:sz w:val="22"/>
          <w:szCs w:val="22"/>
          <w:lang w:val="pl-PL"/>
        </w:rPr>
        <w:t>Zakłady Farmaceutyczne POLPHARMA S.A.</w:t>
      </w:r>
    </w:p>
    <w:p w:rsidR="00D460EE" w:rsidRDefault="00D460EE" w:rsidP="00D460EE">
      <w:pPr>
        <w:pStyle w:val="prastasiniatinklio"/>
        <w:spacing w:before="0" w:beforeAutospacing="0" w:after="0" w:afterAutospacing="0"/>
        <w:rPr>
          <w:sz w:val="22"/>
          <w:szCs w:val="22"/>
          <w:lang w:val="pl-PL"/>
        </w:rPr>
      </w:pPr>
      <w:proofErr w:type="gramStart"/>
      <w:r>
        <w:rPr>
          <w:sz w:val="22"/>
          <w:szCs w:val="22"/>
          <w:lang w:val="pl-PL"/>
        </w:rPr>
        <w:t>ul</w:t>
      </w:r>
      <w:proofErr w:type="gramEnd"/>
      <w:r>
        <w:rPr>
          <w:sz w:val="22"/>
          <w:szCs w:val="22"/>
          <w:lang w:val="pl-PL"/>
        </w:rPr>
        <w:t>. Pelplińska 19, 83-200 Starogard Gdański</w:t>
      </w:r>
    </w:p>
    <w:p w:rsidR="00D460EE" w:rsidRPr="0025373C" w:rsidRDefault="00D460EE" w:rsidP="00D460EE">
      <w:pPr>
        <w:pStyle w:val="Pagrindinistekstas"/>
        <w:spacing w:line="240" w:lineRule="auto"/>
        <w:rPr>
          <w:b w:val="0"/>
          <w:bCs/>
          <w:i w:val="0"/>
          <w:iCs/>
          <w:szCs w:val="22"/>
          <w:lang w:val="lt-LT"/>
        </w:rPr>
      </w:pPr>
      <w:r w:rsidRPr="00B432D6">
        <w:rPr>
          <w:b w:val="0"/>
          <w:i w:val="0"/>
          <w:szCs w:val="22"/>
          <w:lang w:val="lt-LT"/>
        </w:rPr>
        <w:t>Lenkija</w:t>
      </w:r>
    </w:p>
    <w:p w:rsidR="00D460EE" w:rsidRPr="000A5AE6" w:rsidRDefault="00D460EE" w:rsidP="00D460EE">
      <w:pPr>
        <w:pStyle w:val="BTAnIIEMEASMCA"/>
      </w:pPr>
    </w:p>
    <w:p w:rsidR="00D460EE" w:rsidRPr="004F0442" w:rsidRDefault="00D460EE" w:rsidP="00D460EE">
      <w:pPr>
        <w:pStyle w:val="BTAnIIEMEASMCA"/>
        <w:rPr>
          <w:b/>
          <w:bCs/>
        </w:rPr>
      </w:pPr>
      <w:r w:rsidRPr="004F0442">
        <w:rPr>
          <w:b/>
          <w:bCs/>
        </w:rPr>
        <w:t>Gamintojas</w:t>
      </w:r>
    </w:p>
    <w:p w:rsidR="00D460EE" w:rsidRPr="004F0442" w:rsidRDefault="00D460EE" w:rsidP="00D460EE">
      <w:pPr>
        <w:spacing w:after="0" w:line="240" w:lineRule="auto"/>
        <w:rPr>
          <w:rFonts w:ascii="Times New Roman" w:hAnsi="Times New Roman"/>
          <w:color w:val="000000"/>
          <w:lang w:val="en-US"/>
        </w:rPr>
      </w:pPr>
      <w:proofErr w:type="spellStart"/>
      <w:r w:rsidRPr="004F0442">
        <w:rPr>
          <w:rFonts w:ascii="Times New Roman" w:hAnsi="Times New Roman"/>
          <w:color w:val="000000"/>
          <w:lang w:val="en-US"/>
        </w:rPr>
        <w:t>R</w:t>
      </w:r>
      <w:r w:rsidRPr="004F0442">
        <w:rPr>
          <w:rFonts w:ascii="Times New Roman" w:hAnsi="Times New Roman"/>
          <w:lang w:val="en-US"/>
        </w:rPr>
        <w:t>ompharm</w:t>
      </w:r>
      <w:proofErr w:type="spellEnd"/>
      <w:r w:rsidRPr="004F0442">
        <w:rPr>
          <w:rFonts w:ascii="Times New Roman" w:hAnsi="Times New Roman"/>
          <w:color w:val="000000"/>
          <w:lang w:val="en-US"/>
        </w:rPr>
        <w:t xml:space="preserve"> Company SRL</w:t>
      </w:r>
    </w:p>
    <w:p w:rsidR="00D460EE" w:rsidRPr="006C3502" w:rsidRDefault="00D460EE" w:rsidP="00D460EE">
      <w:pPr>
        <w:spacing w:after="0" w:line="240" w:lineRule="auto"/>
        <w:rPr>
          <w:rFonts w:ascii="Times New Roman" w:hAnsi="Times New Roman"/>
          <w:color w:val="000000"/>
          <w:lang w:val="en-US"/>
        </w:rPr>
      </w:pPr>
      <w:r w:rsidRPr="006C3502">
        <w:rPr>
          <w:rFonts w:ascii="Times New Roman" w:hAnsi="Times New Roman"/>
          <w:color w:val="000000"/>
          <w:lang w:val="en-US"/>
        </w:rPr>
        <w:t xml:space="preserve">1A </w:t>
      </w:r>
      <w:proofErr w:type="spellStart"/>
      <w:r w:rsidRPr="006C3502">
        <w:rPr>
          <w:rFonts w:ascii="Times New Roman" w:hAnsi="Times New Roman"/>
          <w:color w:val="000000"/>
          <w:lang w:val="en-US"/>
        </w:rPr>
        <w:t>Eroilor</w:t>
      </w:r>
      <w:proofErr w:type="spellEnd"/>
      <w:r w:rsidRPr="006C3502">
        <w:rPr>
          <w:rFonts w:ascii="Times New Roman" w:hAnsi="Times New Roman"/>
          <w:color w:val="000000"/>
          <w:lang w:val="en-US"/>
        </w:rPr>
        <w:t xml:space="preserve"> Street, </w:t>
      </w:r>
      <w:r w:rsidRPr="006C3502">
        <w:rPr>
          <w:rFonts w:ascii="Times New Roman" w:hAnsi="Times New Roman"/>
          <w:lang w:val="en-US"/>
        </w:rPr>
        <w:t>075100</w:t>
      </w:r>
      <w:r w:rsidRPr="006C3502">
        <w:rPr>
          <w:rFonts w:ascii="Times New Roman" w:hAnsi="Times New Roman"/>
          <w:color w:val="000000"/>
          <w:lang w:val="en-US"/>
        </w:rPr>
        <w:t xml:space="preserve"> </w:t>
      </w:r>
      <w:proofErr w:type="spellStart"/>
      <w:r w:rsidRPr="006C3502">
        <w:rPr>
          <w:rFonts w:ascii="Times New Roman" w:hAnsi="Times New Roman"/>
          <w:color w:val="000000"/>
          <w:lang w:val="en-US"/>
        </w:rPr>
        <w:t>Otopeni</w:t>
      </w:r>
      <w:proofErr w:type="spellEnd"/>
      <w:r w:rsidRPr="006C3502">
        <w:rPr>
          <w:rFonts w:ascii="Times New Roman" w:hAnsi="Times New Roman"/>
          <w:color w:val="000000"/>
          <w:lang w:val="en-US"/>
        </w:rPr>
        <w:t xml:space="preserve">, </w:t>
      </w:r>
      <w:proofErr w:type="spellStart"/>
      <w:r w:rsidRPr="006C3502">
        <w:rPr>
          <w:rFonts w:ascii="Times New Roman" w:hAnsi="Times New Roman"/>
          <w:color w:val="000000"/>
          <w:lang w:val="en-US"/>
        </w:rPr>
        <w:t>Ilfov</w:t>
      </w:r>
      <w:proofErr w:type="spellEnd"/>
    </w:p>
    <w:p w:rsidR="00D460EE" w:rsidRPr="00BB2893" w:rsidRDefault="00D460EE" w:rsidP="00D460EE">
      <w:pPr>
        <w:pStyle w:val="BTAnIIEMEASMCA"/>
      </w:pPr>
      <w:r w:rsidRPr="00FA42B3">
        <w:rPr>
          <w:rStyle w:val="jlqj4b"/>
        </w:rPr>
        <w:t>Rumunija</w:t>
      </w:r>
    </w:p>
    <w:p w:rsidR="00D460EE" w:rsidRPr="000A5AE6" w:rsidRDefault="00D460EE" w:rsidP="00D460EE">
      <w:pPr>
        <w:pStyle w:val="BTAnIIEMEASMCA"/>
      </w:pPr>
    </w:p>
    <w:p w:rsidR="00D460EE" w:rsidRPr="00B432D6" w:rsidRDefault="00D460EE" w:rsidP="00D460EE">
      <w:pPr>
        <w:pStyle w:val="BTAnIIEMEASMCA"/>
      </w:pPr>
      <w:r w:rsidRPr="00B432D6">
        <w:t xml:space="preserve">Jeigu apie šį vaistą norite sužinoti daugiau, kreipkitės </w:t>
      </w:r>
      <w:r w:rsidRPr="00B432D6">
        <w:rPr>
          <w:noProof/>
        </w:rPr>
        <w:t>į vietinį registruotojo atstovą</w:t>
      </w:r>
      <w:r w:rsidRPr="00B432D6">
        <w:t>.</w:t>
      </w:r>
    </w:p>
    <w:p w:rsidR="00D460EE" w:rsidRPr="00B432D6" w:rsidRDefault="00D460EE" w:rsidP="00D460EE">
      <w:pPr>
        <w:spacing w:after="0" w:line="240" w:lineRule="auto"/>
        <w:rPr>
          <w:rFonts w:ascii="Times New Roman" w:hAnsi="Times New Roman"/>
          <w:lang w:val="lt-LT"/>
        </w:rPr>
      </w:pPr>
    </w:p>
    <w:p w:rsidR="00D460EE" w:rsidRPr="00B432D6" w:rsidRDefault="00D460EE" w:rsidP="00D460EE">
      <w:pPr>
        <w:spacing w:after="0" w:line="240" w:lineRule="auto"/>
        <w:rPr>
          <w:rFonts w:ascii="Times New Roman" w:hAnsi="Times New Roman"/>
          <w:spacing w:val="4"/>
          <w:lang w:val="lt-LT"/>
        </w:rPr>
      </w:pPr>
      <w:r w:rsidRPr="00B432D6">
        <w:rPr>
          <w:rFonts w:ascii="Times New Roman" w:hAnsi="Times New Roman"/>
          <w:spacing w:val="4"/>
          <w:lang w:val="lt-LT"/>
        </w:rPr>
        <w:t xml:space="preserve">POLPHARMA S.A. atstovybė </w:t>
      </w:r>
    </w:p>
    <w:p w:rsidR="00D460EE" w:rsidRPr="00B432D6" w:rsidRDefault="00D460EE" w:rsidP="00D460EE">
      <w:pPr>
        <w:spacing w:after="0" w:line="240" w:lineRule="auto"/>
        <w:rPr>
          <w:rFonts w:ascii="Times New Roman" w:hAnsi="Times New Roman"/>
          <w:spacing w:val="4"/>
          <w:lang w:val="lt-LT"/>
        </w:rPr>
      </w:pPr>
      <w:r w:rsidRPr="00B432D6">
        <w:rPr>
          <w:rFonts w:ascii="Times New Roman" w:hAnsi="Times New Roman"/>
          <w:spacing w:val="4"/>
          <w:lang w:val="lt-LT"/>
        </w:rPr>
        <w:t>E. Ožeškienės g. 18A</w:t>
      </w:r>
    </w:p>
    <w:p w:rsidR="00D460EE" w:rsidRPr="00B432D6" w:rsidRDefault="00D460EE" w:rsidP="00D460EE">
      <w:pPr>
        <w:spacing w:after="0" w:line="240" w:lineRule="auto"/>
        <w:rPr>
          <w:rFonts w:ascii="Times New Roman" w:hAnsi="Times New Roman"/>
          <w:spacing w:val="4"/>
          <w:lang w:val="lt-LT"/>
        </w:rPr>
      </w:pPr>
      <w:r w:rsidRPr="00B432D6">
        <w:rPr>
          <w:rFonts w:ascii="Times New Roman" w:hAnsi="Times New Roman"/>
          <w:spacing w:val="4"/>
          <w:lang w:val="lt-LT"/>
        </w:rPr>
        <w:t>LT-44254 Kaunas</w:t>
      </w:r>
    </w:p>
    <w:p w:rsidR="00D460EE" w:rsidRPr="00B432D6" w:rsidRDefault="00D460EE" w:rsidP="00D460EE">
      <w:pPr>
        <w:spacing w:after="0" w:line="240" w:lineRule="auto"/>
        <w:rPr>
          <w:rFonts w:ascii="Times New Roman" w:hAnsi="Times New Roman"/>
          <w:lang w:val="lt-LT"/>
        </w:rPr>
      </w:pPr>
      <w:r w:rsidRPr="00B432D6">
        <w:rPr>
          <w:rFonts w:ascii="Times New Roman" w:hAnsi="Times New Roman"/>
          <w:spacing w:val="4"/>
          <w:lang w:val="lt-LT"/>
        </w:rPr>
        <w:t>Tel. +370 37 325131</w:t>
      </w:r>
    </w:p>
    <w:p w:rsidR="00D460EE" w:rsidRPr="00B432D6" w:rsidRDefault="00D460EE" w:rsidP="00D460EE">
      <w:pPr>
        <w:pStyle w:val="BTAnIIEMEASMCA"/>
      </w:pPr>
    </w:p>
    <w:p w:rsidR="00D460EE" w:rsidRPr="00353B3E" w:rsidRDefault="00D460EE" w:rsidP="00D460EE">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Šis</w:t>
      </w:r>
      <w:r w:rsidRPr="00B432D6">
        <w:rPr>
          <w:rFonts w:ascii="Times New Roman" w:hAnsi="Times New Roman"/>
          <w:b/>
          <w:bCs/>
          <w:sz w:val="22"/>
          <w:szCs w:val="22"/>
          <w:lang w:val="lt-LT"/>
        </w:rPr>
        <w:t xml:space="preserve"> pakuotės lapelis</w:t>
      </w:r>
      <w:r w:rsidRPr="00B432D6">
        <w:rPr>
          <w:rFonts w:ascii="Times New Roman" w:hAnsi="Times New Roman"/>
          <w:b/>
          <w:sz w:val="22"/>
          <w:szCs w:val="22"/>
          <w:lang w:val="lt-LT"/>
        </w:rPr>
        <w:t xml:space="preserve"> paskutinį kartą peržiūrėtas</w:t>
      </w:r>
      <w:r>
        <w:rPr>
          <w:rFonts w:ascii="Times New Roman" w:hAnsi="Times New Roman"/>
          <w:b/>
          <w:sz w:val="22"/>
          <w:szCs w:val="22"/>
          <w:lang w:val="lt-LT"/>
        </w:rPr>
        <w:t xml:space="preserve"> 2024-03-01.</w:t>
      </w:r>
    </w:p>
    <w:p w:rsidR="00D460EE" w:rsidRPr="00B432D6" w:rsidRDefault="00D460EE" w:rsidP="00D460EE">
      <w:pPr>
        <w:spacing w:after="0" w:line="240" w:lineRule="auto"/>
        <w:rPr>
          <w:rFonts w:ascii="Times New Roman" w:hAnsi="Times New Roman"/>
          <w:lang w:val="lt-LT"/>
        </w:rPr>
      </w:pPr>
    </w:p>
    <w:p w:rsidR="00D460EE" w:rsidRPr="005F7790" w:rsidRDefault="00D460EE" w:rsidP="00D460EE">
      <w:pPr>
        <w:pStyle w:val="BTAnIIEMEASMCA"/>
      </w:pPr>
      <w:r w:rsidRPr="00B432D6">
        <w:t xml:space="preserve">Išsami informacija apie šį vaistą pateikiama Valstybinės vaistų kontrolės tarnybos prie Lietuvos Respublikos sveikatos apsaugos ministerijos tinklalapyje </w:t>
      </w:r>
      <w:hyperlink r:id="rId8" w:history="1">
        <w:r w:rsidRPr="00B432D6">
          <w:rPr>
            <w:rStyle w:val="Hipersaitas"/>
          </w:rPr>
          <w:t>http://www.vvkt.lt/</w:t>
        </w:r>
      </w:hyperlink>
      <w:r w:rsidRPr="00B432D6">
        <w:t xml:space="preserve">. </w:t>
      </w:r>
    </w:p>
    <w:p w:rsidR="00BA6577" w:rsidRDefault="00BA6577">
      <w:bookmarkStart w:id="14" w:name="_GoBack"/>
      <w:bookmarkEnd w:id="14"/>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C66"/>
    <w:multiLevelType w:val="hybridMultilevel"/>
    <w:tmpl w:val="244250EE"/>
    <w:lvl w:ilvl="0" w:tplc="FFFFFFFF">
      <w:start w:val="1"/>
      <w:numFmt w:val="bullet"/>
      <w:lvlText w:val=""/>
      <w:legacy w:legacy="1" w:legacySpace="284"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B4488"/>
    <w:multiLevelType w:val="hybridMultilevel"/>
    <w:tmpl w:val="244250EE"/>
    <w:lvl w:ilvl="0" w:tplc="A7F864D4">
      <w:numFmt w:val="bullet"/>
      <w:lvlText w:val="-"/>
      <w:lvlJc w:val="left"/>
      <w:pPr>
        <w:tabs>
          <w:tab w:val="num" w:pos="644"/>
        </w:tabs>
        <w:ind w:left="568"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AF41CF"/>
    <w:multiLevelType w:val="hybridMultilevel"/>
    <w:tmpl w:val="B4A6D94E"/>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EE"/>
    <w:rsid w:val="00181364"/>
    <w:rsid w:val="003362C6"/>
    <w:rsid w:val="00BA6577"/>
    <w:rsid w:val="00D46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AC7D8-5E59-4E37-9715-D47E6A67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60EE"/>
    <w:rPr>
      <w:rFonts w:ascii="Calibri" w:eastAsia="Calibri" w:hAnsi="Calibri" w:cs="Times New Roman"/>
      <w:lang w:val="pl-PL"/>
    </w:rPr>
  </w:style>
  <w:style w:type="paragraph" w:styleId="Antrat1">
    <w:name w:val="heading 1"/>
    <w:basedOn w:val="prastasis"/>
    <w:next w:val="prastasis"/>
    <w:link w:val="Antrat1Diagrama"/>
    <w:uiPriority w:val="9"/>
    <w:qFormat/>
    <w:rsid w:val="00D46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460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460EE"/>
    <w:rPr>
      <w:color w:val="0000FF"/>
      <w:u w:val="single"/>
    </w:rPr>
  </w:style>
  <w:style w:type="paragraph" w:customStyle="1" w:styleId="PI-1EMEASMCA">
    <w:name w:val="PI-1 EMEA_SMCA"/>
    <w:basedOn w:val="Antrat2"/>
    <w:autoRedefine/>
    <w:rsid w:val="00D460EE"/>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TTEMEASMCA">
    <w:name w:val="TT EMEA_SMCA"/>
    <w:basedOn w:val="Antrat1"/>
    <w:link w:val="TTEMEASMCAChar"/>
    <w:autoRedefine/>
    <w:rsid w:val="00D460EE"/>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D460E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460EE"/>
    <w:pPr>
      <w:tabs>
        <w:tab w:val="left" w:pos="567"/>
      </w:tabs>
    </w:pPr>
    <w:rPr>
      <w:rFonts w:ascii="Times New Roman" w:eastAsia="Times New Roman" w:hAnsi="Times New Roman" w:cs="Tahoma"/>
      <w:iCs/>
      <w:sz w:val="22"/>
      <w:szCs w:val="22"/>
      <w:lang w:val="lt-LT"/>
    </w:rPr>
  </w:style>
  <w:style w:type="paragraph" w:customStyle="1" w:styleId="PI-3EMEASMCA">
    <w:name w:val="PI-3 EMEA_SMCA"/>
    <w:basedOn w:val="prastasis"/>
    <w:autoRedefine/>
    <w:rsid w:val="00D460EE"/>
    <w:pPr>
      <w:spacing w:after="0" w:line="240" w:lineRule="auto"/>
    </w:pPr>
    <w:rPr>
      <w:rFonts w:ascii="Times New Roman" w:eastAsia="Times New Roman" w:hAnsi="Times New Roman"/>
      <w:b/>
      <w:bCs/>
      <w:lang w:val="lt-LT"/>
    </w:rPr>
  </w:style>
  <w:style w:type="paragraph" w:styleId="Paprastasistekstas">
    <w:name w:val="Plain Text"/>
    <w:basedOn w:val="prastasis"/>
    <w:link w:val="PaprastasistekstasDiagrama"/>
    <w:rsid w:val="00D460EE"/>
    <w:pPr>
      <w:spacing w:after="0" w:line="240" w:lineRule="auto"/>
    </w:pPr>
    <w:rPr>
      <w:rFonts w:ascii="Courier New" w:eastAsia="Times New Roman" w:hAnsi="Courier New"/>
      <w:sz w:val="20"/>
      <w:szCs w:val="20"/>
      <w:lang w:eastAsia="pl-PL"/>
    </w:rPr>
  </w:style>
  <w:style w:type="character" w:customStyle="1" w:styleId="PaprastasistekstasDiagrama">
    <w:name w:val="Paprastasis tekstas Diagrama"/>
    <w:basedOn w:val="Numatytasispastraiposriftas"/>
    <w:link w:val="Paprastasistekstas"/>
    <w:rsid w:val="00D460EE"/>
    <w:rPr>
      <w:rFonts w:ascii="Courier New" w:eastAsia="Times New Roman" w:hAnsi="Courier New" w:cs="Times New Roman"/>
      <w:sz w:val="20"/>
      <w:szCs w:val="20"/>
      <w:lang w:val="pl-PL" w:eastAsia="pl-PL"/>
    </w:rPr>
  </w:style>
  <w:style w:type="paragraph" w:styleId="Pagrindinistekstas">
    <w:name w:val="Body Text"/>
    <w:basedOn w:val="prastasis"/>
    <w:link w:val="PagrindinistekstasDiagrama"/>
    <w:rsid w:val="00D460EE"/>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basedOn w:val="Numatytasispastraiposriftas"/>
    <w:link w:val="Pagrindinistekstas"/>
    <w:rsid w:val="00D460EE"/>
    <w:rPr>
      <w:rFonts w:ascii="Times New Roman" w:eastAsia="Times New Roman" w:hAnsi="Times New Roman" w:cs="Times New Roman"/>
      <w:b/>
      <w:i/>
      <w:szCs w:val="20"/>
      <w:lang w:val="cs-CZ"/>
    </w:rPr>
  </w:style>
  <w:style w:type="paragraph" w:styleId="Komentarotekstas">
    <w:name w:val="annotation text"/>
    <w:basedOn w:val="prastasis"/>
    <w:link w:val="KomentarotekstasDiagrama"/>
    <w:semiHidden/>
    <w:rsid w:val="00D460EE"/>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basedOn w:val="Numatytasispastraiposriftas"/>
    <w:link w:val="Komentarotekstas"/>
    <w:semiHidden/>
    <w:rsid w:val="00D460EE"/>
    <w:rPr>
      <w:rFonts w:ascii="Times New Roman" w:eastAsia="Times New Roman" w:hAnsi="Times New Roman" w:cs="Times New Roman"/>
      <w:sz w:val="20"/>
      <w:szCs w:val="20"/>
    </w:rPr>
  </w:style>
  <w:style w:type="paragraph" w:customStyle="1" w:styleId="Default">
    <w:name w:val="Default"/>
    <w:rsid w:val="00D460EE"/>
    <w:pPr>
      <w:autoSpaceDE w:val="0"/>
      <w:autoSpaceDN w:val="0"/>
      <w:adjustRightInd w:val="0"/>
      <w:spacing w:after="0" w:line="240" w:lineRule="auto"/>
    </w:pPr>
    <w:rPr>
      <w:rFonts w:ascii="Verdana" w:eastAsia="Calibri" w:hAnsi="Verdana" w:cs="Verdana"/>
      <w:color w:val="000000"/>
      <w:sz w:val="24"/>
      <w:szCs w:val="24"/>
      <w:lang w:val="pl-PL" w:eastAsia="pl-PL"/>
    </w:rPr>
  </w:style>
  <w:style w:type="character" w:customStyle="1" w:styleId="tlid-translation">
    <w:name w:val="tlid-translation"/>
    <w:basedOn w:val="Numatytasispastraiposriftas"/>
    <w:rsid w:val="00D460EE"/>
  </w:style>
  <w:style w:type="character" w:customStyle="1" w:styleId="jlqj4b">
    <w:name w:val="jlqj4b"/>
    <w:basedOn w:val="Numatytasispastraiposriftas"/>
    <w:rsid w:val="00D460EE"/>
  </w:style>
  <w:style w:type="paragraph" w:styleId="prastasiniatinklio">
    <w:name w:val="Normal (Web)"/>
    <w:basedOn w:val="prastasis"/>
    <w:uiPriority w:val="99"/>
    <w:semiHidden/>
    <w:unhideWhenUsed/>
    <w:rsid w:val="00D460E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ntrat2Diagrama">
    <w:name w:val="Antraštė 2 Diagrama"/>
    <w:basedOn w:val="Numatytasispastraiposriftas"/>
    <w:link w:val="Antrat2"/>
    <w:uiPriority w:val="9"/>
    <w:semiHidden/>
    <w:rsid w:val="00D460EE"/>
    <w:rPr>
      <w:rFonts w:asciiTheme="majorHAnsi" w:eastAsiaTheme="majorEastAsia" w:hAnsiTheme="majorHAnsi" w:cstheme="majorBidi"/>
      <w:color w:val="2E74B5" w:themeColor="accent1" w:themeShade="BF"/>
      <w:sz w:val="26"/>
      <w:szCs w:val="26"/>
      <w:lang w:val="pl-PL"/>
    </w:rPr>
  </w:style>
  <w:style w:type="character" w:customStyle="1" w:styleId="Antrat1Diagrama">
    <w:name w:val="Antraštė 1 Diagrama"/>
    <w:basedOn w:val="Numatytasispastraiposriftas"/>
    <w:link w:val="Antrat1"/>
    <w:uiPriority w:val="9"/>
    <w:rsid w:val="00D460EE"/>
    <w:rPr>
      <w:rFonts w:asciiTheme="majorHAnsi" w:eastAsiaTheme="majorEastAsia" w:hAnsiTheme="majorHAnsi" w:cstheme="majorBidi"/>
      <w:color w:val="2E74B5" w:themeColor="accent1" w:themeShade="BF"/>
      <w:sz w:val="32"/>
      <w:szCs w:val="32"/>
      <w:lang w:val="pl-PL"/>
    </w:rPr>
  </w:style>
  <w:style w:type="paragraph" w:styleId="Debesliotekstas">
    <w:name w:val="Balloon Text"/>
    <w:basedOn w:val="prastasis"/>
    <w:link w:val="DebesliotekstasDiagrama"/>
    <w:uiPriority w:val="99"/>
    <w:semiHidden/>
    <w:unhideWhenUsed/>
    <w:rsid w:val="00D460E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60EE"/>
    <w:rPr>
      <w:rFonts w:ascii="Segoe UI" w:eastAsia="Calibr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7656</Words>
  <Characters>4364</Characters>
  <Application>Microsoft Office Word</Application>
  <DocSecurity>0</DocSecurity>
  <Lines>36</Lines>
  <Paragraphs>23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pacientui </vt:lpstr>
      <vt:lpstr>    1.	Kas yra Dexamethasone PPH ir kam jis vartojamas</vt:lpstr>
      <vt:lpstr>    2.	Kas žinotina prieš vartojant Dexamethasone PPH</vt:lpstr>
      <vt:lpstr>    3.	Kaip vartoti Dexamethasone PPH</vt:lpstr>
      <vt:lpstr>    4.	Galimas šalutinis poveikis</vt:lpstr>
      <vt:lpstr>    5.	Kaip laikyti Dexamethasone PPH</vt:lpstr>
      <vt:lpstr>    6.	Pakuotės turinys ir kita informacija</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2024-02-28T14:03:00Z</dcterms:created>
  <dcterms:modified xsi:type="dcterms:W3CDTF">2024-02-28T14:04:00Z</dcterms:modified>
</cp:coreProperties>
</file>