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30" w:rsidRPr="009935C5" w:rsidRDefault="00083430" w:rsidP="00083430">
      <w:pPr>
        <w:spacing w:after="0" w:line="240" w:lineRule="auto"/>
        <w:jc w:val="center"/>
        <w:rPr>
          <w:rFonts w:ascii="Times New Roman" w:hAnsi="Times New Roman"/>
          <w:b/>
        </w:rPr>
      </w:pPr>
      <w:r w:rsidRPr="009935C5">
        <w:rPr>
          <w:rFonts w:ascii="Times New Roman" w:hAnsi="Times New Roman"/>
          <w:b/>
        </w:rPr>
        <w:t>Pakuotės lapelis:</w:t>
      </w:r>
      <w:r w:rsidRPr="009935C5">
        <w:rPr>
          <w:rFonts w:ascii="Times New Roman" w:eastAsia="Calibri" w:hAnsi="Times New Roman" w:cs="Times New Roman"/>
          <w:b/>
          <w:lang w:val="lv-LV"/>
        </w:rPr>
        <w:t xml:space="preserve"> informacija vartotojui</w:t>
      </w:r>
    </w:p>
    <w:p w:rsidR="00083430" w:rsidRPr="009935C5" w:rsidRDefault="00083430" w:rsidP="00083430">
      <w:pPr>
        <w:spacing w:after="0" w:line="240" w:lineRule="auto"/>
        <w:jc w:val="center"/>
        <w:rPr>
          <w:rFonts w:ascii="Times New Roman" w:hAnsi="Times New Roman"/>
          <w:b/>
        </w:rPr>
      </w:pPr>
    </w:p>
    <w:p w:rsidR="00083430" w:rsidRPr="009935C5" w:rsidRDefault="00083430" w:rsidP="00083430">
      <w:pPr>
        <w:numPr>
          <w:ilvl w:val="12"/>
          <w:numId w:val="0"/>
        </w:numPr>
        <w:spacing w:after="0" w:line="240" w:lineRule="auto"/>
        <w:jc w:val="center"/>
        <w:rPr>
          <w:rFonts w:ascii="Times New Roman" w:hAnsi="Times New Roman"/>
          <w:b/>
        </w:rPr>
      </w:pPr>
      <w:proofErr w:type="spellStart"/>
      <w:r w:rsidRPr="009935C5">
        <w:rPr>
          <w:rFonts w:ascii="Times New Roman" w:hAnsi="Times New Roman"/>
          <w:b/>
        </w:rPr>
        <w:t>Molaxole</w:t>
      </w:r>
      <w:proofErr w:type="spellEnd"/>
      <w:r w:rsidRPr="009935C5">
        <w:rPr>
          <w:rFonts w:ascii="Times New Roman" w:hAnsi="Times New Roman"/>
          <w:b/>
        </w:rPr>
        <w:t xml:space="preserve"> milteliai geriamajam tirpalui </w:t>
      </w:r>
    </w:p>
    <w:p w:rsidR="00083430" w:rsidRPr="009935C5" w:rsidRDefault="00083430" w:rsidP="00083430">
      <w:pPr>
        <w:numPr>
          <w:ilvl w:val="12"/>
          <w:numId w:val="0"/>
        </w:numPr>
        <w:spacing w:after="0" w:line="240" w:lineRule="auto"/>
        <w:jc w:val="center"/>
        <w:rPr>
          <w:rFonts w:ascii="Times New Roman" w:hAnsi="Times New Roman"/>
        </w:rPr>
      </w:pPr>
      <w:proofErr w:type="spellStart"/>
      <w:r w:rsidRPr="009935C5">
        <w:rPr>
          <w:rFonts w:ascii="Times New Roman" w:hAnsi="Times New Roman"/>
        </w:rPr>
        <w:t>Makrogolis</w:t>
      </w:r>
      <w:proofErr w:type="spellEnd"/>
      <w:r w:rsidRPr="009935C5">
        <w:rPr>
          <w:rFonts w:ascii="Times New Roman" w:hAnsi="Times New Roman"/>
        </w:rPr>
        <w:t xml:space="preserve"> 3350 / </w:t>
      </w:r>
      <w:r w:rsidRPr="009935C5">
        <w:rPr>
          <w:rFonts w:ascii="Times New Roman" w:eastAsia="Calibri" w:hAnsi="Times New Roman" w:cs="Times New Roman"/>
          <w:lang w:val="lv-LV"/>
        </w:rPr>
        <w:t>Natrio</w:t>
      </w:r>
      <w:r w:rsidRPr="009935C5">
        <w:rPr>
          <w:rFonts w:ascii="Times New Roman" w:hAnsi="Times New Roman"/>
        </w:rPr>
        <w:t xml:space="preserve"> chloridas / </w:t>
      </w:r>
      <w:r w:rsidRPr="009935C5">
        <w:rPr>
          <w:rFonts w:ascii="Times New Roman" w:eastAsia="Calibri" w:hAnsi="Times New Roman" w:cs="Times New Roman"/>
          <w:lang w:val="lv-LV"/>
        </w:rPr>
        <w:t>Natrio-vandenilio karbonatas/ Kalio chloridas</w:t>
      </w:r>
    </w:p>
    <w:p w:rsidR="00083430" w:rsidRPr="009935C5" w:rsidRDefault="00083430" w:rsidP="00083430">
      <w:pPr>
        <w:spacing w:after="0" w:line="240" w:lineRule="auto"/>
        <w:jc w:val="center"/>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b/>
        </w:rPr>
        <w:t>Atidžiai perskaitykite visą šį lapelį, prieš pradėdami vartoti šį vaistą, nes jame pateikiama Jums svarbi informacija.</w:t>
      </w: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Visada vartokite šį vaistą tiksliai kaip aprašyta šiame lapelyje arba kaip nurodė gydytojas arba vaistininkas.</w:t>
      </w:r>
    </w:p>
    <w:p w:rsidR="00083430" w:rsidRPr="009935C5" w:rsidRDefault="00083430" w:rsidP="00083430">
      <w:pPr>
        <w:numPr>
          <w:ilvl w:val="0"/>
          <w:numId w:val="4"/>
        </w:numPr>
        <w:spacing w:after="0" w:line="240" w:lineRule="auto"/>
        <w:ind w:left="567" w:hanging="567"/>
        <w:contextualSpacing/>
        <w:rPr>
          <w:rFonts w:ascii="Times New Roman" w:hAnsi="Times New Roman"/>
        </w:rPr>
      </w:pPr>
      <w:r w:rsidRPr="009935C5">
        <w:rPr>
          <w:rFonts w:ascii="Times New Roman" w:hAnsi="Times New Roman"/>
        </w:rPr>
        <w:t xml:space="preserve">Neišmeskite šio lapelio, nes vėl </w:t>
      </w:r>
      <w:r w:rsidRPr="009935C5">
        <w:rPr>
          <w:rFonts w:ascii="Times New Roman" w:eastAsia="Calibri" w:hAnsi="Times New Roman" w:cs="Times New Roman"/>
          <w:lang w:val="lv-LV"/>
        </w:rPr>
        <w:t>gali prireikti jį perskaityti.</w:t>
      </w:r>
    </w:p>
    <w:p w:rsidR="00083430" w:rsidRPr="009935C5" w:rsidRDefault="00083430" w:rsidP="00083430">
      <w:pPr>
        <w:numPr>
          <w:ilvl w:val="0"/>
          <w:numId w:val="4"/>
        </w:numPr>
        <w:spacing w:after="0" w:line="240" w:lineRule="auto"/>
        <w:ind w:left="567" w:hanging="567"/>
        <w:contextualSpacing/>
        <w:rPr>
          <w:rFonts w:ascii="Times New Roman" w:hAnsi="Times New Roman"/>
        </w:rPr>
      </w:pPr>
      <w:r w:rsidRPr="009935C5">
        <w:rPr>
          <w:rFonts w:ascii="Times New Roman" w:hAnsi="Times New Roman"/>
        </w:rPr>
        <w:t>Jeigu norite sužinoti daugiau arba pasitarti, kreipkitės į vaistininką.</w:t>
      </w:r>
    </w:p>
    <w:p w:rsidR="00083430" w:rsidRPr="00B30670" w:rsidRDefault="00083430" w:rsidP="00083430">
      <w:pPr>
        <w:numPr>
          <w:ilvl w:val="0"/>
          <w:numId w:val="4"/>
        </w:numPr>
        <w:tabs>
          <w:tab w:val="left" w:pos="567"/>
        </w:tabs>
        <w:spacing w:after="0" w:line="260" w:lineRule="exact"/>
        <w:ind w:left="567" w:hanging="567"/>
        <w:contextualSpacing/>
        <w:rPr>
          <w:rFonts w:ascii="Times New Roman" w:hAnsi="Times New Roman"/>
        </w:rPr>
      </w:pPr>
      <w:r w:rsidRPr="009935C5">
        <w:rPr>
          <w:rFonts w:ascii="Times New Roman" w:hAnsi="Times New Roman"/>
        </w:rPr>
        <w:t>Jeigu pasireiškė šalutinis poveikis</w:t>
      </w:r>
      <w:r w:rsidRPr="009935C5">
        <w:rPr>
          <w:rFonts w:ascii="Times New Roman" w:eastAsia="Calibri" w:hAnsi="Times New Roman" w:cs="Times New Roman"/>
          <w:lang w:val="lv-LV"/>
        </w:rPr>
        <w:t xml:space="preserve"> (net jeigu jis šiame lapelyje nenurodytas), kreipkitės į gydytoją arba vaistininką. Žr. 4 skyrių.</w:t>
      </w:r>
    </w:p>
    <w:p w:rsidR="00083430" w:rsidRPr="008E789D" w:rsidRDefault="00083430" w:rsidP="00083430">
      <w:pPr>
        <w:pStyle w:val="Sraopastraipa"/>
        <w:numPr>
          <w:ilvl w:val="0"/>
          <w:numId w:val="5"/>
        </w:numPr>
        <w:tabs>
          <w:tab w:val="left" w:pos="2977"/>
        </w:tabs>
        <w:spacing w:after="0" w:line="240" w:lineRule="auto"/>
        <w:ind w:left="540" w:hanging="540"/>
        <w:rPr>
          <w:rFonts w:ascii="Times New Roman" w:hAnsi="Times New Roman" w:cs="Times New Roman"/>
        </w:rPr>
      </w:pPr>
      <w:r w:rsidRPr="002738FC">
        <w:rPr>
          <w:rFonts w:ascii="Times New Roman" w:hAnsi="Times New Roman" w:cs="Times New Roman"/>
          <w:lang w:val="lt-LT"/>
        </w:rPr>
        <w:t>Jeigu per 2 savaites Jūsų savijauta nepagerėjo arba net pablogėjo, kreipkitės į gydytoją. Jeigu Jums yra labai sunkus vidurių užkietėjimas (vadinamas išmatų susilaikymu), turite laikytis gydytojo nurodymų.</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spacing w:after="0" w:line="240" w:lineRule="auto"/>
        <w:rPr>
          <w:rFonts w:ascii="Times New Roman" w:hAnsi="Times New Roman"/>
          <w:b/>
        </w:rPr>
      </w:pPr>
      <w:r w:rsidRPr="009935C5">
        <w:rPr>
          <w:rFonts w:ascii="Times New Roman" w:hAnsi="Times New Roman"/>
          <w:b/>
        </w:rPr>
        <w:t xml:space="preserve">Apie ką rašoma šiame </w:t>
      </w:r>
      <w:proofErr w:type="spellStart"/>
      <w:r w:rsidRPr="009935C5">
        <w:rPr>
          <w:rFonts w:ascii="Times New Roman" w:hAnsi="Times New Roman"/>
          <w:b/>
        </w:rPr>
        <w:t>lapel</w:t>
      </w:r>
      <w:proofErr w:type="spellEnd"/>
      <w:r w:rsidRPr="009935C5">
        <w:rPr>
          <w:rFonts w:ascii="Times New Roman" w:eastAsia="Calibri" w:hAnsi="Times New Roman" w:cs="Times New Roman"/>
          <w:b/>
          <w:lang w:val="lv-LV"/>
        </w:rPr>
        <w:t>yje ?</w:t>
      </w:r>
    </w:p>
    <w:p w:rsidR="00083430" w:rsidRPr="009935C5" w:rsidRDefault="00083430" w:rsidP="00083430">
      <w:pPr>
        <w:spacing w:after="0" w:line="240" w:lineRule="auto"/>
        <w:ind w:left="540" w:hanging="540"/>
        <w:rPr>
          <w:rFonts w:ascii="Times New Roman" w:hAnsi="Times New Roman"/>
        </w:rPr>
      </w:pPr>
      <w:r w:rsidRPr="009935C5">
        <w:rPr>
          <w:rFonts w:ascii="Times New Roman" w:hAnsi="Times New Roman"/>
        </w:rPr>
        <w:t>1.</w:t>
      </w:r>
      <w:r w:rsidRPr="009935C5">
        <w:rPr>
          <w:rFonts w:ascii="Times New Roman" w:hAnsi="Times New Roman"/>
        </w:rPr>
        <w:tab/>
        <w:t>Kas</w:t>
      </w:r>
      <w:r w:rsidRPr="009935C5">
        <w:rPr>
          <w:rFonts w:ascii="Times New Roman" w:eastAsia="Calibri" w:hAnsi="Times New Roman" w:cs="Times New Roman"/>
          <w:lang w:val="lv-LV"/>
        </w:rPr>
        <w:t xml:space="preserve"> yra </w:t>
      </w:r>
      <w:proofErr w:type="spellStart"/>
      <w:r w:rsidRPr="009935C5">
        <w:rPr>
          <w:rFonts w:ascii="Times New Roman" w:hAnsi="Times New Roman"/>
        </w:rPr>
        <w:t>Molaxole</w:t>
      </w:r>
      <w:proofErr w:type="spellEnd"/>
      <w:r w:rsidRPr="009935C5">
        <w:rPr>
          <w:rFonts w:ascii="Times New Roman" w:hAnsi="Times New Roman"/>
        </w:rPr>
        <w:t xml:space="preserve"> ir kam jis vartojamas</w:t>
      </w:r>
    </w:p>
    <w:p w:rsidR="00083430" w:rsidRPr="009935C5" w:rsidRDefault="00083430" w:rsidP="00083430">
      <w:pPr>
        <w:spacing w:after="0" w:line="240" w:lineRule="auto"/>
        <w:ind w:left="540" w:hanging="540"/>
        <w:rPr>
          <w:rFonts w:ascii="Times New Roman" w:hAnsi="Times New Roman"/>
        </w:rPr>
      </w:pPr>
      <w:r w:rsidRPr="009935C5">
        <w:rPr>
          <w:rFonts w:ascii="Times New Roman" w:hAnsi="Times New Roman"/>
        </w:rPr>
        <w:t>2.</w:t>
      </w:r>
      <w:r w:rsidRPr="009935C5">
        <w:rPr>
          <w:rFonts w:ascii="Times New Roman" w:hAnsi="Times New Roman"/>
        </w:rPr>
        <w:tab/>
        <w:t xml:space="preserve">Kas žinotina prieš vartojant </w:t>
      </w:r>
      <w:proofErr w:type="spellStart"/>
      <w:r w:rsidRPr="009935C5">
        <w:rPr>
          <w:rFonts w:ascii="Times New Roman" w:hAnsi="Times New Roman"/>
        </w:rPr>
        <w:t>Molaxole</w:t>
      </w:r>
      <w:proofErr w:type="spellEnd"/>
    </w:p>
    <w:p w:rsidR="00083430" w:rsidRPr="009935C5" w:rsidRDefault="00083430" w:rsidP="00083430">
      <w:pPr>
        <w:spacing w:after="0" w:line="240" w:lineRule="auto"/>
        <w:ind w:left="540" w:hanging="540"/>
        <w:rPr>
          <w:rFonts w:ascii="Times New Roman" w:hAnsi="Times New Roman"/>
        </w:rPr>
      </w:pPr>
      <w:r w:rsidRPr="009935C5">
        <w:rPr>
          <w:rFonts w:ascii="Times New Roman" w:hAnsi="Times New Roman"/>
        </w:rPr>
        <w:t>3.</w:t>
      </w:r>
      <w:r w:rsidRPr="009935C5">
        <w:rPr>
          <w:rFonts w:ascii="Times New Roman" w:hAnsi="Times New Roman"/>
        </w:rPr>
        <w:tab/>
        <w:t xml:space="preserve">Kaip vartoti </w:t>
      </w:r>
      <w:proofErr w:type="spellStart"/>
      <w:r w:rsidRPr="009935C5">
        <w:rPr>
          <w:rFonts w:ascii="Times New Roman" w:hAnsi="Times New Roman"/>
        </w:rPr>
        <w:t>Molaxole</w:t>
      </w:r>
      <w:proofErr w:type="spellEnd"/>
    </w:p>
    <w:p w:rsidR="00083430" w:rsidRPr="009935C5" w:rsidRDefault="00083430" w:rsidP="00083430">
      <w:pPr>
        <w:spacing w:after="0" w:line="240" w:lineRule="auto"/>
        <w:ind w:left="540" w:hanging="540"/>
        <w:rPr>
          <w:rFonts w:ascii="Times New Roman" w:hAnsi="Times New Roman"/>
        </w:rPr>
      </w:pPr>
      <w:r w:rsidRPr="009935C5">
        <w:rPr>
          <w:rFonts w:ascii="Times New Roman" w:hAnsi="Times New Roman"/>
        </w:rPr>
        <w:t>4.</w:t>
      </w:r>
      <w:r w:rsidRPr="009935C5">
        <w:rPr>
          <w:rFonts w:ascii="Times New Roman" w:hAnsi="Times New Roman"/>
        </w:rPr>
        <w:tab/>
        <w:t>Galimas šalutinis poveikis</w:t>
      </w:r>
    </w:p>
    <w:p w:rsidR="00083430" w:rsidRPr="009935C5" w:rsidRDefault="00083430" w:rsidP="00083430">
      <w:pPr>
        <w:spacing w:after="0" w:line="240" w:lineRule="auto"/>
        <w:ind w:left="540" w:hanging="540"/>
        <w:rPr>
          <w:rFonts w:ascii="Times New Roman" w:hAnsi="Times New Roman"/>
        </w:rPr>
      </w:pPr>
      <w:r w:rsidRPr="009935C5">
        <w:rPr>
          <w:rFonts w:ascii="Times New Roman" w:hAnsi="Times New Roman"/>
        </w:rPr>
        <w:t>5.</w:t>
      </w:r>
      <w:r w:rsidRPr="009935C5">
        <w:rPr>
          <w:rFonts w:ascii="Times New Roman" w:hAnsi="Times New Roman"/>
        </w:rPr>
        <w:tab/>
        <w:t xml:space="preserve">Kaip laikyti </w:t>
      </w:r>
      <w:proofErr w:type="spellStart"/>
      <w:r w:rsidRPr="009935C5">
        <w:rPr>
          <w:rFonts w:ascii="Times New Roman" w:hAnsi="Times New Roman"/>
        </w:rPr>
        <w:t>Molaxole</w:t>
      </w:r>
      <w:proofErr w:type="spellEnd"/>
    </w:p>
    <w:p w:rsidR="00083430" w:rsidRPr="009935C5" w:rsidRDefault="00083430" w:rsidP="00083430">
      <w:pPr>
        <w:spacing w:after="0" w:line="240" w:lineRule="auto"/>
        <w:ind w:left="540" w:hanging="540"/>
        <w:rPr>
          <w:rFonts w:ascii="Times New Roman" w:hAnsi="Times New Roman"/>
        </w:rPr>
      </w:pPr>
      <w:r w:rsidRPr="009935C5">
        <w:rPr>
          <w:rFonts w:ascii="Times New Roman" w:hAnsi="Times New Roman"/>
        </w:rPr>
        <w:t>6.</w:t>
      </w:r>
      <w:r w:rsidRPr="009935C5">
        <w:rPr>
          <w:rFonts w:ascii="Times New Roman" w:hAnsi="Times New Roman"/>
        </w:rPr>
        <w:tab/>
        <w:t>Pakuotės turinys ir k</w:t>
      </w:r>
      <w:r w:rsidRPr="009935C5">
        <w:rPr>
          <w:rFonts w:ascii="Times New Roman" w:eastAsia="Calibri" w:hAnsi="Times New Roman" w:cs="Times New Roman"/>
          <w:lang w:val="lv-LV"/>
        </w:rPr>
        <w:t>ita informacija</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0"/>
          <w:numId w:val="2"/>
        </w:numPr>
        <w:spacing w:after="0" w:line="240" w:lineRule="auto"/>
        <w:ind w:left="540" w:hanging="540"/>
        <w:rPr>
          <w:rFonts w:ascii="Times New Roman" w:hAnsi="Times New Roman"/>
          <w:b/>
        </w:rPr>
      </w:pPr>
      <w:r w:rsidRPr="009935C5">
        <w:rPr>
          <w:rFonts w:ascii="Times New Roman" w:hAnsi="Times New Roman"/>
          <w:b/>
        </w:rPr>
        <w:t xml:space="preserve">Kas yra </w:t>
      </w:r>
      <w:proofErr w:type="spellStart"/>
      <w:r w:rsidRPr="009935C5">
        <w:rPr>
          <w:rFonts w:ascii="Times New Roman" w:hAnsi="Times New Roman"/>
          <w:b/>
        </w:rPr>
        <w:t>Molaxole</w:t>
      </w:r>
      <w:proofErr w:type="spellEnd"/>
      <w:r w:rsidRPr="009935C5">
        <w:rPr>
          <w:rFonts w:ascii="Times New Roman" w:hAnsi="Times New Roman"/>
          <w:b/>
        </w:rPr>
        <w:t xml:space="preserve"> ir kam jis vartojamas</w:t>
      </w:r>
    </w:p>
    <w:p w:rsidR="00083430" w:rsidRPr="009935C5" w:rsidRDefault="00083430" w:rsidP="00083430">
      <w:pPr>
        <w:spacing w:after="0" w:line="240" w:lineRule="auto"/>
        <w:rPr>
          <w:rFonts w:ascii="Times New Roman" w:hAnsi="Times New Roman"/>
          <w:b/>
          <w:caps/>
        </w:rPr>
      </w:pPr>
    </w:p>
    <w:p w:rsidR="00083430" w:rsidRPr="009935C5" w:rsidRDefault="00083430" w:rsidP="00083430">
      <w:pPr>
        <w:numPr>
          <w:ilvl w:val="12"/>
          <w:numId w:val="0"/>
        </w:numPr>
        <w:tabs>
          <w:tab w:val="left" w:pos="2977"/>
        </w:tabs>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padeda a</w:t>
      </w:r>
      <w:r w:rsidRPr="009935C5">
        <w:rPr>
          <w:rFonts w:ascii="Times New Roman" w:eastAsia="Calibri" w:hAnsi="Times New Roman" w:cs="Times New Roman"/>
          <w:lang w:val="lv-LV"/>
        </w:rPr>
        <w:t>tkurti tinkamus žarnų judesius, netgi kai vidurių užkietėjimas trunka ilgai. Pasitarus su gydytoju Molaxole taip pat gali būti vartojamas labai sunkiam vidurių užkietėjimui (vadinamam išmatų susilaikymu) gydyti.</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proofErr w:type="spellStart"/>
      <w:r w:rsidRPr="009935C5">
        <w:rPr>
          <w:rFonts w:ascii="Times New Roman" w:hAnsi="Times New Roman"/>
        </w:rPr>
        <w:t>Makrogolis</w:t>
      </w:r>
      <w:proofErr w:type="spellEnd"/>
      <w:r w:rsidRPr="009935C5">
        <w:rPr>
          <w:rFonts w:ascii="Times New Roman" w:hAnsi="Times New Roman"/>
        </w:rPr>
        <w:t xml:space="preserve"> 3350 didina išmatų tūrį </w:t>
      </w:r>
      <w:proofErr w:type="spellStart"/>
      <w:r w:rsidRPr="009935C5">
        <w:rPr>
          <w:rFonts w:ascii="Times New Roman" w:hAnsi="Times New Roman"/>
        </w:rPr>
        <w:t>prijungd</w:t>
      </w:r>
      <w:proofErr w:type="spellEnd"/>
      <w:r w:rsidRPr="009935C5">
        <w:rPr>
          <w:rFonts w:ascii="Times New Roman" w:eastAsia="Calibri" w:hAnsi="Times New Roman" w:cs="Times New Roman"/>
          <w:lang w:val="lv-LV"/>
        </w:rPr>
        <w:t>amas vandenį. Tai padeda normalizuotis gaubtinės žarnos susitraukimams</w:t>
      </w:r>
      <w:r w:rsidRPr="009935C5">
        <w:rPr>
          <w:rFonts w:ascii="Times New Roman" w:hAnsi="Times New Roman"/>
        </w:rPr>
        <w:t>. Fiziologiniai rezultatai yra tokie: padidėjęs suminkštėjusių iš</w:t>
      </w:r>
      <w:r w:rsidRPr="009935C5">
        <w:rPr>
          <w:rFonts w:ascii="Times New Roman" w:eastAsia="Calibri" w:hAnsi="Times New Roman" w:cs="Times New Roman"/>
          <w:lang w:val="lv-LV"/>
        </w:rPr>
        <w:t>matų judėjimas ir tuštinimosi palengvėjimas. Vaiste esančios druskos padeda palaikyti normalų druskų ir vandens balansą organizme.</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 xml:space="preserve">Jeigu per </w:t>
      </w:r>
      <w:r w:rsidRPr="009935C5">
        <w:rPr>
          <w:rFonts w:ascii="Times New Roman" w:eastAsia="Calibri" w:hAnsi="Times New Roman" w:cs="Times New Roman"/>
          <w:lang w:val="lv-LV"/>
        </w:rPr>
        <w:t>2 savaites Jūsų savijauta nepagerėjo arba net pablogėjo, turite kreiptis į gydytoją.</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spacing w:after="0" w:line="240" w:lineRule="auto"/>
        <w:rPr>
          <w:rFonts w:ascii="Times New Roman" w:hAnsi="Times New Roman"/>
        </w:rPr>
      </w:pPr>
    </w:p>
    <w:p w:rsidR="00083430" w:rsidRPr="009935C5" w:rsidRDefault="00083430" w:rsidP="00083430">
      <w:pPr>
        <w:numPr>
          <w:ilvl w:val="0"/>
          <w:numId w:val="3"/>
        </w:numPr>
        <w:spacing w:after="0" w:line="240" w:lineRule="auto"/>
        <w:ind w:right="-2"/>
        <w:rPr>
          <w:rFonts w:ascii="Times New Roman" w:hAnsi="Times New Roman"/>
          <w:b/>
        </w:rPr>
      </w:pPr>
      <w:r w:rsidRPr="009935C5">
        <w:rPr>
          <w:rFonts w:ascii="Times New Roman" w:hAnsi="Times New Roman"/>
          <w:b/>
        </w:rPr>
        <w:t xml:space="preserve">Kas žinotina prieš vartojant </w:t>
      </w:r>
      <w:proofErr w:type="spellStart"/>
      <w:r w:rsidRPr="009935C5">
        <w:rPr>
          <w:rFonts w:ascii="Times New Roman" w:hAnsi="Times New Roman"/>
          <w:b/>
        </w:rPr>
        <w:t>Molaxole</w:t>
      </w:r>
      <w:proofErr w:type="spellEnd"/>
    </w:p>
    <w:p w:rsidR="00083430" w:rsidRPr="009935C5" w:rsidRDefault="00083430" w:rsidP="00083430">
      <w:p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proofErr w:type="spellStart"/>
      <w:r w:rsidRPr="009935C5">
        <w:rPr>
          <w:rFonts w:ascii="Times New Roman" w:hAnsi="Times New Roman"/>
          <w:b/>
        </w:rPr>
        <w:t>Molaxole</w:t>
      </w:r>
      <w:proofErr w:type="spellEnd"/>
      <w:r w:rsidRPr="009935C5">
        <w:rPr>
          <w:rFonts w:ascii="Times New Roman" w:hAnsi="Times New Roman"/>
          <w:b/>
        </w:rPr>
        <w:t xml:space="preserve"> vartoti negalima:</w:t>
      </w:r>
    </w:p>
    <w:p w:rsidR="00083430" w:rsidRPr="009935C5" w:rsidRDefault="00083430" w:rsidP="00083430">
      <w:pPr>
        <w:numPr>
          <w:ilvl w:val="12"/>
          <w:numId w:val="0"/>
        </w:numPr>
        <w:spacing w:after="0" w:line="240" w:lineRule="auto"/>
        <w:ind w:left="567" w:hanging="567"/>
        <w:rPr>
          <w:rFonts w:ascii="Times New Roman" w:hAnsi="Times New Roman"/>
        </w:rPr>
      </w:pPr>
      <w:r w:rsidRPr="009935C5">
        <w:rPr>
          <w:rFonts w:ascii="Times New Roman" w:hAnsi="Times New Roman"/>
        </w:rPr>
        <w:t>-</w:t>
      </w:r>
      <w:r w:rsidRPr="009935C5">
        <w:rPr>
          <w:rFonts w:ascii="Times New Roman" w:hAnsi="Times New Roman"/>
        </w:rPr>
        <w:tab/>
        <w:t xml:space="preserve">Jeigu yra alergija </w:t>
      </w:r>
      <w:proofErr w:type="spellStart"/>
      <w:r w:rsidRPr="009935C5">
        <w:rPr>
          <w:rFonts w:ascii="Times New Roman" w:hAnsi="Times New Roman"/>
        </w:rPr>
        <w:t>makrogoliui</w:t>
      </w:r>
      <w:proofErr w:type="spellEnd"/>
      <w:r w:rsidRPr="009935C5">
        <w:rPr>
          <w:rFonts w:ascii="Times New Roman" w:hAnsi="Times New Roman"/>
        </w:rPr>
        <w:t xml:space="preserve">, natrio chloridui, kalio chloridui, natrio vandenilio karbonatui ar bet kuriai pagalbinei </w:t>
      </w:r>
      <w:r w:rsidRPr="009935C5">
        <w:rPr>
          <w:rFonts w:ascii="Times New Roman" w:eastAsia="Calibri" w:hAnsi="Times New Roman" w:cs="Times New Roman"/>
          <w:lang w:val="lv-LV"/>
        </w:rPr>
        <w:t>šio vaisto medžiagai (jos išvardytos 6 skyriuje).</w:t>
      </w:r>
    </w:p>
    <w:p w:rsidR="00083430" w:rsidRPr="00864554" w:rsidRDefault="00083430" w:rsidP="00083430">
      <w:pPr>
        <w:numPr>
          <w:ilvl w:val="12"/>
          <w:numId w:val="0"/>
        </w:numPr>
        <w:spacing w:after="0" w:line="240" w:lineRule="auto"/>
        <w:ind w:left="567" w:hanging="567"/>
        <w:rPr>
          <w:rFonts w:ascii="Times New Roman" w:hAnsi="Times New Roman"/>
        </w:rPr>
      </w:pPr>
      <w:r w:rsidRPr="009935C5">
        <w:rPr>
          <w:rFonts w:ascii="Times New Roman" w:hAnsi="Times New Roman"/>
        </w:rPr>
        <w:t>-</w:t>
      </w:r>
      <w:r w:rsidRPr="009935C5">
        <w:rPr>
          <w:rFonts w:ascii="Times New Roman" w:hAnsi="Times New Roman"/>
        </w:rPr>
        <w:tab/>
        <w:t xml:space="preserve">Jeigu Jums yra </w:t>
      </w:r>
      <w:r w:rsidRPr="009935C5">
        <w:rPr>
          <w:rFonts w:ascii="Times New Roman" w:eastAsia="Calibri" w:hAnsi="Times New Roman" w:cs="Times New Roman"/>
          <w:lang w:val="lv-LV"/>
        </w:rPr>
        <w:t xml:space="preserve">žarnų (žarnyno) obstrukcija, žarnų sienelės prakiurimas arba sunki uždegiminė žarnyno liga, pvz., opinis kolitas, Krono liga, toksinis gaubtinės žarnos išsiplėtimas ar žarnyno nepraeinamumas. </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b/>
        </w:rPr>
        <w:t>Įspėjimai ir atsargumo priemonės</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Pasitarkite su gydytoju arba vaistininku, prieš pradėdami vartoti </w:t>
      </w:r>
      <w:proofErr w:type="spellStart"/>
      <w:r w:rsidRPr="009935C5">
        <w:rPr>
          <w:rFonts w:ascii="Times New Roman" w:hAnsi="Times New Roman"/>
        </w:rPr>
        <w:t>Molaxole</w:t>
      </w:r>
      <w:proofErr w:type="spellEnd"/>
      <w:r w:rsidRPr="009935C5">
        <w:rPr>
          <w:rFonts w:ascii="Times New Roman" w:hAnsi="Times New Roman"/>
        </w:rPr>
        <w:t xml:space="preserve">. </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Vartojant </w:t>
      </w:r>
      <w:proofErr w:type="spellStart"/>
      <w:r w:rsidRPr="009935C5">
        <w:rPr>
          <w:rFonts w:ascii="Times New Roman" w:hAnsi="Times New Roman"/>
        </w:rPr>
        <w:t>Molaxole</w:t>
      </w:r>
      <w:proofErr w:type="spellEnd"/>
      <w:r w:rsidRPr="009935C5">
        <w:rPr>
          <w:rFonts w:ascii="Times New Roman" w:hAnsi="Times New Roman"/>
        </w:rPr>
        <w:t xml:space="preserve"> Jūs turite ir toliau gerti pakankamai skysčių. </w:t>
      </w:r>
      <w:proofErr w:type="spellStart"/>
      <w:r w:rsidRPr="009935C5">
        <w:rPr>
          <w:rFonts w:ascii="Times New Roman" w:hAnsi="Times New Roman"/>
        </w:rPr>
        <w:t>Molaxole</w:t>
      </w:r>
      <w:proofErr w:type="spellEnd"/>
      <w:r w:rsidRPr="009935C5">
        <w:rPr>
          <w:rFonts w:ascii="Times New Roman" w:hAnsi="Times New Roman"/>
        </w:rPr>
        <w:t xml:space="preserve"> neturėtų pakeisti įprasto skysčių kiekio.</w:t>
      </w:r>
    </w:p>
    <w:p w:rsidR="00083430" w:rsidRPr="009935C5" w:rsidRDefault="00083430" w:rsidP="00083430">
      <w:pPr>
        <w:numPr>
          <w:ilvl w:val="12"/>
          <w:numId w:val="0"/>
        </w:numPr>
        <w:spacing w:after="0" w:line="240" w:lineRule="auto"/>
        <w:ind w:right="-2"/>
        <w:rPr>
          <w:rFonts w:ascii="Times New Roman" w:hAnsi="Times New Roman"/>
        </w:rPr>
      </w:pPr>
    </w:p>
    <w:p w:rsidR="00083430" w:rsidRPr="000A259B" w:rsidRDefault="00083430" w:rsidP="00083430">
      <w:pPr>
        <w:tabs>
          <w:tab w:val="left" w:pos="540"/>
        </w:tabs>
        <w:spacing w:after="0" w:line="240" w:lineRule="auto"/>
        <w:rPr>
          <w:rFonts w:ascii="Times New Roman" w:hAnsi="Times New Roman"/>
        </w:rPr>
      </w:pPr>
      <w:r>
        <w:rPr>
          <w:rFonts w:ascii="Times New Roman" w:hAnsi="Times New Roman"/>
        </w:rPr>
        <w:lastRenderedPageBreak/>
        <w:t>J</w:t>
      </w:r>
      <w:r w:rsidRPr="000A259B">
        <w:rPr>
          <w:rFonts w:ascii="Times New Roman" w:hAnsi="Times New Roman"/>
        </w:rPr>
        <w:t xml:space="preserve">eigu Jums </w:t>
      </w:r>
      <w:r>
        <w:rPr>
          <w:rFonts w:ascii="Times New Roman" w:hAnsi="Times New Roman"/>
        </w:rPr>
        <w:t>pasireiškia toks šalutinis poveikis kaip patinimas, dusulys, nuovargis, dehidratacija (simptomai: padidėjęs troškulys, sausa burna ir silpnumas) ar širdies sutrikimai, turite nutraukti</w:t>
      </w:r>
      <w:r w:rsidRPr="000A259B">
        <w:rPr>
          <w:rFonts w:ascii="Times New Roman" w:hAnsi="Times New Roman"/>
        </w:rPr>
        <w:t xml:space="preserve"> </w:t>
      </w:r>
      <w:proofErr w:type="spellStart"/>
      <w:r w:rsidRPr="000A259B">
        <w:rPr>
          <w:rFonts w:ascii="Times New Roman" w:hAnsi="Times New Roman"/>
        </w:rPr>
        <w:t>Molaxole</w:t>
      </w:r>
      <w:proofErr w:type="spellEnd"/>
      <w:r w:rsidRPr="000A259B">
        <w:rPr>
          <w:rFonts w:ascii="Times New Roman" w:hAnsi="Times New Roman"/>
        </w:rPr>
        <w:t xml:space="preserve"> vartojimą ir nedelsdami </w:t>
      </w:r>
      <w:r>
        <w:rPr>
          <w:rFonts w:ascii="Times New Roman" w:hAnsi="Times New Roman"/>
        </w:rPr>
        <w:t>kreiptis</w:t>
      </w:r>
      <w:r>
        <w:rPr>
          <w:rFonts w:ascii="Times New Roman" w:eastAsia="Calibri" w:hAnsi="Times New Roman" w:cs="Times New Roman"/>
          <w:lang w:val="lv-LV"/>
        </w:rPr>
        <w:t xml:space="preserve"> į</w:t>
      </w:r>
      <w:r w:rsidRPr="000A259B">
        <w:rPr>
          <w:rFonts w:ascii="Times New Roman" w:eastAsia="Calibri" w:hAnsi="Times New Roman" w:cs="Times New Roman"/>
          <w:lang w:val="lv-LV"/>
        </w:rPr>
        <w:t xml:space="preserve"> gydytoj</w:t>
      </w:r>
      <w:r>
        <w:rPr>
          <w:rFonts w:ascii="Times New Roman" w:eastAsia="Calibri" w:hAnsi="Times New Roman" w:cs="Times New Roman"/>
          <w:lang w:val="lv-LV"/>
        </w:rPr>
        <w:t>ą</w:t>
      </w:r>
      <w:r w:rsidRPr="000A259B">
        <w:rPr>
          <w:rFonts w:ascii="Times New Roman" w:eastAsia="Calibri" w:hAnsi="Times New Roman" w:cs="Times New Roman"/>
          <w:lang w:val="lv-LV"/>
        </w:rPr>
        <w:t>.</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 xml:space="preserve">Nevartokite </w:t>
      </w:r>
      <w:proofErr w:type="spellStart"/>
      <w:r w:rsidRPr="009935C5">
        <w:rPr>
          <w:rFonts w:ascii="Times New Roman" w:hAnsi="Times New Roman"/>
        </w:rPr>
        <w:t>Molaxole</w:t>
      </w:r>
      <w:proofErr w:type="spellEnd"/>
      <w:r w:rsidRPr="009935C5">
        <w:rPr>
          <w:rFonts w:ascii="Times New Roman" w:hAnsi="Times New Roman"/>
        </w:rPr>
        <w:t xml:space="preserve"> ilgai, nebent Jums taip n</w:t>
      </w:r>
      <w:r w:rsidRPr="009935C5">
        <w:rPr>
          <w:rFonts w:ascii="Times New Roman" w:eastAsia="Calibri" w:hAnsi="Times New Roman" w:cs="Times New Roman"/>
          <w:lang w:val="lv-LV"/>
        </w:rPr>
        <w:t>urodė gydytojas, pavyzdžiui, jeigu vartojate vaistus, galinčius sukelti vidurių užkietėjimą, arba jeigu sergate vidurių užkietėjimą galinčia sukelti liga (Parkinsono</w:t>
      </w:r>
      <w:r w:rsidRPr="009935C5">
        <w:rPr>
          <w:rFonts w:ascii="Times New Roman" w:hAnsi="Times New Roman"/>
        </w:rPr>
        <w:t xml:space="preserve"> liga ar išsėtine skleroze </w:t>
      </w:r>
      <w:r>
        <w:rPr>
          <w:rFonts w:ascii="Times New Roman" w:hAnsi="Times New Roman"/>
        </w:rPr>
        <w:t>[</w:t>
      </w:r>
      <w:r w:rsidRPr="009935C5">
        <w:rPr>
          <w:rFonts w:ascii="Times New Roman" w:hAnsi="Times New Roman"/>
        </w:rPr>
        <w:t>IS</w:t>
      </w:r>
      <w:r>
        <w:rPr>
          <w:rFonts w:ascii="Times New Roman" w:hAnsi="Times New Roman"/>
        </w:rPr>
        <w:t>]</w:t>
      </w:r>
      <w:r w:rsidRPr="009935C5">
        <w:rPr>
          <w:rFonts w:ascii="Times New Roman" w:hAnsi="Times New Roman"/>
        </w:rPr>
        <w:t xml:space="preserve">). </w:t>
      </w:r>
    </w:p>
    <w:p w:rsidR="00083430" w:rsidRPr="009935C5" w:rsidRDefault="00083430" w:rsidP="00083430">
      <w:pPr>
        <w:spacing w:after="0" w:line="240" w:lineRule="auto"/>
        <w:rPr>
          <w:rFonts w:ascii="Times New Roman" w:hAnsi="Times New Roman"/>
          <w:i/>
        </w:rPr>
      </w:pPr>
    </w:p>
    <w:p w:rsidR="00083430" w:rsidRPr="009935C5" w:rsidRDefault="00083430" w:rsidP="00083430">
      <w:pPr>
        <w:spacing w:after="0" w:line="240" w:lineRule="auto"/>
        <w:rPr>
          <w:rFonts w:ascii="Times New Roman" w:hAnsi="Times New Roman"/>
        </w:rPr>
      </w:pPr>
      <w:r w:rsidRPr="009935C5">
        <w:rPr>
          <w:rFonts w:ascii="Times New Roman" w:hAnsi="Times New Roman"/>
          <w:b/>
        </w:rPr>
        <w:t xml:space="preserve">Vaikams </w:t>
      </w:r>
    </w:p>
    <w:p w:rsidR="00083430" w:rsidRPr="009935C5" w:rsidRDefault="00083430" w:rsidP="00083430">
      <w:pPr>
        <w:spacing w:after="0" w:line="240" w:lineRule="auto"/>
        <w:rPr>
          <w:rFonts w:ascii="Times New Roman" w:hAnsi="Times New Roman"/>
        </w:rPr>
      </w:pPr>
      <w:r w:rsidRPr="009935C5">
        <w:rPr>
          <w:rFonts w:ascii="Times New Roman" w:hAnsi="Times New Roman"/>
        </w:rPr>
        <w:t xml:space="preserve">Neduokite šio vaisto jaunesniems </w:t>
      </w:r>
      <w:r>
        <w:rPr>
          <w:rFonts w:ascii="Times New Roman" w:hAnsi="Times New Roman"/>
        </w:rPr>
        <w:t>kaip</w:t>
      </w:r>
      <w:r w:rsidRPr="009935C5">
        <w:rPr>
          <w:rFonts w:ascii="Times New Roman" w:hAnsi="Times New Roman"/>
        </w:rPr>
        <w:t xml:space="preserve"> 12 metų vaikams.</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b/>
        </w:rPr>
        <w:t xml:space="preserve">Kiti </w:t>
      </w:r>
      <w:proofErr w:type="spellStart"/>
      <w:r w:rsidRPr="009935C5">
        <w:rPr>
          <w:rFonts w:ascii="Times New Roman" w:hAnsi="Times New Roman"/>
          <w:b/>
        </w:rPr>
        <w:t>vaist</w:t>
      </w:r>
      <w:proofErr w:type="spellEnd"/>
      <w:r w:rsidRPr="009935C5">
        <w:rPr>
          <w:rFonts w:ascii="Times New Roman" w:eastAsia="Calibri" w:hAnsi="Times New Roman" w:cs="Times New Roman"/>
          <w:b/>
          <w:lang w:val="lv-LV"/>
        </w:rPr>
        <w:t xml:space="preserve">ai ir Molaxole </w:t>
      </w:r>
    </w:p>
    <w:p w:rsidR="00083430" w:rsidRDefault="00083430" w:rsidP="00083430">
      <w:pPr>
        <w:spacing w:after="0" w:line="240" w:lineRule="auto"/>
        <w:rPr>
          <w:rFonts w:ascii="Times New Roman" w:eastAsia="Calibri" w:hAnsi="Times New Roman" w:cs="Times New Roman"/>
          <w:lang w:val="lv-LV"/>
        </w:rPr>
      </w:pPr>
      <w:r w:rsidRPr="009935C5">
        <w:rPr>
          <w:rFonts w:ascii="Times New Roman" w:hAnsi="Times New Roman"/>
        </w:rPr>
        <w:t xml:space="preserve">Jeigu vartojate arba neseniai vartojote kitų vaistų, arba dėl to nesate tikri, apie tai </w:t>
      </w:r>
      <w:r w:rsidRPr="009935C5">
        <w:rPr>
          <w:rFonts w:ascii="Times New Roman" w:eastAsia="Calibri" w:hAnsi="Times New Roman" w:cs="Times New Roman"/>
          <w:lang w:val="lv-LV"/>
        </w:rPr>
        <w:t>pasakykite gydytojui arba vaistininkui.</w:t>
      </w:r>
    </w:p>
    <w:p w:rsidR="00083430" w:rsidRPr="009935C5" w:rsidRDefault="00083430" w:rsidP="00083430">
      <w:pPr>
        <w:spacing w:after="0" w:line="240" w:lineRule="auto"/>
        <w:rPr>
          <w:rFonts w:ascii="Times New Roman" w:hAnsi="Times New Roman"/>
        </w:rPr>
      </w:pPr>
      <w:r>
        <w:rPr>
          <w:rFonts w:ascii="Times New Roman" w:eastAsia="Calibri" w:hAnsi="Times New Roman" w:cs="Times New Roman"/>
          <w:lang w:val="lv-LV"/>
        </w:rPr>
        <w:t>Vartojant Molaxole gali sumažėti kai kurių vaistų, pvz., vaistų epilepsijai gydyti, veiksmingumas.</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b/>
        </w:rPr>
        <w:t xml:space="preserve">Nėštumas, žindymo </w:t>
      </w:r>
      <w:r w:rsidRPr="009935C5">
        <w:rPr>
          <w:rFonts w:ascii="Times New Roman" w:eastAsia="Calibri" w:hAnsi="Times New Roman" w:cs="Times New Roman"/>
          <w:b/>
          <w:lang w:val="lv-LV"/>
        </w:rPr>
        <w:t>laikotarpis</w:t>
      </w:r>
      <w:r w:rsidRPr="009935C5">
        <w:rPr>
          <w:rFonts w:ascii="Calibri" w:eastAsia="Calibri" w:hAnsi="Calibri" w:cs="Times New Roman"/>
          <w:lang w:val="lv-LV"/>
        </w:rPr>
        <w:t xml:space="preserve"> </w:t>
      </w:r>
      <w:r w:rsidRPr="009935C5">
        <w:rPr>
          <w:rFonts w:ascii="Times New Roman" w:eastAsia="Calibri" w:hAnsi="Times New Roman" w:cs="Times New Roman"/>
          <w:b/>
          <w:lang w:val="lv-LV"/>
        </w:rPr>
        <w:t>ir vaisingumas</w:t>
      </w:r>
    </w:p>
    <w:p w:rsidR="00083430" w:rsidRPr="009935C5" w:rsidRDefault="00083430" w:rsidP="00083430">
      <w:pPr>
        <w:numPr>
          <w:ilvl w:val="12"/>
          <w:numId w:val="0"/>
        </w:numPr>
        <w:spacing w:after="0" w:line="240" w:lineRule="auto"/>
        <w:rPr>
          <w:rFonts w:ascii="Times New Roman" w:eastAsia="Calibri" w:hAnsi="Times New Roman" w:cs="Times New Roman"/>
          <w:lang w:val="lv-LV"/>
        </w:rPr>
      </w:pPr>
      <w:r w:rsidRPr="009935C5">
        <w:rPr>
          <w:rFonts w:ascii="Times New Roman" w:hAnsi="Times New Roman"/>
        </w:rPr>
        <w:t>Jeigu esate nėščia, žindote kūdikį, manote, kad galbūt esate nėščia,</w:t>
      </w:r>
      <w:r w:rsidRPr="009935C5">
        <w:rPr>
          <w:rFonts w:ascii="Times New Roman" w:eastAsia="Calibri" w:hAnsi="Times New Roman" w:cs="Times New Roman"/>
          <w:lang w:val="lv-LV"/>
        </w:rPr>
        <w:t xml:space="preserve"> arba planuojate pastoti, tai prieš vartodama šį vaistą, pasitarkite su gydytoju.</w:t>
      </w: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lang w:val="lv-LV"/>
        </w:rPr>
        <w:t>Molaxole galima vartoti nėštumo ir žindymo laikotarpiu.</w:t>
      </w:r>
    </w:p>
    <w:p w:rsidR="00083430" w:rsidRPr="009935C5" w:rsidRDefault="00083430" w:rsidP="00083430">
      <w:pPr>
        <w:numPr>
          <w:ilvl w:val="12"/>
          <w:numId w:val="0"/>
        </w:numPr>
        <w:spacing w:after="0" w:line="240" w:lineRule="auto"/>
        <w:ind w:right="-2"/>
        <w:rPr>
          <w:rFonts w:ascii="Times New Roman" w:hAnsi="Times New Roman"/>
          <w:b/>
        </w:rPr>
      </w:pPr>
    </w:p>
    <w:p w:rsidR="00083430" w:rsidRPr="009935C5" w:rsidRDefault="00083430" w:rsidP="00083430">
      <w:pPr>
        <w:numPr>
          <w:ilvl w:val="12"/>
          <w:numId w:val="0"/>
        </w:numPr>
        <w:tabs>
          <w:tab w:val="left" w:pos="5235"/>
        </w:tabs>
        <w:spacing w:after="0" w:line="240" w:lineRule="auto"/>
        <w:ind w:right="-2"/>
        <w:rPr>
          <w:rFonts w:ascii="Times New Roman" w:hAnsi="Times New Roman"/>
        </w:rPr>
      </w:pPr>
      <w:r w:rsidRPr="009935C5">
        <w:rPr>
          <w:rFonts w:ascii="Times New Roman" w:hAnsi="Times New Roman"/>
          <w:b/>
        </w:rPr>
        <w:t>Vairavimas ir mechanizmų valdymas</w:t>
      </w: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Poveikio gebėjimui vairuoti ir valdyti mechanizmus nėra.</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proofErr w:type="spellStart"/>
      <w:r w:rsidRPr="009935C5">
        <w:rPr>
          <w:rFonts w:ascii="Times New Roman" w:hAnsi="Times New Roman"/>
          <w:b/>
        </w:rPr>
        <w:t>Molaxole</w:t>
      </w:r>
      <w:proofErr w:type="spellEnd"/>
      <w:r w:rsidRPr="009935C5">
        <w:rPr>
          <w:rFonts w:ascii="Times New Roman" w:hAnsi="Times New Roman"/>
          <w:b/>
        </w:rPr>
        <w:t xml:space="preserve"> sudėtyje yra natrio</w:t>
      </w: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Kiekviename šio vaisto paketėlyje yra 187 mg natrio (valgomosios druskos sudedamosios dalies). Tai atitinka 9,5 % didžiausios rekomenduojamos natrio paros normos suaugusiesiems.</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0"/>
          <w:numId w:val="3"/>
        </w:numPr>
        <w:spacing w:after="0" w:line="240" w:lineRule="auto"/>
        <w:ind w:right="-2"/>
        <w:rPr>
          <w:rFonts w:ascii="Times New Roman" w:hAnsi="Times New Roman"/>
          <w:b/>
        </w:rPr>
      </w:pPr>
      <w:r w:rsidRPr="009935C5">
        <w:rPr>
          <w:rFonts w:ascii="Times New Roman" w:hAnsi="Times New Roman"/>
          <w:b/>
        </w:rPr>
        <w:t xml:space="preserve">Kaip vartoti </w:t>
      </w:r>
      <w:proofErr w:type="spellStart"/>
      <w:r w:rsidRPr="009935C5">
        <w:rPr>
          <w:rFonts w:ascii="Times New Roman" w:hAnsi="Times New Roman"/>
          <w:b/>
        </w:rPr>
        <w:t>Molaxole</w:t>
      </w:r>
      <w:proofErr w:type="spellEnd"/>
    </w:p>
    <w:p w:rsidR="00083430" w:rsidRPr="009935C5" w:rsidRDefault="00083430" w:rsidP="00083430">
      <w:pPr>
        <w:spacing w:after="0" w:line="240" w:lineRule="auto"/>
        <w:ind w:right="-2"/>
        <w:rPr>
          <w:rFonts w:ascii="Times New Roman" w:hAnsi="Times New Roman"/>
          <w:b/>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Visada </w:t>
      </w:r>
      <w:r w:rsidRPr="009935C5">
        <w:rPr>
          <w:rFonts w:ascii="Times New Roman" w:eastAsia="Calibri" w:hAnsi="Times New Roman" w:cs="Times New Roman"/>
          <w:lang w:val="lv-LV"/>
        </w:rPr>
        <w:t>vartokite šį vaistą tiksliai kaip nurodė gydytojas arba vaistininkas. Jeigu abejojate, kreipkitės į gydytoją arba vaistininką.</w:t>
      </w:r>
    </w:p>
    <w:p w:rsidR="00083430" w:rsidRPr="009935C5" w:rsidRDefault="00083430" w:rsidP="00083430">
      <w:pPr>
        <w:numPr>
          <w:ilvl w:val="12"/>
          <w:numId w:val="0"/>
        </w:numPr>
        <w:spacing w:after="0" w:line="240" w:lineRule="auto"/>
        <w:ind w:right="-2"/>
        <w:rPr>
          <w:rFonts w:ascii="Times New Roman" w:hAnsi="Times New Roman"/>
          <w:i/>
        </w:rPr>
      </w:pPr>
    </w:p>
    <w:p w:rsidR="00083430" w:rsidRPr="009935C5" w:rsidRDefault="00083430" w:rsidP="00083430">
      <w:pPr>
        <w:numPr>
          <w:ilvl w:val="12"/>
          <w:numId w:val="0"/>
        </w:numPr>
        <w:spacing w:after="0" w:line="240" w:lineRule="auto"/>
        <w:ind w:right="-2"/>
        <w:rPr>
          <w:rFonts w:ascii="Times New Roman" w:hAnsi="Times New Roman"/>
          <w:i/>
        </w:rPr>
      </w:pPr>
      <w:r w:rsidRPr="009935C5">
        <w:rPr>
          <w:rFonts w:ascii="Times New Roman" w:hAnsi="Times New Roman"/>
          <w:i/>
        </w:rPr>
        <w:t>Rekomenduojama dozė esant vidurių užkietėjimui</w:t>
      </w:r>
      <w:r w:rsidRPr="009935C5">
        <w:rPr>
          <w:rFonts w:ascii="Times New Roman" w:eastAsia="Calibri" w:hAnsi="Times New Roman" w:cs="Times New Roman"/>
          <w:i/>
          <w:lang w:val="lv-LV"/>
        </w:rPr>
        <w:t xml:space="preserve"> yra: </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1 paketėlis nuo vieno iki trijų kartų per parą. Daugumai pacientų įprastinė dozė yra 1-2 paketėliai per parą. Priklausomai nuo individualaus atsako, gali prireikti ir 3 paketėlių per parą. Dozė priklauso nuo vidurių užkietėjimo sunkumo. Po poros dienų dozė gali būti sumažinta iki </w:t>
      </w:r>
      <w:r w:rsidRPr="009935C5">
        <w:rPr>
          <w:rFonts w:ascii="Times New Roman" w:eastAsia="Calibri" w:hAnsi="Times New Roman" w:cs="Times New Roman"/>
          <w:lang w:val="lv-LV"/>
        </w:rPr>
        <w:t>mažiausios veiksmingos dozės. Gydymo trukmė paprastai yra 2 savaitės. Jei po dviejų gydymo savaičių simptomai išlieka, pasikonsultuokite su gydytoju.</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Vieno paketėlio turinį išmaišykite pusėje stiklinės vandens (apie 125 ml). Maišykite tol, kol milteliai ištirps, ir išgerkite. Jei norite, prieš pat išgerdami galite įpilti vaisių sulčių ar vaisių sirupo. </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i/>
        </w:rPr>
        <w:t xml:space="preserve">Vaikams (jaunesniems </w:t>
      </w:r>
      <w:r>
        <w:rPr>
          <w:rFonts w:ascii="Times New Roman" w:hAnsi="Times New Roman"/>
          <w:i/>
        </w:rPr>
        <w:t>kaip</w:t>
      </w:r>
      <w:r w:rsidRPr="009935C5">
        <w:rPr>
          <w:rFonts w:ascii="Times New Roman" w:hAnsi="Times New Roman"/>
          <w:i/>
        </w:rPr>
        <w:t xml:space="preserve"> 12 metų): </w:t>
      </w:r>
      <w:r w:rsidRPr="009935C5">
        <w:rPr>
          <w:rFonts w:ascii="Times New Roman" w:hAnsi="Times New Roman"/>
        </w:rPr>
        <w:t>nerekomenduojama.</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b/>
        </w:rPr>
        <w:t>Visada vartokite šį vaistą tiksliai kaip aprašyta šiame lapelyje arba kaip nurodė gydytojas arba vaistininkas. Jeigu abejojate, kreipkitės į gydytoją arba vaistininką.</w:t>
      </w:r>
    </w:p>
    <w:p w:rsidR="00083430" w:rsidRPr="009935C5" w:rsidRDefault="00083430" w:rsidP="00083430">
      <w:pPr>
        <w:numPr>
          <w:ilvl w:val="12"/>
          <w:numId w:val="0"/>
        </w:numPr>
        <w:spacing w:after="0" w:line="240" w:lineRule="auto"/>
        <w:ind w:right="-2"/>
        <w:rPr>
          <w:rFonts w:ascii="Times New Roman" w:hAnsi="Times New Roman"/>
          <w:b/>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i/>
        </w:rPr>
        <w:t xml:space="preserve">Rekomenduojama dozė esant išmatų </w:t>
      </w:r>
      <w:proofErr w:type="spellStart"/>
      <w:r w:rsidRPr="009935C5">
        <w:rPr>
          <w:rFonts w:ascii="Times New Roman" w:hAnsi="Times New Roman"/>
          <w:i/>
        </w:rPr>
        <w:t>susilaikym</w:t>
      </w:r>
      <w:proofErr w:type="spellEnd"/>
      <w:r w:rsidRPr="009935C5">
        <w:rPr>
          <w:rFonts w:ascii="Times New Roman" w:eastAsia="Calibri" w:hAnsi="Times New Roman" w:cs="Times New Roman"/>
          <w:i/>
          <w:lang w:val="lv-LV"/>
        </w:rPr>
        <w:t>ui yra:</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Suaugusieji: įprastinė dozė yra 8 paketėliai per parą. 8 paketėliai turi būti suvartojami per 6 valandas kasdien daugiausiai 3 dienas, jeigu reikia. Paprastai išmatų susilaikymo gydymo kursas neviršija 3 dienų.</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Jeigu vartojate </w:t>
      </w:r>
      <w:proofErr w:type="spellStart"/>
      <w:r w:rsidRPr="009935C5">
        <w:rPr>
          <w:rFonts w:ascii="Times New Roman" w:hAnsi="Times New Roman"/>
        </w:rPr>
        <w:t>Molaxole</w:t>
      </w:r>
      <w:proofErr w:type="spellEnd"/>
      <w:r w:rsidRPr="009935C5">
        <w:rPr>
          <w:rFonts w:ascii="Times New Roman" w:hAnsi="Times New Roman"/>
        </w:rPr>
        <w:t xml:space="preserve"> išmatų susilaikymui gydyti, visus 8 paketėlius galite išmaišyti 1 litre vandens. Paruoštas tirpalas turi būti laikomas šaldytuve.</w:t>
      </w:r>
    </w:p>
    <w:p w:rsidR="00083430" w:rsidRPr="009935C5" w:rsidRDefault="00083430" w:rsidP="00083430">
      <w:pPr>
        <w:numPr>
          <w:ilvl w:val="12"/>
          <w:numId w:val="0"/>
        </w:numPr>
        <w:spacing w:after="0" w:line="240" w:lineRule="auto"/>
        <w:ind w:right="-2"/>
        <w:rPr>
          <w:rFonts w:ascii="Times New Roman" w:hAnsi="Times New Roman"/>
          <w:i/>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i/>
        </w:rPr>
        <w:lastRenderedPageBreak/>
        <w:t>Pacientams</w:t>
      </w:r>
      <w:r w:rsidRPr="009935C5">
        <w:rPr>
          <w:rFonts w:ascii="Times New Roman" w:eastAsia="Calibri" w:hAnsi="Times New Roman" w:cs="Times New Roman"/>
          <w:i/>
          <w:lang w:val="lv-LV"/>
        </w:rPr>
        <w:t>, kurių širdies ir kraujagyslių sistemos funkcija sutrikusi</w:t>
      </w:r>
    </w:p>
    <w:p w:rsidR="00083430" w:rsidRPr="009935C5" w:rsidRDefault="00083430" w:rsidP="00083430">
      <w:pPr>
        <w:spacing w:after="0" w:line="240" w:lineRule="auto"/>
        <w:rPr>
          <w:rFonts w:ascii="Times New Roman" w:hAnsi="Times New Roman"/>
        </w:rPr>
      </w:pPr>
      <w:r w:rsidRPr="009935C5">
        <w:rPr>
          <w:rFonts w:ascii="Times New Roman" w:hAnsi="Times New Roman"/>
        </w:rPr>
        <w:t>Išmatų susilaikymui gydyti skirta dozė turi būti paskirstyta taip, kad būtų vartojami ne daugiau kaip 2 paketėliai per valandą.</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tabs>
          <w:tab w:val="left" w:pos="0"/>
          <w:tab w:val="left" w:pos="851"/>
          <w:tab w:val="left" w:pos="4807"/>
          <w:tab w:val="left" w:pos="7403"/>
        </w:tabs>
        <w:spacing w:after="0" w:line="240" w:lineRule="auto"/>
        <w:rPr>
          <w:rFonts w:ascii="Times New Roman" w:hAnsi="Times New Roman"/>
        </w:rPr>
      </w:pPr>
      <w:r w:rsidRPr="009935C5">
        <w:rPr>
          <w:rFonts w:ascii="Times New Roman" w:hAnsi="Times New Roman"/>
          <w:i/>
        </w:rPr>
        <w:t>Pacientams</w:t>
      </w:r>
      <w:r w:rsidRPr="009935C5">
        <w:rPr>
          <w:rFonts w:ascii="Times New Roman" w:eastAsia="Calibri" w:hAnsi="Times New Roman" w:cs="Times New Roman"/>
          <w:i/>
          <w:lang w:val="lv-LV"/>
        </w:rPr>
        <w:t>,</w:t>
      </w:r>
      <w:r w:rsidRPr="009935C5">
        <w:rPr>
          <w:rFonts w:ascii="Times New Roman" w:hAnsi="Times New Roman"/>
          <w:i/>
        </w:rPr>
        <w:t xml:space="preserve"> kurių </w:t>
      </w:r>
      <w:r w:rsidRPr="009935C5">
        <w:rPr>
          <w:rFonts w:ascii="Times New Roman" w:eastAsia="Calibri" w:hAnsi="Times New Roman" w:cs="Times New Roman"/>
          <w:i/>
          <w:lang w:val="lv-LV"/>
        </w:rPr>
        <w:t xml:space="preserve">inkstų </w:t>
      </w:r>
      <w:r w:rsidRPr="009935C5">
        <w:rPr>
          <w:rFonts w:ascii="Times New Roman" w:hAnsi="Times New Roman"/>
          <w:i/>
        </w:rPr>
        <w:t>funkcija sutrikusi</w:t>
      </w: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rPr>
        <w:t>Gydant tiek vidurių užkietėjimą, tiek išmatų susilaikymą, dozės keisti nereikia.</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b/>
        </w:rPr>
        <w:t>Ką daryti p</w:t>
      </w:r>
      <w:r w:rsidRPr="009935C5">
        <w:rPr>
          <w:rFonts w:ascii="Times New Roman" w:eastAsia="Calibri" w:hAnsi="Times New Roman" w:cs="Times New Roman"/>
          <w:b/>
          <w:lang w:val="lv-LV"/>
        </w:rPr>
        <w:t>avartojus per didelę Molaxole dozę</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Jei pavartojote per daug </w:t>
      </w:r>
      <w:proofErr w:type="spellStart"/>
      <w:r w:rsidRPr="009935C5">
        <w:rPr>
          <w:rFonts w:ascii="Times New Roman" w:hAnsi="Times New Roman"/>
        </w:rPr>
        <w:t>Molaxole</w:t>
      </w:r>
      <w:proofErr w:type="spellEnd"/>
      <w:r w:rsidRPr="009935C5">
        <w:rPr>
          <w:rFonts w:ascii="Times New Roman" w:hAnsi="Times New Roman"/>
        </w:rPr>
        <w:t xml:space="preserve"> ir prasidėjo sunkus viduriavimas ar vėmimas, nutraukite </w:t>
      </w:r>
      <w:proofErr w:type="spellStart"/>
      <w:r w:rsidRPr="009935C5">
        <w:rPr>
          <w:rFonts w:ascii="Times New Roman" w:hAnsi="Times New Roman"/>
        </w:rPr>
        <w:t>Molaxole</w:t>
      </w:r>
      <w:proofErr w:type="spellEnd"/>
      <w:r w:rsidRPr="009935C5">
        <w:rPr>
          <w:rFonts w:ascii="Times New Roman" w:hAnsi="Times New Roman"/>
        </w:rPr>
        <w:t xml:space="preserve"> vartojimą, kol simptomai išnyks. Tuomet vaisto vartojimą pradėk</w:t>
      </w:r>
      <w:r w:rsidRPr="009935C5">
        <w:rPr>
          <w:rFonts w:ascii="Times New Roman" w:eastAsia="Calibri" w:hAnsi="Times New Roman" w:cs="Times New Roman"/>
          <w:lang w:val="lv-LV"/>
        </w:rPr>
        <w:t>ite vėl, tik mažesne doze. Jeigu nerimaujate, kreipkitės į gydytoją arba vaistininką.</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b/>
        </w:rPr>
        <w:t xml:space="preserve">Pamiršus pavartoti </w:t>
      </w:r>
      <w:proofErr w:type="spellStart"/>
      <w:r w:rsidRPr="009935C5">
        <w:rPr>
          <w:rFonts w:ascii="Times New Roman" w:hAnsi="Times New Roman"/>
          <w:b/>
        </w:rPr>
        <w:t>Molaxole</w:t>
      </w:r>
      <w:proofErr w:type="spellEnd"/>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Negalima vartoti dvigubos dozės praleistajai dozei kompensuoti.</w:t>
      </w:r>
    </w:p>
    <w:p w:rsidR="00083430" w:rsidRPr="009935C5" w:rsidRDefault="00083430" w:rsidP="00083430">
      <w:pPr>
        <w:numPr>
          <w:ilvl w:val="12"/>
          <w:numId w:val="0"/>
        </w:numPr>
        <w:spacing w:after="0" w:line="240" w:lineRule="auto"/>
        <w:ind w:right="-2"/>
        <w:rPr>
          <w:rFonts w:ascii="Times New Roman" w:hAnsi="Times New Roman"/>
          <w:b/>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Jeigu kiltų daugiau klausimų dėl šio vaisto vartojimo, kreipkitės į gydytoją arba vaistininką.</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left="567" w:right="-2" w:hanging="567"/>
        <w:rPr>
          <w:rFonts w:ascii="Times New Roman" w:hAnsi="Times New Roman"/>
        </w:rPr>
      </w:pPr>
      <w:r w:rsidRPr="009935C5">
        <w:rPr>
          <w:rFonts w:ascii="Times New Roman" w:hAnsi="Times New Roman"/>
          <w:b/>
        </w:rPr>
        <w:t>4.</w:t>
      </w:r>
      <w:r w:rsidRPr="009935C5">
        <w:rPr>
          <w:rFonts w:ascii="Times New Roman" w:hAnsi="Times New Roman"/>
          <w:b/>
        </w:rPr>
        <w:tab/>
        <w:t>G</w:t>
      </w:r>
      <w:r w:rsidRPr="009935C5">
        <w:rPr>
          <w:rFonts w:ascii="Times New Roman" w:eastAsia="Calibri" w:hAnsi="Times New Roman" w:cs="Times New Roman"/>
          <w:b/>
          <w:lang w:val="lv-LV"/>
        </w:rPr>
        <w:t>alimas šalutinis poveikis</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9"/>
        <w:rPr>
          <w:rFonts w:ascii="Times New Roman" w:hAnsi="Times New Roman"/>
        </w:rPr>
      </w:pPr>
      <w:r w:rsidRPr="009935C5">
        <w:rPr>
          <w:rFonts w:ascii="Times New Roman" w:hAnsi="Times New Roman"/>
        </w:rPr>
        <w:t>Šis vaistas, kaip ir visi kiti, gali sukelti šalutinį poveikį, nors jis pasireiškia ne visiems žmonėms.</w:t>
      </w:r>
    </w:p>
    <w:p w:rsidR="00083430" w:rsidRPr="009935C5" w:rsidRDefault="00083430" w:rsidP="00083430">
      <w:pPr>
        <w:numPr>
          <w:ilvl w:val="12"/>
          <w:numId w:val="0"/>
        </w:numPr>
        <w:spacing w:after="0" w:line="240" w:lineRule="auto"/>
        <w:ind w:right="-29"/>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i/>
        </w:rPr>
        <w:t>Labai dažni šalutiniai poveikiai</w:t>
      </w:r>
      <w:r w:rsidRPr="009935C5">
        <w:rPr>
          <w:rFonts w:ascii="Times New Roman" w:hAnsi="Times New Roman"/>
        </w:rPr>
        <w:t xml:space="preserve"> </w:t>
      </w:r>
      <w:r w:rsidRPr="009935C5">
        <w:rPr>
          <w:rFonts w:ascii="Times New Roman" w:hAnsi="Times New Roman"/>
          <w:i/>
        </w:rPr>
        <w:t>(gali pasireikšti daugiau nei 1 iš 10 žmonių)</w:t>
      </w:r>
      <w:r w:rsidRPr="009935C5">
        <w:rPr>
          <w:rFonts w:ascii="Times New Roman" w:eastAsia="Calibri" w:hAnsi="Times New Roman" w:cs="Times New Roman"/>
          <w:lang w:val="lv-LV"/>
        </w:rPr>
        <w:t>: skrandžio skausmas ir spazmai, viduriavimas, vėmimas, pykinimas, skrandžio gurgėjimas ir dujų susikaupimas virškinimo trakte.</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i/>
        </w:rPr>
        <w:t>Dažni šalutiniai poveikiai</w:t>
      </w:r>
      <w:r w:rsidRPr="009935C5">
        <w:rPr>
          <w:rFonts w:ascii="Times New Roman" w:hAnsi="Times New Roman"/>
        </w:rPr>
        <w:t xml:space="preserve"> </w:t>
      </w:r>
      <w:r w:rsidRPr="009935C5">
        <w:rPr>
          <w:rFonts w:ascii="Times New Roman" w:hAnsi="Times New Roman"/>
          <w:i/>
        </w:rPr>
        <w:t>(gali pasireikšti nuo 1 iki 10 žmonių):</w:t>
      </w:r>
      <w:r w:rsidRPr="009935C5">
        <w:rPr>
          <w:rFonts w:ascii="Times New Roman" w:eastAsia="Calibri" w:hAnsi="Times New Roman" w:cs="Times New Roman"/>
          <w:lang w:val="lv-LV"/>
        </w:rPr>
        <w:t xml:space="preserve"> niežėjimas, galvos skausmas, sutinę rankos, pėdos ar kulkšnys.</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i/>
        </w:rPr>
        <w:t>Nedažni šalutini</w:t>
      </w:r>
      <w:r w:rsidRPr="009935C5">
        <w:rPr>
          <w:rFonts w:ascii="Times New Roman" w:eastAsia="Calibri" w:hAnsi="Times New Roman" w:cs="Times New Roman"/>
          <w:i/>
          <w:lang w:val="lv-LV"/>
        </w:rPr>
        <w:t>ai poveikiai</w:t>
      </w:r>
      <w:r w:rsidRPr="009935C5">
        <w:rPr>
          <w:rFonts w:ascii="Times New Roman" w:eastAsia="Calibri" w:hAnsi="Times New Roman" w:cs="Times New Roman"/>
          <w:lang w:val="lv-LV"/>
        </w:rPr>
        <w:t xml:space="preserve"> </w:t>
      </w:r>
      <w:r w:rsidRPr="009935C5">
        <w:rPr>
          <w:rFonts w:ascii="Times New Roman" w:eastAsia="Calibri" w:hAnsi="Times New Roman" w:cs="Times New Roman"/>
          <w:i/>
          <w:lang w:val="lv-LV"/>
        </w:rPr>
        <w:t>(gali pasireikšti 1 iš 100 žmonių):</w:t>
      </w:r>
      <w:r w:rsidRPr="009935C5">
        <w:rPr>
          <w:rFonts w:ascii="Times New Roman" w:eastAsia="Calibri" w:hAnsi="Times New Roman" w:cs="Times New Roman"/>
          <w:lang w:val="lv-LV"/>
        </w:rPr>
        <w:t xml:space="preserve"> </w:t>
      </w:r>
      <w:r>
        <w:rPr>
          <w:rFonts w:ascii="Times New Roman" w:eastAsia="Calibri" w:hAnsi="Times New Roman" w:cs="Times New Roman"/>
          <w:lang w:val="lv-LV"/>
        </w:rPr>
        <w:t>iš</w:t>
      </w:r>
      <w:r w:rsidRPr="009935C5">
        <w:rPr>
          <w:rFonts w:ascii="Times New Roman" w:eastAsia="Calibri" w:hAnsi="Times New Roman" w:cs="Times New Roman"/>
          <w:lang w:val="lv-LV"/>
        </w:rPr>
        <w:t>bėrimas, skrandžio veiklos sutrikimas ir išsipūtęs skrandis.</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tabs>
          <w:tab w:val="left" w:pos="540"/>
        </w:tabs>
        <w:spacing w:after="0" w:line="240" w:lineRule="auto"/>
        <w:ind w:right="-2"/>
        <w:rPr>
          <w:rFonts w:ascii="Times New Roman" w:hAnsi="Times New Roman"/>
        </w:rPr>
      </w:pPr>
      <w:r w:rsidRPr="009935C5">
        <w:rPr>
          <w:rFonts w:ascii="Times New Roman" w:hAnsi="Times New Roman"/>
          <w:i/>
        </w:rPr>
        <w:t>Labai reti šalutiniai poveikiai (gali pasireikšti 1 iš 10 000 žmonių):</w:t>
      </w:r>
      <w:r w:rsidRPr="009935C5">
        <w:rPr>
          <w:rFonts w:ascii="Times New Roman" w:hAnsi="Times New Roman"/>
        </w:rPr>
        <w:t xml:space="preserve"> sunkios alerginės reakcijos, dėl kurių Jums sunku kvėpuoti, sutinsta veidas, lūpos, liežuvis ar gerklė. Nedelsdami p</w:t>
      </w:r>
      <w:r w:rsidRPr="009935C5">
        <w:rPr>
          <w:rFonts w:ascii="Times New Roman" w:eastAsia="Calibri" w:hAnsi="Times New Roman" w:cs="Times New Roman"/>
          <w:lang w:val="lv-LV"/>
        </w:rPr>
        <w:t>raneškite gydytojui ir nutraukite Molaxole vartojimą, jeigu Jums pasireiškė bet kuris iš šių simptomų.</w:t>
      </w:r>
    </w:p>
    <w:p w:rsidR="00083430" w:rsidRDefault="00083430" w:rsidP="00083430">
      <w:pPr>
        <w:numPr>
          <w:ilvl w:val="12"/>
          <w:numId w:val="0"/>
        </w:numPr>
        <w:spacing w:after="0" w:line="240" w:lineRule="auto"/>
        <w:rPr>
          <w:rFonts w:ascii="Times New Roman" w:hAnsi="Times New Roman"/>
        </w:rPr>
      </w:pPr>
      <w:r w:rsidRPr="009935C5">
        <w:rPr>
          <w:rFonts w:ascii="Times New Roman" w:hAnsi="Times New Roman"/>
        </w:rPr>
        <w:t>Alerginės reakcijos (pvz.</w:t>
      </w:r>
      <w:r>
        <w:rPr>
          <w:rFonts w:ascii="Times New Roman" w:hAnsi="Times New Roman"/>
        </w:rPr>
        <w:t>,</w:t>
      </w:r>
      <w:r w:rsidRPr="009935C5">
        <w:rPr>
          <w:rFonts w:ascii="Times New Roman" w:hAnsi="Times New Roman"/>
        </w:rPr>
        <w:t xml:space="preserve"> odos reakcijos ir varvanti nosis), aukštas ir žemas kalio lygis kraujyje ir išangės diskomfortas.</w:t>
      </w:r>
    </w:p>
    <w:p w:rsidR="00083430"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rPr>
          <w:rFonts w:ascii="Times New Roman" w:hAnsi="Times New Roman"/>
        </w:rPr>
      </w:pPr>
      <w:r w:rsidRPr="00C938D3">
        <w:rPr>
          <w:rFonts w:ascii="Times New Roman" w:hAnsi="Times New Roman"/>
          <w:i/>
        </w:rPr>
        <w:t>Dažnis nežinomas (negali būti apskaičiuotas pagal turimus duomenis):</w:t>
      </w:r>
      <w:r>
        <w:rPr>
          <w:rFonts w:ascii="Times New Roman" w:hAnsi="Times New Roman"/>
        </w:rPr>
        <w:t xml:space="preserve"> skysčių ar elektrolitų pusiausvyros organizme pokytis (mažas natrio kiekis).</w:t>
      </w:r>
    </w:p>
    <w:p w:rsidR="00083430" w:rsidRPr="009935C5" w:rsidRDefault="00083430" w:rsidP="00083430">
      <w:pPr>
        <w:numPr>
          <w:ilvl w:val="12"/>
          <w:numId w:val="0"/>
        </w:numPr>
        <w:spacing w:after="0" w:line="240" w:lineRule="auto"/>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b/>
        </w:rPr>
        <w:t>Pranešimas apie šalutinį poveikį</w:t>
      </w:r>
    </w:p>
    <w:p w:rsidR="00083430" w:rsidRPr="009935C5" w:rsidRDefault="00083430" w:rsidP="00083430">
      <w:pPr>
        <w:spacing w:after="0" w:line="240" w:lineRule="auto"/>
        <w:ind w:right="-446"/>
        <w:rPr>
          <w:rFonts w:ascii="Times New Roman" w:hAnsi="Times New Roman"/>
        </w:rPr>
      </w:pPr>
      <w:r w:rsidRPr="009935C5">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935C5">
          <w:rPr>
            <w:rFonts w:ascii="Times New Roman" w:hAnsi="Times New Roman"/>
            <w:color w:val="0563C1"/>
            <w:u w:val="single"/>
          </w:rPr>
          <w:t>www.vvkt.lt</w:t>
        </w:r>
      </w:hyperlink>
      <w:r w:rsidRPr="009935C5">
        <w:rPr>
          <w:rFonts w:ascii="Times New Roman" w:hAnsi="Times New Roman"/>
        </w:rPr>
        <w:t xml:space="preserve"> esančią formą ir pateikti ją Valstybinei vaistų kontrolės tarnybai prie Lietuvos Respublikos sveikatos apsaugos ministerijos vienu</w:t>
      </w:r>
      <w:r w:rsidRPr="009935C5">
        <w:rPr>
          <w:rFonts w:ascii="Times New Roman" w:eastAsia="Calibri" w:hAnsi="Times New Roman" w:cs="Times New Roman"/>
          <w:lang w:val="lv-LV"/>
        </w:rPr>
        <w:t xml:space="preserve"> iš šių būdų: raštu (adresu Žirmūnų g. 139A, LT- 09120 Vilnius), nemokamu fakso numeriu 8 800 20 131, el. paštu </w:t>
      </w:r>
      <w:r>
        <w:fldChar w:fldCharType="begin"/>
      </w:r>
      <w:r>
        <w:instrText xml:space="preserve"> HYPERLINK "mailto:NepageidaujamaR@vvkt.lt" </w:instrText>
      </w:r>
      <w:r>
        <w:fldChar w:fldCharType="separate"/>
      </w:r>
      <w:r w:rsidRPr="009935C5">
        <w:rPr>
          <w:rFonts w:ascii="Times New Roman" w:hAnsi="Times New Roman"/>
          <w:color w:val="0563C1"/>
          <w:u w:val="single"/>
        </w:rPr>
        <w:t>NepageidaujamaR@vvkt.lt</w:t>
      </w:r>
      <w:r>
        <w:rPr>
          <w:rFonts w:ascii="Times New Roman" w:hAnsi="Times New Roman"/>
          <w:color w:val="0563C1"/>
          <w:u w:val="single"/>
        </w:rPr>
        <w:fldChar w:fldCharType="end"/>
      </w:r>
      <w:r w:rsidRPr="009935C5">
        <w:rPr>
          <w:rFonts w:ascii="Times New Roman" w:hAnsi="Times New Roman"/>
        </w:rPr>
        <w:t xml:space="preserve">, taip pat per Valstybinės vaistų kontrolės tarnybos prie Lietuvos </w:t>
      </w:r>
      <w:proofErr w:type="spellStart"/>
      <w:r w:rsidRPr="009935C5">
        <w:rPr>
          <w:rFonts w:ascii="Times New Roman" w:hAnsi="Times New Roman"/>
        </w:rPr>
        <w:t>Resp</w:t>
      </w:r>
      <w:proofErr w:type="spellEnd"/>
      <w:r w:rsidRPr="009935C5">
        <w:rPr>
          <w:rFonts w:ascii="Times New Roman" w:eastAsia="Calibri" w:hAnsi="Times New Roman" w:cs="Times New Roman"/>
          <w:lang w:val="lv-LV"/>
        </w:rPr>
        <w:t>ublikos sveikatos apsaugos ministerijos interneto svetainę (adresu http://www.vvkt.lt). Pranešdami apie šalutinį poveikį galite mums padėti gauti daugiau informacijos apie šio vaisto saugumą.</w:t>
      </w:r>
    </w:p>
    <w:p w:rsidR="00083430"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left="567" w:right="-2" w:hanging="567"/>
        <w:rPr>
          <w:rFonts w:ascii="Times New Roman" w:hAnsi="Times New Roman"/>
        </w:rPr>
      </w:pPr>
      <w:r w:rsidRPr="009935C5">
        <w:rPr>
          <w:rFonts w:ascii="Times New Roman" w:hAnsi="Times New Roman"/>
          <w:b/>
        </w:rPr>
        <w:t>5.</w:t>
      </w:r>
      <w:r w:rsidRPr="009935C5">
        <w:rPr>
          <w:rFonts w:ascii="Times New Roman" w:hAnsi="Times New Roman"/>
          <w:b/>
        </w:rPr>
        <w:tab/>
        <w:t>K</w:t>
      </w:r>
      <w:r w:rsidRPr="009935C5">
        <w:rPr>
          <w:rFonts w:ascii="Times New Roman" w:eastAsia="Calibri" w:hAnsi="Times New Roman" w:cs="Times New Roman"/>
          <w:b/>
          <w:lang w:val="lv-LV"/>
        </w:rPr>
        <w:t xml:space="preserve">aip laikyti </w:t>
      </w:r>
      <w:proofErr w:type="spellStart"/>
      <w:r w:rsidRPr="009935C5">
        <w:rPr>
          <w:rFonts w:ascii="Times New Roman" w:hAnsi="Times New Roman"/>
          <w:b/>
        </w:rPr>
        <w:t>Molaxole</w:t>
      </w:r>
      <w:proofErr w:type="spellEnd"/>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Šį vaistą laikykite vaikams nepastebimoje ir nepasiekiamoje vietoje.</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lastRenderedPageBreak/>
        <w:t xml:space="preserve">Ant paketėlio ar dėžutės po „Tinka iki” nurodytam tinkamumo laikui pasibaigus, šio vaisto </w:t>
      </w:r>
      <w:r w:rsidRPr="009935C5">
        <w:rPr>
          <w:rFonts w:ascii="Times New Roman" w:eastAsia="Calibri" w:hAnsi="Times New Roman" w:cs="Times New Roman"/>
          <w:lang w:val="lv-LV"/>
        </w:rPr>
        <w:t>vartoti negalima. Vaistas tinkamas vartoti iki paskutinės nurodyto mėnesio dienos.</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spacing w:after="0" w:line="240" w:lineRule="auto"/>
        <w:rPr>
          <w:rFonts w:ascii="Times New Roman" w:hAnsi="Times New Roman"/>
        </w:rPr>
      </w:pPr>
      <w:r w:rsidRPr="009935C5">
        <w:rPr>
          <w:rFonts w:ascii="Times New Roman" w:hAnsi="Times New Roman"/>
        </w:rPr>
        <w:t>Šio vaisto laikymui specialių temperatūros sąlygų nereikalaujama</w:t>
      </w:r>
      <w:r w:rsidRPr="009935C5">
        <w:rPr>
          <w:rFonts w:ascii="Times New Roman" w:eastAsia="Calibri" w:hAnsi="Times New Roman" w:cs="Times New Roman"/>
          <w:lang w:val="lv-LV"/>
        </w:rPr>
        <w:t>. Laikyti gamintojo pakuotėje, kad vaistas būtų apsaugotas nuo drėgmės. Paruoštas sumaišytas ir sandariai uždarytas tirpalas turi būti laikomas šaldytuve (2 °C - 8 ° C). Per 6 valandas nesuvartoto tirpalo likutį sunaikinkite.</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Vaistų negalima išmesti</w:t>
      </w:r>
      <w:r w:rsidRPr="009935C5">
        <w:rPr>
          <w:rFonts w:ascii="Times New Roman" w:eastAsia="Calibri" w:hAnsi="Times New Roman" w:cs="Times New Roman"/>
          <w:lang w:val="lv-LV"/>
        </w:rPr>
        <w:t xml:space="preserve"> į kanalizaciją arba su buitinėmis atliekomis. Kaip išmesti nereikalingus vaistus, klauskite vaistininko. Šios priemonės padės apsaugoti aplinką.</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tabs>
          <w:tab w:val="left" w:pos="567"/>
        </w:tabs>
        <w:spacing w:after="0" w:line="240" w:lineRule="auto"/>
        <w:ind w:right="-2"/>
        <w:rPr>
          <w:rFonts w:ascii="Times New Roman" w:hAnsi="Times New Roman"/>
          <w:b/>
        </w:rPr>
      </w:pPr>
      <w:r w:rsidRPr="009935C5">
        <w:rPr>
          <w:rFonts w:ascii="Times New Roman" w:hAnsi="Times New Roman"/>
          <w:b/>
        </w:rPr>
        <w:t>6.</w:t>
      </w:r>
      <w:r w:rsidRPr="009935C5">
        <w:rPr>
          <w:rFonts w:ascii="Times New Roman" w:hAnsi="Times New Roman"/>
          <w:b/>
        </w:rPr>
        <w:tab/>
        <w:t>Pakuotės turinys ir kita informacija</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proofErr w:type="spellStart"/>
      <w:r w:rsidRPr="009935C5">
        <w:rPr>
          <w:rFonts w:ascii="Times New Roman" w:hAnsi="Times New Roman"/>
          <w:b/>
        </w:rPr>
        <w:t>Molaxole</w:t>
      </w:r>
      <w:proofErr w:type="spellEnd"/>
      <w:r w:rsidRPr="009935C5">
        <w:rPr>
          <w:rFonts w:ascii="Times New Roman" w:hAnsi="Times New Roman"/>
          <w:b/>
        </w:rPr>
        <w:t xml:space="preserve"> sudėtis</w:t>
      </w:r>
    </w:p>
    <w:p w:rsidR="00083430" w:rsidRPr="009935C5" w:rsidRDefault="00083430" w:rsidP="00083430">
      <w:pPr>
        <w:numPr>
          <w:ilvl w:val="12"/>
          <w:numId w:val="0"/>
        </w:numPr>
        <w:spacing w:after="0" w:line="240" w:lineRule="auto"/>
        <w:ind w:right="-2"/>
        <w:rPr>
          <w:rFonts w:ascii="Times New Roman" w:hAnsi="Times New Roman"/>
          <w:u w:val="single"/>
        </w:rPr>
      </w:pPr>
    </w:p>
    <w:p w:rsidR="00083430" w:rsidRPr="009935C5" w:rsidRDefault="00083430" w:rsidP="00083430">
      <w:pPr>
        <w:numPr>
          <w:ilvl w:val="0"/>
          <w:numId w:val="1"/>
        </w:numPr>
        <w:spacing w:after="0" w:line="240" w:lineRule="auto"/>
        <w:ind w:left="567" w:right="-2" w:hanging="567"/>
        <w:rPr>
          <w:rFonts w:ascii="Times New Roman" w:hAnsi="Times New Roman"/>
        </w:rPr>
      </w:pPr>
      <w:r w:rsidRPr="009935C5">
        <w:rPr>
          <w:rFonts w:ascii="Times New Roman" w:hAnsi="Times New Roman"/>
        </w:rPr>
        <w:t xml:space="preserve">Veikliosios medžiagos yra 13,125 g </w:t>
      </w:r>
      <w:proofErr w:type="spellStart"/>
      <w:r w:rsidRPr="009935C5">
        <w:rPr>
          <w:rFonts w:ascii="Times New Roman" w:hAnsi="Times New Roman"/>
        </w:rPr>
        <w:t>makrogolio</w:t>
      </w:r>
      <w:proofErr w:type="spellEnd"/>
      <w:r w:rsidRPr="009935C5">
        <w:rPr>
          <w:rFonts w:ascii="Times New Roman" w:hAnsi="Times New Roman"/>
        </w:rPr>
        <w:t xml:space="preserve"> 3350 (taip pat žinomas kaip </w:t>
      </w:r>
      <w:proofErr w:type="spellStart"/>
      <w:r w:rsidRPr="009935C5">
        <w:rPr>
          <w:rFonts w:ascii="Times New Roman" w:hAnsi="Times New Roman"/>
        </w:rPr>
        <w:t>polietilenglikolis</w:t>
      </w:r>
      <w:proofErr w:type="spellEnd"/>
      <w:r w:rsidRPr="009935C5">
        <w:rPr>
          <w:rFonts w:ascii="Times New Roman" w:hAnsi="Times New Roman"/>
        </w:rPr>
        <w:t xml:space="preserve"> 3350), 350,7 mg natrio chlorido, 178,5 mg natrio-vandenilio karbonato, 46,6 mg kalio chlorido.</w:t>
      </w:r>
    </w:p>
    <w:p w:rsidR="00083430" w:rsidRPr="009935C5" w:rsidRDefault="00083430" w:rsidP="00083430">
      <w:pPr>
        <w:numPr>
          <w:ilvl w:val="0"/>
          <w:numId w:val="1"/>
        </w:numPr>
        <w:spacing w:after="0" w:line="240" w:lineRule="auto"/>
        <w:ind w:left="567" w:right="-2" w:hanging="567"/>
        <w:rPr>
          <w:rFonts w:ascii="Times New Roman" w:hAnsi="Times New Roman"/>
        </w:rPr>
      </w:pPr>
      <w:r w:rsidRPr="009935C5">
        <w:rPr>
          <w:rFonts w:ascii="Times New Roman" w:hAnsi="Times New Roman"/>
        </w:rPr>
        <w:t xml:space="preserve">Pagalbinės medžiagos yra </w:t>
      </w:r>
      <w:proofErr w:type="spellStart"/>
      <w:r w:rsidRPr="009935C5">
        <w:rPr>
          <w:rFonts w:ascii="Times New Roman" w:hAnsi="Times New Roman"/>
        </w:rPr>
        <w:t>acesulfamo</w:t>
      </w:r>
      <w:proofErr w:type="spellEnd"/>
      <w:r w:rsidRPr="009935C5">
        <w:rPr>
          <w:rFonts w:ascii="Times New Roman" w:hAnsi="Times New Roman"/>
        </w:rPr>
        <w:t xml:space="preserve"> kalio druska (E950) (saldiklis) ir citrinų kvapioji me</w:t>
      </w:r>
      <w:r w:rsidRPr="009935C5">
        <w:rPr>
          <w:rFonts w:ascii="Times New Roman" w:eastAsia="Calibri" w:hAnsi="Times New Roman" w:cs="Times New Roman"/>
          <w:lang w:val="lv-LV"/>
        </w:rPr>
        <w:t>džiaga.</w:t>
      </w:r>
    </w:p>
    <w:p w:rsidR="00083430" w:rsidRPr="009935C5" w:rsidRDefault="00083430" w:rsidP="00083430">
      <w:p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proofErr w:type="spellStart"/>
      <w:r w:rsidRPr="009935C5">
        <w:rPr>
          <w:rFonts w:ascii="Times New Roman" w:hAnsi="Times New Roman"/>
          <w:b/>
        </w:rPr>
        <w:t>Molaxole</w:t>
      </w:r>
      <w:proofErr w:type="spellEnd"/>
      <w:r w:rsidRPr="009935C5">
        <w:rPr>
          <w:rFonts w:ascii="Times New Roman" w:hAnsi="Times New Roman"/>
          <w:b/>
        </w:rPr>
        <w:t xml:space="preserve"> išvaizda ir kiekis pakuotėje</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Balti milteliai geriamajam tirpalui.</w:t>
      </w:r>
    </w:p>
    <w:p w:rsidR="00083430" w:rsidRPr="009935C5" w:rsidRDefault="00083430" w:rsidP="00083430">
      <w:pPr>
        <w:numPr>
          <w:ilvl w:val="12"/>
          <w:numId w:val="0"/>
        </w:numPr>
        <w:spacing w:after="0" w:line="240" w:lineRule="auto"/>
        <w:ind w:right="-2"/>
        <w:rPr>
          <w:rFonts w:ascii="Times New Roman" w:hAnsi="Times New Roman"/>
          <w:u w:val="single"/>
        </w:rPr>
      </w:pPr>
      <w:r w:rsidRPr="009935C5">
        <w:rPr>
          <w:rFonts w:ascii="Times New Roman" w:hAnsi="Times New Roman"/>
        </w:rPr>
        <w:t>13,8 g paketėliai dėžutėje, kurioje yra 2, 6, 8, 10, 20, 30, 40, 50, 60 ir</w:t>
      </w:r>
      <w:r w:rsidRPr="009935C5">
        <w:rPr>
          <w:rFonts w:ascii="Times New Roman" w:eastAsia="Calibri" w:hAnsi="Times New Roman" w:cs="Times New Roman"/>
          <w:lang w:val="lv-LV"/>
        </w:rPr>
        <w:t xml:space="preserve"> 100 arba 2x50 paketėlių.</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Gali būti tiekiamos ne visų dydžių pakuotės.</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b/>
        </w:rPr>
      </w:pPr>
      <w:r w:rsidRPr="009935C5">
        <w:rPr>
          <w:rFonts w:ascii="Times New Roman" w:hAnsi="Times New Roman"/>
          <w:b/>
        </w:rPr>
        <w:t>Registruotojas ir gamintojas</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i/>
        </w:rPr>
      </w:pPr>
      <w:r w:rsidRPr="009935C5">
        <w:rPr>
          <w:rFonts w:ascii="Times New Roman" w:hAnsi="Times New Roman"/>
          <w:i/>
        </w:rPr>
        <w:t>Registruotojas</w:t>
      </w: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rsidR="00083430" w:rsidRPr="009935C5" w:rsidRDefault="00083430" w:rsidP="00083430">
      <w:pPr>
        <w:spacing w:after="0" w:line="276" w:lineRule="auto"/>
        <w:rPr>
          <w:rFonts w:ascii="Times New Roman" w:hAnsi="Times New Roman"/>
          <w:lang w:val="en-US"/>
        </w:rPr>
      </w:pPr>
      <w:r w:rsidRPr="009935C5">
        <w:rPr>
          <w:rFonts w:ascii="Times New Roman" w:eastAsia="Calibri" w:hAnsi="Times New Roman" w:cs="Times New Roman"/>
          <w:bCs/>
          <w:snapToGrid w:val="0"/>
          <w:lang w:val="lv-LV"/>
        </w:rPr>
        <w:t>Mūkusalas 101</w:t>
      </w:r>
    </w:p>
    <w:p w:rsidR="00083430" w:rsidRPr="009935C5" w:rsidRDefault="00083430" w:rsidP="00083430">
      <w:pPr>
        <w:spacing w:after="0" w:line="276" w:lineRule="auto"/>
        <w:rPr>
          <w:rFonts w:ascii="Times New Roman" w:eastAsia="Calibri" w:hAnsi="Times New Roman" w:cs="Times New Roman"/>
          <w:bCs/>
          <w:snapToGrid w:val="0"/>
          <w:lang w:val="lv-LV"/>
        </w:rPr>
      </w:pPr>
      <w:r w:rsidRPr="009935C5">
        <w:rPr>
          <w:rFonts w:ascii="Times New Roman" w:eastAsia="Calibri" w:hAnsi="Times New Roman" w:cs="Times New Roman"/>
          <w:color w:val="000000"/>
          <w:lang w:val="lv-LV"/>
        </w:rPr>
        <w:t>Rīga</w:t>
      </w:r>
      <w:r w:rsidRPr="009935C5">
        <w:rPr>
          <w:rFonts w:ascii="Times New Roman" w:eastAsia="Calibri" w:hAnsi="Times New Roman" w:cs="Times New Roman"/>
          <w:bCs/>
          <w:snapToGrid w:val="0"/>
          <w:lang w:val="lv-LV"/>
        </w:rPr>
        <w:t xml:space="preserve"> LV-1004</w:t>
      </w:r>
    </w:p>
    <w:p w:rsidR="00083430" w:rsidRPr="009935C5" w:rsidRDefault="00083430" w:rsidP="00083430">
      <w:pPr>
        <w:numPr>
          <w:ilvl w:val="12"/>
          <w:numId w:val="0"/>
        </w:numPr>
        <w:spacing w:after="0" w:line="240" w:lineRule="auto"/>
        <w:rPr>
          <w:rFonts w:ascii="Times New Roman" w:hAnsi="Times New Roman"/>
        </w:rPr>
      </w:pPr>
      <w:r w:rsidRPr="009935C5">
        <w:rPr>
          <w:rFonts w:ascii="Times New Roman" w:hAnsi="Times New Roman"/>
        </w:rPr>
        <w:t>Latvija</w:t>
      </w:r>
    </w:p>
    <w:p w:rsidR="00083430" w:rsidRPr="009935C5" w:rsidRDefault="00083430" w:rsidP="00083430">
      <w:pPr>
        <w:numPr>
          <w:ilvl w:val="12"/>
          <w:numId w:val="0"/>
        </w:numPr>
        <w:spacing w:after="0" w:line="240" w:lineRule="auto"/>
        <w:ind w:right="-2"/>
        <w:rPr>
          <w:rFonts w:ascii="Times New Roman" w:hAnsi="Times New Roman"/>
          <w:b/>
        </w:rPr>
      </w:pPr>
    </w:p>
    <w:p w:rsidR="00083430" w:rsidRPr="009935C5" w:rsidRDefault="00083430" w:rsidP="00083430">
      <w:pPr>
        <w:numPr>
          <w:ilvl w:val="12"/>
          <w:numId w:val="0"/>
        </w:numPr>
        <w:spacing w:after="0" w:line="240" w:lineRule="auto"/>
        <w:ind w:right="-2"/>
        <w:rPr>
          <w:rFonts w:ascii="Times New Roman" w:hAnsi="Times New Roman"/>
          <w:i/>
        </w:rPr>
      </w:pPr>
      <w:r w:rsidRPr="009935C5">
        <w:rPr>
          <w:rFonts w:ascii="Times New Roman" w:hAnsi="Times New Roman"/>
          <w:i/>
        </w:rPr>
        <w:t>Gamintojas</w:t>
      </w:r>
    </w:p>
    <w:p w:rsidR="00083430" w:rsidRPr="009935C5" w:rsidRDefault="00083430" w:rsidP="00083430">
      <w:pPr>
        <w:numPr>
          <w:ilvl w:val="12"/>
          <w:numId w:val="0"/>
        </w:numPr>
        <w:spacing w:after="0" w:line="240" w:lineRule="auto"/>
        <w:ind w:right="-2"/>
        <w:rPr>
          <w:rFonts w:ascii="Times New Roman" w:hAnsi="Times New Roman"/>
        </w:rPr>
      </w:pPr>
      <w:proofErr w:type="spellStart"/>
      <w:r w:rsidRPr="009935C5">
        <w:rPr>
          <w:rFonts w:ascii="Times New Roman" w:hAnsi="Times New Roman"/>
        </w:rPr>
        <w:t>Klocke</w:t>
      </w:r>
      <w:proofErr w:type="spellEnd"/>
      <w:r w:rsidRPr="009935C5">
        <w:rPr>
          <w:rFonts w:ascii="Times New Roman" w:hAnsi="Times New Roman"/>
        </w:rPr>
        <w:t xml:space="preserve"> </w:t>
      </w:r>
      <w:proofErr w:type="spellStart"/>
      <w:r w:rsidRPr="009935C5">
        <w:rPr>
          <w:rFonts w:ascii="Times New Roman" w:hAnsi="Times New Roman"/>
        </w:rPr>
        <w:t>Pharma-Service</w:t>
      </w:r>
      <w:proofErr w:type="spellEnd"/>
      <w:r w:rsidRPr="009935C5">
        <w:rPr>
          <w:rFonts w:ascii="Times New Roman" w:hAnsi="Times New Roman"/>
        </w:rPr>
        <w:t xml:space="preserve"> </w:t>
      </w:r>
      <w:proofErr w:type="spellStart"/>
      <w:r w:rsidRPr="009935C5">
        <w:rPr>
          <w:rFonts w:ascii="Times New Roman" w:hAnsi="Times New Roman"/>
        </w:rPr>
        <w:t>GmbH</w:t>
      </w:r>
      <w:proofErr w:type="spellEnd"/>
    </w:p>
    <w:p w:rsidR="00083430" w:rsidRPr="009935C5" w:rsidRDefault="00083430" w:rsidP="00083430">
      <w:pPr>
        <w:numPr>
          <w:ilvl w:val="12"/>
          <w:numId w:val="0"/>
        </w:numPr>
        <w:spacing w:after="0" w:line="240" w:lineRule="auto"/>
        <w:ind w:right="-2"/>
        <w:rPr>
          <w:rFonts w:ascii="Times New Roman" w:hAnsi="Times New Roman"/>
        </w:rPr>
      </w:pPr>
      <w:proofErr w:type="spellStart"/>
      <w:r w:rsidRPr="009935C5">
        <w:rPr>
          <w:rFonts w:ascii="Times New Roman" w:hAnsi="Times New Roman"/>
        </w:rPr>
        <w:t>Strassburger</w:t>
      </w:r>
      <w:proofErr w:type="spellEnd"/>
      <w:r w:rsidRPr="009935C5">
        <w:rPr>
          <w:rFonts w:ascii="Times New Roman" w:hAnsi="Times New Roman"/>
        </w:rPr>
        <w:t xml:space="preserve"> </w:t>
      </w:r>
      <w:proofErr w:type="spellStart"/>
      <w:r w:rsidRPr="009935C5">
        <w:rPr>
          <w:rFonts w:ascii="Times New Roman" w:hAnsi="Times New Roman"/>
        </w:rPr>
        <w:t>Strasse</w:t>
      </w:r>
      <w:proofErr w:type="spellEnd"/>
      <w:r w:rsidRPr="009935C5">
        <w:rPr>
          <w:rFonts w:ascii="Times New Roman" w:hAnsi="Times New Roman"/>
        </w:rPr>
        <w:t xml:space="preserve"> 77</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D-77767 </w:t>
      </w:r>
      <w:proofErr w:type="spellStart"/>
      <w:r w:rsidRPr="009935C5">
        <w:rPr>
          <w:rFonts w:ascii="Times New Roman" w:hAnsi="Times New Roman"/>
        </w:rPr>
        <w:t>Appenweier</w:t>
      </w:r>
      <w:proofErr w:type="spellEnd"/>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Vokietija</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spacing w:after="0" w:line="240" w:lineRule="auto"/>
        <w:rPr>
          <w:rFonts w:ascii="Times New Roman" w:hAnsi="Times New Roman"/>
        </w:rPr>
      </w:pPr>
      <w:r w:rsidRPr="009935C5">
        <w:rPr>
          <w:rFonts w:ascii="Times New Roman" w:hAnsi="Times New Roman"/>
        </w:rPr>
        <w:t>Jeigu apie šį vaistą norite sužinoti daugiau, kreipkitės į vietinį registruotojo</w:t>
      </w:r>
      <w:r w:rsidRPr="009935C5">
        <w:rPr>
          <w:rFonts w:ascii="Times New Roman" w:eastAsia="Calibri" w:hAnsi="Times New Roman" w:cs="Times New Roman"/>
          <w:lang w:val="lv-LV"/>
        </w:rPr>
        <w:t xml:space="preserve"> atstovą.</w:t>
      </w:r>
    </w:p>
    <w:p w:rsidR="00083430" w:rsidRPr="009935C5" w:rsidRDefault="00083430" w:rsidP="00083430">
      <w:pPr>
        <w:spacing w:after="0" w:line="240" w:lineRule="auto"/>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rsidR="00083430" w:rsidRPr="009935C5" w:rsidRDefault="00083430" w:rsidP="00083430">
      <w:pPr>
        <w:numPr>
          <w:ilvl w:val="12"/>
          <w:numId w:val="0"/>
        </w:numPr>
        <w:spacing w:after="0" w:line="240" w:lineRule="auto"/>
        <w:ind w:right="-2"/>
        <w:rPr>
          <w:rFonts w:ascii="Times New Roman" w:hAnsi="Times New Roman"/>
        </w:rPr>
      </w:pPr>
      <w:r w:rsidRPr="009935C5">
        <w:rPr>
          <w:rFonts w:ascii="Times New Roman" w:hAnsi="Times New Roman"/>
        </w:rPr>
        <w:t>Tel.: +</w:t>
      </w:r>
      <w:r w:rsidRPr="009935C5">
        <w:rPr>
          <w:rFonts w:ascii="Times New Roman" w:eastAsia="Calibri" w:hAnsi="Times New Roman" w:cs="Times New Roman"/>
          <w:lang w:val="lv-LV"/>
        </w:rPr>
        <w:t>370 52059367</w:t>
      </w:r>
    </w:p>
    <w:p w:rsidR="00083430" w:rsidRPr="009935C5" w:rsidRDefault="00083430" w:rsidP="00083430">
      <w:pPr>
        <w:numPr>
          <w:ilvl w:val="12"/>
          <w:numId w:val="0"/>
        </w:numPr>
        <w:spacing w:after="0" w:line="240" w:lineRule="auto"/>
        <w:ind w:right="-2"/>
        <w:rPr>
          <w:rFonts w:ascii="Times New Roman" w:hAnsi="Times New Roman"/>
        </w:rPr>
      </w:pPr>
      <w:proofErr w:type="spellStart"/>
      <w:r w:rsidRPr="009935C5">
        <w:rPr>
          <w:rFonts w:ascii="Times New Roman" w:hAnsi="Times New Roman"/>
        </w:rPr>
        <w:t>El.paštas</w:t>
      </w:r>
      <w:proofErr w:type="spellEnd"/>
      <w:r w:rsidRPr="009935C5">
        <w:rPr>
          <w:rFonts w:ascii="Times New Roman" w:hAnsi="Times New Roman"/>
        </w:rPr>
        <w:t xml:space="preserve">: </w:t>
      </w:r>
      <w:hyperlink r:id="rId6" w:history="1">
        <w:r w:rsidRPr="009C7433">
          <w:rPr>
            <w:rStyle w:val="Hipersaitas"/>
            <w:rFonts w:ascii="Times New Roman" w:hAnsi="Times New Roman"/>
          </w:rPr>
          <w:t>info.lt</w:t>
        </w:r>
        <w:r w:rsidRPr="00FC5561">
          <w:rPr>
            <w:rStyle w:val="Hipersaitas"/>
            <w:rFonts w:ascii="Times New Roman" w:eastAsia="Calibri" w:hAnsi="Times New Roman" w:cs="Times New Roman"/>
            <w:lang w:val="fr-FR"/>
          </w:rPr>
          <w:t>@mylan.com</w:t>
        </w:r>
      </w:hyperlink>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spacing w:after="0" w:line="240" w:lineRule="auto"/>
        <w:rPr>
          <w:rFonts w:ascii="Times New Roman" w:hAnsi="Times New Roman"/>
          <w:b/>
        </w:rPr>
      </w:pPr>
      <w:r w:rsidRPr="009935C5">
        <w:rPr>
          <w:rFonts w:ascii="Times New Roman" w:hAnsi="Times New Roman"/>
          <w:b/>
        </w:rPr>
        <w:t xml:space="preserve">Šis </w:t>
      </w:r>
      <w:proofErr w:type="spellStart"/>
      <w:r w:rsidRPr="009935C5">
        <w:rPr>
          <w:rFonts w:ascii="Times New Roman" w:hAnsi="Times New Roman"/>
          <w:b/>
        </w:rPr>
        <w:t>vaist</w:t>
      </w:r>
      <w:proofErr w:type="spellEnd"/>
      <w:r w:rsidRPr="009935C5">
        <w:rPr>
          <w:rFonts w:ascii="Times New Roman" w:eastAsia="Calibri" w:hAnsi="Times New Roman" w:cs="Times New Roman"/>
          <w:b/>
          <w:lang w:val="lv-LV"/>
        </w:rPr>
        <w:t>as EEE valstybėse narėse registruotas tokiais pavadinimais:</w:t>
      </w:r>
    </w:p>
    <w:p w:rsidR="00083430" w:rsidRPr="009935C5" w:rsidRDefault="00083430" w:rsidP="00083430">
      <w:pPr>
        <w:spacing w:after="0" w:line="240" w:lineRule="auto"/>
        <w:rPr>
          <w:rFonts w:ascii="Times New Roman" w:hAnsi="Times New Roman"/>
        </w:rPr>
      </w:pPr>
    </w:p>
    <w:p w:rsidR="00083430" w:rsidRPr="009935C5" w:rsidRDefault="00083430" w:rsidP="00083430">
      <w:pPr>
        <w:spacing w:after="0" w:line="240" w:lineRule="auto"/>
        <w:rPr>
          <w:rFonts w:ascii="Times New Roman" w:hAnsi="Times New Roman"/>
        </w:rPr>
      </w:pPr>
      <w:r w:rsidRPr="009935C5">
        <w:rPr>
          <w:rFonts w:ascii="Times New Roman" w:hAnsi="Times New Roman"/>
        </w:rPr>
        <w:t xml:space="preserve">Danija, Norvegija, Suomija, Vengrija, Islandija ir Švedija: </w:t>
      </w:r>
      <w:proofErr w:type="spellStart"/>
      <w:r w:rsidRPr="009935C5">
        <w:rPr>
          <w:rFonts w:ascii="Times New Roman" w:hAnsi="Times New Roman"/>
        </w:rPr>
        <w:t>Moxalole</w:t>
      </w:r>
      <w:proofErr w:type="spellEnd"/>
      <w:r w:rsidRPr="009935C5">
        <w:rPr>
          <w:rFonts w:ascii="Times New Roman" w:hAnsi="Times New Roman"/>
        </w:rPr>
        <w:t>.</w:t>
      </w:r>
    </w:p>
    <w:p w:rsidR="00083430" w:rsidRPr="009935C5" w:rsidRDefault="00083430" w:rsidP="00083430">
      <w:pPr>
        <w:spacing w:after="0" w:line="240" w:lineRule="auto"/>
        <w:rPr>
          <w:rFonts w:ascii="Times New Roman" w:hAnsi="Times New Roman"/>
        </w:rPr>
      </w:pPr>
      <w:r w:rsidRPr="009935C5">
        <w:rPr>
          <w:rFonts w:ascii="Times New Roman" w:hAnsi="Times New Roman"/>
        </w:rPr>
        <w:t xml:space="preserve">Austrija, Belgija, Bulgarija, Estija, Kipras, Vokietija, Airija, Latvija, Lietuva, Liuksemburgas, Rumunija, Slovėnija, Ispanija, Nyderlandai, Portugalija ir Jungtinė Karalystė: </w:t>
      </w:r>
      <w:proofErr w:type="spellStart"/>
      <w:r w:rsidRPr="009935C5">
        <w:rPr>
          <w:rFonts w:ascii="Times New Roman" w:hAnsi="Times New Roman"/>
        </w:rPr>
        <w:t>Molaxole</w:t>
      </w:r>
      <w:proofErr w:type="spellEnd"/>
      <w:r w:rsidRPr="009935C5">
        <w:rPr>
          <w:rFonts w:ascii="Times New Roman" w:eastAsia="Calibri" w:hAnsi="Times New Roman" w:cs="Times New Roman"/>
          <w:lang w:val="lv-LV"/>
        </w:rPr>
        <w:t>.</w:t>
      </w:r>
    </w:p>
    <w:p w:rsidR="00083430" w:rsidRDefault="00083430" w:rsidP="00083430">
      <w:pPr>
        <w:numPr>
          <w:ilvl w:val="12"/>
          <w:numId w:val="0"/>
        </w:numPr>
        <w:spacing w:after="0" w:line="240" w:lineRule="auto"/>
        <w:ind w:right="-2"/>
        <w:rPr>
          <w:rFonts w:ascii="Times New Roman" w:hAnsi="Times New Roman"/>
        </w:rPr>
      </w:pPr>
      <w:r>
        <w:rPr>
          <w:rFonts w:ascii="Times New Roman" w:hAnsi="Times New Roman"/>
        </w:rPr>
        <w:t xml:space="preserve">Lenkija: </w:t>
      </w:r>
      <w:proofErr w:type="spellStart"/>
      <w:r>
        <w:rPr>
          <w:rFonts w:ascii="Times New Roman" w:hAnsi="Times New Roman"/>
        </w:rPr>
        <w:t>Duphagol</w:t>
      </w:r>
      <w:proofErr w:type="spellEnd"/>
      <w:r>
        <w:rPr>
          <w:rFonts w:ascii="Times New Roman" w:hAnsi="Times New Roman"/>
        </w:rPr>
        <w:t>.</w:t>
      </w:r>
    </w:p>
    <w:p w:rsidR="00083430" w:rsidRPr="009935C5" w:rsidRDefault="00083430" w:rsidP="00083430">
      <w:pPr>
        <w:numPr>
          <w:ilvl w:val="12"/>
          <w:numId w:val="0"/>
        </w:numPr>
        <w:spacing w:after="0" w:line="240" w:lineRule="auto"/>
        <w:ind w:right="-2"/>
        <w:rPr>
          <w:rFonts w:ascii="Times New Roman" w:hAnsi="Times New Roman"/>
        </w:rPr>
      </w:pPr>
    </w:p>
    <w:p w:rsidR="00083430" w:rsidRPr="00412C50" w:rsidRDefault="00083430" w:rsidP="00083430">
      <w:pPr>
        <w:tabs>
          <w:tab w:val="left" w:pos="1296"/>
        </w:tabs>
        <w:spacing w:after="0" w:line="240" w:lineRule="auto"/>
        <w:rPr>
          <w:rFonts w:ascii="Times New Roman" w:hAnsi="Times New Roman"/>
          <w:sz w:val="24"/>
          <w:lang w:val="en-US"/>
        </w:rPr>
      </w:pPr>
      <w:r w:rsidRPr="009935C5">
        <w:rPr>
          <w:rFonts w:ascii="Times New Roman" w:hAnsi="Times New Roman"/>
          <w:b/>
        </w:rPr>
        <w:t>Šis pakuotės lapelis paskutinį kartą peržiūrėtas</w:t>
      </w:r>
      <w:r>
        <w:rPr>
          <w:rFonts w:ascii="Times New Roman" w:hAnsi="Times New Roman"/>
          <w:b/>
        </w:rPr>
        <w:t xml:space="preserve"> </w:t>
      </w:r>
      <w:r>
        <w:rPr>
          <w:rFonts w:ascii="Times New Roman" w:hAnsi="Times New Roman"/>
          <w:b/>
          <w:lang w:val="en-US"/>
        </w:rPr>
        <w:t>2020-11-05.</w:t>
      </w:r>
    </w:p>
    <w:p w:rsidR="00083430" w:rsidRPr="009935C5" w:rsidRDefault="00083430" w:rsidP="00083430">
      <w:pPr>
        <w:numPr>
          <w:ilvl w:val="12"/>
          <w:numId w:val="0"/>
        </w:numPr>
        <w:spacing w:after="0" w:line="240" w:lineRule="auto"/>
        <w:ind w:right="-2"/>
        <w:rPr>
          <w:rFonts w:ascii="Times New Roman" w:hAnsi="Times New Roman"/>
        </w:rPr>
      </w:pPr>
    </w:p>
    <w:p w:rsidR="00083430" w:rsidRPr="009935C5" w:rsidRDefault="00083430" w:rsidP="00083430">
      <w:pPr>
        <w:numPr>
          <w:ilvl w:val="12"/>
          <w:numId w:val="0"/>
        </w:numPr>
        <w:spacing w:after="0" w:line="240" w:lineRule="auto"/>
        <w:ind w:right="-2"/>
        <w:rPr>
          <w:rFonts w:ascii="Times New Roman" w:hAnsi="Times New Roman"/>
          <w:color w:val="0000FF"/>
          <w:u w:val="single"/>
        </w:rPr>
      </w:pPr>
      <w:r w:rsidRPr="009935C5">
        <w:rPr>
          <w:rFonts w:ascii="Times New Roman" w:hAnsi="Times New Roman"/>
        </w:rPr>
        <w:t xml:space="preserve">Išsami informacija apie šį vaistą pateikiama Valstybinės vaistų kontrolės tarnybos prie Lietuvos Respublikos sveikatos apsaugos ministerijos </w:t>
      </w:r>
      <w:r w:rsidRPr="009935C5">
        <w:rPr>
          <w:rFonts w:ascii="Times New Roman" w:eastAsia="Calibri" w:hAnsi="Times New Roman" w:cs="Times New Roman"/>
          <w:lang w:val="lv-LV"/>
        </w:rPr>
        <w:t xml:space="preserve">tinklalapyje </w:t>
      </w:r>
      <w:hyperlink r:id="rId7" w:history="1">
        <w:r w:rsidRPr="009935C5">
          <w:rPr>
            <w:rFonts w:ascii="Times New Roman" w:hAnsi="Times New Roman"/>
            <w:color w:val="0000FF"/>
            <w:u w:val="single"/>
          </w:rPr>
          <w:t>http://www.vvkt.lt/</w:t>
        </w:r>
      </w:hyperlink>
      <w:r w:rsidRPr="009935C5">
        <w:rPr>
          <w:rFonts w:ascii="Times New Roman" w:hAnsi="Times New Roman"/>
          <w:color w:val="0000FF"/>
          <w:u w:val="single"/>
        </w:rPr>
        <w:t xml:space="preserve">    </w:t>
      </w:r>
    </w:p>
    <w:p w:rsidR="009041DB" w:rsidRDefault="009041DB">
      <w:bookmarkStart w:id="0" w:name="_GoBack"/>
      <w:bookmarkEnd w:id="0"/>
    </w:p>
    <w:sectPr w:rsidR="009041DB" w:rsidSect="0008343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917327"/>
    <w:multiLevelType w:val="hybridMultilevel"/>
    <w:tmpl w:val="D18A4306"/>
    <w:lvl w:ilvl="0" w:tplc="F376BF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F6EE0"/>
    <w:multiLevelType w:val="hybridMultilevel"/>
    <w:tmpl w:val="B5702EF4"/>
    <w:lvl w:ilvl="0" w:tplc="41445B2A">
      <w:start w:val="1"/>
      <w:numFmt w:val="decimal"/>
      <w:lvlText w:val="%1."/>
      <w:lvlJc w:val="left"/>
      <w:pPr>
        <w:ind w:left="930" w:hanging="57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7C993B51"/>
    <w:multiLevelType w:val="hybridMultilevel"/>
    <w:tmpl w:val="19D69D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30"/>
    <w:rsid w:val="0008343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EF4A5-25A2-4AC3-B5C6-244319BC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3430"/>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3430"/>
    <w:pPr>
      <w:ind w:left="720"/>
      <w:contextualSpacing/>
    </w:pPr>
    <w:rPr>
      <w:lang w:val="en-US"/>
    </w:rPr>
  </w:style>
  <w:style w:type="character" w:styleId="Hipersaitas">
    <w:name w:val="Hyperlink"/>
    <w:basedOn w:val="Numatytasispastraiposriftas"/>
    <w:uiPriority w:val="99"/>
    <w:unhideWhenUsed/>
    <w:rsid w:val="000834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t@mylan.com"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6749</Words>
  <Characters>3848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2020-11-06T07:25:00Z</dcterms:created>
  <dcterms:modified xsi:type="dcterms:W3CDTF">2020-11-06T07:26:00Z</dcterms:modified>
</cp:coreProperties>
</file>