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TTEMEASMCA"/>
        <w:rPr>
          <w:lang w:val="lt-LT"/>
        </w:rPr>
      </w:pPr>
      <w:bookmarkStart w:id="0" w:name="_Toc129243096"/>
      <w:bookmarkStart w:id="1" w:name="_Toc129243221"/>
      <w:r w:rsidRPr="00F06B81">
        <w:rPr>
          <w:lang w:val="lt-LT"/>
        </w:rPr>
        <w:t>I PRIEDAS</w:t>
      </w:r>
      <w:bookmarkEnd w:id="0"/>
      <w:bookmarkEnd w:id="1"/>
    </w:p>
    <w:p w:rsidR="00B42325" w:rsidRPr="00F06B81" w:rsidRDefault="00B42325" w:rsidP="003E2BE3">
      <w:pPr>
        <w:pStyle w:val="BTEMEASMCA"/>
        <w:rPr>
          <w:noProof w:val="0"/>
        </w:rPr>
      </w:pPr>
    </w:p>
    <w:p w:rsidR="00B42325" w:rsidRPr="00F06B81" w:rsidRDefault="00B42325" w:rsidP="003E2BE3">
      <w:pPr>
        <w:pStyle w:val="TTEMEASMCA"/>
        <w:rPr>
          <w:lang w:val="lt-LT"/>
        </w:rPr>
      </w:pPr>
      <w:bookmarkStart w:id="2" w:name="_Toc129243097"/>
      <w:bookmarkStart w:id="3" w:name="_Toc129243222"/>
      <w:r w:rsidRPr="00F06B81">
        <w:rPr>
          <w:lang w:val="lt-LT"/>
        </w:rPr>
        <w:t>PREPARATO CHARAKTERISTIKŲ SANTRAUKA</w:t>
      </w:r>
      <w:bookmarkEnd w:id="2"/>
      <w:bookmarkEnd w:id="3"/>
    </w:p>
    <w:p w:rsidR="00B42325" w:rsidRPr="00F06B81" w:rsidRDefault="00B42325" w:rsidP="00C5318F">
      <w:pPr>
        <w:pStyle w:val="PI-1EMEASMCA"/>
      </w:pPr>
      <w:r w:rsidRPr="00F06B81">
        <w:rPr>
          <w:bCs/>
          <w:iCs/>
        </w:rPr>
        <w:br w:type="page"/>
      </w:r>
      <w:bookmarkStart w:id="4" w:name="_Toc129243098"/>
      <w:bookmarkStart w:id="5" w:name="_Toc129243223"/>
      <w:r w:rsidRPr="00F06B81">
        <w:lastRenderedPageBreak/>
        <w:t>1.</w:t>
      </w:r>
      <w:r w:rsidRPr="00F06B81">
        <w:tab/>
        <w:t>VAISTINIO PREPARATO PAVADINIMAS</w:t>
      </w:r>
      <w:bookmarkEnd w:id="4"/>
      <w:bookmarkEnd w:id="5"/>
    </w:p>
    <w:p w:rsidR="00B42325" w:rsidRPr="00F06B81" w:rsidRDefault="00B42325" w:rsidP="003E2BE3">
      <w:pPr>
        <w:pStyle w:val="BTEMEASMCA"/>
        <w:rPr>
          <w:noProof w:val="0"/>
        </w:rPr>
      </w:pPr>
    </w:p>
    <w:p w:rsidR="00B42325" w:rsidRPr="008D1FC2" w:rsidRDefault="00B42325" w:rsidP="00AA35C3">
      <w:pPr>
        <w:pStyle w:val="BTEMEASMCA"/>
        <w:rPr>
          <w:noProof w:val="0"/>
        </w:rPr>
      </w:pPr>
      <w:r w:rsidRPr="008D1FC2">
        <w:rPr>
          <w:bCs/>
          <w:noProof w:val="0"/>
        </w:rPr>
        <w:t>Trombopriv</w:t>
      </w:r>
      <w:r w:rsidRPr="008D1FC2">
        <w:rPr>
          <w:b/>
          <w:noProof w:val="0"/>
        </w:rPr>
        <w:t xml:space="preserve"> </w:t>
      </w:r>
      <w:r w:rsidRPr="008D1FC2">
        <w:rPr>
          <w:noProof w:val="0"/>
        </w:rPr>
        <w:t>250 mikrogramų/ml koncentratas infuziniam tirpalui</w:t>
      </w:r>
    </w:p>
    <w:p w:rsidR="00B42325" w:rsidRPr="008D1FC2" w:rsidRDefault="00B42325" w:rsidP="003E2BE3">
      <w:pPr>
        <w:pStyle w:val="BTEMEASMCA"/>
        <w:rPr>
          <w:noProof w:val="0"/>
        </w:rPr>
      </w:pPr>
    </w:p>
    <w:p w:rsidR="00B42325" w:rsidRPr="008D1FC2" w:rsidRDefault="00B42325" w:rsidP="003E2BE3">
      <w:pPr>
        <w:pStyle w:val="BTEMEASMCA"/>
        <w:rPr>
          <w:noProof w:val="0"/>
        </w:rPr>
      </w:pPr>
    </w:p>
    <w:p w:rsidR="00B42325" w:rsidRPr="008D1FC2" w:rsidRDefault="00B42325" w:rsidP="00C5318F">
      <w:pPr>
        <w:pStyle w:val="PI-1EMEASMCA"/>
      </w:pPr>
      <w:bookmarkStart w:id="6" w:name="_Toc129243099"/>
      <w:bookmarkStart w:id="7" w:name="_Toc129243224"/>
      <w:r w:rsidRPr="008D1FC2">
        <w:t>2.</w:t>
      </w:r>
      <w:r w:rsidRPr="008D1FC2">
        <w:tab/>
        <w:t>KOKYBINĖ IR KIEKYBINĖ SUDĖTIS</w:t>
      </w:r>
      <w:bookmarkEnd w:id="6"/>
      <w:bookmarkEnd w:id="7"/>
    </w:p>
    <w:p w:rsidR="00B42325" w:rsidRPr="008D1FC2" w:rsidRDefault="00B42325" w:rsidP="003E2BE3">
      <w:pPr>
        <w:pStyle w:val="BTEMEASMCA"/>
        <w:rPr>
          <w:noProof w:val="0"/>
        </w:rPr>
      </w:pPr>
    </w:p>
    <w:p w:rsidR="00B42325" w:rsidRPr="008D1FC2" w:rsidRDefault="00B42325" w:rsidP="003E2BE3">
      <w:pPr>
        <w:pStyle w:val="BTEMEASMCA"/>
        <w:rPr>
          <w:noProof w:val="0"/>
        </w:rPr>
      </w:pPr>
      <w:r w:rsidRPr="008D1FC2">
        <w:rPr>
          <w:noProof w:val="0"/>
        </w:rPr>
        <w:t>Viename koncentrato infuziniam tirpalui mililitre yra 281 mikrogramas tirofibano hidrochlorido monohidrato, kuris atitinka 250 mikrogramų tirofibano.</w:t>
      </w:r>
    </w:p>
    <w:p w:rsidR="00B42325" w:rsidRPr="008D1FC2" w:rsidRDefault="00B42325" w:rsidP="00A507FD">
      <w:pPr>
        <w:pStyle w:val="BTEMEASMCA"/>
        <w:rPr>
          <w:noProof w:val="0"/>
        </w:rPr>
      </w:pPr>
    </w:p>
    <w:p w:rsidR="00B42325" w:rsidRPr="008D1FC2" w:rsidRDefault="00B42325" w:rsidP="00A507FD">
      <w:pPr>
        <w:pStyle w:val="BTEMEASMCA"/>
        <w:rPr>
          <w:noProof w:val="0"/>
        </w:rPr>
      </w:pPr>
      <w:r w:rsidRPr="008D1FC2">
        <w:rPr>
          <w:noProof w:val="0"/>
        </w:rPr>
        <w:t xml:space="preserve">50 ml koncentrato infuziniam tirpalui yra </w:t>
      </w:r>
      <w:r>
        <w:rPr>
          <w:noProof w:val="0"/>
        </w:rPr>
        <w:t>14,05 mg</w:t>
      </w:r>
      <w:r w:rsidRPr="008D1FC2">
        <w:rPr>
          <w:noProof w:val="0"/>
        </w:rPr>
        <w:t xml:space="preserve"> tirofibano hidrochlorido monohidrato, kuris atitinka</w:t>
      </w:r>
      <w:r>
        <w:rPr>
          <w:noProof w:val="0"/>
        </w:rPr>
        <w:t xml:space="preserve"> 12</w:t>
      </w:r>
      <w:r w:rsidRPr="008D1FC2">
        <w:rPr>
          <w:noProof w:val="0"/>
        </w:rPr>
        <w:t>,5 </w:t>
      </w:r>
      <w:r>
        <w:rPr>
          <w:noProof w:val="0"/>
        </w:rPr>
        <w:t>mg</w:t>
      </w:r>
      <w:r w:rsidRPr="008D1FC2">
        <w:rPr>
          <w:noProof w:val="0"/>
        </w:rPr>
        <w:t xml:space="preserve"> tirofibano.</w:t>
      </w:r>
    </w:p>
    <w:p w:rsidR="00B42325" w:rsidRPr="008D1FC2" w:rsidRDefault="00B42325" w:rsidP="003E2BE3">
      <w:pPr>
        <w:pStyle w:val="BTEMEASMCA"/>
        <w:rPr>
          <w:noProof w:val="0"/>
        </w:rPr>
      </w:pPr>
    </w:p>
    <w:p w:rsidR="00B42325" w:rsidRDefault="00B42325" w:rsidP="00E86982">
      <w:pPr>
        <w:pStyle w:val="BTEMEASMCA"/>
        <w:rPr>
          <w:noProof w:val="0"/>
        </w:rPr>
      </w:pPr>
      <w:r>
        <w:rPr>
          <w:noProof w:val="0"/>
        </w:rPr>
        <w:t>Šio vaistinio preparato</w:t>
      </w:r>
      <w:r w:rsidRPr="008D1FC2">
        <w:rPr>
          <w:noProof w:val="0"/>
        </w:rPr>
        <w:t xml:space="preserve"> </w:t>
      </w:r>
      <w:r>
        <w:rPr>
          <w:noProof w:val="0"/>
        </w:rPr>
        <w:t>flakone</w:t>
      </w:r>
      <w:r w:rsidRPr="008D1FC2">
        <w:rPr>
          <w:noProof w:val="0"/>
        </w:rPr>
        <w:t xml:space="preserve"> (50 ml) yra mažiau kaip 1 mmol (arba 23 mg) natrio, </w:t>
      </w:r>
      <w:r>
        <w:rPr>
          <w:noProof w:val="0"/>
        </w:rPr>
        <w:t>t.y.</w:t>
      </w:r>
      <w:r w:rsidRPr="008D1FC2">
        <w:rPr>
          <w:noProof w:val="0"/>
        </w:rPr>
        <w:t xml:space="preserve"> jis beveik neturi reikšmės. </w:t>
      </w:r>
    </w:p>
    <w:p w:rsidR="00B42325" w:rsidRPr="00F06B81" w:rsidRDefault="00B42325" w:rsidP="003E2BE3">
      <w:pPr>
        <w:pStyle w:val="BTEMEASMCA"/>
        <w:rPr>
          <w:noProof w:val="0"/>
        </w:rPr>
      </w:pPr>
    </w:p>
    <w:p w:rsidR="00B42325" w:rsidRPr="00F06B81" w:rsidRDefault="00B42325" w:rsidP="003E2BE3">
      <w:pPr>
        <w:pStyle w:val="BTEMEASMCA"/>
        <w:rPr>
          <w:noProof w:val="0"/>
        </w:rPr>
      </w:pPr>
      <w:r w:rsidRPr="00F06B81">
        <w:rPr>
          <w:noProof w:val="0"/>
        </w:rPr>
        <w:t>Visos pagalbinės medžiagos išvardytos 6.1 skyriuje.</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C5318F">
      <w:pPr>
        <w:pStyle w:val="PI-1EMEASMCA"/>
      </w:pPr>
      <w:bookmarkStart w:id="8" w:name="_Toc129243100"/>
      <w:bookmarkStart w:id="9" w:name="_Toc129243225"/>
      <w:r w:rsidRPr="00F06B81">
        <w:t>3.</w:t>
      </w:r>
      <w:r w:rsidRPr="00F06B81">
        <w:tab/>
        <w:t>FARMACINĖ FORMA</w:t>
      </w:r>
      <w:bookmarkEnd w:id="8"/>
      <w:bookmarkEnd w:id="9"/>
    </w:p>
    <w:p w:rsidR="00B42325" w:rsidRPr="00F06B81" w:rsidRDefault="00B42325" w:rsidP="003E2BE3">
      <w:pPr>
        <w:pStyle w:val="BTEMEASMCA"/>
        <w:rPr>
          <w:noProof w:val="0"/>
        </w:rPr>
      </w:pPr>
    </w:p>
    <w:p w:rsidR="00B42325" w:rsidRPr="008D1FC2" w:rsidRDefault="00B42325" w:rsidP="003E2BE3">
      <w:pPr>
        <w:pStyle w:val="BTEMEASMCA"/>
        <w:rPr>
          <w:noProof w:val="0"/>
        </w:rPr>
      </w:pPr>
      <w:r w:rsidRPr="008D1FC2">
        <w:rPr>
          <w:noProof w:val="0"/>
        </w:rPr>
        <w:t>Koncentratas infuziniam tirpalui.</w:t>
      </w:r>
    </w:p>
    <w:p w:rsidR="00B42325" w:rsidRPr="00F06B81" w:rsidRDefault="00B42325" w:rsidP="003E2BE3">
      <w:pPr>
        <w:pStyle w:val="BTEMEASMCA"/>
        <w:rPr>
          <w:noProof w:val="0"/>
        </w:rPr>
      </w:pPr>
      <w:r w:rsidRPr="008D1FC2">
        <w:rPr>
          <w:noProof w:val="0"/>
        </w:rPr>
        <w:t>Skaidrus bespalvis koncentruotas tirpalas.</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C5318F">
      <w:pPr>
        <w:pStyle w:val="PI-1EMEASMCA"/>
      </w:pPr>
      <w:bookmarkStart w:id="10" w:name="_Toc129243101"/>
      <w:bookmarkStart w:id="11" w:name="_Toc129243226"/>
      <w:r w:rsidRPr="00F06B81">
        <w:t>4.</w:t>
      </w:r>
      <w:r w:rsidRPr="00F06B81">
        <w:tab/>
        <w:t>KLINIKINĖ INFORMACIJA</w:t>
      </w:r>
      <w:bookmarkEnd w:id="10"/>
      <w:bookmarkEnd w:id="11"/>
    </w:p>
    <w:p w:rsidR="00B42325" w:rsidRPr="00F06B81" w:rsidRDefault="00B42325" w:rsidP="003E2BE3">
      <w:pPr>
        <w:pStyle w:val="BTEMEASMCA"/>
        <w:rPr>
          <w:noProof w:val="0"/>
        </w:rPr>
      </w:pPr>
    </w:p>
    <w:p w:rsidR="00B42325" w:rsidRPr="00F06B81" w:rsidRDefault="00B42325" w:rsidP="003E2BE3">
      <w:pPr>
        <w:pStyle w:val="PI-2EMEASMCA"/>
      </w:pPr>
      <w:bookmarkStart w:id="12" w:name="_Toc129243102"/>
      <w:bookmarkStart w:id="13" w:name="_Toc129243227"/>
      <w:r w:rsidRPr="00F06B81">
        <w:t>4.1</w:t>
      </w:r>
      <w:r w:rsidRPr="00F06B81">
        <w:tab/>
        <w:t>Terapinės indikacijos</w:t>
      </w:r>
      <w:bookmarkEnd w:id="12"/>
      <w:bookmarkEnd w:id="13"/>
    </w:p>
    <w:p w:rsidR="00B42325" w:rsidRPr="00F06B81" w:rsidRDefault="00B42325" w:rsidP="003E2BE3">
      <w:pPr>
        <w:pStyle w:val="BTEMEASMCA"/>
        <w:rPr>
          <w:noProof w:val="0"/>
        </w:rPr>
      </w:pPr>
    </w:p>
    <w:p w:rsidR="00B42325" w:rsidRPr="00F06B81" w:rsidRDefault="00B42325" w:rsidP="009A32C7">
      <w:pPr>
        <w:pStyle w:val="BTEMEASMCA"/>
        <w:rPr>
          <w:noProof w:val="0"/>
        </w:rPr>
      </w:pPr>
      <w:bookmarkStart w:id="14" w:name="OLE_LINK1"/>
      <w:bookmarkStart w:id="15" w:name="OLE_LINK2"/>
      <w:r>
        <w:rPr>
          <w:noProof w:val="0"/>
        </w:rPr>
        <w:t xml:space="preserve">Trombopriv </w:t>
      </w:r>
      <w:bookmarkEnd w:id="14"/>
      <w:bookmarkEnd w:id="15"/>
      <w:r>
        <w:rPr>
          <w:noProof w:val="0"/>
        </w:rPr>
        <w:t>yra skiriama a</w:t>
      </w:r>
      <w:r w:rsidRPr="00F06B81">
        <w:rPr>
          <w:noProof w:val="0"/>
        </w:rPr>
        <w:t>nkstyvojo miokardo infarkto profilaktika</w:t>
      </w:r>
      <w:r>
        <w:rPr>
          <w:noProof w:val="0"/>
        </w:rPr>
        <w:t>i</w:t>
      </w:r>
      <w:r w:rsidRPr="00F06B81">
        <w:rPr>
          <w:noProof w:val="0"/>
        </w:rPr>
        <w:t xml:space="preserve"> pacientams, kuriems yra nestabili krūtinės angina ar ne Q bangos miokardo infarktas, jei paskutinis krūtinės skausmo epizodas buvo paskutiniųjų 12 valandų laikota</w:t>
      </w:r>
      <w:r>
        <w:rPr>
          <w:noProof w:val="0"/>
        </w:rPr>
        <w:t>r</w:t>
      </w:r>
      <w:r w:rsidRPr="00F06B81">
        <w:rPr>
          <w:noProof w:val="0"/>
        </w:rPr>
        <w:t>piu, yra EGK pokyčių ir (arba) padidėj</w:t>
      </w:r>
      <w:r>
        <w:rPr>
          <w:noProof w:val="0"/>
        </w:rPr>
        <w:t>ęs</w:t>
      </w:r>
      <w:r w:rsidRPr="00F06B81">
        <w:rPr>
          <w:noProof w:val="0"/>
        </w:rPr>
        <w:t xml:space="preserve"> širdies fermentų </w:t>
      </w:r>
      <w:r>
        <w:rPr>
          <w:noProof w:val="0"/>
        </w:rPr>
        <w:t>aktyvumas</w:t>
      </w:r>
      <w:r w:rsidRPr="00F06B81">
        <w:rPr>
          <w:noProof w:val="0"/>
        </w:rPr>
        <w:t>.</w:t>
      </w:r>
    </w:p>
    <w:p w:rsidR="00B42325" w:rsidRDefault="00B42325" w:rsidP="003E2BE3">
      <w:pPr>
        <w:pStyle w:val="BTEMEASMCA"/>
        <w:rPr>
          <w:bCs/>
          <w:noProof w:val="0"/>
        </w:rPr>
      </w:pPr>
      <w:r>
        <w:rPr>
          <w:noProof w:val="0"/>
        </w:rPr>
        <w:t>Didžiausia</w:t>
      </w:r>
      <w:r w:rsidRPr="00F06B81">
        <w:rPr>
          <w:noProof w:val="0"/>
        </w:rPr>
        <w:t xml:space="preserve"> tikimybė, kad gydym</w:t>
      </w:r>
      <w:r>
        <w:rPr>
          <w:noProof w:val="0"/>
        </w:rPr>
        <w:t>as Trombopriv</w:t>
      </w:r>
      <w:r w:rsidRPr="00F06B81">
        <w:rPr>
          <w:bCs/>
          <w:noProof w:val="0"/>
        </w:rPr>
        <w:t xml:space="preserve"> bus </w:t>
      </w:r>
      <w:r>
        <w:rPr>
          <w:bCs/>
          <w:noProof w:val="0"/>
        </w:rPr>
        <w:t>naudingas, yra pacientams, kuriems yra didelė miokardo infarkto pasireiškimo rizika per 3</w:t>
      </w:r>
      <w:r>
        <w:rPr>
          <w:bCs/>
          <w:noProof w:val="0"/>
        </w:rPr>
        <w:noBreakHyphen/>
        <w:t xml:space="preserve">4 paras nuo pirmųjų ūminės anginos simptomų pasireiškimo, pvz., jei manoma, kad reikės atlikti ankstyvąją </w:t>
      </w:r>
      <w:r w:rsidRPr="00E36018">
        <w:rPr>
          <w:bCs/>
          <w:noProof w:val="0"/>
        </w:rPr>
        <w:t>perkutanin</w:t>
      </w:r>
      <w:r>
        <w:rPr>
          <w:bCs/>
          <w:noProof w:val="0"/>
        </w:rPr>
        <w:t>ę</w:t>
      </w:r>
      <w:r w:rsidRPr="00E36018">
        <w:rPr>
          <w:bCs/>
          <w:noProof w:val="0"/>
        </w:rPr>
        <w:t xml:space="preserve"> transliuminalin</w:t>
      </w:r>
      <w:r>
        <w:rPr>
          <w:bCs/>
          <w:noProof w:val="0"/>
        </w:rPr>
        <w:t>ę</w:t>
      </w:r>
      <w:r w:rsidRPr="00E36018">
        <w:rPr>
          <w:bCs/>
          <w:noProof w:val="0"/>
        </w:rPr>
        <w:t xml:space="preserve"> vainikin</w:t>
      </w:r>
      <w:r>
        <w:rPr>
          <w:bCs/>
          <w:noProof w:val="0"/>
        </w:rPr>
        <w:t>ių arterijų</w:t>
      </w:r>
      <w:r w:rsidRPr="00E36018">
        <w:rPr>
          <w:bCs/>
          <w:noProof w:val="0"/>
        </w:rPr>
        <w:t xml:space="preserve"> angioplastik</w:t>
      </w:r>
      <w:r>
        <w:rPr>
          <w:bCs/>
          <w:noProof w:val="0"/>
        </w:rPr>
        <w:t>ą</w:t>
      </w:r>
      <w:r w:rsidRPr="00E36018">
        <w:rPr>
          <w:bCs/>
          <w:noProof w:val="0"/>
        </w:rPr>
        <w:t xml:space="preserve"> </w:t>
      </w:r>
      <w:r w:rsidRPr="004316D5">
        <w:rPr>
          <w:bCs/>
          <w:noProof w:val="0"/>
        </w:rPr>
        <w:t>(</w:t>
      </w:r>
      <w:r w:rsidRPr="004316D5">
        <w:t xml:space="preserve">ang. </w:t>
      </w:r>
      <w:r w:rsidRPr="004316D5">
        <w:rPr>
          <w:i/>
        </w:rPr>
        <w:t>Percutaneous transluminal coronary angioplasty</w:t>
      </w:r>
      <w:r w:rsidRPr="004316D5">
        <w:rPr>
          <w:bCs/>
          <w:noProof w:val="0"/>
        </w:rPr>
        <w:t xml:space="preserve">, </w:t>
      </w:r>
      <w:r w:rsidRPr="004316D5">
        <w:t>PTCA</w:t>
      </w:r>
      <w:r w:rsidRPr="00E36018">
        <w:rPr>
          <w:bCs/>
          <w:noProof w:val="0"/>
        </w:rPr>
        <w:t>)</w:t>
      </w:r>
      <w:r>
        <w:rPr>
          <w:bCs/>
          <w:noProof w:val="0"/>
        </w:rPr>
        <w:t xml:space="preserve"> (žr. 4.2 ir 5.1 skyrius).</w:t>
      </w:r>
    </w:p>
    <w:p w:rsidR="00B42325" w:rsidRDefault="00B42325" w:rsidP="003E2BE3">
      <w:pPr>
        <w:pStyle w:val="BTEMEASMCA"/>
        <w:rPr>
          <w:bCs/>
          <w:noProof w:val="0"/>
        </w:rPr>
      </w:pPr>
    </w:p>
    <w:p w:rsidR="00B42325" w:rsidRDefault="00B42325" w:rsidP="003E2BE3">
      <w:pPr>
        <w:pStyle w:val="BTEMEASMCA"/>
        <w:rPr>
          <w:bCs/>
          <w:noProof w:val="0"/>
        </w:rPr>
      </w:pPr>
      <w:r>
        <w:rPr>
          <w:noProof w:val="0"/>
        </w:rPr>
        <w:t>Trombopriv</w:t>
      </w:r>
      <w:r>
        <w:rPr>
          <w:bCs/>
          <w:noProof w:val="0"/>
        </w:rPr>
        <w:t xml:space="preserve"> vartojama kartu su acetilsalicilo rūgštimi ir nefrakcionuotu heparinu.</w:t>
      </w:r>
    </w:p>
    <w:p w:rsidR="00B42325" w:rsidRPr="00F06B81" w:rsidRDefault="00B42325" w:rsidP="003E2BE3">
      <w:pPr>
        <w:pStyle w:val="BTEMEASMCA"/>
        <w:rPr>
          <w:noProof w:val="0"/>
        </w:rPr>
      </w:pPr>
    </w:p>
    <w:p w:rsidR="00B42325" w:rsidRPr="00F06B81" w:rsidRDefault="00B42325" w:rsidP="003E2BE3">
      <w:pPr>
        <w:pStyle w:val="PI-2EMEASMCA"/>
      </w:pPr>
      <w:bookmarkStart w:id="16" w:name="_Toc129243103"/>
      <w:bookmarkStart w:id="17" w:name="_Toc129243228"/>
      <w:r w:rsidRPr="00F06B81">
        <w:t>4.2</w:t>
      </w:r>
      <w:r w:rsidRPr="00F06B81">
        <w:tab/>
        <w:t>Dozavimas ir vartojimo metodas</w:t>
      </w:r>
      <w:bookmarkEnd w:id="16"/>
      <w:bookmarkEnd w:id="17"/>
    </w:p>
    <w:p w:rsidR="00B42325" w:rsidRPr="00F06B81" w:rsidRDefault="00B42325" w:rsidP="003E2BE3">
      <w:pPr>
        <w:pStyle w:val="BTEMEASMCA"/>
        <w:rPr>
          <w:noProof w:val="0"/>
        </w:rPr>
      </w:pPr>
    </w:p>
    <w:p w:rsidR="00B42325" w:rsidRDefault="00B42325" w:rsidP="003E2BE3">
      <w:pPr>
        <w:spacing w:after="0" w:line="240" w:lineRule="auto"/>
        <w:rPr>
          <w:rFonts w:ascii="Times New Roman" w:hAnsi="Times New Roman"/>
          <w:lang w:val="lt-LT"/>
        </w:rPr>
      </w:pPr>
      <w:r>
        <w:rPr>
          <w:rFonts w:ascii="Times New Roman" w:hAnsi="Times New Roman"/>
          <w:lang w:val="lt-LT"/>
        </w:rPr>
        <w:t>Šio vaistinio preparato vartojama tik ligoninėse, jo gali skirti tik ūminių vainikinių sindromų gydymo patirties turintis specialistas.</w:t>
      </w:r>
    </w:p>
    <w:p w:rsidR="00B42325" w:rsidRDefault="00B42325" w:rsidP="003E2BE3">
      <w:pPr>
        <w:spacing w:after="0" w:line="240" w:lineRule="auto"/>
        <w:rPr>
          <w:rFonts w:ascii="Times New Roman" w:hAnsi="Times New Roman"/>
          <w:lang w:val="lt-LT"/>
        </w:rPr>
      </w:pPr>
    </w:p>
    <w:p w:rsidR="00B42325" w:rsidRDefault="00B42325" w:rsidP="003E2BE3">
      <w:pPr>
        <w:spacing w:after="0" w:line="240" w:lineRule="auto"/>
        <w:rPr>
          <w:rFonts w:ascii="Times New Roman" w:hAnsi="Times New Roman"/>
          <w:lang w:val="lt-LT"/>
        </w:rPr>
      </w:pPr>
      <w:r w:rsidRPr="00A75468">
        <w:rPr>
          <w:rFonts w:ascii="Times New Roman" w:hAnsi="Times New Roman"/>
          <w:lang w:val="lt-LT"/>
        </w:rPr>
        <w:t>Trombopriv koncentratą prieš vartojimą reikia praskiesti.</w:t>
      </w:r>
    </w:p>
    <w:p w:rsidR="00B42325" w:rsidRDefault="00B42325" w:rsidP="00252F26">
      <w:pPr>
        <w:spacing w:after="0" w:line="240" w:lineRule="auto"/>
        <w:rPr>
          <w:rFonts w:ascii="Times New Roman" w:hAnsi="Times New Roman"/>
          <w:lang w:val="lt-LT"/>
        </w:rPr>
      </w:pPr>
    </w:p>
    <w:p w:rsidR="00B42325" w:rsidRPr="00823E87" w:rsidRDefault="00B42325" w:rsidP="00252F26">
      <w:pPr>
        <w:spacing w:after="0" w:line="240" w:lineRule="auto"/>
        <w:rPr>
          <w:rFonts w:ascii="Times New Roman" w:hAnsi="Times New Roman"/>
          <w:u w:val="single"/>
          <w:lang w:val="lt-LT"/>
        </w:rPr>
      </w:pPr>
      <w:r w:rsidRPr="00823E87">
        <w:rPr>
          <w:rFonts w:ascii="Times New Roman" w:hAnsi="Times New Roman"/>
          <w:u w:val="single"/>
          <w:lang w:val="lt-LT"/>
        </w:rPr>
        <w:t>Dozavimas</w:t>
      </w:r>
    </w:p>
    <w:p w:rsidR="00B42325" w:rsidRDefault="00B42325" w:rsidP="00252F26">
      <w:pPr>
        <w:spacing w:after="0" w:line="240" w:lineRule="auto"/>
        <w:rPr>
          <w:rFonts w:ascii="Times New Roman" w:hAnsi="Times New Roman"/>
          <w:lang w:val="lt-LT"/>
        </w:rPr>
      </w:pPr>
      <w:r>
        <w:rPr>
          <w:rFonts w:ascii="Times New Roman" w:hAnsi="Times New Roman"/>
          <w:lang w:val="lt-LT"/>
        </w:rPr>
        <w:t>Jei pacientui skiriamas ankstyvasis invazinis ūminio vainikinio sindromo be ST pakilimo (</w:t>
      </w:r>
      <w:r w:rsidRPr="00BF2FB2">
        <w:rPr>
          <w:rFonts w:ascii="Times New Roman" w:hAnsi="Times New Roman"/>
          <w:lang w:val="lt-LT"/>
        </w:rPr>
        <w:t xml:space="preserve">ang. </w:t>
      </w:r>
      <w:r w:rsidRPr="0080463D">
        <w:rPr>
          <w:rFonts w:ascii="Times New Roman" w:hAnsi="Times New Roman"/>
          <w:i/>
          <w:lang w:val="lt-LT"/>
        </w:rPr>
        <w:t>Non-ST elavation acute coronary sindrome</w:t>
      </w:r>
      <w:r w:rsidRPr="00BF2FB2">
        <w:rPr>
          <w:rFonts w:ascii="Times New Roman" w:hAnsi="Times New Roman"/>
          <w:lang w:val="lt-LT"/>
        </w:rPr>
        <w:t>, NSTE-ACS</w:t>
      </w:r>
      <w:r>
        <w:rPr>
          <w:rFonts w:ascii="Times New Roman" w:hAnsi="Times New Roman"/>
          <w:lang w:val="lt-LT"/>
        </w:rPr>
        <w:t>) gydymas ir angiografijos procedūros neplanuojama atlikti mažiausiai 4  val. (bet ne vėliau kaip 48 val. po diagnozės nustatymo),</w:t>
      </w:r>
      <w:r w:rsidRPr="001A0D64">
        <w:rPr>
          <w:rFonts w:ascii="Times New Roman" w:hAnsi="Times New Roman"/>
          <w:lang w:val="lt-LT"/>
        </w:rPr>
        <w:t xml:space="preserve"> tirofiban</w:t>
      </w:r>
      <w:r>
        <w:rPr>
          <w:rFonts w:ascii="Times New Roman" w:hAnsi="Times New Roman"/>
          <w:lang w:val="lt-LT"/>
        </w:rPr>
        <w:t>o vartojama</w:t>
      </w:r>
      <w:r w:rsidRPr="001A0D64">
        <w:rPr>
          <w:rFonts w:ascii="Times New Roman" w:hAnsi="Times New Roman"/>
          <w:lang w:val="lt-LT"/>
        </w:rPr>
        <w:t xml:space="preserve"> </w:t>
      </w:r>
      <w:r>
        <w:rPr>
          <w:rFonts w:ascii="Times New Roman" w:hAnsi="Times New Roman"/>
          <w:lang w:val="lt-LT"/>
        </w:rPr>
        <w:t xml:space="preserve">į veną, pradinės infuzijos greitis yra </w:t>
      </w:r>
      <w:r w:rsidRPr="001A0D64">
        <w:rPr>
          <w:rFonts w:ascii="Times New Roman" w:hAnsi="Times New Roman"/>
          <w:lang w:val="lt-LT"/>
        </w:rPr>
        <w:t>0</w:t>
      </w:r>
      <w:r>
        <w:rPr>
          <w:rFonts w:ascii="Times New Roman" w:hAnsi="Times New Roman"/>
          <w:lang w:val="lt-LT"/>
        </w:rPr>
        <w:t>,</w:t>
      </w:r>
      <w:r w:rsidRPr="001A0D64">
        <w:rPr>
          <w:rFonts w:ascii="Times New Roman" w:hAnsi="Times New Roman"/>
          <w:lang w:val="lt-LT"/>
        </w:rPr>
        <w:t xml:space="preserve">4 </w:t>
      </w:r>
      <w:r>
        <w:rPr>
          <w:rFonts w:ascii="Times New Roman" w:hAnsi="Times New Roman"/>
          <w:lang w:val="lt-LT"/>
        </w:rPr>
        <w:t>mikrogramo</w:t>
      </w:r>
      <w:r w:rsidRPr="001A0D64">
        <w:rPr>
          <w:rFonts w:ascii="Times New Roman" w:hAnsi="Times New Roman"/>
          <w:lang w:val="lt-LT"/>
        </w:rPr>
        <w:t>/kg</w:t>
      </w:r>
      <w:r>
        <w:rPr>
          <w:rFonts w:ascii="Times New Roman" w:hAnsi="Times New Roman"/>
          <w:lang w:val="lt-LT"/>
        </w:rPr>
        <w:t xml:space="preserve"> kūno svorio</w:t>
      </w:r>
      <w:r w:rsidRPr="001A0D64">
        <w:rPr>
          <w:rFonts w:ascii="Times New Roman" w:hAnsi="Times New Roman"/>
          <w:lang w:val="lt-LT"/>
        </w:rPr>
        <w:t>/min</w:t>
      </w:r>
      <w:r>
        <w:rPr>
          <w:rFonts w:ascii="Times New Roman" w:hAnsi="Times New Roman"/>
          <w:lang w:val="lt-LT"/>
        </w:rPr>
        <w:t>., ji trunka</w:t>
      </w:r>
      <w:r w:rsidRPr="001A0D64">
        <w:rPr>
          <w:rFonts w:ascii="Times New Roman" w:hAnsi="Times New Roman"/>
          <w:lang w:val="lt-LT"/>
        </w:rPr>
        <w:t xml:space="preserve"> 30 minu</w:t>
      </w:r>
      <w:r>
        <w:rPr>
          <w:rFonts w:ascii="Times New Roman" w:hAnsi="Times New Roman"/>
          <w:lang w:val="lt-LT"/>
        </w:rPr>
        <w:t xml:space="preserve">čių. Baigus pradinę infuziją, </w:t>
      </w:r>
      <w:r w:rsidRPr="001A0D64">
        <w:rPr>
          <w:rFonts w:ascii="Times New Roman" w:hAnsi="Times New Roman"/>
          <w:lang w:val="lt-LT"/>
        </w:rPr>
        <w:t>tirofiban</w:t>
      </w:r>
      <w:r>
        <w:rPr>
          <w:rFonts w:ascii="Times New Roman" w:hAnsi="Times New Roman"/>
          <w:lang w:val="lt-LT"/>
        </w:rPr>
        <w:t xml:space="preserve">o reikia toliau infuzuoti </w:t>
      </w:r>
      <w:r w:rsidRPr="001A0D64">
        <w:rPr>
          <w:rFonts w:ascii="Times New Roman" w:hAnsi="Times New Roman"/>
          <w:lang w:val="lt-LT"/>
        </w:rPr>
        <w:t>0</w:t>
      </w:r>
      <w:r>
        <w:rPr>
          <w:rFonts w:ascii="Times New Roman" w:hAnsi="Times New Roman"/>
          <w:lang w:val="lt-LT"/>
        </w:rPr>
        <w:t>,</w:t>
      </w:r>
      <w:r w:rsidRPr="001A0D64">
        <w:rPr>
          <w:rFonts w:ascii="Times New Roman" w:hAnsi="Times New Roman"/>
          <w:lang w:val="lt-LT"/>
        </w:rPr>
        <w:t xml:space="preserve">1 </w:t>
      </w:r>
      <w:r>
        <w:rPr>
          <w:rFonts w:ascii="Times New Roman" w:hAnsi="Times New Roman"/>
          <w:lang w:val="lt-LT"/>
        </w:rPr>
        <w:t>mikrogramo</w:t>
      </w:r>
      <w:r w:rsidRPr="001A0D64">
        <w:rPr>
          <w:rFonts w:ascii="Times New Roman" w:hAnsi="Times New Roman"/>
          <w:lang w:val="lt-LT"/>
        </w:rPr>
        <w:t>/kg</w:t>
      </w:r>
      <w:r>
        <w:rPr>
          <w:rFonts w:ascii="Times New Roman" w:hAnsi="Times New Roman"/>
          <w:lang w:val="lt-LT"/>
        </w:rPr>
        <w:t xml:space="preserve"> kūno svorio</w:t>
      </w:r>
      <w:r w:rsidRPr="001A0D64">
        <w:rPr>
          <w:rFonts w:ascii="Times New Roman" w:hAnsi="Times New Roman"/>
          <w:lang w:val="lt-LT"/>
        </w:rPr>
        <w:t>/min</w:t>
      </w:r>
      <w:r>
        <w:rPr>
          <w:rFonts w:ascii="Times New Roman" w:hAnsi="Times New Roman"/>
          <w:lang w:val="lt-LT"/>
        </w:rPr>
        <w:t>. greičiu</w:t>
      </w:r>
      <w:r w:rsidRPr="001A0D64">
        <w:rPr>
          <w:rFonts w:ascii="Times New Roman" w:hAnsi="Times New Roman"/>
          <w:lang w:val="lt-LT"/>
        </w:rPr>
        <w:t>. Tirofiban</w:t>
      </w:r>
      <w:r>
        <w:rPr>
          <w:rFonts w:ascii="Times New Roman" w:hAnsi="Times New Roman"/>
          <w:lang w:val="lt-LT"/>
        </w:rPr>
        <w:t>o reikia vartoti kartu su nefrakcionuotu heparinu</w:t>
      </w:r>
      <w:r w:rsidRPr="001A0D64">
        <w:rPr>
          <w:rFonts w:ascii="Times New Roman" w:hAnsi="Times New Roman"/>
          <w:lang w:val="lt-LT"/>
        </w:rPr>
        <w:t xml:space="preserve"> (</w:t>
      </w:r>
      <w:r>
        <w:rPr>
          <w:rFonts w:ascii="Times New Roman" w:hAnsi="Times New Roman"/>
          <w:lang w:val="lt-LT"/>
        </w:rPr>
        <w:t>paprastai, pradedant gydymą tirofibanu, į veną suleidžiama 5</w:t>
      </w:r>
      <w:r w:rsidRPr="001A0D64">
        <w:rPr>
          <w:rFonts w:ascii="Times New Roman" w:hAnsi="Times New Roman"/>
          <w:lang w:val="lt-LT"/>
        </w:rPr>
        <w:t xml:space="preserve">000 </w:t>
      </w:r>
      <w:r>
        <w:rPr>
          <w:rFonts w:ascii="Times New Roman" w:hAnsi="Times New Roman"/>
          <w:lang w:val="lt-LT"/>
        </w:rPr>
        <w:t>vienetų</w:t>
      </w:r>
      <w:r w:rsidRPr="001A0D64">
        <w:rPr>
          <w:rFonts w:ascii="Times New Roman" w:hAnsi="Times New Roman"/>
          <w:lang w:val="lt-LT"/>
        </w:rPr>
        <w:t xml:space="preserve"> [</w:t>
      </w:r>
      <w:r>
        <w:rPr>
          <w:rFonts w:ascii="Times New Roman" w:hAnsi="Times New Roman"/>
          <w:lang w:val="lt-LT"/>
        </w:rPr>
        <w:t>V</w:t>
      </w:r>
      <w:r w:rsidRPr="001A0D64">
        <w:rPr>
          <w:rFonts w:ascii="Times New Roman" w:hAnsi="Times New Roman"/>
          <w:lang w:val="lt-LT"/>
        </w:rPr>
        <w:t xml:space="preserve">] </w:t>
      </w:r>
      <w:r>
        <w:rPr>
          <w:rFonts w:ascii="Times New Roman" w:hAnsi="Times New Roman"/>
          <w:lang w:val="lt-LT"/>
        </w:rPr>
        <w:t xml:space="preserve">smūginė dozė, po to skiriama maždaug </w:t>
      </w:r>
      <w:r w:rsidRPr="001A0D64">
        <w:rPr>
          <w:rFonts w:ascii="Times New Roman" w:hAnsi="Times New Roman"/>
          <w:lang w:val="lt-LT"/>
        </w:rPr>
        <w:t>1</w:t>
      </w:r>
      <w:r>
        <w:rPr>
          <w:rFonts w:ascii="Times New Roman" w:hAnsi="Times New Roman"/>
          <w:lang w:val="lt-LT"/>
        </w:rPr>
        <w:t> </w:t>
      </w:r>
      <w:r w:rsidRPr="001A0D64">
        <w:rPr>
          <w:rFonts w:ascii="Times New Roman" w:hAnsi="Times New Roman"/>
          <w:lang w:val="lt-LT"/>
        </w:rPr>
        <w:t xml:space="preserve">000 </w:t>
      </w:r>
      <w:r>
        <w:rPr>
          <w:rFonts w:ascii="Times New Roman" w:hAnsi="Times New Roman"/>
          <w:lang w:val="lt-LT"/>
        </w:rPr>
        <w:t xml:space="preserve">V/val. dozė, ją koreguojant pagal dalinio aktyvinto tromboplastino laiko </w:t>
      </w:r>
      <w:r w:rsidRPr="00BF2FB2">
        <w:rPr>
          <w:rFonts w:ascii="Times New Roman" w:hAnsi="Times New Roman"/>
          <w:lang w:val="lt-LT"/>
        </w:rPr>
        <w:t xml:space="preserve">(ang. </w:t>
      </w:r>
      <w:r w:rsidRPr="0080463D">
        <w:rPr>
          <w:rFonts w:ascii="Times New Roman" w:hAnsi="Times New Roman"/>
          <w:i/>
          <w:lang w:val="lt-LT"/>
        </w:rPr>
        <w:t>Activated partial tromboplastin time</w:t>
      </w:r>
      <w:r w:rsidRPr="00BF2FB2">
        <w:rPr>
          <w:rFonts w:ascii="Times New Roman" w:hAnsi="Times New Roman"/>
          <w:lang w:val="lt-LT"/>
        </w:rPr>
        <w:t>, APTT</w:t>
      </w:r>
      <w:r>
        <w:rPr>
          <w:rFonts w:ascii="Times New Roman" w:hAnsi="Times New Roman"/>
          <w:lang w:val="lt-LT"/>
        </w:rPr>
        <w:t xml:space="preserve">) rodmenį, kuris normalų rodmenį turi viršyti du kartus) ir geriamaisiais </w:t>
      </w:r>
      <w:r>
        <w:rPr>
          <w:rFonts w:ascii="Times New Roman" w:hAnsi="Times New Roman"/>
          <w:lang w:val="lt-LT"/>
        </w:rPr>
        <w:lastRenderedPageBreak/>
        <w:t>trombocitų agregaciją slopinančiais preparatais, įskaitant acetilsalicilo rūgštį (</w:t>
      </w:r>
      <w:r w:rsidRPr="00BF2FB2">
        <w:rPr>
          <w:rFonts w:ascii="Times New Roman" w:hAnsi="Times New Roman"/>
          <w:lang w:val="lt-LT"/>
        </w:rPr>
        <w:t xml:space="preserve">ang. </w:t>
      </w:r>
      <w:r w:rsidRPr="00D62AF9">
        <w:rPr>
          <w:rFonts w:ascii="Times New Roman" w:hAnsi="Times New Roman"/>
          <w:i/>
          <w:lang w:val="lt-LT"/>
        </w:rPr>
        <w:t>Acetylsalicylic acid</w:t>
      </w:r>
      <w:r w:rsidRPr="00BF2FB2">
        <w:rPr>
          <w:rFonts w:ascii="Times New Roman" w:hAnsi="Times New Roman"/>
          <w:lang w:val="lt-LT"/>
        </w:rPr>
        <w:t>, ASA</w:t>
      </w:r>
      <w:r>
        <w:rPr>
          <w:rFonts w:ascii="Times New Roman" w:hAnsi="Times New Roman"/>
          <w:lang w:val="lt-LT"/>
        </w:rPr>
        <w:t>), tačiau ja neapsiribojant (žr. 5.1 skyrių), nebent šių preparatų vartoti draudžiama.</w:t>
      </w:r>
    </w:p>
    <w:p w:rsidR="00B42325" w:rsidRDefault="00B42325" w:rsidP="00252F26">
      <w:pPr>
        <w:spacing w:after="0" w:line="240" w:lineRule="auto"/>
        <w:rPr>
          <w:rFonts w:ascii="Times New Roman" w:hAnsi="Times New Roman"/>
          <w:lang w:val="lt-LT"/>
        </w:rPr>
      </w:pPr>
    </w:p>
    <w:p w:rsidR="00B42325" w:rsidRDefault="00B42325" w:rsidP="008B08C3">
      <w:pPr>
        <w:spacing w:after="0" w:line="240" w:lineRule="auto"/>
        <w:rPr>
          <w:rFonts w:ascii="Times New Roman" w:hAnsi="Times New Roman"/>
          <w:lang w:val="lt-LT"/>
        </w:rPr>
      </w:pPr>
      <w:r>
        <w:rPr>
          <w:rFonts w:ascii="Times New Roman" w:hAnsi="Times New Roman"/>
          <w:lang w:val="lt-LT"/>
        </w:rPr>
        <w:t>Nustatyta, kad pacientams, kuriems atliekama perkutaninė vainikinių arterijų intervencija (</w:t>
      </w:r>
      <w:r w:rsidRPr="00BF2FB2">
        <w:rPr>
          <w:rFonts w:ascii="Times New Roman" w:hAnsi="Times New Roman"/>
          <w:lang w:val="lt-LT"/>
        </w:rPr>
        <w:t xml:space="preserve">ang. </w:t>
      </w:r>
      <w:r w:rsidRPr="000D4869">
        <w:rPr>
          <w:rFonts w:ascii="Times New Roman" w:hAnsi="Times New Roman"/>
          <w:i/>
          <w:lang w:val="lt-LT"/>
        </w:rPr>
        <w:t>Percutaneous coronary intervention</w:t>
      </w:r>
      <w:r w:rsidRPr="00BF2FB2">
        <w:rPr>
          <w:rFonts w:ascii="Times New Roman" w:hAnsi="Times New Roman"/>
          <w:lang w:val="lt-LT"/>
        </w:rPr>
        <w:t>, PCI</w:t>
      </w:r>
      <w:r>
        <w:rPr>
          <w:rFonts w:ascii="Times New Roman" w:hAnsi="Times New Roman"/>
          <w:lang w:val="lt-LT"/>
        </w:rPr>
        <w:t xml:space="preserve">), palankus klinikinis poveikis pasireiškia, jei iš pradžių per 3 minutes sušvirkščiama pradinė smūginė </w:t>
      </w:r>
      <w:r w:rsidRPr="001A0D64">
        <w:rPr>
          <w:rFonts w:ascii="Times New Roman" w:hAnsi="Times New Roman"/>
          <w:lang w:val="lt-LT"/>
        </w:rPr>
        <w:t>25 mi</w:t>
      </w:r>
      <w:r>
        <w:rPr>
          <w:rFonts w:ascii="Times New Roman" w:hAnsi="Times New Roman"/>
          <w:lang w:val="lt-LT"/>
        </w:rPr>
        <w:t>k</w:t>
      </w:r>
      <w:r w:rsidRPr="001A0D64">
        <w:rPr>
          <w:rFonts w:ascii="Times New Roman" w:hAnsi="Times New Roman"/>
          <w:lang w:val="lt-LT"/>
        </w:rPr>
        <w:t>rogram</w:t>
      </w:r>
      <w:r>
        <w:rPr>
          <w:rFonts w:ascii="Times New Roman" w:hAnsi="Times New Roman"/>
          <w:lang w:val="lt-LT"/>
        </w:rPr>
        <w:t>ų</w:t>
      </w:r>
      <w:r w:rsidRPr="001A0D64">
        <w:rPr>
          <w:rFonts w:ascii="Times New Roman" w:hAnsi="Times New Roman"/>
          <w:lang w:val="lt-LT"/>
        </w:rPr>
        <w:t xml:space="preserve">/kg </w:t>
      </w:r>
      <w:r>
        <w:rPr>
          <w:rFonts w:ascii="Times New Roman" w:hAnsi="Times New Roman"/>
          <w:lang w:val="lt-LT"/>
        </w:rPr>
        <w:t>kūno svorio dozė</w:t>
      </w:r>
      <w:r w:rsidRPr="001A0D64">
        <w:rPr>
          <w:rFonts w:ascii="Times New Roman" w:hAnsi="Times New Roman"/>
          <w:lang w:val="lt-LT"/>
        </w:rPr>
        <w:t xml:space="preserve">, </w:t>
      </w:r>
      <w:r>
        <w:rPr>
          <w:rFonts w:ascii="Times New Roman" w:hAnsi="Times New Roman"/>
          <w:lang w:val="lt-LT"/>
        </w:rPr>
        <w:t>o po to 18</w:t>
      </w:r>
      <w:r>
        <w:rPr>
          <w:rFonts w:ascii="Times New Roman" w:hAnsi="Times New Roman"/>
          <w:lang w:val="lt-LT"/>
        </w:rPr>
        <w:noBreakHyphen/>
        <w:t>24 val. (iki 48 val.) atliekama nuolatinė infuzija</w:t>
      </w:r>
      <w:r w:rsidRPr="001A0D64">
        <w:rPr>
          <w:rFonts w:ascii="Times New Roman" w:hAnsi="Times New Roman"/>
          <w:lang w:val="lt-LT"/>
        </w:rPr>
        <w:t xml:space="preserve"> 0</w:t>
      </w:r>
      <w:r>
        <w:rPr>
          <w:rFonts w:ascii="Times New Roman" w:hAnsi="Times New Roman"/>
          <w:lang w:val="lt-LT"/>
        </w:rPr>
        <w:t>,</w:t>
      </w:r>
      <w:r w:rsidRPr="001A0D64">
        <w:rPr>
          <w:rFonts w:ascii="Times New Roman" w:hAnsi="Times New Roman"/>
          <w:lang w:val="lt-LT"/>
        </w:rPr>
        <w:t>15 mi</w:t>
      </w:r>
      <w:r>
        <w:rPr>
          <w:rFonts w:ascii="Times New Roman" w:hAnsi="Times New Roman"/>
          <w:lang w:val="lt-LT"/>
        </w:rPr>
        <w:t>k</w:t>
      </w:r>
      <w:r w:rsidRPr="001A0D64">
        <w:rPr>
          <w:rFonts w:ascii="Times New Roman" w:hAnsi="Times New Roman"/>
          <w:lang w:val="lt-LT"/>
        </w:rPr>
        <w:t>rogram</w:t>
      </w:r>
      <w:r>
        <w:rPr>
          <w:rFonts w:ascii="Times New Roman" w:hAnsi="Times New Roman"/>
          <w:lang w:val="lt-LT"/>
        </w:rPr>
        <w:t>ų</w:t>
      </w:r>
      <w:r w:rsidRPr="001A0D64">
        <w:rPr>
          <w:rFonts w:ascii="Times New Roman" w:hAnsi="Times New Roman"/>
          <w:lang w:val="lt-LT"/>
        </w:rPr>
        <w:t xml:space="preserve">/kg </w:t>
      </w:r>
      <w:r>
        <w:rPr>
          <w:rFonts w:ascii="Times New Roman" w:hAnsi="Times New Roman"/>
          <w:lang w:val="lt-LT"/>
        </w:rPr>
        <w:t>kūno svorio</w:t>
      </w:r>
      <w:r w:rsidRPr="001A0D64">
        <w:rPr>
          <w:rFonts w:ascii="Times New Roman" w:hAnsi="Times New Roman"/>
          <w:lang w:val="lt-LT"/>
        </w:rPr>
        <w:t>/min</w:t>
      </w:r>
      <w:r>
        <w:rPr>
          <w:rFonts w:ascii="Times New Roman" w:hAnsi="Times New Roman"/>
          <w:lang w:val="lt-LT"/>
        </w:rPr>
        <w:t xml:space="preserve">. greičiu. </w:t>
      </w:r>
      <w:r w:rsidRPr="001A0D64">
        <w:rPr>
          <w:rFonts w:ascii="Times New Roman" w:hAnsi="Times New Roman"/>
          <w:lang w:val="lt-LT"/>
        </w:rPr>
        <w:t>Tirofiban</w:t>
      </w:r>
      <w:r>
        <w:rPr>
          <w:rFonts w:ascii="Times New Roman" w:hAnsi="Times New Roman"/>
          <w:lang w:val="lt-LT"/>
        </w:rPr>
        <w:t>o reikia vartoti kartu su nefrakcionuotu heparinu</w:t>
      </w:r>
      <w:r w:rsidRPr="001A0D64">
        <w:rPr>
          <w:rFonts w:ascii="Times New Roman" w:hAnsi="Times New Roman"/>
          <w:lang w:val="lt-LT"/>
        </w:rPr>
        <w:t xml:space="preserve"> </w:t>
      </w:r>
      <w:r>
        <w:rPr>
          <w:rFonts w:ascii="Times New Roman" w:hAnsi="Times New Roman"/>
          <w:lang w:val="lt-LT"/>
        </w:rPr>
        <w:t>ir geriamaisiais trombocitų agregaciją slopinančiais preparatais, įskaitant acetilsalicilo rūgštį (ASA), tačiau ja neapsiribojant (žr. 5.1 skyrių), nebent šių preparatų vartoti draudžiama.</w:t>
      </w:r>
    </w:p>
    <w:p w:rsidR="00B42325" w:rsidRDefault="00B42325" w:rsidP="00252F26">
      <w:pPr>
        <w:spacing w:after="0" w:line="240" w:lineRule="auto"/>
        <w:rPr>
          <w:rFonts w:ascii="Times New Roman" w:hAnsi="Times New Roman"/>
          <w:lang w:val="lt-LT"/>
        </w:rPr>
      </w:pPr>
    </w:p>
    <w:p w:rsidR="00B42325" w:rsidRPr="001A0D64" w:rsidRDefault="00B42325" w:rsidP="00252F26">
      <w:pPr>
        <w:spacing w:after="0" w:line="240" w:lineRule="auto"/>
        <w:rPr>
          <w:rFonts w:ascii="Times New Roman" w:hAnsi="Times New Roman"/>
          <w:lang w:val="lt-LT"/>
        </w:rPr>
      </w:pPr>
      <w:r>
        <w:rPr>
          <w:rFonts w:ascii="Times New Roman" w:hAnsi="Times New Roman"/>
          <w:lang w:val="lt-LT"/>
        </w:rPr>
        <w:t>Senyviems žmonėms dozės koreguoti nereikia</w:t>
      </w:r>
      <w:r w:rsidRPr="001A0D64">
        <w:rPr>
          <w:rFonts w:ascii="Times New Roman" w:hAnsi="Times New Roman"/>
          <w:lang w:val="lt-LT"/>
        </w:rPr>
        <w:t xml:space="preserve"> (</w:t>
      </w:r>
      <w:r>
        <w:rPr>
          <w:rFonts w:ascii="Times New Roman" w:hAnsi="Times New Roman"/>
          <w:lang w:val="lt-LT"/>
        </w:rPr>
        <w:t>žr.</w:t>
      </w:r>
      <w:r w:rsidRPr="001A0D64">
        <w:rPr>
          <w:rFonts w:ascii="Times New Roman" w:hAnsi="Times New Roman"/>
          <w:lang w:val="lt-LT"/>
        </w:rPr>
        <w:t xml:space="preserve"> 4.4</w:t>
      </w:r>
      <w:r>
        <w:rPr>
          <w:rFonts w:ascii="Times New Roman" w:hAnsi="Times New Roman"/>
          <w:lang w:val="lt-LT"/>
        </w:rPr>
        <w:t xml:space="preserve"> skyrių</w:t>
      </w:r>
      <w:r w:rsidRPr="001A0D64">
        <w:rPr>
          <w:rFonts w:ascii="Times New Roman" w:hAnsi="Times New Roman"/>
          <w:lang w:val="lt-LT"/>
        </w:rPr>
        <w:t xml:space="preserve">). </w:t>
      </w:r>
    </w:p>
    <w:p w:rsidR="00B42325" w:rsidRDefault="00B42325" w:rsidP="00252F26">
      <w:pPr>
        <w:spacing w:after="0" w:line="240" w:lineRule="auto"/>
        <w:rPr>
          <w:rFonts w:ascii="Times New Roman" w:hAnsi="Times New Roman"/>
          <w:lang w:val="lt-LT"/>
        </w:rPr>
      </w:pPr>
    </w:p>
    <w:p w:rsidR="00B42325" w:rsidRPr="00F762A9" w:rsidRDefault="00B42325" w:rsidP="00252F26">
      <w:pPr>
        <w:spacing w:after="0" w:line="240" w:lineRule="auto"/>
        <w:rPr>
          <w:rFonts w:ascii="Times New Roman" w:hAnsi="Times New Roman"/>
          <w:i/>
          <w:lang w:val="lt-LT"/>
        </w:rPr>
      </w:pPr>
      <w:r w:rsidRPr="00F762A9">
        <w:rPr>
          <w:rFonts w:ascii="Times New Roman" w:hAnsi="Times New Roman"/>
          <w:i/>
          <w:lang w:val="lt-LT"/>
        </w:rPr>
        <w:t>Pacientai, kuriems yra sunkus inkstų nepakankamumas</w:t>
      </w:r>
    </w:p>
    <w:p w:rsidR="00B42325" w:rsidRPr="00FC45DB" w:rsidRDefault="00B42325" w:rsidP="00FC45DB">
      <w:pPr>
        <w:spacing w:after="0" w:line="240" w:lineRule="auto"/>
        <w:rPr>
          <w:rFonts w:ascii="Times New Roman" w:hAnsi="Times New Roman"/>
          <w:lang w:val="lt-LT"/>
        </w:rPr>
      </w:pPr>
      <w:r>
        <w:rPr>
          <w:rFonts w:ascii="Times New Roman" w:hAnsi="Times New Roman"/>
          <w:lang w:val="lt-LT"/>
        </w:rPr>
        <w:t>J</w:t>
      </w:r>
      <w:r w:rsidRPr="00FC45DB">
        <w:rPr>
          <w:rFonts w:ascii="Times New Roman" w:hAnsi="Times New Roman"/>
          <w:lang w:val="lt-LT"/>
        </w:rPr>
        <w:t>eigu yra sunkus inkstų nepakankamumas (</w:t>
      </w:r>
      <w:r>
        <w:rPr>
          <w:rFonts w:ascii="Times New Roman" w:hAnsi="Times New Roman"/>
          <w:lang w:val="lt-LT"/>
        </w:rPr>
        <w:t>kreatinino klirensas</w:t>
      </w:r>
      <w:r w:rsidRPr="00FC45DB">
        <w:rPr>
          <w:rFonts w:ascii="Times New Roman" w:hAnsi="Times New Roman"/>
          <w:lang w:val="lt-LT"/>
        </w:rPr>
        <w:t xml:space="preserve"> &lt;30</w:t>
      </w:r>
      <w:r>
        <w:rPr>
          <w:rFonts w:ascii="Times New Roman" w:hAnsi="Times New Roman"/>
          <w:lang w:val="lt-LT"/>
        </w:rPr>
        <w:t> </w:t>
      </w:r>
      <w:r w:rsidRPr="00FC45DB">
        <w:rPr>
          <w:rFonts w:ascii="Times New Roman" w:hAnsi="Times New Roman"/>
          <w:lang w:val="lt-LT"/>
        </w:rPr>
        <w:t>ml/min</w:t>
      </w:r>
      <w:r>
        <w:rPr>
          <w:rFonts w:ascii="Times New Roman" w:hAnsi="Times New Roman"/>
          <w:lang w:val="lt-LT"/>
        </w:rPr>
        <w:t>.</w:t>
      </w:r>
      <w:r w:rsidRPr="00FC45DB">
        <w:rPr>
          <w:rFonts w:ascii="Times New Roman" w:hAnsi="Times New Roman"/>
          <w:lang w:val="lt-LT"/>
        </w:rPr>
        <w:t>)</w:t>
      </w:r>
      <w:r>
        <w:rPr>
          <w:rFonts w:ascii="Times New Roman" w:hAnsi="Times New Roman"/>
          <w:lang w:val="lt-LT"/>
        </w:rPr>
        <w:t>,</w:t>
      </w:r>
      <w:r w:rsidRPr="00FC45DB">
        <w:rPr>
          <w:rFonts w:ascii="Times New Roman" w:hAnsi="Times New Roman"/>
          <w:lang w:val="lt-LT"/>
        </w:rPr>
        <w:t xml:space="preserve"> </w:t>
      </w:r>
      <w:r>
        <w:rPr>
          <w:rFonts w:ascii="Times New Roman" w:hAnsi="Times New Roman"/>
          <w:lang w:val="lt-LT"/>
        </w:rPr>
        <w:t>Trombopriv</w:t>
      </w:r>
      <w:r w:rsidRPr="00FC45DB">
        <w:rPr>
          <w:rFonts w:ascii="Times New Roman" w:hAnsi="Times New Roman"/>
          <w:lang w:val="lt-LT"/>
        </w:rPr>
        <w:t xml:space="preserve"> dozę reikia mažinti 50% (</w:t>
      </w:r>
      <w:r>
        <w:rPr>
          <w:rFonts w:ascii="Times New Roman" w:hAnsi="Times New Roman"/>
          <w:lang w:val="lt-LT"/>
        </w:rPr>
        <w:t>žr.</w:t>
      </w:r>
      <w:r w:rsidRPr="00FC45DB">
        <w:rPr>
          <w:rFonts w:ascii="Times New Roman" w:hAnsi="Times New Roman"/>
          <w:lang w:val="lt-LT"/>
        </w:rPr>
        <w:t xml:space="preserve"> 4.4 </w:t>
      </w:r>
      <w:r>
        <w:rPr>
          <w:rFonts w:ascii="Times New Roman" w:hAnsi="Times New Roman"/>
          <w:lang w:val="lt-LT"/>
        </w:rPr>
        <w:t>ir</w:t>
      </w:r>
      <w:r w:rsidRPr="00FC45DB">
        <w:rPr>
          <w:rFonts w:ascii="Times New Roman" w:hAnsi="Times New Roman"/>
          <w:lang w:val="lt-LT"/>
        </w:rPr>
        <w:t xml:space="preserve"> 5.2</w:t>
      </w:r>
      <w:r>
        <w:rPr>
          <w:rFonts w:ascii="Times New Roman" w:hAnsi="Times New Roman"/>
          <w:lang w:val="lt-LT"/>
        </w:rPr>
        <w:t xml:space="preserve"> skyrius</w:t>
      </w:r>
      <w:r w:rsidRPr="00FC45DB">
        <w:rPr>
          <w:rFonts w:ascii="Times New Roman" w:hAnsi="Times New Roman"/>
          <w:lang w:val="lt-LT"/>
        </w:rPr>
        <w:t xml:space="preserve">). </w:t>
      </w:r>
    </w:p>
    <w:p w:rsidR="00B42325" w:rsidRDefault="00B42325" w:rsidP="00FC45DB">
      <w:pPr>
        <w:spacing w:after="0" w:line="240" w:lineRule="auto"/>
        <w:rPr>
          <w:rFonts w:ascii="Times New Roman" w:hAnsi="Times New Roman"/>
          <w:lang w:val="lt-LT"/>
        </w:rPr>
      </w:pPr>
    </w:p>
    <w:p w:rsidR="00B42325" w:rsidRPr="00F762A9" w:rsidRDefault="00B42325" w:rsidP="00F762A9">
      <w:pPr>
        <w:spacing w:after="0" w:line="240" w:lineRule="auto"/>
        <w:rPr>
          <w:rFonts w:ascii="Times New Roman" w:hAnsi="Times New Roman"/>
          <w:i/>
          <w:lang w:val="lt-LT"/>
        </w:rPr>
      </w:pPr>
      <w:r w:rsidRPr="00F762A9">
        <w:rPr>
          <w:rFonts w:ascii="Times New Roman" w:hAnsi="Times New Roman"/>
          <w:i/>
          <w:lang w:val="lt-LT"/>
        </w:rPr>
        <w:t>Vaikų populiacija</w:t>
      </w:r>
    </w:p>
    <w:p w:rsidR="00B42325" w:rsidRPr="001A0D64" w:rsidRDefault="00B42325" w:rsidP="00285B6C">
      <w:pPr>
        <w:spacing w:after="0" w:line="240" w:lineRule="auto"/>
        <w:rPr>
          <w:rFonts w:ascii="Times New Roman" w:hAnsi="Times New Roman"/>
          <w:lang w:val="lt-LT"/>
        </w:rPr>
      </w:pPr>
      <w:r>
        <w:rPr>
          <w:rFonts w:ascii="Times New Roman" w:hAnsi="Times New Roman"/>
          <w:lang w:val="lt-LT"/>
        </w:rPr>
        <w:t>Vaikų gydymo Trombopriv</w:t>
      </w:r>
      <w:r w:rsidRPr="00FC45DB">
        <w:rPr>
          <w:rFonts w:ascii="Times New Roman" w:hAnsi="Times New Roman"/>
          <w:lang w:val="lt-LT"/>
        </w:rPr>
        <w:t xml:space="preserve"> </w:t>
      </w:r>
      <w:r>
        <w:rPr>
          <w:rFonts w:ascii="Times New Roman" w:hAnsi="Times New Roman"/>
          <w:lang w:val="lt-LT"/>
        </w:rPr>
        <w:t>saugumas ir veiksmingumas nėra nustatytas. Duomenų nėra</w:t>
      </w:r>
      <w:r w:rsidRPr="001A0D64">
        <w:rPr>
          <w:rFonts w:ascii="Times New Roman" w:hAnsi="Times New Roman"/>
          <w:lang w:val="lt-LT"/>
        </w:rPr>
        <w:t xml:space="preserve">. </w:t>
      </w:r>
    </w:p>
    <w:p w:rsidR="00B42325" w:rsidRDefault="00B42325" w:rsidP="00252F26">
      <w:pPr>
        <w:spacing w:after="0" w:line="240" w:lineRule="auto"/>
        <w:rPr>
          <w:rFonts w:ascii="Times New Roman" w:hAnsi="Times New Roman"/>
          <w:lang w:val="lt-LT"/>
        </w:rPr>
      </w:pPr>
    </w:p>
    <w:p w:rsidR="00B42325" w:rsidRDefault="00B42325" w:rsidP="00252F26">
      <w:pPr>
        <w:spacing w:after="0" w:line="240" w:lineRule="auto"/>
        <w:rPr>
          <w:rFonts w:ascii="Times New Roman" w:hAnsi="Times New Roman"/>
          <w:lang w:val="lt-LT"/>
        </w:rPr>
      </w:pPr>
      <w:r w:rsidRPr="001A0D64">
        <w:rPr>
          <w:rFonts w:ascii="Times New Roman" w:hAnsi="Times New Roman"/>
          <w:lang w:val="lt-LT"/>
        </w:rPr>
        <w:t>T</w:t>
      </w:r>
      <w:r>
        <w:rPr>
          <w:rFonts w:ascii="Times New Roman" w:hAnsi="Times New Roman"/>
          <w:lang w:val="lt-LT"/>
        </w:rPr>
        <w:t>oliau pateikiamoje lentelėje pateikiamos dozės koregavimo atsižvelgiant į kūno svorį rekomendacijos.</w:t>
      </w:r>
    </w:p>
    <w:p w:rsidR="00B42325" w:rsidRDefault="00B42325" w:rsidP="00252F26">
      <w:pPr>
        <w:spacing w:after="0" w:line="240" w:lineRule="auto"/>
        <w:rPr>
          <w:rFonts w:ascii="Times New Roman" w:hAnsi="Times New Roman"/>
          <w:lang w:val="lt-LT"/>
        </w:rPr>
      </w:pPr>
    </w:p>
    <w:p w:rsidR="00B42325" w:rsidRDefault="00B42325" w:rsidP="00252F26">
      <w:pPr>
        <w:spacing w:after="0" w:line="240" w:lineRule="auto"/>
        <w:rPr>
          <w:rFonts w:ascii="Times New Roman" w:hAnsi="Times New Roman"/>
          <w:lang w:val="lt-LT"/>
        </w:rPr>
      </w:pPr>
      <w:r w:rsidRPr="00A75468">
        <w:rPr>
          <w:rFonts w:ascii="Times New Roman" w:hAnsi="Times New Roman"/>
          <w:b/>
          <w:lang w:val="lt-LT"/>
        </w:rPr>
        <w:t>Trombopriv koncentratą reikia atskiesti taip, kaip nurodyta vartojimo instrukcijose</w:t>
      </w:r>
      <w:r w:rsidRPr="00A75468">
        <w:rPr>
          <w:rFonts w:ascii="Times New Roman" w:hAnsi="Times New Roman"/>
          <w:lang w:val="lt-LT"/>
        </w:rPr>
        <w:t>.</w:t>
      </w:r>
    </w:p>
    <w:p w:rsidR="00B42325" w:rsidRDefault="00B42325" w:rsidP="00252F26">
      <w:pPr>
        <w:spacing w:after="0" w:line="240" w:lineRule="auto"/>
        <w:rPr>
          <w:rFonts w:ascii="Times New Roman" w:hAnsi="Times New Roman"/>
          <w:lang w:val="lt-LT"/>
        </w:rPr>
      </w:pPr>
    </w:p>
    <w:tbl>
      <w:tblPr>
        <w:tblW w:w="9383" w:type="dxa"/>
        <w:tblInd w:w="-97" w:type="dxa"/>
        <w:tblLook w:val="00A0" w:firstRow="1" w:lastRow="0" w:firstColumn="1" w:lastColumn="0" w:noHBand="0" w:noVBand="0"/>
      </w:tblPr>
      <w:tblGrid>
        <w:gridCol w:w="819"/>
        <w:gridCol w:w="1123"/>
        <w:gridCol w:w="1178"/>
        <w:gridCol w:w="1123"/>
        <w:gridCol w:w="1178"/>
        <w:gridCol w:w="803"/>
        <w:gridCol w:w="1178"/>
        <w:gridCol w:w="803"/>
        <w:gridCol w:w="1178"/>
      </w:tblGrid>
      <w:tr w:rsidR="00B42325" w:rsidRPr="00CB01F1" w:rsidTr="00DC1A88">
        <w:tc>
          <w:tcPr>
            <w:tcW w:w="791" w:type="dxa"/>
            <w:vMerge w:val="restart"/>
          </w:tcPr>
          <w:p w:rsidR="00B42325" w:rsidRPr="00CB01F1" w:rsidRDefault="00B42325" w:rsidP="00CB01F1">
            <w:pPr>
              <w:spacing w:after="0" w:line="240" w:lineRule="auto"/>
              <w:jc w:val="center"/>
              <w:rPr>
                <w:rFonts w:ascii="Times New Roman" w:hAnsi="Times New Roman"/>
                <w:b/>
                <w:sz w:val="18"/>
                <w:szCs w:val="18"/>
                <w:lang w:val="lt-LT"/>
              </w:rPr>
            </w:pPr>
            <w:r w:rsidRPr="00CB01F1">
              <w:rPr>
                <w:rFonts w:ascii="Times New Roman" w:hAnsi="Times New Roman"/>
                <w:b/>
                <w:sz w:val="18"/>
                <w:szCs w:val="18"/>
                <w:lang w:val="lt-LT"/>
              </w:rPr>
              <w:t>Paciento svoris (kg)</w:t>
            </w:r>
          </w:p>
        </w:tc>
        <w:tc>
          <w:tcPr>
            <w:tcW w:w="2309" w:type="dxa"/>
            <w:gridSpan w:val="2"/>
          </w:tcPr>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0,4 mikrogramo/kg kūno svorio/min.</w:t>
            </w:r>
          </w:p>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Įsotinamosios dozės schema daugumai pacientų</w:t>
            </w:r>
          </w:p>
        </w:tc>
        <w:tc>
          <w:tcPr>
            <w:tcW w:w="2309" w:type="dxa"/>
            <w:gridSpan w:val="2"/>
          </w:tcPr>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0,4 mikrogramo/kg kūno svorio/min.</w:t>
            </w:r>
          </w:p>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 xml:space="preserve">Įsotinamosios dozės schema </w:t>
            </w:r>
          </w:p>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Sunkus inkstų nepakankamumas</w:t>
            </w:r>
          </w:p>
        </w:tc>
        <w:tc>
          <w:tcPr>
            <w:tcW w:w="1987" w:type="dxa"/>
            <w:gridSpan w:val="2"/>
          </w:tcPr>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 xml:space="preserve">25 mikrogramai/kg kūno svorio </w:t>
            </w:r>
          </w:p>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Smūginės dozės schema daugumai pacientų</w:t>
            </w:r>
          </w:p>
        </w:tc>
        <w:tc>
          <w:tcPr>
            <w:tcW w:w="1987" w:type="dxa"/>
            <w:gridSpan w:val="2"/>
          </w:tcPr>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 xml:space="preserve">25 mikrogramai/kg kūno svorio </w:t>
            </w:r>
          </w:p>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 xml:space="preserve">Smūginės dozės schema </w:t>
            </w:r>
          </w:p>
          <w:p w:rsidR="00B42325" w:rsidRPr="00CB01F1" w:rsidRDefault="00B42325" w:rsidP="00CB01F1">
            <w:pPr>
              <w:spacing w:after="0" w:line="240" w:lineRule="auto"/>
              <w:rPr>
                <w:rFonts w:ascii="Times New Roman" w:hAnsi="Times New Roman"/>
                <w:b/>
                <w:sz w:val="18"/>
                <w:szCs w:val="18"/>
                <w:lang w:val="lt-LT"/>
              </w:rPr>
            </w:pPr>
            <w:r w:rsidRPr="00CB01F1">
              <w:rPr>
                <w:rFonts w:ascii="Times New Roman" w:hAnsi="Times New Roman"/>
                <w:b/>
                <w:sz w:val="18"/>
                <w:szCs w:val="18"/>
                <w:lang w:val="lt-LT"/>
              </w:rPr>
              <w:t>Sunkus inkstų nepakankamumas</w:t>
            </w:r>
          </w:p>
        </w:tc>
      </w:tr>
      <w:tr w:rsidR="00B42325" w:rsidRPr="00C33B00" w:rsidTr="00DC1A88">
        <w:tc>
          <w:tcPr>
            <w:tcW w:w="791" w:type="dxa"/>
            <w:vMerge/>
          </w:tcPr>
          <w:p w:rsidR="00B42325" w:rsidRPr="00CB01F1" w:rsidRDefault="00B42325" w:rsidP="00CB01F1">
            <w:pPr>
              <w:spacing w:after="0" w:line="240" w:lineRule="auto"/>
              <w:rPr>
                <w:rFonts w:ascii="Times New Roman" w:hAnsi="Times New Roman"/>
                <w:sz w:val="18"/>
                <w:szCs w:val="18"/>
                <w:lang w:val="lt-LT"/>
              </w:rPr>
            </w:pPr>
          </w:p>
        </w:tc>
        <w:tc>
          <w:tcPr>
            <w:tcW w:w="1127"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30 min. įsotinamosios infuzijos greitis (ml/val.)</w:t>
            </w:r>
          </w:p>
        </w:tc>
        <w:tc>
          <w:tcPr>
            <w:tcW w:w="1182"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Palaikomosios infuzijos greitis (ml/val.)</w:t>
            </w:r>
          </w:p>
        </w:tc>
        <w:tc>
          <w:tcPr>
            <w:tcW w:w="1127"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30 min. įsotinamosios infuzijos greitis (ml/val.)</w:t>
            </w:r>
          </w:p>
        </w:tc>
        <w:tc>
          <w:tcPr>
            <w:tcW w:w="1182"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Palaikomosios infuzijos greitis (ml/val.)</w:t>
            </w:r>
          </w:p>
        </w:tc>
        <w:tc>
          <w:tcPr>
            <w:tcW w:w="805"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Smūginė dozė (ml)</w:t>
            </w:r>
          </w:p>
        </w:tc>
        <w:tc>
          <w:tcPr>
            <w:tcW w:w="1182"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Palaikomosios infuzijos greitis (ml/val.)</w:t>
            </w:r>
          </w:p>
        </w:tc>
        <w:tc>
          <w:tcPr>
            <w:tcW w:w="805"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Smūginė dozė (ml)</w:t>
            </w:r>
          </w:p>
        </w:tc>
        <w:tc>
          <w:tcPr>
            <w:tcW w:w="1182" w:type="dxa"/>
          </w:tcPr>
          <w:p w:rsidR="00B42325" w:rsidRPr="00CB01F1" w:rsidRDefault="00B42325" w:rsidP="00CB01F1">
            <w:pPr>
              <w:spacing w:after="0" w:line="240" w:lineRule="auto"/>
              <w:rPr>
                <w:rFonts w:ascii="Times New Roman" w:hAnsi="Times New Roman"/>
                <w:sz w:val="18"/>
                <w:szCs w:val="18"/>
                <w:lang w:val="lt-LT"/>
              </w:rPr>
            </w:pPr>
            <w:r w:rsidRPr="00CB01F1">
              <w:rPr>
                <w:rFonts w:ascii="Times New Roman" w:hAnsi="Times New Roman"/>
                <w:sz w:val="18"/>
                <w:szCs w:val="18"/>
                <w:lang w:val="lt-LT"/>
              </w:rPr>
              <w:t>Palaikomosios infuzijos greitis (ml/val.)</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30-37</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16</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17</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38-45</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21</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46-54</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25</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9</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13</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55-62</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29</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11</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15</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63-70</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16</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33</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12</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17</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71-79</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36</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9</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14</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19</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80-87</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10</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15</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21</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88-95</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11</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46</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16</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23</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96-104</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48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12</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18</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25</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9</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105-112</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13</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26</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20</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27</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10</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113-120</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56</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14</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58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21</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29</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10</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121-128</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15</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30</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22</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31</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11</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129-137</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16</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32</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8</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67</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24</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33</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12</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138-145</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68</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17</w:t>
            </w:r>
          </w:p>
        </w:tc>
        <w:tc>
          <w:tcPr>
            <w:tcW w:w="1127"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34</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9</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71</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25</w:t>
            </w:r>
          </w:p>
        </w:tc>
        <w:tc>
          <w:tcPr>
            <w:tcW w:w="805"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35</w:t>
            </w:r>
          </w:p>
        </w:tc>
        <w:tc>
          <w:tcPr>
            <w:tcW w:w="1182" w:type="dxa"/>
          </w:tcPr>
          <w:p w:rsidR="00B42325" w:rsidRPr="00CB01F1" w:rsidRDefault="00B42325" w:rsidP="00CB01F1">
            <w:pPr>
              <w:spacing w:after="0" w:line="240" w:lineRule="auto"/>
              <w:jc w:val="center"/>
              <w:rPr>
                <w:rFonts w:ascii="Times New Roman" w:hAnsi="Times New Roman"/>
                <w:sz w:val="18"/>
                <w:szCs w:val="18"/>
                <w:lang w:val="lt-LT"/>
              </w:rPr>
            </w:pPr>
            <w:r w:rsidRPr="00CB01F1">
              <w:rPr>
                <w:rFonts w:ascii="Times New Roman" w:hAnsi="Times New Roman"/>
                <w:sz w:val="18"/>
                <w:szCs w:val="18"/>
              </w:rPr>
              <w:t>13</w:t>
            </w:r>
          </w:p>
        </w:tc>
      </w:tr>
      <w:tr w:rsidR="00B42325" w:rsidRPr="00CB01F1" w:rsidTr="00DC1A88">
        <w:tc>
          <w:tcPr>
            <w:tcW w:w="791"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146-153</w:t>
            </w:r>
          </w:p>
        </w:tc>
        <w:tc>
          <w:tcPr>
            <w:tcW w:w="1127"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72</w:t>
            </w:r>
          </w:p>
        </w:tc>
        <w:tc>
          <w:tcPr>
            <w:tcW w:w="1182"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18</w:t>
            </w:r>
          </w:p>
        </w:tc>
        <w:tc>
          <w:tcPr>
            <w:tcW w:w="1127"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36</w:t>
            </w:r>
          </w:p>
        </w:tc>
        <w:tc>
          <w:tcPr>
            <w:tcW w:w="1182"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9</w:t>
            </w:r>
          </w:p>
        </w:tc>
        <w:tc>
          <w:tcPr>
            <w:tcW w:w="805"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75</w:t>
            </w:r>
          </w:p>
        </w:tc>
        <w:tc>
          <w:tcPr>
            <w:tcW w:w="1182"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27</w:t>
            </w:r>
          </w:p>
        </w:tc>
        <w:tc>
          <w:tcPr>
            <w:tcW w:w="805"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37</w:t>
            </w:r>
          </w:p>
        </w:tc>
        <w:tc>
          <w:tcPr>
            <w:tcW w:w="1182" w:type="dxa"/>
          </w:tcPr>
          <w:p w:rsidR="00B42325" w:rsidRPr="00CB01F1" w:rsidRDefault="00B42325" w:rsidP="00CB01F1">
            <w:pPr>
              <w:spacing w:after="0" w:line="240" w:lineRule="auto"/>
              <w:jc w:val="center"/>
              <w:rPr>
                <w:rFonts w:ascii="Times New Roman" w:hAnsi="Times New Roman"/>
                <w:sz w:val="18"/>
                <w:szCs w:val="18"/>
              </w:rPr>
            </w:pPr>
            <w:r>
              <w:rPr>
                <w:rFonts w:ascii="Times New Roman" w:hAnsi="Times New Roman"/>
                <w:sz w:val="18"/>
                <w:szCs w:val="18"/>
              </w:rPr>
              <w:t>13</w:t>
            </w:r>
          </w:p>
        </w:tc>
      </w:tr>
    </w:tbl>
    <w:p w:rsidR="00B42325" w:rsidRDefault="00B42325" w:rsidP="00252F26">
      <w:pPr>
        <w:spacing w:after="0" w:line="240" w:lineRule="auto"/>
        <w:rPr>
          <w:rFonts w:ascii="Times New Roman" w:hAnsi="Times New Roman"/>
          <w:lang w:val="lt-LT"/>
        </w:rPr>
      </w:pPr>
    </w:p>
    <w:p w:rsidR="00B42325" w:rsidRPr="003A1A99" w:rsidRDefault="00B42325" w:rsidP="003A1A99">
      <w:pPr>
        <w:spacing w:after="0" w:line="240" w:lineRule="auto"/>
        <w:rPr>
          <w:rFonts w:ascii="Times New Roman" w:hAnsi="Times New Roman"/>
          <w:i/>
          <w:lang w:val="lt-LT"/>
        </w:rPr>
      </w:pPr>
      <w:r w:rsidRPr="003A1A99">
        <w:rPr>
          <w:rFonts w:ascii="Times New Roman" w:hAnsi="Times New Roman"/>
          <w:i/>
          <w:lang w:val="lt-LT"/>
        </w:rPr>
        <w:t xml:space="preserve">Gydymo </w:t>
      </w:r>
      <w:r>
        <w:rPr>
          <w:rFonts w:ascii="Times New Roman" w:hAnsi="Times New Roman"/>
          <w:i/>
          <w:lang w:val="lt-LT"/>
        </w:rPr>
        <w:t>Trombopriv</w:t>
      </w:r>
      <w:r w:rsidRPr="003A1A99">
        <w:rPr>
          <w:rFonts w:ascii="Times New Roman" w:hAnsi="Times New Roman"/>
          <w:i/>
          <w:lang w:val="lt-LT"/>
        </w:rPr>
        <w:t xml:space="preserve"> pradžia ir trukmė</w:t>
      </w:r>
    </w:p>
    <w:p w:rsidR="00B42325" w:rsidRDefault="00B42325" w:rsidP="003A1A99">
      <w:pPr>
        <w:spacing w:after="0" w:line="240" w:lineRule="auto"/>
        <w:rPr>
          <w:rFonts w:ascii="Times New Roman" w:hAnsi="Times New Roman"/>
          <w:lang w:val="lt-LT"/>
        </w:rPr>
      </w:pPr>
      <w:r>
        <w:rPr>
          <w:rFonts w:ascii="Times New Roman" w:hAnsi="Times New Roman"/>
          <w:lang w:val="lt-LT"/>
        </w:rPr>
        <w:t>Jei pacientui skiriamas ankstyvasis invazinis NSTE-ACS gydymas ir angiografijos procedūros neplanuojama atlikti mažiausiai 4  val. (bet ne vėliau kaip 48 val. po diagnozės nustatymo),</w:t>
      </w:r>
      <w:r w:rsidRPr="003A1A99">
        <w:rPr>
          <w:rFonts w:ascii="Times New Roman" w:hAnsi="Times New Roman"/>
          <w:lang w:val="lt-LT"/>
        </w:rPr>
        <w:t xml:space="preserve"> </w:t>
      </w:r>
      <w:r>
        <w:rPr>
          <w:rFonts w:ascii="Times New Roman" w:hAnsi="Times New Roman"/>
          <w:lang w:val="lt-LT"/>
        </w:rPr>
        <w:t>Trombopriv</w:t>
      </w:r>
      <w:r w:rsidRPr="00FC45DB">
        <w:rPr>
          <w:rFonts w:ascii="Times New Roman" w:hAnsi="Times New Roman"/>
          <w:lang w:val="lt-LT"/>
        </w:rPr>
        <w:t xml:space="preserve"> </w:t>
      </w:r>
      <w:r>
        <w:rPr>
          <w:rFonts w:ascii="Times New Roman" w:hAnsi="Times New Roman"/>
          <w:lang w:val="lt-LT"/>
        </w:rPr>
        <w:t>0,4 mikrogramo</w:t>
      </w:r>
      <w:r w:rsidRPr="003A1A99">
        <w:rPr>
          <w:rFonts w:ascii="Times New Roman" w:hAnsi="Times New Roman"/>
          <w:lang w:val="lt-LT"/>
        </w:rPr>
        <w:t>/kg</w:t>
      </w:r>
      <w:r>
        <w:rPr>
          <w:rFonts w:ascii="Times New Roman" w:hAnsi="Times New Roman"/>
          <w:lang w:val="lt-LT"/>
        </w:rPr>
        <w:t xml:space="preserve"> kūno svorio</w:t>
      </w:r>
      <w:r w:rsidRPr="003A1A99">
        <w:rPr>
          <w:rFonts w:ascii="Times New Roman" w:hAnsi="Times New Roman"/>
          <w:lang w:val="lt-LT"/>
        </w:rPr>
        <w:t>/min</w:t>
      </w:r>
      <w:r>
        <w:rPr>
          <w:rFonts w:ascii="Times New Roman" w:hAnsi="Times New Roman"/>
          <w:lang w:val="lt-LT"/>
        </w:rPr>
        <w:t>. įsotinamąją dozę reikia skirti nustačius diagnozę</w:t>
      </w:r>
      <w:r w:rsidRPr="003A1A99">
        <w:rPr>
          <w:rFonts w:ascii="Times New Roman" w:hAnsi="Times New Roman"/>
          <w:lang w:val="lt-LT"/>
        </w:rPr>
        <w:t xml:space="preserve">. </w:t>
      </w:r>
      <w:r>
        <w:rPr>
          <w:rFonts w:ascii="Times New Roman" w:hAnsi="Times New Roman"/>
          <w:lang w:val="lt-LT"/>
        </w:rPr>
        <w:t xml:space="preserve">Rekomenduojama gydymo trukmė yra mažiausiai </w:t>
      </w:r>
      <w:r w:rsidRPr="003A1A99">
        <w:rPr>
          <w:rFonts w:ascii="Times New Roman" w:hAnsi="Times New Roman"/>
          <w:lang w:val="lt-LT"/>
        </w:rPr>
        <w:t xml:space="preserve">48 </w:t>
      </w:r>
      <w:r>
        <w:rPr>
          <w:rFonts w:ascii="Times New Roman" w:hAnsi="Times New Roman"/>
          <w:lang w:val="lt-LT"/>
        </w:rPr>
        <w:t>val</w:t>
      </w:r>
      <w:r w:rsidRPr="003A1A99">
        <w:rPr>
          <w:rFonts w:ascii="Times New Roman" w:hAnsi="Times New Roman"/>
          <w:lang w:val="lt-LT"/>
        </w:rPr>
        <w:t xml:space="preserve">. </w:t>
      </w:r>
      <w:r>
        <w:rPr>
          <w:rFonts w:ascii="Times New Roman" w:hAnsi="Times New Roman"/>
          <w:lang w:val="lt-LT"/>
        </w:rPr>
        <w:t>Trombopriv</w:t>
      </w:r>
      <w:r w:rsidRPr="00FC45DB">
        <w:rPr>
          <w:rFonts w:ascii="Times New Roman" w:hAnsi="Times New Roman"/>
          <w:lang w:val="lt-LT"/>
        </w:rPr>
        <w:t xml:space="preserve"> </w:t>
      </w:r>
      <w:r>
        <w:rPr>
          <w:rFonts w:ascii="Times New Roman" w:hAnsi="Times New Roman"/>
          <w:lang w:val="lt-LT"/>
        </w:rPr>
        <w:t xml:space="preserve">ir nefrakcionuoto heparino infuziją galima tęsti vainikinių arterijų angiografijos metu, ji turi trukti mažiausiai 12 val. ir ne daugiau kaip </w:t>
      </w:r>
      <w:r w:rsidRPr="003A1A99">
        <w:rPr>
          <w:rFonts w:ascii="Times New Roman" w:hAnsi="Times New Roman"/>
          <w:lang w:val="lt-LT"/>
        </w:rPr>
        <w:t>24</w:t>
      </w:r>
      <w:r>
        <w:rPr>
          <w:rFonts w:ascii="Times New Roman" w:hAnsi="Times New Roman"/>
          <w:lang w:val="lt-LT"/>
        </w:rPr>
        <w:t> val. po angioplastikos ar aterektomijos</w:t>
      </w:r>
      <w:r w:rsidRPr="003A1A99">
        <w:rPr>
          <w:rFonts w:ascii="Times New Roman" w:hAnsi="Times New Roman"/>
          <w:lang w:val="lt-LT"/>
        </w:rPr>
        <w:t xml:space="preserve">. </w:t>
      </w:r>
      <w:r>
        <w:rPr>
          <w:rFonts w:ascii="Times New Roman" w:hAnsi="Times New Roman"/>
          <w:lang w:val="lt-LT"/>
        </w:rPr>
        <w:t>Jei paciento klinikinė būklė yra stabili ir gydantis gydytojas neplanuoja intervencinės vainikinių arterijų procedūros, infuziją reikia nutraukti</w:t>
      </w:r>
      <w:r w:rsidRPr="003A1A99">
        <w:rPr>
          <w:rFonts w:ascii="Times New Roman" w:hAnsi="Times New Roman"/>
          <w:lang w:val="lt-LT"/>
        </w:rPr>
        <w:t xml:space="preserve">. </w:t>
      </w:r>
      <w:r>
        <w:rPr>
          <w:rFonts w:ascii="Times New Roman" w:hAnsi="Times New Roman"/>
          <w:lang w:val="lt-LT"/>
        </w:rPr>
        <w:t>Bendroji gydymo trukmė neturi būti didesnė kaip</w:t>
      </w:r>
      <w:r w:rsidRPr="003A1A99">
        <w:rPr>
          <w:rFonts w:ascii="Times New Roman" w:hAnsi="Times New Roman"/>
          <w:lang w:val="lt-LT"/>
        </w:rPr>
        <w:t xml:space="preserve"> </w:t>
      </w:r>
      <w:r>
        <w:rPr>
          <w:rFonts w:ascii="Times New Roman" w:hAnsi="Times New Roman"/>
          <w:lang w:val="lt-LT"/>
        </w:rPr>
        <w:t>108 val.</w:t>
      </w:r>
    </w:p>
    <w:p w:rsidR="00B42325" w:rsidRPr="003A1A99" w:rsidRDefault="00B42325" w:rsidP="003A1A99">
      <w:pPr>
        <w:spacing w:after="0" w:line="240" w:lineRule="auto"/>
        <w:rPr>
          <w:rFonts w:ascii="Times New Roman" w:hAnsi="Times New Roman"/>
          <w:lang w:val="lt-LT"/>
        </w:rPr>
      </w:pPr>
    </w:p>
    <w:p w:rsidR="00B42325" w:rsidRPr="003A1A99" w:rsidRDefault="00B42325" w:rsidP="003A1A99">
      <w:pPr>
        <w:spacing w:after="0" w:line="240" w:lineRule="auto"/>
        <w:rPr>
          <w:rFonts w:ascii="Times New Roman" w:hAnsi="Times New Roman"/>
          <w:lang w:val="lt-LT"/>
        </w:rPr>
      </w:pPr>
      <w:r>
        <w:rPr>
          <w:rFonts w:ascii="Times New Roman" w:hAnsi="Times New Roman"/>
          <w:lang w:val="lt-LT"/>
        </w:rPr>
        <w:lastRenderedPageBreak/>
        <w:t>Jei pacientui diagnozuojamas</w:t>
      </w:r>
      <w:r w:rsidRPr="003A1A99">
        <w:rPr>
          <w:rFonts w:ascii="Times New Roman" w:hAnsi="Times New Roman"/>
          <w:lang w:val="lt-LT"/>
        </w:rPr>
        <w:t xml:space="preserve"> NSTE-ACS</w:t>
      </w:r>
      <w:r>
        <w:rPr>
          <w:rFonts w:ascii="Times New Roman" w:hAnsi="Times New Roman"/>
          <w:lang w:val="lt-LT"/>
        </w:rPr>
        <w:t>, taikoma invazinio gydymo schema ir 4 valandų laikotarpiu nuo diagnozės nustatymo atliekama angiografija, PCI pradžioje reikia sušvirkšti smūginę Trombopriv</w:t>
      </w:r>
      <w:r w:rsidRPr="00FC45DB">
        <w:rPr>
          <w:rFonts w:ascii="Times New Roman" w:hAnsi="Times New Roman"/>
          <w:lang w:val="lt-LT"/>
        </w:rPr>
        <w:t xml:space="preserve"> </w:t>
      </w:r>
      <w:r w:rsidRPr="003A1A99">
        <w:rPr>
          <w:rFonts w:ascii="Times New Roman" w:hAnsi="Times New Roman"/>
          <w:lang w:val="lt-LT"/>
        </w:rPr>
        <w:t xml:space="preserve">25 </w:t>
      </w:r>
      <w:r>
        <w:rPr>
          <w:rFonts w:ascii="Times New Roman" w:hAnsi="Times New Roman"/>
          <w:lang w:val="lt-LT"/>
        </w:rPr>
        <w:t>mikrogramų</w:t>
      </w:r>
      <w:r w:rsidRPr="003A1A99">
        <w:rPr>
          <w:rFonts w:ascii="Times New Roman" w:hAnsi="Times New Roman"/>
          <w:lang w:val="lt-LT"/>
        </w:rPr>
        <w:t xml:space="preserve">/kg </w:t>
      </w:r>
      <w:r>
        <w:rPr>
          <w:rFonts w:ascii="Times New Roman" w:hAnsi="Times New Roman"/>
          <w:lang w:val="lt-LT"/>
        </w:rPr>
        <w:t>kūno svorio dozę ir po to infuziją tęsti</w:t>
      </w:r>
      <w:r w:rsidRPr="00670316">
        <w:rPr>
          <w:rFonts w:ascii="Times New Roman" w:hAnsi="Times New Roman"/>
          <w:lang w:val="lt-LT"/>
        </w:rPr>
        <w:t xml:space="preserve"> </w:t>
      </w:r>
      <w:r>
        <w:rPr>
          <w:rFonts w:ascii="Times New Roman" w:hAnsi="Times New Roman"/>
          <w:lang w:val="lt-LT"/>
        </w:rPr>
        <w:t>18</w:t>
      </w:r>
      <w:r>
        <w:rPr>
          <w:rFonts w:ascii="Times New Roman" w:hAnsi="Times New Roman"/>
          <w:lang w:val="lt-LT"/>
        </w:rPr>
        <w:noBreakHyphen/>
        <w:t>24 val. (iki 48 val.).</w:t>
      </w:r>
    </w:p>
    <w:p w:rsidR="00B42325" w:rsidRDefault="00B42325" w:rsidP="003A1A99">
      <w:pPr>
        <w:spacing w:after="0" w:line="240" w:lineRule="auto"/>
        <w:rPr>
          <w:rFonts w:ascii="Times New Roman" w:hAnsi="Times New Roman"/>
          <w:lang w:val="lt-LT"/>
        </w:rPr>
      </w:pPr>
    </w:p>
    <w:p w:rsidR="00B42325" w:rsidRPr="00A20B36" w:rsidRDefault="00B42325" w:rsidP="00A20B36">
      <w:pPr>
        <w:spacing w:after="0" w:line="240" w:lineRule="auto"/>
        <w:rPr>
          <w:rFonts w:ascii="Times New Roman" w:hAnsi="Times New Roman"/>
          <w:i/>
          <w:lang w:val="lt-LT"/>
        </w:rPr>
      </w:pPr>
      <w:r w:rsidRPr="00A20B36">
        <w:rPr>
          <w:rFonts w:ascii="Times New Roman" w:hAnsi="Times New Roman"/>
          <w:i/>
          <w:lang w:val="lt-LT"/>
        </w:rPr>
        <w:t xml:space="preserve">Kitas kartu skiriamas gydymas (nefrakcionuotas heparinas, geriamieji trombocitų agregaciją slopinantys preparatai) </w:t>
      </w:r>
    </w:p>
    <w:p w:rsidR="00B42325" w:rsidRDefault="00B42325" w:rsidP="003A1A99">
      <w:pPr>
        <w:spacing w:after="0" w:line="240" w:lineRule="auto"/>
        <w:rPr>
          <w:rFonts w:ascii="Times New Roman" w:hAnsi="Times New Roman"/>
          <w:lang w:val="lt-LT"/>
        </w:rPr>
      </w:pPr>
      <w:r>
        <w:rPr>
          <w:rFonts w:ascii="Times New Roman" w:hAnsi="Times New Roman"/>
          <w:lang w:val="lt-LT"/>
        </w:rPr>
        <w:t xml:space="preserve">Gydymas nefrakcionuotu heparinu pradedamas į veną suleidžiant 5 </w:t>
      </w:r>
      <w:r w:rsidRPr="001A0D64">
        <w:rPr>
          <w:rFonts w:ascii="Times New Roman" w:hAnsi="Times New Roman"/>
          <w:lang w:val="lt-LT"/>
        </w:rPr>
        <w:t>000</w:t>
      </w:r>
      <w:r>
        <w:rPr>
          <w:rFonts w:ascii="Times New Roman" w:hAnsi="Times New Roman"/>
          <w:lang w:val="lt-LT"/>
        </w:rPr>
        <w:t> V</w:t>
      </w:r>
      <w:r w:rsidRPr="001A0D64">
        <w:rPr>
          <w:rFonts w:ascii="Times New Roman" w:hAnsi="Times New Roman"/>
          <w:lang w:val="lt-LT"/>
        </w:rPr>
        <w:t xml:space="preserve"> </w:t>
      </w:r>
      <w:r>
        <w:rPr>
          <w:rFonts w:ascii="Times New Roman" w:hAnsi="Times New Roman"/>
          <w:lang w:val="lt-LT"/>
        </w:rPr>
        <w:t xml:space="preserve">smūginę dozę, po to infuzuojama palaikomoji </w:t>
      </w:r>
      <w:r w:rsidRPr="001A0D64">
        <w:rPr>
          <w:rFonts w:ascii="Times New Roman" w:hAnsi="Times New Roman"/>
          <w:lang w:val="lt-LT"/>
        </w:rPr>
        <w:t>1</w:t>
      </w:r>
      <w:r>
        <w:rPr>
          <w:rFonts w:ascii="Times New Roman" w:hAnsi="Times New Roman"/>
          <w:lang w:val="lt-LT"/>
        </w:rPr>
        <w:t> </w:t>
      </w:r>
      <w:r w:rsidRPr="001A0D64">
        <w:rPr>
          <w:rFonts w:ascii="Times New Roman" w:hAnsi="Times New Roman"/>
          <w:lang w:val="lt-LT"/>
        </w:rPr>
        <w:t xml:space="preserve">000 </w:t>
      </w:r>
      <w:r>
        <w:rPr>
          <w:rFonts w:ascii="Times New Roman" w:hAnsi="Times New Roman"/>
          <w:lang w:val="lt-LT"/>
        </w:rPr>
        <w:t xml:space="preserve">V/val. dozė. Heparino dozė koreguojama pagal </w:t>
      </w:r>
      <w:r w:rsidRPr="008C23C9">
        <w:rPr>
          <w:rFonts w:ascii="Times New Roman" w:hAnsi="Times New Roman"/>
          <w:lang w:val="lt-LT"/>
        </w:rPr>
        <w:t>APTT</w:t>
      </w:r>
      <w:r>
        <w:rPr>
          <w:rFonts w:ascii="Times New Roman" w:hAnsi="Times New Roman"/>
          <w:lang w:val="lt-LT"/>
        </w:rPr>
        <w:t xml:space="preserve"> rodmenį, kuris normalų rodmenį turi viršyti du kartus.</w:t>
      </w:r>
    </w:p>
    <w:p w:rsidR="00B42325" w:rsidRDefault="00B42325" w:rsidP="003A1A99">
      <w:pPr>
        <w:spacing w:after="0" w:line="240" w:lineRule="auto"/>
        <w:rPr>
          <w:rFonts w:ascii="Times New Roman" w:hAnsi="Times New Roman"/>
          <w:lang w:val="lt-LT"/>
        </w:rPr>
      </w:pPr>
      <w:r>
        <w:rPr>
          <w:rFonts w:ascii="Times New Roman" w:hAnsi="Times New Roman"/>
          <w:lang w:val="lt-LT"/>
        </w:rPr>
        <w:t>Jei nėra kontraindikacijų, visiems pacientams prieš gydymą Trombopriv reikia skirti gydymą geriamaisiais trombocitų agregaciją slopinančiais preparatais, įskaitant ASA, tačiau ja neapsiribojant (žr. 5.1 skyrių). Šių preparatų reikia vartoti ne trumpiau kaip Trombopriv infuzijos metu.</w:t>
      </w:r>
    </w:p>
    <w:p w:rsidR="00B42325" w:rsidRDefault="00B42325" w:rsidP="003A1A99">
      <w:pPr>
        <w:spacing w:after="0" w:line="240" w:lineRule="auto"/>
        <w:rPr>
          <w:rFonts w:ascii="Times New Roman" w:hAnsi="Times New Roman"/>
          <w:lang w:val="lt-LT"/>
        </w:rPr>
      </w:pPr>
    </w:p>
    <w:p w:rsidR="00B42325" w:rsidRDefault="00B42325" w:rsidP="003A1A99">
      <w:pPr>
        <w:spacing w:after="0" w:line="240" w:lineRule="auto"/>
        <w:rPr>
          <w:rFonts w:ascii="Times New Roman" w:hAnsi="Times New Roman"/>
          <w:lang w:val="lt-LT"/>
        </w:rPr>
      </w:pPr>
      <w:r>
        <w:rPr>
          <w:rFonts w:ascii="Times New Roman" w:hAnsi="Times New Roman"/>
          <w:lang w:val="lt-LT"/>
        </w:rPr>
        <w:t>Jei reikia atlikti angioplastiką</w:t>
      </w:r>
      <w:r w:rsidRPr="003A1A99">
        <w:rPr>
          <w:rFonts w:ascii="Times New Roman" w:hAnsi="Times New Roman"/>
          <w:lang w:val="lt-LT"/>
        </w:rPr>
        <w:t xml:space="preserve"> (PTCA), </w:t>
      </w:r>
      <w:r>
        <w:rPr>
          <w:rFonts w:ascii="Times New Roman" w:hAnsi="Times New Roman"/>
          <w:lang w:val="lt-LT"/>
        </w:rPr>
        <w:t>po jos heparino vartojimą reikia nutraukti</w:t>
      </w:r>
      <w:r w:rsidRPr="003A1A99">
        <w:rPr>
          <w:rFonts w:ascii="Times New Roman" w:hAnsi="Times New Roman"/>
          <w:lang w:val="lt-LT"/>
        </w:rPr>
        <w:t xml:space="preserve">, </w:t>
      </w:r>
      <w:r>
        <w:rPr>
          <w:rFonts w:ascii="Times New Roman" w:hAnsi="Times New Roman"/>
          <w:lang w:val="lt-LT"/>
        </w:rPr>
        <w:t>o kateterio mova ištraukiama tada, kai koaguliacijos rodmenys tampa normalūs, t. y. aktyvintas krešėjimo laikas (</w:t>
      </w:r>
      <w:r w:rsidRPr="00BF2FB2">
        <w:rPr>
          <w:rFonts w:ascii="Times New Roman" w:hAnsi="Times New Roman"/>
          <w:lang w:val="lt-LT"/>
        </w:rPr>
        <w:t xml:space="preserve">ang. </w:t>
      </w:r>
      <w:r w:rsidRPr="00A70DED">
        <w:rPr>
          <w:rFonts w:ascii="Times New Roman" w:hAnsi="Times New Roman"/>
          <w:i/>
          <w:lang w:val="lt-LT"/>
        </w:rPr>
        <w:t>Activated clotting time</w:t>
      </w:r>
      <w:r w:rsidRPr="00BF2FB2">
        <w:rPr>
          <w:rFonts w:ascii="Times New Roman" w:hAnsi="Times New Roman"/>
          <w:lang w:val="lt-LT"/>
        </w:rPr>
        <w:t>,</w:t>
      </w:r>
      <w:r>
        <w:rPr>
          <w:rFonts w:ascii="Times New Roman" w:hAnsi="Times New Roman"/>
          <w:lang w:val="lt-LT"/>
        </w:rPr>
        <w:t xml:space="preserve"> </w:t>
      </w:r>
      <w:r w:rsidRPr="00BF2FB2">
        <w:rPr>
          <w:rFonts w:ascii="Times New Roman" w:hAnsi="Times New Roman"/>
          <w:lang w:val="lt-LT"/>
        </w:rPr>
        <w:t>ACT</w:t>
      </w:r>
      <w:r>
        <w:rPr>
          <w:rFonts w:ascii="Times New Roman" w:hAnsi="Times New Roman"/>
          <w:lang w:val="lt-LT"/>
        </w:rPr>
        <w:t>) tampa mažesnis kaip 180 sekundžių (paprastai po heparino vartojimo nutraukimo praėjus 2</w:t>
      </w:r>
      <w:r>
        <w:rPr>
          <w:rFonts w:ascii="Times New Roman" w:hAnsi="Times New Roman"/>
          <w:lang w:val="lt-LT"/>
        </w:rPr>
        <w:noBreakHyphen/>
        <w:t>6 valandoms).</w:t>
      </w:r>
    </w:p>
    <w:p w:rsidR="00B42325" w:rsidRDefault="00B42325" w:rsidP="003A1A99">
      <w:pPr>
        <w:spacing w:after="0" w:line="240" w:lineRule="auto"/>
        <w:rPr>
          <w:rFonts w:ascii="Times New Roman" w:hAnsi="Times New Roman"/>
          <w:lang w:val="lt-LT"/>
        </w:rPr>
      </w:pPr>
    </w:p>
    <w:p w:rsidR="00B42325" w:rsidRDefault="00B42325" w:rsidP="003B0EB2">
      <w:pPr>
        <w:spacing w:after="0" w:line="240" w:lineRule="auto"/>
        <w:rPr>
          <w:rFonts w:ascii="Times New Roman" w:hAnsi="Times New Roman"/>
          <w:u w:val="single"/>
          <w:lang w:val="lt-LT"/>
        </w:rPr>
      </w:pPr>
      <w:r w:rsidRPr="008D4C02">
        <w:rPr>
          <w:rFonts w:ascii="Times New Roman" w:hAnsi="Times New Roman"/>
          <w:u w:val="single"/>
          <w:lang w:val="lt-LT"/>
        </w:rPr>
        <w:t>Vartojimo metodas</w:t>
      </w:r>
    </w:p>
    <w:p w:rsidR="00B42325" w:rsidRDefault="00B42325" w:rsidP="003B0EB2">
      <w:pPr>
        <w:spacing w:after="0" w:line="240" w:lineRule="auto"/>
        <w:rPr>
          <w:rFonts w:ascii="Times New Roman" w:hAnsi="Times New Roman"/>
          <w:u w:val="single"/>
          <w:lang w:val="lt-LT"/>
        </w:rPr>
      </w:pPr>
    </w:p>
    <w:p w:rsidR="00B42325" w:rsidRPr="00B149D0" w:rsidRDefault="00B42325" w:rsidP="008D4C02">
      <w:pPr>
        <w:spacing w:after="0" w:line="240" w:lineRule="auto"/>
        <w:rPr>
          <w:rFonts w:ascii="Times New Roman" w:hAnsi="Times New Roman"/>
          <w:b/>
          <w:i/>
          <w:lang w:val="lt-LT"/>
        </w:rPr>
      </w:pPr>
      <w:r w:rsidRPr="00B149D0">
        <w:rPr>
          <w:rFonts w:ascii="Times New Roman" w:hAnsi="Times New Roman"/>
          <w:b/>
          <w:i/>
          <w:lang w:val="lt-LT"/>
        </w:rPr>
        <w:t>Vartojimo instrukcijos</w:t>
      </w:r>
    </w:p>
    <w:p w:rsidR="00B42325" w:rsidRPr="00A75468" w:rsidRDefault="00B42325" w:rsidP="003B0EB2">
      <w:pPr>
        <w:spacing w:after="0" w:line="240" w:lineRule="auto"/>
        <w:rPr>
          <w:rFonts w:ascii="Times New Roman" w:hAnsi="Times New Roman"/>
          <w:i/>
          <w:lang w:val="lt-LT"/>
        </w:rPr>
      </w:pPr>
      <w:r w:rsidRPr="00A75468">
        <w:rPr>
          <w:rFonts w:ascii="Times New Roman" w:hAnsi="Times New Roman"/>
          <w:i/>
          <w:lang w:val="lt-LT"/>
        </w:rPr>
        <w:t xml:space="preserve">Trombopriv koncentratą prieš vartojimą reikia praskiesti. </w:t>
      </w:r>
    </w:p>
    <w:p w:rsidR="00B42325" w:rsidRPr="00B149D0" w:rsidRDefault="00B42325" w:rsidP="009A580A">
      <w:pPr>
        <w:spacing w:after="0" w:line="240" w:lineRule="auto"/>
        <w:rPr>
          <w:rFonts w:ascii="Times New Roman" w:hAnsi="Times New Roman"/>
          <w:i/>
          <w:lang w:val="lt-LT"/>
        </w:rPr>
      </w:pPr>
      <w:r w:rsidRPr="00B149D0">
        <w:rPr>
          <w:rFonts w:ascii="Times New Roman" w:hAnsi="Times New Roman"/>
          <w:i/>
          <w:lang w:val="lt-LT"/>
        </w:rPr>
        <w:t>Prieš vartojimą Trombopriv koncentratą reikia atskiesti taip, kaip nurodyta 6.6 skyriuje.</w:t>
      </w:r>
    </w:p>
    <w:p w:rsidR="00B42325" w:rsidRPr="00A75468" w:rsidRDefault="00B42325" w:rsidP="009A580A">
      <w:pPr>
        <w:spacing w:after="0" w:line="240" w:lineRule="auto"/>
        <w:rPr>
          <w:rFonts w:ascii="Times New Roman" w:hAnsi="Times New Roman"/>
          <w:lang w:val="lt-LT"/>
        </w:rPr>
      </w:pPr>
    </w:p>
    <w:p w:rsidR="00B42325" w:rsidRPr="00A75468" w:rsidRDefault="00B42325" w:rsidP="003A1A99">
      <w:pPr>
        <w:spacing w:after="0" w:line="240" w:lineRule="auto"/>
        <w:rPr>
          <w:rFonts w:ascii="Times New Roman" w:hAnsi="Times New Roman"/>
          <w:lang w:val="lt-LT"/>
        </w:rPr>
      </w:pPr>
      <w:r w:rsidRPr="00A75468">
        <w:rPr>
          <w:rFonts w:ascii="Times New Roman" w:hAnsi="Times New Roman"/>
          <w:lang w:val="lt-LT"/>
        </w:rPr>
        <w:t>Jei tirpalą ir talpyklę galima apžiūrėti, prieš vartojimą parenterinius preparatus būtina įvertinti, ar nėra matomų dalelių ar spalvos pokyčio.</w:t>
      </w:r>
    </w:p>
    <w:p w:rsidR="00B42325" w:rsidRPr="00A75468" w:rsidRDefault="00B42325" w:rsidP="003A1A99">
      <w:pPr>
        <w:spacing w:after="0" w:line="240" w:lineRule="auto"/>
        <w:rPr>
          <w:rFonts w:ascii="Times New Roman" w:hAnsi="Times New Roman"/>
          <w:lang w:val="lt-LT"/>
        </w:rPr>
      </w:pPr>
    </w:p>
    <w:p w:rsidR="00B42325" w:rsidRPr="00A75468" w:rsidRDefault="00B42325" w:rsidP="003A1A99">
      <w:pPr>
        <w:spacing w:after="0" w:line="240" w:lineRule="auto"/>
        <w:rPr>
          <w:rFonts w:ascii="Times New Roman" w:hAnsi="Times New Roman"/>
          <w:lang w:val="lt-LT"/>
        </w:rPr>
      </w:pPr>
      <w:r w:rsidRPr="00A75468">
        <w:rPr>
          <w:rFonts w:ascii="Times New Roman" w:hAnsi="Times New Roman"/>
          <w:lang w:val="lt-LT"/>
        </w:rPr>
        <w:t>Trombopriv galima vartoti tik į veną, jo galima infuzuoti kartu su nefrakcionuotu heparinu per tą patį infuzinį vamzdelį.</w:t>
      </w:r>
    </w:p>
    <w:p w:rsidR="00B42325" w:rsidRPr="00A75468" w:rsidRDefault="00B42325" w:rsidP="003A1A99">
      <w:pPr>
        <w:spacing w:after="0" w:line="240" w:lineRule="auto"/>
        <w:rPr>
          <w:rFonts w:ascii="Times New Roman" w:hAnsi="Times New Roman"/>
          <w:lang w:val="lt-LT"/>
        </w:rPr>
      </w:pPr>
    </w:p>
    <w:p w:rsidR="00B42325" w:rsidRPr="00A75468" w:rsidRDefault="00B42325" w:rsidP="003A1A99">
      <w:pPr>
        <w:spacing w:after="0" w:line="240" w:lineRule="auto"/>
        <w:rPr>
          <w:rFonts w:ascii="Times New Roman" w:hAnsi="Times New Roman"/>
          <w:lang w:val="lt-LT"/>
        </w:rPr>
      </w:pPr>
      <w:r w:rsidRPr="00A75468">
        <w:rPr>
          <w:rFonts w:ascii="Times New Roman" w:hAnsi="Times New Roman"/>
          <w:lang w:val="lt-LT"/>
        </w:rPr>
        <w:t>Trombopriv rekomenduojama vartoti naudojant kalibruotą infuzijų rinkinį ir sterilią įrangą.</w:t>
      </w:r>
    </w:p>
    <w:p w:rsidR="00B42325" w:rsidRPr="00A75468" w:rsidRDefault="00B42325" w:rsidP="003A1A99">
      <w:pPr>
        <w:spacing w:after="0" w:line="240" w:lineRule="auto"/>
        <w:rPr>
          <w:rFonts w:ascii="Times New Roman" w:hAnsi="Times New Roman"/>
          <w:lang w:val="lt-LT"/>
        </w:rPr>
      </w:pPr>
    </w:p>
    <w:p w:rsidR="00B42325" w:rsidRDefault="00B42325" w:rsidP="003A1A99">
      <w:pPr>
        <w:spacing w:after="0" w:line="240" w:lineRule="auto"/>
        <w:rPr>
          <w:rFonts w:ascii="Times New Roman" w:hAnsi="Times New Roman"/>
          <w:lang w:val="lt-LT"/>
        </w:rPr>
      </w:pPr>
      <w:r w:rsidRPr="00A75468">
        <w:rPr>
          <w:rFonts w:ascii="Times New Roman" w:hAnsi="Times New Roman"/>
          <w:lang w:val="lt-LT"/>
        </w:rPr>
        <w:t>Būtina užtikrinti, kad pradinės dozės infuzija netruktų ilgiau nei nurodyta ir kad būtų apskaičiuota teisinga palaikomoji dozė (remiantis paciento kūno svoriu).</w:t>
      </w:r>
    </w:p>
    <w:p w:rsidR="00B42325" w:rsidRPr="00F06B81" w:rsidRDefault="00B42325" w:rsidP="003E2BE3">
      <w:pPr>
        <w:pStyle w:val="BTEMEASMCA"/>
        <w:rPr>
          <w:noProof w:val="0"/>
        </w:rPr>
      </w:pPr>
    </w:p>
    <w:p w:rsidR="00B42325" w:rsidRPr="00F06B81" w:rsidRDefault="00B42325" w:rsidP="003E2BE3">
      <w:pPr>
        <w:pStyle w:val="PI-2EMEASMCA"/>
      </w:pPr>
      <w:bookmarkStart w:id="18" w:name="_Toc129243104"/>
      <w:bookmarkStart w:id="19" w:name="_Toc129243229"/>
      <w:r w:rsidRPr="00F06B81">
        <w:t>4.3</w:t>
      </w:r>
      <w:r w:rsidRPr="00F06B81">
        <w:tab/>
        <w:t>Kontraindikacijos</w:t>
      </w:r>
      <w:bookmarkEnd w:id="18"/>
      <w:bookmarkEnd w:id="19"/>
    </w:p>
    <w:p w:rsidR="00B42325" w:rsidRPr="00F06B81" w:rsidRDefault="00B42325" w:rsidP="003E2BE3">
      <w:pPr>
        <w:pStyle w:val="BTEMEASMCA"/>
        <w:rPr>
          <w:noProof w:val="0"/>
        </w:rPr>
      </w:pPr>
    </w:p>
    <w:p w:rsidR="00B42325" w:rsidRPr="007D2262" w:rsidRDefault="00B42325" w:rsidP="007D2262">
      <w:pPr>
        <w:spacing w:after="0" w:line="240" w:lineRule="auto"/>
        <w:rPr>
          <w:rFonts w:ascii="Times New Roman" w:hAnsi="Times New Roman"/>
          <w:lang w:val="lt-LT"/>
        </w:rPr>
      </w:pPr>
      <w:r>
        <w:rPr>
          <w:rFonts w:ascii="Times New Roman" w:hAnsi="Times New Roman"/>
          <w:lang w:val="lt-LT"/>
        </w:rPr>
        <w:t>Trombopriv</w:t>
      </w:r>
      <w:r w:rsidRPr="00F06B81">
        <w:rPr>
          <w:rFonts w:ascii="Times New Roman" w:hAnsi="Times New Roman"/>
          <w:lang w:val="lt-LT"/>
        </w:rPr>
        <w:t xml:space="preserve"> </w:t>
      </w:r>
      <w:r>
        <w:rPr>
          <w:rFonts w:ascii="Times New Roman" w:hAnsi="Times New Roman"/>
          <w:lang w:val="lt-LT"/>
        </w:rPr>
        <w:t>negalima vartoti, jei yra p</w:t>
      </w:r>
      <w:r w:rsidRPr="007D2262">
        <w:rPr>
          <w:rFonts w:ascii="Times New Roman" w:hAnsi="Times New Roman"/>
          <w:lang w:val="lt-LT"/>
        </w:rPr>
        <w:t>adidėjęs jautr</w:t>
      </w:r>
      <w:r>
        <w:rPr>
          <w:rFonts w:ascii="Times New Roman" w:hAnsi="Times New Roman"/>
          <w:lang w:val="lt-LT"/>
        </w:rPr>
        <w:t>umas veikliajai arba bet kuriai</w:t>
      </w:r>
      <w:r w:rsidRPr="007D2262">
        <w:rPr>
          <w:rFonts w:ascii="Times New Roman" w:hAnsi="Times New Roman"/>
          <w:lang w:val="lt-LT"/>
        </w:rPr>
        <w:t xml:space="preserve"> pagalbinei medžiagai</w:t>
      </w:r>
      <w:r>
        <w:rPr>
          <w:rFonts w:ascii="Times New Roman" w:hAnsi="Times New Roman"/>
          <w:lang w:val="lt-LT"/>
        </w:rPr>
        <w:t xml:space="preserve"> (žr. 6.1 skyrių)</w:t>
      </w:r>
      <w:r w:rsidRPr="00F06B81">
        <w:rPr>
          <w:rFonts w:ascii="Times New Roman" w:hAnsi="Times New Roman"/>
          <w:lang w:val="lt-LT"/>
        </w:rPr>
        <w:t xml:space="preserve"> </w:t>
      </w:r>
      <w:r>
        <w:rPr>
          <w:rFonts w:ascii="Times New Roman" w:hAnsi="Times New Roman"/>
          <w:lang w:val="lt-LT"/>
        </w:rPr>
        <w:t xml:space="preserve">arba jei po </w:t>
      </w:r>
      <w:r w:rsidRPr="007D2262">
        <w:rPr>
          <w:rFonts w:ascii="Times New Roman" w:hAnsi="Times New Roman"/>
          <w:lang w:val="lt-LT"/>
        </w:rPr>
        <w:t>GP IIb/IIIa receptor</w:t>
      </w:r>
      <w:r>
        <w:rPr>
          <w:rFonts w:ascii="Times New Roman" w:hAnsi="Times New Roman"/>
          <w:lang w:val="lt-LT"/>
        </w:rPr>
        <w:t>ių</w:t>
      </w:r>
      <w:r w:rsidRPr="007D2262">
        <w:rPr>
          <w:rFonts w:ascii="Times New Roman" w:hAnsi="Times New Roman"/>
          <w:lang w:val="lt-LT"/>
        </w:rPr>
        <w:t xml:space="preserve"> antagonist</w:t>
      </w:r>
      <w:r>
        <w:rPr>
          <w:rFonts w:ascii="Times New Roman" w:hAnsi="Times New Roman"/>
          <w:lang w:val="lt-LT"/>
        </w:rPr>
        <w:t>ų vartojimo buvo atsiradusi trombocitopenija</w:t>
      </w:r>
      <w:r w:rsidRPr="007D2262">
        <w:rPr>
          <w:rFonts w:ascii="Times New Roman" w:hAnsi="Times New Roman"/>
          <w:lang w:val="lt-LT"/>
        </w:rPr>
        <w:t xml:space="preserve">. </w:t>
      </w:r>
    </w:p>
    <w:p w:rsidR="00B42325" w:rsidRDefault="00B42325" w:rsidP="007D2262">
      <w:pPr>
        <w:spacing w:after="0" w:line="240" w:lineRule="auto"/>
        <w:rPr>
          <w:rFonts w:ascii="Times New Roman" w:hAnsi="Times New Roman"/>
          <w:lang w:val="lt-LT"/>
        </w:rPr>
      </w:pPr>
    </w:p>
    <w:p w:rsidR="00B42325" w:rsidRDefault="00B42325" w:rsidP="007D2262">
      <w:pPr>
        <w:spacing w:after="0" w:line="240" w:lineRule="auto"/>
        <w:rPr>
          <w:rFonts w:ascii="Times New Roman" w:hAnsi="Times New Roman"/>
          <w:lang w:val="lt-LT"/>
        </w:rPr>
      </w:pPr>
      <w:r>
        <w:rPr>
          <w:rFonts w:ascii="Times New Roman" w:hAnsi="Times New Roman"/>
          <w:lang w:val="lt-LT"/>
        </w:rPr>
        <w:t>Kadangi trombocitų agregacijos slopinimas didina kraujavimo riziką, Trombopriv</w:t>
      </w:r>
      <w:r w:rsidRPr="00F06B81">
        <w:rPr>
          <w:rFonts w:ascii="Times New Roman" w:hAnsi="Times New Roman"/>
          <w:lang w:val="lt-LT"/>
        </w:rPr>
        <w:t xml:space="preserve"> </w:t>
      </w:r>
      <w:r>
        <w:rPr>
          <w:rFonts w:ascii="Times New Roman" w:hAnsi="Times New Roman"/>
          <w:lang w:val="lt-LT"/>
        </w:rPr>
        <w:t>draudžiama vartoti pacientams, kuriems:</w:t>
      </w:r>
    </w:p>
    <w:p w:rsidR="00B42325" w:rsidRDefault="00B42325" w:rsidP="00C338C2">
      <w:pPr>
        <w:pStyle w:val="Sraopastraipa1"/>
        <w:numPr>
          <w:ilvl w:val="0"/>
          <w:numId w:val="10"/>
        </w:numPr>
        <w:spacing w:after="0" w:line="240" w:lineRule="auto"/>
        <w:ind w:left="567" w:hanging="567"/>
        <w:rPr>
          <w:rFonts w:ascii="Times New Roman" w:hAnsi="Times New Roman"/>
          <w:lang w:val="lt-LT"/>
        </w:rPr>
      </w:pPr>
      <w:r w:rsidRPr="00C338C2">
        <w:rPr>
          <w:rFonts w:ascii="Times New Roman" w:hAnsi="Times New Roman"/>
          <w:lang w:val="lt-LT"/>
        </w:rPr>
        <w:t xml:space="preserve">30 </w:t>
      </w:r>
      <w:r>
        <w:rPr>
          <w:rFonts w:ascii="Times New Roman" w:hAnsi="Times New Roman"/>
          <w:lang w:val="lt-LT"/>
        </w:rPr>
        <w:t>dienų laikotarpiu buvo įvykęs insultas arba kada nors buvo ištikęs hemoraginis insultas;</w:t>
      </w:r>
    </w:p>
    <w:p w:rsidR="00B42325" w:rsidRPr="00C338C2"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intrakranialinė liga</w:t>
      </w:r>
      <w:r w:rsidRPr="00C338C2">
        <w:rPr>
          <w:rFonts w:ascii="Times New Roman" w:hAnsi="Times New Roman"/>
          <w:lang w:val="lt-LT"/>
        </w:rPr>
        <w:t xml:space="preserve"> (</w:t>
      </w:r>
      <w:r>
        <w:rPr>
          <w:rFonts w:ascii="Times New Roman" w:hAnsi="Times New Roman"/>
          <w:lang w:val="lt-LT"/>
        </w:rPr>
        <w:t>pvz.,</w:t>
      </w:r>
      <w:r w:rsidRPr="00C338C2">
        <w:rPr>
          <w:rFonts w:ascii="Times New Roman" w:hAnsi="Times New Roman"/>
          <w:lang w:val="lt-LT"/>
        </w:rPr>
        <w:t xml:space="preserve"> </w:t>
      </w:r>
      <w:r>
        <w:rPr>
          <w:rFonts w:ascii="Times New Roman" w:hAnsi="Times New Roman"/>
          <w:lang w:val="lt-LT"/>
        </w:rPr>
        <w:t>navikas</w:t>
      </w:r>
      <w:r w:rsidRPr="00C338C2">
        <w:rPr>
          <w:rFonts w:ascii="Times New Roman" w:hAnsi="Times New Roman"/>
          <w:lang w:val="lt-LT"/>
        </w:rPr>
        <w:t>, arterioven</w:t>
      </w:r>
      <w:r>
        <w:rPr>
          <w:rFonts w:ascii="Times New Roman" w:hAnsi="Times New Roman"/>
          <w:lang w:val="lt-LT"/>
        </w:rPr>
        <w:t>inė malformacija, aneurizma);</w:t>
      </w:r>
      <w:r w:rsidRPr="00C338C2">
        <w:rPr>
          <w:rFonts w:ascii="Times New Roman" w:hAnsi="Times New Roman"/>
          <w:lang w:val="lt-LT"/>
        </w:rPr>
        <w:t xml:space="preserve"> </w:t>
      </w:r>
    </w:p>
    <w:p w:rsidR="00B42325"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 xml:space="preserve">yra ar neseniai (30 dienų laikotarpiu iki gydymo) buvo kliniškai reikšmingas kraujavimas </w:t>
      </w:r>
      <w:r w:rsidRPr="00C338C2">
        <w:rPr>
          <w:rFonts w:ascii="Times New Roman" w:hAnsi="Times New Roman"/>
          <w:lang w:val="lt-LT"/>
        </w:rPr>
        <w:t>(</w:t>
      </w:r>
      <w:r>
        <w:rPr>
          <w:rFonts w:ascii="Times New Roman" w:hAnsi="Times New Roman"/>
          <w:lang w:val="lt-LT"/>
        </w:rPr>
        <w:t>pvz., kraujavimas iš virškinimo trakto);</w:t>
      </w:r>
    </w:p>
    <w:p w:rsidR="00B42325"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piktybinė hipertenzija;</w:t>
      </w:r>
    </w:p>
    <w:p w:rsidR="00B42325" w:rsidRPr="00C338C2"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patyrė sunkią traumą ar buvo atlikta didelė chirurginė operacija paskutinių 6 savaičių laikotarpiu;</w:t>
      </w:r>
    </w:p>
    <w:p w:rsidR="00B42325" w:rsidRPr="007D2262"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 xml:space="preserve">yra trombocitopenija </w:t>
      </w:r>
      <w:r w:rsidRPr="007D2262">
        <w:rPr>
          <w:rFonts w:ascii="Times New Roman" w:hAnsi="Times New Roman"/>
          <w:lang w:val="lt-LT"/>
        </w:rPr>
        <w:t>(</w:t>
      </w:r>
      <w:r>
        <w:rPr>
          <w:rFonts w:ascii="Times New Roman" w:hAnsi="Times New Roman"/>
          <w:lang w:val="lt-LT"/>
        </w:rPr>
        <w:t>trombocitų kiekis</w:t>
      </w:r>
      <w:r w:rsidRPr="007D2262">
        <w:rPr>
          <w:rFonts w:ascii="Times New Roman" w:hAnsi="Times New Roman"/>
          <w:lang w:val="lt-LT"/>
        </w:rPr>
        <w:t xml:space="preserve"> &lt;100</w:t>
      </w:r>
      <w:r>
        <w:rPr>
          <w:rFonts w:ascii="Times New Roman" w:hAnsi="Times New Roman"/>
          <w:lang w:val="lt-LT"/>
        </w:rPr>
        <w:t> </w:t>
      </w:r>
      <w:r w:rsidRPr="007D2262">
        <w:rPr>
          <w:rFonts w:ascii="Times New Roman" w:hAnsi="Times New Roman"/>
          <w:lang w:val="lt-LT"/>
        </w:rPr>
        <w:t>000/mm</w:t>
      </w:r>
      <w:r w:rsidRPr="00A718DF">
        <w:rPr>
          <w:rFonts w:ascii="Times New Roman" w:hAnsi="Times New Roman"/>
          <w:vertAlign w:val="superscript"/>
          <w:lang w:val="lt-LT"/>
        </w:rPr>
        <w:t>3</w:t>
      </w:r>
      <w:r>
        <w:rPr>
          <w:rFonts w:ascii="Times New Roman" w:hAnsi="Times New Roman"/>
          <w:lang w:val="lt-LT"/>
        </w:rPr>
        <w:t>) arba trombocitų funkcijos sutrikimas;</w:t>
      </w:r>
    </w:p>
    <w:p w:rsidR="00B42325" w:rsidRPr="007D2262"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krešėjimo sutrikimas</w:t>
      </w:r>
      <w:r w:rsidRPr="007D2262">
        <w:rPr>
          <w:rFonts w:ascii="Times New Roman" w:hAnsi="Times New Roman"/>
          <w:lang w:val="lt-LT"/>
        </w:rPr>
        <w:t xml:space="preserve"> (</w:t>
      </w:r>
      <w:r>
        <w:rPr>
          <w:rFonts w:ascii="Times New Roman" w:hAnsi="Times New Roman"/>
          <w:lang w:val="lt-LT"/>
        </w:rPr>
        <w:t>pvz</w:t>
      </w:r>
      <w:r w:rsidRPr="007D2262">
        <w:rPr>
          <w:rFonts w:ascii="Times New Roman" w:hAnsi="Times New Roman"/>
          <w:lang w:val="lt-LT"/>
        </w:rPr>
        <w:t>.</w:t>
      </w:r>
      <w:r>
        <w:rPr>
          <w:rFonts w:ascii="Times New Roman" w:hAnsi="Times New Roman"/>
          <w:lang w:val="lt-LT"/>
        </w:rPr>
        <w:t>, prot</w:t>
      </w:r>
      <w:r w:rsidRPr="007D2262">
        <w:rPr>
          <w:rFonts w:ascii="Times New Roman" w:hAnsi="Times New Roman"/>
          <w:lang w:val="lt-LT"/>
        </w:rPr>
        <w:t>rombin</w:t>
      </w:r>
      <w:r>
        <w:rPr>
          <w:rFonts w:ascii="Times New Roman" w:hAnsi="Times New Roman"/>
          <w:lang w:val="lt-LT"/>
        </w:rPr>
        <w:t>o laikas</w:t>
      </w:r>
      <w:r w:rsidRPr="007D2262">
        <w:rPr>
          <w:rFonts w:ascii="Times New Roman" w:hAnsi="Times New Roman"/>
          <w:lang w:val="lt-LT"/>
        </w:rPr>
        <w:t xml:space="preserve"> </w:t>
      </w:r>
      <w:r>
        <w:rPr>
          <w:rFonts w:ascii="Times New Roman" w:hAnsi="Times New Roman"/>
          <w:lang w:val="lt-LT"/>
        </w:rPr>
        <w:t xml:space="preserve">daugiau kaip </w:t>
      </w:r>
      <w:r w:rsidRPr="007D2262">
        <w:rPr>
          <w:rFonts w:ascii="Times New Roman" w:hAnsi="Times New Roman"/>
          <w:lang w:val="lt-LT"/>
        </w:rPr>
        <w:t>1</w:t>
      </w:r>
      <w:r>
        <w:rPr>
          <w:rFonts w:ascii="Times New Roman" w:hAnsi="Times New Roman"/>
          <w:lang w:val="lt-LT"/>
        </w:rPr>
        <w:t>,</w:t>
      </w:r>
      <w:r w:rsidRPr="007D2262">
        <w:rPr>
          <w:rFonts w:ascii="Times New Roman" w:hAnsi="Times New Roman"/>
          <w:lang w:val="lt-LT"/>
        </w:rPr>
        <w:t xml:space="preserve">3 </w:t>
      </w:r>
      <w:r>
        <w:rPr>
          <w:rFonts w:ascii="Times New Roman" w:hAnsi="Times New Roman"/>
          <w:lang w:val="lt-LT"/>
        </w:rPr>
        <w:t xml:space="preserve">karto didesnis už normalų arba TNS (Tarptautinis normalizuotas santykis) yra </w:t>
      </w:r>
      <w:r w:rsidRPr="007D2262">
        <w:rPr>
          <w:rFonts w:ascii="Times New Roman" w:hAnsi="Times New Roman"/>
          <w:lang w:val="lt-LT"/>
        </w:rPr>
        <w:t>&gt;1</w:t>
      </w:r>
      <w:r>
        <w:rPr>
          <w:rFonts w:ascii="Times New Roman" w:hAnsi="Times New Roman"/>
          <w:lang w:val="lt-LT"/>
        </w:rPr>
        <w:t>,5);</w:t>
      </w:r>
    </w:p>
    <w:p w:rsidR="00B42325" w:rsidRPr="007D2262" w:rsidRDefault="00B42325" w:rsidP="00C338C2">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sunkus kepenų nepakankamumas</w:t>
      </w:r>
      <w:r w:rsidRPr="007D2262">
        <w:rPr>
          <w:rFonts w:ascii="Times New Roman" w:hAnsi="Times New Roman"/>
          <w:lang w:val="lt-LT"/>
        </w:rPr>
        <w:t xml:space="preserve">. </w:t>
      </w:r>
    </w:p>
    <w:p w:rsidR="00B42325" w:rsidRPr="00F06B81" w:rsidRDefault="00B42325" w:rsidP="003E2BE3">
      <w:pPr>
        <w:pStyle w:val="BTEMEASMCA"/>
        <w:rPr>
          <w:noProof w:val="0"/>
        </w:rPr>
      </w:pPr>
    </w:p>
    <w:p w:rsidR="00B42325" w:rsidRPr="00F06B81" w:rsidRDefault="00B42325" w:rsidP="003E2BE3">
      <w:pPr>
        <w:pStyle w:val="PI-2EMEASMCA"/>
      </w:pPr>
      <w:bookmarkStart w:id="20" w:name="_Toc129243105"/>
      <w:bookmarkStart w:id="21" w:name="_Toc129243230"/>
      <w:r w:rsidRPr="00F06B81">
        <w:t>4.4</w:t>
      </w:r>
      <w:r w:rsidRPr="00F06B81">
        <w:tab/>
        <w:t>Specialūs įspėjimai ir atsargumo priemonės</w:t>
      </w:r>
      <w:bookmarkEnd w:id="20"/>
      <w:bookmarkEnd w:id="21"/>
    </w:p>
    <w:p w:rsidR="00B42325" w:rsidRPr="00F06B81" w:rsidRDefault="00B42325" w:rsidP="003E2BE3">
      <w:pPr>
        <w:spacing w:after="0" w:line="240" w:lineRule="auto"/>
        <w:rPr>
          <w:rFonts w:ascii="Times New Roman" w:hAnsi="Times New Roman"/>
          <w:lang w:val="lt-LT"/>
        </w:rPr>
      </w:pPr>
    </w:p>
    <w:p w:rsidR="00B42325" w:rsidRDefault="00B42325" w:rsidP="004A3F36">
      <w:pPr>
        <w:spacing w:after="0" w:line="240" w:lineRule="auto"/>
        <w:rPr>
          <w:rFonts w:ascii="Times New Roman" w:hAnsi="Times New Roman"/>
          <w:lang w:val="lt-LT"/>
        </w:rPr>
      </w:pPr>
      <w:r>
        <w:rPr>
          <w:rFonts w:ascii="Times New Roman" w:hAnsi="Times New Roman"/>
          <w:lang w:val="lt-LT"/>
        </w:rPr>
        <w:lastRenderedPageBreak/>
        <w:t>Trombopriv</w:t>
      </w:r>
      <w:r w:rsidRPr="00F06B81">
        <w:rPr>
          <w:rFonts w:ascii="Times New Roman" w:hAnsi="Times New Roman"/>
          <w:lang w:val="lt-LT"/>
        </w:rPr>
        <w:t xml:space="preserve"> </w:t>
      </w:r>
      <w:r>
        <w:rPr>
          <w:rFonts w:ascii="Times New Roman" w:hAnsi="Times New Roman"/>
          <w:lang w:val="lt-LT"/>
        </w:rPr>
        <w:t>vartoti be nefrakcionuoto heparino nerekomenduojama.</w:t>
      </w:r>
    </w:p>
    <w:p w:rsidR="00B42325" w:rsidRDefault="00B42325" w:rsidP="004A3F36">
      <w:pPr>
        <w:spacing w:after="0" w:line="240" w:lineRule="auto"/>
        <w:rPr>
          <w:rFonts w:ascii="Times New Roman" w:hAnsi="Times New Roman"/>
          <w:lang w:val="lt-LT"/>
        </w:rPr>
      </w:pPr>
      <w:r>
        <w:rPr>
          <w:rFonts w:ascii="Times New Roman" w:hAnsi="Times New Roman"/>
          <w:lang w:val="lt-LT"/>
        </w:rPr>
        <w:t>Trombopriv</w:t>
      </w:r>
      <w:r w:rsidRPr="00F06B81">
        <w:rPr>
          <w:rFonts w:ascii="Times New Roman" w:hAnsi="Times New Roman"/>
          <w:lang w:val="lt-LT"/>
        </w:rPr>
        <w:t xml:space="preserve"> </w:t>
      </w:r>
      <w:r>
        <w:rPr>
          <w:rFonts w:ascii="Times New Roman" w:hAnsi="Times New Roman"/>
          <w:lang w:val="lt-LT"/>
        </w:rPr>
        <w:t xml:space="preserve">vartojimo kartu su enoksaparinu patirties yra nedaug </w:t>
      </w:r>
      <w:r w:rsidRPr="004A3F36">
        <w:rPr>
          <w:rFonts w:ascii="Times New Roman" w:hAnsi="Times New Roman"/>
          <w:lang w:val="lt-LT"/>
        </w:rPr>
        <w:t>(</w:t>
      </w:r>
      <w:r>
        <w:rPr>
          <w:rFonts w:ascii="Times New Roman" w:hAnsi="Times New Roman"/>
          <w:lang w:val="lt-LT"/>
        </w:rPr>
        <w:t xml:space="preserve">žr. </w:t>
      </w:r>
      <w:r w:rsidRPr="004A3F36">
        <w:rPr>
          <w:rFonts w:ascii="Times New Roman" w:hAnsi="Times New Roman"/>
          <w:lang w:val="lt-LT"/>
        </w:rPr>
        <w:t xml:space="preserve">5.1 </w:t>
      </w:r>
      <w:r>
        <w:rPr>
          <w:rFonts w:ascii="Times New Roman" w:hAnsi="Times New Roman"/>
          <w:lang w:val="lt-LT"/>
        </w:rPr>
        <w:t>ir</w:t>
      </w:r>
      <w:r w:rsidRPr="004A3F36">
        <w:rPr>
          <w:rFonts w:ascii="Times New Roman" w:hAnsi="Times New Roman"/>
          <w:lang w:val="lt-LT"/>
        </w:rPr>
        <w:t xml:space="preserve"> 5.2</w:t>
      </w:r>
      <w:r>
        <w:rPr>
          <w:rFonts w:ascii="Times New Roman" w:hAnsi="Times New Roman"/>
          <w:lang w:val="lt-LT"/>
        </w:rPr>
        <w:t xml:space="preserve"> skyrius</w:t>
      </w:r>
      <w:r w:rsidRPr="004A3F36">
        <w:rPr>
          <w:rFonts w:ascii="Times New Roman" w:hAnsi="Times New Roman"/>
          <w:lang w:val="lt-LT"/>
        </w:rPr>
        <w:t xml:space="preserve">). </w:t>
      </w:r>
      <w:r>
        <w:rPr>
          <w:rFonts w:ascii="Times New Roman" w:hAnsi="Times New Roman"/>
          <w:lang w:val="lt-LT"/>
        </w:rPr>
        <w:t>Trombopriv</w:t>
      </w:r>
      <w:r w:rsidRPr="00F06B81">
        <w:rPr>
          <w:rFonts w:ascii="Times New Roman" w:hAnsi="Times New Roman"/>
          <w:lang w:val="lt-LT"/>
        </w:rPr>
        <w:t xml:space="preserve"> </w:t>
      </w:r>
      <w:r>
        <w:rPr>
          <w:rFonts w:ascii="Times New Roman" w:hAnsi="Times New Roman"/>
          <w:lang w:val="lt-LT"/>
        </w:rPr>
        <w:t>skiriant kartu su enoksaparinu, dažniau pasireiškia kraujavimas iš odos ir burnos</w:t>
      </w:r>
      <w:r w:rsidRPr="004A3F36">
        <w:rPr>
          <w:rFonts w:ascii="Times New Roman" w:hAnsi="Times New Roman"/>
          <w:lang w:val="lt-LT"/>
        </w:rPr>
        <w:t xml:space="preserve">, </w:t>
      </w:r>
      <w:r>
        <w:rPr>
          <w:rFonts w:ascii="Times New Roman" w:hAnsi="Times New Roman"/>
          <w:lang w:val="lt-LT"/>
        </w:rPr>
        <w:t>palyginti su pacientais, gydomais Trombopriv</w:t>
      </w:r>
      <w:r w:rsidRPr="00F06B81">
        <w:rPr>
          <w:rFonts w:ascii="Times New Roman" w:hAnsi="Times New Roman"/>
          <w:lang w:val="lt-LT"/>
        </w:rPr>
        <w:t xml:space="preserve"> </w:t>
      </w:r>
      <w:r>
        <w:rPr>
          <w:rFonts w:ascii="Times New Roman" w:hAnsi="Times New Roman"/>
          <w:lang w:val="lt-LT"/>
        </w:rPr>
        <w:t>ir nefrakcionuotu heparinu, tačiau</w:t>
      </w:r>
      <w:r w:rsidRPr="004A3F36">
        <w:rPr>
          <w:rFonts w:ascii="Times New Roman" w:hAnsi="Times New Roman"/>
          <w:lang w:val="lt-LT"/>
        </w:rPr>
        <w:t xml:space="preserve"> </w:t>
      </w:r>
      <w:r w:rsidRPr="00BF2FB2">
        <w:rPr>
          <w:rFonts w:ascii="Times New Roman" w:hAnsi="Times New Roman"/>
          <w:lang w:val="lt-LT"/>
        </w:rPr>
        <w:t>TIMI</w:t>
      </w:r>
      <w:r w:rsidRPr="004A3F36">
        <w:rPr>
          <w:rFonts w:ascii="Times New Roman" w:hAnsi="Times New Roman"/>
          <w:lang w:val="lt-LT"/>
        </w:rPr>
        <w:t xml:space="preserve"> </w:t>
      </w:r>
      <w:r w:rsidRPr="00BF2FB2">
        <w:rPr>
          <w:rFonts w:ascii="Times New Roman" w:hAnsi="Times New Roman"/>
          <w:lang w:val="lt-LT"/>
        </w:rPr>
        <w:t xml:space="preserve">(ang. </w:t>
      </w:r>
      <w:r w:rsidRPr="002458FC">
        <w:rPr>
          <w:rFonts w:ascii="Times New Roman" w:hAnsi="Times New Roman"/>
          <w:i/>
          <w:lang w:val="lt-LT"/>
        </w:rPr>
        <w:t>Trombolysis in myocardial infarction</w:t>
      </w:r>
      <w:r w:rsidRPr="00BF2FB2">
        <w:rPr>
          <w:rFonts w:ascii="Times New Roman" w:hAnsi="Times New Roman"/>
          <w:lang w:val="lt-LT"/>
        </w:rPr>
        <w:t>)</w:t>
      </w:r>
      <w:r>
        <w:rPr>
          <w:rFonts w:ascii="Times New Roman" w:hAnsi="Times New Roman"/>
          <w:lang w:val="lt-LT"/>
        </w:rPr>
        <w:t xml:space="preserve"> metu kraujavimas</w:t>
      </w:r>
      <w:r w:rsidRPr="004A3F36">
        <w:rPr>
          <w:rFonts w:ascii="Times New Roman" w:hAnsi="Times New Roman"/>
          <w:lang w:val="lt-LT"/>
        </w:rPr>
        <w:t>**</w:t>
      </w:r>
      <w:r>
        <w:rPr>
          <w:rFonts w:ascii="Times New Roman" w:hAnsi="Times New Roman"/>
          <w:lang w:val="lt-LT"/>
        </w:rPr>
        <w:t xml:space="preserve"> nepadažnėja</w:t>
      </w:r>
      <w:r w:rsidRPr="004A3F36">
        <w:rPr>
          <w:rFonts w:ascii="Times New Roman" w:hAnsi="Times New Roman"/>
          <w:lang w:val="lt-LT"/>
        </w:rPr>
        <w:t xml:space="preserve">. </w:t>
      </w:r>
      <w:r>
        <w:rPr>
          <w:rFonts w:ascii="Times New Roman" w:hAnsi="Times New Roman"/>
          <w:lang w:val="lt-LT"/>
        </w:rPr>
        <w:t>Su Trombopriv</w:t>
      </w:r>
      <w:r w:rsidRPr="00F06B81">
        <w:rPr>
          <w:rFonts w:ascii="Times New Roman" w:hAnsi="Times New Roman"/>
          <w:lang w:val="lt-LT"/>
        </w:rPr>
        <w:t xml:space="preserve"> </w:t>
      </w:r>
      <w:r>
        <w:rPr>
          <w:rFonts w:ascii="Times New Roman" w:hAnsi="Times New Roman"/>
          <w:lang w:val="lt-LT"/>
        </w:rPr>
        <w:t>ir enoksaparino vartojimu susijusio sunkaus kraujavimo reiškinių atsiradimo rizikos</w:t>
      </w:r>
      <w:r w:rsidRPr="004A3F36">
        <w:rPr>
          <w:rFonts w:ascii="Times New Roman" w:hAnsi="Times New Roman"/>
          <w:lang w:val="lt-LT"/>
        </w:rPr>
        <w:t xml:space="preserve"> </w:t>
      </w:r>
      <w:r>
        <w:rPr>
          <w:rFonts w:ascii="Times New Roman" w:hAnsi="Times New Roman"/>
          <w:lang w:val="lt-LT"/>
        </w:rPr>
        <w:t>padidėjimo, ypač pacientams, kuriems dėl angiografijos ir (arba) papildomai buvo skirta nefrakcionuoto heparino, paneigti negalima</w:t>
      </w:r>
      <w:r w:rsidRPr="004A3F36">
        <w:rPr>
          <w:rFonts w:ascii="Times New Roman" w:hAnsi="Times New Roman"/>
          <w:lang w:val="lt-LT"/>
        </w:rPr>
        <w:t xml:space="preserve">. </w:t>
      </w:r>
      <w:r>
        <w:rPr>
          <w:rFonts w:ascii="Times New Roman" w:hAnsi="Times New Roman"/>
          <w:lang w:val="lt-LT"/>
        </w:rPr>
        <w:t>Gydymo Trombopriv</w:t>
      </w:r>
      <w:r w:rsidRPr="00F06B81">
        <w:rPr>
          <w:rFonts w:ascii="Times New Roman" w:hAnsi="Times New Roman"/>
          <w:lang w:val="lt-LT"/>
        </w:rPr>
        <w:t xml:space="preserve"> </w:t>
      </w:r>
      <w:r>
        <w:rPr>
          <w:rFonts w:ascii="Times New Roman" w:hAnsi="Times New Roman"/>
          <w:lang w:val="lt-LT"/>
        </w:rPr>
        <w:t>kartu su enoksaparinu</w:t>
      </w:r>
      <w:r w:rsidRPr="004A3F36">
        <w:rPr>
          <w:rFonts w:ascii="Times New Roman" w:hAnsi="Times New Roman"/>
          <w:lang w:val="lt-LT"/>
        </w:rPr>
        <w:t xml:space="preserve"> </w:t>
      </w:r>
      <w:r>
        <w:rPr>
          <w:rFonts w:ascii="Times New Roman" w:hAnsi="Times New Roman"/>
          <w:lang w:val="lt-LT"/>
        </w:rPr>
        <w:t>veiksmingumas nėra nustatytas</w:t>
      </w:r>
      <w:r w:rsidRPr="004A3F36">
        <w:rPr>
          <w:rFonts w:ascii="Times New Roman" w:hAnsi="Times New Roman"/>
          <w:lang w:val="lt-LT"/>
        </w:rPr>
        <w:t xml:space="preserve">. </w:t>
      </w:r>
      <w:r>
        <w:rPr>
          <w:rFonts w:ascii="Times New Roman" w:hAnsi="Times New Roman"/>
          <w:lang w:val="lt-LT"/>
        </w:rPr>
        <w:t>Gydymo</w:t>
      </w:r>
      <w:r w:rsidRPr="00DD3995">
        <w:rPr>
          <w:rFonts w:ascii="Times New Roman" w:hAnsi="Times New Roman"/>
          <w:lang w:val="lt-LT"/>
        </w:rPr>
        <w:t xml:space="preserve"> </w:t>
      </w:r>
      <w:r>
        <w:rPr>
          <w:rFonts w:ascii="Times New Roman" w:hAnsi="Times New Roman"/>
          <w:lang w:val="lt-LT"/>
        </w:rPr>
        <w:t>Trombopriv</w:t>
      </w:r>
      <w:r w:rsidRPr="00F06B81">
        <w:rPr>
          <w:rFonts w:ascii="Times New Roman" w:hAnsi="Times New Roman"/>
          <w:lang w:val="lt-LT"/>
        </w:rPr>
        <w:t xml:space="preserve"> </w:t>
      </w:r>
      <w:r>
        <w:rPr>
          <w:rFonts w:ascii="Times New Roman" w:hAnsi="Times New Roman"/>
          <w:lang w:val="lt-LT"/>
        </w:rPr>
        <w:t>kartu su kitais mažos molekulinės masės heparinais saugumas ir veiksmingumas netirtas</w:t>
      </w:r>
      <w:r w:rsidRPr="004A3F36">
        <w:rPr>
          <w:rFonts w:ascii="Times New Roman" w:hAnsi="Times New Roman"/>
          <w:lang w:val="lt-LT"/>
        </w:rPr>
        <w:t xml:space="preserve">. </w:t>
      </w:r>
    </w:p>
    <w:p w:rsidR="00B42325" w:rsidRDefault="00B42325" w:rsidP="004A3F36">
      <w:pPr>
        <w:spacing w:after="0" w:line="240" w:lineRule="auto"/>
        <w:rPr>
          <w:rFonts w:ascii="Times New Roman" w:hAnsi="Times New Roman"/>
          <w:lang w:val="lt-LT"/>
        </w:rPr>
      </w:pP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Pacientų, kuriems yra toliau išvardyta liga ar būklė, gydymo</w:t>
      </w:r>
      <w:r w:rsidRPr="004A3F36">
        <w:rPr>
          <w:rFonts w:ascii="Times New Roman" w:hAnsi="Times New Roman"/>
          <w:lang w:val="lt-LT"/>
        </w:rPr>
        <w:t xml:space="preserve"> tirofiban</w:t>
      </w:r>
      <w:r>
        <w:rPr>
          <w:rFonts w:ascii="Times New Roman" w:hAnsi="Times New Roman"/>
          <w:lang w:val="lt-LT"/>
        </w:rPr>
        <w:t>o</w:t>
      </w:r>
      <w:r w:rsidRPr="004A3F36">
        <w:rPr>
          <w:rFonts w:ascii="Times New Roman" w:hAnsi="Times New Roman"/>
          <w:lang w:val="lt-LT"/>
        </w:rPr>
        <w:t xml:space="preserve"> h</w:t>
      </w:r>
      <w:r>
        <w:rPr>
          <w:rFonts w:ascii="Times New Roman" w:hAnsi="Times New Roman"/>
          <w:lang w:val="lt-LT"/>
        </w:rPr>
        <w:t>i</w:t>
      </w:r>
      <w:r w:rsidRPr="004A3F36">
        <w:rPr>
          <w:rFonts w:ascii="Times New Roman" w:hAnsi="Times New Roman"/>
          <w:lang w:val="lt-LT"/>
        </w:rPr>
        <w:t>drochlorid</w:t>
      </w:r>
      <w:r>
        <w:rPr>
          <w:rFonts w:ascii="Times New Roman" w:hAnsi="Times New Roman"/>
          <w:lang w:val="lt-LT"/>
        </w:rPr>
        <w:t>u</w:t>
      </w:r>
      <w:r w:rsidRPr="004A3F36">
        <w:rPr>
          <w:rFonts w:ascii="Times New Roman" w:hAnsi="Times New Roman"/>
          <w:lang w:val="lt-LT"/>
        </w:rPr>
        <w:t xml:space="preserve"> </w:t>
      </w:r>
      <w:r>
        <w:rPr>
          <w:rFonts w:ascii="Times New Roman" w:hAnsi="Times New Roman"/>
          <w:lang w:val="lt-LT"/>
        </w:rPr>
        <w:t>patirties nėra, tačiau manoma, kad tokiu atveju didėja kraujavimo rizika.</w:t>
      </w:r>
      <w:r w:rsidRPr="004A3F36">
        <w:rPr>
          <w:rFonts w:ascii="Times New Roman" w:hAnsi="Times New Roman"/>
          <w:lang w:val="lt-LT"/>
        </w:rPr>
        <w:t xml:space="preserve"> </w:t>
      </w:r>
      <w:r>
        <w:rPr>
          <w:rFonts w:ascii="Times New Roman" w:hAnsi="Times New Roman"/>
          <w:lang w:val="lt-LT"/>
        </w:rPr>
        <w:t>Dėl šios priežasties tirofibano hidrochlorido</w:t>
      </w:r>
      <w:r w:rsidRPr="004A3F36">
        <w:rPr>
          <w:rFonts w:ascii="Times New Roman" w:hAnsi="Times New Roman"/>
          <w:lang w:val="lt-LT"/>
        </w:rPr>
        <w:t xml:space="preserve"> </w:t>
      </w:r>
      <w:r>
        <w:rPr>
          <w:rFonts w:ascii="Times New Roman" w:hAnsi="Times New Roman"/>
          <w:lang w:val="lt-LT"/>
        </w:rPr>
        <w:t>nerekomenduojama vartoti, jei</w:t>
      </w:r>
      <w:r w:rsidRPr="004A3F36">
        <w:rPr>
          <w:rFonts w:ascii="Times New Roman" w:hAnsi="Times New Roman"/>
          <w:lang w:val="lt-LT"/>
        </w:rPr>
        <w:t xml:space="preserve">: </w:t>
      </w:r>
    </w:p>
    <w:p w:rsidR="00B42325"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paskutinių dviejų savaičių laikotarpiu buvo atliekamas traumuojantis ar ilgalaikis kardiopulmoninis gaivinimas, organo biopsija ar litotripsija;</w:t>
      </w:r>
    </w:p>
    <w:p w:rsidR="00B42325"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prieš daugiau kaip 6 savaites, tačiau ne daugiau kaip prieš 3 mėnesius buvo sunki trauma ar atlikta didelė operacija;</w:t>
      </w:r>
    </w:p>
    <w:p w:rsidR="00B42325" w:rsidRPr="004A3F36"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pastarųjų trijų mėnesių laikotarpiu buvo aktyvi pepsinė opa;</w:t>
      </w:r>
    </w:p>
    <w:p w:rsidR="00B42325" w:rsidRPr="004A3F36"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nekontroliuojama hipertenzija</w:t>
      </w:r>
      <w:r w:rsidRPr="004A3F36">
        <w:rPr>
          <w:rFonts w:ascii="Times New Roman" w:hAnsi="Times New Roman"/>
          <w:lang w:val="lt-LT"/>
        </w:rPr>
        <w:t xml:space="preserve"> (&gt;180/110 mm</w:t>
      </w:r>
      <w:r>
        <w:rPr>
          <w:rFonts w:ascii="Times New Roman" w:hAnsi="Times New Roman"/>
          <w:lang w:val="lt-LT"/>
        </w:rPr>
        <w:t> Hg);</w:t>
      </w:r>
    </w:p>
    <w:p w:rsidR="00B42325" w:rsidRPr="004A3F36"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ūminis perikarditas;</w:t>
      </w:r>
    </w:p>
    <w:p w:rsidR="00B42325"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aktyvus arba anksčiau buvo vaskulitas;</w:t>
      </w:r>
    </w:p>
    <w:p w:rsidR="00B42325"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manoma, kad yra aortos disekacija;</w:t>
      </w:r>
    </w:p>
    <w:p w:rsidR="00B42325" w:rsidRPr="004A3F36"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hemoraginė retinopatija;</w:t>
      </w:r>
    </w:p>
    <w:p w:rsidR="00B42325"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slaptasis kraujavimas su išmatomis arba hematurija;</w:t>
      </w:r>
    </w:p>
    <w:p w:rsidR="00B42325"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gydoma trombolitikais (žr. 4.5 skyrių);</w:t>
      </w:r>
    </w:p>
    <w:p w:rsidR="00B42325" w:rsidRPr="004A3F36" w:rsidRDefault="00B42325" w:rsidP="00482BE1">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 xml:space="preserve">vartojama vaistinių preparatų, kurie reikšmingai didina kraujavimo riziką </w:t>
      </w:r>
      <w:r w:rsidRPr="004A3F36">
        <w:rPr>
          <w:rFonts w:ascii="Times New Roman" w:hAnsi="Times New Roman"/>
          <w:lang w:val="lt-LT"/>
        </w:rPr>
        <w:t>(</w:t>
      </w:r>
      <w:r>
        <w:rPr>
          <w:rFonts w:ascii="Times New Roman" w:hAnsi="Times New Roman"/>
          <w:lang w:val="lt-LT"/>
        </w:rPr>
        <w:t>žr.</w:t>
      </w:r>
      <w:r w:rsidRPr="004A3F36">
        <w:rPr>
          <w:rFonts w:ascii="Times New Roman" w:hAnsi="Times New Roman"/>
          <w:lang w:val="lt-LT"/>
        </w:rPr>
        <w:t xml:space="preserve"> 4.5</w:t>
      </w:r>
      <w:r>
        <w:rPr>
          <w:rFonts w:ascii="Times New Roman" w:hAnsi="Times New Roman"/>
          <w:lang w:val="lt-LT"/>
        </w:rPr>
        <w:t xml:space="preserve"> skyrių</w:t>
      </w:r>
      <w:r w:rsidRPr="004A3F36">
        <w:rPr>
          <w:rFonts w:ascii="Times New Roman" w:hAnsi="Times New Roman"/>
          <w:lang w:val="lt-LT"/>
        </w:rPr>
        <w:t xml:space="preserve">). </w:t>
      </w:r>
    </w:p>
    <w:p w:rsidR="00B42325" w:rsidRPr="004A3F36" w:rsidRDefault="00B42325" w:rsidP="004A3F36">
      <w:pPr>
        <w:spacing w:after="0" w:line="240" w:lineRule="auto"/>
        <w:rPr>
          <w:rFonts w:ascii="Times New Roman" w:hAnsi="Times New Roman"/>
          <w:lang w:val="lt-LT"/>
        </w:rPr>
      </w:pP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Pacientų, kuriems reikalinga trombolizinė terapija (pvz., ištiktiems ūminio miokardo infarkto su nauja patologine Q banga, ST segmento pakilimu ar kairės Hiso pluošto kojytės blokada EKG), gydymo</w:t>
      </w:r>
      <w:r w:rsidRPr="004A3F36">
        <w:rPr>
          <w:rFonts w:ascii="Times New Roman" w:hAnsi="Times New Roman"/>
          <w:lang w:val="lt-LT"/>
        </w:rPr>
        <w:t xml:space="preserve"> tirofiban</w:t>
      </w:r>
      <w:r>
        <w:rPr>
          <w:rFonts w:ascii="Times New Roman" w:hAnsi="Times New Roman"/>
          <w:lang w:val="lt-LT"/>
        </w:rPr>
        <w:t>o</w:t>
      </w:r>
      <w:r w:rsidRPr="004A3F36">
        <w:rPr>
          <w:rFonts w:ascii="Times New Roman" w:hAnsi="Times New Roman"/>
          <w:lang w:val="lt-LT"/>
        </w:rPr>
        <w:t xml:space="preserve"> h</w:t>
      </w:r>
      <w:r>
        <w:rPr>
          <w:rFonts w:ascii="Times New Roman" w:hAnsi="Times New Roman"/>
          <w:lang w:val="lt-LT"/>
        </w:rPr>
        <w:t>i</w:t>
      </w:r>
      <w:r w:rsidRPr="004A3F36">
        <w:rPr>
          <w:rFonts w:ascii="Times New Roman" w:hAnsi="Times New Roman"/>
          <w:lang w:val="lt-LT"/>
        </w:rPr>
        <w:t>drochlorid</w:t>
      </w:r>
      <w:r>
        <w:rPr>
          <w:rFonts w:ascii="Times New Roman" w:hAnsi="Times New Roman"/>
          <w:lang w:val="lt-LT"/>
        </w:rPr>
        <w:t>u</w:t>
      </w:r>
      <w:r w:rsidRPr="004A3F36">
        <w:rPr>
          <w:rFonts w:ascii="Times New Roman" w:hAnsi="Times New Roman"/>
          <w:lang w:val="lt-LT"/>
        </w:rPr>
        <w:t xml:space="preserve"> </w:t>
      </w:r>
      <w:r>
        <w:rPr>
          <w:rFonts w:ascii="Times New Roman" w:hAnsi="Times New Roman"/>
          <w:lang w:val="lt-LT"/>
        </w:rPr>
        <w:t>patirties nėra</w:t>
      </w:r>
      <w:r w:rsidRPr="004A3F36">
        <w:rPr>
          <w:rFonts w:ascii="Times New Roman" w:hAnsi="Times New Roman"/>
          <w:lang w:val="lt-LT"/>
        </w:rPr>
        <w:t xml:space="preserve">. </w:t>
      </w:r>
      <w:r>
        <w:rPr>
          <w:rFonts w:ascii="Times New Roman" w:hAnsi="Times New Roman"/>
          <w:lang w:val="lt-LT"/>
        </w:rPr>
        <w:t xml:space="preserve">Dėl šios priežasties tokiomis aplinkybėmis </w:t>
      </w:r>
      <w:r w:rsidRPr="004A3F36">
        <w:rPr>
          <w:rFonts w:ascii="Times New Roman" w:hAnsi="Times New Roman"/>
          <w:lang w:val="lt-LT"/>
        </w:rPr>
        <w:t>tirofiban</w:t>
      </w:r>
      <w:r>
        <w:rPr>
          <w:rFonts w:ascii="Times New Roman" w:hAnsi="Times New Roman"/>
          <w:lang w:val="lt-LT"/>
        </w:rPr>
        <w:t>o</w:t>
      </w:r>
      <w:r w:rsidRPr="004A3F36">
        <w:rPr>
          <w:rFonts w:ascii="Times New Roman" w:hAnsi="Times New Roman"/>
          <w:lang w:val="lt-LT"/>
        </w:rPr>
        <w:t xml:space="preserve"> h</w:t>
      </w:r>
      <w:r>
        <w:rPr>
          <w:rFonts w:ascii="Times New Roman" w:hAnsi="Times New Roman"/>
          <w:lang w:val="lt-LT"/>
        </w:rPr>
        <w:t>i</w:t>
      </w:r>
      <w:r w:rsidRPr="004A3F36">
        <w:rPr>
          <w:rFonts w:ascii="Times New Roman" w:hAnsi="Times New Roman"/>
          <w:lang w:val="lt-LT"/>
        </w:rPr>
        <w:t>drochlorid</w:t>
      </w:r>
      <w:r>
        <w:rPr>
          <w:rFonts w:ascii="Times New Roman" w:hAnsi="Times New Roman"/>
          <w:lang w:val="lt-LT"/>
        </w:rPr>
        <w:t>o vartoti nerekomenduojama</w:t>
      </w:r>
      <w:r w:rsidRPr="004A3F36">
        <w:rPr>
          <w:rFonts w:ascii="Times New Roman" w:hAnsi="Times New Roman"/>
          <w:lang w:val="lt-LT"/>
        </w:rPr>
        <w:t xml:space="preserve">. </w:t>
      </w: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Trombopriv</w:t>
      </w:r>
      <w:r w:rsidRPr="00F06B81">
        <w:rPr>
          <w:rFonts w:ascii="Times New Roman" w:hAnsi="Times New Roman"/>
          <w:lang w:val="lt-LT"/>
        </w:rPr>
        <w:t xml:space="preserve"> </w:t>
      </w:r>
      <w:r>
        <w:rPr>
          <w:rFonts w:ascii="Times New Roman" w:hAnsi="Times New Roman"/>
          <w:lang w:val="lt-LT"/>
        </w:rPr>
        <w:t xml:space="preserve">infuziją būtina nedelsiant nutraukti, jei atsiranda būklė, kai reikia pradėti gydymą trombolitikais </w:t>
      </w:r>
      <w:r w:rsidRPr="004A3F36">
        <w:rPr>
          <w:rFonts w:ascii="Times New Roman" w:hAnsi="Times New Roman"/>
          <w:lang w:val="lt-LT"/>
        </w:rPr>
        <w:t>(</w:t>
      </w:r>
      <w:r>
        <w:rPr>
          <w:rFonts w:ascii="Times New Roman" w:hAnsi="Times New Roman"/>
          <w:lang w:val="lt-LT"/>
        </w:rPr>
        <w:t>įskaitant ūminę okliuziją</w:t>
      </w:r>
      <w:r w:rsidRPr="004A3F36">
        <w:rPr>
          <w:rFonts w:ascii="Times New Roman" w:hAnsi="Times New Roman"/>
          <w:lang w:val="lt-LT"/>
        </w:rPr>
        <w:t xml:space="preserve"> PTCA</w:t>
      </w:r>
      <w:r>
        <w:rPr>
          <w:rFonts w:ascii="Times New Roman" w:hAnsi="Times New Roman"/>
          <w:lang w:val="lt-LT"/>
        </w:rPr>
        <w:t xml:space="preserve"> metu</w:t>
      </w:r>
      <w:r w:rsidRPr="004A3F36">
        <w:rPr>
          <w:rFonts w:ascii="Times New Roman" w:hAnsi="Times New Roman"/>
          <w:lang w:val="lt-LT"/>
        </w:rPr>
        <w:t xml:space="preserve">) </w:t>
      </w:r>
      <w:r>
        <w:rPr>
          <w:rFonts w:ascii="Times New Roman" w:hAnsi="Times New Roman"/>
          <w:lang w:val="lt-LT"/>
        </w:rPr>
        <w:t xml:space="preserve">arba pacientui būtina atlikti skubią vainikinių arterijų šuntavimo operaciją </w:t>
      </w:r>
      <w:r w:rsidRPr="004A3F36">
        <w:rPr>
          <w:rFonts w:ascii="Times New Roman" w:hAnsi="Times New Roman"/>
          <w:lang w:val="lt-LT"/>
        </w:rPr>
        <w:t>(</w:t>
      </w:r>
      <w:r w:rsidRPr="00BF2FB2">
        <w:rPr>
          <w:rFonts w:ascii="Times New Roman" w:hAnsi="Times New Roman"/>
          <w:lang w:val="lt-LT"/>
        </w:rPr>
        <w:t xml:space="preserve">ang. </w:t>
      </w:r>
      <w:r w:rsidRPr="002458FC">
        <w:rPr>
          <w:rFonts w:ascii="Times New Roman" w:hAnsi="Times New Roman"/>
          <w:i/>
          <w:lang w:val="lt-LT"/>
        </w:rPr>
        <w:t>Coronary artery bypass graft</w:t>
      </w:r>
      <w:r w:rsidRPr="00BF2FB2">
        <w:rPr>
          <w:rFonts w:ascii="Times New Roman" w:hAnsi="Times New Roman"/>
          <w:lang w:val="lt-LT"/>
        </w:rPr>
        <w:t>,</w:t>
      </w:r>
      <w:r>
        <w:rPr>
          <w:rFonts w:ascii="Times New Roman" w:hAnsi="Times New Roman"/>
          <w:lang w:val="lt-LT"/>
        </w:rPr>
        <w:t xml:space="preserve"> </w:t>
      </w:r>
      <w:r w:rsidRPr="00BF2FB2">
        <w:rPr>
          <w:rFonts w:ascii="Times New Roman" w:hAnsi="Times New Roman"/>
          <w:lang w:val="lt-LT"/>
        </w:rPr>
        <w:t>CABG</w:t>
      </w:r>
      <w:r w:rsidRPr="004A3F36">
        <w:rPr>
          <w:rFonts w:ascii="Times New Roman" w:hAnsi="Times New Roman"/>
          <w:lang w:val="lt-LT"/>
        </w:rPr>
        <w:t xml:space="preserve">) </w:t>
      </w:r>
      <w:r>
        <w:rPr>
          <w:rFonts w:ascii="Times New Roman" w:hAnsi="Times New Roman"/>
          <w:lang w:val="lt-LT"/>
        </w:rPr>
        <w:t>ar taikyti intraaortinę balioninę kontrapulsaciją</w:t>
      </w:r>
      <w:r w:rsidRPr="004A3F36">
        <w:rPr>
          <w:rFonts w:ascii="Times New Roman" w:hAnsi="Times New Roman"/>
          <w:lang w:val="lt-LT"/>
        </w:rPr>
        <w:t xml:space="preserve">. </w:t>
      </w:r>
    </w:p>
    <w:p w:rsidR="00B42325" w:rsidRDefault="00B42325" w:rsidP="004A3F36">
      <w:pPr>
        <w:spacing w:after="0" w:line="240" w:lineRule="auto"/>
        <w:rPr>
          <w:rFonts w:ascii="Times New Roman" w:hAnsi="Times New Roman"/>
          <w:lang w:val="lt-LT"/>
        </w:rPr>
      </w:pPr>
    </w:p>
    <w:p w:rsidR="00B42325" w:rsidRPr="000C30ED" w:rsidRDefault="00B42325" w:rsidP="004A3F36">
      <w:pPr>
        <w:spacing w:after="0" w:line="240" w:lineRule="auto"/>
        <w:rPr>
          <w:rFonts w:ascii="Times New Roman" w:hAnsi="Times New Roman"/>
          <w:i/>
          <w:lang w:val="lt-LT"/>
        </w:rPr>
      </w:pPr>
      <w:r w:rsidRPr="000C30ED">
        <w:rPr>
          <w:rFonts w:ascii="Times New Roman" w:hAnsi="Times New Roman"/>
          <w:i/>
          <w:lang w:val="lt-LT"/>
        </w:rPr>
        <w:t>Vaikų populiacija</w:t>
      </w: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Vaikų gydymo Trombopriv</w:t>
      </w:r>
      <w:r w:rsidRPr="00FC45DB">
        <w:rPr>
          <w:rFonts w:ascii="Times New Roman" w:hAnsi="Times New Roman"/>
          <w:lang w:val="lt-LT"/>
        </w:rPr>
        <w:t xml:space="preserve"> </w:t>
      </w:r>
      <w:r>
        <w:rPr>
          <w:rFonts w:ascii="Times New Roman" w:hAnsi="Times New Roman"/>
          <w:lang w:val="lt-LT"/>
        </w:rPr>
        <w:t>patirties nėra, todėl tokiems pacientams šio vaistinio preparato skirti nerekomenduojama</w:t>
      </w:r>
      <w:r w:rsidRPr="004A3F36">
        <w:rPr>
          <w:rFonts w:ascii="Times New Roman" w:hAnsi="Times New Roman"/>
          <w:lang w:val="lt-LT"/>
        </w:rPr>
        <w:t xml:space="preserve">. </w:t>
      </w:r>
    </w:p>
    <w:p w:rsidR="00B42325" w:rsidRDefault="00B42325" w:rsidP="004A3F36">
      <w:pPr>
        <w:spacing w:after="0" w:line="240" w:lineRule="auto"/>
        <w:rPr>
          <w:rFonts w:ascii="Times New Roman" w:hAnsi="Times New Roman"/>
          <w:lang w:val="lt-LT"/>
        </w:rPr>
      </w:pPr>
    </w:p>
    <w:p w:rsidR="00B42325" w:rsidRPr="008A1783" w:rsidRDefault="00B42325" w:rsidP="004A3F36">
      <w:pPr>
        <w:spacing w:after="0" w:line="240" w:lineRule="auto"/>
        <w:rPr>
          <w:rFonts w:ascii="Times New Roman" w:hAnsi="Times New Roman"/>
          <w:i/>
          <w:lang w:val="lt-LT"/>
        </w:rPr>
      </w:pPr>
      <w:r>
        <w:rPr>
          <w:rFonts w:ascii="Times New Roman" w:hAnsi="Times New Roman"/>
          <w:i/>
          <w:lang w:val="lt-LT"/>
        </w:rPr>
        <w:t>Atsargumo priemonės ir kita informacija</w:t>
      </w: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Duomenų apie pakartotiną Trombopriv vartojimą nepakanka</w:t>
      </w:r>
      <w:r w:rsidRPr="004A3F36">
        <w:rPr>
          <w:rFonts w:ascii="Times New Roman" w:hAnsi="Times New Roman"/>
          <w:lang w:val="lt-LT"/>
        </w:rPr>
        <w:t xml:space="preserve">. </w:t>
      </w: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Gydymo Trombopriv</w:t>
      </w:r>
      <w:r w:rsidRPr="00FC45DB">
        <w:rPr>
          <w:rFonts w:ascii="Times New Roman" w:hAnsi="Times New Roman"/>
          <w:lang w:val="lt-LT"/>
        </w:rPr>
        <w:t xml:space="preserve"> </w:t>
      </w:r>
      <w:r>
        <w:rPr>
          <w:rFonts w:ascii="Times New Roman" w:hAnsi="Times New Roman"/>
          <w:lang w:val="lt-LT"/>
        </w:rPr>
        <w:t>metu pacientus būtina atidžiai stebėti, ar neprasideda kraujavimas. Jei būtina gydyti kraujavimą, reikia apsvarstyti Trombopriv</w:t>
      </w:r>
      <w:r w:rsidRPr="00FC45DB">
        <w:rPr>
          <w:rFonts w:ascii="Times New Roman" w:hAnsi="Times New Roman"/>
          <w:lang w:val="lt-LT"/>
        </w:rPr>
        <w:t xml:space="preserve"> </w:t>
      </w:r>
      <w:r>
        <w:rPr>
          <w:rFonts w:ascii="Times New Roman" w:hAnsi="Times New Roman"/>
          <w:lang w:val="lt-LT"/>
        </w:rPr>
        <w:t xml:space="preserve">vartojimo nutraukimą </w:t>
      </w:r>
      <w:r w:rsidRPr="004A3F36">
        <w:rPr>
          <w:rFonts w:ascii="Times New Roman" w:hAnsi="Times New Roman"/>
          <w:lang w:val="lt-LT"/>
        </w:rPr>
        <w:t>(</w:t>
      </w:r>
      <w:r>
        <w:rPr>
          <w:rFonts w:ascii="Times New Roman" w:hAnsi="Times New Roman"/>
          <w:lang w:val="lt-LT"/>
        </w:rPr>
        <w:t>žr.</w:t>
      </w:r>
      <w:r w:rsidRPr="004A3F36">
        <w:rPr>
          <w:rFonts w:ascii="Times New Roman" w:hAnsi="Times New Roman"/>
          <w:lang w:val="lt-LT"/>
        </w:rPr>
        <w:t xml:space="preserve"> 4.9</w:t>
      </w:r>
      <w:r>
        <w:rPr>
          <w:rFonts w:ascii="Times New Roman" w:hAnsi="Times New Roman"/>
          <w:lang w:val="lt-LT"/>
        </w:rPr>
        <w:t xml:space="preserve"> skyrių</w:t>
      </w:r>
      <w:r w:rsidRPr="004A3F36">
        <w:rPr>
          <w:rFonts w:ascii="Times New Roman" w:hAnsi="Times New Roman"/>
          <w:lang w:val="lt-LT"/>
        </w:rPr>
        <w:t xml:space="preserve">). </w:t>
      </w:r>
      <w:r>
        <w:rPr>
          <w:rFonts w:ascii="Times New Roman" w:hAnsi="Times New Roman"/>
          <w:lang w:val="lt-LT"/>
        </w:rPr>
        <w:t xml:space="preserve">Jei pasireiškia didelis ar nekontroliuojamas kraujavimas, </w:t>
      </w:r>
      <w:r w:rsidRPr="004A3F36">
        <w:rPr>
          <w:rFonts w:ascii="Times New Roman" w:hAnsi="Times New Roman"/>
          <w:lang w:val="lt-LT"/>
        </w:rPr>
        <w:t>tirofiban</w:t>
      </w:r>
      <w:r>
        <w:rPr>
          <w:rFonts w:ascii="Times New Roman" w:hAnsi="Times New Roman"/>
          <w:lang w:val="lt-LT"/>
        </w:rPr>
        <w:t>o</w:t>
      </w:r>
      <w:r w:rsidRPr="004A3F36">
        <w:rPr>
          <w:rFonts w:ascii="Times New Roman" w:hAnsi="Times New Roman"/>
          <w:lang w:val="lt-LT"/>
        </w:rPr>
        <w:t xml:space="preserve"> h</w:t>
      </w:r>
      <w:r>
        <w:rPr>
          <w:rFonts w:ascii="Times New Roman" w:hAnsi="Times New Roman"/>
          <w:lang w:val="lt-LT"/>
        </w:rPr>
        <w:t>i</w:t>
      </w:r>
      <w:r w:rsidRPr="004A3F36">
        <w:rPr>
          <w:rFonts w:ascii="Times New Roman" w:hAnsi="Times New Roman"/>
          <w:lang w:val="lt-LT"/>
        </w:rPr>
        <w:t>drochlorid</w:t>
      </w:r>
      <w:r>
        <w:rPr>
          <w:rFonts w:ascii="Times New Roman" w:hAnsi="Times New Roman"/>
          <w:lang w:val="lt-LT"/>
        </w:rPr>
        <w:t>o</w:t>
      </w:r>
      <w:r w:rsidRPr="004A3F36">
        <w:rPr>
          <w:rFonts w:ascii="Times New Roman" w:hAnsi="Times New Roman"/>
          <w:lang w:val="lt-LT"/>
        </w:rPr>
        <w:t xml:space="preserve"> </w:t>
      </w:r>
      <w:r>
        <w:rPr>
          <w:rFonts w:ascii="Times New Roman" w:hAnsi="Times New Roman"/>
          <w:lang w:val="lt-LT"/>
        </w:rPr>
        <w:t>vartojimą būtina nutraukti nedelsiant.</w:t>
      </w:r>
    </w:p>
    <w:p w:rsidR="00B42325" w:rsidRDefault="00B42325" w:rsidP="004A3F36">
      <w:pPr>
        <w:spacing w:after="0" w:line="240" w:lineRule="auto"/>
        <w:rPr>
          <w:rFonts w:ascii="Times New Roman" w:hAnsi="Times New Roman"/>
          <w:lang w:val="lt-LT"/>
        </w:rPr>
      </w:pP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Jei yra toliau išvardyta būklė ar pacientas priklauso toliau paminėtai grupei, Trombopriv</w:t>
      </w:r>
      <w:r w:rsidRPr="00FC45DB">
        <w:rPr>
          <w:rFonts w:ascii="Times New Roman" w:hAnsi="Times New Roman"/>
          <w:lang w:val="lt-LT"/>
        </w:rPr>
        <w:t xml:space="preserve"> </w:t>
      </w:r>
      <w:r>
        <w:rPr>
          <w:rFonts w:ascii="Times New Roman" w:hAnsi="Times New Roman"/>
          <w:lang w:val="lt-LT"/>
        </w:rPr>
        <w:t>būtina vartoti ypač atsargiai.</w:t>
      </w:r>
    </w:p>
    <w:p w:rsidR="00B42325"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Neseniai (anksčiau nei prieš metus) buvo kliniškai reikšmingas kraujavimas.</w:t>
      </w:r>
    </w:p>
    <w:p w:rsidR="00B42325"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24 val. laikotarpiu prieš Trombopriv</w:t>
      </w:r>
      <w:r w:rsidRPr="00FC45DB">
        <w:rPr>
          <w:rFonts w:ascii="Times New Roman" w:hAnsi="Times New Roman"/>
          <w:lang w:val="lt-LT"/>
        </w:rPr>
        <w:t xml:space="preserve"> </w:t>
      </w:r>
      <w:r>
        <w:rPr>
          <w:rFonts w:ascii="Times New Roman" w:hAnsi="Times New Roman"/>
          <w:lang w:val="lt-LT"/>
        </w:rPr>
        <w:t>vartojimą buvo punktuota kraujagyslė, kurios neįmanoma užspausti.</w:t>
      </w:r>
    </w:p>
    <w:p w:rsidR="00B42325"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Neseniai buvo atlikta su epidurine ertme susijusi procedūra (įskaitant juosmeninę punkciją ir spinalinę anesteziją).</w:t>
      </w:r>
    </w:p>
    <w:p w:rsidR="00B42325"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sunkus ūminis arba lėtinis širdies nepakankamumas.</w:t>
      </w:r>
    </w:p>
    <w:p w:rsidR="00B42325" w:rsidRPr="004A3F36"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Yra kardiogeninis šokas.</w:t>
      </w:r>
    </w:p>
    <w:p w:rsidR="00B42325" w:rsidRPr="004A3F36"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lastRenderedPageBreak/>
        <w:t>Yra lengvas arba vidutinio sunkumo kepenų nepakankamumas.</w:t>
      </w:r>
    </w:p>
    <w:p w:rsidR="00B42325"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Trombocitų kiekis yra</w:t>
      </w:r>
      <w:r w:rsidRPr="004A3F36">
        <w:rPr>
          <w:rFonts w:ascii="Times New Roman" w:hAnsi="Times New Roman"/>
          <w:lang w:val="lt-LT"/>
        </w:rPr>
        <w:t xml:space="preserve"> &lt;150</w:t>
      </w:r>
      <w:r>
        <w:rPr>
          <w:rFonts w:ascii="Times New Roman" w:hAnsi="Times New Roman"/>
          <w:lang w:val="lt-LT"/>
        </w:rPr>
        <w:t> </w:t>
      </w:r>
      <w:r w:rsidRPr="004A3F36">
        <w:rPr>
          <w:rFonts w:ascii="Times New Roman" w:hAnsi="Times New Roman"/>
          <w:lang w:val="lt-LT"/>
        </w:rPr>
        <w:t>000/mm</w:t>
      </w:r>
      <w:r w:rsidRPr="00751CEE">
        <w:rPr>
          <w:rFonts w:ascii="Times New Roman" w:hAnsi="Times New Roman"/>
          <w:vertAlign w:val="superscript"/>
          <w:lang w:val="lt-LT"/>
        </w:rPr>
        <w:t>3</w:t>
      </w:r>
      <w:r w:rsidRPr="004A3F36">
        <w:rPr>
          <w:rFonts w:ascii="Times New Roman" w:hAnsi="Times New Roman"/>
          <w:lang w:val="lt-LT"/>
        </w:rPr>
        <w:t xml:space="preserve">, </w:t>
      </w:r>
      <w:r>
        <w:rPr>
          <w:rFonts w:ascii="Times New Roman" w:hAnsi="Times New Roman"/>
          <w:lang w:val="lt-LT"/>
        </w:rPr>
        <w:t>yra buvusi koagulopatija, trombocitų funkcijos sutrikimas ar trombocitopenija.</w:t>
      </w:r>
    </w:p>
    <w:p w:rsidR="00B42325" w:rsidRPr="004A3F36" w:rsidRDefault="00B42325" w:rsidP="009C660D">
      <w:pPr>
        <w:pStyle w:val="Sraopastraipa1"/>
        <w:numPr>
          <w:ilvl w:val="0"/>
          <w:numId w:val="10"/>
        </w:numPr>
        <w:spacing w:after="0" w:line="240" w:lineRule="auto"/>
        <w:ind w:left="567" w:hanging="567"/>
        <w:rPr>
          <w:rFonts w:ascii="Times New Roman" w:hAnsi="Times New Roman"/>
          <w:lang w:val="lt-LT"/>
        </w:rPr>
      </w:pPr>
      <w:r>
        <w:rPr>
          <w:rFonts w:ascii="Times New Roman" w:hAnsi="Times New Roman"/>
          <w:lang w:val="lt-LT"/>
        </w:rPr>
        <w:t xml:space="preserve">Hemoglobino koncentracija yra mažesnė kaip </w:t>
      </w:r>
      <w:r w:rsidRPr="004A3F36">
        <w:rPr>
          <w:rFonts w:ascii="Times New Roman" w:hAnsi="Times New Roman"/>
          <w:lang w:val="lt-LT"/>
        </w:rPr>
        <w:t xml:space="preserve">11 g/dl </w:t>
      </w:r>
      <w:r>
        <w:rPr>
          <w:rFonts w:ascii="Times New Roman" w:hAnsi="Times New Roman"/>
          <w:lang w:val="lt-LT"/>
        </w:rPr>
        <w:t xml:space="preserve">arba hematokrito rodmuo yra </w:t>
      </w:r>
      <w:r w:rsidRPr="004A3F36">
        <w:rPr>
          <w:rFonts w:ascii="Times New Roman" w:hAnsi="Times New Roman"/>
          <w:lang w:val="lt-LT"/>
        </w:rPr>
        <w:t xml:space="preserve">&lt;34%. </w:t>
      </w:r>
    </w:p>
    <w:p w:rsidR="00B42325" w:rsidRPr="004A3F36" w:rsidRDefault="00B42325" w:rsidP="004A3F36">
      <w:pPr>
        <w:spacing w:after="0" w:line="240" w:lineRule="auto"/>
        <w:rPr>
          <w:rFonts w:ascii="Times New Roman" w:hAnsi="Times New Roman"/>
          <w:lang w:val="lt-LT"/>
        </w:rPr>
      </w:pPr>
    </w:p>
    <w:p w:rsidR="00B42325" w:rsidRDefault="00B42325" w:rsidP="004A3F36">
      <w:pPr>
        <w:spacing w:after="0" w:line="240" w:lineRule="auto"/>
        <w:rPr>
          <w:rFonts w:ascii="Times New Roman" w:hAnsi="Times New Roman"/>
          <w:lang w:val="lt-LT"/>
        </w:rPr>
      </w:pPr>
      <w:r>
        <w:rPr>
          <w:rFonts w:ascii="Times New Roman" w:hAnsi="Times New Roman"/>
          <w:lang w:val="lt-LT"/>
        </w:rPr>
        <w:t>Ypač atsargiai kartu su šiuo vaistiniu preparatu reikia vartoti tiklopidino, k</w:t>
      </w:r>
      <w:r w:rsidRPr="004A3F36">
        <w:rPr>
          <w:rFonts w:ascii="Times New Roman" w:hAnsi="Times New Roman"/>
          <w:lang w:val="lt-LT"/>
        </w:rPr>
        <w:t>lopidogrel</w:t>
      </w:r>
      <w:r>
        <w:rPr>
          <w:rFonts w:ascii="Times New Roman" w:hAnsi="Times New Roman"/>
          <w:lang w:val="lt-LT"/>
        </w:rPr>
        <w:t>io</w:t>
      </w:r>
      <w:r w:rsidRPr="004A3F36">
        <w:rPr>
          <w:rFonts w:ascii="Times New Roman" w:hAnsi="Times New Roman"/>
          <w:lang w:val="lt-LT"/>
        </w:rPr>
        <w:t>, aden</w:t>
      </w:r>
      <w:r>
        <w:rPr>
          <w:rFonts w:ascii="Times New Roman" w:hAnsi="Times New Roman"/>
          <w:lang w:val="lt-LT"/>
        </w:rPr>
        <w:t>oz</w:t>
      </w:r>
      <w:r w:rsidRPr="004A3F36">
        <w:rPr>
          <w:rFonts w:ascii="Times New Roman" w:hAnsi="Times New Roman"/>
          <w:lang w:val="lt-LT"/>
        </w:rPr>
        <w:t>in</w:t>
      </w:r>
      <w:r>
        <w:rPr>
          <w:rFonts w:ascii="Times New Roman" w:hAnsi="Times New Roman"/>
          <w:lang w:val="lt-LT"/>
        </w:rPr>
        <w:t>o</w:t>
      </w:r>
      <w:r w:rsidRPr="004A3F36">
        <w:rPr>
          <w:rFonts w:ascii="Times New Roman" w:hAnsi="Times New Roman"/>
          <w:lang w:val="lt-LT"/>
        </w:rPr>
        <w:t>, dip</w:t>
      </w:r>
      <w:r>
        <w:rPr>
          <w:rFonts w:ascii="Times New Roman" w:hAnsi="Times New Roman"/>
          <w:lang w:val="lt-LT"/>
        </w:rPr>
        <w:t>i</w:t>
      </w:r>
      <w:r w:rsidRPr="004A3F36">
        <w:rPr>
          <w:rFonts w:ascii="Times New Roman" w:hAnsi="Times New Roman"/>
          <w:lang w:val="lt-LT"/>
        </w:rPr>
        <w:t>ridamol</w:t>
      </w:r>
      <w:r>
        <w:rPr>
          <w:rFonts w:ascii="Times New Roman" w:hAnsi="Times New Roman"/>
          <w:lang w:val="lt-LT"/>
        </w:rPr>
        <w:t>io</w:t>
      </w:r>
      <w:r w:rsidRPr="004A3F36">
        <w:rPr>
          <w:rFonts w:ascii="Times New Roman" w:hAnsi="Times New Roman"/>
          <w:lang w:val="lt-LT"/>
        </w:rPr>
        <w:t>, sulfinp</w:t>
      </w:r>
      <w:r>
        <w:rPr>
          <w:rFonts w:ascii="Times New Roman" w:hAnsi="Times New Roman"/>
          <w:lang w:val="lt-LT"/>
        </w:rPr>
        <w:t>i</w:t>
      </w:r>
      <w:r w:rsidRPr="004A3F36">
        <w:rPr>
          <w:rFonts w:ascii="Times New Roman" w:hAnsi="Times New Roman"/>
          <w:lang w:val="lt-LT"/>
        </w:rPr>
        <w:t>razon</w:t>
      </w:r>
      <w:r>
        <w:rPr>
          <w:rFonts w:ascii="Times New Roman" w:hAnsi="Times New Roman"/>
          <w:lang w:val="lt-LT"/>
        </w:rPr>
        <w:t>o ar prostaciklino.</w:t>
      </w:r>
    </w:p>
    <w:p w:rsidR="00B42325" w:rsidRDefault="00B42325" w:rsidP="004A3F36">
      <w:pPr>
        <w:spacing w:after="0" w:line="240" w:lineRule="auto"/>
        <w:rPr>
          <w:rFonts w:ascii="Times New Roman" w:hAnsi="Times New Roman"/>
          <w:lang w:val="lt-LT"/>
        </w:rPr>
      </w:pPr>
    </w:p>
    <w:p w:rsidR="00B42325" w:rsidRPr="002B11E2" w:rsidRDefault="00B42325" w:rsidP="002B11E2">
      <w:pPr>
        <w:spacing w:after="0" w:line="240" w:lineRule="auto"/>
        <w:rPr>
          <w:rFonts w:ascii="Times New Roman" w:hAnsi="Times New Roman"/>
          <w:i/>
          <w:lang w:val="lt-LT"/>
        </w:rPr>
      </w:pPr>
      <w:r w:rsidRPr="002B11E2">
        <w:rPr>
          <w:rFonts w:ascii="Times New Roman" w:hAnsi="Times New Roman"/>
          <w:i/>
          <w:lang w:val="lt-LT"/>
        </w:rPr>
        <w:t>Veiksmingumo ir dozės ryšys</w:t>
      </w:r>
    </w:p>
    <w:p w:rsidR="00B42325" w:rsidRPr="004A3F36" w:rsidRDefault="00B42325" w:rsidP="004A3F36">
      <w:pPr>
        <w:spacing w:after="0" w:line="240" w:lineRule="auto"/>
        <w:rPr>
          <w:rFonts w:ascii="Times New Roman" w:hAnsi="Times New Roman"/>
          <w:lang w:val="lt-LT"/>
        </w:rPr>
      </w:pPr>
      <w:r w:rsidRPr="004A3F36">
        <w:rPr>
          <w:rFonts w:ascii="Times New Roman" w:hAnsi="Times New Roman"/>
          <w:lang w:val="lt-LT"/>
        </w:rPr>
        <w:t xml:space="preserve">10 </w:t>
      </w:r>
      <w:r>
        <w:rPr>
          <w:rFonts w:ascii="Times New Roman" w:hAnsi="Times New Roman"/>
          <w:lang w:val="lt-LT"/>
        </w:rPr>
        <w:t>mikrogramų</w:t>
      </w:r>
      <w:r w:rsidRPr="004A3F36">
        <w:rPr>
          <w:rFonts w:ascii="Times New Roman" w:hAnsi="Times New Roman"/>
          <w:lang w:val="lt-LT"/>
        </w:rPr>
        <w:t xml:space="preserve">/kg </w:t>
      </w:r>
      <w:r>
        <w:rPr>
          <w:rFonts w:ascii="Times New Roman" w:hAnsi="Times New Roman"/>
          <w:lang w:val="lt-LT"/>
        </w:rPr>
        <w:t>kūno svorio smūginės</w:t>
      </w:r>
      <w:r w:rsidRPr="004A3F36">
        <w:rPr>
          <w:rFonts w:ascii="Times New Roman" w:hAnsi="Times New Roman"/>
          <w:lang w:val="lt-LT"/>
        </w:rPr>
        <w:t xml:space="preserve"> tirofiban</w:t>
      </w:r>
      <w:r>
        <w:rPr>
          <w:rFonts w:ascii="Times New Roman" w:hAnsi="Times New Roman"/>
          <w:lang w:val="lt-LT"/>
        </w:rPr>
        <w:t xml:space="preserve">o dozės poveikio nenusileidimas abciksimabo poveikiui, vertinant kliniškai reikšmingas vertinamąsias baigtis 30 dieną, patvirtintas nebuvo </w:t>
      </w:r>
      <w:r w:rsidRPr="004A3F36">
        <w:rPr>
          <w:rFonts w:ascii="Times New Roman" w:hAnsi="Times New Roman"/>
          <w:lang w:val="lt-LT"/>
        </w:rPr>
        <w:t>(</w:t>
      </w:r>
      <w:r>
        <w:rPr>
          <w:rFonts w:ascii="Times New Roman" w:hAnsi="Times New Roman"/>
          <w:lang w:val="lt-LT"/>
        </w:rPr>
        <w:t>žr.</w:t>
      </w:r>
      <w:r w:rsidRPr="004A3F36">
        <w:rPr>
          <w:rFonts w:ascii="Times New Roman" w:hAnsi="Times New Roman"/>
          <w:lang w:val="lt-LT"/>
        </w:rPr>
        <w:t xml:space="preserve"> 5.1</w:t>
      </w:r>
      <w:r>
        <w:rPr>
          <w:rFonts w:ascii="Times New Roman" w:hAnsi="Times New Roman"/>
          <w:lang w:val="lt-LT"/>
        </w:rPr>
        <w:t xml:space="preserve"> skyrių</w:t>
      </w:r>
      <w:r w:rsidRPr="004A3F36">
        <w:rPr>
          <w:rFonts w:ascii="Times New Roman" w:hAnsi="Times New Roman"/>
          <w:lang w:val="lt-LT"/>
        </w:rPr>
        <w:t xml:space="preserve">). </w:t>
      </w:r>
    </w:p>
    <w:p w:rsidR="00B42325" w:rsidRDefault="00B42325" w:rsidP="004A3F36">
      <w:pPr>
        <w:spacing w:after="0" w:line="240" w:lineRule="auto"/>
        <w:rPr>
          <w:rFonts w:ascii="Times New Roman" w:hAnsi="Times New Roman"/>
          <w:lang w:val="lt-LT"/>
        </w:rPr>
      </w:pPr>
    </w:p>
    <w:p w:rsidR="00B42325" w:rsidRPr="0053766A" w:rsidRDefault="00B42325" w:rsidP="0053766A">
      <w:pPr>
        <w:spacing w:after="0" w:line="240" w:lineRule="auto"/>
        <w:rPr>
          <w:rFonts w:ascii="Times New Roman" w:hAnsi="Times New Roman"/>
          <w:i/>
          <w:lang w:val="lt-LT"/>
        </w:rPr>
      </w:pPr>
      <w:r w:rsidRPr="0053766A">
        <w:rPr>
          <w:rFonts w:ascii="Times New Roman" w:hAnsi="Times New Roman"/>
          <w:i/>
          <w:lang w:val="lt-LT"/>
        </w:rPr>
        <w:t>Senyvi pacientai, moterys ir mažai sveriantys pacientai</w:t>
      </w:r>
    </w:p>
    <w:p w:rsidR="00B42325" w:rsidRDefault="00B42325" w:rsidP="004A3F36">
      <w:pPr>
        <w:spacing w:after="0" w:line="240" w:lineRule="auto"/>
        <w:rPr>
          <w:rFonts w:ascii="Times New Roman" w:hAnsi="Times New Roman"/>
          <w:lang w:val="lt-LT"/>
        </w:rPr>
      </w:pPr>
      <w:r>
        <w:rPr>
          <w:rFonts w:ascii="Times New Roman" w:hAnsi="Times New Roman"/>
          <w:lang w:val="lt-LT"/>
        </w:rPr>
        <w:t>Senyviems žmonėms ir (arba) moterims dažniau atsiranda kraujavimo komplikacijų, palyginti atitinkamai su jaunesniais pacientais ir vyrais</w:t>
      </w:r>
      <w:r w:rsidRPr="004A3F36">
        <w:rPr>
          <w:rFonts w:ascii="Times New Roman" w:hAnsi="Times New Roman"/>
          <w:lang w:val="lt-LT"/>
        </w:rPr>
        <w:t xml:space="preserve">. </w:t>
      </w:r>
      <w:r>
        <w:rPr>
          <w:rFonts w:ascii="Times New Roman" w:hAnsi="Times New Roman"/>
          <w:lang w:val="lt-LT"/>
        </w:rPr>
        <w:t>Mažai sveriantiems ligoniams yra didesnė kraujavimo tikimybė, nei pacientams, kurių kūno svorio didesnis</w:t>
      </w:r>
      <w:r w:rsidRPr="004A3F36">
        <w:rPr>
          <w:rFonts w:ascii="Times New Roman" w:hAnsi="Times New Roman"/>
          <w:lang w:val="lt-LT"/>
        </w:rPr>
        <w:t xml:space="preserve">. </w:t>
      </w:r>
      <w:r>
        <w:rPr>
          <w:rFonts w:ascii="Times New Roman" w:hAnsi="Times New Roman"/>
          <w:lang w:val="lt-LT"/>
        </w:rPr>
        <w:t>Dėl šios priežasties</w:t>
      </w:r>
      <w:r w:rsidRPr="004A3F36">
        <w:rPr>
          <w:rFonts w:ascii="Times New Roman" w:hAnsi="Times New Roman"/>
          <w:lang w:val="lt-LT"/>
        </w:rPr>
        <w:t xml:space="preserve"> </w:t>
      </w:r>
      <w:r>
        <w:rPr>
          <w:rFonts w:ascii="Times New Roman" w:hAnsi="Times New Roman"/>
          <w:lang w:val="lt-LT"/>
        </w:rPr>
        <w:t>Trombopriv</w:t>
      </w:r>
      <w:r w:rsidRPr="00FC45DB">
        <w:rPr>
          <w:rFonts w:ascii="Times New Roman" w:hAnsi="Times New Roman"/>
          <w:lang w:val="lt-LT"/>
        </w:rPr>
        <w:t xml:space="preserve"> </w:t>
      </w:r>
      <w:r>
        <w:rPr>
          <w:rFonts w:ascii="Times New Roman" w:hAnsi="Times New Roman"/>
          <w:lang w:val="lt-LT"/>
        </w:rPr>
        <w:t>tokiems pacientams būtina skirti atsargiai, be to, būtina atidžiai stebėti heparino poveikį.</w:t>
      </w:r>
    </w:p>
    <w:p w:rsidR="00B42325" w:rsidRDefault="00B42325" w:rsidP="004A3F36">
      <w:pPr>
        <w:spacing w:after="0" w:line="240" w:lineRule="auto"/>
        <w:rPr>
          <w:rFonts w:ascii="Times New Roman" w:hAnsi="Times New Roman"/>
          <w:lang w:val="lt-LT"/>
        </w:rPr>
      </w:pPr>
    </w:p>
    <w:p w:rsidR="00B42325" w:rsidRPr="0053766A" w:rsidRDefault="00B42325" w:rsidP="0053766A">
      <w:pPr>
        <w:spacing w:after="0" w:line="240" w:lineRule="auto"/>
        <w:rPr>
          <w:rFonts w:ascii="Times New Roman" w:hAnsi="Times New Roman"/>
          <w:i/>
          <w:lang w:val="lt-LT"/>
        </w:rPr>
      </w:pPr>
      <w:r w:rsidRPr="0053766A">
        <w:rPr>
          <w:rFonts w:ascii="Times New Roman" w:hAnsi="Times New Roman"/>
          <w:i/>
          <w:lang w:val="lt-LT"/>
        </w:rPr>
        <w:t>Inkstų funkcijos sutrikimas</w:t>
      </w: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Klinikinių tyrimų metu gauta duomenų, kad mažėjant kreatinino klirensui ir kartu tirofibano plazmos klirensui, didėja kraujavimo rizika. Pacientus, kurių inkstų funkcija yra sutrikusi</w:t>
      </w:r>
      <w:r w:rsidRPr="004A3F36">
        <w:rPr>
          <w:rFonts w:ascii="Times New Roman" w:hAnsi="Times New Roman"/>
          <w:lang w:val="lt-LT"/>
        </w:rPr>
        <w:t xml:space="preserve"> (</w:t>
      </w:r>
      <w:r>
        <w:rPr>
          <w:rFonts w:ascii="Times New Roman" w:hAnsi="Times New Roman"/>
          <w:lang w:val="lt-LT"/>
        </w:rPr>
        <w:t>kreatinino klirensas</w:t>
      </w:r>
      <w:r w:rsidRPr="004A3F36">
        <w:rPr>
          <w:rFonts w:ascii="Times New Roman" w:hAnsi="Times New Roman"/>
          <w:lang w:val="lt-LT"/>
        </w:rPr>
        <w:t xml:space="preserve"> &lt;60</w:t>
      </w:r>
      <w:r>
        <w:rPr>
          <w:rFonts w:ascii="Times New Roman" w:hAnsi="Times New Roman"/>
          <w:lang w:val="lt-LT"/>
        </w:rPr>
        <w:t> </w:t>
      </w:r>
      <w:r w:rsidRPr="004A3F36">
        <w:rPr>
          <w:rFonts w:ascii="Times New Roman" w:hAnsi="Times New Roman"/>
          <w:lang w:val="lt-LT"/>
        </w:rPr>
        <w:t>ml/min</w:t>
      </w:r>
      <w:r>
        <w:rPr>
          <w:rFonts w:ascii="Times New Roman" w:hAnsi="Times New Roman"/>
          <w:lang w:val="lt-LT"/>
        </w:rPr>
        <w:t>.</w:t>
      </w:r>
      <w:r w:rsidRPr="004A3F36">
        <w:rPr>
          <w:rFonts w:ascii="Times New Roman" w:hAnsi="Times New Roman"/>
          <w:lang w:val="lt-LT"/>
        </w:rPr>
        <w:t>)</w:t>
      </w:r>
      <w:r>
        <w:rPr>
          <w:rFonts w:ascii="Times New Roman" w:hAnsi="Times New Roman"/>
          <w:lang w:val="lt-LT"/>
        </w:rPr>
        <w:t>, gydymo Trombopriv</w:t>
      </w:r>
      <w:r w:rsidRPr="004A3F36">
        <w:rPr>
          <w:rFonts w:ascii="Times New Roman" w:hAnsi="Times New Roman"/>
          <w:lang w:val="lt-LT"/>
        </w:rPr>
        <w:t xml:space="preserve"> </w:t>
      </w:r>
      <w:r>
        <w:rPr>
          <w:rFonts w:ascii="Times New Roman" w:hAnsi="Times New Roman"/>
          <w:lang w:val="lt-LT"/>
        </w:rPr>
        <w:t>metu būtina atidžiai stebėti, ar neprasideda kraujavimas,</w:t>
      </w:r>
      <w:r w:rsidRPr="004A3F36">
        <w:rPr>
          <w:rFonts w:ascii="Times New Roman" w:hAnsi="Times New Roman"/>
          <w:lang w:val="lt-LT"/>
        </w:rPr>
        <w:t xml:space="preserve"> </w:t>
      </w:r>
      <w:r>
        <w:rPr>
          <w:rFonts w:ascii="Times New Roman" w:hAnsi="Times New Roman"/>
          <w:lang w:val="lt-LT"/>
        </w:rPr>
        <w:t>be to, būtina atidžiai stebėti heparino poveikį</w:t>
      </w:r>
      <w:r w:rsidRPr="004A3F36">
        <w:rPr>
          <w:rFonts w:ascii="Times New Roman" w:hAnsi="Times New Roman"/>
          <w:lang w:val="lt-LT"/>
        </w:rPr>
        <w:t xml:space="preserve">. </w:t>
      </w:r>
      <w:r>
        <w:rPr>
          <w:rFonts w:ascii="Times New Roman" w:hAnsi="Times New Roman"/>
          <w:lang w:val="lt-LT"/>
        </w:rPr>
        <w:t>Jeigu yra sunkus inkstų nepakankamumas,</w:t>
      </w:r>
      <w:r w:rsidRPr="004A3F36">
        <w:rPr>
          <w:rFonts w:ascii="Times New Roman" w:hAnsi="Times New Roman"/>
          <w:lang w:val="lt-LT"/>
        </w:rPr>
        <w:t xml:space="preserve"> </w:t>
      </w:r>
      <w:r>
        <w:rPr>
          <w:rFonts w:ascii="Times New Roman" w:hAnsi="Times New Roman"/>
          <w:lang w:val="lt-LT"/>
        </w:rPr>
        <w:t>Trombopriv dozę reikia mažinti</w:t>
      </w:r>
      <w:r w:rsidRPr="004A3F36">
        <w:rPr>
          <w:rFonts w:ascii="Times New Roman" w:hAnsi="Times New Roman"/>
          <w:lang w:val="lt-LT"/>
        </w:rPr>
        <w:t xml:space="preserve"> (</w:t>
      </w:r>
      <w:r>
        <w:rPr>
          <w:rFonts w:ascii="Times New Roman" w:hAnsi="Times New Roman"/>
          <w:lang w:val="lt-LT"/>
        </w:rPr>
        <w:t>žr.</w:t>
      </w:r>
      <w:r w:rsidRPr="004A3F36">
        <w:rPr>
          <w:rFonts w:ascii="Times New Roman" w:hAnsi="Times New Roman"/>
          <w:lang w:val="lt-LT"/>
        </w:rPr>
        <w:t xml:space="preserve"> 4.2</w:t>
      </w:r>
      <w:r>
        <w:rPr>
          <w:rFonts w:ascii="Times New Roman" w:hAnsi="Times New Roman"/>
          <w:lang w:val="lt-LT"/>
        </w:rPr>
        <w:t xml:space="preserve"> skyrių</w:t>
      </w:r>
      <w:r w:rsidRPr="004A3F36">
        <w:rPr>
          <w:rFonts w:ascii="Times New Roman" w:hAnsi="Times New Roman"/>
          <w:lang w:val="lt-LT"/>
        </w:rPr>
        <w:t xml:space="preserve">). </w:t>
      </w:r>
    </w:p>
    <w:p w:rsidR="00B42325" w:rsidRDefault="00B42325" w:rsidP="004A3F36">
      <w:pPr>
        <w:spacing w:after="0" w:line="240" w:lineRule="auto"/>
        <w:rPr>
          <w:rFonts w:ascii="Times New Roman" w:hAnsi="Times New Roman"/>
          <w:lang w:val="lt-LT"/>
        </w:rPr>
      </w:pPr>
    </w:p>
    <w:p w:rsidR="00B42325" w:rsidRPr="00937989" w:rsidRDefault="00B42325" w:rsidP="00937989">
      <w:pPr>
        <w:spacing w:after="0" w:line="240" w:lineRule="auto"/>
        <w:rPr>
          <w:rFonts w:ascii="Times New Roman" w:hAnsi="Times New Roman"/>
          <w:i/>
          <w:lang w:val="lt-LT"/>
        </w:rPr>
      </w:pPr>
      <w:r w:rsidRPr="00937989">
        <w:rPr>
          <w:rFonts w:ascii="Times New Roman" w:hAnsi="Times New Roman"/>
          <w:i/>
          <w:lang w:val="lt-LT"/>
        </w:rPr>
        <w:t>Šlaunies arterijos kateteris</w:t>
      </w:r>
    </w:p>
    <w:p w:rsidR="00B42325" w:rsidRDefault="00B42325" w:rsidP="00F47F11">
      <w:pPr>
        <w:spacing w:after="0" w:line="240" w:lineRule="auto"/>
        <w:rPr>
          <w:rFonts w:ascii="Times New Roman" w:hAnsi="Times New Roman"/>
          <w:lang w:val="lt-LT"/>
        </w:rPr>
      </w:pPr>
      <w:r>
        <w:rPr>
          <w:rFonts w:ascii="Times New Roman" w:hAnsi="Times New Roman"/>
          <w:lang w:val="lt-LT"/>
        </w:rPr>
        <w:t>Gydymo Trombopriv metu</w:t>
      </w:r>
      <w:r w:rsidRPr="004A3F36">
        <w:rPr>
          <w:rFonts w:ascii="Times New Roman" w:hAnsi="Times New Roman"/>
          <w:lang w:val="lt-LT"/>
        </w:rPr>
        <w:t xml:space="preserve"> </w:t>
      </w:r>
      <w:r>
        <w:rPr>
          <w:rFonts w:ascii="Times New Roman" w:hAnsi="Times New Roman"/>
          <w:lang w:val="lt-LT"/>
        </w:rPr>
        <w:t>reikšmingai didėja kraujavimo dažnis</w:t>
      </w:r>
      <w:r w:rsidRPr="004A3F36">
        <w:rPr>
          <w:rFonts w:ascii="Times New Roman" w:hAnsi="Times New Roman"/>
          <w:lang w:val="lt-LT"/>
        </w:rPr>
        <w:t xml:space="preserve">, </w:t>
      </w:r>
      <w:r>
        <w:rPr>
          <w:rFonts w:ascii="Times New Roman" w:hAnsi="Times New Roman"/>
          <w:lang w:val="lt-LT"/>
        </w:rPr>
        <w:t>ypač šlaunies arterijos srityje</w:t>
      </w:r>
      <w:r w:rsidRPr="004A3F36">
        <w:rPr>
          <w:rFonts w:ascii="Times New Roman" w:hAnsi="Times New Roman"/>
          <w:lang w:val="lt-LT"/>
        </w:rPr>
        <w:t xml:space="preserve">, </w:t>
      </w:r>
      <w:r>
        <w:rPr>
          <w:rFonts w:ascii="Times New Roman" w:hAnsi="Times New Roman"/>
          <w:lang w:val="lt-LT"/>
        </w:rPr>
        <w:t>kur įkišama kateterio mova</w:t>
      </w:r>
      <w:r w:rsidRPr="004A3F36">
        <w:rPr>
          <w:rFonts w:ascii="Times New Roman" w:hAnsi="Times New Roman"/>
          <w:lang w:val="lt-LT"/>
        </w:rPr>
        <w:t xml:space="preserve">. </w:t>
      </w:r>
      <w:r>
        <w:rPr>
          <w:rFonts w:ascii="Times New Roman" w:hAnsi="Times New Roman"/>
          <w:lang w:val="lt-LT"/>
        </w:rPr>
        <w:t>Reikia užtikrinti, kad būtų pradurta tik</w:t>
      </w:r>
      <w:r w:rsidRPr="004A3F36">
        <w:rPr>
          <w:rFonts w:ascii="Times New Roman" w:hAnsi="Times New Roman"/>
          <w:lang w:val="lt-LT"/>
        </w:rPr>
        <w:t xml:space="preserve"> </w:t>
      </w:r>
      <w:r>
        <w:rPr>
          <w:rFonts w:ascii="Times New Roman" w:hAnsi="Times New Roman"/>
          <w:lang w:val="lt-LT"/>
        </w:rPr>
        <w:t>priekinė šlaunies arterijos sienelė</w:t>
      </w:r>
      <w:r w:rsidRPr="004A3F36">
        <w:rPr>
          <w:rFonts w:ascii="Times New Roman" w:hAnsi="Times New Roman"/>
          <w:lang w:val="lt-LT"/>
        </w:rPr>
        <w:t xml:space="preserve">. </w:t>
      </w:r>
      <w:r>
        <w:rPr>
          <w:rFonts w:ascii="Times New Roman" w:hAnsi="Times New Roman"/>
          <w:lang w:val="lt-LT"/>
        </w:rPr>
        <w:t>Mova iš arterijos ištraukiama tada, kai koaguliacijos rodmenys tampa normalūs, t. y. aktyvintas krešėjimo laikas (ACT) tampa mažesnis kaip 180 sekundžių (paprastai po heparino vartojimo nutraukimo praėjus 2</w:t>
      </w:r>
      <w:r>
        <w:rPr>
          <w:rFonts w:ascii="Times New Roman" w:hAnsi="Times New Roman"/>
          <w:lang w:val="lt-LT"/>
        </w:rPr>
        <w:noBreakHyphen/>
        <w:t>6 valandoms).</w:t>
      </w:r>
    </w:p>
    <w:p w:rsidR="00B42325" w:rsidRPr="004A3F36" w:rsidRDefault="00B42325" w:rsidP="004A3F36">
      <w:pPr>
        <w:spacing w:after="0" w:line="240" w:lineRule="auto"/>
        <w:rPr>
          <w:rFonts w:ascii="Times New Roman" w:hAnsi="Times New Roman"/>
          <w:lang w:val="lt-LT"/>
        </w:rPr>
      </w:pPr>
      <w:r>
        <w:rPr>
          <w:rFonts w:ascii="Times New Roman" w:hAnsi="Times New Roman"/>
          <w:lang w:val="lt-LT"/>
        </w:rPr>
        <w:t>Ištraukus pravedėjo movą, būtina užtikrinti gerą hemostazę ir pacientą atidžiai stebėti</w:t>
      </w:r>
      <w:r w:rsidRPr="004A3F36">
        <w:rPr>
          <w:rFonts w:ascii="Times New Roman" w:hAnsi="Times New Roman"/>
          <w:lang w:val="lt-LT"/>
        </w:rPr>
        <w:t xml:space="preserve">. </w:t>
      </w:r>
    </w:p>
    <w:p w:rsidR="00B42325" w:rsidRDefault="00B42325" w:rsidP="004A3F36">
      <w:pPr>
        <w:spacing w:after="0" w:line="240" w:lineRule="auto"/>
        <w:rPr>
          <w:rFonts w:ascii="Times New Roman" w:hAnsi="Times New Roman"/>
          <w:lang w:val="lt-LT"/>
        </w:rPr>
      </w:pPr>
    </w:p>
    <w:p w:rsidR="00B42325" w:rsidRPr="00937989" w:rsidRDefault="00B42325" w:rsidP="00937989">
      <w:pPr>
        <w:spacing w:after="0" w:line="240" w:lineRule="auto"/>
        <w:rPr>
          <w:rFonts w:ascii="Times New Roman" w:hAnsi="Times New Roman"/>
          <w:i/>
          <w:lang w:val="lt-LT"/>
        </w:rPr>
      </w:pPr>
      <w:r w:rsidRPr="00937989">
        <w:rPr>
          <w:rFonts w:ascii="Times New Roman" w:hAnsi="Times New Roman"/>
          <w:i/>
          <w:lang w:val="lt-LT"/>
        </w:rPr>
        <w:t xml:space="preserve">Bendroji </w:t>
      </w:r>
      <w:r>
        <w:rPr>
          <w:rFonts w:ascii="Times New Roman" w:hAnsi="Times New Roman"/>
          <w:i/>
          <w:lang w:val="lt-LT"/>
        </w:rPr>
        <w:t>priežiūra</w:t>
      </w:r>
    </w:p>
    <w:p w:rsidR="00B42325" w:rsidRDefault="00B42325" w:rsidP="004A3F36">
      <w:pPr>
        <w:spacing w:after="0" w:line="240" w:lineRule="auto"/>
        <w:rPr>
          <w:rFonts w:ascii="Times New Roman" w:hAnsi="Times New Roman"/>
          <w:lang w:val="lt-LT"/>
        </w:rPr>
      </w:pPr>
      <w:r>
        <w:rPr>
          <w:rFonts w:ascii="Times New Roman" w:hAnsi="Times New Roman"/>
          <w:lang w:val="lt-LT"/>
        </w:rPr>
        <w:t>Gydymo Trombopriv</w:t>
      </w:r>
      <w:r w:rsidRPr="004A3F36">
        <w:rPr>
          <w:rFonts w:ascii="Times New Roman" w:hAnsi="Times New Roman"/>
          <w:lang w:val="lt-LT"/>
        </w:rPr>
        <w:t xml:space="preserve"> </w:t>
      </w:r>
      <w:r>
        <w:rPr>
          <w:rFonts w:ascii="Times New Roman" w:hAnsi="Times New Roman"/>
          <w:lang w:val="lt-LT"/>
        </w:rPr>
        <w:t>metu būtina iki minimumo sumažinti kraujagyslių punkcijų ir injekcijų į raumenis skaičių</w:t>
      </w:r>
      <w:r w:rsidRPr="004A3F36">
        <w:rPr>
          <w:rFonts w:ascii="Times New Roman" w:hAnsi="Times New Roman"/>
          <w:lang w:val="lt-LT"/>
        </w:rPr>
        <w:t xml:space="preserve">. </w:t>
      </w:r>
      <w:r>
        <w:rPr>
          <w:rFonts w:ascii="Times New Roman" w:hAnsi="Times New Roman"/>
          <w:lang w:val="lt-LT"/>
        </w:rPr>
        <w:t>Intraveninį kateterį galima įkišti tik toje vietoje, kurią galima užspausti</w:t>
      </w:r>
      <w:r w:rsidRPr="004A3F36">
        <w:rPr>
          <w:rFonts w:ascii="Times New Roman" w:hAnsi="Times New Roman"/>
          <w:lang w:val="lt-LT"/>
        </w:rPr>
        <w:t xml:space="preserve">. </w:t>
      </w:r>
      <w:r>
        <w:rPr>
          <w:rFonts w:ascii="Times New Roman" w:hAnsi="Times New Roman"/>
          <w:lang w:val="lt-LT"/>
        </w:rPr>
        <w:t>Visas kraujagyslių punkcijos vietas būtina dokumentuoti ir atidžiai stebėti. Naudoti šlapimo pūslės kateterius, atlikti nazotrachėjinę intubaciją ir įkišti nazogastrinį zondą reikia tik jei būtina.</w:t>
      </w:r>
    </w:p>
    <w:p w:rsidR="00B42325" w:rsidRDefault="00B42325" w:rsidP="004A3F36">
      <w:pPr>
        <w:spacing w:after="0" w:line="240" w:lineRule="auto"/>
        <w:rPr>
          <w:rFonts w:ascii="Times New Roman" w:hAnsi="Times New Roman"/>
          <w:lang w:val="lt-LT"/>
        </w:rPr>
      </w:pPr>
    </w:p>
    <w:p w:rsidR="00B42325" w:rsidRPr="00937989" w:rsidRDefault="00B42325" w:rsidP="00F11618">
      <w:pPr>
        <w:spacing w:after="0" w:line="240" w:lineRule="auto"/>
        <w:rPr>
          <w:rFonts w:ascii="Times New Roman" w:hAnsi="Times New Roman"/>
          <w:i/>
          <w:lang w:val="lt-LT"/>
        </w:rPr>
      </w:pPr>
      <w:r>
        <w:rPr>
          <w:rFonts w:ascii="Times New Roman" w:hAnsi="Times New Roman"/>
          <w:i/>
          <w:lang w:val="lt-LT"/>
        </w:rPr>
        <w:t>Laboratorinių parametrų stebėjimas</w:t>
      </w:r>
    </w:p>
    <w:p w:rsidR="00B42325" w:rsidRPr="004A3F36" w:rsidRDefault="00B42325" w:rsidP="00055956">
      <w:pPr>
        <w:spacing w:after="0" w:line="240" w:lineRule="auto"/>
        <w:rPr>
          <w:rFonts w:ascii="Times New Roman" w:hAnsi="Times New Roman"/>
          <w:lang w:val="lt-LT"/>
        </w:rPr>
      </w:pPr>
      <w:r>
        <w:rPr>
          <w:rFonts w:ascii="Times New Roman" w:hAnsi="Times New Roman"/>
          <w:lang w:val="lt-LT"/>
        </w:rPr>
        <w:t xml:space="preserve">Trombocitų kiekį, hemoglobino ir hematokrito rodmenis reikia nustatyti prieš gydymą Trombopriv, praėjus </w:t>
      </w:r>
      <w:r w:rsidRPr="004A3F36">
        <w:rPr>
          <w:rFonts w:ascii="Times New Roman" w:hAnsi="Times New Roman"/>
          <w:lang w:val="lt-LT"/>
        </w:rPr>
        <w:t xml:space="preserve">2-6 </w:t>
      </w:r>
      <w:r>
        <w:rPr>
          <w:rFonts w:ascii="Times New Roman" w:hAnsi="Times New Roman"/>
          <w:lang w:val="lt-LT"/>
        </w:rPr>
        <w:t xml:space="preserve">valandoms nuo gydymo pradžios ir mažiausiai kartą per parą gydymo metu </w:t>
      </w:r>
      <w:r w:rsidRPr="004A3F36">
        <w:rPr>
          <w:rFonts w:ascii="Times New Roman" w:hAnsi="Times New Roman"/>
          <w:lang w:val="lt-LT"/>
        </w:rPr>
        <w:t>(</w:t>
      </w:r>
      <w:r>
        <w:rPr>
          <w:rFonts w:ascii="Times New Roman" w:hAnsi="Times New Roman"/>
          <w:lang w:val="lt-LT"/>
        </w:rPr>
        <w:t>arba dažniau, jei yra požymių, kad minėti rodmenys reikšmingai sumažėjo). Jei pacientas anksčiau buvo gydomas</w:t>
      </w:r>
      <w:r w:rsidRPr="004A3F36">
        <w:rPr>
          <w:rFonts w:ascii="Times New Roman" w:hAnsi="Times New Roman"/>
          <w:lang w:val="lt-LT"/>
        </w:rPr>
        <w:t xml:space="preserve"> GPIIb/IIIa receptor</w:t>
      </w:r>
      <w:r>
        <w:rPr>
          <w:rFonts w:ascii="Times New Roman" w:hAnsi="Times New Roman"/>
          <w:lang w:val="lt-LT"/>
        </w:rPr>
        <w:t>ių</w:t>
      </w:r>
      <w:r w:rsidRPr="004A3F36">
        <w:rPr>
          <w:rFonts w:ascii="Times New Roman" w:hAnsi="Times New Roman"/>
          <w:lang w:val="lt-LT"/>
        </w:rPr>
        <w:t xml:space="preserve"> antagonist</w:t>
      </w:r>
      <w:r>
        <w:rPr>
          <w:rFonts w:ascii="Times New Roman" w:hAnsi="Times New Roman"/>
          <w:lang w:val="lt-LT"/>
        </w:rPr>
        <w:t>ai</w:t>
      </w:r>
      <w:r w:rsidRPr="004A3F36">
        <w:rPr>
          <w:rFonts w:ascii="Times New Roman" w:hAnsi="Times New Roman"/>
          <w:lang w:val="lt-LT"/>
        </w:rPr>
        <w:t>s (</w:t>
      </w:r>
      <w:r>
        <w:rPr>
          <w:rFonts w:ascii="Times New Roman" w:hAnsi="Times New Roman"/>
          <w:lang w:val="lt-LT"/>
        </w:rPr>
        <w:t>galimas kryžminis reaktyvumas</w:t>
      </w:r>
      <w:r w:rsidRPr="004A3F36">
        <w:rPr>
          <w:rFonts w:ascii="Times New Roman" w:hAnsi="Times New Roman"/>
          <w:lang w:val="lt-LT"/>
        </w:rPr>
        <w:t xml:space="preserve">), </w:t>
      </w:r>
      <w:r>
        <w:rPr>
          <w:rFonts w:ascii="Times New Roman" w:hAnsi="Times New Roman"/>
          <w:lang w:val="lt-LT"/>
        </w:rPr>
        <w:t xml:space="preserve">trombocitų kiekį reikia nustatyti nedelsiant, t. y. per pirmąją valandą po kartotinės ekspozicijos </w:t>
      </w:r>
      <w:r w:rsidRPr="004A3F36">
        <w:rPr>
          <w:rFonts w:ascii="Times New Roman" w:hAnsi="Times New Roman"/>
          <w:lang w:val="lt-LT"/>
        </w:rPr>
        <w:t>(</w:t>
      </w:r>
      <w:r>
        <w:rPr>
          <w:rFonts w:ascii="Times New Roman" w:hAnsi="Times New Roman"/>
          <w:lang w:val="lt-LT"/>
        </w:rPr>
        <w:t>žr.</w:t>
      </w:r>
      <w:r w:rsidRPr="004A3F36">
        <w:rPr>
          <w:rFonts w:ascii="Times New Roman" w:hAnsi="Times New Roman"/>
          <w:lang w:val="lt-LT"/>
        </w:rPr>
        <w:t xml:space="preserve"> 4.8</w:t>
      </w:r>
      <w:r>
        <w:rPr>
          <w:rFonts w:ascii="Times New Roman" w:hAnsi="Times New Roman"/>
          <w:lang w:val="lt-LT"/>
        </w:rPr>
        <w:t xml:space="preserve"> skyrių</w:t>
      </w:r>
      <w:r w:rsidRPr="004A3F36">
        <w:rPr>
          <w:rFonts w:ascii="Times New Roman" w:hAnsi="Times New Roman"/>
          <w:lang w:val="lt-LT"/>
        </w:rPr>
        <w:t xml:space="preserve">). </w:t>
      </w:r>
      <w:r>
        <w:rPr>
          <w:rFonts w:ascii="Times New Roman" w:hAnsi="Times New Roman"/>
          <w:lang w:val="lt-LT"/>
        </w:rPr>
        <w:t xml:space="preserve">Jei trombocitų kiekis tampa mažesnis kaip </w:t>
      </w:r>
      <w:r w:rsidRPr="004A3F36">
        <w:rPr>
          <w:rFonts w:ascii="Times New Roman" w:hAnsi="Times New Roman"/>
          <w:lang w:val="lt-LT"/>
        </w:rPr>
        <w:t>90</w:t>
      </w:r>
      <w:r>
        <w:rPr>
          <w:rFonts w:ascii="Times New Roman" w:hAnsi="Times New Roman"/>
          <w:lang w:val="lt-LT"/>
        </w:rPr>
        <w:t xml:space="preserve"> </w:t>
      </w:r>
      <w:r w:rsidRPr="004A3F36">
        <w:rPr>
          <w:rFonts w:ascii="Times New Roman" w:hAnsi="Times New Roman"/>
          <w:lang w:val="lt-LT"/>
        </w:rPr>
        <w:t>000/mm</w:t>
      </w:r>
      <w:r w:rsidRPr="00055956">
        <w:rPr>
          <w:rFonts w:ascii="Times New Roman" w:hAnsi="Times New Roman"/>
          <w:vertAlign w:val="superscript"/>
          <w:lang w:val="lt-LT"/>
        </w:rPr>
        <w:t>3</w:t>
      </w:r>
      <w:r w:rsidRPr="004A3F36">
        <w:rPr>
          <w:rFonts w:ascii="Times New Roman" w:hAnsi="Times New Roman"/>
          <w:lang w:val="lt-LT"/>
        </w:rPr>
        <w:t xml:space="preserve">, </w:t>
      </w:r>
      <w:r>
        <w:rPr>
          <w:rFonts w:ascii="Times New Roman" w:hAnsi="Times New Roman"/>
          <w:lang w:val="lt-LT"/>
        </w:rPr>
        <w:t>trombocitų kiekio tyrimus reikia kartoti, kad būtų paneigta pseudotrombocitopenija</w:t>
      </w:r>
      <w:r w:rsidRPr="004A3F36">
        <w:rPr>
          <w:rFonts w:ascii="Times New Roman" w:hAnsi="Times New Roman"/>
          <w:lang w:val="lt-LT"/>
        </w:rPr>
        <w:t xml:space="preserve">. </w:t>
      </w:r>
      <w:r>
        <w:rPr>
          <w:rFonts w:ascii="Times New Roman" w:hAnsi="Times New Roman"/>
          <w:lang w:val="lt-LT"/>
        </w:rPr>
        <w:t>Jei patvirtinama, kad yra trombocitopenija</w:t>
      </w:r>
      <w:r w:rsidRPr="004A3F36">
        <w:rPr>
          <w:rFonts w:ascii="Times New Roman" w:hAnsi="Times New Roman"/>
          <w:lang w:val="lt-LT"/>
        </w:rPr>
        <w:t xml:space="preserve">, </w:t>
      </w:r>
      <w:r>
        <w:rPr>
          <w:rFonts w:ascii="Times New Roman" w:hAnsi="Times New Roman"/>
          <w:lang w:val="lt-LT"/>
        </w:rPr>
        <w:t>Trombopriv</w:t>
      </w:r>
      <w:r w:rsidRPr="004A3F36">
        <w:rPr>
          <w:rFonts w:ascii="Times New Roman" w:hAnsi="Times New Roman"/>
          <w:lang w:val="lt-LT"/>
        </w:rPr>
        <w:t xml:space="preserve"> </w:t>
      </w:r>
      <w:r>
        <w:rPr>
          <w:rFonts w:ascii="Times New Roman" w:hAnsi="Times New Roman"/>
          <w:lang w:val="lt-LT"/>
        </w:rPr>
        <w:t>ir heparino vartojimą būtina nutraukti</w:t>
      </w:r>
      <w:r w:rsidRPr="004A3F36">
        <w:rPr>
          <w:rFonts w:ascii="Times New Roman" w:hAnsi="Times New Roman"/>
          <w:lang w:val="lt-LT"/>
        </w:rPr>
        <w:t xml:space="preserve">. </w:t>
      </w:r>
      <w:r>
        <w:rPr>
          <w:rFonts w:ascii="Times New Roman" w:hAnsi="Times New Roman"/>
          <w:lang w:val="lt-LT"/>
        </w:rPr>
        <w:t>Pacientus</w:t>
      </w:r>
      <w:r w:rsidRPr="004A3F36">
        <w:rPr>
          <w:rFonts w:ascii="Times New Roman" w:hAnsi="Times New Roman"/>
          <w:lang w:val="lt-LT"/>
        </w:rPr>
        <w:t xml:space="preserve"> </w:t>
      </w:r>
      <w:r>
        <w:rPr>
          <w:rFonts w:ascii="Times New Roman" w:hAnsi="Times New Roman"/>
          <w:lang w:val="lt-LT"/>
        </w:rPr>
        <w:t>būtina stebėti, ar neprasideda kraujavimas,</w:t>
      </w:r>
      <w:r w:rsidRPr="004A3F36">
        <w:rPr>
          <w:rFonts w:ascii="Times New Roman" w:hAnsi="Times New Roman"/>
          <w:lang w:val="lt-LT"/>
        </w:rPr>
        <w:t xml:space="preserve"> </w:t>
      </w:r>
      <w:r>
        <w:rPr>
          <w:rFonts w:ascii="Times New Roman" w:hAnsi="Times New Roman"/>
          <w:lang w:val="lt-LT"/>
        </w:rPr>
        <w:t>ir, jei reikia, pradėti tinkamą gydymą</w:t>
      </w:r>
      <w:r w:rsidRPr="004A3F36">
        <w:rPr>
          <w:rFonts w:ascii="Times New Roman" w:hAnsi="Times New Roman"/>
          <w:lang w:val="lt-LT"/>
        </w:rPr>
        <w:t xml:space="preserve"> (</w:t>
      </w:r>
      <w:r>
        <w:rPr>
          <w:rFonts w:ascii="Times New Roman" w:hAnsi="Times New Roman"/>
          <w:lang w:val="lt-LT"/>
        </w:rPr>
        <w:t>žr.</w:t>
      </w:r>
      <w:r w:rsidRPr="004A3F36">
        <w:rPr>
          <w:rFonts w:ascii="Times New Roman" w:hAnsi="Times New Roman"/>
          <w:lang w:val="lt-LT"/>
        </w:rPr>
        <w:t xml:space="preserve"> 4.9</w:t>
      </w:r>
      <w:r>
        <w:rPr>
          <w:rFonts w:ascii="Times New Roman" w:hAnsi="Times New Roman"/>
          <w:lang w:val="lt-LT"/>
        </w:rPr>
        <w:t xml:space="preserve"> skyrių).</w:t>
      </w:r>
    </w:p>
    <w:p w:rsidR="00B42325" w:rsidRDefault="00B42325" w:rsidP="004A3F36">
      <w:pPr>
        <w:spacing w:after="0" w:line="240" w:lineRule="auto"/>
        <w:rPr>
          <w:rFonts w:ascii="Times New Roman" w:hAnsi="Times New Roman"/>
          <w:lang w:val="lt-LT"/>
        </w:rPr>
      </w:pPr>
    </w:p>
    <w:p w:rsidR="00B42325" w:rsidRDefault="00B42325" w:rsidP="004A3F36">
      <w:pPr>
        <w:spacing w:after="0" w:line="240" w:lineRule="auto"/>
        <w:rPr>
          <w:rFonts w:ascii="Times New Roman" w:hAnsi="Times New Roman"/>
          <w:lang w:val="lt-LT"/>
        </w:rPr>
      </w:pPr>
      <w:r>
        <w:rPr>
          <w:rFonts w:ascii="Times New Roman" w:hAnsi="Times New Roman"/>
          <w:lang w:val="lt-LT"/>
        </w:rPr>
        <w:t>Be to, prieš gydymą reikia nustatyti aktyvintą dalinį tromboplastino laiką</w:t>
      </w:r>
      <w:r w:rsidRPr="004A3F36">
        <w:rPr>
          <w:rFonts w:ascii="Times New Roman" w:hAnsi="Times New Roman"/>
          <w:lang w:val="lt-LT"/>
        </w:rPr>
        <w:t xml:space="preserve"> (</w:t>
      </w:r>
      <w:r w:rsidRPr="008C23C9">
        <w:rPr>
          <w:rFonts w:ascii="Times New Roman" w:hAnsi="Times New Roman"/>
          <w:lang w:val="lt-LT"/>
        </w:rPr>
        <w:t>APTT</w:t>
      </w:r>
      <w:r w:rsidRPr="004A3F36">
        <w:rPr>
          <w:rFonts w:ascii="Times New Roman" w:hAnsi="Times New Roman"/>
          <w:lang w:val="lt-LT"/>
        </w:rPr>
        <w:t xml:space="preserve">) </w:t>
      </w:r>
      <w:r>
        <w:rPr>
          <w:rFonts w:ascii="Times New Roman" w:hAnsi="Times New Roman"/>
          <w:lang w:val="lt-LT"/>
        </w:rPr>
        <w:t xml:space="preserve">bei, kartojant šį tyrimą, atidžiai stebėti antikoaguliacinį heparino poveikį ir atitinkamai koreguoti dozę </w:t>
      </w:r>
      <w:r w:rsidRPr="004A3F36">
        <w:rPr>
          <w:rFonts w:ascii="Times New Roman" w:hAnsi="Times New Roman"/>
          <w:lang w:val="lt-LT"/>
        </w:rPr>
        <w:t>(</w:t>
      </w:r>
      <w:r>
        <w:rPr>
          <w:rFonts w:ascii="Times New Roman" w:hAnsi="Times New Roman"/>
          <w:lang w:val="lt-LT"/>
        </w:rPr>
        <w:t>žr.</w:t>
      </w:r>
      <w:r w:rsidRPr="004A3F36">
        <w:rPr>
          <w:rFonts w:ascii="Times New Roman" w:hAnsi="Times New Roman"/>
          <w:lang w:val="lt-LT"/>
        </w:rPr>
        <w:t xml:space="preserve"> 4.2</w:t>
      </w:r>
      <w:r>
        <w:rPr>
          <w:rFonts w:ascii="Times New Roman" w:hAnsi="Times New Roman"/>
          <w:lang w:val="lt-LT"/>
        </w:rPr>
        <w:t xml:space="preserve"> skyrių</w:t>
      </w:r>
      <w:r w:rsidRPr="004A3F36">
        <w:rPr>
          <w:rFonts w:ascii="Times New Roman" w:hAnsi="Times New Roman"/>
          <w:lang w:val="lt-LT"/>
        </w:rPr>
        <w:t xml:space="preserve">). </w:t>
      </w:r>
      <w:r>
        <w:rPr>
          <w:rFonts w:ascii="Times New Roman" w:hAnsi="Times New Roman"/>
          <w:lang w:val="lt-LT"/>
        </w:rPr>
        <w:t xml:space="preserve">Gali pasireikšti gyvybei pavojingas kraujavimas, ypač jei heparino vartojama kartu su kitais hemostazę veikiančiais preparatais, pvz., </w:t>
      </w:r>
      <w:r w:rsidRPr="004A3F36">
        <w:rPr>
          <w:rFonts w:ascii="Times New Roman" w:hAnsi="Times New Roman"/>
          <w:lang w:val="lt-LT"/>
        </w:rPr>
        <w:t>GPIIb/IIIa receptor</w:t>
      </w:r>
      <w:r>
        <w:rPr>
          <w:rFonts w:ascii="Times New Roman" w:hAnsi="Times New Roman"/>
          <w:lang w:val="lt-LT"/>
        </w:rPr>
        <w:t>ių</w:t>
      </w:r>
      <w:r w:rsidRPr="004A3F36">
        <w:rPr>
          <w:rFonts w:ascii="Times New Roman" w:hAnsi="Times New Roman"/>
          <w:lang w:val="lt-LT"/>
        </w:rPr>
        <w:t xml:space="preserve"> antagonist</w:t>
      </w:r>
      <w:r>
        <w:rPr>
          <w:rFonts w:ascii="Times New Roman" w:hAnsi="Times New Roman"/>
          <w:lang w:val="lt-LT"/>
        </w:rPr>
        <w:t>ai</w:t>
      </w:r>
      <w:r w:rsidRPr="004A3F36">
        <w:rPr>
          <w:rFonts w:ascii="Times New Roman" w:hAnsi="Times New Roman"/>
          <w:lang w:val="lt-LT"/>
        </w:rPr>
        <w:t xml:space="preserve">s. </w:t>
      </w:r>
    </w:p>
    <w:p w:rsidR="00B42325" w:rsidRDefault="00B42325" w:rsidP="004A3F36">
      <w:pPr>
        <w:spacing w:after="0" w:line="240" w:lineRule="auto"/>
        <w:rPr>
          <w:rFonts w:ascii="Times New Roman" w:hAnsi="Times New Roman"/>
          <w:lang w:val="lt-LT"/>
        </w:rPr>
      </w:pPr>
    </w:p>
    <w:p w:rsidR="00B42325" w:rsidRDefault="00B42325" w:rsidP="00B710FC">
      <w:pPr>
        <w:pStyle w:val="BTEMEASMCA"/>
        <w:rPr>
          <w:noProof w:val="0"/>
        </w:rPr>
      </w:pPr>
      <w:r w:rsidRPr="00A75468">
        <w:rPr>
          <w:noProof w:val="0"/>
        </w:rPr>
        <w:lastRenderedPageBreak/>
        <w:t xml:space="preserve">Kiekviename šio tirpalo </w:t>
      </w:r>
      <w:r>
        <w:rPr>
          <w:noProof w:val="0"/>
        </w:rPr>
        <w:t>flakone</w:t>
      </w:r>
      <w:r w:rsidRPr="00A75468">
        <w:rPr>
          <w:noProof w:val="0"/>
        </w:rPr>
        <w:t xml:space="preserve"> (50 ml) yra mažiau kaip 1 mmol (arba 23 mg) natrio, tai yra jis beveik neturi reikšmės. </w:t>
      </w:r>
    </w:p>
    <w:p w:rsidR="00B42325" w:rsidRPr="00F06B81" w:rsidRDefault="00B42325" w:rsidP="004A3F36">
      <w:pPr>
        <w:spacing w:after="0" w:line="240" w:lineRule="auto"/>
        <w:rPr>
          <w:lang w:val="lt-LT"/>
        </w:rPr>
      </w:pPr>
    </w:p>
    <w:p w:rsidR="00B42325" w:rsidRDefault="00B42325" w:rsidP="00FD319D">
      <w:pPr>
        <w:pStyle w:val="PI-2EMEASMCA"/>
        <w:numPr>
          <w:ilvl w:val="1"/>
          <w:numId w:val="22"/>
        </w:numPr>
      </w:pPr>
      <w:bookmarkStart w:id="22" w:name="_Toc129243106"/>
      <w:bookmarkStart w:id="23" w:name="_Toc129243231"/>
      <w:r w:rsidRPr="00F06B81">
        <w:t>Sąveika su kitais vaistiniais preparatais ir kitokia sąveika</w:t>
      </w:r>
      <w:bookmarkEnd w:id="22"/>
      <w:bookmarkEnd w:id="23"/>
    </w:p>
    <w:p w:rsidR="00B42325" w:rsidRDefault="00B42325" w:rsidP="00FD319D">
      <w:pPr>
        <w:pStyle w:val="PI-2EMEASMCA"/>
      </w:pPr>
    </w:p>
    <w:p w:rsidR="00B42325" w:rsidRPr="00FD319D" w:rsidRDefault="00B42325" w:rsidP="00FD319D">
      <w:pPr>
        <w:pStyle w:val="PI-2EMEASMCA"/>
        <w:rPr>
          <w:b w:val="0"/>
        </w:rPr>
      </w:pPr>
      <w:r w:rsidRPr="00FD319D">
        <w:rPr>
          <w:b w:val="0"/>
        </w:rPr>
        <w:t>Sąveikos tyrimai buvo atliekami tik suaugusiems žmonėms.</w:t>
      </w:r>
    </w:p>
    <w:p w:rsidR="00B42325" w:rsidRPr="00FD319D" w:rsidRDefault="00B42325" w:rsidP="00FD319D">
      <w:pPr>
        <w:spacing w:after="0" w:line="240" w:lineRule="auto"/>
        <w:rPr>
          <w:rFonts w:ascii="Times New Roman" w:hAnsi="Times New Roman"/>
          <w:lang w:val="lt-LT"/>
        </w:rPr>
      </w:pPr>
    </w:p>
    <w:p w:rsidR="00B42325" w:rsidRDefault="00B42325" w:rsidP="00804F65">
      <w:pPr>
        <w:spacing w:after="0" w:line="240" w:lineRule="auto"/>
        <w:rPr>
          <w:rFonts w:ascii="Times New Roman" w:hAnsi="Times New Roman"/>
          <w:lang w:val="lt-LT"/>
        </w:rPr>
      </w:pPr>
      <w:r>
        <w:rPr>
          <w:rFonts w:ascii="Times New Roman" w:hAnsi="Times New Roman"/>
          <w:lang w:val="lt-LT"/>
        </w:rPr>
        <w:t>Kelių trombocitų agregaciją slopinančių preparatų vartojimas, kaip ir heparino, varfarino ir trombolitikų vartojimas tuo pačiu metu, didina kraujavimo riziką</w:t>
      </w:r>
      <w:r w:rsidRPr="00804F65">
        <w:rPr>
          <w:rFonts w:ascii="Times New Roman" w:hAnsi="Times New Roman"/>
          <w:lang w:val="lt-LT"/>
        </w:rPr>
        <w:t xml:space="preserve">. </w:t>
      </w:r>
      <w:r>
        <w:rPr>
          <w:rFonts w:ascii="Times New Roman" w:hAnsi="Times New Roman"/>
          <w:lang w:val="lt-LT"/>
        </w:rPr>
        <w:t>Būtina reguliariai tirti klinikinius ir biologinius homeostazės parametrus.</w:t>
      </w:r>
    </w:p>
    <w:p w:rsidR="00B42325" w:rsidRPr="00FD319D" w:rsidRDefault="00B42325" w:rsidP="00804F65">
      <w:pPr>
        <w:spacing w:after="0" w:line="240" w:lineRule="auto"/>
        <w:rPr>
          <w:rFonts w:ascii="Times New Roman" w:hAnsi="Times New Roman"/>
          <w:lang w:val="lt-LT"/>
        </w:rPr>
      </w:pPr>
    </w:p>
    <w:p w:rsidR="00B42325" w:rsidRDefault="00B42325" w:rsidP="00804F65">
      <w:pPr>
        <w:spacing w:after="0" w:line="240" w:lineRule="auto"/>
        <w:rPr>
          <w:rFonts w:ascii="Times New Roman" w:hAnsi="Times New Roman"/>
          <w:lang w:val="lt-LT"/>
        </w:rPr>
      </w:pPr>
      <w:r>
        <w:rPr>
          <w:rFonts w:ascii="Times New Roman" w:hAnsi="Times New Roman"/>
          <w:lang w:val="lt-LT"/>
        </w:rPr>
        <w:t>Kartu vartojami Trombopriv</w:t>
      </w:r>
      <w:r w:rsidRPr="00804F65">
        <w:rPr>
          <w:rFonts w:ascii="Times New Roman" w:hAnsi="Times New Roman"/>
          <w:lang w:val="lt-LT"/>
        </w:rPr>
        <w:t xml:space="preserve"> </w:t>
      </w:r>
      <w:r>
        <w:rPr>
          <w:rFonts w:ascii="Times New Roman" w:hAnsi="Times New Roman"/>
          <w:lang w:val="lt-LT"/>
        </w:rPr>
        <w:t>ir</w:t>
      </w:r>
      <w:r w:rsidRPr="00804F65">
        <w:rPr>
          <w:rFonts w:ascii="Times New Roman" w:hAnsi="Times New Roman"/>
          <w:lang w:val="lt-LT"/>
        </w:rPr>
        <w:t xml:space="preserve"> ASA</w:t>
      </w:r>
      <w:r>
        <w:rPr>
          <w:rFonts w:ascii="Times New Roman" w:hAnsi="Times New Roman"/>
          <w:lang w:val="lt-LT"/>
        </w:rPr>
        <w:t xml:space="preserve"> (acetilsalicilo rūgštis ar aspirinas)</w:t>
      </w:r>
      <w:r w:rsidRPr="00804F65">
        <w:rPr>
          <w:rFonts w:ascii="Times New Roman" w:hAnsi="Times New Roman"/>
          <w:lang w:val="lt-LT"/>
        </w:rPr>
        <w:t xml:space="preserve"> </w:t>
      </w:r>
      <w:r>
        <w:rPr>
          <w:rFonts w:ascii="Times New Roman" w:hAnsi="Times New Roman"/>
          <w:lang w:val="lt-LT"/>
        </w:rPr>
        <w:t>trombocitų agregacijos slopinimą didina labiau, nei vien aspirinas</w:t>
      </w:r>
      <w:r w:rsidRPr="00804F65">
        <w:rPr>
          <w:rFonts w:ascii="Times New Roman" w:hAnsi="Times New Roman"/>
          <w:lang w:val="lt-LT"/>
        </w:rPr>
        <w:t xml:space="preserve"> </w:t>
      </w:r>
      <w:r>
        <w:rPr>
          <w:rFonts w:ascii="Times New Roman" w:hAnsi="Times New Roman"/>
          <w:lang w:val="lt-LT"/>
        </w:rPr>
        <w:t xml:space="preserve">(tai nustatyta atlikus </w:t>
      </w:r>
      <w:r w:rsidRPr="007B1B30">
        <w:rPr>
          <w:rFonts w:ascii="Times New Roman" w:hAnsi="Times New Roman"/>
          <w:i/>
          <w:lang w:val="lt-LT"/>
        </w:rPr>
        <w:t>ex vivo</w:t>
      </w:r>
      <w:r w:rsidRPr="00804F65">
        <w:rPr>
          <w:rFonts w:ascii="Times New Roman" w:hAnsi="Times New Roman"/>
          <w:lang w:val="lt-LT"/>
        </w:rPr>
        <w:t xml:space="preserve"> </w:t>
      </w:r>
      <w:r w:rsidRPr="00BF2FB2">
        <w:rPr>
          <w:rFonts w:ascii="Times New Roman" w:hAnsi="Times New Roman"/>
          <w:lang w:val="lt-LT"/>
        </w:rPr>
        <w:t>APD</w:t>
      </w:r>
      <w:r>
        <w:rPr>
          <w:rFonts w:ascii="Times New Roman" w:hAnsi="Times New Roman"/>
          <w:lang w:val="lt-LT"/>
        </w:rPr>
        <w:t xml:space="preserve"> (</w:t>
      </w:r>
      <w:r w:rsidRPr="00BF2FB2">
        <w:rPr>
          <w:rFonts w:ascii="Times New Roman" w:hAnsi="Times New Roman"/>
          <w:lang w:val="lt-LT"/>
        </w:rPr>
        <w:t xml:space="preserve">ang. </w:t>
      </w:r>
      <w:r w:rsidRPr="007E4B9B">
        <w:rPr>
          <w:rStyle w:val="ft"/>
          <w:rFonts w:ascii="Times New Roman" w:hAnsi="Times New Roman"/>
          <w:i/>
          <w:color w:val="222222"/>
          <w:lang w:val="lt-LT"/>
        </w:rPr>
        <w:t>antiplatelet drugs</w:t>
      </w:r>
      <w:r>
        <w:rPr>
          <w:rFonts w:ascii="Times New Roman" w:hAnsi="Times New Roman"/>
          <w:lang w:val="lt-LT"/>
        </w:rPr>
        <w:t>) sukeltos trombocitų agregacijos testą)</w:t>
      </w:r>
      <w:r w:rsidRPr="00804F65">
        <w:rPr>
          <w:rFonts w:ascii="Times New Roman" w:hAnsi="Times New Roman"/>
          <w:lang w:val="lt-LT"/>
        </w:rPr>
        <w:t xml:space="preserve">. </w:t>
      </w:r>
      <w:r>
        <w:rPr>
          <w:rFonts w:ascii="Times New Roman" w:hAnsi="Times New Roman"/>
          <w:lang w:val="lt-LT"/>
        </w:rPr>
        <w:t>Kartu vartojami Trombopriv</w:t>
      </w:r>
      <w:r w:rsidRPr="00804F65">
        <w:rPr>
          <w:rFonts w:ascii="Times New Roman" w:hAnsi="Times New Roman"/>
          <w:lang w:val="lt-LT"/>
        </w:rPr>
        <w:t xml:space="preserve"> </w:t>
      </w:r>
      <w:r>
        <w:rPr>
          <w:rFonts w:ascii="Times New Roman" w:hAnsi="Times New Roman"/>
          <w:lang w:val="lt-LT"/>
        </w:rPr>
        <w:t>ir</w:t>
      </w:r>
      <w:r w:rsidRPr="00804F65">
        <w:rPr>
          <w:rFonts w:ascii="Times New Roman" w:hAnsi="Times New Roman"/>
          <w:lang w:val="lt-LT"/>
        </w:rPr>
        <w:t xml:space="preserve"> </w:t>
      </w:r>
      <w:r>
        <w:rPr>
          <w:rFonts w:ascii="Times New Roman" w:hAnsi="Times New Roman"/>
          <w:lang w:val="lt-LT"/>
        </w:rPr>
        <w:t>nefrakcionuotas heparinas kraujavimo laiką ilgina labiau, nei vien nefrakcionuotas heparinas.</w:t>
      </w:r>
    </w:p>
    <w:p w:rsidR="00B42325" w:rsidRPr="00804F65" w:rsidRDefault="00B42325" w:rsidP="00804F65">
      <w:pPr>
        <w:spacing w:after="0" w:line="240" w:lineRule="auto"/>
        <w:rPr>
          <w:rFonts w:ascii="Times New Roman" w:hAnsi="Times New Roman"/>
          <w:lang w:val="lt-LT"/>
        </w:rPr>
      </w:pPr>
    </w:p>
    <w:p w:rsidR="00B42325" w:rsidRDefault="00B42325" w:rsidP="00804F65">
      <w:pPr>
        <w:spacing w:after="0" w:line="240" w:lineRule="auto"/>
        <w:rPr>
          <w:rFonts w:ascii="Times New Roman" w:hAnsi="Times New Roman"/>
          <w:lang w:val="lt-LT"/>
        </w:rPr>
      </w:pPr>
      <w:r>
        <w:rPr>
          <w:rFonts w:ascii="Times New Roman" w:hAnsi="Times New Roman"/>
          <w:lang w:val="lt-LT"/>
        </w:rPr>
        <w:t>Kartu vartojant Trombopriv, nefrakcionuoto heparino, ASA ir klopidogrelio, kraujavimo dažnis buvo panašus, kaip ir kartu vartojant nefrakcionuoto heparino, ASA ar klopidogrelio</w:t>
      </w:r>
      <w:r w:rsidRPr="00804F65">
        <w:rPr>
          <w:rFonts w:ascii="Times New Roman" w:hAnsi="Times New Roman"/>
          <w:lang w:val="lt-LT"/>
        </w:rPr>
        <w:t xml:space="preserve"> (</w:t>
      </w:r>
      <w:r>
        <w:rPr>
          <w:rFonts w:ascii="Times New Roman" w:hAnsi="Times New Roman"/>
          <w:lang w:val="lt-LT"/>
        </w:rPr>
        <w:t>žr.</w:t>
      </w:r>
      <w:r w:rsidRPr="00804F65">
        <w:rPr>
          <w:rFonts w:ascii="Times New Roman" w:hAnsi="Times New Roman"/>
          <w:lang w:val="lt-LT"/>
        </w:rPr>
        <w:t xml:space="preserve"> 4.4 </w:t>
      </w:r>
      <w:r>
        <w:rPr>
          <w:rFonts w:ascii="Times New Roman" w:hAnsi="Times New Roman"/>
          <w:lang w:val="lt-LT"/>
        </w:rPr>
        <w:t>ir</w:t>
      </w:r>
      <w:r w:rsidRPr="00804F65">
        <w:rPr>
          <w:rFonts w:ascii="Times New Roman" w:hAnsi="Times New Roman"/>
          <w:lang w:val="lt-LT"/>
        </w:rPr>
        <w:t xml:space="preserve"> 4.8</w:t>
      </w:r>
      <w:r>
        <w:rPr>
          <w:rFonts w:ascii="Times New Roman" w:hAnsi="Times New Roman"/>
          <w:lang w:val="lt-LT"/>
        </w:rPr>
        <w:t xml:space="preserve"> skyrius</w:t>
      </w:r>
      <w:r w:rsidRPr="00804F65">
        <w:rPr>
          <w:rFonts w:ascii="Times New Roman" w:hAnsi="Times New Roman"/>
          <w:lang w:val="lt-LT"/>
        </w:rPr>
        <w:t xml:space="preserve">). </w:t>
      </w:r>
    </w:p>
    <w:p w:rsidR="00B42325" w:rsidRPr="00804F65" w:rsidRDefault="00B42325" w:rsidP="00804F65">
      <w:pPr>
        <w:spacing w:after="0" w:line="240" w:lineRule="auto"/>
        <w:rPr>
          <w:rFonts w:ascii="Times New Roman" w:hAnsi="Times New Roman"/>
          <w:lang w:val="lt-LT"/>
        </w:rPr>
      </w:pPr>
    </w:p>
    <w:p w:rsidR="00B42325" w:rsidRDefault="00B42325" w:rsidP="00804F65">
      <w:pPr>
        <w:spacing w:after="0" w:line="240" w:lineRule="auto"/>
        <w:rPr>
          <w:rFonts w:ascii="Times New Roman" w:hAnsi="Times New Roman"/>
          <w:lang w:val="lt-LT"/>
        </w:rPr>
      </w:pPr>
      <w:r>
        <w:rPr>
          <w:rFonts w:ascii="Times New Roman" w:hAnsi="Times New Roman"/>
          <w:lang w:val="lt-LT"/>
        </w:rPr>
        <w:t>Trombopriv</w:t>
      </w:r>
      <w:r w:rsidRPr="00804F65">
        <w:rPr>
          <w:rFonts w:ascii="Times New Roman" w:hAnsi="Times New Roman"/>
          <w:lang w:val="lt-LT"/>
        </w:rPr>
        <w:t xml:space="preserve"> </w:t>
      </w:r>
      <w:r>
        <w:rPr>
          <w:rFonts w:ascii="Times New Roman" w:hAnsi="Times New Roman"/>
          <w:lang w:val="lt-LT"/>
        </w:rPr>
        <w:t>ilgina kraujavimo laiką, tačiau kartu su Trombopriv vartojamas tiklopidinas kraujavimo laiko papildomai nepailgina.</w:t>
      </w:r>
    </w:p>
    <w:p w:rsidR="00B42325" w:rsidRPr="00804F65" w:rsidRDefault="00B42325" w:rsidP="00804F65">
      <w:pPr>
        <w:spacing w:after="0" w:line="240" w:lineRule="auto"/>
        <w:rPr>
          <w:rFonts w:ascii="Times New Roman" w:hAnsi="Times New Roman"/>
          <w:lang w:val="lt-LT"/>
        </w:rPr>
      </w:pPr>
    </w:p>
    <w:p w:rsidR="00B42325" w:rsidRDefault="00B42325" w:rsidP="00804F65">
      <w:pPr>
        <w:spacing w:after="0" w:line="240" w:lineRule="auto"/>
        <w:rPr>
          <w:rFonts w:ascii="Times New Roman" w:hAnsi="Times New Roman"/>
          <w:lang w:val="lt-LT"/>
        </w:rPr>
      </w:pPr>
      <w:r>
        <w:rPr>
          <w:rFonts w:ascii="Times New Roman" w:hAnsi="Times New Roman"/>
          <w:lang w:val="lt-LT"/>
        </w:rPr>
        <w:t>Varfarino vartojimas kartu su Trombopriv</w:t>
      </w:r>
      <w:r w:rsidRPr="00804F65">
        <w:rPr>
          <w:rFonts w:ascii="Times New Roman" w:hAnsi="Times New Roman"/>
          <w:lang w:val="lt-LT"/>
        </w:rPr>
        <w:t xml:space="preserve"> </w:t>
      </w:r>
      <w:r>
        <w:rPr>
          <w:rFonts w:ascii="Times New Roman" w:hAnsi="Times New Roman"/>
          <w:lang w:val="lt-LT"/>
        </w:rPr>
        <w:t>ir heparinu buvo susijęs su kraujavimo rizikos padidėjimu.</w:t>
      </w:r>
    </w:p>
    <w:p w:rsidR="00B42325" w:rsidRPr="00804F65" w:rsidRDefault="00B42325" w:rsidP="00804F65">
      <w:pPr>
        <w:spacing w:after="0" w:line="240" w:lineRule="auto"/>
        <w:rPr>
          <w:rFonts w:ascii="Times New Roman" w:hAnsi="Times New Roman"/>
          <w:lang w:val="lt-LT"/>
        </w:rPr>
      </w:pPr>
    </w:p>
    <w:p w:rsidR="00B42325" w:rsidRDefault="00B42325" w:rsidP="00804F65">
      <w:pPr>
        <w:spacing w:after="0" w:line="240" w:lineRule="auto"/>
        <w:rPr>
          <w:rFonts w:ascii="Times New Roman" w:hAnsi="Times New Roman"/>
          <w:lang w:val="lt-LT"/>
        </w:rPr>
      </w:pPr>
      <w:r>
        <w:rPr>
          <w:rFonts w:ascii="Times New Roman" w:hAnsi="Times New Roman"/>
          <w:lang w:val="lt-LT"/>
        </w:rPr>
        <w:t>Trombopriv</w:t>
      </w:r>
      <w:r w:rsidRPr="00804F65">
        <w:rPr>
          <w:rFonts w:ascii="Times New Roman" w:hAnsi="Times New Roman"/>
          <w:lang w:val="lt-LT"/>
        </w:rPr>
        <w:t xml:space="preserve"> </w:t>
      </w:r>
      <w:r>
        <w:rPr>
          <w:rFonts w:ascii="Times New Roman" w:hAnsi="Times New Roman"/>
          <w:lang w:val="lt-LT"/>
        </w:rPr>
        <w:t xml:space="preserve">nerekomenduojama vartoti gydymo trombolitikais metu ar praėjus mažiau kaip 48 val. po jo bei kartu su vaistiniais preparatais, kurie reikšmingai didina kraujavimo riziką </w:t>
      </w:r>
      <w:r w:rsidRPr="00804F65">
        <w:rPr>
          <w:rFonts w:ascii="Times New Roman" w:hAnsi="Times New Roman"/>
          <w:lang w:val="lt-LT"/>
        </w:rPr>
        <w:t>(</w:t>
      </w:r>
      <w:r>
        <w:rPr>
          <w:rFonts w:ascii="Times New Roman" w:hAnsi="Times New Roman"/>
          <w:lang w:val="lt-LT"/>
        </w:rPr>
        <w:t>pvz., geriamaisiais antikoaguliantais</w:t>
      </w:r>
      <w:r w:rsidRPr="00804F65">
        <w:rPr>
          <w:rFonts w:ascii="Times New Roman" w:hAnsi="Times New Roman"/>
          <w:lang w:val="lt-LT"/>
        </w:rPr>
        <w:t xml:space="preserve">, </w:t>
      </w:r>
      <w:r>
        <w:rPr>
          <w:rFonts w:ascii="Times New Roman" w:hAnsi="Times New Roman"/>
          <w:lang w:val="lt-LT"/>
        </w:rPr>
        <w:t>kitais parenteriniais</w:t>
      </w:r>
      <w:r w:rsidRPr="00804F65">
        <w:rPr>
          <w:rFonts w:ascii="Times New Roman" w:hAnsi="Times New Roman"/>
          <w:lang w:val="lt-LT"/>
        </w:rPr>
        <w:t xml:space="preserve"> GP IIb/IIIa inhibitor</w:t>
      </w:r>
      <w:r>
        <w:rPr>
          <w:rFonts w:ascii="Times New Roman" w:hAnsi="Times New Roman"/>
          <w:lang w:val="lt-LT"/>
        </w:rPr>
        <w:t>iai</w:t>
      </w:r>
      <w:r w:rsidRPr="00804F65">
        <w:rPr>
          <w:rFonts w:ascii="Times New Roman" w:hAnsi="Times New Roman"/>
          <w:lang w:val="lt-LT"/>
        </w:rPr>
        <w:t xml:space="preserve">s, </w:t>
      </w:r>
      <w:r>
        <w:rPr>
          <w:rFonts w:ascii="Times New Roman" w:hAnsi="Times New Roman"/>
          <w:lang w:val="lt-LT"/>
        </w:rPr>
        <w:t>dekstrano tirpalais</w:t>
      </w:r>
      <w:r w:rsidRPr="00804F65">
        <w:rPr>
          <w:rFonts w:ascii="Times New Roman" w:hAnsi="Times New Roman"/>
          <w:lang w:val="lt-LT"/>
        </w:rPr>
        <w:t xml:space="preserve">). </w:t>
      </w:r>
      <w:r>
        <w:rPr>
          <w:rFonts w:ascii="Times New Roman" w:hAnsi="Times New Roman"/>
          <w:lang w:val="lt-LT"/>
        </w:rPr>
        <w:t>Minėtų vaistinių preparatų vartojančių pacientų gydymo</w:t>
      </w:r>
      <w:r w:rsidRPr="004A3F36">
        <w:rPr>
          <w:rFonts w:ascii="Times New Roman" w:hAnsi="Times New Roman"/>
          <w:lang w:val="lt-LT"/>
        </w:rPr>
        <w:t xml:space="preserve"> tirofiban</w:t>
      </w:r>
      <w:r>
        <w:rPr>
          <w:rFonts w:ascii="Times New Roman" w:hAnsi="Times New Roman"/>
          <w:lang w:val="lt-LT"/>
        </w:rPr>
        <w:t>o</w:t>
      </w:r>
      <w:r w:rsidRPr="004A3F36">
        <w:rPr>
          <w:rFonts w:ascii="Times New Roman" w:hAnsi="Times New Roman"/>
          <w:lang w:val="lt-LT"/>
        </w:rPr>
        <w:t xml:space="preserve"> h</w:t>
      </w:r>
      <w:r>
        <w:rPr>
          <w:rFonts w:ascii="Times New Roman" w:hAnsi="Times New Roman"/>
          <w:lang w:val="lt-LT"/>
        </w:rPr>
        <w:t>i</w:t>
      </w:r>
      <w:r w:rsidRPr="004A3F36">
        <w:rPr>
          <w:rFonts w:ascii="Times New Roman" w:hAnsi="Times New Roman"/>
          <w:lang w:val="lt-LT"/>
        </w:rPr>
        <w:t>drochlorid</w:t>
      </w:r>
      <w:r>
        <w:rPr>
          <w:rFonts w:ascii="Times New Roman" w:hAnsi="Times New Roman"/>
          <w:lang w:val="lt-LT"/>
        </w:rPr>
        <w:t>u</w:t>
      </w:r>
      <w:r w:rsidRPr="004A3F36">
        <w:rPr>
          <w:rFonts w:ascii="Times New Roman" w:hAnsi="Times New Roman"/>
          <w:lang w:val="lt-LT"/>
        </w:rPr>
        <w:t xml:space="preserve"> </w:t>
      </w:r>
      <w:r>
        <w:rPr>
          <w:rFonts w:ascii="Times New Roman" w:hAnsi="Times New Roman"/>
          <w:lang w:val="lt-LT"/>
        </w:rPr>
        <w:t>patirties nėra, tačiau manoma, kad tokiu atveju didėja kraujavimo rizika.</w:t>
      </w:r>
    </w:p>
    <w:p w:rsidR="00B42325" w:rsidRPr="00804F65" w:rsidRDefault="00B42325" w:rsidP="00804F65">
      <w:pPr>
        <w:spacing w:after="0" w:line="240" w:lineRule="auto"/>
        <w:rPr>
          <w:rFonts w:ascii="Times New Roman" w:hAnsi="Times New Roman"/>
          <w:lang w:val="lt-LT"/>
        </w:rPr>
      </w:pPr>
    </w:p>
    <w:p w:rsidR="00B42325" w:rsidRPr="00F06B81" w:rsidRDefault="00B42325" w:rsidP="003E2BE3">
      <w:pPr>
        <w:pStyle w:val="PI-2EMEASMCA"/>
      </w:pPr>
      <w:bookmarkStart w:id="24" w:name="_Toc129243107"/>
      <w:bookmarkStart w:id="25" w:name="_Toc129243232"/>
      <w:r w:rsidRPr="00F06B81">
        <w:t>4.6</w:t>
      </w:r>
      <w:r w:rsidRPr="00F06B81">
        <w:tab/>
      </w:r>
      <w:r>
        <w:t>Vaisingumas, n</w:t>
      </w:r>
      <w:r w:rsidRPr="00F06B81">
        <w:t>ėštumo ir žindymo laikotarpis</w:t>
      </w:r>
      <w:bookmarkEnd w:id="24"/>
      <w:bookmarkEnd w:id="25"/>
    </w:p>
    <w:p w:rsidR="00B42325" w:rsidRPr="00337CD7" w:rsidRDefault="00B42325" w:rsidP="00337CD7">
      <w:pPr>
        <w:spacing w:after="0" w:line="240" w:lineRule="auto"/>
        <w:rPr>
          <w:rFonts w:ascii="Times New Roman" w:hAnsi="Times New Roman"/>
          <w:lang w:val="lt-LT"/>
        </w:rPr>
      </w:pPr>
    </w:p>
    <w:p w:rsidR="00B42325" w:rsidRPr="00337CD7" w:rsidRDefault="00B42325" w:rsidP="00337CD7">
      <w:pPr>
        <w:spacing w:after="0" w:line="240" w:lineRule="auto"/>
        <w:rPr>
          <w:rFonts w:ascii="Times New Roman" w:hAnsi="Times New Roman"/>
          <w:i/>
          <w:lang w:val="lt-LT"/>
        </w:rPr>
      </w:pPr>
      <w:r w:rsidRPr="00337CD7">
        <w:rPr>
          <w:rFonts w:ascii="Times New Roman" w:hAnsi="Times New Roman"/>
          <w:i/>
          <w:lang w:val="lt-LT"/>
        </w:rPr>
        <w:t>Nėštumas</w:t>
      </w:r>
    </w:p>
    <w:p w:rsidR="00B42325" w:rsidRDefault="00B42325" w:rsidP="00B64674">
      <w:pPr>
        <w:spacing w:after="0" w:line="240" w:lineRule="auto"/>
        <w:rPr>
          <w:rFonts w:ascii="Times New Roman" w:hAnsi="Times New Roman"/>
          <w:lang w:val="lt-LT"/>
        </w:rPr>
      </w:pPr>
      <w:r w:rsidRPr="00B64674">
        <w:rPr>
          <w:rFonts w:ascii="Times New Roman" w:hAnsi="Times New Roman"/>
          <w:lang w:val="lt-LT"/>
        </w:rPr>
        <w:t xml:space="preserve">Reikiamų duomenų apie </w:t>
      </w:r>
      <w:r w:rsidRPr="00337CD7">
        <w:rPr>
          <w:rFonts w:ascii="Times New Roman" w:hAnsi="Times New Roman"/>
          <w:lang w:val="lt-LT"/>
        </w:rPr>
        <w:t>tirofiban</w:t>
      </w:r>
      <w:r>
        <w:rPr>
          <w:rFonts w:ascii="Times New Roman" w:hAnsi="Times New Roman"/>
          <w:lang w:val="lt-LT"/>
        </w:rPr>
        <w:t>o</w:t>
      </w:r>
      <w:r w:rsidRPr="00337CD7">
        <w:rPr>
          <w:rFonts w:ascii="Times New Roman" w:hAnsi="Times New Roman"/>
          <w:lang w:val="lt-LT"/>
        </w:rPr>
        <w:t xml:space="preserve"> h</w:t>
      </w:r>
      <w:r>
        <w:rPr>
          <w:rFonts w:ascii="Times New Roman" w:hAnsi="Times New Roman"/>
          <w:lang w:val="lt-LT"/>
        </w:rPr>
        <w:t>i</w:t>
      </w:r>
      <w:r w:rsidRPr="00337CD7">
        <w:rPr>
          <w:rFonts w:ascii="Times New Roman" w:hAnsi="Times New Roman"/>
          <w:lang w:val="lt-LT"/>
        </w:rPr>
        <w:t>drochlorid</w:t>
      </w:r>
      <w:r>
        <w:rPr>
          <w:rFonts w:ascii="Times New Roman" w:hAnsi="Times New Roman"/>
          <w:lang w:val="lt-LT"/>
        </w:rPr>
        <w:t xml:space="preserve">o vartojimą nėštumo metu nėra. </w:t>
      </w:r>
      <w:r w:rsidRPr="00B64674">
        <w:rPr>
          <w:rFonts w:ascii="Times New Roman" w:hAnsi="Times New Roman"/>
          <w:lang w:val="lt-LT"/>
        </w:rPr>
        <w:t>Tyrimų su gyvūnais atlikta nepakankamai, kad būtų galima nustatyti poveikį nėštumo eigai ir (arba) embriono ar vaisiaus vystymuisi</w:t>
      </w:r>
      <w:r>
        <w:rPr>
          <w:rFonts w:ascii="Times New Roman" w:hAnsi="Times New Roman"/>
          <w:lang w:val="lt-LT"/>
        </w:rPr>
        <w:t xml:space="preserve">, </w:t>
      </w:r>
      <w:r w:rsidRPr="00B64674">
        <w:rPr>
          <w:rFonts w:ascii="Times New Roman" w:hAnsi="Times New Roman"/>
          <w:lang w:val="lt-LT"/>
        </w:rPr>
        <w:t>gimdymui ir postnataliniam vystymuisi</w:t>
      </w:r>
      <w:r>
        <w:rPr>
          <w:rFonts w:ascii="Times New Roman" w:hAnsi="Times New Roman"/>
          <w:lang w:val="lt-LT"/>
        </w:rPr>
        <w:t>.</w:t>
      </w:r>
      <w:r w:rsidRPr="00B64674">
        <w:rPr>
          <w:rFonts w:ascii="Times New Roman" w:hAnsi="Times New Roman"/>
          <w:lang w:val="lt-LT"/>
        </w:rPr>
        <w:t xml:space="preserve"> </w:t>
      </w:r>
      <w:r>
        <w:rPr>
          <w:rFonts w:ascii="Times New Roman" w:hAnsi="Times New Roman"/>
          <w:lang w:val="lt-LT"/>
        </w:rPr>
        <w:t xml:space="preserve">Trombopriv </w:t>
      </w:r>
      <w:r w:rsidRPr="00B64674">
        <w:rPr>
          <w:rFonts w:ascii="Times New Roman" w:hAnsi="Times New Roman"/>
          <w:lang w:val="lt-LT"/>
        </w:rPr>
        <w:t>nėštumo metu vartoti negalima, išskyrus neabejotinai būtinus atvejus</w:t>
      </w:r>
      <w:r>
        <w:rPr>
          <w:rFonts w:ascii="Times New Roman" w:hAnsi="Times New Roman"/>
          <w:lang w:val="lt-LT"/>
        </w:rPr>
        <w:t>.</w:t>
      </w:r>
    </w:p>
    <w:p w:rsidR="00B42325" w:rsidRDefault="00B42325" w:rsidP="00337CD7">
      <w:pPr>
        <w:spacing w:after="0" w:line="240" w:lineRule="auto"/>
        <w:rPr>
          <w:rFonts w:ascii="Times New Roman" w:hAnsi="Times New Roman"/>
          <w:lang w:val="lt-LT"/>
        </w:rPr>
      </w:pPr>
    </w:p>
    <w:p w:rsidR="00B42325" w:rsidRPr="00337CD7" w:rsidRDefault="00B42325" w:rsidP="00337CD7">
      <w:pPr>
        <w:spacing w:after="0" w:line="240" w:lineRule="auto"/>
        <w:rPr>
          <w:rFonts w:ascii="Times New Roman" w:hAnsi="Times New Roman"/>
          <w:i/>
          <w:lang w:val="lt-LT"/>
        </w:rPr>
      </w:pPr>
      <w:r w:rsidRPr="00337CD7">
        <w:rPr>
          <w:rFonts w:ascii="Times New Roman" w:hAnsi="Times New Roman"/>
          <w:i/>
          <w:lang w:val="lt-LT"/>
        </w:rPr>
        <w:t>Žindymas</w:t>
      </w:r>
    </w:p>
    <w:p w:rsidR="00B42325" w:rsidRPr="00337CD7" w:rsidRDefault="00B42325" w:rsidP="000079D0">
      <w:pPr>
        <w:spacing w:after="0" w:line="240" w:lineRule="auto"/>
        <w:rPr>
          <w:rFonts w:ascii="Times New Roman" w:hAnsi="Times New Roman"/>
          <w:lang w:val="lt-LT"/>
        </w:rPr>
      </w:pPr>
      <w:r>
        <w:rPr>
          <w:rFonts w:ascii="Times New Roman" w:hAnsi="Times New Roman"/>
          <w:lang w:val="lt-LT"/>
        </w:rPr>
        <w:t>Ar</w:t>
      </w:r>
      <w:r w:rsidRPr="00F06B81">
        <w:rPr>
          <w:rFonts w:ascii="Times New Roman" w:hAnsi="Times New Roman"/>
          <w:lang w:val="lt-LT"/>
        </w:rPr>
        <w:t xml:space="preserve"> </w:t>
      </w:r>
      <w:r>
        <w:rPr>
          <w:rFonts w:ascii="Times New Roman" w:hAnsi="Times New Roman"/>
          <w:lang w:val="lt-LT"/>
        </w:rPr>
        <w:t>Trombopriv</w:t>
      </w:r>
      <w:r w:rsidRPr="00F06B81">
        <w:rPr>
          <w:rFonts w:ascii="Times New Roman" w:hAnsi="Times New Roman"/>
          <w:lang w:val="lt-LT"/>
        </w:rPr>
        <w:t xml:space="preserve"> patenka į </w:t>
      </w:r>
      <w:r>
        <w:rPr>
          <w:rFonts w:ascii="Times New Roman" w:hAnsi="Times New Roman"/>
          <w:lang w:val="lt-LT"/>
        </w:rPr>
        <w:t>moters</w:t>
      </w:r>
      <w:r w:rsidRPr="00F06B81">
        <w:rPr>
          <w:rFonts w:ascii="Times New Roman" w:hAnsi="Times New Roman"/>
          <w:lang w:val="lt-LT"/>
        </w:rPr>
        <w:t xml:space="preserve"> pieną</w:t>
      </w:r>
      <w:r>
        <w:rPr>
          <w:rFonts w:ascii="Times New Roman" w:hAnsi="Times New Roman"/>
          <w:lang w:val="lt-LT"/>
        </w:rPr>
        <w:t>, n</w:t>
      </w:r>
      <w:r w:rsidRPr="00F06B81">
        <w:rPr>
          <w:rFonts w:ascii="Times New Roman" w:hAnsi="Times New Roman"/>
          <w:lang w:val="lt-LT"/>
        </w:rPr>
        <w:t>ežinoma</w:t>
      </w:r>
      <w:r>
        <w:rPr>
          <w:rFonts w:ascii="Times New Roman" w:hAnsi="Times New Roman"/>
          <w:lang w:val="lt-LT"/>
        </w:rPr>
        <w:t xml:space="preserve">, tačiau šio preparato patenka į žiurkių pieną. Kadangi krūtimi maitinamam kūdikiui gali pasireikšti nepageidaujamas poveikis, atsižvelgiant į vaistinio preparato vartojimo svarbą moteriai, būtina </w:t>
      </w:r>
      <w:r w:rsidRPr="00F06B81">
        <w:rPr>
          <w:rFonts w:ascii="Times New Roman" w:hAnsi="Times New Roman"/>
          <w:lang w:val="lt-LT"/>
        </w:rPr>
        <w:t xml:space="preserve">spręsti, </w:t>
      </w:r>
      <w:r>
        <w:rPr>
          <w:rFonts w:ascii="Times New Roman" w:hAnsi="Times New Roman"/>
          <w:lang w:val="lt-LT"/>
        </w:rPr>
        <w:t>ar nutraukti žindymą, ar Trombopriv vartojimą.</w:t>
      </w:r>
    </w:p>
    <w:p w:rsidR="00B42325" w:rsidRPr="00337CD7" w:rsidRDefault="00B42325" w:rsidP="00337CD7">
      <w:pPr>
        <w:spacing w:after="0" w:line="240" w:lineRule="auto"/>
        <w:rPr>
          <w:rFonts w:ascii="Times New Roman" w:hAnsi="Times New Roman"/>
          <w:lang w:val="lt-LT"/>
        </w:rPr>
      </w:pPr>
    </w:p>
    <w:p w:rsidR="00B42325" w:rsidRPr="00337CD7" w:rsidRDefault="00B42325" w:rsidP="00337CD7">
      <w:pPr>
        <w:spacing w:after="0" w:line="240" w:lineRule="auto"/>
        <w:rPr>
          <w:rFonts w:ascii="Times New Roman" w:hAnsi="Times New Roman"/>
          <w:i/>
          <w:lang w:val="lt-LT"/>
        </w:rPr>
      </w:pPr>
      <w:r w:rsidRPr="00337CD7">
        <w:rPr>
          <w:rFonts w:ascii="Times New Roman" w:hAnsi="Times New Roman"/>
          <w:i/>
          <w:lang w:val="lt-LT"/>
        </w:rPr>
        <w:t>Vaisingumas</w:t>
      </w:r>
    </w:p>
    <w:p w:rsidR="00B42325" w:rsidRPr="00337CD7" w:rsidRDefault="00B42325" w:rsidP="00337CD7">
      <w:pPr>
        <w:spacing w:after="0" w:line="240" w:lineRule="auto"/>
        <w:rPr>
          <w:rFonts w:ascii="Times New Roman" w:hAnsi="Times New Roman"/>
          <w:lang w:val="lt-LT"/>
        </w:rPr>
      </w:pPr>
      <w:r>
        <w:rPr>
          <w:rFonts w:ascii="Times New Roman" w:hAnsi="Times New Roman"/>
          <w:lang w:val="lt-LT"/>
        </w:rPr>
        <w:t xml:space="preserve">Skirtingų </w:t>
      </w:r>
      <w:r w:rsidRPr="00337CD7">
        <w:rPr>
          <w:rFonts w:ascii="Times New Roman" w:hAnsi="Times New Roman"/>
          <w:lang w:val="lt-LT"/>
        </w:rPr>
        <w:t>tirofiban</w:t>
      </w:r>
      <w:r>
        <w:rPr>
          <w:rFonts w:ascii="Times New Roman" w:hAnsi="Times New Roman"/>
          <w:lang w:val="lt-LT"/>
        </w:rPr>
        <w:t>o</w:t>
      </w:r>
      <w:r w:rsidRPr="00337CD7">
        <w:rPr>
          <w:rFonts w:ascii="Times New Roman" w:hAnsi="Times New Roman"/>
          <w:lang w:val="lt-LT"/>
        </w:rPr>
        <w:t xml:space="preserve"> h</w:t>
      </w:r>
      <w:r>
        <w:rPr>
          <w:rFonts w:ascii="Times New Roman" w:hAnsi="Times New Roman"/>
          <w:lang w:val="lt-LT"/>
        </w:rPr>
        <w:t>i</w:t>
      </w:r>
      <w:r w:rsidRPr="00337CD7">
        <w:rPr>
          <w:rFonts w:ascii="Times New Roman" w:hAnsi="Times New Roman"/>
          <w:lang w:val="lt-LT"/>
        </w:rPr>
        <w:t>drochlorid</w:t>
      </w:r>
      <w:r>
        <w:rPr>
          <w:rFonts w:ascii="Times New Roman" w:hAnsi="Times New Roman"/>
          <w:lang w:val="lt-LT"/>
        </w:rPr>
        <w:t xml:space="preserve">o dozių tyrimu su žiurkių patinais ir patelėmis metu poveikio vislumui ir reprodukciniam aktyvumui neatsirado </w:t>
      </w:r>
      <w:r w:rsidRPr="00337CD7">
        <w:rPr>
          <w:rFonts w:ascii="Times New Roman" w:hAnsi="Times New Roman"/>
          <w:lang w:val="lt-LT"/>
        </w:rPr>
        <w:t>(</w:t>
      </w:r>
      <w:r>
        <w:rPr>
          <w:rFonts w:ascii="Times New Roman" w:hAnsi="Times New Roman"/>
          <w:lang w:val="lt-LT"/>
        </w:rPr>
        <w:t>žr.</w:t>
      </w:r>
      <w:r w:rsidRPr="00337CD7">
        <w:rPr>
          <w:rFonts w:ascii="Times New Roman" w:hAnsi="Times New Roman"/>
          <w:lang w:val="lt-LT"/>
        </w:rPr>
        <w:t xml:space="preserve"> 5.3</w:t>
      </w:r>
      <w:r>
        <w:rPr>
          <w:rFonts w:ascii="Times New Roman" w:hAnsi="Times New Roman"/>
          <w:lang w:val="lt-LT"/>
        </w:rPr>
        <w:t xml:space="preserve"> skyrių</w:t>
      </w:r>
      <w:r w:rsidRPr="00337CD7">
        <w:rPr>
          <w:rFonts w:ascii="Times New Roman" w:hAnsi="Times New Roman"/>
          <w:lang w:val="lt-LT"/>
        </w:rPr>
        <w:t xml:space="preserve">). </w:t>
      </w:r>
    </w:p>
    <w:p w:rsidR="00B42325" w:rsidRDefault="00B42325" w:rsidP="00337CD7">
      <w:pPr>
        <w:spacing w:after="0" w:line="240" w:lineRule="auto"/>
        <w:rPr>
          <w:rFonts w:ascii="Times New Roman" w:hAnsi="Times New Roman"/>
          <w:lang w:val="lt-LT"/>
        </w:rPr>
      </w:pPr>
      <w:r>
        <w:rPr>
          <w:rFonts w:ascii="Times New Roman" w:hAnsi="Times New Roman"/>
          <w:lang w:val="lt-LT"/>
        </w:rPr>
        <w:t>Vis dėlto t</w:t>
      </w:r>
      <w:r w:rsidRPr="00B64674">
        <w:rPr>
          <w:rFonts w:ascii="Times New Roman" w:hAnsi="Times New Roman"/>
          <w:lang w:val="lt-LT"/>
        </w:rPr>
        <w:t>yrimų su gyvūnais atlikta nepakankamai, kad būtų galima nustatyti</w:t>
      </w:r>
      <w:r>
        <w:rPr>
          <w:rFonts w:ascii="Times New Roman" w:hAnsi="Times New Roman"/>
          <w:lang w:val="lt-LT"/>
        </w:rPr>
        <w:t>, ar žmonėms pasireiškia toksinis poveikis reprodukcijai.</w:t>
      </w:r>
    </w:p>
    <w:p w:rsidR="00B42325" w:rsidRPr="00337CD7" w:rsidRDefault="00B42325" w:rsidP="00337CD7">
      <w:pPr>
        <w:spacing w:after="0" w:line="240" w:lineRule="auto"/>
        <w:rPr>
          <w:rFonts w:ascii="Times New Roman" w:hAnsi="Times New Roman"/>
          <w:lang w:val="lt-LT"/>
        </w:rPr>
      </w:pPr>
    </w:p>
    <w:p w:rsidR="00B42325" w:rsidRPr="00F06B81" w:rsidRDefault="00B42325" w:rsidP="003E2BE3">
      <w:pPr>
        <w:pStyle w:val="PI-2EMEASMCA"/>
      </w:pPr>
      <w:bookmarkStart w:id="26" w:name="_Toc129243108"/>
      <w:bookmarkStart w:id="27" w:name="_Toc129243233"/>
      <w:r w:rsidRPr="00F06B81">
        <w:t>4.7</w:t>
      </w:r>
      <w:r w:rsidRPr="00F06B81">
        <w:tab/>
        <w:t>Poveikis gebėjimui vairuoti ir valdyti mechanizmus</w:t>
      </w:r>
      <w:bookmarkEnd w:id="26"/>
      <w:bookmarkEnd w:id="27"/>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lang w:val="lt-LT"/>
        </w:rPr>
      </w:pPr>
      <w:r>
        <w:rPr>
          <w:rFonts w:ascii="Times New Roman" w:hAnsi="Times New Roman"/>
          <w:lang w:val="lt-LT"/>
        </w:rPr>
        <w:t>Duomenys neaktualūs.</w:t>
      </w:r>
    </w:p>
    <w:p w:rsidR="00B42325" w:rsidRPr="00F06B81" w:rsidRDefault="00B42325" w:rsidP="003E2BE3">
      <w:pPr>
        <w:pStyle w:val="BTEMEASMCA"/>
        <w:rPr>
          <w:noProof w:val="0"/>
        </w:rPr>
      </w:pPr>
    </w:p>
    <w:p w:rsidR="00B42325" w:rsidRPr="00F06B81" w:rsidRDefault="00B42325" w:rsidP="003E2BE3">
      <w:pPr>
        <w:pStyle w:val="PI-2EMEASMCA"/>
      </w:pPr>
      <w:bookmarkStart w:id="28" w:name="_Toc129243109"/>
      <w:bookmarkStart w:id="29" w:name="_Toc129243234"/>
      <w:r w:rsidRPr="00F06B81">
        <w:t>4.8</w:t>
      </w:r>
      <w:r w:rsidRPr="00F06B81">
        <w:tab/>
        <w:t>Nepageidaujamas poveikis</w:t>
      </w:r>
      <w:bookmarkEnd w:id="28"/>
      <w:bookmarkEnd w:id="29"/>
    </w:p>
    <w:p w:rsidR="00B42325" w:rsidRPr="00F06B81" w:rsidRDefault="00B42325" w:rsidP="00B643C4">
      <w:pPr>
        <w:spacing w:after="0" w:line="240" w:lineRule="auto"/>
        <w:rPr>
          <w:rFonts w:ascii="Times New Roman" w:hAnsi="Times New Roman"/>
          <w:lang w:val="lt-LT"/>
        </w:rPr>
      </w:pPr>
    </w:p>
    <w:p w:rsidR="00B42325" w:rsidRDefault="00B42325" w:rsidP="00582348">
      <w:pPr>
        <w:spacing w:after="0" w:line="240" w:lineRule="auto"/>
        <w:rPr>
          <w:rFonts w:ascii="Times New Roman" w:hAnsi="Times New Roman"/>
          <w:lang w:val="lt-LT"/>
        </w:rPr>
      </w:pPr>
      <w:r>
        <w:rPr>
          <w:rFonts w:ascii="Times New Roman" w:hAnsi="Times New Roman"/>
          <w:lang w:val="lt-LT"/>
        </w:rPr>
        <w:lastRenderedPageBreak/>
        <w:t>1 lentelėje išvardytos nepageidaujamos reakcijos, apie kurias duomenų gauta klinikinių tyrimų metu bei po preparato pasirodymo rinkoje. Pagal organų sistemų klases suskirstytų nepageidaujamų reakcijų atvejai pagal atsiradimo dažnį klasifikuojami taip</w:t>
      </w:r>
      <w:r w:rsidRPr="00B643C4">
        <w:rPr>
          <w:rFonts w:ascii="Times New Roman" w:hAnsi="Times New Roman"/>
          <w:lang w:val="lt-LT"/>
        </w:rPr>
        <w:t xml:space="preserve">: </w:t>
      </w:r>
      <w:r w:rsidRPr="00582348">
        <w:rPr>
          <w:rFonts w:ascii="Times New Roman" w:hAnsi="Times New Roman"/>
          <w:lang w:val="lt-LT"/>
        </w:rPr>
        <w:t>labai dažn</w:t>
      </w:r>
      <w:r>
        <w:rPr>
          <w:rFonts w:ascii="Times New Roman" w:hAnsi="Times New Roman"/>
          <w:lang w:val="lt-LT"/>
        </w:rPr>
        <w:t>i</w:t>
      </w:r>
      <w:r w:rsidRPr="00582348">
        <w:rPr>
          <w:rFonts w:ascii="Times New Roman" w:hAnsi="Times New Roman"/>
          <w:lang w:val="lt-LT"/>
        </w:rPr>
        <w:t xml:space="preserve"> (</w:t>
      </w:r>
      <w:r>
        <w:rPr>
          <w:rFonts w:ascii="Times New Roman" w:hAnsi="Times New Roman"/>
          <w:lang w:val="lt-LT"/>
        </w:rPr>
        <w:t>&gt;</w:t>
      </w:r>
      <w:r w:rsidRPr="00582348">
        <w:rPr>
          <w:rFonts w:ascii="Times New Roman" w:hAnsi="Times New Roman"/>
          <w:lang w:val="lt-LT"/>
        </w:rPr>
        <w:t>/10), dažn</w:t>
      </w:r>
      <w:r>
        <w:rPr>
          <w:rFonts w:ascii="Times New Roman" w:hAnsi="Times New Roman"/>
          <w:lang w:val="lt-LT"/>
        </w:rPr>
        <w:t>i</w:t>
      </w:r>
      <w:r w:rsidRPr="00582348">
        <w:rPr>
          <w:rFonts w:ascii="Times New Roman" w:hAnsi="Times New Roman"/>
          <w:lang w:val="lt-LT"/>
        </w:rPr>
        <w:t xml:space="preserve"> (nuo</w:t>
      </w:r>
      <w:r>
        <w:rPr>
          <w:rFonts w:ascii="Times New Roman" w:hAnsi="Times New Roman"/>
          <w:lang w:val="lt-LT"/>
        </w:rPr>
        <w:t>&gt;</w:t>
      </w:r>
      <w:r w:rsidRPr="00582348">
        <w:rPr>
          <w:rFonts w:ascii="Times New Roman" w:hAnsi="Times New Roman"/>
          <w:lang w:val="lt-LT"/>
        </w:rPr>
        <w:t>1/100 iki &lt;1/10), nedažn</w:t>
      </w:r>
      <w:r>
        <w:rPr>
          <w:rFonts w:ascii="Times New Roman" w:hAnsi="Times New Roman"/>
          <w:lang w:val="lt-LT"/>
        </w:rPr>
        <w:t xml:space="preserve">i </w:t>
      </w:r>
      <w:r w:rsidRPr="00582348">
        <w:rPr>
          <w:rFonts w:ascii="Times New Roman" w:hAnsi="Times New Roman"/>
          <w:lang w:val="lt-LT"/>
        </w:rPr>
        <w:t xml:space="preserve">(nuo </w:t>
      </w:r>
      <w:r>
        <w:rPr>
          <w:rFonts w:ascii="Times New Roman" w:hAnsi="Times New Roman"/>
          <w:lang w:val="lt-LT"/>
        </w:rPr>
        <w:t>&gt;</w:t>
      </w:r>
      <w:r w:rsidRPr="00582348">
        <w:rPr>
          <w:rFonts w:ascii="Times New Roman" w:hAnsi="Times New Roman"/>
          <w:lang w:val="lt-LT"/>
        </w:rPr>
        <w:t>1/1 000 iki &lt;1/100), ret</w:t>
      </w:r>
      <w:r>
        <w:rPr>
          <w:rFonts w:ascii="Times New Roman" w:hAnsi="Times New Roman"/>
          <w:lang w:val="lt-LT"/>
        </w:rPr>
        <w:t>i</w:t>
      </w:r>
      <w:r w:rsidRPr="00582348">
        <w:rPr>
          <w:rFonts w:ascii="Times New Roman" w:hAnsi="Times New Roman"/>
          <w:lang w:val="lt-LT"/>
        </w:rPr>
        <w:t xml:space="preserve"> (nuo </w:t>
      </w:r>
      <w:r>
        <w:rPr>
          <w:rFonts w:ascii="Times New Roman" w:hAnsi="Times New Roman"/>
          <w:lang w:val="lt-LT"/>
        </w:rPr>
        <w:t>&gt;</w:t>
      </w:r>
      <w:r w:rsidRPr="00582348">
        <w:rPr>
          <w:rFonts w:ascii="Times New Roman" w:hAnsi="Times New Roman"/>
          <w:lang w:val="lt-LT"/>
        </w:rPr>
        <w:t>1/10 000 iki &lt;1/1 000), labai ret</w:t>
      </w:r>
      <w:r>
        <w:rPr>
          <w:rFonts w:ascii="Times New Roman" w:hAnsi="Times New Roman"/>
          <w:lang w:val="lt-LT"/>
        </w:rPr>
        <w:t>i</w:t>
      </w:r>
      <w:r w:rsidRPr="00582348">
        <w:rPr>
          <w:rFonts w:ascii="Times New Roman" w:hAnsi="Times New Roman"/>
          <w:lang w:val="lt-LT"/>
        </w:rPr>
        <w:t xml:space="preserve"> (&lt;1/10 000), dažnis nežinomas (negali būti įvertintas pagal turimus duomenis).</w:t>
      </w:r>
      <w:r w:rsidRPr="00B643C4">
        <w:rPr>
          <w:rFonts w:ascii="Times New Roman" w:hAnsi="Times New Roman"/>
          <w:lang w:val="lt-LT"/>
        </w:rPr>
        <w:t xml:space="preserve"> </w:t>
      </w:r>
      <w:r>
        <w:rPr>
          <w:rFonts w:ascii="Times New Roman" w:hAnsi="Times New Roman"/>
          <w:lang w:val="lt-LT"/>
        </w:rPr>
        <w:t>Kadangi po preparato pasirodymo rinkoje duomenys gauti iš spontaninių pranešimų ir populiacijos dydis nėra žinomas, tikslaus jų dažnio nustatyti negalima. Dėl šios priežasties šių reakcijų dažnis laikomas nežinomu.</w:t>
      </w:r>
    </w:p>
    <w:p w:rsidR="00B42325" w:rsidRDefault="00B42325" w:rsidP="00B643C4">
      <w:pPr>
        <w:spacing w:after="0" w:line="240" w:lineRule="auto"/>
        <w:rPr>
          <w:rFonts w:ascii="Times New Roman" w:hAnsi="Times New Roman"/>
          <w:lang w:val="lt-LT"/>
        </w:rPr>
      </w:pPr>
    </w:p>
    <w:p w:rsidR="00B42325" w:rsidRPr="00B27E79" w:rsidRDefault="00B42325" w:rsidP="00B643C4">
      <w:pPr>
        <w:spacing w:after="0" w:line="240" w:lineRule="auto"/>
        <w:rPr>
          <w:rFonts w:ascii="Times New Roman" w:hAnsi="Times New Roman"/>
          <w:lang w:val="lt-LT"/>
        </w:rPr>
      </w:pPr>
      <w:r w:rsidRPr="00B27E79">
        <w:rPr>
          <w:rFonts w:ascii="Times New Roman" w:hAnsi="Times New Roman"/>
          <w:lang w:val="lt-LT"/>
        </w:rPr>
        <w:t>1 lentelė. Klinikinių tyrimų metu bei po preparato pasirodymo rinkoje pasireiškęs nepageidaujamas poveikis</w:t>
      </w:r>
    </w:p>
    <w:p w:rsidR="00B42325" w:rsidRDefault="00B42325" w:rsidP="00B643C4">
      <w:pPr>
        <w:spacing w:after="0" w:line="240" w:lineRule="auto"/>
        <w:rPr>
          <w:rFonts w:ascii="Times New Roman" w:hAnsi="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7"/>
        <w:gridCol w:w="1857"/>
        <w:gridCol w:w="1857"/>
        <w:gridCol w:w="1857"/>
        <w:gridCol w:w="1858"/>
      </w:tblGrid>
      <w:tr w:rsidR="00B42325" w:rsidRPr="00CB01F1" w:rsidTr="00CB01F1">
        <w:tc>
          <w:tcPr>
            <w:tcW w:w="1857" w:type="dxa"/>
          </w:tcPr>
          <w:p w:rsidR="00B42325" w:rsidRPr="00CB01F1" w:rsidRDefault="00B42325" w:rsidP="00CB01F1">
            <w:pPr>
              <w:spacing w:after="0" w:line="240" w:lineRule="auto"/>
              <w:rPr>
                <w:rFonts w:ascii="Times New Roman" w:hAnsi="Times New Roman"/>
                <w:b/>
                <w:lang w:val="lt-LT"/>
              </w:rPr>
            </w:pPr>
            <w:r w:rsidRPr="00CB01F1">
              <w:rPr>
                <w:rFonts w:ascii="Times New Roman" w:hAnsi="Times New Roman"/>
                <w:b/>
                <w:lang w:val="lt-LT"/>
              </w:rPr>
              <w:t>Organų sistemų klasė</w:t>
            </w:r>
          </w:p>
        </w:tc>
        <w:tc>
          <w:tcPr>
            <w:tcW w:w="1857" w:type="dxa"/>
          </w:tcPr>
          <w:p w:rsidR="00B42325" w:rsidRPr="00CB01F1" w:rsidRDefault="00B42325" w:rsidP="00CB01F1">
            <w:pPr>
              <w:spacing w:after="0" w:line="240" w:lineRule="auto"/>
              <w:rPr>
                <w:rFonts w:ascii="Times New Roman" w:hAnsi="Times New Roman"/>
                <w:b/>
                <w:lang w:val="lt-LT"/>
              </w:rPr>
            </w:pPr>
            <w:r w:rsidRPr="00CB01F1">
              <w:rPr>
                <w:rFonts w:ascii="Times New Roman" w:hAnsi="Times New Roman"/>
                <w:b/>
                <w:lang w:val="lt-LT"/>
              </w:rPr>
              <w:t>Labai dažni</w:t>
            </w:r>
          </w:p>
        </w:tc>
        <w:tc>
          <w:tcPr>
            <w:tcW w:w="1857" w:type="dxa"/>
          </w:tcPr>
          <w:p w:rsidR="00B42325" w:rsidRPr="00CB01F1" w:rsidRDefault="00B42325" w:rsidP="00CB01F1">
            <w:pPr>
              <w:spacing w:after="0" w:line="240" w:lineRule="auto"/>
              <w:rPr>
                <w:rFonts w:ascii="Times New Roman" w:hAnsi="Times New Roman"/>
                <w:b/>
                <w:lang w:val="lt-LT"/>
              </w:rPr>
            </w:pPr>
            <w:r w:rsidRPr="00CB01F1">
              <w:rPr>
                <w:rFonts w:ascii="Times New Roman" w:hAnsi="Times New Roman"/>
                <w:b/>
                <w:lang w:val="lt-LT"/>
              </w:rPr>
              <w:t xml:space="preserve">Dažni </w:t>
            </w:r>
          </w:p>
        </w:tc>
        <w:tc>
          <w:tcPr>
            <w:tcW w:w="1857" w:type="dxa"/>
          </w:tcPr>
          <w:p w:rsidR="00B42325" w:rsidRPr="00CB01F1" w:rsidRDefault="00B42325" w:rsidP="00CB01F1">
            <w:pPr>
              <w:spacing w:after="0" w:line="240" w:lineRule="auto"/>
              <w:rPr>
                <w:rFonts w:ascii="Times New Roman" w:hAnsi="Times New Roman"/>
                <w:b/>
                <w:lang w:val="lt-LT"/>
              </w:rPr>
            </w:pPr>
            <w:r w:rsidRPr="00CB01F1">
              <w:rPr>
                <w:rFonts w:ascii="Times New Roman" w:hAnsi="Times New Roman"/>
                <w:b/>
                <w:lang w:val="lt-LT"/>
              </w:rPr>
              <w:t xml:space="preserve">Nedažni </w:t>
            </w:r>
          </w:p>
        </w:tc>
        <w:tc>
          <w:tcPr>
            <w:tcW w:w="1858" w:type="dxa"/>
          </w:tcPr>
          <w:p w:rsidR="00B42325" w:rsidRPr="00CB01F1" w:rsidRDefault="00B42325" w:rsidP="00CB01F1">
            <w:pPr>
              <w:spacing w:after="0" w:line="240" w:lineRule="auto"/>
              <w:rPr>
                <w:rFonts w:ascii="Times New Roman" w:hAnsi="Times New Roman"/>
                <w:b/>
                <w:lang w:val="lt-LT"/>
              </w:rPr>
            </w:pPr>
            <w:r w:rsidRPr="00CB01F1">
              <w:rPr>
                <w:rFonts w:ascii="Times New Roman" w:hAnsi="Times New Roman"/>
                <w:b/>
                <w:lang w:val="lt-LT"/>
              </w:rPr>
              <w:t>Dažnis nežinomas</w:t>
            </w:r>
          </w:p>
        </w:tc>
      </w:tr>
      <w:tr w:rsidR="00B42325" w:rsidRPr="00C33B00"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Kraujo ir limfinės sistemos sutrikimai</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Ūminis ir (arba) sunkus (&lt;20000/mm</w:t>
            </w:r>
            <w:r w:rsidRPr="00CB01F1">
              <w:rPr>
                <w:rFonts w:ascii="Times New Roman" w:hAnsi="Times New Roman"/>
                <w:vertAlign w:val="superscript"/>
                <w:lang w:val="lt-LT"/>
              </w:rPr>
              <w:t>3</w:t>
            </w:r>
            <w:r w:rsidRPr="00CB01F1">
              <w:rPr>
                <w:rFonts w:ascii="Times New Roman" w:hAnsi="Times New Roman"/>
                <w:lang w:val="lt-LT"/>
              </w:rPr>
              <w:t>) trombocitų kiekio sumažėjimas</w:t>
            </w:r>
          </w:p>
        </w:tc>
      </w:tr>
      <w:tr w:rsidR="00B42325" w:rsidRPr="00C33B00"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Imuninės sistemos sutrikimai</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Sunki alerginė reakcija, įskaitant anafilaksinę reakciją</w:t>
            </w: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Nervų sistemos sutrikimai</w:t>
            </w:r>
          </w:p>
        </w:tc>
        <w:tc>
          <w:tcPr>
            <w:tcW w:w="1857" w:type="dxa"/>
          </w:tcPr>
          <w:p w:rsidR="00B42325" w:rsidRPr="00CB01F1" w:rsidRDefault="00B42325" w:rsidP="00CB01F1">
            <w:pPr>
              <w:spacing w:after="0" w:line="240" w:lineRule="auto"/>
              <w:rPr>
                <w:rFonts w:ascii="Times New Roman" w:hAnsi="Times New Roman"/>
                <w:lang w:val="lt-LT"/>
              </w:rPr>
            </w:pPr>
            <w:r>
              <w:rPr>
                <w:rFonts w:ascii="Times New Roman" w:hAnsi="Times New Roman"/>
                <w:lang w:val="lt-LT"/>
              </w:rPr>
              <w:t>Galvos skausmas</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Intrakranialinis kraujavimas, stuburo epidurinė hematoma</w:t>
            </w: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Širdies sutrikimai</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Kraujas perikardo ertmėje</w:t>
            </w: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Kraujagyslių sutrikimai</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 xml:space="preserve">Hematoma </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Kvėpavimo sistemos, krūtinės ląstos ir tarpuplaučio sutrikimai</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r w:rsidRPr="00BF2FB2">
              <w:rPr>
                <w:rFonts w:ascii="Times New Roman" w:hAnsi="Times New Roman"/>
                <w:lang w:val="lt-LT"/>
              </w:rPr>
              <w:t>Hemopt</w:t>
            </w:r>
            <w:r>
              <w:rPr>
                <w:rFonts w:ascii="Times New Roman" w:hAnsi="Times New Roman"/>
                <w:lang w:val="lt-LT"/>
              </w:rPr>
              <w:t>o</w:t>
            </w:r>
            <w:r w:rsidRPr="00BF2FB2">
              <w:rPr>
                <w:rFonts w:ascii="Times New Roman" w:hAnsi="Times New Roman"/>
                <w:lang w:val="lt-LT"/>
              </w:rPr>
              <w:t xml:space="preserve">zė, </w:t>
            </w:r>
            <w:r>
              <w:rPr>
                <w:rFonts w:ascii="Times New Roman" w:hAnsi="Times New Roman"/>
                <w:lang w:val="lt-LT"/>
              </w:rPr>
              <w:t xml:space="preserve">kraujavimas iš nosies </w:t>
            </w: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Plaučių (alveolių) kraujavimas</w:t>
            </w: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Virškinimo trakto sutrikimai</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 xml:space="preserve">Pykinimas </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Burnos kraujavimas, dantenų kraujavimas</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Kraujavimas iš virškinimo trakto, vėmimas krauju</w:t>
            </w:r>
          </w:p>
        </w:tc>
        <w:tc>
          <w:tcPr>
            <w:tcW w:w="1858"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Retroperitoninis kraujavimas</w:t>
            </w: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Odos ir poodinio audinio sutrikimai</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 xml:space="preserve">Ekchimozė </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Inkstų ir šlapimo takų sutrikimai</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 xml:space="preserve">Hematurija </w:t>
            </w: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Bendrieji sutrikimai ir vartojimo vietos pažeidimai</w:t>
            </w:r>
          </w:p>
        </w:tc>
        <w:tc>
          <w:tcPr>
            <w:tcW w:w="1857" w:type="dxa"/>
          </w:tcPr>
          <w:p w:rsidR="00B42325" w:rsidRPr="00CB01F1" w:rsidRDefault="00B42325" w:rsidP="00CB01F1">
            <w:pPr>
              <w:spacing w:after="0" w:line="240" w:lineRule="auto"/>
              <w:rPr>
                <w:rFonts w:ascii="Times New Roman" w:hAnsi="Times New Roman"/>
                <w:lang w:val="lt-LT"/>
              </w:rPr>
            </w:pP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 xml:space="preserve">Karščiavimas </w:t>
            </w: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Sužalojimai, apsinuodijimai ir procedūrų komplikacijos</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Pooperacinis kraujavimas</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Kraujagyslių punkcijos vietos kraujavimas</w:t>
            </w:r>
          </w:p>
        </w:tc>
        <w:tc>
          <w:tcPr>
            <w:tcW w:w="1857" w:type="dxa"/>
          </w:tcPr>
          <w:p w:rsidR="00B42325" w:rsidRPr="00CB01F1" w:rsidRDefault="00B42325" w:rsidP="00CB01F1">
            <w:pPr>
              <w:spacing w:after="0" w:line="240" w:lineRule="auto"/>
              <w:rPr>
                <w:rFonts w:ascii="Times New Roman" w:hAnsi="Times New Roman"/>
                <w:lang w:val="lt-LT"/>
              </w:rPr>
            </w:pPr>
          </w:p>
        </w:tc>
        <w:tc>
          <w:tcPr>
            <w:tcW w:w="1858" w:type="dxa"/>
          </w:tcPr>
          <w:p w:rsidR="00B42325" w:rsidRPr="00CB01F1" w:rsidRDefault="00B42325" w:rsidP="00CB01F1">
            <w:pPr>
              <w:spacing w:after="0" w:line="240" w:lineRule="auto"/>
              <w:rPr>
                <w:rFonts w:ascii="Times New Roman" w:hAnsi="Times New Roman"/>
                <w:lang w:val="lt-LT"/>
              </w:rPr>
            </w:pPr>
          </w:p>
        </w:tc>
      </w:tr>
      <w:tr w:rsidR="00B42325" w:rsidRPr="00CB01F1" w:rsidTr="00CB01F1">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Tyrimai</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Slaptas kraujavimas su išmatomis ar šlapimu</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Hematokrito ir hemoglobino rodmens sumažėjimas, trombocitų kiekis &lt;90 000/mm</w:t>
            </w:r>
            <w:r w:rsidRPr="00CB01F1">
              <w:rPr>
                <w:rFonts w:ascii="Times New Roman" w:hAnsi="Times New Roman"/>
                <w:vertAlign w:val="superscript"/>
                <w:lang w:val="lt-LT"/>
              </w:rPr>
              <w:t>3</w:t>
            </w:r>
          </w:p>
        </w:tc>
        <w:tc>
          <w:tcPr>
            <w:tcW w:w="1857" w:type="dxa"/>
          </w:tcPr>
          <w:p w:rsidR="00B42325" w:rsidRPr="00CB01F1" w:rsidRDefault="00B42325" w:rsidP="00CB01F1">
            <w:pPr>
              <w:spacing w:after="0" w:line="240" w:lineRule="auto"/>
              <w:rPr>
                <w:rFonts w:ascii="Times New Roman" w:hAnsi="Times New Roman"/>
                <w:lang w:val="lt-LT"/>
              </w:rPr>
            </w:pPr>
            <w:r w:rsidRPr="00CB01F1">
              <w:rPr>
                <w:rFonts w:ascii="Times New Roman" w:hAnsi="Times New Roman"/>
                <w:lang w:val="lt-LT"/>
              </w:rPr>
              <w:t>Trombocitų kiekis &lt;50 000/mm</w:t>
            </w:r>
            <w:r w:rsidRPr="00CB01F1">
              <w:rPr>
                <w:rFonts w:ascii="Times New Roman" w:hAnsi="Times New Roman"/>
                <w:vertAlign w:val="superscript"/>
                <w:lang w:val="lt-LT"/>
              </w:rPr>
              <w:t>3</w:t>
            </w:r>
          </w:p>
        </w:tc>
        <w:tc>
          <w:tcPr>
            <w:tcW w:w="1858" w:type="dxa"/>
          </w:tcPr>
          <w:p w:rsidR="00B42325" w:rsidRPr="00CB01F1" w:rsidRDefault="00B42325" w:rsidP="00CB01F1">
            <w:pPr>
              <w:spacing w:after="0" w:line="240" w:lineRule="auto"/>
              <w:rPr>
                <w:rFonts w:ascii="Times New Roman" w:hAnsi="Times New Roman"/>
                <w:lang w:val="lt-LT"/>
              </w:rPr>
            </w:pPr>
          </w:p>
        </w:tc>
      </w:tr>
    </w:tbl>
    <w:p w:rsidR="00B42325" w:rsidRDefault="00B42325" w:rsidP="00B643C4">
      <w:pPr>
        <w:spacing w:after="0" w:line="240" w:lineRule="auto"/>
        <w:rPr>
          <w:rFonts w:ascii="Times New Roman" w:hAnsi="Times New Roman"/>
          <w:lang w:val="lt-LT"/>
        </w:rPr>
      </w:pPr>
    </w:p>
    <w:p w:rsidR="00B42325" w:rsidRPr="00A6500C" w:rsidRDefault="00B42325" w:rsidP="00B643C4">
      <w:pPr>
        <w:spacing w:after="0" w:line="240" w:lineRule="auto"/>
        <w:rPr>
          <w:rFonts w:ascii="Times New Roman" w:hAnsi="Times New Roman"/>
          <w:u w:val="single"/>
          <w:lang w:val="lt-LT"/>
        </w:rPr>
      </w:pPr>
      <w:r w:rsidRPr="00A6500C">
        <w:rPr>
          <w:rFonts w:ascii="Times New Roman" w:hAnsi="Times New Roman"/>
          <w:u w:val="single"/>
          <w:lang w:val="lt-LT"/>
        </w:rPr>
        <w:t>Klinikinių tyrimų metu gauti duomenys</w:t>
      </w:r>
    </w:p>
    <w:p w:rsidR="00B42325" w:rsidRDefault="00B42325" w:rsidP="00B643C4">
      <w:pPr>
        <w:spacing w:after="0" w:line="240" w:lineRule="auto"/>
        <w:rPr>
          <w:rFonts w:ascii="Times New Roman" w:hAnsi="Times New Roman"/>
          <w:lang w:val="lt-LT"/>
        </w:rPr>
      </w:pPr>
    </w:p>
    <w:p w:rsidR="00B42325" w:rsidRPr="00A6500C" w:rsidRDefault="00B42325" w:rsidP="00A6500C">
      <w:pPr>
        <w:spacing w:after="0" w:line="240" w:lineRule="auto"/>
        <w:rPr>
          <w:rFonts w:ascii="Times New Roman" w:hAnsi="Times New Roman"/>
          <w:i/>
          <w:lang w:val="lt-LT"/>
        </w:rPr>
      </w:pPr>
      <w:r w:rsidRPr="00A6500C">
        <w:rPr>
          <w:rFonts w:ascii="Times New Roman" w:hAnsi="Times New Roman"/>
          <w:i/>
          <w:lang w:val="lt-LT"/>
        </w:rPr>
        <w:t xml:space="preserve">Kraujavimas </w:t>
      </w:r>
    </w:p>
    <w:p w:rsidR="00B42325" w:rsidRDefault="00B42325" w:rsidP="00B643C4">
      <w:pPr>
        <w:spacing w:after="0" w:line="240" w:lineRule="auto"/>
        <w:rPr>
          <w:rFonts w:ascii="Times New Roman" w:hAnsi="Times New Roman"/>
          <w:lang w:val="lt-LT"/>
        </w:rPr>
      </w:pPr>
      <w:r>
        <w:rPr>
          <w:rFonts w:ascii="Times New Roman" w:hAnsi="Times New Roman"/>
          <w:lang w:val="lt-LT"/>
        </w:rPr>
        <w:t xml:space="preserve">Dažniausias su Trombopriv vartojimu priežastiniu ryšiu susijęs reiškinys </w:t>
      </w:r>
      <w:r w:rsidRPr="00B643C4">
        <w:rPr>
          <w:rFonts w:ascii="Times New Roman" w:hAnsi="Times New Roman"/>
          <w:lang w:val="lt-LT"/>
        </w:rPr>
        <w:t>(</w:t>
      </w:r>
      <w:r>
        <w:rPr>
          <w:rFonts w:ascii="Times New Roman" w:hAnsi="Times New Roman"/>
          <w:lang w:val="lt-LT"/>
        </w:rPr>
        <w:t xml:space="preserve">tuo pat metu vartojant nefrakcionuoto </w:t>
      </w:r>
      <w:r w:rsidRPr="00B643C4">
        <w:rPr>
          <w:rFonts w:ascii="Times New Roman" w:hAnsi="Times New Roman"/>
          <w:lang w:val="lt-LT"/>
        </w:rPr>
        <w:t>heparin</w:t>
      </w:r>
      <w:r>
        <w:rPr>
          <w:rFonts w:ascii="Times New Roman" w:hAnsi="Times New Roman"/>
          <w:lang w:val="lt-LT"/>
        </w:rPr>
        <w:t>o</w:t>
      </w:r>
      <w:r w:rsidRPr="00B643C4">
        <w:rPr>
          <w:rFonts w:ascii="Times New Roman" w:hAnsi="Times New Roman"/>
          <w:lang w:val="lt-LT"/>
        </w:rPr>
        <w:t>, ASA</w:t>
      </w:r>
      <w:r>
        <w:rPr>
          <w:rFonts w:ascii="Times New Roman" w:hAnsi="Times New Roman"/>
          <w:lang w:val="lt-LT"/>
        </w:rPr>
        <w:t xml:space="preserve"> ir geriamųjų trombocitų agregaciją slopinančių preparatų</w:t>
      </w:r>
      <w:r w:rsidRPr="00B643C4">
        <w:rPr>
          <w:rFonts w:ascii="Times New Roman" w:hAnsi="Times New Roman"/>
          <w:lang w:val="lt-LT"/>
        </w:rPr>
        <w:t xml:space="preserve">) </w:t>
      </w:r>
      <w:r>
        <w:rPr>
          <w:rFonts w:ascii="Times New Roman" w:hAnsi="Times New Roman"/>
          <w:lang w:val="lt-LT"/>
        </w:rPr>
        <w:t>buvo kraujavimas (paprastai lengvas).</w:t>
      </w: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t xml:space="preserve">Trombopriv vartojimas su nefrakcionuotu </w:t>
      </w:r>
      <w:r w:rsidRPr="00B643C4">
        <w:rPr>
          <w:rFonts w:ascii="Times New Roman" w:hAnsi="Times New Roman"/>
          <w:lang w:val="lt-LT"/>
        </w:rPr>
        <w:t>heparin</w:t>
      </w:r>
      <w:r>
        <w:rPr>
          <w:rFonts w:ascii="Times New Roman" w:hAnsi="Times New Roman"/>
          <w:lang w:val="lt-LT"/>
        </w:rPr>
        <w:t>u ir</w:t>
      </w:r>
      <w:r w:rsidRPr="00B643C4">
        <w:rPr>
          <w:rFonts w:ascii="Times New Roman" w:hAnsi="Times New Roman"/>
          <w:lang w:val="lt-LT"/>
        </w:rPr>
        <w:t xml:space="preserve"> ASA</w:t>
      </w:r>
      <w:r>
        <w:rPr>
          <w:rFonts w:ascii="Times New Roman" w:hAnsi="Times New Roman"/>
          <w:lang w:val="lt-LT"/>
        </w:rPr>
        <w:t xml:space="preserve"> buvo susijęs su reikšmingai dažnesniu virškinimo trakto, </w:t>
      </w:r>
      <w:r w:rsidRPr="008C23C9">
        <w:rPr>
          <w:rFonts w:ascii="Times New Roman" w:hAnsi="Times New Roman"/>
          <w:lang w:val="lt-LT"/>
        </w:rPr>
        <w:t>hemorojinių</w:t>
      </w:r>
      <w:r>
        <w:rPr>
          <w:rFonts w:ascii="Times New Roman" w:hAnsi="Times New Roman"/>
          <w:lang w:val="lt-LT"/>
        </w:rPr>
        <w:t xml:space="preserve"> mazgų ir pooperaciniu kraujavimu,</w:t>
      </w:r>
      <w:r w:rsidRPr="00B643C4">
        <w:rPr>
          <w:rFonts w:ascii="Times New Roman" w:hAnsi="Times New Roman"/>
          <w:lang w:val="lt-LT"/>
        </w:rPr>
        <w:t xml:space="preserve"> </w:t>
      </w:r>
      <w:r>
        <w:rPr>
          <w:rFonts w:ascii="Times New Roman" w:hAnsi="Times New Roman"/>
          <w:lang w:val="lt-LT"/>
        </w:rPr>
        <w:t xml:space="preserve">kraujavimu iš nosies, dantenų kraujavimu, kraujavimu į odos paviršių bei lėtu kraujavimu (hematoma) kraujagyslės punkcijos vietoje </w:t>
      </w:r>
      <w:r w:rsidRPr="00B643C4">
        <w:rPr>
          <w:rFonts w:ascii="Times New Roman" w:hAnsi="Times New Roman"/>
          <w:lang w:val="lt-LT"/>
        </w:rPr>
        <w:t>(</w:t>
      </w:r>
      <w:r>
        <w:rPr>
          <w:rFonts w:ascii="Times New Roman" w:hAnsi="Times New Roman"/>
          <w:lang w:val="lt-LT"/>
        </w:rPr>
        <w:t xml:space="preserve">pvz., atliekant širdies tyrimą kateteriu) nei gydymas vien nefrakcionuotu </w:t>
      </w:r>
      <w:r w:rsidRPr="00B643C4">
        <w:rPr>
          <w:rFonts w:ascii="Times New Roman" w:hAnsi="Times New Roman"/>
          <w:lang w:val="lt-LT"/>
        </w:rPr>
        <w:t>heparin</w:t>
      </w:r>
      <w:r>
        <w:rPr>
          <w:rFonts w:ascii="Times New Roman" w:hAnsi="Times New Roman"/>
          <w:lang w:val="lt-LT"/>
        </w:rPr>
        <w:t>u ir</w:t>
      </w:r>
      <w:r w:rsidRPr="00B643C4">
        <w:rPr>
          <w:rFonts w:ascii="Times New Roman" w:hAnsi="Times New Roman"/>
          <w:lang w:val="lt-LT"/>
        </w:rPr>
        <w:t xml:space="preserve"> ASA. </w:t>
      </w:r>
    </w:p>
    <w:p w:rsidR="00B42325" w:rsidRDefault="00B42325" w:rsidP="00B643C4">
      <w:pPr>
        <w:spacing w:after="0" w:line="240" w:lineRule="auto"/>
        <w:rPr>
          <w:rFonts w:ascii="Times New Roman" w:hAnsi="Times New Roman"/>
          <w:lang w:val="lt-LT"/>
        </w:rPr>
      </w:pPr>
      <w:r>
        <w:rPr>
          <w:rFonts w:ascii="Times New Roman" w:hAnsi="Times New Roman"/>
          <w:lang w:val="lt-LT"/>
        </w:rPr>
        <w:t xml:space="preserve">Preparato infuzuojant </w:t>
      </w:r>
      <w:r w:rsidRPr="00B643C4">
        <w:rPr>
          <w:rFonts w:ascii="Times New Roman" w:hAnsi="Times New Roman"/>
          <w:lang w:val="lt-LT"/>
        </w:rPr>
        <w:t>0</w:t>
      </w:r>
      <w:r>
        <w:rPr>
          <w:rFonts w:ascii="Times New Roman" w:hAnsi="Times New Roman"/>
          <w:lang w:val="lt-LT"/>
        </w:rPr>
        <w:t>,</w:t>
      </w:r>
      <w:r w:rsidRPr="00B643C4">
        <w:rPr>
          <w:rFonts w:ascii="Times New Roman" w:hAnsi="Times New Roman"/>
          <w:lang w:val="lt-LT"/>
        </w:rPr>
        <w:t xml:space="preserve">4 </w:t>
      </w:r>
      <w:r>
        <w:rPr>
          <w:rFonts w:ascii="Times New Roman" w:hAnsi="Times New Roman"/>
          <w:lang w:val="lt-LT"/>
        </w:rPr>
        <w:t>mikrogramo</w:t>
      </w:r>
      <w:r w:rsidRPr="00B643C4">
        <w:rPr>
          <w:rFonts w:ascii="Times New Roman" w:hAnsi="Times New Roman"/>
          <w:lang w:val="lt-LT"/>
        </w:rPr>
        <w:t>/kg</w:t>
      </w:r>
      <w:r>
        <w:rPr>
          <w:rFonts w:ascii="Times New Roman" w:hAnsi="Times New Roman"/>
          <w:lang w:val="lt-LT"/>
        </w:rPr>
        <w:t xml:space="preserve"> kūno svorio</w:t>
      </w:r>
      <w:r w:rsidRPr="00B643C4">
        <w:rPr>
          <w:rFonts w:ascii="Times New Roman" w:hAnsi="Times New Roman"/>
          <w:lang w:val="lt-LT"/>
        </w:rPr>
        <w:t>/min</w:t>
      </w:r>
      <w:r>
        <w:rPr>
          <w:rFonts w:ascii="Times New Roman" w:hAnsi="Times New Roman"/>
          <w:lang w:val="lt-LT"/>
        </w:rPr>
        <w:t>. greičiu, sunkių kraujavimo komplikacijų dažnis buvo mažas ir reikšmingai nepadidėjo.</w:t>
      </w:r>
    </w:p>
    <w:p w:rsidR="00B42325" w:rsidRPr="00B643C4" w:rsidRDefault="00B42325" w:rsidP="00B643C4">
      <w:pPr>
        <w:spacing w:after="0" w:line="240" w:lineRule="auto"/>
        <w:rPr>
          <w:rFonts w:ascii="Times New Roman" w:hAnsi="Times New Roman"/>
          <w:lang w:val="lt-LT"/>
        </w:rPr>
      </w:pPr>
    </w:p>
    <w:p w:rsidR="00B42325" w:rsidRDefault="00B42325" w:rsidP="008B4E01">
      <w:pPr>
        <w:spacing w:after="0" w:line="240" w:lineRule="auto"/>
        <w:rPr>
          <w:rFonts w:ascii="Times New Roman" w:hAnsi="Times New Roman"/>
          <w:lang w:val="lt-LT"/>
        </w:rPr>
      </w:pPr>
      <w:r w:rsidRPr="00B643C4">
        <w:rPr>
          <w:rFonts w:ascii="Times New Roman" w:hAnsi="Times New Roman"/>
          <w:lang w:val="lt-LT"/>
        </w:rPr>
        <w:t xml:space="preserve">PRISM-PLUS </w:t>
      </w:r>
      <w:r>
        <w:rPr>
          <w:rFonts w:ascii="Times New Roman" w:hAnsi="Times New Roman"/>
          <w:lang w:val="lt-LT"/>
        </w:rPr>
        <w:t>tyrimo metu</w:t>
      </w:r>
      <w:r w:rsidRPr="00B643C4">
        <w:rPr>
          <w:rFonts w:ascii="Times New Roman" w:hAnsi="Times New Roman"/>
          <w:lang w:val="lt-LT"/>
        </w:rPr>
        <w:t xml:space="preserve"> TIMI </w:t>
      </w:r>
      <w:r>
        <w:rPr>
          <w:rFonts w:ascii="Times New Roman" w:hAnsi="Times New Roman"/>
          <w:lang w:val="lt-LT"/>
        </w:rPr>
        <w:t xml:space="preserve">didelio kraujavimo dažnis buvo </w:t>
      </w:r>
      <w:r w:rsidRPr="00B643C4">
        <w:rPr>
          <w:rFonts w:ascii="Times New Roman" w:hAnsi="Times New Roman"/>
          <w:lang w:val="lt-LT"/>
        </w:rPr>
        <w:t>1</w:t>
      </w:r>
      <w:r>
        <w:rPr>
          <w:rFonts w:ascii="Times New Roman" w:hAnsi="Times New Roman"/>
          <w:lang w:val="lt-LT"/>
        </w:rPr>
        <w:t>,</w:t>
      </w:r>
      <w:r w:rsidRPr="00B643C4">
        <w:rPr>
          <w:rFonts w:ascii="Times New Roman" w:hAnsi="Times New Roman"/>
          <w:lang w:val="lt-LT"/>
        </w:rPr>
        <w:t xml:space="preserve">4% </w:t>
      </w:r>
      <w:r>
        <w:rPr>
          <w:rFonts w:ascii="Times New Roman" w:hAnsi="Times New Roman"/>
          <w:lang w:val="lt-LT"/>
        </w:rPr>
        <w:t>vartojant</w:t>
      </w:r>
      <w:r w:rsidRPr="00B643C4">
        <w:rPr>
          <w:rFonts w:ascii="Times New Roman" w:hAnsi="Times New Roman"/>
          <w:lang w:val="lt-LT"/>
        </w:rPr>
        <w:t xml:space="preserve"> tirofiban</w:t>
      </w:r>
      <w:r>
        <w:rPr>
          <w:rFonts w:ascii="Times New Roman" w:hAnsi="Times New Roman"/>
          <w:lang w:val="lt-LT"/>
        </w:rPr>
        <w:t xml:space="preserve">o ir heparino bei </w:t>
      </w:r>
      <w:r w:rsidRPr="00B643C4">
        <w:rPr>
          <w:rFonts w:ascii="Times New Roman" w:hAnsi="Times New Roman"/>
          <w:lang w:val="lt-LT"/>
        </w:rPr>
        <w:t>0</w:t>
      </w:r>
      <w:r>
        <w:rPr>
          <w:rFonts w:ascii="Times New Roman" w:hAnsi="Times New Roman"/>
          <w:lang w:val="lt-LT"/>
        </w:rPr>
        <w:t>,</w:t>
      </w:r>
      <w:r w:rsidRPr="00B643C4">
        <w:rPr>
          <w:rFonts w:ascii="Times New Roman" w:hAnsi="Times New Roman"/>
          <w:lang w:val="lt-LT"/>
        </w:rPr>
        <w:t xml:space="preserve">8% </w:t>
      </w:r>
      <w:r>
        <w:rPr>
          <w:rFonts w:ascii="Times New Roman" w:hAnsi="Times New Roman"/>
          <w:lang w:val="lt-LT"/>
        </w:rPr>
        <w:t>vartojant vien heparino</w:t>
      </w:r>
      <w:r w:rsidRPr="00B643C4">
        <w:rPr>
          <w:rFonts w:ascii="Times New Roman" w:hAnsi="Times New Roman"/>
          <w:lang w:val="lt-LT"/>
        </w:rPr>
        <w:t xml:space="preserve">. TIMI </w:t>
      </w:r>
      <w:r>
        <w:rPr>
          <w:rFonts w:ascii="Times New Roman" w:hAnsi="Times New Roman"/>
          <w:lang w:val="lt-LT"/>
        </w:rPr>
        <w:t>didelio kraujavimo dažnis buvo 10,5</w:t>
      </w:r>
      <w:r w:rsidRPr="00B643C4">
        <w:rPr>
          <w:rFonts w:ascii="Times New Roman" w:hAnsi="Times New Roman"/>
          <w:lang w:val="lt-LT"/>
        </w:rPr>
        <w:t xml:space="preserve">% </w:t>
      </w:r>
      <w:r>
        <w:rPr>
          <w:rFonts w:ascii="Times New Roman" w:hAnsi="Times New Roman"/>
          <w:lang w:val="lt-LT"/>
        </w:rPr>
        <w:t>vartojant</w:t>
      </w:r>
      <w:r w:rsidRPr="00B643C4">
        <w:rPr>
          <w:rFonts w:ascii="Times New Roman" w:hAnsi="Times New Roman"/>
          <w:lang w:val="lt-LT"/>
        </w:rPr>
        <w:t xml:space="preserve"> tirofiban</w:t>
      </w:r>
      <w:r>
        <w:rPr>
          <w:rFonts w:ascii="Times New Roman" w:hAnsi="Times New Roman"/>
          <w:lang w:val="lt-LT"/>
        </w:rPr>
        <w:t xml:space="preserve">o ir heparino bei </w:t>
      </w:r>
      <w:r w:rsidRPr="00B643C4">
        <w:rPr>
          <w:rFonts w:ascii="Times New Roman" w:hAnsi="Times New Roman"/>
          <w:lang w:val="lt-LT"/>
        </w:rPr>
        <w:t>8</w:t>
      </w:r>
      <w:r>
        <w:rPr>
          <w:rFonts w:ascii="Times New Roman" w:hAnsi="Times New Roman"/>
          <w:lang w:val="lt-LT"/>
        </w:rPr>
        <w:t>,0</w:t>
      </w:r>
      <w:r w:rsidRPr="00B643C4">
        <w:rPr>
          <w:rFonts w:ascii="Times New Roman" w:hAnsi="Times New Roman"/>
          <w:lang w:val="lt-LT"/>
        </w:rPr>
        <w:t xml:space="preserve">% </w:t>
      </w:r>
      <w:r>
        <w:rPr>
          <w:rFonts w:ascii="Times New Roman" w:hAnsi="Times New Roman"/>
          <w:lang w:val="lt-LT"/>
        </w:rPr>
        <w:t>vartojant vien heparino</w:t>
      </w:r>
      <w:r w:rsidRPr="00B643C4">
        <w:rPr>
          <w:rFonts w:ascii="Times New Roman" w:hAnsi="Times New Roman"/>
          <w:lang w:val="lt-LT"/>
        </w:rPr>
        <w:t xml:space="preserve">. </w:t>
      </w:r>
      <w:r>
        <w:rPr>
          <w:rFonts w:ascii="Times New Roman" w:hAnsi="Times New Roman"/>
          <w:lang w:val="lt-LT"/>
        </w:rPr>
        <w:t xml:space="preserve">Kraujo buvo perpilta </w:t>
      </w:r>
      <w:r w:rsidRPr="00B643C4">
        <w:rPr>
          <w:rFonts w:ascii="Times New Roman" w:hAnsi="Times New Roman"/>
          <w:lang w:val="lt-LT"/>
        </w:rPr>
        <w:t>4</w:t>
      </w:r>
      <w:r>
        <w:rPr>
          <w:rFonts w:ascii="Times New Roman" w:hAnsi="Times New Roman"/>
          <w:lang w:val="lt-LT"/>
        </w:rPr>
        <w:t>,</w:t>
      </w:r>
      <w:r w:rsidRPr="00B643C4">
        <w:rPr>
          <w:rFonts w:ascii="Times New Roman" w:hAnsi="Times New Roman"/>
          <w:lang w:val="lt-LT"/>
        </w:rPr>
        <w:t>0% tirofiban</w:t>
      </w:r>
      <w:r>
        <w:rPr>
          <w:rFonts w:ascii="Times New Roman" w:hAnsi="Times New Roman"/>
          <w:lang w:val="lt-LT"/>
        </w:rPr>
        <w:t>o ir heparino vartojusių pacientų ir 2,8% vien heparinu gydytų ligonių.</w:t>
      </w:r>
    </w:p>
    <w:p w:rsidR="00B42325" w:rsidRPr="00B643C4" w:rsidRDefault="00B42325" w:rsidP="00B643C4">
      <w:pPr>
        <w:spacing w:after="0" w:line="240" w:lineRule="auto"/>
        <w:rPr>
          <w:rFonts w:ascii="Times New Roman" w:hAnsi="Times New Roman"/>
          <w:lang w:val="lt-LT"/>
        </w:rPr>
      </w:pPr>
    </w:p>
    <w:p w:rsidR="00B42325" w:rsidRDefault="00B42325" w:rsidP="00B643C4">
      <w:pPr>
        <w:spacing w:after="0" w:line="240" w:lineRule="auto"/>
        <w:rPr>
          <w:rFonts w:ascii="Times New Roman" w:hAnsi="Times New Roman"/>
          <w:lang w:val="lt-LT"/>
        </w:rPr>
      </w:pPr>
      <w:r w:rsidRPr="00B643C4">
        <w:rPr>
          <w:rFonts w:ascii="Times New Roman" w:hAnsi="Times New Roman"/>
          <w:lang w:val="lt-LT"/>
        </w:rPr>
        <w:t xml:space="preserve">ADVANCE </w:t>
      </w:r>
      <w:r>
        <w:rPr>
          <w:rFonts w:ascii="Times New Roman" w:hAnsi="Times New Roman"/>
          <w:lang w:val="lt-LT"/>
        </w:rPr>
        <w:t xml:space="preserve">tyrimo metu gauti duomenys rodo, kad naudojant gydymo smūgine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w:t>
      </w:r>
      <w:r w:rsidRPr="00B643C4">
        <w:rPr>
          <w:rFonts w:ascii="Times New Roman" w:hAnsi="Times New Roman"/>
          <w:lang w:val="lt-LT"/>
        </w:rPr>
        <w:t>tirofiban</w:t>
      </w:r>
      <w:r>
        <w:rPr>
          <w:rFonts w:ascii="Times New Roman" w:hAnsi="Times New Roman"/>
          <w:lang w:val="lt-LT"/>
        </w:rPr>
        <w:t>o doze schemą, kraujavimo sutrikimų skaičius būna mažas ir reikšmingai nepadidėja, palyginti su placebo poveikiu.</w:t>
      </w:r>
      <w:r w:rsidRPr="00B643C4">
        <w:rPr>
          <w:rFonts w:ascii="Times New Roman" w:hAnsi="Times New Roman"/>
          <w:lang w:val="lt-LT"/>
        </w:rPr>
        <w:t xml:space="preserve"> TIMI </w:t>
      </w:r>
      <w:r>
        <w:rPr>
          <w:rFonts w:ascii="Times New Roman" w:hAnsi="Times New Roman"/>
          <w:lang w:val="lt-LT"/>
        </w:rPr>
        <w:t>didelio kraujavimo ir kraujo perpylimo atvejų nebuvo nė vienoje grupėje</w:t>
      </w:r>
      <w:r w:rsidRPr="00B643C4">
        <w:rPr>
          <w:rFonts w:ascii="Times New Roman" w:hAnsi="Times New Roman"/>
          <w:lang w:val="lt-LT"/>
        </w:rPr>
        <w:t xml:space="preserve">. TIMI </w:t>
      </w:r>
      <w:r>
        <w:rPr>
          <w:rFonts w:ascii="Times New Roman" w:hAnsi="Times New Roman"/>
          <w:lang w:val="lt-LT"/>
        </w:rPr>
        <w:t xml:space="preserve">mažo kraujavimo dažnis, naudojant gydymo smūgine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w:t>
      </w:r>
      <w:r w:rsidRPr="00B643C4">
        <w:rPr>
          <w:rFonts w:ascii="Times New Roman" w:hAnsi="Times New Roman"/>
          <w:lang w:val="lt-LT"/>
        </w:rPr>
        <w:t>tirofiban</w:t>
      </w:r>
      <w:r>
        <w:rPr>
          <w:rFonts w:ascii="Times New Roman" w:hAnsi="Times New Roman"/>
          <w:lang w:val="lt-LT"/>
        </w:rPr>
        <w:t xml:space="preserve">o doze schemą, buvo </w:t>
      </w:r>
      <w:r w:rsidRPr="00B643C4">
        <w:rPr>
          <w:rFonts w:ascii="Times New Roman" w:hAnsi="Times New Roman"/>
          <w:lang w:val="lt-LT"/>
        </w:rPr>
        <w:t>4%</w:t>
      </w:r>
      <w:r>
        <w:rPr>
          <w:rFonts w:ascii="Times New Roman" w:hAnsi="Times New Roman"/>
          <w:lang w:val="lt-LT"/>
        </w:rPr>
        <w:t>, vartojant placebą - 1% (</w:t>
      </w:r>
      <w:r w:rsidRPr="00B643C4">
        <w:rPr>
          <w:rFonts w:ascii="Times New Roman" w:hAnsi="Times New Roman"/>
          <w:lang w:val="lt-LT"/>
        </w:rPr>
        <w:t>p=0</w:t>
      </w:r>
      <w:r>
        <w:rPr>
          <w:rFonts w:ascii="Times New Roman" w:hAnsi="Times New Roman"/>
          <w:lang w:val="lt-LT"/>
        </w:rPr>
        <w:t>,</w:t>
      </w:r>
      <w:r w:rsidRPr="00B643C4">
        <w:rPr>
          <w:rFonts w:ascii="Times New Roman" w:hAnsi="Times New Roman"/>
          <w:lang w:val="lt-LT"/>
        </w:rPr>
        <w:t xml:space="preserve">19). </w:t>
      </w:r>
      <w:r>
        <w:rPr>
          <w:rFonts w:ascii="Times New Roman" w:hAnsi="Times New Roman"/>
          <w:lang w:val="lt-LT"/>
        </w:rPr>
        <w:t xml:space="preserve">Sunkios trombocitopenijos atvejų nebuvo, o lengva trobocitopenija atsirado </w:t>
      </w:r>
      <w:r w:rsidRPr="00B643C4">
        <w:rPr>
          <w:rFonts w:ascii="Times New Roman" w:hAnsi="Times New Roman"/>
          <w:lang w:val="lt-LT"/>
        </w:rPr>
        <w:t xml:space="preserve">1% </w:t>
      </w:r>
      <w:r>
        <w:rPr>
          <w:rFonts w:ascii="Times New Roman" w:hAnsi="Times New Roman"/>
          <w:lang w:val="lt-LT"/>
        </w:rPr>
        <w:t xml:space="preserve">ligonių, kuriems taikyta gydymo smūgine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w:t>
      </w:r>
      <w:r w:rsidRPr="00B643C4">
        <w:rPr>
          <w:rFonts w:ascii="Times New Roman" w:hAnsi="Times New Roman"/>
          <w:lang w:val="lt-LT"/>
        </w:rPr>
        <w:t>tirofiban</w:t>
      </w:r>
      <w:r>
        <w:rPr>
          <w:rFonts w:ascii="Times New Roman" w:hAnsi="Times New Roman"/>
          <w:lang w:val="lt-LT"/>
        </w:rPr>
        <w:t>o doze schema, ir 1% placebo vartojusių ligonių.</w:t>
      </w:r>
    </w:p>
    <w:p w:rsidR="00B42325" w:rsidRPr="00B643C4" w:rsidRDefault="00B42325" w:rsidP="00B643C4">
      <w:pPr>
        <w:spacing w:after="0" w:line="240" w:lineRule="auto"/>
        <w:rPr>
          <w:rFonts w:ascii="Times New Roman" w:hAnsi="Times New Roman"/>
          <w:lang w:val="lt-LT"/>
        </w:rPr>
      </w:pPr>
    </w:p>
    <w:p w:rsidR="00B42325" w:rsidRDefault="00B42325" w:rsidP="00B643C4">
      <w:pPr>
        <w:spacing w:after="0" w:line="240" w:lineRule="auto"/>
        <w:rPr>
          <w:rFonts w:ascii="Times New Roman" w:hAnsi="Times New Roman"/>
          <w:lang w:val="lt-LT"/>
        </w:rPr>
      </w:pPr>
      <w:r>
        <w:rPr>
          <w:rFonts w:ascii="Times New Roman" w:hAnsi="Times New Roman"/>
          <w:lang w:val="lt-LT"/>
        </w:rPr>
        <w:t xml:space="preserve">Lyginant </w:t>
      </w:r>
      <w:r w:rsidRPr="00B643C4">
        <w:rPr>
          <w:rFonts w:ascii="Times New Roman" w:hAnsi="Times New Roman"/>
          <w:lang w:val="lt-LT"/>
        </w:rPr>
        <w:t>tirofiban</w:t>
      </w:r>
      <w:r>
        <w:rPr>
          <w:rFonts w:ascii="Times New Roman" w:hAnsi="Times New Roman"/>
          <w:lang w:val="lt-LT"/>
        </w:rPr>
        <w:t xml:space="preserve">o ir </w:t>
      </w:r>
      <w:r w:rsidRPr="00B643C4">
        <w:rPr>
          <w:rFonts w:ascii="Times New Roman" w:hAnsi="Times New Roman"/>
          <w:lang w:val="lt-LT"/>
        </w:rPr>
        <w:t>abci</w:t>
      </w:r>
      <w:r>
        <w:rPr>
          <w:rFonts w:ascii="Times New Roman" w:hAnsi="Times New Roman"/>
          <w:lang w:val="lt-LT"/>
        </w:rPr>
        <w:t>ks</w:t>
      </w:r>
      <w:r w:rsidRPr="00B643C4">
        <w:rPr>
          <w:rFonts w:ascii="Times New Roman" w:hAnsi="Times New Roman"/>
          <w:lang w:val="lt-LT"/>
        </w:rPr>
        <w:t>imab</w:t>
      </w:r>
      <w:r>
        <w:rPr>
          <w:rFonts w:ascii="Times New Roman" w:hAnsi="Times New Roman"/>
          <w:lang w:val="lt-LT"/>
        </w:rPr>
        <w:t>o poveikį</w:t>
      </w:r>
      <w:r w:rsidRPr="00B643C4">
        <w:rPr>
          <w:rFonts w:ascii="Times New Roman" w:hAnsi="Times New Roman"/>
          <w:lang w:val="lt-LT"/>
        </w:rPr>
        <w:t xml:space="preserve">, </w:t>
      </w:r>
      <w:r>
        <w:rPr>
          <w:rFonts w:ascii="Times New Roman" w:hAnsi="Times New Roman"/>
          <w:lang w:val="lt-LT"/>
        </w:rPr>
        <w:t>išanalizuoti įvairiuose tyrimuose dalyvavusių daugiau kaip</w:t>
      </w:r>
      <w:r w:rsidRPr="00B643C4">
        <w:rPr>
          <w:rFonts w:ascii="Times New Roman" w:hAnsi="Times New Roman"/>
          <w:lang w:val="lt-LT"/>
        </w:rPr>
        <w:t xml:space="preserve"> 1</w:t>
      </w:r>
      <w:r>
        <w:rPr>
          <w:rFonts w:ascii="Times New Roman" w:hAnsi="Times New Roman"/>
          <w:lang w:val="lt-LT"/>
        </w:rPr>
        <w:t> </w:t>
      </w:r>
      <w:r w:rsidRPr="00B643C4">
        <w:rPr>
          <w:rFonts w:ascii="Times New Roman" w:hAnsi="Times New Roman"/>
          <w:lang w:val="lt-LT"/>
        </w:rPr>
        <w:t xml:space="preserve">200 </w:t>
      </w:r>
      <w:r>
        <w:rPr>
          <w:rFonts w:ascii="Times New Roman" w:hAnsi="Times New Roman"/>
          <w:lang w:val="lt-LT"/>
        </w:rPr>
        <w:t xml:space="preserve">pacientų duomenys. Nustatyta, kad kraujavimo dažnis buvo panašus: </w:t>
      </w:r>
      <w:r w:rsidRPr="00B643C4">
        <w:rPr>
          <w:rFonts w:ascii="Times New Roman" w:hAnsi="Times New Roman"/>
          <w:lang w:val="lt-LT"/>
        </w:rPr>
        <w:t xml:space="preserve">TIMI </w:t>
      </w:r>
      <w:r>
        <w:rPr>
          <w:rFonts w:ascii="Times New Roman" w:hAnsi="Times New Roman"/>
          <w:lang w:val="lt-LT"/>
        </w:rPr>
        <w:t xml:space="preserve">didelis kraujavimas atsirado </w:t>
      </w:r>
      <w:r w:rsidRPr="00B643C4">
        <w:rPr>
          <w:rFonts w:ascii="Times New Roman" w:hAnsi="Times New Roman"/>
          <w:lang w:val="lt-LT"/>
        </w:rPr>
        <w:t>0</w:t>
      </w:r>
      <w:r>
        <w:rPr>
          <w:rFonts w:ascii="Times New Roman" w:hAnsi="Times New Roman"/>
          <w:lang w:val="lt-LT"/>
        </w:rPr>
        <w:noBreakHyphen/>
      </w:r>
      <w:r w:rsidRPr="00B643C4">
        <w:rPr>
          <w:rFonts w:ascii="Times New Roman" w:hAnsi="Times New Roman"/>
          <w:lang w:val="lt-LT"/>
        </w:rPr>
        <w:t>0</w:t>
      </w:r>
      <w:r>
        <w:rPr>
          <w:rFonts w:ascii="Times New Roman" w:hAnsi="Times New Roman"/>
          <w:lang w:val="lt-LT"/>
        </w:rPr>
        <w:t>,</w:t>
      </w:r>
      <w:r w:rsidRPr="00B643C4">
        <w:rPr>
          <w:rFonts w:ascii="Times New Roman" w:hAnsi="Times New Roman"/>
          <w:lang w:val="lt-LT"/>
        </w:rPr>
        <w:t>5% tirofiban</w:t>
      </w:r>
      <w:r>
        <w:rPr>
          <w:rFonts w:ascii="Times New Roman" w:hAnsi="Times New Roman"/>
          <w:lang w:val="lt-LT"/>
        </w:rPr>
        <w:t xml:space="preserve">u ir </w:t>
      </w:r>
      <w:r w:rsidRPr="00B643C4">
        <w:rPr>
          <w:rFonts w:ascii="Times New Roman" w:hAnsi="Times New Roman"/>
          <w:lang w:val="lt-LT"/>
        </w:rPr>
        <w:t>0</w:t>
      </w:r>
      <w:r>
        <w:rPr>
          <w:rFonts w:ascii="Times New Roman" w:hAnsi="Times New Roman"/>
          <w:lang w:val="lt-LT"/>
        </w:rPr>
        <w:noBreakHyphen/>
      </w:r>
      <w:r w:rsidRPr="00B643C4">
        <w:rPr>
          <w:rFonts w:ascii="Times New Roman" w:hAnsi="Times New Roman"/>
          <w:lang w:val="lt-LT"/>
        </w:rPr>
        <w:t>3</w:t>
      </w:r>
      <w:r>
        <w:rPr>
          <w:rFonts w:ascii="Times New Roman" w:hAnsi="Times New Roman"/>
          <w:lang w:val="lt-LT"/>
        </w:rPr>
        <w:t>,</w:t>
      </w:r>
      <w:r w:rsidRPr="00B643C4">
        <w:rPr>
          <w:rFonts w:ascii="Times New Roman" w:hAnsi="Times New Roman"/>
          <w:lang w:val="lt-LT"/>
        </w:rPr>
        <w:t>2% abci</w:t>
      </w:r>
      <w:r>
        <w:rPr>
          <w:rFonts w:ascii="Times New Roman" w:hAnsi="Times New Roman"/>
          <w:lang w:val="lt-LT"/>
        </w:rPr>
        <w:t>ks</w:t>
      </w:r>
      <w:r w:rsidRPr="00B643C4">
        <w:rPr>
          <w:rFonts w:ascii="Times New Roman" w:hAnsi="Times New Roman"/>
          <w:lang w:val="lt-LT"/>
        </w:rPr>
        <w:t>imab</w:t>
      </w:r>
      <w:r>
        <w:rPr>
          <w:rFonts w:ascii="Times New Roman" w:hAnsi="Times New Roman"/>
          <w:lang w:val="lt-LT"/>
        </w:rPr>
        <w:t>u gydytų pacientų. Trombocitopenijos atvejų nebuvo.</w:t>
      </w:r>
    </w:p>
    <w:p w:rsidR="00B42325" w:rsidRPr="00B643C4" w:rsidRDefault="00B42325" w:rsidP="00B643C4">
      <w:pPr>
        <w:spacing w:after="0" w:line="240" w:lineRule="auto"/>
        <w:rPr>
          <w:rFonts w:ascii="Times New Roman" w:hAnsi="Times New Roman"/>
          <w:lang w:val="lt-LT"/>
        </w:rPr>
      </w:pPr>
    </w:p>
    <w:p w:rsidR="00B42325" w:rsidRPr="005009D7" w:rsidRDefault="00B42325" w:rsidP="005009D7">
      <w:pPr>
        <w:spacing w:after="0" w:line="240" w:lineRule="auto"/>
        <w:rPr>
          <w:rFonts w:ascii="Times New Roman" w:hAnsi="Times New Roman"/>
          <w:i/>
          <w:lang w:val="lt-LT"/>
        </w:rPr>
      </w:pPr>
      <w:r w:rsidRPr="005009D7">
        <w:rPr>
          <w:rFonts w:ascii="Times New Roman" w:hAnsi="Times New Roman"/>
          <w:i/>
          <w:lang w:val="lt-LT"/>
        </w:rPr>
        <w:t>Su kraujavimu nesusijusios nepageidaujamos reakcijos</w:t>
      </w:r>
    </w:p>
    <w:p w:rsidR="00B42325" w:rsidRDefault="00B42325" w:rsidP="00B643C4">
      <w:pPr>
        <w:spacing w:after="0" w:line="240" w:lineRule="auto"/>
        <w:rPr>
          <w:rFonts w:ascii="Times New Roman" w:hAnsi="Times New Roman"/>
          <w:lang w:val="lt-LT"/>
        </w:rPr>
      </w:pPr>
      <w:r>
        <w:rPr>
          <w:rFonts w:ascii="Times New Roman" w:hAnsi="Times New Roman"/>
          <w:lang w:val="lt-LT"/>
        </w:rPr>
        <w:t xml:space="preserve">Dažniausios </w:t>
      </w:r>
      <w:r w:rsidRPr="00B643C4">
        <w:rPr>
          <w:rFonts w:ascii="Times New Roman" w:hAnsi="Times New Roman"/>
          <w:lang w:val="lt-LT"/>
        </w:rPr>
        <w:t>(</w:t>
      </w:r>
      <w:r>
        <w:rPr>
          <w:rFonts w:ascii="Times New Roman" w:hAnsi="Times New Roman"/>
          <w:lang w:val="lt-LT"/>
        </w:rPr>
        <w:t>dažnis didesnis kaip</w:t>
      </w:r>
      <w:r w:rsidRPr="00B643C4">
        <w:rPr>
          <w:rFonts w:ascii="Times New Roman" w:hAnsi="Times New Roman"/>
          <w:lang w:val="lt-LT"/>
        </w:rPr>
        <w:t xml:space="preserve"> 1%)</w:t>
      </w:r>
      <w:r>
        <w:rPr>
          <w:rFonts w:ascii="Times New Roman" w:hAnsi="Times New Roman"/>
          <w:lang w:val="lt-LT"/>
        </w:rPr>
        <w:t xml:space="preserve"> nepageidaujamos reakcijos</w:t>
      </w:r>
      <w:r w:rsidRPr="00B643C4">
        <w:rPr>
          <w:rFonts w:ascii="Times New Roman" w:hAnsi="Times New Roman"/>
          <w:lang w:val="lt-LT"/>
        </w:rPr>
        <w:t xml:space="preserve"> </w:t>
      </w:r>
      <w:r>
        <w:rPr>
          <w:rFonts w:ascii="Times New Roman" w:hAnsi="Times New Roman"/>
          <w:lang w:val="lt-LT"/>
        </w:rPr>
        <w:t>(išskyrus kraujavimą), susijusios su Trombopriv vartojimu</w:t>
      </w:r>
      <w:r w:rsidRPr="003F756A">
        <w:rPr>
          <w:rFonts w:ascii="Times New Roman" w:hAnsi="Times New Roman"/>
          <w:lang w:val="lt-LT"/>
        </w:rPr>
        <w:t xml:space="preserve"> </w:t>
      </w:r>
      <w:r>
        <w:rPr>
          <w:rFonts w:ascii="Times New Roman" w:hAnsi="Times New Roman"/>
          <w:lang w:val="lt-LT"/>
        </w:rPr>
        <w:t xml:space="preserve">kartu su heparinu, buvo pykinimas </w:t>
      </w:r>
      <w:r w:rsidRPr="00B643C4">
        <w:rPr>
          <w:rFonts w:ascii="Times New Roman" w:hAnsi="Times New Roman"/>
          <w:lang w:val="lt-LT"/>
        </w:rPr>
        <w:t>(1</w:t>
      </w:r>
      <w:r>
        <w:rPr>
          <w:rFonts w:ascii="Times New Roman" w:hAnsi="Times New Roman"/>
          <w:lang w:val="lt-LT"/>
        </w:rPr>
        <w:t>,</w:t>
      </w:r>
      <w:r w:rsidRPr="00B643C4">
        <w:rPr>
          <w:rFonts w:ascii="Times New Roman" w:hAnsi="Times New Roman"/>
          <w:lang w:val="lt-LT"/>
        </w:rPr>
        <w:t xml:space="preserve">7%), </w:t>
      </w:r>
      <w:r>
        <w:rPr>
          <w:rFonts w:ascii="Times New Roman" w:hAnsi="Times New Roman"/>
          <w:lang w:val="lt-LT"/>
        </w:rPr>
        <w:t>karščiavimas</w:t>
      </w:r>
      <w:r w:rsidRPr="00B643C4">
        <w:rPr>
          <w:rFonts w:ascii="Times New Roman" w:hAnsi="Times New Roman"/>
          <w:lang w:val="lt-LT"/>
        </w:rPr>
        <w:t xml:space="preserve"> (1</w:t>
      </w:r>
      <w:r>
        <w:rPr>
          <w:rFonts w:ascii="Times New Roman" w:hAnsi="Times New Roman"/>
          <w:lang w:val="lt-LT"/>
        </w:rPr>
        <w:t>,</w:t>
      </w:r>
      <w:r w:rsidRPr="00B643C4">
        <w:rPr>
          <w:rFonts w:ascii="Times New Roman" w:hAnsi="Times New Roman"/>
          <w:lang w:val="lt-LT"/>
        </w:rPr>
        <w:t xml:space="preserve">5%) </w:t>
      </w:r>
      <w:r>
        <w:rPr>
          <w:rFonts w:ascii="Times New Roman" w:hAnsi="Times New Roman"/>
          <w:lang w:val="lt-LT"/>
        </w:rPr>
        <w:t xml:space="preserve">ir galvos skausmas </w:t>
      </w:r>
      <w:r w:rsidRPr="00B643C4">
        <w:rPr>
          <w:rFonts w:ascii="Times New Roman" w:hAnsi="Times New Roman"/>
          <w:lang w:val="lt-LT"/>
        </w:rPr>
        <w:t>(1</w:t>
      </w:r>
      <w:r>
        <w:rPr>
          <w:rFonts w:ascii="Times New Roman" w:hAnsi="Times New Roman"/>
          <w:lang w:val="lt-LT"/>
        </w:rPr>
        <w:t>,</w:t>
      </w:r>
      <w:r w:rsidRPr="00B643C4">
        <w:rPr>
          <w:rFonts w:ascii="Times New Roman" w:hAnsi="Times New Roman"/>
          <w:lang w:val="lt-LT"/>
        </w:rPr>
        <w:t xml:space="preserve">1%); </w:t>
      </w:r>
      <w:r>
        <w:rPr>
          <w:rFonts w:ascii="Times New Roman" w:hAnsi="Times New Roman"/>
          <w:lang w:val="lt-LT"/>
        </w:rPr>
        <w:t xml:space="preserve">kontrolinėje grupėje pykinimo, karščiavimo ir galvos skausmo dažnis buvo atitinkamai </w:t>
      </w:r>
      <w:r w:rsidRPr="00B643C4">
        <w:rPr>
          <w:rFonts w:ascii="Times New Roman" w:hAnsi="Times New Roman"/>
          <w:lang w:val="lt-LT"/>
        </w:rPr>
        <w:t>1</w:t>
      </w:r>
      <w:r>
        <w:rPr>
          <w:rFonts w:ascii="Times New Roman" w:hAnsi="Times New Roman"/>
          <w:lang w:val="lt-LT"/>
        </w:rPr>
        <w:t>,</w:t>
      </w:r>
      <w:r w:rsidRPr="00B643C4">
        <w:rPr>
          <w:rFonts w:ascii="Times New Roman" w:hAnsi="Times New Roman"/>
          <w:lang w:val="lt-LT"/>
        </w:rPr>
        <w:t>4%, 1</w:t>
      </w:r>
      <w:r>
        <w:rPr>
          <w:rFonts w:ascii="Times New Roman" w:hAnsi="Times New Roman"/>
          <w:lang w:val="lt-LT"/>
        </w:rPr>
        <w:t>,</w:t>
      </w:r>
      <w:r w:rsidRPr="00B643C4">
        <w:rPr>
          <w:rFonts w:ascii="Times New Roman" w:hAnsi="Times New Roman"/>
          <w:lang w:val="lt-LT"/>
        </w:rPr>
        <w:t xml:space="preserve">1% </w:t>
      </w:r>
      <w:r>
        <w:rPr>
          <w:rFonts w:ascii="Times New Roman" w:hAnsi="Times New Roman"/>
          <w:lang w:val="lt-LT"/>
        </w:rPr>
        <w:t>ir 1,2%</w:t>
      </w:r>
      <w:r w:rsidRPr="00B643C4">
        <w:rPr>
          <w:rFonts w:ascii="Times New Roman" w:hAnsi="Times New Roman"/>
          <w:lang w:val="lt-LT"/>
        </w:rPr>
        <w:t xml:space="preserve">. </w:t>
      </w:r>
    </w:p>
    <w:p w:rsidR="00B42325" w:rsidRDefault="00B42325" w:rsidP="00B643C4">
      <w:pPr>
        <w:spacing w:after="0" w:line="240" w:lineRule="auto"/>
        <w:rPr>
          <w:rFonts w:ascii="Times New Roman" w:hAnsi="Times New Roman"/>
          <w:lang w:val="lt-LT"/>
        </w:rPr>
      </w:pPr>
      <w:r>
        <w:rPr>
          <w:rFonts w:ascii="Times New Roman" w:hAnsi="Times New Roman"/>
          <w:lang w:val="lt-LT"/>
        </w:rPr>
        <w:t>Su kraujavimu nesusijusių nepageidaujamų reakcijų dažniau atsirado moterims (palyginti su vyrais) ir senyviems pacientams (palyginti su jaunesniais ligoniais). Vis dėlto su kraujavimu nesusijusių nepageidaujamų reakcijų dažnis tokių pacientų, vartojusių Trombopriv kartu su heparinu, ir ligonių, gydytų vien heparinu, grupėse buvo panašus</w:t>
      </w:r>
      <w:r w:rsidRPr="00B643C4">
        <w:rPr>
          <w:rFonts w:ascii="Times New Roman" w:hAnsi="Times New Roman"/>
          <w:lang w:val="lt-LT"/>
        </w:rPr>
        <w:t xml:space="preserve">. </w:t>
      </w:r>
    </w:p>
    <w:p w:rsidR="00B42325" w:rsidRPr="00B643C4" w:rsidRDefault="00B42325" w:rsidP="00B643C4">
      <w:pPr>
        <w:spacing w:after="0" w:line="240" w:lineRule="auto"/>
        <w:rPr>
          <w:rFonts w:ascii="Times New Roman" w:hAnsi="Times New Roman"/>
          <w:lang w:val="lt-LT"/>
        </w:rPr>
      </w:pPr>
    </w:p>
    <w:p w:rsidR="00B42325" w:rsidRPr="00585D83" w:rsidRDefault="00B42325" w:rsidP="00BF6141">
      <w:pPr>
        <w:spacing w:after="0" w:line="240" w:lineRule="auto"/>
        <w:rPr>
          <w:rFonts w:ascii="Times New Roman" w:hAnsi="Times New Roman"/>
          <w:b/>
          <w:i/>
          <w:lang w:val="lt-LT"/>
        </w:rPr>
      </w:pPr>
      <w:r w:rsidRPr="00585D83">
        <w:rPr>
          <w:rFonts w:ascii="Times New Roman" w:hAnsi="Times New Roman"/>
          <w:b/>
          <w:i/>
          <w:lang w:val="lt-LT"/>
        </w:rPr>
        <w:t xml:space="preserve">Tyrimai </w:t>
      </w: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t>Dažniausi laboratorinių parametrų pokyčiai, susiję su Trombopriv vartojimu, buvo susiję su kraujavimu: hemoglobino ir hematokrito rodmens sumažėjimas, slapto kraujavimo su išmatomis ir šlapimu padažnėjimas</w:t>
      </w:r>
      <w:r w:rsidRPr="00B643C4">
        <w:rPr>
          <w:rFonts w:ascii="Times New Roman" w:hAnsi="Times New Roman"/>
          <w:lang w:val="lt-LT"/>
        </w:rPr>
        <w:t xml:space="preserve">. </w:t>
      </w: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t>Gydymo</w:t>
      </w:r>
      <w:r w:rsidRPr="00B643C4">
        <w:rPr>
          <w:rFonts w:ascii="Times New Roman" w:hAnsi="Times New Roman"/>
          <w:lang w:val="lt-LT"/>
        </w:rPr>
        <w:t xml:space="preserve"> </w:t>
      </w:r>
      <w:r>
        <w:rPr>
          <w:rFonts w:ascii="Times New Roman" w:hAnsi="Times New Roman"/>
          <w:lang w:val="lt-LT"/>
        </w:rPr>
        <w:t>Trombopriv metu ūminis trombocitų kiekio sumažėjimas ar trombocitopenija atsirado dažniau, nei vartojant placebo</w:t>
      </w:r>
      <w:r w:rsidRPr="00B643C4">
        <w:rPr>
          <w:rFonts w:ascii="Times New Roman" w:hAnsi="Times New Roman"/>
          <w:lang w:val="lt-LT"/>
        </w:rPr>
        <w:t xml:space="preserve">. </w:t>
      </w:r>
      <w:r>
        <w:rPr>
          <w:rFonts w:ascii="Times New Roman" w:hAnsi="Times New Roman"/>
          <w:lang w:val="lt-LT"/>
        </w:rPr>
        <w:t>Procentinė dalis pacientų, kuriems trombocitų kiekis tapo mažesnis kaip</w:t>
      </w:r>
      <w:r w:rsidRPr="00B643C4">
        <w:rPr>
          <w:rFonts w:ascii="Times New Roman" w:hAnsi="Times New Roman"/>
          <w:lang w:val="lt-LT"/>
        </w:rPr>
        <w:t xml:space="preserve"> 90</w:t>
      </w:r>
      <w:r>
        <w:rPr>
          <w:rFonts w:ascii="Times New Roman" w:hAnsi="Times New Roman"/>
          <w:lang w:val="lt-LT"/>
        </w:rPr>
        <w:t> </w:t>
      </w:r>
      <w:r w:rsidRPr="00B643C4">
        <w:rPr>
          <w:rFonts w:ascii="Times New Roman" w:hAnsi="Times New Roman"/>
          <w:lang w:val="lt-LT"/>
        </w:rPr>
        <w:t>000/mm</w:t>
      </w:r>
      <w:r w:rsidRPr="004E0F4C">
        <w:rPr>
          <w:rFonts w:ascii="Times New Roman" w:hAnsi="Times New Roman"/>
          <w:vertAlign w:val="superscript"/>
          <w:lang w:val="lt-LT"/>
        </w:rPr>
        <w:t>3</w:t>
      </w:r>
      <w:r>
        <w:rPr>
          <w:rFonts w:ascii="Times New Roman" w:hAnsi="Times New Roman"/>
          <w:lang w:val="lt-LT"/>
        </w:rPr>
        <w:t>, buvo</w:t>
      </w:r>
      <w:r w:rsidRPr="00B643C4">
        <w:rPr>
          <w:rFonts w:ascii="Times New Roman" w:hAnsi="Times New Roman"/>
          <w:lang w:val="lt-LT"/>
        </w:rPr>
        <w:t xml:space="preserve"> 1</w:t>
      </w:r>
      <w:r>
        <w:rPr>
          <w:rFonts w:ascii="Times New Roman" w:hAnsi="Times New Roman"/>
          <w:lang w:val="lt-LT"/>
        </w:rPr>
        <w:t>,</w:t>
      </w:r>
      <w:r w:rsidRPr="00B643C4">
        <w:rPr>
          <w:rFonts w:ascii="Times New Roman" w:hAnsi="Times New Roman"/>
          <w:lang w:val="lt-LT"/>
        </w:rPr>
        <w:t xml:space="preserve">5%. </w:t>
      </w:r>
      <w:r>
        <w:rPr>
          <w:rFonts w:ascii="Times New Roman" w:hAnsi="Times New Roman"/>
          <w:lang w:val="lt-LT"/>
        </w:rPr>
        <w:t xml:space="preserve">Procentinė dalis pacientų, kuriems trombocitų kiekis tapo mažesnis kaip </w:t>
      </w:r>
      <w:r w:rsidRPr="00B643C4">
        <w:rPr>
          <w:rFonts w:ascii="Times New Roman" w:hAnsi="Times New Roman"/>
          <w:lang w:val="lt-LT"/>
        </w:rPr>
        <w:t>50</w:t>
      </w:r>
      <w:r>
        <w:rPr>
          <w:rFonts w:ascii="Times New Roman" w:hAnsi="Times New Roman"/>
          <w:lang w:val="lt-LT"/>
        </w:rPr>
        <w:t> </w:t>
      </w:r>
      <w:r w:rsidRPr="00B643C4">
        <w:rPr>
          <w:rFonts w:ascii="Times New Roman" w:hAnsi="Times New Roman"/>
          <w:lang w:val="lt-LT"/>
        </w:rPr>
        <w:t>000/mm</w:t>
      </w:r>
      <w:r w:rsidRPr="008C2C75">
        <w:rPr>
          <w:rFonts w:ascii="Times New Roman" w:hAnsi="Times New Roman"/>
          <w:vertAlign w:val="superscript"/>
          <w:lang w:val="lt-LT"/>
        </w:rPr>
        <w:t>3</w:t>
      </w:r>
      <w:r>
        <w:rPr>
          <w:rFonts w:ascii="Times New Roman" w:hAnsi="Times New Roman"/>
          <w:lang w:val="lt-LT"/>
        </w:rPr>
        <w:t>, buvo</w:t>
      </w:r>
      <w:r w:rsidRPr="00B643C4">
        <w:rPr>
          <w:rFonts w:ascii="Times New Roman" w:hAnsi="Times New Roman"/>
          <w:lang w:val="lt-LT"/>
        </w:rPr>
        <w:t xml:space="preserve"> 0</w:t>
      </w:r>
      <w:r>
        <w:rPr>
          <w:rFonts w:ascii="Times New Roman" w:hAnsi="Times New Roman"/>
          <w:lang w:val="lt-LT"/>
        </w:rPr>
        <w:t>,</w:t>
      </w:r>
      <w:r w:rsidRPr="00B643C4">
        <w:rPr>
          <w:rFonts w:ascii="Times New Roman" w:hAnsi="Times New Roman"/>
          <w:lang w:val="lt-LT"/>
        </w:rPr>
        <w:t xml:space="preserve">3%. </w:t>
      </w:r>
      <w:r>
        <w:rPr>
          <w:rFonts w:ascii="Times New Roman" w:hAnsi="Times New Roman"/>
          <w:lang w:val="lt-LT"/>
        </w:rPr>
        <w:t xml:space="preserve">Gydymą Trombopriv nutraukus, toks sumažėjimas išnyko. Ūminis ir sunkus trombocitų kiekio sumažėjimas nustatytas pacientams, kuriems trombocitopenijos anksčiau atsiradę nebuvo ir kurie </w:t>
      </w:r>
      <w:r w:rsidRPr="00B643C4">
        <w:rPr>
          <w:rFonts w:ascii="Times New Roman" w:hAnsi="Times New Roman"/>
          <w:lang w:val="lt-LT"/>
        </w:rPr>
        <w:t>GPIIb/IIIa receptor</w:t>
      </w:r>
      <w:r>
        <w:rPr>
          <w:rFonts w:ascii="Times New Roman" w:hAnsi="Times New Roman"/>
          <w:lang w:val="lt-LT"/>
        </w:rPr>
        <w:t>ių</w:t>
      </w:r>
      <w:r w:rsidRPr="00B643C4">
        <w:rPr>
          <w:rFonts w:ascii="Times New Roman" w:hAnsi="Times New Roman"/>
          <w:lang w:val="lt-LT"/>
        </w:rPr>
        <w:t xml:space="preserve"> antagonist</w:t>
      </w:r>
      <w:r>
        <w:rPr>
          <w:rFonts w:ascii="Times New Roman" w:hAnsi="Times New Roman"/>
          <w:lang w:val="lt-LT"/>
        </w:rPr>
        <w:t>ų vartojo kartotinai</w:t>
      </w:r>
      <w:r w:rsidRPr="00B643C4">
        <w:rPr>
          <w:rFonts w:ascii="Times New Roman" w:hAnsi="Times New Roman"/>
          <w:lang w:val="lt-LT"/>
        </w:rPr>
        <w:t xml:space="preserve">. </w:t>
      </w:r>
    </w:p>
    <w:p w:rsidR="00B42325" w:rsidRDefault="00B42325" w:rsidP="00B643C4">
      <w:pPr>
        <w:spacing w:after="0" w:line="240" w:lineRule="auto"/>
        <w:rPr>
          <w:rFonts w:ascii="Times New Roman" w:hAnsi="Times New Roman"/>
          <w:lang w:val="lt-LT"/>
        </w:rPr>
      </w:pPr>
    </w:p>
    <w:p w:rsidR="00B42325" w:rsidRPr="00585D83" w:rsidRDefault="00B42325" w:rsidP="00BF6141">
      <w:pPr>
        <w:spacing w:after="0" w:line="240" w:lineRule="auto"/>
        <w:rPr>
          <w:rFonts w:ascii="Times New Roman" w:hAnsi="Times New Roman"/>
          <w:b/>
          <w:i/>
          <w:lang w:val="lt-LT"/>
        </w:rPr>
      </w:pPr>
      <w:r w:rsidRPr="00585D83">
        <w:rPr>
          <w:rFonts w:ascii="Times New Roman" w:hAnsi="Times New Roman"/>
          <w:b/>
          <w:i/>
          <w:lang w:val="lt-LT"/>
        </w:rPr>
        <w:t>Po preparato pasirodymo rinkoje gauti duomenys</w:t>
      </w:r>
    </w:p>
    <w:p w:rsidR="00B42325" w:rsidRPr="00B643C4" w:rsidRDefault="00B42325" w:rsidP="00B643C4">
      <w:pPr>
        <w:spacing w:after="0" w:line="240" w:lineRule="auto"/>
        <w:rPr>
          <w:rFonts w:ascii="Times New Roman" w:hAnsi="Times New Roman"/>
          <w:lang w:val="lt-LT"/>
        </w:rPr>
      </w:pP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lastRenderedPageBreak/>
        <w:t>Po preparato pasirodymo rinkoje nedažnai pranešta apie toliau išvardytas papildomas nepageidaujamas reakcijas. Duomenų apie jas gauta iš spontaninių pranešimų, todėl tikslus dažnis negali būti nustatytas:</w:t>
      </w:r>
    </w:p>
    <w:p w:rsidR="00B42325" w:rsidRDefault="00B42325" w:rsidP="00B643C4">
      <w:pPr>
        <w:spacing w:after="0" w:line="240" w:lineRule="auto"/>
        <w:rPr>
          <w:rFonts w:ascii="Times New Roman" w:hAnsi="Times New Roman"/>
          <w:lang w:val="lt-LT"/>
        </w:rPr>
      </w:pPr>
    </w:p>
    <w:p w:rsidR="00B42325" w:rsidRPr="009317B4" w:rsidRDefault="00B42325" w:rsidP="0027098D">
      <w:pPr>
        <w:spacing w:after="0" w:line="240" w:lineRule="auto"/>
        <w:rPr>
          <w:rFonts w:ascii="Times New Roman" w:hAnsi="Times New Roman"/>
          <w:i/>
          <w:lang w:val="lt-LT"/>
        </w:rPr>
      </w:pPr>
      <w:r w:rsidRPr="009317B4">
        <w:rPr>
          <w:rFonts w:ascii="Times New Roman" w:hAnsi="Times New Roman"/>
          <w:i/>
          <w:lang w:val="lt-LT"/>
        </w:rPr>
        <w:t>Kraujo ir limfinės sistemos sutrikimai</w:t>
      </w:r>
    </w:p>
    <w:p w:rsidR="00B42325" w:rsidRPr="00B643C4" w:rsidRDefault="00B42325" w:rsidP="009317B4">
      <w:pPr>
        <w:spacing w:after="0" w:line="240" w:lineRule="auto"/>
        <w:rPr>
          <w:rFonts w:ascii="Times New Roman" w:hAnsi="Times New Roman"/>
          <w:lang w:val="lt-LT"/>
        </w:rPr>
      </w:pPr>
      <w:r>
        <w:rPr>
          <w:rFonts w:ascii="Times New Roman" w:hAnsi="Times New Roman"/>
          <w:lang w:val="lt-LT"/>
        </w:rPr>
        <w:t>Intrakranialinis kraujavimas</w:t>
      </w:r>
      <w:r w:rsidRPr="00B643C4">
        <w:rPr>
          <w:rFonts w:ascii="Times New Roman" w:hAnsi="Times New Roman"/>
          <w:lang w:val="lt-LT"/>
        </w:rPr>
        <w:t xml:space="preserve">, </w:t>
      </w:r>
      <w:r>
        <w:rPr>
          <w:rFonts w:ascii="Times New Roman" w:hAnsi="Times New Roman"/>
          <w:lang w:val="lt-LT"/>
        </w:rPr>
        <w:t>retroperitoninis kraujavimas</w:t>
      </w:r>
      <w:r w:rsidRPr="00B643C4">
        <w:rPr>
          <w:rFonts w:ascii="Times New Roman" w:hAnsi="Times New Roman"/>
          <w:lang w:val="lt-LT"/>
        </w:rPr>
        <w:t xml:space="preserve">, </w:t>
      </w:r>
      <w:r>
        <w:rPr>
          <w:rFonts w:ascii="Times New Roman" w:hAnsi="Times New Roman"/>
          <w:lang w:val="lt-LT"/>
        </w:rPr>
        <w:t>kraujas perikardo ertmėje, plaučių (alveolių) kraujavimas, epidurinė hematoma stuburo srityje. Mirtinas kraujavimas pasireiškė retai.</w:t>
      </w:r>
      <w:r w:rsidRPr="00B643C4">
        <w:rPr>
          <w:rFonts w:ascii="Times New Roman" w:hAnsi="Times New Roman"/>
          <w:lang w:val="lt-LT"/>
        </w:rPr>
        <w:t xml:space="preserve"> </w:t>
      </w: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t>Ūminis ir (arba) sunkus</w:t>
      </w:r>
      <w:r w:rsidRPr="00B643C4">
        <w:rPr>
          <w:rFonts w:ascii="Times New Roman" w:hAnsi="Times New Roman"/>
          <w:lang w:val="lt-LT"/>
        </w:rPr>
        <w:t xml:space="preserve"> (&lt;20</w:t>
      </w:r>
      <w:r>
        <w:rPr>
          <w:rFonts w:ascii="Times New Roman" w:hAnsi="Times New Roman"/>
          <w:lang w:val="lt-LT"/>
        </w:rPr>
        <w:t> </w:t>
      </w:r>
      <w:r w:rsidRPr="00B643C4">
        <w:rPr>
          <w:rFonts w:ascii="Times New Roman" w:hAnsi="Times New Roman"/>
          <w:lang w:val="lt-LT"/>
        </w:rPr>
        <w:t>000/mm</w:t>
      </w:r>
      <w:r w:rsidRPr="009317B4">
        <w:rPr>
          <w:rFonts w:ascii="Times New Roman" w:hAnsi="Times New Roman"/>
          <w:vertAlign w:val="superscript"/>
          <w:lang w:val="lt-LT"/>
        </w:rPr>
        <w:t>3</w:t>
      </w:r>
      <w:r w:rsidRPr="00B643C4">
        <w:rPr>
          <w:rFonts w:ascii="Times New Roman" w:hAnsi="Times New Roman"/>
          <w:lang w:val="lt-LT"/>
        </w:rPr>
        <w:t xml:space="preserve">) </w:t>
      </w:r>
      <w:r>
        <w:rPr>
          <w:rFonts w:ascii="Times New Roman" w:hAnsi="Times New Roman"/>
          <w:lang w:val="lt-LT"/>
        </w:rPr>
        <w:t>trombocitų kiekio sumažėjimas gali būti susijęs su</w:t>
      </w:r>
      <w:r w:rsidRPr="00B643C4">
        <w:rPr>
          <w:rFonts w:ascii="Times New Roman" w:hAnsi="Times New Roman"/>
          <w:lang w:val="lt-LT"/>
        </w:rPr>
        <w:t xml:space="preserve"> </w:t>
      </w:r>
      <w:r>
        <w:rPr>
          <w:rFonts w:ascii="Times New Roman" w:hAnsi="Times New Roman"/>
          <w:lang w:val="lt-LT"/>
        </w:rPr>
        <w:t>šaltkrėčiu</w:t>
      </w:r>
      <w:r w:rsidRPr="00B643C4">
        <w:rPr>
          <w:rFonts w:ascii="Times New Roman" w:hAnsi="Times New Roman"/>
          <w:lang w:val="lt-LT"/>
        </w:rPr>
        <w:t xml:space="preserve">, </w:t>
      </w:r>
      <w:r>
        <w:rPr>
          <w:rFonts w:ascii="Times New Roman" w:hAnsi="Times New Roman"/>
          <w:lang w:val="lt-LT"/>
        </w:rPr>
        <w:t>nedideliu šaltkrėčiu ar kraujavimo komplikacijomis</w:t>
      </w:r>
      <w:r w:rsidRPr="00B643C4">
        <w:rPr>
          <w:rFonts w:ascii="Times New Roman" w:hAnsi="Times New Roman"/>
          <w:lang w:val="lt-LT"/>
        </w:rPr>
        <w:t xml:space="preserve"> (</w:t>
      </w:r>
      <w:r>
        <w:rPr>
          <w:rFonts w:ascii="Times New Roman" w:hAnsi="Times New Roman"/>
          <w:lang w:val="lt-LT"/>
        </w:rPr>
        <w:t>žr. poskyrį „Tyrimai“ aukščiau</w:t>
      </w:r>
      <w:r w:rsidRPr="00B643C4">
        <w:rPr>
          <w:rFonts w:ascii="Times New Roman" w:hAnsi="Times New Roman"/>
          <w:lang w:val="lt-LT"/>
        </w:rPr>
        <w:t>)</w:t>
      </w:r>
      <w:r>
        <w:rPr>
          <w:rFonts w:ascii="Times New Roman" w:hAnsi="Times New Roman"/>
          <w:lang w:val="lt-LT"/>
        </w:rPr>
        <w:t>.</w:t>
      </w:r>
      <w:r w:rsidRPr="00B643C4">
        <w:rPr>
          <w:rFonts w:ascii="Times New Roman" w:hAnsi="Times New Roman"/>
          <w:lang w:val="lt-LT"/>
        </w:rPr>
        <w:t xml:space="preserve"> </w:t>
      </w:r>
    </w:p>
    <w:p w:rsidR="00B42325" w:rsidRDefault="00B42325" w:rsidP="007E46EB">
      <w:pPr>
        <w:spacing w:after="0" w:line="240" w:lineRule="auto"/>
        <w:rPr>
          <w:rFonts w:ascii="Times New Roman" w:hAnsi="Times New Roman"/>
          <w:lang w:val="lt-LT"/>
        </w:rPr>
      </w:pPr>
    </w:p>
    <w:p w:rsidR="00B42325" w:rsidRPr="0027098D" w:rsidRDefault="00B42325" w:rsidP="007E46EB">
      <w:pPr>
        <w:spacing w:after="0" w:line="240" w:lineRule="auto"/>
        <w:rPr>
          <w:rFonts w:ascii="Times New Roman" w:hAnsi="Times New Roman"/>
          <w:i/>
          <w:lang w:val="lt-LT"/>
        </w:rPr>
      </w:pPr>
      <w:r>
        <w:rPr>
          <w:rFonts w:ascii="Times New Roman" w:hAnsi="Times New Roman"/>
          <w:i/>
          <w:lang w:val="lt-LT"/>
        </w:rPr>
        <w:t>Imuninės</w:t>
      </w:r>
      <w:r w:rsidRPr="0027098D">
        <w:rPr>
          <w:rFonts w:ascii="Times New Roman" w:hAnsi="Times New Roman"/>
          <w:i/>
          <w:lang w:val="lt-LT"/>
        </w:rPr>
        <w:t xml:space="preserve"> sistemos sutrikimai</w:t>
      </w:r>
    </w:p>
    <w:p w:rsidR="00B42325" w:rsidRPr="00F06B81" w:rsidRDefault="00B42325" w:rsidP="007E46EB">
      <w:pPr>
        <w:spacing w:after="0" w:line="240" w:lineRule="auto"/>
        <w:rPr>
          <w:rFonts w:ascii="Times New Roman" w:hAnsi="Times New Roman"/>
          <w:lang w:val="lt-LT"/>
        </w:rPr>
      </w:pPr>
      <w:r>
        <w:rPr>
          <w:rFonts w:ascii="Times New Roman" w:hAnsi="Times New Roman"/>
          <w:lang w:val="lt-LT"/>
        </w:rPr>
        <w:t>Sunkios alerginės reakcijos</w:t>
      </w:r>
      <w:r w:rsidRPr="00B643C4">
        <w:rPr>
          <w:rFonts w:ascii="Times New Roman" w:hAnsi="Times New Roman"/>
          <w:lang w:val="lt-LT"/>
        </w:rPr>
        <w:t xml:space="preserve"> (</w:t>
      </w:r>
      <w:r>
        <w:rPr>
          <w:rFonts w:ascii="Times New Roman" w:hAnsi="Times New Roman"/>
          <w:lang w:val="lt-LT"/>
        </w:rPr>
        <w:t>pvz., bronchų spazmas, dilgėlinė</w:t>
      </w:r>
      <w:r w:rsidRPr="00B643C4">
        <w:rPr>
          <w:rFonts w:ascii="Times New Roman" w:hAnsi="Times New Roman"/>
          <w:lang w:val="lt-LT"/>
        </w:rPr>
        <w:t>)</w:t>
      </w:r>
      <w:r>
        <w:rPr>
          <w:rFonts w:ascii="Times New Roman" w:hAnsi="Times New Roman"/>
          <w:lang w:val="lt-LT"/>
        </w:rPr>
        <w:t>, įskaitant anafilaksinę reakciją</w:t>
      </w:r>
      <w:r w:rsidRPr="00B643C4">
        <w:rPr>
          <w:rFonts w:ascii="Times New Roman" w:hAnsi="Times New Roman"/>
          <w:lang w:val="lt-LT"/>
        </w:rPr>
        <w:t xml:space="preserve">. </w:t>
      </w:r>
      <w:r>
        <w:rPr>
          <w:rFonts w:ascii="Times New Roman" w:hAnsi="Times New Roman"/>
          <w:lang w:val="lt-LT"/>
        </w:rPr>
        <w:t xml:space="preserve">Pranešta apie tokio poveikio atvejus pradinio gydymo metu </w:t>
      </w:r>
      <w:r w:rsidRPr="00B643C4">
        <w:rPr>
          <w:rFonts w:ascii="Times New Roman" w:hAnsi="Times New Roman"/>
          <w:lang w:val="lt-LT"/>
        </w:rPr>
        <w:t>(</w:t>
      </w:r>
      <w:r>
        <w:rPr>
          <w:rFonts w:ascii="Times New Roman" w:hAnsi="Times New Roman"/>
          <w:lang w:val="lt-LT"/>
        </w:rPr>
        <w:t>įskaitant pirmąją gydymo dieną</w:t>
      </w:r>
      <w:r w:rsidRPr="00B643C4">
        <w:rPr>
          <w:rFonts w:ascii="Times New Roman" w:hAnsi="Times New Roman"/>
          <w:lang w:val="lt-LT"/>
        </w:rPr>
        <w:t xml:space="preserve">) </w:t>
      </w:r>
      <w:r>
        <w:rPr>
          <w:rFonts w:ascii="Times New Roman" w:hAnsi="Times New Roman"/>
          <w:lang w:val="lt-LT"/>
        </w:rPr>
        <w:t>bei</w:t>
      </w:r>
      <w:r w:rsidRPr="00B643C4">
        <w:rPr>
          <w:rFonts w:ascii="Times New Roman" w:hAnsi="Times New Roman"/>
          <w:lang w:val="lt-LT"/>
        </w:rPr>
        <w:t xml:space="preserve"> tirofiban</w:t>
      </w:r>
      <w:r>
        <w:rPr>
          <w:rFonts w:ascii="Times New Roman" w:hAnsi="Times New Roman"/>
          <w:lang w:val="lt-LT"/>
        </w:rPr>
        <w:t>o skiriant kartotinai</w:t>
      </w:r>
      <w:r w:rsidRPr="00B643C4">
        <w:rPr>
          <w:rFonts w:ascii="Times New Roman" w:hAnsi="Times New Roman"/>
          <w:lang w:val="lt-LT"/>
        </w:rPr>
        <w:t xml:space="preserve">. </w:t>
      </w:r>
      <w:r>
        <w:rPr>
          <w:rFonts w:ascii="Times New Roman" w:hAnsi="Times New Roman"/>
          <w:lang w:val="lt-LT"/>
        </w:rPr>
        <w:t>Kai kurie atvejai buvo susiję su sunkia trombocitopenija</w:t>
      </w:r>
      <w:r w:rsidRPr="00B643C4">
        <w:rPr>
          <w:rFonts w:ascii="Times New Roman" w:hAnsi="Times New Roman"/>
          <w:lang w:val="lt-LT"/>
        </w:rPr>
        <w:t xml:space="preserve"> (</w:t>
      </w:r>
      <w:r>
        <w:rPr>
          <w:rFonts w:ascii="Times New Roman" w:hAnsi="Times New Roman"/>
          <w:lang w:val="lt-LT"/>
        </w:rPr>
        <w:t>trombocitų kiekis</w:t>
      </w:r>
      <w:r w:rsidRPr="00B643C4">
        <w:rPr>
          <w:rFonts w:ascii="Times New Roman" w:hAnsi="Times New Roman"/>
          <w:lang w:val="lt-LT"/>
        </w:rPr>
        <w:t xml:space="preserve"> &lt;10</w:t>
      </w:r>
      <w:r>
        <w:rPr>
          <w:rFonts w:ascii="Times New Roman" w:hAnsi="Times New Roman"/>
          <w:lang w:val="lt-LT"/>
        </w:rPr>
        <w:t> </w:t>
      </w:r>
      <w:r w:rsidRPr="00B643C4">
        <w:rPr>
          <w:rFonts w:ascii="Times New Roman" w:hAnsi="Times New Roman"/>
          <w:lang w:val="lt-LT"/>
        </w:rPr>
        <w:t>000/mm</w:t>
      </w:r>
      <w:r w:rsidRPr="008C6B27">
        <w:rPr>
          <w:rFonts w:ascii="Times New Roman" w:hAnsi="Times New Roman"/>
          <w:vertAlign w:val="superscript"/>
          <w:lang w:val="lt-LT"/>
        </w:rPr>
        <w:t>3</w:t>
      </w:r>
      <w:r w:rsidRPr="00B643C4">
        <w:rPr>
          <w:rFonts w:ascii="Times New Roman" w:hAnsi="Times New Roman"/>
          <w:lang w:val="lt-LT"/>
        </w:rPr>
        <w:t>).</w:t>
      </w:r>
    </w:p>
    <w:p w:rsidR="00B42325" w:rsidRPr="00F06B81" w:rsidRDefault="00B42325" w:rsidP="007E46EB">
      <w:pPr>
        <w:pStyle w:val="BTEMEASMCA"/>
        <w:rPr>
          <w:noProof w:val="0"/>
        </w:rPr>
      </w:pPr>
    </w:p>
    <w:p w:rsidR="00B42325" w:rsidRPr="00F06B81" w:rsidRDefault="00B42325" w:rsidP="003E2BE3">
      <w:pPr>
        <w:pStyle w:val="PI-2EMEASMCA"/>
      </w:pPr>
      <w:bookmarkStart w:id="30" w:name="_Toc129243110"/>
      <w:bookmarkStart w:id="31" w:name="_Toc129243235"/>
      <w:r w:rsidRPr="00F06B81">
        <w:t>4.9</w:t>
      </w:r>
      <w:r w:rsidRPr="00F06B81">
        <w:tab/>
        <w:t>Perdozavimas</w:t>
      </w:r>
      <w:bookmarkEnd w:id="30"/>
      <w:bookmarkEnd w:id="31"/>
    </w:p>
    <w:p w:rsidR="00B42325" w:rsidRPr="00F06B81" w:rsidRDefault="00B42325" w:rsidP="003E2BE3">
      <w:pPr>
        <w:pStyle w:val="BTEMEASMCA"/>
        <w:rPr>
          <w:noProof w:val="0"/>
        </w:rPr>
      </w:pP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t xml:space="preserve">Klinikinių tyrimų metu buvo netyčinio </w:t>
      </w:r>
      <w:r w:rsidRPr="00B643C4">
        <w:rPr>
          <w:rFonts w:ascii="Times New Roman" w:hAnsi="Times New Roman"/>
          <w:lang w:val="lt-LT"/>
        </w:rPr>
        <w:t>tirofiban</w:t>
      </w:r>
      <w:r>
        <w:rPr>
          <w:rFonts w:ascii="Times New Roman" w:hAnsi="Times New Roman"/>
          <w:lang w:val="lt-LT"/>
        </w:rPr>
        <w:t>o</w:t>
      </w:r>
      <w:r w:rsidRPr="00B643C4">
        <w:rPr>
          <w:rFonts w:ascii="Times New Roman" w:hAnsi="Times New Roman"/>
          <w:lang w:val="lt-LT"/>
        </w:rPr>
        <w:t xml:space="preserve"> h</w:t>
      </w:r>
      <w:r>
        <w:rPr>
          <w:rFonts w:ascii="Times New Roman" w:hAnsi="Times New Roman"/>
          <w:lang w:val="lt-LT"/>
        </w:rPr>
        <w:t>i</w:t>
      </w:r>
      <w:r w:rsidRPr="00B643C4">
        <w:rPr>
          <w:rFonts w:ascii="Times New Roman" w:hAnsi="Times New Roman"/>
          <w:lang w:val="lt-LT"/>
        </w:rPr>
        <w:t>drochlorid</w:t>
      </w:r>
      <w:r>
        <w:rPr>
          <w:rFonts w:ascii="Times New Roman" w:hAnsi="Times New Roman"/>
          <w:lang w:val="lt-LT"/>
        </w:rPr>
        <w:t>o</w:t>
      </w:r>
      <w:r w:rsidRPr="00B643C4">
        <w:rPr>
          <w:rFonts w:ascii="Times New Roman" w:hAnsi="Times New Roman"/>
          <w:lang w:val="lt-LT"/>
        </w:rPr>
        <w:t xml:space="preserve"> </w:t>
      </w:r>
      <w:r>
        <w:rPr>
          <w:rFonts w:ascii="Times New Roman" w:hAnsi="Times New Roman"/>
          <w:lang w:val="lt-LT"/>
        </w:rPr>
        <w:t xml:space="preserve">perdozavimo atvejų (suvartota iki </w:t>
      </w:r>
      <w:r w:rsidRPr="00B643C4">
        <w:rPr>
          <w:rFonts w:ascii="Times New Roman" w:hAnsi="Times New Roman"/>
          <w:lang w:val="lt-LT"/>
        </w:rPr>
        <w:t>50 mi</w:t>
      </w:r>
      <w:r>
        <w:rPr>
          <w:rFonts w:ascii="Times New Roman" w:hAnsi="Times New Roman"/>
          <w:lang w:val="lt-LT"/>
        </w:rPr>
        <w:t>k</w:t>
      </w:r>
      <w:r w:rsidRPr="00B643C4">
        <w:rPr>
          <w:rFonts w:ascii="Times New Roman" w:hAnsi="Times New Roman"/>
          <w:lang w:val="lt-LT"/>
        </w:rPr>
        <w:t>rogram</w:t>
      </w:r>
      <w:r>
        <w:rPr>
          <w:rFonts w:ascii="Times New Roman" w:hAnsi="Times New Roman"/>
          <w:lang w:val="lt-LT"/>
        </w:rPr>
        <w:t>ų</w:t>
      </w:r>
      <w:r w:rsidRPr="00B643C4">
        <w:rPr>
          <w:rFonts w:ascii="Times New Roman" w:hAnsi="Times New Roman"/>
          <w:lang w:val="lt-LT"/>
        </w:rPr>
        <w:t xml:space="preserve">/kg </w:t>
      </w:r>
      <w:r>
        <w:rPr>
          <w:rFonts w:ascii="Times New Roman" w:hAnsi="Times New Roman"/>
          <w:lang w:val="lt-LT"/>
        </w:rPr>
        <w:t xml:space="preserve">kūno svorio smūginė per 3 minutes suleidžiama dozė arba </w:t>
      </w:r>
      <w:r w:rsidRPr="00B643C4">
        <w:rPr>
          <w:rFonts w:ascii="Times New Roman" w:hAnsi="Times New Roman"/>
          <w:lang w:val="lt-LT"/>
        </w:rPr>
        <w:t>1</w:t>
      </w:r>
      <w:r>
        <w:rPr>
          <w:rFonts w:ascii="Times New Roman" w:hAnsi="Times New Roman"/>
          <w:lang w:val="lt-LT"/>
        </w:rPr>
        <w:t>,</w:t>
      </w:r>
      <w:r w:rsidRPr="00B643C4">
        <w:rPr>
          <w:rFonts w:ascii="Times New Roman" w:hAnsi="Times New Roman"/>
          <w:lang w:val="lt-LT"/>
        </w:rPr>
        <w:t>2 mi</w:t>
      </w:r>
      <w:r>
        <w:rPr>
          <w:rFonts w:ascii="Times New Roman" w:hAnsi="Times New Roman"/>
          <w:lang w:val="lt-LT"/>
        </w:rPr>
        <w:t>k</w:t>
      </w:r>
      <w:r w:rsidRPr="00B643C4">
        <w:rPr>
          <w:rFonts w:ascii="Times New Roman" w:hAnsi="Times New Roman"/>
          <w:lang w:val="lt-LT"/>
        </w:rPr>
        <w:t>rogram</w:t>
      </w:r>
      <w:r>
        <w:rPr>
          <w:rFonts w:ascii="Times New Roman" w:hAnsi="Times New Roman"/>
          <w:lang w:val="lt-LT"/>
        </w:rPr>
        <w:t>ų</w:t>
      </w:r>
      <w:r w:rsidRPr="00B643C4">
        <w:rPr>
          <w:rFonts w:ascii="Times New Roman" w:hAnsi="Times New Roman"/>
          <w:lang w:val="lt-LT"/>
        </w:rPr>
        <w:t xml:space="preserve">/kg </w:t>
      </w:r>
      <w:r>
        <w:rPr>
          <w:rFonts w:ascii="Times New Roman" w:hAnsi="Times New Roman"/>
          <w:lang w:val="lt-LT"/>
        </w:rPr>
        <w:t xml:space="preserve">kūno svorio/min. pradinė infuzuota dozė). Be to, buvo perdozavimo atvejis, kaip palaikomosios infuzijos greitis buvo iki </w:t>
      </w:r>
      <w:r w:rsidRPr="00B643C4">
        <w:rPr>
          <w:rFonts w:ascii="Times New Roman" w:hAnsi="Times New Roman"/>
          <w:lang w:val="lt-LT"/>
        </w:rPr>
        <w:t>1</w:t>
      </w:r>
      <w:r>
        <w:rPr>
          <w:rFonts w:ascii="Times New Roman" w:hAnsi="Times New Roman"/>
          <w:lang w:val="lt-LT"/>
        </w:rPr>
        <w:t>,</w:t>
      </w:r>
      <w:r w:rsidRPr="00B643C4">
        <w:rPr>
          <w:rFonts w:ascii="Times New Roman" w:hAnsi="Times New Roman"/>
          <w:lang w:val="lt-LT"/>
        </w:rPr>
        <w:t>47 mi</w:t>
      </w:r>
      <w:r>
        <w:rPr>
          <w:rFonts w:ascii="Times New Roman" w:hAnsi="Times New Roman"/>
          <w:lang w:val="lt-LT"/>
        </w:rPr>
        <w:t>k</w:t>
      </w:r>
      <w:r w:rsidRPr="00B643C4">
        <w:rPr>
          <w:rFonts w:ascii="Times New Roman" w:hAnsi="Times New Roman"/>
          <w:lang w:val="lt-LT"/>
        </w:rPr>
        <w:t>rogram</w:t>
      </w:r>
      <w:r>
        <w:rPr>
          <w:rFonts w:ascii="Times New Roman" w:hAnsi="Times New Roman"/>
          <w:lang w:val="lt-LT"/>
        </w:rPr>
        <w:t>ų</w:t>
      </w:r>
      <w:r w:rsidRPr="00B643C4">
        <w:rPr>
          <w:rFonts w:ascii="Times New Roman" w:hAnsi="Times New Roman"/>
          <w:lang w:val="lt-LT"/>
        </w:rPr>
        <w:t xml:space="preserve">/kg </w:t>
      </w:r>
      <w:r>
        <w:rPr>
          <w:rFonts w:ascii="Times New Roman" w:hAnsi="Times New Roman"/>
          <w:lang w:val="lt-LT"/>
        </w:rPr>
        <w:t>kūno svorio/min.</w:t>
      </w:r>
      <w:r w:rsidRPr="00B643C4">
        <w:rPr>
          <w:rFonts w:ascii="Times New Roman" w:hAnsi="Times New Roman"/>
          <w:lang w:val="lt-LT"/>
        </w:rPr>
        <w:t xml:space="preserve"> </w:t>
      </w:r>
    </w:p>
    <w:p w:rsidR="00B42325" w:rsidRDefault="00B42325" w:rsidP="00B643C4">
      <w:pPr>
        <w:spacing w:after="0" w:line="240" w:lineRule="auto"/>
        <w:rPr>
          <w:rFonts w:ascii="Times New Roman" w:hAnsi="Times New Roman"/>
          <w:lang w:val="lt-LT"/>
        </w:rPr>
      </w:pPr>
    </w:p>
    <w:p w:rsidR="00B42325" w:rsidRPr="00B643C4" w:rsidRDefault="00B42325" w:rsidP="00B643C4">
      <w:pPr>
        <w:spacing w:after="0" w:line="240" w:lineRule="auto"/>
        <w:rPr>
          <w:rFonts w:ascii="Times New Roman" w:hAnsi="Times New Roman"/>
          <w:lang w:val="lt-LT"/>
        </w:rPr>
      </w:pPr>
      <w:r w:rsidRPr="00B643C4">
        <w:rPr>
          <w:rFonts w:ascii="Times New Roman" w:hAnsi="Times New Roman"/>
          <w:lang w:val="lt-LT"/>
        </w:rPr>
        <w:t xml:space="preserve">a) </w:t>
      </w:r>
      <w:r>
        <w:rPr>
          <w:rFonts w:ascii="Times New Roman" w:hAnsi="Times New Roman"/>
          <w:lang w:val="lt-LT"/>
        </w:rPr>
        <w:t>Perdozavimo simptomai</w:t>
      </w:r>
      <w:r w:rsidRPr="00B643C4">
        <w:rPr>
          <w:rFonts w:ascii="Times New Roman" w:hAnsi="Times New Roman"/>
          <w:lang w:val="lt-LT"/>
        </w:rPr>
        <w:t xml:space="preserve"> </w:t>
      </w:r>
    </w:p>
    <w:p w:rsidR="00B42325" w:rsidRPr="00B643C4" w:rsidRDefault="00B42325" w:rsidP="00B643C4">
      <w:pPr>
        <w:spacing w:after="0" w:line="240" w:lineRule="auto"/>
        <w:rPr>
          <w:rFonts w:ascii="Times New Roman" w:hAnsi="Times New Roman"/>
          <w:lang w:val="lt-LT"/>
        </w:rPr>
      </w:pPr>
      <w:r>
        <w:rPr>
          <w:rFonts w:ascii="Times New Roman" w:hAnsi="Times New Roman"/>
          <w:lang w:val="lt-LT"/>
        </w:rPr>
        <w:t>Dažniausi perdozavimo simptomai buvo kraujavimas (paprastai iš gleivinės ar lokalus kraujavimas arterijos punkcijos širdies kateteriui įvesti vietos, bet buvo pavienių intrakranialinės hemoragijos bei retroperitoninio kraujavimo atvejų) (žr.</w:t>
      </w:r>
      <w:r w:rsidRPr="00B643C4">
        <w:rPr>
          <w:rFonts w:ascii="Times New Roman" w:hAnsi="Times New Roman"/>
          <w:lang w:val="lt-LT"/>
        </w:rPr>
        <w:t xml:space="preserve"> 4.4 </w:t>
      </w:r>
      <w:r>
        <w:rPr>
          <w:rFonts w:ascii="Times New Roman" w:hAnsi="Times New Roman"/>
          <w:lang w:val="lt-LT"/>
        </w:rPr>
        <w:t>ir</w:t>
      </w:r>
      <w:r w:rsidRPr="00B643C4">
        <w:rPr>
          <w:rFonts w:ascii="Times New Roman" w:hAnsi="Times New Roman"/>
          <w:lang w:val="lt-LT"/>
        </w:rPr>
        <w:t xml:space="preserve"> 5.1</w:t>
      </w:r>
      <w:r>
        <w:rPr>
          <w:rFonts w:ascii="Times New Roman" w:hAnsi="Times New Roman"/>
          <w:lang w:val="lt-LT"/>
        </w:rPr>
        <w:t xml:space="preserve"> skyrius</w:t>
      </w:r>
      <w:r w:rsidRPr="00B643C4">
        <w:rPr>
          <w:rFonts w:ascii="Times New Roman" w:hAnsi="Times New Roman"/>
          <w:lang w:val="lt-LT"/>
        </w:rPr>
        <w:t xml:space="preserve">). </w:t>
      </w:r>
    </w:p>
    <w:p w:rsidR="00B42325" w:rsidRDefault="00B42325" w:rsidP="00B643C4">
      <w:pPr>
        <w:spacing w:after="0" w:line="240" w:lineRule="auto"/>
        <w:rPr>
          <w:rFonts w:ascii="Times New Roman" w:hAnsi="Times New Roman"/>
          <w:lang w:val="lt-LT"/>
        </w:rPr>
      </w:pPr>
    </w:p>
    <w:p w:rsidR="00B42325" w:rsidRPr="00B643C4" w:rsidRDefault="00B42325" w:rsidP="00B643C4">
      <w:pPr>
        <w:spacing w:after="0" w:line="240" w:lineRule="auto"/>
        <w:rPr>
          <w:rFonts w:ascii="Times New Roman" w:hAnsi="Times New Roman"/>
          <w:lang w:val="lt-LT"/>
        </w:rPr>
      </w:pPr>
      <w:r w:rsidRPr="00B643C4">
        <w:rPr>
          <w:rFonts w:ascii="Times New Roman" w:hAnsi="Times New Roman"/>
          <w:lang w:val="lt-LT"/>
        </w:rPr>
        <w:t xml:space="preserve">b) </w:t>
      </w:r>
      <w:r>
        <w:rPr>
          <w:rFonts w:ascii="Times New Roman" w:hAnsi="Times New Roman"/>
          <w:lang w:val="lt-LT"/>
        </w:rPr>
        <w:t>Gydymas</w:t>
      </w:r>
    </w:p>
    <w:p w:rsidR="00B42325" w:rsidRPr="00F06B81" w:rsidRDefault="00B42325" w:rsidP="003E2BE3">
      <w:pPr>
        <w:spacing w:after="0" w:line="240" w:lineRule="auto"/>
        <w:rPr>
          <w:rFonts w:ascii="Times New Roman" w:hAnsi="Times New Roman"/>
          <w:lang w:val="lt-LT"/>
        </w:rPr>
      </w:pPr>
      <w:r>
        <w:rPr>
          <w:rFonts w:ascii="Times New Roman" w:hAnsi="Times New Roman"/>
          <w:lang w:val="lt-LT"/>
        </w:rPr>
        <w:t>T</w:t>
      </w:r>
      <w:r w:rsidRPr="00B643C4">
        <w:rPr>
          <w:rFonts w:ascii="Times New Roman" w:hAnsi="Times New Roman"/>
          <w:lang w:val="lt-LT"/>
        </w:rPr>
        <w:t>irofiban</w:t>
      </w:r>
      <w:r>
        <w:rPr>
          <w:rFonts w:ascii="Times New Roman" w:hAnsi="Times New Roman"/>
          <w:lang w:val="lt-LT"/>
        </w:rPr>
        <w:t>o hi</w:t>
      </w:r>
      <w:r w:rsidRPr="00B643C4">
        <w:rPr>
          <w:rFonts w:ascii="Times New Roman" w:hAnsi="Times New Roman"/>
          <w:lang w:val="lt-LT"/>
        </w:rPr>
        <w:t>drochlorid</w:t>
      </w:r>
      <w:r>
        <w:rPr>
          <w:rFonts w:ascii="Times New Roman" w:hAnsi="Times New Roman"/>
          <w:lang w:val="lt-LT"/>
        </w:rPr>
        <w:t>o perdozavimas turi būti gydomas atsižvelgiant į paciento būklę bei gydytojo įvertinimą. Jei kraujavimą reikia gydyti, Trombopriv infuziją būtina nutraukti</w:t>
      </w:r>
      <w:r w:rsidRPr="00B643C4">
        <w:rPr>
          <w:rFonts w:ascii="Times New Roman" w:hAnsi="Times New Roman"/>
          <w:lang w:val="lt-LT"/>
        </w:rPr>
        <w:t xml:space="preserve">. </w:t>
      </w:r>
      <w:r>
        <w:rPr>
          <w:rFonts w:ascii="Times New Roman" w:hAnsi="Times New Roman"/>
          <w:lang w:val="lt-LT"/>
        </w:rPr>
        <w:t>Reikia apsvarstyti kraujo ir (arba) trombocitų perpylimo reikalingumą. Trombopriv</w:t>
      </w:r>
      <w:r w:rsidRPr="00F06B81">
        <w:rPr>
          <w:rFonts w:ascii="Times New Roman" w:hAnsi="Times New Roman"/>
          <w:lang w:val="lt-LT"/>
        </w:rPr>
        <w:t xml:space="preserve"> galima pašalinti atliekant hemodializę.</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C5318F">
      <w:pPr>
        <w:pStyle w:val="PI-1EMEASMCA"/>
      </w:pPr>
      <w:bookmarkStart w:id="32" w:name="_Toc129243111"/>
      <w:bookmarkStart w:id="33" w:name="_Toc129243236"/>
      <w:r w:rsidRPr="00F06B81">
        <w:t>5.</w:t>
      </w:r>
      <w:r w:rsidRPr="00F06B81">
        <w:tab/>
        <w:t>FARMAKOLOGINĖS SAVYBĖS</w:t>
      </w:r>
      <w:bookmarkEnd w:id="32"/>
      <w:bookmarkEnd w:id="33"/>
    </w:p>
    <w:p w:rsidR="00B42325" w:rsidRPr="00F06B81" w:rsidRDefault="00B42325" w:rsidP="003E2BE3">
      <w:pPr>
        <w:pStyle w:val="BTEMEASMCA"/>
        <w:rPr>
          <w:noProof w:val="0"/>
        </w:rPr>
      </w:pPr>
    </w:p>
    <w:p w:rsidR="00B42325" w:rsidRPr="00F06B81" w:rsidRDefault="00B42325" w:rsidP="003E2BE3">
      <w:pPr>
        <w:pStyle w:val="PI-2EMEASMCA"/>
      </w:pPr>
      <w:bookmarkStart w:id="34" w:name="_Toc129243112"/>
      <w:bookmarkStart w:id="35" w:name="_Toc129243237"/>
      <w:r w:rsidRPr="00F06B81">
        <w:t>5.1</w:t>
      </w:r>
      <w:r w:rsidRPr="00F06B81">
        <w:tab/>
        <w:t>Farmakodinaminės savybės</w:t>
      </w:r>
      <w:bookmarkEnd w:id="34"/>
      <w:bookmarkEnd w:id="35"/>
    </w:p>
    <w:p w:rsidR="00B42325" w:rsidRPr="00F06B81" w:rsidRDefault="00B42325" w:rsidP="003E2BE3">
      <w:pPr>
        <w:pStyle w:val="BTEMEASMCA"/>
        <w:rPr>
          <w:noProof w:val="0"/>
        </w:rPr>
      </w:pPr>
    </w:p>
    <w:p w:rsidR="00B42325" w:rsidRPr="00F06B81" w:rsidRDefault="00B42325" w:rsidP="003E2BE3">
      <w:pPr>
        <w:pStyle w:val="BTEMEASMCA"/>
        <w:rPr>
          <w:noProof w:val="0"/>
        </w:rPr>
      </w:pPr>
      <w:r w:rsidRPr="00F06B81">
        <w:rPr>
          <w:noProof w:val="0"/>
        </w:rPr>
        <w:t>Farmakoterapinė grupė –</w:t>
      </w:r>
      <w:r>
        <w:rPr>
          <w:noProof w:val="0"/>
        </w:rPr>
        <w:t xml:space="preserve"> trombocitų agregacijos inhibitoriai, išskyrus hepariną</w:t>
      </w:r>
      <w:r w:rsidRPr="00F06B81">
        <w:rPr>
          <w:noProof w:val="0"/>
        </w:rPr>
        <w:t>, ATC kodas – B01AC17</w:t>
      </w:r>
      <w:r>
        <w:rPr>
          <w:noProof w:val="0"/>
        </w:rPr>
        <w:t>.</w:t>
      </w:r>
    </w:p>
    <w:p w:rsidR="00B42325" w:rsidRPr="00F06B81" w:rsidRDefault="00B42325" w:rsidP="003E2BE3">
      <w:pPr>
        <w:spacing w:after="0" w:line="240" w:lineRule="auto"/>
        <w:rPr>
          <w:rFonts w:ascii="Times New Roman" w:hAnsi="Times New Roman"/>
          <w:lang w:val="lt-LT"/>
        </w:rPr>
      </w:pPr>
    </w:p>
    <w:p w:rsidR="00B42325" w:rsidRDefault="00B42325" w:rsidP="006E6286">
      <w:pPr>
        <w:spacing w:after="0" w:line="240" w:lineRule="auto"/>
        <w:rPr>
          <w:rFonts w:ascii="Times New Roman" w:hAnsi="Times New Roman"/>
          <w:lang w:val="lt-LT"/>
        </w:rPr>
      </w:pPr>
      <w:r>
        <w:rPr>
          <w:rFonts w:ascii="Times New Roman" w:hAnsi="Times New Roman"/>
          <w:lang w:val="lt-LT"/>
        </w:rPr>
        <w:t>Tirofibano hidrochloridas (tirofibanas) yra</w:t>
      </w:r>
      <w:r w:rsidRPr="00F06B81">
        <w:rPr>
          <w:rFonts w:ascii="Times New Roman" w:hAnsi="Times New Roman"/>
          <w:lang w:val="lt-LT"/>
        </w:rPr>
        <w:t xml:space="preserve"> nepeptidinis GP IIb/IIIa receptori</w:t>
      </w:r>
      <w:r>
        <w:rPr>
          <w:rFonts w:ascii="Times New Roman" w:hAnsi="Times New Roman"/>
          <w:lang w:val="lt-LT"/>
        </w:rPr>
        <w:t xml:space="preserve">ų, t. y. svarbių su trombocitų </w:t>
      </w:r>
      <w:r w:rsidRPr="00F06B81">
        <w:rPr>
          <w:rFonts w:ascii="Times New Roman" w:hAnsi="Times New Roman"/>
          <w:lang w:val="lt-LT"/>
        </w:rPr>
        <w:t>agregacija susijusi</w:t>
      </w:r>
      <w:r>
        <w:rPr>
          <w:rFonts w:ascii="Times New Roman" w:hAnsi="Times New Roman"/>
          <w:lang w:val="lt-LT"/>
        </w:rPr>
        <w:t>ų</w:t>
      </w:r>
      <w:r w:rsidRPr="00F06B81">
        <w:rPr>
          <w:rFonts w:ascii="Times New Roman" w:hAnsi="Times New Roman"/>
          <w:lang w:val="lt-LT"/>
        </w:rPr>
        <w:t xml:space="preserve"> trombocitų paviršiaus </w:t>
      </w:r>
      <w:r>
        <w:rPr>
          <w:rFonts w:ascii="Times New Roman" w:hAnsi="Times New Roman"/>
          <w:lang w:val="lt-LT"/>
        </w:rPr>
        <w:t xml:space="preserve">receptorių, </w:t>
      </w:r>
      <w:r w:rsidRPr="00F06B81">
        <w:rPr>
          <w:rFonts w:ascii="Times New Roman" w:hAnsi="Times New Roman"/>
          <w:lang w:val="lt-LT"/>
        </w:rPr>
        <w:t xml:space="preserve">antagonistas. </w:t>
      </w:r>
      <w:r>
        <w:rPr>
          <w:rFonts w:ascii="Times New Roman" w:hAnsi="Times New Roman"/>
          <w:lang w:val="lt-LT"/>
        </w:rPr>
        <w:t xml:space="preserve">Tirofibanas </w:t>
      </w:r>
      <w:r w:rsidRPr="00F06B81">
        <w:rPr>
          <w:rFonts w:ascii="Times New Roman" w:hAnsi="Times New Roman"/>
          <w:lang w:val="lt-LT"/>
        </w:rPr>
        <w:t xml:space="preserve">neleidžia fibrinogenui </w:t>
      </w:r>
      <w:r>
        <w:rPr>
          <w:rFonts w:ascii="Times New Roman" w:hAnsi="Times New Roman"/>
          <w:lang w:val="lt-LT"/>
        </w:rPr>
        <w:t>prisijungti prie</w:t>
      </w:r>
      <w:r w:rsidRPr="00F06B81">
        <w:rPr>
          <w:rFonts w:ascii="Times New Roman" w:hAnsi="Times New Roman"/>
          <w:lang w:val="lt-LT"/>
        </w:rPr>
        <w:t xml:space="preserve"> GP IIb/IIIa </w:t>
      </w:r>
      <w:r>
        <w:rPr>
          <w:rFonts w:ascii="Times New Roman" w:hAnsi="Times New Roman"/>
          <w:lang w:val="lt-LT"/>
        </w:rPr>
        <w:t>receptorių, todėl blokuojama trombocitų agregacija.</w:t>
      </w:r>
    </w:p>
    <w:p w:rsidR="00B42325" w:rsidRPr="00F06B81" w:rsidRDefault="00B42325" w:rsidP="006E6286">
      <w:pPr>
        <w:spacing w:after="0" w:line="240" w:lineRule="auto"/>
        <w:rPr>
          <w:rFonts w:ascii="Times New Roman" w:hAnsi="Times New Roman"/>
          <w:lang w:val="lt-LT"/>
        </w:rPr>
      </w:pPr>
      <w:r>
        <w:rPr>
          <w:rFonts w:ascii="Times New Roman" w:hAnsi="Times New Roman"/>
          <w:lang w:val="lt-LT"/>
        </w:rPr>
        <w:t xml:space="preserve">Tirofibanas </w:t>
      </w:r>
      <w:r w:rsidRPr="00F06B81">
        <w:rPr>
          <w:rFonts w:ascii="Times New Roman" w:hAnsi="Times New Roman"/>
          <w:lang w:val="lt-LT"/>
        </w:rPr>
        <w:t>slopina trombocitų funkciją</w:t>
      </w:r>
      <w:r>
        <w:rPr>
          <w:rFonts w:ascii="Times New Roman" w:hAnsi="Times New Roman"/>
          <w:lang w:val="lt-LT"/>
        </w:rPr>
        <w:t xml:space="preserve"> (</w:t>
      </w:r>
      <w:r w:rsidRPr="00F06B81">
        <w:rPr>
          <w:rFonts w:ascii="Times New Roman" w:hAnsi="Times New Roman"/>
          <w:i/>
          <w:lang w:val="lt-LT"/>
        </w:rPr>
        <w:t>ex vivo</w:t>
      </w:r>
      <w:r w:rsidRPr="00F06B81">
        <w:rPr>
          <w:rFonts w:ascii="Times New Roman" w:hAnsi="Times New Roman"/>
          <w:lang w:val="lt-LT"/>
        </w:rPr>
        <w:t xml:space="preserve"> </w:t>
      </w:r>
      <w:r>
        <w:rPr>
          <w:rFonts w:ascii="Times New Roman" w:hAnsi="Times New Roman"/>
          <w:lang w:val="lt-LT"/>
        </w:rPr>
        <w:t xml:space="preserve">slopina </w:t>
      </w:r>
      <w:r w:rsidRPr="00F06B81">
        <w:rPr>
          <w:rFonts w:ascii="Times New Roman" w:hAnsi="Times New Roman"/>
          <w:lang w:val="lt-LT"/>
        </w:rPr>
        <w:t>adenozinfosfato (ADP) sužad</w:t>
      </w:r>
      <w:r>
        <w:rPr>
          <w:rFonts w:ascii="Times New Roman" w:hAnsi="Times New Roman"/>
          <w:lang w:val="lt-LT"/>
        </w:rPr>
        <w:t xml:space="preserve">intą trombocitų agregaciją ir </w:t>
      </w:r>
      <w:r w:rsidRPr="00F06B81">
        <w:rPr>
          <w:rFonts w:ascii="Times New Roman" w:hAnsi="Times New Roman"/>
          <w:lang w:val="lt-LT"/>
        </w:rPr>
        <w:t>ilgina kraujavimo laiką (KL)</w:t>
      </w:r>
      <w:r>
        <w:rPr>
          <w:rFonts w:ascii="Times New Roman" w:hAnsi="Times New Roman"/>
          <w:lang w:val="lt-LT"/>
        </w:rPr>
        <w:t>). Tirofibano vartojimą nutraukus</w:t>
      </w:r>
      <w:r w:rsidRPr="00F06B81">
        <w:rPr>
          <w:rFonts w:ascii="Times New Roman" w:hAnsi="Times New Roman"/>
          <w:lang w:val="lt-LT"/>
        </w:rPr>
        <w:t xml:space="preserve">, trombocitų funkcija </w:t>
      </w:r>
      <w:r>
        <w:rPr>
          <w:rFonts w:ascii="Times New Roman" w:hAnsi="Times New Roman"/>
          <w:lang w:val="lt-LT"/>
        </w:rPr>
        <w:t>tokia, kokia buvo, tampa per aštuonias valandas.</w:t>
      </w:r>
    </w:p>
    <w:p w:rsidR="00B42325" w:rsidRDefault="00B42325" w:rsidP="006E6286">
      <w:pPr>
        <w:spacing w:after="0" w:line="240" w:lineRule="auto"/>
        <w:rPr>
          <w:rFonts w:ascii="Times New Roman" w:hAnsi="Times New Roman"/>
          <w:lang w:val="lt-LT"/>
        </w:rPr>
      </w:pPr>
      <w:r>
        <w:rPr>
          <w:rFonts w:ascii="Times New Roman" w:hAnsi="Times New Roman"/>
          <w:lang w:val="lt-LT"/>
        </w:rPr>
        <w:t>Slopinimo stiprumas priklauso nuo tirofibano koncentracijos plazmoje.</w:t>
      </w:r>
    </w:p>
    <w:p w:rsidR="00B42325" w:rsidRDefault="00B42325" w:rsidP="006E6286">
      <w:pPr>
        <w:spacing w:after="0" w:line="240" w:lineRule="auto"/>
        <w:rPr>
          <w:rFonts w:ascii="Times New Roman" w:hAnsi="Times New Roman"/>
          <w:lang w:val="lt-LT"/>
        </w:rPr>
      </w:pPr>
      <w:r>
        <w:rPr>
          <w:rFonts w:ascii="Times New Roman" w:hAnsi="Times New Roman"/>
          <w:lang w:val="lt-LT"/>
        </w:rPr>
        <w:t>Infuzuojant</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 xml:space="preserve">4 </w:t>
      </w:r>
      <w:r>
        <w:rPr>
          <w:rFonts w:ascii="Times New Roman" w:hAnsi="Times New Roman"/>
          <w:lang w:val="lt-LT"/>
        </w:rPr>
        <w:t>mikrogramo</w:t>
      </w:r>
      <w:r w:rsidRPr="006E6286">
        <w:rPr>
          <w:rFonts w:ascii="Times New Roman" w:hAnsi="Times New Roman"/>
          <w:lang w:val="lt-LT"/>
        </w:rPr>
        <w:t>/kg</w:t>
      </w:r>
      <w:r>
        <w:rPr>
          <w:rFonts w:ascii="Times New Roman" w:hAnsi="Times New Roman"/>
          <w:lang w:val="lt-LT"/>
        </w:rPr>
        <w:t xml:space="preserve"> kūno svorio</w:t>
      </w:r>
      <w:r w:rsidRPr="006E6286">
        <w:rPr>
          <w:rFonts w:ascii="Times New Roman" w:hAnsi="Times New Roman"/>
          <w:lang w:val="lt-LT"/>
        </w:rPr>
        <w:t>/min</w:t>
      </w:r>
      <w:r>
        <w:rPr>
          <w:rFonts w:ascii="Times New Roman" w:hAnsi="Times New Roman"/>
          <w:lang w:val="lt-LT"/>
        </w:rPr>
        <w:t>.</w:t>
      </w:r>
      <w:r w:rsidRPr="006E6286">
        <w:rPr>
          <w:rFonts w:ascii="Times New Roman" w:hAnsi="Times New Roman"/>
          <w:lang w:val="lt-LT"/>
        </w:rPr>
        <w:t xml:space="preserve"> tirofiban</w:t>
      </w:r>
      <w:r>
        <w:rPr>
          <w:rFonts w:ascii="Times New Roman" w:hAnsi="Times New Roman"/>
          <w:lang w:val="lt-LT"/>
        </w:rPr>
        <w:t xml:space="preserve">o dozę ir kartu vartojant nefrakcionuoto heparino ir </w:t>
      </w:r>
      <w:r w:rsidRPr="006E6286">
        <w:rPr>
          <w:rFonts w:ascii="Times New Roman" w:hAnsi="Times New Roman"/>
          <w:lang w:val="lt-LT"/>
        </w:rPr>
        <w:t>ASA, tirofiban</w:t>
      </w:r>
      <w:r>
        <w:rPr>
          <w:rFonts w:ascii="Times New Roman" w:hAnsi="Times New Roman"/>
          <w:lang w:val="lt-LT"/>
        </w:rPr>
        <w:t>as</w:t>
      </w:r>
      <w:r w:rsidRPr="00C16C47">
        <w:rPr>
          <w:rFonts w:ascii="Times New Roman" w:hAnsi="Times New Roman"/>
          <w:i/>
          <w:lang w:val="lt-LT"/>
        </w:rPr>
        <w:t xml:space="preserve"> </w:t>
      </w:r>
      <w:r w:rsidRPr="00F06B81">
        <w:rPr>
          <w:rFonts w:ascii="Times New Roman" w:hAnsi="Times New Roman"/>
          <w:i/>
          <w:lang w:val="lt-LT"/>
        </w:rPr>
        <w:t>ex vivo</w:t>
      </w:r>
      <w:r w:rsidRPr="00F06B81">
        <w:rPr>
          <w:rFonts w:ascii="Times New Roman" w:hAnsi="Times New Roman"/>
          <w:lang w:val="lt-LT"/>
        </w:rPr>
        <w:t xml:space="preserve"> </w:t>
      </w:r>
      <w:r>
        <w:rPr>
          <w:rFonts w:ascii="Times New Roman" w:hAnsi="Times New Roman"/>
          <w:lang w:val="lt-LT"/>
        </w:rPr>
        <w:t>ADP</w:t>
      </w:r>
      <w:r w:rsidRPr="00F06B81">
        <w:rPr>
          <w:rFonts w:ascii="Times New Roman" w:hAnsi="Times New Roman"/>
          <w:lang w:val="lt-LT"/>
        </w:rPr>
        <w:t xml:space="preserve"> sužad</w:t>
      </w:r>
      <w:r>
        <w:rPr>
          <w:rFonts w:ascii="Times New Roman" w:hAnsi="Times New Roman"/>
          <w:lang w:val="lt-LT"/>
        </w:rPr>
        <w:t>intą trombocitų agregaciją</w:t>
      </w:r>
      <w:r w:rsidRPr="006E6286">
        <w:rPr>
          <w:rFonts w:ascii="Times New Roman" w:hAnsi="Times New Roman"/>
          <w:lang w:val="lt-LT"/>
        </w:rPr>
        <w:t xml:space="preserve"> </w:t>
      </w:r>
      <w:r>
        <w:rPr>
          <w:rFonts w:ascii="Times New Roman" w:hAnsi="Times New Roman"/>
          <w:lang w:val="lt-LT"/>
        </w:rPr>
        <w:t>slopino daugiau kaip</w:t>
      </w:r>
      <w:r w:rsidRPr="006E6286">
        <w:rPr>
          <w:rFonts w:ascii="Times New Roman" w:hAnsi="Times New Roman"/>
          <w:lang w:val="lt-LT"/>
        </w:rPr>
        <w:t xml:space="preserve"> 70% (median</w:t>
      </w:r>
      <w:r>
        <w:rPr>
          <w:rFonts w:ascii="Times New Roman" w:hAnsi="Times New Roman"/>
          <w:lang w:val="lt-LT"/>
        </w:rPr>
        <w:t>a</w:t>
      </w:r>
      <w:r w:rsidRPr="006E6286">
        <w:rPr>
          <w:rFonts w:ascii="Times New Roman" w:hAnsi="Times New Roman"/>
          <w:lang w:val="lt-LT"/>
        </w:rPr>
        <w:t xml:space="preserve"> 89%) 93% </w:t>
      </w:r>
      <w:r>
        <w:rPr>
          <w:rFonts w:ascii="Times New Roman" w:hAnsi="Times New Roman"/>
          <w:lang w:val="lt-LT"/>
        </w:rPr>
        <w:t>pacientų</w:t>
      </w:r>
      <w:r w:rsidRPr="006E6286">
        <w:rPr>
          <w:rFonts w:ascii="Times New Roman" w:hAnsi="Times New Roman"/>
          <w:lang w:val="lt-LT"/>
        </w:rPr>
        <w:t xml:space="preserve">, </w:t>
      </w:r>
      <w:r>
        <w:rPr>
          <w:rFonts w:ascii="Times New Roman" w:hAnsi="Times New Roman"/>
          <w:lang w:val="lt-LT"/>
        </w:rPr>
        <w:t xml:space="preserve">kraujavimo laikas infuzijos metu pailgėjo </w:t>
      </w:r>
      <w:r w:rsidRPr="006E6286">
        <w:rPr>
          <w:rFonts w:ascii="Times New Roman" w:hAnsi="Times New Roman"/>
          <w:lang w:val="lt-LT"/>
        </w:rPr>
        <w:t>2</w:t>
      </w:r>
      <w:r>
        <w:rPr>
          <w:rFonts w:ascii="Times New Roman" w:hAnsi="Times New Roman"/>
          <w:lang w:val="lt-LT"/>
        </w:rPr>
        <w:t>,</w:t>
      </w:r>
      <w:r w:rsidRPr="006E6286">
        <w:rPr>
          <w:rFonts w:ascii="Times New Roman" w:hAnsi="Times New Roman"/>
          <w:lang w:val="lt-LT"/>
        </w:rPr>
        <w:t xml:space="preserve">9 </w:t>
      </w:r>
      <w:r>
        <w:rPr>
          <w:rFonts w:ascii="Times New Roman" w:hAnsi="Times New Roman"/>
          <w:lang w:val="lt-LT"/>
        </w:rPr>
        <w:t>karto</w:t>
      </w:r>
      <w:r w:rsidRPr="006E6286">
        <w:rPr>
          <w:rFonts w:ascii="Times New Roman" w:hAnsi="Times New Roman"/>
          <w:lang w:val="lt-LT"/>
        </w:rPr>
        <w:t xml:space="preserve">. </w:t>
      </w:r>
      <w:r>
        <w:rPr>
          <w:rFonts w:ascii="Times New Roman" w:hAnsi="Times New Roman"/>
          <w:lang w:val="lt-LT"/>
        </w:rPr>
        <w:t xml:space="preserve">Slopinimas buvo greitai pasiektas </w:t>
      </w:r>
      <w:r w:rsidRPr="006E6286">
        <w:rPr>
          <w:rFonts w:ascii="Times New Roman" w:hAnsi="Times New Roman"/>
          <w:lang w:val="lt-LT"/>
        </w:rPr>
        <w:t>30</w:t>
      </w:r>
      <w:r>
        <w:rPr>
          <w:rFonts w:ascii="Times New Roman" w:hAnsi="Times New Roman"/>
          <w:lang w:val="lt-LT"/>
        </w:rPr>
        <w:t> min. įsotinamąja infuzija ir išliko visos infuzijos metu.</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 xml:space="preserve">Naudojant gydymo smūgine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w:t>
      </w:r>
      <w:r w:rsidRPr="00B643C4">
        <w:rPr>
          <w:rFonts w:ascii="Times New Roman" w:hAnsi="Times New Roman"/>
          <w:lang w:val="lt-LT"/>
        </w:rPr>
        <w:t>tirofiban</w:t>
      </w:r>
      <w:r>
        <w:rPr>
          <w:rFonts w:ascii="Times New Roman" w:hAnsi="Times New Roman"/>
          <w:lang w:val="lt-LT"/>
        </w:rPr>
        <w:t>o doze schemą</w:t>
      </w:r>
      <w:r w:rsidRPr="006E6286">
        <w:rPr>
          <w:rFonts w:ascii="Times New Roman" w:hAnsi="Times New Roman"/>
          <w:lang w:val="lt-LT"/>
        </w:rPr>
        <w:t xml:space="preserve"> (</w:t>
      </w:r>
      <w:r>
        <w:rPr>
          <w:rFonts w:ascii="Times New Roman" w:hAnsi="Times New Roman"/>
          <w:lang w:val="lt-LT"/>
        </w:rPr>
        <w:t>po to</w:t>
      </w:r>
      <w:r w:rsidRPr="006E6286">
        <w:rPr>
          <w:rFonts w:ascii="Times New Roman" w:hAnsi="Times New Roman"/>
          <w:lang w:val="lt-LT"/>
        </w:rPr>
        <w:t xml:space="preserve"> 18-24 </w:t>
      </w:r>
      <w:r>
        <w:rPr>
          <w:rFonts w:ascii="Times New Roman" w:hAnsi="Times New Roman"/>
          <w:lang w:val="lt-LT"/>
        </w:rPr>
        <w:t>valandas infuzuojant</w:t>
      </w:r>
      <w:r w:rsidRPr="006E6286">
        <w:rPr>
          <w:rFonts w:ascii="Times New Roman" w:hAnsi="Times New Roman"/>
          <w:lang w:val="lt-LT"/>
        </w:rPr>
        <w:t xml:space="preserve"> </w:t>
      </w:r>
      <w:r>
        <w:rPr>
          <w:rFonts w:ascii="Times New Roman" w:hAnsi="Times New Roman"/>
          <w:lang w:val="lt-LT"/>
        </w:rPr>
        <w:t>palaikomąją</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 xml:space="preserve">15 </w:t>
      </w:r>
      <w:r>
        <w:rPr>
          <w:rFonts w:ascii="Times New Roman" w:hAnsi="Times New Roman"/>
          <w:lang w:val="lt-LT"/>
        </w:rPr>
        <w:t>mikrogramo</w:t>
      </w:r>
      <w:r w:rsidRPr="006E6286">
        <w:rPr>
          <w:rFonts w:ascii="Times New Roman" w:hAnsi="Times New Roman"/>
          <w:lang w:val="lt-LT"/>
        </w:rPr>
        <w:t>/kg</w:t>
      </w:r>
      <w:r>
        <w:rPr>
          <w:rFonts w:ascii="Times New Roman" w:hAnsi="Times New Roman"/>
          <w:lang w:val="lt-LT"/>
        </w:rPr>
        <w:t xml:space="preserve"> kūno svorio</w:t>
      </w:r>
      <w:r w:rsidRPr="006E6286">
        <w:rPr>
          <w:rFonts w:ascii="Times New Roman" w:hAnsi="Times New Roman"/>
          <w:lang w:val="lt-LT"/>
        </w:rPr>
        <w:t>/min</w:t>
      </w:r>
      <w:r>
        <w:rPr>
          <w:rFonts w:ascii="Times New Roman" w:hAnsi="Times New Roman"/>
          <w:lang w:val="lt-LT"/>
        </w:rPr>
        <w:t>. dozę) ir kartu vartojant nefrakcionuoto heparino ir geriamųjų trombocitų agrergaciją slopinančių preparatų</w:t>
      </w:r>
      <w:r w:rsidRPr="006E6286">
        <w:rPr>
          <w:rFonts w:ascii="Times New Roman" w:hAnsi="Times New Roman"/>
          <w:lang w:val="lt-LT"/>
        </w:rPr>
        <w:t xml:space="preserve">, </w:t>
      </w:r>
      <w:r>
        <w:rPr>
          <w:rFonts w:ascii="Times New Roman" w:hAnsi="Times New Roman"/>
          <w:lang w:val="lt-LT"/>
        </w:rPr>
        <w:t>vidutinis</w:t>
      </w:r>
      <w:r w:rsidRPr="006E6286">
        <w:rPr>
          <w:rFonts w:ascii="Times New Roman" w:hAnsi="Times New Roman"/>
          <w:lang w:val="lt-LT"/>
        </w:rPr>
        <w:t xml:space="preserve"> </w:t>
      </w:r>
      <w:r>
        <w:rPr>
          <w:rFonts w:ascii="Times New Roman" w:hAnsi="Times New Roman"/>
          <w:lang w:val="lt-LT"/>
        </w:rPr>
        <w:t xml:space="preserve">maksimalios </w:t>
      </w:r>
      <w:r w:rsidRPr="006E6286">
        <w:rPr>
          <w:rFonts w:ascii="Times New Roman" w:hAnsi="Times New Roman"/>
          <w:lang w:val="lt-LT"/>
        </w:rPr>
        <w:t>ADP</w:t>
      </w:r>
      <w:r>
        <w:rPr>
          <w:rFonts w:ascii="Times New Roman" w:hAnsi="Times New Roman"/>
          <w:lang w:val="lt-LT"/>
        </w:rPr>
        <w:t xml:space="preserve"> </w:t>
      </w:r>
      <w:r w:rsidRPr="00F06B81">
        <w:rPr>
          <w:rFonts w:ascii="Times New Roman" w:hAnsi="Times New Roman"/>
          <w:lang w:val="lt-LT"/>
        </w:rPr>
        <w:t>sužad</w:t>
      </w:r>
      <w:r>
        <w:rPr>
          <w:rFonts w:ascii="Times New Roman" w:hAnsi="Times New Roman"/>
          <w:lang w:val="lt-LT"/>
        </w:rPr>
        <w:t xml:space="preserve">intos trombocitų agregacijos slopinimas po gydymo pradžios praėjus </w:t>
      </w:r>
      <w:r w:rsidRPr="006E6286">
        <w:rPr>
          <w:rFonts w:ascii="Times New Roman" w:hAnsi="Times New Roman"/>
          <w:lang w:val="lt-LT"/>
        </w:rPr>
        <w:t>15</w:t>
      </w:r>
      <w:r>
        <w:rPr>
          <w:rFonts w:ascii="Times New Roman" w:hAnsi="Times New Roman"/>
          <w:lang w:val="lt-LT"/>
        </w:rPr>
        <w:t>-</w:t>
      </w:r>
      <w:r w:rsidRPr="006E6286">
        <w:rPr>
          <w:rFonts w:ascii="Times New Roman" w:hAnsi="Times New Roman"/>
          <w:lang w:val="lt-LT"/>
        </w:rPr>
        <w:t xml:space="preserve">60 </w:t>
      </w:r>
      <w:r w:rsidRPr="006E6286">
        <w:rPr>
          <w:rFonts w:ascii="Times New Roman" w:hAnsi="Times New Roman"/>
          <w:lang w:val="lt-LT"/>
        </w:rPr>
        <w:lastRenderedPageBreak/>
        <w:t>minu</w:t>
      </w:r>
      <w:r>
        <w:rPr>
          <w:rFonts w:ascii="Times New Roman" w:hAnsi="Times New Roman"/>
          <w:lang w:val="lt-LT"/>
        </w:rPr>
        <w:t xml:space="preserve">čių buvo </w:t>
      </w:r>
      <w:r w:rsidRPr="006E6286">
        <w:rPr>
          <w:rFonts w:ascii="Times New Roman" w:hAnsi="Times New Roman"/>
          <w:lang w:val="lt-LT"/>
        </w:rPr>
        <w:t>92</w:t>
      </w:r>
      <w:r>
        <w:rPr>
          <w:rFonts w:ascii="Times New Roman" w:hAnsi="Times New Roman"/>
          <w:lang w:val="lt-LT"/>
        </w:rPr>
        <w:noBreakHyphen/>
      </w:r>
      <w:r w:rsidRPr="006E6286">
        <w:rPr>
          <w:rFonts w:ascii="Times New Roman" w:hAnsi="Times New Roman"/>
          <w:lang w:val="lt-LT"/>
        </w:rPr>
        <w:t>95%</w:t>
      </w:r>
      <w:r>
        <w:rPr>
          <w:rFonts w:ascii="Times New Roman" w:hAnsi="Times New Roman"/>
          <w:lang w:val="lt-LT"/>
        </w:rPr>
        <w:t xml:space="preserve"> (tirta šviesos transmisijos agregometriniu metodu, ang. </w:t>
      </w:r>
      <w:r w:rsidRPr="007E4B9B">
        <w:rPr>
          <w:rFonts w:ascii="Times New Roman" w:hAnsi="Times New Roman"/>
          <w:i/>
          <w:lang w:val="lt-LT"/>
        </w:rPr>
        <w:t xml:space="preserve">Light transmission aggregometry, </w:t>
      </w:r>
      <w:r w:rsidRPr="007E4B9B">
        <w:rPr>
          <w:rFonts w:ascii="Times New Roman" w:hAnsi="Times New Roman"/>
          <w:lang w:val="lt-LT"/>
        </w:rPr>
        <w:t>LTA</w:t>
      </w:r>
      <w:r w:rsidRPr="006E6286">
        <w:rPr>
          <w:rFonts w:ascii="Times New Roman" w:hAnsi="Times New Roman"/>
          <w:lang w:val="lt-LT"/>
        </w:rPr>
        <w:t xml:space="preserve">). </w:t>
      </w:r>
    </w:p>
    <w:p w:rsidR="00B42325" w:rsidRDefault="00B42325" w:rsidP="006E6286">
      <w:pPr>
        <w:spacing w:after="0" w:line="240" w:lineRule="auto"/>
        <w:rPr>
          <w:rFonts w:ascii="Times New Roman" w:hAnsi="Times New Roman"/>
          <w:lang w:val="lt-LT"/>
        </w:rPr>
      </w:pPr>
    </w:p>
    <w:p w:rsidR="00B42325" w:rsidRPr="005137C5" w:rsidRDefault="00B42325" w:rsidP="005137C5">
      <w:pPr>
        <w:spacing w:after="0" w:line="240" w:lineRule="auto"/>
        <w:rPr>
          <w:rFonts w:ascii="Times New Roman" w:hAnsi="Times New Roman"/>
          <w:i/>
          <w:lang w:val="lt-LT"/>
        </w:rPr>
      </w:pPr>
      <w:r w:rsidRPr="005137C5">
        <w:rPr>
          <w:rFonts w:ascii="Times New Roman" w:hAnsi="Times New Roman"/>
          <w:i/>
          <w:lang w:val="lt-LT"/>
        </w:rPr>
        <w:t xml:space="preserve">PRISM-PLUS tyrimas </w:t>
      </w:r>
    </w:p>
    <w:p w:rsidR="00B42325" w:rsidRDefault="00B42325" w:rsidP="006E6286">
      <w:pPr>
        <w:spacing w:after="0" w:line="240" w:lineRule="auto"/>
        <w:rPr>
          <w:rFonts w:ascii="Times New Roman" w:hAnsi="Times New Roman"/>
          <w:lang w:val="lt-LT"/>
        </w:rPr>
      </w:pPr>
      <w:r>
        <w:rPr>
          <w:rFonts w:ascii="Times New Roman" w:hAnsi="Times New Roman"/>
          <w:lang w:val="lt-LT"/>
        </w:rPr>
        <w:t xml:space="preserve">Dvigubai koduoto daugiacentrio, kontroliuoto </w:t>
      </w:r>
      <w:r w:rsidRPr="006E6286">
        <w:rPr>
          <w:rFonts w:ascii="Times New Roman" w:hAnsi="Times New Roman"/>
          <w:lang w:val="lt-LT"/>
        </w:rPr>
        <w:t xml:space="preserve">PRISM-PLUS </w:t>
      </w:r>
      <w:r>
        <w:rPr>
          <w:rFonts w:ascii="Times New Roman" w:hAnsi="Times New Roman"/>
          <w:lang w:val="lt-LT"/>
        </w:rPr>
        <w:t>tyrimo metu lygintas</w:t>
      </w:r>
      <w:r w:rsidRPr="006E6286">
        <w:rPr>
          <w:rFonts w:ascii="Times New Roman" w:hAnsi="Times New Roman"/>
          <w:lang w:val="lt-LT"/>
        </w:rPr>
        <w:t xml:space="preserve"> tirofiban</w:t>
      </w:r>
      <w:r>
        <w:rPr>
          <w:rFonts w:ascii="Times New Roman" w:hAnsi="Times New Roman"/>
          <w:lang w:val="lt-LT"/>
        </w:rPr>
        <w:t>o ir</w:t>
      </w:r>
      <w:r w:rsidRPr="006E6286">
        <w:rPr>
          <w:rFonts w:ascii="Times New Roman" w:hAnsi="Times New Roman"/>
          <w:lang w:val="lt-LT"/>
        </w:rPr>
        <w:t xml:space="preserve"> </w:t>
      </w:r>
      <w:r>
        <w:rPr>
          <w:rFonts w:ascii="Times New Roman" w:hAnsi="Times New Roman"/>
          <w:lang w:val="lt-LT"/>
        </w:rPr>
        <w:t>nefrakcionuoto heparino</w:t>
      </w:r>
      <w:r w:rsidRPr="006E6286">
        <w:rPr>
          <w:rFonts w:ascii="Times New Roman" w:hAnsi="Times New Roman"/>
          <w:lang w:val="lt-LT"/>
        </w:rPr>
        <w:t xml:space="preserve"> (n=773) </w:t>
      </w:r>
      <w:r>
        <w:rPr>
          <w:rFonts w:ascii="Times New Roman" w:hAnsi="Times New Roman"/>
          <w:lang w:val="lt-LT"/>
        </w:rPr>
        <w:t>bei vien</w:t>
      </w:r>
      <w:r w:rsidRPr="006E6286">
        <w:rPr>
          <w:rFonts w:ascii="Times New Roman" w:hAnsi="Times New Roman"/>
          <w:lang w:val="lt-LT"/>
        </w:rPr>
        <w:t xml:space="preserve"> </w:t>
      </w:r>
      <w:r>
        <w:rPr>
          <w:rFonts w:ascii="Times New Roman" w:hAnsi="Times New Roman"/>
          <w:lang w:val="lt-LT"/>
        </w:rPr>
        <w:t>nefrakcionuoto heparino</w:t>
      </w:r>
      <w:r w:rsidRPr="006E6286">
        <w:rPr>
          <w:rFonts w:ascii="Times New Roman" w:hAnsi="Times New Roman"/>
          <w:lang w:val="lt-LT"/>
        </w:rPr>
        <w:t xml:space="preserve"> (n=797) </w:t>
      </w:r>
      <w:r>
        <w:rPr>
          <w:rFonts w:ascii="Times New Roman" w:hAnsi="Times New Roman"/>
          <w:lang w:val="lt-LT"/>
        </w:rPr>
        <w:t>veiksmingumas gydant pacientus, kuriems buvo nestabili krūtinės angina</w:t>
      </w:r>
      <w:r w:rsidRPr="006E6286">
        <w:rPr>
          <w:rFonts w:ascii="Times New Roman" w:hAnsi="Times New Roman"/>
          <w:lang w:val="lt-LT"/>
        </w:rPr>
        <w:t xml:space="preserve"> (</w:t>
      </w:r>
      <w:r>
        <w:rPr>
          <w:rFonts w:ascii="Times New Roman" w:hAnsi="Times New Roman"/>
          <w:lang w:val="lt-LT"/>
        </w:rPr>
        <w:t>NK</w:t>
      </w:r>
      <w:r w:rsidRPr="006E6286">
        <w:rPr>
          <w:rFonts w:ascii="Times New Roman" w:hAnsi="Times New Roman"/>
          <w:lang w:val="lt-LT"/>
        </w:rPr>
        <w:t xml:space="preserve">A) </w:t>
      </w:r>
      <w:r>
        <w:rPr>
          <w:rFonts w:ascii="Times New Roman" w:hAnsi="Times New Roman"/>
          <w:lang w:val="lt-LT"/>
        </w:rPr>
        <w:t>ar ūminis ne Q bangos miokardo infarktas</w:t>
      </w:r>
      <w:r w:rsidRPr="006E6286">
        <w:rPr>
          <w:rFonts w:ascii="Times New Roman" w:hAnsi="Times New Roman"/>
          <w:lang w:val="lt-LT"/>
        </w:rPr>
        <w:t xml:space="preserve"> (</w:t>
      </w:r>
      <w:r w:rsidRPr="00417856">
        <w:rPr>
          <w:rFonts w:ascii="Times New Roman" w:hAnsi="Times New Roman"/>
          <w:lang w:val="lt-LT"/>
        </w:rPr>
        <w:t xml:space="preserve">ang. </w:t>
      </w:r>
      <w:r w:rsidRPr="00CA3D61">
        <w:rPr>
          <w:rFonts w:ascii="Times New Roman" w:hAnsi="Times New Roman"/>
          <w:i/>
          <w:lang w:val="lt-LT"/>
        </w:rPr>
        <w:t>Non-Q-wave myocardial infarction</w:t>
      </w:r>
      <w:r w:rsidRPr="00417856">
        <w:rPr>
          <w:rFonts w:ascii="Times New Roman" w:hAnsi="Times New Roman"/>
          <w:lang w:val="lt-LT"/>
        </w:rPr>
        <w:t>, NQWMI</w:t>
      </w:r>
      <w:r w:rsidRPr="006E6286">
        <w:rPr>
          <w:rFonts w:ascii="Times New Roman" w:hAnsi="Times New Roman"/>
          <w:lang w:val="lt-LT"/>
        </w:rPr>
        <w:t xml:space="preserve">) </w:t>
      </w:r>
      <w:r>
        <w:rPr>
          <w:rFonts w:ascii="Times New Roman" w:hAnsi="Times New Roman"/>
          <w:lang w:val="lt-LT"/>
        </w:rPr>
        <w:t>ir ilgalaikis pasikartojantis angininis skausmas arba poinfarktinė angina, kartu pasireiškiant</w:t>
      </w:r>
      <w:r w:rsidRPr="006E6286">
        <w:rPr>
          <w:rFonts w:ascii="Times New Roman" w:hAnsi="Times New Roman"/>
          <w:lang w:val="lt-LT"/>
        </w:rPr>
        <w:t xml:space="preserve"> </w:t>
      </w:r>
      <w:r>
        <w:rPr>
          <w:rFonts w:ascii="Times New Roman" w:hAnsi="Times New Roman"/>
          <w:lang w:val="lt-LT"/>
        </w:rPr>
        <w:t>naujam laikinam ar nuolatiniam</w:t>
      </w:r>
      <w:r w:rsidRPr="006E6286">
        <w:rPr>
          <w:rFonts w:ascii="Times New Roman" w:hAnsi="Times New Roman"/>
          <w:lang w:val="lt-LT"/>
        </w:rPr>
        <w:t xml:space="preserve"> ST-T </w:t>
      </w:r>
      <w:r>
        <w:rPr>
          <w:rFonts w:ascii="Times New Roman" w:hAnsi="Times New Roman"/>
          <w:lang w:val="lt-LT"/>
        </w:rPr>
        <w:t>bangos pokyčiui ar širdies fermentų koncentracijos padidėjimui.</w:t>
      </w:r>
    </w:p>
    <w:p w:rsidR="00B42325" w:rsidRDefault="00B42325" w:rsidP="006E6286">
      <w:pPr>
        <w:spacing w:after="0" w:line="240" w:lineRule="auto"/>
        <w:rPr>
          <w:rFonts w:ascii="Times New Roman" w:hAnsi="Times New Roman"/>
          <w:lang w:val="lt-LT"/>
        </w:rPr>
      </w:pPr>
      <w:r>
        <w:rPr>
          <w:rFonts w:ascii="Times New Roman" w:hAnsi="Times New Roman"/>
          <w:lang w:val="lt-LT"/>
        </w:rPr>
        <w:t>Pacientai buvo suskirstyti į atsitiktines imtis</w:t>
      </w:r>
    </w:p>
    <w:p w:rsidR="00B42325" w:rsidRDefault="00B42325" w:rsidP="00985D2D">
      <w:pPr>
        <w:spacing w:after="0" w:line="240" w:lineRule="auto"/>
        <w:rPr>
          <w:rFonts w:ascii="Times New Roman" w:hAnsi="Times New Roman"/>
          <w:lang w:val="lt-LT"/>
        </w:rPr>
      </w:pPr>
      <w:r>
        <w:rPr>
          <w:rFonts w:ascii="Times New Roman" w:hAnsi="Times New Roman"/>
          <w:lang w:val="lt-LT"/>
        </w:rPr>
        <w:t xml:space="preserve">- vartojo </w:t>
      </w:r>
      <w:r w:rsidRPr="006E6286">
        <w:rPr>
          <w:rFonts w:ascii="Times New Roman" w:hAnsi="Times New Roman"/>
          <w:lang w:val="lt-LT"/>
        </w:rPr>
        <w:t>tirofiban</w:t>
      </w:r>
      <w:r>
        <w:rPr>
          <w:rFonts w:ascii="Times New Roman" w:hAnsi="Times New Roman"/>
          <w:lang w:val="lt-LT"/>
        </w:rPr>
        <w:t>o</w:t>
      </w:r>
      <w:r w:rsidRPr="006E6286">
        <w:rPr>
          <w:rFonts w:ascii="Times New Roman" w:hAnsi="Times New Roman"/>
          <w:lang w:val="lt-LT"/>
        </w:rPr>
        <w:t xml:space="preserve"> (30 mi</w:t>
      </w:r>
      <w:r>
        <w:rPr>
          <w:rFonts w:ascii="Times New Roman" w:hAnsi="Times New Roman"/>
          <w:lang w:val="lt-LT"/>
        </w:rPr>
        <w:t xml:space="preserve">n. įsotinamoji infuzija </w:t>
      </w:r>
      <w:r w:rsidRPr="006E6286">
        <w:rPr>
          <w:rFonts w:ascii="Times New Roman" w:hAnsi="Times New Roman"/>
          <w:lang w:val="lt-LT"/>
        </w:rPr>
        <w:t>0</w:t>
      </w:r>
      <w:r>
        <w:rPr>
          <w:rFonts w:ascii="Times New Roman" w:hAnsi="Times New Roman"/>
          <w:lang w:val="lt-LT"/>
        </w:rPr>
        <w:t>,</w:t>
      </w:r>
      <w:r w:rsidRPr="006E6286">
        <w:rPr>
          <w:rFonts w:ascii="Times New Roman" w:hAnsi="Times New Roman"/>
          <w:lang w:val="lt-LT"/>
        </w:rPr>
        <w:t xml:space="preserve">4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kg kūno svorio/min.</w:t>
      </w:r>
      <w:r w:rsidRPr="006E6286">
        <w:rPr>
          <w:rFonts w:ascii="Times New Roman" w:hAnsi="Times New Roman"/>
          <w:lang w:val="lt-LT"/>
        </w:rPr>
        <w:t xml:space="preserve"> </w:t>
      </w:r>
      <w:r>
        <w:rPr>
          <w:rFonts w:ascii="Times New Roman" w:hAnsi="Times New Roman"/>
          <w:lang w:val="lt-LT"/>
        </w:rPr>
        <w:t>ir po to palaikomoji infuzija</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 xml:space="preserve">10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kg kūno svorio/min.</w:t>
      </w:r>
      <w:r w:rsidRPr="006E6286">
        <w:rPr>
          <w:rFonts w:ascii="Times New Roman" w:hAnsi="Times New Roman"/>
          <w:lang w:val="lt-LT"/>
        </w:rPr>
        <w:t>)</w:t>
      </w:r>
      <w:r>
        <w:rPr>
          <w:rFonts w:ascii="Times New Roman" w:hAnsi="Times New Roman"/>
          <w:lang w:val="lt-LT"/>
        </w:rPr>
        <w:t xml:space="preserve"> ir heparino</w:t>
      </w:r>
      <w:r w:rsidRPr="006E6286">
        <w:rPr>
          <w:rFonts w:ascii="Times New Roman" w:hAnsi="Times New Roman"/>
          <w:lang w:val="lt-LT"/>
        </w:rPr>
        <w:t xml:space="preserve"> (</w:t>
      </w:r>
      <w:r>
        <w:rPr>
          <w:rFonts w:ascii="Times New Roman" w:hAnsi="Times New Roman"/>
          <w:lang w:val="lt-LT"/>
        </w:rPr>
        <w:t>smūginė</w:t>
      </w:r>
      <w:r w:rsidRPr="006E6286">
        <w:rPr>
          <w:rFonts w:ascii="Times New Roman" w:hAnsi="Times New Roman"/>
          <w:lang w:val="lt-LT"/>
        </w:rPr>
        <w:t xml:space="preserve"> 5</w:t>
      </w:r>
      <w:r>
        <w:rPr>
          <w:rFonts w:ascii="Times New Roman" w:hAnsi="Times New Roman"/>
          <w:lang w:val="lt-LT"/>
        </w:rPr>
        <w:t> </w:t>
      </w:r>
      <w:r w:rsidRPr="006E6286">
        <w:rPr>
          <w:rFonts w:ascii="Times New Roman" w:hAnsi="Times New Roman"/>
          <w:lang w:val="lt-LT"/>
        </w:rPr>
        <w:t xml:space="preserve">000 </w:t>
      </w:r>
      <w:r>
        <w:rPr>
          <w:rFonts w:ascii="Times New Roman" w:hAnsi="Times New Roman"/>
          <w:lang w:val="lt-LT"/>
        </w:rPr>
        <w:t>vienetų</w:t>
      </w:r>
      <w:r w:rsidRPr="006E6286">
        <w:rPr>
          <w:rFonts w:ascii="Times New Roman" w:hAnsi="Times New Roman"/>
          <w:lang w:val="lt-LT"/>
        </w:rPr>
        <w:t xml:space="preserve"> (</w:t>
      </w:r>
      <w:r>
        <w:rPr>
          <w:rFonts w:ascii="Times New Roman" w:hAnsi="Times New Roman"/>
          <w:lang w:val="lt-LT"/>
        </w:rPr>
        <w:t>V</w:t>
      </w:r>
      <w:r w:rsidRPr="006E6286">
        <w:rPr>
          <w:rFonts w:ascii="Times New Roman" w:hAnsi="Times New Roman"/>
          <w:lang w:val="lt-LT"/>
        </w:rPr>
        <w:t xml:space="preserve">) </w:t>
      </w:r>
      <w:r>
        <w:rPr>
          <w:rFonts w:ascii="Times New Roman" w:hAnsi="Times New Roman"/>
          <w:lang w:val="lt-LT"/>
        </w:rPr>
        <w:t xml:space="preserve">dozė ir po to </w:t>
      </w:r>
      <w:r w:rsidRPr="006E6286">
        <w:rPr>
          <w:rFonts w:ascii="Times New Roman" w:hAnsi="Times New Roman"/>
          <w:lang w:val="lt-LT"/>
        </w:rPr>
        <w:t>1</w:t>
      </w:r>
      <w:r>
        <w:rPr>
          <w:rFonts w:ascii="Times New Roman" w:hAnsi="Times New Roman"/>
          <w:lang w:val="lt-LT"/>
        </w:rPr>
        <w:t> </w:t>
      </w:r>
      <w:r w:rsidRPr="006E6286">
        <w:rPr>
          <w:rFonts w:ascii="Times New Roman" w:hAnsi="Times New Roman"/>
          <w:lang w:val="lt-LT"/>
        </w:rPr>
        <w:t xml:space="preserve">000 </w:t>
      </w:r>
      <w:r>
        <w:rPr>
          <w:rFonts w:ascii="Times New Roman" w:hAnsi="Times New Roman"/>
          <w:lang w:val="lt-LT"/>
        </w:rPr>
        <w:t>V</w:t>
      </w:r>
      <w:r w:rsidRPr="006E6286">
        <w:rPr>
          <w:rFonts w:ascii="Times New Roman" w:hAnsi="Times New Roman"/>
          <w:lang w:val="lt-LT"/>
        </w:rPr>
        <w:t>/</w:t>
      </w:r>
      <w:r>
        <w:rPr>
          <w:rFonts w:ascii="Times New Roman" w:hAnsi="Times New Roman"/>
          <w:lang w:val="lt-LT"/>
        </w:rPr>
        <w:t xml:space="preserve">val. dozės infuzija, dozę koreguojant taip, kad aktyvintas dalinis tromboplastino laikas </w:t>
      </w:r>
      <w:r w:rsidRPr="006E6286">
        <w:rPr>
          <w:rFonts w:ascii="Times New Roman" w:hAnsi="Times New Roman"/>
          <w:lang w:val="lt-LT"/>
        </w:rPr>
        <w:t>(</w:t>
      </w:r>
      <w:r w:rsidRPr="008C23C9">
        <w:rPr>
          <w:rFonts w:ascii="Times New Roman" w:hAnsi="Times New Roman"/>
          <w:lang w:val="lt-LT"/>
        </w:rPr>
        <w:t>APTT</w:t>
      </w:r>
      <w:r w:rsidRPr="006E6286">
        <w:rPr>
          <w:rFonts w:ascii="Times New Roman" w:hAnsi="Times New Roman"/>
          <w:lang w:val="lt-LT"/>
        </w:rPr>
        <w:t xml:space="preserve">) </w:t>
      </w:r>
      <w:r>
        <w:rPr>
          <w:rFonts w:ascii="Times New Roman" w:hAnsi="Times New Roman"/>
          <w:lang w:val="lt-LT"/>
        </w:rPr>
        <w:t>būtų maždaug du kartus didesnis už kontrolinį rodmenį</w:t>
      </w:r>
      <w:r w:rsidRPr="006E6286">
        <w:rPr>
          <w:rFonts w:ascii="Times New Roman" w:hAnsi="Times New Roman"/>
          <w:lang w:val="lt-LT"/>
        </w:rPr>
        <w:t>)</w:t>
      </w:r>
      <w:r>
        <w:rPr>
          <w:rFonts w:ascii="Times New Roman" w:hAnsi="Times New Roman"/>
          <w:lang w:val="lt-LT"/>
        </w:rPr>
        <w:t>,</w:t>
      </w:r>
    </w:p>
    <w:p w:rsidR="00B42325" w:rsidRPr="006E6286" w:rsidRDefault="00B42325" w:rsidP="00985D2D">
      <w:pPr>
        <w:spacing w:after="0" w:line="240" w:lineRule="auto"/>
        <w:rPr>
          <w:rFonts w:ascii="Times New Roman" w:hAnsi="Times New Roman"/>
          <w:lang w:val="lt-LT"/>
        </w:rPr>
      </w:pPr>
      <w:r>
        <w:rPr>
          <w:rFonts w:ascii="Times New Roman" w:hAnsi="Times New Roman"/>
          <w:lang w:val="lt-LT"/>
        </w:rPr>
        <w:t>- arba vien heparino</w:t>
      </w:r>
      <w:r w:rsidRPr="006E6286">
        <w:rPr>
          <w:rFonts w:ascii="Times New Roman" w:hAnsi="Times New Roman"/>
          <w:lang w:val="lt-LT"/>
        </w:rPr>
        <w:t xml:space="preserve">.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Visi pacientai vartojo</w:t>
      </w:r>
      <w:r w:rsidRPr="006E6286">
        <w:rPr>
          <w:rFonts w:ascii="Times New Roman" w:hAnsi="Times New Roman"/>
          <w:lang w:val="lt-LT"/>
        </w:rPr>
        <w:t xml:space="preserve"> ASA</w:t>
      </w:r>
      <w:r>
        <w:rPr>
          <w:rFonts w:ascii="Times New Roman" w:hAnsi="Times New Roman"/>
          <w:lang w:val="lt-LT"/>
        </w:rPr>
        <w:t>, nebent buvo jos vartojimo kontraindikacijų</w:t>
      </w:r>
      <w:r w:rsidRPr="006E6286">
        <w:rPr>
          <w:rFonts w:ascii="Times New Roman" w:hAnsi="Times New Roman"/>
          <w:lang w:val="lt-LT"/>
        </w:rPr>
        <w:t xml:space="preserve">. </w:t>
      </w:r>
      <w:r>
        <w:rPr>
          <w:rFonts w:ascii="Times New Roman" w:hAnsi="Times New Roman"/>
          <w:lang w:val="lt-LT"/>
        </w:rPr>
        <w:t>Tiriamojo vaistinio preparato vartojimas buvo pradėtas</w:t>
      </w:r>
      <w:r w:rsidRPr="006E6286">
        <w:rPr>
          <w:rFonts w:ascii="Times New Roman" w:hAnsi="Times New Roman"/>
          <w:lang w:val="lt-LT"/>
        </w:rPr>
        <w:t xml:space="preserve"> </w:t>
      </w:r>
      <w:r>
        <w:rPr>
          <w:rFonts w:ascii="Times New Roman" w:hAnsi="Times New Roman"/>
          <w:lang w:val="lt-LT"/>
        </w:rPr>
        <w:t>per</w:t>
      </w:r>
      <w:r w:rsidRPr="006E6286">
        <w:rPr>
          <w:rFonts w:ascii="Times New Roman" w:hAnsi="Times New Roman"/>
          <w:lang w:val="lt-LT"/>
        </w:rPr>
        <w:t xml:space="preserve"> 12 </w:t>
      </w:r>
      <w:r>
        <w:rPr>
          <w:rFonts w:ascii="Times New Roman" w:hAnsi="Times New Roman"/>
          <w:lang w:val="lt-LT"/>
        </w:rPr>
        <w:t>val. nuo paskutinio anginos epizodo.</w:t>
      </w:r>
      <w:r w:rsidRPr="006E6286">
        <w:rPr>
          <w:rFonts w:ascii="Times New Roman" w:hAnsi="Times New Roman"/>
          <w:lang w:val="lt-LT"/>
        </w:rPr>
        <w:t xml:space="preserve"> </w:t>
      </w:r>
      <w:r>
        <w:rPr>
          <w:rFonts w:ascii="Times New Roman" w:hAnsi="Times New Roman"/>
          <w:lang w:val="lt-LT"/>
        </w:rPr>
        <w:t>Pacientai buvo gydomi</w:t>
      </w:r>
      <w:r w:rsidRPr="006E6286">
        <w:rPr>
          <w:rFonts w:ascii="Times New Roman" w:hAnsi="Times New Roman"/>
          <w:lang w:val="lt-LT"/>
        </w:rPr>
        <w:t xml:space="preserve"> 48 </w:t>
      </w:r>
      <w:r>
        <w:rPr>
          <w:rFonts w:ascii="Times New Roman" w:hAnsi="Times New Roman"/>
          <w:lang w:val="lt-LT"/>
        </w:rPr>
        <w:t>val.</w:t>
      </w:r>
      <w:r w:rsidRPr="006E6286">
        <w:rPr>
          <w:rFonts w:ascii="Times New Roman" w:hAnsi="Times New Roman"/>
          <w:lang w:val="lt-LT"/>
        </w:rPr>
        <w:t xml:space="preserve">, </w:t>
      </w:r>
      <w:r>
        <w:rPr>
          <w:rFonts w:ascii="Times New Roman" w:hAnsi="Times New Roman"/>
          <w:lang w:val="lt-LT"/>
        </w:rPr>
        <w:t>po to buvo atliekama</w:t>
      </w:r>
      <w:r w:rsidRPr="006E6286">
        <w:rPr>
          <w:rFonts w:ascii="Times New Roman" w:hAnsi="Times New Roman"/>
          <w:lang w:val="lt-LT"/>
        </w:rPr>
        <w:t xml:space="preserve"> </w:t>
      </w:r>
      <w:r>
        <w:rPr>
          <w:rFonts w:ascii="Times New Roman" w:hAnsi="Times New Roman"/>
          <w:lang w:val="lt-LT"/>
        </w:rPr>
        <w:t xml:space="preserve">angiografija ir, jei reikia, angioplastika ar aterektomija, kartu tęsiant tirofibano vartojimą. Vidutinė tirofibano infuzijos trukmė buvo </w:t>
      </w:r>
      <w:r w:rsidRPr="006E6286">
        <w:rPr>
          <w:rFonts w:ascii="Times New Roman" w:hAnsi="Times New Roman"/>
          <w:lang w:val="lt-LT"/>
        </w:rPr>
        <w:t>71</w:t>
      </w:r>
      <w:r>
        <w:rPr>
          <w:rFonts w:ascii="Times New Roman" w:hAnsi="Times New Roman"/>
          <w:lang w:val="lt-LT"/>
        </w:rPr>
        <w:t>,</w:t>
      </w:r>
      <w:r w:rsidRPr="006E6286">
        <w:rPr>
          <w:rFonts w:ascii="Times New Roman" w:hAnsi="Times New Roman"/>
          <w:lang w:val="lt-LT"/>
        </w:rPr>
        <w:t xml:space="preserve">3 </w:t>
      </w:r>
      <w:r>
        <w:rPr>
          <w:rFonts w:ascii="Times New Roman" w:hAnsi="Times New Roman"/>
          <w:lang w:val="lt-LT"/>
        </w:rPr>
        <w:t>val</w:t>
      </w:r>
      <w:r w:rsidRPr="006E6286">
        <w:rPr>
          <w:rFonts w:ascii="Times New Roman" w:hAnsi="Times New Roman"/>
          <w:lang w:val="lt-LT"/>
        </w:rPr>
        <w:t xml:space="preserve">.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Pagrindinė kombinuotoji vertinamoji tyrimo baigtis buvo į gydymą nereaguojančios išemijos atsiradimas, miokardo infarktas ar mirtis 7 dieną po gydymo</w:t>
      </w:r>
      <w:r w:rsidRPr="006E6286">
        <w:rPr>
          <w:rFonts w:ascii="Times New Roman" w:hAnsi="Times New Roman"/>
          <w:lang w:val="lt-LT"/>
        </w:rPr>
        <w:t xml:space="preserve"> tirofiban</w:t>
      </w:r>
      <w:r>
        <w:rPr>
          <w:rFonts w:ascii="Times New Roman" w:hAnsi="Times New Roman"/>
          <w:lang w:val="lt-LT"/>
        </w:rPr>
        <w:t>o</w:t>
      </w:r>
      <w:r w:rsidRPr="006E6286">
        <w:rPr>
          <w:rFonts w:ascii="Times New Roman" w:hAnsi="Times New Roman"/>
          <w:lang w:val="lt-LT"/>
        </w:rPr>
        <w:t xml:space="preserve"> h</w:t>
      </w:r>
      <w:r>
        <w:rPr>
          <w:rFonts w:ascii="Times New Roman" w:hAnsi="Times New Roman"/>
          <w:lang w:val="lt-LT"/>
        </w:rPr>
        <w:t>i</w:t>
      </w:r>
      <w:r w:rsidRPr="006E6286">
        <w:rPr>
          <w:rFonts w:ascii="Times New Roman" w:hAnsi="Times New Roman"/>
          <w:lang w:val="lt-LT"/>
        </w:rPr>
        <w:t>drochlorid</w:t>
      </w:r>
      <w:r>
        <w:rPr>
          <w:rFonts w:ascii="Times New Roman" w:hAnsi="Times New Roman"/>
          <w:lang w:val="lt-LT"/>
        </w:rPr>
        <w:t>u pradžios</w:t>
      </w:r>
      <w:r w:rsidRPr="006E6286">
        <w:rPr>
          <w:rFonts w:ascii="Times New Roman" w:hAnsi="Times New Roman"/>
          <w:lang w:val="lt-LT"/>
        </w:rPr>
        <w:t xml:space="preserve">. </w:t>
      </w:r>
    </w:p>
    <w:p w:rsidR="00B42325" w:rsidRPr="006E6286" w:rsidRDefault="00B42325" w:rsidP="006E6286">
      <w:pPr>
        <w:spacing w:after="0" w:line="240" w:lineRule="auto"/>
        <w:rPr>
          <w:rFonts w:ascii="Times New Roman" w:hAnsi="Times New Roman"/>
          <w:lang w:val="lt-LT"/>
        </w:rPr>
      </w:pPr>
      <w:r w:rsidRPr="006E6286">
        <w:rPr>
          <w:rFonts w:ascii="Times New Roman" w:hAnsi="Times New Roman"/>
          <w:lang w:val="lt-LT"/>
        </w:rPr>
        <w:t xml:space="preserve">7 </w:t>
      </w:r>
      <w:r>
        <w:rPr>
          <w:rFonts w:ascii="Times New Roman" w:hAnsi="Times New Roman"/>
          <w:lang w:val="lt-LT"/>
        </w:rPr>
        <w:t>dieną, analizuojant pagrindinę vertinamąją baigtį</w:t>
      </w:r>
      <w:r w:rsidRPr="006E6286">
        <w:rPr>
          <w:rFonts w:ascii="Times New Roman" w:hAnsi="Times New Roman"/>
          <w:lang w:val="lt-LT"/>
        </w:rPr>
        <w:t xml:space="preserve">, </w:t>
      </w:r>
      <w:r>
        <w:rPr>
          <w:rFonts w:ascii="Times New Roman" w:hAnsi="Times New Roman"/>
          <w:lang w:val="lt-LT"/>
        </w:rPr>
        <w:t xml:space="preserve">tirofibano hidrochlorido grupėje nustatytas kombinuotosios vertinamosios baigties </w:t>
      </w:r>
      <w:r w:rsidRPr="008C23C9">
        <w:rPr>
          <w:rFonts w:ascii="Times New Roman" w:hAnsi="Times New Roman"/>
          <w:lang w:val="lt-LT"/>
        </w:rPr>
        <w:t>santykinės rizikos sumažėjimas</w:t>
      </w:r>
      <w:r>
        <w:rPr>
          <w:rFonts w:ascii="Times New Roman" w:hAnsi="Times New Roman"/>
          <w:lang w:val="lt-LT"/>
        </w:rPr>
        <w:t xml:space="preserve"> (ang. </w:t>
      </w:r>
      <w:r w:rsidRPr="00CA3D61">
        <w:rPr>
          <w:rFonts w:ascii="Times New Roman" w:hAnsi="Times New Roman"/>
          <w:i/>
          <w:lang w:val="lt-LT"/>
        </w:rPr>
        <w:t>Risk reduction</w:t>
      </w:r>
      <w:r>
        <w:rPr>
          <w:rFonts w:ascii="Times New Roman" w:hAnsi="Times New Roman"/>
          <w:lang w:val="lt-LT"/>
        </w:rPr>
        <w:t>, RR)</w:t>
      </w:r>
      <w:r w:rsidRPr="006E6286">
        <w:rPr>
          <w:rFonts w:ascii="Times New Roman" w:hAnsi="Times New Roman"/>
          <w:lang w:val="lt-LT"/>
        </w:rPr>
        <w:t xml:space="preserve"> 32% (12</w:t>
      </w:r>
      <w:r>
        <w:rPr>
          <w:rFonts w:ascii="Times New Roman" w:hAnsi="Times New Roman"/>
          <w:lang w:val="lt-LT"/>
        </w:rPr>
        <w:t>,</w:t>
      </w:r>
      <w:r w:rsidRPr="006E6286">
        <w:rPr>
          <w:rFonts w:ascii="Times New Roman" w:hAnsi="Times New Roman"/>
          <w:lang w:val="lt-LT"/>
        </w:rPr>
        <w:t xml:space="preserve">9% </w:t>
      </w:r>
      <w:r>
        <w:rPr>
          <w:rFonts w:ascii="Times New Roman" w:hAnsi="Times New Roman"/>
          <w:lang w:val="lt-LT"/>
        </w:rPr>
        <w:t>ir</w:t>
      </w:r>
      <w:r w:rsidRPr="006E6286">
        <w:rPr>
          <w:rFonts w:ascii="Times New Roman" w:hAnsi="Times New Roman"/>
          <w:lang w:val="lt-LT"/>
        </w:rPr>
        <w:t xml:space="preserve"> 17</w:t>
      </w:r>
      <w:r>
        <w:rPr>
          <w:rFonts w:ascii="Times New Roman" w:hAnsi="Times New Roman"/>
          <w:lang w:val="lt-LT"/>
        </w:rPr>
        <w:t>,</w:t>
      </w:r>
      <w:r w:rsidRPr="006E6286">
        <w:rPr>
          <w:rFonts w:ascii="Times New Roman" w:hAnsi="Times New Roman"/>
          <w:lang w:val="lt-LT"/>
        </w:rPr>
        <w:t>9%) (p=0</w:t>
      </w:r>
      <w:r>
        <w:rPr>
          <w:rFonts w:ascii="Times New Roman" w:hAnsi="Times New Roman"/>
          <w:lang w:val="lt-LT"/>
        </w:rPr>
        <w:t>,</w:t>
      </w:r>
      <w:r w:rsidRPr="006E6286">
        <w:rPr>
          <w:rFonts w:ascii="Times New Roman" w:hAnsi="Times New Roman"/>
          <w:lang w:val="lt-LT"/>
        </w:rPr>
        <w:t>004)</w:t>
      </w:r>
      <w:r>
        <w:rPr>
          <w:rFonts w:ascii="Times New Roman" w:hAnsi="Times New Roman"/>
          <w:lang w:val="lt-LT"/>
        </w:rPr>
        <w:t>, tai atitinka maždaug</w:t>
      </w:r>
      <w:r w:rsidRPr="006E6286">
        <w:rPr>
          <w:rFonts w:ascii="Times New Roman" w:hAnsi="Times New Roman"/>
          <w:lang w:val="lt-LT"/>
        </w:rPr>
        <w:t xml:space="preserve"> 50 </w:t>
      </w:r>
      <w:r>
        <w:rPr>
          <w:rFonts w:ascii="Times New Roman" w:hAnsi="Times New Roman"/>
          <w:lang w:val="lt-LT"/>
        </w:rPr>
        <w:t xml:space="preserve">neįvykusių reiškinių </w:t>
      </w:r>
      <w:r w:rsidRPr="006E6286">
        <w:rPr>
          <w:rFonts w:ascii="Times New Roman" w:hAnsi="Times New Roman"/>
          <w:lang w:val="lt-LT"/>
        </w:rPr>
        <w:t>1</w:t>
      </w:r>
      <w:r>
        <w:rPr>
          <w:rFonts w:ascii="Times New Roman" w:hAnsi="Times New Roman"/>
          <w:lang w:val="lt-LT"/>
        </w:rPr>
        <w:t> </w:t>
      </w:r>
      <w:r w:rsidRPr="006E6286">
        <w:rPr>
          <w:rFonts w:ascii="Times New Roman" w:hAnsi="Times New Roman"/>
          <w:lang w:val="lt-LT"/>
        </w:rPr>
        <w:t xml:space="preserve">000 </w:t>
      </w:r>
      <w:r>
        <w:rPr>
          <w:rFonts w:ascii="Times New Roman" w:hAnsi="Times New Roman"/>
          <w:lang w:val="lt-LT"/>
        </w:rPr>
        <w:t>gydytų pacientų</w:t>
      </w:r>
      <w:r w:rsidRPr="006E6286">
        <w:rPr>
          <w:rFonts w:ascii="Times New Roman" w:hAnsi="Times New Roman"/>
          <w:lang w:val="lt-LT"/>
        </w:rPr>
        <w:t xml:space="preserve">. </w:t>
      </w:r>
      <w:r>
        <w:rPr>
          <w:rFonts w:ascii="Times New Roman" w:hAnsi="Times New Roman"/>
          <w:lang w:val="lt-LT"/>
        </w:rPr>
        <w:t>Po</w:t>
      </w:r>
      <w:r w:rsidRPr="006E6286">
        <w:rPr>
          <w:rFonts w:ascii="Times New Roman" w:hAnsi="Times New Roman"/>
          <w:lang w:val="lt-LT"/>
        </w:rPr>
        <w:t xml:space="preserve"> 30 </w:t>
      </w:r>
      <w:r>
        <w:rPr>
          <w:rFonts w:ascii="Times New Roman" w:hAnsi="Times New Roman"/>
          <w:lang w:val="lt-LT"/>
        </w:rPr>
        <w:t>dienų</w:t>
      </w:r>
      <w:r w:rsidRPr="006E6286">
        <w:rPr>
          <w:rFonts w:ascii="Times New Roman" w:hAnsi="Times New Roman"/>
          <w:lang w:val="lt-LT"/>
        </w:rPr>
        <w:t xml:space="preserve"> </w:t>
      </w:r>
      <w:r>
        <w:rPr>
          <w:rFonts w:ascii="Times New Roman" w:hAnsi="Times New Roman"/>
          <w:lang w:val="lt-LT"/>
        </w:rPr>
        <w:t>kombinuotosios vertinamosios baigties, kurią sudarė mirtis</w:t>
      </w:r>
      <w:r w:rsidRPr="006E6286">
        <w:rPr>
          <w:rFonts w:ascii="Times New Roman" w:hAnsi="Times New Roman"/>
          <w:lang w:val="lt-LT"/>
        </w:rPr>
        <w:t xml:space="preserve">, MI, </w:t>
      </w:r>
      <w:r>
        <w:rPr>
          <w:rFonts w:ascii="Times New Roman" w:hAnsi="Times New Roman"/>
          <w:lang w:val="lt-LT"/>
        </w:rPr>
        <w:t xml:space="preserve">į gydymą nereaguojanti išeminė būklė ar kartotinis NKA gydymas ligoninėje, </w:t>
      </w:r>
      <w:r w:rsidRPr="00CA3D61">
        <w:rPr>
          <w:rFonts w:ascii="Times New Roman" w:hAnsi="Times New Roman"/>
          <w:lang w:val="lt-LT"/>
        </w:rPr>
        <w:t>RR</w:t>
      </w:r>
      <w:r>
        <w:rPr>
          <w:rFonts w:ascii="Times New Roman" w:hAnsi="Times New Roman"/>
          <w:lang w:val="lt-LT"/>
        </w:rPr>
        <w:t xml:space="preserve"> buvo </w:t>
      </w:r>
      <w:r w:rsidRPr="006E6286">
        <w:rPr>
          <w:rFonts w:ascii="Times New Roman" w:hAnsi="Times New Roman"/>
          <w:lang w:val="lt-LT"/>
        </w:rPr>
        <w:t>22% (18</w:t>
      </w:r>
      <w:r>
        <w:rPr>
          <w:rFonts w:ascii="Times New Roman" w:hAnsi="Times New Roman"/>
          <w:lang w:val="lt-LT"/>
        </w:rPr>
        <w:t>,</w:t>
      </w:r>
      <w:r w:rsidRPr="006E6286">
        <w:rPr>
          <w:rFonts w:ascii="Times New Roman" w:hAnsi="Times New Roman"/>
          <w:lang w:val="lt-LT"/>
        </w:rPr>
        <w:t xml:space="preserve">5% </w:t>
      </w:r>
      <w:r>
        <w:rPr>
          <w:rFonts w:ascii="Times New Roman" w:hAnsi="Times New Roman"/>
          <w:lang w:val="lt-LT"/>
        </w:rPr>
        <w:t>ir</w:t>
      </w:r>
      <w:r w:rsidRPr="006E6286">
        <w:rPr>
          <w:rFonts w:ascii="Times New Roman" w:hAnsi="Times New Roman"/>
          <w:lang w:val="lt-LT"/>
        </w:rPr>
        <w:t xml:space="preserve"> 22</w:t>
      </w:r>
      <w:r>
        <w:rPr>
          <w:rFonts w:ascii="Times New Roman" w:hAnsi="Times New Roman"/>
          <w:lang w:val="lt-LT"/>
        </w:rPr>
        <w:t>,</w:t>
      </w:r>
      <w:r w:rsidRPr="006E6286">
        <w:rPr>
          <w:rFonts w:ascii="Times New Roman" w:hAnsi="Times New Roman"/>
          <w:lang w:val="lt-LT"/>
        </w:rPr>
        <w:t>3%; p=0</w:t>
      </w:r>
      <w:r>
        <w:rPr>
          <w:rFonts w:ascii="Times New Roman" w:hAnsi="Times New Roman"/>
          <w:lang w:val="lt-LT"/>
        </w:rPr>
        <w:t>,</w:t>
      </w:r>
      <w:r w:rsidRPr="006E6286">
        <w:rPr>
          <w:rFonts w:ascii="Times New Roman" w:hAnsi="Times New Roman"/>
          <w:lang w:val="lt-LT"/>
        </w:rPr>
        <w:t xml:space="preserve">029). </w:t>
      </w:r>
      <w:r>
        <w:rPr>
          <w:rFonts w:ascii="Times New Roman" w:hAnsi="Times New Roman"/>
          <w:lang w:val="lt-LT"/>
        </w:rPr>
        <w:t>Po 6 mėnesių reliatyvi</w:t>
      </w:r>
      <w:r w:rsidRPr="006E6286">
        <w:rPr>
          <w:rFonts w:ascii="Times New Roman" w:hAnsi="Times New Roman"/>
          <w:lang w:val="lt-LT"/>
        </w:rPr>
        <w:t xml:space="preserve"> </w:t>
      </w:r>
      <w:r>
        <w:rPr>
          <w:rFonts w:ascii="Times New Roman" w:hAnsi="Times New Roman"/>
          <w:lang w:val="lt-LT"/>
        </w:rPr>
        <w:t>kombinuotosios vertinamosios baigties, kurią sudarė mirtis</w:t>
      </w:r>
      <w:r w:rsidRPr="006E6286">
        <w:rPr>
          <w:rFonts w:ascii="Times New Roman" w:hAnsi="Times New Roman"/>
          <w:lang w:val="lt-LT"/>
        </w:rPr>
        <w:t xml:space="preserve">, MI, </w:t>
      </w:r>
      <w:r>
        <w:rPr>
          <w:rFonts w:ascii="Times New Roman" w:hAnsi="Times New Roman"/>
          <w:lang w:val="lt-LT"/>
        </w:rPr>
        <w:t>į gydymą nereaguojanti išeminė būklė ar kartotinis NKA gydymas ligoninėje, rizika sumažėjo</w:t>
      </w:r>
      <w:r w:rsidRPr="006E6286">
        <w:rPr>
          <w:rFonts w:ascii="Times New Roman" w:hAnsi="Times New Roman"/>
          <w:lang w:val="lt-LT"/>
        </w:rPr>
        <w:t xml:space="preserve"> 19% (27</w:t>
      </w:r>
      <w:r>
        <w:rPr>
          <w:rFonts w:ascii="Times New Roman" w:hAnsi="Times New Roman"/>
          <w:lang w:val="lt-LT"/>
        </w:rPr>
        <w:t>,</w:t>
      </w:r>
      <w:r w:rsidRPr="006E6286">
        <w:rPr>
          <w:rFonts w:ascii="Times New Roman" w:hAnsi="Times New Roman"/>
          <w:lang w:val="lt-LT"/>
        </w:rPr>
        <w:t xml:space="preserve">7% </w:t>
      </w:r>
      <w:r>
        <w:rPr>
          <w:rFonts w:ascii="Times New Roman" w:hAnsi="Times New Roman"/>
          <w:lang w:val="lt-LT"/>
        </w:rPr>
        <w:t>ir</w:t>
      </w:r>
      <w:r w:rsidRPr="006E6286">
        <w:rPr>
          <w:rFonts w:ascii="Times New Roman" w:hAnsi="Times New Roman"/>
          <w:lang w:val="lt-LT"/>
        </w:rPr>
        <w:t xml:space="preserve"> 32</w:t>
      </w:r>
      <w:r>
        <w:rPr>
          <w:rFonts w:ascii="Times New Roman" w:hAnsi="Times New Roman"/>
          <w:lang w:val="lt-LT"/>
        </w:rPr>
        <w:t>,1%</w:t>
      </w:r>
      <w:r w:rsidRPr="006E6286">
        <w:rPr>
          <w:rFonts w:ascii="Times New Roman" w:hAnsi="Times New Roman"/>
          <w:lang w:val="lt-LT"/>
        </w:rPr>
        <w:t>; p=0</w:t>
      </w:r>
      <w:r>
        <w:rPr>
          <w:rFonts w:ascii="Times New Roman" w:hAnsi="Times New Roman"/>
          <w:lang w:val="lt-LT"/>
        </w:rPr>
        <w:t>,</w:t>
      </w:r>
      <w:r w:rsidRPr="006E6286">
        <w:rPr>
          <w:rFonts w:ascii="Times New Roman" w:hAnsi="Times New Roman"/>
          <w:lang w:val="lt-LT"/>
        </w:rPr>
        <w:t xml:space="preserve">024).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 xml:space="preserve">Vertinant kombinuotąją baigtį, kurią sudarė mirtis, septintą dieną </w:t>
      </w:r>
      <w:r w:rsidRPr="006E6286">
        <w:rPr>
          <w:rFonts w:ascii="Times New Roman" w:hAnsi="Times New Roman"/>
          <w:lang w:val="lt-LT"/>
        </w:rPr>
        <w:t>tirofiban</w:t>
      </w:r>
      <w:r>
        <w:rPr>
          <w:rFonts w:ascii="Times New Roman" w:hAnsi="Times New Roman"/>
          <w:lang w:val="lt-LT"/>
        </w:rPr>
        <w:t>o</w:t>
      </w:r>
      <w:r w:rsidRPr="006E6286">
        <w:rPr>
          <w:rFonts w:ascii="Times New Roman" w:hAnsi="Times New Roman"/>
          <w:lang w:val="lt-LT"/>
        </w:rPr>
        <w:t xml:space="preserve"> </w:t>
      </w:r>
      <w:r>
        <w:rPr>
          <w:rFonts w:ascii="Times New Roman" w:hAnsi="Times New Roman"/>
          <w:lang w:val="lt-LT"/>
        </w:rPr>
        <w:t xml:space="preserve">grupėje </w:t>
      </w:r>
      <w:r w:rsidRPr="00CA3D61">
        <w:rPr>
          <w:rFonts w:ascii="Times New Roman" w:hAnsi="Times New Roman"/>
          <w:lang w:val="lt-LT"/>
        </w:rPr>
        <w:t>RR</w:t>
      </w:r>
      <w:r>
        <w:rPr>
          <w:rFonts w:ascii="Times New Roman" w:hAnsi="Times New Roman"/>
          <w:lang w:val="lt-LT"/>
        </w:rPr>
        <w:t xml:space="preserve"> buvo</w:t>
      </w:r>
      <w:r w:rsidRPr="006E6286">
        <w:rPr>
          <w:rFonts w:ascii="Times New Roman" w:hAnsi="Times New Roman"/>
          <w:lang w:val="lt-LT"/>
        </w:rPr>
        <w:t xml:space="preserve"> 43% (4</w:t>
      </w:r>
      <w:r>
        <w:rPr>
          <w:rFonts w:ascii="Times New Roman" w:hAnsi="Times New Roman"/>
          <w:lang w:val="lt-LT"/>
        </w:rPr>
        <w:t>,</w:t>
      </w:r>
      <w:r w:rsidRPr="006E6286">
        <w:rPr>
          <w:rFonts w:ascii="Times New Roman" w:hAnsi="Times New Roman"/>
          <w:lang w:val="lt-LT"/>
        </w:rPr>
        <w:t xml:space="preserve">9% </w:t>
      </w:r>
      <w:r>
        <w:rPr>
          <w:rFonts w:ascii="Times New Roman" w:hAnsi="Times New Roman"/>
          <w:lang w:val="lt-LT"/>
        </w:rPr>
        <w:t>ir</w:t>
      </w:r>
      <w:r w:rsidRPr="006E6286">
        <w:rPr>
          <w:rFonts w:ascii="Times New Roman" w:hAnsi="Times New Roman"/>
          <w:lang w:val="lt-LT"/>
        </w:rPr>
        <w:t xml:space="preserve"> 8</w:t>
      </w:r>
      <w:r>
        <w:rPr>
          <w:rFonts w:ascii="Times New Roman" w:hAnsi="Times New Roman"/>
          <w:lang w:val="lt-LT"/>
        </w:rPr>
        <w:t>,</w:t>
      </w:r>
      <w:r w:rsidRPr="006E6286">
        <w:rPr>
          <w:rFonts w:ascii="Times New Roman" w:hAnsi="Times New Roman"/>
          <w:lang w:val="lt-LT"/>
        </w:rPr>
        <w:t>3%; p=0</w:t>
      </w:r>
      <w:r>
        <w:rPr>
          <w:rFonts w:ascii="Times New Roman" w:hAnsi="Times New Roman"/>
          <w:lang w:val="lt-LT"/>
        </w:rPr>
        <w:t>,</w:t>
      </w:r>
      <w:r w:rsidRPr="006E6286">
        <w:rPr>
          <w:rFonts w:ascii="Times New Roman" w:hAnsi="Times New Roman"/>
          <w:lang w:val="lt-LT"/>
        </w:rPr>
        <w:t xml:space="preserve">006); 30 </w:t>
      </w:r>
      <w:r>
        <w:rPr>
          <w:rFonts w:ascii="Times New Roman" w:hAnsi="Times New Roman"/>
          <w:lang w:val="lt-LT"/>
        </w:rPr>
        <w:t xml:space="preserve">dieną - </w:t>
      </w:r>
      <w:r w:rsidRPr="006E6286">
        <w:rPr>
          <w:rFonts w:ascii="Times New Roman" w:hAnsi="Times New Roman"/>
          <w:lang w:val="lt-LT"/>
        </w:rPr>
        <w:t>30% (8</w:t>
      </w:r>
      <w:r>
        <w:rPr>
          <w:rFonts w:ascii="Times New Roman" w:hAnsi="Times New Roman"/>
          <w:lang w:val="lt-LT"/>
        </w:rPr>
        <w:t>,</w:t>
      </w:r>
      <w:r w:rsidRPr="006E6286">
        <w:rPr>
          <w:rFonts w:ascii="Times New Roman" w:hAnsi="Times New Roman"/>
          <w:lang w:val="lt-LT"/>
        </w:rPr>
        <w:t xml:space="preserve">7% </w:t>
      </w:r>
      <w:r>
        <w:rPr>
          <w:rFonts w:ascii="Times New Roman" w:hAnsi="Times New Roman"/>
          <w:lang w:val="lt-LT"/>
        </w:rPr>
        <w:t>ir</w:t>
      </w:r>
      <w:r w:rsidRPr="006E6286">
        <w:rPr>
          <w:rFonts w:ascii="Times New Roman" w:hAnsi="Times New Roman"/>
          <w:lang w:val="lt-LT"/>
        </w:rPr>
        <w:t xml:space="preserve"> 11</w:t>
      </w:r>
      <w:r>
        <w:rPr>
          <w:rFonts w:ascii="Times New Roman" w:hAnsi="Times New Roman"/>
          <w:lang w:val="lt-LT"/>
        </w:rPr>
        <w:t>,9</w:t>
      </w:r>
      <w:r w:rsidRPr="006E6286">
        <w:rPr>
          <w:rFonts w:ascii="Times New Roman" w:hAnsi="Times New Roman"/>
          <w:lang w:val="lt-LT"/>
        </w:rPr>
        <w:t>%; p=0</w:t>
      </w:r>
      <w:r>
        <w:rPr>
          <w:rFonts w:ascii="Times New Roman" w:hAnsi="Times New Roman"/>
          <w:lang w:val="lt-LT"/>
        </w:rPr>
        <w:t>,</w:t>
      </w:r>
      <w:r w:rsidRPr="006E6286">
        <w:rPr>
          <w:rFonts w:ascii="Times New Roman" w:hAnsi="Times New Roman"/>
          <w:lang w:val="lt-LT"/>
        </w:rPr>
        <w:t>027)</w:t>
      </w:r>
      <w:r>
        <w:rPr>
          <w:rFonts w:ascii="Times New Roman" w:hAnsi="Times New Roman"/>
          <w:lang w:val="lt-LT"/>
        </w:rPr>
        <w:t>,</w:t>
      </w:r>
      <w:r w:rsidRPr="006E6286">
        <w:rPr>
          <w:rFonts w:ascii="Times New Roman" w:hAnsi="Times New Roman"/>
          <w:lang w:val="lt-LT"/>
        </w:rPr>
        <w:t xml:space="preserve"> 6 </w:t>
      </w:r>
      <w:r>
        <w:rPr>
          <w:rFonts w:ascii="Times New Roman" w:hAnsi="Times New Roman"/>
          <w:lang w:val="lt-LT"/>
        </w:rPr>
        <w:t xml:space="preserve">mėnesį - </w:t>
      </w:r>
      <w:r w:rsidRPr="006E6286">
        <w:rPr>
          <w:rFonts w:ascii="Times New Roman" w:hAnsi="Times New Roman"/>
          <w:lang w:val="lt-LT"/>
        </w:rPr>
        <w:t>23% (12</w:t>
      </w:r>
      <w:r>
        <w:rPr>
          <w:rFonts w:ascii="Times New Roman" w:hAnsi="Times New Roman"/>
          <w:lang w:val="lt-LT"/>
        </w:rPr>
        <w:t>,</w:t>
      </w:r>
      <w:r w:rsidRPr="006E6286">
        <w:rPr>
          <w:rFonts w:ascii="Times New Roman" w:hAnsi="Times New Roman"/>
          <w:lang w:val="lt-LT"/>
        </w:rPr>
        <w:t xml:space="preserve">3% </w:t>
      </w:r>
      <w:r>
        <w:rPr>
          <w:rFonts w:ascii="Times New Roman" w:hAnsi="Times New Roman"/>
          <w:lang w:val="lt-LT"/>
        </w:rPr>
        <w:t>ir</w:t>
      </w:r>
      <w:r w:rsidRPr="006E6286">
        <w:rPr>
          <w:rFonts w:ascii="Times New Roman" w:hAnsi="Times New Roman"/>
          <w:lang w:val="lt-LT"/>
        </w:rPr>
        <w:t xml:space="preserve"> 15</w:t>
      </w:r>
      <w:r>
        <w:rPr>
          <w:rFonts w:ascii="Times New Roman" w:hAnsi="Times New Roman"/>
          <w:lang w:val="lt-LT"/>
        </w:rPr>
        <w:t>,</w:t>
      </w:r>
      <w:r w:rsidRPr="006E6286">
        <w:rPr>
          <w:rFonts w:ascii="Times New Roman" w:hAnsi="Times New Roman"/>
          <w:lang w:val="lt-LT"/>
        </w:rPr>
        <w:t>3%; p=0</w:t>
      </w:r>
      <w:r>
        <w:rPr>
          <w:rFonts w:ascii="Times New Roman" w:hAnsi="Times New Roman"/>
          <w:lang w:val="lt-LT"/>
        </w:rPr>
        <w:t>,</w:t>
      </w:r>
      <w:r w:rsidRPr="006E6286">
        <w:rPr>
          <w:rFonts w:ascii="Times New Roman" w:hAnsi="Times New Roman"/>
          <w:lang w:val="lt-LT"/>
        </w:rPr>
        <w:t xml:space="preserve">063).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 xml:space="preserve">MI rizikos sumažėjimas tirofibanu gydytiems ligoniams pasireiškė jau ankstyvuoju gydymo laikotarpiu </w:t>
      </w:r>
      <w:r w:rsidRPr="006E6286">
        <w:rPr>
          <w:rFonts w:ascii="Times New Roman" w:hAnsi="Times New Roman"/>
          <w:lang w:val="lt-LT"/>
        </w:rPr>
        <w:t>(</w:t>
      </w:r>
      <w:r>
        <w:rPr>
          <w:rFonts w:ascii="Times New Roman" w:hAnsi="Times New Roman"/>
          <w:lang w:val="lt-LT"/>
        </w:rPr>
        <w:t>per pirmąsias 48 val.</w:t>
      </w:r>
      <w:r w:rsidRPr="006E6286">
        <w:rPr>
          <w:rFonts w:ascii="Times New Roman" w:hAnsi="Times New Roman"/>
          <w:lang w:val="lt-LT"/>
        </w:rPr>
        <w:t>)</w:t>
      </w:r>
      <w:r>
        <w:rPr>
          <w:rFonts w:ascii="Times New Roman" w:hAnsi="Times New Roman"/>
          <w:lang w:val="lt-LT"/>
        </w:rPr>
        <w:t xml:space="preserve">, poveikis išliko 6 mėnesių laikotarpiu. </w:t>
      </w:r>
      <w:r w:rsidRPr="006E6286">
        <w:rPr>
          <w:rFonts w:ascii="Times New Roman" w:hAnsi="Times New Roman"/>
          <w:lang w:val="lt-LT"/>
        </w:rPr>
        <w:t xml:space="preserve">30% </w:t>
      </w:r>
      <w:r>
        <w:rPr>
          <w:rFonts w:ascii="Times New Roman" w:hAnsi="Times New Roman"/>
          <w:lang w:val="lt-LT"/>
        </w:rPr>
        <w:t>pacientų, kuriems pradinio gydymo ligoninėje metu buvo atlikta angioplastika ar aterektomija, grupėje pagrindinės kombinuotosios vertinamosios baigties</w:t>
      </w:r>
      <w:r w:rsidRPr="006E6286">
        <w:rPr>
          <w:rFonts w:ascii="Times New Roman" w:hAnsi="Times New Roman"/>
          <w:lang w:val="lt-LT"/>
        </w:rPr>
        <w:t xml:space="preserve"> </w:t>
      </w:r>
      <w:r w:rsidRPr="00CA3D61">
        <w:rPr>
          <w:rFonts w:ascii="Times New Roman" w:hAnsi="Times New Roman"/>
          <w:lang w:val="lt-LT"/>
        </w:rPr>
        <w:t>RR</w:t>
      </w:r>
      <w:r>
        <w:rPr>
          <w:rFonts w:ascii="Times New Roman" w:hAnsi="Times New Roman"/>
          <w:lang w:val="lt-LT"/>
        </w:rPr>
        <w:t xml:space="preserve"> po 30 dienų buvo </w:t>
      </w:r>
      <w:r w:rsidRPr="006E6286">
        <w:rPr>
          <w:rFonts w:ascii="Times New Roman" w:hAnsi="Times New Roman"/>
          <w:lang w:val="lt-LT"/>
        </w:rPr>
        <w:t>46% (8</w:t>
      </w:r>
      <w:r>
        <w:rPr>
          <w:rFonts w:ascii="Times New Roman" w:hAnsi="Times New Roman"/>
          <w:lang w:val="lt-LT"/>
        </w:rPr>
        <w:t xml:space="preserve">,8% ir </w:t>
      </w:r>
      <w:r w:rsidRPr="006E6286">
        <w:rPr>
          <w:rFonts w:ascii="Times New Roman" w:hAnsi="Times New Roman"/>
          <w:lang w:val="lt-LT"/>
        </w:rPr>
        <w:t>15</w:t>
      </w:r>
      <w:r>
        <w:rPr>
          <w:rFonts w:ascii="Times New Roman" w:hAnsi="Times New Roman"/>
          <w:lang w:val="lt-LT"/>
        </w:rPr>
        <w:t>,</w:t>
      </w:r>
      <w:r w:rsidRPr="006E6286">
        <w:rPr>
          <w:rFonts w:ascii="Times New Roman" w:hAnsi="Times New Roman"/>
          <w:lang w:val="lt-LT"/>
        </w:rPr>
        <w:t>2%)</w:t>
      </w:r>
      <w:r>
        <w:rPr>
          <w:rFonts w:ascii="Times New Roman" w:hAnsi="Times New Roman"/>
          <w:lang w:val="lt-LT"/>
        </w:rPr>
        <w:t xml:space="preserve">, mirties ir MI </w:t>
      </w:r>
      <w:r w:rsidRPr="00CA3D61">
        <w:rPr>
          <w:rFonts w:ascii="Times New Roman" w:hAnsi="Times New Roman"/>
          <w:lang w:val="lt-LT"/>
        </w:rPr>
        <w:t>RR</w:t>
      </w:r>
      <w:r>
        <w:rPr>
          <w:rFonts w:ascii="Times New Roman" w:hAnsi="Times New Roman"/>
          <w:lang w:val="lt-LT"/>
        </w:rPr>
        <w:t xml:space="preserve"> -</w:t>
      </w:r>
      <w:r w:rsidRPr="006E6286">
        <w:rPr>
          <w:rFonts w:ascii="Times New Roman" w:hAnsi="Times New Roman"/>
          <w:lang w:val="lt-LT"/>
        </w:rPr>
        <w:t xml:space="preserve"> 43% (5</w:t>
      </w:r>
      <w:r>
        <w:rPr>
          <w:rFonts w:ascii="Times New Roman" w:hAnsi="Times New Roman"/>
          <w:lang w:val="lt-LT"/>
        </w:rPr>
        <w:t>,</w:t>
      </w:r>
      <w:r w:rsidRPr="006E6286">
        <w:rPr>
          <w:rFonts w:ascii="Times New Roman" w:hAnsi="Times New Roman"/>
          <w:lang w:val="lt-LT"/>
        </w:rPr>
        <w:t xml:space="preserve">9% </w:t>
      </w:r>
      <w:r>
        <w:rPr>
          <w:rFonts w:ascii="Times New Roman" w:hAnsi="Times New Roman"/>
          <w:lang w:val="lt-LT"/>
        </w:rPr>
        <w:t>ir</w:t>
      </w:r>
      <w:r w:rsidRPr="006E6286">
        <w:rPr>
          <w:rFonts w:ascii="Times New Roman" w:hAnsi="Times New Roman"/>
          <w:lang w:val="lt-LT"/>
        </w:rPr>
        <w:t xml:space="preserve"> 10</w:t>
      </w:r>
      <w:r>
        <w:rPr>
          <w:rFonts w:ascii="Times New Roman" w:hAnsi="Times New Roman"/>
          <w:lang w:val="lt-LT"/>
        </w:rPr>
        <w:t>,</w:t>
      </w:r>
      <w:r w:rsidRPr="006E6286">
        <w:rPr>
          <w:rFonts w:ascii="Times New Roman" w:hAnsi="Times New Roman"/>
          <w:lang w:val="lt-LT"/>
        </w:rPr>
        <w:t xml:space="preserve">2%).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Saugumo tyrimo metu</w:t>
      </w:r>
      <w:r w:rsidRPr="006E6286">
        <w:rPr>
          <w:rFonts w:ascii="Times New Roman" w:hAnsi="Times New Roman"/>
          <w:lang w:val="lt-LT"/>
        </w:rPr>
        <w:t xml:space="preserve"> </w:t>
      </w:r>
      <w:r>
        <w:rPr>
          <w:rFonts w:ascii="Times New Roman" w:hAnsi="Times New Roman"/>
          <w:lang w:val="lt-LT"/>
        </w:rPr>
        <w:t xml:space="preserve">buvo lyginamas pacientų, kuriems buvo NKA ir </w:t>
      </w:r>
      <w:r w:rsidRPr="00417856">
        <w:rPr>
          <w:rFonts w:ascii="Times New Roman" w:hAnsi="Times New Roman"/>
          <w:lang w:val="lt-LT"/>
        </w:rPr>
        <w:t>NQ</w:t>
      </w:r>
      <w:r w:rsidRPr="000D4869">
        <w:rPr>
          <w:rFonts w:ascii="Times New Roman" w:hAnsi="Times New Roman"/>
          <w:lang w:val="lt-LT"/>
        </w:rPr>
        <w:t>W</w:t>
      </w:r>
      <w:r w:rsidRPr="00417856">
        <w:rPr>
          <w:rFonts w:ascii="Times New Roman" w:hAnsi="Times New Roman"/>
          <w:lang w:val="lt-LT"/>
        </w:rPr>
        <w:t>MI</w:t>
      </w:r>
      <w:r>
        <w:rPr>
          <w:rFonts w:ascii="Times New Roman" w:hAnsi="Times New Roman"/>
          <w:lang w:val="lt-LT"/>
        </w:rPr>
        <w:t xml:space="preserve">, gydymas </w:t>
      </w:r>
      <w:r w:rsidRPr="006E6286">
        <w:rPr>
          <w:rFonts w:ascii="Times New Roman" w:hAnsi="Times New Roman"/>
          <w:lang w:val="lt-LT"/>
        </w:rPr>
        <w:t>tirofiban</w:t>
      </w:r>
      <w:r>
        <w:rPr>
          <w:rFonts w:ascii="Times New Roman" w:hAnsi="Times New Roman"/>
          <w:lang w:val="lt-LT"/>
        </w:rPr>
        <w:t>u</w:t>
      </w:r>
      <w:r w:rsidRPr="006E6286">
        <w:rPr>
          <w:rFonts w:ascii="Times New Roman" w:hAnsi="Times New Roman"/>
          <w:lang w:val="lt-LT"/>
        </w:rPr>
        <w:t xml:space="preserve"> (30 mi</w:t>
      </w:r>
      <w:r>
        <w:rPr>
          <w:rFonts w:ascii="Times New Roman" w:hAnsi="Times New Roman"/>
          <w:lang w:val="lt-LT"/>
        </w:rPr>
        <w:t>n. trukmės įsotinamosios dozės infuzija (</w:t>
      </w:r>
      <w:r w:rsidRPr="006E6286">
        <w:rPr>
          <w:rFonts w:ascii="Times New Roman" w:hAnsi="Times New Roman"/>
          <w:lang w:val="lt-LT"/>
        </w:rPr>
        <w:t>0</w:t>
      </w:r>
      <w:r>
        <w:rPr>
          <w:rFonts w:ascii="Times New Roman" w:hAnsi="Times New Roman"/>
          <w:lang w:val="lt-LT"/>
        </w:rPr>
        <w:t>,</w:t>
      </w:r>
      <w:r w:rsidRPr="006E6286">
        <w:rPr>
          <w:rFonts w:ascii="Times New Roman" w:hAnsi="Times New Roman"/>
          <w:lang w:val="lt-LT"/>
        </w:rPr>
        <w:t xml:space="preserve">4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kg kūno svorio/min.) ir po to palaikomoji infuzija</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 xml:space="preserve">1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kg kūno svorio/min.</w:t>
      </w:r>
      <w:r w:rsidRPr="006E6286">
        <w:rPr>
          <w:rFonts w:ascii="Times New Roman" w:hAnsi="Times New Roman"/>
          <w:lang w:val="lt-LT"/>
        </w:rPr>
        <w:t xml:space="preserve"> </w:t>
      </w:r>
      <w:r>
        <w:rPr>
          <w:rFonts w:ascii="Times New Roman" w:hAnsi="Times New Roman"/>
          <w:lang w:val="lt-LT"/>
        </w:rPr>
        <w:t>iki</w:t>
      </w:r>
      <w:r w:rsidRPr="006E6286">
        <w:rPr>
          <w:rFonts w:ascii="Times New Roman" w:hAnsi="Times New Roman"/>
          <w:lang w:val="lt-LT"/>
        </w:rPr>
        <w:t xml:space="preserve"> 108 </w:t>
      </w:r>
      <w:r>
        <w:rPr>
          <w:rFonts w:ascii="Times New Roman" w:hAnsi="Times New Roman"/>
          <w:lang w:val="lt-LT"/>
        </w:rPr>
        <w:t>val.</w:t>
      </w:r>
      <w:r w:rsidRPr="006E6286">
        <w:rPr>
          <w:rFonts w:ascii="Times New Roman" w:hAnsi="Times New Roman"/>
          <w:lang w:val="lt-LT"/>
        </w:rPr>
        <w:t xml:space="preserve">) </w:t>
      </w:r>
      <w:r>
        <w:rPr>
          <w:rFonts w:ascii="Times New Roman" w:hAnsi="Times New Roman"/>
          <w:lang w:val="lt-LT"/>
        </w:rPr>
        <w:t>kartu su enoksaparinu</w:t>
      </w:r>
      <w:r w:rsidRPr="006E6286">
        <w:rPr>
          <w:rFonts w:ascii="Times New Roman" w:hAnsi="Times New Roman"/>
          <w:lang w:val="lt-LT"/>
        </w:rPr>
        <w:t xml:space="preserve"> (n=315) </w:t>
      </w:r>
      <w:r>
        <w:rPr>
          <w:rFonts w:ascii="Times New Roman" w:hAnsi="Times New Roman"/>
          <w:lang w:val="lt-LT"/>
        </w:rPr>
        <w:t xml:space="preserve">bei gydymas </w:t>
      </w:r>
      <w:r w:rsidRPr="006E6286">
        <w:rPr>
          <w:rFonts w:ascii="Times New Roman" w:hAnsi="Times New Roman"/>
          <w:lang w:val="lt-LT"/>
        </w:rPr>
        <w:t>tirofiban</w:t>
      </w:r>
      <w:r>
        <w:rPr>
          <w:rFonts w:ascii="Times New Roman" w:hAnsi="Times New Roman"/>
          <w:lang w:val="lt-LT"/>
        </w:rPr>
        <w:t xml:space="preserve">u ir nefrakcionuotu heparinu </w:t>
      </w:r>
      <w:r w:rsidRPr="006E6286">
        <w:rPr>
          <w:rFonts w:ascii="Times New Roman" w:hAnsi="Times New Roman"/>
          <w:lang w:val="lt-LT"/>
        </w:rPr>
        <w:t xml:space="preserve">(n=210). </w:t>
      </w:r>
      <w:r>
        <w:rPr>
          <w:rFonts w:ascii="Times New Roman" w:hAnsi="Times New Roman"/>
          <w:lang w:val="lt-LT"/>
        </w:rPr>
        <w:t>Enoksaparino grupės pacientams šio vaistinio preparato buvo injekuojama po oda (1,0</w:t>
      </w:r>
      <w:r w:rsidRPr="006E6286">
        <w:rPr>
          <w:rFonts w:ascii="Times New Roman" w:hAnsi="Times New Roman"/>
          <w:lang w:val="lt-LT"/>
        </w:rPr>
        <w:t xml:space="preserve"> m</w:t>
      </w:r>
      <w:r>
        <w:rPr>
          <w:rFonts w:ascii="Times New Roman" w:hAnsi="Times New Roman"/>
          <w:lang w:val="lt-LT"/>
        </w:rPr>
        <w:t>g</w:t>
      </w:r>
      <w:r w:rsidRPr="006E6286">
        <w:rPr>
          <w:rFonts w:ascii="Times New Roman" w:hAnsi="Times New Roman"/>
          <w:lang w:val="lt-LT"/>
        </w:rPr>
        <w:t xml:space="preserve">/kg </w:t>
      </w:r>
      <w:r>
        <w:rPr>
          <w:rFonts w:ascii="Times New Roman" w:hAnsi="Times New Roman"/>
          <w:lang w:val="lt-LT"/>
        </w:rPr>
        <w:t xml:space="preserve">kūno svorio) kas 12 val. mažiausiai 24 val. ir ne ilgiau kaip </w:t>
      </w:r>
      <w:r w:rsidRPr="006E6286">
        <w:rPr>
          <w:rFonts w:ascii="Times New Roman" w:hAnsi="Times New Roman"/>
          <w:lang w:val="lt-LT"/>
        </w:rPr>
        <w:t xml:space="preserve">96 </w:t>
      </w:r>
      <w:r>
        <w:rPr>
          <w:rFonts w:ascii="Times New Roman" w:hAnsi="Times New Roman"/>
          <w:lang w:val="lt-LT"/>
        </w:rPr>
        <w:t>val. Pacientams, atsitiktiniu būdu priskirtiems nefrakcionuoto heparino grupei, į veną buvo švirkščiama</w:t>
      </w:r>
      <w:r w:rsidRPr="006E6286">
        <w:rPr>
          <w:rFonts w:ascii="Times New Roman" w:hAnsi="Times New Roman"/>
          <w:lang w:val="lt-LT"/>
        </w:rPr>
        <w:t xml:space="preserve"> 5000</w:t>
      </w:r>
      <w:r>
        <w:rPr>
          <w:rFonts w:ascii="Times New Roman" w:hAnsi="Times New Roman"/>
          <w:lang w:val="lt-LT"/>
        </w:rPr>
        <w:t xml:space="preserve"> vienetų smūginė dozė ir po to infuzuojama 1000 vienetų per val. mažiausiai 24 val. ir ne ilgiau kaip </w:t>
      </w:r>
      <w:r w:rsidRPr="006E6286">
        <w:rPr>
          <w:rFonts w:ascii="Times New Roman" w:hAnsi="Times New Roman"/>
          <w:lang w:val="lt-LT"/>
        </w:rPr>
        <w:t xml:space="preserve">96 </w:t>
      </w:r>
      <w:r>
        <w:rPr>
          <w:rFonts w:ascii="Times New Roman" w:hAnsi="Times New Roman"/>
          <w:lang w:val="lt-LT"/>
        </w:rPr>
        <w:t xml:space="preserve">val. Bendrasis </w:t>
      </w:r>
      <w:r w:rsidRPr="006E6286">
        <w:rPr>
          <w:rFonts w:ascii="Times New Roman" w:hAnsi="Times New Roman"/>
          <w:lang w:val="lt-LT"/>
        </w:rPr>
        <w:t xml:space="preserve">TIMI </w:t>
      </w:r>
      <w:r>
        <w:rPr>
          <w:rFonts w:ascii="Times New Roman" w:hAnsi="Times New Roman"/>
          <w:lang w:val="lt-LT"/>
        </w:rPr>
        <w:t>kraujavimo dažnis buvo</w:t>
      </w:r>
      <w:r w:rsidRPr="006E6286">
        <w:rPr>
          <w:rFonts w:ascii="Times New Roman" w:hAnsi="Times New Roman"/>
          <w:lang w:val="lt-LT"/>
        </w:rPr>
        <w:t xml:space="preserve"> 3</w:t>
      </w:r>
      <w:r>
        <w:rPr>
          <w:rFonts w:ascii="Times New Roman" w:hAnsi="Times New Roman"/>
          <w:lang w:val="lt-LT"/>
        </w:rPr>
        <w:t>,</w:t>
      </w:r>
      <w:r w:rsidRPr="006E6286">
        <w:rPr>
          <w:rFonts w:ascii="Times New Roman" w:hAnsi="Times New Roman"/>
          <w:lang w:val="lt-LT"/>
        </w:rPr>
        <w:t>5% tirofiban</w:t>
      </w:r>
      <w:r>
        <w:rPr>
          <w:rFonts w:ascii="Times New Roman" w:hAnsi="Times New Roman"/>
          <w:lang w:val="lt-LT"/>
        </w:rPr>
        <w:t>o</w:t>
      </w:r>
      <w:r w:rsidRPr="006E6286">
        <w:rPr>
          <w:rFonts w:ascii="Times New Roman" w:hAnsi="Times New Roman"/>
          <w:lang w:val="lt-LT"/>
        </w:rPr>
        <w:t>/eno</w:t>
      </w:r>
      <w:r>
        <w:rPr>
          <w:rFonts w:ascii="Times New Roman" w:hAnsi="Times New Roman"/>
          <w:lang w:val="lt-LT"/>
        </w:rPr>
        <w:t>ks</w:t>
      </w:r>
      <w:r w:rsidRPr="006E6286">
        <w:rPr>
          <w:rFonts w:ascii="Times New Roman" w:hAnsi="Times New Roman"/>
          <w:lang w:val="lt-LT"/>
        </w:rPr>
        <w:t>aparin</w:t>
      </w:r>
      <w:r>
        <w:rPr>
          <w:rFonts w:ascii="Times New Roman" w:hAnsi="Times New Roman"/>
          <w:lang w:val="lt-LT"/>
        </w:rPr>
        <w:t>o</w:t>
      </w:r>
      <w:r w:rsidRPr="006E6286">
        <w:rPr>
          <w:rFonts w:ascii="Times New Roman" w:hAnsi="Times New Roman"/>
          <w:lang w:val="lt-LT"/>
        </w:rPr>
        <w:t xml:space="preserve"> </w:t>
      </w:r>
      <w:r>
        <w:rPr>
          <w:rFonts w:ascii="Times New Roman" w:hAnsi="Times New Roman"/>
          <w:lang w:val="lt-LT"/>
        </w:rPr>
        <w:t>grupėje ir</w:t>
      </w:r>
      <w:r w:rsidRPr="006E6286">
        <w:rPr>
          <w:rFonts w:ascii="Times New Roman" w:hAnsi="Times New Roman"/>
          <w:lang w:val="lt-LT"/>
        </w:rPr>
        <w:t xml:space="preserve"> 4</w:t>
      </w:r>
      <w:r>
        <w:rPr>
          <w:rFonts w:ascii="Times New Roman" w:hAnsi="Times New Roman"/>
          <w:lang w:val="lt-LT"/>
        </w:rPr>
        <w:t>,</w:t>
      </w:r>
      <w:r w:rsidRPr="006E6286">
        <w:rPr>
          <w:rFonts w:ascii="Times New Roman" w:hAnsi="Times New Roman"/>
          <w:lang w:val="lt-LT"/>
        </w:rPr>
        <w:t>8% tirofiban</w:t>
      </w:r>
      <w:r>
        <w:rPr>
          <w:rFonts w:ascii="Times New Roman" w:hAnsi="Times New Roman"/>
          <w:lang w:val="lt-LT"/>
        </w:rPr>
        <w:t>o</w:t>
      </w:r>
      <w:r w:rsidRPr="006E6286">
        <w:rPr>
          <w:rFonts w:ascii="Times New Roman" w:hAnsi="Times New Roman"/>
          <w:lang w:val="lt-LT"/>
        </w:rPr>
        <w:t>/</w:t>
      </w:r>
      <w:r>
        <w:rPr>
          <w:rFonts w:ascii="Times New Roman" w:hAnsi="Times New Roman"/>
          <w:lang w:val="lt-LT"/>
        </w:rPr>
        <w:t xml:space="preserve">nefrakcionuoto heparino grupėje. Nors lyginant abiejų grupių duomenis nustatytas reikšmingas kraujavimo iš odos dažnio skirtumas </w:t>
      </w:r>
      <w:r w:rsidRPr="006E6286">
        <w:rPr>
          <w:rFonts w:ascii="Times New Roman" w:hAnsi="Times New Roman"/>
          <w:lang w:val="lt-LT"/>
        </w:rPr>
        <w:t>(29</w:t>
      </w:r>
      <w:r>
        <w:rPr>
          <w:rFonts w:ascii="Times New Roman" w:hAnsi="Times New Roman"/>
          <w:lang w:val="lt-LT"/>
        </w:rPr>
        <w:t>,</w:t>
      </w:r>
      <w:r w:rsidRPr="006E6286">
        <w:rPr>
          <w:rFonts w:ascii="Times New Roman" w:hAnsi="Times New Roman"/>
          <w:lang w:val="lt-LT"/>
        </w:rPr>
        <w:t>2%</w:t>
      </w:r>
      <w:r>
        <w:rPr>
          <w:rFonts w:ascii="Times New Roman" w:hAnsi="Times New Roman"/>
          <w:lang w:val="lt-LT"/>
        </w:rPr>
        <w:t xml:space="preserve"> pacientų, vietoj enoksaparino pradėjusių vartoti nefrakcionuoto heparino, grupėje ir </w:t>
      </w:r>
      <w:r w:rsidRPr="006E6286">
        <w:rPr>
          <w:rFonts w:ascii="Times New Roman" w:hAnsi="Times New Roman"/>
          <w:lang w:val="lt-LT"/>
        </w:rPr>
        <w:t>15</w:t>
      </w:r>
      <w:r>
        <w:rPr>
          <w:rFonts w:ascii="Times New Roman" w:hAnsi="Times New Roman"/>
          <w:lang w:val="lt-LT"/>
        </w:rPr>
        <w:t>,</w:t>
      </w:r>
      <w:r w:rsidRPr="006E6286">
        <w:rPr>
          <w:rFonts w:ascii="Times New Roman" w:hAnsi="Times New Roman"/>
          <w:lang w:val="lt-LT"/>
        </w:rPr>
        <w:t xml:space="preserve">2% </w:t>
      </w:r>
      <w:r>
        <w:rPr>
          <w:rFonts w:ascii="Times New Roman" w:hAnsi="Times New Roman"/>
          <w:lang w:val="lt-LT"/>
        </w:rPr>
        <w:t>nefrakcionuoto heparino</w:t>
      </w:r>
      <w:r w:rsidRPr="006E6286">
        <w:rPr>
          <w:rFonts w:ascii="Times New Roman" w:hAnsi="Times New Roman"/>
          <w:lang w:val="lt-LT"/>
        </w:rPr>
        <w:t xml:space="preserve"> </w:t>
      </w:r>
      <w:r>
        <w:rPr>
          <w:rFonts w:ascii="Times New Roman" w:hAnsi="Times New Roman"/>
          <w:lang w:val="lt-LT"/>
        </w:rPr>
        <w:t>grupėje</w:t>
      </w:r>
      <w:r w:rsidRPr="006E6286">
        <w:rPr>
          <w:rFonts w:ascii="Times New Roman" w:hAnsi="Times New Roman"/>
          <w:lang w:val="lt-LT"/>
        </w:rPr>
        <w:t>)</w:t>
      </w:r>
      <w:r>
        <w:rPr>
          <w:rFonts w:ascii="Times New Roman" w:hAnsi="Times New Roman"/>
          <w:lang w:val="lt-LT"/>
        </w:rPr>
        <w:t xml:space="preserve">, TIMI didelio kraujavimo epizodų nebuvo nė vienoje grupėje </w:t>
      </w:r>
      <w:r w:rsidRPr="006E6286">
        <w:rPr>
          <w:rFonts w:ascii="Times New Roman" w:hAnsi="Times New Roman"/>
          <w:lang w:val="lt-LT"/>
        </w:rPr>
        <w:t>(</w:t>
      </w:r>
      <w:r>
        <w:rPr>
          <w:rFonts w:ascii="Times New Roman" w:hAnsi="Times New Roman"/>
          <w:lang w:val="lt-LT"/>
        </w:rPr>
        <w:t>žr.</w:t>
      </w:r>
      <w:r w:rsidRPr="006E6286">
        <w:rPr>
          <w:rFonts w:ascii="Times New Roman" w:hAnsi="Times New Roman"/>
          <w:lang w:val="lt-LT"/>
        </w:rPr>
        <w:t xml:space="preserve"> 4.4</w:t>
      </w:r>
      <w:r>
        <w:rPr>
          <w:rFonts w:ascii="Times New Roman" w:hAnsi="Times New Roman"/>
          <w:lang w:val="lt-LT"/>
        </w:rPr>
        <w:t xml:space="preserve"> skyrių</w:t>
      </w:r>
      <w:r w:rsidRPr="006E6286">
        <w:rPr>
          <w:rFonts w:ascii="Times New Roman" w:hAnsi="Times New Roman"/>
          <w:lang w:val="lt-LT"/>
        </w:rPr>
        <w:t xml:space="preserve">). </w:t>
      </w:r>
      <w:r>
        <w:rPr>
          <w:rFonts w:ascii="Times New Roman" w:hAnsi="Times New Roman"/>
          <w:lang w:val="lt-LT"/>
        </w:rPr>
        <w:t>Gydymo tirofibanu ir enoksaparinu veiksmingumas nenustatytas</w:t>
      </w:r>
      <w:r w:rsidRPr="006E6286">
        <w:rPr>
          <w:rFonts w:ascii="Times New Roman" w:hAnsi="Times New Roman"/>
          <w:lang w:val="lt-LT"/>
        </w:rPr>
        <w:t xml:space="preserve">. </w:t>
      </w:r>
    </w:p>
    <w:p w:rsidR="00B42325" w:rsidRPr="006E6286" w:rsidRDefault="00B42325" w:rsidP="006E6286">
      <w:pPr>
        <w:spacing w:after="0" w:line="240" w:lineRule="auto"/>
        <w:rPr>
          <w:rFonts w:ascii="Times New Roman" w:hAnsi="Times New Roman"/>
          <w:lang w:val="lt-LT"/>
        </w:rPr>
      </w:pPr>
      <w:r w:rsidRPr="006E6286">
        <w:rPr>
          <w:rFonts w:ascii="Times New Roman" w:hAnsi="Times New Roman"/>
          <w:lang w:val="lt-LT"/>
        </w:rPr>
        <w:t xml:space="preserve">PRISM PLUS </w:t>
      </w:r>
      <w:r>
        <w:rPr>
          <w:rFonts w:ascii="Times New Roman" w:hAnsi="Times New Roman"/>
          <w:lang w:val="lt-LT"/>
        </w:rPr>
        <w:t>tyrimas buvo atliktas tuo metu, kai standartinis ūminių vainikinių sindromų gydymas</w:t>
      </w:r>
      <w:r w:rsidRPr="006E6286">
        <w:rPr>
          <w:rFonts w:ascii="Times New Roman" w:hAnsi="Times New Roman"/>
          <w:lang w:val="lt-LT"/>
        </w:rPr>
        <w:t xml:space="preserve"> </w:t>
      </w:r>
      <w:r>
        <w:rPr>
          <w:rFonts w:ascii="Times New Roman" w:hAnsi="Times New Roman"/>
          <w:lang w:val="lt-LT"/>
        </w:rPr>
        <w:t xml:space="preserve">skyrėsi nuo šiuo metu taikomo gydymo (t. y., nebuvo vartojama geriamųjų </w:t>
      </w:r>
      <w:r w:rsidRPr="00417856">
        <w:rPr>
          <w:rFonts w:ascii="Times New Roman" w:hAnsi="Times New Roman"/>
          <w:lang w:val="lt-LT"/>
        </w:rPr>
        <w:t>ADP</w:t>
      </w:r>
      <w:r w:rsidRPr="006E6286">
        <w:rPr>
          <w:rFonts w:ascii="Times New Roman" w:hAnsi="Times New Roman"/>
          <w:lang w:val="lt-LT"/>
        </w:rPr>
        <w:t xml:space="preserve"> receptor</w:t>
      </w:r>
      <w:r>
        <w:rPr>
          <w:rFonts w:ascii="Times New Roman" w:hAnsi="Times New Roman"/>
          <w:lang w:val="lt-LT"/>
        </w:rPr>
        <w:t>ių</w:t>
      </w:r>
      <w:r w:rsidRPr="006E6286">
        <w:rPr>
          <w:rFonts w:ascii="Times New Roman" w:hAnsi="Times New Roman"/>
          <w:lang w:val="lt-LT"/>
        </w:rPr>
        <w:t xml:space="preserve"> (P2Y12) antagonist</w:t>
      </w:r>
      <w:r>
        <w:rPr>
          <w:rFonts w:ascii="Times New Roman" w:hAnsi="Times New Roman"/>
          <w:lang w:val="lt-LT"/>
        </w:rPr>
        <w:t>ų ir rutiniškai nenaudoti intrakoronariniai stentai).</w:t>
      </w:r>
    </w:p>
    <w:p w:rsidR="00B42325" w:rsidRDefault="00B42325" w:rsidP="006E6286">
      <w:pPr>
        <w:spacing w:after="0" w:line="240" w:lineRule="auto"/>
        <w:rPr>
          <w:rFonts w:ascii="Times New Roman" w:hAnsi="Times New Roman"/>
          <w:lang w:val="lt-LT"/>
        </w:rPr>
      </w:pPr>
    </w:p>
    <w:p w:rsidR="00B42325" w:rsidRPr="002B5ED0" w:rsidRDefault="00B42325" w:rsidP="002B5ED0">
      <w:pPr>
        <w:spacing w:after="0" w:line="240" w:lineRule="auto"/>
        <w:rPr>
          <w:rFonts w:ascii="Times New Roman" w:hAnsi="Times New Roman"/>
          <w:i/>
          <w:lang w:val="lt-LT"/>
        </w:rPr>
      </w:pPr>
      <w:r w:rsidRPr="002B5ED0">
        <w:rPr>
          <w:rFonts w:ascii="Times New Roman" w:hAnsi="Times New Roman"/>
          <w:i/>
          <w:lang w:val="lt-LT"/>
        </w:rPr>
        <w:t xml:space="preserve">ADVANCE tyrimas </w:t>
      </w:r>
    </w:p>
    <w:p w:rsidR="00B42325" w:rsidRPr="006E6286" w:rsidRDefault="00B42325" w:rsidP="006E6286">
      <w:pPr>
        <w:spacing w:after="0" w:line="240" w:lineRule="auto"/>
        <w:rPr>
          <w:rFonts w:ascii="Times New Roman" w:hAnsi="Times New Roman"/>
          <w:lang w:val="lt-LT"/>
        </w:rPr>
      </w:pPr>
      <w:r w:rsidRPr="006E6286">
        <w:rPr>
          <w:rFonts w:ascii="Times New Roman" w:hAnsi="Times New Roman"/>
          <w:lang w:val="lt-LT"/>
        </w:rPr>
        <w:lastRenderedPageBreak/>
        <w:t xml:space="preserve">ADVANCE </w:t>
      </w:r>
      <w:r>
        <w:rPr>
          <w:rFonts w:ascii="Times New Roman" w:hAnsi="Times New Roman"/>
          <w:lang w:val="lt-LT"/>
        </w:rPr>
        <w:t>tyrimo metu lygintas pacientų, kuriems buvo atliekama planinė ar ekstrinė</w:t>
      </w:r>
      <w:r w:rsidRPr="006E6286">
        <w:rPr>
          <w:rFonts w:ascii="Times New Roman" w:hAnsi="Times New Roman"/>
          <w:lang w:val="lt-LT"/>
        </w:rPr>
        <w:t xml:space="preserve"> PCI </w:t>
      </w:r>
      <w:r>
        <w:rPr>
          <w:rFonts w:ascii="Times New Roman" w:hAnsi="Times New Roman"/>
          <w:lang w:val="lt-LT"/>
        </w:rPr>
        <w:t xml:space="preserve">ir kurie turėjo didelės rizikos veiksnių, įskaitant mažiausiai vienos vainikinės arterijos susiaurėjimą </w:t>
      </w:r>
      <w:r w:rsidRPr="006E6286">
        <w:rPr>
          <w:rFonts w:ascii="Times New Roman" w:hAnsi="Times New Roman"/>
          <w:lang w:val="lt-LT"/>
        </w:rPr>
        <w:t xml:space="preserve">≥70% </w:t>
      </w:r>
      <w:r>
        <w:rPr>
          <w:rFonts w:ascii="Times New Roman" w:hAnsi="Times New Roman"/>
          <w:lang w:val="lt-LT"/>
        </w:rPr>
        <w:t>ir diabetą, būtinybę atlikti daugelio kraujagyslių intervenciją ir</w:t>
      </w:r>
      <w:r w:rsidRPr="006E6286">
        <w:rPr>
          <w:rFonts w:ascii="Times New Roman" w:hAnsi="Times New Roman"/>
          <w:lang w:val="lt-LT"/>
        </w:rPr>
        <w:t xml:space="preserve"> NSTE-ACS</w:t>
      </w:r>
      <w:r>
        <w:rPr>
          <w:rFonts w:ascii="Times New Roman" w:hAnsi="Times New Roman"/>
          <w:lang w:val="lt-LT"/>
        </w:rPr>
        <w:t xml:space="preserve">, gydymo </w:t>
      </w:r>
      <w:r w:rsidRPr="006E6286">
        <w:rPr>
          <w:rFonts w:ascii="Times New Roman" w:hAnsi="Times New Roman"/>
          <w:lang w:val="lt-LT"/>
        </w:rPr>
        <w:t>tirofiban</w:t>
      </w:r>
      <w:r>
        <w:rPr>
          <w:rFonts w:ascii="Times New Roman" w:hAnsi="Times New Roman"/>
          <w:lang w:val="lt-LT"/>
        </w:rPr>
        <w:t>u</w:t>
      </w:r>
      <w:r w:rsidRPr="00FC4554">
        <w:rPr>
          <w:rFonts w:ascii="Times New Roman" w:hAnsi="Times New Roman"/>
          <w:lang w:val="lt-LT"/>
        </w:rPr>
        <w:t xml:space="preserve"> </w:t>
      </w:r>
      <w:r>
        <w:rPr>
          <w:rFonts w:ascii="Times New Roman" w:hAnsi="Times New Roman"/>
          <w:lang w:val="lt-LT"/>
        </w:rPr>
        <w:t xml:space="preserve">(naudojant dozavimo schemą, kai vartojama smūginė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kūno svorio dozė) ir placebo vartojimo saugumas ir veiksmingumas</w:t>
      </w:r>
      <w:r w:rsidRPr="006E6286">
        <w:rPr>
          <w:rFonts w:ascii="Times New Roman" w:hAnsi="Times New Roman"/>
          <w:lang w:val="lt-LT"/>
        </w:rPr>
        <w:t xml:space="preserve">. </w:t>
      </w:r>
      <w:r>
        <w:rPr>
          <w:rFonts w:ascii="Times New Roman" w:hAnsi="Times New Roman"/>
          <w:lang w:val="lt-LT"/>
        </w:rPr>
        <w:t>Visi pacientai vartojo</w:t>
      </w:r>
      <w:r w:rsidRPr="006E6286">
        <w:rPr>
          <w:rFonts w:ascii="Times New Roman" w:hAnsi="Times New Roman"/>
          <w:lang w:val="lt-LT"/>
        </w:rPr>
        <w:t xml:space="preserve"> </w:t>
      </w:r>
      <w:r>
        <w:rPr>
          <w:rFonts w:ascii="Times New Roman" w:hAnsi="Times New Roman"/>
          <w:lang w:val="lt-LT"/>
        </w:rPr>
        <w:t>nefrakcionuoto heparino</w:t>
      </w:r>
      <w:r w:rsidRPr="006E6286">
        <w:rPr>
          <w:rFonts w:ascii="Times New Roman" w:hAnsi="Times New Roman"/>
          <w:lang w:val="lt-LT"/>
        </w:rPr>
        <w:t xml:space="preserve">, </w:t>
      </w:r>
      <w:r>
        <w:rPr>
          <w:rFonts w:ascii="Times New Roman" w:hAnsi="Times New Roman"/>
          <w:lang w:val="lt-LT"/>
        </w:rPr>
        <w:t>acetilsalicilo rūgšties</w:t>
      </w:r>
      <w:r w:rsidRPr="006E6286">
        <w:rPr>
          <w:rFonts w:ascii="Times New Roman" w:hAnsi="Times New Roman"/>
          <w:lang w:val="lt-LT"/>
        </w:rPr>
        <w:t xml:space="preserve"> (ASA) </w:t>
      </w:r>
      <w:r>
        <w:rPr>
          <w:rFonts w:ascii="Times New Roman" w:hAnsi="Times New Roman"/>
          <w:lang w:val="lt-LT"/>
        </w:rPr>
        <w:t xml:space="preserve">ir </w:t>
      </w:r>
      <w:r w:rsidRPr="006E6286">
        <w:rPr>
          <w:rFonts w:ascii="Times New Roman" w:hAnsi="Times New Roman"/>
          <w:lang w:val="lt-LT"/>
        </w:rPr>
        <w:t>tienop</w:t>
      </w:r>
      <w:r>
        <w:rPr>
          <w:rFonts w:ascii="Times New Roman" w:hAnsi="Times New Roman"/>
          <w:lang w:val="lt-LT"/>
        </w:rPr>
        <w:t>i</w:t>
      </w:r>
      <w:r w:rsidRPr="006E6286">
        <w:rPr>
          <w:rFonts w:ascii="Times New Roman" w:hAnsi="Times New Roman"/>
          <w:lang w:val="lt-LT"/>
        </w:rPr>
        <w:t>ridin</w:t>
      </w:r>
      <w:r>
        <w:rPr>
          <w:rFonts w:ascii="Times New Roman" w:hAnsi="Times New Roman"/>
          <w:lang w:val="lt-LT"/>
        </w:rPr>
        <w:t xml:space="preserve">o įsotinamąją ir palaikomąją dozę. Iš viso </w:t>
      </w:r>
      <w:r w:rsidRPr="006E6286">
        <w:rPr>
          <w:rFonts w:ascii="Times New Roman" w:hAnsi="Times New Roman"/>
          <w:lang w:val="lt-LT"/>
        </w:rPr>
        <w:t xml:space="preserve">202 </w:t>
      </w:r>
      <w:r>
        <w:rPr>
          <w:rFonts w:ascii="Times New Roman" w:hAnsi="Times New Roman"/>
          <w:lang w:val="lt-LT"/>
        </w:rPr>
        <w:t>pacientai buvo suskirstyti į atsitiktines imtis ir vartojo</w:t>
      </w:r>
      <w:r w:rsidRPr="006E6286">
        <w:rPr>
          <w:rFonts w:ascii="Times New Roman" w:hAnsi="Times New Roman"/>
          <w:lang w:val="lt-LT"/>
        </w:rPr>
        <w:t xml:space="preserve"> </w:t>
      </w:r>
      <w:r>
        <w:rPr>
          <w:rFonts w:ascii="Times New Roman" w:hAnsi="Times New Roman"/>
          <w:lang w:val="lt-LT"/>
        </w:rPr>
        <w:t>arba t</w:t>
      </w:r>
      <w:r w:rsidRPr="006E6286">
        <w:rPr>
          <w:rFonts w:ascii="Times New Roman" w:hAnsi="Times New Roman"/>
          <w:lang w:val="lt-LT"/>
        </w:rPr>
        <w:t>irofiban</w:t>
      </w:r>
      <w:r>
        <w:rPr>
          <w:rFonts w:ascii="Times New Roman" w:hAnsi="Times New Roman"/>
          <w:lang w:val="lt-LT"/>
        </w:rPr>
        <w:t>o</w:t>
      </w:r>
      <w:r w:rsidRPr="006E6286">
        <w:rPr>
          <w:rFonts w:ascii="Times New Roman" w:hAnsi="Times New Roman"/>
          <w:lang w:val="lt-LT"/>
        </w:rPr>
        <w:t xml:space="preserve"> (25 </w:t>
      </w:r>
      <w:r>
        <w:rPr>
          <w:rFonts w:ascii="Times New Roman" w:hAnsi="Times New Roman"/>
          <w:lang w:val="lt-LT"/>
        </w:rPr>
        <w:t>mikrogramų</w:t>
      </w:r>
      <w:r w:rsidRPr="006E6286">
        <w:rPr>
          <w:rFonts w:ascii="Times New Roman" w:hAnsi="Times New Roman"/>
          <w:lang w:val="lt-LT"/>
        </w:rPr>
        <w:t xml:space="preserve">/kg </w:t>
      </w:r>
      <w:r>
        <w:rPr>
          <w:rFonts w:ascii="Times New Roman" w:hAnsi="Times New Roman"/>
          <w:lang w:val="lt-LT"/>
        </w:rPr>
        <w:t>kūno svorio</w:t>
      </w:r>
      <w:r w:rsidRPr="006E6286">
        <w:rPr>
          <w:rFonts w:ascii="Times New Roman" w:hAnsi="Times New Roman"/>
          <w:lang w:val="lt-LT"/>
        </w:rPr>
        <w:t xml:space="preserve"> </w:t>
      </w:r>
      <w:r>
        <w:rPr>
          <w:rFonts w:ascii="Times New Roman" w:hAnsi="Times New Roman"/>
          <w:lang w:val="lt-LT"/>
        </w:rPr>
        <w:t>smūginė dozė, suleista į veną per</w:t>
      </w:r>
      <w:r w:rsidRPr="006E6286">
        <w:rPr>
          <w:rFonts w:ascii="Times New Roman" w:hAnsi="Times New Roman"/>
          <w:lang w:val="lt-LT"/>
        </w:rPr>
        <w:t xml:space="preserve"> 3 minut</w:t>
      </w:r>
      <w:r>
        <w:rPr>
          <w:rFonts w:ascii="Times New Roman" w:hAnsi="Times New Roman"/>
          <w:lang w:val="lt-LT"/>
        </w:rPr>
        <w:t>e</w:t>
      </w:r>
      <w:r w:rsidRPr="006E6286">
        <w:rPr>
          <w:rFonts w:ascii="Times New Roman" w:hAnsi="Times New Roman"/>
          <w:lang w:val="lt-LT"/>
        </w:rPr>
        <w:t>s</w:t>
      </w:r>
      <w:r>
        <w:rPr>
          <w:rFonts w:ascii="Times New Roman" w:hAnsi="Times New Roman"/>
          <w:lang w:val="lt-LT"/>
        </w:rPr>
        <w:t>, ir po to</w:t>
      </w:r>
      <w:r w:rsidRPr="006E6286">
        <w:rPr>
          <w:rFonts w:ascii="Times New Roman" w:hAnsi="Times New Roman"/>
          <w:lang w:val="lt-LT"/>
        </w:rPr>
        <w:t xml:space="preserve"> </w:t>
      </w:r>
      <w:r>
        <w:rPr>
          <w:rFonts w:ascii="Times New Roman" w:hAnsi="Times New Roman"/>
          <w:lang w:val="lt-LT"/>
        </w:rPr>
        <w:t>nuolatinė</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 xml:space="preserve">15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kg kūno svorio/min. dozės</w:t>
      </w:r>
      <w:r w:rsidRPr="006E6286">
        <w:rPr>
          <w:rFonts w:ascii="Times New Roman" w:hAnsi="Times New Roman"/>
          <w:lang w:val="lt-LT"/>
        </w:rPr>
        <w:t xml:space="preserve"> </w:t>
      </w:r>
      <w:r>
        <w:rPr>
          <w:rFonts w:ascii="Times New Roman" w:hAnsi="Times New Roman"/>
          <w:lang w:val="lt-LT"/>
        </w:rPr>
        <w:t>infuzija</w:t>
      </w:r>
      <w:r w:rsidRPr="006E6286">
        <w:rPr>
          <w:rFonts w:ascii="Times New Roman" w:hAnsi="Times New Roman"/>
          <w:lang w:val="lt-LT"/>
        </w:rPr>
        <w:t xml:space="preserve"> 24-48 </w:t>
      </w:r>
      <w:r>
        <w:rPr>
          <w:rFonts w:ascii="Times New Roman" w:hAnsi="Times New Roman"/>
          <w:lang w:val="lt-LT"/>
        </w:rPr>
        <w:t>val.</w:t>
      </w:r>
      <w:r w:rsidRPr="006E6286">
        <w:rPr>
          <w:rFonts w:ascii="Times New Roman" w:hAnsi="Times New Roman"/>
          <w:lang w:val="lt-LT"/>
        </w:rPr>
        <w:t xml:space="preserve">) </w:t>
      </w:r>
      <w:r>
        <w:rPr>
          <w:rFonts w:ascii="Times New Roman" w:hAnsi="Times New Roman"/>
          <w:lang w:val="lt-LT"/>
        </w:rPr>
        <w:t>ar placebas prieš pat</w:t>
      </w:r>
      <w:r w:rsidRPr="006E6286">
        <w:rPr>
          <w:rFonts w:ascii="Times New Roman" w:hAnsi="Times New Roman"/>
          <w:lang w:val="lt-LT"/>
        </w:rPr>
        <w:t xml:space="preserve"> PCI.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Pagrindinė vertinamoji baigtis buvo kombinuotoji ir apėmė mirtį</w:t>
      </w:r>
      <w:r w:rsidRPr="006E6286">
        <w:rPr>
          <w:rFonts w:ascii="Times New Roman" w:hAnsi="Times New Roman"/>
          <w:lang w:val="lt-LT"/>
        </w:rPr>
        <w:t xml:space="preserve">, </w:t>
      </w:r>
      <w:r>
        <w:rPr>
          <w:rFonts w:ascii="Times New Roman" w:hAnsi="Times New Roman"/>
          <w:lang w:val="lt-LT"/>
        </w:rPr>
        <w:t>nemirtiną</w:t>
      </w:r>
      <w:r w:rsidRPr="006E6286">
        <w:rPr>
          <w:rFonts w:ascii="Times New Roman" w:hAnsi="Times New Roman"/>
          <w:lang w:val="lt-LT"/>
        </w:rPr>
        <w:t xml:space="preserve"> MI, </w:t>
      </w:r>
      <w:r>
        <w:rPr>
          <w:rFonts w:ascii="Times New Roman" w:hAnsi="Times New Roman"/>
          <w:lang w:val="lt-LT"/>
        </w:rPr>
        <w:t>skubią tikslinę kraujagyslių revaskuliarizaciją</w:t>
      </w:r>
      <w:r w:rsidRPr="006E6286">
        <w:rPr>
          <w:rFonts w:ascii="Times New Roman" w:hAnsi="Times New Roman"/>
          <w:lang w:val="lt-LT"/>
        </w:rPr>
        <w:t xml:space="preserve"> (</w:t>
      </w:r>
      <w:r w:rsidRPr="00417856">
        <w:rPr>
          <w:rFonts w:ascii="Times New Roman" w:hAnsi="Times New Roman"/>
          <w:lang w:val="lt-LT"/>
        </w:rPr>
        <w:t xml:space="preserve">ang. </w:t>
      </w:r>
      <w:r w:rsidRPr="00CA3D61">
        <w:rPr>
          <w:rFonts w:ascii="Times New Roman" w:hAnsi="Times New Roman"/>
          <w:i/>
          <w:lang w:val="lt-LT"/>
        </w:rPr>
        <w:t>Target vessel revascularization</w:t>
      </w:r>
      <w:r w:rsidRPr="00417856">
        <w:rPr>
          <w:rFonts w:ascii="Times New Roman" w:hAnsi="Times New Roman"/>
          <w:lang w:val="lt-LT"/>
        </w:rPr>
        <w:t>, uTVR</w:t>
      </w:r>
      <w:r w:rsidRPr="006E6286">
        <w:rPr>
          <w:rFonts w:ascii="Times New Roman" w:hAnsi="Times New Roman"/>
          <w:lang w:val="lt-LT"/>
        </w:rPr>
        <w:t>)</w:t>
      </w:r>
      <w:r>
        <w:rPr>
          <w:rFonts w:ascii="Times New Roman" w:hAnsi="Times New Roman"/>
          <w:lang w:val="lt-LT"/>
        </w:rPr>
        <w:t xml:space="preserve"> ar gydymo </w:t>
      </w:r>
      <w:r w:rsidRPr="006E6286">
        <w:rPr>
          <w:rFonts w:ascii="Times New Roman" w:hAnsi="Times New Roman"/>
          <w:lang w:val="lt-LT"/>
        </w:rPr>
        <w:t>GP IIb/IIIa inhibitor</w:t>
      </w:r>
      <w:r>
        <w:rPr>
          <w:rFonts w:ascii="Times New Roman" w:hAnsi="Times New Roman"/>
          <w:lang w:val="lt-LT"/>
        </w:rPr>
        <w:t xml:space="preserve">iumi nutraukimą pasireiškus trombozei (pacientų stebėjimo po pradinės procedūros mediana buvo </w:t>
      </w:r>
      <w:r w:rsidRPr="006E6286">
        <w:rPr>
          <w:rFonts w:ascii="Times New Roman" w:hAnsi="Times New Roman"/>
          <w:lang w:val="lt-LT"/>
        </w:rPr>
        <w:t xml:space="preserve">180 </w:t>
      </w:r>
      <w:r>
        <w:rPr>
          <w:rFonts w:ascii="Times New Roman" w:hAnsi="Times New Roman"/>
          <w:lang w:val="lt-LT"/>
        </w:rPr>
        <w:t>dienų)</w:t>
      </w:r>
      <w:r w:rsidRPr="006E6286">
        <w:rPr>
          <w:rFonts w:ascii="Times New Roman" w:hAnsi="Times New Roman"/>
          <w:lang w:val="lt-LT"/>
        </w:rPr>
        <w:t xml:space="preserve">. </w:t>
      </w:r>
      <w:r>
        <w:rPr>
          <w:rFonts w:ascii="Times New Roman" w:hAnsi="Times New Roman"/>
          <w:lang w:val="lt-LT"/>
        </w:rPr>
        <w:t xml:space="preserve">Saugumo vertinamosios baigtys buvo didelis ir mažas kraujavimas pagal </w:t>
      </w:r>
      <w:r w:rsidRPr="006E6286">
        <w:rPr>
          <w:rFonts w:ascii="Times New Roman" w:hAnsi="Times New Roman"/>
          <w:lang w:val="lt-LT"/>
        </w:rPr>
        <w:t xml:space="preserve">TIMI </w:t>
      </w:r>
      <w:r>
        <w:rPr>
          <w:rFonts w:ascii="Times New Roman" w:hAnsi="Times New Roman"/>
          <w:lang w:val="lt-LT"/>
        </w:rPr>
        <w:t>kriterijus</w:t>
      </w:r>
      <w:r w:rsidRPr="006E6286">
        <w:rPr>
          <w:rFonts w:ascii="Times New Roman" w:hAnsi="Times New Roman"/>
          <w:lang w:val="lt-LT"/>
        </w:rPr>
        <w:t xml:space="preserve">. </w:t>
      </w:r>
    </w:p>
    <w:p w:rsidR="00B42325" w:rsidRPr="006E6286" w:rsidRDefault="00B42325" w:rsidP="006E6286">
      <w:pPr>
        <w:spacing w:after="0" w:line="240" w:lineRule="auto"/>
        <w:rPr>
          <w:rFonts w:ascii="Times New Roman" w:hAnsi="Times New Roman"/>
          <w:lang w:val="lt-LT"/>
        </w:rPr>
      </w:pPr>
      <w:r w:rsidRPr="00B11EBA">
        <w:rPr>
          <w:rFonts w:ascii="Times New Roman" w:hAnsi="Times New Roman"/>
          <w:i/>
          <w:lang w:val="lt-LT"/>
        </w:rPr>
        <w:t>Intent-to-treat</w:t>
      </w:r>
      <w:r w:rsidRPr="006E6286">
        <w:rPr>
          <w:rFonts w:ascii="Times New Roman" w:hAnsi="Times New Roman"/>
          <w:lang w:val="lt-LT"/>
        </w:rPr>
        <w:t xml:space="preserve"> </w:t>
      </w:r>
      <w:r>
        <w:rPr>
          <w:rFonts w:ascii="Times New Roman" w:hAnsi="Times New Roman"/>
          <w:lang w:val="lt-LT"/>
        </w:rPr>
        <w:t xml:space="preserve">populiacijoje kumuliacinis pagrindinės vertinamosios baigties pasireiškimo dažnis buvo </w:t>
      </w:r>
      <w:r w:rsidRPr="006E6286">
        <w:rPr>
          <w:rFonts w:ascii="Times New Roman" w:hAnsi="Times New Roman"/>
          <w:lang w:val="lt-LT"/>
        </w:rPr>
        <w:t xml:space="preserve">35% </w:t>
      </w:r>
      <w:r>
        <w:rPr>
          <w:rFonts w:ascii="Times New Roman" w:hAnsi="Times New Roman"/>
          <w:lang w:val="lt-LT"/>
        </w:rPr>
        <w:t>ir</w:t>
      </w:r>
      <w:r w:rsidRPr="006E6286">
        <w:rPr>
          <w:rFonts w:ascii="Times New Roman" w:hAnsi="Times New Roman"/>
          <w:lang w:val="lt-LT"/>
        </w:rPr>
        <w:t xml:space="preserve"> 20% </w:t>
      </w:r>
      <w:r>
        <w:rPr>
          <w:rFonts w:ascii="Times New Roman" w:hAnsi="Times New Roman"/>
          <w:lang w:val="lt-LT"/>
        </w:rPr>
        <w:t>atitinkamai</w:t>
      </w:r>
      <w:r w:rsidRPr="006E6286">
        <w:rPr>
          <w:rFonts w:ascii="Times New Roman" w:hAnsi="Times New Roman"/>
          <w:lang w:val="lt-LT"/>
        </w:rPr>
        <w:t xml:space="preserve"> placebo </w:t>
      </w:r>
      <w:r>
        <w:rPr>
          <w:rFonts w:ascii="Times New Roman" w:hAnsi="Times New Roman"/>
          <w:lang w:val="lt-LT"/>
        </w:rPr>
        <w:t>ir</w:t>
      </w:r>
      <w:r w:rsidRPr="006E6286">
        <w:rPr>
          <w:rFonts w:ascii="Times New Roman" w:hAnsi="Times New Roman"/>
          <w:lang w:val="lt-LT"/>
        </w:rPr>
        <w:t xml:space="preserve"> tirofiban</w:t>
      </w:r>
      <w:r>
        <w:rPr>
          <w:rFonts w:ascii="Times New Roman" w:hAnsi="Times New Roman"/>
          <w:lang w:val="lt-LT"/>
        </w:rPr>
        <w:t>o</w:t>
      </w:r>
      <w:r w:rsidRPr="006E6286">
        <w:rPr>
          <w:rFonts w:ascii="Times New Roman" w:hAnsi="Times New Roman"/>
          <w:lang w:val="lt-LT"/>
        </w:rPr>
        <w:t xml:space="preserve"> </w:t>
      </w:r>
      <w:r>
        <w:rPr>
          <w:rFonts w:ascii="Times New Roman" w:hAnsi="Times New Roman"/>
          <w:lang w:val="lt-LT"/>
        </w:rPr>
        <w:t>grupėse</w:t>
      </w:r>
      <w:r w:rsidRPr="006E6286">
        <w:rPr>
          <w:rFonts w:ascii="Times New Roman" w:hAnsi="Times New Roman"/>
          <w:lang w:val="lt-LT"/>
        </w:rPr>
        <w:t xml:space="preserve"> (</w:t>
      </w:r>
      <w:r>
        <w:rPr>
          <w:rFonts w:ascii="Times New Roman" w:hAnsi="Times New Roman"/>
          <w:lang w:val="lt-LT"/>
        </w:rPr>
        <w:t>rizikos santykis</w:t>
      </w:r>
      <w:r w:rsidRPr="006E6286">
        <w:rPr>
          <w:rFonts w:ascii="Times New Roman" w:hAnsi="Times New Roman"/>
          <w:lang w:val="lt-LT"/>
        </w:rPr>
        <w:t xml:space="preserve"> [</w:t>
      </w:r>
      <w:r>
        <w:rPr>
          <w:rFonts w:ascii="Times New Roman" w:hAnsi="Times New Roman"/>
          <w:lang w:val="lt-LT"/>
        </w:rPr>
        <w:t>RS</w:t>
      </w:r>
      <w:r w:rsidRPr="006E6286">
        <w:rPr>
          <w:rFonts w:ascii="Times New Roman" w:hAnsi="Times New Roman"/>
          <w:lang w:val="lt-LT"/>
        </w:rPr>
        <w:t>] 0</w:t>
      </w:r>
      <w:r>
        <w:rPr>
          <w:rFonts w:ascii="Times New Roman" w:hAnsi="Times New Roman"/>
          <w:lang w:val="lt-LT"/>
        </w:rPr>
        <w:t>,</w:t>
      </w:r>
      <w:r w:rsidRPr="006E6286">
        <w:rPr>
          <w:rFonts w:ascii="Times New Roman" w:hAnsi="Times New Roman"/>
          <w:lang w:val="lt-LT"/>
        </w:rPr>
        <w:t xml:space="preserve">51 [95% </w:t>
      </w:r>
      <w:r>
        <w:rPr>
          <w:rFonts w:ascii="Times New Roman" w:hAnsi="Times New Roman"/>
          <w:lang w:val="lt-LT"/>
        </w:rPr>
        <w:t>pasikliautinieji intervalai</w:t>
      </w:r>
      <w:r w:rsidRPr="006E6286">
        <w:rPr>
          <w:rFonts w:ascii="Times New Roman" w:hAnsi="Times New Roman"/>
          <w:lang w:val="lt-LT"/>
        </w:rPr>
        <w:t xml:space="preserve"> (</w:t>
      </w:r>
      <w:r>
        <w:rPr>
          <w:rFonts w:ascii="Times New Roman" w:hAnsi="Times New Roman"/>
          <w:lang w:val="lt-LT"/>
        </w:rPr>
        <w:t>P</w:t>
      </w:r>
      <w:r w:rsidRPr="006E6286">
        <w:rPr>
          <w:rFonts w:ascii="Times New Roman" w:hAnsi="Times New Roman"/>
          <w:lang w:val="lt-LT"/>
        </w:rPr>
        <w:t>I), 0</w:t>
      </w:r>
      <w:r>
        <w:rPr>
          <w:rFonts w:ascii="Times New Roman" w:hAnsi="Times New Roman"/>
          <w:lang w:val="lt-LT"/>
        </w:rPr>
        <w:t>,29</w:t>
      </w:r>
      <w:r>
        <w:rPr>
          <w:rFonts w:ascii="Times New Roman" w:hAnsi="Times New Roman"/>
          <w:lang w:val="lt-LT"/>
        </w:rPr>
        <w:noBreakHyphen/>
      </w:r>
      <w:r w:rsidRPr="006E6286">
        <w:rPr>
          <w:rFonts w:ascii="Times New Roman" w:hAnsi="Times New Roman"/>
          <w:lang w:val="lt-LT"/>
        </w:rPr>
        <w:t>0</w:t>
      </w:r>
      <w:r>
        <w:rPr>
          <w:rFonts w:ascii="Times New Roman" w:hAnsi="Times New Roman"/>
          <w:lang w:val="lt-LT"/>
        </w:rPr>
        <w:t>,</w:t>
      </w:r>
      <w:r w:rsidRPr="006E6286">
        <w:rPr>
          <w:rFonts w:ascii="Times New Roman" w:hAnsi="Times New Roman"/>
          <w:lang w:val="lt-LT"/>
        </w:rPr>
        <w:t>88]; p=0</w:t>
      </w:r>
      <w:r>
        <w:rPr>
          <w:rFonts w:ascii="Times New Roman" w:hAnsi="Times New Roman"/>
          <w:lang w:val="lt-LT"/>
        </w:rPr>
        <w:t>,</w:t>
      </w:r>
      <w:r w:rsidRPr="006E6286">
        <w:rPr>
          <w:rFonts w:ascii="Times New Roman" w:hAnsi="Times New Roman"/>
          <w:lang w:val="lt-LT"/>
        </w:rPr>
        <w:t xml:space="preserve">01). </w:t>
      </w:r>
      <w:r>
        <w:rPr>
          <w:rFonts w:ascii="Times New Roman" w:hAnsi="Times New Roman"/>
          <w:lang w:val="lt-LT"/>
        </w:rPr>
        <w:t>Palyginti su placebo poveikiu, tirofibano grupėje reikšmingai sumažėjo</w:t>
      </w:r>
      <w:r w:rsidRPr="006E6286">
        <w:rPr>
          <w:rFonts w:ascii="Times New Roman" w:hAnsi="Times New Roman"/>
          <w:lang w:val="lt-LT"/>
        </w:rPr>
        <w:t xml:space="preserve"> </w:t>
      </w:r>
      <w:r>
        <w:rPr>
          <w:rFonts w:ascii="Times New Roman" w:hAnsi="Times New Roman"/>
          <w:lang w:val="lt-LT"/>
        </w:rPr>
        <w:t>kombinuotoji mirties</w:t>
      </w:r>
      <w:r w:rsidRPr="006E6286">
        <w:rPr>
          <w:rFonts w:ascii="Times New Roman" w:hAnsi="Times New Roman"/>
          <w:lang w:val="lt-LT"/>
        </w:rPr>
        <w:t>, MI</w:t>
      </w:r>
      <w:r>
        <w:rPr>
          <w:rFonts w:ascii="Times New Roman" w:hAnsi="Times New Roman"/>
          <w:lang w:val="lt-LT"/>
        </w:rPr>
        <w:t xml:space="preserve"> ar</w:t>
      </w:r>
      <w:r w:rsidRPr="006E6286">
        <w:rPr>
          <w:rFonts w:ascii="Times New Roman" w:hAnsi="Times New Roman"/>
          <w:lang w:val="lt-LT"/>
        </w:rPr>
        <w:t xml:space="preserve"> uTVR </w:t>
      </w:r>
      <w:r>
        <w:rPr>
          <w:rFonts w:ascii="Times New Roman" w:hAnsi="Times New Roman"/>
          <w:lang w:val="lt-LT"/>
        </w:rPr>
        <w:t>rizika</w:t>
      </w:r>
      <w:r w:rsidRPr="006E6286">
        <w:rPr>
          <w:rFonts w:ascii="Times New Roman" w:hAnsi="Times New Roman"/>
          <w:lang w:val="lt-LT"/>
        </w:rPr>
        <w:t xml:space="preserve"> (31% </w:t>
      </w:r>
      <w:r>
        <w:rPr>
          <w:rFonts w:ascii="Times New Roman" w:hAnsi="Times New Roman"/>
          <w:lang w:val="lt-LT"/>
        </w:rPr>
        <w:t>ir</w:t>
      </w:r>
      <w:r w:rsidRPr="006E6286">
        <w:rPr>
          <w:rFonts w:ascii="Times New Roman" w:hAnsi="Times New Roman"/>
          <w:lang w:val="lt-LT"/>
        </w:rPr>
        <w:t xml:space="preserve"> 20%, </w:t>
      </w:r>
      <w:r>
        <w:rPr>
          <w:rFonts w:ascii="Times New Roman" w:hAnsi="Times New Roman"/>
          <w:lang w:val="lt-LT"/>
        </w:rPr>
        <w:t>RS</w:t>
      </w:r>
      <w:r w:rsidRPr="006E6286">
        <w:rPr>
          <w:rFonts w:ascii="Times New Roman" w:hAnsi="Times New Roman"/>
          <w:lang w:val="lt-LT"/>
        </w:rPr>
        <w:t>, 0</w:t>
      </w:r>
      <w:r>
        <w:rPr>
          <w:rFonts w:ascii="Times New Roman" w:hAnsi="Times New Roman"/>
          <w:lang w:val="lt-LT"/>
        </w:rPr>
        <w:t>,</w:t>
      </w:r>
      <w:r w:rsidRPr="006E6286">
        <w:rPr>
          <w:rFonts w:ascii="Times New Roman" w:hAnsi="Times New Roman"/>
          <w:lang w:val="lt-LT"/>
        </w:rPr>
        <w:t xml:space="preserve">57 95% </w:t>
      </w:r>
      <w:r>
        <w:rPr>
          <w:rFonts w:ascii="Times New Roman" w:hAnsi="Times New Roman"/>
          <w:lang w:val="lt-LT"/>
        </w:rPr>
        <w:t>P</w:t>
      </w:r>
      <w:r w:rsidRPr="006E6286">
        <w:rPr>
          <w:rFonts w:ascii="Times New Roman" w:hAnsi="Times New Roman"/>
          <w:lang w:val="lt-LT"/>
        </w:rPr>
        <w:t>I, 0</w:t>
      </w:r>
      <w:r>
        <w:rPr>
          <w:rFonts w:ascii="Times New Roman" w:hAnsi="Times New Roman"/>
          <w:lang w:val="lt-LT"/>
        </w:rPr>
        <w:t>,</w:t>
      </w:r>
      <w:r w:rsidRPr="006E6286">
        <w:rPr>
          <w:rFonts w:ascii="Times New Roman" w:hAnsi="Times New Roman"/>
          <w:lang w:val="lt-LT"/>
        </w:rPr>
        <w:t>99–0</w:t>
      </w:r>
      <w:r>
        <w:rPr>
          <w:rFonts w:ascii="Times New Roman" w:hAnsi="Times New Roman"/>
          <w:lang w:val="lt-LT"/>
        </w:rPr>
        <w:t>,</w:t>
      </w:r>
      <w:r w:rsidRPr="006E6286">
        <w:rPr>
          <w:rFonts w:ascii="Times New Roman" w:hAnsi="Times New Roman"/>
          <w:lang w:val="lt-LT"/>
        </w:rPr>
        <w:t>33</w:t>
      </w:r>
      <w:r>
        <w:rPr>
          <w:rFonts w:ascii="Times New Roman" w:hAnsi="Times New Roman"/>
          <w:lang w:val="lt-LT"/>
        </w:rPr>
        <w:t>)</w:t>
      </w:r>
      <w:r w:rsidRPr="006E6286">
        <w:rPr>
          <w:rFonts w:ascii="Times New Roman" w:hAnsi="Times New Roman"/>
          <w:lang w:val="lt-LT"/>
        </w:rPr>
        <w:t>; p=0</w:t>
      </w:r>
      <w:r>
        <w:rPr>
          <w:rFonts w:ascii="Times New Roman" w:hAnsi="Times New Roman"/>
          <w:lang w:val="lt-LT"/>
        </w:rPr>
        <w:t>,</w:t>
      </w:r>
      <w:r w:rsidRPr="006E6286">
        <w:rPr>
          <w:rFonts w:ascii="Times New Roman" w:hAnsi="Times New Roman"/>
          <w:lang w:val="lt-LT"/>
        </w:rPr>
        <w:t xml:space="preserve">048. </w:t>
      </w:r>
    </w:p>
    <w:p w:rsidR="00B42325" w:rsidRDefault="00B42325" w:rsidP="006E6286">
      <w:pPr>
        <w:spacing w:after="0" w:line="240" w:lineRule="auto"/>
        <w:rPr>
          <w:rFonts w:ascii="Times New Roman" w:hAnsi="Times New Roman"/>
          <w:lang w:val="lt-LT"/>
        </w:rPr>
      </w:pPr>
    </w:p>
    <w:p w:rsidR="00B42325" w:rsidRPr="00C827CB" w:rsidRDefault="00B42325" w:rsidP="00C827CB">
      <w:pPr>
        <w:spacing w:after="0" w:line="240" w:lineRule="auto"/>
        <w:rPr>
          <w:rFonts w:ascii="Times New Roman" w:hAnsi="Times New Roman"/>
          <w:i/>
          <w:lang w:val="lt-LT"/>
        </w:rPr>
      </w:pPr>
      <w:r w:rsidRPr="00C827CB">
        <w:rPr>
          <w:rFonts w:ascii="Times New Roman" w:hAnsi="Times New Roman"/>
          <w:i/>
          <w:lang w:val="lt-LT"/>
        </w:rPr>
        <w:t xml:space="preserve">EVEREST tyrimas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Atsitiktinių imčių atviro</w:t>
      </w:r>
      <w:r w:rsidRPr="006E6286">
        <w:rPr>
          <w:rFonts w:ascii="Times New Roman" w:hAnsi="Times New Roman"/>
          <w:lang w:val="lt-LT"/>
        </w:rPr>
        <w:t xml:space="preserve"> EVEREST </w:t>
      </w:r>
      <w:r>
        <w:rPr>
          <w:rFonts w:ascii="Times New Roman" w:hAnsi="Times New Roman"/>
          <w:lang w:val="lt-LT"/>
        </w:rPr>
        <w:t xml:space="preserve">tyrimo metu lygintas vainikinių sutrikimų terapijos skyriuje pradėtas ankstyvasis gydymas </w:t>
      </w:r>
      <w:r w:rsidRPr="006E6286">
        <w:rPr>
          <w:rFonts w:ascii="Times New Roman" w:hAnsi="Times New Roman"/>
          <w:lang w:val="lt-LT"/>
        </w:rPr>
        <w:t>0</w:t>
      </w:r>
      <w:r>
        <w:rPr>
          <w:rFonts w:ascii="Times New Roman" w:hAnsi="Times New Roman"/>
          <w:lang w:val="lt-LT"/>
        </w:rPr>
        <w:t>,</w:t>
      </w:r>
      <w:r w:rsidRPr="006E6286">
        <w:rPr>
          <w:rFonts w:ascii="Times New Roman" w:hAnsi="Times New Roman"/>
          <w:lang w:val="lt-LT"/>
        </w:rPr>
        <w:t xml:space="preserve">4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 xml:space="preserve">kg kūno svorio/min. įsotinamąja doze ir gydymas tirofibanu, naudojant dozavimo schemą, kai vartojama smūginė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kūno svorio dozė, bei gydymas 0,</w:t>
      </w:r>
      <w:r w:rsidRPr="006E6286">
        <w:rPr>
          <w:rFonts w:ascii="Times New Roman" w:hAnsi="Times New Roman"/>
          <w:lang w:val="lt-LT"/>
        </w:rPr>
        <w:t xml:space="preserve">25 </w:t>
      </w:r>
      <w:r>
        <w:rPr>
          <w:rFonts w:ascii="Times New Roman" w:hAnsi="Times New Roman"/>
          <w:lang w:val="lt-LT"/>
        </w:rPr>
        <w:t>mg</w:t>
      </w:r>
      <w:r w:rsidRPr="006E6286">
        <w:rPr>
          <w:rFonts w:ascii="Times New Roman" w:hAnsi="Times New Roman"/>
          <w:lang w:val="lt-LT"/>
        </w:rPr>
        <w:t>/kg</w:t>
      </w:r>
      <w:r>
        <w:rPr>
          <w:rFonts w:ascii="Times New Roman" w:hAnsi="Times New Roman"/>
          <w:lang w:val="lt-LT"/>
        </w:rPr>
        <w:t xml:space="preserve"> kūno svorio </w:t>
      </w:r>
      <w:r w:rsidRPr="006E6286">
        <w:rPr>
          <w:rFonts w:ascii="Times New Roman" w:hAnsi="Times New Roman"/>
          <w:lang w:val="lt-LT"/>
        </w:rPr>
        <w:t>abci</w:t>
      </w:r>
      <w:r>
        <w:rPr>
          <w:rFonts w:ascii="Times New Roman" w:hAnsi="Times New Roman"/>
          <w:lang w:val="lt-LT"/>
        </w:rPr>
        <w:t>ksimabo</w:t>
      </w:r>
      <w:r w:rsidRPr="006E6286">
        <w:rPr>
          <w:rFonts w:ascii="Times New Roman" w:hAnsi="Times New Roman"/>
          <w:lang w:val="lt-LT"/>
        </w:rPr>
        <w:t xml:space="preserve"> </w:t>
      </w:r>
      <w:r>
        <w:rPr>
          <w:rFonts w:ascii="Times New Roman" w:hAnsi="Times New Roman"/>
          <w:lang w:val="lt-LT"/>
        </w:rPr>
        <w:t xml:space="preserve">doze (toks gydymas buvo pradedamas likus 10 min. iki </w:t>
      </w:r>
      <w:r w:rsidRPr="006E6286">
        <w:rPr>
          <w:rFonts w:ascii="Times New Roman" w:hAnsi="Times New Roman"/>
          <w:lang w:val="lt-LT"/>
        </w:rPr>
        <w:t>PCI</w:t>
      </w:r>
      <w:r>
        <w:rPr>
          <w:rFonts w:ascii="Times New Roman" w:hAnsi="Times New Roman"/>
          <w:lang w:val="lt-LT"/>
        </w:rPr>
        <w:t>)</w:t>
      </w:r>
      <w:r w:rsidRPr="006E6286">
        <w:rPr>
          <w:rFonts w:ascii="Times New Roman" w:hAnsi="Times New Roman"/>
          <w:lang w:val="lt-LT"/>
        </w:rPr>
        <w:t xml:space="preserve">. </w:t>
      </w:r>
      <w:r>
        <w:rPr>
          <w:rFonts w:ascii="Times New Roman" w:hAnsi="Times New Roman"/>
          <w:lang w:val="lt-LT"/>
        </w:rPr>
        <w:t>Visi pacientai papildomai vartojo</w:t>
      </w:r>
      <w:r w:rsidRPr="006E6286">
        <w:rPr>
          <w:rFonts w:ascii="Times New Roman" w:hAnsi="Times New Roman"/>
          <w:lang w:val="lt-LT"/>
        </w:rPr>
        <w:t xml:space="preserve"> ASA </w:t>
      </w:r>
      <w:r>
        <w:rPr>
          <w:rFonts w:ascii="Times New Roman" w:hAnsi="Times New Roman"/>
          <w:lang w:val="lt-LT"/>
        </w:rPr>
        <w:t>ir t</w:t>
      </w:r>
      <w:r w:rsidRPr="006E6286">
        <w:rPr>
          <w:rFonts w:ascii="Times New Roman" w:hAnsi="Times New Roman"/>
          <w:lang w:val="lt-LT"/>
        </w:rPr>
        <w:t>ienop</w:t>
      </w:r>
      <w:r>
        <w:rPr>
          <w:rFonts w:ascii="Times New Roman" w:hAnsi="Times New Roman"/>
          <w:lang w:val="lt-LT"/>
        </w:rPr>
        <w:t>i</w:t>
      </w:r>
      <w:r w:rsidRPr="006E6286">
        <w:rPr>
          <w:rFonts w:ascii="Times New Roman" w:hAnsi="Times New Roman"/>
          <w:lang w:val="lt-LT"/>
        </w:rPr>
        <w:t>ridin</w:t>
      </w:r>
      <w:r>
        <w:rPr>
          <w:rFonts w:ascii="Times New Roman" w:hAnsi="Times New Roman"/>
          <w:lang w:val="lt-LT"/>
        </w:rPr>
        <w:t>o</w:t>
      </w:r>
      <w:r w:rsidRPr="006E6286">
        <w:rPr>
          <w:rFonts w:ascii="Times New Roman" w:hAnsi="Times New Roman"/>
          <w:lang w:val="lt-LT"/>
        </w:rPr>
        <w:t xml:space="preserve">. 93 </w:t>
      </w:r>
      <w:r>
        <w:rPr>
          <w:rFonts w:ascii="Times New Roman" w:hAnsi="Times New Roman"/>
          <w:lang w:val="lt-LT"/>
        </w:rPr>
        <w:t>įtrauktiems pacientams, kuriems buvo</w:t>
      </w:r>
      <w:r w:rsidRPr="006E6286">
        <w:rPr>
          <w:rFonts w:ascii="Times New Roman" w:hAnsi="Times New Roman"/>
          <w:lang w:val="lt-LT"/>
        </w:rPr>
        <w:t xml:space="preserve"> NSTE-ACS</w:t>
      </w:r>
      <w:r>
        <w:rPr>
          <w:rFonts w:ascii="Times New Roman" w:hAnsi="Times New Roman"/>
          <w:lang w:val="lt-LT"/>
        </w:rPr>
        <w:t xml:space="preserve">, pagal indikacijas buvo atlikta angiografija ir </w:t>
      </w:r>
      <w:r w:rsidRPr="006E6286">
        <w:rPr>
          <w:rFonts w:ascii="Times New Roman" w:hAnsi="Times New Roman"/>
          <w:lang w:val="lt-LT"/>
        </w:rPr>
        <w:t xml:space="preserve">PCI </w:t>
      </w:r>
      <w:r>
        <w:rPr>
          <w:rFonts w:ascii="Times New Roman" w:hAnsi="Times New Roman"/>
          <w:lang w:val="lt-LT"/>
        </w:rPr>
        <w:t>per</w:t>
      </w:r>
      <w:r w:rsidRPr="006E6286">
        <w:rPr>
          <w:rFonts w:ascii="Times New Roman" w:hAnsi="Times New Roman"/>
          <w:lang w:val="lt-LT"/>
        </w:rPr>
        <w:t xml:space="preserve"> 24-48 </w:t>
      </w:r>
      <w:r>
        <w:rPr>
          <w:rFonts w:ascii="Times New Roman" w:hAnsi="Times New Roman"/>
          <w:lang w:val="lt-LT"/>
        </w:rPr>
        <w:t>gydymo ligoninėje valandas</w:t>
      </w:r>
      <w:r w:rsidRPr="006E6286">
        <w:rPr>
          <w:rFonts w:ascii="Times New Roman" w:hAnsi="Times New Roman"/>
          <w:lang w:val="lt-LT"/>
        </w:rPr>
        <w:t xml:space="preserve">. </w:t>
      </w:r>
    </w:p>
    <w:p w:rsidR="00B42325" w:rsidRPr="006E6286" w:rsidRDefault="00B42325" w:rsidP="00F653C5">
      <w:pPr>
        <w:spacing w:after="0" w:line="240" w:lineRule="auto"/>
        <w:rPr>
          <w:rFonts w:ascii="Times New Roman" w:hAnsi="Times New Roman"/>
          <w:lang w:val="lt-LT"/>
        </w:rPr>
      </w:pPr>
      <w:r>
        <w:rPr>
          <w:rFonts w:ascii="Times New Roman" w:hAnsi="Times New Roman"/>
          <w:lang w:val="lt-LT"/>
        </w:rPr>
        <w:t xml:space="preserve">Analizuojant pagrindinę vertinamąją baigtį (audinių perfuziją ir troponino </w:t>
      </w:r>
      <w:r w:rsidRPr="006E6286">
        <w:rPr>
          <w:rFonts w:ascii="Times New Roman" w:hAnsi="Times New Roman"/>
          <w:lang w:val="lt-LT"/>
        </w:rPr>
        <w:t xml:space="preserve">I </w:t>
      </w:r>
      <w:r>
        <w:rPr>
          <w:rFonts w:ascii="Times New Roman" w:hAnsi="Times New Roman"/>
          <w:lang w:val="lt-LT"/>
        </w:rPr>
        <w:t xml:space="preserve">išsiskyrimą), </w:t>
      </w:r>
      <w:r w:rsidRPr="006E6286">
        <w:rPr>
          <w:rFonts w:ascii="Times New Roman" w:hAnsi="Times New Roman"/>
          <w:lang w:val="lt-LT"/>
        </w:rPr>
        <w:t xml:space="preserve">EVEREST </w:t>
      </w:r>
      <w:r>
        <w:rPr>
          <w:rFonts w:ascii="Times New Roman" w:hAnsi="Times New Roman"/>
          <w:lang w:val="lt-LT"/>
        </w:rPr>
        <w:t xml:space="preserve">tyrimo metu nustatytas reikšmingai mažesnis </w:t>
      </w:r>
      <w:r w:rsidRPr="006E6286">
        <w:rPr>
          <w:rFonts w:ascii="Times New Roman" w:hAnsi="Times New Roman"/>
          <w:lang w:val="lt-LT"/>
        </w:rPr>
        <w:t>po-</w:t>
      </w:r>
      <w:r w:rsidRPr="00674094">
        <w:rPr>
          <w:rFonts w:ascii="Times New Roman" w:hAnsi="Times New Roman"/>
          <w:lang w:val="lt-LT"/>
        </w:rPr>
        <w:t xml:space="preserve">PCI TMPG (ang. TIMI </w:t>
      </w:r>
      <w:r w:rsidRPr="00CA3D61">
        <w:rPr>
          <w:rFonts w:ascii="Times New Roman" w:hAnsi="Times New Roman"/>
          <w:i/>
          <w:lang w:val="lt-LT"/>
        </w:rPr>
        <w:t>Myocardial perfusion grade</w:t>
      </w:r>
      <w:r w:rsidRPr="00674094">
        <w:rPr>
          <w:rFonts w:ascii="Times New Roman" w:hAnsi="Times New Roman"/>
          <w:lang w:val="lt-LT"/>
        </w:rPr>
        <w:t>)  0/1</w:t>
      </w:r>
      <w:r w:rsidRPr="006E6286">
        <w:rPr>
          <w:rFonts w:ascii="Times New Roman" w:hAnsi="Times New Roman"/>
          <w:lang w:val="lt-LT"/>
        </w:rPr>
        <w:t xml:space="preserve"> </w:t>
      </w:r>
      <w:r>
        <w:rPr>
          <w:rFonts w:ascii="Times New Roman" w:hAnsi="Times New Roman"/>
          <w:lang w:val="lt-LT"/>
        </w:rPr>
        <w:t xml:space="preserve">dažnis </w:t>
      </w:r>
      <w:r w:rsidRPr="006E6286">
        <w:rPr>
          <w:rFonts w:ascii="Times New Roman" w:hAnsi="Times New Roman"/>
          <w:lang w:val="lt-LT"/>
        </w:rPr>
        <w:t>(</w:t>
      </w:r>
      <w:r>
        <w:rPr>
          <w:rFonts w:ascii="Times New Roman" w:hAnsi="Times New Roman"/>
          <w:lang w:val="lt-LT"/>
        </w:rPr>
        <w:t xml:space="preserve">atitinkamai </w:t>
      </w:r>
      <w:r w:rsidRPr="006E6286">
        <w:rPr>
          <w:rFonts w:ascii="Times New Roman" w:hAnsi="Times New Roman"/>
          <w:lang w:val="lt-LT"/>
        </w:rPr>
        <w:t>6</w:t>
      </w:r>
      <w:r>
        <w:rPr>
          <w:rFonts w:ascii="Times New Roman" w:hAnsi="Times New Roman"/>
          <w:lang w:val="lt-LT"/>
        </w:rPr>
        <w:t>,</w:t>
      </w:r>
      <w:r w:rsidRPr="006E6286">
        <w:rPr>
          <w:rFonts w:ascii="Times New Roman" w:hAnsi="Times New Roman"/>
          <w:lang w:val="lt-LT"/>
        </w:rPr>
        <w:t>2%</w:t>
      </w:r>
      <w:r>
        <w:rPr>
          <w:rFonts w:ascii="Times New Roman" w:hAnsi="Times New Roman"/>
          <w:lang w:val="lt-LT"/>
        </w:rPr>
        <w:t>,</w:t>
      </w:r>
      <w:r w:rsidRPr="006E6286">
        <w:rPr>
          <w:rFonts w:ascii="Times New Roman" w:hAnsi="Times New Roman"/>
          <w:lang w:val="lt-LT"/>
        </w:rPr>
        <w:t xml:space="preserve"> 20% </w:t>
      </w:r>
      <w:r>
        <w:rPr>
          <w:rFonts w:ascii="Times New Roman" w:hAnsi="Times New Roman"/>
          <w:lang w:val="lt-LT"/>
        </w:rPr>
        <w:t>ir 35,5%</w:t>
      </w:r>
      <w:r w:rsidRPr="006E6286">
        <w:rPr>
          <w:rFonts w:ascii="Times New Roman" w:hAnsi="Times New Roman"/>
          <w:lang w:val="lt-LT"/>
        </w:rPr>
        <w:t>; p=0</w:t>
      </w:r>
      <w:r>
        <w:rPr>
          <w:rFonts w:ascii="Times New Roman" w:hAnsi="Times New Roman"/>
          <w:lang w:val="lt-LT"/>
        </w:rPr>
        <w:t>,</w:t>
      </w:r>
      <w:r w:rsidRPr="006E6286">
        <w:rPr>
          <w:rFonts w:ascii="Times New Roman" w:hAnsi="Times New Roman"/>
          <w:lang w:val="lt-LT"/>
        </w:rPr>
        <w:t>015)</w:t>
      </w:r>
      <w:r>
        <w:rPr>
          <w:rFonts w:ascii="Times New Roman" w:hAnsi="Times New Roman"/>
          <w:lang w:val="lt-LT"/>
        </w:rPr>
        <w:t xml:space="preserve"> bei geresnis </w:t>
      </w:r>
      <w:r w:rsidRPr="006E6286">
        <w:rPr>
          <w:rFonts w:ascii="Times New Roman" w:hAnsi="Times New Roman"/>
          <w:lang w:val="lt-LT"/>
        </w:rPr>
        <w:t>po-</w:t>
      </w:r>
      <w:r w:rsidRPr="00674094">
        <w:rPr>
          <w:rFonts w:ascii="Times New Roman" w:hAnsi="Times New Roman"/>
          <w:lang w:val="lt-LT"/>
        </w:rPr>
        <w:t>PCI MCE</w:t>
      </w:r>
      <w:r>
        <w:rPr>
          <w:rFonts w:ascii="Times New Roman" w:hAnsi="Times New Roman"/>
          <w:lang w:val="lt-LT"/>
        </w:rPr>
        <w:t xml:space="preserve"> (ang. </w:t>
      </w:r>
      <w:r w:rsidRPr="00CA3D61">
        <w:rPr>
          <w:rFonts w:ascii="Times New Roman" w:hAnsi="Times New Roman"/>
          <w:i/>
          <w:lang w:val="lt-LT"/>
        </w:rPr>
        <w:t>Myocardial contrast echocardiography</w:t>
      </w:r>
      <w:r>
        <w:rPr>
          <w:rFonts w:ascii="Times New Roman" w:hAnsi="Times New Roman"/>
          <w:lang w:val="lt-LT"/>
        </w:rPr>
        <w:t>)</w:t>
      </w:r>
      <w:r w:rsidRPr="006E6286">
        <w:rPr>
          <w:rFonts w:ascii="Times New Roman" w:hAnsi="Times New Roman"/>
          <w:lang w:val="lt-LT"/>
        </w:rPr>
        <w:t xml:space="preserve"> </w:t>
      </w:r>
      <w:r>
        <w:rPr>
          <w:rFonts w:ascii="Times New Roman" w:hAnsi="Times New Roman"/>
          <w:lang w:val="lt-LT"/>
        </w:rPr>
        <w:t>skalės įvertinimas</w:t>
      </w:r>
      <w:r w:rsidRPr="006E6286">
        <w:rPr>
          <w:rFonts w:ascii="Times New Roman" w:hAnsi="Times New Roman"/>
          <w:lang w:val="lt-LT"/>
        </w:rPr>
        <w:t xml:space="preserve"> (</w:t>
      </w:r>
      <w:r>
        <w:rPr>
          <w:rFonts w:ascii="Times New Roman" w:hAnsi="Times New Roman"/>
          <w:lang w:val="lt-LT"/>
        </w:rPr>
        <w:t xml:space="preserve">atitinkamai </w:t>
      </w:r>
      <w:r w:rsidRPr="006E6286">
        <w:rPr>
          <w:rFonts w:ascii="Times New Roman" w:hAnsi="Times New Roman"/>
          <w:lang w:val="lt-LT"/>
        </w:rPr>
        <w:t>0</w:t>
      </w:r>
      <w:r>
        <w:rPr>
          <w:rFonts w:ascii="Times New Roman" w:hAnsi="Times New Roman"/>
          <w:lang w:val="lt-LT"/>
        </w:rPr>
        <w:t>,</w:t>
      </w:r>
      <w:r w:rsidRPr="006E6286">
        <w:rPr>
          <w:rFonts w:ascii="Times New Roman" w:hAnsi="Times New Roman"/>
          <w:lang w:val="lt-LT"/>
        </w:rPr>
        <w:t>88 ± 0</w:t>
      </w:r>
      <w:r>
        <w:rPr>
          <w:rFonts w:ascii="Times New Roman" w:hAnsi="Times New Roman"/>
          <w:lang w:val="lt-LT"/>
        </w:rPr>
        <w:t>,</w:t>
      </w:r>
      <w:r w:rsidRPr="006E6286">
        <w:rPr>
          <w:rFonts w:ascii="Times New Roman" w:hAnsi="Times New Roman"/>
          <w:lang w:val="lt-LT"/>
        </w:rPr>
        <w:t>18</w:t>
      </w:r>
      <w:r>
        <w:rPr>
          <w:rFonts w:ascii="Times New Roman" w:hAnsi="Times New Roman"/>
          <w:lang w:val="lt-LT"/>
        </w:rPr>
        <w:t>,</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77 ± 0</w:t>
      </w:r>
      <w:r>
        <w:rPr>
          <w:rFonts w:ascii="Times New Roman" w:hAnsi="Times New Roman"/>
          <w:lang w:val="lt-LT"/>
        </w:rPr>
        <w:t xml:space="preserve">,32 bei </w:t>
      </w:r>
      <w:r w:rsidRPr="006E6286">
        <w:rPr>
          <w:rFonts w:ascii="Times New Roman" w:hAnsi="Times New Roman"/>
          <w:lang w:val="lt-LT"/>
        </w:rPr>
        <w:t>0</w:t>
      </w:r>
      <w:r>
        <w:rPr>
          <w:rFonts w:ascii="Times New Roman" w:hAnsi="Times New Roman"/>
          <w:lang w:val="lt-LT"/>
        </w:rPr>
        <w:t>,</w:t>
      </w:r>
      <w:r w:rsidRPr="006E6286">
        <w:rPr>
          <w:rFonts w:ascii="Times New Roman" w:hAnsi="Times New Roman"/>
          <w:lang w:val="lt-LT"/>
        </w:rPr>
        <w:t>71 ± 0</w:t>
      </w:r>
      <w:r>
        <w:rPr>
          <w:rFonts w:ascii="Times New Roman" w:hAnsi="Times New Roman"/>
          <w:lang w:val="lt-LT"/>
        </w:rPr>
        <w:t>,30</w:t>
      </w:r>
      <w:r w:rsidRPr="006E6286">
        <w:rPr>
          <w:rFonts w:ascii="Times New Roman" w:hAnsi="Times New Roman"/>
          <w:lang w:val="lt-LT"/>
        </w:rPr>
        <w:t>; p&lt;0</w:t>
      </w:r>
      <w:r>
        <w:rPr>
          <w:rFonts w:ascii="Times New Roman" w:hAnsi="Times New Roman"/>
          <w:lang w:val="lt-LT"/>
        </w:rPr>
        <w:t>,</w:t>
      </w:r>
      <w:r w:rsidRPr="006E6286">
        <w:rPr>
          <w:rFonts w:ascii="Times New Roman" w:hAnsi="Times New Roman"/>
          <w:lang w:val="lt-LT"/>
        </w:rPr>
        <w:t xml:space="preserve">05).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Širdies t</w:t>
      </w:r>
      <w:r w:rsidRPr="006E6286">
        <w:rPr>
          <w:rFonts w:ascii="Times New Roman" w:hAnsi="Times New Roman"/>
          <w:lang w:val="lt-LT"/>
        </w:rPr>
        <w:t>roponin</w:t>
      </w:r>
      <w:r>
        <w:rPr>
          <w:rFonts w:ascii="Times New Roman" w:hAnsi="Times New Roman"/>
          <w:lang w:val="lt-LT"/>
        </w:rPr>
        <w:t>o</w:t>
      </w:r>
      <w:r w:rsidRPr="006E6286">
        <w:rPr>
          <w:rFonts w:ascii="Times New Roman" w:hAnsi="Times New Roman"/>
          <w:lang w:val="lt-LT"/>
        </w:rPr>
        <w:t xml:space="preserve"> I (</w:t>
      </w:r>
      <w:r w:rsidRPr="00417856">
        <w:rPr>
          <w:rFonts w:ascii="Times New Roman" w:hAnsi="Times New Roman"/>
          <w:lang w:val="lt-LT"/>
        </w:rPr>
        <w:t>cTnI</w:t>
      </w:r>
      <w:r w:rsidRPr="006E6286">
        <w:rPr>
          <w:rFonts w:ascii="Times New Roman" w:hAnsi="Times New Roman"/>
          <w:lang w:val="lt-LT"/>
        </w:rPr>
        <w:t xml:space="preserve">) </w:t>
      </w:r>
      <w:r>
        <w:rPr>
          <w:rFonts w:ascii="Times New Roman" w:hAnsi="Times New Roman"/>
          <w:lang w:val="lt-LT"/>
        </w:rPr>
        <w:t>koncentracijos padidėjimo po procedūros dažnis reikšmingai sumažėjo</w:t>
      </w:r>
      <w:r w:rsidRPr="006E6286">
        <w:rPr>
          <w:rFonts w:ascii="Times New Roman" w:hAnsi="Times New Roman"/>
          <w:lang w:val="lt-LT"/>
        </w:rPr>
        <w:t xml:space="preserve"> </w:t>
      </w:r>
      <w:r>
        <w:rPr>
          <w:rFonts w:ascii="Times New Roman" w:hAnsi="Times New Roman"/>
          <w:lang w:val="lt-LT"/>
        </w:rPr>
        <w:t>taikant ankstyvąjį gydymą tirofibanu, palyginti su gydymu</w:t>
      </w:r>
      <w:r w:rsidRPr="00735A0B">
        <w:rPr>
          <w:rFonts w:ascii="Times New Roman" w:hAnsi="Times New Roman"/>
          <w:lang w:val="lt-LT"/>
        </w:rPr>
        <w:t xml:space="preserve"> </w:t>
      </w:r>
      <w:r>
        <w:rPr>
          <w:rFonts w:ascii="Times New Roman" w:hAnsi="Times New Roman"/>
          <w:lang w:val="lt-LT"/>
        </w:rPr>
        <w:t xml:space="preserve">tirofibanu, naudojant dozavimo schemą, kai vartojama smūginė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dozė, bei gydymą </w:t>
      </w:r>
      <w:r w:rsidRPr="006E6286">
        <w:rPr>
          <w:rFonts w:ascii="Times New Roman" w:hAnsi="Times New Roman"/>
          <w:lang w:val="lt-LT"/>
        </w:rPr>
        <w:t>abci</w:t>
      </w:r>
      <w:r>
        <w:rPr>
          <w:rFonts w:ascii="Times New Roman" w:hAnsi="Times New Roman"/>
          <w:lang w:val="lt-LT"/>
        </w:rPr>
        <w:t>ksimabu</w:t>
      </w:r>
      <w:r w:rsidRPr="006E6286">
        <w:rPr>
          <w:rFonts w:ascii="Times New Roman" w:hAnsi="Times New Roman"/>
          <w:lang w:val="lt-LT"/>
        </w:rPr>
        <w:t xml:space="preserve"> </w:t>
      </w:r>
      <w:r>
        <w:rPr>
          <w:rFonts w:ascii="Times New Roman" w:hAnsi="Times New Roman"/>
          <w:lang w:val="lt-LT"/>
        </w:rPr>
        <w:t xml:space="preserve">prieš PCI </w:t>
      </w:r>
      <w:r w:rsidRPr="006E6286">
        <w:rPr>
          <w:rFonts w:ascii="Times New Roman" w:hAnsi="Times New Roman"/>
          <w:lang w:val="lt-LT"/>
        </w:rPr>
        <w:t>(</w:t>
      </w:r>
      <w:r>
        <w:rPr>
          <w:rFonts w:ascii="Times New Roman" w:hAnsi="Times New Roman"/>
          <w:lang w:val="lt-LT"/>
        </w:rPr>
        <w:t xml:space="preserve">atitinkamai </w:t>
      </w:r>
      <w:r w:rsidRPr="006E6286">
        <w:rPr>
          <w:rFonts w:ascii="Times New Roman" w:hAnsi="Times New Roman"/>
          <w:lang w:val="lt-LT"/>
        </w:rPr>
        <w:t>9</w:t>
      </w:r>
      <w:r>
        <w:rPr>
          <w:rFonts w:ascii="Times New Roman" w:hAnsi="Times New Roman"/>
          <w:lang w:val="lt-LT"/>
        </w:rPr>
        <w:t>,</w:t>
      </w:r>
      <w:r w:rsidRPr="006E6286">
        <w:rPr>
          <w:rFonts w:ascii="Times New Roman" w:hAnsi="Times New Roman"/>
          <w:lang w:val="lt-LT"/>
        </w:rPr>
        <w:t>4%</w:t>
      </w:r>
      <w:r>
        <w:rPr>
          <w:rFonts w:ascii="Times New Roman" w:hAnsi="Times New Roman"/>
          <w:lang w:val="lt-LT"/>
        </w:rPr>
        <w:t xml:space="preserve">, </w:t>
      </w:r>
      <w:r w:rsidRPr="006E6286">
        <w:rPr>
          <w:rFonts w:ascii="Times New Roman" w:hAnsi="Times New Roman"/>
          <w:lang w:val="lt-LT"/>
        </w:rPr>
        <w:t xml:space="preserve">30% </w:t>
      </w:r>
      <w:r>
        <w:rPr>
          <w:rFonts w:ascii="Times New Roman" w:hAnsi="Times New Roman"/>
          <w:lang w:val="lt-LT"/>
        </w:rPr>
        <w:t>ir</w:t>
      </w:r>
      <w:r w:rsidRPr="006E6286">
        <w:rPr>
          <w:rFonts w:ascii="Times New Roman" w:hAnsi="Times New Roman"/>
          <w:lang w:val="lt-LT"/>
        </w:rPr>
        <w:t xml:space="preserve"> 38</w:t>
      </w:r>
      <w:r>
        <w:rPr>
          <w:rFonts w:ascii="Times New Roman" w:hAnsi="Times New Roman"/>
          <w:lang w:val="lt-LT"/>
        </w:rPr>
        <w:t>,7%</w:t>
      </w:r>
      <w:r w:rsidRPr="006E6286">
        <w:rPr>
          <w:rFonts w:ascii="Times New Roman" w:hAnsi="Times New Roman"/>
          <w:lang w:val="lt-LT"/>
        </w:rPr>
        <w:t>; p=0</w:t>
      </w:r>
      <w:r>
        <w:rPr>
          <w:rFonts w:ascii="Times New Roman" w:hAnsi="Times New Roman"/>
          <w:lang w:val="lt-LT"/>
        </w:rPr>
        <w:t>,</w:t>
      </w:r>
      <w:r w:rsidRPr="006E6286">
        <w:rPr>
          <w:rFonts w:ascii="Times New Roman" w:hAnsi="Times New Roman"/>
          <w:lang w:val="lt-LT"/>
        </w:rPr>
        <w:t xml:space="preserve">018). cTnI </w:t>
      </w:r>
      <w:r>
        <w:rPr>
          <w:rFonts w:ascii="Times New Roman" w:hAnsi="Times New Roman"/>
          <w:lang w:val="lt-LT"/>
        </w:rPr>
        <w:t xml:space="preserve">koncentracija po </w:t>
      </w:r>
      <w:r w:rsidRPr="006E6286">
        <w:rPr>
          <w:rFonts w:ascii="Times New Roman" w:hAnsi="Times New Roman"/>
          <w:lang w:val="lt-LT"/>
        </w:rPr>
        <w:t xml:space="preserve">PCI </w:t>
      </w:r>
      <w:r>
        <w:rPr>
          <w:rFonts w:ascii="Times New Roman" w:hAnsi="Times New Roman"/>
          <w:lang w:val="lt-LT"/>
        </w:rPr>
        <w:t>reikšmingai sumažėjo taikant ankstyvąjį gydymą tirofibanu, palyginti su gydymu</w:t>
      </w:r>
      <w:r w:rsidRPr="006E6286">
        <w:rPr>
          <w:rFonts w:ascii="Times New Roman" w:hAnsi="Times New Roman"/>
          <w:lang w:val="lt-LT"/>
        </w:rPr>
        <w:t xml:space="preserve"> tirofiban</w:t>
      </w:r>
      <w:r>
        <w:rPr>
          <w:rFonts w:ascii="Times New Roman" w:hAnsi="Times New Roman"/>
          <w:lang w:val="lt-LT"/>
        </w:rPr>
        <w:t xml:space="preserve">u </w:t>
      </w:r>
      <w:r w:rsidRPr="006E6286">
        <w:rPr>
          <w:rFonts w:ascii="Times New Roman" w:hAnsi="Times New Roman"/>
          <w:lang w:val="lt-LT"/>
        </w:rPr>
        <w:t>(3</w:t>
      </w:r>
      <w:r>
        <w:rPr>
          <w:rFonts w:ascii="Times New Roman" w:hAnsi="Times New Roman"/>
          <w:lang w:val="lt-LT"/>
        </w:rPr>
        <w:t>,</w:t>
      </w:r>
      <w:r w:rsidRPr="006E6286">
        <w:rPr>
          <w:rFonts w:ascii="Times New Roman" w:hAnsi="Times New Roman"/>
          <w:lang w:val="lt-LT"/>
        </w:rPr>
        <w:t>8 ± 4</w:t>
      </w:r>
      <w:r>
        <w:rPr>
          <w:rFonts w:ascii="Times New Roman" w:hAnsi="Times New Roman"/>
          <w:lang w:val="lt-LT"/>
        </w:rPr>
        <w:t>,</w:t>
      </w:r>
      <w:r w:rsidRPr="006E6286">
        <w:rPr>
          <w:rFonts w:ascii="Times New Roman" w:hAnsi="Times New Roman"/>
          <w:lang w:val="lt-LT"/>
        </w:rPr>
        <w:t xml:space="preserve">1 </w:t>
      </w:r>
      <w:r>
        <w:rPr>
          <w:rFonts w:ascii="Times New Roman" w:hAnsi="Times New Roman"/>
          <w:lang w:val="lt-LT"/>
        </w:rPr>
        <w:t>ir</w:t>
      </w:r>
      <w:r w:rsidRPr="006E6286">
        <w:rPr>
          <w:rFonts w:ascii="Times New Roman" w:hAnsi="Times New Roman"/>
          <w:lang w:val="lt-LT"/>
        </w:rPr>
        <w:t xml:space="preserve"> 7</w:t>
      </w:r>
      <w:r>
        <w:rPr>
          <w:rFonts w:ascii="Times New Roman" w:hAnsi="Times New Roman"/>
          <w:lang w:val="lt-LT"/>
        </w:rPr>
        <w:t>,</w:t>
      </w:r>
      <w:r w:rsidRPr="006E6286">
        <w:rPr>
          <w:rFonts w:ascii="Times New Roman" w:hAnsi="Times New Roman"/>
          <w:lang w:val="lt-LT"/>
        </w:rPr>
        <w:t>2 ± 12; p=0</w:t>
      </w:r>
      <w:r>
        <w:rPr>
          <w:rFonts w:ascii="Times New Roman" w:hAnsi="Times New Roman"/>
          <w:lang w:val="lt-LT"/>
        </w:rPr>
        <w:t>,</w:t>
      </w:r>
      <w:r w:rsidRPr="006E6286">
        <w:rPr>
          <w:rFonts w:ascii="Times New Roman" w:hAnsi="Times New Roman"/>
          <w:lang w:val="lt-LT"/>
        </w:rPr>
        <w:t xml:space="preserve">015) </w:t>
      </w:r>
      <w:r>
        <w:rPr>
          <w:rFonts w:ascii="Times New Roman" w:hAnsi="Times New Roman"/>
          <w:lang w:val="lt-LT"/>
        </w:rPr>
        <w:t>ir</w:t>
      </w:r>
      <w:r w:rsidRPr="006E6286">
        <w:rPr>
          <w:rFonts w:ascii="Times New Roman" w:hAnsi="Times New Roman"/>
          <w:lang w:val="lt-LT"/>
        </w:rPr>
        <w:t xml:space="preserve"> abci</w:t>
      </w:r>
      <w:r>
        <w:rPr>
          <w:rFonts w:ascii="Times New Roman" w:hAnsi="Times New Roman"/>
          <w:lang w:val="lt-LT"/>
        </w:rPr>
        <w:t>ksimabu</w:t>
      </w:r>
      <w:r w:rsidRPr="006E6286">
        <w:rPr>
          <w:rFonts w:ascii="Times New Roman" w:hAnsi="Times New Roman"/>
          <w:lang w:val="lt-LT"/>
        </w:rPr>
        <w:t xml:space="preserve"> (3</w:t>
      </w:r>
      <w:r>
        <w:rPr>
          <w:rFonts w:ascii="Times New Roman" w:hAnsi="Times New Roman"/>
          <w:lang w:val="lt-LT"/>
        </w:rPr>
        <w:t>,</w:t>
      </w:r>
      <w:r w:rsidRPr="006E6286">
        <w:rPr>
          <w:rFonts w:ascii="Times New Roman" w:hAnsi="Times New Roman"/>
          <w:lang w:val="lt-LT"/>
        </w:rPr>
        <w:t>8 ± 4</w:t>
      </w:r>
      <w:r>
        <w:rPr>
          <w:rFonts w:ascii="Times New Roman" w:hAnsi="Times New Roman"/>
          <w:lang w:val="lt-LT"/>
        </w:rPr>
        <w:t>,</w:t>
      </w:r>
      <w:r w:rsidRPr="006E6286">
        <w:rPr>
          <w:rFonts w:ascii="Times New Roman" w:hAnsi="Times New Roman"/>
          <w:lang w:val="lt-LT"/>
        </w:rPr>
        <w:t xml:space="preserve">1 </w:t>
      </w:r>
      <w:r>
        <w:rPr>
          <w:rFonts w:ascii="Times New Roman" w:hAnsi="Times New Roman"/>
          <w:lang w:val="lt-LT"/>
        </w:rPr>
        <w:t>ir</w:t>
      </w:r>
      <w:r w:rsidRPr="006E6286">
        <w:rPr>
          <w:rFonts w:ascii="Times New Roman" w:hAnsi="Times New Roman"/>
          <w:lang w:val="lt-LT"/>
        </w:rPr>
        <w:t xml:space="preserve"> 9 ± 13</w:t>
      </w:r>
      <w:r>
        <w:rPr>
          <w:rFonts w:ascii="Times New Roman" w:hAnsi="Times New Roman"/>
          <w:lang w:val="lt-LT"/>
        </w:rPr>
        <w:t>,</w:t>
      </w:r>
      <w:r w:rsidRPr="006E6286">
        <w:rPr>
          <w:rFonts w:ascii="Times New Roman" w:hAnsi="Times New Roman"/>
          <w:lang w:val="lt-LT"/>
        </w:rPr>
        <w:t>8; p=0</w:t>
      </w:r>
      <w:r>
        <w:rPr>
          <w:rFonts w:ascii="Times New Roman" w:hAnsi="Times New Roman"/>
          <w:lang w:val="lt-LT"/>
        </w:rPr>
        <w:t>,</w:t>
      </w:r>
      <w:r w:rsidRPr="006E6286">
        <w:rPr>
          <w:rFonts w:ascii="Times New Roman" w:hAnsi="Times New Roman"/>
          <w:lang w:val="lt-LT"/>
        </w:rPr>
        <w:t xml:space="preserve">0002) </w:t>
      </w:r>
      <w:r>
        <w:rPr>
          <w:rFonts w:ascii="Times New Roman" w:hAnsi="Times New Roman"/>
          <w:lang w:val="lt-LT"/>
        </w:rPr>
        <w:t>prieš</w:t>
      </w:r>
      <w:r w:rsidRPr="006E6286">
        <w:rPr>
          <w:rFonts w:ascii="Times New Roman" w:hAnsi="Times New Roman"/>
          <w:lang w:val="lt-LT"/>
        </w:rPr>
        <w:t xml:space="preserve"> PCI. </w:t>
      </w:r>
      <w:r>
        <w:rPr>
          <w:rFonts w:ascii="Times New Roman" w:hAnsi="Times New Roman"/>
          <w:lang w:val="lt-LT"/>
        </w:rPr>
        <w:t xml:space="preserve">Vertinant </w:t>
      </w:r>
      <w:r w:rsidRPr="00B22CCB">
        <w:rPr>
          <w:rFonts w:ascii="Times New Roman" w:hAnsi="Times New Roman"/>
          <w:lang w:val="lt-LT"/>
        </w:rPr>
        <w:t>TMPG 0/1 po-PCI</w:t>
      </w:r>
      <w:r w:rsidRPr="006E6286">
        <w:rPr>
          <w:rFonts w:ascii="Times New Roman" w:hAnsi="Times New Roman"/>
          <w:lang w:val="lt-LT"/>
        </w:rPr>
        <w:t xml:space="preserve"> </w:t>
      </w:r>
      <w:r>
        <w:rPr>
          <w:rFonts w:ascii="Times New Roman" w:hAnsi="Times New Roman"/>
          <w:lang w:val="lt-LT"/>
        </w:rPr>
        <w:t>dažnį, rodmenys gydymo</w:t>
      </w:r>
      <w:r w:rsidRPr="00735A0B">
        <w:rPr>
          <w:rFonts w:ascii="Times New Roman" w:hAnsi="Times New Roman"/>
          <w:lang w:val="lt-LT"/>
        </w:rPr>
        <w:t xml:space="preserve"> </w:t>
      </w:r>
      <w:r>
        <w:rPr>
          <w:rFonts w:ascii="Times New Roman" w:hAnsi="Times New Roman"/>
          <w:lang w:val="lt-LT"/>
        </w:rPr>
        <w:t xml:space="preserve">tirofibanu, naudojant dozavimo schemą, kai vartojama smūginė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dozė, bei gydymo </w:t>
      </w:r>
      <w:r w:rsidRPr="006E6286">
        <w:rPr>
          <w:rFonts w:ascii="Times New Roman" w:hAnsi="Times New Roman"/>
          <w:lang w:val="lt-LT"/>
        </w:rPr>
        <w:t>abci</w:t>
      </w:r>
      <w:r>
        <w:rPr>
          <w:rFonts w:ascii="Times New Roman" w:hAnsi="Times New Roman"/>
          <w:lang w:val="lt-LT"/>
        </w:rPr>
        <w:t>ksimabu</w:t>
      </w:r>
      <w:r w:rsidRPr="006E6286">
        <w:rPr>
          <w:rFonts w:ascii="Times New Roman" w:hAnsi="Times New Roman"/>
          <w:lang w:val="lt-LT"/>
        </w:rPr>
        <w:t xml:space="preserve"> </w:t>
      </w:r>
      <w:r>
        <w:rPr>
          <w:rFonts w:ascii="Times New Roman" w:hAnsi="Times New Roman"/>
          <w:lang w:val="lt-LT"/>
        </w:rPr>
        <w:t>prieš PCI grupėse reikšmingai nesiskyrė</w:t>
      </w:r>
      <w:r w:rsidRPr="006E6286">
        <w:rPr>
          <w:rFonts w:ascii="Times New Roman" w:hAnsi="Times New Roman"/>
          <w:lang w:val="lt-LT"/>
        </w:rPr>
        <w:t xml:space="preserve"> (20% </w:t>
      </w:r>
      <w:r>
        <w:rPr>
          <w:rFonts w:ascii="Times New Roman" w:hAnsi="Times New Roman"/>
          <w:lang w:val="lt-LT"/>
        </w:rPr>
        <w:t>ir</w:t>
      </w:r>
      <w:r w:rsidRPr="006E6286">
        <w:rPr>
          <w:rFonts w:ascii="Times New Roman" w:hAnsi="Times New Roman"/>
          <w:lang w:val="lt-LT"/>
        </w:rPr>
        <w:t xml:space="preserve"> 35%; p=NS). </w:t>
      </w: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Buvo atlikta keletas kitų tyrimų, kurių metu lygintas gydymas</w:t>
      </w:r>
      <w:r w:rsidRPr="00735A0B">
        <w:rPr>
          <w:rFonts w:ascii="Times New Roman" w:hAnsi="Times New Roman"/>
          <w:lang w:val="lt-LT"/>
        </w:rPr>
        <w:t xml:space="preserve"> </w:t>
      </w:r>
      <w:r>
        <w:rPr>
          <w:rFonts w:ascii="Times New Roman" w:hAnsi="Times New Roman"/>
          <w:lang w:val="lt-LT"/>
        </w:rPr>
        <w:t xml:space="preserve">tirofibanu, naudojant dozavimo schemą, kai vartojama smūginė </w:t>
      </w:r>
      <w:r w:rsidRPr="00B643C4">
        <w:rPr>
          <w:rFonts w:ascii="Times New Roman" w:hAnsi="Times New Roman"/>
          <w:lang w:val="lt-LT"/>
        </w:rPr>
        <w:t xml:space="preserve">25 </w:t>
      </w:r>
      <w:r>
        <w:rPr>
          <w:rFonts w:ascii="Times New Roman" w:hAnsi="Times New Roman"/>
          <w:lang w:val="lt-LT"/>
        </w:rPr>
        <w:t>mikrogramų</w:t>
      </w:r>
      <w:r w:rsidRPr="00B643C4">
        <w:rPr>
          <w:rFonts w:ascii="Times New Roman" w:hAnsi="Times New Roman"/>
          <w:lang w:val="lt-LT"/>
        </w:rPr>
        <w:t xml:space="preserve">/kg </w:t>
      </w:r>
      <w:r>
        <w:rPr>
          <w:rFonts w:ascii="Times New Roman" w:hAnsi="Times New Roman"/>
          <w:lang w:val="lt-LT"/>
        </w:rPr>
        <w:t xml:space="preserve">kūno svorio dozė, bei gydymas </w:t>
      </w:r>
      <w:r w:rsidRPr="006E6286">
        <w:rPr>
          <w:rFonts w:ascii="Times New Roman" w:hAnsi="Times New Roman"/>
          <w:lang w:val="lt-LT"/>
        </w:rPr>
        <w:t>abci</w:t>
      </w:r>
      <w:r>
        <w:rPr>
          <w:rFonts w:ascii="Times New Roman" w:hAnsi="Times New Roman"/>
          <w:lang w:val="lt-LT"/>
        </w:rPr>
        <w:t xml:space="preserve">ksimabu. Tokiuose tyrimuose dalyvavo daugiau kaip </w:t>
      </w:r>
      <w:r w:rsidRPr="006E6286">
        <w:rPr>
          <w:rFonts w:ascii="Times New Roman" w:hAnsi="Times New Roman"/>
          <w:lang w:val="lt-LT"/>
        </w:rPr>
        <w:t xml:space="preserve">1100 </w:t>
      </w:r>
      <w:r>
        <w:rPr>
          <w:rFonts w:ascii="Times New Roman" w:hAnsi="Times New Roman"/>
          <w:lang w:val="lt-LT"/>
        </w:rPr>
        <w:t xml:space="preserve">pacientų, kuriems buvo </w:t>
      </w:r>
      <w:r w:rsidRPr="006E6286">
        <w:rPr>
          <w:rFonts w:ascii="Times New Roman" w:hAnsi="Times New Roman"/>
          <w:lang w:val="lt-LT"/>
        </w:rPr>
        <w:t>NSTE-ACS</w:t>
      </w:r>
      <w:r>
        <w:rPr>
          <w:rFonts w:ascii="Times New Roman" w:hAnsi="Times New Roman"/>
          <w:lang w:val="lt-LT"/>
        </w:rPr>
        <w:t>. Analizuojant pagrindinę kombinuotąją vertinamąją baigtį MACE 30 dieną, jos pasireiškimo dažnis reikšmingai nesiskyrė (</w:t>
      </w:r>
      <w:r w:rsidRPr="006E6286">
        <w:rPr>
          <w:rFonts w:ascii="Times New Roman" w:hAnsi="Times New Roman"/>
          <w:lang w:val="lt-LT"/>
        </w:rPr>
        <w:t>5</w:t>
      </w:r>
      <w:r>
        <w:rPr>
          <w:rFonts w:ascii="Times New Roman" w:hAnsi="Times New Roman"/>
          <w:lang w:val="lt-LT"/>
        </w:rPr>
        <w:t>,</w:t>
      </w:r>
      <w:r w:rsidRPr="006E6286">
        <w:rPr>
          <w:rFonts w:ascii="Times New Roman" w:hAnsi="Times New Roman"/>
          <w:lang w:val="lt-LT"/>
        </w:rPr>
        <w:t>8</w:t>
      </w:r>
      <w:r>
        <w:rPr>
          <w:rFonts w:ascii="Times New Roman" w:hAnsi="Times New Roman"/>
          <w:lang w:val="lt-LT"/>
        </w:rPr>
        <w:noBreakHyphen/>
      </w:r>
      <w:r w:rsidRPr="006E6286">
        <w:rPr>
          <w:rFonts w:ascii="Times New Roman" w:hAnsi="Times New Roman"/>
          <w:lang w:val="lt-LT"/>
        </w:rPr>
        <w:t>6</w:t>
      </w:r>
      <w:r>
        <w:rPr>
          <w:rFonts w:ascii="Times New Roman" w:hAnsi="Times New Roman"/>
          <w:lang w:val="lt-LT"/>
        </w:rPr>
        <w:t>,</w:t>
      </w:r>
      <w:r w:rsidRPr="006E6286">
        <w:rPr>
          <w:rFonts w:ascii="Times New Roman" w:hAnsi="Times New Roman"/>
          <w:lang w:val="lt-LT"/>
        </w:rPr>
        <w:t>9% tirofiban</w:t>
      </w:r>
      <w:r>
        <w:rPr>
          <w:rFonts w:ascii="Times New Roman" w:hAnsi="Times New Roman"/>
          <w:lang w:val="lt-LT"/>
        </w:rPr>
        <w:t>o grupėje ir 7,1</w:t>
      </w:r>
      <w:r>
        <w:rPr>
          <w:rFonts w:ascii="Times New Roman" w:hAnsi="Times New Roman"/>
          <w:lang w:val="lt-LT"/>
        </w:rPr>
        <w:noBreakHyphen/>
        <w:t xml:space="preserve">8,8% </w:t>
      </w:r>
      <w:r w:rsidRPr="006E6286">
        <w:rPr>
          <w:rFonts w:ascii="Times New Roman" w:hAnsi="Times New Roman"/>
          <w:lang w:val="lt-LT"/>
        </w:rPr>
        <w:t>abci</w:t>
      </w:r>
      <w:r>
        <w:rPr>
          <w:rFonts w:ascii="Times New Roman" w:hAnsi="Times New Roman"/>
          <w:lang w:val="lt-LT"/>
        </w:rPr>
        <w:t>ksimabo grupėje).</w:t>
      </w:r>
    </w:p>
    <w:p w:rsidR="00B42325" w:rsidRDefault="00B42325" w:rsidP="006E6286">
      <w:pPr>
        <w:spacing w:after="0" w:line="240" w:lineRule="auto"/>
        <w:rPr>
          <w:rFonts w:ascii="Times New Roman" w:hAnsi="Times New Roman"/>
          <w:lang w:val="lt-LT"/>
        </w:rPr>
      </w:pPr>
    </w:p>
    <w:p w:rsidR="00B42325" w:rsidRPr="006E6286" w:rsidRDefault="00B42325" w:rsidP="006E6286">
      <w:pPr>
        <w:spacing w:after="0" w:line="240" w:lineRule="auto"/>
        <w:rPr>
          <w:rFonts w:ascii="Times New Roman" w:hAnsi="Times New Roman"/>
          <w:lang w:val="lt-LT"/>
        </w:rPr>
      </w:pPr>
      <w:r>
        <w:rPr>
          <w:rFonts w:ascii="Times New Roman" w:hAnsi="Times New Roman"/>
          <w:lang w:val="lt-LT"/>
        </w:rPr>
        <w:t xml:space="preserve">Vieno tyrimo </w:t>
      </w:r>
      <w:r w:rsidRPr="006E6286">
        <w:rPr>
          <w:rFonts w:ascii="Times New Roman" w:hAnsi="Times New Roman"/>
          <w:lang w:val="lt-LT"/>
        </w:rPr>
        <w:t>(TARGET)</w:t>
      </w:r>
      <w:r>
        <w:rPr>
          <w:rFonts w:ascii="Times New Roman" w:hAnsi="Times New Roman"/>
          <w:lang w:val="lt-LT"/>
        </w:rPr>
        <w:t xml:space="preserve"> metu (vartota </w:t>
      </w:r>
      <w:r w:rsidRPr="006E6286">
        <w:rPr>
          <w:rFonts w:ascii="Times New Roman" w:hAnsi="Times New Roman"/>
          <w:lang w:val="lt-LT"/>
        </w:rPr>
        <w:t xml:space="preserve">10 </w:t>
      </w:r>
      <w:r>
        <w:rPr>
          <w:rFonts w:ascii="Times New Roman" w:hAnsi="Times New Roman"/>
          <w:lang w:val="lt-LT"/>
        </w:rPr>
        <w:t>mikrogramų</w:t>
      </w:r>
      <w:r w:rsidRPr="006E6286">
        <w:rPr>
          <w:rFonts w:ascii="Times New Roman" w:hAnsi="Times New Roman"/>
          <w:lang w:val="lt-LT"/>
        </w:rPr>
        <w:t xml:space="preserve">/kg </w:t>
      </w:r>
      <w:r>
        <w:rPr>
          <w:rFonts w:ascii="Times New Roman" w:hAnsi="Times New Roman"/>
          <w:lang w:val="lt-LT"/>
        </w:rPr>
        <w:t>kūno smūginė dozė ir po to infuzuota</w:t>
      </w:r>
      <w:r w:rsidRPr="006E6286">
        <w:rPr>
          <w:rFonts w:ascii="Times New Roman" w:hAnsi="Times New Roman"/>
          <w:lang w:val="lt-LT"/>
        </w:rPr>
        <w:t xml:space="preserve"> 0</w:t>
      </w:r>
      <w:r>
        <w:rPr>
          <w:rFonts w:ascii="Times New Roman" w:hAnsi="Times New Roman"/>
          <w:lang w:val="lt-LT"/>
        </w:rPr>
        <w:t>,</w:t>
      </w:r>
      <w:r w:rsidRPr="006E6286">
        <w:rPr>
          <w:rFonts w:ascii="Times New Roman" w:hAnsi="Times New Roman"/>
          <w:lang w:val="lt-LT"/>
        </w:rPr>
        <w:t xml:space="preserve">15 </w:t>
      </w:r>
      <w:r>
        <w:rPr>
          <w:rFonts w:ascii="Times New Roman" w:hAnsi="Times New Roman"/>
          <w:lang w:val="lt-LT"/>
        </w:rPr>
        <w:t>mikrogramo</w:t>
      </w:r>
      <w:r w:rsidRPr="006E6286">
        <w:rPr>
          <w:rFonts w:ascii="Times New Roman" w:hAnsi="Times New Roman"/>
          <w:lang w:val="lt-LT"/>
        </w:rPr>
        <w:t>/</w:t>
      </w:r>
      <w:r>
        <w:rPr>
          <w:rFonts w:ascii="Times New Roman" w:hAnsi="Times New Roman"/>
          <w:lang w:val="lt-LT"/>
        </w:rPr>
        <w:t>kg kūno svorio/min.</w:t>
      </w:r>
      <w:r w:rsidRPr="006E6286">
        <w:rPr>
          <w:rFonts w:ascii="Times New Roman" w:hAnsi="Times New Roman"/>
          <w:lang w:val="lt-LT"/>
        </w:rPr>
        <w:t xml:space="preserve"> tirofiban</w:t>
      </w:r>
      <w:r>
        <w:rPr>
          <w:rFonts w:ascii="Times New Roman" w:hAnsi="Times New Roman"/>
          <w:lang w:val="lt-LT"/>
        </w:rPr>
        <w:t xml:space="preserve">o dozė) nepavyko įrodyti </w:t>
      </w:r>
      <w:r w:rsidRPr="006E6286">
        <w:rPr>
          <w:rFonts w:ascii="Times New Roman" w:hAnsi="Times New Roman"/>
          <w:lang w:val="lt-LT"/>
        </w:rPr>
        <w:t>tirofiban</w:t>
      </w:r>
      <w:r>
        <w:rPr>
          <w:rFonts w:ascii="Times New Roman" w:hAnsi="Times New Roman"/>
          <w:lang w:val="lt-LT"/>
        </w:rPr>
        <w:t xml:space="preserve">o poveikio nenusileidimo </w:t>
      </w:r>
      <w:r w:rsidRPr="006E6286">
        <w:rPr>
          <w:rFonts w:ascii="Times New Roman" w:hAnsi="Times New Roman"/>
          <w:lang w:val="lt-LT"/>
        </w:rPr>
        <w:t>abci</w:t>
      </w:r>
      <w:r>
        <w:rPr>
          <w:rFonts w:ascii="Times New Roman" w:hAnsi="Times New Roman"/>
          <w:lang w:val="lt-LT"/>
        </w:rPr>
        <w:t>ksimabo poveikiui</w:t>
      </w:r>
      <w:r w:rsidRPr="006E6286">
        <w:rPr>
          <w:rFonts w:ascii="Times New Roman" w:hAnsi="Times New Roman"/>
          <w:lang w:val="lt-LT"/>
        </w:rPr>
        <w:t xml:space="preserve">: </w:t>
      </w:r>
      <w:r>
        <w:rPr>
          <w:rFonts w:ascii="Times New Roman" w:hAnsi="Times New Roman"/>
          <w:lang w:val="lt-LT"/>
        </w:rPr>
        <w:t xml:space="preserve">pagrindinės kombinuotosios vertinamosios baigties </w:t>
      </w:r>
      <w:r w:rsidRPr="006E6286">
        <w:rPr>
          <w:rFonts w:ascii="Times New Roman" w:hAnsi="Times New Roman"/>
          <w:lang w:val="lt-LT"/>
        </w:rPr>
        <w:t>(</w:t>
      </w:r>
      <w:r>
        <w:rPr>
          <w:rFonts w:ascii="Times New Roman" w:hAnsi="Times New Roman"/>
          <w:lang w:val="lt-LT"/>
        </w:rPr>
        <w:t>mirtis</w:t>
      </w:r>
      <w:r w:rsidRPr="006E6286">
        <w:rPr>
          <w:rFonts w:ascii="Times New Roman" w:hAnsi="Times New Roman"/>
          <w:lang w:val="lt-LT"/>
        </w:rPr>
        <w:t>, MI</w:t>
      </w:r>
      <w:r>
        <w:rPr>
          <w:rFonts w:ascii="Times New Roman" w:hAnsi="Times New Roman"/>
          <w:lang w:val="lt-LT"/>
        </w:rPr>
        <w:t xml:space="preserve"> ar</w:t>
      </w:r>
      <w:r w:rsidRPr="006E6286">
        <w:rPr>
          <w:rFonts w:ascii="Times New Roman" w:hAnsi="Times New Roman"/>
          <w:lang w:val="lt-LT"/>
        </w:rPr>
        <w:t xml:space="preserve"> uTVR 30 </w:t>
      </w:r>
      <w:r>
        <w:rPr>
          <w:rFonts w:ascii="Times New Roman" w:hAnsi="Times New Roman"/>
          <w:lang w:val="lt-LT"/>
        </w:rPr>
        <w:t>dieną</w:t>
      </w:r>
      <w:r w:rsidRPr="006E6286">
        <w:rPr>
          <w:rFonts w:ascii="Times New Roman" w:hAnsi="Times New Roman"/>
          <w:lang w:val="lt-LT"/>
        </w:rPr>
        <w:t xml:space="preserve">) </w:t>
      </w:r>
      <w:r>
        <w:rPr>
          <w:rFonts w:ascii="Times New Roman" w:hAnsi="Times New Roman"/>
          <w:lang w:val="lt-LT"/>
        </w:rPr>
        <w:t xml:space="preserve">analizė parodė, kad </w:t>
      </w:r>
      <w:r w:rsidRPr="006E6286">
        <w:rPr>
          <w:rFonts w:ascii="Times New Roman" w:hAnsi="Times New Roman"/>
          <w:lang w:val="lt-LT"/>
        </w:rPr>
        <w:t>abci</w:t>
      </w:r>
      <w:r>
        <w:rPr>
          <w:rFonts w:ascii="Times New Roman" w:hAnsi="Times New Roman"/>
          <w:lang w:val="lt-LT"/>
        </w:rPr>
        <w:t>ksimabas reikšmingai veiksmingiau mažino kliniškai svarbių vertinamųjų baigčių riziką (ji buvo</w:t>
      </w:r>
      <w:r w:rsidRPr="006E6286">
        <w:rPr>
          <w:rFonts w:ascii="Times New Roman" w:hAnsi="Times New Roman"/>
          <w:lang w:val="lt-LT"/>
        </w:rPr>
        <w:t xml:space="preserve"> 7</w:t>
      </w:r>
      <w:r>
        <w:rPr>
          <w:rFonts w:ascii="Times New Roman" w:hAnsi="Times New Roman"/>
          <w:lang w:val="lt-LT"/>
        </w:rPr>
        <w:t>,</w:t>
      </w:r>
      <w:r w:rsidRPr="006E6286">
        <w:rPr>
          <w:rFonts w:ascii="Times New Roman" w:hAnsi="Times New Roman"/>
          <w:lang w:val="lt-LT"/>
        </w:rPr>
        <w:t>6% tirofiban</w:t>
      </w:r>
      <w:r>
        <w:rPr>
          <w:rFonts w:ascii="Times New Roman" w:hAnsi="Times New Roman"/>
          <w:lang w:val="lt-LT"/>
        </w:rPr>
        <w:t>o grupėje ir</w:t>
      </w:r>
      <w:r w:rsidRPr="006E6286">
        <w:rPr>
          <w:rFonts w:ascii="Times New Roman" w:hAnsi="Times New Roman"/>
          <w:lang w:val="lt-LT"/>
        </w:rPr>
        <w:t xml:space="preserve"> 6</w:t>
      </w:r>
      <w:r>
        <w:rPr>
          <w:rFonts w:ascii="Times New Roman" w:hAnsi="Times New Roman"/>
          <w:lang w:val="lt-LT"/>
        </w:rPr>
        <w:t>,</w:t>
      </w:r>
      <w:r w:rsidRPr="006E6286">
        <w:rPr>
          <w:rFonts w:ascii="Times New Roman" w:hAnsi="Times New Roman"/>
          <w:lang w:val="lt-LT"/>
        </w:rPr>
        <w:t>0% abci</w:t>
      </w:r>
      <w:r>
        <w:rPr>
          <w:rFonts w:ascii="Times New Roman" w:hAnsi="Times New Roman"/>
          <w:lang w:val="lt-LT"/>
        </w:rPr>
        <w:t>ksimabo</w:t>
      </w:r>
      <w:r w:rsidRPr="006E6286">
        <w:rPr>
          <w:rFonts w:ascii="Times New Roman" w:hAnsi="Times New Roman"/>
          <w:lang w:val="lt-LT"/>
        </w:rPr>
        <w:t xml:space="preserve"> </w:t>
      </w:r>
      <w:r>
        <w:rPr>
          <w:rFonts w:ascii="Times New Roman" w:hAnsi="Times New Roman"/>
          <w:lang w:val="lt-LT"/>
        </w:rPr>
        <w:t xml:space="preserve">grupėje; </w:t>
      </w:r>
      <w:r w:rsidRPr="006E6286">
        <w:rPr>
          <w:rFonts w:ascii="Times New Roman" w:hAnsi="Times New Roman"/>
          <w:lang w:val="lt-LT"/>
        </w:rPr>
        <w:t>p=0</w:t>
      </w:r>
      <w:r>
        <w:rPr>
          <w:rFonts w:ascii="Times New Roman" w:hAnsi="Times New Roman"/>
          <w:lang w:val="lt-LT"/>
        </w:rPr>
        <w:t>,</w:t>
      </w:r>
      <w:r w:rsidRPr="006E6286">
        <w:rPr>
          <w:rFonts w:ascii="Times New Roman" w:hAnsi="Times New Roman"/>
          <w:lang w:val="lt-LT"/>
        </w:rPr>
        <w:t xml:space="preserve">038), </w:t>
      </w:r>
      <w:r>
        <w:rPr>
          <w:rFonts w:ascii="Times New Roman" w:hAnsi="Times New Roman"/>
          <w:lang w:val="lt-LT"/>
        </w:rPr>
        <w:t xml:space="preserve">tai daugiausia lėmė reikšmingas MI dažnio padidėjimas 30 dieną </w:t>
      </w:r>
      <w:r w:rsidRPr="006E6286">
        <w:rPr>
          <w:rFonts w:ascii="Times New Roman" w:hAnsi="Times New Roman"/>
          <w:lang w:val="lt-LT"/>
        </w:rPr>
        <w:t>(</w:t>
      </w:r>
      <w:r>
        <w:rPr>
          <w:rFonts w:ascii="Times New Roman" w:hAnsi="Times New Roman"/>
          <w:lang w:val="lt-LT"/>
        </w:rPr>
        <w:t>atitinkamai</w:t>
      </w:r>
      <w:r w:rsidRPr="006E6286">
        <w:rPr>
          <w:rFonts w:ascii="Times New Roman" w:hAnsi="Times New Roman"/>
          <w:lang w:val="lt-LT"/>
        </w:rPr>
        <w:t xml:space="preserve"> 6</w:t>
      </w:r>
      <w:r>
        <w:rPr>
          <w:rFonts w:ascii="Times New Roman" w:hAnsi="Times New Roman"/>
          <w:lang w:val="lt-LT"/>
        </w:rPr>
        <w:t>,</w:t>
      </w:r>
      <w:r w:rsidRPr="006E6286">
        <w:rPr>
          <w:rFonts w:ascii="Times New Roman" w:hAnsi="Times New Roman"/>
          <w:lang w:val="lt-LT"/>
        </w:rPr>
        <w:t xml:space="preserve">9% </w:t>
      </w:r>
      <w:r>
        <w:rPr>
          <w:rFonts w:ascii="Times New Roman" w:hAnsi="Times New Roman"/>
          <w:lang w:val="lt-LT"/>
        </w:rPr>
        <w:t>ir</w:t>
      </w:r>
      <w:r w:rsidRPr="006E6286">
        <w:rPr>
          <w:rFonts w:ascii="Times New Roman" w:hAnsi="Times New Roman"/>
          <w:lang w:val="lt-LT"/>
        </w:rPr>
        <w:t xml:space="preserve"> 5</w:t>
      </w:r>
      <w:r>
        <w:rPr>
          <w:rFonts w:ascii="Times New Roman" w:hAnsi="Times New Roman"/>
          <w:lang w:val="lt-LT"/>
        </w:rPr>
        <w:t>,</w:t>
      </w:r>
      <w:r w:rsidRPr="006E6286">
        <w:rPr>
          <w:rFonts w:ascii="Times New Roman" w:hAnsi="Times New Roman"/>
          <w:lang w:val="lt-LT"/>
        </w:rPr>
        <w:t>4%; p=0</w:t>
      </w:r>
      <w:r>
        <w:rPr>
          <w:rFonts w:ascii="Times New Roman" w:hAnsi="Times New Roman"/>
          <w:lang w:val="lt-LT"/>
        </w:rPr>
        <w:t>,</w:t>
      </w:r>
      <w:r w:rsidRPr="006E6286">
        <w:rPr>
          <w:rFonts w:ascii="Times New Roman" w:hAnsi="Times New Roman"/>
          <w:lang w:val="lt-LT"/>
        </w:rPr>
        <w:t xml:space="preserve">04). </w:t>
      </w:r>
    </w:p>
    <w:p w:rsidR="00B42325" w:rsidRPr="00F06B81" w:rsidRDefault="00B42325" w:rsidP="003E2BE3">
      <w:pPr>
        <w:pStyle w:val="BTEMEASMCA"/>
        <w:rPr>
          <w:noProof w:val="0"/>
        </w:rPr>
      </w:pPr>
    </w:p>
    <w:p w:rsidR="00B42325" w:rsidRPr="00F06B81" w:rsidRDefault="00B42325" w:rsidP="003E2BE3">
      <w:pPr>
        <w:pStyle w:val="PI-2EMEASMCA"/>
      </w:pPr>
      <w:bookmarkStart w:id="36" w:name="_Toc129243113"/>
      <w:bookmarkStart w:id="37" w:name="_Toc129243238"/>
      <w:r w:rsidRPr="00F06B81">
        <w:t>5.2</w:t>
      </w:r>
      <w:r w:rsidRPr="00F06B81">
        <w:tab/>
        <w:t>Farmakokinetinės savybės</w:t>
      </w:r>
      <w:bookmarkEnd w:id="36"/>
      <w:bookmarkEnd w:id="37"/>
    </w:p>
    <w:p w:rsidR="00B42325" w:rsidRPr="00F06B81" w:rsidRDefault="00B42325" w:rsidP="003E2BE3">
      <w:pPr>
        <w:spacing w:after="0" w:line="240" w:lineRule="auto"/>
        <w:rPr>
          <w:rFonts w:ascii="Times New Roman" w:hAnsi="Times New Roman"/>
          <w:b/>
          <w:lang w:val="lt-LT"/>
        </w:rPr>
      </w:pPr>
    </w:p>
    <w:p w:rsidR="00B42325" w:rsidRPr="00E1359F" w:rsidRDefault="00B42325" w:rsidP="003A0D62">
      <w:pPr>
        <w:spacing w:after="0" w:line="240" w:lineRule="auto"/>
        <w:rPr>
          <w:rFonts w:ascii="Times New Roman" w:hAnsi="Times New Roman"/>
          <w:i/>
          <w:lang w:val="lt-LT"/>
        </w:rPr>
      </w:pPr>
      <w:r w:rsidRPr="00E1359F">
        <w:rPr>
          <w:rFonts w:ascii="Times New Roman" w:hAnsi="Times New Roman"/>
          <w:i/>
          <w:lang w:val="lt-LT"/>
        </w:rPr>
        <w:t>Pasiskirstymas</w:t>
      </w:r>
    </w:p>
    <w:p w:rsidR="00B42325" w:rsidRDefault="00B42325" w:rsidP="003A0D62">
      <w:pPr>
        <w:spacing w:after="0" w:line="240" w:lineRule="auto"/>
        <w:rPr>
          <w:rFonts w:ascii="Times New Roman" w:hAnsi="Times New Roman"/>
          <w:lang w:val="lt-LT"/>
        </w:rPr>
      </w:pPr>
      <w:r>
        <w:rPr>
          <w:rFonts w:ascii="Times New Roman" w:hAnsi="Times New Roman"/>
          <w:lang w:val="lt-LT"/>
        </w:rPr>
        <w:lastRenderedPageBreak/>
        <w:t>Daug t</w:t>
      </w:r>
      <w:r w:rsidRPr="00F06B81">
        <w:rPr>
          <w:rFonts w:ascii="Times New Roman" w:hAnsi="Times New Roman"/>
          <w:lang w:val="lt-LT"/>
        </w:rPr>
        <w:t xml:space="preserve">irofibano </w:t>
      </w:r>
      <w:r>
        <w:rPr>
          <w:rFonts w:ascii="Times New Roman" w:hAnsi="Times New Roman"/>
          <w:lang w:val="lt-LT"/>
        </w:rPr>
        <w:t>prie</w:t>
      </w:r>
      <w:r w:rsidRPr="00F06B81">
        <w:rPr>
          <w:rFonts w:ascii="Times New Roman" w:hAnsi="Times New Roman"/>
          <w:lang w:val="lt-LT"/>
        </w:rPr>
        <w:t xml:space="preserve"> plazmos baltym</w:t>
      </w:r>
      <w:r>
        <w:rPr>
          <w:rFonts w:ascii="Times New Roman" w:hAnsi="Times New Roman"/>
          <w:lang w:val="lt-LT"/>
        </w:rPr>
        <w:t>ų nesijungia, jungimasis prie baltymų</w:t>
      </w:r>
      <w:r w:rsidRPr="00F06B81">
        <w:rPr>
          <w:rFonts w:ascii="Times New Roman" w:hAnsi="Times New Roman"/>
          <w:lang w:val="lt-LT"/>
        </w:rPr>
        <w:t xml:space="preserve"> nuo koncentracijos, kai ji yra 0,01</w:t>
      </w:r>
      <w:r>
        <w:rPr>
          <w:rFonts w:ascii="Times New Roman" w:hAnsi="Times New Roman"/>
          <w:lang w:val="lt-LT"/>
        </w:rPr>
        <w:noBreakHyphen/>
      </w:r>
      <w:r w:rsidRPr="00F06B81">
        <w:rPr>
          <w:rFonts w:ascii="Times New Roman" w:hAnsi="Times New Roman"/>
          <w:lang w:val="lt-LT"/>
        </w:rPr>
        <w:t xml:space="preserve">25 </w:t>
      </w:r>
      <w:r>
        <w:rPr>
          <w:rFonts w:ascii="Times New Roman" w:hAnsi="Times New Roman"/>
          <w:lang w:val="lt-LT"/>
        </w:rPr>
        <w:t>mikrogramai</w:t>
      </w:r>
      <w:r w:rsidRPr="00F06B81">
        <w:rPr>
          <w:rFonts w:ascii="Times New Roman" w:hAnsi="Times New Roman"/>
          <w:lang w:val="lt-LT"/>
        </w:rPr>
        <w:t>/ml</w:t>
      </w:r>
      <w:r>
        <w:rPr>
          <w:rFonts w:ascii="Times New Roman" w:hAnsi="Times New Roman"/>
          <w:lang w:val="lt-LT"/>
        </w:rPr>
        <w:t>,</w:t>
      </w:r>
      <w:r w:rsidRPr="00D67A07">
        <w:rPr>
          <w:rFonts w:ascii="Times New Roman" w:hAnsi="Times New Roman"/>
          <w:lang w:val="lt-LT"/>
        </w:rPr>
        <w:t xml:space="preserve"> </w:t>
      </w:r>
      <w:r w:rsidRPr="00F06B81">
        <w:rPr>
          <w:rFonts w:ascii="Times New Roman" w:hAnsi="Times New Roman"/>
          <w:lang w:val="lt-LT"/>
        </w:rPr>
        <w:t>nepriklauso. Žmogaus plazmoje nesusijungusio tirofibano būna 35%.</w:t>
      </w:r>
    </w:p>
    <w:p w:rsidR="00B42325" w:rsidRDefault="00B42325" w:rsidP="003A0D62">
      <w:pPr>
        <w:spacing w:after="0" w:line="240" w:lineRule="auto"/>
        <w:rPr>
          <w:rFonts w:ascii="Times New Roman" w:hAnsi="Times New Roman"/>
          <w:lang w:val="lt-LT"/>
        </w:rPr>
      </w:pPr>
    </w:p>
    <w:p w:rsidR="00B42325" w:rsidRPr="00F06B81" w:rsidRDefault="00B42325" w:rsidP="003A0D62">
      <w:pPr>
        <w:spacing w:after="0" w:line="240" w:lineRule="auto"/>
        <w:rPr>
          <w:rFonts w:ascii="Times New Roman" w:hAnsi="Times New Roman"/>
          <w:lang w:val="lt-LT"/>
        </w:rPr>
      </w:pPr>
      <w:r w:rsidRPr="00F06B81">
        <w:rPr>
          <w:rFonts w:ascii="Times New Roman" w:hAnsi="Times New Roman"/>
          <w:lang w:val="lt-LT"/>
        </w:rPr>
        <w:t xml:space="preserve">Tirofibano pasiskirstymo tūris, </w:t>
      </w:r>
      <w:r>
        <w:rPr>
          <w:rFonts w:ascii="Times New Roman" w:hAnsi="Times New Roman"/>
          <w:lang w:val="lt-LT"/>
        </w:rPr>
        <w:t>nusistovėjus pusiausvyrinei apykaitai, yra maždaug 30 l</w:t>
      </w:r>
      <w:r w:rsidRPr="00F06B81">
        <w:rPr>
          <w:rFonts w:ascii="Times New Roman" w:hAnsi="Times New Roman"/>
          <w:lang w:val="lt-LT"/>
        </w:rPr>
        <w:t xml:space="preserve">. </w:t>
      </w:r>
    </w:p>
    <w:p w:rsidR="00B42325" w:rsidRPr="00F06B81" w:rsidRDefault="00B42325" w:rsidP="003A0D62">
      <w:pPr>
        <w:spacing w:after="0" w:line="240" w:lineRule="auto"/>
        <w:rPr>
          <w:rFonts w:ascii="Times New Roman" w:hAnsi="Times New Roman"/>
          <w:lang w:val="lt-LT"/>
        </w:rPr>
      </w:pPr>
    </w:p>
    <w:p w:rsidR="00B42325" w:rsidRPr="003A0D62" w:rsidRDefault="00B42325" w:rsidP="003A0D62">
      <w:pPr>
        <w:spacing w:after="0" w:line="240" w:lineRule="auto"/>
        <w:rPr>
          <w:rFonts w:ascii="Times New Roman" w:hAnsi="Times New Roman"/>
          <w:i/>
          <w:lang w:val="lt-LT"/>
        </w:rPr>
      </w:pPr>
      <w:r w:rsidRPr="003A0D62">
        <w:rPr>
          <w:rFonts w:ascii="Times New Roman" w:hAnsi="Times New Roman"/>
          <w:i/>
          <w:lang w:val="lt-LT"/>
        </w:rPr>
        <w:t xml:space="preserve">Biotransformacija </w:t>
      </w:r>
    </w:p>
    <w:p w:rsidR="00B42325" w:rsidRPr="00F06B81" w:rsidRDefault="00B42325" w:rsidP="003A0D62">
      <w:pPr>
        <w:spacing w:after="0" w:line="240" w:lineRule="auto"/>
        <w:rPr>
          <w:rFonts w:ascii="Times New Roman" w:hAnsi="Times New Roman"/>
          <w:lang w:val="lt-LT"/>
        </w:rPr>
      </w:pPr>
      <w:r>
        <w:rPr>
          <w:rFonts w:ascii="Times New Roman" w:hAnsi="Times New Roman"/>
          <w:lang w:val="lt-LT"/>
        </w:rPr>
        <w:t>Tyrimų su</w:t>
      </w:r>
      <w:r w:rsidRPr="003A0D62">
        <w:rPr>
          <w:rFonts w:ascii="Times New Roman" w:hAnsi="Times New Roman"/>
          <w:lang w:val="lt-LT"/>
        </w:rPr>
        <w:t xml:space="preserve"> </w:t>
      </w:r>
      <w:r w:rsidRPr="003A0D62">
        <w:rPr>
          <w:rFonts w:ascii="Times New Roman" w:hAnsi="Times New Roman"/>
          <w:vertAlign w:val="superscript"/>
          <w:lang w:val="lt-LT"/>
        </w:rPr>
        <w:t>14</w:t>
      </w:r>
      <w:r w:rsidRPr="00F06B81">
        <w:rPr>
          <w:rFonts w:ascii="Times New Roman" w:hAnsi="Times New Roman"/>
          <w:lang w:val="lt-LT"/>
        </w:rPr>
        <w:t xml:space="preserve">C </w:t>
      </w:r>
      <w:r>
        <w:rPr>
          <w:rFonts w:ascii="Times New Roman" w:hAnsi="Times New Roman"/>
          <w:lang w:val="lt-LT"/>
        </w:rPr>
        <w:t>pažymėtu</w:t>
      </w:r>
      <w:r w:rsidRPr="00F06B81">
        <w:rPr>
          <w:rFonts w:ascii="Times New Roman" w:hAnsi="Times New Roman"/>
          <w:lang w:val="lt-LT"/>
        </w:rPr>
        <w:t xml:space="preserve"> tirofiban</w:t>
      </w:r>
      <w:r>
        <w:rPr>
          <w:rFonts w:ascii="Times New Roman" w:hAnsi="Times New Roman"/>
          <w:lang w:val="lt-LT"/>
        </w:rPr>
        <w:t>u metu nustatyta, kad su</w:t>
      </w:r>
      <w:r w:rsidRPr="00F06B81">
        <w:rPr>
          <w:rFonts w:ascii="Times New Roman" w:hAnsi="Times New Roman"/>
          <w:lang w:val="lt-LT"/>
        </w:rPr>
        <w:t xml:space="preserve"> šlapim</w:t>
      </w:r>
      <w:r>
        <w:rPr>
          <w:rFonts w:ascii="Times New Roman" w:hAnsi="Times New Roman"/>
          <w:lang w:val="lt-LT"/>
        </w:rPr>
        <w:t>u</w:t>
      </w:r>
      <w:r w:rsidRPr="00F06B81">
        <w:rPr>
          <w:rFonts w:ascii="Times New Roman" w:hAnsi="Times New Roman"/>
          <w:lang w:val="lt-LT"/>
        </w:rPr>
        <w:t xml:space="preserve"> ir išmato</w:t>
      </w:r>
      <w:r>
        <w:rPr>
          <w:rFonts w:ascii="Times New Roman" w:hAnsi="Times New Roman"/>
          <w:lang w:val="lt-LT"/>
        </w:rPr>
        <w:t xml:space="preserve">mis išsiskiriantį radioaktyvumą </w:t>
      </w:r>
      <w:r w:rsidRPr="00F06B81">
        <w:rPr>
          <w:rFonts w:ascii="Times New Roman" w:hAnsi="Times New Roman"/>
          <w:lang w:val="lt-LT"/>
        </w:rPr>
        <w:t>sudar</w:t>
      </w:r>
      <w:r>
        <w:rPr>
          <w:rFonts w:ascii="Times New Roman" w:hAnsi="Times New Roman"/>
          <w:lang w:val="lt-LT"/>
        </w:rPr>
        <w:t>o</w:t>
      </w:r>
      <w:r w:rsidRPr="00F06B81">
        <w:rPr>
          <w:rFonts w:ascii="Times New Roman" w:hAnsi="Times New Roman"/>
          <w:lang w:val="lt-LT"/>
        </w:rPr>
        <w:t xml:space="preserve"> nepakitęs tirofibanas. Plazmoje didžiąją cirkuliuojančios radioaktyviosios medžiagos dalį taip pat sudarė nepakitęs tirofibanas</w:t>
      </w:r>
      <w:r>
        <w:rPr>
          <w:rFonts w:ascii="Times New Roman" w:hAnsi="Times New Roman"/>
          <w:lang w:val="lt-LT"/>
        </w:rPr>
        <w:t xml:space="preserve"> (laikotarpiu iki 10 valandų po pavartojimo)</w:t>
      </w:r>
      <w:r w:rsidRPr="00F06B81">
        <w:rPr>
          <w:rFonts w:ascii="Times New Roman" w:hAnsi="Times New Roman"/>
          <w:lang w:val="lt-LT"/>
        </w:rPr>
        <w:t xml:space="preserve">. </w:t>
      </w:r>
      <w:r>
        <w:rPr>
          <w:rFonts w:ascii="Times New Roman" w:hAnsi="Times New Roman"/>
          <w:lang w:val="lt-LT"/>
        </w:rPr>
        <w:t>Tai rodo, kad tirofibano metabolizuojama nedaug.</w:t>
      </w:r>
    </w:p>
    <w:p w:rsidR="00B42325" w:rsidRPr="00F06B81" w:rsidRDefault="00B42325" w:rsidP="003A0D62">
      <w:pPr>
        <w:spacing w:after="0" w:line="240" w:lineRule="auto"/>
        <w:rPr>
          <w:rFonts w:ascii="Times New Roman" w:hAnsi="Times New Roman"/>
          <w:lang w:val="lt-LT"/>
        </w:rPr>
      </w:pPr>
    </w:p>
    <w:p w:rsidR="00B42325" w:rsidRPr="003A0D62" w:rsidRDefault="00B42325" w:rsidP="003A0D62">
      <w:pPr>
        <w:spacing w:after="0" w:line="240" w:lineRule="auto"/>
        <w:rPr>
          <w:rFonts w:ascii="Times New Roman" w:hAnsi="Times New Roman"/>
          <w:i/>
          <w:lang w:val="lt-LT"/>
        </w:rPr>
      </w:pPr>
      <w:r w:rsidRPr="003A0D62">
        <w:rPr>
          <w:rFonts w:ascii="Times New Roman" w:hAnsi="Times New Roman"/>
          <w:i/>
          <w:lang w:val="lt-LT"/>
        </w:rPr>
        <w:t>Eliminacija</w:t>
      </w:r>
    </w:p>
    <w:p w:rsidR="00B42325" w:rsidRPr="00F06B81" w:rsidRDefault="00B42325" w:rsidP="003A0D62">
      <w:pPr>
        <w:spacing w:after="0" w:line="240" w:lineRule="auto"/>
        <w:rPr>
          <w:rFonts w:ascii="Times New Roman" w:hAnsi="Times New Roman"/>
          <w:lang w:val="lt-LT"/>
        </w:rPr>
      </w:pPr>
      <w:r w:rsidRPr="00F06B81">
        <w:rPr>
          <w:rFonts w:ascii="Times New Roman" w:hAnsi="Times New Roman"/>
          <w:lang w:val="lt-LT"/>
        </w:rPr>
        <w:t xml:space="preserve">Sveikiems </w:t>
      </w:r>
      <w:r>
        <w:rPr>
          <w:rFonts w:ascii="Times New Roman" w:hAnsi="Times New Roman"/>
          <w:lang w:val="lt-LT"/>
        </w:rPr>
        <w:t>žmonėms</w:t>
      </w:r>
      <w:r w:rsidRPr="00F06B81">
        <w:rPr>
          <w:rFonts w:ascii="Times New Roman" w:hAnsi="Times New Roman"/>
          <w:lang w:val="lt-LT"/>
        </w:rPr>
        <w:t xml:space="preserve"> po </w:t>
      </w:r>
      <w:r w:rsidRPr="00F06B81">
        <w:rPr>
          <w:rFonts w:ascii="Times New Roman" w:hAnsi="Times New Roman"/>
          <w:vertAlign w:val="superscript"/>
          <w:lang w:val="lt-LT"/>
        </w:rPr>
        <w:t>14</w:t>
      </w:r>
      <w:r w:rsidRPr="00F06B81">
        <w:rPr>
          <w:rFonts w:ascii="Times New Roman" w:hAnsi="Times New Roman"/>
          <w:lang w:val="lt-LT"/>
        </w:rPr>
        <w:t xml:space="preserve">C </w:t>
      </w:r>
      <w:r>
        <w:rPr>
          <w:rFonts w:ascii="Times New Roman" w:hAnsi="Times New Roman"/>
          <w:lang w:val="lt-LT"/>
        </w:rPr>
        <w:t>pažymėto</w:t>
      </w:r>
      <w:r w:rsidRPr="00F06B81">
        <w:rPr>
          <w:rFonts w:ascii="Times New Roman" w:hAnsi="Times New Roman"/>
          <w:lang w:val="lt-LT"/>
        </w:rPr>
        <w:t xml:space="preserve"> tirofibano injekcijos</w:t>
      </w:r>
      <w:r>
        <w:rPr>
          <w:rFonts w:ascii="Times New Roman" w:hAnsi="Times New Roman"/>
          <w:lang w:val="lt-LT"/>
        </w:rPr>
        <w:t xml:space="preserve"> į veną</w:t>
      </w:r>
      <w:r w:rsidRPr="00F06B81">
        <w:rPr>
          <w:rFonts w:ascii="Times New Roman" w:hAnsi="Times New Roman"/>
          <w:lang w:val="lt-LT"/>
        </w:rPr>
        <w:t>, 66% radioaktyviosios medžiago</w:t>
      </w:r>
      <w:r>
        <w:rPr>
          <w:rFonts w:ascii="Times New Roman" w:hAnsi="Times New Roman"/>
          <w:lang w:val="lt-LT"/>
        </w:rPr>
        <w:t xml:space="preserve">s išsiskiria su šlapimu ir 23% </w:t>
      </w:r>
      <w:r w:rsidRPr="00F06B81">
        <w:rPr>
          <w:rFonts w:ascii="Times New Roman" w:hAnsi="Times New Roman"/>
          <w:lang w:val="lt-LT"/>
        </w:rPr>
        <w:t xml:space="preserve">su išmatomis. Iš viso išsiskiria apie 91% radioaktyviosios medžiagos. </w:t>
      </w:r>
      <w:r>
        <w:rPr>
          <w:rFonts w:ascii="Times New Roman" w:hAnsi="Times New Roman"/>
          <w:lang w:val="lt-LT"/>
        </w:rPr>
        <w:t xml:space="preserve">Tirofibano eliminacijai reikšmingas </w:t>
      </w:r>
      <w:r w:rsidRPr="00F06B81">
        <w:rPr>
          <w:rFonts w:ascii="Times New Roman" w:hAnsi="Times New Roman"/>
          <w:lang w:val="lt-LT"/>
        </w:rPr>
        <w:t xml:space="preserve">išsiskyrimas ir pro inkstus, ir su tulžimi. </w:t>
      </w:r>
    </w:p>
    <w:p w:rsidR="00B42325" w:rsidRPr="00F06B81" w:rsidRDefault="00B42325" w:rsidP="003A0D62">
      <w:pPr>
        <w:spacing w:after="0" w:line="240" w:lineRule="auto"/>
        <w:rPr>
          <w:rFonts w:ascii="Times New Roman" w:hAnsi="Times New Roman"/>
          <w:lang w:val="lt-LT"/>
        </w:rPr>
      </w:pPr>
      <w:r w:rsidRPr="00F06B81">
        <w:rPr>
          <w:rFonts w:ascii="Times New Roman" w:hAnsi="Times New Roman"/>
          <w:lang w:val="lt-LT"/>
        </w:rPr>
        <w:t xml:space="preserve">Sveikų </w:t>
      </w:r>
      <w:r>
        <w:rPr>
          <w:rFonts w:ascii="Times New Roman" w:hAnsi="Times New Roman"/>
          <w:lang w:val="lt-LT"/>
        </w:rPr>
        <w:t>žmonių</w:t>
      </w:r>
      <w:r w:rsidRPr="00F06B81">
        <w:rPr>
          <w:rFonts w:ascii="Times New Roman" w:hAnsi="Times New Roman"/>
          <w:lang w:val="lt-LT"/>
        </w:rPr>
        <w:t xml:space="preserve"> tirofibano plazmos klirensas </w:t>
      </w:r>
      <w:r>
        <w:rPr>
          <w:rFonts w:ascii="Times New Roman" w:hAnsi="Times New Roman"/>
          <w:lang w:val="lt-LT"/>
        </w:rPr>
        <w:t xml:space="preserve">yra maždaug </w:t>
      </w:r>
      <w:r w:rsidRPr="00F06B81">
        <w:rPr>
          <w:rFonts w:ascii="Times New Roman" w:hAnsi="Times New Roman"/>
          <w:lang w:val="lt-LT"/>
        </w:rPr>
        <w:t>2</w:t>
      </w:r>
      <w:r>
        <w:rPr>
          <w:rFonts w:ascii="Times New Roman" w:hAnsi="Times New Roman"/>
          <w:lang w:val="lt-LT"/>
        </w:rPr>
        <w:t>50</w:t>
      </w:r>
      <w:r w:rsidRPr="00F06B81">
        <w:rPr>
          <w:rFonts w:ascii="Times New Roman" w:hAnsi="Times New Roman"/>
          <w:lang w:val="lt-LT"/>
        </w:rPr>
        <w:t xml:space="preserve"> ml/min. Inkstų klirensas sudaro 39</w:t>
      </w:r>
      <w:r>
        <w:rPr>
          <w:rFonts w:ascii="Times New Roman" w:hAnsi="Times New Roman"/>
          <w:lang w:val="lt-LT"/>
        </w:rPr>
        <w:noBreakHyphen/>
      </w:r>
      <w:r w:rsidRPr="00F06B81">
        <w:rPr>
          <w:rFonts w:ascii="Times New Roman" w:hAnsi="Times New Roman"/>
          <w:lang w:val="lt-LT"/>
        </w:rPr>
        <w:t xml:space="preserve">69% plazmos klirenso. Pusinės eliminacijos </w:t>
      </w:r>
      <w:r>
        <w:rPr>
          <w:rFonts w:ascii="Times New Roman" w:hAnsi="Times New Roman"/>
          <w:lang w:val="lt-LT"/>
        </w:rPr>
        <w:t>laikas yra maždaug</w:t>
      </w:r>
      <w:r w:rsidRPr="00F06B81">
        <w:rPr>
          <w:rFonts w:ascii="Times New Roman" w:hAnsi="Times New Roman"/>
          <w:lang w:val="lt-LT"/>
        </w:rPr>
        <w:t xml:space="preserve"> 1,</w:t>
      </w:r>
      <w:r>
        <w:rPr>
          <w:rFonts w:ascii="Times New Roman" w:hAnsi="Times New Roman"/>
          <w:lang w:val="lt-LT"/>
        </w:rPr>
        <w:t>5 val.</w:t>
      </w:r>
    </w:p>
    <w:p w:rsidR="00B42325" w:rsidRPr="00F06B81" w:rsidRDefault="00B42325" w:rsidP="00CE022C">
      <w:pPr>
        <w:spacing w:after="0" w:line="240" w:lineRule="auto"/>
        <w:rPr>
          <w:rFonts w:ascii="Times New Roman" w:hAnsi="Times New Roman"/>
          <w:lang w:val="lt-LT"/>
        </w:rPr>
      </w:pPr>
    </w:p>
    <w:p w:rsidR="00B42325" w:rsidRPr="00CE022C" w:rsidRDefault="00B42325" w:rsidP="00CE022C">
      <w:pPr>
        <w:spacing w:after="0" w:line="240" w:lineRule="auto"/>
        <w:rPr>
          <w:rFonts w:ascii="Times New Roman" w:hAnsi="Times New Roman"/>
          <w:i/>
          <w:lang w:val="lt-LT"/>
        </w:rPr>
      </w:pPr>
      <w:r w:rsidRPr="00CE022C">
        <w:rPr>
          <w:rFonts w:ascii="Times New Roman" w:hAnsi="Times New Roman"/>
          <w:i/>
          <w:lang w:val="lt-LT"/>
        </w:rPr>
        <w:t>Lytis</w:t>
      </w:r>
    </w:p>
    <w:p w:rsidR="00B42325" w:rsidRPr="00F06B81" w:rsidRDefault="00B42325" w:rsidP="00CE022C">
      <w:pPr>
        <w:spacing w:after="0" w:line="240" w:lineRule="auto"/>
        <w:rPr>
          <w:rFonts w:ascii="Times New Roman" w:hAnsi="Times New Roman"/>
          <w:lang w:val="lt-LT"/>
        </w:rPr>
      </w:pPr>
      <w:r w:rsidRPr="00F06B81">
        <w:rPr>
          <w:rFonts w:ascii="Times New Roman" w:hAnsi="Times New Roman"/>
          <w:lang w:val="lt-LT"/>
        </w:rPr>
        <w:t>Vainikinių</w:t>
      </w:r>
      <w:r>
        <w:rPr>
          <w:rFonts w:ascii="Times New Roman" w:hAnsi="Times New Roman"/>
          <w:lang w:val="lt-LT"/>
        </w:rPr>
        <w:t xml:space="preserve"> </w:t>
      </w:r>
      <w:r w:rsidRPr="00F06B81">
        <w:rPr>
          <w:rFonts w:ascii="Times New Roman" w:hAnsi="Times New Roman"/>
          <w:lang w:val="lt-LT"/>
        </w:rPr>
        <w:t>arterijų liga</w:t>
      </w:r>
      <w:r>
        <w:rPr>
          <w:rFonts w:ascii="Times New Roman" w:hAnsi="Times New Roman"/>
          <w:lang w:val="lt-LT"/>
        </w:rPr>
        <w:t xml:space="preserve"> sergančių vyrų ir moterų organizme </w:t>
      </w:r>
      <w:r w:rsidRPr="00F06B81">
        <w:rPr>
          <w:rFonts w:ascii="Times New Roman" w:hAnsi="Times New Roman"/>
          <w:lang w:val="lt-LT"/>
        </w:rPr>
        <w:t>tirofibano plazmos klirensas yra panašus.</w:t>
      </w:r>
    </w:p>
    <w:p w:rsidR="00B42325" w:rsidRPr="00F06B81" w:rsidRDefault="00B42325" w:rsidP="00CE022C">
      <w:pPr>
        <w:spacing w:after="0" w:line="240" w:lineRule="auto"/>
        <w:rPr>
          <w:rFonts w:ascii="Times New Roman" w:hAnsi="Times New Roman"/>
          <w:lang w:val="lt-LT"/>
        </w:rPr>
      </w:pPr>
    </w:p>
    <w:p w:rsidR="00B42325" w:rsidRPr="00CE022C" w:rsidRDefault="00B42325" w:rsidP="00CE022C">
      <w:pPr>
        <w:spacing w:after="0" w:line="240" w:lineRule="auto"/>
        <w:rPr>
          <w:rFonts w:ascii="Times New Roman" w:hAnsi="Times New Roman"/>
          <w:i/>
          <w:lang w:val="lt-LT"/>
        </w:rPr>
      </w:pPr>
      <w:r w:rsidRPr="00CE022C">
        <w:rPr>
          <w:rFonts w:ascii="Times New Roman" w:hAnsi="Times New Roman"/>
          <w:i/>
          <w:lang w:val="lt-LT"/>
        </w:rPr>
        <w:t>Senyvi pacientai</w:t>
      </w:r>
    </w:p>
    <w:p w:rsidR="00B42325" w:rsidRPr="00F06B81" w:rsidRDefault="00B42325" w:rsidP="00CE022C">
      <w:pPr>
        <w:spacing w:after="0" w:line="240" w:lineRule="auto"/>
        <w:rPr>
          <w:rFonts w:ascii="Times New Roman" w:hAnsi="Times New Roman"/>
          <w:lang w:val="lt-LT"/>
        </w:rPr>
      </w:pPr>
      <w:r w:rsidRPr="00F06B81">
        <w:rPr>
          <w:rFonts w:ascii="Times New Roman" w:hAnsi="Times New Roman"/>
          <w:lang w:val="lt-LT"/>
        </w:rPr>
        <w:t>Senyvų (&gt;65 met</w:t>
      </w:r>
      <w:r>
        <w:rPr>
          <w:rFonts w:ascii="Times New Roman" w:hAnsi="Times New Roman"/>
          <w:lang w:val="lt-LT"/>
        </w:rPr>
        <w:t>ų)</w:t>
      </w:r>
      <w:r w:rsidRPr="00F06B81">
        <w:rPr>
          <w:rFonts w:ascii="Times New Roman" w:hAnsi="Times New Roman"/>
          <w:lang w:val="lt-LT"/>
        </w:rPr>
        <w:t xml:space="preserve"> pacientų kurie serga vainikinių arterijų liga, </w:t>
      </w:r>
      <w:r>
        <w:rPr>
          <w:rFonts w:ascii="Times New Roman" w:hAnsi="Times New Roman"/>
          <w:lang w:val="lt-LT"/>
        </w:rPr>
        <w:t xml:space="preserve">organizme </w:t>
      </w:r>
      <w:r w:rsidRPr="00F06B81">
        <w:rPr>
          <w:rFonts w:ascii="Times New Roman" w:hAnsi="Times New Roman"/>
          <w:lang w:val="lt-LT"/>
        </w:rPr>
        <w:t xml:space="preserve">tirofibano plazmos klirensas </w:t>
      </w:r>
      <w:r>
        <w:rPr>
          <w:rFonts w:ascii="Times New Roman" w:hAnsi="Times New Roman"/>
          <w:lang w:val="lt-LT"/>
        </w:rPr>
        <w:t>būna maždaug 25</w:t>
      </w:r>
      <w:r w:rsidRPr="00F06B81">
        <w:rPr>
          <w:rFonts w:ascii="Times New Roman" w:hAnsi="Times New Roman"/>
          <w:lang w:val="lt-LT"/>
        </w:rPr>
        <w:t>% mažesnis negu jaunesnių (</w:t>
      </w:r>
      <w:r w:rsidRPr="00F06B81">
        <w:rPr>
          <w:rFonts w:ascii="Times New Roman" w:hAnsi="Times New Roman"/>
          <w:lang w:val="lt-LT"/>
        </w:rPr>
        <w:sym w:font="Symbol" w:char="F0A3"/>
      </w:r>
      <w:r w:rsidRPr="00F06B81">
        <w:rPr>
          <w:rFonts w:ascii="Times New Roman" w:hAnsi="Times New Roman"/>
          <w:lang w:val="lt-LT"/>
        </w:rPr>
        <w:t>65 metų)</w:t>
      </w:r>
      <w:r>
        <w:rPr>
          <w:rFonts w:ascii="Times New Roman" w:hAnsi="Times New Roman"/>
          <w:lang w:val="lt-LT"/>
        </w:rPr>
        <w:t xml:space="preserve"> žmonių organizme</w:t>
      </w:r>
      <w:r w:rsidRPr="00F06B81">
        <w:rPr>
          <w:rFonts w:ascii="Times New Roman" w:hAnsi="Times New Roman"/>
          <w:lang w:val="lt-LT"/>
        </w:rPr>
        <w:t>.</w:t>
      </w:r>
    </w:p>
    <w:p w:rsidR="00B42325" w:rsidRPr="00F06B81" w:rsidRDefault="00B42325" w:rsidP="00CE022C">
      <w:pPr>
        <w:spacing w:after="0" w:line="240" w:lineRule="auto"/>
        <w:rPr>
          <w:rFonts w:ascii="Times New Roman" w:hAnsi="Times New Roman"/>
          <w:lang w:val="lt-LT"/>
        </w:rPr>
      </w:pPr>
    </w:p>
    <w:p w:rsidR="00B42325" w:rsidRPr="00CE022C" w:rsidRDefault="00B42325" w:rsidP="00CE022C">
      <w:pPr>
        <w:spacing w:after="0" w:line="240" w:lineRule="auto"/>
        <w:rPr>
          <w:rFonts w:ascii="Times New Roman" w:hAnsi="Times New Roman"/>
          <w:i/>
          <w:lang w:val="lt-LT"/>
        </w:rPr>
      </w:pPr>
      <w:r>
        <w:rPr>
          <w:rFonts w:ascii="Times New Roman" w:hAnsi="Times New Roman"/>
          <w:i/>
          <w:lang w:val="lt-LT"/>
        </w:rPr>
        <w:t>Etninės grupės</w:t>
      </w:r>
    </w:p>
    <w:p w:rsidR="00B42325" w:rsidRDefault="00B42325" w:rsidP="00CE022C">
      <w:pPr>
        <w:spacing w:after="0" w:line="240" w:lineRule="auto"/>
        <w:rPr>
          <w:rFonts w:ascii="Times New Roman" w:hAnsi="Times New Roman"/>
          <w:lang w:val="lt-LT"/>
        </w:rPr>
      </w:pPr>
      <w:r>
        <w:rPr>
          <w:rFonts w:ascii="Times New Roman" w:hAnsi="Times New Roman"/>
          <w:lang w:val="lt-LT"/>
        </w:rPr>
        <w:t>P</w:t>
      </w:r>
      <w:r w:rsidRPr="00F06B81">
        <w:rPr>
          <w:rFonts w:ascii="Times New Roman" w:hAnsi="Times New Roman"/>
          <w:lang w:val="lt-LT"/>
        </w:rPr>
        <w:t>lazmos klirens</w:t>
      </w:r>
      <w:r>
        <w:rPr>
          <w:rFonts w:ascii="Times New Roman" w:hAnsi="Times New Roman"/>
          <w:lang w:val="lt-LT"/>
        </w:rPr>
        <w:t>o skirtumų skirtingų etninių grupių pacientų organizme nenustatyta.</w:t>
      </w:r>
    </w:p>
    <w:p w:rsidR="00B42325" w:rsidRPr="00F06B81" w:rsidRDefault="00B42325" w:rsidP="00CE022C">
      <w:pPr>
        <w:spacing w:after="0" w:line="240" w:lineRule="auto"/>
        <w:rPr>
          <w:rFonts w:ascii="Times New Roman" w:hAnsi="Times New Roman"/>
          <w:lang w:val="lt-LT"/>
        </w:rPr>
      </w:pPr>
    </w:p>
    <w:p w:rsidR="00B42325" w:rsidRPr="00CE022C" w:rsidRDefault="00B42325" w:rsidP="00CE022C">
      <w:pPr>
        <w:spacing w:after="0" w:line="240" w:lineRule="auto"/>
        <w:rPr>
          <w:rFonts w:ascii="Times New Roman" w:hAnsi="Times New Roman"/>
          <w:i/>
          <w:lang w:val="lt-LT"/>
        </w:rPr>
      </w:pPr>
      <w:r w:rsidRPr="00CE022C">
        <w:rPr>
          <w:rFonts w:ascii="Times New Roman" w:hAnsi="Times New Roman"/>
          <w:i/>
          <w:lang w:val="lt-LT"/>
        </w:rPr>
        <w:t>Vainikinių arterijų liga</w:t>
      </w:r>
    </w:p>
    <w:p w:rsidR="00B42325" w:rsidRDefault="00B42325" w:rsidP="00CE022C">
      <w:pPr>
        <w:spacing w:after="0" w:line="240" w:lineRule="auto"/>
        <w:rPr>
          <w:rFonts w:ascii="Times New Roman" w:hAnsi="Times New Roman"/>
          <w:lang w:val="lt-LT"/>
        </w:rPr>
      </w:pPr>
      <w:r>
        <w:rPr>
          <w:rFonts w:ascii="Times New Roman" w:hAnsi="Times New Roman"/>
          <w:lang w:val="lt-LT"/>
        </w:rPr>
        <w:t xml:space="preserve">Pacientų, kuriems yra nestabili krūtinėms angina ar NQWMI, plazmos klirensas buvo maždaug 200 ml/min., inkstų klirensas sudarė </w:t>
      </w:r>
      <w:r w:rsidRPr="00F06B81">
        <w:rPr>
          <w:rFonts w:ascii="Times New Roman" w:hAnsi="Times New Roman"/>
          <w:lang w:val="lt-LT"/>
        </w:rPr>
        <w:t>3</w:t>
      </w:r>
      <w:r>
        <w:rPr>
          <w:rFonts w:ascii="Times New Roman" w:hAnsi="Times New Roman"/>
          <w:lang w:val="lt-LT"/>
        </w:rPr>
        <w:t>9</w:t>
      </w:r>
      <w:r w:rsidRPr="00F06B81">
        <w:rPr>
          <w:rFonts w:ascii="Times New Roman" w:hAnsi="Times New Roman"/>
          <w:lang w:val="lt-LT"/>
        </w:rPr>
        <w:t xml:space="preserve">% plazmos klirenso. Pusinės eliminacijos </w:t>
      </w:r>
      <w:r>
        <w:rPr>
          <w:rFonts w:ascii="Times New Roman" w:hAnsi="Times New Roman"/>
          <w:lang w:val="lt-LT"/>
        </w:rPr>
        <w:t>laikas buvo maždaug dvi valandos.</w:t>
      </w:r>
    </w:p>
    <w:p w:rsidR="00B42325" w:rsidRPr="00F06B81" w:rsidRDefault="00B42325" w:rsidP="00CE022C">
      <w:pPr>
        <w:spacing w:after="0" w:line="240" w:lineRule="auto"/>
        <w:rPr>
          <w:rFonts w:ascii="Times New Roman" w:hAnsi="Times New Roman"/>
          <w:lang w:val="lt-LT"/>
        </w:rPr>
      </w:pPr>
    </w:p>
    <w:p w:rsidR="00B42325" w:rsidRPr="00A313F7" w:rsidRDefault="00B42325" w:rsidP="00A313F7">
      <w:pPr>
        <w:spacing w:after="0" w:line="240" w:lineRule="auto"/>
        <w:rPr>
          <w:rFonts w:ascii="Times New Roman" w:hAnsi="Times New Roman"/>
          <w:i/>
          <w:lang w:val="lt-LT"/>
        </w:rPr>
      </w:pPr>
      <w:r w:rsidRPr="00A313F7">
        <w:rPr>
          <w:rFonts w:ascii="Times New Roman" w:hAnsi="Times New Roman"/>
          <w:i/>
          <w:lang w:val="lt-LT"/>
        </w:rPr>
        <w:t>Inkstų funkcijos sutrikimas</w:t>
      </w:r>
    </w:p>
    <w:p w:rsidR="00B42325" w:rsidRPr="00F06B81" w:rsidRDefault="00B42325" w:rsidP="00A313F7">
      <w:pPr>
        <w:spacing w:after="0" w:line="240" w:lineRule="auto"/>
        <w:rPr>
          <w:rFonts w:ascii="Times New Roman" w:hAnsi="Times New Roman"/>
          <w:lang w:val="lt-LT"/>
        </w:rPr>
      </w:pPr>
      <w:r>
        <w:rPr>
          <w:rFonts w:ascii="Times New Roman" w:hAnsi="Times New Roman"/>
          <w:lang w:val="lt-LT"/>
        </w:rPr>
        <w:t>Klinikinių tyrimų metu p</w:t>
      </w:r>
      <w:r w:rsidRPr="00F06B81">
        <w:rPr>
          <w:rFonts w:ascii="Times New Roman" w:hAnsi="Times New Roman"/>
          <w:lang w:val="lt-LT"/>
        </w:rPr>
        <w:t xml:space="preserve">acientų, kurių </w:t>
      </w:r>
      <w:r>
        <w:rPr>
          <w:rFonts w:ascii="Times New Roman" w:hAnsi="Times New Roman"/>
          <w:lang w:val="lt-LT"/>
        </w:rPr>
        <w:t xml:space="preserve">inkstų funkcija buvo susilpnėjusi, </w:t>
      </w:r>
      <w:r w:rsidRPr="00F06B81">
        <w:rPr>
          <w:rFonts w:ascii="Times New Roman" w:hAnsi="Times New Roman"/>
          <w:lang w:val="lt-LT"/>
        </w:rPr>
        <w:t>tirofibano plazmos klirensas sumažėj</w:t>
      </w:r>
      <w:r>
        <w:rPr>
          <w:rFonts w:ascii="Times New Roman" w:hAnsi="Times New Roman"/>
          <w:lang w:val="lt-LT"/>
        </w:rPr>
        <w:t xml:space="preserve">o, toks poveikis priklausė nuo kreatinino klirenso sumažėjimo laipsnio. Pacientams, kurių </w:t>
      </w:r>
      <w:r w:rsidRPr="00F06B81">
        <w:rPr>
          <w:rFonts w:ascii="Times New Roman" w:hAnsi="Times New Roman"/>
          <w:lang w:val="lt-LT"/>
        </w:rPr>
        <w:t xml:space="preserve">kreatinino klirensas </w:t>
      </w:r>
      <w:r>
        <w:rPr>
          <w:rFonts w:ascii="Times New Roman" w:hAnsi="Times New Roman"/>
          <w:lang w:val="lt-LT"/>
        </w:rPr>
        <w:t xml:space="preserve">buvo mažesnis kaip </w:t>
      </w:r>
      <w:r w:rsidRPr="00F06B81">
        <w:rPr>
          <w:rFonts w:ascii="Times New Roman" w:hAnsi="Times New Roman"/>
          <w:lang w:val="lt-LT"/>
        </w:rPr>
        <w:t>30 ml/min</w:t>
      </w:r>
      <w:r>
        <w:rPr>
          <w:rFonts w:ascii="Times New Roman" w:hAnsi="Times New Roman"/>
          <w:lang w:val="lt-LT"/>
        </w:rPr>
        <w:t>.</w:t>
      </w:r>
      <w:r w:rsidRPr="00F06B81">
        <w:rPr>
          <w:rFonts w:ascii="Times New Roman" w:hAnsi="Times New Roman"/>
          <w:lang w:val="lt-LT"/>
        </w:rPr>
        <w:t xml:space="preserve">, </w:t>
      </w:r>
      <w:r>
        <w:rPr>
          <w:rFonts w:ascii="Times New Roman" w:hAnsi="Times New Roman"/>
          <w:lang w:val="lt-LT"/>
        </w:rPr>
        <w:t>įskaitant hemodializėmis gydomus pacientus, tirofibano plazmos klirensas sumažėjo kliniškai reikšmingai (daugiau kaip 50</w:t>
      </w:r>
      <w:r w:rsidRPr="00F06B81">
        <w:rPr>
          <w:rFonts w:ascii="Times New Roman" w:hAnsi="Times New Roman"/>
          <w:lang w:val="lt-LT"/>
        </w:rPr>
        <w:t>%</w:t>
      </w:r>
      <w:r>
        <w:rPr>
          <w:rFonts w:ascii="Times New Roman" w:hAnsi="Times New Roman"/>
          <w:lang w:val="lt-LT"/>
        </w:rPr>
        <w:t>) (žr. 4.2 skyrių). Tirofibanas pašalinamas hemodializės metu.</w:t>
      </w:r>
    </w:p>
    <w:p w:rsidR="00B42325" w:rsidRPr="00F06B81" w:rsidRDefault="00B42325" w:rsidP="003A0D62">
      <w:pPr>
        <w:spacing w:after="0" w:line="240" w:lineRule="auto"/>
        <w:rPr>
          <w:rFonts w:ascii="Times New Roman" w:hAnsi="Times New Roman"/>
          <w:lang w:val="lt-LT"/>
        </w:rPr>
      </w:pPr>
    </w:p>
    <w:p w:rsidR="00B42325" w:rsidRPr="00EB0F29" w:rsidRDefault="00B42325" w:rsidP="00EB0F29">
      <w:pPr>
        <w:spacing w:after="0" w:line="240" w:lineRule="auto"/>
        <w:rPr>
          <w:rFonts w:ascii="Times New Roman" w:hAnsi="Times New Roman"/>
          <w:i/>
          <w:lang w:val="lt-LT"/>
        </w:rPr>
      </w:pPr>
      <w:r w:rsidRPr="00EB0F29">
        <w:rPr>
          <w:rFonts w:ascii="Times New Roman" w:hAnsi="Times New Roman"/>
          <w:i/>
          <w:lang w:val="lt-LT"/>
        </w:rPr>
        <w:t>Kepenų nepakankamumas</w:t>
      </w:r>
    </w:p>
    <w:p w:rsidR="00B42325" w:rsidRDefault="00B42325" w:rsidP="003A0D62">
      <w:pPr>
        <w:spacing w:after="0" w:line="240" w:lineRule="auto"/>
        <w:rPr>
          <w:rFonts w:ascii="Times New Roman" w:hAnsi="Times New Roman"/>
          <w:lang w:val="lt-LT"/>
        </w:rPr>
      </w:pPr>
      <w:r>
        <w:rPr>
          <w:rFonts w:ascii="Times New Roman" w:hAnsi="Times New Roman"/>
          <w:lang w:val="lt-LT"/>
        </w:rPr>
        <w:t>Duomenų, kad p</w:t>
      </w:r>
      <w:r w:rsidRPr="00F06B81">
        <w:rPr>
          <w:rFonts w:ascii="Times New Roman" w:hAnsi="Times New Roman"/>
          <w:lang w:val="lt-LT"/>
        </w:rPr>
        <w:t xml:space="preserve">acientų, kuriems yra </w:t>
      </w:r>
      <w:r>
        <w:rPr>
          <w:rFonts w:ascii="Times New Roman" w:hAnsi="Times New Roman"/>
          <w:lang w:val="lt-LT"/>
        </w:rPr>
        <w:t>lengvas</w:t>
      </w:r>
      <w:r w:rsidRPr="00F06B81">
        <w:rPr>
          <w:rFonts w:ascii="Times New Roman" w:hAnsi="Times New Roman"/>
          <w:lang w:val="lt-LT"/>
        </w:rPr>
        <w:t xml:space="preserve"> ir vidutinio sunkumo kepenų nepakankamumas, tirofibano plazmos klirensas reikšmingai </w:t>
      </w:r>
      <w:r>
        <w:rPr>
          <w:rFonts w:ascii="Times New Roman" w:hAnsi="Times New Roman"/>
          <w:lang w:val="lt-LT"/>
        </w:rPr>
        <w:t>sumažėja, nėra. Duomenų apie ligonius, kuriems yra sunkus kepenų nepakankamumas, nėra.</w:t>
      </w:r>
    </w:p>
    <w:p w:rsidR="00B42325" w:rsidRPr="00F06B81" w:rsidRDefault="00B42325" w:rsidP="003A0D62">
      <w:pPr>
        <w:spacing w:after="0" w:line="240" w:lineRule="auto"/>
        <w:rPr>
          <w:rFonts w:ascii="Times New Roman" w:hAnsi="Times New Roman"/>
          <w:lang w:val="lt-LT"/>
        </w:rPr>
      </w:pPr>
    </w:p>
    <w:p w:rsidR="00B42325" w:rsidRPr="00B7307C" w:rsidRDefault="00B42325" w:rsidP="00B7307C">
      <w:pPr>
        <w:pStyle w:val="Default"/>
        <w:rPr>
          <w:sz w:val="22"/>
          <w:szCs w:val="22"/>
          <w:lang w:val="lt-LT"/>
        </w:rPr>
      </w:pPr>
      <w:r>
        <w:rPr>
          <w:i/>
          <w:iCs/>
          <w:sz w:val="22"/>
          <w:szCs w:val="22"/>
          <w:lang w:val="lt-LT"/>
        </w:rPr>
        <w:t xml:space="preserve">Kitų </w:t>
      </w:r>
      <w:r w:rsidRPr="00B7307C">
        <w:rPr>
          <w:i/>
          <w:iCs/>
          <w:sz w:val="22"/>
          <w:szCs w:val="22"/>
          <w:lang w:val="lt-LT"/>
        </w:rPr>
        <w:t>vaistini</w:t>
      </w:r>
      <w:r>
        <w:rPr>
          <w:i/>
          <w:iCs/>
          <w:sz w:val="22"/>
          <w:szCs w:val="22"/>
          <w:lang w:val="lt-LT"/>
        </w:rPr>
        <w:t>ų</w:t>
      </w:r>
      <w:r w:rsidRPr="00B7307C">
        <w:rPr>
          <w:i/>
          <w:iCs/>
          <w:sz w:val="22"/>
          <w:szCs w:val="22"/>
          <w:lang w:val="lt-LT"/>
        </w:rPr>
        <w:t xml:space="preserve"> preparat</w:t>
      </w:r>
      <w:r>
        <w:rPr>
          <w:i/>
          <w:iCs/>
          <w:sz w:val="22"/>
          <w:szCs w:val="22"/>
          <w:lang w:val="lt-LT"/>
        </w:rPr>
        <w:t>ų</w:t>
      </w:r>
      <w:r w:rsidRPr="006827E1">
        <w:rPr>
          <w:i/>
          <w:iCs/>
          <w:sz w:val="22"/>
          <w:szCs w:val="22"/>
          <w:lang w:val="lt-LT"/>
        </w:rPr>
        <w:t xml:space="preserve"> </w:t>
      </w:r>
      <w:r>
        <w:rPr>
          <w:i/>
          <w:iCs/>
          <w:sz w:val="22"/>
          <w:szCs w:val="22"/>
          <w:lang w:val="lt-LT"/>
        </w:rPr>
        <w:t>p</w:t>
      </w:r>
      <w:r w:rsidRPr="00B7307C">
        <w:rPr>
          <w:i/>
          <w:iCs/>
          <w:sz w:val="22"/>
          <w:szCs w:val="22"/>
          <w:lang w:val="lt-LT"/>
        </w:rPr>
        <w:t>oveikis</w:t>
      </w:r>
    </w:p>
    <w:p w:rsidR="00B42325" w:rsidRPr="006827E1" w:rsidRDefault="00B42325" w:rsidP="006827E1">
      <w:pPr>
        <w:spacing w:after="0" w:line="240" w:lineRule="auto"/>
        <w:rPr>
          <w:rFonts w:ascii="Times New Roman" w:hAnsi="Times New Roman"/>
          <w:lang w:val="lt-LT"/>
        </w:rPr>
      </w:pPr>
      <w:r w:rsidRPr="006827E1">
        <w:rPr>
          <w:rFonts w:ascii="Times New Roman" w:hAnsi="Times New Roman"/>
          <w:lang w:val="lt-LT"/>
        </w:rPr>
        <w:t xml:space="preserve">PRISM </w:t>
      </w:r>
      <w:r>
        <w:rPr>
          <w:rFonts w:ascii="Times New Roman" w:hAnsi="Times New Roman"/>
          <w:lang w:val="lt-LT"/>
        </w:rPr>
        <w:t>tyrimo</w:t>
      </w:r>
      <w:r w:rsidRPr="006827E1">
        <w:rPr>
          <w:rFonts w:ascii="Times New Roman" w:hAnsi="Times New Roman"/>
          <w:lang w:val="lt-LT"/>
        </w:rPr>
        <w:t xml:space="preserve"> metu buvo įvertintas pacientų, </w:t>
      </w:r>
      <w:r>
        <w:rPr>
          <w:rFonts w:ascii="Times New Roman" w:hAnsi="Times New Roman"/>
          <w:lang w:val="lt-LT"/>
        </w:rPr>
        <w:t xml:space="preserve">vartojusių </w:t>
      </w:r>
      <w:r w:rsidRPr="006827E1">
        <w:rPr>
          <w:rFonts w:ascii="Times New Roman" w:hAnsi="Times New Roman"/>
          <w:lang w:val="lt-LT"/>
        </w:rPr>
        <w:t>vien</w:t>
      </w:r>
      <w:r>
        <w:rPr>
          <w:rFonts w:ascii="Times New Roman" w:hAnsi="Times New Roman"/>
          <w:lang w:val="lt-LT"/>
        </w:rPr>
        <w:t>o</w:t>
      </w:r>
      <w:r w:rsidRPr="006827E1">
        <w:rPr>
          <w:rFonts w:ascii="Times New Roman" w:hAnsi="Times New Roman"/>
          <w:lang w:val="lt-LT"/>
        </w:rPr>
        <w:t xml:space="preserve"> iš </w:t>
      </w:r>
      <w:r>
        <w:rPr>
          <w:rFonts w:ascii="Times New Roman" w:hAnsi="Times New Roman"/>
          <w:lang w:val="lt-LT"/>
        </w:rPr>
        <w:t>toliau</w:t>
      </w:r>
      <w:r w:rsidRPr="006827E1">
        <w:rPr>
          <w:rFonts w:ascii="Times New Roman" w:hAnsi="Times New Roman"/>
          <w:lang w:val="lt-LT"/>
        </w:rPr>
        <w:t xml:space="preserve"> </w:t>
      </w:r>
      <w:r>
        <w:rPr>
          <w:rFonts w:ascii="Times New Roman" w:hAnsi="Times New Roman"/>
          <w:lang w:val="lt-LT"/>
        </w:rPr>
        <w:t>išvardytų</w:t>
      </w:r>
      <w:r w:rsidRPr="006827E1">
        <w:rPr>
          <w:rFonts w:ascii="Times New Roman" w:hAnsi="Times New Roman"/>
          <w:lang w:val="lt-LT"/>
        </w:rPr>
        <w:t xml:space="preserve"> vaist</w:t>
      </w:r>
      <w:r>
        <w:rPr>
          <w:rFonts w:ascii="Times New Roman" w:hAnsi="Times New Roman"/>
          <w:lang w:val="lt-LT"/>
        </w:rPr>
        <w:t>inių preparat</w:t>
      </w:r>
      <w:r w:rsidRPr="006827E1">
        <w:rPr>
          <w:rFonts w:ascii="Times New Roman" w:hAnsi="Times New Roman"/>
          <w:lang w:val="lt-LT"/>
        </w:rPr>
        <w:t xml:space="preserve">ų, </w:t>
      </w:r>
      <w:r>
        <w:rPr>
          <w:rFonts w:ascii="Times New Roman" w:hAnsi="Times New Roman"/>
          <w:lang w:val="lt-LT"/>
        </w:rPr>
        <w:t xml:space="preserve">ir minėtų preparatų nevartojusių ligonių </w:t>
      </w:r>
      <w:r w:rsidRPr="006827E1">
        <w:rPr>
          <w:rFonts w:ascii="Times New Roman" w:hAnsi="Times New Roman"/>
          <w:lang w:val="lt-LT"/>
        </w:rPr>
        <w:t xml:space="preserve">tirofibano plazmos klirensas (n=762). </w:t>
      </w:r>
      <w:r>
        <w:rPr>
          <w:rFonts w:ascii="Times New Roman" w:hAnsi="Times New Roman"/>
          <w:lang w:val="lt-LT"/>
        </w:rPr>
        <w:t>Šie vaistiniai preparatai reikšmingo (&gt;15</w:t>
      </w:r>
      <w:r w:rsidRPr="00F06B81">
        <w:rPr>
          <w:rFonts w:ascii="Times New Roman" w:hAnsi="Times New Roman"/>
          <w:lang w:val="lt-LT"/>
        </w:rPr>
        <w:t>%</w:t>
      </w:r>
      <w:r>
        <w:rPr>
          <w:rFonts w:ascii="Times New Roman" w:hAnsi="Times New Roman"/>
          <w:lang w:val="lt-LT"/>
        </w:rPr>
        <w:t>) poveikio tirofibano plazmos klirensui nesukėlė: a</w:t>
      </w:r>
      <w:r w:rsidRPr="006827E1">
        <w:rPr>
          <w:rFonts w:ascii="Times New Roman" w:hAnsi="Times New Roman"/>
          <w:lang w:val="lt-LT"/>
        </w:rPr>
        <w:t xml:space="preserve">cebutololis, alprazolamas, amlodipinas, aspirino preparatai, atenololis, bromazepamas, kaptoprilis, diazepamas, digoksinas, diltiazemas, dokusato natrio druska, enalaprilis, furozemidas, </w:t>
      </w:r>
      <w:r>
        <w:rPr>
          <w:rFonts w:ascii="Times New Roman" w:hAnsi="Times New Roman"/>
          <w:lang w:val="lt-LT"/>
        </w:rPr>
        <w:t>glibenklamidas</w:t>
      </w:r>
      <w:r w:rsidRPr="006827E1">
        <w:rPr>
          <w:rFonts w:ascii="Times New Roman" w:hAnsi="Times New Roman"/>
          <w:lang w:val="lt-LT"/>
        </w:rPr>
        <w:t xml:space="preserve">, </w:t>
      </w:r>
      <w:r>
        <w:rPr>
          <w:rFonts w:ascii="Times New Roman" w:hAnsi="Times New Roman"/>
          <w:lang w:val="lt-LT"/>
        </w:rPr>
        <w:t xml:space="preserve">nefrakcionuotas </w:t>
      </w:r>
      <w:r w:rsidRPr="006827E1">
        <w:rPr>
          <w:rFonts w:ascii="Times New Roman" w:hAnsi="Times New Roman"/>
          <w:lang w:val="lt-LT"/>
        </w:rPr>
        <w:t>heparinas, insulinas, izosorbidas, lorazepamas, lovastatinas, metoklopramidas, metoprololis, morfinas, nifedipinas, nitrat</w:t>
      </w:r>
      <w:r>
        <w:rPr>
          <w:rFonts w:ascii="Times New Roman" w:hAnsi="Times New Roman"/>
          <w:lang w:val="lt-LT"/>
        </w:rPr>
        <w:t xml:space="preserve">ų preparatai, </w:t>
      </w:r>
      <w:r w:rsidRPr="006827E1">
        <w:rPr>
          <w:rFonts w:ascii="Times New Roman" w:hAnsi="Times New Roman"/>
          <w:lang w:val="lt-LT"/>
        </w:rPr>
        <w:t xml:space="preserve">oksazepamas, </w:t>
      </w:r>
      <w:r>
        <w:rPr>
          <w:rFonts w:ascii="Times New Roman" w:hAnsi="Times New Roman"/>
          <w:lang w:val="lt-LT"/>
        </w:rPr>
        <w:t xml:space="preserve">paracetamolis, </w:t>
      </w:r>
      <w:r w:rsidRPr="006827E1">
        <w:rPr>
          <w:rFonts w:ascii="Times New Roman" w:hAnsi="Times New Roman"/>
          <w:lang w:val="lt-LT"/>
        </w:rPr>
        <w:t>kalio chloridas, propranololis, ranitidinas, simvastatinas, sukralfatas ir temazepamas.</w:t>
      </w:r>
    </w:p>
    <w:p w:rsidR="00B42325" w:rsidRDefault="00B42325" w:rsidP="00EB0F29">
      <w:pPr>
        <w:spacing w:after="0" w:line="240" w:lineRule="auto"/>
        <w:rPr>
          <w:rFonts w:ascii="Times New Roman" w:hAnsi="Times New Roman"/>
          <w:lang w:val="lt-LT"/>
        </w:rPr>
      </w:pPr>
    </w:p>
    <w:p w:rsidR="00B42325" w:rsidRPr="00F06B81" w:rsidRDefault="00B42325" w:rsidP="00EB0F29">
      <w:pPr>
        <w:spacing w:after="0" w:line="240" w:lineRule="auto"/>
        <w:rPr>
          <w:rFonts w:ascii="Times New Roman" w:hAnsi="Times New Roman"/>
          <w:lang w:val="lt-LT"/>
        </w:rPr>
      </w:pPr>
      <w:r>
        <w:rPr>
          <w:rFonts w:ascii="Times New Roman" w:hAnsi="Times New Roman"/>
          <w:lang w:val="lt-LT"/>
        </w:rPr>
        <w:lastRenderedPageBreak/>
        <w:t>Trombopriv</w:t>
      </w:r>
      <w:r w:rsidRPr="00F06B81">
        <w:rPr>
          <w:rFonts w:ascii="Times New Roman" w:hAnsi="Times New Roman"/>
          <w:lang w:val="lt-LT"/>
        </w:rPr>
        <w:t xml:space="preserve"> </w:t>
      </w:r>
      <w:r>
        <w:rPr>
          <w:rFonts w:ascii="Times New Roman" w:hAnsi="Times New Roman"/>
          <w:lang w:val="lt-LT"/>
        </w:rPr>
        <w:t xml:space="preserve">farmakokinetika ir farmakodinamika tirta kartu vartojant enoksaparino </w:t>
      </w:r>
      <w:r w:rsidRPr="00EB0F29">
        <w:rPr>
          <w:rFonts w:ascii="Times New Roman" w:hAnsi="Times New Roman"/>
          <w:lang w:val="lt-LT"/>
        </w:rPr>
        <w:t>(1</w:t>
      </w:r>
      <w:r>
        <w:rPr>
          <w:rFonts w:ascii="Times New Roman" w:hAnsi="Times New Roman"/>
          <w:lang w:val="lt-LT"/>
        </w:rPr>
        <w:t> mg</w:t>
      </w:r>
      <w:r w:rsidRPr="00EB0F29">
        <w:rPr>
          <w:rFonts w:ascii="Times New Roman" w:hAnsi="Times New Roman"/>
          <w:lang w:val="lt-LT"/>
        </w:rPr>
        <w:t xml:space="preserve">/kg </w:t>
      </w:r>
      <w:r>
        <w:rPr>
          <w:rFonts w:ascii="Times New Roman" w:hAnsi="Times New Roman"/>
          <w:lang w:val="lt-LT"/>
        </w:rPr>
        <w:t>kūno svorio po oda kas</w:t>
      </w:r>
      <w:r w:rsidRPr="00EB0F29">
        <w:rPr>
          <w:rFonts w:ascii="Times New Roman" w:hAnsi="Times New Roman"/>
          <w:lang w:val="lt-LT"/>
        </w:rPr>
        <w:t xml:space="preserve"> 12 </w:t>
      </w:r>
      <w:r>
        <w:rPr>
          <w:rFonts w:ascii="Times New Roman" w:hAnsi="Times New Roman"/>
          <w:lang w:val="lt-LT"/>
        </w:rPr>
        <w:t>val.</w:t>
      </w:r>
      <w:r w:rsidRPr="00EB0F29">
        <w:rPr>
          <w:rFonts w:ascii="Times New Roman" w:hAnsi="Times New Roman"/>
          <w:lang w:val="lt-LT"/>
        </w:rPr>
        <w:t>)</w:t>
      </w:r>
      <w:r>
        <w:rPr>
          <w:rFonts w:ascii="Times New Roman" w:hAnsi="Times New Roman"/>
          <w:lang w:val="lt-LT"/>
        </w:rPr>
        <w:t>, gauti duomenys lyginti su rodmenimis, gautais</w:t>
      </w:r>
      <w:r w:rsidRPr="00214D6D">
        <w:rPr>
          <w:rFonts w:ascii="Times New Roman" w:hAnsi="Times New Roman"/>
          <w:lang w:val="lt-LT"/>
        </w:rPr>
        <w:t xml:space="preserve"> </w:t>
      </w:r>
      <w:r>
        <w:rPr>
          <w:rFonts w:ascii="Times New Roman" w:hAnsi="Times New Roman"/>
          <w:lang w:val="lt-LT"/>
        </w:rPr>
        <w:t>Trombopriv vartojant su nefrakcionuotu heparinu. Trombopriv klirensas abiejose grupėse nesiskyrė</w:t>
      </w:r>
      <w:r w:rsidRPr="00EB0F29">
        <w:rPr>
          <w:rFonts w:ascii="Times New Roman" w:hAnsi="Times New Roman"/>
          <w:lang w:val="lt-LT"/>
        </w:rPr>
        <w:t xml:space="preserve">. </w:t>
      </w:r>
    </w:p>
    <w:p w:rsidR="00B42325" w:rsidRPr="00F06B81" w:rsidRDefault="00B42325" w:rsidP="003E2BE3">
      <w:pPr>
        <w:pStyle w:val="BTEMEASMCA"/>
        <w:rPr>
          <w:noProof w:val="0"/>
        </w:rPr>
      </w:pPr>
    </w:p>
    <w:p w:rsidR="00B42325" w:rsidRPr="00F06B81" w:rsidRDefault="00B42325" w:rsidP="003E2BE3">
      <w:pPr>
        <w:pStyle w:val="PI-2EMEASMCA"/>
      </w:pPr>
      <w:bookmarkStart w:id="38" w:name="_Toc129243114"/>
      <w:bookmarkStart w:id="39" w:name="_Toc129243239"/>
      <w:r w:rsidRPr="00F06B81">
        <w:t>5.3</w:t>
      </w:r>
      <w:r w:rsidRPr="00F06B81">
        <w:tab/>
        <w:t>Ikiklinikinių saugumo tyrimų duomenys</w:t>
      </w:r>
      <w:bookmarkEnd w:id="38"/>
      <w:bookmarkEnd w:id="39"/>
    </w:p>
    <w:p w:rsidR="00B42325" w:rsidRPr="00F06B81" w:rsidRDefault="00B42325" w:rsidP="003E2BE3">
      <w:pPr>
        <w:pStyle w:val="BTEMEASMCA"/>
        <w:rPr>
          <w:noProof w:val="0"/>
        </w:rPr>
      </w:pPr>
    </w:p>
    <w:p w:rsidR="00B42325" w:rsidRPr="00111551" w:rsidRDefault="00B42325" w:rsidP="00111551">
      <w:pPr>
        <w:spacing w:after="0" w:line="240" w:lineRule="auto"/>
        <w:rPr>
          <w:rFonts w:ascii="Times New Roman" w:hAnsi="Times New Roman"/>
          <w:lang w:val="lt-LT"/>
        </w:rPr>
      </w:pPr>
      <w:r w:rsidRPr="00111551">
        <w:rPr>
          <w:rFonts w:ascii="Times New Roman" w:hAnsi="Times New Roman"/>
          <w:lang w:val="lt-LT"/>
        </w:rPr>
        <w:t>Įprastų farmakologinio saugumo, kartotinių dozių toksiškumo ir genotoksiškumo, galimo ikiklinikinių tyrimų duomenys specifinio pavojaus žmogui nerodo.</w:t>
      </w:r>
    </w:p>
    <w:p w:rsidR="00B42325" w:rsidRDefault="00B42325" w:rsidP="00111551">
      <w:pPr>
        <w:spacing w:after="0" w:line="240" w:lineRule="auto"/>
        <w:rPr>
          <w:rFonts w:ascii="Times New Roman" w:hAnsi="Times New Roman"/>
          <w:lang w:val="lt-LT"/>
        </w:rPr>
      </w:pPr>
      <w:r>
        <w:rPr>
          <w:rFonts w:ascii="Times New Roman" w:hAnsi="Times New Roman"/>
          <w:lang w:val="lt-LT"/>
        </w:rPr>
        <w:t xml:space="preserve">Tyrimo metu į veną vartojama ne didesnė kaip </w:t>
      </w:r>
      <w:r w:rsidRPr="00111551">
        <w:rPr>
          <w:rFonts w:ascii="Times New Roman" w:hAnsi="Times New Roman"/>
          <w:lang w:val="lt-LT"/>
        </w:rPr>
        <w:t>5 mg/kg</w:t>
      </w:r>
      <w:r>
        <w:rPr>
          <w:rFonts w:ascii="Times New Roman" w:hAnsi="Times New Roman"/>
          <w:lang w:val="lt-LT"/>
        </w:rPr>
        <w:t xml:space="preserve"> kūno svorio tirofibano hidrochlorido paros dozė poveikio žiurkių patinų ir patelių vislumui ir reprodukciniam aktyvumui nesukėlė</w:t>
      </w:r>
      <w:r w:rsidRPr="00111551">
        <w:rPr>
          <w:rFonts w:ascii="Times New Roman" w:hAnsi="Times New Roman"/>
          <w:lang w:val="lt-LT"/>
        </w:rPr>
        <w:t xml:space="preserve">. </w:t>
      </w:r>
      <w:r>
        <w:rPr>
          <w:rFonts w:ascii="Times New Roman" w:hAnsi="Times New Roman"/>
          <w:lang w:val="lt-LT"/>
        </w:rPr>
        <w:t>Tokia dozė yra maždaug</w:t>
      </w:r>
      <w:r w:rsidRPr="00111551">
        <w:rPr>
          <w:rFonts w:ascii="Times New Roman" w:hAnsi="Times New Roman"/>
          <w:lang w:val="lt-LT"/>
        </w:rPr>
        <w:t xml:space="preserve"> 22</w:t>
      </w:r>
      <w:r>
        <w:rPr>
          <w:rFonts w:ascii="Times New Roman" w:hAnsi="Times New Roman"/>
          <w:lang w:val="lt-LT"/>
        </w:rPr>
        <w:t xml:space="preserve"> kartus didesnė nei žmonėms rekomenduojama maksimali paros dozė</w:t>
      </w:r>
      <w:r w:rsidRPr="00111551">
        <w:rPr>
          <w:rFonts w:ascii="Times New Roman" w:hAnsi="Times New Roman"/>
          <w:lang w:val="lt-LT"/>
        </w:rPr>
        <w:t xml:space="preserve">. </w:t>
      </w:r>
    </w:p>
    <w:p w:rsidR="00B42325" w:rsidRDefault="00B42325" w:rsidP="00F370F4">
      <w:pPr>
        <w:spacing w:after="0" w:line="240" w:lineRule="auto"/>
        <w:rPr>
          <w:rFonts w:ascii="Times New Roman" w:hAnsi="Times New Roman"/>
          <w:lang w:val="lt-LT"/>
        </w:rPr>
      </w:pPr>
      <w:r>
        <w:rPr>
          <w:rFonts w:ascii="Times New Roman" w:hAnsi="Times New Roman"/>
          <w:lang w:val="lt-LT"/>
        </w:rPr>
        <w:t>Vis dėlto t</w:t>
      </w:r>
      <w:r w:rsidRPr="00B64674">
        <w:rPr>
          <w:rFonts w:ascii="Times New Roman" w:hAnsi="Times New Roman"/>
          <w:lang w:val="lt-LT"/>
        </w:rPr>
        <w:t>yrimų su gyvūnais atlikta nepakankamai, kad būtų galima nustatyti</w:t>
      </w:r>
      <w:r>
        <w:rPr>
          <w:rFonts w:ascii="Times New Roman" w:hAnsi="Times New Roman"/>
          <w:lang w:val="lt-LT"/>
        </w:rPr>
        <w:t>, ar žmonėms pasireiškia toksinis poveikis reprodukcijai.</w:t>
      </w:r>
    </w:p>
    <w:p w:rsidR="00B42325" w:rsidRDefault="00B42325" w:rsidP="00111551">
      <w:pPr>
        <w:spacing w:after="0" w:line="240" w:lineRule="auto"/>
        <w:rPr>
          <w:rFonts w:ascii="Times New Roman" w:hAnsi="Times New Roman"/>
          <w:lang w:val="lt-LT"/>
        </w:rPr>
      </w:pPr>
      <w:r w:rsidRPr="00111551">
        <w:rPr>
          <w:rFonts w:ascii="Times New Roman" w:hAnsi="Times New Roman"/>
          <w:lang w:val="lt-LT"/>
        </w:rPr>
        <w:t>Tirofiban</w:t>
      </w:r>
      <w:r>
        <w:rPr>
          <w:rFonts w:ascii="Times New Roman" w:hAnsi="Times New Roman"/>
          <w:lang w:val="lt-LT"/>
        </w:rPr>
        <w:t>o prasiskverbia pro žiurkių ir triušių placentą.</w:t>
      </w:r>
    </w:p>
    <w:p w:rsidR="00B42325" w:rsidRDefault="00B42325" w:rsidP="003E2BE3">
      <w:pPr>
        <w:pStyle w:val="BTEMEASMCA"/>
        <w:rPr>
          <w:noProof w:val="0"/>
        </w:rPr>
      </w:pPr>
    </w:p>
    <w:p w:rsidR="00B42325" w:rsidRDefault="00B42325" w:rsidP="00C5318F">
      <w:pPr>
        <w:pStyle w:val="PI-1EMEASMCA"/>
      </w:pPr>
      <w:bookmarkStart w:id="40" w:name="_Toc129243115"/>
      <w:bookmarkStart w:id="41" w:name="_Toc129243240"/>
    </w:p>
    <w:p w:rsidR="00B42325" w:rsidRPr="00F06B81" w:rsidRDefault="00B42325" w:rsidP="00C5318F">
      <w:pPr>
        <w:pStyle w:val="PI-1EMEASMCA"/>
      </w:pPr>
      <w:r w:rsidRPr="00F06B81">
        <w:t>6.</w:t>
      </w:r>
      <w:r w:rsidRPr="00F06B81">
        <w:tab/>
        <w:t>FARMACINĖ INFORMACIJA</w:t>
      </w:r>
      <w:bookmarkEnd w:id="40"/>
      <w:bookmarkEnd w:id="41"/>
    </w:p>
    <w:p w:rsidR="00B42325" w:rsidRPr="00F06B81" w:rsidRDefault="00B42325" w:rsidP="003E2BE3">
      <w:pPr>
        <w:pStyle w:val="BTEMEASMCA"/>
        <w:rPr>
          <w:noProof w:val="0"/>
        </w:rPr>
      </w:pPr>
    </w:p>
    <w:p w:rsidR="00B42325" w:rsidRPr="00F06B81" w:rsidRDefault="00B42325" w:rsidP="003E2BE3">
      <w:pPr>
        <w:pStyle w:val="PI-2EMEASMCA"/>
      </w:pPr>
      <w:bookmarkStart w:id="42" w:name="_Toc129243116"/>
      <w:bookmarkStart w:id="43" w:name="_Toc129243241"/>
      <w:r w:rsidRPr="00F06B81">
        <w:t>6.1</w:t>
      </w:r>
      <w:r w:rsidRPr="00F06B81">
        <w:tab/>
        <w:t>Pagalbinių medžiagų sąrašas</w:t>
      </w:r>
      <w:bookmarkEnd w:id="42"/>
      <w:bookmarkEnd w:id="43"/>
    </w:p>
    <w:p w:rsidR="00B42325" w:rsidRDefault="00B42325" w:rsidP="00E20A88">
      <w:pPr>
        <w:spacing w:after="0" w:line="240" w:lineRule="auto"/>
        <w:rPr>
          <w:rFonts w:ascii="Times New Roman" w:hAnsi="Times New Roman"/>
          <w:lang w:val="lt-LT"/>
        </w:rPr>
      </w:pPr>
    </w:p>
    <w:p w:rsidR="00B42325" w:rsidRPr="00BA6155" w:rsidRDefault="00B42325" w:rsidP="004D0C8C">
      <w:pPr>
        <w:spacing w:after="0" w:line="240" w:lineRule="auto"/>
        <w:rPr>
          <w:rFonts w:ascii="Times New Roman" w:hAnsi="Times New Roman"/>
          <w:lang w:val="lt-LT"/>
        </w:rPr>
      </w:pPr>
      <w:r w:rsidRPr="00BA6155">
        <w:rPr>
          <w:rFonts w:ascii="Times New Roman" w:hAnsi="Times New Roman"/>
          <w:lang w:val="lt-LT"/>
        </w:rPr>
        <w:t>Natrio-divandenilio fosfatas dihidratas</w:t>
      </w:r>
    </w:p>
    <w:p w:rsidR="00B42325" w:rsidRPr="00BA6155" w:rsidRDefault="00B42325" w:rsidP="004D0C8C">
      <w:pPr>
        <w:spacing w:after="0" w:line="240" w:lineRule="auto"/>
        <w:rPr>
          <w:rFonts w:ascii="Times New Roman" w:hAnsi="Times New Roman"/>
          <w:lang w:val="lt-LT"/>
        </w:rPr>
      </w:pPr>
      <w:r w:rsidRPr="00BA6155">
        <w:rPr>
          <w:rFonts w:ascii="Times New Roman" w:hAnsi="Times New Roman"/>
          <w:lang w:val="lt-LT"/>
        </w:rPr>
        <w:t>Manitolis (E421)</w:t>
      </w:r>
    </w:p>
    <w:p w:rsidR="00B42325" w:rsidRPr="00BA6155" w:rsidRDefault="00B42325" w:rsidP="004D0C8C">
      <w:pPr>
        <w:spacing w:after="0" w:line="240" w:lineRule="auto"/>
        <w:rPr>
          <w:rFonts w:ascii="Times New Roman" w:hAnsi="Times New Roman"/>
          <w:lang w:val="lt-LT"/>
        </w:rPr>
      </w:pPr>
      <w:r w:rsidRPr="00BA6155">
        <w:rPr>
          <w:rFonts w:ascii="Times New Roman" w:hAnsi="Times New Roman"/>
          <w:lang w:val="lt-LT"/>
        </w:rPr>
        <w:t>Injekcinis vanduo</w:t>
      </w:r>
    </w:p>
    <w:p w:rsidR="00B42325" w:rsidRDefault="00B42325" w:rsidP="004D0C8C">
      <w:pPr>
        <w:spacing w:after="0" w:line="240" w:lineRule="auto"/>
        <w:rPr>
          <w:rFonts w:ascii="Times New Roman" w:hAnsi="Times New Roman"/>
          <w:lang w:val="lt-LT"/>
        </w:rPr>
      </w:pPr>
      <w:r w:rsidRPr="00BA6155">
        <w:rPr>
          <w:rFonts w:ascii="Times New Roman" w:hAnsi="Times New Roman"/>
          <w:lang w:val="lt-LT"/>
        </w:rPr>
        <w:t>Vandenilio chlorido rūgštis ir (arba) natrio hidroksidas (pH koreguoti)</w:t>
      </w:r>
    </w:p>
    <w:p w:rsidR="00B42325" w:rsidRPr="00F06B81" w:rsidRDefault="00B42325" w:rsidP="003E2BE3">
      <w:pPr>
        <w:pStyle w:val="BTEMEASMCA"/>
        <w:rPr>
          <w:noProof w:val="0"/>
        </w:rPr>
      </w:pPr>
    </w:p>
    <w:p w:rsidR="00B42325" w:rsidRPr="00F06B81" w:rsidRDefault="00B42325" w:rsidP="003E2BE3">
      <w:pPr>
        <w:pStyle w:val="PI-2EMEASMCA"/>
      </w:pPr>
      <w:bookmarkStart w:id="44" w:name="_Toc129243117"/>
      <w:bookmarkStart w:id="45" w:name="_Toc129243242"/>
      <w:r w:rsidRPr="00F06B81">
        <w:t>6.2</w:t>
      </w:r>
      <w:r w:rsidRPr="00F06B81">
        <w:tab/>
        <w:t>Nesuderinamumas</w:t>
      </w:r>
      <w:bookmarkEnd w:id="44"/>
      <w:bookmarkEnd w:id="45"/>
    </w:p>
    <w:p w:rsidR="00B42325" w:rsidRPr="00F06B81" w:rsidRDefault="00B42325" w:rsidP="003E2BE3">
      <w:pPr>
        <w:pStyle w:val="BTEMEASMCA"/>
        <w:rPr>
          <w:noProof w:val="0"/>
        </w:rPr>
      </w:pPr>
    </w:p>
    <w:p w:rsidR="00B42325" w:rsidRDefault="00B42325" w:rsidP="000C6CB0">
      <w:pPr>
        <w:spacing w:after="0" w:line="240" w:lineRule="auto"/>
        <w:rPr>
          <w:rFonts w:ascii="Times New Roman" w:hAnsi="Times New Roman"/>
          <w:lang w:val="lt-LT"/>
        </w:rPr>
      </w:pPr>
      <w:r>
        <w:rPr>
          <w:rFonts w:ascii="Times New Roman" w:hAnsi="Times New Roman"/>
          <w:lang w:val="lt-LT"/>
        </w:rPr>
        <w:t>Tirofibanas nesuderinamas su diazepamu, todėl Trombopriv</w:t>
      </w:r>
      <w:r w:rsidRPr="00F06B81">
        <w:rPr>
          <w:rFonts w:ascii="Times New Roman" w:hAnsi="Times New Roman"/>
          <w:lang w:val="lt-LT"/>
        </w:rPr>
        <w:t xml:space="preserve"> </w:t>
      </w:r>
      <w:r>
        <w:rPr>
          <w:rFonts w:ascii="Times New Roman" w:hAnsi="Times New Roman"/>
          <w:lang w:val="lt-LT"/>
        </w:rPr>
        <w:t>ir diazepamo negalima vartoti per tą pačią intraveninę sistemą.</w:t>
      </w:r>
    </w:p>
    <w:p w:rsidR="00B42325" w:rsidRPr="00F06B81" w:rsidRDefault="00B42325" w:rsidP="003E2BE3">
      <w:pPr>
        <w:pStyle w:val="BTEMEASMCA"/>
        <w:rPr>
          <w:noProof w:val="0"/>
        </w:rPr>
      </w:pPr>
    </w:p>
    <w:p w:rsidR="00B42325" w:rsidRPr="00F06B81" w:rsidRDefault="00B42325" w:rsidP="003E2BE3">
      <w:pPr>
        <w:pStyle w:val="PI-2EMEASMCA"/>
      </w:pPr>
      <w:bookmarkStart w:id="46" w:name="_Toc129243118"/>
      <w:bookmarkStart w:id="47" w:name="_Toc129243243"/>
      <w:r w:rsidRPr="00F06B81">
        <w:t>6.3</w:t>
      </w:r>
      <w:r w:rsidRPr="00F06B81">
        <w:tab/>
        <w:t>Tinkamumo laikas</w:t>
      </w:r>
      <w:bookmarkEnd w:id="46"/>
      <w:bookmarkEnd w:id="47"/>
    </w:p>
    <w:p w:rsidR="00B42325" w:rsidRPr="00F06B81" w:rsidRDefault="00B42325" w:rsidP="003E2BE3">
      <w:pPr>
        <w:pStyle w:val="BTEMEASMCA"/>
        <w:rPr>
          <w:noProof w:val="0"/>
        </w:rPr>
      </w:pPr>
    </w:p>
    <w:p w:rsidR="00B42325" w:rsidRPr="00F06B81" w:rsidRDefault="00D64ABC" w:rsidP="003E2BE3">
      <w:pPr>
        <w:spacing w:after="0" w:line="240" w:lineRule="auto"/>
        <w:rPr>
          <w:rFonts w:ascii="Times New Roman" w:hAnsi="Times New Roman"/>
          <w:lang w:val="lt-LT"/>
        </w:rPr>
      </w:pPr>
      <w:r>
        <w:rPr>
          <w:rFonts w:ascii="Times New Roman" w:hAnsi="Times New Roman"/>
          <w:lang w:val="lt-LT"/>
        </w:rPr>
        <w:t>3</w:t>
      </w:r>
      <w:r w:rsidR="00B42325" w:rsidRPr="00BA6155">
        <w:rPr>
          <w:rFonts w:ascii="Times New Roman" w:hAnsi="Times New Roman"/>
          <w:lang w:val="lt-LT"/>
        </w:rPr>
        <w:t xml:space="preserve"> metai.</w:t>
      </w:r>
    </w:p>
    <w:p w:rsidR="00B42325" w:rsidRDefault="00B42325" w:rsidP="003E2BE3">
      <w:pPr>
        <w:pStyle w:val="BTEMEASMCA"/>
        <w:rPr>
          <w:noProof w:val="0"/>
        </w:rPr>
      </w:pPr>
    </w:p>
    <w:p w:rsidR="00B42325" w:rsidRDefault="00B42325" w:rsidP="00010F51">
      <w:pPr>
        <w:pStyle w:val="BTEMEASMCA"/>
        <w:rPr>
          <w:noProof w:val="0"/>
        </w:rPr>
      </w:pPr>
      <w:r>
        <w:rPr>
          <w:noProof w:val="0"/>
        </w:rPr>
        <w:t>Mikrobiologiniu požiūriu, praskiestą infuzinį tirpalą būtina vartoti nedelsiant. Jei jis tuoj pat nevartojamas, už laikymo trukmę ir sąlygas atsako vartotojas, tačiau paprastai infuzinį tirpalą ilgiau negu 24 val. 2 °C – 8 °C temperatūroje laikyti negalima, nebent skiedimas buvo atliktas kontroliuojamomis ir patvirtintomis aseptinėmis sąlygomis.</w:t>
      </w:r>
    </w:p>
    <w:p w:rsidR="00B42325" w:rsidRPr="00F06B81" w:rsidRDefault="00B42325" w:rsidP="00010F51">
      <w:pPr>
        <w:pStyle w:val="BTEMEASMCA"/>
        <w:rPr>
          <w:noProof w:val="0"/>
        </w:rPr>
      </w:pPr>
    </w:p>
    <w:p w:rsidR="00B42325" w:rsidRPr="00F06B81" w:rsidRDefault="00B42325" w:rsidP="003E2BE3">
      <w:pPr>
        <w:pStyle w:val="PI-2EMEASMCA"/>
      </w:pPr>
      <w:bookmarkStart w:id="48" w:name="_Toc129243119"/>
      <w:bookmarkStart w:id="49" w:name="_Toc129243244"/>
      <w:r w:rsidRPr="00F06B81">
        <w:t>6.4</w:t>
      </w:r>
      <w:r w:rsidRPr="00F06B81">
        <w:tab/>
        <w:t>Specialios laikymo sąlygos</w:t>
      </w:r>
      <w:bookmarkEnd w:id="48"/>
      <w:bookmarkEnd w:id="49"/>
    </w:p>
    <w:p w:rsidR="00B42325" w:rsidRPr="00F06B81" w:rsidRDefault="00B42325" w:rsidP="003E2BE3">
      <w:pPr>
        <w:pStyle w:val="BTEMEASMCA"/>
        <w:rPr>
          <w:noProof w:val="0"/>
        </w:rPr>
      </w:pPr>
    </w:p>
    <w:p w:rsidR="00B42325" w:rsidRDefault="00B42325" w:rsidP="003E2BE3">
      <w:pPr>
        <w:spacing w:after="0" w:line="240" w:lineRule="auto"/>
        <w:rPr>
          <w:rFonts w:ascii="Times New Roman" w:hAnsi="Times New Roman"/>
          <w:lang w:val="lt-LT"/>
        </w:rPr>
      </w:pPr>
      <w:r w:rsidRPr="001C1F78">
        <w:rPr>
          <w:rFonts w:ascii="Times New Roman" w:hAnsi="Times New Roman"/>
          <w:lang w:val="lt-LT"/>
        </w:rPr>
        <w:t xml:space="preserve">Negalima užšaldyti. </w:t>
      </w:r>
      <w:r>
        <w:rPr>
          <w:rFonts w:ascii="Times New Roman" w:hAnsi="Times New Roman"/>
          <w:lang w:val="lt-LT"/>
        </w:rPr>
        <w:t>Flakoną</w:t>
      </w:r>
      <w:r w:rsidRPr="001C1F78">
        <w:rPr>
          <w:rFonts w:ascii="Times New Roman" w:hAnsi="Times New Roman"/>
          <w:lang w:val="lt-LT"/>
        </w:rPr>
        <w:t xml:space="preserve"> laikyti išorinėje dėžutėje, kad preparatas būtų apsaugotas nuo šviesos.</w:t>
      </w:r>
      <w:r w:rsidRPr="00F06B81">
        <w:rPr>
          <w:rFonts w:ascii="Times New Roman" w:hAnsi="Times New Roman"/>
          <w:lang w:val="lt-LT"/>
        </w:rPr>
        <w:t xml:space="preserve"> </w:t>
      </w:r>
    </w:p>
    <w:p w:rsidR="00B42325" w:rsidRDefault="00B42325" w:rsidP="003E2BE3">
      <w:pPr>
        <w:spacing w:after="0" w:line="240" w:lineRule="auto"/>
        <w:rPr>
          <w:rFonts w:ascii="Times New Roman" w:hAnsi="Times New Roman"/>
          <w:lang w:val="lt-LT"/>
        </w:rPr>
      </w:pPr>
    </w:p>
    <w:p w:rsidR="00B42325" w:rsidRPr="00F06B81" w:rsidRDefault="00B42325" w:rsidP="003E2BE3">
      <w:pPr>
        <w:pStyle w:val="PI-2EMEASMCA"/>
      </w:pPr>
      <w:bookmarkStart w:id="50" w:name="_Toc129243120"/>
      <w:bookmarkStart w:id="51" w:name="_Toc129243245"/>
      <w:r w:rsidRPr="00F06B81">
        <w:t>6.5</w:t>
      </w:r>
      <w:r w:rsidRPr="00F06B81">
        <w:tab/>
      </w:r>
      <w:r>
        <w:t>Talpyklės pobūdis</w:t>
      </w:r>
      <w:r w:rsidRPr="00F06B81">
        <w:t xml:space="preserve"> ir jos turinys</w:t>
      </w:r>
      <w:bookmarkEnd w:id="50"/>
      <w:bookmarkEnd w:id="51"/>
    </w:p>
    <w:p w:rsidR="00B42325" w:rsidRPr="00F06B81" w:rsidRDefault="00B42325" w:rsidP="003E2BE3">
      <w:pPr>
        <w:pStyle w:val="BTEMEASMCA"/>
        <w:rPr>
          <w:noProof w:val="0"/>
        </w:rPr>
      </w:pPr>
    </w:p>
    <w:p w:rsidR="00B42325" w:rsidRPr="00F06B81" w:rsidRDefault="00B42325" w:rsidP="003E2BE3">
      <w:pPr>
        <w:spacing w:after="0" w:line="240" w:lineRule="auto"/>
        <w:rPr>
          <w:rFonts w:ascii="Times New Roman" w:hAnsi="Times New Roman"/>
          <w:lang w:val="lt-LT"/>
        </w:rPr>
      </w:pPr>
      <w:r w:rsidRPr="001C1F78">
        <w:rPr>
          <w:rFonts w:ascii="Times New Roman" w:hAnsi="Times New Roman"/>
          <w:lang w:val="lt-LT"/>
        </w:rPr>
        <w:t xml:space="preserve">50 ml I tipo stiklo </w:t>
      </w:r>
      <w:r>
        <w:rPr>
          <w:rFonts w:ascii="Times New Roman" w:hAnsi="Times New Roman"/>
          <w:lang w:val="lt-LT"/>
        </w:rPr>
        <w:t>flakonas</w:t>
      </w:r>
      <w:r w:rsidRPr="001C1F78">
        <w:rPr>
          <w:rFonts w:ascii="Times New Roman" w:hAnsi="Times New Roman"/>
          <w:lang w:val="lt-LT"/>
        </w:rPr>
        <w:t>.</w:t>
      </w:r>
    </w:p>
    <w:p w:rsidR="00B42325" w:rsidRPr="00F06B81" w:rsidRDefault="00B42325" w:rsidP="003E2BE3">
      <w:pPr>
        <w:pStyle w:val="BTEMEASMCA"/>
        <w:rPr>
          <w:noProof w:val="0"/>
        </w:rPr>
      </w:pPr>
    </w:p>
    <w:p w:rsidR="00B42325" w:rsidRPr="00F06B81" w:rsidRDefault="00B42325" w:rsidP="003E2BE3">
      <w:pPr>
        <w:pStyle w:val="PI-2EMEASMCA"/>
        <w:keepLines w:val="0"/>
      </w:pPr>
      <w:bookmarkStart w:id="52" w:name="_Toc129243121"/>
      <w:bookmarkStart w:id="53" w:name="_Toc129243246"/>
      <w:r w:rsidRPr="002239DE">
        <w:t>6.6</w:t>
      </w:r>
      <w:r w:rsidRPr="002239DE">
        <w:tab/>
        <w:t>Specialūs reikalavimai atliekoms tvarkyti ir vaistiniam preparatui ruošti</w:t>
      </w:r>
      <w:bookmarkEnd w:id="52"/>
      <w:bookmarkEnd w:id="53"/>
    </w:p>
    <w:p w:rsidR="00B42325" w:rsidRPr="00F06B81" w:rsidRDefault="00B42325" w:rsidP="003E2BE3">
      <w:pPr>
        <w:spacing w:after="0" w:line="240" w:lineRule="auto"/>
        <w:rPr>
          <w:rFonts w:ascii="Times New Roman" w:hAnsi="Times New Roman"/>
          <w:lang w:val="lt-LT"/>
        </w:rPr>
      </w:pPr>
    </w:p>
    <w:p w:rsidR="00B42325" w:rsidRPr="001C1F78" w:rsidRDefault="00B42325" w:rsidP="003E2BE3">
      <w:pPr>
        <w:spacing w:after="0" w:line="240" w:lineRule="auto"/>
        <w:rPr>
          <w:rFonts w:ascii="Times New Roman" w:hAnsi="Times New Roman"/>
          <w:lang w:val="lt-LT"/>
        </w:rPr>
      </w:pPr>
      <w:r w:rsidRPr="001C1F78">
        <w:rPr>
          <w:rFonts w:ascii="Times New Roman" w:hAnsi="Times New Roman"/>
          <w:lang w:val="lt-LT"/>
        </w:rPr>
        <w:t xml:space="preserve">Prieš vartojimą Trombopriv koncentratą infuziniam tirpalui būtina </w:t>
      </w:r>
      <w:r>
        <w:rPr>
          <w:rFonts w:ascii="Times New Roman" w:hAnsi="Times New Roman"/>
          <w:lang w:val="lt-LT"/>
        </w:rPr>
        <w:t>pra</w:t>
      </w:r>
      <w:r w:rsidRPr="001C1F78">
        <w:rPr>
          <w:rFonts w:ascii="Times New Roman" w:hAnsi="Times New Roman"/>
          <w:lang w:val="lt-LT"/>
        </w:rPr>
        <w:t>skiesti.</w:t>
      </w:r>
    </w:p>
    <w:p w:rsidR="00B42325" w:rsidRPr="001C1F78" w:rsidRDefault="00B42325" w:rsidP="009A580A">
      <w:pPr>
        <w:pStyle w:val="Sraopastraipa1"/>
        <w:numPr>
          <w:ilvl w:val="0"/>
          <w:numId w:val="8"/>
        </w:numPr>
        <w:spacing w:after="0" w:line="240" w:lineRule="auto"/>
        <w:ind w:left="567" w:hanging="567"/>
        <w:rPr>
          <w:rFonts w:ascii="Times New Roman" w:hAnsi="Times New Roman"/>
          <w:lang w:val="lt-LT"/>
        </w:rPr>
      </w:pPr>
      <w:r w:rsidRPr="001C1F78">
        <w:rPr>
          <w:rFonts w:ascii="Times New Roman" w:hAnsi="Times New Roman"/>
          <w:lang w:val="lt-LT"/>
        </w:rPr>
        <w:t xml:space="preserve">Iš 250 ml sterilaus 0,9% fiziologinio tirpalo ar 5% gliukozės </w:t>
      </w:r>
      <w:r>
        <w:rPr>
          <w:rFonts w:ascii="Times New Roman" w:hAnsi="Times New Roman"/>
          <w:lang w:val="lt-LT"/>
        </w:rPr>
        <w:t xml:space="preserve">vandeninio </w:t>
      </w:r>
      <w:r w:rsidRPr="001C1F78">
        <w:rPr>
          <w:rFonts w:ascii="Times New Roman" w:hAnsi="Times New Roman"/>
          <w:lang w:val="lt-LT"/>
        </w:rPr>
        <w:t xml:space="preserve">tirpalo talpyklės ištraukiama 50 ml tirpalo ir į ją suleidžiama 50 ml Trombopriv (iš vieno 50 ml praduriamo </w:t>
      </w:r>
      <w:r>
        <w:rPr>
          <w:rFonts w:ascii="Times New Roman" w:hAnsi="Times New Roman"/>
          <w:lang w:val="lt-LT"/>
        </w:rPr>
        <w:t>flakono</w:t>
      </w:r>
      <w:r w:rsidRPr="001C1F78">
        <w:rPr>
          <w:rFonts w:ascii="Times New Roman" w:hAnsi="Times New Roman"/>
          <w:lang w:val="lt-LT"/>
        </w:rPr>
        <w:t xml:space="preserve">), kad koncentracija būtų 50 mikrogramų/ml. Prieš vartojimą gerai sumaišyti. </w:t>
      </w:r>
    </w:p>
    <w:p w:rsidR="00B42325" w:rsidRPr="001C1F78" w:rsidRDefault="00B42325" w:rsidP="009A580A">
      <w:pPr>
        <w:pStyle w:val="Sraopastraipa1"/>
        <w:numPr>
          <w:ilvl w:val="0"/>
          <w:numId w:val="8"/>
        </w:numPr>
        <w:spacing w:after="0" w:line="240" w:lineRule="auto"/>
        <w:ind w:left="567" w:hanging="567"/>
        <w:rPr>
          <w:rFonts w:ascii="Times New Roman" w:hAnsi="Times New Roman"/>
          <w:lang w:val="lt-LT"/>
        </w:rPr>
      </w:pPr>
      <w:r w:rsidRPr="001C1F78">
        <w:rPr>
          <w:rFonts w:ascii="Times New Roman" w:hAnsi="Times New Roman"/>
          <w:lang w:val="lt-LT"/>
        </w:rPr>
        <w:t xml:space="preserve">Preparato vartojama vadovaujantis 4.2 skyriuje esančioje lentelėje nurodytomis dozėmis. </w:t>
      </w:r>
    </w:p>
    <w:p w:rsidR="00B42325" w:rsidRPr="001C1F78" w:rsidRDefault="00B42325" w:rsidP="00331300">
      <w:pPr>
        <w:spacing w:after="0" w:line="240" w:lineRule="auto"/>
        <w:rPr>
          <w:rFonts w:ascii="Times New Roman" w:hAnsi="Times New Roman"/>
          <w:lang w:val="lt-LT"/>
        </w:rPr>
      </w:pPr>
    </w:p>
    <w:p w:rsidR="00B42325" w:rsidRDefault="00B42325" w:rsidP="00331300">
      <w:pPr>
        <w:spacing w:after="0" w:line="240" w:lineRule="auto"/>
        <w:rPr>
          <w:rFonts w:ascii="Times New Roman" w:hAnsi="Times New Roman"/>
          <w:lang w:val="lt-LT"/>
        </w:rPr>
      </w:pPr>
      <w:r w:rsidRPr="00246499">
        <w:rPr>
          <w:rFonts w:ascii="Times New Roman" w:hAnsi="Times New Roman"/>
          <w:lang w:val="lt-LT"/>
        </w:rPr>
        <w:t xml:space="preserve">Nesuvartotą preparatą </w:t>
      </w:r>
      <w:r>
        <w:rPr>
          <w:rFonts w:ascii="Times New Roman" w:hAnsi="Times New Roman"/>
          <w:lang w:val="lt-LT"/>
        </w:rPr>
        <w:t>reikia sunaikinti.</w:t>
      </w:r>
    </w:p>
    <w:p w:rsidR="00B42325" w:rsidRPr="00F06B81" w:rsidRDefault="00B42325" w:rsidP="00331300">
      <w:pPr>
        <w:spacing w:after="0" w:line="240" w:lineRule="auto"/>
        <w:rPr>
          <w:rFonts w:ascii="Times New Roman" w:hAnsi="Times New Roman"/>
          <w:lang w:val="lt-LT"/>
        </w:rPr>
      </w:pPr>
    </w:p>
    <w:p w:rsidR="00B42325" w:rsidRPr="00F06B81" w:rsidRDefault="00B42325" w:rsidP="003E2BE3">
      <w:pPr>
        <w:pStyle w:val="BTEMEASMCA"/>
        <w:rPr>
          <w:noProof w:val="0"/>
        </w:rPr>
      </w:pPr>
    </w:p>
    <w:p w:rsidR="00B42325" w:rsidRPr="00F06B81" w:rsidRDefault="00B42325" w:rsidP="00C5318F">
      <w:pPr>
        <w:pStyle w:val="PI-1EMEASMCA"/>
      </w:pPr>
      <w:bookmarkStart w:id="54" w:name="_Toc129243122"/>
      <w:bookmarkStart w:id="55" w:name="_Toc129243247"/>
      <w:r w:rsidRPr="00F06B81">
        <w:t>7.</w:t>
      </w:r>
      <w:r w:rsidRPr="00F06B81">
        <w:tab/>
        <w:t>RINKODAROS TEISĖS TURĖTOJAS</w:t>
      </w:r>
      <w:bookmarkEnd w:id="54"/>
      <w:bookmarkEnd w:id="55"/>
    </w:p>
    <w:p w:rsidR="00B42325" w:rsidRPr="00F06B81" w:rsidRDefault="00B42325" w:rsidP="003E2BE3">
      <w:pPr>
        <w:spacing w:after="0" w:line="240" w:lineRule="auto"/>
        <w:rPr>
          <w:rFonts w:ascii="Times New Roman" w:hAnsi="Times New Roman"/>
          <w:b/>
          <w:lang w:val="lt-LT"/>
        </w:rPr>
      </w:pPr>
    </w:p>
    <w:p w:rsidR="00B42325" w:rsidRDefault="00B42325" w:rsidP="003E2BE3">
      <w:pPr>
        <w:spacing w:after="0" w:line="240" w:lineRule="auto"/>
        <w:rPr>
          <w:rFonts w:ascii="Times New Roman" w:hAnsi="Times New Roman"/>
          <w:iCs/>
          <w:lang w:val="lt-LT"/>
        </w:rPr>
      </w:pPr>
      <w:r>
        <w:rPr>
          <w:rFonts w:ascii="Times New Roman" w:hAnsi="Times New Roman"/>
          <w:iCs/>
          <w:lang w:val="lt-LT"/>
        </w:rPr>
        <w:t>UAB „Via pharma“</w:t>
      </w:r>
    </w:p>
    <w:p w:rsidR="00B42325" w:rsidRDefault="00B42325" w:rsidP="003E2BE3">
      <w:pPr>
        <w:spacing w:after="0" w:line="240" w:lineRule="auto"/>
        <w:rPr>
          <w:rFonts w:ascii="Times New Roman" w:hAnsi="Times New Roman"/>
          <w:iCs/>
          <w:lang w:val="lt-LT"/>
        </w:rPr>
      </w:pPr>
      <w:r>
        <w:rPr>
          <w:rFonts w:ascii="Times New Roman" w:hAnsi="Times New Roman"/>
          <w:iCs/>
          <w:lang w:val="lt-LT"/>
        </w:rPr>
        <w:t>J. Galvydžio g. 5 / Žygio g. 96, Vilnius</w:t>
      </w:r>
    </w:p>
    <w:p w:rsidR="00B42325" w:rsidRPr="00F06B81" w:rsidRDefault="00B42325" w:rsidP="003E2BE3">
      <w:pPr>
        <w:spacing w:after="0" w:line="240" w:lineRule="auto"/>
        <w:rPr>
          <w:rFonts w:ascii="Times New Roman" w:hAnsi="Times New Roman"/>
          <w:lang w:val="lt-LT"/>
        </w:rPr>
      </w:pPr>
      <w:r>
        <w:rPr>
          <w:rFonts w:ascii="Times New Roman" w:hAnsi="Times New Roman"/>
          <w:iCs/>
          <w:lang w:val="lt-LT"/>
        </w:rPr>
        <w:t>Lietuva</w:t>
      </w:r>
    </w:p>
    <w:p w:rsidR="00B42325" w:rsidRPr="00F06B81" w:rsidRDefault="00B42325" w:rsidP="00184396">
      <w:pPr>
        <w:spacing w:after="0" w:line="240" w:lineRule="auto"/>
        <w:rPr>
          <w:rFonts w:ascii="Times New Roman" w:hAnsi="Times New Roman"/>
          <w:lang w:val="lt-LT"/>
        </w:rPr>
      </w:pPr>
    </w:p>
    <w:p w:rsidR="00B42325" w:rsidRPr="00F06B81" w:rsidRDefault="00B42325" w:rsidP="003E2BE3">
      <w:pPr>
        <w:pStyle w:val="BTEMEASMCA"/>
        <w:rPr>
          <w:noProof w:val="0"/>
        </w:rPr>
      </w:pPr>
    </w:p>
    <w:p w:rsidR="00B42325" w:rsidRPr="00F06B81" w:rsidRDefault="00B42325" w:rsidP="00C5318F">
      <w:pPr>
        <w:pStyle w:val="PI-1EMEASMCA"/>
      </w:pPr>
      <w:bookmarkStart w:id="56" w:name="_Toc129243123"/>
      <w:bookmarkStart w:id="57" w:name="_Toc129243248"/>
      <w:r w:rsidRPr="00F06B81">
        <w:t>8.</w:t>
      </w:r>
      <w:r w:rsidRPr="00F06B81">
        <w:tab/>
        <w:t>RINKODAROS TEISĖS NUMERIS</w:t>
      </w:r>
      <w:bookmarkEnd w:id="56"/>
      <w:bookmarkEnd w:id="57"/>
      <w:r w:rsidRPr="00F06B81">
        <w:t xml:space="preserve"> (-IAI)</w:t>
      </w:r>
    </w:p>
    <w:p w:rsidR="00B42325" w:rsidRPr="00F06B81" w:rsidRDefault="00B42325" w:rsidP="003E2BE3">
      <w:pPr>
        <w:pStyle w:val="BTEMEASMCA"/>
        <w:rPr>
          <w:noProof w:val="0"/>
        </w:rPr>
      </w:pPr>
    </w:p>
    <w:p w:rsidR="00B42325" w:rsidRDefault="00B42325" w:rsidP="003E2BE3">
      <w:pPr>
        <w:pStyle w:val="BTEMEASMCA"/>
        <w:rPr>
          <w:noProof w:val="0"/>
        </w:rPr>
      </w:pPr>
      <w:r>
        <w:rPr>
          <w:noProof w:val="0"/>
        </w:rPr>
        <w:t>LT/1/12/3067/001</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C5318F">
      <w:pPr>
        <w:pStyle w:val="PI-1EMEASMCA"/>
      </w:pPr>
      <w:bookmarkStart w:id="58" w:name="_Toc129243124"/>
      <w:bookmarkStart w:id="59" w:name="_Toc129243249"/>
      <w:r w:rsidRPr="00F06B81">
        <w:t>9.</w:t>
      </w:r>
      <w:r w:rsidRPr="00F06B81">
        <w:tab/>
        <w:t>RINKODAROS TEISĖS SUTEIKIMO / ATNAUJINIMO DATA</w:t>
      </w:r>
      <w:bookmarkEnd w:id="58"/>
      <w:bookmarkEnd w:id="59"/>
    </w:p>
    <w:p w:rsidR="00B42325" w:rsidRPr="00F06B81" w:rsidRDefault="00B42325" w:rsidP="003E2BE3">
      <w:pPr>
        <w:pStyle w:val="BTEMEASMCA"/>
        <w:rPr>
          <w:noProof w:val="0"/>
        </w:rPr>
      </w:pPr>
    </w:p>
    <w:p w:rsidR="00B42325" w:rsidRDefault="00B42325" w:rsidP="003E2BE3">
      <w:pPr>
        <w:pStyle w:val="BTEMEASMCA"/>
        <w:rPr>
          <w:noProof w:val="0"/>
        </w:rPr>
      </w:pPr>
      <w:r>
        <w:rPr>
          <w:noProof w:val="0"/>
        </w:rPr>
        <w:t>2012-09-18</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3A1518" w:rsidRDefault="00B42325" w:rsidP="00C5318F">
      <w:pPr>
        <w:pStyle w:val="PI-1EMEASMCA"/>
      </w:pPr>
      <w:bookmarkStart w:id="60" w:name="_Toc129243125"/>
      <w:bookmarkStart w:id="61" w:name="_Toc129243250"/>
      <w:r w:rsidRPr="003A1518">
        <w:t>10.</w:t>
      </w:r>
      <w:r w:rsidRPr="003A1518">
        <w:tab/>
        <w:t>TEKSTO PERŽIŪROS DATA</w:t>
      </w:r>
      <w:bookmarkEnd w:id="60"/>
      <w:bookmarkEnd w:id="61"/>
    </w:p>
    <w:p w:rsidR="00B42325" w:rsidRDefault="00B42325" w:rsidP="003E2BE3">
      <w:pPr>
        <w:pStyle w:val="BTEMEASMCA"/>
        <w:rPr>
          <w:noProof w:val="0"/>
        </w:rPr>
      </w:pPr>
    </w:p>
    <w:p w:rsidR="00B42325" w:rsidRDefault="00D64ABC" w:rsidP="003E2BE3">
      <w:pPr>
        <w:pStyle w:val="BTEMEASMCA"/>
        <w:rPr>
          <w:noProof w:val="0"/>
        </w:rPr>
      </w:pPr>
      <w:r>
        <w:rPr>
          <w:noProof w:val="0"/>
        </w:rPr>
        <w:t>2013-06-21</w:t>
      </w:r>
    </w:p>
    <w:p w:rsidR="00B42325" w:rsidRPr="003A1518" w:rsidRDefault="00B42325" w:rsidP="003E2BE3">
      <w:pPr>
        <w:pStyle w:val="BTEMEASMCA"/>
        <w:rPr>
          <w:noProof w:val="0"/>
        </w:rPr>
      </w:pPr>
    </w:p>
    <w:p w:rsidR="00B42325" w:rsidRPr="003A1518" w:rsidRDefault="00B42325" w:rsidP="003E2BE3">
      <w:pPr>
        <w:pStyle w:val="BTEMEASMCA"/>
        <w:rPr>
          <w:noProof w:val="0"/>
        </w:rPr>
      </w:pPr>
    </w:p>
    <w:p w:rsidR="00B42325" w:rsidRPr="003A1518" w:rsidRDefault="00B42325" w:rsidP="00CF4A00">
      <w:pPr>
        <w:spacing w:after="0" w:line="240" w:lineRule="auto"/>
        <w:rPr>
          <w:rFonts w:ascii="Times New Roman" w:hAnsi="Times New Roman"/>
          <w:lang w:val="lt-LT"/>
        </w:rPr>
      </w:pPr>
      <w:r w:rsidRPr="003A1518">
        <w:rPr>
          <w:rFonts w:ascii="Times New Roman" w:hAnsi="Times New Roman"/>
          <w:lang w:val="lt-LT"/>
        </w:rPr>
        <w:t xml:space="preserve">Naujausia vaistinio preparato charakteristikų santraukos redakcija pateikiama Valstybinės vaistų kontrolės tarnybos prie Lietuvos Respublikos sveikatos apsaugos ministerijos (VVKT) interneto svetainėje </w:t>
      </w:r>
      <w:hyperlink r:id="rId8" w:history="1">
        <w:r w:rsidRPr="003A1518">
          <w:rPr>
            <w:rStyle w:val="Hipersaitas"/>
            <w:rFonts w:ascii="Times New Roman" w:hAnsi="Times New Roman"/>
            <w:lang w:val="lt-LT"/>
          </w:rPr>
          <w:t>http://www.vvkt.lt/</w:t>
        </w:r>
      </w:hyperlink>
      <w:r w:rsidRPr="003A1518">
        <w:rPr>
          <w:rFonts w:ascii="Times New Roman" w:hAnsi="Times New Roman"/>
          <w:lang w:val="lt-LT"/>
        </w:rPr>
        <w:br w:type="page"/>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Default="00B42325" w:rsidP="00A116E2">
      <w:pPr>
        <w:pStyle w:val="Antrat2"/>
        <w:spacing w:before="0" w:after="0"/>
        <w:jc w:val="center"/>
        <w:rPr>
          <w:rFonts w:ascii="Times New Roman" w:hAnsi="Times New Roman" w:cs="Times New Roman"/>
          <w:i w:val="0"/>
          <w:iCs w:val="0"/>
          <w:sz w:val="22"/>
          <w:szCs w:val="22"/>
        </w:rPr>
      </w:pPr>
      <w:r w:rsidRPr="00CF4A00">
        <w:rPr>
          <w:rFonts w:ascii="Times New Roman" w:hAnsi="Times New Roman" w:cs="Times New Roman"/>
          <w:i w:val="0"/>
          <w:iCs w:val="0"/>
          <w:sz w:val="22"/>
          <w:szCs w:val="22"/>
        </w:rPr>
        <w:t>II PRIEDAS</w:t>
      </w:r>
    </w:p>
    <w:p w:rsidR="00B42325" w:rsidRPr="000E3B3F" w:rsidRDefault="00B42325" w:rsidP="00D96BC5">
      <w:pPr>
        <w:spacing w:after="0" w:line="240" w:lineRule="auto"/>
        <w:jc w:val="center"/>
        <w:rPr>
          <w:lang w:val="lt-LT"/>
        </w:rPr>
      </w:pPr>
    </w:p>
    <w:p w:rsidR="00B42325" w:rsidRPr="000E3B3F" w:rsidRDefault="00B42325" w:rsidP="00D96BC5">
      <w:pPr>
        <w:spacing w:after="0" w:line="240" w:lineRule="auto"/>
        <w:jc w:val="center"/>
        <w:rPr>
          <w:rFonts w:ascii="Times New Roman" w:hAnsi="Times New Roman"/>
          <w:i/>
          <w:lang w:val="lt-LT"/>
        </w:rPr>
      </w:pPr>
      <w:r w:rsidRPr="00001F8D">
        <w:rPr>
          <w:rFonts w:ascii="Times New Roman" w:hAnsi="Times New Roman"/>
          <w:b/>
          <w:lang w:val="lt-LT" w:eastAsia="en-US"/>
        </w:rPr>
        <w:t>RINKODAROS SĄLYGOS</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ind w:left="1701" w:right="1416" w:hanging="708"/>
        <w:rPr>
          <w:rFonts w:ascii="Times New Roman" w:hAnsi="Times New Roman"/>
          <w:b/>
          <w:lang w:val="lt-LT"/>
        </w:rPr>
      </w:pPr>
      <w:r w:rsidRPr="00CF4A00">
        <w:rPr>
          <w:rFonts w:ascii="Times New Roman" w:hAnsi="Times New Roman"/>
          <w:b/>
          <w:lang w:val="lt-LT"/>
        </w:rPr>
        <w:t>A.</w:t>
      </w:r>
      <w:r w:rsidRPr="00CF4A00">
        <w:rPr>
          <w:rFonts w:ascii="Times New Roman" w:hAnsi="Times New Roman"/>
          <w:b/>
          <w:lang w:val="lt-LT"/>
        </w:rPr>
        <w:tab/>
        <w:t>GAMINTOJAS (-AI), ATSAKINGAS (-I) UŽ SERIJŲ IŠLEIDIMĄ</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uppressLineNumbers/>
        <w:spacing w:after="0" w:line="240" w:lineRule="auto"/>
        <w:ind w:left="1701" w:right="1416" w:hanging="708"/>
        <w:rPr>
          <w:rFonts w:ascii="Times New Roman" w:hAnsi="Times New Roman"/>
          <w:lang w:val="lt-LT"/>
        </w:rPr>
      </w:pPr>
      <w:r w:rsidRPr="00CF4A00">
        <w:rPr>
          <w:rFonts w:ascii="Times New Roman" w:hAnsi="Times New Roman"/>
          <w:b/>
          <w:lang w:val="lt-LT"/>
        </w:rPr>
        <w:t>B.</w:t>
      </w:r>
      <w:r w:rsidRPr="00CF4A00">
        <w:rPr>
          <w:rFonts w:ascii="Times New Roman" w:hAnsi="Times New Roman"/>
          <w:b/>
          <w:lang w:val="lt-LT"/>
        </w:rPr>
        <w:tab/>
        <w:t>TIEKIMO IR VARTOJIMO SĄLYGOS AR APRIBOJIMAI</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uppressLineNumbers/>
        <w:spacing w:after="0" w:line="240" w:lineRule="auto"/>
        <w:ind w:left="1701" w:right="1558" w:hanging="850"/>
        <w:rPr>
          <w:rFonts w:ascii="Times New Roman" w:hAnsi="Times New Roman"/>
          <w:lang w:val="lt-LT"/>
        </w:rPr>
      </w:pPr>
      <w:r w:rsidRPr="00CF4A00">
        <w:rPr>
          <w:rFonts w:ascii="Times New Roman" w:hAnsi="Times New Roman"/>
          <w:b/>
          <w:lang w:val="lt-LT"/>
        </w:rPr>
        <w:t>C.</w:t>
      </w:r>
      <w:r w:rsidRPr="00CF4A00">
        <w:rPr>
          <w:rFonts w:ascii="Times New Roman" w:hAnsi="Times New Roman"/>
          <w:b/>
          <w:lang w:val="lt-LT"/>
        </w:rPr>
        <w:tab/>
        <w:t>KITOS SĄLYGOS IR REIKALAVIMAI RINKODAROS TEISĖS TURĖTOJUI</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b/>
          <w:lang w:val="lt-LT"/>
        </w:rPr>
      </w:pPr>
      <w:r w:rsidRPr="00CF4A00">
        <w:rPr>
          <w:rFonts w:ascii="Times New Roman" w:hAnsi="Times New Roman"/>
          <w:lang w:val="lt-LT"/>
        </w:rPr>
        <w:br w:type="page"/>
      </w:r>
      <w:r w:rsidRPr="00CF4A00">
        <w:rPr>
          <w:rFonts w:ascii="Times New Roman" w:hAnsi="Times New Roman"/>
          <w:b/>
          <w:lang w:val="lt-LT"/>
        </w:rPr>
        <w:lastRenderedPageBreak/>
        <w:t>A.</w:t>
      </w:r>
      <w:r w:rsidRPr="00CF4A00">
        <w:rPr>
          <w:rFonts w:ascii="Times New Roman" w:hAnsi="Times New Roman"/>
          <w:b/>
          <w:lang w:val="lt-LT"/>
        </w:rPr>
        <w:tab/>
        <w:t>GAMINTOJAS (-AI), ATSAKINGAS (-I) UŽ SERIJŲ IŠLEIDIMĄ</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jc w:val="both"/>
        <w:rPr>
          <w:rFonts w:ascii="Times New Roman" w:hAnsi="Times New Roman"/>
          <w:lang w:val="lt-LT"/>
        </w:rPr>
      </w:pPr>
      <w:r w:rsidRPr="00CF4A00">
        <w:rPr>
          <w:rFonts w:ascii="Times New Roman" w:hAnsi="Times New Roman"/>
          <w:u w:val="single"/>
          <w:lang w:val="lt-LT"/>
        </w:rPr>
        <w:t>Gamintojo (-ų), atsakingo (-ų) už serijų išleidimą, pavadinimas (-ai) ir adresas (-ai)</w:t>
      </w:r>
    </w:p>
    <w:p w:rsidR="00B42325" w:rsidRDefault="00B42325" w:rsidP="00CF4A00">
      <w:pPr>
        <w:autoSpaceDE w:val="0"/>
        <w:autoSpaceDN w:val="0"/>
        <w:adjustRightInd w:val="0"/>
        <w:spacing w:after="0" w:line="240" w:lineRule="auto"/>
        <w:rPr>
          <w:rFonts w:ascii="Times New Roman" w:eastAsia="Batang" w:hAnsi="Times New Roman"/>
          <w:bCs/>
          <w:lang w:val="lt-LT" w:eastAsia="ko-KR"/>
        </w:rPr>
      </w:pPr>
    </w:p>
    <w:p w:rsidR="00B42325" w:rsidRPr="00CF4A00" w:rsidRDefault="00B42325" w:rsidP="00CF4A00">
      <w:pPr>
        <w:autoSpaceDE w:val="0"/>
        <w:autoSpaceDN w:val="0"/>
        <w:adjustRightInd w:val="0"/>
        <w:spacing w:after="0" w:line="240" w:lineRule="auto"/>
        <w:rPr>
          <w:rFonts w:ascii="Times New Roman" w:eastAsia="Batang" w:hAnsi="Times New Roman"/>
          <w:bCs/>
          <w:lang w:val="lt-LT" w:eastAsia="ko-KR"/>
        </w:rPr>
      </w:pPr>
      <w:r w:rsidRPr="00CF4A00">
        <w:rPr>
          <w:rFonts w:ascii="Times New Roman" w:eastAsia="Batang" w:hAnsi="Times New Roman"/>
          <w:bCs/>
          <w:lang w:val="lt-LT" w:eastAsia="ko-KR"/>
        </w:rPr>
        <w:t>CEMELOG-BRS Ltd.</w:t>
      </w:r>
    </w:p>
    <w:p w:rsidR="00B42325" w:rsidRPr="00CF4A00" w:rsidRDefault="00B42325" w:rsidP="00CF4A00">
      <w:pPr>
        <w:autoSpaceDE w:val="0"/>
        <w:autoSpaceDN w:val="0"/>
        <w:adjustRightInd w:val="0"/>
        <w:spacing w:after="0" w:line="240" w:lineRule="auto"/>
        <w:rPr>
          <w:rFonts w:ascii="Times New Roman" w:eastAsia="Batang" w:hAnsi="Times New Roman"/>
          <w:bCs/>
          <w:lang w:val="lt-LT" w:eastAsia="ko-KR"/>
        </w:rPr>
      </w:pPr>
      <w:r w:rsidRPr="00CF4A00">
        <w:rPr>
          <w:rFonts w:ascii="Times New Roman" w:eastAsia="Batang" w:hAnsi="Times New Roman"/>
          <w:bCs/>
          <w:lang w:val="lt-LT" w:eastAsia="ko-KR"/>
        </w:rPr>
        <w:t>H-2040 Budaörs, Vasút u. 13.</w:t>
      </w:r>
    </w:p>
    <w:p w:rsidR="00B42325" w:rsidRPr="00CF4A00" w:rsidRDefault="00B42325" w:rsidP="00CF4A00">
      <w:pPr>
        <w:autoSpaceDE w:val="0"/>
        <w:autoSpaceDN w:val="0"/>
        <w:adjustRightInd w:val="0"/>
        <w:spacing w:after="0" w:line="240" w:lineRule="auto"/>
        <w:rPr>
          <w:rFonts w:ascii="Times New Roman" w:eastAsia="Batang" w:hAnsi="Times New Roman"/>
          <w:bCs/>
          <w:lang w:val="lt-LT" w:eastAsia="ko-KR"/>
        </w:rPr>
      </w:pPr>
      <w:r w:rsidRPr="00CF4A00">
        <w:rPr>
          <w:rFonts w:ascii="Times New Roman" w:eastAsia="Batang" w:hAnsi="Times New Roman"/>
          <w:bCs/>
          <w:lang w:val="lt-LT" w:eastAsia="ko-KR"/>
        </w:rPr>
        <w:t>Vengrija</w:t>
      </w:r>
    </w:p>
    <w:p w:rsidR="00B42325" w:rsidRPr="00CF4A00" w:rsidRDefault="00B42325" w:rsidP="00CF4A00">
      <w:pPr>
        <w:spacing w:after="0" w:line="240" w:lineRule="auto"/>
        <w:rPr>
          <w:rStyle w:val="hw"/>
          <w:rFonts w:ascii="Times New Roman" w:hAnsi="Times New Roman" w:cs="Times New Roman"/>
          <w:b w:val="0"/>
          <w:color w:val="auto"/>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uppressLineNumbers/>
        <w:spacing w:after="0" w:line="240" w:lineRule="auto"/>
        <w:ind w:left="567" w:hanging="567"/>
        <w:rPr>
          <w:rFonts w:ascii="Times New Roman" w:hAnsi="Times New Roman"/>
          <w:lang w:val="lt-LT"/>
        </w:rPr>
      </w:pPr>
      <w:r w:rsidRPr="00CF4A00">
        <w:rPr>
          <w:rFonts w:ascii="Times New Roman" w:hAnsi="Times New Roman"/>
          <w:b/>
          <w:lang w:val="lt-LT"/>
        </w:rPr>
        <w:t>B.</w:t>
      </w:r>
      <w:r w:rsidRPr="00CF4A00">
        <w:rPr>
          <w:rFonts w:ascii="Times New Roman" w:hAnsi="Times New Roman"/>
          <w:b/>
          <w:lang w:val="lt-LT"/>
        </w:rPr>
        <w:tab/>
        <w:t>TIEKIMO IR VARTOJIMO SĄLYGOS AR APRIBOJIMAI</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r w:rsidRPr="00CF4A00">
        <w:rPr>
          <w:rFonts w:ascii="Times New Roman" w:hAnsi="Times New Roman"/>
          <w:lang w:val="lt-LT"/>
        </w:rPr>
        <w:t>Receptinis vaistinis preparatas.</w:t>
      </w: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pacing w:after="0" w:line="240" w:lineRule="auto"/>
        <w:rPr>
          <w:rFonts w:ascii="Times New Roman" w:hAnsi="Times New Roman"/>
          <w:lang w:val="lt-LT"/>
        </w:rPr>
      </w:pPr>
    </w:p>
    <w:p w:rsidR="00B42325" w:rsidRPr="00CF4A00" w:rsidRDefault="00B42325" w:rsidP="00CF4A00">
      <w:pPr>
        <w:suppressLineNumbers/>
        <w:spacing w:after="0" w:line="240" w:lineRule="auto"/>
        <w:ind w:left="567" w:hanging="567"/>
        <w:rPr>
          <w:rFonts w:ascii="Times New Roman" w:hAnsi="Times New Roman"/>
          <w:b/>
          <w:lang w:val="lt-LT"/>
        </w:rPr>
      </w:pPr>
      <w:r w:rsidRPr="00CF4A00">
        <w:rPr>
          <w:rFonts w:ascii="Times New Roman" w:hAnsi="Times New Roman"/>
          <w:b/>
          <w:lang w:val="lt-LT"/>
        </w:rPr>
        <w:t>C.</w:t>
      </w:r>
      <w:r w:rsidRPr="00CF4A00">
        <w:rPr>
          <w:rFonts w:ascii="Times New Roman" w:hAnsi="Times New Roman"/>
          <w:b/>
          <w:lang w:val="lt-LT"/>
        </w:rPr>
        <w:tab/>
        <w:t>KITOS SĄLYGOS IR REIKALAVIMAI RINKODAROS TEISĖS TURĖTOJUI</w:t>
      </w:r>
    </w:p>
    <w:p w:rsidR="00B42325" w:rsidRPr="00CF4A00" w:rsidRDefault="00B42325" w:rsidP="00CF4A00">
      <w:pPr>
        <w:tabs>
          <w:tab w:val="left" w:pos="567"/>
        </w:tabs>
        <w:spacing w:after="0" w:line="240" w:lineRule="auto"/>
        <w:rPr>
          <w:rFonts w:ascii="Times New Roman" w:hAnsi="Times New Roman"/>
          <w:lang w:val="lt-LT"/>
        </w:rPr>
      </w:pPr>
    </w:p>
    <w:p w:rsidR="00B42325" w:rsidRPr="00CF4A00" w:rsidRDefault="00B42325" w:rsidP="00CF4A00">
      <w:pPr>
        <w:tabs>
          <w:tab w:val="left" w:pos="567"/>
        </w:tabs>
        <w:spacing w:after="0" w:line="240" w:lineRule="auto"/>
        <w:rPr>
          <w:rFonts w:ascii="Times New Roman" w:hAnsi="Times New Roman"/>
        </w:rPr>
      </w:pPr>
      <w:r w:rsidRPr="00CF4A00">
        <w:rPr>
          <w:rFonts w:ascii="Times New Roman" w:hAnsi="Times New Roman"/>
        </w:rPr>
        <w:t>Nereikia.</w:t>
      </w:r>
    </w:p>
    <w:p w:rsidR="00B42325" w:rsidRPr="00CF4A00" w:rsidRDefault="00B42325" w:rsidP="00CF4A00">
      <w:pPr>
        <w:tabs>
          <w:tab w:val="left" w:pos="567"/>
        </w:tabs>
        <w:spacing w:after="0" w:line="240" w:lineRule="auto"/>
        <w:rPr>
          <w:rFonts w:ascii="Times New Roman" w:hAnsi="Times New Roman"/>
        </w:rPr>
      </w:pPr>
    </w:p>
    <w:p w:rsidR="00B42325" w:rsidRPr="000D4869" w:rsidRDefault="00B42325" w:rsidP="00CF4A00">
      <w:pPr>
        <w:numPr>
          <w:ilvl w:val="0"/>
          <w:numId w:val="27"/>
        </w:numPr>
        <w:suppressLineNumbers/>
        <w:tabs>
          <w:tab w:val="clear" w:pos="720"/>
          <w:tab w:val="num" w:pos="567"/>
        </w:tabs>
        <w:spacing w:after="0" w:line="240" w:lineRule="auto"/>
        <w:ind w:left="567" w:right="-1" w:hanging="567"/>
        <w:rPr>
          <w:rFonts w:ascii="Times New Roman" w:hAnsi="Times New Roman"/>
          <w:b/>
          <w:bCs/>
        </w:rPr>
      </w:pPr>
      <w:r w:rsidRPr="000D4869">
        <w:rPr>
          <w:rFonts w:ascii="Times New Roman" w:hAnsi="Times New Roman"/>
          <w:b/>
          <w:bCs/>
        </w:rPr>
        <w:t>SĄLYGOS AR APRIBOJIMAI SAUGIAM IR VEIKSMINGAM VAISTINIO PREPARATO VARTOJIMUI UŽTIKRINTI</w:t>
      </w:r>
    </w:p>
    <w:p w:rsidR="00B42325" w:rsidRPr="000D4869" w:rsidRDefault="00B42325" w:rsidP="00CF4A00">
      <w:pPr>
        <w:suppressLineNumbers/>
        <w:spacing w:after="0" w:line="240" w:lineRule="auto"/>
        <w:ind w:right="-1"/>
        <w:rPr>
          <w:rFonts w:ascii="Times New Roman" w:hAnsi="Times New Roman"/>
          <w:b/>
        </w:rPr>
      </w:pPr>
    </w:p>
    <w:p w:rsidR="00B42325" w:rsidRPr="007E4B9B" w:rsidRDefault="00B42325" w:rsidP="00CF4A00">
      <w:pPr>
        <w:spacing w:after="0" w:line="240" w:lineRule="auto"/>
        <w:rPr>
          <w:rFonts w:ascii="Times New Roman" w:hAnsi="Times New Roman"/>
          <w:lang w:val="es-ES"/>
        </w:rPr>
      </w:pPr>
      <w:r w:rsidRPr="007E4B9B">
        <w:rPr>
          <w:rFonts w:ascii="Times New Roman" w:hAnsi="Times New Roman"/>
          <w:lang w:val="es-ES"/>
        </w:rPr>
        <w:t>Nereikia.</w:t>
      </w:r>
    </w:p>
    <w:p w:rsidR="00B42325" w:rsidRDefault="00B42325">
      <w:pPr>
        <w:rPr>
          <w:rFonts w:ascii="Times New Roman" w:hAnsi="Times New Roman"/>
          <w:lang w:val="lt-LT" w:eastAsia="en-US"/>
        </w:rPr>
      </w:pPr>
      <w:r w:rsidRPr="00AA35C3">
        <w:rPr>
          <w:lang w:val="lt-LT"/>
        </w:rPr>
        <w:br w:type="page"/>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TTEMEASMCA"/>
        <w:rPr>
          <w:lang w:val="lt-LT"/>
        </w:rPr>
      </w:pPr>
      <w:bookmarkStart w:id="62" w:name="_Toc129243134"/>
      <w:bookmarkStart w:id="63" w:name="_Toc129243259"/>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Default="00B42325" w:rsidP="003E2BE3">
      <w:pPr>
        <w:pStyle w:val="TTEMEASMCA"/>
        <w:rPr>
          <w:lang w:val="lt-LT"/>
        </w:rPr>
      </w:pPr>
    </w:p>
    <w:p w:rsidR="00B42325" w:rsidRPr="00F06B81" w:rsidRDefault="00B42325" w:rsidP="003E2BE3">
      <w:pPr>
        <w:pStyle w:val="TTEMEASMCA"/>
        <w:rPr>
          <w:lang w:val="lt-LT"/>
        </w:rPr>
      </w:pPr>
      <w:r w:rsidRPr="00F06B81">
        <w:rPr>
          <w:lang w:val="lt-LT"/>
        </w:rPr>
        <w:t>III PRIEDAS</w:t>
      </w:r>
      <w:bookmarkEnd w:id="62"/>
      <w:bookmarkEnd w:id="63"/>
    </w:p>
    <w:p w:rsidR="00B42325" w:rsidRPr="00F06B81" w:rsidRDefault="00B42325" w:rsidP="003E2BE3">
      <w:pPr>
        <w:pStyle w:val="BTEMEASMCA"/>
        <w:rPr>
          <w:noProof w:val="0"/>
        </w:rPr>
      </w:pPr>
    </w:p>
    <w:p w:rsidR="00B42325" w:rsidRPr="00F06B81" w:rsidRDefault="00B42325" w:rsidP="003E2BE3">
      <w:pPr>
        <w:pStyle w:val="TTEMEASMCA"/>
        <w:rPr>
          <w:lang w:val="lt-LT"/>
        </w:rPr>
      </w:pPr>
      <w:bookmarkStart w:id="64" w:name="_Toc129243135"/>
      <w:bookmarkStart w:id="65" w:name="_Toc129243260"/>
      <w:r w:rsidRPr="00F06B81">
        <w:rPr>
          <w:lang w:val="lt-LT"/>
        </w:rPr>
        <w:t>ŽENKLINIMAS IR PAKUOTĖS LAPELIS</w:t>
      </w:r>
      <w:bookmarkEnd w:id="64"/>
      <w:bookmarkEnd w:id="65"/>
    </w:p>
    <w:p w:rsidR="00B42325" w:rsidRPr="00F06B81" w:rsidRDefault="00B42325" w:rsidP="003E2BE3">
      <w:pPr>
        <w:pStyle w:val="BTEMEASMCA"/>
        <w:rPr>
          <w:noProof w:val="0"/>
        </w:rPr>
      </w:pPr>
      <w:r w:rsidRPr="00F06B81">
        <w:rPr>
          <w:noProof w:val="0"/>
        </w:rPr>
        <w:br w:type="page"/>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TTEMEASMCA"/>
        <w:rPr>
          <w:lang w:val="lt-LT"/>
        </w:rPr>
      </w:pPr>
      <w:bookmarkStart w:id="66" w:name="_Toc129243136"/>
      <w:bookmarkStart w:id="67" w:name="_Toc129243261"/>
      <w:r w:rsidRPr="00F06B81">
        <w:rPr>
          <w:lang w:val="lt-LT"/>
        </w:rPr>
        <w:t>A. ŽENKLINIMAS</w:t>
      </w:r>
      <w:bookmarkEnd w:id="66"/>
      <w:bookmarkEnd w:id="67"/>
    </w:p>
    <w:p w:rsidR="00B42325" w:rsidRPr="00F06B81" w:rsidRDefault="00B42325" w:rsidP="003E2BE3">
      <w:pPr>
        <w:pStyle w:val="BTEMEASMCA"/>
        <w:rPr>
          <w:noProof w:val="0"/>
        </w:rPr>
      </w:pPr>
      <w:r w:rsidRPr="00F06B81">
        <w:rPr>
          <w:noProof w:val="0"/>
        </w:rPr>
        <w:br w:type="page"/>
      </w:r>
    </w:p>
    <w:p w:rsidR="00B42325" w:rsidRPr="00F06B81" w:rsidRDefault="00B42325" w:rsidP="003E2BE3">
      <w:pPr>
        <w:pStyle w:val="PI-1labEMEASMCA"/>
        <w:rPr>
          <w:noProof w:val="0"/>
        </w:rPr>
      </w:pPr>
      <w:r w:rsidRPr="00F06B81">
        <w:rPr>
          <w:noProof w:val="0"/>
        </w:rPr>
        <w:lastRenderedPageBreak/>
        <w:t>INFORMACIJA ANT IŠORINĖS PAKUOTĖS</w:t>
      </w:r>
    </w:p>
    <w:p w:rsidR="00B42325" w:rsidRPr="00F06B81" w:rsidRDefault="00B42325" w:rsidP="003E2BE3">
      <w:pPr>
        <w:pStyle w:val="PI-1labEMEASMCA"/>
        <w:rPr>
          <w:noProof w:val="0"/>
        </w:rPr>
      </w:pPr>
    </w:p>
    <w:p w:rsidR="00B42325" w:rsidRPr="00F06B81" w:rsidRDefault="00B42325" w:rsidP="003E2BE3">
      <w:pPr>
        <w:pStyle w:val="PI-1labEMEASMCA"/>
        <w:rPr>
          <w:bCs/>
          <w:noProof w:val="0"/>
        </w:rPr>
      </w:pPr>
      <w:r w:rsidRPr="00F06B81">
        <w:rPr>
          <w:noProof w:val="0"/>
        </w:rPr>
        <w:t>KARTONO DĖŽUTĖ</w:t>
      </w:r>
    </w:p>
    <w:p w:rsidR="00B42325"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w:t>
      </w:r>
      <w:r w:rsidRPr="00F06B81">
        <w:rPr>
          <w:noProof w:val="0"/>
        </w:rPr>
        <w:tab/>
        <w:t>VAISTINIO PREPARATO PAVADINIMAS</w:t>
      </w:r>
    </w:p>
    <w:p w:rsidR="00B42325" w:rsidRPr="00F06B81" w:rsidRDefault="00B42325" w:rsidP="003E2BE3">
      <w:pPr>
        <w:pStyle w:val="BTEMEASMCA"/>
        <w:rPr>
          <w:noProof w:val="0"/>
        </w:rPr>
      </w:pPr>
    </w:p>
    <w:p w:rsidR="00B42325" w:rsidRPr="00F06B81" w:rsidRDefault="00B42325" w:rsidP="003E2BE3">
      <w:pPr>
        <w:pStyle w:val="BTEMEASMCA"/>
        <w:rPr>
          <w:noProof w:val="0"/>
        </w:rPr>
      </w:pPr>
      <w:r>
        <w:rPr>
          <w:bCs/>
          <w:noProof w:val="0"/>
        </w:rPr>
        <w:t>Trombopriv</w:t>
      </w:r>
      <w:r w:rsidRPr="00F06B81">
        <w:rPr>
          <w:b/>
          <w:noProof w:val="0"/>
        </w:rPr>
        <w:t xml:space="preserve"> </w:t>
      </w:r>
      <w:r w:rsidRPr="00F06B81">
        <w:rPr>
          <w:noProof w:val="0"/>
        </w:rPr>
        <w:t>25</w:t>
      </w:r>
      <w:r>
        <w:rPr>
          <w:noProof w:val="0"/>
        </w:rPr>
        <w:t>0 mikrogramų</w:t>
      </w:r>
      <w:r w:rsidRPr="00F06B81">
        <w:rPr>
          <w:noProof w:val="0"/>
        </w:rPr>
        <w:t xml:space="preserve">/ml koncentratas infuziniam tirpalui </w:t>
      </w:r>
    </w:p>
    <w:p w:rsidR="00B42325" w:rsidRPr="00F06B81" w:rsidRDefault="00B42325" w:rsidP="003E2BE3">
      <w:pPr>
        <w:pStyle w:val="BTEMEASMCA"/>
        <w:rPr>
          <w:noProof w:val="0"/>
        </w:rPr>
      </w:pPr>
      <w:r w:rsidRPr="00F06B81">
        <w:rPr>
          <w:noProof w:val="0"/>
        </w:rPr>
        <w:t>Tirofibanum</w:t>
      </w:r>
      <w:r>
        <w:rPr>
          <w:noProof w:val="0"/>
        </w:rPr>
        <w:t xml:space="preserve"> </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2.</w:t>
      </w:r>
      <w:r w:rsidRPr="00F06B81">
        <w:rPr>
          <w:noProof w:val="0"/>
        </w:rPr>
        <w:tab/>
        <w:t>VEIKLIOJI MEDŽIAGA IR JOS KIEKIS</w:t>
      </w:r>
    </w:p>
    <w:p w:rsidR="00B42325" w:rsidRPr="00F06B81" w:rsidRDefault="00B42325" w:rsidP="003E2BE3">
      <w:pPr>
        <w:pStyle w:val="BTEMEASMCA"/>
        <w:rPr>
          <w:noProof w:val="0"/>
        </w:rPr>
      </w:pPr>
    </w:p>
    <w:p w:rsidR="00B42325" w:rsidRPr="00F06B81" w:rsidRDefault="00B42325" w:rsidP="0066452F">
      <w:pPr>
        <w:pStyle w:val="BTEMEASMCA"/>
        <w:rPr>
          <w:noProof w:val="0"/>
        </w:rPr>
      </w:pPr>
      <w:r>
        <w:rPr>
          <w:noProof w:val="0"/>
        </w:rPr>
        <w:t>Kiekviename</w:t>
      </w:r>
      <w:r w:rsidRPr="00F06B81">
        <w:rPr>
          <w:noProof w:val="0"/>
        </w:rPr>
        <w:t xml:space="preserve"> koncentrato infuziniam tirpalui mililitre yra 281</w:t>
      </w:r>
      <w:r>
        <w:rPr>
          <w:noProof w:val="0"/>
        </w:rPr>
        <w:t> </w:t>
      </w:r>
      <w:r w:rsidRPr="00F06B81">
        <w:rPr>
          <w:noProof w:val="0"/>
        </w:rPr>
        <w:t xml:space="preserve">mikrogramas tirofibano hidrochlorido monohidrato, </w:t>
      </w:r>
      <w:r>
        <w:rPr>
          <w:noProof w:val="0"/>
        </w:rPr>
        <w:t>atitinkančio</w:t>
      </w:r>
      <w:r w:rsidRPr="00F06B81">
        <w:rPr>
          <w:noProof w:val="0"/>
        </w:rPr>
        <w:t xml:space="preserve"> 250 mikrogram</w:t>
      </w:r>
      <w:r>
        <w:rPr>
          <w:noProof w:val="0"/>
        </w:rPr>
        <w:t>ų</w:t>
      </w:r>
      <w:r w:rsidRPr="00F06B81">
        <w:rPr>
          <w:noProof w:val="0"/>
        </w:rPr>
        <w:t xml:space="preserve"> tirofibano.</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highlight w:val="lightGray"/>
        </w:rPr>
      </w:pPr>
      <w:r w:rsidRPr="00F06B81">
        <w:rPr>
          <w:noProof w:val="0"/>
        </w:rPr>
        <w:t>3.</w:t>
      </w:r>
      <w:r w:rsidRPr="00F06B81">
        <w:rPr>
          <w:noProof w:val="0"/>
        </w:rPr>
        <w:tab/>
        <w:t>PAGALBINIŲ MEDŽIAGŲ SĄRAŠAS</w:t>
      </w:r>
    </w:p>
    <w:p w:rsidR="00B42325" w:rsidRPr="00F06B81" w:rsidRDefault="00B42325" w:rsidP="003E2BE3">
      <w:pPr>
        <w:pStyle w:val="BTEMEASMCA"/>
        <w:rPr>
          <w:noProof w:val="0"/>
        </w:rPr>
      </w:pPr>
    </w:p>
    <w:p w:rsidR="00B42325" w:rsidRDefault="00B42325" w:rsidP="00B32ACB">
      <w:pPr>
        <w:pStyle w:val="BTEMEASMCA"/>
      </w:pPr>
      <w:r w:rsidRPr="006B2A69">
        <w:t xml:space="preserve">Pagalbinės medžiagos: </w:t>
      </w:r>
      <w:r>
        <w:t>N</w:t>
      </w:r>
      <w:r w:rsidRPr="006B2A69">
        <w:t xml:space="preserve">atrii </w:t>
      </w:r>
      <w:r>
        <w:t>dihydrogenophosphas</w:t>
      </w:r>
      <w:r w:rsidRPr="006B2A69">
        <w:t xml:space="preserve"> dihydricus, </w:t>
      </w:r>
      <w:r>
        <w:t>Mannitolum, A</w:t>
      </w:r>
      <w:r w:rsidRPr="006B2A69">
        <w:t>qua ad iniectabil</w:t>
      </w:r>
      <w:r>
        <w:t>e</w:t>
      </w:r>
      <w:r w:rsidRPr="006B2A69">
        <w:t xml:space="preserve">, </w:t>
      </w:r>
      <w:r>
        <w:t>A</w:t>
      </w:r>
      <w:r w:rsidRPr="006B2A69">
        <w:t>cidum hydrochloridum/</w:t>
      </w:r>
      <w:r>
        <w:t>N</w:t>
      </w:r>
      <w:r w:rsidRPr="006B2A69">
        <w:t>atrii hydroxidum.</w:t>
      </w:r>
      <w:r>
        <w:t xml:space="preserve"> </w:t>
      </w:r>
    </w:p>
    <w:p w:rsidR="00B42325" w:rsidRDefault="00B42325" w:rsidP="00B32ACB">
      <w:pPr>
        <w:pStyle w:val="BTEMEASMCA"/>
      </w:pPr>
      <w:r>
        <w:t>Sudėtyje yra natrio.</w:t>
      </w:r>
    </w:p>
    <w:p w:rsidR="00B42325" w:rsidRPr="006B2A69" w:rsidRDefault="00B42325" w:rsidP="00B32ACB">
      <w:pPr>
        <w:pStyle w:val="BTEMEASMCA"/>
      </w:pPr>
      <w:r>
        <w:t>Daugiau informacijos pateikta pakuotės lapelyje.</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4.</w:t>
      </w:r>
      <w:r w:rsidRPr="00F06B81">
        <w:rPr>
          <w:noProof w:val="0"/>
        </w:rPr>
        <w:tab/>
        <w:t>FARMACINĖ FORMA IR KIEKIS PAKUOTĖJE</w:t>
      </w:r>
    </w:p>
    <w:p w:rsidR="00B42325" w:rsidRPr="00F06B81" w:rsidRDefault="00B42325" w:rsidP="003E2BE3">
      <w:pPr>
        <w:pStyle w:val="BTEMEASMCA"/>
        <w:rPr>
          <w:noProof w:val="0"/>
        </w:rPr>
      </w:pPr>
    </w:p>
    <w:p w:rsidR="00B42325" w:rsidRPr="006B2A69" w:rsidRDefault="00B42325" w:rsidP="00AC5D48">
      <w:pPr>
        <w:pStyle w:val="BTEMEASMCA"/>
      </w:pPr>
      <w:r w:rsidRPr="00D27BCD">
        <w:t>Koncentratas infuziniam tirpalui</w:t>
      </w:r>
      <w:r>
        <w:t>.</w:t>
      </w:r>
    </w:p>
    <w:p w:rsidR="00B42325" w:rsidRDefault="00B42325" w:rsidP="003E2BE3">
      <w:pPr>
        <w:pStyle w:val="BTEMEASMCA"/>
        <w:rPr>
          <w:noProof w:val="0"/>
        </w:rPr>
      </w:pPr>
      <w:r w:rsidRPr="00F06B81">
        <w:rPr>
          <w:noProof w:val="0"/>
        </w:rPr>
        <w:t>1</w:t>
      </w:r>
      <w:r>
        <w:rPr>
          <w:noProof w:val="0"/>
        </w:rPr>
        <w:t xml:space="preserve"> </w:t>
      </w:r>
      <w:r w:rsidRPr="00F06B81">
        <w:rPr>
          <w:noProof w:val="0"/>
        </w:rPr>
        <w:t>50 ml</w:t>
      </w:r>
      <w:r>
        <w:rPr>
          <w:noProof w:val="0"/>
        </w:rPr>
        <w:t xml:space="preserve"> flakonas. 12,5 mg / 50 ml</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highlight w:val="lightGray"/>
        </w:rPr>
      </w:pPr>
      <w:r w:rsidRPr="00F06B81">
        <w:rPr>
          <w:noProof w:val="0"/>
        </w:rPr>
        <w:t>5.</w:t>
      </w:r>
      <w:r w:rsidRPr="00F06B81">
        <w:rPr>
          <w:noProof w:val="0"/>
        </w:rPr>
        <w:tab/>
        <w:t>VARTOJIMO METODAS IR BŪDAS (-AI)</w:t>
      </w:r>
    </w:p>
    <w:p w:rsidR="00B42325" w:rsidRPr="00F06B81" w:rsidRDefault="00B42325" w:rsidP="003E2BE3">
      <w:pPr>
        <w:pStyle w:val="BTEMEASMCA"/>
        <w:rPr>
          <w:noProof w:val="0"/>
        </w:rPr>
      </w:pPr>
    </w:p>
    <w:p w:rsidR="00B42325" w:rsidRPr="00F06B81" w:rsidRDefault="00B42325" w:rsidP="003E2BE3">
      <w:pPr>
        <w:pStyle w:val="BTEMEASMCA"/>
        <w:rPr>
          <w:noProof w:val="0"/>
        </w:rPr>
      </w:pPr>
      <w:r>
        <w:rPr>
          <w:noProof w:val="0"/>
        </w:rPr>
        <w:t>Leisti</w:t>
      </w:r>
      <w:r w:rsidRPr="00F06B81">
        <w:rPr>
          <w:noProof w:val="0"/>
        </w:rPr>
        <w:t xml:space="preserve"> į veną.</w:t>
      </w:r>
    </w:p>
    <w:p w:rsidR="00B42325" w:rsidRDefault="00B42325" w:rsidP="003E2BE3">
      <w:pPr>
        <w:pStyle w:val="BTEMEASMCA"/>
        <w:rPr>
          <w:noProof w:val="0"/>
        </w:rPr>
      </w:pPr>
      <w:r>
        <w:rPr>
          <w:noProof w:val="0"/>
        </w:rPr>
        <w:t>Trombopriv koncentratą infuziniam tirpalui prieš vartojimą būtina praskiesti.</w:t>
      </w:r>
    </w:p>
    <w:p w:rsidR="00B42325" w:rsidRPr="00F06B81" w:rsidRDefault="00B42325" w:rsidP="003E2BE3">
      <w:pPr>
        <w:pStyle w:val="BTEMEASMCA"/>
        <w:rPr>
          <w:noProof w:val="0"/>
        </w:rPr>
      </w:pPr>
      <w:r w:rsidRPr="00F06B81">
        <w:rPr>
          <w:noProof w:val="0"/>
        </w:rPr>
        <w:t>Prieš vartojimą perskaitykite pakuotės lapelį.</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6.</w:t>
      </w:r>
      <w:r w:rsidRPr="00F06B81">
        <w:rPr>
          <w:noProof w:val="0"/>
        </w:rPr>
        <w:tab/>
        <w:t>SPECIALUS ĮSPĖJIMAS, KAD VAISTINĮ PREPARATĄ BŪTINA LAIKYTI VAIKAMS NEPASTEBIMOJE IR NEPASIEKIAMOJE</w:t>
      </w:r>
      <w:r w:rsidRPr="00F06B81" w:rsidDel="00CF4A00">
        <w:rPr>
          <w:noProof w:val="0"/>
        </w:rPr>
        <w:t xml:space="preserve"> </w:t>
      </w:r>
      <w:r w:rsidRPr="00F06B81">
        <w:rPr>
          <w:noProof w:val="0"/>
        </w:rPr>
        <w:t>VIETOJE</w:t>
      </w:r>
    </w:p>
    <w:p w:rsidR="00B42325" w:rsidRPr="00F06B81" w:rsidRDefault="00B42325" w:rsidP="003E2BE3">
      <w:pPr>
        <w:pStyle w:val="BTEMEASMCA"/>
        <w:rPr>
          <w:noProof w:val="0"/>
        </w:rPr>
      </w:pPr>
    </w:p>
    <w:p w:rsidR="00B42325" w:rsidRPr="00F06B81" w:rsidRDefault="00B42325" w:rsidP="003E2BE3">
      <w:pPr>
        <w:pStyle w:val="BTEMEASMCA"/>
        <w:rPr>
          <w:noProof w:val="0"/>
        </w:rPr>
      </w:pPr>
      <w:r w:rsidRPr="00F06B81">
        <w:rPr>
          <w:noProof w:val="0"/>
        </w:rPr>
        <w:t xml:space="preserve">Laikyti vaikams nepastebimoje </w:t>
      </w:r>
      <w:r>
        <w:rPr>
          <w:noProof w:val="0"/>
        </w:rPr>
        <w:t xml:space="preserve">ir </w:t>
      </w:r>
      <w:r w:rsidRPr="00F06B81">
        <w:rPr>
          <w:noProof w:val="0"/>
        </w:rPr>
        <w:t>nepasiekiamoje vietoje.</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highlight w:val="lightGray"/>
        </w:rPr>
      </w:pPr>
      <w:r w:rsidRPr="00F06B81">
        <w:rPr>
          <w:noProof w:val="0"/>
        </w:rPr>
        <w:t>7.</w:t>
      </w:r>
      <w:r w:rsidRPr="00F06B81">
        <w:rPr>
          <w:noProof w:val="0"/>
        </w:rPr>
        <w:tab/>
        <w:t>KITAS (-I) SPECIALUS (-ŪS) ĮSPĖJIMAS (-AI) (JEI REIKIA)</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highlight w:val="lightGray"/>
        </w:rPr>
      </w:pPr>
      <w:r w:rsidRPr="00F06B81">
        <w:rPr>
          <w:noProof w:val="0"/>
        </w:rPr>
        <w:t>8.</w:t>
      </w:r>
      <w:r w:rsidRPr="00F06B81">
        <w:rPr>
          <w:noProof w:val="0"/>
        </w:rPr>
        <w:tab/>
        <w:t>TINKAMUMO LAIKAS</w:t>
      </w:r>
    </w:p>
    <w:p w:rsidR="00B42325" w:rsidRPr="00F06B81" w:rsidRDefault="00B42325" w:rsidP="003E2BE3">
      <w:pPr>
        <w:pStyle w:val="BTEMEASMCA"/>
        <w:rPr>
          <w:noProof w:val="0"/>
        </w:rPr>
      </w:pPr>
    </w:p>
    <w:p w:rsidR="00B42325" w:rsidRPr="00F06B81" w:rsidRDefault="00B42325" w:rsidP="003E2BE3">
      <w:pPr>
        <w:pStyle w:val="BTEMEASMCA"/>
        <w:rPr>
          <w:noProof w:val="0"/>
        </w:rPr>
      </w:pPr>
      <w:r>
        <w:rPr>
          <w:noProof w:val="0"/>
        </w:rPr>
        <w:t xml:space="preserve">Tinka iki </w:t>
      </w:r>
      <w:r w:rsidRPr="00F06B81">
        <w:rPr>
          <w:noProof w:val="0"/>
        </w:rPr>
        <w:t>{MMMM/mm}</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9.</w:t>
      </w:r>
      <w:r w:rsidRPr="00F06B81">
        <w:rPr>
          <w:noProof w:val="0"/>
        </w:rPr>
        <w:tab/>
        <w:t>SPECIALIOS LAIKYMO SĄLYGOS</w:t>
      </w:r>
    </w:p>
    <w:p w:rsidR="00B42325" w:rsidRPr="00F06B81" w:rsidRDefault="00B42325" w:rsidP="003E2BE3">
      <w:pPr>
        <w:pStyle w:val="BTEMEASMCA"/>
        <w:rPr>
          <w:noProof w:val="0"/>
        </w:rPr>
      </w:pPr>
    </w:p>
    <w:p w:rsidR="00B42325" w:rsidRPr="00F06B81" w:rsidRDefault="00B42325" w:rsidP="003E2BE3">
      <w:pPr>
        <w:spacing w:after="0" w:line="240" w:lineRule="auto"/>
        <w:rPr>
          <w:rFonts w:ascii="Times New Roman" w:hAnsi="Times New Roman"/>
          <w:lang w:val="lt-LT"/>
        </w:rPr>
      </w:pPr>
      <w:r w:rsidRPr="00F06B81">
        <w:rPr>
          <w:rFonts w:ascii="Times New Roman" w:hAnsi="Times New Roman"/>
          <w:lang w:val="lt-LT"/>
        </w:rPr>
        <w:t>Negalima užšaldyti.</w:t>
      </w:r>
      <w:r>
        <w:rPr>
          <w:rFonts w:ascii="Times New Roman" w:hAnsi="Times New Roman"/>
          <w:lang w:val="lt-LT"/>
        </w:rPr>
        <w:t xml:space="preserve"> Flakoną </w:t>
      </w:r>
      <w:r w:rsidRPr="007A7541">
        <w:rPr>
          <w:rFonts w:ascii="Times New Roman" w:hAnsi="Times New Roman"/>
          <w:lang w:val="lt-LT"/>
        </w:rPr>
        <w:t>laikyti</w:t>
      </w:r>
      <w:r>
        <w:rPr>
          <w:rFonts w:ascii="Times New Roman" w:hAnsi="Times New Roman"/>
          <w:lang w:val="lt-LT"/>
        </w:rPr>
        <w:t xml:space="preserve"> išorinėje dėžutėje</w:t>
      </w:r>
      <w:r w:rsidRPr="00F06B81">
        <w:rPr>
          <w:rFonts w:ascii="Times New Roman" w:hAnsi="Times New Roman"/>
          <w:lang w:val="lt-LT"/>
        </w:rPr>
        <w:t>, kad preparatas būtų apsaugotas nuo šviesos.</w:t>
      </w:r>
    </w:p>
    <w:p w:rsidR="00B42325" w:rsidRPr="00C871CF" w:rsidRDefault="00B42325" w:rsidP="0053607A">
      <w:pPr>
        <w:spacing w:after="0" w:line="240" w:lineRule="auto"/>
        <w:rPr>
          <w:lang w:val="lt-LT"/>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10.</w:t>
      </w:r>
      <w:r w:rsidRPr="00F06B81">
        <w:rPr>
          <w:noProof w:val="0"/>
        </w:rPr>
        <w:tab/>
        <w:t xml:space="preserve">SPECIALIOS ATSARGUMO PRIEMONĖS DĖL NESUVARTOTO </w:t>
      </w:r>
      <w:r w:rsidRPr="00F06B81">
        <w:rPr>
          <w:bCs/>
          <w:noProof w:val="0"/>
        </w:rPr>
        <w:t xml:space="preserve">VAISTINIO PREPARATO AR JO ATLIEKŲ </w:t>
      </w:r>
      <w:r w:rsidRPr="00F06B81">
        <w:rPr>
          <w:noProof w:val="0"/>
        </w:rPr>
        <w:t>TVARKYMO (JEI REIKIA)</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11.</w:t>
      </w:r>
      <w:r w:rsidRPr="00F06B81">
        <w:rPr>
          <w:noProof w:val="0"/>
        </w:rPr>
        <w:tab/>
        <w:t>RINKODAROS TEISĖS TURĖTOJO PAVADINIMAS IR ADRESAS</w:t>
      </w:r>
    </w:p>
    <w:p w:rsidR="00B42325" w:rsidRPr="00F06B81" w:rsidRDefault="00B42325" w:rsidP="003E2BE3">
      <w:pPr>
        <w:pStyle w:val="BTEMEASMCA"/>
        <w:rPr>
          <w:noProof w:val="0"/>
        </w:rPr>
      </w:pPr>
    </w:p>
    <w:p w:rsidR="00B42325" w:rsidRDefault="00B42325" w:rsidP="00AA2775">
      <w:pPr>
        <w:spacing w:after="0" w:line="240" w:lineRule="auto"/>
        <w:rPr>
          <w:rFonts w:ascii="Times New Roman" w:hAnsi="Times New Roman"/>
          <w:iCs/>
          <w:lang w:val="lt-LT"/>
        </w:rPr>
      </w:pPr>
      <w:r>
        <w:rPr>
          <w:rFonts w:ascii="Times New Roman" w:hAnsi="Times New Roman"/>
          <w:iCs/>
          <w:lang w:val="lt-LT"/>
        </w:rPr>
        <w:t>UAB „Via pharma“</w:t>
      </w:r>
    </w:p>
    <w:p w:rsidR="00B42325" w:rsidRDefault="00B42325" w:rsidP="00AA2775">
      <w:pPr>
        <w:spacing w:after="0" w:line="240" w:lineRule="auto"/>
        <w:rPr>
          <w:rFonts w:ascii="Times New Roman" w:hAnsi="Times New Roman"/>
          <w:iCs/>
          <w:lang w:val="lt-LT"/>
        </w:rPr>
      </w:pPr>
      <w:r>
        <w:rPr>
          <w:rFonts w:ascii="Times New Roman" w:hAnsi="Times New Roman"/>
          <w:iCs/>
          <w:lang w:val="lt-LT"/>
        </w:rPr>
        <w:t>J. Galvydžio g. 5 / Žygio g. 96, Vilnius</w:t>
      </w:r>
    </w:p>
    <w:p w:rsidR="00B42325" w:rsidRPr="00F06B81" w:rsidRDefault="00B42325" w:rsidP="00AA2775">
      <w:pPr>
        <w:spacing w:after="0" w:line="240" w:lineRule="auto"/>
        <w:rPr>
          <w:rFonts w:ascii="Times New Roman" w:hAnsi="Times New Roman"/>
          <w:lang w:val="lt-LT"/>
        </w:rPr>
      </w:pPr>
      <w:r>
        <w:rPr>
          <w:rFonts w:ascii="Times New Roman" w:hAnsi="Times New Roman"/>
          <w:iCs/>
          <w:lang w:val="lt-LT"/>
        </w:rPr>
        <w:t>Lietuva</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12.</w:t>
      </w:r>
      <w:r w:rsidRPr="00F06B81">
        <w:rPr>
          <w:noProof w:val="0"/>
        </w:rPr>
        <w:tab/>
        <w:t xml:space="preserve">RINKODAROS TEISĖS NUMERIS </w:t>
      </w:r>
    </w:p>
    <w:p w:rsidR="00B42325" w:rsidRPr="00F06B81" w:rsidRDefault="00B42325" w:rsidP="003E2BE3">
      <w:pPr>
        <w:pStyle w:val="BTEMEASMCA"/>
        <w:rPr>
          <w:noProof w:val="0"/>
        </w:rPr>
      </w:pPr>
    </w:p>
    <w:p w:rsidR="00B42325" w:rsidRDefault="00B42325" w:rsidP="00BE1539">
      <w:pPr>
        <w:pStyle w:val="BTEMEASMCA"/>
        <w:rPr>
          <w:noProof w:val="0"/>
        </w:rPr>
      </w:pPr>
      <w:r>
        <w:rPr>
          <w:noProof w:val="0"/>
        </w:rPr>
        <w:t>LT/1/12/3067/001</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13.</w:t>
      </w:r>
      <w:r w:rsidRPr="00F06B81">
        <w:rPr>
          <w:noProof w:val="0"/>
        </w:rPr>
        <w:tab/>
        <w:t>SERIJOS NUMERIS</w:t>
      </w:r>
    </w:p>
    <w:p w:rsidR="00B42325" w:rsidRPr="00F06B81" w:rsidRDefault="00B42325" w:rsidP="003E2BE3">
      <w:pPr>
        <w:pStyle w:val="BTEMEASMCA"/>
        <w:rPr>
          <w:noProof w:val="0"/>
        </w:rPr>
      </w:pPr>
    </w:p>
    <w:p w:rsidR="00B42325" w:rsidRPr="00F06B81" w:rsidRDefault="00B42325" w:rsidP="003E2BE3">
      <w:pPr>
        <w:pStyle w:val="BTEMEASMCA"/>
        <w:rPr>
          <w:noProof w:val="0"/>
        </w:rPr>
      </w:pPr>
      <w:r w:rsidRPr="006B2A69">
        <w:t>Serija:</w:t>
      </w:r>
      <w:r>
        <w:t xml:space="preserve"> </w:t>
      </w:r>
      <w:r w:rsidRPr="00F06B81">
        <w:rPr>
          <w:noProof w:val="0"/>
        </w:rPr>
        <w:t>{numeris}</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14.</w:t>
      </w:r>
      <w:r w:rsidRPr="00F06B81">
        <w:rPr>
          <w:noProof w:val="0"/>
        </w:rPr>
        <w:tab/>
        <w:t>PARDAVIMO (IŠDAVIMO) TVARKA</w:t>
      </w:r>
    </w:p>
    <w:p w:rsidR="00B42325" w:rsidRPr="00F06B81" w:rsidRDefault="00B42325" w:rsidP="003E2BE3">
      <w:pPr>
        <w:pStyle w:val="BTEMEASMCA"/>
        <w:rPr>
          <w:noProof w:val="0"/>
        </w:rPr>
      </w:pPr>
    </w:p>
    <w:p w:rsidR="00B42325" w:rsidRPr="00F06B81" w:rsidRDefault="00B42325" w:rsidP="003E2BE3">
      <w:pPr>
        <w:pStyle w:val="BTEMEASMCA"/>
        <w:rPr>
          <w:noProof w:val="0"/>
        </w:rPr>
      </w:pPr>
      <w:r w:rsidRPr="00F06B81">
        <w:rPr>
          <w:noProof w:val="0"/>
        </w:rPr>
        <w:t>Receptinis vaistinis preparatas.</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15.</w:t>
      </w:r>
      <w:r w:rsidRPr="00F06B81">
        <w:rPr>
          <w:noProof w:val="0"/>
        </w:rPr>
        <w:tab/>
        <w:t>VARTOJIMO INSTRUKCIJA</w:t>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PI-1labEMEASMCA"/>
        <w:rPr>
          <w:noProof w:val="0"/>
        </w:rPr>
      </w:pPr>
      <w:r w:rsidRPr="00F06B81">
        <w:rPr>
          <w:noProof w:val="0"/>
        </w:rPr>
        <w:t>16.</w:t>
      </w:r>
      <w:r w:rsidRPr="00F06B81">
        <w:rPr>
          <w:noProof w:val="0"/>
        </w:rPr>
        <w:tab/>
        <w:t>INFORMACIJA BRAILIO RAŠTU</w:t>
      </w:r>
    </w:p>
    <w:p w:rsidR="00B42325" w:rsidRPr="00F06B81" w:rsidRDefault="00B42325" w:rsidP="003E2BE3">
      <w:pPr>
        <w:pStyle w:val="BTEMEASMCA"/>
        <w:rPr>
          <w:noProof w:val="0"/>
        </w:rPr>
      </w:pPr>
    </w:p>
    <w:p w:rsidR="00B42325" w:rsidRPr="0053607A" w:rsidRDefault="00B42325" w:rsidP="0053607A">
      <w:pPr>
        <w:pStyle w:val="BTEMEASMCA"/>
        <w:rPr>
          <w:noProof w:val="0"/>
        </w:rPr>
      </w:pPr>
      <w:r w:rsidRPr="0053607A">
        <w:rPr>
          <w:noProof w:val="0"/>
          <w:highlight w:val="lightGray"/>
        </w:rPr>
        <w:t>Priimtas paaiškinimas nenurodyti informacijos Brailio raštu</w:t>
      </w:r>
    </w:p>
    <w:p w:rsidR="00B42325" w:rsidRPr="00F06B81" w:rsidRDefault="00B42325" w:rsidP="0053607A">
      <w:pPr>
        <w:pStyle w:val="BTEMEASMCA"/>
        <w:rPr>
          <w:noProof w:val="0"/>
        </w:rPr>
      </w:pPr>
    </w:p>
    <w:p w:rsidR="00B42325" w:rsidRPr="00F06B81" w:rsidRDefault="00B42325" w:rsidP="003E2BE3">
      <w:pPr>
        <w:pStyle w:val="BTEMEASMCA"/>
        <w:rPr>
          <w:noProof w:val="0"/>
        </w:rPr>
      </w:pPr>
    </w:p>
    <w:p w:rsidR="00B42325" w:rsidRPr="00F06B81" w:rsidRDefault="00B42325" w:rsidP="00754487">
      <w:pPr>
        <w:pStyle w:val="BTEMEASMCA"/>
        <w:rPr>
          <w:noProof w:val="0"/>
        </w:rPr>
      </w:pPr>
      <w:r w:rsidRPr="00F06B81">
        <w:rPr>
          <w:noProof w:val="0"/>
        </w:rPr>
        <w:br w:type="page"/>
      </w:r>
    </w:p>
    <w:p w:rsidR="00B42325" w:rsidRPr="00F06B81" w:rsidRDefault="00B42325" w:rsidP="00754487">
      <w:pPr>
        <w:pStyle w:val="PI-1labEMEASMCA"/>
        <w:rPr>
          <w:noProof w:val="0"/>
        </w:rPr>
      </w:pPr>
      <w:r>
        <w:rPr>
          <w:noProof w:val="0"/>
        </w:rPr>
        <w:lastRenderedPageBreak/>
        <w:t>INFORMACIJA ANT VIDINĖS</w:t>
      </w:r>
      <w:r w:rsidRPr="00F06B81">
        <w:rPr>
          <w:noProof w:val="0"/>
        </w:rPr>
        <w:t xml:space="preserve"> PAKUOTĖS</w:t>
      </w:r>
    </w:p>
    <w:p w:rsidR="00B42325" w:rsidRPr="00F06B81" w:rsidRDefault="00B42325" w:rsidP="00754487">
      <w:pPr>
        <w:pStyle w:val="PI-1labEMEASMCA"/>
        <w:rPr>
          <w:noProof w:val="0"/>
        </w:rPr>
      </w:pPr>
    </w:p>
    <w:p w:rsidR="00B42325" w:rsidRPr="00F06B81" w:rsidRDefault="00B42325" w:rsidP="00754487">
      <w:pPr>
        <w:pStyle w:val="PI-1labEMEASMCA"/>
        <w:rPr>
          <w:bCs/>
          <w:noProof w:val="0"/>
        </w:rPr>
      </w:pPr>
      <w:r>
        <w:rPr>
          <w:noProof w:val="0"/>
        </w:rPr>
        <w:t>FLAKONO ETIKETĖ</w:t>
      </w:r>
    </w:p>
    <w:p w:rsidR="00B42325"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w:t>
      </w:r>
      <w:r w:rsidRPr="00F06B81">
        <w:rPr>
          <w:noProof w:val="0"/>
        </w:rPr>
        <w:tab/>
        <w:t>VAISTINIO PREPARATO PAVADINIMAS</w:t>
      </w:r>
    </w:p>
    <w:p w:rsidR="00B42325" w:rsidRPr="00F06B81" w:rsidRDefault="00B42325" w:rsidP="00754487">
      <w:pPr>
        <w:pStyle w:val="BTEMEASMCA"/>
        <w:rPr>
          <w:noProof w:val="0"/>
        </w:rPr>
      </w:pPr>
    </w:p>
    <w:p w:rsidR="00B42325" w:rsidRPr="00F06B81" w:rsidRDefault="00B42325" w:rsidP="00754487">
      <w:pPr>
        <w:pStyle w:val="BTEMEASMCA"/>
        <w:rPr>
          <w:noProof w:val="0"/>
        </w:rPr>
      </w:pPr>
      <w:r>
        <w:rPr>
          <w:bCs/>
          <w:noProof w:val="0"/>
        </w:rPr>
        <w:t>Trombopriv</w:t>
      </w:r>
      <w:r w:rsidRPr="00F06B81">
        <w:rPr>
          <w:b/>
          <w:noProof w:val="0"/>
        </w:rPr>
        <w:t xml:space="preserve"> </w:t>
      </w:r>
      <w:r w:rsidRPr="00F06B81">
        <w:rPr>
          <w:noProof w:val="0"/>
        </w:rPr>
        <w:t>25</w:t>
      </w:r>
      <w:r>
        <w:rPr>
          <w:noProof w:val="0"/>
        </w:rPr>
        <w:t>0 mikrogramų</w:t>
      </w:r>
      <w:r w:rsidRPr="00F06B81">
        <w:rPr>
          <w:noProof w:val="0"/>
        </w:rPr>
        <w:t xml:space="preserve">/ml koncentratas infuziniam tirpalui </w:t>
      </w:r>
    </w:p>
    <w:p w:rsidR="00B42325" w:rsidRPr="00F06B81" w:rsidRDefault="00B42325" w:rsidP="00754487">
      <w:pPr>
        <w:pStyle w:val="BTEMEASMCA"/>
        <w:rPr>
          <w:noProof w:val="0"/>
        </w:rPr>
      </w:pPr>
      <w:r w:rsidRPr="00F06B81">
        <w:rPr>
          <w:noProof w:val="0"/>
        </w:rPr>
        <w:t>Tirofibanum</w:t>
      </w:r>
      <w:r>
        <w:rPr>
          <w:noProof w:val="0"/>
        </w:rPr>
        <w:t xml:space="preserve"> </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2.</w:t>
      </w:r>
      <w:r w:rsidRPr="00F06B81">
        <w:rPr>
          <w:noProof w:val="0"/>
        </w:rPr>
        <w:tab/>
        <w:t>VEIKLIOJI MEDŽIAGA IR JOS KIEKIS</w:t>
      </w:r>
    </w:p>
    <w:p w:rsidR="00B42325" w:rsidRPr="00F06B81" w:rsidRDefault="00B42325" w:rsidP="00754487">
      <w:pPr>
        <w:pStyle w:val="BTEMEASMCA"/>
        <w:rPr>
          <w:noProof w:val="0"/>
        </w:rPr>
      </w:pPr>
    </w:p>
    <w:p w:rsidR="00B42325" w:rsidRPr="00F06B81" w:rsidRDefault="00B42325" w:rsidP="00754487">
      <w:pPr>
        <w:pStyle w:val="BTEMEASMCA"/>
        <w:rPr>
          <w:noProof w:val="0"/>
        </w:rPr>
      </w:pPr>
      <w:r w:rsidRPr="000D4869">
        <w:rPr>
          <w:noProof w:val="0"/>
          <w:highlight w:val="lightGray"/>
        </w:rPr>
        <w:t>Kiekviename koncentrato infuziniam tirpalui mililitre yra 281</w:t>
      </w:r>
      <w:r w:rsidRPr="009A4DF7">
        <w:rPr>
          <w:noProof w:val="0"/>
          <w:highlight w:val="lightGray"/>
        </w:rPr>
        <w:t> </w:t>
      </w:r>
      <w:r w:rsidRPr="000D4869">
        <w:rPr>
          <w:noProof w:val="0"/>
          <w:highlight w:val="lightGray"/>
        </w:rPr>
        <w:t>mikrogramas tirofibano hidrochlorido monohidrato, atitinkančio 250</w:t>
      </w:r>
      <w:r w:rsidRPr="009A4DF7">
        <w:rPr>
          <w:noProof w:val="0"/>
          <w:highlight w:val="lightGray"/>
        </w:rPr>
        <w:t> </w:t>
      </w:r>
      <w:r w:rsidRPr="000D4869">
        <w:rPr>
          <w:noProof w:val="0"/>
          <w:highlight w:val="lightGray"/>
        </w:rPr>
        <w:t>mikrogramų tirofibano.</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highlight w:val="lightGray"/>
        </w:rPr>
      </w:pPr>
      <w:r w:rsidRPr="00F06B81">
        <w:rPr>
          <w:noProof w:val="0"/>
        </w:rPr>
        <w:t>3.</w:t>
      </w:r>
      <w:r w:rsidRPr="00F06B81">
        <w:rPr>
          <w:noProof w:val="0"/>
        </w:rPr>
        <w:tab/>
        <w:t>PAGALBINIŲ MEDŽIAGŲ SĄRAŠAS</w:t>
      </w:r>
    </w:p>
    <w:p w:rsidR="00B42325" w:rsidRPr="00F06B81" w:rsidRDefault="00B42325" w:rsidP="00754487">
      <w:pPr>
        <w:pStyle w:val="BTEMEASMCA"/>
        <w:rPr>
          <w:noProof w:val="0"/>
        </w:rPr>
      </w:pPr>
    </w:p>
    <w:p w:rsidR="00B42325" w:rsidRDefault="00B42325" w:rsidP="00754487">
      <w:pPr>
        <w:pStyle w:val="BTEMEASMCA"/>
      </w:pPr>
      <w:r w:rsidRPr="000D4869">
        <w:rPr>
          <w:highlight w:val="lightGray"/>
        </w:rPr>
        <w:t>Pagalbinės medžiagos: Natrii dihydrogenophosphas dihydricus, Mannitolum, Aqua ad iniectabile, Acidum hydrochloridum/Natrii hydroxidum.</w:t>
      </w:r>
      <w:r>
        <w:t xml:space="preserve"> </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4.</w:t>
      </w:r>
      <w:r w:rsidRPr="00F06B81">
        <w:rPr>
          <w:noProof w:val="0"/>
        </w:rPr>
        <w:tab/>
        <w:t>FARMACINĖ FORMA IR KIEKIS PAKUOTĖJE</w:t>
      </w:r>
    </w:p>
    <w:p w:rsidR="00B42325" w:rsidRPr="00F06B81" w:rsidRDefault="00B42325" w:rsidP="00754487">
      <w:pPr>
        <w:pStyle w:val="BTEMEASMCA"/>
        <w:rPr>
          <w:noProof w:val="0"/>
        </w:rPr>
      </w:pPr>
    </w:p>
    <w:p w:rsidR="00B42325" w:rsidRPr="006B2A69" w:rsidRDefault="00B42325" w:rsidP="00754487">
      <w:pPr>
        <w:pStyle w:val="BTEMEASMCA"/>
      </w:pPr>
      <w:r w:rsidRPr="000D4869">
        <w:rPr>
          <w:highlight w:val="lightGray"/>
        </w:rPr>
        <w:t>Koncentratas infuziniam tirpalui.</w:t>
      </w:r>
    </w:p>
    <w:p w:rsidR="00B42325" w:rsidRDefault="00B42325" w:rsidP="00754487">
      <w:pPr>
        <w:pStyle w:val="BTEMEASMCA"/>
        <w:rPr>
          <w:noProof w:val="0"/>
        </w:rPr>
      </w:pPr>
      <w:r w:rsidRPr="00F06B81">
        <w:rPr>
          <w:noProof w:val="0"/>
        </w:rPr>
        <w:t>50 ml</w:t>
      </w:r>
    </w:p>
    <w:p w:rsidR="00B42325" w:rsidRDefault="00B42325" w:rsidP="00754487">
      <w:pPr>
        <w:pStyle w:val="BTEMEASMCA"/>
        <w:rPr>
          <w:noProof w:val="0"/>
        </w:rPr>
      </w:pPr>
      <w:r>
        <w:rPr>
          <w:noProof w:val="0"/>
        </w:rPr>
        <w:t>12,5 mg / 50 ml</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highlight w:val="lightGray"/>
        </w:rPr>
      </w:pPr>
      <w:r w:rsidRPr="00F06B81">
        <w:rPr>
          <w:noProof w:val="0"/>
        </w:rPr>
        <w:t>5.</w:t>
      </w:r>
      <w:r w:rsidRPr="00F06B81">
        <w:rPr>
          <w:noProof w:val="0"/>
        </w:rPr>
        <w:tab/>
        <w:t>VARTOJIMO METODAS IR BŪDAS (-AI)</w:t>
      </w:r>
    </w:p>
    <w:p w:rsidR="00B42325" w:rsidRPr="00F06B81" w:rsidRDefault="00B42325" w:rsidP="00754487">
      <w:pPr>
        <w:pStyle w:val="BTEMEASMCA"/>
        <w:rPr>
          <w:noProof w:val="0"/>
        </w:rPr>
      </w:pPr>
    </w:p>
    <w:p w:rsidR="00B42325" w:rsidRPr="00F06B81" w:rsidRDefault="00B42325" w:rsidP="00754487">
      <w:pPr>
        <w:pStyle w:val="BTEMEASMCA"/>
        <w:rPr>
          <w:noProof w:val="0"/>
        </w:rPr>
      </w:pPr>
      <w:r>
        <w:rPr>
          <w:noProof w:val="0"/>
        </w:rPr>
        <w:t>Praskiedus, leisti</w:t>
      </w:r>
      <w:r w:rsidRPr="00F06B81">
        <w:rPr>
          <w:noProof w:val="0"/>
        </w:rPr>
        <w:t xml:space="preserve"> į veną.</w:t>
      </w:r>
    </w:p>
    <w:p w:rsidR="00B42325" w:rsidRPr="00F06B81" w:rsidRDefault="00B42325" w:rsidP="00754487">
      <w:pPr>
        <w:pStyle w:val="BTEMEASMCA"/>
        <w:rPr>
          <w:noProof w:val="0"/>
        </w:rPr>
      </w:pPr>
      <w:r w:rsidRPr="00D96BC5">
        <w:rPr>
          <w:noProof w:val="0"/>
          <w:highlight w:val="lightGray"/>
        </w:rPr>
        <w:t>Prieš vartojimą perskaitykite pakuotės lapelį.</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6.</w:t>
      </w:r>
      <w:r w:rsidRPr="00F06B81">
        <w:rPr>
          <w:noProof w:val="0"/>
        </w:rPr>
        <w:tab/>
        <w:t>SPECIALUS ĮSPĖJIMAS, KAD VAISTINĮ PREPARATĄ BŪTINA LAIKYTI VAIKAMS NEPASTEBIMOJE IR NEPASIEKIAMOJE VIETOJE</w:t>
      </w:r>
    </w:p>
    <w:p w:rsidR="00B42325" w:rsidRPr="00F06B81" w:rsidRDefault="00B42325" w:rsidP="00754487">
      <w:pPr>
        <w:pStyle w:val="BTEMEASMCA"/>
        <w:rPr>
          <w:noProof w:val="0"/>
        </w:rPr>
      </w:pPr>
    </w:p>
    <w:p w:rsidR="00B42325" w:rsidRPr="00F06B81" w:rsidRDefault="00B42325" w:rsidP="00754487">
      <w:pPr>
        <w:pStyle w:val="BTEMEASMCA"/>
        <w:rPr>
          <w:noProof w:val="0"/>
        </w:rPr>
      </w:pPr>
      <w:r w:rsidRPr="000D4869">
        <w:rPr>
          <w:noProof w:val="0"/>
          <w:highlight w:val="lightGray"/>
        </w:rPr>
        <w:t>Laikyti vaikams nepastebimoje ir nepasiekiamoje vietoje.</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highlight w:val="lightGray"/>
        </w:rPr>
      </w:pPr>
      <w:r w:rsidRPr="00F06B81">
        <w:rPr>
          <w:noProof w:val="0"/>
        </w:rPr>
        <w:t>7.</w:t>
      </w:r>
      <w:r w:rsidRPr="00F06B81">
        <w:rPr>
          <w:noProof w:val="0"/>
        </w:rPr>
        <w:tab/>
        <w:t>KITAS (-I) SPECIALUS (-ŪS) ĮSPĖJIMAS (-AI) (JEI REIKIA)</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highlight w:val="lightGray"/>
        </w:rPr>
      </w:pPr>
      <w:r w:rsidRPr="00F06B81">
        <w:rPr>
          <w:noProof w:val="0"/>
        </w:rPr>
        <w:t>8.</w:t>
      </w:r>
      <w:r w:rsidRPr="00F06B81">
        <w:rPr>
          <w:noProof w:val="0"/>
        </w:rPr>
        <w:tab/>
        <w:t>TINKAMUMO LAIKAS</w:t>
      </w:r>
    </w:p>
    <w:p w:rsidR="00B42325" w:rsidRPr="00F06B81" w:rsidRDefault="00B42325" w:rsidP="00754487">
      <w:pPr>
        <w:pStyle w:val="BTEMEASMCA"/>
        <w:rPr>
          <w:noProof w:val="0"/>
        </w:rPr>
      </w:pPr>
    </w:p>
    <w:p w:rsidR="00B42325" w:rsidRPr="00F06B81" w:rsidRDefault="00B42325" w:rsidP="00754487">
      <w:pPr>
        <w:pStyle w:val="BTEMEASMCA"/>
        <w:rPr>
          <w:noProof w:val="0"/>
        </w:rPr>
      </w:pPr>
      <w:r>
        <w:rPr>
          <w:noProof w:val="0"/>
        </w:rPr>
        <w:t xml:space="preserve">Tinka iki </w:t>
      </w:r>
      <w:r w:rsidRPr="00F06B81">
        <w:rPr>
          <w:noProof w:val="0"/>
        </w:rPr>
        <w:t>{MMMM/mm}</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9.</w:t>
      </w:r>
      <w:r w:rsidRPr="00F06B81">
        <w:rPr>
          <w:noProof w:val="0"/>
        </w:rPr>
        <w:tab/>
        <w:t>SPECIALIOS LAIKYMO SĄLYGOS</w:t>
      </w:r>
    </w:p>
    <w:p w:rsidR="00B42325" w:rsidRPr="00F06B81" w:rsidRDefault="00B42325" w:rsidP="00754487">
      <w:pPr>
        <w:pStyle w:val="BTEMEASMCA"/>
        <w:rPr>
          <w:noProof w:val="0"/>
        </w:rPr>
      </w:pPr>
    </w:p>
    <w:p w:rsidR="00B42325" w:rsidRPr="00F06B81" w:rsidRDefault="00B42325" w:rsidP="00754487">
      <w:pPr>
        <w:spacing w:after="0" w:line="240" w:lineRule="auto"/>
        <w:rPr>
          <w:rFonts w:ascii="Times New Roman" w:hAnsi="Times New Roman"/>
          <w:lang w:val="lt-LT"/>
        </w:rPr>
      </w:pPr>
      <w:r w:rsidRPr="00D96BC5">
        <w:rPr>
          <w:rFonts w:ascii="Times New Roman" w:hAnsi="Times New Roman"/>
          <w:highlight w:val="lightGray"/>
          <w:lang w:val="lt-LT"/>
        </w:rPr>
        <w:t>Negalima užšaldyti. Flakoną laikyti išorinėje dėžutėje, kad preparatas būtų apsaugotas nuo šviesos.</w:t>
      </w:r>
    </w:p>
    <w:p w:rsidR="00B42325" w:rsidRPr="00C871CF" w:rsidRDefault="00B42325" w:rsidP="00754487">
      <w:pPr>
        <w:spacing w:after="0" w:line="240" w:lineRule="auto"/>
        <w:rPr>
          <w:lang w:val="lt-LT"/>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lastRenderedPageBreak/>
        <w:t>10.</w:t>
      </w:r>
      <w:r w:rsidRPr="00F06B81">
        <w:rPr>
          <w:noProof w:val="0"/>
        </w:rPr>
        <w:tab/>
        <w:t xml:space="preserve">SPECIALIOS ATSARGUMO PRIEMONĖS DĖL NESUVARTOTO </w:t>
      </w:r>
      <w:r w:rsidRPr="00F06B81">
        <w:rPr>
          <w:bCs/>
          <w:noProof w:val="0"/>
        </w:rPr>
        <w:t xml:space="preserve">VAISTINIO PREPARATO AR JO ATLIEKŲ </w:t>
      </w:r>
      <w:r w:rsidRPr="00F06B81">
        <w:rPr>
          <w:noProof w:val="0"/>
        </w:rPr>
        <w:t>TVARKYMO (JEI REIKIA)</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11.</w:t>
      </w:r>
      <w:r w:rsidRPr="00F06B81">
        <w:rPr>
          <w:noProof w:val="0"/>
        </w:rPr>
        <w:tab/>
        <w:t>RINKODAROS TEISĖS TURĖTOJO PAVADINIMAS IR ADRESAS</w:t>
      </w:r>
    </w:p>
    <w:p w:rsidR="00B42325" w:rsidRPr="00F06B81" w:rsidRDefault="00B42325" w:rsidP="00754487">
      <w:pPr>
        <w:pStyle w:val="BTEMEASMCA"/>
        <w:rPr>
          <w:noProof w:val="0"/>
        </w:rPr>
      </w:pPr>
    </w:p>
    <w:p w:rsidR="00B42325" w:rsidRPr="000D4869" w:rsidRDefault="00B42325" w:rsidP="00754487">
      <w:pPr>
        <w:spacing w:after="0" w:line="240" w:lineRule="auto"/>
        <w:rPr>
          <w:rFonts w:ascii="Times New Roman" w:hAnsi="Times New Roman"/>
          <w:iCs/>
          <w:highlight w:val="lightGray"/>
          <w:lang w:val="lt-LT"/>
        </w:rPr>
      </w:pPr>
      <w:r w:rsidRPr="000D4869">
        <w:rPr>
          <w:rFonts w:ascii="Times New Roman" w:hAnsi="Times New Roman"/>
          <w:iCs/>
          <w:highlight w:val="lightGray"/>
          <w:lang w:val="lt-LT"/>
        </w:rPr>
        <w:t>UAB „Via pharma“</w:t>
      </w:r>
    </w:p>
    <w:p w:rsidR="00B42325" w:rsidRPr="000D4869" w:rsidRDefault="00B42325" w:rsidP="00754487">
      <w:pPr>
        <w:spacing w:after="0" w:line="240" w:lineRule="auto"/>
        <w:rPr>
          <w:rFonts w:ascii="Times New Roman" w:hAnsi="Times New Roman"/>
          <w:iCs/>
          <w:highlight w:val="lightGray"/>
          <w:lang w:val="lt-LT"/>
        </w:rPr>
      </w:pPr>
      <w:r w:rsidRPr="000D4869">
        <w:rPr>
          <w:rFonts w:ascii="Times New Roman" w:hAnsi="Times New Roman"/>
          <w:iCs/>
          <w:highlight w:val="lightGray"/>
          <w:lang w:val="lt-LT"/>
        </w:rPr>
        <w:t>J. Galvydžio g. 5 / Žygio g. 96, Vilnius</w:t>
      </w:r>
    </w:p>
    <w:p w:rsidR="00B42325" w:rsidRPr="00F06B81" w:rsidRDefault="00B42325" w:rsidP="00754487">
      <w:pPr>
        <w:spacing w:after="0" w:line="240" w:lineRule="auto"/>
        <w:rPr>
          <w:rFonts w:ascii="Times New Roman" w:hAnsi="Times New Roman"/>
          <w:lang w:val="lt-LT"/>
        </w:rPr>
      </w:pPr>
      <w:r w:rsidRPr="000D4869">
        <w:rPr>
          <w:rFonts w:ascii="Times New Roman" w:hAnsi="Times New Roman"/>
          <w:iCs/>
          <w:highlight w:val="lightGray"/>
          <w:lang w:val="lt-LT"/>
        </w:rPr>
        <w:t>Lietuva</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12.</w:t>
      </w:r>
      <w:r w:rsidRPr="00F06B81">
        <w:rPr>
          <w:noProof w:val="0"/>
        </w:rPr>
        <w:tab/>
        <w:t xml:space="preserve">RINKODAROS TEISĖS NUMERIS </w:t>
      </w:r>
    </w:p>
    <w:p w:rsidR="00B42325" w:rsidRDefault="00B42325" w:rsidP="00754487">
      <w:pPr>
        <w:pStyle w:val="BTEMEASMCA"/>
        <w:rPr>
          <w:noProof w:val="0"/>
        </w:rPr>
      </w:pPr>
    </w:p>
    <w:p w:rsidR="00B42325" w:rsidRDefault="00B42325" w:rsidP="00BE1539">
      <w:pPr>
        <w:pStyle w:val="BTEMEASMCA"/>
        <w:rPr>
          <w:noProof w:val="0"/>
        </w:rPr>
      </w:pPr>
      <w:r>
        <w:rPr>
          <w:noProof w:val="0"/>
        </w:rPr>
        <w:t>LT/1/12/3067/001</w:t>
      </w:r>
    </w:p>
    <w:p w:rsidR="00B42325"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13.</w:t>
      </w:r>
      <w:r w:rsidRPr="00F06B81">
        <w:rPr>
          <w:noProof w:val="0"/>
        </w:rPr>
        <w:tab/>
        <w:t>SERIJOS NUMERIS</w:t>
      </w:r>
    </w:p>
    <w:p w:rsidR="00B42325" w:rsidRPr="00F06B81" w:rsidRDefault="00B42325" w:rsidP="00754487">
      <w:pPr>
        <w:pStyle w:val="BTEMEASMCA"/>
        <w:rPr>
          <w:noProof w:val="0"/>
        </w:rPr>
      </w:pPr>
    </w:p>
    <w:p w:rsidR="00B42325" w:rsidRPr="00F06B81" w:rsidRDefault="00B42325" w:rsidP="00754487">
      <w:pPr>
        <w:pStyle w:val="BTEMEASMCA"/>
        <w:rPr>
          <w:noProof w:val="0"/>
        </w:rPr>
      </w:pPr>
      <w:r w:rsidRPr="006B2A69">
        <w:t>Serija:</w:t>
      </w:r>
      <w:r>
        <w:t xml:space="preserve"> </w:t>
      </w:r>
      <w:r w:rsidRPr="00F06B81">
        <w:rPr>
          <w:noProof w:val="0"/>
        </w:rPr>
        <w:t>{numeris}</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14.</w:t>
      </w:r>
      <w:r w:rsidRPr="00F06B81">
        <w:rPr>
          <w:noProof w:val="0"/>
        </w:rPr>
        <w:tab/>
        <w:t>PARDAVIMO (IŠDAVIMO) TVARKA</w:t>
      </w:r>
    </w:p>
    <w:p w:rsidR="00B42325" w:rsidRPr="00F06B81" w:rsidRDefault="00B42325" w:rsidP="00754487">
      <w:pPr>
        <w:pStyle w:val="BTEMEASMCA"/>
        <w:rPr>
          <w:noProof w:val="0"/>
        </w:rPr>
      </w:pPr>
    </w:p>
    <w:p w:rsidR="00B42325" w:rsidRPr="00F06B81" w:rsidRDefault="00B42325" w:rsidP="00754487">
      <w:pPr>
        <w:pStyle w:val="BTEMEASMCA"/>
        <w:rPr>
          <w:noProof w:val="0"/>
        </w:rPr>
      </w:pPr>
      <w:r w:rsidRPr="000D4869">
        <w:rPr>
          <w:noProof w:val="0"/>
          <w:highlight w:val="lightGray"/>
        </w:rPr>
        <w:t>Receptinis vaistinis preparatas.</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15.</w:t>
      </w:r>
      <w:r w:rsidRPr="00F06B81">
        <w:rPr>
          <w:noProof w:val="0"/>
        </w:rPr>
        <w:tab/>
        <w:t>VARTOJIMO INSTRUKCIJA</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F06B81" w:rsidRDefault="00B42325" w:rsidP="00754487">
      <w:pPr>
        <w:pStyle w:val="PI-1labEMEASMCA"/>
        <w:rPr>
          <w:noProof w:val="0"/>
        </w:rPr>
      </w:pPr>
      <w:r w:rsidRPr="00F06B81">
        <w:rPr>
          <w:noProof w:val="0"/>
        </w:rPr>
        <w:t>16.</w:t>
      </w:r>
      <w:r w:rsidRPr="00F06B81">
        <w:rPr>
          <w:noProof w:val="0"/>
        </w:rPr>
        <w:tab/>
        <w:t>INFORMACIJA BRAILIO RAŠTU</w:t>
      </w:r>
    </w:p>
    <w:p w:rsidR="00B42325" w:rsidRPr="00F06B81" w:rsidRDefault="00B42325" w:rsidP="00754487">
      <w:pPr>
        <w:pStyle w:val="BTEMEASMCA"/>
        <w:rPr>
          <w:noProof w:val="0"/>
        </w:rPr>
      </w:pPr>
    </w:p>
    <w:p w:rsidR="00B42325" w:rsidRPr="0053607A" w:rsidRDefault="00B42325" w:rsidP="00754487">
      <w:pPr>
        <w:pStyle w:val="BTEMEASMCA"/>
        <w:rPr>
          <w:noProof w:val="0"/>
        </w:rPr>
      </w:pPr>
      <w:r w:rsidRPr="0053607A">
        <w:rPr>
          <w:noProof w:val="0"/>
          <w:highlight w:val="lightGray"/>
        </w:rPr>
        <w:t>Priimtas paaiškinimas nenurodyti informacijos Brailio raštu</w:t>
      </w:r>
    </w:p>
    <w:p w:rsidR="00B42325" w:rsidRPr="00F06B81" w:rsidRDefault="00B42325" w:rsidP="00754487">
      <w:pPr>
        <w:pStyle w:val="BTEMEASMCA"/>
        <w:rPr>
          <w:noProof w:val="0"/>
        </w:rPr>
      </w:pPr>
    </w:p>
    <w:p w:rsidR="00B42325" w:rsidRPr="00F06B81" w:rsidRDefault="00B42325" w:rsidP="00754487">
      <w:pPr>
        <w:pStyle w:val="BTEMEASMCA"/>
        <w:rPr>
          <w:noProof w:val="0"/>
        </w:rPr>
      </w:pPr>
    </w:p>
    <w:p w:rsidR="00B42325" w:rsidRPr="000D4869" w:rsidRDefault="00B42325" w:rsidP="006F6EDF">
      <w:pPr>
        <w:spacing w:after="0" w:line="240" w:lineRule="auto"/>
        <w:rPr>
          <w:lang w:val="lt-LT"/>
        </w:rPr>
      </w:pPr>
      <w:r w:rsidRPr="007E4B9B">
        <w:rPr>
          <w:lang w:val="lt-LT"/>
        </w:rPr>
        <w:br w:type="page"/>
      </w: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BTEMEASMCA"/>
        <w:rPr>
          <w:noProof w:val="0"/>
        </w:rPr>
      </w:pPr>
    </w:p>
    <w:p w:rsidR="00B42325" w:rsidRPr="00F06B81" w:rsidRDefault="00B42325" w:rsidP="003E2BE3">
      <w:pPr>
        <w:pStyle w:val="TTEMEASMCA"/>
        <w:rPr>
          <w:lang w:val="lt-LT"/>
        </w:rPr>
      </w:pPr>
      <w:bookmarkStart w:id="68" w:name="_Toc129243137"/>
      <w:bookmarkStart w:id="69" w:name="_Toc129243262"/>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B42325" w:rsidRPr="00F06B81" w:rsidRDefault="00B42325" w:rsidP="003E2BE3">
      <w:pPr>
        <w:pStyle w:val="TTEMEASMCA"/>
        <w:rPr>
          <w:lang w:val="lt-LT"/>
        </w:rPr>
      </w:pPr>
    </w:p>
    <w:p w:rsidR="008A5DE6" w:rsidRDefault="008A5DE6" w:rsidP="003E2BE3">
      <w:pPr>
        <w:pStyle w:val="TTEMEASMCA"/>
        <w:rPr>
          <w:lang w:val="lt-LT"/>
        </w:rPr>
      </w:pPr>
    </w:p>
    <w:p w:rsidR="00B42325" w:rsidRPr="00F06B81" w:rsidRDefault="00B42325" w:rsidP="003E2BE3">
      <w:pPr>
        <w:pStyle w:val="TTEMEASMCA"/>
        <w:rPr>
          <w:lang w:val="lt-LT"/>
        </w:rPr>
      </w:pPr>
      <w:r w:rsidRPr="00F06B81">
        <w:rPr>
          <w:lang w:val="lt-LT"/>
        </w:rPr>
        <w:t>B. PAKUOTĖS LAPELIS</w:t>
      </w:r>
      <w:bookmarkEnd w:id="68"/>
      <w:bookmarkEnd w:id="69"/>
    </w:p>
    <w:p w:rsidR="00AB164A" w:rsidRPr="00F06B81" w:rsidRDefault="00B42325" w:rsidP="00AB164A">
      <w:pPr>
        <w:pStyle w:val="TTEMEASMCA"/>
        <w:rPr>
          <w:lang w:val="lt-LT"/>
        </w:rPr>
      </w:pPr>
      <w:r w:rsidRPr="00F06B81">
        <w:rPr>
          <w:lang w:val="lt-LT"/>
        </w:rPr>
        <w:br w:type="page"/>
      </w:r>
      <w:bookmarkStart w:id="70" w:name="_Toc129243138"/>
      <w:bookmarkStart w:id="71" w:name="_Toc129243263"/>
      <w:r w:rsidR="00AB164A" w:rsidRPr="00F06B81">
        <w:rPr>
          <w:lang w:val="lt-LT"/>
        </w:rPr>
        <w:lastRenderedPageBreak/>
        <w:t>PAKUOTĖS LAPELIS: INFORMACIJA VARTOTOJUI</w:t>
      </w:r>
      <w:bookmarkEnd w:id="70"/>
      <w:bookmarkEnd w:id="71"/>
    </w:p>
    <w:p w:rsidR="00AB164A" w:rsidRPr="00F06B81" w:rsidRDefault="00AB164A" w:rsidP="00AB164A">
      <w:pPr>
        <w:pStyle w:val="BTEMEASMCA"/>
        <w:rPr>
          <w:noProof w:val="0"/>
        </w:rPr>
      </w:pPr>
    </w:p>
    <w:p w:rsidR="00AB164A" w:rsidRPr="00F06B81" w:rsidRDefault="00AB164A" w:rsidP="00AB164A">
      <w:pPr>
        <w:spacing w:after="0" w:line="240" w:lineRule="auto"/>
        <w:jc w:val="center"/>
        <w:rPr>
          <w:rFonts w:ascii="Times New Roman" w:hAnsi="Times New Roman"/>
          <w:b/>
          <w:lang w:val="lt-LT"/>
        </w:rPr>
      </w:pPr>
      <w:r>
        <w:rPr>
          <w:rFonts w:ascii="Times New Roman" w:hAnsi="Times New Roman"/>
          <w:b/>
          <w:lang w:val="lt-LT"/>
        </w:rPr>
        <w:t>Trombopriv</w:t>
      </w:r>
      <w:r w:rsidRPr="00F06B81">
        <w:rPr>
          <w:rFonts w:ascii="Times New Roman" w:hAnsi="Times New Roman"/>
          <w:b/>
          <w:lang w:val="lt-LT"/>
        </w:rPr>
        <w:t xml:space="preserve"> </w:t>
      </w:r>
      <w:r w:rsidRPr="00DF6CE4">
        <w:rPr>
          <w:rFonts w:ascii="Times New Roman" w:hAnsi="Times New Roman"/>
          <w:b/>
          <w:lang w:val="lt-LT"/>
        </w:rPr>
        <w:t xml:space="preserve">250 mikrogramų/ml </w:t>
      </w:r>
      <w:r w:rsidRPr="00F06B81">
        <w:rPr>
          <w:rFonts w:ascii="Times New Roman" w:hAnsi="Times New Roman"/>
          <w:b/>
          <w:lang w:val="lt-LT"/>
        </w:rPr>
        <w:t>koncentratas infuziniam tirpalui</w:t>
      </w:r>
    </w:p>
    <w:p w:rsidR="00AB164A" w:rsidRPr="00F06B81" w:rsidRDefault="00AB164A" w:rsidP="00AB164A">
      <w:pPr>
        <w:spacing w:after="0" w:line="240" w:lineRule="auto"/>
        <w:jc w:val="center"/>
        <w:rPr>
          <w:rFonts w:ascii="Times New Roman" w:hAnsi="Times New Roman"/>
          <w:lang w:val="lt-LT"/>
        </w:rPr>
      </w:pPr>
      <w:r>
        <w:rPr>
          <w:rFonts w:ascii="Times New Roman" w:hAnsi="Times New Roman"/>
          <w:lang w:val="lt-LT"/>
        </w:rPr>
        <w:t>Tirofibanas</w:t>
      </w:r>
    </w:p>
    <w:p w:rsidR="00AB164A" w:rsidRPr="00F06B81" w:rsidRDefault="00AB164A" w:rsidP="00AB164A">
      <w:pPr>
        <w:pStyle w:val="BTEMEASMCA"/>
        <w:rPr>
          <w:noProof w:val="0"/>
        </w:rPr>
      </w:pPr>
    </w:p>
    <w:p w:rsidR="00AB164A" w:rsidRPr="007E4B9B" w:rsidRDefault="00AB164A" w:rsidP="00AB164A">
      <w:pPr>
        <w:suppressAutoHyphens/>
        <w:spacing w:after="0" w:line="240" w:lineRule="auto"/>
        <w:ind w:left="142" w:hanging="142"/>
        <w:rPr>
          <w:rFonts w:ascii="Times New Roman" w:hAnsi="Times New Roman"/>
          <w:lang w:val="lt-LT"/>
        </w:rPr>
      </w:pPr>
      <w:r w:rsidRPr="006F6EDF">
        <w:rPr>
          <w:rFonts w:ascii="Times New Roman" w:hAnsi="Times New Roman"/>
          <w:b/>
          <w:noProof/>
          <w:lang w:val="lt-LT"/>
        </w:rPr>
        <w:t>Atidžiai perskaitykite visą šį lapelį, prieš pradėdami vartoti vaistą,</w:t>
      </w:r>
      <w:r w:rsidRPr="006F6EDF">
        <w:rPr>
          <w:rFonts w:ascii="Times New Roman" w:hAnsi="Times New Roman"/>
          <w:b/>
          <w:lang w:val="lt-LT"/>
        </w:rPr>
        <w:t xml:space="preserve"> nes jame pateikiama Jums svarbi informacija.</w:t>
      </w:r>
    </w:p>
    <w:p w:rsidR="00AB164A" w:rsidRPr="00F06B81" w:rsidRDefault="00AB164A" w:rsidP="00AB164A">
      <w:pPr>
        <w:pStyle w:val="BT-EMEASMCA"/>
        <w:tabs>
          <w:tab w:val="num" w:pos="567"/>
        </w:tabs>
        <w:ind w:left="567" w:hanging="567"/>
        <w:rPr>
          <w:noProof w:val="0"/>
        </w:rPr>
      </w:pPr>
      <w:r w:rsidRPr="00F06B81">
        <w:rPr>
          <w:noProof w:val="0"/>
        </w:rPr>
        <w:t>Neišmeskite šio lapelio, nes vėl gali prireikti jį perskaityti.</w:t>
      </w:r>
    </w:p>
    <w:p w:rsidR="00AB164A" w:rsidRPr="00F06B81" w:rsidRDefault="00AB164A" w:rsidP="00AB164A">
      <w:pPr>
        <w:pStyle w:val="BT-EMEASMCA"/>
        <w:tabs>
          <w:tab w:val="num" w:pos="567"/>
        </w:tabs>
        <w:ind w:left="567" w:hanging="567"/>
        <w:rPr>
          <w:noProof w:val="0"/>
        </w:rPr>
      </w:pPr>
      <w:r w:rsidRPr="00F06B81">
        <w:rPr>
          <w:noProof w:val="0"/>
        </w:rPr>
        <w:t>Jeigu kiltų daugiau klausimų, kreipkitės į gydytoją arba vaistininką.</w:t>
      </w:r>
    </w:p>
    <w:p w:rsidR="00AB164A" w:rsidRPr="00F06B81" w:rsidRDefault="00AB164A" w:rsidP="00AB164A">
      <w:pPr>
        <w:pStyle w:val="BT-EMEASMCA"/>
        <w:tabs>
          <w:tab w:val="num" w:pos="567"/>
        </w:tabs>
        <w:ind w:left="567" w:hanging="567"/>
        <w:rPr>
          <w:noProof w:val="0"/>
        </w:rPr>
      </w:pPr>
      <w:r w:rsidRPr="00F06B81">
        <w:rPr>
          <w:noProof w:val="0"/>
        </w:rPr>
        <w:t xml:space="preserve">Šis vaistas skirtas </w:t>
      </w:r>
      <w:r>
        <w:rPr>
          <w:noProof w:val="0"/>
        </w:rPr>
        <w:t xml:space="preserve">tik </w:t>
      </w:r>
      <w:r w:rsidRPr="00F06B81">
        <w:rPr>
          <w:noProof w:val="0"/>
        </w:rPr>
        <w:t xml:space="preserve">Jums, todėl kitiems žmonėms jo duoti negalima. Vaistas gali jiems pakenkti (net tiems, kurių ligos </w:t>
      </w:r>
      <w:r>
        <w:rPr>
          <w:noProof w:val="0"/>
        </w:rPr>
        <w:t>požymiai</w:t>
      </w:r>
      <w:r w:rsidRPr="00F06B81">
        <w:rPr>
          <w:noProof w:val="0"/>
        </w:rPr>
        <w:t xml:space="preserve"> yra tokie patys kaip Jūsų).</w:t>
      </w:r>
    </w:p>
    <w:p w:rsidR="00AB164A" w:rsidRPr="00F06B81" w:rsidRDefault="00AB164A" w:rsidP="00AB164A">
      <w:pPr>
        <w:pStyle w:val="BT-EMEASMCA"/>
        <w:tabs>
          <w:tab w:val="num" w:pos="567"/>
        </w:tabs>
        <w:ind w:left="567" w:hanging="567"/>
        <w:rPr>
          <w:noProof w:val="0"/>
        </w:rPr>
      </w:pPr>
      <w:r>
        <w:t xml:space="preserve">Jeigu pasireiškė šalutinis poveikis </w:t>
      </w:r>
      <w:r w:rsidRPr="00C5208E">
        <w:t>(net jeigu jis šiame lapelyje nenurodytas), kreipkitės į gydytoją arba vaistininką</w:t>
      </w:r>
      <w:r w:rsidRPr="00F06B81">
        <w:rPr>
          <w:noProof w:val="0"/>
        </w:rPr>
        <w:t>.</w:t>
      </w:r>
    </w:p>
    <w:p w:rsidR="00AB164A" w:rsidRPr="00F06B81" w:rsidRDefault="00AB164A" w:rsidP="00AB164A">
      <w:pPr>
        <w:pStyle w:val="BTEMEASMCA"/>
        <w:rPr>
          <w:noProof w:val="0"/>
        </w:rPr>
      </w:pPr>
    </w:p>
    <w:p w:rsidR="00AB164A" w:rsidRPr="00F06B81" w:rsidRDefault="00AB164A" w:rsidP="00AB164A">
      <w:pPr>
        <w:pStyle w:val="BTEMEASMCA"/>
        <w:rPr>
          <w:noProof w:val="0"/>
        </w:rPr>
      </w:pPr>
    </w:p>
    <w:p w:rsidR="00AB164A" w:rsidRPr="006F6EDF" w:rsidRDefault="00AB164A" w:rsidP="00AB164A">
      <w:pPr>
        <w:pStyle w:val="BTbEMEASMCA"/>
        <w:rPr>
          <w:noProof w:val="0"/>
        </w:rPr>
      </w:pPr>
      <w:r w:rsidRPr="006F6EDF">
        <w:t>Apie ką rašoma šiame lapelyje?</w:t>
      </w:r>
    </w:p>
    <w:p w:rsidR="00AB164A" w:rsidRPr="00F06B81" w:rsidRDefault="00AB164A" w:rsidP="00AB164A">
      <w:pPr>
        <w:pStyle w:val="BTEMEASMCA"/>
        <w:ind w:left="540" w:hanging="540"/>
        <w:rPr>
          <w:noProof w:val="0"/>
        </w:rPr>
      </w:pPr>
      <w:r w:rsidRPr="00F06B81">
        <w:rPr>
          <w:noProof w:val="0"/>
        </w:rPr>
        <w:t>1.</w:t>
      </w:r>
      <w:r w:rsidRPr="00F06B81">
        <w:rPr>
          <w:noProof w:val="0"/>
        </w:rPr>
        <w:tab/>
        <w:t xml:space="preserve">Kas yra </w:t>
      </w:r>
      <w:r>
        <w:rPr>
          <w:noProof w:val="0"/>
        </w:rPr>
        <w:t>Trombopriv</w:t>
      </w:r>
      <w:r w:rsidRPr="00F06B81">
        <w:rPr>
          <w:noProof w:val="0"/>
        </w:rPr>
        <w:t xml:space="preserve"> ir kam jis vartojamas</w:t>
      </w:r>
    </w:p>
    <w:p w:rsidR="00AB164A" w:rsidRPr="00F06B81" w:rsidRDefault="00AB164A" w:rsidP="00AB164A">
      <w:pPr>
        <w:pStyle w:val="BTEMEASMCA"/>
        <w:ind w:left="540" w:hanging="540"/>
        <w:rPr>
          <w:noProof w:val="0"/>
        </w:rPr>
      </w:pPr>
      <w:r w:rsidRPr="00F06B81">
        <w:rPr>
          <w:noProof w:val="0"/>
        </w:rPr>
        <w:t>2.</w:t>
      </w:r>
      <w:r w:rsidRPr="00F06B81">
        <w:rPr>
          <w:noProof w:val="0"/>
        </w:rPr>
        <w:tab/>
        <w:t xml:space="preserve">Kas žinotina prieš vartojant </w:t>
      </w:r>
      <w:r>
        <w:rPr>
          <w:noProof w:val="0"/>
        </w:rPr>
        <w:t>Trombopriv</w:t>
      </w:r>
    </w:p>
    <w:p w:rsidR="00AB164A" w:rsidRPr="00F06B81" w:rsidRDefault="00AB164A" w:rsidP="00AB164A">
      <w:pPr>
        <w:pStyle w:val="BTEMEASMCA"/>
        <w:ind w:left="540" w:hanging="540"/>
        <w:rPr>
          <w:noProof w:val="0"/>
        </w:rPr>
      </w:pPr>
      <w:r w:rsidRPr="00F06B81">
        <w:rPr>
          <w:noProof w:val="0"/>
        </w:rPr>
        <w:t>3.</w:t>
      </w:r>
      <w:r w:rsidRPr="00F06B81">
        <w:rPr>
          <w:noProof w:val="0"/>
        </w:rPr>
        <w:tab/>
        <w:t xml:space="preserve">Kaip vartoti </w:t>
      </w:r>
      <w:r>
        <w:rPr>
          <w:noProof w:val="0"/>
        </w:rPr>
        <w:t>Trombopriv</w:t>
      </w:r>
    </w:p>
    <w:p w:rsidR="00AB164A" w:rsidRPr="00F06B81" w:rsidRDefault="00AB164A" w:rsidP="00AB164A">
      <w:pPr>
        <w:pStyle w:val="BTEMEASMCA"/>
        <w:ind w:left="540" w:hanging="540"/>
        <w:rPr>
          <w:noProof w:val="0"/>
        </w:rPr>
      </w:pPr>
      <w:r w:rsidRPr="00F06B81">
        <w:rPr>
          <w:noProof w:val="0"/>
        </w:rPr>
        <w:t>4.</w:t>
      </w:r>
      <w:r w:rsidRPr="00F06B81">
        <w:rPr>
          <w:noProof w:val="0"/>
        </w:rPr>
        <w:tab/>
        <w:t>Galimas šalutinis poveikis</w:t>
      </w:r>
    </w:p>
    <w:p w:rsidR="00AB164A" w:rsidRPr="00F06B81" w:rsidRDefault="00AB164A" w:rsidP="00AB164A">
      <w:pPr>
        <w:pStyle w:val="BTEMEASMCA"/>
        <w:ind w:left="540" w:hanging="540"/>
        <w:rPr>
          <w:noProof w:val="0"/>
        </w:rPr>
      </w:pPr>
      <w:r w:rsidRPr="00F06B81">
        <w:rPr>
          <w:noProof w:val="0"/>
        </w:rPr>
        <w:t>5.</w:t>
      </w:r>
      <w:r w:rsidRPr="00F06B81">
        <w:rPr>
          <w:noProof w:val="0"/>
        </w:rPr>
        <w:tab/>
        <w:t xml:space="preserve">Kaip laikyti </w:t>
      </w:r>
      <w:r>
        <w:rPr>
          <w:noProof w:val="0"/>
        </w:rPr>
        <w:t>Trombopriv</w:t>
      </w:r>
    </w:p>
    <w:p w:rsidR="00AB164A" w:rsidRPr="00F06B81" w:rsidRDefault="00AB164A" w:rsidP="00AB164A">
      <w:pPr>
        <w:pStyle w:val="BTEMEASMCA"/>
        <w:ind w:left="540" w:hanging="540"/>
        <w:rPr>
          <w:noProof w:val="0"/>
        </w:rPr>
      </w:pPr>
      <w:r w:rsidRPr="00F06B81">
        <w:rPr>
          <w:noProof w:val="0"/>
        </w:rPr>
        <w:t>6.</w:t>
      </w:r>
      <w:r w:rsidRPr="00F06B81">
        <w:rPr>
          <w:noProof w:val="0"/>
        </w:rPr>
        <w:tab/>
      </w:r>
      <w:r>
        <w:rPr>
          <w:noProof w:val="0"/>
        </w:rPr>
        <w:t xml:space="preserve">Pakuotės turinys ir </w:t>
      </w:r>
      <w:r w:rsidRPr="00F06B81">
        <w:rPr>
          <w:noProof w:val="0"/>
        </w:rPr>
        <w:t>kita informacija</w:t>
      </w:r>
    </w:p>
    <w:p w:rsidR="00AB164A" w:rsidRPr="00F06B81" w:rsidRDefault="00AB164A" w:rsidP="00AB164A">
      <w:pPr>
        <w:pStyle w:val="BTEMEASMCA"/>
        <w:rPr>
          <w:noProof w:val="0"/>
        </w:rPr>
      </w:pPr>
    </w:p>
    <w:p w:rsidR="00AB164A" w:rsidRPr="00F06B81" w:rsidRDefault="00AB164A" w:rsidP="00AB164A">
      <w:pPr>
        <w:pStyle w:val="BTEMEASMCA"/>
        <w:rPr>
          <w:noProof w:val="0"/>
        </w:rPr>
      </w:pPr>
    </w:p>
    <w:p w:rsidR="00AB164A" w:rsidRPr="00F06B81" w:rsidRDefault="00AB164A" w:rsidP="00AB164A">
      <w:pPr>
        <w:pStyle w:val="PI-1EMEASMCA"/>
      </w:pPr>
      <w:bookmarkStart w:id="72" w:name="_Toc129243139"/>
      <w:bookmarkStart w:id="73" w:name="_Toc129243264"/>
      <w:r w:rsidRPr="00F06B81">
        <w:t>1.</w:t>
      </w:r>
      <w:r w:rsidRPr="00F06B81">
        <w:tab/>
        <w:t xml:space="preserve">KAS YRA </w:t>
      </w:r>
      <w:r>
        <w:t>TROMBOPRIV</w:t>
      </w:r>
      <w:r w:rsidRPr="00F06B81">
        <w:t xml:space="preserve"> IR KAM JIS VARTOJAMAS</w:t>
      </w:r>
      <w:bookmarkEnd w:id="72"/>
      <w:bookmarkEnd w:id="73"/>
    </w:p>
    <w:p w:rsidR="00AB164A" w:rsidRPr="00F06B81" w:rsidRDefault="00AB164A" w:rsidP="00AB164A">
      <w:pPr>
        <w:pStyle w:val="BTEMEASMCA"/>
        <w:rPr>
          <w:noProof w:val="0"/>
        </w:rPr>
      </w:pPr>
    </w:p>
    <w:p w:rsidR="00AB164A" w:rsidRPr="00E80744" w:rsidRDefault="00AB164A" w:rsidP="00AB164A">
      <w:pPr>
        <w:spacing w:after="0" w:line="240" w:lineRule="auto"/>
        <w:rPr>
          <w:rFonts w:ascii="Times New Roman" w:hAnsi="Times New Roman"/>
          <w:lang w:val="lt-LT"/>
        </w:rPr>
      </w:pPr>
      <w:r w:rsidRPr="002859ED">
        <w:rPr>
          <w:rFonts w:ascii="Times New Roman" w:hAnsi="Times New Roman"/>
          <w:lang w:val="lt-LT"/>
        </w:rPr>
        <w:t xml:space="preserve">Trombopriv </w:t>
      </w:r>
      <w:r>
        <w:rPr>
          <w:rFonts w:ascii="Times New Roman" w:hAnsi="Times New Roman"/>
          <w:lang w:val="lt-LT"/>
        </w:rPr>
        <w:t>vartojama širdies kraujotakai pagerinti ir siekiant neleisti atsirasti krūtinės skausmui ar ištikti širdies priepuoliui</w:t>
      </w:r>
      <w:r w:rsidRPr="00E80744">
        <w:rPr>
          <w:rFonts w:ascii="Times New Roman" w:hAnsi="Times New Roman"/>
          <w:lang w:val="lt-LT"/>
        </w:rPr>
        <w:t xml:space="preserve">. </w:t>
      </w:r>
      <w:r>
        <w:rPr>
          <w:rFonts w:ascii="Times New Roman" w:hAnsi="Times New Roman"/>
          <w:lang w:val="lt-LT"/>
        </w:rPr>
        <w:t>Šis vaistas trombocitams (kraujo ląstelėms) neleidžia sudaryti kraujo krešulių</w:t>
      </w:r>
      <w:r w:rsidRPr="00E80744">
        <w:rPr>
          <w:rFonts w:ascii="Times New Roman" w:hAnsi="Times New Roman"/>
          <w:lang w:val="lt-LT"/>
        </w:rPr>
        <w:t>.</w:t>
      </w:r>
    </w:p>
    <w:p w:rsidR="00AB164A" w:rsidRDefault="00AB164A" w:rsidP="00AB164A">
      <w:pPr>
        <w:spacing w:after="0" w:line="240" w:lineRule="auto"/>
        <w:rPr>
          <w:rFonts w:ascii="Times New Roman" w:hAnsi="Times New Roman"/>
          <w:lang w:val="lt-LT"/>
        </w:rPr>
      </w:pPr>
      <w:r>
        <w:rPr>
          <w:rFonts w:ascii="Times New Roman" w:hAnsi="Times New Roman"/>
          <w:lang w:val="lt-LT"/>
        </w:rPr>
        <w:t>Be to, šio vaisto galima vartoti pacientams, kurių širdies kraujagyslės plečiamos balionu (atliekama perkutaninė vainikinių arterijų intervencija, PVAI). Tai yra širdies kraujotaką gerinanti procedūra, jos metu gali būti implantuotas mažas vamzdelis (stentas).</w:t>
      </w:r>
    </w:p>
    <w:p w:rsidR="00AB164A" w:rsidRPr="00E80744" w:rsidRDefault="00AB164A" w:rsidP="00AB164A">
      <w:pPr>
        <w:spacing w:after="0" w:line="240" w:lineRule="auto"/>
        <w:rPr>
          <w:rFonts w:ascii="Times New Roman" w:hAnsi="Times New Roman"/>
          <w:lang w:val="lt-LT"/>
        </w:rPr>
      </w:pPr>
      <w:r w:rsidRPr="002859ED">
        <w:rPr>
          <w:rFonts w:ascii="Times New Roman" w:hAnsi="Times New Roman"/>
          <w:lang w:val="lt-LT"/>
        </w:rPr>
        <w:t>Trombopriv</w:t>
      </w:r>
      <w:r>
        <w:rPr>
          <w:rFonts w:ascii="Times New Roman" w:hAnsi="Times New Roman"/>
          <w:lang w:val="lt-LT"/>
        </w:rPr>
        <w:t xml:space="preserve"> vartojama kartu su acetilsalicilo rūgštimi ir nefrakcionuotu heparinu</w:t>
      </w:r>
      <w:r w:rsidRPr="00E80744">
        <w:rPr>
          <w:rFonts w:ascii="Times New Roman" w:hAnsi="Times New Roman"/>
          <w:lang w:val="lt-LT"/>
        </w:rPr>
        <w:t xml:space="preserve">. </w:t>
      </w:r>
    </w:p>
    <w:p w:rsidR="00AB164A" w:rsidRPr="00F06B81" w:rsidRDefault="00AB164A" w:rsidP="00AB164A">
      <w:pPr>
        <w:spacing w:after="0" w:line="240" w:lineRule="auto"/>
        <w:rPr>
          <w:rFonts w:ascii="Times New Roman" w:hAnsi="Times New Roman"/>
          <w:lang w:val="lt-LT"/>
        </w:rPr>
      </w:pPr>
    </w:p>
    <w:p w:rsidR="00AB164A" w:rsidRPr="00F06B81" w:rsidRDefault="00AB164A" w:rsidP="00AB164A">
      <w:pPr>
        <w:pStyle w:val="BTEMEASMCA"/>
        <w:rPr>
          <w:noProof w:val="0"/>
        </w:rPr>
      </w:pPr>
    </w:p>
    <w:p w:rsidR="00AB164A" w:rsidRPr="00F06B81" w:rsidRDefault="00AB164A" w:rsidP="00AB164A">
      <w:pPr>
        <w:pStyle w:val="PI-1EMEASMCA"/>
      </w:pPr>
      <w:bookmarkStart w:id="74" w:name="_Toc129243140"/>
      <w:bookmarkStart w:id="75" w:name="_Toc129243265"/>
      <w:r w:rsidRPr="00F06B81">
        <w:t>2.</w:t>
      </w:r>
      <w:r w:rsidRPr="00F06B81">
        <w:tab/>
        <w:t xml:space="preserve">KAS ŽINOTINA PRIEŠ VARTOJANT </w:t>
      </w:r>
      <w:bookmarkEnd w:id="74"/>
      <w:bookmarkEnd w:id="75"/>
      <w:r w:rsidRPr="002859ED">
        <w:t>TROMBOPRIV</w:t>
      </w:r>
    </w:p>
    <w:p w:rsidR="00AB164A" w:rsidRDefault="00AB164A" w:rsidP="00AB164A">
      <w:pPr>
        <w:pStyle w:val="PI-3EMEASMCA"/>
      </w:pPr>
    </w:p>
    <w:p w:rsidR="00AB164A" w:rsidRPr="00F06B81" w:rsidRDefault="00AB164A" w:rsidP="00AB164A">
      <w:pPr>
        <w:pStyle w:val="PI-3EMEASMCA"/>
      </w:pPr>
      <w:r w:rsidRPr="002859ED">
        <w:t>Trombopriv</w:t>
      </w:r>
      <w:r w:rsidRPr="00F06B81">
        <w:t xml:space="preserve"> vartoti negalima:</w:t>
      </w:r>
    </w:p>
    <w:p w:rsidR="00AB164A" w:rsidRDefault="00AB164A" w:rsidP="00AB164A">
      <w:pPr>
        <w:pStyle w:val="BT-EMEASMCA"/>
        <w:tabs>
          <w:tab w:val="clear" w:pos="720"/>
          <w:tab w:val="num" w:pos="567"/>
        </w:tabs>
        <w:ind w:left="567" w:hanging="567"/>
        <w:rPr>
          <w:noProof w:val="0"/>
        </w:rPr>
      </w:pPr>
      <w:r w:rsidRPr="00F06B81">
        <w:rPr>
          <w:noProof w:val="0"/>
        </w:rPr>
        <w:t xml:space="preserve">jeigu yra alergija (padidėjęs jautrumas) </w:t>
      </w:r>
      <w:r>
        <w:rPr>
          <w:noProof w:val="0"/>
        </w:rPr>
        <w:t>tirofibanui</w:t>
      </w:r>
      <w:r w:rsidRPr="00F06B81">
        <w:rPr>
          <w:noProof w:val="0"/>
        </w:rPr>
        <w:t xml:space="preserve"> arba bet kuriai pagalbinei </w:t>
      </w:r>
      <w:r w:rsidRPr="002859ED">
        <w:t>Trombopriv</w:t>
      </w:r>
      <w:r w:rsidRPr="00F06B81">
        <w:rPr>
          <w:noProof w:val="0"/>
        </w:rPr>
        <w:t xml:space="preserve"> medžiagai </w:t>
      </w:r>
      <w:r w:rsidRPr="005B7DF0">
        <w:rPr>
          <w:noProof w:val="0"/>
        </w:rPr>
        <w:t>(žr. skyrių „</w:t>
      </w:r>
      <w:r w:rsidRPr="005B7DF0">
        <w:t>Trombopriv</w:t>
      </w:r>
      <w:r w:rsidRPr="005B7DF0">
        <w:rPr>
          <w:noProof w:val="0"/>
        </w:rPr>
        <w:t xml:space="preserve"> sudėtis“);</w:t>
      </w:r>
    </w:p>
    <w:p w:rsidR="00AB164A" w:rsidRDefault="00AB164A" w:rsidP="00AB164A">
      <w:pPr>
        <w:pStyle w:val="BT-EMEASMCA"/>
        <w:tabs>
          <w:tab w:val="clear" w:pos="720"/>
          <w:tab w:val="num" w:pos="567"/>
        </w:tabs>
        <w:ind w:left="567" w:hanging="567"/>
        <w:rPr>
          <w:noProof w:val="0"/>
        </w:rPr>
      </w:pPr>
      <w:r>
        <w:rPr>
          <w:noProof w:val="0"/>
        </w:rPr>
        <w:t>jeigu yra ar pastarųjų 30 dienų laikotarpiu buvo vidinis kraujavimas;</w:t>
      </w:r>
    </w:p>
    <w:p w:rsidR="00AB164A" w:rsidRDefault="00AB164A" w:rsidP="00AB164A">
      <w:pPr>
        <w:pStyle w:val="BT-EMEASMCA"/>
        <w:tabs>
          <w:tab w:val="clear" w:pos="720"/>
          <w:tab w:val="num" w:pos="567"/>
        </w:tabs>
        <w:ind w:left="567" w:hanging="567"/>
        <w:rPr>
          <w:noProof w:val="0"/>
        </w:rPr>
      </w:pPr>
      <w:r>
        <w:rPr>
          <w:noProof w:val="0"/>
        </w:rPr>
        <w:t>jeigu yra buvęs kraujavimas į smegenis, smegenų navikas ar smegenų kraujagyslių nenormalumas;</w:t>
      </w:r>
    </w:p>
    <w:p w:rsidR="00AB164A" w:rsidRDefault="00AB164A" w:rsidP="00AB164A">
      <w:pPr>
        <w:pStyle w:val="BT-EMEASMCA"/>
        <w:tabs>
          <w:tab w:val="clear" w:pos="720"/>
          <w:tab w:val="num" w:pos="567"/>
        </w:tabs>
        <w:ind w:left="567" w:hanging="567"/>
        <w:rPr>
          <w:noProof w:val="0"/>
        </w:rPr>
      </w:pPr>
      <w:r>
        <w:rPr>
          <w:noProof w:val="0"/>
        </w:rPr>
        <w:t>jeigu yra labai padidėjęs kraujospūdis ir jo neįmanoma kontroliuoti (piktybinė hipertenzija);</w:t>
      </w:r>
    </w:p>
    <w:p w:rsidR="00AB164A" w:rsidRDefault="00AB164A" w:rsidP="00AB164A">
      <w:pPr>
        <w:pStyle w:val="BT-EMEASMCA"/>
        <w:tabs>
          <w:tab w:val="clear" w:pos="720"/>
          <w:tab w:val="num" w:pos="567"/>
        </w:tabs>
        <w:ind w:left="567" w:hanging="567"/>
        <w:rPr>
          <w:noProof w:val="0"/>
        </w:rPr>
      </w:pPr>
      <w:r>
        <w:rPr>
          <w:noProof w:val="0"/>
        </w:rPr>
        <w:t>jeigu yra mažas trombocitų kiekis (trombocitopenija) ar kraujo krešėjimo sutrikimų;</w:t>
      </w:r>
    </w:p>
    <w:p w:rsidR="00AB164A" w:rsidRDefault="00AB164A" w:rsidP="00AB164A">
      <w:pPr>
        <w:pStyle w:val="BT-EMEASMCA"/>
        <w:tabs>
          <w:tab w:val="clear" w:pos="720"/>
          <w:tab w:val="num" w:pos="567"/>
        </w:tabs>
        <w:ind w:left="567" w:hanging="567"/>
        <w:rPr>
          <w:noProof w:val="0"/>
        </w:rPr>
      </w:pPr>
      <w:r>
        <w:rPr>
          <w:noProof w:val="0"/>
        </w:rPr>
        <w:t xml:space="preserve">jeigu ankstesnio gydymo </w:t>
      </w:r>
      <w:r w:rsidRPr="002859ED">
        <w:t>Trombopriv</w:t>
      </w:r>
      <w:r>
        <w:rPr>
          <w:noProof w:val="0"/>
        </w:rPr>
        <w:t xml:space="preserve"> ar kitais tos pačios grupės vaistais metu buvo atsiradusi trombocitopenija;</w:t>
      </w:r>
    </w:p>
    <w:p w:rsidR="00AB164A" w:rsidRDefault="00AB164A" w:rsidP="00AB164A">
      <w:pPr>
        <w:pStyle w:val="BT-EMEASMCA"/>
        <w:tabs>
          <w:tab w:val="clear" w:pos="720"/>
          <w:tab w:val="num" w:pos="567"/>
        </w:tabs>
        <w:ind w:left="567" w:hanging="567"/>
        <w:rPr>
          <w:noProof w:val="0"/>
        </w:rPr>
      </w:pPr>
      <w:r>
        <w:rPr>
          <w:noProof w:val="0"/>
        </w:rPr>
        <w:t>jeigu pastarųjų 30 dienų laikotarpiu buvo ištikęs insultas arba bet kada buvo ištikęs kraujavimu pasireiškęs insultas;</w:t>
      </w:r>
    </w:p>
    <w:p w:rsidR="00AB164A" w:rsidRDefault="00AB164A" w:rsidP="00AB164A">
      <w:pPr>
        <w:pStyle w:val="BT-EMEASMCA"/>
        <w:tabs>
          <w:tab w:val="clear" w:pos="720"/>
          <w:tab w:val="num" w:pos="567"/>
        </w:tabs>
        <w:ind w:left="567" w:hanging="567"/>
        <w:rPr>
          <w:noProof w:val="0"/>
        </w:rPr>
      </w:pPr>
      <w:r>
        <w:rPr>
          <w:noProof w:val="0"/>
        </w:rPr>
        <w:t>jeigu pastarųjų 6 savaičių laikotarpiu buvote patyręs sunkių sužalojimų ar buvo atlikta didelė operacija;</w:t>
      </w:r>
    </w:p>
    <w:p w:rsidR="00AB164A" w:rsidRDefault="00AB164A" w:rsidP="00AB164A">
      <w:pPr>
        <w:pStyle w:val="BT-EMEASMCA"/>
        <w:tabs>
          <w:tab w:val="clear" w:pos="720"/>
          <w:tab w:val="num" w:pos="567"/>
        </w:tabs>
        <w:ind w:left="567" w:hanging="567"/>
        <w:rPr>
          <w:noProof w:val="0"/>
        </w:rPr>
      </w:pPr>
      <w:r>
        <w:rPr>
          <w:noProof w:val="0"/>
        </w:rPr>
        <w:t>jeigu sergate sunkia kepenų liga.</w:t>
      </w:r>
    </w:p>
    <w:p w:rsidR="00AB164A" w:rsidRPr="00086EEC" w:rsidRDefault="00AB164A" w:rsidP="00AB164A">
      <w:pPr>
        <w:spacing w:after="0" w:line="240" w:lineRule="auto"/>
        <w:rPr>
          <w:rFonts w:ascii="Times New Roman" w:hAnsi="Times New Roman"/>
          <w:lang w:val="lt-LT"/>
        </w:rPr>
      </w:pPr>
    </w:p>
    <w:p w:rsidR="00AB164A" w:rsidRDefault="00AB164A" w:rsidP="00AB164A">
      <w:pPr>
        <w:spacing w:after="0" w:line="240" w:lineRule="auto"/>
        <w:rPr>
          <w:rFonts w:ascii="Times New Roman" w:hAnsi="Times New Roman"/>
          <w:lang w:val="lt-LT"/>
        </w:rPr>
      </w:pPr>
      <w:r>
        <w:rPr>
          <w:rFonts w:ascii="Times New Roman" w:hAnsi="Times New Roman"/>
          <w:lang w:val="lt-LT"/>
        </w:rPr>
        <w:t>Gydytojas įvertins Jūsų medicininę istoriją ir patikrins, ar Jums nėra padidėjusi bet kokio su šio vaisto vartojimu susijusio šalutinio poveikio rizika.</w:t>
      </w:r>
    </w:p>
    <w:p w:rsidR="00AB164A" w:rsidRPr="00F06B81" w:rsidRDefault="00AB164A" w:rsidP="00AB164A">
      <w:pPr>
        <w:pStyle w:val="BTEMEASMCA"/>
        <w:rPr>
          <w:noProof w:val="0"/>
        </w:rPr>
      </w:pPr>
    </w:p>
    <w:p w:rsidR="00AB164A" w:rsidRPr="00F06B81" w:rsidRDefault="00AB164A" w:rsidP="00AB164A">
      <w:pPr>
        <w:pStyle w:val="PI-3EMEASMCA"/>
      </w:pPr>
      <w:r w:rsidRPr="00F06B81">
        <w:t>Specialių atsargumo priemonių reikia:</w:t>
      </w:r>
    </w:p>
    <w:p w:rsidR="00AB164A" w:rsidRPr="00BE1539" w:rsidRDefault="00AB164A" w:rsidP="00AB164A">
      <w:pPr>
        <w:pStyle w:val="Default"/>
        <w:rPr>
          <w:sz w:val="22"/>
          <w:szCs w:val="22"/>
          <w:lang w:val="lt-LT"/>
        </w:rPr>
      </w:pPr>
    </w:p>
    <w:p w:rsidR="00AB164A" w:rsidRPr="0079531F" w:rsidRDefault="00AB164A" w:rsidP="00AB164A">
      <w:pPr>
        <w:spacing w:after="0" w:line="240" w:lineRule="auto"/>
        <w:rPr>
          <w:rFonts w:ascii="Times New Roman" w:hAnsi="Times New Roman"/>
          <w:lang w:val="lt-LT"/>
        </w:rPr>
      </w:pPr>
      <w:r>
        <w:rPr>
          <w:rFonts w:ascii="Times New Roman" w:hAnsi="Times New Roman"/>
          <w:lang w:val="lt-LT"/>
        </w:rPr>
        <w:t>Prieš</w:t>
      </w:r>
      <w:r w:rsidRPr="0079531F">
        <w:rPr>
          <w:rFonts w:ascii="Times New Roman" w:hAnsi="Times New Roman"/>
          <w:lang w:val="lt-LT"/>
        </w:rPr>
        <w:t xml:space="preserve"> </w:t>
      </w:r>
      <w:r w:rsidRPr="002859ED">
        <w:rPr>
          <w:rFonts w:ascii="Times New Roman" w:hAnsi="Times New Roman"/>
          <w:lang w:val="lt-LT"/>
        </w:rPr>
        <w:t>Trombopriv</w:t>
      </w:r>
      <w:r>
        <w:rPr>
          <w:rFonts w:ascii="Times New Roman" w:hAnsi="Times New Roman"/>
          <w:lang w:val="lt-LT"/>
        </w:rPr>
        <w:t xml:space="preserve"> vartojimą pasakykite gydytojui, jeigu yra ar kada nors buvo</w:t>
      </w:r>
      <w:r w:rsidRPr="0079531F">
        <w:rPr>
          <w:rFonts w:ascii="Times New Roman" w:hAnsi="Times New Roman"/>
          <w:lang w:val="lt-LT"/>
        </w:rPr>
        <w:t xml:space="preserve">: </w:t>
      </w:r>
    </w:p>
    <w:p w:rsidR="00AB164A" w:rsidRPr="0079531F" w:rsidRDefault="00AB164A" w:rsidP="00AB164A">
      <w:pPr>
        <w:pStyle w:val="BT-EMEASMCA"/>
        <w:tabs>
          <w:tab w:val="clear" w:pos="720"/>
          <w:tab w:val="num" w:pos="567"/>
        </w:tabs>
        <w:ind w:left="567" w:hanging="567"/>
        <w:rPr>
          <w:noProof w:val="0"/>
        </w:rPr>
      </w:pPr>
      <w:r>
        <w:rPr>
          <w:noProof w:val="0"/>
        </w:rPr>
        <w:t>bet kokių medicininių problemų;</w:t>
      </w:r>
    </w:p>
    <w:p w:rsidR="00AB164A" w:rsidRPr="0079531F" w:rsidRDefault="00AB164A" w:rsidP="00AB164A">
      <w:pPr>
        <w:pStyle w:val="BT-EMEASMCA"/>
        <w:tabs>
          <w:tab w:val="clear" w:pos="720"/>
          <w:tab w:val="num" w:pos="567"/>
        </w:tabs>
        <w:ind w:left="567" w:hanging="567"/>
        <w:rPr>
          <w:noProof w:val="0"/>
        </w:rPr>
      </w:pPr>
      <w:r>
        <w:rPr>
          <w:noProof w:val="0"/>
        </w:rPr>
        <w:t>bet kokia alergija;</w:t>
      </w:r>
      <w:r w:rsidRPr="0079531F">
        <w:rPr>
          <w:noProof w:val="0"/>
        </w:rPr>
        <w:t xml:space="preserve"> </w:t>
      </w:r>
    </w:p>
    <w:p w:rsidR="00AB164A" w:rsidRDefault="00AB164A" w:rsidP="00AB164A">
      <w:pPr>
        <w:pStyle w:val="BT-EMEASMCA"/>
        <w:tabs>
          <w:tab w:val="clear" w:pos="720"/>
          <w:tab w:val="num" w:pos="567"/>
        </w:tabs>
        <w:ind w:left="567" w:hanging="567"/>
        <w:rPr>
          <w:noProof w:val="0"/>
        </w:rPr>
      </w:pPr>
      <w:r>
        <w:rPr>
          <w:noProof w:val="0"/>
        </w:rPr>
        <w:t>atliekamas kardiopulmoninis gaivinimas (KPG), biopsija ar inkstų akmenų skaidymo procedūra (paskutinių 2 savaičių laikotarpiu);</w:t>
      </w:r>
    </w:p>
    <w:p w:rsidR="00AB164A" w:rsidRDefault="00AB164A" w:rsidP="00AB164A">
      <w:pPr>
        <w:pStyle w:val="BT-EMEASMCA"/>
        <w:tabs>
          <w:tab w:val="clear" w:pos="720"/>
          <w:tab w:val="num" w:pos="567"/>
        </w:tabs>
        <w:ind w:left="567" w:hanging="567"/>
        <w:rPr>
          <w:noProof w:val="0"/>
        </w:rPr>
      </w:pPr>
      <w:r>
        <w:rPr>
          <w:noProof w:val="0"/>
        </w:rPr>
        <w:t>buvote patyręs sunkių sužalojimų ar buvo atlikta didelė operacija</w:t>
      </w:r>
      <w:r w:rsidRPr="0079531F">
        <w:rPr>
          <w:noProof w:val="0"/>
        </w:rPr>
        <w:t xml:space="preserve"> </w:t>
      </w:r>
      <w:r>
        <w:rPr>
          <w:noProof w:val="0"/>
        </w:rPr>
        <w:t>(paskutinių 3 savaičių laikotarpiu);</w:t>
      </w:r>
    </w:p>
    <w:p w:rsidR="00AB164A" w:rsidRDefault="00AB164A" w:rsidP="00AB164A">
      <w:pPr>
        <w:pStyle w:val="BT-EMEASMCA"/>
        <w:tabs>
          <w:tab w:val="clear" w:pos="720"/>
          <w:tab w:val="num" w:pos="567"/>
        </w:tabs>
        <w:ind w:left="567" w:hanging="567"/>
        <w:rPr>
          <w:noProof w:val="0"/>
        </w:rPr>
      </w:pPr>
      <w:r>
        <w:rPr>
          <w:noProof w:val="0"/>
        </w:rPr>
        <w:t>skrandžio ar žarnos (dvylikapirštės žarnos) opa</w:t>
      </w:r>
      <w:r w:rsidRPr="0079531F">
        <w:rPr>
          <w:noProof w:val="0"/>
        </w:rPr>
        <w:t xml:space="preserve"> </w:t>
      </w:r>
      <w:r>
        <w:rPr>
          <w:noProof w:val="0"/>
        </w:rPr>
        <w:t>(paskutinių 3 savaičių laikotarpiu);</w:t>
      </w:r>
    </w:p>
    <w:p w:rsidR="00AB164A" w:rsidRDefault="00AB164A" w:rsidP="00AB164A">
      <w:pPr>
        <w:pStyle w:val="BT-EMEASMCA"/>
        <w:tabs>
          <w:tab w:val="clear" w:pos="720"/>
          <w:tab w:val="num" w:pos="567"/>
        </w:tabs>
        <w:ind w:left="567" w:hanging="567"/>
        <w:rPr>
          <w:noProof w:val="0"/>
        </w:rPr>
      </w:pPr>
      <w:r>
        <w:rPr>
          <w:noProof w:val="0"/>
        </w:rPr>
        <w:t>kraujavimo sutrikimas</w:t>
      </w:r>
      <w:r w:rsidRPr="0079531F">
        <w:rPr>
          <w:noProof w:val="0"/>
        </w:rPr>
        <w:t xml:space="preserve"> (</w:t>
      </w:r>
      <w:r>
        <w:rPr>
          <w:noProof w:val="0"/>
        </w:rPr>
        <w:t>pastarųjų</w:t>
      </w:r>
      <w:r w:rsidRPr="0079531F">
        <w:rPr>
          <w:noProof w:val="0"/>
        </w:rPr>
        <w:t xml:space="preserve"> 1 </w:t>
      </w:r>
      <w:r>
        <w:rPr>
          <w:noProof w:val="0"/>
        </w:rPr>
        <w:t>metų laikotarpiu</w:t>
      </w:r>
      <w:r w:rsidRPr="0079531F">
        <w:rPr>
          <w:noProof w:val="0"/>
        </w:rPr>
        <w:t>)</w:t>
      </w:r>
      <w:r>
        <w:rPr>
          <w:noProof w:val="0"/>
        </w:rPr>
        <w:t>, pavyzdžiui, kraujavimas iš skrandžio ar žarnyno ar kraujo atsiradimas išmatose ar šlapime;</w:t>
      </w:r>
    </w:p>
    <w:p w:rsidR="00AB164A" w:rsidRDefault="00AB164A" w:rsidP="00AB164A">
      <w:pPr>
        <w:pStyle w:val="BT-EMEASMCA"/>
        <w:tabs>
          <w:tab w:val="clear" w:pos="720"/>
          <w:tab w:val="num" w:pos="567"/>
        </w:tabs>
        <w:ind w:left="567" w:hanging="567"/>
        <w:rPr>
          <w:noProof w:val="0"/>
        </w:rPr>
      </w:pPr>
      <w:r>
        <w:rPr>
          <w:noProof w:val="0"/>
        </w:rPr>
        <w:t>su stuburu susijusi procedūra (pastaruoju laiku);</w:t>
      </w:r>
    </w:p>
    <w:p w:rsidR="00AB164A" w:rsidRDefault="00AB164A" w:rsidP="00AB164A">
      <w:pPr>
        <w:pStyle w:val="BT-EMEASMCA"/>
        <w:tabs>
          <w:tab w:val="clear" w:pos="720"/>
          <w:tab w:val="num" w:pos="567"/>
        </w:tabs>
        <w:ind w:left="567" w:hanging="567"/>
        <w:rPr>
          <w:noProof w:val="0"/>
        </w:rPr>
      </w:pPr>
      <w:r>
        <w:rPr>
          <w:noProof w:val="0"/>
        </w:rPr>
        <w:t>aortos atsisluoksniavimas (aortos disekacija) ar jo simptomų;</w:t>
      </w:r>
    </w:p>
    <w:p w:rsidR="00AB164A" w:rsidRPr="0079531F" w:rsidRDefault="00AB164A" w:rsidP="00AB164A">
      <w:pPr>
        <w:pStyle w:val="BT-EMEASMCA"/>
        <w:tabs>
          <w:tab w:val="clear" w:pos="720"/>
          <w:tab w:val="num" w:pos="567"/>
        </w:tabs>
        <w:ind w:left="567" w:hanging="567"/>
        <w:rPr>
          <w:noProof w:val="0"/>
        </w:rPr>
      </w:pPr>
      <w:r>
        <w:rPr>
          <w:noProof w:val="0"/>
        </w:rPr>
        <w:t>nekontroliuojamas didelis kraujospūdis</w:t>
      </w:r>
      <w:r w:rsidRPr="0079531F">
        <w:rPr>
          <w:noProof w:val="0"/>
        </w:rPr>
        <w:t xml:space="preserve"> (</w:t>
      </w:r>
      <w:r>
        <w:rPr>
          <w:noProof w:val="0"/>
        </w:rPr>
        <w:t>hipertenzija);</w:t>
      </w:r>
    </w:p>
    <w:p w:rsidR="00AB164A" w:rsidRPr="0079531F" w:rsidRDefault="00AB164A" w:rsidP="00AB164A">
      <w:pPr>
        <w:pStyle w:val="BT-EMEASMCA"/>
        <w:tabs>
          <w:tab w:val="clear" w:pos="720"/>
          <w:tab w:val="num" w:pos="567"/>
        </w:tabs>
        <w:ind w:left="567" w:hanging="567"/>
        <w:rPr>
          <w:noProof w:val="0"/>
        </w:rPr>
      </w:pPr>
      <w:r>
        <w:rPr>
          <w:noProof w:val="0"/>
        </w:rPr>
        <w:t>širdies dangalo uždegimas</w:t>
      </w:r>
      <w:r w:rsidRPr="0079531F">
        <w:rPr>
          <w:noProof w:val="0"/>
        </w:rPr>
        <w:t xml:space="preserve"> (</w:t>
      </w:r>
      <w:r>
        <w:rPr>
          <w:noProof w:val="0"/>
        </w:rPr>
        <w:t>perikarditas);</w:t>
      </w:r>
    </w:p>
    <w:p w:rsidR="00AB164A" w:rsidRPr="0079531F" w:rsidRDefault="00AB164A" w:rsidP="00AB164A">
      <w:pPr>
        <w:pStyle w:val="BT-EMEASMCA"/>
        <w:tabs>
          <w:tab w:val="clear" w:pos="720"/>
          <w:tab w:val="num" w:pos="567"/>
        </w:tabs>
        <w:ind w:left="567" w:hanging="567"/>
        <w:rPr>
          <w:noProof w:val="0"/>
        </w:rPr>
      </w:pPr>
      <w:r>
        <w:rPr>
          <w:noProof w:val="0"/>
        </w:rPr>
        <w:t>kraujagyslių uždegimas</w:t>
      </w:r>
      <w:r w:rsidRPr="0079531F">
        <w:rPr>
          <w:noProof w:val="0"/>
        </w:rPr>
        <w:t xml:space="preserve"> (</w:t>
      </w:r>
      <w:r>
        <w:rPr>
          <w:noProof w:val="0"/>
        </w:rPr>
        <w:t>vaskulitas);</w:t>
      </w:r>
    </w:p>
    <w:p w:rsidR="00AB164A" w:rsidRPr="0079531F" w:rsidRDefault="00AB164A" w:rsidP="00AB164A">
      <w:pPr>
        <w:pStyle w:val="BT-EMEASMCA"/>
        <w:tabs>
          <w:tab w:val="clear" w:pos="720"/>
          <w:tab w:val="num" w:pos="567"/>
        </w:tabs>
        <w:ind w:left="567" w:hanging="567"/>
        <w:rPr>
          <w:noProof w:val="0"/>
        </w:rPr>
      </w:pPr>
      <w:r>
        <w:rPr>
          <w:noProof w:val="0"/>
        </w:rPr>
        <w:t>užpakalinės akies dalies (tinklainės) kraujagyslių sutrikimų;</w:t>
      </w:r>
    </w:p>
    <w:p w:rsidR="00AB164A" w:rsidRDefault="00AB164A" w:rsidP="00AB164A">
      <w:pPr>
        <w:pStyle w:val="BT-EMEASMCA"/>
        <w:tabs>
          <w:tab w:val="clear" w:pos="720"/>
          <w:tab w:val="num" w:pos="567"/>
        </w:tabs>
        <w:ind w:left="567" w:hanging="567"/>
        <w:rPr>
          <w:noProof w:val="0"/>
        </w:rPr>
      </w:pPr>
      <w:r>
        <w:rPr>
          <w:noProof w:val="0"/>
        </w:rPr>
        <w:t>taikomas gydymas vaistais, kurie neleidžia atsirasti kraujo krešuliams arba juos tirpdo;</w:t>
      </w:r>
    </w:p>
    <w:p w:rsidR="00AB164A" w:rsidRPr="0079531F" w:rsidRDefault="00AB164A" w:rsidP="00AB164A">
      <w:pPr>
        <w:pStyle w:val="BT-EMEASMCA"/>
        <w:tabs>
          <w:tab w:val="clear" w:pos="720"/>
          <w:tab w:val="num" w:pos="567"/>
        </w:tabs>
        <w:ind w:left="567" w:hanging="567"/>
        <w:rPr>
          <w:noProof w:val="0"/>
        </w:rPr>
      </w:pPr>
      <w:r>
        <w:rPr>
          <w:noProof w:val="0"/>
        </w:rPr>
        <w:t>inkstų sutrikimų;</w:t>
      </w:r>
    </w:p>
    <w:p w:rsidR="00AB164A" w:rsidRPr="0079531F" w:rsidRDefault="00AB164A" w:rsidP="00AB164A">
      <w:pPr>
        <w:pStyle w:val="BT-EMEASMCA"/>
        <w:tabs>
          <w:tab w:val="clear" w:pos="720"/>
          <w:tab w:val="num" w:pos="567"/>
        </w:tabs>
        <w:ind w:left="567" w:hanging="567"/>
        <w:rPr>
          <w:noProof w:val="0"/>
        </w:rPr>
      </w:pPr>
      <w:r>
        <w:rPr>
          <w:noProof w:val="0"/>
        </w:rPr>
        <w:t>širdies nepakankamumas;</w:t>
      </w:r>
    </w:p>
    <w:p w:rsidR="00AB164A" w:rsidRDefault="00AB164A" w:rsidP="00AB164A">
      <w:pPr>
        <w:pStyle w:val="BT-EMEASMCA"/>
        <w:tabs>
          <w:tab w:val="clear" w:pos="720"/>
          <w:tab w:val="num" w:pos="567"/>
        </w:tabs>
        <w:ind w:left="567" w:hanging="567"/>
        <w:rPr>
          <w:noProof w:val="0"/>
        </w:rPr>
      </w:pPr>
      <w:r>
        <w:rPr>
          <w:noProof w:val="0"/>
        </w:rPr>
        <w:t>dėl širdies veiklos sutrikimo labai sumažėjęs kraujospūdis (kardiogeninis šokas);</w:t>
      </w:r>
    </w:p>
    <w:p w:rsidR="00AB164A" w:rsidRPr="0079531F" w:rsidRDefault="00AB164A" w:rsidP="00AB164A">
      <w:pPr>
        <w:pStyle w:val="BT-EMEASMCA"/>
        <w:tabs>
          <w:tab w:val="clear" w:pos="720"/>
          <w:tab w:val="num" w:pos="567"/>
        </w:tabs>
        <w:ind w:left="567" w:hanging="567"/>
        <w:rPr>
          <w:noProof w:val="0"/>
        </w:rPr>
      </w:pPr>
      <w:r>
        <w:rPr>
          <w:noProof w:val="0"/>
        </w:rPr>
        <w:t>kepenų sutrikimas;</w:t>
      </w:r>
    </w:p>
    <w:p w:rsidR="00AB164A" w:rsidRDefault="00AB164A" w:rsidP="00AB164A">
      <w:pPr>
        <w:pStyle w:val="BT-EMEASMCA"/>
        <w:tabs>
          <w:tab w:val="clear" w:pos="720"/>
          <w:tab w:val="num" w:pos="567"/>
        </w:tabs>
        <w:ind w:left="567" w:hanging="567"/>
        <w:rPr>
          <w:noProof w:val="0"/>
        </w:rPr>
      </w:pPr>
      <w:r>
        <w:rPr>
          <w:noProof w:val="0"/>
        </w:rPr>
        <w:t>mažas kraujo ląstelių kiekis arba mažakraujystė;</w:t>
      </w:r>
    </w:p>
    <w:p w:rsidR="00AB164A" w:rsidRDefault="00AB164A" w:rsidP="00AB164A">
      <w:pPr>
        <w:pStyle w:val="BT-EMEASMCA"/>
        <w:tabs>
          <w:tab w:val="clear" w:pos="720"/>
          <w:tab w:val="num" w:pos="567"/>
        </w:tabs>
        <w:ind w:left="567" w:hanging="567"/>
        <w:rPr>
          <w:noProof w:val="0"/>
        </w:rPr>
      </w:pPr>
      <w:r>
        <w:rPr>
          <w:noProof w:val="0"/>
        </w:rPr>
        <w:t>į krūtinkaulį įsmeigta speciali intraveninė sistema (paskutinių 24 valandų laikotarpiu).</w:t>
      </w:r>
    </w:p>
    <w:p w:rsidR="00AB164A" w:rsidRPr="00F06B81" w:rsidRDefault="00AB164A" w:rsidP="00AB164A">
      <w:pPr>
        <w:pStyle w:val="BTEMEASMCA"/>
        <w:rPr>
          <w:noProof w:val="0"/>
        </w:rPr>
      </w:pPr>
    </w:p>
    <w:p w:rsidR="00AB164A" w:rsidRPr="00F06B81" w:rsidRDefault="00AB164A" w:rsidP="00AB164A">
      <w:pPr>
        <w:pStyle w:val="PI-3EMEASMCA"/>
      </w:pPr>
      <w:r w:rsidRPr="00F06B81">
        <w:t>Kitų vaistų vartojimas</w:t>
      </w:r>
    </w:p>
    <w:p w:rsidR="00AB164A" w:rsidRPr="00F06B81" w:rsidRDefault="00AB164A" w:rsidP="00AB164A">
      <w:pPr>
        <w:pStyle w:val="BTEMEASMCA"/>
      </w:pPr>
      <w:r w:rsidRPr="00F06B81">
        <w:t xml:space="preserve">Paprastai </w:t>
      </w:r>
      <w:r w:rsidRPr="002859ED">
        <w:t>Trombopriv</w:t>
      </w:r>
      <w:r w:rsidRPr="00F06B81">
        <w:t xml:space="preserve"> gali būti vartojama su kitais vaistais. </w:t>
      </w:r>
      <w:r>
        <w:t>Vis dėlto jeigu vartojate arba neseniai vartojote kitų vaistų, įskaitant įsigytus be recepto, pasakykite gydytojui</w:t>
      </w:r>
      <w:r w:rsidRPr="00F06B81">
        <w:t xml:space="preserve">, nes kai kurie vaistai gali veikti kitų vaistų poveikį. Ypač svarbu pasakyti gydytojui, jei vartojate kitų kraujo </w:t>
      </w:r>
      <w:r>
        <w:t>krešulių susidarymą slopinančių</w:t>
      </w:r>
      <w:r w:rsidRPr="00F06B81">
        <w:t xml:space="preserve"> vaistų, pavyzdžiui, varfarino.</w:t>
      </w:r>
    </w:p>
    <w:p w:rsidR="00AB164A" w:rsidRPr="00F06B81" w:rsidRDefault="00AB164A" w:rsidP="00AB164A">
      <w:pPr>
        <w:pStyle w:val="BTEMEASMCA"/>
        <w:rPr>
          <w:noProof w:val="0"/>
        </w:rPr>
      </w:pPr>
    </w:p>
    <w:p w:rsidR="00AB164A" w:rsidRPr="00F06B81" w:rsidRDefault="00AB164A" w:rsidP="00AB164A">
      <w:pPr>
        <w:pStyle w:val="PI-3EMEASMCA"/>
      </w:pPr>
      <w:r w:rsidRPr="002859ED">
        <w:t>Trombopriv</w:t>
      </w:r>
      <w:r w:rsidRPr="00F06B81">
        <w:t xml:space="preserve"> </w:t>
      </w:r>
      <w:r>
        <w:t>vartojimas su maistu ir gėrimais</w:t>
      </w:r>
    </w:p>
    <w:p w:rsidR="00AB164A" w:rsidRDefault="00AB164A" w:rsidP="00AB164A">
      <w:pPr>
        <w:pStyle w:val="BTEMEASMCA"/>
      </w:pPr>
      <w:r>
        <w:t>Maistas ir gėrimai poveikio šiam vaistui nesukelia.</w:t>
      </w:r>
    </w:p>
    <w:p w:rsidR="00AB164A" w:rsidRDefault="00AB164A" w:rsidP="00AB164A">
      <w:pPr>
        <w:pStyle w:val="PI-3EMEASMCA"/>
      </w:pPr>
    </w:p>
    <w:p w:rsidR="00AB164A" w:rsidRPr="00F06B81" w:rsidRDefault="00AB164A" w:rsidP="00AB164A">
      <w:pPr>
        <w:pStyle w:val="PI-3EMEASMCA"/>
      </w:pPr>
      <w:r w:rsidRPr="00F06B81">
        <w:t>Nėštumas ir žindymo laikotarpis</w:t>
      </w:r>
    </w:p>
    <w:p w:rsidR="00AB164A" w:rsidRDefault="00AB164A" w:rsidP="00AB164A">
      <w:pPr>
        <w:keepNext/>
        <w:keepLines/>
        <w:spacing w:after="0" w:line="240" w:lineRule="auto"/>
        <w:rPr>
          <w:rFonts w:ascii="Times New Roman" w:hAnsi="Times New Roman"/>
          <w:lang w:val="lt-LT"/>
        </w:rPr>
      </w:pPr>
      <w:r w:rsidRPr="00F06B81">
        <w:rPr>
          <w:rFonts w:ascii="Times New Roman" w:hAnsi="Times New Roman"/>
          <w:lang w:val="lt-LT"/>
        </w:rPr>
        <w:t>Jei esate</w:t>
      </w:r>
      <w:r>
        <w:rPr>
          <w:rFonts w:ascii="Times New Roman" w:hAnsi="Times New Roman"/>
          <w:lang w:val="lt-LT"/>
        </w:rPr>
        <w:t xml:space="preserve"> ar manote, kad galite būti</w:t>
      </w:r>
      <w:r w:rsidRPr="00F06B81">
        <w:rPr>
          <w:rFonts w:ascii="Times New Roman" w:hAnsi="Times New Roman"/>
          <w:lang w:val="lt-LT"/>
        </w:rPr>
        <w:t xml:space="preserve"> nėščia, pasakykite gydytojui. Jis nuspręs, ar Jums galima vartoti </w:t>
      </w:r>
      <w:r w:rsidRPr="002859ED">
        <w:rPr>
          <w:rFonts w:ascii="Times New Roman" w:hAnsi="Times New Roman"/>
          <w:lang w:val="lt-LT"/>
        </w:rPr>
        <w:t>Trombopriv</w:t>
      </w:r>
      <w:r w:rsidRPr="00F06B81">
        <w:rPr>
          <w:rFonts w:ascii="Times New Roman" w:hAnsi="Times New Roman"/>
          <w:lang w:val="lt-LT"/>
        </w:rPr>
        <w:t>.</w:t>
      </w:r>
      <w:r>
        <w:rPr>
          <w:rFonts w:ascii="Times New Roman" w:hAnsi="Times New Roman"/>
          <w:lang w:val="lt-LT"/>
        </w:rPr>
        <w:t xml:space="preserve"> </w:t>
      </w:r>
      <w:r w:rsidRPr="00F06B81">
        <w:rPr>
          <w:rFonts w:ascii="Times New Roman" w:hAnsi="Times New Roman"/>
          <w:lang w:val="lt-LT"/>
        </w:rPr>
        <w:t>Jei žindote kūdikį ar ketinate tai daryti, pasitarkite su gydytoju.</w:t>
      </w:r>
    </w:p>
    <w:p w:rsidR="00AB164A" w:rsidRDefault="00AB164A" w:rsidP="00AB164A">
      <w:pPr>
        <w:pStyle w:val="BTEMEASMCA"/>
      </w:pPr>
      <w:r>
        <w:t>Prieš vartojant bet kokį vaistą, būtina pasitarti su gydytoju.</w:t>
      </w:r>
    </w:p>
    <w:p w:rsidR="00AB164A" w:rsidRPr="00F06B81" w:rsidRDefault="00AB164A" w:rsidP="00AB164A">
      <w:pPr>
        <w:spacing w:after="0" w:line="240" w:lineRule="auto"/>
        <w:rPr>
          <w:rFonts w:ascii="Times New Roman" w:hAnsi="Times New Roman"/>
          <w:lang w:val="lt-LT"/>
        </w:rPr>
      </w:pPr>
    </w:p>
    <w:p w:rsidR="00AB164A" w:rsidRPr="001259A7" w:rsidRDefault="00AB164A" w:rsidP="00AB164A">
      <w:pPr>
        <w:pStyle w:val="PI-3EMEASMCA"/>
      </w:pPr>
      <w:r w:rsidRPr="001259A7">
        <w:t>Vairavimas ir mechanizmų valdymas</w:t>
      </w:r>
    </w:p>
    <w:p w:rsidR="00AB164A" w:rsidRPr="001259A7" w:rsidRDefault="00AB164A" w:rsidP="00AB164A">
      <w:pPr>
        <w:spacing w:after="0" w:line="240" w:lineRule="auto"/>
        <w:rPr>
          <w:rFonts w:ascii="Times New Roman" w:hAnsi="Times New Roman"/>
          <w:lang w:val="lt-LT"/>
        </w:rPr>
      </w:pPr>
      <w:r w:rsidRPr="001259A7">
        <w:rPr>
          <w:rFonts w:ascii="Times New Roman" w:hAnsi="Times New Roman"/>
          <w:lang w:val="lt-LT"/>
        </w:rPr>
        <w:t xml:space="preserve">Dėl savo ligos Jūs gydymo </w:t>
      </w:r>
      <w:r w:rsidRPr="002859ED">
        <w:rPr>
          <w:rFonts w:ascii="Times New Roman" w:hAnsi="Times New Roman"/>
          <w:lang w:val="lt-LT"/>
        </w:rPr>
        <w:t>Trombopriv</w:t>
      </w:r>
      <w:r w:rsidRPr="001259A7">
        <w:rPr>
          <w:rFonts w:ascii="Times New Roman" w:hAnsi="Times New Roman"/>
          <w:lang w:val="lt-LT"/>
        </w:rPr>
        <w:t xml:space="preserve"> metu</w:t>
      </w:r>
      <w:r>
        <w:rPr>
          <w:rFonts w:ascii="Times New Roman" w:hAnsi="Times New Roman"/>
          <w:lang w:val="lt-LT"/>
        </w:rPr>
        <w:t xml:space="preserve"> </w:t>
      </w:r>
      <w:r w:rsidRPr="001259A7">
        <w:rPr>
          <w:rFonts w:ascii="Times New Roman" w:hAnsi="Times New Roman"/>
          <w:lang w:val="lt-LT"/>
        </w:rPr>
        <w:t>vairuoti ar valdyti mechanizmų negalėsite.</w:t>
      </w:r>
    </w:p>
    <w:p w:rsidR="00AB164A" w:rsidRDefault="00AB164A" w:rsidP="00AB164A">
      <w:pPr>
        <w:pStyle w:val="PI-3EMEASMCA"/>
      </w:pPr>
    </w:p>
    <w:p w:rsidR="00AB164A" w:rsidRPr="001259A7" w:rsidRDefault="00AB164A" w:rsidP="00AB164A">
      <w:pPr>
        <w:pStyle w:val="PI-3EMEASMCA"/>
      </w:pPr>
      <w:r w:rsidRPr="001259A7">
        <w:t xml:space="preserve">Svarbi informacija apie kai kurias pagalbines </w:t>
      </w:r>
      <w:r w:rsidRPr="002859ED">
        <w:t>Trombopriv</w:t>
      </w:r>
      <w:r w:rsidRPr="001259A7">
        <w:t xml:space="preserve"> medžiagas</w:t>
      </w:r>
    </w:p>
    <w:p w:rsidR="00AB164A" w:rsidRDefault="00AB164A" w:rsidP="00AB164A">
      <w:pPr>
        <w:spacing w:after="0" w:line="240" w:lineRule="auto"/>
        <w:rPr>
          <w:rFonts w:ascii="Times New Roman" w:hAnsi="Times New Roman"/>
          <w:lang w:val="lt-LT"/>
        </w:rPr>
      </w:pPr>
      <w:r>
        <w:rPr>
          <w:rFonts w:ascii="Times New Roman" w:hAnsi="Times New Roman"/>
          <w:lang w:val="lt-LT"/>
        </w:rPr>
        <w:t>Šio vaisto 50 ml flakone yra mažiau kaip</w:t>
      </w:r>
      <w:r w:rsidRPr="001259A7">
        <w:rPr>
          <w:rFonts w:ascii="Times New Roman" w:hAnsi="Times New Roman"/>
          <w:lang w:val="lt-LT"/>
        </w:rPr>
        <w:t xml:space="preserve"> </w:t>
      </w:r>
      <w:r>
        <w:rPr>
          <w:rFonts w:ascii="Times New Roman" w:hAnsi="Times New Roman"/>
          <w:lang w:val="lt-LT"/>
        </w:rPr>
        <w:t>1 mmol (arba 23</w:t>
      </w:r>
      <w:r w:rsidRPr="001259A7">
        <w:rPr>
          <w:rFonts w:ascii="Times New Roman" w:hAnsi="Times New Roman"/>
          <w:lang w:val="lt-LT"/>
        </w:rPr>
        <w:t xml:space="preserve"> mg</w:t>
      </w:r>
      <w:r>
        <w:rPr>
          <w:rFonts w:ascii="Times New Roman" w:hAnsi="Times New Roman"/>
          <w:lang w:val="lt-LT"/>
        </w:rPr>
        <w:t>)</w:t>
      </w:r>
      <w:r w:rsidRPr="001259A7">
        <w:rPr>
          <w:rFonts w:ascii="Times New Roman" w:hAnsi="Times New Roman"/>
          <w:lang w:val="lt-LT"/>
        </w:rPr>
        <w:t xml:space="preserve"> </w:t>
      </w:r>
      <w:r>
        <w:rPr>
          <w:rFonts w:ascii="Times New Roman" w:hAnsi="Times New Roman"/>
          <w:lang w:val="lt-LT"/>
        </w:rPr>
        <w:t xml:space="preserve">natrio, t.y. jis beveik neturi reikšmės. </w:t>
      </w:r>
    </w:p>
    <w:p w:rsidR="00AB164A" w:rsidRDefault="00AB164A" w:rsidP="00AB164A">
      <w:pPr>
        <w:spacing w:after="0" w:line="240" w:lineRule="auto"/>
        <w:rPr>
          <w:rFonts w:ascii="Times New Roman" w:hAnsi="Times New Roman"/>
          <w:lang w:val="lt-LT"/>
        </w:rPr>
      </w:pPr>
    </w:p>
    <w:p w:rsidR="00AB164A" w:rsidRPr="00F06B81" w:rsidRDefault="00AB164A" w:rsidP="00AB164A">
      <w:pPr>
        <w:pStyle w:val="BTEMEASMCA"/>
        <w:rPr>
          <w:noProof w:val="0"/>
        </w:rPr>
      </w:pPr>
    </w:p>
    <w:p w:rsidR="00AB164A" w:rsidRPr="00F06B81" w:rsidRDefault="00AB164A" w:rsidP="00AB164A">
      <w:pPr>
        <w:pStyle w:val="PI-1EMEASMCA"/>
      </w:pPr>
      <w:bookmarkStart w:id="76" w:name="_Toc129243141"/>
      <w:bookmarkStart w:id="77" w:name="_Toc129243266"/>
      <w:r w:rsidRPr="00F06B81">
        <w:t>3.</w:t>
      </w:r>
      <w:r w:rsidRPr="00F06B81">
        <w:tab/>
        <w:t xml:space="preserve">KAIP VARTOTI </w:t>
      </w:r>
      <w:bookmarkEnd w:id="76"/>
      <w:bookmarkEnd w:id="77"/>
      <w:r w:rsidRPr="002859ED">
        <w:t>TROMBOPRIV</w:t>
      </w:r>
    </w:p>
    <w:p w:rsidR="00AB164A" w:rsidRPr="00F06B81" w:rsidRDefault="00AB164A" w:rsidP="00AB164A">
      <w:pPr>
        <w:pStyle w:val="BTEMEASMCA"/>
        <w:rPr>
          <w:noProof w:val="0"/>
        </w:rPr>
      </w:pPr>
    </w:p>
    <w:p w:rsidR="00AB164A" w:rsidRPr="008923EE" w:rsidRDefault="00AB164A" w:rsidP="00AB164A">
      <w:pPr>
        <w:spacing w:after="0" w:line="240" w:lineRule="auto"/>
        <w:rPr>
          <w:rFonts w:ascii="Times New Roman" w:hAnsi="Times New Roman"/>
          <w:lang w:val="lt-LT"/>
        </w:rPr>
      </w:pPr>
      <w:r w:rsidRPr="002859ED">
        <w:rPr>
          <w:rFonts w:ascii="Times New Roman" w:hAnsi="Times New Roman"/>
          <w:lang w:val="lt-LT"/>
        </w:rPr>
        <w:t>Trombopriv</w:t>
      </w:r>
      <w:r w:rsidRPr="008923EE">
        <w:rPr>
          <w:rFonts w:ascii="Times New Roman" w:hAnsi="Times New Roman"/>
          <w:lang w:val="lt-LT"/>
        </w:rPr>
        <w:t xml:space="preserve"> Jums skirs tinkamos kvalifikacijos gydytojas, turintis širdies priepuolių gydymo patirties.</w:t>
      </w:r>
      <w:r>
        <w:rPr>
          <w:rFonts w:ascii="Times New Roman" w:hAnsi="Times New Roman"/>
          <w:lang w:val="lt-LT"/>
        </w:rPr>
        <w:t xml:space="preserve"> </w:t>
      </w:r>
      <w:r w:rsidRPr="008923EE">
        <w:rPr>
          <w:rFonts w:ascii="Times New Roman" w:hAnsi="Times New Roman"/>
          <w:lang w:val="lt-LT"/>
        </w:rPr>
        <w:t xml:space="preserve">Jums </w:t>
      </w:r>
      <w:r w:rsidRPr="002859ED">
        <w:rPr>
          <w:rFonts w:ascii="Times New Roman" w:hAnsi="Times New Roman"/>
          <w:lang w:val="lt-LT"/>
        </w:rPr>
        <w:t>Trombopriv</w:t>
      </w:r>
      <w:r w:rsidRPr="008923EE">
        <w:rPr>
          <w:rFonts w:ascii="Times New Roman" w:hAnsi="Times New Roman"/>
          <w:lang w:val="lt-LT"/>
        </w:rPr>
        <w:t xml:space="preserve"> buvo ar bus leidžiama į veną. Atsižvelgdamas į Jūsų būklę ir kūno svorį, gydytojas nuspręs, kokios dozės.</w:t>
      </w:r>
    </w:p>
    <w:p w:rsidR="00AB164A" w:rsidRPr="00812B42" w:rsidRDefault="00AB164A" w:rsidP="00AB164A">
      <w:pPr>
        <w:spacing w:after="0" w:line="240" w:lineRule="auto"/>
        <w:rPr>
          <w:lang w:val="lt-LT"/>
        </w:rPr>
      </w:pPr>
    </w:p>
    <w:p w:rsidR="00AB164A" w:rsidRPr="00812B42" w:rsidRDefault="00AB164A" w:rsidP="00AB164A">
      <w:pPr>
        <w:spacing w:after="0" w:line="240" w:lineRule="auto"/>
        <w:rPr>
          <w:b/>
          <w:lang w:val="lt-LT"/>
        </w:rPr>
      </w:pPr>
      <w:r>
        <w:rPr>
          <w:rFonts w:ascii="Times New Roman" w:hAnsi="Times New Roman"/>
          <w:b/>
          <w:lang w:val="lt-LT"/>
        </w:rPr>
        <w:t>Vartojimas vaikams</w:t>
      </w:r>
    </w:p>
    <w:p w:rsidR="00AB164A" w:rsidRPr="00812B42" w:rsidRDefault="00AB164A" w:rsidP="00AB164A">
      <w:pPr>
        <w:spacing w:after="0" w:line="240" w:lineRule="auto"/>
        <w:rPr>
          <w:lang w:val="lt-LT"/>
        </w:rPr>
      </w:pPr>
      <w:r>
        <w:rPr>
          <w:rFonts w:ascii="Times New Roman" w:hAnsi="Times New Roman"/>
          <w:lang w:val="lt-LT"/>
        </w:rPr>
        <w:t>Vaikams šio vaistinio preparato vartoti nerekomenduojama.</w:t>
      </w:r>
    </w:p>
    <w:p w:rsidR="00AB164A" w:rsidRPr="00812B42" w:rsidRDefault="00AB164A" w:rsidP="00AB164A">
      <w:pPr>
        <w:spacing w:after="0" w:line="240" w:lineRule="auto"/>
        <w:rPr>
          <w:lang w:val="lt-LT"/>
        </w:rPr>
      </w:pPr>
    </w:p>
    <w:p w:rsidR="00AB164A" w:rsidRPr="001259A7" w:rsidRDefault="00AB164A" w:rsidP="00AB164A">
      <w:pPr>
        <w:pStyle w:val="PI-3EMEASMCA"/>
      </w:pPr>
      <w:r>
        <w:t>Pavartojus per didelę</w:t>
      </w:r>
      <w:r w:rsidRPr="001259A7">
        <w:t xml:space="preserve"> </w:t>
      </w:r>
      <w:r w:rsidRPr="002859ED">
        <w:t>Trombopriv</w:t>
      </w:r>
      <w:r w:rsidRPr="001259A7">
        <w:t xml:space="preserve"> </w:t>
      </w:r>
      <w:r>
        <w:t>dozę</w:t>
      </w:r>
    </w:p>
    <w:p w:rsidR="00AB164A" w:rsidRPr="00812B42" w:rsidRDefault="00AB164A" w:rsidP="00AB164A">
      <w:pPr>
        <w:spacing w:after="0" w:line="240" w:lineRule="auto"/>
        <w:rPr>
          <w:lang w:val="lt-LT"/>
        </w:rPr>
      </w:pPr>
      <w:r>
        <w:rPr>
          <w:rFonts w:ascii="Times New Roman" w:hAnsi="Times New Roman"/>
          <w:lang w:val="lt-LT"/>
        </w:rPr>
        <w:t xml:space="preserve">Gydytojas ir vaistininkas atidžiai stebės Jūsų vartojamą </w:t>
      </w:r>
      <w:r w:rsidRPr="002859ED">
        <w:rPr>
          <w:rFonts w:ascii="Times New Roman" w:hAnsi="Times New Roman"/>
          <w:lang w:val="lt-LT"/>
        </w:rPr>
        <w:t>Trombopriv</w:t>
      </w:r>
      <w:r>
        <w:rPr>
          <w:rFonts w:ascii="Times New Roman" w:hAnsi="Times New Roman"/>
          <w:lang w:val="lt-LT"/>
        </w:rPr>
        <w:t xml:space="preserve"> dozę.</w:t>
      </w:r>
    </w:p>
    <w:p w:rsidR="00AB164A" w:rsidRPr="00812B42" w:rsidRDefault="00AB164A" w:rsidP="00AB164A">
      <w:pPr>
        <w:spacing w:after="0" w:line="240" w:lineRule="auto"/>
        <w:rPr>
          <w:lang w:val="lt-LT"/>
        </w:rPr>
      </w:pPr>
      <w:r>
        <w:rPr>
          <w:rFonts w:ascii="Times New Roman" w:hAnsi="Times New Roman"/>
          <w:lang w:val="lt-LT"/>
        </w:rPr>
        <w:lastRenderedPageBreak/>
        <w:t>Dažniausiais perdozavimo simptomas yra kraujavimas. Jei pastebėsite, kad pradėjote kraujuoti, nedelsdamas pasakykite savo sveikatos priežiūros specialistui.</w:t>
      </w:r>
    </w:p>
    <w:p w:rsidR="00AB164A" w:rsidRPr="00812B42" w:rsidRDefault="00AB164A" w:rsidP="00AB164A">
      <w:pPr>
        <w:spacing w:after="0" w:line="240" w:lineRule="auto"/>
        <w:rPr>
          <w:lang w:val="lt-LT"/>
        </w:rPr>
      </w:pPr>
    </w:p>
    <w:p w:rsidR="00AB164A" w:rsidRPr="001259A7" w:rsidRDefault="00AB164A" w:rsidP="00AB164A">
      <w:pPr>
        <w:pStyle w:val="PI-3EMEASMCA"/>
      </w:pPr>
      <w:r>
        <w:t>Pamiršus pavartoti</w:t>
      </w:r>
      <w:r w:rsidRPr="001259A7">
        <w:t xml:space="preserve"> </w:t>
      </w:r>
      <w:r w:rsidRPr="002859ED">
        <w:t>Trombopriv</w:t>
      </w:r>
      <w:r w:rsidRPr="001259A7">
        <w:t xml:space="preserve"> </w:t>
      </w:r>
    </w:p>
    <w:p w:rsidR="00AB164A" w:rsidRPr="00812B42" w:rsidRDefault="00AB164A" w:rsidP="00AB164A">
      <w:pPr>
        <w:spacing w:after="0" w:line="240" w:lineRule="auto"/>
        <w:rPr>
          <w:lang w:val="lt-LT"/>
        </w:rPr>
      </w:pPr>
      <w:r>
        <w:rPr>
          <w:rFonts w:ascii="Times New Roman" w:hAnsi="Times New Roman"/>
          <w:lang w:val="lt-LT"/>
        </w:rPr>
        <w:t>Kada suleisti dozę, nuspręs gydytojas.</w:t>
      </w:r>
    </w:p>
    <w:p w:rsidR="00AB164A" w:rsidRPr="00812B42" w:rsidRDefault="00AB164A" w:rsidP="00AB164A">
      <w:pPr>
        <w:spacing w:after="0" w:line="240" w:lineRule="auto"/>
        <w:rPr>
          <w:lang w:val="lt-LT"/>
        </w:rPr>
      </w:pPr>
    </w:p>
    <w:p w:rsidR="00AB164A" w:rsidRPr="001259A7" w:rsidRDefault="00AB164A" w:rsidP="00AB164A">
      <w:pPr>
        <w:pStyle w:val="PI-3EMEASMCA"/>
      </w:pPr>
      <w:r>
        <w:t xml:space="preserve">Nustojus vartoti </w:t>
      </w:r>
      <w:r w:rsidRPr="002859ED">
        <w:t>Trombopriv</w:t>
      </w:r>
      <w:r w:rsidRPr="001259A7">
        <w:t xml:space="preserve"> </w:t>
      </w:r>
    </w:p>
    <w:p w:rsidR="00AB164A" w:rsidRDefault="00AB164A" w:rsidP="00AB164A">
      <w:pPr>
        <w:spacing w:after="0" w:line="240" w:lineRule="auto"/>
        <w:rPr>
          <w:rFonts w:ascii="Times New Roman" w:hAnsi="Times New Roman"/>
          <w:lang w:val="lt-LT"/>
        </w:rPr>
      </w:pPr>
      <w:r>
        <w:rPr>
          <w:rFonts w:ascii="Times New Roman" w:hAnsi="Times New Roman"/>
          <w:lang w:val="lt-LT"/>
        </w:rPr>
        <w:t>Kada nutraukti gydymą, spręs gydytojas. Vis dėlto jei gydymą norite nutraukti anksčiau, tai turite aptarti su gydytoju.</w:t>
      </w:r>
    </w:p>
    <w:p w:rsidR="00AB164A" w:rsidRDefault="00AB164A" w:rsidP="00AB164A">
      <w:pPr>
        <w:spacing w:after="0" w:line="240" w:lineRule="auto"/>
        <w:rPr>
          <w:rFonts w:ascii="Times New Roman" w:hAnsi="Times New Roman"/>
          <w:lang w:val="lt-LT"/>
        </w:rPr>
      </w:pPr>
    </w:p>
    <w:p w:rsidR="00AB164A" w:rsidRDefault="00AB164A" w:rsidP="00AB164A">
      <w:pPr>
        <w:spacing w:after="0" w:line="240" w:lineRule="auto"/>
        <w:rPr>
          <w:rFonts w:ascii="Times New Roman" w:hAnsi="Times New Roman"/>
          <w:lang w:val="lt-LT"/>
        </w:rPr>
      </w:pPr>
      <w:r w:rsidRPr="005478D1">
        <w:rPr>
          <w:rFonts w:ascii="Times New Roman" w:hAnsi="Times New Roman"/>
          <w:lang w:val="lt-LT"/>
        </w:rPr>
        <w:t>Jeigu kiltų daugiau klausimų dėl šio vaisto vartojimo, kreipkitės į gydytoją</w:t>
      </w:r>
      <w:r>
        <w:rPr>
          <w:rFonts w:ascii="Times New Roman" w:hAnsi="Times New Roman"/>
          <w:lang w:val="lt-LT"/>
        </w:rPr>
        <w:t xml:space="preserve"> arba</w:t>
      </w:r>
      <w:r w:rsidRPr="005478D1">
        <w:rPr>
          <w:rFonts w:ascii="Times New Roman" w:hAnsi="Times New Roman"/>
          <w:lang w:val="lt-LT"/>
        </w:rPr>
        <w:t xml:space="preserve"> vaistininką</w:t>
      </w:r>
      <w:r>
        <w:rPr>
          <w:rFonts w:ascii="Times New Roman" w:hAnsi="Times New Roman"/>
          <w:lang w:val="lt-LT"/>
        </w:rPr>
        <w:t>.</w:t>
      </w:r>
    </w:p>
    <w:p w:rsidR="00AB164A" w:rsidRPr="008923EE" w:rsidRDefault="00AB164A" w:rsidP="00AB164A">
      <w:pPr>
        <w:spacing w:after="0" w:line="240" w:lineRule="auto"/>
        <w:rPr>
          <w:rFonts w:ascii="Times New Roman" w:hAnsi="Times New Roman"/>
          <w:lang w:val="lt-LT"/>
        </w:rPr>
      </w:pPr>
    </w:p>
    <w:p w:rsidR="00AB164A" w:rsidRPr="00E20A88" w:rsidRDefault="00AB164A" w:rsidP="00AB164A">
      <w:pPr>
        <w:spacing w:after="0" w:line="240" w:lineRule="auto"/>
        <w:rPr>
          <w:rFonts w:ascii="Times New Roman" w:hAnsi="Times New Roman"/>
          <w:lang w:val="lt-LT"/>
        </w:rPr>
      </w:pPr>
    </w:p>
    <w:p w:rsidR="00AB164A" w:rsidRPr="00F06B81" w:rsidRDefault="00AB164A" w:rsidP="00AB164A">
      <w:pPr>
        <w:pStyle w:val="PI-1EMEASMCA"/>
      </w:pPr>
      <w:bookmarkStart w:id="78" w:name="_Toc129243142"/>
      <w:bookmarkStart w:id="79" w:name="_Toc129243267"/>
      <w:r w:rsidRPr="00F06B81">
        <w:t>4.</w:t>
      </w:r>
      <w:r w:rsidRPr="00F06B81">
        <w:tab/>
        <w:t>GALIMAS ŠALUTINIS POVEIKIS</w:t>
      </w:r>
      <w:bookmarkEnd w:id="78"/>
      <w:bookmarkEnd w:id="79"/>
    </w:p>
    <w:p w:rsidR="00AB164A" w:rsidRPr="00F06B81" w:rsidRDefault="00AB164A" w:rsidP="00AB164A">
      <w:pPr>
        <w:pStyle w:val="BTEMEASMCA"/>
        <w:rPr>
          <w:noProof w:val="0"/>
        </w:rPr>
      </w:pPr>
    </w:p>
    <w:p w:rsidR="00AB164A" w:rsidRPr="00F06B81" w:rsidRDefault="00AB164A" w:rsidP="00AB164A">
      <w:pPr>
        <w:spacing w:after="0" w:line="240" w:lineRule="auto"/>
        <w:rPr>
          <w:rFonts w:ascii="Times New Roman" w:hAnsi="Times New Roman"/>
          <w:lang w:val="lt-LT"/>
        </w:rPr>
      </w:pPr>
      <w:r w:rsidRPr="002859ED">
        <w:rPr>
          <w:rFonts w:ascii="Times New Roman" w:hAnsi="Times New Roman"/>
          <w:lang w:val="lt-LT"/>
        </w:rPr>
        <w:t>Trombopriv</w:t>
      </w:r>
      <w:r w:rsidRPr="00F06B81">
        <w:rPr>
          <w:rFonts w:ascii="Times New Roman" w:hAnsi="Times New Roman"/>
          <w:lang w:val="lt-LT"/>
        </w:rPr>
        <w:t>, kaip ir visi kiti vaistai, gali sukelti šalutinį poveikį, nors jis pasireiškia ne visiems žmonėms</w:t>
      </w:r>
      <w:r>
        <w:rPr>
          <w:rFonts w:ascii="Times New Roman" w:hAnsi="Times New Roman"/>
          <w:lang w:val="lt-LT"/>
        </w:rPr>
        <w:t>.</w:t>
      </w:r>
      <w:r w:rsidRPr="00F06B81" w:rsidDel="00C514EB">
        <w:rPr>
          <w:rFonts w:ascii="Times New Roman" w:hAnsi="Times New Roman"/>
          <w:lang w:val="lt-LT"/>
        </w:rPr>
        <w:t xml:space="preserve"> </w:t>
      </w:r>
    </w:p>
    <w:p w:rsidR="00AB164A" w:rsidRDefault="00AB164A" w:rsidP="00AB164A">
      <w:pPr>
        <w:spacing w:after="0" w:line="240" w:lineRule="auto"/>
        <w:rPr>
          <w:rFonts w:ascii="Times New Roman" w:hAnsi="Times New Roman"/>
          <w:lang w:val="lt-LT"/>
        </w:rPr>
      </w:pPr>
      <w:r w:rsidRPr="00F06B81">
        <w:rPr>
          <w:rFonts w:ascii="Times New Roman" w:hAnsi="Times New Roman"/>
          <w:lang w:val="lt-LT"/>
        </w:rPr>
        <w:t>Dažniausias šalutinis reiškinys yra kraujavimas</w:t>
      </w:r>
      <w:r>
        <w:rPr>
          <w:rFonts w:ascii="Times New Roman" w:hAnsi="Times New Roman"/>
          <w:lang w:val="lt-LT"/>
        </w:rPr>
        <w:t>, jis gali prasidėti bet kurioje kūno vietoje. Kraujavimas gali būti sunkus ir retai sukelti mirtį.</w:t>
      </w:r>
    </w:p>
    <w:p w:rsidR="00AB164A" w:rsidRDefault="00AB164A" w:rsidP="00AB164A">
      <w:pPr>
        <w:spacing w:after="0" w:line="240" w:lineRule="auto"/>
        <w:rPr>
          <w:rFonts w:ascii="Times New Roman" w:hAnsi="Times New Roman"/>
          <w:lang w:val="lt-LT"/>
        </w:rPr>
      </w:pPr>
    </w:p>
    <w:p w:rsidR="00AB164A" w:rsidRDefault="00AB164A" w:rsidP="00AB164A">
      <w:pPr>
        <w:pStyle w:val="BTEMEASMCA"/>
        <w:rPr>
          <w:noProof w:val="0"/>
        </w:rPr>
      </w:pPr>
      <w:r>
        <w:rPr>
          <w:noProof w:val="0"/>
        </w:rPr>
        <w:t xml:space="preserve">Jei atsiranda šalutinis poveikis, gali prireikti medicininės pagalbos. Jei gydymo </w:t>
      </w:r>
      <w:r w:rsidRPr="002859ED">
        <w:t>Trombopriv</w:t>
      </w:r>
      <w:r>
        <w:rPr>
          <w:noProof w:val="0"/>
        </w:rPr>
        <w:t xml:space="preserve"> metu atsiranda bet kuris iš toliau išvardytų simptomų, turite nedelsdamas kreiptis į gydytoją.</w:t>
      </w:r>
    </w:p>
    <w:p w:rsidR="00AB164A" w:rsidRDefault="00AB164A" w:rsidP="00AB164A">
      <w:pPr>
        <w:pStyle w:val="BT-EMEASMCA"/>
        <w:tabs>
          <w:tab w:val="clear" w:pos="720"/>
          <w:tab w:val="num" w:pos="567"/>
        </w:tabs>
        <w:ind w:left="567" w:hanging="567"/>
        <w:rPr>
          <w:noProof w:val="0"/>
        </w:rPr>
      </w:pPr>
      <w:r>
        <w:rPr>
          <w:noProof w:val="0"/>
        </w:rPr>
        <w:t>Kraujavimo į kaukolės ertmę požymiai, tokie kaip galvos skausmas, jutimų (regos ar klausos) sutrikimas, kalbos pasunkėjimas, tirpimas ar judesių arba pusiausvyros palaikymo sutrikimas.</w:t>
      </w:r>
    </w:p>
    <w:p w:rsidR="00AB164A" w:rsidRDefault="00AB164A" w:rsidP="00AB164A">
      <w:pPr>
        <w:pStyle w:val="BT-EMEASMCA"/>
        <w:tabs>
          <w:tab w:val="clear" w:pos="720"/>
          <w:tab w:val="num" w:pos="567"/>
        </w:tabs>
        <w:ind w:left="567" w:hanging="567"/>
        <w:rPr>
          <w:noProof w:val="0"/>
        </w:rPr>
      </w:pPr>
      <w:r>
        <w:rPr>
          <w:noProof w:val="0"/>
        </w:rPr>
        <w:t>Vidinio kraujavimo požymiai, tokie kaip kraujo atkosėjimas ar kraujas šlapime ar išmatose.</w:t>
      </w:r>
    </w:p>
    <w:p w:rsidR="00AB164A" w:rsidRDefault="00AB164A" w:rsidP="00AB164A">
      <w:pPr>
        <w:pStyle w:val="BT-EMEASMCA"/>
        <w:tabs>
          <w:tab w:val="clear" w:pos="720"/>
          <w:tab w:val="num" w:pos="567"/>
        </w:tabs>
        <w:ind w:left="567" w:hanging="567"/>
        <w:rPr>
          <w:noProof w:val="0"/>
        </w:rPr>
      </w:pPr>
      <w:r>
        <w:rPr>
          <w:noProof w:val="0"/>
        </w:rPr>
        <w:t>Sunkios alerginės reakcijos požymiai, tokie kaip kvėpavimo pasunkėjimas ir svaigulys.</w:t>
      </w:r>
    </w:p>
    <w:p w:rsidR="00AB164A" w:rsidRDefault="00AB164A" w:rsidP="00AB164A">
      <w:pPr>
        <w:pStyle w:val="BTEMEASMCA"/>
        <w:rPr>
          <w:noProof w:val="0"/>
        </w:rPr>
      </w:pPr>
    </w:p>
    <w:p w:rsidR="00AB164A" w:rsidRDefault="00AB164A" w:rsidP="00AB164A">
      <w:pPr>
        <w:pStyle w:val="BTEMEASMCA"/>
        <w:rPr>
          <w:noProof w:val="0"/>
        </w:rPr>
      </w:pPr>
      <w:r>
        <w:rPr>
          <w:noProof w:val="0"/>
        </w:rPr>
        <w:t xml:space="preserve">Toliau išvardytas šalutinis poveikis, kai kuriems žmonėms atsiradęs gydymo </w:t>
      </w:r>
      <w:r w:rsidRPr="002859ED">
        <w:t>Trombopriv</w:t>
      </w:r>
      <w:r>
        <w:rPr>
          <w:noProof w:val="0"/>
        </w:rPr>
        <w:t xml:space="preserve"> metu. Poveikis išvardytas atsiradimo dažnio mažėjimo tvarka. </w:t>
      </w:r>
    </w:p>
    <w:p w:rsidR="00AB164A" w:rsidRPr="00676B4B" w:rsidRDefault="00AB164A" w:rsidP="00AB164A">
      <w:pPr>
        <w:spacing w:after="0" w:line="240" w:lineRule="auto"/>
        <w:rPr>
          <w:rFonts w:ascii="Times New Roman" w:hAnsi="Times New Roman"/>
          <w:lang w:val="lt-LT"/>
        </w:rPr>
      </w:pPr>
    </w:p>
    <w:p w:rsidR="00AB164A" w:rsidRPr="00676B4B" w:rsidRDefault="00AB164A" w:rsidP="00AB164A">
      <w:pPr>
        <w:spacing w:after="0" w:line="240" w:lineRule="auto"/>
        <w:rPr>
          <w:rFonts w:ascii="Times New Roman" w:hAnsi="Times New Roman"/>
          <w:u w:val="single"/>
          <w:lang w:val="lt-LT"/>
        </w:rPr>
      </w:pPr>
      <w:r w:rsidRPr="00676B4B">
        <w:rPr>
          <w:rFonts w:ascii="Times New Roman" w:hAnsi="Times New Roman"/>
          <w:u w:val="single"/>
          <w:lang w:val="lt-LT"/>
        </w:rPr>
        <w:t>Labai dažnas šalutinis poveikis (atsiranda daugiau kaip 1 vaisto vartojančiam žmogui iš 10)</w:t>
      </w:r>
    </w:p>
    <w:p w:rsidR="00AB164A" w:rsidRPr="00676B4B" w:rsidRDefault="00AB164A" w:rsidP="00AB164A">
      <w:pPr>
        <w:pStyle w:val="BT-EMEASMCA"/>
        <w:tabs>
          <w:tab w:val="clear" w:pos="720"/>
          <w:tab w:val="num" w:pos="567"/>
        </w:tabs>
        <w:ind w:left="567" w:hanging="567"/>
        <w:rPr>
          <w:noProof w:val="0"/>
        </w:rPr>
      </w:pPr>
      <w:r>
        <w:rPr>
          <w:noProof w:val="0"/>
        </w:rPr>
        <w:t>Kraujavimas po operacijos.</w:t>
      </w:r>
    </w:p>
    <w:p w:rsidR="00AB164A" w:rsidRDefault="00AB164A" w:rsidP="00AB164A">
      <w:pPr>
        <w:pStyle w:val="BT-EMEASMCA"/>
        <w:tabs>
          <w:tab w:val="clear" w:pos="720"/>
          <w:tab w:val="num" w:pos="567"/>
        </w:tabs>
        <w:ind w:left="567" w:hanging="567"/>
        <w:rPr>
          <w:noProof w:val="0"/>
        </w:rPr>
      </w:pPr>
      <w:r>
        <w:rPr>
          <w:noProof w:val="0"/>
        </w:rPr>
        <w:t>Kraujavimas iš odos injekcijos vietoje ar į raumenis, kartu pasireiškiant patinimui.</w:t>
      </w:r>
    </w:p>
    <w:p w:rsidR="00AB164A" w:rsidRPr="00676B4B" w:rsidRDefault="00AB164A" w:rsidP="00AB164A">
      <w:pPr>
        <w:pStyle w:val="BT-EMEASMCA"/>
        <w:tabs>
          <w:tab w:val="clear" w:pos="720"/>
          <w:tab w:val="num" w:pos="567"/>
        </w:tabs>
        <w:ind w:left="567" w:hanging="567"/>
        <w:rPr>
          <w:noProof w:val="0"/>
        </w:rPr>
      </w:pPr>
      <w:r>
        <w:rPr>
          <w:noProof w:val="0"/>
        </w:rPr>
        <w:t>Smulkios raudonos odos kraujosruvos.</w:t>
      </w:r>
    </w:p>
    <w:p w:rsidR="00AB164A" w:rsidRDefault="00AB164A" w:rsidP="00AB164A">
      <w:pPr>
        <w:pStyle w:val="BT-EMEASMCA"/>
        <w:tabs>
          <w:tab w:val="clear" w:pos="720"/>
          <w:tab w:val="num" w:pos="567"/>
        </w:tabs>
        <w:ind w:left="567" w:hanging="567"/>
        <w:rPr>
          <w:noProof w:val="0"/>
        </w:rPr>
      </w:pPr>
      <w:r>
        <w:rPr>
          <w:noProof w:val="0"/>
        </w:rPr>
        <w:t>Nepastebimas kraujas šlapime ar išmatose.</w:t>
      </w:r>
    </w:p>
    <w:p w:rsidR="00AB164A" w:rsidRPr="00676B4B" w:rsidRDefault="00AB164A" w:rsidP="00AB164A">
      <w:pPr>
        <w:pStyle w:val="BT-EMEASMCA"/>
        <w:tabs>
          <w:tab w:val="clear" w:pos="720"/>
          <w:tab w:val="num" w:pos="567"/>
        </w:tabs>
        <w:ind w:left="567" w:hanging="567"/>
        <w:rPr>
          <w:noProof w:val="0"/>
        </w:rPr>
      </w:pPr>
      <w:r>
        <w:rPr>
          <w:noProof w:val="0"/>
        </w:rPr>
        <w:t>Pykinimas.</w:t>
      </w:r>
    </w:p>
    <w:p w:rsidR="00AB164A" w:rsidRPr="00676B4B" w:rsidRDefault="00AB164A" w:rsidP="00AB164A">
      <w:pPr>
        <w:pStyle w:val="BT-EMEASMCA"/>
        <w:tabs>
          <w:tab w:val="clear" w:pos="720"/>
          <w:tab w:val="num" w:pos="567"/>
        </w:tabs>
        <w:ind w:left="567" w:hanging="567"/>
        <w:rPr>
          <w:noProof w:val="0"/>
        </w:rPr>
      </w:pPr>
      <w:r>
        <w:rPr>
          <w:noProof w:val="0"/>
        </w:rPr>
        <w:t>Galvos skausmas.</w:t>
      </w:r>
      <w:r w:rsidRPr="00676B4B">
        <w:rPr>
          <w:noProof w:val="0"/>
        </w:rPr>
        <w:t xml:space="preserve"> </w:t>
      </w:r>
    </w:p>
    <w:p w:rsidR="00AB164A" w:rsidRDefault="00AB164A" w:rsidP="00AB164A">
      <w:pPr>
        <w:pStyle w:val="BT-EMEASMCA"/>
        <w:numPr>
          <w:ilvl w:val="0"/>
          <w:numId w:val="0"/>
        </w:numPr>
        <w:ind w:left="567"/>
        <w:rPr>
          <w:noProof w:val="0"/>
        </w:rPr>
      </w:pPr>
    </w:p>
    <w:p w:rsidR="00AB164A" w:rsidRPr="00676B4B" w:rsidRDefault="00AB164A" w:rsidP="00AB164A">
      <w:pPr>
        <w:spacing w:after="0" w:line="240" w:lineRule="auto"/>
        <w:rPr>
          <w:rFonts w:ascii="Times New Roman" w:hAnsi="Times New Roman"/>
          <w:u w:val="single"/>
          <w:lang w:val="lt-LT"/>
        </w:rPr>
      </w:pPr>
      <w:r>
        <w:rPr>
          <w:rFonts w:ascii="Times New Roman" w:hAnsi="Times New Roman"/>
          <w:u w:val="single"/>
          <w:lang w:val="lt-LT"/>
        </w:rPr>
        <w:t>D</w:t>
      </w:r>
      <w:r w:rsidRPr="00676B4B">
        <w:rPr>
          <w:rFonts w:ascii="Times New Roman" w:hAnsi="Times New Roman"/>
          <w:u w:val="single"/>
          <w:lang w:val="lt-LT"/>
        </w:rPr>
        <w:t>ažnas šalutinis poveikis (atsiranda 1</w:t>
      </w:r>
      <w:r w:rsidRPr="00676B4B">
        <w:rPr>
          <w:rFonts w:ascii="Times New Roman" w:hAnsi="Times New Roman"/>
          <w:u w:val="single"/>
          <w:lang w:val="lt-LT"/>
        </w:rPr>
        <w:noBreakHyphen/>
        <w:t>10  vaisto vartojančiam žmogui iš 100)</w:t>
      </w:r>
    </w:p>
    <w:p w:rsidR="00AB164A" w:rsidRPr="00676B4B" w:rsidRDefault="00AB164A" w:rsidP="00AB164A">
      <w:pPr>
        <w:pStyle w:val="BT-EMEASMCA"/>
        <w:tabs>
          <w:tab w:val="clear" w:pos="720"/>
          <w:tab w:val="num" w:pos="567"/>
        </w:tabs>
        <w:ind w:left="567" w:hanging="567"/>
        <w:rPr>
          <w:noProof w:val="0"/>
        </w:rPr>
      </w:pPr>
      <w:r>
        <w:rPr>
          <w:noProof w:val="0"/>
        </w:rPr>
        <w:t>Kraujas šlapime.</w:t>
      </w:r>
    </w:p>
    <w:p w:rsidR="00AB164A" w:rsidRPr="00676B4B" w:rsidRDefault="00AB164A" w:rsidP="00AB164A">
      <w:pPr>
        <w:pStyle w:val="BT-EMEASMCA"/>
        <w:tabs>
          <w:tab w:val="clear" w:pos="720"/>
          <w:tab w:val="num" w:pos="567"/>
        </w:tabs>
        <w:ind w:left="567" w:hanging="567"/>
        <w:rPr>
          <w:noProof w:val="0"/>
        </w:rPr>
      </w:pPr>
      <w:r>
        <w:rPr>
          <w:noProof w:val="0"/>
        </w:rPr>
        <w:t>Atkosėjimas krauju.</w:t>
      </w:r>
    </w:p>
    <w:p w:rsidR="00AB164A" w:rsidRPr="00676B4B" w:rsidRDefault="00AB164A" w:rsidP="00AB164A">
      <w:pPr>
        <w:pStyle w:val="BT-EMEASMCA"/>
        <w:tabs>
          <w:tab w:val="clear" w:pos="720"/>
          <w:tab w:val="num" w:pos="567"/>
        </w:tabs>
        <w:ind w:left="567" w:hanging="567"/>
        <w:rPr>
          <w:noProof w:val="0"/>
        </w:rPr>
      </w:pPr>
      <w:r>
        <w:rPr>
          <w:noProof w:val="0"/>
        </w:rPr>
        <w:t>Kraujavimas iš nosies.</w:t>
      </w:r>
    </w:p>
    <w:p w:rsidR="00AB164A" w:rsidRPr="00676B4B" w:rsidRDefault="00AB164A" w:rsidP="00AB164A">
      <w:pPr>
        <w:pStyle w:val="BT-EMEASMCA"/>
        <w:tabs>
          <w:tab w:val="clear" w:pos="720"/>
          <w:tab w:val="num" w:pos="567"/>
        </w:tabs>
        <w:ind w:left="567" w:hanging="567"/>
        <w:rPr>
          <w:noProof w:val="0"/>
        </w:rPr>
      </w:pPr>
      <w:r>
        <w:rPr>
          <w:noProof w:val="0"/>
        </w:rPr>
        <w:t>Kraujavimas iš dantenų ir burnos.</w:t>
      </w:r>
    </w:p>
    <w:p w:rsidR="00AB164A" w:rsidRPr="00676B4B" w:rsidRDefault="00AB164A" w:rsidP="00AB164A">
      <w:pPr>
        <w:pStyle w:val="BT-EMEASMCA"/>
        <w:tabs>
          <w:tab w:val="clear" w:pos="720"/>
          <w:tab w:val="num" w:pos="567"/>
        </w:tabs>
        <w:ind w:left="567" w:hanging="567"/>
        <w:rPr>
          <w:noProof w:val="0"/>
        </w:rPr>
      </w:pPr>
      <w:r>
        <w:rPr>
          <w:noProof w:val="0"/>
        </w:rPr>
        <w:t>Kraujavimas iš kraujagyslės dūrio vietos.</w:t>
      </w:r>
    </w:p>
    <w:p w:rsidR="00AB164A" w:rsidRPr="00676B4B" w:rsidRDefault="00AB164A" w:rsidP="00AB164A">
      <w:pPr>
        <w:pStyle w:val="BT-EMEASMCA"/>
        <w:tabs>
          <w:tab w:val="clear" w:pos="720"/>
          <w:tab w:val="num" w:pos="567"/>
        </w:tabs>
        <w:ind w:left="567" w:hanging="567"/>
        <w:rPr>
          <w:noProof w:val="0"/>
        </w:rPr>
      </w:pPr>
      <w:r>
        <w:rPr>
          <w:noProof w:val="0"/>
        </w:rPr>
        <w:t>Kraujo ląstelių kiekio sumažėjimas</w:t>
      </w:r>
      <w:r w:rsidRPr="00676B4B">
        <w:rPr>
          <w:noProof w:val="0"/>
        </w:rPr>
        <w:t xml:space="preserve"> (</w:t>
      </w:r>
      <w:r>
        <w:rPr>
          <w:noProof w:val="0"/>
        </w:rPr>
        <w:t>hematokrito ir hemoglobino rodmenų sumažėjimas).</w:t>
      </w:r>
    </w:p>
    <w:p w:rsidR="00AB164A" w:rsidRDefault="00AB164A" w:rsidP="00AB164A">
      <w:pPr>
        <w:pStyle w:val="BT-EMEASMCA"/>
        <w:tabs>
          <w:tab w:val="clear" w:pos="720"/>
          <w:tab w:val="num" w:pos="567"/>
        </w:tabs>
        <w:ind w:left="567" w:hanging="567"/>
        <w:rPr>
          <w:noProof w:val="0"/>
        </w:rPr>
      </w:pPr>
      <w:r>
        <w:rPr>
          <w:noProof w:val="0"/>
        </w:rPr>
        <w:t>Trombocitų kiekio sumažėjimas iki mažiau kaip</w:t>
      </w:r>
      <w:r w:rsidRPr="00676B4B">
        <w:rPr>
          <w:noProof w:val="0"/>
        </w:rPr>
        <w:t xml:space="preserve"> 90</w:t>
      </w:r>
      <w:r>
        <w:rPr>
          <w:noProof w:val="0"/>
        </w:rPr>
        <w:t> </w:t>
      </w:r>
      <w:r w:rsidRPr="00676B4B">
        <w:rPr>
          <w:noProof w:val="0"/>
        </w:rPr>
        <w:t>000/mm</w:t>
      </w:r>
      <w:r w:rsidRPr="00676B4B">
        <w:rPr>
          <w:noProof w:val="0"/>
          <w:vertAlign w:val="superscript"/>
        </w:rPr>
        <w:t>3</w:t>
      </w:r>
      <w:r>
        <w:rPr>
          <w:noProof w:val="0"/>
        </w:rPr>
        <w:t>.</w:t>
      </w:r>
    </w:p>
    <w:p w:rsidR="00AB164A" w:rsidRDefault="00AB164A" w:rsidP="00AB164A">
      <w:pPr>
        <w:pStyle w:val="BT-EMEASMCA"/>
        <w:tabs>
          <w:tab w:val="clear" w:pos="720"/>
          <w:tab w:val="num" w:pos="567"/>
        </w:tabs>
        <w:ind w:left="567" w:hanging="567"/>
      </w:pPr>
      <w:r>
        <w:t>Karščiavimas.</w:t>
      </w:r>
    </w:p>
    <w:p w:rsidR="00AB164A" w:rsidRDefault="00AB164A" w:rsidP="00AB164A">
      <w:pPr>
        <w:pStyle w:val="BT-EMEASMCA"/>
        <w:numPr>
          <w:ilvl w:val="0"/>
          <w:numId w:val="0"/>
        </w:numPr>
      </w:pPr>
    </w:p>
    <w:p w:rsidR="00AB164A" w:rsidRPr="00676B4B" w:rsidRDefault="00AB164A" w:rsidP="00AB164A">
      <w:pPr>
        <w:spacing w:after="0" w:line="240" w:lineRule="auto"/>
        <w:rPr>
          <w:rFonts w:ascii="Times New Roman" w:hAnsi="Times New Roman"/>
          <w:u w:val="single"/>
          <w:lang w:val="lt-LT"/>
        </w:rPr>
      </w:pPr>
      <w:r>
        <w:rPr>
          <w:rFonts w:ascii="Times New Roman" w:hAnsi="Times New Roman"/>
          <w:u w:val="single"/>
          <w:lang w:val="lt-LT"/>
        </w:rPr>
        <w:t>Ne</w:t>
      </w:r>
      <w:r w:rsidRPr="00676B4B">
        <w:rPr>
          <w:rFonts w:ascii="Times New Roman" w:hAnsi="Times New Roman"/>
          <w:u w:val="single"/>
          <w:lang w:val="lt-LT"/>
        </w:rPr>
        <w:t>dažnas šalutinis poveikis (atsiranda 1</w:t>
      </w:r>
      <w:r w:rsidRPr="00676B4B">
        <w:rPr>
          <w:rFonts w:ascii="Times New Roman" w:hAnsi="Times New Roman"/>
          <w:u w:val="single"/>
          <w:lang w:val="lt-LT"/>
        </w:rPr>
        <w:noBreakHyphen/>
        <w:t>10 vaisto vartojančiam žmogui iš 1</w:t>
      </w:r>
      <w:r>
        <w:rPr>
          <w:rFonts w:ascii="Times New Roman" w:hAnsi="Times New Roman"/>
          <w:u w:val="single"/>
          <w:lang w:val="lt-LT"/>
        </w:rPr>
        <w:t> 0</w:t>
      </w:r>
      <w:r w:rsidRPr="00676B4B">
        <w:rPr>
          <w:rFonts w:ascii="Times New Roman" w:hAnsi="Times New Roman"/>
          <w:u w:val="single"/>
          <w:lang w:val="lt-LT"/>
        </w:rPr>
        <w:t>00)</w:t>
      </w:r>
    </w:p>
    <w:p w:rsidR="00AB164A" w:rsidRPr="00676B4B" w:rsidRDefault="00AB164A" w:rsidP="00AB164A">
      <w:pPr>
        <w:pStyle w:val="BT-EMEASMCA"/>
        <w:tabs>
          <w:tab w:val="clear" w:pos="720"/>
          <w:tab w:val="num" w:pos="567"/>
        </w:tabs>
        <w:ind w:left="567" w:hanging="567"/>
        <w:rPr>
          <w:noProof w:val="0"/>
        </w:rPr>
      </w:pPr>
      <w:r>
        <w:rPr>
          <w:noProof w:val="0"/>
        </w:rPr>
        <w:t>Kraujavimas iš skrandžio ar žarnyno.</w:t>
      </w:r>
    </w:p>
    <w:p w:rsidR="00AB164A" w:rsidRPr="00676B4B" w:rsidRDefault="00AB164A" w:rsidP="00AB164A">
      <w:pPr>
        <w:pStyle w:val="BT-EMEASMCA"/>
        <w:tabs>
          <w:tab w:val="clear" w:pos="720"/>
          <w:tab w:val="num" w:pos="567"/>
        </w:tabs>
        <w:ind w:left="567" w:hanging="567"/>
        <w:rPr>
          <w:noProof w:val="0"/>
        </w:rPr>
      </w:pPr>
      <w:r>
        <w:rPr>
          <w:noProof w:val="0"/>
        </w:rPr>
        <w:t>Vėmimas krauju.</w:t>
      </w:r>
    </w:p>
    <w:p w:rsidR="00AB164A" w:rsidRPr="00676B4B" w:rsidRDefault="00AB164A" w:rsidP="00AB164A">
      <w:pPr>
        <w:pStyle w:val="BT-EMEASMCA"/>
        <w:tabs>
          <w:tab w:val="clear" w:pos="720"/>
          <w:tab w:val="num" w:pos="567"/>
        </w:tabs>
        <w:ind w:left="567" w:hanging="567"/>
        <w:rPr>
          <w:noProof w:val="0"/>
        </w:rPr>
      </w:pPr>
      <w:r>
        <w:rPr>
          <w:noProof w:val="0"/>
        </w:rPr>
        <w:t>Trombocitų kiekio sumažėjimas iki mažiau kaip</w:t>
      </w:r>
      <w:r w:rsidRPr="00676B4B">
        <w:rPr>
          <w:noProof w:val="0"/>
        </w:rPr>
        <w:t xml:space="preserve"> 50</w:t>
      </w:r>
      <w:r>
        <w:rPr>
          <w:noProof w:val="0"/>
        </w:rPr>
        <w:t> </w:t>
      </w:r>
      <w:r w:rsidRPr="00676B4B">
        <w:rPr>
          <w:noProof w:val="0"/>
        </w:rPr>
        <w:t>000/mm</w:t>
      </w:r>
      <w:r w:rsidRPr="00676B4B">
        <w:rPr>
          <w:noProof w:val="0"/>
          <w:vertAlign w:val="superscript"/>
        </w:rPr>
        <w:t>3</w:t>
      </w:r>
      <w:r>
        <w:rPr>
          <w:noProof w:val="0"/>
        </w:rPr>
        <w:t>.</w:t>
      </w:r>
    </w:p>
    <w:p w:rsidR="00AB164A" w:rsidRDefault="00AB164A" w:rsidP="00AB164A">
      <w:pPr>
        <w:spacing w:after="0" w:line="240" w:lineRule="auto"/>
        <w:rPr>
          <w:rFonts w:ascii="Times New Roman" w:hAnsi="Times New Roman"/>
          <w:lang w:val="lt-LT"/>
        </w:rPr>
      </w:pPr>
    </w:p>
    <w:p w:rsidR="00AB164A" w:rsidRPr="006646B2" w:rsidRDefault="00AB164A" w:rsidP="00AB164A">
      <w:pPr>
        <w:spacing w:after="0" w:line="240" w:lineRule="auto"/>
        <w:rPr>
          <w:rFonts w:ascii="Times New Roman" w:hAnsi="Times New Roman"/>
          <w:u w:val="single"/>
          <w:lang w:val="lt-LT"/>
        </w:rPr>
      </w:pPr>
      <w:r w:rsidRPr="006646B2">
        <w:rPr>
          <w:rFonts w:ascii="Times New Roman" w:hAnsi="Times New Roman"/>
          <w:u w:val="single"/>
          <w:lang w:val="lt-LT"/>
        </w:rPr>
        <w:t>Šalutinis poveikis, kurio dažnis nežinomas (t. y. negali būti įvertintas pagal turimus duomenis)</w:t>
      </w:r>
    </w:p>
    <w:p w:rsidR="00AB164A" w:rsidRPr="00676B4B" w:rsidRDefault="00AB164A" w:rsidP="00AB164A">
      <w:pPr>
        <w:pStyle w:val="BT-EMEASMCA"/>
        <w:tabs>
          <w:tab w:val="clear" w:pos="720"/>
          <w:tab w:val="num" w:pos="567"/>
        </w:tabs>
        <w:ind w:left="567" w:hanging="567"/>
        <w:rPr>
          <w:noProof w:val="0"/>
        </w:rPr>
      </w:pPr>
      <w:r>
        <w:rPr>
          <w:noProof w:val="0"/>
        </w:rPr>
        <w:t>Kraujavimas į kaukolės ertmę.</w:t>
      </w:r>
    </w:p>
    <w:p w:rsidR="00AB164A" w:rsidRPr="00676B4B" w:rsidRDefault="00AB164A" w:rsidP="00AB164A">
      <w:pPr>
        <w:pStyle w:val="BT-EMEASMCA"/>
        <w:tabs>
          <w:tab w:val="clear" w:pos="720"/>
          <w:tab w:val="num" w:pos="567"/>
        </w:tabs>
        <w:ind w:left="567" w:hanging="567"/>
        <w:rPr>
          <w:noProof w:val="0"/>
        </w:rPr>
      </w:pPr>
      <w:r>
        <w:rPr>
          <w:noProof w:val="0"/>
        </w:rPr>
        <w:t>Kraujosruva stuburo srityje.</w:t>
      </w:r>
    </w:p>
    <w:p w:rsidR="00AB164A" w:rsidRPr="00676B4B" w:rsidRDefault="00AB164A" w:rsidP="00AB164A">
      <w:pPr>
        <w:pStyle w:val="BT-EMEASMCA"/>
        <w:tabs>
          <w:tab w:val="clear" w:pos="720"/>
          <w:tab w:val="num" w:pos="567"/>
        </w:tabs>
        <w:ind w:left="567" w:hanging="567"/>
        <w:rPr>
          <w:noProof w:val="0"/>
        </w:rPr>
      </w:pPr>
      <w:r>
        <w:rPr>
          <w:noProof w:val="0"/>
        </w:rPr>
        <w:t>Kraujavimas į pilvo vidinius organus.</w:t>
      </w:r>
    </w:p>
    <w:p w:rsidR="00AB164A" w:rsidRDefault="00AB164A" w:rsidP="00AB164A">
      <w:pPr>
        <w:pStyle w:val="BT-EMEASMCA"/>
        <w:tabs>
          <w:tab w:val="clear" w:pos="720"/>
          <w:tab w:val="num" w:pos="567"/>
        </w:tabs>
        <w:ind w:left="567" w:hanging="567"/>
        <w:rPr>
          <w:noProof w:val="0"/>
        </w:rPr>
      </w:pPr>
      <w:r>
        <w:rPr>
          <w:noProof w:val="0"/>
        </w:rPr>
        <w:lastRenderedPageBreak/>
        <w:t>Kraujo kaupimasis aplink širdį.</w:t>
      </w:r>
    </w:p>
    <w:p w:rsidR="00AB164A" w:rsidRPr="00676B4B" w:rsidRDefault="00AB164A" w:rsidP="00AB164A">
      <w:pPr>
        <w:pStyle w:val="BT-EMEASMCA"/>
        <w:tabs>
          <w:tab w:val="clear" w:pos="720"/>
          <w:tab w:val="num" w:pos="567"/>
        </w:tabs>
        <w:ind w:left="567" w:hanging="567"/>
        <w:rPr>
          <w:noProof w:val="0"/>
        </w:rPr>
      </w:pPr>
      <w:r>
        <w:rPr>
          <w:noProof w:val="0"/>
        </w:rPr>
        <w:t>Kraujavimas į plaučius.</w:t>
      </w:r>
    </w:p>
    <w:p w:rsidR="00AB164A" w:rsidRPr="00676B4B" w:rsidRDefault="00AB164A" w:rsidP="00AB164A">
      <w:pPr>
        <w:pStyle w:val="BT-EMEASMCA"/>
        <w:tabs>
          <w:tab w:val="clear" w:pos="720"/>
          <w:tab w:val="num" w:pos="567"/>
        </w:tabs>
        <w:ind w:left="567" w:hanging="567"/>
        <w:rPr>
          <w:noProof w:val="0"/>
        </w:rPr>
      </w:pPr>
      <w:r>
        <w:rPr>
          <w:noProof w:val="0"/>
        </w:rPr>
        <w:t>Ūminis ir (arba) sunkus trombocitų kiekio sumažėjimas iki mažiau kaip</w:t>
      </w:r>
      <w:r w:rsidRPr="00676B4B">
        <w:rPr>
          <w:noProof w:val="0"/>
        </w:rPr>
        <w:t xml:space="preserve"> &lt;20</w:t>
      </w:r>
      <w:r>
        <w:rPr>
          <w:noProof w:val="0"/>
        </w:rPr>
        <w:t> </w:t>
      </w:r>
      <w:r w:rsidRPr="00676B4B">
        <w:rPr>
          <w:noProof w:val="0"/>
        </w:rPr>
        <w:t>000/mm</w:t>
      </w:r>
      <w:r w:rsidRPr="006646B2">
        <w:rPr>
          <w:noProof w:val="0"/>
          <w:vertAlign w:val="superscript"/>
        </w:rPr>
        <w:t>3</w:t>
      </w:r>
      <w:r>
        <w:rPr>
          <w:noProof w:val="0"/>
        </w:rPr>
        <w:t>.</w:t>
      </w:r>
    </w:p>
    <w:p w:rsidR="00AB164A" w:rsidRPr="00F06B81" w:rsidRDefault="00AB164A" w:rsidP="00AB164A">
      <w:pPr>
        <w:pStyle w:val="BT-EMEASMCA"/>
        <w:tabs>
          <w:tab w:val="clear" w:pos="720"/>
          <w:tab w:val="num" w:pos="567"/>
        </w:tabs>
        <w:ind w:left="567" w:hanging="567"/>
        <w:rPr>
          <w:noProof w:val="0"/>
        </w:rPr>
      </w:pPr>
      <w:r>
        <w:rPr>
          <w:noProof w:val="0"/>
        </w:rPr>
        <w:t xml:space="preserve">Sunkios alerginės reakcijos, pasireiškiančios </w:t>
      </w:r>
      <w:r w:rsidRPr="00676B4B">
        <w:rPr>
          <w:noProof w:val="0"/>
        </w:rPr>
        <w:t xml:space="preserve"> </w:t>
      </w:r>
      <w:r>
        <w:rPr>
          <w:noProof w:val="0"/>
        </w:rPr>
        <w:t>krūtinės spaudimu, ruplėmis ar dilgėliniu išbėrimu</w:t>
      </w:r>
      <w:r w:rsidRPr="00676B4B">
        <w:rPr>
          <w:noProof w:val="0"/>
        </w:rPr>
        <w:t xml:space="preserve">, </w:t>
      </w:r>
      <w:r>
        <w:rPr>
          <w:noProof w:val="0"/>
        </w:rPr>
        <w:t>įskaitant kvėpavimo pasunkėjimą ir svaigulį sukeliančias reakcijas.</w:t>
      </w:r>
    </w:p>
    <w:p w:rsidR="00AB164A" w:rsidRPr="00676B4B" w:rsidRDefault="00AB164A" w:rsidP="00AB164A">
      <w:pPr>
        <w:spacing w:after="0" w:line="240" w:lineRule="auto"/>
        <w:rPr>
          <w:rFonts w:ascii="Times New Roman" w:hAnsi="Times New Roman"/>
          <w:lang w:val="lt-LT"/>
        </w:rPr>
      </w:pPr>
    </w:p>
    <w:p w:rsidR="00AB164A" w:rsidRPr="00F06B81" w:rsidRDefault="00AB164A" w:rsidP="00AB164A">
      <w:pPr>
        <w:pStyle w:val="BTEMEASMCA"/>
        <w:rPr>
          <w:noProof w:val="0"/>
        </w:rPr>
      </w:pPr>
      <w:r w:rsidRPr="00F06B81">
        <w:rPr>
          <w:noProof w:val="0"/>
        </w:rPr>
        <w:t>Jeigu pasireiškė sunkus šalutinis poveikis arba pastebėjote šiame lapelyje nenurodytą šalutinį poveikį, pasakykite gydytojui arba vaistininkui.</w:t>
      </w:r>
    </w:p>
    <w:p w:rsidR="00AB164A" w:rsidRPr="00F06B81" w:rsidRDefault="00AB164A" w:rsidP="00AB164A">
      <w:pPr>
        <w:spacing w:after="0" w:line="240" w:lineRule="auto"/>
        <w:rPr>
          <w:rFonts w:ascii="Times New Roman" w:hAnsi="Times New Roman"/>
          <w:lang w:val="lt-LT"/>
        </w:rPr>
      </w:pPr>
    </w:p>
    <w:p w:rsidR="00AB164A" w:rsidRPr="00F06B81" w:rsidRDefault="00AB164A" w:rsidP="00AB164A">
      <w:pPr>
        <w:pStyle w:val="BTEMEASMCA"/>
        <w:rPr>
          <w:noProof w:val="0"/>
        </w:rPr>
      </w:pPr>
    </w:p>
    <w:p w:rsidR="00AB164A" w:rsidRPr="00F06B81" w:rsidRDefault="00AB164A" w:rsidP="00AB164A">
      <w:pPr>
        <w:pStyle w:val="PI-1EMEASMCA"/>
      </w:pPr>
      <w:bookmarkStart w:id="80" w:name="_Toc129243143"/>
      <w:bookmarkStart w:id="81" w:name="_Toc129243268"/>
      <w:r w:rsidRPr="00F06B81">
        <w:t>5.</w:t>
      </w:r>
      <w:r w:rsidRPr="00F06B81">
        <w:tab/>
        <w:t xml:space="preserve">KAIP LAIKYTI </w:t>
      </w:r>
      <w:bookmarkEnd w:id="80"/>
      <w:bookmarkEnd w:id="81"/>
      <w:r w:rsidRPr="002859ED">
        <w:t>TROMBOPRIV</w:t>
      </w:r>
    </w:p>
    <w:p w:rsidR="00AB164A" w:rsidRDefault="00AB164A" w:rsidP="00AB164A">
      <w:pPr>
        <w:pStyle w:val="BTEMEASMCA"/>
        <w:rPr>
          <w:noProof w:val="0"/>
        </w:rPr>
      </w:pPr>
    </w:p>
    <w:p w:rsidR="00AB164A" w:rsidRDefault="00AB164A" w:rsidP="00AB164A">
      <w:pPr>
        <w:pStyle w:val="BTEMEASMCA"/>
        <w:rPr>
          <w:noProof w:val="0"/>
        </w:rPr>
      </w:pPr>
      <w:r w:rsidRPr="00C5208E">
        <w:t>Šį vaistą laikykite</w:t>
      </w:r>
      <w:r>
        <w:t xml:space="preserve"> vaikams nepastebimoje ir nepasiekiamoje vietoje.</w:t>
      </w:r>
    </w:p>
    <w:p w:rsidR="00AB164A" w:rsidRDefault="00AB164A" w:rsidP="00AB164A">
      <w:pPr>
        <w:pStyle w:val="BTEMEASMCA"/>
        <w:rPr>
          <w:noProof w:val="0"/>
        </w:rPr>
      </w:pPr>
      <w:r>
        <w:rPr>
          <w:noProof w:val="0"/>
        </w:rPr>
        <w:t xml:space="preserve">Ant dėžutės ar flakono po „Tinka iki“ nurodytam tinkamumo laikui pasibaigus Trombopriv vartoti negalima. </w:t>
      </w:r>
    </w:p>
    <w:p w:rsidR="00AB164A" w:rsidRDefault="00AB164A" w:rsidP="00AB164A">
      <w:pPr>
        <w:spacing w:after="0" w:line="240" w:lineRule="auto"/>
        <w:rPr>
          <w:rFonts w:ascii="Times New Roman" w:hAnsi="Times New Roman"/>
          <w:lang w:val="lt-LT"/>
        </w:rPr>
      </w:pPr>
      <w:r w:rsidRPr="00F06B81">
        <w:rPr>
          <w:rFonts w:ascii="Times New Roman" w:hAnsi="Times New Roman"/>
          <w:lang w:val="lt-LT"/>
        </w:rPr>
        <w:t>Negalima užšaldyti.</w:t>
      </w:r>
      <w:r>
        <w:rPr>
          <w:rFonts w:ascii="Times New Roman" w:hAnsi="Times New Roman"/>
          <w:lang w:val="lt-LT"/>
        </w:rPr>
        <w:t xml:space="preserve"> Flakoną laikyti išorinėje dėžutėje</w:t>
      </w:r>
      <w:r w:rsidRPr="00F06B81">
        <w:rPr>
          <w:rFonts w:ascii="Times New Roman" w:hAnsi="Times New Roman"/>
          <w:lang w:val="lt-LT"/>
        </w:rPr>
        <w:t xml:space="preserve">, kad preparatas būtų apsaugotas nuo šviesos. </w:t>
      </w:r>
    </w:p>
    <w:p w:rsidR="00AB164A" w:rsidRPr="00F06B81" w:rsidRDefault="00AB164A" w:rsidP="00AB164A">
      <w:pPr>
        <w:pStyle w:val="BTEMEASMCA"/>
        <w:rPr>
          <w:noProof w:val="0"/>
        </w:rPr>
      </w:pPr>
      <w:r>
        <w:rPr>
          <w:noProof w:val="0"/>
        </w:rPr>
        <w:t>Pastebėjus nuosėdas ar pakitus tirpalo spalvai, Trombopriv vartoti negalima.</w:t>
      </w:r>
    </w:p>
    <w:p w:rsidR="00AB164A" w:rsidRPr="00660716" w:rsidRDefault="00AB164A" w:rsidP="00AB164A">
      <w:pPr>
        <w:pStyle w:val="BTEMEASMCA"/>
      </w:pPr>
      <w:r w:rsidRPr="00660716">
        <w:t xml:space="preserve">Vaistų negalima </w:t>
      </w:r>
      <w:r>
        <w:t>išmesti</w:t>
      </w:r>
      <w:r w:rsidRPr="00660716">
        <w:t xml:space="preserve"> į kanalizaciją arba su buitinėmis atliekomis. Kaip </w:t>
      </w:r>
      <w:r>
        <w:t xml:space="preserve">išmesti </w:t>
      </w:r>
      <w:r w:rsidRPr="00660716">
        <w:t>nereikalingus vaistus, klauskite vaistininko. Šios priemonės padės apsaugoti aplinką.</w:t>
      </w:r>
    </w:p>
    <w:p w:rsidR="00AB164A" w:rsidRDefault="00AB164A" w:rsidP="00AB164A">
      <w:pPr>
        <w:pStyle w:val="BTEMEASMCA"/>
        <w:rPr>
          <w:noProof w:val="0"/>
        </w:rPr>
      </w:pPr>
    </w:p>
    <w:p w:rsidR="00AB164A" w:rsidRPr="00F06B81" w:rsidRDefault="00AB164A" w:rsidP="00AB164A">
      <w:pPr>
        <w:pStyle w:val="BTEMEASMCA"/>
        <w:rPr>
          <w:noProof w:val="0"/>
        </w:rPr>
      </w:pPr>
    </w:p>
    <w:p w:rsidR="00AB164A" w:rsidRPr="00F06B81" w:rsidRDefault="00AB164A" w:rsidP="00AB164A">
      <w:pPr>
        <w:pStyle w:val="PI-1EMEASMCA"/>
      </w:pPr>
      <w:bookmarkStart w:id="82" w:name="_Toc129243144"/>
      <w:bookmarkStart w:id="83" w:name="_Toc129243269"/>
      <w:r w:rsidRPr="00F06B81">
        <w:t>6.</w:t>
      </w:r>
      <w:r w:rsidRPr="00F06B81">
        <w:tab/>
      </w:r>
      <w:r>
        <w:t xml:space="preserve">PAKUOTĖS TURINYS IR </w:t>
      </w:r>
      <w:r w:rsidRPr="00F06B81">
        <w:t>KITA INFORMACIJA</w:t>
      </w:r>
      <w:bookmarkEnd w:id="82"/>
      <w:bookmarkEnd w:id="83"/>
    </w:p>
    <w:p w:rsidR="00AB164A" w:rsidRPr="00F06B81" w:rsidRDefault="00AB164A" w:rsidP="00AB164A">
      <w:pPr>
        <w:pStyle w:val="BTEMEASMCA"/>
        <w:rPr>
          <w:noProof w:val="0"/>
        </w:rPr>
      </w:pPr>
    </w:p>
    <w:p w:rsidR="00AB164A" w:rsidRPr="00F06B81" w:rsidRDefault="00AB164A" w:rsidP="00AB164A">
      <w:pPr>
        <w:pStyle w:val="PI-3EMEASMCA"/>
      </w:pPr>
      <w:r w:rsidRPr="002859ED">
        <w:t>Trombopriv</w:t>
      </w:r>
      <w:r w:rsidRPr="00F06B81">
        <w:t xml:space="preserve"> sudėtis</w:t>
      </w:r>
    </w:p>
    <w:p w:rsidR="00AB164A" w:rsidRPr="00F06B81" w:rsidRDefault="00AB164A" w:rsidP="00AB164A">
      <w:pPr>
        <w:pStyle w:val="BTEMEASMCA"/>
        <w:rPr>
          <w:noProof w:val="0"/>
        </w:rPr>
      </w:pPr>
    </w:p>
    <w:p w:rsidR="00AB164A" w:rsidRDefault="00AB164A" w:rsidP="00AB164A">
      <w:pPr>
        <w:pStyle w:val="BTEMEASMCA"/>
        <w:rPr>
          <w:noProof w:val="0"/>
        </w:rPr>
      </w:pPr>
      <w:r w:rsidRPr="00F06B81">
        <w:rPr>
          <w:noProof w:val="0"/>
        </w:rPr>
        <w:t>Veiklioji medžiaga yra tirofiban</w:t>
      </w:r>
      <w:r>
        <w:rPr>
          <w:noProof w:val="0"/>
        </w:rPr>
        <w:t>o</w:t>
      </w:r>
      <w:r w:rsidRPr="00771D28">
        <w:rPr>
          <w:noProof w:val="0"/>
        </w:rPr>
        <w:t xml:space="preserve"> </w:t>
      </w:r>
      <w:r w:rsidRPr="00F06B81">
        <w:rPr>
          <w:noProof w:val="0"/>
        </w:rPr>
        <w:t>hidrochlorid</w:t>
      </w:r>
      <w:r>
        <w:rPr>
          <w:noProof w:val="0"/>
        </w:rPr>
        <w:t>as</w:t>
      </w:r>
      <w:r w:rsidRPr="00F06B81">
        <w:rPr>
          <w:noProof w:val="0"/>
        </w:rPr>
        <w:t xml:space="preserve"> monohidrat</w:t>
      </w:r>
      <w:r>
        <w:rPr>
          <w:noProof w:val="0"/>
        </w:rPr>
        <w:t>as</w:t>
      </w:r>
      <w:r w:rsidRPr="00F06B81">
        <w:rPr>
          <w:noProof w:val="0"/>
        </w:rPr>
        <w:t>.</w:t>
      </w:r>
    </w:p>
    <w:p w:rsidR="00AB164A" w:rsidRDefault="00AB164A" w:rsidP="00AB164A">
      <w:pPr>
        <w:pStyle w:val="BTEMEASMCA"/>
        <w:rPr>
          <w:noProof w:val="0"/>
        </w:rPr>
      </w:pPr>
      <w:r w:rsidRPr="00660716">
        <w:t xml:space="preserve">Viename mililitre koncentrato infuziniam tirpalui </w:t>
      </w:r>
      <w:r w:rsidRPr="00F06B81">
        <w:rPr>
          <w:noProof w:val="0"/>
        </w:rPr>
        <w:t>yra 281 mikrogramas tirofibano hidrochlorido monohidrato</w:t>
      </w:r>
      <w:r>
        <w:rPr>
          <w:noProof w:val="0"/>
        </w:rPr>
        <w:t>,</w:t>
      </w:r>
      <w:r w:rsidRPr="00F06B81">
        <w:rPr>
          <w:noProof w:val="0"/>
        </w:rPr>
        <w:t xml:space="preserve"> atitinka</w:t>
      </w:r>
      <w:r>
        <w:rPr>
          <w:noProof w:val="0"/>
        </w:rPr>
        <w:t>nčio</w:t>
      </w:r>
      <w:r w:rsidRPr="00F06B81">
        <w:rPr>
          <w:noProof w:val="0"/>
        </w:rPr>
        <w:t xml:space="preserve"> 250 mikrogram</w:t>
      </w:r>
      <w:r>
        <w:rPr>
          <w:noProof w:val="0"/>
        </w:rPr>
        <w:t>ų</w:t>
      </w:r>
      <w:r w:rsidRPr="00F06B81">
        <w:rPr>
          <w:noProof w:val="0"/>
        </w:rPr>
        <w:t xml:space="preserve"> tirofibano.</w:t>
      </w:r>
    </w:p>
    <w:p w:rsidR="00AB164A" w:rsidRDefault="00AB164A" w:rsidP="00AB164A">
      <w:pPr>
        <w:pStyle w:val="BTEMEASMCA"/>
        <w:rPr>
          <w:noProof w:val="0"/>
        </w:rPr>
      </w:pPr>
      <w:r>
        <w:rPr>
          <w:noProof w:val="0"/>
        </w:rPr>
        <w:t>Pagalbinės medžiagos yra natrio-divandenilio fosfatas dihidratas, manitolis, injekcinis vanduo, vandenilio chlorido rūgštis ir (arba) natrio hidroksidas (pH koreguoti).</w:t>
      </w:r>
    </w:p>
    <w:p w:rsidR="00AB164A" w:rsidRDefault="00AB164A" w:rsidP="00AB164A">
      <w:pPr>
        <w:pStyle w:val="PI-3EMEASMCA"/>
      </w:pPr>
    </w:p>
    <w:p w:rsidR="00AB164A" w:rsidRPr="00660716" w:rsidRDefault="00AB164A" w:rsidP="00AB164A">
      <w:pPr>
        <w:pStyle w:val="PI-3EMEASMCA"/>
      </w:pPr>
      <w:r w:rsidRPr="002859ED">
        <w:t>Trombopriv</w:t>
      </w:r>
      <w:r w:rsidRPr="00660716">
        <w:t xml:space="preserve"> išvaizda ir kiekis pakuotėje</w:t>
      </w:r>
    </w:p>
    <w:p w:rsidR="00AB164A" w:rsidRPr="00660716" w:rsidRDefault="00AB164A" w:rsidP="00AB164A">
      <w:pPr>
        <w:pStyle w:val="BTEMEASMCA"/>
      </w:pPr>
    </w:p>
    <w:p w:rsidR="00AB164A" w:rsidRPr="00F06B81" w:rsidRDefault="00AB164A" w:rsidP="00AB164A">
      <w:pPr>
        <w:pStyle w:val="BTEMEASMCA"/>
        <w:rPr>
          <w:noProof w:val="0"/>
        </w:rPr>
      </w:pPr>
      <w:r w:rsidRPr="00BE0456">
        <w:t xml:space="preserve">Trombopriv </w:t>
      </w:r>
      <w:r>
        <w:rPr>
          <w:noProof w:val="0"/>
        </w:rPr>
        <w:t>yra s</w:t>
      </w:r>
      <w:r w:rsidRPr="00F06B81">
        <w:rPr>
          <w:noProof w:val="0"/>
        </w:rPr>
        <w:t>kaidrus b</w:t>
      </w:r>
      <w:r>
        <w:rPr>
          <w:noProof w:val="0"/>
        </w:rPr>
        <w:t xml:space="preserve">espalvis koncentruotas tirpalas </w:t>
      </w:r>
      <w:r w:rsidRPr="00F06B81">
        <w:rPr>
          <w:noProof w:val="0"/>
        </w:rPr>
        <w:t xml:space="preserve">50 ml </w:t>
      </w:r>
      <w:r>
        <w:rPr>
          <w:noProof w:val="0"/>
        </w:rPr>
        <w:t>I tipo stiklo flakone</w:t>
      </w:r>
      <w:r w:rsidRPr="00F06B81">
        <w:rPr>
          <w:noProof w:val="0"/>
        </w:rPr>
        <w:t>.</w:t>
      </w:r>
    </w:p>
    <w:p w:rsidR="00AB164A" w:rsidRDefault="00AB164A" w:rsidP="00AB164A">
      <w:pPr>
        <w:pStyle w:val="PI-3EMEASMCA"/>
      </w:pPr>
    </w:p>
    <w:p w:rsidR="00AB164A" w:rsidRDefault="00AB164A" w:rsidP="00AB164A">
      <w:pPr>
        <w:pStyle w:val="PI-3EMEASMCA"/>
      </w:pPr>
      <w:r w:rsidRPr="00F06B81">
        <w:t>Rinkodaros teisės turėtojas ir gamintojas</w:t>
      </w:r>
    </w:p>
    <w:p w:rsidR="00AB164A" w:rsidRDefault="00AB164A" w:rsidP="00AB164A">
      <w:pPr>
        <w:pStyle w:val="PI-3EMEASMCA"/>
      </w:pPr>
    </w:p>
    <w:p w:rsidR="00AB164A" w:rsidRDefault="00AB164A" w:rsidP="00AB164A">
      <w:pPr>
        <w:spacing w:after="0" w:line="240" w:lineRule="auto"/>
        <w:rPr>
          <w:rFonts w:ascii="Times New Roman" w:hAnsi="Times New Roman"/>
          <w:b/>
          <w:lang w:val="lt-LT"/>
        </w:rPr>
      </w:pPr>
      <w:r w:rsidRPr="00CB01F1">
        <w:rPr>
          <w:rFonts w:ascii="Times New Roman" w:hAnsi="Times New Roman"/>
          <w:b/>
          <w:lang w:val="lt-LT"/>
        </w:rPr>
        <w:t>Rinkodaros teisės turėtojas</w:t>
      </w:r>
    </w:p>
    <w:p w:rsidR="00AB164A" w:rsidRDefault="00AB164A" w:rsidP="00AB164A">
      <w:pPr>
        <w:spacing w:after="0" w:line="240" w:lineRule="auto"/>
        <w:rPr>
          <w:rFonts w:ascii="Times New Roman" w:hAnsi="Times New Roman"/>
          <w:iCs/>
          <w:lang w:val="lt-LT"/>
        </w:rPr>
      </w:pPr>
      <w:r>
        <w:rPr>
          <w:rFonts w:ascii="Times New Roman" w:hAnsi="Times New Roman"/>
          <w:iCs/>
          <w:lang w:val="lt-LT"/>
        </w:rPr>
        <w:t>UAB „Via pharma“</w:t>
      </w:r>
    </w:p>
    <w:p w:rsidR="00AB164A" w:rsidRDefault="00AB164A" w:rsidP="00AB164A">
      <w:pPr>
        <w:spacing w:after="0" w:line="240" w:lineRule="auto"/>
        <w:rPr>
          <w:rFonts w:ascii="Times New Roman" w:hAnsi="Times New Roman"/>
          <w:iCs/>
          <w:lang w:val="lt-LT"/>
        </w:rPr>
      </w:pPr>
      <w:r>
        <w:rPr>
          <w:rFonts w:ascii="Times New Roman" w:hAnsi="Times New Roman"/>
          <w:iCs/>
          <w:lang w:val="lt-LT"/>
        </w:rPr>
        <w:t>J. Galvydžio g. 5 / Žygio g. 96, Vilnius</w:t>
      </w:r>
    </w:p>
    <w:p w:rsidR="00AB164A" w:rsidRPr="00F06B81" w:rsidRDefault="00AB164A" w:rsidP="00AB164A">
      <w:pPr>
        <w:spacing w:after="0" w:line="240" w:lineRule="auto"/>
        <w:rPr>
          <w:rFonts w:ascii="Times New Roman" w:hAnsi="Times New Roman"/>
          <w:lang w:val="lt-LT"/>
        </w:rPr>
      </w:pPr>
      <w:r>
        <w:rPr>
          <w:rFonts w:ascii="Times New Roman" w:hAnsi="Times New Roman"/>
          <w:iCs/>
          <w:lang w:val="lt-LT"/>
        </w:rPr>
        <w:t>Lietuva</w:t>
      </w:r>
    </w:p>
    <w:p w:rsidR="00AB164A" w:rsidRPr="00F06B81" w:rsidRDefault="00AB164A" w:rsidP="00AB164A">
      <w:pPr>
        <w:pStyle w:val="BTEMEASMCA"/>
        <w:rPr>
          <w:noProof w:val="0"/>
        </w:rPr>
      </w:pPr>
    </w:p>
    <w:p w:rsidR="00AB164A" w:rsidRPr="00CB01F1" w:rsidRDefault="00AB164A" w:rsidP="00AB164A">
      <w:pPr>
        <w:spacing w:after="0" w:line="240" w:lineRule="auto"/>
        <w:rPr>
          <w:rFonts w:ascii="Times New Roman" w:hAnsi="Times New Roman"/>
          <w:lang w:val="lt-LT"/>
        </w:rPr>
      </w:pPr>
      <w:r w:rsidRPr="00CB01F1">
        <w:rPr>
          <w:rFonts w:ascii="Times New Roman" w:hAnsi="Times New Roman"/>
          <w:b/>
          <w:lang w:val="lt-LT"/>
        </w:rPr>
        <w:t xml:space="preserve">Gamintojas </w:t>
      </w:r>
      <w:r w:rsidRPr="00CB01F1">
        <w:rPr>
          <w:rFonts w:ascii="Times New Roman" w:hAnsi="Times New Roman"/>
          <w:lang w:val="lt-LT"/>
        </w:rPr>
        <w:t xml:space="preserve">  </w:t>
      </w:r>
    </w:p>
    <w:p w:rsidR="00AB164A" w:rsidRPr="006D7288" w:rsidRDefault="00AB164A" w:rsidP="00AB164A">
      <w:pPr>
        <w:autoSpaceDE w:val="0"/>
        <w:autoSpaceDN w:val="0"/>
        <w:adjustRightInd w:val="0"/>
        <w:spacing w:after="0" w:line="240" w:lineRule="auto"/>
        <w:rPr>
          <w:rFonts w:ascii="Times New Roman" w:eastAsia="Batang" w:hAnsi="Times New Roman"/>
          <w:bCs/>
          <w:lang w:val="lt-LT" w:eastAsia="ko-KR"/>
        </w:rPr>
      </w:pPr>
      <w:r w:rsidRPr="006D7288">
        <w:rPr>
          <w:rFonts w:ascii="Times New Roman" w:eastAsia="Batang" w:hAnsi="Times New Roman"/>
          <w:bCs/>
          <w:lang w:val="lt-LT" w:eastAsia="ko-KR"/>
        </w:rPr>
        <w:t>CEMELOG-BRS Ltd.</w:t>
      </w:r>
    </w:p>
    <w:p w:rsidR="00AB164A" w:rsidRPr="006D7288" w:rsidRDefault="00AB164A" w:rsidP="00AB164A">
      <w:pPr>
        <w:autoSpaceDE w:val="0"/>
        <w:autoSpaceDN w:val="0"/>
        <w:adjustRightInd w:val="0"/>
        <w:spacing w:after="0" w:line="240" w:lineRule="auto"/>
        <w:rPr>
          <w:rFonts w:ascii="Times New Roman" w:eastAsia="Batang" w:hAnsi="Times New Roman"/>
          <w:bCs/>
          <w:lang w:val="lt-LT" w:eastAsia="ko-KR"/>
        </w:rPr>
      </w:pPr>
      <w:r w:rsidRPr="006D7288">
        <w:rPr>
          <w:rFonts w:ascii="Times New Roman" w:eastAsia="Batang" w:hAnsi="Times New Roman"/>
          <w:bCs/>
          <w:lang w:val="lt-LT" w:eastAsia="ko-KR"/>
        </w:rPr>
        <w:t>H-2040 Budaörs, Vasút u. 13.</w:t>
      </w:r>
    </w:p>
    <w:p w:rsidR="00AB164A" w:rsidRPr="006D7288" w:rsidRDefault="00AB164A" w:rsidP="00AB164A">
      <w:pPr>
        <w:autoSpaceDE w:val="0"/>
        <w:autoSpaceDN w:val="0"/>
        <w:adjustRightInd w:val="0"/>
        <w:spacing w:after="0" w:line="240" w:lineRule="auto"/>
        <w:rPr>
          <w:rFonts w:ascii="Times New Roman" w:eastAsia="Batang" w:hAnsi="Times New Roman"/>
          <w:bCs/>
          <w:lang w:val="lt-LT" w:eastAsia="ko-KR"/>
        </w:rPr>
      </w:pPr>
      <w:r>
        <w:rPr>
          <w:rFonts w:ascii="Times New Roman" w:eastAsia="Batang" w:hAnsi="Times New Roman"/>
          <w:bCs/>
          <w:lang w:val="lt-LT" w:eastAsia="ko-KR"/>
        </w:rPr>
        <w:t>Vengrija</w:t>
      </w:r>
    </w:p>
    <w:p w:rsidR="00AB164A" w:rsidRDefault="00AB164A" w:rsidP="00AB164A">
      <w:pPr>
        <w:pStyle w:val="BTEMEASMCA"/>
        <w:rPr>
          <w:noProof w:val="0"/>
        </w:rPr>
      </w:pPr>
    </w:p>
    <w:p w:rsidR="00AB164A" w:rsidRPr="001B2738" w:rsidRDefault="00AB164A" w:rsidP="00AB164A">
      <w:pPr>
        <w:pStyle w:val="BTEMEASMCA"/>
        <w:rPr>
          <w:noProof w:val="0"/>
        </w:rPr>
      </w:pPr>
      <w:r w:rsidRPr="001B2738">
        <w:rPr>
          <w:noProof w:val="0"/>
        </w:rPr>
        <w:t>Jeigu apie šį vaistą norite sužinoti daugiau, kreipkitės į vietinį rinkodaros teisės turėtojo atstovą.</w:t>
      </w:r>
    </w:p>
    <w:p w:rsidR="00AB164A" w:rsidRPr="001B2738" w:rsidRDefault="00AB164A" w:rsidP="00AB164A">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AB164A" w:rsidRPr="007E4B9B" w:rsidTr="001863A2">
        <w:tc>
          <w:tcPr>
            <w:tcW w:w="4678" w:type="dxa"/>
          </w:tcPr>
          <w:p w:rsidR="00AB164A" w:rsidRDefault="00AB164A" w:rsidP="001863A2">
            <w:pPr>
              <w:spacing w:after="0" w:line="240" w:lineRule="auto"/>
              <w:rPr>
                <w:rFonts w:ascii="Times New Roman" w:hAnsi="Times New Roman"/>
                <w:iCs/>
                <w:lang w:val="lt-LT"/>
              </w:rPr>
            </w:pPr>
            <w:r>
              <w:rPr>
                <w:rFonts w:ascii="Times New Roman" w:hAnsi="Times New Roman"/>
                <w:iCs/>
                <w:lang w:val="lt-LT"/>
              </w:rPr>
              <w:t>UAB „Via pharma“</w:t>
            </w:r>
          </w:p>
          <w:p w:rsidR="00AB164A" w:rsidRDefault="00AB164A" w:rsidP="001863A2">
            <w:pPr>
              <w:spacing w:after="0" w:line="240" w:lineRule="auto"/>
              <w:rPr>
                <w:rFonts w:ascii="Times New Roman" w:hAnsi="Times New Roman"/>
                <w:iCs/>
                <w:lang w:val="lt-LT"/>
              </w:rPr>
            </w:pPr>
            <w:r>
              <w:rPr>
                <w:rFonts w:ascii="Times New Roman" w:hAnsi="Times New Roman"/>
                <w:iCs/>
                <w:lang w:val="lt-LT"/>
              </w:rPr>
              <w:t>J. Galvydžio g. 5 / Žygio g. 96</w:t>
            </w:r>
          </w:p>
          <w:p w:rsidR="00AB164A" w:rsidRDefault="00AB164A" w:rsidP="001863A2">
            <w:pPr>
              <w:spacing w:after="0" w:line="240" w:lineRule="auto"/>
              <w:rPr>
                <w:rFonts w:ascii="Times New Roman" w:hAnsi="Times New Roman"/>
                <w:iCs/>
                <w:lang w:val="lt-LT"/>
              </w:rPr>
            </w:pPr>
            <w:r>
              <w:rPr>
                <w:rFonts w:ascii="Times New Roman" w:hAnsi="Times New Roman"/>
                <w:iCs/>
                <w:lang w:val="lt-LT"/>
              </w:rPr>
              <w:t>LT-08236 Vilnius</w:t>
            </w:r>
          </w:p>
          <w:p w:rsidR="00AB164A" w:rsidRPr="001B2738" w:rsidRDefault="00AB164A" w:rsidP="001863A2">
            <w:pPr>
              <w:pStyle w:val="BTEMEASMCA"/>
            </w:pPr>
            <w:r w:rsidRPr="001B2738">
              <w:t>Tel. +370</w:t>
            </w:r>
            <w:r>
              <w:t xml:space="preserve"> 616 80944</w:t>
            </w:r>
          </w:p>
          <w:p w:rsidR="00AB164A" w:rsidRPr="000D4869" w:rsidRDefault="00AB164A" w:rsidP="001863A2">
            <w:pPr>
              <w:tabs>
                <w:tab w:val="left" w:pos="-720"/>
              </w:tabs>
              <w:suppressAutoHyphens/>
              <w:spacing w:after="0" w:line="240" w:lineRule="auto"/>
              <w:rPr>
                <w:rFonts w:ascii="Times New Roman" w:hAnsi="Times New Roman"/>
                <w:lang w:val="it-IT"/>
              </w:rPr>
            </w:pPr>
          </w:p>
        </w:tc>
      </w:tr>
    </w:tbl>
    <w:p w:rsidR="00AB164A" w:rsidRDefault="00AB164A" w:rsidP="00AB164A">
      <w:pPr>
        <w:numPr>
          <w:ilvl w:val="12"/>
          <w:numId w:val="0"/>
        </w:numPr>
        <w:spacing w:after="0" w:line="240" w:lineRule="auto"/>
        <w:rPr>
          <w:rFonts w:ascii="Times New Roman" w:hAnsi="Times New Roman"/>
          <w:b/>
          <w:lang w:val="lt-LT"/>
        </w:rPr>
      </w:pPr>
    </w:p>
    <w:p w:rsidR="00AB164A" w:rsidRPr="000D4869" w:rsidRDefault="00AB164A" w:rsidP="00AB164A">
      <w:pPr>
        <w:numPr>
          <w:ilvl w:val="12"/>
          <w:numId w:val="0"/>
        </w:numPr>
        <w:spacing w:after="0" w:line="240" w:lineRule="auto"/>
        <w:rPr>
          <w:rFonts w:ascii="Times New Roman" w:hAnsi="Times New Roman"/>
          <w:noProof/>
          <w:lang w:val="lt-LT"/>
        </w:rPr>
      </w:pPr>
      <w:r w:rsidRPr="000D4869">
        <w:rPr>
          <w:rFonts w:ascii="Times New Roman" w:hAnsi="Times New Roman"/>
          <w:b/>
          <w:lang w:val="lt-LT"/>
        </w:rPr>
        <w:t>Šio vaistinio preparato rinkodaros teisė EEE valstybėse narėse suteikta tokiais pavadinimais:</w:t>
      </w:r>
    </w:p>
    <w:p w:rsidR="00AB164A" w:rsidRPr="004541BA" w:rsidRDefault="00AB164A" w:rsidP="00AB164A">
      <w:pPr>
        <w:pStyle w:val="BTEMEASMCA"/>
      </w:pPr>
      <w:r w:rsidRPr="004541BA">
        <w:t>Est</w:t>
      </w:r>
      <w:r>
        <w:t>ija</w:t>
      </w:r>
      <w:r>
        <w:tab/>
      </w:r>
      <w:r>
        <w:tab/>
      </w:r>
      <w:r>
        <w:tab/>
      </w:r>
      <w:r w:rsidRPr="004541BA">
        <w:t>Trombopriv</w:t>
      </w:r>
    </w:p>
    <w:p w:rsidR="00AB164A" w:rsidRPr="004541BA" w:rsidRDefault="00AB164A" w:rsidP="008A5DE6">
      <w:pPr>
        <w:autoSpaceDE w:val="0"/>
        <w:autoSpaceDN w:val="0"/>
        <w:adjustRightInd w:val="0"/>
        <w:spacing w:after="0" w:line="240" w:lineRule="auto"/>
        <w:rPr>
          <w:rFonts w:ascii="TimesNewRomanPSMT" w:eastAsia="Batang" w:hAnsi="TimesNewRomanPSMT" w:cs="TimesNewRomanPSMT"/>
          <w:lang w:val="lt-LT" w:eastAsia="ko-KR"/>
        </w:rPr>
      </w:pPr>
      <w:r>
        <w:rPr>
          <w:rFonts w:ascii="TimesNewRomanPSMT" w:eastAsia="Batang" w:hAnsi="TimesNewRomanPSMT" w:cs="TimesNewRomanPSMT"/>
          <w:lang w:val="lt-LT" w:eastAsia="ko-KR"/>
        </w:rPr>
        <w:lastRenderedPageBreak/>
        <w:t>Latvija</w:t>
      </w:r>
      <w:r>
        <w:rPr>
          <w:rFonts w:ascii="TimesNewRomanPSMT" w:eastAsia="Batang" w:hAnsi="TimesNewRomanPSMT" w:cs="TimesNewRomanPSMT"/>
          <w:lang w:val="lt-LT" w:eastAsia="ko-KR"/>
        </w:rPr>
        <w:tab/>
      </w:r>
      <w:r>
        <w:rPr>
          <w:rFonts w:ascii="TimesNewRomanPSMT" w:eastAsia="Batang" w:hAnsi="TimesNewRomanPSMT" w:cs="TimesNewRomanPSMT"/>
          <w:lang w:val="lt-LT" w:eastAsia="ko-KR"/>
        </w:rPr>
        <w:tab/>
      </w:r>
      <w:r>
        <w:rPr>
          <w:rFonts w:ascii="TimesNewRomanPSMT" w:eastAsia="Batang" w:hAnsi="TimesNewRomanPSMT" w:cs="TimesNewRomanPSMT"/>
          <w:lang w:val="lt-LT" w:eastAsia="ko-KR"/>
        </w:rPr>
        <w:tab/>
      </w:r>
      <w:proofErr w:type="spellStart"/>
      <w:r w:rsidRPr="004541BA">
        <w:rPr>
          <w:rFonts w:ascii="TimesNewRomanPSMT" w:eastAsia="Batang" w:hAnsi="TimesNewRomanPSMT" w:cs="TimesNewRomanPSMT"/>
          <w:lang w:val="lt-LT" w:eastAsia="ko-KR"/>
        </w:rPr>
        <w:t>Trombopriv</w:t>
      </w:r>
      <w:proofErr w:type="spellEnd"/>
      <w:r w:rsidRPr="004541BA">
        <w:rPr>
          <w:rFonts w:ascii="TimesNewRomanPSMT" w:eastAsia="Batang" w:hAnsi="TimesNewRomanPSMT" w:cs="TimesNewRomanPSMT"/>
          <w:lang w:val="lt-LT" w:eastAsia="ko-KR"/>
        </w:rPr>
        <w:t xml:space="preserve"> 250 </w:t>
      </w:r>
      <w:proofErr w:type="spellStart"/>
      <w:r w:rsidRPr="004541BA">
        <w:rPr>
          <w:rFonts w:ascii="TimesNewRomanPSMT" w:eastAsia="Batang" w:hAnsi="TimesNewRomanPSMT" w:cs="TimesNewRomanPSMT"/>
          <w:lang w:val="lt-LT" w:eastAsia="ko-KR"/>
        </w:rPr>
        <w:t>mikrogrami</w:t>
      </w:r>
      <w:proofErr w:type="spellEnd"/>
      <w:r w:rsidRPr="004541BA">
        <w:rPr>
          <w:rFonts w:ascii="TimesNewRomanPSMT" w:eastAsia="Batang" w:hAnsi="TimesNewRomanPSMT" w:cs="TimesNewRomanPSMT"/>
          <w:lang w:val="lt-LT" w:eastAsia="ko-KR"/>
        </w:rPr>
        <w:t xml:space="preserve">/ml </w:t>
      </w:r>
      <w:proofErr w:type="spellStart"/>
      <w:r w:rsidRPr="004541BA">
        <w:rPr>
          <w:rFonts w:ascii="TimesNewRomanPSMT" w:eastAsia="Batang" w:hAnsi="TimesNewRomanPSMT" w:cs="TimesNewRomanPSMT"/>
          <w:lang w:val="lt-LT" w:eastAsia="ko-KR"/>
        </w:rPr>
        <w:t>koncentrāts</w:t>
      </w:r>
      <w:proofErr w:type="spellEnd"/>
      <w:r w:rsidR="008A5DE6">
        <w:rPr>
          <w:rFonts w:ascii="TimesNewRomanPSMT" w:eastAsia="Batang" w:hAnsi="TimesNewRomanPSMT" w:cs="TimesNewRomanPSMT"/>
          <w:lang w:val="lt-LT" w:eastAsia="ko-KR"/>
        </w:rPr>
        <w:t xml:space="preserve"> </w:t>
      </w:r>
      <w:proofErr w:type="spellStart"/>
      <w:r w:rsidRPr="004541BA">
        <w:rPr>
          <w:rFonts w:ascii="TimesNewRomanPSMT" w:eastAsia="Batang" w:hAnsi="TimesNewRomanPSMT" w:cs="TimesNewRomanPSMT"/>
          <w:lang w:val="lt-LT" w:eastAsia="ko-KR"/>
        </w:rPr>
        <w:t>infūziju</w:t>
      </w:r>
      <w:proofErr w:type="spellEnd"/>
      <w:r w:rsidRPr="004541BA">
        <w:rPr>
          <w:rFonts w:ascii="TimesNewRomanPSMT" w:eastAsia="Batang" w:hAnsi="TimesNewRomanPSMT" w:cs="TimesNewRomanPSMT"/>
          <w:lang w:val="lt-LT" w:eastAsia="ko-KR"/>
        </w:rPr>
        <w:t xml:space="preserve"> </w:t>
      </w:r>
      <w:proofErr w:type="spellStart"/>
      <w:r w:rsidRPr="004541BA">
        <w:rPr>
          <w:rFonts w:ascii="TimesNewRomanPSMT" w:eastAsia="Batang" w:hAnsi="TimesNewRomanPSMT" w:cs="TimesNewRomanPSMT"/>
          <w:lang w:val="lt-LT" w:eastAsia="ko-KR"/>
        </w:rPr>
        <w:t>šķīduma</w:t>
      </w:r>
      <w:proofErr w:type="spellEnd"/>
      <w:r w:rsidRPr="004541BA">
        <w:rPr>
          <w:rFonts w:ascii="TimesNewRomanPSMT" w:eastAsia="Batang" w:hAnsi="TimesNewRomanPSMT" w:cs="TimesNewRomanPSMT"/>
          <w:lang w:val="lt-LT" w:eastAsia="ko-KR"/>
        </w:rPr>
        <w:t xml:space="preserve"> </w:t>
      </w:r>
      <w:proofErr w:type="spellStart"/>
      <w:r w:rsidRPr="004541BA">
        <w:rPr>
          <w:rFonts w:ascii="TimesNewRomanPSMT" w:eastAsia="Batang" w:hAnsi="TimesNewRomanPSMT" w:cs="TimesNewRomanPSMT"/>
          <w:lang w:val="lt-LT" w:eastAsia="ko-KR"/>
        </w:rPr>
        <w:t>pagatavošanai</w:t>
      </w:r>
      <w:proofErr w:type="spellEnd"/>
    </w:p>
    <w:p w:rsidR="00AB164A" w:rsidRPr="004541BA" w:rsidRDefault="00AB164A" w:rsidP="008A5DE6">
      <w:pPr>
        <w:autoSpaceDE w:val="0"/>
        <w:autoSpaceDN w:val="0"/>
        <w:adjustRightInd w:val="0"/>
        <w:spacing w:after="0" w:line="240" w:lineRule="auto"/>
        <w:rPr>
          <w:rFonts w:ascii="TimesNewRomanPSMT" w:eastAsia="Batang" w:hAnsi="TimesNewRomanPSMT" w:cs="TimesNewRomanPSMT"/>
          <w:lang w:val="lt-LT" w:eastAsia="ko-KR"/>
        </w:rPr>
      </w:pPr>
      <w:r>
        <w:rPr>
          <w:rFonts w:ascii="TimesNewRomanPSMT" w:eastAsia="Batang" w:hAnsi="TimesNewRomanPSMT" w:cs="TimesNewRomanPSMT"/>
          <w:lang w:val="lt-LT" w:eastAsia="ko-KR"/>
        </w:rPr>
        <w:t>Lietuva</w:t>
      </w:r>
      <w:r>
        <w:rPr>
          <w:rFonts w:ascii="TimesNewRomanPSMT" w:eastAsia="Batang" w:hAnsi="TimesNewRomanPSMT" w:cs="TimesNewRomanPSMT"/>
          <w:lang w:val="lt-LT" w:eastAsia="ko-KR"/>
        </w:rPr>
        <w:tab/>
        <w:t xml:space="preserve"> </w:t>
      </w:r>
      <w:r>
        <w:rPr>
          <w:rFonts w:ascii="TimesNewRomanPSMT" w:eastAsia="Batang" w:hAnsi="TimesNewRomanPSMT" w:cs="TimesNewRomanPSMT"/>
          <w:lang w:val="lt-LT" w:eastAsia="ko-KR"/>
        </w:rPr>
        <w:tab/>
        <w:t xml:space="preserve">             </w:t>
      </w:r>
      <w:proofErr w:type="spellStart"/>
      <w:r w:rsidRPr="004541BA">
        <w:rPr>
          <w:rFonts w:ascii="TimesNewRomanPSMT" w:eastAsia="Batang" w:hAnsi="TimesNewRomanPSMT" w:cs="TimesNewRomanPSMT"/>
          <w:lang w:val="lt-LT" w:eastAsia="ko-KR"/>
        </w:rPr>
        <w:t>Trombopriv</w:t>
      </w:r>
      <w:proofErr w:type="spellEnd"/>
      <w:r w:rsidRPr="004541BA">
        <w:rPr>
          <w:rFonts w:ascii="TimesNewRomanPSMT" w:eastAsia="Batang" w:hAnsi="TimesNewRomanPSMT" w:cs="TimesNewRomanPSMT"/>
          <w:lang w:val="lt-LT" w:eastAsia="ko-KR"/>
        </w:rPr>
        <w:t xml:space="preserve"> 250 </w:t>
      </w:r>
      <w:proofErr w:type="spellStart"/>
      <w:r w:rsidRPr="004541BA">
        <w:rPr>
          <w:rFonts w:ascii="TimesNewRomanPSMT" w:eastAsia="Batang" w:hAnsi="TimesNewRomanPSMT" w:cs="TimesNewRomanPSMT"/>
          <w:lang w:val="lt-LT" w:eastAsia="ko-KR"/>
        </w:rPr>
        <w:t>mikrogramų</w:t>
      </w:r>
      <w:proofErr w:type="spellEnd"/>
      <w:r w:rsidRPr="004541BA">
        <w:rPr>
          <w:rFonts w:ascii="TimesNewRomanPSMT" w:eastAsia="Batang" w:hAnsi="TimesNewRomanPSMT" w:cs="TimesNewRomanPSMT"/>
          <w:lang w:val="lt-LT" w:eastAsia="ko-KR"/>
        </w:rPr>
        <w:t>/ml koncentratas</w:t>
      </w:r>
      <w:r w:rsidR="008A5DE6">
        <w:rPr>
          <w:rFonts w:ascii="TimesNewRomanPSMT" w:eastAsia="Batang" w:hAnsi="TimesNewRomanPSMT" w:cs="TimesNewRomanPSMT"/>
          <w:lang w:val="lt-LT" w:eastAsia="ko-KR"/>
        </w:rPr>
        <w:t xml:space="preserve"> </w:t>
      </w:r>
      <w:r w:rsidRPr="004541BA">
        <w:rPr>
          <w:rFonts w:ascii="TimesNewRomanPSMT" w:eastAsia="Batang" w:hAnsi="TimesNewRomanPSMT" w:cs="TimesNewRomanPSMT"/>
          <w:lang w:val="lt-LT" w:eastAsia="ko-KR"/>
        </w:rPr>
        <w:t>infuziniam tirpalui</w:t>
      </w:r>
    </w:p>
    <w:p w:rsidR="00AB164A" w:rsidRPr="004541BA" w:rsidRDefault="00AB164A" w:rsidP="00AB164A">
      <w:pPr>
        <w:pStyle w:val="BTEMEASMCA"/>
      </w:pPr>
      <w:r>
        <w:rPr>
          <w:noProof w:val="0"/>
        </w:rPr>
        <w:t xml:space="preserve">Portugalija </w:t>
      </w:r>
      <w:r>
        <w:rPr>
          <w:noProof w:val="0"/>
        </w:rPr>
        <w:tab/>
        <w:t xml:space="preserve">     </w:t>
      </w:r>
      <w:r w:rsidRPr="004541BA">
        <w:rPr>
          <w:noProof w:val="0"/>
        </w:rPr>
        <w:tab/>
      </w:r>
      <w:r w:rsidRPr="004541BA">
        <w:t>Tirofibano Via Pharma</w:t>
      </w:r>
    </w:p>
    <w:p w:rsidR="00AB164A" w:rsidRPr="008A5DE6" w:rsidRDefault="00AB164A" w:rsidP="008A5DE6">
      <w:pPr>
        <w:autoSpaceDE w:val="0"/>
        <w:autoSpaceDN w:val="0"/>
        <w:adjustRightInd w:val="0"/>
        <w:spacing w:after="0" w:line="240" w:lineRule="auto"/>
        <w:rPr>
          <w:rFonts w:ascii="TimesNewRomanPSMT" w:eastAsia="Batang" w:hAnsi="TimesNewRomanPSMT" w:cs="TimesNewRomanPSMT"/>
          <w:lang w:val="lt-LT" w:eastAsia="ko-KR"/>
        </w:rPr>
      </w:pPr>
      <w:r w:rsidRPr="004541BA">
        <w:rPr>
          <w:rFonts w:ascii="TimesNewRomanPSMT" w:eastAsia="Batang" w:hAnsi="TimesNewRomanPSMT" w:cs="TimesNewRomanPSMT"/>
          <w:lang w:val="lt-LT" w:eastAsia="ko-KR"/>
        </w:rPr>
        <w:t>Slov</w:t>
      </w:r>
      <w:r>
        <w:rPr>
          <w:rFonts w:ascii="Times New Roman" w:eastAsia="Batang" w:hAnsi="Times New Roman" w:cs="TimesNewRomanPSMT"/>
          <w:lang w:val="lt-LT" w:eastAsia="ko-KR"/>
        </w:rPr>
        <w:t>ėnija</w:t>
      </w:r>
      <w:r>
        <w:rPr>
          <w:rFonts w:ascii="Times New Roman" w:eastAsia="Batang" w:hAnsi="Times New Roman" w:cs="TimesNewRomanPSMT"/>
          <w:lang w:val="lt-LT" w:eastAsia="ko-KR"/>
        </w:rPr>
        <w:tab/>
        <w:t xml:space="preserve">    </w:t>
      </w:r>
      <w:r w:rsidRPr="004541BA">
        <w:rPr>
          <w:rFonts w:ascii="Times New Roman" w:eastAsia="Batang" w:hAnsi="Times New Roman" w:cs="TimesNewRomanPSMT"/>
          <w:lang w:val="lt-LT" w:eastAsia="ko-KR"/>
        </w:rPr>
        <w:tab/>
      </w:r>
      <w:proofErr w:type="spellStart"/>
      <w:r w:rsidRPr="004541BA">
        <w:rPr>
          <w:rFonts w:ascii="TimesNewRomanPSMT" w:eastAsia="Batang" w:hAnsi="TimesNewRomanPSMT" w:cs="TimesNewRomanPSMT"/>
          <w:lang w:val="lt-LT" w:eastAsia="ko-KR"/>
        </w:rPr>
        <w:t>Trombopriv</w:t>
      </w:r>
      <w:proofErr w:type="spellEnd"/>
      <w:r w:rsidRPr="004541BA">
        <w:rPr>
          <w:rFonts w:ascii="TimesNewRomanPSMT" w:eastAsia="Batang" w:hAnsi="TimesNewRomanPSMT" w:cs="TimesNewRomanPSMT"/>
          <w:lang w:val="lt-LT" w:eastAsia="ko-KR"/>
        </w:rPr>
        <w:t xml:space="preserve"> 250 </w:t>
      </w:r>
      <w:proofErr w:type="spellStart"/>
      <w:r w:rsidRPr="004541BA">
        <w:rPr>
          <w:rFonts w:ascii="TimesNewRomanPSMT" w:eastAsia="Batang" w:hAnsi="TimesNewRomanPSMT" w:cs="TimesNewRomanPSMT"/>
          <w:lang w:val="lt-LT" w:eastAsia="ko-KR"/>
        </w:rPr>
        <w:t>mikrogramov</w:t>
      </w:r>
      <w:proofErr w:type="spellEnd"/>
      <w:r w:rsidRPr="004541BA">
        <w:rPr>
          <w:rFonts w:ascii="TimesNewRomanPSMT" w:eastAsia="Batang" w:hAnsi="TimesNewRomanPSMT" w:cs="TimesNewRomanPSMT"/>
          <w:lang w:val="lt-LT" w:eastAsia="ko-KR"/>
        </w:rPr>
        <w:t xml:space="preserve">/ml </w:t>
      </w:r>
      <w:proofErr w:type="spellStart"/>
      <w:r w:rsidRPr="004541BA">
        <w:rPr>
          <w:rFonts w:ascii="TimesNewRomanPSMT" w:eastAsia="Batang" w:hAnsi="TimesNewRomanPSMT" w:cs="TimesNewRomanPSMT"/>
          <w:lang w:val="lt-LT" w:eastAsia="ko-KR"/>
        </w:rPr>
        <w:t>koncentrat</w:t>
      </w:r>
      <w:proofErr w:type="spellEnd"/>
      <w:r w:rsidRPr="004541BA">
        <w:rPr>
          <w:rFonts w:ascii="TimesNewRomanPSMT" w:eastAsia="Batang" w:hAnsi="TimesNewRomanPSMT" w:cs="TimesNewRomanPSMT"/>
          <w:lang w:val="lt-LT" w:eastAsia="ko-KR"/>
        </w:rPr>
        <w:t xml:space="preserve"> </w:t>
      </w:r>
      <w:proofErr w:type="spellStart"/>
      <w:r w:rsidRPr="004541BA">
        <w:rPr>
          <w:rFonts w:ascii="TimesNewRomanPSMT" w:eastAsia="Batang" w:hAnsi="TimesNewRomanPSMT" w:cs="TimesNewRomanPSMT"/>
          <w:lang w:val="lt-LT" w:eastAsia="ko-KR"/>
        </w:rPr>
        <w:t>za</w:t>
      </w:r>
      <w:proofErr w:type="spellEnd"/>
      <w:r w:rsidRPr="004541BA">
        <w:rPr>
          <w:rFonts w:ascii="TimesNewRomanPSMT" w:eastAsia="Batang" w:hAnsi="TimesNewRomanPSMT" w:cs="TimesNewRomanPSMT"/>
          <w:lang w:eastAsia="ko-KR"/>
        </w:rPr>
        <w:t xml:space="preserve"> raztopino za infundiranje</w:t>
      </w:r>
    </w:p>
    <w:p w:rsidR="00AB164A" w:rsidRPr="004541BA" w:rsidRDefault="008A5DE6" w:rsidP="008A5DE6">
      <w:pPr>
        <w:pStyle w:val="BTEMEASMCA"/>
        <w:tabs>
          <w:tab w:val="left" w:pos="3600"/>
        </w:tabs>
        <w:ind w:left="2127" w:hanging="2127"/>
      </w:pPr>
      <w:r>
        <w:t>Suomija</w:t>
      </w:r>
      <w:r>
        <w:tab/>
      </w:r>
      <w:r w:rsidR="00AB164A" w:rsidRPr="004541BA">
        <w:t>Trombopriv</w:t>
      </w:r>
    </w:p>
    <w:p w:rsidR="00AB164A" w:rsidRDefault="00AB164A" w:rsidP="00AB164A">
      <w:pPr>
        <w:pStyle w:val="BTbEMEASMCA"/>
      </w:pPr>
    </w:p>
    <w:p w:rsidR="00AB164A" w:rsidRDefault="00AB164A" w:rsidP="00AB164A">
      <w:pPr>
        <w:pStyle w:val="BTbEMEASMCA"/>
      </w:pPr>
    </w:p>
    <w:p w:rsidR="00AB164A" w:rsidRPr="00F06B81" w:rsidRDefault="00AB164A" w:rsidP="00AB164A">
      <w:pPr>
        <w:pStyle w:val="BTbEMEASMCA"/>
      </w:pPr>
      <w:r w:rsidRPr="00F06B81">
        <w:rPr>
          <w:bCs/>
        </w:rPr>
        <w:t>Šis pakuotės lapelis</w:t>
      </w:r>
      <w:r w:rsidRPr="00F06B81">
        <w:t xml:space="preserve"> paskutinį kartą </w:t>
      </w:r>
      <w:r>
        <w:t>peržiūrėtas</w:t>
      </w:r>
      <w:r w:rsidRPr="00F06B81">
        <w:t xml:space="preserve"> </w:t>
      </w:r>
      <w:r w:rsidRPr="002457C0">
        <w:t>2014-02-28</w:t>
      </w:r>
    </w:p>
    <w:p w:rsidR="00AB164A" w:rsidRDefault="00AB164A" w:rsidP="00AB164A">
      <w:pPr>
        <w:spacing w:after="0" w:line="240" w:lineRule="auto"/>
        <w:rPr>
          <w:rFonts w:ascii="Times New Roman" w:hAnsi="Times New Roman"/>
          <w:lang w:val="lt-LT"/>
        </w:rPr>
      </w:pPr>
    </w:p>
    <w:p w:rsidR="00AB164A" w:rsidRPr="00F06B81" w:rsidRDefault="00AB164A" w:rsidP="00AB164A">
      <w:pPr>
        <w:spacing w:after="0" w:line="240" w:lineRule="auto"/>
        <w:rPr>
          <w:rFonts w:ascii="Times New Roman" w:hAnsi="Times New Roman"/>
          <w:lang w:val="lt-LT"/>
        </w:rPr>
      </w:pPr>
    </w:p>
    <w:p w:rsidR="00AB164A" w:rsidRPr="00F06B81" w:rsidRDefault="00AB164A" w:rsidP="00AB164A">
      <w:pPr>
        <w:pStyle w:val="BTEMEASMCA"/>
        <w:rPr>
          <w:noProof w:val="0"/>
        </w:rPr>
      </w:pPr>
      <w:r w:rsidRPr="00F06B81">
        <w:rPr>
          <w:noProof w:val="0"/>
        </w:rPr>
        <w:t xml:space="preserve">Naujausia pakuotės lapelio redakcija pateikiama Valstybinės vaistų kontrolės tarnybos prie Lietuvos Respublikos sveikatos apsaugos ministerijos (VVKT) interneto svetainėje </w:t>
      </w:r>
      <w:hyperlink r:id="rId9" w:history="1">
        <w:r w:rsidRPr="00F06B81">
          <w:rPr>
            <w:rStyle w:val="Hipersaitas"/>
            <w:noProof w:val="0"/>
          </w:rPr>
          <w:t>http://www.vvkt.lt/</w:t>
        </w:r>
      </w:hyperlink>
    </w:p>
    <w:p w:rsidR="00AB164A" w:rsidRPr="00F06B81" w:rsidRDefault="00AB164A" w:rsidP="00AB164A">
      <w:pPr>
        <w:spacing w:after="0" w:line="240" w:lineRule="auto"/>
        <w:rPr>
          <w:rFonts w:ascii="Times New Roman" w:hAnsi="Times New Roman"/>
          <w:highlight w:val="yellow"/>
          <w:lang w:val="lt-LT"/>
        </w:rPr>
      </w:pPr>
    </w:p>
    <w:p w:rsidR="00AB164A" w:rsidRPr="004F15F8" w:rsidRDefault="00AB164A" w:rsidP="00AB164A">
      <w:pPr>
        <w:numPr>
          <w:ilvl w:val="12"/>
          <w:numId w:val="0"/>
        </w:numPr>
        <w:spacing w:line="240" w:lineRule="auto"/>
        <w:ind w:right="-2"/>
        <w:rPr>
          <w:rFonts w:ascii="Times New Roman" w:hAnsi="Times New Roman"/>
          <w:lang w:val="lt-LT"/>
        </w:rPr>
      </w:pPr>
      <w:r w:rsidRPr="004F15F8">
        <w:rPr>
          <w:rFonts w:ascii="Times New Roman" w:hAnsi="Times New Roman"/>
          <w:lang w:val="lt-LT"/>
        </w:rPr>
        <w:t>---------------------------------------------------------------------------------------------------------------------------</w:t>
      </w:r>
    </w:p>
    <w:p w:rsidR="00AB164A" w:rsidRDefault="00AB164A" w:rsidP="00AB164A">
      <w:pPr>
        <w:numPr>
          <w:ilvl w:val="12"/>
          <w:numId w:val="0"/>
        </w:numPr>
        <w:tabs>
          <w:tab w:val="left" w:pos="2657"/>
        </w:tabs>
        <w:spacing w:line="240" w:lineRule="auto"/>
        <w:ind w:left="-37" w:right="-28"/>
        <w:rPr>
          <w:rFonts w:ascii="Times New Roman" w:hAnsi="Times New Roman"/>
          <w:b/>
          <w:lang w:val="lt-LT"/>
        </w:rPr>
      </w:pPr>
      <w:r w:rsidRPr="00AF3AFE">
        <w:rPr>
          <w:rFonts w:ascii="Times New Roman" w:hAnsi="Times New Roman"/>
          <w:b/>
          <w:lang w:val="lt-LT"/>
        </w:rPr>
        <w:t>Toliau pateikta informacija skirta tik sveikatos priežiūros specialistams:</w:t>
      </w:r>
    </w:p>
    <w:p w:rsidR="00AB164A" w:rsidRPr="004F15F8" w:rsidRDefault="00AB164A" w:rsidP="00AB164A">
      <w:pPr>
        <w:numPr>
          <w:ilvl w:val="12"/>
          <w:numId w:val="0"/>
        </w:numPr>
        <w:tabs>
          <w:tab w:val="left" w:pos="2657"/>
        </w:tabs>
        <w:spacing w:line="240" w:lineRule="auto"/>
        <w:ind w:left="-37" w:right="-28"/>
        <w:rPr>
          <w:rFonts w:ascii="Times New Roman" w:hAnsi="Times New Roman"/>
          <w:lang w:val="lt-LT"/>
        </w:rPr>
      </w:pPr>
      <w:r w:rsidRPr="004F15F8">
        <w:rPr>
          <w:rFonts w:ascii="Times New Roman" w:hAnsi="Times New Roman"/>
          <w:lang w:val="lt-LT"/>
        </w:rPr>
        <w:t>Šio vaistinio preparato vartojama tik ligoninėse, jo gali skirti tik ūminių vainikinių sindromų gydymo patirties turintis gydytojas specialistas.</w:t>
      </w:r>
    </w:p>
    <w:p w:rsidR="00AB164A" w:rsidRPr="00941127" w:rsidRDefault="00AB164A" w:rsidP="00AB164A">
      <w:pPr>
        <w:spacing w:after="0" w:line="240" w:lineRule="auto"/>
        <w:rPr>
          <w:rFonts w:ascii="Times New Roman" w:hAnsi="Times New Roman"/>
          <w:b/>
          <w:lang w:val="lt-LT"/>
        </w:rPr>
      </w:pPr>
      <w:r w:rsidRPr="00941127">
        <w:rPr>
          <w:rFonts w:ascii="Times New Roman" w:hAnsi="Times New Roman"/>
          <w:b/>
          <w:lang w:val="lt-LT"/>
        </w:rPr>
        <w:t xml:space="preserve">Dozavimas ir vartojimo metodas </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 xml:space="preserve">Jei pacientui skiriamas ankstyvasis invazinis ūminio vainikinio sindromo be ST pakilimo (ang. </w:t>
      </w:r>
      <w:r w:rsidRPr="004F15F8">
        <w:rPr>
          <w:rFonts w:ascii="Times New Roman" w:hAnsi="Times New Roman"/>
          <w:i/>
          <w:lang w:val="lt-LT"/>
        </w:rPr>
        <w:t>Non-ST elavation acute coronary sindrome</w:t>
      </w:r>
      <w:r w:rsidRPr="004F15F8">
        <w:rPr>
          <w:rFonts w:ascii="Times New Roman" w:hAnsi="Times New Roman"/>
          <w:lang w:val="lt-LT"/>
        </w:rPr>
        <w:t xml:space="preserve">, NSTE-ACS) gydymas ir angiografijos procedūros neplanuojama atlikti mažiausiai 4  val. (bet ne vėliau kaip 48 val. po diagnozės nustatymo), tirofibano vartojama į veną, pradinės infuzijos greitis yra 0,4 mikrogramo/kg kūno svorio/min., ji trunka 30 minučių. Baigus pradinę infuziją, tirofibano reikia toliau infuzuoti 0,1 mikrogramo/kg kūno svorio/min. greičiu. Tirofibano reikia vartoti kartu su nefrakcionuotu heparinu (paprastai, pradedant gydymą tirofibanu, į veną suleidžiama 5000 vienetų [V] smūginė dozė, po to skiriama maždaug 1 000 V/val. dozė, ją koreguojant pagal dalinio aktyvinto tromboplastino laiko (ang. </w:t>
      </w:r>
      <w:r w:rsidRPr="004F15F8">
        <w:rPr>
          <w:rFonts w:ascii="Times New Roman" w:hAnsi="Times New Roman"/>
          <w:i/>
          <w:lang w:val="lt-LT"/>
        </w:rPr>
        <w:t>Activated partial tromboplastin time</w:t>
      </w:r>
      <w:r w:rsidRPr="004F15F8">
        <w:rPr>
          <w:rFonts w:ascii="Times New Roman" w:hAnsi="Times New Roman"/>
          <w:lang w:val="lt-LT"/>
        </w:rPr>
        <w:t xml:space="preserve">, APTT) rodmenį, kuris normalų rodmenį turi viršyti du kartus) ir geriamaisiais trombocitų agregaciją slopinančiais preparatais, įskaitant acetilsalicilo rūgštį (ang. </w:t>
      </w:r>
      <w:r w:rsidRPr="004F15F8">
        <w:rPr>
          <w:rFonts w:ascii="Times New Roman" w:hAnsi="Times New Roman"/>
          <w:i/>
          <w:lang w:val="lt-LT"/>
        </w:rPr>
        <w:t>Acetylsalicylic acid</w:t>
      </w:r>
      <w:r w:rsidRPr="004F15F8">
        <w:rPr>
          <w:rFonts w:ascii="Times New Roman" w:hAnsi="Times New Roman"/>
          <w:lang w:val="lt-LT"/>
        </w:rPr>
        <w:t>, ASA), tačiau ja neapsiribojant, nebent šių preparatų vartoti draudžiama.</w:t>
      </w:r>
    </w:p>
    <w:p w:rsidR="00AB164A" w:rsidRDefault="00AB164A" w:rsidP="00AB164A">
      <w:pPr>
        <w:spacing w:after="0" w:line="240" w:lineRule="auto"/>
        <w:rPr>
          <w:rFonts w:ascii="Times New Roman" w:hAnsi="Times New Roman"/>
          <w:lang w:val="lt-LT"/>
        </w:rPr>
      </w:pP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 xml:space="preserve">Nustatyta, kad pacientams, kuriems atliekama perkutaninė vainikinių arterijų intervencija (ang. </w:t>
      </w:r>
      <w:r w:rsidRPr="004F15F8">
        <w:rPr>
          <w:rFonts w:ascii="Times New Roman" w:hAnsi="Times New Roman"/>
          <w:i/>
          <w:lang w:val="lt-LT"/>
        </w:rPr>
        <w:t>Percutaneous coronary intervention</w:t>
      </w:r>
      <w:r w:rsidRPr="004F15F8">
        <w:rPr>
          <w:rFonts w:ascii="Times New Roman" w:hAnsi="Times New Roman"/>
          <w:lang w:val="lt-LT"/>
        </w:rPr>
        <w:t>, PCI), palankus klinikinis poveikis pasireiškia, jei iš pradžių per 3 minutes sušvirkščiama pradinė smūginė 25 mikrogramų/kg kūno svorio dozė, o po to 18</w:t>
      </w:r>
      <w:r w:rsidRPr="004F15F8">
        <w:rPr>
          <w:rFonts w:ascii="Times New Roman" w:hAnsi="Times New Roman"/>
          <w:lang w:val="lt-LT"/>
        </w:rPr>
        <w:noBreakHyphen/>
        <w:t xml:space="preserve">24 val. (iki 48 val.) atliekama nuolatinė infuzija 0,15 mikrogramų/kg kūno svorio/min. greičiu. Tirofibano reikia vartoti kartu su nefrakcionuotu heparinu ir geriamaisiais trombocitų agregaciją slopinančiais preparatais, įskaitant acetilsalicilo rūgštį </w:t>
      </w:r>
      <w:r>
        <w:rPr>
          <w:rFonts w:ascii="Times New Roman" w:hAnsi="Times New Roman"/>
          <w:lang w:val="lt-LT"/>
        </w:rPr>
        <w:t>(ASA), tačiau ja neapsiribojant</w:t>
      </w:r>
      <w:r w:rsidRPr="004F15F8">
        <w:rPr>
          <w:rFonts w:ascii="Times New Roman" w:hAnsi="Times New Roman"/>
          <w:lang w:val="lt-LT"/>
        </w:rPr>
        <w:t>, nebent šių preparatų vartoti draudžiama.</w:t>
      </w:r>
    </w:p>
    <w:p w:rsidR="00AB164A" w:rsidRDefault="00AB164A" w:rsidP="00AB164A">
      <w:pPr>
        <w:rPr>
          <w:rFonts w:ascii="Times New Roman" w:hAnsi="Times New Roman"/>
          <w:lang w:val="lt-LT"/>
        </w:rPr>
      </w:pPr>
    </w:p>
    <w:p w:rsidR="00AB164A" w:rsidRDefault="00AB164A" w:rsidP="00AB164A">
      <w:pPr>
        <w:rPr>
          <w:rFonts w:ascii="Times New Roman" w:hAnsi="Times New Roman"/>
          <w:lang w:val="lt-LT"/>
        </w:rPr>
      </w:pPr>
      <w:r w:rsidRPr="004F15F8">
        <w:rPr>
          <w:rFonts w:ascii="Times New Roman" w:hAnsi="Times New Roman"/>
          <w:lang w:val="lt-LT"/>
        </w:rPr>
        <w:t>Senyviems žmonėms dozės koreguoti nereikia</w:t>
      </w:r>
      <w:r>
        <w:rPr>
          <w:rFonts w:ascii="Times New Roman" w:hAnsi="Times New Roman"/>
          <w:lang w:val="lt-LT"/>
        </w:rPr>
        <w:t>.</w:t>
      </w:r>
    </w:p>
    <w:p w:rsidR="00AB164A" w:rsidRDefault="00AB164A" w:rsidP="00AB164A">
      <w:pPr>
        <w:spacing w:after="0" w:line="240" w:lineRule="auto"/>
        <w:rPr>
          <w:rFonts w:ascii="Times New Roman" w:hAnsi="Times New Roman"/>
          <w:i/>
          <w:lang w:val="lt-LT"/>
        </w:rPr>
      </w:pPr>
      <w:r>
        <w:rPr>
          <w:rFonts w:ascii="Times New Roman" w:hAnsi="Times New Roman"/>
          <w:i/>
          <w:lang w:val="lt-LT"/>
        </w:rPr>
        <w:t>Pacientai, kurių</w:t>
      </w:r>
      <w:r w:rsidRPr="004F15F8">
        <w:rPr>
          <w:rFonts w:ascii="Times New Roman" w:hAnsi="Times New Roman"/>
          <w:i/>
          <w:lang w:val="lt-LT"/>
        </w:rPr>
        <w:t xml:space="preserve"> inkstų </w:t>
      </w:r>
      <w:r>
        <w:rPr>
          <w:rFonts w:ascii="Times New Roman" w:hAnsi="Times New Roman"/>
          <w:i/>
          <w:lang w:val="lt-LT"/>
        </w:rPr>
        <w:t>funkcija sutrikusi</w:t>
      </w:r>
    </w:p>
    <w:p w:rsidR="00AB164A" w:rsidRPr="00F75567" w:rsidRDefault="00AB164A" w:rsidP="00AB164A">
      <w:pPr>
        <w:spacing w:after="0" w:line="240" w:lineRule="auto"/>
        <w:rPr>
          <w:rFonts w:ascii="Times New Roman" w:hAnsi="Times New Roman"/>
          <w:lang w:val="lt-LT"/>
        </w:rPr>
      </w:pPr>
      <w:r>
        <w:rPr>
          <w:rFonts w:ascii="Times New Roman" w:hAnsi="Times New Roman"/>
          <w:lang w:val="lt-LT"/>
        </w:rPr>
        <w:t>Jeigu yra sunkus inkstų nepakankamumas (kreatino</w:t>
      </w:r>
      <w:r w:rsidRPr="00F75567">
        <w:rPr>
          <w:rFonts w:ascii="Times New Roman" w:hAnsi="Times New Roman"/>
          <w:lang w:val="lt-LT"/>
        </w:rPr>
        <w:t xml:space="preserve"> klirensas &lt;30 ml/min.), Trombopriv dozę reikia mažinti 50%</w:t>
      </w:r>
      <w:r>
        <w:rPr>
          <w:rFonts w:ascii="Times New Roman" w:hAnsi="Times New Roman"/>
          <w:lang w:val="lt-LT"/>
        </w:rPr>
        <w:t>.</w:t>
      </w:r>
    </w:p>
    <w:p w:rsidR="00AB164A" w:rsidRPr="00F75567" w:rsidRDefault="00AB164A" w:rsidP="00AB164A">
      <w:pPr>
        <w:spacing w:after="0" w:line="240" w:lineRule="auto"/>
        <w:rPr>
          <w:rFonts w:ascii="Times New Roman" w:hAnsi="Times New Roman"/>
          <w:i/>
          <w:lang w:val="lt-LT"/>
        </w:rPr>
      </w:pPr>
    </w:p>
    <w:p w:rsidR="00AB164A" w:rsidRPr="004F15F8" w:rsidRDefault="00AB164A" w:rsidP="00AB164A">
      <w:pPr>
        <w:spacing w:after="0" w:line="240" w:lineRule="auto"/>
        <w:rPr>
          <w:rFonts w:ascii="Times New Roman" w:hAnsi="Times New Roman"/>
          <w:i/>
          <w:lang w:val="lt-LT"/>
        </w:rPr>
      </w:pPr>
      <w:r w:rsidRPr="004F15F8">
        <w:rPr>
          <w:rFonts w:ascii="Times New Roman" w:hAnsi="Times New Roman"/>
          <w:i/>
          <w:lang w:val="lt-LT"/>
        </w:rPr>
        <w:t>Gydymo Trombopriv pradžia ir trukmė</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Jei pacientui skiriamas ankstyvasis invazinis NSTE-ACS gydymas ir angiografijos procedūros neplanuojama atlikti mažiausiai 4  val. (bet ne vėliau kaip 48 val. po diagnozės nustatymo), Trombopriv 0,4 mikrogramo/kg kūno svorio/min. įsotinamąją dozę reikia skirti nustačius diagnozę. Rekomenduojama gydymo trukmė yra mažiausiai 48 val. Trombopriv ir nefrakcionuoto heparino infuziją galima tęsti vainikinių arterijų angiografijos metu, ji turi trukti mažiausiai 12 val. ir ne daugiau kaip 24 val. po angioplastikos ar aterektomijos. Jei paciento klinikinė būklė yra stabili ir gydantis gydytojas neplanuoja intervencinės vainikinių arterijų procedūros, infuziją reikia nutraukti. Bendroji gydymo trukmė neturi būti didesnė kaip 108 val.</w:t>
      </w:r>
    </w:p>
    <w:p w:rsidR="00AB164A" w:rsidRPr="004F15F8" w:rsidRDefault="00AB164A" w:rsidP="00AB164A">
      <w:pPr>
        <w:spacing w:after="0" w:line="240" w:lineRule="auto"/>
        <w:rPr>
          <w:rFonts w:ascii="Times New Roman" w:hAnsi="Times New Roman"/>
          <w:lang w:val="lt-LT"/>
        </w:rPr>
      </w:pP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lastRenderedPageBreak/>
        <w:t>Jei pacientui diagnozuojamas NSTE-ACS, taikoma invazinio gydymo schema ir 4 valandų laikotarpiu nuo diagnozės nustatymo atliekama angiografija, PCI pradžioje reikia sušvirkšti smūginę Trombopriv 25 mikrogramų/kg kūno svorio dozę ir po to infuziją tęsti 18</w:t>
      </w:r>
      <w:r w:rsidRPr="004F15F8">
        <w:rPr>
          <w:rFonts w:ascii="Times New Roman" w:hAnsi="Times New Roman"/>
          <w:lang w:val="lt-LT"/>
        </w:rPr>
        <w:noBreakHyphen/>
        <w:t>24 val. (iki 48 val.).</w:t>
      </w:r>
    </w:p>
    <w:p w:rsidR="00AB164A" w:rsidRDefault="00AB164A" w:rsidP="00AB164A">
      <w:pPr>
        <w:spacing w:after="0" w:line="240" w:lineRule="auto"/>
        <w:rPr>
          <w:rFonts w:ascii="Times New Roman" w:hAnsi="Times New Roman"/>
          <w:lang w:val="lt-LT"/>
        </w:rPr>
      </w:pPr>
    </w:p>
    <w:p w:rsidR="00AB164A" w:rsidRPr="004F15F8" w:rsidRDefault="00AB164A" w:rsidP="00AB164A">
      <w:pPr>
        <w:spacing w:after="0" w:line="240" w:lineRule="auto"/>
        <w:rPr>
          <w:rFonts w:ascii="Times New Roman" w:hAnsi="Times New Roman"/>
          <w:i/>
          <w:lang w:val="lt-LT"/>
        </w:rPr>
      </w:pPr>
      <w:r w:rsidRPr="004F15F8">
        <w:rPr>
          <w:rFonts w:ascii="Times New Roman" w:hAnsi="Times New Roman"/>
          <w:i/>
          <w:lang w:val="lt-LT"/>
        </w:rPr>
        <w:t xml:space="preserve">Kitas kartu skiriamas gydymas (nefrakcionuotas heparinas, geriamieji trombocitų agregaciją slopinantys preparatai) </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Gydymas nefrakcionuotu heparinu pradedamas į veną suleidžiant 5 000 V smūginę dozę, po to infuzuojama palaikomoji 1 000 V/val. dozė. Heparino dozė koreguojama pagal APTT rodmenį, kuris normalų rodmenį turi viršyti du kartus.</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Jei nėra kontraindikacijų, visiems pacientams prieš gydymą Trombopriv reikia skirti gydymą geriamaisiais trombocitų agregaciją slopinančiais preparatais, įskaitant ASA, tačiau ja neapsiribojant (žr. 5.1 skyrių). Šių preparatų reikia vartoti ne trumpiau kaip Trombopriv infuzijos metu.</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 xml:space="preserve">Jei reikia atlikti angioplastiką (PTCA), po jos heparino vartojimą reikia nutraukti, o kateterio mova ištraukiama tada, kai koaguliacijos rodmenys tampa normalūs, t. y. aktyvintas krešėjimo laikas (ang. </w:t>
      </w:r>
      <w:r w:rsidRPr="004F15F8">
        <w:rPr>
          <w:rFonts w:ascii="Times New Roman" w:hAnsi="Times New Roman"/>
          <w:i/>
          <w:lang w:val="lt-LT"/>
        </w:rPr>
        <w:t>Activated clotting time</w:t>
      </w:r>
      <w:r w:rsidRPr="004F15F8">
        <w:rPr>
          <w:rFonts w:ascii="Times New Roman" w:hAnsi="Times New Roman"/>
          <w:lang w:val="lt-LT"/>
        </w:rPr>
        <w:t>, ACT) tampa mažesnis kaip 180 sekundžių (paprastai po heparino vartojimo nutraukimo praėjus 2</w:t>
      </w:r>
      <w:r w:rsidRPr="004F15F8">
        <w:rPr>
          <w:rFonts w:ascii="Times New Roman" w:hAnsi="Times New Roman"/>
          <w:lang w:val="lt-LT"/>
        </w:rPr>
        <w:noBreakHyphen/>
        <w:t>6 valandoms).</w:t>
      </w:r>
    </w:p>
    <w:p w:rsidR="00AB164A" w:rsidRDefault="00AB164A" w:rsidP="00AB164A">
      <w:pPr>
        <w:spacing w:after="0" w:line="240" w:lineRule="auto"/>
        <w:rPr>
          <w:rFonts w:ascii="Times New Roman" w:hAnsi="Times New Roman"/>
          <w:lang w:val="lt-LT"/>
        </w:rPr>
      </w:pPr>
    </w:p>
    <w:p w:rsidR="00AB164A" w:rsidRPr="00B56374" w:rsidRDefault="00AB164A" w:rsidP="00AB164A">
      <w:pPr>
        <w:spacing w:after="0" w:line="240" w:lineRule="auto"/>
        <w:rPr>
          <w:rFonts w:ascii="Times New Roman" w:hAnsi="Times New Roman"/>
          <w:b/>
          <w:lang w:val="lt-LT"/>
        </w:rPr>
      </w:pPr>
      <w:r w:rsidRPr="00B56374">
        <w:rPr>
          <w:rFonts w:ascii="Times New Roman" w:hAnsi="Times New Roman"/>
          <w:b/>
          <w:lang w:val="lt-LT"/>
        </w:rPr>
        <w:t>Nesuderinamumas</w:t>
      </w:r>
    </w:p>
    <w:p w:rsidR="00AB164A" w:rsidRPr="004F15F8" w:rsidRDefault="00AB164A" w:rsidP="00AB164A">
      <w:pPr>
        <w:spacing w:after="0" w:line="240" w:lineRule="auto"/>
        <w:rPr>
          <w:rFonts w:ascii="Times New Roman" w:hAnsi="Times New Roman"/>
          <w:lang w:val="lt-LT"/>
        </w:rPr>
      </w:pPr>
      <w:r w:rsidRPr="00FC295B">
        <w:rPr>
          <w:rFonts w:ascii="Times New Roman" w:hAnsi="Times New Roman"/>
          <w:lang w:val="lt-LT"/>
        </w:rPr>
        <w:t>Tirofibanas nesuderinamas su diazepamu, todėl Trombopriv ir diazepamo negalima vartoti per tą pačią intraveninę sistemą.</w:t>
      </w:r>
    </w:p>
    <w:p w:rsidR="00AB164A" w:rsidRDefault="00AB164A" w:rsidP="00AB164A">
      <w:pPr>
        <w:spacing w:after="0" w:line="240" w:lineRule="auto"/>
        <w:rPr>
          <w:rFonts w:ascii="Times New Roman" w:hAnsi="Times New Roman"/>
          <w:b/>
          <w:lang w:val="lt-LT"/>
        </w:rPr>
      </w:pPr>
    </w:p>
    <w:p w:rsidR="00AB164A" w:rsidRPr="00D57A06" w:rsidRDefault="00AB164A" w:rsidP="00AB164A">
      <w:pPr>
        <w:spacing w:after="0" w:line="240" w:lineRule="auto"/>
        <w:rPr>
          <w:rFonts w:ascii="Times New Roman" w:hAnsi="Times New Roman"/>
          <w:b/>
          <w:lang w:val="lt-LT"/>
        </w:rPr>
      </w:pPr>
      <w:r w:rsidRPr="00D57A06">
        <w:rPr>
          <w:rFonts w:ascii="Times New Roman" w:hAnsi="Times New Roman"/>
          <w:b/>
          <w:lang w:val="lt-LT"/>
        </w:rPr>
        <w:t>Vartojimo instrukcija</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Prieš vartojimą Trombopriv koncentratą infuziniam tirpalui būtina praskiesti.</w:t>
      </w:r>
    </w:p>
    <w:p w:rsidR="00AB164A" w:rsidRPr="004F15F8" w:rsidRDefault="00AB164A" w:rsidP="00AB164A">
      <w:pPr>
        <w:pStyle w:val="Sraopastraipa1"/>
        <w:spacing w:after="0" w:line="240" w:lineRule="auto"/>
        <w:ind w:left="0"/>
        <w:rPr>
          <w:rFonts w:ascii="Times New Roman" w:hAnsi="Times New Roman"/>
          <w:lang w:val="lt-LT"/>
        </w:rPr>
      </w:pPr>
      <w:r>
        <w:rPr>
          <w:rFonts w:ascii="Times New Roman" w:hAnsi="Times New Roman"/>
          <w:lang w:val="lt-LT"/>
        </w:rPr>
        <w:t xml:space="preserve">1. </w:t>
      </w:r>
      <w:r w:rsidRPr="004F15F8">
        <w:rPr>
          <w:rFonts w:ascii="Times New Roman" w:hAnsi="Times New Roman"/>
          <w:lang w:val="lt-LT"/>
        </w:rPr>
        <w:t xml:space="preserve">Iš 250 ml sterilaus 0,9% fiziologinio tirpalo ar 5% gliukozės vandeninio tirpalo talpyklės ištraukiama 50 ml tirpalo ir į ją suleidžiama 50 ml Trombopriv (iš vieno 50 ml praduriamo flakono), kad koncentracija būtų 50 mikrogramų/ml. Prieš vartojimą gerai sumaišyti. </w:t>
      </w:r>
    </w:p>
    <w:p w:rsidR="00AB164A" w:rsidRDefault="00AB164A" w:rsidP="00AB164A">
      <w:pPr>
        <w:tabs>
          <w:tab w:val="left" w:pos="8460"/>
        </w:tabs>
        <w:rPr>
          <w:rFonts w:ascii="Times New Roman" w:hAnsi="Times New Roman"/>
          <w:lang w:val="lt-LT"/>
        </w:rPr>
      </w:pPr>
      <w:r>
        <w:rPr>
          <w:rFonts w:ascii="Times New Roman" w:hAnsi="Times New Roman"/>
          <w:lang w:val="lt-LT"/>
        </w:rPr>
        <w:t xml:space="preserve">2.  </w:t>
      </w:r>
      <w:r w:rsidRPr="004F15F8">
        <w:rPr>
          <w:rFonts w:ascii="Times New Roman" w:hAnsi="Times New Roman"/>
          <w:lang w:val="lt-LT"/>
        </w:rPr>
        <w:t xml:space="preserve">Preparato vartojama vadovaujantis </w:t>
      </w:r>
      <w:r>
        <w:rPr>
          <w:rFonts w:ascii="Times New Roman" w:hAnsi="Times New Roman"/>
          <w:lang w:val="lt-LT"/>
        </w:rPr>
        <w:t>žemiau</w:t>
      </w:r>
      <w:r w:rsidRPr="004F15F8">
        <w:rPr>
          <w:rFonts w:ascii="Times New Roman" w:hAnsi="Times New Roman"/>
          <w:lang w:val="lt-LT"/>
        </w:rPr>
        <w:t xml:space="preserve"> esančioje lentelėje nurodytomis dozėmis</w:t>
      </w:r>
      <w:r>
        <w:rPr>
          <w:rFonts w:ascii="Times New Roman" w:hAnsi="Times New Roman"/>
          <w:lang w:val="lt-LT"/>
        </w:rPr>
        <w:t>.</w:t>
      </w:r>
    </w:p>
    <w:p w:rsidR="00AB164A" w:rsidRPr="004F15F8" w:rsidRDefault="00AB164A" w:rsidP="00AB164A">
      <w:pPr>
        <w:spacing w:after="0" w:line="240" w:lineRule="auto"/>
        <w:rPr>
          <w:rFonts w:ascii="Times New Roman" w:hAnsi="Times New Roman"/>
          <w:lang w:val="lt-LT"/>
        </w:rPr>
      </w:pPr>
      <w:r w:rsidRPr="004F15F8">
        <w:rPr>
          <w:rFonts w:ascii="Times New Roman" w:hAnsi="Times New Roman"/>
          <w:lang w:val="lt-LT"/>
        </w:rPr>
        <w:t>Toliau pateikiamoje lentelėje pateikiamos dozės koregavimo atsižvelgiant į kūno svorį rekomendacijos.</w:t>
      </w:r>
    </w:p>
    <w:p w:rsidR="00AB164A" w:rsidRPr="004F15F8" w:rsidRDefault="00AB164A" w:rsidP="00AB164A">
      <w:pPr>
        <w:spacing w:after="0" w:line="240" w:lineRule="auto"/>
        <w:rPr>
          <w:rFonts w:ascii="Times New Roman" w:hAnsi="Times New Roman"/>
          <w:lang w:val="lt-LT"/>
        </w:rPr>
      </w:pPr>
    </w:p>
    <w:tbl>
      <w:tblPr>
        <w:tblW w:w="10105" w:type="dxa"/>
        <w:tblInd w:w="-97" w:type="dxa"/>
        <w:tblLayout w:type="fixed"/>
        <w:tblLook w:val="00A0" w:firstRow="1" w:lastRow="0" w:firstColumn="1" w:lastColumn="0" w:noHBand="0" w:noVBand="0"/>
      </w:tblPr>
      <w:tblGrid>
        <w:gridCol w:w="1105"/>
        <w:gridCol w:w="1162"/>
        <w:gridCol w:w="998"/>
        <w:gridCol w:w="1260"/>
        <w:gridCol w:w="1093"/>
        <w:gridCol w:w="999"/>
        <w:gridCol w:w="1066"/>
        <w:gridCol w:w="1045"/>
        <w:gridCol w:w="1377"/>
      </w:tblGrid>
      <w:tr w:rsidR="00AB164A" w:rsidRPr="004F15F8" w:rsidTr="001863A2">
        <w:tc>
          <w:tcPr>
            <w:tcW w:w="1105" w:type="dxa"/>
            <w:vMerge w:val="restart"/>
          </w:tcPr>
          <w:p w:rsidR="00AB164A" w:rsidRPr="004F15F8" w:rsidRDefault="00AB164A" w:rsidP="001863A2">
            <w:pPr>
              <w:spacing w:after="0" w:line="240" w:lineRule="auto"/>
              <w:jc w:val="center"/>
              <w:rPr>
                <w:rFonts w:ascii="Times New Roman" w:hAnsi="Times New Roman"/>
                <w:b/>
                <w:lang w:val="lt-LT"/>
              </w:rPr>
            </w:pPr>
            <w:r w:rsidRPr="004F15F8">
              <w:rPr>
                <w:rFonts w:ascii="Times New Roman" w:hAnsi="Times New Roman"/>
                <w:b/>
                <w:lang w:val="lt-LT"/>
              </w:rPr>
              <w:t>Paciento svoris (kg)</w:t>
            </w:r>
          </w:p>
        </w:tc>
        <w:tc>
          <w:tcPr>
            <w:tcW w:w="2160" w:type="dxa"/>
            <w:gridSpan w:val="2"/>
          </w:tcPr>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0,4 mikrogramo/kg kūno svorio/min.</w:t>
            </w:r>
          </w:p>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Įsotinamosios dozės schema daugumai pacientų</w:t>
            </w:r>
          </w:p>
        </w:tc>
        <w:tc>
          <w:tcPr>
            <w:tcW w:w="2353" w:type="dxa"/>
            <w:gridSpan w:val="2"/>
          </w:tcPr>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0,4 mikrogramo/kg kūno svorio/min.</w:t>
            </w:r>
          </w:p>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 xml:space="preserve">Įsotinamosios dozės schema </w:t>
            </w:r>
          </w:p>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Sunkus inkstų nepakankamumas</w:t>
            </w:r>
          </w:p>
        </w:tc>
        <w:tc>
          <w:tcPr>
            <w:tcW w:w="2065" w:type="dxa"/>
            <w:gridSpan w:val="2"/>
          </w:tcPr>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 xml:space="preserve">25 mikrogramai/kg kūno svorio </w:t>
            </w:r>
          </w:p>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Smūginės dozės schema daugumai pacientų</w:t>
            </w:r>
          </w:p>
        </w:tc>
        <w:tc>
          <w:tcPr>
            <w:tcW w:w="2422" w:type="dxa"/>
            <w:gridSpan w:val="2"/>
          </w:tcPr>
          <w:p w:rsidR="00AB164A" w:rsidRPr="004F15F8" w:rsidRDefault="00AB164A" w:rsidP="001863A2">
            <w:pPr>
              <w:spacing w:after="0" w:line="240" w:lineRule="auto"/>
              <w:ind w:right="582"/>
              <w:rPr>
                <w:rFonts w:ascii="Times New Roman" w:hAnsi="Times New Roman"/>
                <w:b/>
                <w:lang w:val="lt-LT"/>
              </w:rPr>
            </w:pPr>
            <w:r w:rsidRPr="004F15F8">
              <w:rPr>
                <w:rFonts w:ascii="Times New Roman" w:hAnsi="Times New Roman"/>
                <w:b/>
                <w:lang w:val="lt-LT"/>
              </w:rPr>
              <w:t xml:space="preserve">25 mikrogramai/kg kūno svorio </w:t>
            </w:r>
          </w:p>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 xml:space="preserve">Smūginės dozės schema </w:t>
            </w:r>
          </w:p>
          <w:p w:rsidR="00AB164A" w:rsidRPr="004F15F8" w:rsidRDefault="00AB164A" w:rsidP="001863A2">
            <w:pPr>
              <w:spacing w:after="0" w:line="240" w:lineRule="auto"/>
              <w:rPr>
                <w:rFonts w:ascii="Times New Roman" w:hAnsi="Times New Roman"/>
                <w:b/>
                <w:lang w:val="lt-LT"/>
              </w:rPr>
            </w:pPr>
            <w:r w:rsidRPr="004F15F8">
              <w:rPr>
                <w:rFonts w:ascii="Times New Roman" w:hAnsi="Times New Roman"/>
                <w:b/>
                <w:lang w:val="lt-LT"/>
              </w:rPr>
              <w:t>Sunkus inkstų nepakankamumas</w:t>
            </w:r>
          </w:p>
        </w:tc>
      </w:tr>
      <w:tr w:rsidR="00AB164A" w:rsidRPr="004F15F8" w:rsidTr="001863A2">
        <w:tc>
          <w:tcPr>
            <w:tcW w:w="1105" w:type="dxa"/>
            <w:vMerge/>
          </w:tcPr>
          <w:p w:rsidR="00AB164A" w:rsidRPr="004F15F8" w:rsidRDefault="00AB164A" w:rsidP="001863A2">
            <w:pPr>
              <w:spacing w:after="0" w:line="240" w:lineRule="auto"/>
              <w:rPr>
                <w:rFonts w:ascii="Times New Roman" w:hAnsi="Times New Roman"/>
                <w:lang w:val="lt-LT"/>
              </w:rPr>
            </w:pPr>
          </w:p>
        </w:tc>
        <w:tc>
          <w:tcPr>
            <w:tcW w:w="1162" w:type="dxa"/>
          </w:tcPr>
          <w:p w:rsidR="00AB164A" w:rsidRPr="004F15F8" w:rsidRDefault="00AB164A" w:rsidP="001863A2">
            <w:pPr>
              <w:spacing w:after="0" w:line="240" w:lineRule="auto"/>
              <w:ind w:right="-108"/>
              <w:rPr>
                <w:rFonts w:ascii="Times New Roman" w:hAnsi="Times New Roman"/>
                <w:lang w:val="lt-LT"/>
              </w:rPr>
            </w:pPr>
            <w:r w:rsidRPr="004F15F8">
              <w:rPr>
                <w:rFonts w:ascii="Times New Roman" w:hAnsi="Times New Roman"/>
                <w:lang w:val="lt-LT"/>
              </w:rPr>
              <w:t>30 min. įsotinamo</w:t>
            </w:r>
            <w:r>
              <w:rPr>
                <w:rFonts w:ascii="Times New Roman" w:hAnsi="Times New Roman"/>
                <w:lang w:val="lt-LT"/>
              </w:rPr>
              <w:t>-</w:t>
            </w:r>
            <w:r w:rsidRPr="004F15F8">
              <w:rPr>
                <w:rFonts w:ascii="Times New Roman" w:hAnsi="Times New Roman"/>
                <w:lang w:val="lt-LT"/>
              </w:rPr>
              <w:t>sios infuzijos greitis (ml/val.)</w:t>
            </w:r>
          </w:p>
        </w:tc>
        <w:tc>
          <w:tcPr>
            <w:tcW w:w="998"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Palaiko</w:t>
            </w:r>
            <w:r>
              <w:rPr>
                <w:rFonts w:ascii="Times New Roman" w:hAnsi="Times New Roman"/>
                <w:lang w:val="lt-LT"/>
              </w:rPr>
              <w:t>-</w:t>
            </w:r>
            <w:r w:rsidRPr="004F15F8">
              <w:rPr>
                <w:rFonts w:ascii="Times New Roman" w:hAnsi="Times New Roman"/>
                <w:lang w:val="lt-LT"/>
              </w:rPr>
              <w:t>mosios infuzijos greitis (ml/val.)</w:t>
            </w:r>
          </w:p>
        </w:tc>
        <w:tc>
          <w:tcPr>
            <w:tcW w:w="1260"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30 min. įsotinamo</w:t>
            </w:r>
            <w:r>
              <w:rPr>
                <w:rFonts w:ascii="Times New Roman" w:hAnsi="Times New Roman"/>
                <w:lang w:val="lt-LT"/>
              </w:rPr>
              <w:t>-</w:t>
            </w:r>
            <w:r w:rsidRPr="004F15F8">
              <w:rPr>
                <w:rFonts w:ascii="Times New Roman" w:hAnsi="Times New Roman"/>
                <w:lang w:val="lt-LT"/>
              </w:rPr>
              <w:t>sios infuzijos greitis (ml/val.)</w:t>
            </w:r>
          </w:p>
        </w:tc>
        <w:tc>
          <w:tcPr>
            <w:tcW w:w="1093"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Palaiko</w:t>
            </w:r>
            <w:r>
              <w:rPr>
                <w:rFonts w:ascii="Times New Roman" w:hAnsi="Times New Roman"/>
                <w:lang w:val="lt-LT"/>
              </w:rPr>
              <w:t>-</w:t>
            </w:r>
            <w:r w:rsidRPr="004F15F8">
              <w:rPr>
                <w:rFonts w:ascii="Times New Roman" w:hAnsi="Times New Roman"/>
                <w:lang w:val="lt-LT"/>
              </w:rPr>
              <w:t>mosios infuzijos greitis (ml/val.)</w:t>
            </w:r>
          </w:p>
        </w:tc>
        <w:tc>
          <w:tcPr>
            <w:tcW w:w="999"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Smūginė dozė (ml)</w:t>
            </w:r>
          </w:p>
        </w:tc>
        <w:tc>
          <w:tcPr>
            <w:tcW w:w="1066"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Palaiko</w:t>
            </w:r>
            <w:r>
              <w:rPr>
                <w:rFonts w:ascii="Times New Roman" w:hAnsi="Times New Roman"/>
                <w:lang w:val="lt-LT"/>
              </w:rPr>
              <w:t>-</w:t>
            </w:r>
            <w:r w:rsidRPr="004F15F8">
              <w:rPr>
                <w:rFonts w:ascii="Times New Roman" w:hAnsi="Times New Roman"/>
                <w:lang w:val="lt-LT"/>
              </w:rPr>
              <w:t>mosios infuzijos greitis (ml/val.)</w:t>
            </w:r>
          </w:p>
        </w:tc>
        <w:tc>
          <w:tcPr>
            <w:tcW w:w="1045"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Smūginė dozė (ml)</w:t>
            </w:r>
          </w:p>
        </w:tc>
        <w:tc>
          <w:tcPr>
            <w:tcW w:w="1377" w:type="dxa"/>
          </w:tcPr>
          <w:p w:rsidR="00AB164A" w:rsidRPr="004F15F8" w:rsidRDefault="00AB164A" w:rsidP="001863A2">
            <w:pPr>
              <w:spacing w:after="0" w:line="240" w:lineRule="auto"/>
              <w:rPr>
                <w:rFonts w:ascii="Times New Roman" w:hAnsi="Times New Roman"/>
                <w:lang w:val="lt-LT"/>
              </w:rPr>
            </w:pPr>
            <w:r w:rsidRPr="004F15F8">
              <w:rPr>
                <w:rFonts w:ascii="Times New Roman" w:hAnsi="Times New Roman"/>
                <w:lang w:val="lt-LT"/>
              </w:rPr>
              <w:t>Palaiko</w:t>
            </w:r>
            <w:r>
              <w:rPr>
                <w:rFonts w:ascii="Times New Roman" w:hAnsi="Times New Roman"/>
                <w:lang w:val="lt-LT"/>
              </w:rPr>
              <w:t>-</w:t>
            </w:r>
            <w:r w:rsidRPr="004F15F8">
              <w:rPr>
                <w:rFonts w:ascii="Times New Roman" w:hAnsi="Times New Roman"/>
                <w:lang w:val="lt-LT"/>
              </w:rPr>
              <w:t>mosios infuzijos greitis (ml/val.)</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30-37</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16</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17</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38-45</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20</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10</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21</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10</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46-54</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24</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12</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25</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9</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13</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55-62</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28</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14</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29</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11</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15</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63-70</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32</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16</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33</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12</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17</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71-79</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36</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9</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18</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38</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14</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19</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80-87</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40</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10</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20</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42</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15</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21</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88-95</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44</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11</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22</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46</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16</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23</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96-104</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48</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12</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24</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50</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18</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25</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9</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105-112</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52</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13</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26</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54</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20</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27</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10</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113-120</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56</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14</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28</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58</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21</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29</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10</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121-128</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60</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15</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30</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62</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22</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31</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11</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129-137</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64</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16</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32</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8</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67</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24</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33</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12</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138-145</w:t>
            </w:r>
          </w:p>
        </w:tc>
        <w:tc>
          <w:tcPr>
            <w:tcW w:w="1162"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68</w:t>
            </w:r>
          </w:p>
        </w:tc>
        <w:tc>
          <w:tcPr>
            <w:tcW w:w="998"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17</w:t>
            </w:r>
          </w:p>
        </w:tc>
        <w:tc>
          <w:tcPr>
            <w:tcW w:w="1260"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34</w:t>
            </w:r>
          </w:p>
        </w:tc>
        <w:tc>
          <w:tcPr>
            <w:tcW w:w="1093"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9</w:t>
            </w:r>
          </w:p>
        </w:tc>
        <w:tc>
          <w:tcPr>
            <w:tcW w:w="999"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71</w:t>
            </w:r>
          </w:p>
        </w:tc>
        <w:tc>
          <w:tcPr>
            <w:tcW w:w="1066"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25</w:t>
            </w:r>
          </w:p>
        </w:tc>
        <w:tc>
          <w:tcPr>
            <w:tcW w:w="1045"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35</w:t>
            </w:r>
          </w:p>
        </w:tc>
        <w:tc>
          <w:tcPr>
            <w:tcW w:w="1377" w:type="dxa"/>
          </w:tcPr>
          <w:p w:rsidR="00AB164A" w:rsidRPr="004F15F8" w:rsidRDefault="00AB164A" w:rsidP="001863A2">
            <w:pPr>
              <w:spacing w:after="0" w:line="240" w:lineRule="auto"/>
              <w:jc w:val="center"/>
              <w:rPr>
                <w:rFonts w:ascii="Times New Roman" w:hAnsi="Times New Roman"/>
                <w:lang w:val="lt-LT"/>
              </w:rPr>
            </w:pPr>
            <w:r w:rsidRPr="004F15F8">
              <w:rPr>
                <w:rFonts w:ascii="Times New Roman" w:hAnsi="Times New Roman"/>
              </w:rPr>
              <w:t>13</w:t>
            </w:r>
          </w:p>
        </w:tc>
      </w:tr>
      <w:tr w:rsidR="00AB164A" w:rsidRPr="004F15F8" w:rsidTr="001863A2">
        <w:tc>
          <w:tcPr>
            <w:tcW w:w="1105"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146-153</w:t>
            </w:r>
          </w:p>
        </w:tc>
        <w:tc>
          <w:tcPr>
            <w:tcW w:w="1162"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72</w:t>
            </w:r>
          </w:p>
        </w:tc>
        <w:tc>
          <w:tcPr>
            <w:tcW w:w="998"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18</w:t>
            </w:r>
          </w:p>
        </w:tc>
        <w:tc>
          <w:tcPr>
            <w:tcW w:w="1260"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36</w:t>
            </w:r>
          </w:p>
        </w:tc>
        <w:tc>
          <w:tcPr>
            <w:tcW w:w="1093"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9</w:t>
            </w:r>
          </w:p>
        </w:tc>
        <w:tc>
          <w:tcPr>
            <w:tcW w:w="999"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75</w:t>
            </w:r>
          </w:p>
        </w:tc>
        <w:tc>
          <w:tcPr>
            <w:tcW w:w="1066"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27</w:t>
            </w:r>
          </w:p>
        </w:tc>
        <w:tc>
          <w:tcPr>
            <w:tcW w:w="1045"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37</w:t>
            </w:r>
          </w:p>
        </w:tc>
        <w:tc>
          <w:tcPr>
            <w:tcW w:w="1377" w:type="dxa"/>
          </w:tcPr>
          <w:p w:rsidR="00AB164A" w:rsidRPr="004F15F8" w:rsidRDefault="00AB164A" w:rsidP="001863A2">
            <w:pPr>
              <w:spacing w:after="0" w:line="240" w:lineRule="auto"/>
              <w:jc w:val="center"/>
              <w:rPr>
                <w:rFonts w:ascii="Times New Roman" w:hAnsi="Times New Roman"/>
              </w:rPr>
            </w:pPr>
            <w:r w:rsidRPr="004F15F8">
              <w:rPr>
                <w:rFonts w:ascii="Times New Roman" w:hAnsi="Times New Roman"/>
              </w:rPr>
              <w:t>13</w:t>
            </w:r>
          </w:p>
        </w:tc>
      </w:tr>
    </w:tbl>
    <w:p w:rsidR="00AB164A" w:rsidRPr="004F15F8" w:rsidRDefault="00AB164A" w:rsidP="00AB164A">
      <w:pPr>
        <w:spacing w:after="0" w:line="240" w:lineRule="auto"/>
        <w:rPr>
          <w:rFonts w:ascii="Times New Roman" w:hAnsi="Times New Roman"/>
          <w:lang w:val="lt-LT"/>
        </w:rPr>
      </w:pPr>
    </w:p>
    <w:p w:rsidR="00AB164A" w:rsidRPr="00A75468" w:rsidRDefault="00AB164A" w:rsidP="00AB164A">
      <w:pPr>
        <w:numPr>
          <w:ilvl w:val="0"/>
          <w:numId w:val="28"/>
        </w:numPr>
        <w:spacing w:after="0" w:line="240" w:lineRule="auto"/>
        <w:rPr>
          <w:rFonts w:ascii="Times New Roman" w:hAnsi="Times New Roman"/>
          <w:lang w:val="lt-LT"/>
        </w:rPr>
      </w:pPr>
      <w:r w:rsidRPr="00A75468">
        <w:rPr>
          <w:rFonts w:ascii="Times New Roman" w:hAnsi="Times New Roman"/>
          <w:lang w:val="lt-LT"/>
        </w:rPr>
        <w:t>Jei tirpalą ir talpyklę galima apžiūrėti, prieš vartojimą parenterinius preparatus būtina įvertinti, ar nėra matomų dalelių ar spalvos pokyčio.</w:t>
      </w:r>
    </w:p>
    <w:p w:rsidR="00AB164A" w:rsidRPr="00A75468" w:rsidRDefault="00AB164A" w:rsidP="00AB164A">
      <w:pPr>
        <w:spacing w:after="0" w:line="240" w:lineRule="auto"/>
        <w:rPr>
          <w:rFonts w:ascii="Times New Roman" w:hAnsi="Times New Roman"/>
          <w:lang w:val="lt-LT"/>
        </w:rPr>
      </w:pPr>
    </w:p>
    <w:p w:rsidR="00AB164A" w:rsidRPr="00A75468" w:rsidRDefault="00AB164A" w:rsidP="00AB164A">
      <w:pPr>
        <w:numPr>
          <w:ilvl w:val="0"/>
          <w:numId w:val="28"/>
        </w:numPr>
        <w:spacing w:after="0" w:line="240" w:lineRule="auto"/>
        <w:rPr>
          <w:rFonts w:ascii="Times New Roman" w:hAnsi="Times New Roman"/>
          <w:lang w:val="lt-LT"/>
        </w:rPr>
      </w:pPr>
      <w:r w:rsidRPr="00A75468">
        <w:rPr>
          <w:rFonts w:ascii="Times New Roman" w:hAnsi="Times New Roman"/>
          <w:lang w:val="lt-LT"/>
        </w:rPr>
        <w:t>Trombopriv galima vartoti tik į veną, jo galima infuzuoti kartu su nefrakcionuotu heparinu per tą patį infuzinį vamzdelį.</w:t>
      </w:r>
    </w:p>
    <w:p w:rsidR="00AB164A" w:rsidRPr="00A75468" w:rsidRDefault="00AB164A" w:rsidP="00AB164A">
      <w:pPr>
        <w:spacing w:after="0" w:line="240" w:lineRule="auto"/>
        <w:rPr>
          <w:rFonts w:ascii="Times New Roman" w:hAnsi="Times New Roman"/>
          <w:lang w:val="lt-LT"/>
        </w:rPr>
      </w:pPr>
    </w:p>
    <w:p w:rsidR="00AB164A" w:rsidRPr="00A75468" w:rsidRDefault="00AB164A" w:rsidP="00AB164A">
      <w:pPr>
        <w:numPr>
          <w:ilvl w:val="0"/>
          <w:numId w:val="28"/>
        </w:numPr>
        <w:spacing w:after="0" w:line="240" w:lineRule="auto"/>
        <w:rPr>
          <w:rFonts w:ascii="Times New Roman" w:hAnsi="Times New Roman"/>
          <w:lang w:val="lt-LT"/>
        </w:rPr>
      </w:pPr>
      <w:r w:rsidRPr="00A75468">
        <w:rPr>
          <w:rFonts w:ascii="Times New Roman" w:hAnsi="Times New Roman"/>
          <w:lang w:val="lt-LT"/>
        </w:rPr>
        <w:t>Trombopriv rekomenduojama vartoti naudojant kalibruotą infuzijų rinkinį ir sterilią įrangą.</w:t>
      </w:r>
    </w:p>
    <w:p w:rsidR="00AB164A" w:rsidRPr="00A75468" w:rsidRDefault="00AB164A" w:rsidP="00AB164A">
      <w:pPr>
        <w:spacing w:after="0" w:line="240" w:lineRule="auto"/>
        <w:rPr>
          <w:rFonts w:ascii="Times New Roman" w:hAnsi="Times New Roman"/>
          <w:lang w:val="lt-LT"/>
        </w:rPr>
      </w:pPr>
    </w:p>
    <w:p w:rsidR="00AB164A" w:rsidRDefault="00AB164A" w:rsidP="00AB164A">
      <w:pPr>
        <w:numPr>
          <w:ilvl w:val="0"/>
          <w:numId w:val="28"/>
        </w:numPr>
        <w:spacing w:after="0" w:line="240" w:lineRule="auto"/>
        <w:rPr>
          <w:rFonts w:ascii="Times New Roman" w:hAnsi="Times New Roman"/>
          <w:lang w:val="lt-LT"/>
        </w:rPr>
      </w:pPr>
      <w:r w:rsidRPr="00A75468">
        <w:rPr>
          <w:rFonts w:ascii="Times New Roman" w:hAnsi="Times New Roman"/>
          <w:lang w:val="lt-LT"/>
        </w:rPr>
        <w:t>Būtina užtikrinti, kad pradinės dozės infuzija netruktų ilgiau nei nurodyta ir kad būtų apskaičiuota teisinga palaikomoji dozė (remiantis paciento kūno svoriu).</w:t>
      </w:r>
    </w:p>
    <w:p w:rsidR="00AB164A" w:rsidRDefault="00AB164A" w:rsidP="00AB164A">
      <w:pPr>
        <w:pStyle w:val="PI-2EMEASMCA"/>
      </w:pPr>
    </w:p>
    <w:p w:rsidR="00AB164A" w:rsidRPr="00F06B81" w:rsidRDefault="00AB164A" w:rsidP="00AB164A">
      <w:pPr>
        <w:pStyle w:val="PI-2EMEASMCA"/>
      </w:pPr>
      <w:r w:rsidRPr="00F06B81">
        <w:t>Specialios laikymo sąlygos</w:t>
      </w:r>
    </w:p>
    <w:p w:rsidR="00AB164A" w:rsidRDefault="00AB164A" w:rsidP="00AB164A">
      <w:pPr>
        <w:rPr>
          <w:rFonts w:ascii="Times New Roman" w:hAnsi="Times New Roman"/>
          <w:lang w:val="lt-LT"/>
        </w:rPr>
      </w:pPr>
      <w:r w:rsidRPr="001C1F78">
        <w:rPr>
          <w:rFonts w:ascii="Times New Roman" w:hAnsi="Times New Roman"/>
          <w:lang w:val="lt-LT"/>
        </w:rPr>
        <w:t xml:space="preserve">Negalima užšaldyti. </w:t>
      </w:r>
      <w:r>
        <w:rPr>
          <w:rFonts w:ascii="Times New Roman" w:hAnsi="Times New Roman"/>
          <w:lang w:val="lt-LT"/>
        </w:rPr>
        <w:t>Flakoną</w:t>
      </w:r>
      <w:r w:rsidRPr="001C1F78">
        <w:rPr>
          <w:rFonts w:ascii="Times New Roman" w:hAnsi="Times New Roman"/>
          <w:lang w:val="lt-LT"/>
        </w:rPr>
        <w:t xml:space="preserve"> laikyti išorinėje dėžutėje, kad preparatas būtų apsaugotas nuo šviesos.</w:t>
      </w:r>
    </w:p>
    <w:p w:rsidR="00AB164A" w:rsidRPr="00222F45" w:rsidRDefault="00AB164A" w:rsidP="00AB164A">
      <w:pPr>
        <w:spacing w:after="0" w:line="240" w:lineRule="auto"/>
        <w:rPr>
          <w:rFonts w:ascii="Times New Roman" w:hAnsi="Times New Roman"/>
          <w:lang w:val="lt-LT"/>
        </w:rPr>
      </w:pPr>
      <w:r>
        <w:rPr>
          <w:rFonts w:ascii="Times New Roman" w:hAnsi="Times New Roman"/>
          <w:lang w:val="lt-LT"/>
        </w:rPr>
        <w:t>P</w:t>
      </w:r>
      <w:r w:rsidRPr="00222F45">
        <w:rPr>
          <w:rFonts w:ascii="Times New Roman" w:hAnsi="Times New Roman"/>
          <w:lang w:val="lt-LT"/>
        </w:rPr>
        <w:t xml:space="preserve">raskiestą infuzinį tirpalą būtina vartoti nedelsiant. </w:t>
      </w:r>
    </w:p>
    <w:p w:rsidR="00AB164A" w:rsidRPr="00222F45" w:rsidRDefault="00AB164A" w:rsidP="00AB164A">
      <w:pPr>
        <w:spacing w:after="0" w:line="240" w:lineRule="auto"/>
        <w:rPr>
          <w:rFonts w:ascii="Times New Roman" w:hAnsi="Times New Roman"/>
          <w:lang w:val="lt-LT"/>
        </w:rPr>
      </w:pPr>
      <w:r w:rsidRPr="00222F45">
        <w:rPr>
          <w:rFonts w:ascii="Times New Roman" w:hAnsi="Times New Roman"/>
          <w:lang w:val="lt-LT"/>
        </w:rPr>
        <w:t>Nesuvartotą preparatą reikia sunaikinti.</w:t>
      </w:r>
    </w:p>
    <w:p w:rsidR="00B42325" w:rsidRDefault="00B42325" w:rsidP="00AB164A">
      <w:pPr>
        <w:pStyle w:val="TTEMEASMCA"/>
        <w:rPr>
          <w:lang w:val="lt-LT"/>
        </w:rPr>
      </w:pPr>
    </w:p>
    <w:p w:rsidR="00B42325" w:rsidRPr="00F06B81" w:rsidRDefault="00B42325" w:rsidP="003E2BE3">
      <w:pPr>
        <w:spacing w:after="0" w:line="240" w:lineRule="auto"/>
        <w:rPr>
          <w:rFonts w:ascii="Times New Roman" w:hAnsi="Times New Roman"/>
          <w:lang w:val="lt-LT"/>
        </w:rPr>
      </w:pPr>
    </w:p>
    <w:p w:rsidR="00B42325" w:rsidRPr="00F06B81" w:rsidRDefault="00B42325" w:rsidP="003E2BE3">
      <w:pPr>
        <w:spacing w:after="0" w:line="240" w:lineRule="auto"/>
        <w:rPr>
          <w:rFonts w:ascii="Times New Roman" w:hAnsi="Times New Roman"/>
          <w:highlight w:val="yellow"/>
          <w:lang w:val="lt-LT"/>
        </w:rPr>
      </w:pPr>
      <w:bookmarkStart w:id="84" w:name="_GoBack"/>
      <w:bookmarkEnd w:id="84"/>
      <w:permStart w:id="993158055" w:edGrp="everyone"/>
      <w:permEnd w:id="993158055"/>
    </w:p>
    <w:sectPr w:rsidR="00B42325" w:rsidRPr="00F06B81" w:rsidSect="009A32C7">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AE" w:rsidRDefault="00AF39AE" w:rsidP="003E2BE3">
      <w:pPr>
        <w:spacing w:after="0" w:line="240" w:lineRule="auto"/>
      </w:pPr>
      <w:r>
        <w:separator/>
      </w:r>
    </w:p>
  </w:endnote>
  <w:endnote w:type="continuationSeparator" w:id="0">
    <w:p w:rsidR="00AF39AE" w:rsidRDefault="00AF39AE" w:rsidP="003E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ED583B" w:rsidP="009A32C7">
    <w:pPr>
      <w:pStyle w:val="Porat"/>
      <w:jc w:val="right"/>
    </w:pPr>
    <w:r>
      <w:rPr>
        <w:rStyle w:val="Puslapionumeris"/>
      </w:rPr>
      <w:fldChar w:fldCharType="begin"/>
    </w:r>
    <w:r w:rsidR="00B42325">
      <w:rPr>
        <w:rStyle w:val="Puslapionumeris"/>
      </w:rPr>
      <w:instrText xml:space="preserve"> PAGE </w:instrText>
    </w:r>
    <w:r>
      <w:rPr>
        <w:rStyle w:val="Puslapionumeris"/>
      </w:rPr>
      <w:fldChar w:fldCharType="separate"/>
    </w:r>
    <w:r w:rsidR="008A5DE6">
      <w:rPr>
        <w:rStyle w:val="Puslapionumeris"/>
        <w:noProof/>
      </w:rPr>
      <w:t>31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AE" w:rsidRDefault="00AF39AE" w:rsidP="003E2BE3">
      <w:pPr>
        <w:spacing w:after="0" w:line="240" w:lineRule="auto"/>
      </w:pPr>
      <w:r>
        <w:separator/>
      </w:r>
    </w:p>
  </w:footnote>
  <w:footnote w:type="continuationSeparator" w:id="0">
    <w:p w:rsidR="00AF39AE" w:rsidRDefault="00AF39AE" w:rsidP="003E2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B423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0B58E"/>
    <w:multiLevelType w:val="hybridMultilevel"/>
    <w:tmpl w:val="235B0A2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A37442"/>
    <w:multiLevelType w:val="multilevel"/>
    <w:tmpl w:val="A114F148"/>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AC135B6"/>
    <w:multiLevelType w:val="hybridMultilevel"/>
    <w:tmpl w:val="859AE10E"/>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16EA364F"/>
    <w:multiLevelType w:val="hybridMultilevel"/>
    <w:tmpl w:val="65026B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BC4C1A"/>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DA0B94"/>
    <w:multiLevelType w:val="hybridMultilevel"/>
    <w:tmpl w:val="D00A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97F9D"/>
    <w:multiLevelType w:val="hybridMultilevel"/>
    <w:tmpl w:val="DDD6D6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6D375E9"/>
    <w:multiLevelType w:val="hybridMultilevel"/>
    <w:tmpl w:val="698A35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9D13361"/>
    <w:multiLevelType w:val="hybridMultilevel"/>
    <w:tmpl w:val="9ABCB9D6"/>
    <w:lvl w:ilvl="0" w:tplc="F05C9F2A">
      <w:start w:val="4"/>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52DC5"/>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C69211D"/>
    <w:multiLevelType w:val="hybridMultilevel"/>
    <w:tmpl w:val="38546720"/>
    <w:lvl w:ilvl="0" w:tplc="51DE379E">
      <w:numFmt w:val="bullet"/>
      <w:lvlText w:val="-"/>
      <w:lvlJc w:val="left"/>
      <w:pPr>
        <w:tabs>
          <w:tab w:val="num" w:pos="720"/>
        </w:tabs>
        <w:ind w:left="720" w:hanging="360"/>
      </w:pPr>
      <w:rPr>
        <w:rFonts w:ascii="Times New Roman" w:eastAsia="SimSu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F8E45DB"/>
    <w:multiLevelType w:val="hybridMultilevel"/>
    <w:tmpl w:val="65026B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1A20AF9"/>
    <w:multiLevelType w:val="hybridMultilevel"/>
    <w:tmpl w:val="6402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7D437D3"/>
    <w:multiLevelType w:val="hybridMultilevel"/>
    <w:tmpl w:val="D2D8571A"/>
    <w:lvl w:ilvl="0" w:tplc="61927E9E">
      <w:numFmt w:val="bullet"/>
      <w:lvlText w:val="-"/>
      <w:lvlJc w:val="left"/>
      <w:pPr>
        <w:tabs>
          <w:tab w:val="num" w:pos="720"/>
        </w:tabs>
        <w:ind w:left="720" w:hanging="360"/>
      </w:pPr>
      <w:rPr>
        <w:rFonts w:ascii="Times New Roman" w:eastAsia="SimSu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CB73AE"/>
    <w:multiLevelType w:val="singleLevel"/>
    <w:tmpl w:val="3E36F0E6"/>
    <w:lvl w:ilvl="0">
      <w:start w:val="1"/>
      <w:numFmt w:val="decimal"/>
      <w:lvlText w:val="%1."/>
      <w:legacy w:legacy="1" w:legacySpace="0" w:legacyIndent="283"/>
      <w:lvlJc w:val="left"/>
      <w:pPr>
        <w:ind w:left="283" w:hanging="283"/>
      </w:pPr>
      <w:rPr>
        <w:rFonts w:cs="Times New Roman"/>
      </w:rPr>
    </w:lvl>
  </w:abstractNum>
  <w:num w:numId="1">
    <w:abstractNumId w:val="8"/>
  </w:num>
  <w:num w:numId="2">
    <w:abstractNumId w:val="18"/>
  </w:num>
  <w:num w:numId="3">
    <w:abstractNumId w:val="18"/>
    <w:lvlOverride w:ilvl="0">
      <w:lvl w:ilvl="0">
        <w:start w:val="1"/>
        <w:numFmt w:val="decimal"/>
        <w:lvlText w:val="%1."/>
        <w:legacy w:legacy="1" w:legacySpace="0" w:legacyIndent="283"/>
        <w:lvlJc w:val="left"/>
        <w:pPr>
          <w:ind w:left="283" w:hanging="283"/>
        </w:pPr>
        <w:rPr>
          <w:rFonts w:cs="Times New Roman"/>
        </w:rPr>
      </w:lvl>
    </w:lvlOverride>
  </w:num>
  <w:num w:numId="4">
    <w:abstractNumId w:val="18"/>
    <w:lvlOverride w:ilvl="0">
      <w:lvl w:ilvl="0">
        <w:start w:val="1"/>
        <w:numFmt w:val="decimal"/>
        <w:lvlText w:val="%1."/>
        <w:legacy w:legacy="1" w:legacySpace="0" w:legacyIndent="283"/>
        <w:lvlJc w:val="left"/>
        <w:pPr>
          <w:ind w:left="283" w:hanging="283"/>
        </w:pPr>
        <w:rPr>
          <w:rFonts w:cs="Times New Roman"/>
        </w:rPr>
      </w:lvl>
    </w:lvlOverride>
  </w:num>
  <w:num w:numId="5">
    <w:abstractNumId w:val="5"/>
  </w:num>
  <w:num w:numId="6">
    <w:abstractNumId w:val="11"/>
  </w:num>
  <w:num w:numId="7">
    <w:abstractNumId w:val="3"/>
  </w:num>
  <w:num w:numId="8">
    <w:abstractNumId w:val="13"/>
  </w:num>
  <w:num w:numId="9">
    <w:abstractNumId w:val="9"/>
  </w:num>
  <w:num w:numId="10">
    <w:abstractNumId w:val="14"/>
  </w:num>
  <w:num w:numId="11">
    <w:abstractNumId w:val="10"/>
  </w:num>
  <w:num w:numId="12">
    <w:abstractNumId w:val="0"/>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4"/>
  </w:num>
  <w:num w:numId="21">
    <w:abstractNumId w:val="6"/>
  </w:num>
  <w:num w:numId="22">
    <w:abstractNumId w:val="2"/>
  </w:num>
  <w:num w:numId="23">
    <w:abstractNumId w:val="12"/>
  </w:num>
  <w:num w:numId="24">
    <w:abstractNumId w:val="16"/>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5"/>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OQVQIkqSWaSzQNW1naenmmfkHA8=" w:salt="FMrcmaLNkMNm72XplG2xyg=="/>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E3"/>
    <w:rsid w:val="0000053E"/>
    <w:rsid w:val="000007D7"/>
    <w:rsid w:val="0000086E"/>
    <w:rsid w:val="00001F8D"/>
    <w:rsid w:val="0000550C"/>
    <w:rsid w:val="00006414"/>
    <w:rsid w:val="000079D0"/>
    <w:rsid w:val="00010F51"/>
    <w:rsid w:val="00012B3F"/>
    <w:rsid w:val="00022561"/>
    <w:rsid w:val="00030585"/>
    <w:rsid w:val="000314DF"/>
    <w:rsid w:val="00031D22"/>
    <w:rsid w:val="00032D55"/>
    <w:rsid w:val="00040134"/>
    <w:rsid w:val="00043DC4"/>
    <w:rsid w:val="000441B6"/>
    <w:rsid w:val="000446B6"/>
    <w:rsid w:val="0005136F"/>
    <w:rsid w:val="00055956"/>
    <w:rsid w:val="00057ED4"/>
    <w:rsid w:val="00064694"/>
    <w:rsid w:val="000669E5"/>
    <w:rsid w:val="0006702E"/>
    <w:rsid w:val="000704FA"/>
    <w:rsid w:val="00072C5A"/>
    <w:rsid w:val="00081376"/>
    <w:rsid w:val="00086EEC"/>
    <w:rsid w:val="00091067"/>
    <w:rsid w:val="000A00B5"/>
    <w:rsid w:val="000A00D5"/>
    <w:rsid w:val="000A2B04"/>
    <w:rsid w:val="000A4150"/>
    <w:rsid w:val="000B1474"/>
    <w:rsid w:val="000B2B26"/>
    <w:rsid w:val="000B33B0"/>
    <w:rsid w:val="000B6852"/>
    <w:rsid w:val="000B7D8C"/>
    <w:rsid w:val="000C30ED"/>
    <w:rsid w:val="000C59F8"/>
    <w:rsid w:val="000C6017"/>
    <w:rsid w:val="000C6CB0"/>
    <w:rsid w:val="000C7745"/>
    <w:rsid w:val="000D4869"/>
    <w:rsid w:val="000D6D3B"/>
    <w:rsid w:val="000E1668"/>
    <w:rsid w:val="000E3B3F"/>
    <w:rsid w:val="000F1B60"/>
    <w:rsid w:val="000F1D46"/>
    <w:rsid w:val="000F20DE"/>
    <w:rsid w:val="000F2541"/>
    <w:rsid w:val="001008B7"/>
    <w:rsid w:val="00111551"/>
    <w:rsid w:val="0011770F"/>
    <w:rsid w:val="001259A7"/>
    <w:rsid w:val="001266AC"/>
    <w:rsid w:val="001279FC"/>
    <w:rsid w:val="00131E8A"/>
    <w:rsid w:val="00137006"/>
    <w:rsid w:val="001416E5"/>
    <w:rsid w:val="0014363A"/>
    <w:rsid w:val="00144B9A"/>
    <w:rsid w:val="00146302"/>
    <w:rsid w:val="001522F0"/>
    <w:rsid w:val="00153AE5"/>
    <w:rsid w:val="001568AF"/>
    <w:rsid w:val="001622E0"/>
    <w:rsid w:val="00164FAB"/>
    <w:rsid w:val="001659A2"/>
    <w:rsid w:val="00165BFB"/>
    <w:rsid w:val="001672B0"/>
    <w:rsid w:val="00167322"/>
    <w:rsid w:val="0016794E"/>
    <w:rsid w:val="001712C0"/>
    <w:rsid w:val="001775E8"/>
    <w:rsid w:val="00181281"/>
    <w:rsid w:val="00184396"/>
    <w:rsid w:val="00190E09"/>
    <w:rsid w:val="00195399"/>
    <w:rsid w:val="001A0D64"/>
    <w:rsid w:val="001A1577"/>
    <w:rsid w:val="001A54B1"/>
    <w:rsid w:val="001A7778"/>
    <w:rsid w:val="001B0B83"/>
    <w:rsid w:val="001B1D10"/>
    <w:rsid w:val="001B2738"/>
    <w:rsid w:val="001C0865"/>
    <w:rsid w:val="001C1F78"/>
    <w:rsid w:val="001D1017"/>
    <w:rsid w:val="001D1470"/>
    <w:rsid w:val="001D7786"/>
    <w:rsid w:val="001E1D55"/>
    <w:rsid w:val="00201C08"/>
    <w:rsid w:val="0020461B"/>
    <w:rsid w:val="002056BE"/>
    <w:rsid w:val="00205C1D"/>
    <w:rsid w:val="0020714A"/>
    <w:rsid w:val="0021286E"/>
    <w:rsid w:val="00214445"/>
    <w:rsid w:val="00214D6D"/>
    <w:rsid w:val="00221897"/>
    <w:rsid w:val="002239DE"/>
    <w:rsid w:val="002255A2"/>
    <w:rsid w:val="00227E16"/>
    <w:rsid w:val="002331BB"/>
    <w:rsid w:val="00235552"/>
    <w:rsid w:val="00237BC4"/>
    <w:rsid w:val="00241932"/>
    <w:rsid w:val="002458FC"/>
    <w:rsid w:val="00246499"/>
    <w:rsid w:val="002470D8"/>
    <w:rsid w:val="00252F26"/>
    <w:rsid w:val="00254583"/>
    <w:rsid w:val="00254E22"/>
    <w:rsid w:val="0026039A"/>
    <w:rsid w:val="0027098D"/>
    <w:rsid w:val="002725B1"/>
    <w:rsid w:val="00273C67"/>
    <w:rsid w:val="00274263"/>
    <w:rsid w:val="00285539"/>
    <w:rsid w:val="002859ED"/>
    <w:rsid w:val="00285B6C"/>
    <w:rsid w:val="0029207B"/>
    <w:rsid w:val="00294EB3"/>
    <w:rsid w:val="002A3903"/>
    <w:rsid w:val="002A4010"/>
    <w:rsid w:val="002A67D7"/>
    <w:rsid w:val="002B11E2"/>
    <w:rsid w:val="002B5ED0"/>
    <w:rsid w:val="002C1E5A"/>
    <w:rsid w:val="002C77DA"/>
    <w:rsid w:val="002D07F9"/>
    <w:rsid w:val="002D3480"/>
    <w:rsid w:val="002E238F"/>
    <w:rsid w:val="002E342E"/>
    <w:rsid w:val="002F3752"/>
    <w:rsid w:val="003041AA"/>
    <w:rsid w:val="00305886"/>
    <w:rsid w:val="00307820"/>
    <w:rsid w:val="0031254D"/>
    <w:rsid w:val="003137B6"/>
    <w:rsid w:val="0031604E"/>
    <w:rsid w:val="00316E5F"/>
    <w:rsid w:val="00321BB4"/>
    <w:rsid w:val="00325878"/>
    <w:rsid w:val="00326BA7"/>
    <w:rsid w:val="00326FD1"/>
    <w:rsid w:val="00327957"/>
    <w:rsid w:val="00330206"/>
    <w:rsid w:val="00331300"/>
    <w:rsid w:val="00333237"/>
    <w:rsid w:val="0033562D"/>
    <w:rsid w:val="00337CD7"/>
    <w:rsid w:val="0034306C"/>
    <w:rsid w:val="003456E6"/>
    <w:rsid w:val="0034636B"/>
    <w:rsid w:val="00360F7A"/>
    <w:rsid w:val="00370C60"/>
    <w:rsid w:val="00372B01"/>
    <w:rsid w:val="00375E47"/>
    <w:rsid w:val="0038088E"/>
    <w:rsid w:val="00385A6F"/>
    <w:rsid w:val="00392476"/>
    <w:rsid w:val="003929D6"/>
    <w:rsid w:val="00397CA4"/>
    <w:rsid w:val="003A0D62"/>
    <w:rsid w:val="003A1518"/>
    <w:rsid w:val="003A1A99"/>
    <w:rsid w:val="003A2F02"/>
    <w:rsid w:val="003A7CE9"/>
    <w:rsid w:val="003B0EB2"/>
    <w:rsid w:val="003B1470"/>
    <w:rsid w:val="003D2B55"/>
    <w:rsid w:val="003D2E9A"/>
    <w:rsid w:val="003D31A8"/>
    <w:rsid w:val="003E2BE3"/>
    <w:rsid w:val="003E3D31"/>
    <w:rsid w:val="003E6E1F"/>
    <w:rsid w:val="003E770D"/>
    <w:rsid w:val="003F756A"/>
    <w:rsid w:val="00400B37"/>
    <w:rsid w:val="00402000"/>
    <w:rsid w:val="00403808"/>
    <w:rsid w:val="00403D16"/>
    <w:rsid w:val="00403F78"/>
    <w:rsid w:val="00404DFF"/>
    <w:rsid w:val="00407738"/>
    <w:rsid w:val="00416006"/>
    <w:rsid w:val="004172B0"/>
    <w:rsid w:val="00417856"/>
    <w:rsid w:val="004316D5"/>
    <w:rsid w:val="0044313E"/>
    <w:rsid w:val="004439DA"/>
    <w:rsid w:val="00443C67"/>
    <w:rsid w:val="00446664"/>
    <w:rsid w:val="0044711D"/>
    <w:rsid w:val="00453785"/>
    <w:rsid w:val="004541BA"/>
    <w:rsid w:val="00457E5A"/>
    <w:rsid w:val="00464FDD"/>
    <w:rsid w:val="00465CAA"/>
    <w:rsid w:val="0046741C"/>
    <w:rsid w:val="00470D43"/>
    <w:rsid w:val="00475FCA"/>
    <w:rsid w:val="00477095"/>
    <w:rsid w:val="0047719E"/>
    <w:rsid w:val="00482BE1"/>
    <w:rsid w:val="00491361"/>
    <w:rsid w:val="00492D10"/>
    <w:rsid w:val="0049340D"/>
    <w:rsid w:val="004A2A62"/>
    <w:rsid w:val="004A3192"/>
    <w:rsid w:val="004A3287"/>
    <w:rsid w:val="004A3F36"/>
    <w:rsid w:val="004A5329"/>
    <w:rsid w:val="004A6843"/>
    <w:rsid w:val="004D0C8C"/>
    <w:rsid w:val="004D20E0"/>
    <w:rsid w:val="004D44CB"/>
    <w:rsid w:val="004D45DA"/>
    <w:rsid w:val="004D6490"/>
    <w:rsid w:val="004E0F4C"/>
    <w:rsid w:val="004F2EA8"/>
    <w:rsid w:val="004F5B50"/>
    <w:rsid w:val="005009D7"/>
    <w:rsid w:val="00501E31"/>
    <w:rsid w:val="005037A9"/>
    <w:rsid w:val="0050393D"/>
    <w:rsid w:val="00507881"/>
    <w:rsid w:val="00510185"/>
    <w:rsid w:val="005124B3"/>
    <w:rsid w:val="005137C5"/>
    <w:rsid w:val="005142E9"/>
    <w:rsid w:val="00520655"/>
    <w:rsid w:val="00524527"/>
    <w:rsid w:val="00526EA5"/>
    <w:rsid w:val="0053607A"/>
    <w:rsid w:val="0053766A"/>
    <w:rsid w:val="00543C44"/>
    <w:rsid w:val="005478D1"/>
    <w:rsid w:val="00550EC4"/>
    <w:rsid w:val="00552BEF"/>
    <w:rsid w:val="0055568A"/>
    <w:rsid w:val="0056673E"/>
    <w:rsid w:val="00570054"/>
    <w:rsid w:val="00570101"/>
    <w:rsid w:val="00575EB2"/>
    <w:rsid w:val="00576C6F"/>
    <w:rsid w:val="00582348"/>
    <w:rsid w:val="00582935"/>
    <w:rsid w:val="00584E0D"/>
    <w:rsid w:val="00585D83"/>
    <w:rsid w:val="00587760"/>
    <w:rsid w:val="00594C63"/>
    <w:rsid w:val="005A1723"/>
    <w:rsid w:val="005A44CB"/>
    <w:rsid w:val="005A7043"/>
    <w:rsid w:val="005B4633"/>
    <w:rsid w:val="005B7DF0"/>
    <w:rsid w:val="005C0882"/>
    <w:rsid w:val="005C1952"/>
    <w:rsid w:val="005C4E9B"/>
    <w:rsid w:val="005C59A7"/>
    <w:rsid w:val="005D0263"/>
    <w:rsid w:val="005D215B"/>
    <w:rsid w:val="005D60E0"/>
    <w:rsid w:val="005D65C1"/>
    <w:rsid w:val="005E0362"/>
    <w:rsid w:val="005E3D79"/>
    <w:rsid w:val="005E3E64"/>
    <w:rsid w:val="005E42C2"/>
    <w:rsid w:val="00601D40"/>
    <w:rsid w:val="00602408"/>
    <w:rsid w:val="00603312"/>
    <w:rsid w:val="00604287"/>
    <w:rsid w:val="0060467D"/>
    <w:rsid w:val="00605792"/>
    <w:rsid w:val="0061010D"/>
    <w:rsid w:val="0061577A"/>
    <w:rsid w:val="0062290E"/>
    <w:rsid w:val="0062394A"/>
    <w:rsid w:val="00632724"/>
    <w:rsid w:val="0063686D"/>
    <w:rsid w:val="00645A51"/>
    <w:rsid w:val="00653A7F"/>
    <w:rsid w:val="00657B1A"/>
    <w:rsid w:val="00660716"/>
    <w:rsid w:val="0066452F"/>
    <w:rsid w:val="006646B2"/>
    <w:rsid w:val="00670316"/>
    <w:rsid w:val="00674094"/>
    <w:rsid w:val="00676B4B"/>
    <w:rsid w:val="0068171E"/>
    <w:rsid w:val="0068178F"/>
    <w:rsid w:val="00681FF8"/>
    <w:rsid w:val="006827E1"/>
    <w:rsid w:val="00682C42"/>
    <w:rsid w:val="00684A8D"/>
    <w:rsid w:val="00687B1E"/>
    <w:rsid w:val="0069360E"/>
    <w:rsid w:val="006A3EE4"/>
    <w:rsid w:val="006B0E61"/>
    <w:rsid w:val="006B2A69"/>
    <w:rsid w:val="006C1C8A"/>
    <w:rsid w:val="006C1CB1"/>
    <w:rsid w:val="006C3C6E"/>
    <w:rsid w:val="006D00E8"/>
    <w:rsid w:val="006D304F"/>
    <w:rsid w:val="006D7288"/>
    <w:rsid w:val="006E51AD"/>
    <w:rsid w:val="006E6286"/>
    <w:rsid w:val="006F11C2"/>
    <w:rsid w:val="006F49A3"/>
    <w:rsid w:val="006F6EDF"/>
    <w:rsid w:val="00704403"/>
    <w:rsid w:val="007054CE"/>
    <w:rsid w:val="0070555E"/>
    <w:rsid w:val="007120A2"/>
    <w:rsid w:val="007132D0"/>
    <w:rsid w:val="007149A7"/>
    <w:rsid w:val="00725005"/>
    <w:rsid w:val="00726CBC"/>
    <w:rsid w:val="00735A0B"/>
    <w:rsid w:val="00741455"/>
    <w:rsid w:val="00742E8B"/>
    <w:rsid w:val="0075193B"/>
    <w:rsid w:val="00751CEE"/>
    <w:rsid w:val="00754487"/>
    <w:rsid w:val="0075516F"/>
    <w:rsid w:val="00764B26"/>
    <w:rsid w:val="00765BF2"/>
    <w:rsid w:val="00771D28"/>
    <w:rsid w:val="007733EF"/>
    <w:rsid w:val="00783559"/>
    <w:rsid w:val="0078395D"/>
    <w:rsid w:val="0079057A"/>
    <w:rsid w:val="0079057C"/>
    <w:rsid w:val="00793F04"/>
    <w:rsid w:val="007945C6"/>
    <w:rsid w:val="0079531F"/>
    <w:rsid w:val="007A21C4"/>
    <w:rsid w:val="007A24C5"/>
    <w:rsid w:val="007A3CEC"/>
    <w:rsid w:val="007A7541"/>
    <w:rsid w:val="007B0042"/>
    <w:rsid w:val="007B15B9"/>
    <w:rsid w:val="007B1B30"/>
    <w:rsid w:val="007C6395"/>
    <w:rsid w:val="007D2262"/>
    <w:rsid w:val="007D34FC"/>
    <w:rsid w:val="007D718F"/>
    <w:rsid w:val="007E46EB"/>
    <w:rsid w:val="007E4B9B"/>
    <w:rsid w:val="007E54A8"/>
    <w:rsid w:val="007F7B9D"/>
    <w:rsid w:val="0080463D"/>
    <w:rsid w:val="00804F65"/>
    <w:rsid w:val="00807873"/>
    <w:rsid w:val="00812B42"/>
    <w:rsid w:val="00823E87"/>
    <w:rsid w:val="00826093"/>
    <w:rsid w:val="00827576"/>
    <w:rsid w:val="00827CF1"/>
    <w:rsid w:val="00832C64"/>
    <w:rsid w:val="00835E8F"/>
    <w:rsid w:val="00845442"/>
    <w:rsid w:val="0084782B"/>
    <w:rsid w:val="00850B11"/>
    <w:rsid w:val="0085382B"/>
    <w:rsid w:val="00854B01"/>
    <w:rsid w:val="0086372B"/>
    <w:rsid w:val="00867C26"/>
    <w:rsid w:val="00873170"/>
    <w:rsid w:val="0087610B"/>
    <w:rsid w:val="008806EF"/>
    <w:rsid w:val="008923EE"/>
    <w:rsid w:val="0089520D"/>
    <w:rsid w:val="00896057"/>
    <w:rsid w:val="008A1783"/>
    <w:rsid w:val="008A5DE6"/>
    <w:rsid w:val="008B08C3"/>
    <w:rsid w:val="008B4E01"/>
    <w:rsid w:val="008B765D"/>
    <w:rsid w:val="008C069E"/>
    <w:rsid w:val="008C23C9"/>
    <w:rsid w:val="008C2C75"/>
    <w:rsid w:val="008C388F"/>
    <w:rsid w:val="008C3BAC"/>
    <w:rsid w:val="008C4613"/>
    <w:rsid w:val="008C5267"/>
    <w:rsid w:val="008C571B"/>
    <w:rsid w:val="008C5922"/>
    <w:rsid w:val="008C6B27"/>
    <w:rsid w:val="008D1FC2"/>
    <w:rsid w:val="008D4C02"/>
    <w:rsid w:val="008D697E"/>
    <w:rsid w:val="008E1A52"/>
    <w:rsid w:val="008E42A5"/>
    <w:rsid w:val="008E593C"/>
    <w:rsid w:val="008F2438"/>
    <w:rsid w:val="008F4229"/>
    <w:rsid w:val="009075D7"/>
    <w:rsid w:val="0091061C"/>
    <w:rsid w:val="0091378E"/>
    <w:rsid w:val="00921033"/>
    <w:rsid w:val="0092447F"/>
    <w:rsid w:val="00924FF5"/>
    <w:rsid w:val="00925749"/>
    <w:rsid w:val="00927185"/>
    <w:rsid w:val="009317B4"/>
    <w:rsid w:val="00932D54"/>
    <w:rsid w:val="00934237"/>
    <w:rsid w:val="00934556"/>
    <w:rsid w:val="00937989"/>
    <w:rsid w:val="00937CA2"/>
    <w:rsid w:val="0094041A"/>
    <w:rsid w:val="00940AB2"/>
    <w:rsid w:val="00946E60"/>
    <w:rsid w:val="009576AF"/>
    <w:rsid w:val="00962C76"/>
    <w:rsid w:val="00971340"/>
    <w:rsid w:val="0097649A"/>
    <w:rsid w:val="0097741F"/>
    <w:rsid w:val="00977598"/>
    <w:rsid w:val="0098261E"/>
    <w:rsid w:val="00985D2D"/>
    <w:rsid w:val="00990571"/>
    <w:rsid w:val="0099058F"/>
    <w:rsid w:val="00995DFA"/>
    <w:rsid w:val="009962E1"/>
    <w:rsid w:val="009975BA"/>
    <w:rsid w:val="009A09D6"/>
    <w:rsid w:val="009A32C7"/>
    <w:rsid w:val="009A3F93"/>
    <w:rsid w:val="009A4DF7"/>
    <w:rsid w:val="009A580A"/>
    <w:rsid w:val="009B1458"/>
    <w:rsid w:val="009B3993"/>
    <w:rsid w:val="009B3D64"/>
    <w:rsid w:val="009C084F"/>
    <w:rsid w:val="009C1011"/>
    <w:rsid w:val="009C2ED5"/>
    <w:rsid w:val="009C660D"/>
    <w:rsid w:val="009D2931"/>
    <w:rsid w:val="009D35CB"/>
    <w:rsid w:val="009D5315"/>
    <w:rsid w:val="009E5CE4"/>
    <w:rsid w:val="009E6D48"/>
    <w:rsid w:val="009F22C2"/>
    <w:rsid w:val="009F5747"/>
    <w:rsid w:val="00A01F30"/>
    <w:rsid w:val="00A02741"/>
    <w:rsid w:val="00A06326"/>
    <w:rsid w:val="00A06786"/>
    <w:rsid w:val="00A116E2"/>
    <w:rsid w:val="00A12BED"/>
    <w:rsid w:val="00A169EF"/>
    <w:rsid w:val="00A20B36"/>
    <w:rsid w:val="00A23FBC"/>
    <w:rsid w:val="00A24FB7"/>
    <w:rsid w:val="00A25B40"/>
    <w:rsid w:val="00A313F7"/>
    <w:rsid w:val="00A44906"/>
    <w:rsid w:val="00A45B63"/>
    <w:rsid w:val="00A507FD"/>
    <w:rsid w:val="00A5137E"/>
    <w:rsid w:val="00A608AA"/>
    <w:rsid w:val="00A61346"/>
    <w:rsid w:val="00A61CFE"/>
    <w:rsid w:val="00A6500C"/>
    <w:rsid w:val="00A65F66"/>
    <w:rsid w:val="00A70B4A"/>
    <w:rsid w:val="00A70DED"/>
    <w:rsid w:val="00A7160E"/>
    <w:rsid w:val="00A718DF"/>
    <w:rsid w:val="00A720FF"/>
    <w:rsid w:val="00A75468"/>
    <w:rsid w:val="00A75A6A"/>
    <w:rsid w:val="00A9348C"/>
    <w:rsid w:val="00AA1C9F"/>
    <w:rsid w:val="00AA2775"/>
    <w:rsid w:val="00AA35C3"/>
    <w:rsid w:val="00AA4FC2"/>
    <w:rsid w:val="00AB164A"/>
    <w:rsid w:val="00AC1244"/>
    <w:rsid w:val="00AC5D48"/>
    <w:rsid w:val="00AC7126"/>
    <w:rsid w:val="00AC7DBB"/>
    <w:rsid w:val="00AD419E"/>
    <w:rsid w:val="00AE2C50"/>
    <w:rsid w:val="00AF39AE"/>
    <w:rsid w:val="00AF7454"/>
    <w:rsid w:val="00B0640F"/>
    <w:rsid w:val="00B10067"/>
    <w:rsid w:val="00B11EBA"/>
    <w:rsid w:val="00B149D0"/>
    <w:rsid w:val="00B15AB8"/>
    <w:rsid w:val="00B17747"/>
    <w:rsid w:val="00B22CCB"/>
    <w:rsid w:val="00B27E79"/>
    <w:rsid w:val="00B32147"/>
    <w:rsid w:val="00B32ACB"/>
    <w:rsid w:val="00B42325"/>
    <w:rsid w:val="00B43538"/>
    <w:rsid w:val="00B53A6A"/>
    <w:rsid w:val="00B563C9"/>
    <w:rsid w:val="00B56AA5"/>
    <w:rsid w:val="00B61D8E"/>
    <w:rsid w:val="00B643C4"/>
    <w:rsid w:val="00B64674"/>
    <w:rsid w:val="00B67AEC"/>
    <w:rsid w:val="00B710FC"/>
    <w:rsid w:val="00B7307C"/>
    <w:rsid w:val="00B75173"/>
    <w:rsid w:val="00B82F1D"/>
    <w:rsid w:val="00B86D80"/>
    <w:rsid w:val="00B921C3"/>
    <w:rsid w:val="00BA0D10"/>
    <w:rsid w:val="00BA6155"/>
    <w:rsid w:val="00BB3021"/>
    <w:rsid w:val="00BB7BFB"/>
    <w:rsid w:val="00BC2F76"/>
    <w:rsid w:val="00BC794A"/>
    <w:rsid w:val="00BE0456"/>
    <w:rsid w:val="00BE1539"/>
    <w:rsid w:val="00BE5320"/>
    <w:rsid w:val="00BE6174"/>
    <w:rsid w:val="00BF23C2"/>
    <w:rsid w:val="00BF2ED2"/>
    <w:rsid w:val="00BF2FB2"/>
    <w:rsid w:val="00BF3612"/>
    <w:rsid w:val="00BF6141"/>
    <w:rsid w:val="00BF7275"/>
    <w:rsid w:val="00BF79D0"/>
    <w:rsid w:val="00C00D0B"/>
    <w:rsid w:val="00C01A99"/>
    <w:rsid w:val="00C04ABD"/>
    <w:rsid w:val="00C06385"/>
    <w:rsid w:val="00C1655D"/>
    <w:rsid w:val="00C16C47"/>
    <w:rsid w:val="00C338C2"/>
    <w:rsid w:val="00C33B00"/>
    <w:rsid w:val="00C35B8C"/>
    <w:rsid w:val="00C41D94"/>
    <w:rsid w:val="00C4338B"/>
    <w:rsid w:val="00C47564"/>
    <w:rsid w:val="00C514EB"/>
    <w:rsid w:val="00C5208E"/>
    <w:rsid w:val="00C5318F"/>
    <w:rsid w:val="00C53D05"/>
    <w:rsid w:val="00C61844"/>
    <w:rsid w:val="00C72290"/>
    <w:rsid w:val="00C722C3"/>
    <w:rsid w:val="00C8083A"/>
    <w:rsid w:val="00C812EF"/>
    <w:rsid w:val="00C827CB"/>
    <w:rsid w:val="00C85E9F"/>
    <w:rsid w:val="00C871CF"/>
    <w:rsid w:val="00C91F56"/>
    <w:rsid w:val="00C93BA7"/>
    <w:rsid w:val="00C94CEE"/>
    <w:rsid w:val="00C9613B"/>
    <w:rsid w:val="00CA1BB5"/>
    <w:rsid w:val="00CA3AFD"/>
    <w:rsid w:val="00CA3D61"/>
    <w:rsid w:val="00CA6EB0"/>
    <w:rsid w:val="00CA7679"/>
    <w:rsid w:val="00CB01F1"/>
    <w:rsid w:val="00CB18AD"/>
    <w:rsid w:val="00CB642D"/>
    <w:rsid w:val="00CB7BA3"/>
    <w:rsid w:val="00CD7D57"/>
    <w:rsid w:val="00CE022C"/>
    <w:rsid w:val="00CE3F2F"/>
    <w:rsid w:val="00CE77D5"/>
    <w:rsid w:val="00CF15BE"/>
    <w:rsid w:val="00CF4A00"/>
    <w:rsid w:val="00D00511"/>
    <w:rsid w:val="00D102CA"/>
    <w:rsid w:val="00D1167D"/>
    <w:rsid w:val="00D1217B"/>
    <w:rsid w:val="00D1574E"/>
    <w:rsid w:val="00D1704B"/>
    <w:rsid w:val="00D22CF2"/>
    <w:rsid w:val="00D25D08"/>
    <w:rsid w:val="00D27BCD"/>
    <w:rsid w:val="00D30E2B"/>
    <w:rsid w:val="00D32FBC"/>
    <w:rsid w:val="00D41C7C"/>
    <w:rsid w:val="00D436E0"/>
    <w:rsid w:val="00D44B11"/>
    <w:rsid w:val="00D5509A"/>
    <w:rsid w:val="00D57AF8"/>
    <w:rsid w:val="00D60344"/>
    <w:rsid w:val="00D62AF9"/>
    <w:rsid w:val="00D64ABC"/>
    <w:rsid w:val="00D658EF"/>
    <w:rsid w:val="00D67A07"/>
    <w:rsid w:val="00D7038D"/>
    <w:rsid w:val="00D744CB"/>
    <w:rsid w:val="00D80DA0"/>
    <w:rsid w:val="00D81812"/>
    <w:rsid w:val="00D870C9"/>
    <w:rsid w:val="00D91AEC"/>
    <w:rsid w:val="00D95A8D"/>
    <w:rsid w:val="00D95E7E"/>
    <w:rsid w:val="00D96BC5"/>
    <w:rsid w:val="00D971BC"/>
    <w:rsid w:val="00DA032F"/>
    <w:rsid w:val="00DA373D"/>
    <w:rsid w:val="00DA3E2D"/>
    <w:rsid w:val="00DB08B5"/>
    <w:rsid w:val="00DB0D71"/>
    <w:rsid w:val="00DB14A6"/>
    <w:rsid w:val="00DB4185"/>
    <w:rsid w:val="00DB799C"/>
    <w:rsid w:val="00DC1664"/>
    <w:rsid w:val="00DC1A88"/>
    <w:rsid w:val="00DC3707"/>
    <w:rsid w:val="00DC45C5"/>
    <w:rsid w:val="00DC533D"/>
    <w:rsid w:val="00DC5F81"/>
    <w:rsid w:val="00DD1ADB"/>
    <w:rsid w:val="00DD3995"/>
    <w:rsid w:val="00DE764F"/>
    <w:rsid w:val="00DE790D"/>
    <w:rsid w:val="00DF6CE4"/>
    <w:rsid w:val="00E005E4"/>
    <w:rsid w:val="00E020B5"/>
    <w:rsid w:val="00E032E4"/>
    <w:rsid w:val="00E07706"/>
    <w:rsid w:val="00E1359F"/>
    <w:rsid w:val="00E20A88"/>
    <w:rsid w:val="00E212F6"/>
    <w:rsid w:val="00E2361E"/>
    <w:rsid w:val="00E237F5"/>
    <w:rsid w:val="00E23DE3"/>
    <w:rsid w:val="00E260ED"/>
    <w:rsid w:val="00E27B5D"/>
    <w:rsid w:val="00E27D84"/>
    <w:rsid w:val="00E36018"/>
    <w:rsid w:val="00E45ACB"/>
    <w:rsid w:val="00E5421A"/>
    <w:rsid w:val="00E54E0A"/>
    <w:rsid w:val="00E572F1"/>
    <w:rsid w:val="00E619A7"/>
    <w:rsid w:val="00E65EF7"/>
    <w:rsid w:val="00E72DC9"/>
    <w:rsid w:val="00E74367"/>
    <w:rsid w:val="00E77DB2"/>
    <w:rsid w:val="00E80744"/>
    <w:rsid w:val="00E80FB0"/>
    <w:rsid w:val="00E84381"/>
    <w:rsid w:val="00E86982"/>
    <w:rsid w:val="00E90C23"/>
    <w:rsid w:val="00E929B3"/>
    <w:rsid w:val="00E93A3D"/>
    <w:rsid w:val="00EA1B2C"/>
    <w:rsid w:val="00EA57EA"/>
    <w:rsid w:val="00EB0F29"/>
    <w:rsid w:val="00EB4744"/>
    <w:rsid w:val="00EC280D"/>
    <w:rsid w:val="00EC3E04"/>
    <w:rsid w:val="00EC5EF1"/>
    <w:rsid w:val="00EC7B8E"/>
    <w:rsid w:val="00ED33F0"/>
    <w:rsid w:val="00ED4BF5"/>
    <w:rsid w:val="00ED583B"/>
    <w:rsid w:val="00EE0159"/>
    <w:rsid w:val="00EE1786"/>
    <w:rsid w:val="00EE3EE3"/>
    <w:rsid w:val="00EF2E19"/>
    <w:rsid w:val="00EF379D"/>
    <w:rsid w:val="00EF3D05"/>
    <w:rsid w:val="00EF4A16"/>
    <w:rsid w:val="00F00228"/>
    <w:rsid w:val="00F06B81"/>
    <w:rsid w:val="00F11618"/>
    <w:rsid w:val="00F11A74"/>
    <w:rsid w:val="00F134A9"/>
    <w:rsid w:val="00F24160"/>
    <w:rsid w:val="00F2571B"/>
    <w:rsid w:val="00F30BDD"/>
    <w:rsid w:val="00F3327A"/>
    <w:rsid w:val="00F370F4"/>
    <w:rsid w:val="00F42881"/>
    <w:rsid w:val="00F4381F"/>
    <w:rsid w:val="00F462DF"/>
    <w:rsid w:val="00F47F11"/>
    <w:rsid w:val="00F526D8"/>
    <w:rsid w:val="00F553EC"/>
    <w:rsid w:val="00F55EBF"/>
    <w:rsid w:val="00F56C7A"/>
    <w:rsid w:val="00F60C8A"/>
    <w:rsid w:val="00F63B14"/>
    <w:rsid w:val="00F63E36"/>
    <w:rsid w:val="00F653C5"/>
    <w:rsid w:val="00F66E68"/>
    <w:rsid w:val="00F70ED5"/>
    <w:rsid w:val="00F73783"/>
    <w:rsid w:val="00F762A9"/>
    <w:rsid w:val="00F82D8F"/>
    <w:rsid w:val="00F9497D"/>
    <w:rsid w:val="00F96AFF"/>
    <w:rsid w:val="00FA1F93"/>
    <w:rsid w:val="00FA21FE"/>
    <w:rsid w:val="00FB7A12"/>
    <w:rsid w:val="00FC03A8"/>
    <w:rsid w:val="00FC07FD"/>
    <w:rsid w:val="00FC4554"/>
    <w:rsid w:val="00FC45DB"/>
    <w:rsid w:val="00FC6A39"/>
    <w:rsid w:val="00FC7370"/>
    <w:rsid w:val="00FD0E80"/>
    <w:rsid w:val="00FD1567"/>
    <w:rsid w:val="00FD2DAC"/>
    <w:rsid w:val="00FD319D"/>
    <w:rsid w:val="00FD5252"/>
    <w:rsid w:val="00FD7E35"/>
    <w:rsid w:val="00FE4233"/>
    <w:rsid w:val="00FE4DBE"/>
    <w:rsid w:val="00FE6455"/>
    <w:rsid w:val="00FE689A"/>
    <w:rsid w:val="00FF00AF"/>
    <w:rsid w:val="00FF3CE6"/>
    <w:rsid w:val="00FF4D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1577"/>
    <w:pPr>
      <w:spacing w:after="200" w:line="276" w:lineRule="auto"/>
    </w:pPr>
    <w:rPr>
      <w:sz w:val="22"/>
      <w:szCs w:val="22"/>
      <w:lang w:val="en-US" w:eastAsia="zh-CN"/>
    </w:rPr>
  </w:style>
  <w:style w:type="paragraph" w:styleId="Antrat1">
    <w:name w:val="heading 1"/>
    <w:basedOn w:val="prastasis"/>
    <w:next w:val="prastasis"/>
    <w:link w:val="Antrat1Diagrama"/>
    <w:uiPriority w:val="99"/>
    <w:qFormat/>
    <w:rsid w:val="003E2BE3"/>
    <w:pPr>
      <w:keepNext/>
      <w:spacing w:before="240" w:after="60" w:line="240" w:lineRule="auto"/>
      <w:outlineLvl w:val="0"/>
    </w:pPr>
    <w:rPr>
      <w:rFonts w:ascii="Arial" w:hAnsi="Arial" w:cs="Arial"/>
      <w:b/>
      <w:bCs/>
      <w:kern w:val="32"/>
      <w:sz w:val="32"/>
      <w:szCs w:val="32"/>
      <w:lang w:val="lt-LT" w:eastAsia="en-US"/>
    </w:rPr>
  </w:style>
  <w:style w:type="paragraph" w:styleId="Antrat2">
    <w:name w:val="heading 2"/>
    <w:basedOn w:val="prastasis"/>
    <w:next w:val="prastasis"/>
    <w:link w:val="Antrat2Diagrama"/>
    <w:uiPriority w:val="99"/>
    <w:qFormat/>
    <w:rsid w:val="003E2BE3"/>
    <w:pPr>
      <w:keepNext/>
      <w:spacing w:before="240" w:after="60" w:line="240" w:lineRule="auto"/>
      <w:outlineLvl w:val="1"/>
    </w:pPr>
    <w:rPr>
      <w:rFonts w:ascii="Arial" w:hAnsi="Arial" w:cs="Arial"/>
      <w:b/>
      <w:bCs/>
      <w:i/>
      <w:iCs/>
      <w:sz w:val="28"/>
      <w:szCs w:val="28"/>
      <w:lang w:val="lt-LT" w:eastAsia="en-US"/>
    </w:rPr>
  </w:style>
  <w:style w:type="paragraph" w:styleId="Antrat3">
    <w:name w:val="heading 3"/>
    <w:basedOn w:val="prastasis"/>
    <w:next w:val="prastasis"/>
    <w:link w:val="Antrat3Diagrama"/>
    <w:uiPriority w:val="99"/>
    <w:qFormat/>
    <w:rsid w:val="003E2BE3"/>
    <w:pPr>
      <w:keepNext/>
      <w:spacing w:before="240" w:after="60" w:line="240" w:lineRule="auto"/>
      <w:outlineLvl w:val="2"/>
    </w:pPr>
    <w:rPr>
      <w:rFonts w:ascii="Arial" w:hAnsi="Arial" w:cs="Arial"/>
      <w:b/>
      <w:bCs/>
      <w:sz w:val="26"/>
      <w:szCs w:val="26"/>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E2BE3"/>
    <w:rPr>
      <w:rFonts w:ascii="Arial" w:hAnsi="Arial" w:cs="Arial"/>
      <w:b/>
      <w:bCs/>
      <w:kern w:val="32"/>
      <w:sz w:val="32"/>
      <w:szCs w:val="32"/>
      <w:lang w:val="lt-LT" w:eastAsia="en-US"/>
    </w:rPr>
  </w:style>
  <w:style w:type="character" w:customStyle="1" w:styleId="Antrat2Diagrama">
    <w:name w:val="Antraštė 2 Diagrama"/>
    <w:basedOn w:val="Numatytasispastraiposriftas"/>
    <w:link w:val="Antrat2"/>
    <w:uiPriority w:val="99"/>
    <w:locked/>
    <w:rsid w:val="003E2BE3"/>
    <w:rPr>
      <w:rFonts w:ascii="Arial" w:hAnsi="Arial" w:cs="Arial"/>
      <w:b/>
      <w:bCs/>
      <w:i/>
      <w:iCs/>
      <w:sz w:val="28"/>
      <w:szCs w:val="28"/>
      <w:lang w:val="lt-LT" w:eastAsia="en-US"/>
    </w:rPr>
  </w:style>
  <w:style w:type="character" w:customStyle="1" w:styleId="Antrat3Diagrama">
    <w:name w:val="Antraštė 3 Diagrama"/>
    <w:basedOn w:val="Numatytasispastraiposriftas"/>
    <w:link w:val="Antrat3"/>
    <w:uiPriority w:val="99"/>
    <w:locked/>
    <w:rsid w:val="003E2BE3"/>
    <w:rPr>
      <w:rFonts w:ascii="Arial" w:hAnsi="Arial" w:cs="Arial"/>
      <w:b/>
      <w:bCs/>
      <w:sz w:val="26"/>
      <w:szCs w:val="26"/>
      <w:lang w:val="lt-LT" w:eastAsia="en-US"/>
    </w:rPr>
  </w:style>
  <w:style w:type="character" w:styleId="Hipersaitas">
    <w:name w:val="Hyperlink"/>
    <w:basedOn w:val="Numatytasispastraiposriftas"/>
    <w:uiPriority w:val="99"/>
    <w:rsid w:val="003E2BE3"/>
    <w:rPr>
      <w:rFonts w:cs="Times New Roman"/>
      <w:color w:val="0000FF"/>
      <w:u w:val="single"/>
    </w:rPr>
  </w:style>
  <w:style w:type="paragraph" w:customStyle="1" w:styleId="PI-1EMEASMCA">
    <w:name w:val="PI-1 EMEA_SMCA"/>
    <w:basedOn w:val="Antrat2"/>
    <w:autoRedefine/>
    <w:uiPriority w:val="99"/>
    <w:rsid w:val="00C5318F"/>
    <w:pPr>
      <w:tabs>
        <w:tab w:val="left" w:pos="720"/>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3E2BE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caps/>
      <w:noProof/>
      <w:lang w:val="lt-LT" w:eastAsia="en-US"/>
    </w:rPr>
  </w:style>
  <w:style w:type="character" w:customStyle="1" w:styleId="PI-1labEMEASMCAChar">
    <w:name w:val="PI-1_lab EMEA_SMCA Char"/>
    <w:basedOn w:val="Numatytasispastraiposriftas"/>
    <w:link w:val="PI-1labEMEASMCA"/>
    <w:uiPriority w:val="99"/>
    <w:locked/>
    <w:rsid w:val="003E2BE3"/>
    <w:rPr>
      <w:rFonts w:ascii="Times New Roman" w:hAnsi="Times New Roman" w:cs="Times New Roman"/>
      <w:b/>
      <w:caps/>
      <w:noProof/>
      <w:lang w:val="lt-LT" w:eastAsia="en-US"/>
    </w:rPr>
  </w:style>
  <w:style w:type="paragraph" w:customStyle="1" w:styleId="PI-2EMEASMCA">
    <w:name w:val="PI-2 EMEA_SMCA"/>
    <w:basedOn w:val="Antrat3"/>
    <w:autoRedefine/>
    <w:uiPriority w:val="99"/>
    <w:rsid w:val="003E2BE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3E2BE3"/>
    <w:pPr>
      <w:spacing w:after="0" w:line="240" w:lineRule="auto"/>
    </w:pPr>
    <w:rPr>
      <w:rFonts w:ascii="Times New Roman" w:hAnsi="Times New Roman"/>
      <w:noProof/>
      <w:lang w:val="lt-LT" w:eastAsia="en-US"/>
    </w:rPr>
  </w:style>
  <w:style w:type="paragraph" w:customStyle="1" w:styleId="TTEMEASMCA">
    <w:name w:val="TT EMEA_SMCA"/>
    <w:basedOn w:val="Antrat1"/>
    <w:link w:val="TTEMEASMCAChar"/>
    <w:autoRedefine/>
    <w:uiPriority w:val="99"/>
    <w:rsid w:val="003E2BE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uiPriority w:val="99"/>
    <w:locked/>
    <w:rsid w:val="003E2BE3"/>
    <w:rPr>
      <w:rFonts w:ascii="Times New Roman" w:hAnsi="Times New Roman" w:cs="Times New Roman"/>
      <w:b/>
      <w:caps/>
      <w:lang w:eastAsia="en-US"/>
    </w:rPr>
  </w:style>
  <w:style w:type="paragraph" w:customStyle="1" w:styleId="BTAnIIEMEASMCA">
    <w:name w:val="BT(AnII) EMEA_SMCA"/>
    <w:basedOn w:val="Debesliotekstas"/>
    <w:autoRedefine/>
    <w:uiPriority w:val="99"/>
    <w:rsid w:val="003E2BE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E2BE3"/>
    <w:pPr>
      <w:numPr>
        <w:numId w:val="1"/>
      </w:numPr>
    </w:pPr>
  </w:style>
  <w:style w:type="paragraph" w:customStyle="1" w:styleId="PI-3EMEASMCA">
    <w:name w:val="PI-3 EMEA_SMCA"/>
    <w:basedOn w:val="prastasis"/>
    <w:autoRedefine/>
    <w:uiPriority w:val="99"/>
    <w:rsid w:val="001259A7"/>
    <w:pPr>
      <w:spacing w:after="0" w:line="240" w:lineRule="auto"/>
    </w:pPr>
    <w:rPr>
      <w:rFonts w:ascii="Times New Roman" w:hAnsi="Times New Roman"/>
      <w:b/>
      <w:bCs/>
      <w:lang w:val="lt-LT" w:eastAsia="en-US"/>
    </w:rPr>
  </w:style>
  <w:style w:type="paragraph" w:customStyle="1" w:styleId="BTbEMEASMCA">
    <w:name w:val="BT(b) EMEA_SMCA"/>
    <w:basedOn w:val="BTEMEASMCA"/>
    <w:autoRedefine/>
    <w:uiPriority w:val="99"/>
    <w:rsid w:val="006F6EDF"/>
    <w:rPr>
      <w:b/>
    </w:rPr>
  </w:style>
  <w:style w:type="paragraph" w:customStyle="1" w:styleId="BTbeEMEASMCA">
    <w:name w:val="BT(be) EMEA_SMCA"/>
    <w:basedOn w:val="BTEMEASMCA"/>
    <w:autoRedefine/>
    <w:uiPriority w:val="99"/>
    <w:rsid w:val="003E2BE3"/>
    <w:pPr>
      <w:jc w:val="center"/>
    </w:pPr>
    <w:rPr>
      <w:b/>
    </w:rPr>
  </w:style>
  <w:style w:type="paragraph" w:customStyle="1" w:styleId="BTeEMEASMCA">
    <w:name w:val="BT(e) EMEA_SMCA"/>
    <w:basedOn w:val="BTEMEASMCA"/>
    <w:autoRedefine/>
    <w:uiPriority w:val="99"/>
    <w:rsid w:val="003E2BE3"/>
    <w:pPr>
      <w:jc w:val="center"/>
    </w:pPr>
  </w:style>
  <w:style w:type="paragraph" w:customStyle="1" w:styleId="BTgEMEASMCA">
    <w:name w:val="BT(g) EMEA_SMCA"/>
    <w:basedOn w:val="BTEMEASMCA"/>
    <w:link w:val="BTgEMEASMCAChar"/>
    <w:autoRedefine/>
    <w:uiPriority w:val="99"/>
    <w:rsid w:val="003E2BE3"/>
    <w:rPr>
      <w:i/>
      <w:color w:val="008000"/>
    </w:rPr>
  </w:style>
  <w:style w:type="character" w:customStyle="1" w:styleId="BTEMEASMCAChar">
    <w:name w:val="BT EMEA_SMCA Char"/>
    <w:basedOn w:val="Numatytasispastraiposriftas"/>
    <w:link w:val="BTEMEASMCA"/>
    <w:uiPriority w:val="99"/>
    <w:locked/>
    <w:rsid w:val="003E2BE3"/>
    <w:rPr>
      <w:rFonts w:ascii="Times New Roman" w:hAnsi="Times New Roman" w:cs="Times New Roman"/>
      <w:noProof/>
      <w:lang w:val="lt-LT" w:eastAsia="en-US"/>
    </w:rPr>
  </w:style>
  <w:style w:type="character" w:customStyle="1" w:styleId="BTgEMEASMCAChar">
    <w:name w:val="BT(g) EMEA_SMCA Char"/>
    <w:basedOn w:val="BTEMEASMCAChar"/>
    <w:link w:val="BTgEMEASMCA"/>
    <w:uiPriority w:val="99"/>
    <w:locked/>
    <w:rsid w:val="003E2BE3"/>
    <w:rPr>
      <w:rFonts w:ascii="Times New Roman" w:hAnsi="Times New Roman" w:cs="Times New Roman"/>
      <w:i/>
      <w:noProof/>
      <w:color w:val="008000"/>
      <w:lang w:val="lt-LT" w:eastAsia="en-US"/>
    </w:rPr>
  </w:style>
  <w:style w:type="paragraph" w:customStyle="1" w:styleId="BTuEMEASMCA">
    <w:name w:val="BT(u) EMEA_SMCA"/>
    <w:basedOn w:val="BTEMEASMCA"/>
    <w:autoRedefine/>
    <w:uiPriority w:val="99"/>
    <w:rsid w:val="003E2BE3"/>
    <w:rPr>
      <w:u w:val="single"/>
    </w:rPr>
  </w:style>
  <w:style w:type="paragraph" w:styleId="Debesliotekstas">
    <w:name w:val="Balloon Text"/>
    <w:basedOn w:val="prastasis"/>
    <w:link w:val="DebesliotekstasDiagrama"/>
    <w:uiPriority w:val="99"/>
    <w:semiHidden/>
    <w:rsid w:val="003E2BE3"/>
    <w:pPr>
      <w:spacing w:after="0" w:line="240" w:lineRule="auto"/>
    </w:pPr>
    <w:rPr>
      <w:rFonts w:ascii="Tahoma"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locked/>
    <w:rsid w:val="003E2BE3"/>
    <w:rPr>
      <w:rFonts w:ascii="Tahoma" w:hAnsi="Tahoma" w:cs="Tahoma"/>
      <w:sz w:val="16"/>
      <w:szCs w:val="16"/>
      <w:lang w:val="lt-LT" w:eastAsia="en-US"/>
    </w:rPr>
  </w:style>
  <w:style w:type="paragraph" w:styleId="Dokumentostruktra">
    <w:name w:val="Document Map"/>
    <w:basedOn w:val="prastasis"/>
    <w:link w:val="DokumentostruktraDiagrama"/>
    <w:uiPriority w:val="99"/>
    <w:semiHidden/>
    <w:rsid w:val="003E2BE3"/>
    <w:pPr>
      <w:shd w:val="clear" w:color="auto" w:fill="000080"/>
      <w:spacing w:after="0" w:line="240" w:lineRule="auto"/>
    </w:pPr>
    <w:rPr>
      <w:rFonts w:ascii="Tahoma" w:hAnsi="Tahoma" w:cs="Tahoma"/>
      <w:sz w:val="20"/>
      <w:szCs w:val="20"/>
      <w:lang w:val="lt-LT" w:eastAsia="en-US"/>
    </w:rPr>
  </w:style>
  <w:style w:type="character" w:customStyle="1" w:styleId="DokumentostruktraDiagrama">
    <w:name w:val="Dokumento struktūra Diagrama"/>
    <w:basedOn w:val="Numatytasispastraiposriftas"/>
    <w:link w:val="Dokumentostruktra"/>
    <w:uiPriority w:val="99"/>
    <w:semiHidden/>
    <w:locked/>
    <w:rsid w:val="003E2BE3"/>
    <w:rPr>
      <w:rFonts w:ascii="Tahoma" w:hAnsi="Tahoma" w:cs="Tahoma"/>
      <w:sz w:val="20"/>
      <w:szCs w:val="20"/>
      <w:shd w:val="clear" w:color="auto" w:fill="000080"/>
      <w:lang w:val="lt-LT" w:eastAsia="en-US"/>
    </w:rPr>
  </w:style>
  <w:style w:type="paragraph" w:customStyle="1" w:styleId="ExtraSpace">
    <w:name w:val="Extra Space"/>
    <w:basedOn w:val="prastasis"/>
    <w:next w:val="prastasis"/>
    <w:uiPriority w:val="99"/>
    <w:rsid w:val="003E2BE3"/>
    <w:pPr>
      <w:spacing w:after="0" w:line="120" w:lineRule="exact"/>
    </w:pPr>
    <w:rPr>
      <w:rFonts w:ascii="Arial" w:hAnsi="Arial"/>
      <w:color w:val="00FF00"/>
      <w:sz w:val="20"/>
      <w:szCs w:val="20"/>
      <w:lang w:eastAsia="lt-LT"/>
    </w:rPr>
  </w:style>
  <w:style w:type="paragraph" w:customStyle="1" w:styleId="Tablecentered">
    <w:name w:val="Table: centered"/>
    <w:basedOn w:val="prastasis"/>
    <w:uiPriority w:val="99"/>
    <w:rsid w:val="003E2BE3"/>
    <w:pPr>
      <w:keepNext/>
      <w:keepLines/>
      <w:spacing w:after="0" w:line="240" w:lineRule="auto"/>
      <w:jc w:val="center"/>
    </w:pPr>
    <w:rPr>
      <w:rFonts w:ascii="Arial" w:hAnsi="Arial"/>
      <w:sz w:val="14"/>
      <w:szCs w:val="20"/>
      <w:lang w:eastAsia="lt-LT"/>
    </w:rPr>
  </w:style>
  <w:style w:type="paragraph" w:customStyle="1" w:styleId="EnvelopeAddress1">
    <w:name w:val="Envelope Address1"/>
    <w:basedOn w:val="prastasis"/>
    <w:uiPriority w:val="99"/>
    <w:rsid w:val="003E2BE3"/>
    <w:pPr>
      <w:framePr w:w="7920" w:h="1980" w:hRule="exact" w:hSpace="180" w:wrap="auto" w:hAnchor="page" w:xAlign="center" w:yAlign="bottom"/>
      <w:spacing w:after="0" w:line="240" w:lineRule="auto"/>
      <w:ind w:left="2880"/>
    </w:pPr>
    <w:rPr>
      <w:rFonts w:ascii="TimesLT" w:hAnsi="TimesLT"/>
      <w:sz w:val="24"/>
      <w:szCs w:val="20"/>
      <w:lang w:val="en-GB" w:eastAsia="lt-LT"/>
    </w:rPr>
  </w:style>
  <w:style w:type="character" w:styleId="Puslapioinaosnuoroda">
    <w:name w:val="footnote reference"/>
    <w:basedOn w:val="Numatytasispastraiposriftas"/>
    <w:uiPriority w:val="99"/>
    <w:semiHidden/>
    <w:rsid w:val="003E2BE3"/>
    <w:rPr>
      <w:rFonts w:cs="Times New Roman"/>
      <w:position w:val="6"/>
      <w:sz w:val="16"/>
    </w:rPr>
  </w:style>
  <w:style w:type="paragraph" w:styleId="Puslapioinaostekstas">
    <w:name w:val="footnote text"/>
    <w:basedOn w:val="prastasis"/>
    <w:next w:val="prastasis"/>
    <w:link w:val="PuslapioinaostekstasDiagrama"/>
    <w:uiPriority w:val="99"/>
    <w:semiHidden/>
    <w:rsid w:val="003E2BE3"/>
    <w:pPr>
      <w:spacing w:after="0" w:line="240" w:lineRule="auto"/>
    </w:pPr>
    <w:rPr>
      <w:rFonts w:ascii="TimesLT" w:hAnsi="TimesLT"/>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locked/>
    <w:rsid w:val="003E2BE3"/>
    <w:rPr>
      <w:rFonts w:ascii="TimesLT" w:hAnsi="TimesLT" w:cs="Times New Roman"/>
      <w:sz w:val="20"/>
      <w:szCs w:val="20"/>
      <w:lang w:val="en-GB" w:eastAsia="lt-LT"/>
    </w:rPr>
  </w:style>
  <w:style w:type="paragraph" w:styleId="Antrats">
    <w:name w:val="header"/>
    <w:basedOn w:val="prastasis"/>
    <w:link w:val="AntratsDiagrama"/>
    <w:uiPriority w:val="99"/>
    <w:rsid w:val="003E2BE3"/>
    <w:pPr>
      <w:tabs>
        <w:tab w:val="center" w:pos="4819"/>
        <w:tab w:val="right" w:pos="9638"/>
      </w:tabs>
      <w:spacing w:after="0" w:line="240" w:lineRule="auto"/>
    </w:pPr>
    <w:rPr>
      <w:rFonts w:ascii="Times New Roman" w:hAnsi="Times New Roman"/>
      <w:sz w:val="24"/>
      <w:szCs w:val="24"/>
      <w:lang w:val="lt-LT" w:eastAsia="en-US"/>
    </w:rPr>
  </w:style>
  <w:style w:type="character" w:customStyle="1" w:styleId="AntratsDiagrama">
    <w:name w:val="Antraštės Diagrama"/>
    <w:basedOn w:val="Numatytasispastraiposriftas"/>
    <w:link w:val="Antrats"/>
    <w:uiPriority w:val="99"/>
    <w:locked/>
    <w:rsid w:val="003E2BE3"/>
    <w:rPr>
      <w:rFonts w:ascii="Times New Roman" w:hAnsi="Times New Roman" w:cs="Times New Roman"/>
      <w:sz w:val="24"/>
      <w:szCs w:val="24"/>
      <w:lang w:val="lt-LT" w:eastAsia="en-US"/>
    </w:rPr>
  </w:style>
  <w:style w:type="paragraph" w:styleId="Porat">
    <w:name w:val="footer"/>
    <w:basedOn w:val="prastasis"/>
    <w:link w:val="PoratDiagrama"/>
    <w:uiPriority w:val="99"/>
    <w:rsid w:val="003E2BE3"/>
    <w:pPr>
      <w:tabs>
        <w:tab w:val="center" w:pos="4819"/>
        <w:tab w:val="right" w:pos="9638"/>
      </w:tabs>
      <w:spacing w:after="0" w:line="240" w:lineRule="auto"/>
    </w:pPr>
    <w:rPr>
      <w:rFonts w:ascii="Times New Roman" w:hAnsi="Times New Roman"/>
      <w:sz w:val="24"/>
      <w:szCs w:val="24"/>
      <w:lang w:val="lt-LT" w:eastAsia="en-US"/>
    </w:rPr>
  </w:style>
  <w:style w:type="character" w:customStyle="1" w:styleId="PoratDiagrama">
    <w:name w:val="Poraštė Diagrama"/>
    <w:basedOn w:val="Numatytasispastraiposriftas"/>
    <w:link w:val="Porat"/>
    <w:uiPriority w:val="99"/>
    <w:locked/>
    <w:rsid w:val="003E2BE3"/>
    <w:rPr>
      <w:rFonts w:ascii="Times New Roman" w:hAnsi="Times New Roman" w:cs="Times New Roman"/>
      <w:sz w:val="24"/>
      <w:szCs w:val="24"/>
      <w:lang w:val="lt-LT" w:eastAsia="en-US"/>
    </w:rPr>
  </w:style>
  <w:style w:type="character" w:styleId="Puslapionumeris">
    <w:name w:val="page number"/>
    <w:basedOn w:val="Numatytasispastraiposriftas"/>
    <w:uiPriority w:val="99"/>
    <w:rsid w:val="003E2BE3"/>
    <w:rPr>
      <w:rFonts w:cs="Times New Roman"/>
    </w:rPr>
  </w:style>
  <w:style w:type="character" w:customStyle="1" w:styleId="hw">
    <w:name w:val="hw"/>
    <w:basedOn w:val="Numatytasispastraiposriftas"/>
    <w:uiPriority w:val="99"/>
    <w:rsid w:val="003E2BE3"/>
    <w:rPr>
      <w:rFonts w:ascii="Arial" w:hAnsi="Arial" w:cs="Arial"/>
      <w:b/>
      <w:bCs/>
      <w:color w:val="A52A2A"/>
    </w:rPr>
  </w:style>
  <w:style w:type="paragraph" w:customStyle="1" w:styleId="Default">
    <w:name w:val="Default"/>
    <w:uiPriority w:val="99"/>
    <w:rsid w:val="001A0D64"/>
    <w:pPr>
      <w:autoSpaceDE w:val="0"/>
      <w:autoSpaceDN w:val="0"/>
      <w:adjustRightInd w:val="0"/>
    </w:pPr>
    <w:rPr>
      <w:rFonts w:ascii="Times New Roman" w:hAnsi="Times New Roman"/>
      <w:color w:val="000000"/>
      <w:sz w:val="24"/>
      <w:szCs w:val="24"/>
      <w:lang w:val="en-US" w:eastAsia="zh-CN"/>
    </w:rPr>
  </w:style>
  <w:style w:type="table" w:styleId="Lentelstinklelis">
    <w:name w:val="Table Grid"/>
    <w:basedOn w:val="prastojilentel"/>
    <w:uiPriority w:val="99"/>
    <w:rsid w:val="00E07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taisymai1">
    <w:name w:val="Pataisymai1"/>
    <w:hidden/>
    <w:uiPriority w:val="99"/>
    <w:semiHidden/>
    <w:rsid w:val="002056BE"/>
    <w:rPr>
      <w:sz w:val="22"/>
      <w:szCs w:val="22"/>
      <w:lang w:val="en-US" w:eastAsia="zh-CN"/>
    </w:rPr>
  </w:style>
  <w:style w:type="paragraph" w:customStyle="1" w:styleId="Sraopastraipa1">
    <w:name w:val="Sąrašo pastraipa1"/>
    <w:basedOn w:val="prastasis"/>
    <w:uiPriority w:val="99"/>
    <w:rsid w:val="002056BE"/>
    <w:pPr>
      <w:ind w:left="720"/>
      <w:contextualSpacing/>
    </w:pPr>
  </w:style>
  <w:style w:type="paragraph" w:styleId="Dokumentoinaostekstas">
    <w:name w:val="endnote text"/>
    <w:basedOn w:val="prastasis"/>
    <w:link w:val="DokumentoinaostekstasDiagrama"/>
    <w:uiPriority w:val="99"/>
    <w:semiHidden/>
    <w:rsid w:val="00B64674"/>
    <w:pPr>
      <w:tabs>
        <w:tab w:val="left" w:pos="567"/>
      </w:tabs>
      <w:spacing w:after="0" w:line="240" w:lineRule="auto"/>
    </w:pPr>
    <w:rPr>
      <w:rFonts w:ascii="Times New Roman" w:hAnsi="Times New Roman"/>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locked/>
    <w:rsid w:val="00B64674"/>
    <w:rPr>
      <w:rFonts w:ascii="Times New Roman" w:hAnsi="Times New Roman" w:cs="Times New Roman"/>
      <w:sz w:val="20"/>
      <w:szCs w:val="20"/>
      <w:lang w:val="en-GB" w:eastAsia="en-US"/>
    </w:rPr>
  </w:style>
  <w:style w:type="paragraph" w:styleId="Pavadinimas">
    <w:name w:val="Title"/>
    <w:basedOn w:val="prastasis"/>
    <w:link w:val="PavadinimasDiagrama"/>
    <w:uiPriority w:val="99"/>
    <w:qFormat/>
    <w:rsid w:val="00A720FF"/>
    <w:pPr>
      <w:spacing w:after="0" w:line="240" w:lineRule="auto"/>
      <w:jc w:val="center"/>
    </w:pPr>
    <w:rPr>
      <w:rFonts w:ascii="Times New Roman" w:hAnsi="Times New Roman"/>
      <w:b/>
      <w:szCs w:val="20"/>
      <w:lang w:val="en-GB" w:eastAsia="en-US"/>
    </w:rPr>
  </w:style>
  <w:style w:type="character" w:customStyle="1" w:styleId="PavadinimasDiagrama">
    <w:name w:val="Pavadinimas Diagrama"/>
    <w:basedOn w:val="Numatytasispastraiposriftas"/>
    <w:link w:val="Pavadinimas"/>
    <w:uiPriority w:val="99"/>
    <w:locked/>
    <w:rsid w:val="00A720FF"/>
    <w:rPr>
      <w:rFonts w:ascii="Times New Roman" w:hAnsi="Times New Roman" w:cs="Times New Roman"/>
      <w:b/>
      <w:sz w:val="20"/>
      <w:szCs w:val="20"/>
      <w:lang w:val="en-GB" w:eastAsia="en-US"/>
    </w:rPr>
  </w:style>
  <w:style w:type="character" w:styleId="Komentaronuoroda">
    <w:name w:val="annotation reference"/>
    <w:basedOn w:val="Numatytasispastraiposriftas"/>
    <w:uiPriority w:val="99"/>
    <w:semiHidden/>
    <w:rsid w:val="00AA35C3"/>
    <w:rPr>
      <w:rFonts w:cs="Times New Roman"/>
      <w:sz w:val="16"/>
      <w:szCs w:val="16"/>
    </w:rPr>
  </w:style>
  <w:style w:type="paragraph" w:styleId="Komentarotekstas">
    <w:name w:val="annotation text"/>
    <w:basedOn w:val="prastasis"/>
    <w:link w:val="KomentarotekstasDiagrama"/>
    <w:uiPriority w:val="99"/>
    <w:semiHidden/>
    <w:rsid w:val="00AA35C3"/>
    <w:rPr>
      <w:sz w:val="20"/>
      <w:szCs w:val="20"/>
    </w:rPr>
  </w:style>
  <w:style w:type="character" w:customStyle="1" w:styleId="KomentarotekstasDiagrama">
    <w:name w:val="Komentaro tekstas Diagrama"/>
    <w:basedOn w:val="Numatytasispastraiposriftas"/>
    <w:link w:val="Komentarotekstas"/>
    <w:uiPriority w:val="99"/>
    <w:semiHidden/>
    <w:locked/>
    <w:rsid w:val="00305886"/>
    <w:rPr>
      <w:rFonts w:cs="Times New Roman"/>
      <w:sz w:val="20"/>
      <w:szCs w:val="20"/>
      <w:lang w:val="en-US" w:eastAsia="zh-CN"/>
    </w:rPr>
  </w:style>
  <w:style w:type="paragraph" w:styleId="Komentarotema">
    <w:name w:val="annotation subject"/>
    <w:basedOn w:val="Komentarotekstas"/>
    <w:next w:val="Komentarotekstas"/>
    <w:link w:val="KomentarotemaDiagrama"/>
    <w:uiPriority w:val="99"/>
    <w:semiHidden/>
    <w:rsid w:val="00AA35C3"/>
    <w:rPr>
      <w:b/>
      <w:bCs/>
    </w:rPr>
  </w:style>
  <w:style w:type="character" w:customStyle="1" w:styleId="KomentarotemaDiagrama">
    <w:name w:val="Komentaro tema Diagrama"/>
    <w:basedOn w:val="KomentarotekstasDiagrama"/>
    <w:link w:val="Komentarotema"/>
    <w:uiPriority w:val="99"/>
    <w:semiHidden/>
    <w:locked/>
    <w:rsid w:val="00305886"/>
    <w:rPr>
      <w:rFonts w:cs="Times New Roman"/>
      <w:b/>
      <w:bCs/>
      <w:sz w:val="20"/>
      <w:szCs w:val="20"/>
      <w:lang w:val="en-US" w:eastAsia="zh-CN"/>
    </w:rPr>
  </w:style>
  <w:style w:type="character" w:customStyle="1" w:styleId="hps">
    <w:name w:val="hps"/>
    <w:basedOn w:val="Numatytasispastraiposriftas"/>
    <w:uiPriority w:val="99"/>
    <w:rsid w:val="00F42881"/>
    <w:rPr>
      <w:rFonts w:cs="Times New Roman"/>
    </w:rPr>
  </w:style>
  <w:style w:type="character" w:customStyle="1" w:styleId="atn">
    <w:name w:val="atn"/>
    <w:basedOn w:val="Numatytasispastraiposriftas"/>
    <w:uiPriority w:val="99"/>
    <w:rsid w:val="00F42881"/>
    <w:rPr>
      <w:rFonts w:cs="Times New Roman"/>
    </w:rPr>
  </w:style>
  <w:style w:type="paragraph" w:styleId="prastasistinklapis">
    <w:name w:val="Normal (Web)"/>
    <w:basedOn w:val="prastasis"/>
    <w:uiPriority w:val="99"/>
    <w:rsid w:val="004D44CB"/>
    <w:pPr>
      <w:spacing w:before="100" w:beforeAutospacing="1" w:after="60" w:line="240" w:lineRule="auto"/>
    </w:pPr>
    <w:rPr>
      <w:rFonts w:ascii="Times New Roman" w:hAnsi="Times New Roman"/>
      <w:color w:val="000000"/>
      <w:sz w:val="24"/>
      <w:szCs w:val="24"/>
      <w:lang w:val="de-DE" w:eastAsia="de-DE"/>
    </w:rPr>
  </w:style>
  <w:style w:type="character" w:customStyle="1" w:styleId="ft">
    <w:name w:val="ft"/>
    <w:basedOn w:val="Numatytasispastraiposriftas"/>
    <w:uiPriority w:val="99"/>
    <w:rsid w:val="00A7160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1577"/>
    <w:pPr>
      <w:spacing w:after="200" w:line="276" w:lineRule="auto"/>
    </w:pPr>
    <w:rPr>
      <w:sz w:val="22"/>
      <w:szCs w:val="22"/>
      <w:lang w:val="en-US" w:eastAsia="zh-CN"/>
    </w:rPr>
  </w:style>
  <w:style w:type="paragraph" w:styleId="Antrat1">
    <w:name w:val="heading 1"/>
    <w:basedOn w:val="prastasis"/>
    <w:next w:val="prastasis"/>
    <w:link w:val="Antrat1Diagrama"/>
    <w:uiPriority w:val="99"/>
    <w:qFormat/>
    <w:rsid w:val="003E2BE3"/>
    <w:pPr>
      <w:keepNext/>
      <w:spacing w:before="240" w:after="60" w:line="240" w:lineRule="auto"/>
      <w:outlineLvl w:val="0"/>
    </w:pPr>
    <w:rPr>
      <w:rFonts w:ascii="Arial" w:hAnsi="Arial" w:cs="Arial"/>
      <w:b/>
      <w:bCs/>
      <w:kern w:val="32"/>
      <w:sz w:val="32"/>
      <w:szCs w:val="32"/>
      <w:lang w:val="lt-LT" w:eastAsia="en-US"/>
    </w:rPr>
  </w:style>
  <w:style w:type="paragraph" w:styleId="Antrat2">
    <w:name w:val="heading 2"/>
    <w:basedOn w:val="prastasis"/>
    <w:next w:val="prastasis"/>
    <w:link w:val="Antrat2Diagrama"/>
    <w:uiPriority w:val="99"/>
    <w:qFormat/>
    <w:rsid w:val="003E2BE3"/>
    <w:pPr>
      <w:keepNext/>
      <w:spacing w:before="240" w:after="60" w:line="240" w:lineRule="auto"/>
      <w:outlineLvl w:val="1"/>
    </w:pPr>
    <w:rPr>
      <w:rFonts w:ascii="Arial" w:hAnsi="Arial" w:cs="Arial"/>
      <w:b/>
      <w:bCs/>
      <w:i/>
      <w:iCs/>
      <w:sz w:val="28"/>
      <w:szCs w:val="28"/>
      <w:lang w:val="lt-LT" w:eastAsia="en-US"/>
    </w:rPr>
  </w:style>
  <w:style w:type="paragraph" w:styleId="Antrat3">
    <w:name w:val="heading 3"/>
    <w:basedOn w:val="prastasis"/>
    <w:next w:val="prastasis"/>
    <w:link w:val="Antrat3Diagrama"/>
    <w:uiPriority w:val="99"/>
    <w:qFormat/>
    <w:rsid w:val="003E2BE3"/>
    <w:pPr>
      <w:keepNext/>
      <w:spacing w:before="240" w:after="60" w:line="240" w:lineRule="auto"/>
      <w:outlineLvl w:val="2"/>
    </w:pPr>
    <w:rPr>
      <w:rFonts w:ascii="Arial" w:hAnsi="Arial" w:cs="Arial"/>
      <w:b/>
      <w:bCs/>
      <w:sz w:val="26"/>
      <w:szCs w:val="26"/>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E2BE3"/>
    <w:rPr>
      <w:rFonts w:ascii="Arial" w:hAnsi="Arial" w:cs="Arial"/>
      <w:b/>
      <w:bCs/>
      <w:kern w:val="32"/>
      <w:sz w:val="32"/>
      <w:szCs w:val="32"/>
      <w:lang w:val="lt-LT" w:eastAsia="en-US"/>
    </w:rPr>
  </w:style>
  <w:style w:type="character" w:customStyle="1" w:styleId="Antrat2Diagrama">
    <w:name w:val="Antraštė 2 Diagrama"/>
    <w:basedOn w:val="Numatytasispastraiposriftas"/>
    <w:link w:val="Antrat2"/>
    <w:uiPriority w:val="99"/>
    <w:locked/>
    <w:rsid w:val="003E2BE3"/>
    <w:rPr>
      <w:rFonts w:ascii="Arial" w:hAnsi="Arial" w:cs="Arial"/>
      <w:b/>
      <w:bCs/>
      <w:i/>
      <w:iCs/>
      <w:sz w:val="28"/>
      <w:szCs w:val="28"/>
      <w:lang w:val="lt-LT" w:eastAsia="en-US"/>
    </w:rPr>
  </w:style>
  <w:style w:type="character" w:customStyle="1" w:styleId="Antrat3Diagrama">
    <w:name w:val="Antraštė 3 Diagrama"/>
    <w:basedOn w:val="Numatytasispastraiposriftas"/>
    <w:link w:val="Antrat3"/>
    <w:uiPriority w:val="99"/>
    <w:locked/>
    <w:rsid w:val="003E2BE3"/>
    <w:rPr>
      <w:rFonts w:ascii="Arial" w:hAnsi="Arial" w:cs="Arial"/>
      <w:b/>
      <w:bCs/>
      <w:sz w:val="26"/>
      <w:szCs w:val="26"/>
      <w:lang w:val="lt-LT" w:eastAsia="en-US"/>
    </w:rPr>
  </w:style>
  <w:style w:type="character" w:styleId="Hipersaitas">
    <w:name w:val="Hyperlink"/>
    <w:basedOn w:val="Numatytasispastraiposriftas"/>
    <w:uiPriority w:val="99"/>
    <w:rsid w:val="003E2BE3"/>
    <w:rPr>
      <w:rFonts w:cs="Times New Roman"/>
      <w:color w:val="0000FF"/>
      <w:u w:val="single"/>
    </w:rPr>
  </w:style>
  <w:style w:type="paragraph" w:customStyle="1" w:styleId="PI-1EMEASMCA">
    <w:name w:val="PI-1 EMEA_SMCA"/>
    <w:basedOn w:val="Antrat2"/>
    <w:autoRedefine/>
    <w:uiPriority w:val="99"/>
    <w:rsid w:val="00C5318F"/>
    <w:pPr>
      <w:tabs>
        <w:tab w:val="left" w:pos="720"/>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3E2BE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caps/>
      <w:noProof/>
      <w:lang w:val="lt-LT" w:eastAsia="en-US"/>
    </w:rPr>
  </w:style>
  <w:style w:type="character" w:customStyle="1" w:styleId="PI-1labEMEASMCAChar">
    <w:name w:val="PI-1_lab EMEA_SMCA Char"/>
    <w:basedOn w:val="Numatytasispastraiposriftas"/>
    <w:link w:val="PI-1labEMEASMCA"/>
    <w:uiPriority w:val="99"/>
    <w:locked/>
    <w:rsid w:val="003E2BE3"/>
    <w:rPr>
      <w:rFonts w:ascii="Times New Roman" w:hAnsi="Times New Roman" w:cs="Times New Roman"/>
      <w:b/>
      <w:caps/>
      <w:noProof/>
      <w:lang w:val="lt-LT" w:eastAsia="en-US"/>
    </w:rPr>
  </w:style>
  <w:style w:type="paragraph" w:customStyle="1" w:styleId="PI-2EMEASMCA">
    <w:name w:val="PI-2 EMEA_SMCA"/>
    <w:basedOn w:val="Antrat3"/>
    <w:autoRedefine/>
    <w:uiPriority w:val="99"/>
    <w:rsid w:val="003E2BE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3E2BE3"/>
    <w:pPr>
      <w:spacing w:after="0" w:line="240" w:lineRule="auto"/>
    </w:pPr>
    <w:rPr>
      <w:rFonts w:ascii="Times New Roman" w:hAnsi="Times New Roman"/>
      <w:noProof/>
      <w:lang w:val="lt-LT" w:eastAsia="en-US"/>
    </w:rPr>
  </w:style>
  <w:style w:type="paragraph" w:customStyle="1" w:styleId="TTEMEASMCA">
    <w:name w:val="TT EMEA_SMCA"/>
    <w:basedOn w:val="Antrat1"/>
    <w:link w:val="TTEMEASMCAChar"/>
    <w:autoRedefine/>
    <w:uiPriority w:val="99"/>
    <w:rsid w:val="003E2BE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uiPriority w:val="99"/>
    <w:locked/>
    <w:rsid w:val="003E2BE3"/>
    <w:rPr>
      <w:rFonts w:ascii="Times New Roman" w:hAnsi="Times New Roman" w:cs="Times New Roman"/>
      <w:b/>
      <w:caps/>
      <w:lang w:eastAsia="en-US"/>
    </w:rPr>
  </w:style>
  <w:style w:type="paragraph" w:customStyle="1" w:styleId="BTAnIIEMEASMCA">
    <w:name w:val="BT(AnII) EMEA_SMCA"/>
    <w:basedOn w:val="Debesliotekstas"/>
    <w:autoRedefine/>
    <w:uiPriority w:val="99"/>
    <w:rsid w:val="003E2BE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E2BE3"/>
    <w:pPr>
      <w:numPr>
        <w:numId w:val="1"/>
      </w:numPr>
    </w:pPr>
  </w:style>
  <w:style w:type="paragraph" w:customStyle="1" w:styleId="PI-3EMEASMCA">
    <w:name w:val="PI-3 EMEA_SMCA"/>
    <w:basedOn w:val="prastasis"/>
    <w:autoRedefine/>
    <w:uiPriority w:val="99"/>
    <w:rsid w:val="001259A7"/>
    <w:pPr>
      <w:spacing w:after="0" w:line="240" w:lineRule="auto"/>
    </w:pPr>
    <w:rPr>
      <w:rFonts w:ascii="Times New Roman" w:hAnsi="Times New Roman"/>
      <w:b/>
      <w:bCs/>
      <w:lang w:val="lt-LT" w:eastAsia="en-US"/>
    </w:rPr>
  </w:style>
  <w:style w:type="paragraph" w:customStyle="1" w:styleId="BTbEMEASMCA">
    <w:name w:val="BT(b) EMEA_SMCA"/>
    <w:basedOn w:val="BTEMEASMCA"/>
    <w:autoRedefine/>
    <w:uiPriority w:val="99"/>
    <w:rsid w:val="006F6EDF"/>
    <w:rPr>
      <w:b/>
    </w:rPr>
  </w:style>
  <w:style w:type="paragraph" w:customStyle="1" w:styleId="BTbeEMEASMCA">
    <w:name w:val="BT(be) EMEA_SMCA"/>
    <w:basedOn w:val="BTEMEASMCA"/>
    <w:autoRedefine/>
    <w:uiPriority w:val="99"/>
    <w:rsid w:val="003E2BE3"/>
    <w:pPr>
      <w:jc w:val="center"/>
    </w:pPr>
    <w:rPr>
      <w:b/>
    </w:rPr>
  </w:style>
  <w:style w:type="paragraph" w:customStyle="1" w:styleId="BTeEMEASMCA">
    <w:name w:val="BT(e) EMEA_SMCA"/>
    <w:basedOn w:val="BTEMEASMCA"/>
    <w:autoRedefine/>
    <w:uiPriority w:val="99"/>
    <w:rsid w:val="003E2BE3"/>
    <w:pPr>
      <w:jc w:val="center"/>
    </w:pPr>
  </w:style>
  <w:style w:type="paragraph" w:customStyle="1" w:styleId="BTgEMEASMCA">
    <w:name w:val="BT(g) EMEA_SMCA"/>
    <w:basedOn w:val="BTEMEASMCA"/>
    <w:link w:val="BTgEMEASMCAChar"/>
    <w:autoRedefine/>
    <w:uiPriority w:val="99"/>
    <w:rsid w:val="003E2BE3"/>
    <w:rPr>
      <w:i/>
      <w:color w:val="008000"/>
    </w:rPr>
  </w:style>
  <w:style w:type="character" w:customStyle="1" w:styleId="BTEMEASMCAChar">
    <w:name w:val="BT EMEA_SMCA Char"/>
    <w:basedOn w:val="Numatytasispastraiposriftas"/>
    <w:link w:val="BTEMEASMCA"/>
    <w:uiPriority w:val="99"/>
    <w:locked/>
    <w:rsid w:val="003E2BE3"/>
    <w:rPr>
      <w:rFonts w:ascii="Times New Roman" w:hAnsi="Times New Roman" w:cs="Times New Roman"/>
      <w:noProof/>
      <w:lang w:val="lt-LT" w:eastAsia="en-US"/>
    </w:rPr>
  </w:style>
  <w:style w:type="character" w:customStyle="1" w:styleId="BTgEMEASMCAChar">
    <w:name w:val="BT(g) EMEA_SMCA Char"/>
    <w:basedOn w:val="BTEMEASMCAChar"/>
    <w:link w:val="BTgEMEASMCA"/>
    <w:uiPriority w:val="99"/>
    <w:locked/>
    <w:rsid w:val="003E2BE3"/>
    <w:rPr>
      <w:rFonts w:ascii="Times New Roman" w:hAnsi="Times New Roman" w:cs="Times New Roman"/>
      <w:i/>
      <w:noProof/>
      <w:color w:val="008000"/>
      <w:lang w:val="lt-LT" w:eastAsia="en-US"/>
    </w:rPr>
  </w:style>
  <w:style w:type="paragraph" w:customStyle="1" w:styleId="BTuEMEASMCA">
    <w:name w:val="BT(u) EMEA_SMCA"/>
    <w:basedOn w:val="BTEMEASMCA"/>
    <w:autoRedefine/>
    <w:uiPriority w:val="99"/>
    <w:rsid w:val="003E2BE3"/>
    <w:rPr>
      <w:u w:val="single"/>
    </w:rPr>
  </w:style>
  <w:style w:type="paragraph" w:styleId="Debesliotekstas">
    <w:name w:val="Balloon Text"/>
    <w:basedOn w:val="prastasis"/>
    <w:link w:val="DebesliotekstasDiagrama"/>
    <w:uiPriority w:val="99"/>
    <w:semiHidden/>
    <w:rsid w:val="003E2BE3"/>
    <w:pPr>
      <w:spacing w:after="0" w:line="240" w:lineRule="auto"/>
    </w:pPr>
    <w:rPr>
      <w:rFonts w:ascii="Tahoma"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locked/>
    <w:rsid w:val="003E2BE3"/>
    <w:rPr>
      <w:rFonts w:ascii="Tahoma" w:hAnsi="Tahoma" w:cs="Tahoma"/>
      <w:sz w:val="16"/>
      <w:szCs w:val="16"/>
      <w:lang w:val="lt-LT" w:eastAsia="en-US"/>
    </w:rPr>
  </w:style>
  <w:style w:type="paragraph" w:styleId="Dokumentostruktra">
    <w:name w:val="Document Map"/>
    <w:basedOn w:val="prastasis"/>
    <w:link w:val="DokumentostruktraDiagrama"/>
    <w:uiPriority w:val="99"/>
    <w:semiHidden/>
    <w:rsid w:val="003E2BE3"/>
    <w:pPr>
      <w:shd w:val="clear" w:color="auto" w:fill="000080"/>
      <w:spacing w:after="0" w:line="240" w:lineRule="auto"/>
    </w:pPr>
    <w:rPr>
      <w:rFonts w:ascii="Tahoma" w:hAnsi="Tahoma" w:cs="Tahoma"/>
      <w:sz w:val="20"/>
      <w:szCs w:val="20"/>
      <w:lang w:val="lt-LT" w:eastAsia="en-US"/>
    </w:rPr>
  </w:style>
  <w:style w:type="character" w:customStyle="1" w:styleId="DokumentostruktraDiagrama">
    <w:name w:val="Dokumento struktūra Diagrama"/>
    <w:basedOn w:val="Numatytasispastraiposriftas"/>
    <w:link w:val="Dokumentostruktra"/>
    <w:uiPriority w:val="99"/>
    <w:semiHidden/>
    <w:locked/>
    <w:rsid w:val="003E2BE3"/>
    <w:rPr>
      <w:rFonts w:ascii="Tahoma" w:hAnsi="Tahoma" w:cs="Tahoma"/>
      <w:sz w:val="20"/>
      <w:szCs w:val="20"/>
      <w:shd w:val="clear" w:color="auto" w:fill="000080"/>
      <w:lang w:val="lt-LT" w:eastAsia="en-US"/>
    </w:rPr>
  </w:style>
  <w:style w:type="paragraph" w:customStyle="1" w:styleId="ExtraSpace">
    <w:name w:val="Extra Space"/>
    <w:basedOn w:val="prastasis"/>
    <w:next w:val="prastasis"/>
    <w:uiPriority w:val="99"/>
    <w:rsid w:val="003E2BE3"/>
    <w:pPr>
      <w:spacing w:after="0" w:line="120" w:lineRule="exact"/>
    </w:pPr>
    <w:rPr>
      <w:rFonts w:ascii="Arial" w:hAnsi="Arial"/>
      <w:color w:val="00FF00"/>
      <w:sz w:val="20"/>
      <w:szCs w:val="20"/>
      <w:lang w:eastAsia="lt-LT"/>
    </w:rPr>
  </w:style>
  <w:style w:type="paragraph" w:customStyle="1" w:styleId="Tablecentered">
    <w:name w:val="Table: centered"/>
    <w:basedOn w:val="prastasis"/>
    <w:uiPriority w:val="99"/>
    <w:rsid w:val="003E2BE3"/>
    <w:pPr>
      <w:keepNext/>
      <w:keepLines/>
      <w:spacing w:after="0" w:line="240" w:lineRule="auto"/>
      <w:jc w:val="center"/>
    </w:pPr>
    <w:rPr>
      <w:rFonts w:ascii="Arial" w:hAnsi="Arial"/>
      <w:sz w:val="14"/>
      <w:szCs w:val="20"/>
      <w:lang w:eastAsia="lt-LT"/>
    </w:rPr>
  </w:style>
  <w:style w:type="paragraph" w:customStyle="1" w:styleId="EnvelopeAddress1">
    <w:name w:val="Envelope Address1"/>
    <w:basedOn w:val="prastasis"/>
    <w:uiPriority w:val="99"/>
    <w:rsid w:val="003E2BE3"/>
    <w:pPr>
      <w:framePr w:w="7920" w:h="1980" w:hRule="exact" w:hSpace="180" w:wrap="auto" w:hAnchor="page" w:xAlign="center" w:yAlign="bottom"/>
      <w:spacing w:after="0" w:line="240" w:lineRule="auto"/>
      <w:ind w:left="2880"/>
    </w:pPr>
    <w:rPr>
      <w:rFonts w:ascii="TimesLT" w:hAnsi="TimesLT"/>
      <w:sz w:val="24"/>
      <w:szCs w:val="20"/>
      <w:lang w:val="en-GB" w:eastAsia="lt-LT"/>
    </w:rPr>
  </w:style>
  <w:style w:type="character" w:styleId="Puslapioinaosnuoroda">
    <w:name w:val="footnote reference"/>
    <w:basedOn w:val="Numatytasispastraiposriftas"/>
    <w:uiPriority w:val="99"/>
    <w:semiHidden/>
    <w:rsid w:val="003E2BE3"/>
    <w:rPr>
      <w:rFonts w:cs="Times New Roman"/>
      <w:position w:val="6"/>
      <w:sz w:val="16"/>
    </w:rPr>
  </w:style>
  <w:style w:type="paragraph" w:styleId="Puslapioinaostekstas">
    <w:name w:val="footnote text"/>
    <w:basedOn w:val="prastasis"/>
    <w:next w:val="prastasis"/>
    <w:link w:val="PuslapioinaostekstasDiagrama"/>
    <w:uiPriority w:val="99"/>
    <w:semiHidden/>
    <w:rsid w:val="003E2BE3"/>
    <w:pPr>
      <w:spacing w:after="0" w:line="240" w:lineRule="auto"/>
    </w:pPr>
    <w:rPr>
      <w:rFonts w:ascii="TimesLT" w:hAnsi="TimesLT"/>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locked/>
    <w:rsid w:val="003E2BE3"/>
    <w:rPr>
      <w:rFonts w:ascii="TimesLT" w:hAnsi="TimesLT" w:cs="Times New Roman"/>
      <w:sz w:val="20"/>
      <w:szCs w:val="20"/>
      <w:lang w:val="en-GB" w:eastAsia="lt-LT"/>
    </w:rPr>
  </w:style>
  <w:style w:type="paragraph" w:styleId="Antrats">
    <w:name w:val="header"/>
    <w:basedOn w:val="prastasis"/>
    <w:link w:val="AntratsDiagrama"/>
    <w:uiPriority w:val="99"/>
    <w:rsid w:val="003E2BE3"/>
    <w:pPr>
      <w:tabs>
        <w:tab w:val="center" w:pos="4819"/>
        <w:tab w:val="right" w:pos="9638"/>
      </w:tabs>
      <w:spacing w:after="0" w:line="240" w:lineRule="auto"/>
    </w:pPr>
    <w:rPr>
      <w:rFonts w:ascii="Times New Roman" w:hAnsi="Times New Roman"/>
      <w:sz w:val="24"/>
      <w:szCs w:val="24"/>
      <w:lang w:val="lt-LT" w:eastAsia="en-US"/>
    </w:rPr>
  </w:style>
  <w:style w:type="character" w:customStyle="1" w:styleId="AntratsDiagrama">
    <w:name w:val="Antraštės Diagrama"/>
    <w:basedOn w:val="Numatytasispastraiposriftas"/>
    <w:link w:val="Antrats"/>
    <w:uiPriority w:val="99"/>
    <w:locked/>
    <w:rsid w:val="003E2BE3"/>
    <w:rPr>
      <w:rFonts w:ascii="Times New Roman" w:hAnsi="Times New Roman" w:cs="Times New Roman"/>
      <w:sz w:val="24"/>
      <w:szCs w:val="24"/>
      <w:lang w:val="lt-LT" w:eastAsia="en-US"/>
    </w:rPr>
  </w:style>
  <w:style w:type="paragraph" w:styleId="Porat">
    <w:name w:val="footer"/>
    <w:basedOn w:val="prastasis"/>
    <w:link w:val="PoratDiagrama"/>
    <w:uiPriority w:val="99"/>
    <w:rsid w:val="003E2BE3"/>
    <w:pPr>
      <w:tabs>
        <w:tab w:val="center" w:pos="4819"/>
        <w:tab w:val="right" w:pos="9638"/>
      </w:tabs>
      <w:spacing w:after="0" w:line="240" w:lineRule="auto"/>
    </w:pPr>
    <w:rPr>
      <w:rFonts w:ascii="Times New Roman" w:hAnsi="Times New Roman"/>
      <w:sz w:val="24"/>
      <w:szCs w:val="24"/>
      <w:lang w:val="lt-LT" w:eastAsia="en-US"/>
    </w:rPr>
  </w:style>
  <w:style w:type="character" w:customStyle="1" w:styleId="PoratDiagrama">
    <w:name w:val="Poraštė Diagrama"/>
    <w:basedOn w:val="Numatytasispastraiposriftas"/>
    <w:link w:val="Porat"/>
    <w:uiPriority w:val="99"/>
    <w:locked/>
    <w:rsid w:val="003E2BE3"/>
    <w:rPr>
      <w:rFonts w:ascii="Times New Roman" w:hAnsi="Times New Roman" w:cs="Times New Roman"/>
      <w:sz w:val="24"/>
      <w:szCs w:val="24"/>
      <w:lang w:val="lt-LT" w:eastAsia="en-US"/>
    </w:rPr>
  </w:style>
  <w:style w:type="character" w:styleId="Puslapionumeris">
    <w:name w:val="page number"/>
    <w:basedOn w:val="Numatytasispastraiposriftas"/>
    <w:uiPriority w:val="99"/>
    <w:rsid w:val="003E2BE3"/>
    <w:rPr>
      <w:rFonts w:cs="Times New Roman"/>
    </w:rPr>
  </w:style>
  <w:style w:type="character" w:customStyle="1" w:styleId="hw">
    <w:name w:val="hw"/>
    <w:basedOn w:val="Numatytasispastraiposriftas"/>
    <w:uiPriority w:val="99"/>
    <w:rsid w:val="003E2BE3"/>
    <w:rPr>
      <w:rFonts w:ascii="Arial" w:hAnsi="Arial" w:cs="Arial"/>
      <w:b/>
      <w:bCs/>
      <w:color w:val="A52A2A"/>
    </w:rPr>
  </w:style>
  <w:style w:type="paragraph" w:customStyle="1" w:styleId="Default">
    <w:name w:val="Default"/>
    <w:uiPriority w:val="99"/>
    <w:rsid w:val="001A0D64"/>
    <w:pPr>
      <w:autoSpaceDE w:val="0"/>
      <w:autoSpaceDN w:val="0"/>
      <w:adjustRightInd w:val="0"/>
    </w:pPr>
    <w:rPr>
      <w:rFonts w:ascii="Times New Roman" w:hAnsi="Times New Roman"/>
      <w:color w:val="000000"/>
      <w:sz w:val="24"/>
      <w:szCs w:val="24"/>
      <w:lang w:val="en-US" w:eastAsia="zh-CN"/>
    </w:rPr>
  </w:style>
  <w:style w:type="table" w:styleId="Lentelstinklelis">
    <w:name w:val="Table Grid"/>
    <w:basedOn w:val="prastojilentel"/>
    <w:uiPriority w:val="99"/>
    <w:rsid w:val="00E07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taisymai1">
    <w:name w:val="Pataisymai1"/>
    <w:hidden/>
    <w:uiPriority w:val="99"/>
    <w:semiHidden/>
    <w:rsid w:val="002056BE"/>
    <w:rPr>
      <w:sz w:val="22"/>
      <w:szCs w:val="22"/>
      <w:lang w:val="en-US" w:eastAsia="zh-CN"/>
    </w:rPr>
  </w:style>
  <w:style w:type="paragraph" w:customStyle="1" w:styleId="Sraopastraipa1">
    <w:name w:val="Sąrašo pastraipa1"/>
    <w:basedOn w:val="prastasis"/>
    <w:uiPriority w:val="99"/>
    <w:rsid w:val="002056BE"/>
    <w:pPr>
      <w:ind w:left="720"/>
      <w:contextualSpacing/>
    </w:pPr>
  </w:style>
  <w:style w:type="paragraph" w:styleId="Dokumentoinaostekstas">
    <w:name w:val="endnote text"/>
    <w:basedOn w:val="prastasis"/>
    <w:link w:val="DokumentoinaostekstasDiagrama"/>
    <w:uiPriority w:val="99"/>
    <w:semiHidden/>
    <w:rsid w:val="00B64674"/>
    <w:pPr>
      <w:tabs>
        <w:tab w:val="left" w:pos="567"/>
      </w:tabs>
      <w:spacing w:after="0" w:line="240" w:lineRule="auto"/>
    </w:pPr>
    <w:rPr>
      <w:rFonts w:ascii="Times New Roman" w:hAnsi="Times New Roman"/>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locked/>
    <w:rsid w:val="00B64674"/>
    <w:rPr>
      <w:rFonts w:ascii="Times New Roman" w:hAnsi="Times New Roman" w:cs="Times New Roman"/>
      <w:sz w:val="20"/>
      <w:szCs w:val="20"/>
      <w:lang w:val="en-GB" w:eastAsia="en-US"/>
    </w:rPr>
  </w:style>
  <w:style w:type="paragraph" w:styleId="Pavadinimas">
    <w:name w:val="Title"/>
    <w:basedOn w:val="prastasis"/>
    <w:link w:val="PavadinimasDiagrama"/>
    <w:uiPriority w:val="99"/>
    <w:qFormat/>
    <w:rsid w:val="00A720FF"/>
    <w:pPr>
      <w:spacing w:after="0" w:line="240" w:lineRule="auto"/>
      <w:jc w:val="center"/>
    </w:pPr>
    <w:rPr>
      <w:rFonts w:ascii="Times New Roman" w:hAnsi="Times New Roman"/>
      <w:b/>
      <w:szCs w:val="20"/>
      <w:lang w:val="en-GB" w:eastAsia="en-US"/>
    </w:rPr>
  </w:style>
  <w:style w:type="character" w:customStyle="1" w:styleId="PavadinimasDiagrama">
    <w:name w:val="Pavadinimas Diagrama"/>
    <w:basedOn w:val="Numatytasispastraiposriftas"/>
    <w:link w:val="Pavadinimas"/>
    <w:uiPriority w:val="99"/>
    <w:locked/>
    <w:rsid w:val="00A720FF"/>
    <w:rPr>
      <w:rFonts w:ascii="Times New Roman" w:hAnsi="Times New Roman" w:cs="Times New Roman"/>
      <w:b/>
      <w:sz w:val="20"/>
      <w:szCs w:val="20"/>
      <w:lang w:val="en-GB" w:eastAsia="en-US"/>
    </w:rPr>
  </w:style>
  <w:style w:type="character" w:styleId="Komentaronuoroda">
    <w:name w:val="annotation reference"/>
    <w:basedOn w:val="Numatytasispastraiposriftas"/>
    <w:uiPriority w:val="99"/>
    <w:semiHidden/>
    <w:rsid w:val="00AA35C3"/>
    <w:rPr>
      <w:rFonts w:cs="Times New Roman"/>
      <w:sz w:val="16"/>
      <w:szCs w:val="16"/>
    </w:rPr>
  </w:style>
  <w:style w:type="paragraph" w:styleId="Komentarotekstas">
    <w:name w:val="annotation text"/>
    <w:basedOn w:val="prastasis"/>
    <w:link w:val="KomentarotekstasDiagrama"/>
    <w:uiPriority w:val="99"/>
    <w:semiHidden/>
    <w:rsid w:val="00AA35C3"/>
    <w:rPr>
      <w:sz w:val="20"/>
      <w:szCs w:val="20"/>
    </w:rPr>
  </w:style>
  <w:style w:type="character" w:customStyle="1" w:styleId="KomentarotekstasDiagrama">
    <w:name w:val="Komentaro tekstas Diagrama"/>
    <w:basedOn w:val="Numatytasispastraiposriftas"/>
    <w:link w:val="Komentarotekstas"/>
    <w:uiPriority w:val="99"/>
    <w:semiHidden/>
    <w:locked/>
    <w:rsid w:val="00305886"/>
    <w:rPr>
      <w:rFonts w:cs="Times New Roman"/>
      <w:sz w:val="20"/>
      <w:szCs w:val="20"/>
      <w:lang w:val="en-US" w:eastAsia="zh-CN"/>
    </w:rPr>
  </w:style>
  <w:style w:type="paragraph" w:styleId="Komentarotema">
    <w:name w:val="annotation subject"/>
    <w:basedOn w:val="Komentarotekstas"/>
    <w:next w:val="Komentarotekstas"/>
    <w:link w:val="KomentarotemaDiagrama"/>
    <w:uiPriority w:val="99"/>
    <w:semiHidden/>
    <w:rsid w:val="00AA35C3"/>
    <w:rPr>
      <w:b/>
      <w:bCs/>
    </w:rPr>
  </w:style>
  <w:style w:type="character" w:customStyle="1" w:styleId="KomentarotemaDiagrama">
    <w:name w:val="Komentaro tema Diagrama"/>
    <w:basedOn w:val="KomentarotekstasDiagrama"/>
    <w:link w:val="Komentarotema"/>
    <w:uiPriority w:val="99"/>
    <w:semiHidden/>
    <w:locked/>
    <w:rsid w:val="00305886"/>
    <w:rPr>
      <w:rFonts w:cs="Times New Roman"/>
      <w:b/>
      <w:bCs/>
      <w:sz w:val="20"/>
      <w:szCs w:val="20"/>
      <w:lang w:val="en-US" w:eastAsia="zh-CN"/>
    </w:rPr>
  </w:style>
  <w:style w:type="character" w:customStyle="1" w:styleId="hps">
    <w:name w:val="hps"/>
    <w:basedOn w:val="Numatytasispastraiposriftas"/>
    <w:uiPriority w:val="99"/>
    <w:rsid w:val="00F42881"/>
    <w:rPr>
      <w:rFonts w:cs="Times New Roman"/>
    </w:rPr>
  </w:style>
  <w:style w:type="character" w:customStyle="1" w:styleId="atn">
    <w:name w:val="atn"/>
    <w:basedOn w:val="Numatytasispastraiposriftas"/>
    <w:uiPriority w:val="99"/>
    <w:rsid w:val="00F42881"/>
    <w:rPr>
      <w:rFonts w:cs="Times New Roman"/>
    </w:rPr>
  </w:style>
  <w:style w:type="paragraph" w:styleId="prastasistinklapis">
    <w:name w:val="Normal (Web)"/>
    <w:basedOn w:val="prastasis"/>
    <w:uiPriority w:val="99"/>
    <w:rsid w:val="004D44CB"/>
    <w:pPr>
      <w:spacing w:before="100" w:beforeAutospacing="1" w:after="60" w:line="240" w:lineRule="auto"/>
    </w:pPr>
    <w:rPr>
      <w:rFonts w:ascii="Times New Roman" w:hAnsi="Times New Roman"/>
      <w:color w:val="000000"/>
      <w:sz w:val="24"/>
      <w:szCs w:val="24"/>
      <w:lang w:val="de-DE" w:eastAsia="de-DE"/>
    </w:rPr>
  </w:style>
  <w:style w:type="character" w:customStyle="1" w:styleId="ft">
    <w:name w:val="ft"/>
    <w:basedOn w:val="Numatytasispastraiposriftas"/>
    <w:uiPriority w:val="99"/>
    <w:rsid w:val="00A716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40675">
      <w:marLeft w:val="0"/>
      <w:marRight w:val="0"/>
      <w:marTop w:val="0"/>
      <w:marBottom w:val="0"/>
      <w:divBdr>
        <w:top w:val="none" w:sz="0" w:space="0" w:color="auto"/>
        <w:left w:val="none" w:sz="0" w:space="0" w:color="auto"/>
        <w:bottom w:val="none" w:sz="0" w:space="0" w:color="auto"/>
        <w:right w:val="none" w:sz="0" w:space="0" w:color="auto"/>
      </w:divBdr>
      <w:divsChild>
        <w:div w:id="1370640677">
          <w:marLeft w:val="0"/>
          <w:marRight w:val="0"/>
          <w:marTop w:val="0"/>
          <w:marBottom w:val="0"/>
          <w:divBdr>
            <w:top w:val="none" w:sz="0" w:space="0" w:color="auto"/>
            <w:left w:val="none" w:sz="0" w:space="0" w:color="auto"/>
            <w:bottom w:val="none" w:sz="0" w:space="0" w:color="auto"/>
            <w:right w:val="none" w:sz="0" w:space="0" w:color="auto"/>
          </w:divBdr>
          <w:divsChild>
            <w:div w:id="1370640672">
              <w:marLeft w:val="0"/>
              <w:marRight w:val="0"/>
              <w:marTop w:val="0"/>
              <w:marBottom w:val="0"/>
              <w:divBdr>
                <w:top w:val="none" w:sz="0" w:space="0" w:color="auto"/>
                <w:left w:val="none" w:sz="0" w:space="0" w:color="auto"/>
                <w:bottom w:val="none" w:sz="0" w:space="0" w:color="auto"/>
                <w:right w:val="none" w:sz="0" w:space="0" w:color="auto"/>
              </w:divBdr>
              <w:divsChild>
                <w:div w:id="1370640679">
                  <w:marLeft w:val="0"/>
                  <w:marRight w:val="0"/>
                  <w:marTop w:val="0"/>
                  <w:marBottom w:val="0"/>
                  <w:divBdr>
                    <w:top w:val="none" w:sz="0" w:space="0" w:color="auto"/>
                    <w:left w:val="none" w:sz="0" w:space="0" w:color="auto"/>
                    <w:bottom w:val="none" w:sz="0" w:space="0" w:color="auto"/>
                    <w:right w:val="none" w:sz="0" w:space="0" w:color="auto"/>
                  </w:divBdr>
                  <w:divsChild>
                    <w:div w:id="1370640682">
                      <w:marLeft w:val="0"/>
                      <w:marRight w:val="0"/>
                      <w:marTop w:val="0"/>
                      <w:marBottom w:val="0"/>
                      <w:divBdr>
                        <w:top w:val="none" w:sz="0" w:space="0" w:color="auto"/>
                        <w:left w:val="none" w:sz="0" w:space="0" w:color="auto"/>
                        <w:bottom w:val="none" w:sz="0" w:space="0" w:color="auto"/>
                        <w:right w:val="none" w:sz="0" w:space="0" w:color="auto"/>
                      </w:divBdr>
                      <w:divsChild>
                        <w:div w:id="1370640678">
                          <w:marLeft w:val="0"/>
                          <w:marRight w:val="0"/>
                          <w:marTop w:val="0"/>
                          <w:marBottom w:val="0"/>
                          <w:divBdr>
                            <w:top w:val="none" w:sz="0" w:space="0" w:color="auto"/>
                            <w:left w:val="none" w:sz="0" w:space="0" w:color="auto"/>
                            <w:bottom w:val="none" w:sz="0" w:space="0" w:color="auto"/>
                            <w:right w:val="none" w:sz="0" w:space="0" w:color="auto"/>
                          </w:divBdr>
                          <w:divsChild>
                            <w:div w:id="1370640680">
                              <w:marLeft w:val="0"/>
                              <w:marRight w:val="0"/>
                              <w:marTop w:val="0"/>
                              <w:marBottom w:val="0"/>
                              <w:divBdr>
                                <w:top w:val="none" w:sz="0" w:space="0" w:color="auto"/>
                                <w:left w:val="none" w:sz="0" w:space="0" w:color="auto"/>
                                <w:bottom w:val="none" w:sz="0" w:space="0" w:color="auto"/>
                                <w:right w:val="none" w:sz="0" w:space="0" w:color="auto"/>
                              </w:divBdr>
                              <w:divsChild>
                                <w:div w:id="1370640676">
                                  <w:marLeft w:val="0"/>
                                  <w:marRight w:val="0"/>
                                  <w:marTop w:val="0"/>
                                  <w:marBottom w:val="0"/>
                                  <w:divBdr>
                                    <w:top w:val="none" w:sz="0" w:space="0" w:color="auto"/>
                                    <w:left w:val="none" w:sz="0" w:space="0" w:color="auto"/>
                                    <w:bottom w:val="none" w:sz="0" w:space="0" w:color="auto"/>
                                    <w:right w:val="none" w:sz="0" w:space="0" w:color="auto"/>
                                  </w:divBdr>
                                  <w:divsChild>
                                    <w:div w:id="1370640673">
                                      <w:marLeft w:val="0"/>
                                      <w:marRight w:val="0"/>
                                      <w:marTop w:val="0"/>
                                      <w:marBottom w:val="0"/>
                                      <w:divBdr>
                                        <w:top w:val="single" w:sz="6" w:space="0" w:color="F5F5F5"/>
                                        <w:left w:val="single" w:sz="6" w:space="0" w:color="F5F5F5"/>
                                        <w:bottom w:val="single" w:sz="6" w:space="0" w:color="F5F5F5"/>
                                        <w:right w:val="single" w:sz="6" w:space="0" w:color="F5F5F5"/>
                                      </w:divBdr>
                                      <w:divsChild>
                                        <w:div w:id="1370640674">
                                          <w:marLeft w:val="0"/>
                                          <w:marRight w:val="0"/>
                                          <w:marTop w:val="0"/>
                                          <w:marBottom w:val="0"/>
                                          <w:divBdr>
                                            <w:top w:val="none" w:sz="0" w:space="0" w:color="auto"/>
                                            <w:left w:val="none" w:sz="0" w:space="0" w:color="auto"/>
                                            <w:bottom w:val="none" w:sz="0" w:space="0" w:color="auto"/>
                                            <w:right w:val="none" w:sz="0" w:space="0" w:color="auto"/>
                                          </w:divBdr>
                                          <w:divsChild>
                                            <w:div w:id="13706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640686">
      <w:marLeft w:val="0"/>
      <w:marRight w:val="0"/>
      <w:marTop w:val="0"/>
      <w:marBottom w:val="0"/>
      <w:divBdr>
        <w:top w:val="none" w:sz="0" w:space="0" w:color="auto"/>
        <w:left w:val="none" w:sz="0" w:space="0" w:color="auto"/>
        <w:bottom w:val="none" w:sz="0" w:space="0" w:color="auto"/>
        <w:right w:val="none" w:sz="0" w:space="0" w:color="auto"/>
      </w:divBdr>
      <w:divsChild>
        <w:div w:id="1370640688">
          <w:marLeft w:val="0"/>
          <w:marRight w:val="0"/>
          <w:marTop w:val="0"/>
          <w:marBottom w:val="0"/>
          <w:divBdr>
            <w:top w:val="none" w:sz="0" w:space="0" w:color="auto"/>
            <w:left w:val="none" w:sz="0" w:space="0" w:color="auto"/>
            <w:bottom w:val="none" w:sz="0" w:space="0" w:color="auto"/>
            <w:right w:val="none" w:sz="0" w:space="0" w:color="auto"/>
          </w:divBdr>
          <w:divsChild>
            <w:div w:id="1370640683">
              <w:marLeft w:val="0"/>
              <w:marRight w:val="0"/>
              <w:marTop w:val="0"/>
              <w:marBottom w:val="0"/>
              <w:divBdr>
                <w:top w:val="none" w:sz="0" w:space="0" w:color="auto"/>
                <w:left w:val="none" w:sz="0" w:space="0" w:color="auto"/>
                <w:bottom w:val="none" w:sz="0" w:space="0" w:color="auto"/>
                <w:right w:val="none" w:sz="0" w:space="0" w:color="auto"/>
              </w:divBdr>
              <w:divsChild>
                <w:div w:id="1370640712">
                  <w:marLeft w:val="0"/>
                  <w:marRight w:val="0"/>
                  <w:marTop w:val="0"/>
                  <w:marBottom w:val="0"/>
                  <w:divBdr>
                    <w:top w:val="none" w:sz="0" w:space="0" w:color="auto"/>
                    <w:left w:val="none" w:sz="0" w:space="0" w:color="auto"/>
                    <w:bottom w:val="none" w:sz="0" w:space="0" w:color="auto"/>
                    <w:right w:val="none" w:sz="0" w:space="0" w:color="auto"/>
                  </w:divBdr>
                  <w:divsChild>
                    <w:div w:id="1370640715">
                      <w:marLeft w:val="0"/>
                      <w:marRight w:val="0"/>
                      <w:marTop w:val="0"/>
                      <w:marBottom w:val="0"/>
                      <w:divBdr>
                        <w:top w:val="none" w:sz="0" w:space="0" w:color="auto"/>
                        <w:left w:val="none" w:sz="0" w:space="0" w:color="auto"/>
                        <w:bottom w:val="none" w:sz="0" w:space="0" w:color="auto"/>
                        <w:right w:val="none" w:sz="0" w:space="0" w:color="auto"/>
                      </w:divBdr>
                      <w:divsChild>
                        <w:div w:id="1370640711">
                          <w:marLeft w:val="0"/>
                          <w:marRight w:val="0"/>
                          <w:marTop w:val="0"/>
                          <w:marBottom w:val="0"/>
                          <w:divBdr>
                            <w:top w:val="none" w:sz="0" w:space="0" w:color="auto"/>
                            <w:left w:val="none" w:sz="0" w:space="0" w:color="auto"/>
                            <w:bottom w:val="none" w:sz="0" w:space="0" w:color="auto"/>
                            <w:right w:val="none" w:sz="0" w:space="0" w:color="auto"/>
                          </w:divBdr>
                          <w:divsChild>
                            <w:div w:id="1370640713">
                              <w:marLeft w:val="0"/>
                              <w:marRight w:val="0"/>
                              <w:marTop w:val="0"/>
                              <w:marBottom w:val="0"/>
                              <w:divBdr>
                                <w:top w:val="none" w:sz="0" w:space="0" w:color="auto"/>
                                <w:left w:val="none" w:sz="0" w:space="0" w:color="auto"/>
                                <w:bottom w:val="none" w:sz="0" w:space="0" w:color="auto"/>
                                <w:right w:val="none" w:sz="0" w:space="0" w:color="auto"/>
                              </w:divBdr>
                              <w:divsChild>
                                <w:div w:id="1370640687">
                                  <w:marLeft w:val="0"/>
                                  <w:marRight w:val="0"/>
                                  <w:marTop w:val="0"/>
                                  <w:marBottom w:val="0"/>
                                  <w:divBdr>
                                    <w:top w:val="none" w:sz="0" w:space="0" w:color="auto"/>
                                    <w:left w:val="none" w:sz="0" w:space="0" w:color="auto"/>
                                    <w:bottom w:val="none" w:sz="0" w:space="0" w:color="auto"/>
                                    <w:right w:val="none" w:sz="0" w:space="0" w:color="auto"/>
                                  </w:divBdr>
                                  <w:divsChild>
                                    <w:div w:id="1370640684">
                                      <w:marLeft w:val="0"/>
                                      <w:marRight w:val="0"/>
                                      <w:marTop w:val="0"/>
                                      <w:marBottom w:val="0"/>
                                      <w:divBdr>
                                        <w:top w:val="single" w:sz="6" w:space="0" w:color="F5F5F5"/>
                                        <w:left w:val="single" w:sz="6" w:space="0" w:color="F5F5F5"/>
                                        <w:bottom w:val="single" w:sz="6" w:space="0" w:color="F5F5F5"/>
                                        <w:right w:val="single" w:sz="6" w:space="0" w:color="F5F5F5"/>
                                      </w:divBdr>
                                      <w:divsChild>
                                        <w:div w:id="1370640685">
                                          <w:marLeft w:val="0"/>
                                          <w:marRight w:val="0"/>
                                          <w:marTop w:val="0"/>
                                          <w:marBottom w:val="0"/>
                                          <w:divBdr>
                                            <w:top w:val="none" w:sz="0" w:space="0" w:color="auto"/>
                                            <w:left w:val="none" w:sz="0" w:space="0" w:color="auto"/>
                                            <w:bottom w:val="none" w:sz="0" w:space="0" w:color="auto"/>
                                            <w:right w:val="none" w:sz="0" w:space="0" w:color="auto"/>
                                          </w:divBdr>
                                          <w:divsChild>
                                            <w:div w:id="13706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640692">
      <w:marLeft w:val="0"/>
      <w:marRight w:val="0"/>
      <w:marTop w:val="0"/>
      <w:marBottom w:val="0"/>
      <w:divBdr>
        <w:top w:val="none" w:sz="0" w:space="0" w:color="auto"/>
        <w:left w:val="none" w:sz="0" w:space="0" w:color="auto"/>
        <w:bottom w:val="none" w:sz="0" w:space="0" w:color="auto"/>
        <w:right w:val="none" w:sz="0" w:space="0" w:color="auto"/>
      </w:divBdr>
      <w:divsChild>
        <w:div w:id="1370640694">
          <w:marLeft w:val="0"/>
          <w:marRight w:val="0"/>
          <w:marTop w:val="0"/>
          <w:marBottom w:val="0"/>
          <w:divBdr>
            <w:top w:val="none" w:sz="0" w:space="0" w:color="auto"/>
            <w:left w:val="none" w:sz="0" w:space="0" w:color="auto"/>
            <w:bottom w:val="none" w:sz="0" w:space="0" w:color="auto"/>
            <w:right w:val="none" w:sz="0" w:space="0" w:color="auto"/>
          </w:divBdr>
          <w:divsChild>
            <w:div w:id="1370640689">
              <w:marLeft w:val="0"/>
              <w:marRight w:val="0"/>
              <w:marTop w:val="0"/>
              <w:marBottom w:val="0"/>
              <w:divBdr>
                <w:top w:val="none" w:sz="0" w:space="0" w:color="auto"/>
                <w:left w:val="none" w:sz="0" w:space="0" w:color="auto"/>
                <w:bottom w:val="none" w:sz="0" w:space="0" w:color="auto"/>
                <w:right w:val="none" w:sz="0" w:space="0" w:color="auto"/>
              </w:divBdr>
              <w:divsChild>
                <w:div w:id="1370640696">
                  <w:marLeft w:val="0"/>
                  <w:marRight w:val="0"/>
                  <w:marTop w:val="0"/>
                  <w:marBottom w:val="0"/>
                  <w:divBdr>
                    <w:top w:val="none" w:sz="0" w:space="0" w:color="auto"/>
                    <w:left w:val="none" w:sz="0" w:space="0" w:color="auto"/>
                    <w:bottom w:val="none" w:sz="0" w:space="0" w:color="auto"/>
                    <w:right w:val="none" w:sz="0" w:space="0" w:color="auto"/>
                  </w:divBdr>
                  <w:divsChild>
                    <w:div w:id="1370640699">
                      <w:marLeft w:val="0"/>
                      <w:marRight w:val="0"/>
                      <w:marTop w:val="0"/>
                      <w:marBottom w:val="0"/>
                      <w:divBdr>
                        <w:top w:val="none" w:sz="0" w:space="0" w:color="auto"/>
                        <w:left w:val="none" w:sz="0" w:space="0" w:color="auto"/>
                        <w:bottom w:val="none" w:sz="0" w:space="0" w:color="auto"/>
                        <w:right w:val="none" w:sz="0" w:space="0" w:color="auto"/>
                      </w:divBdr>
                      <w:divsChild>
                        <w:div w:id="1370640695">
                          <w:marLeft w:val="0"/>
                          <w:marRight w:val="0"/>
                          <w:marTop w:val="0"/>
                          <w:marBottom w:val="0"/>
                          <w:divBdr>
                            <w:top w:val="none" w:sz="0" w:space="0" w:color="auto"/>
                            <w:left w:val="none" w:sz="0" w:space="0" w:color="auto"/>
                            <w:bottom w:val="none" w:sz="0" w:space="0" w:color="auto"/>
                            <w:right w:val="none" w:sz="0" w:space="0" w:color="auto"/>
                          </w:divBdr>
                          <w:divsChild>
                            <w:div w:id="1370640697">
                              <w:marLeft w:val="0"/>
                              <w:marRight w:val="0"/>
                              <w:marTop w:val="0"/>
                              <w:marBottom w:val="0"/>
                              <w:divBdr>
                                <w:top w:val="none" w:sz="0" w:space="0" w:color="auto"/>
                                <w:left w:val="none" w:sz="0" w:space="0" w:color="auto"/>
                                <w:bottom w:val="none" w:sz="0" w:space="0" w:color="auto"/>
                                <w:right w:val="none" w:sz="0" w:space="0" w:color="auto"/>
                              </w:divBdr>
                              <w:divsChild>
                                <w:div w:id="1370640693">
                                  <w:marLeft w:val="0"/>
                                  <w:marRight w:val="0"/>
                                  <w:marTop w:val="0"/>
                                  <w:marBottom w:val="0"/>
                                  <w:divBdr>
                                    <w:top w:val="none" w:sz="0" w:space="0" w:color="auto"/>
                                    <w:left w:val="none" w:sz="0" w:space="0" w:color="auto"/>
                                    <w:bottom w:val="none" w:sz="0" w:space="0" w:color="auto"/>
                                    <w:right w:val="none" w:sz="0" w:space="0" w:color="auto"/>
                                  </w:divBdr>
                                  <w:divsChild>
                                    <w:div w:id="1370640690">
                                      <w:marLeft w:val="0"/>
                                      <w:marRight w:val="0"/>
                                      <w:marTop w:val="0"/>
                                      <w:marBottom w:val="0"/>
                                      <w:divBdr>
                                        <w:top w:val="single" w:sz="6" w:space="0" w:color="F5F5F5"/>
                                        <w:left w:val="single" w:sz="6" w:space="0" w:color="F5F5F5"/>
                                        <w:bottom w:val="single" w:sz="6" w:space="0" w:color="F5F5F5"/>
                                        <w:right w:val="single" w:sz="6" w:space="0" w:color="F5F5F5"/>
                                      </w:divBdr>
                                      <w:divsChild>
                                        <w:div w:id="1370640691">
                                          <w:marLeft w:val="0"/>
                                          <w:marRight w:val="0"/>
                                          <w:marTop w:val="0"/>
                                          <w:marBottom w:val="0"/>
                                          <w:divBdr>
                                            <w:top w:val="none" w:sz="0" w:space="0" w:color="auto"/>
                                            <w:left w:val="none" w:sz="0" w:space="0" w:color="auto"/>
                                            <w:bottom w:val="none" w:sz="0" w:space="0" w:color="auto"/>
                                            <w:right w:val="none" w:sz="0" w:space="0" w:color="auto"/>
                                          </w:divBdr>
                                          <w:divsChild>
                                            <w:div w:id="13706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640703">
      <w:marLeft w:val="0"/>
      <w:marRight w:val="0"/>
      <w:marTop w:val="0"/>
      <w:marBottom w:val="0"/>
      <w:divBdr>
        <w:top w:val="none" w:sz="0" w:space="0" w:color="auto"/>
        <w:left w:val="none" w:sz="0" w:space="0" w:color="auto"/>
        <w:bottom w:val="none" w:sz="0" w:space="0" w:color="auto"/>
        <w:right w:val="none" w:sz="0" w:space="0" w:color="auto"/>
      </w:divBdr>
      <w:divsChild>
        <w:div w:id="1370640705">
          <w:marLeft w:val="0"/>
          <w:marRight w:val="0"/>
          <w:marTop w:val="0"/>
          <w:marBottom w:val="0"/>
          <w:divBdr>
            <w:top w:val="none" w:sz="0" w:space="0" w:color="auto"/>
            <w:left w:val="none" w:sz="0" w:space="0" w:color="auto"/>
            <w:bottom w:val="none" w:sz="0" w:space="0" w:color="auto"/>
            <w:right w:val="none" w:sz="0" w:space="0" w:color="auto"/>
          </w:divBdr>
          <w:divsChild>
            <w:div w:id="1370640700">
              <w:marLeft w:val="0"/>
              <w:marRight w:val="0"/>
              <w:marTop w:val="0"/>
              <w:marBottom w:val="0"/>
              <w:divBdr>
                <w:top w:val="none" w:sz="0" w:space="0" w:color="auto"/>
                <w:left w:val="none" w:sz="0" w:space="0" w:color="auto"/>
                <w:bottom w:val="none" w:sz="0" w:space="0" w:color="auto"/>
                <w:right w:val="none" w:sz="0" w:space="0" w:color="auto"/>
              </w:divBdr>
              <w:divsChild>
                <w:div w:id="1370640707">
                  <w:marLeft w:val="0"/>
                  <w:marRight w:val="0"/>
                  <w:marTop w:val="0"/>
                  <w:marBottom w:val="0"/>
                  <w:divBdr>
                    <w:top w:val="none" w:sz="0" w:space="0" w:color="auto"/>
                    <w:left w:val="none" w:sz="0" w:space="0" w:color="auto"/>
                    <w:bottom w:val="none" w:sz="0" w:space="0" w:color="auto"/>
                    <w:right w:val="none" w:sz="0" w:space="0" w:color="auto"/>
                  </w:divBdr>
                  <w:divsChild>
                    <w:div w:id="1370640710">
                      <w:marLeft w:val="0"/>
                      <w:marRight w:val="0"/>
                      <w:marTop w:val="0"/>
                      <w:marBottom w:val="0"/>
                      <w:divBdr>
                        <w:top w:val="none" w:sz="0" w:space="0" w:color="auto"/>
                        <w:left w:val="none" w:sz="0" w:space="0" w:color="auto"/>
                        <w:bottom w:val="none" w:sz="0" w:space="0" w:color="auto"/>
                        <w:right w:val="none" w:sz="0" w:space="0" w:color="auto"/>
                      </w:divBdr>
                      <w:divsChild>
                        <w:div w:id="1370640706">
                          <w:marLeft w:val="0"/>
                          <w:marRight w:val="0"/>
                          <w:marTop w:val="0"/>
                          <w:marBottom w:val="0"/>
                          <w:divBdr>
                            <w:top w:val="none" w:sz="0" w:space="0" w:color="auto"/>
                            <w:left w:val="none" w:sz="0" w:space="0" w:color="auto"/>
                            <w:bottom w:val="none" w:sz="0" w:space="0" w:color="auto"/>
                            <w:right w:val="none" w:sz="0" w:space="0" w:color="auto"/>
                          </w:divBdr>
                          <w:divsChild>
                            <w:div w:id="1370640708">
                              <w:marLeft w:val="0"/>
                              <w:marRight w:val="0"/>
                              <w:marTop w:val="0"/>
                              <w:marBottom w:val="0"/>
                              <w:divBdr>
                                <w:top w:val="none" w:sz="0" w:space="0" w:color="auto"/>
                                <w:left w:val="none" w:sz="0" w:space="0" w:color="auto"/>
                                <w:bottom w:val="none" w:sz="0" w:space="0" w:color="auto"/>
                                <w:right w:val="none" w:sz="0" w:space="0" w:color="auto"/>
                              </w:divBdr>
                              <w:divsChild>
                                <w:div w:id="1370640704">
                                  <w:marLeft w:val="0"/>
                                  <w:marRight w:val="0"/>
                                  <w:marTop w:val="0"/>
                                  <w:marBottom w:val="0"/>
                                  <w:divBdr>
                                    <w:top w:val="none" w:sz="0" w:space="0" w:color="auto"/>
                                    <w:left w:val="none" w:sz="0" w:space="0" w:color="auto"/>
                                    <w:bottom w:val="none" w:sz="0" w:space="0" w:color="auto"/>
                                    <w:right w:val="none" w:sz="0" w:space="0" w:color="auto"/>
                                  </w:divBdr>
                                  <w:divsChild>
                                    <w:div w:id="1370640701">
                                      <w:marLeft w:val="0"/>
                                      <w:marRight w:val="0"/>
                                      <w:marTop w:val="0"/>
                                      <w:marBottom w:val="0"/>
                                      <w:divBdr>
                                        <w:top w:val="single" w:sz="6" w:space="0" w:color="F5F5F5"/>
                                        <w:left w:val="single" w:sz="6" w:space="0" w:color="F5F5F5"/>
                                        <w:bottom w:val="single" w:sz="6" w:space="0" w:color="F5F5F5"/>
                                        <w:right w:val="single" w:sz="6" w:space="0" w:color="F5F5F5"/>
                                      </w:divBdr>
                                      <w:divsChild>
                                        <w:div w:id="1370640702">
                                          <w:marLeft w:val="0"/>
                                          <w:marRight w:val="0"/>
                                          <w:marTop w:val="0"/>
                                          <w:marBottom w:val="0"/>
                                          <w:divBdr>
                                            <w:top w:val="none" w:sz="0" w:space="0" w:color="auto"/>
                                            <w:left w:val="none" w:sz="0" w:space="0" w:color="auto"/>
                                            <w:bottom w:val="none" w:sz="0" w:space="0" w:color="auto"/>
                                            <w:right w:val="none" w:sz="0" w:space="0" w:color="auto"/>
                                          </w:divBdr>
                                          <w:divsChild>
                                            <w:div w:id="13706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8168</Words>
  <Characters>56678</Characters>
  <Application>Microsoft Office Word</Application>
  <DocSecurity>8</DocSecurity>
  <Lines>472</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64717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Albina Burkauskaitė</cp:lastModifiedBy>
  <cp:revision>3</cp:revision>
  <cp:lastPrinted>2012-02-27T07:21:00Z</cp:lastPrinted>
  <dcterms:created xsi:type="dcterms:W3CDTF">2014-03-04T06:12:00Z</dcterms:created>
  <dcterms:modified xsi:type="dcterms:W3CDTF">2014-03-04T06:19:00Z</dcterms:modified>
</cp:coreProperties>
</file>