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D16734" w14:textId="77777777" w:rsidR="00A23D3E" w:rsidRPr="00A23D3E" w:rsidRDefault="00A23D3E" w:rsidP="00A23D3E">
      <w:pPr>
        <w:spacing w:after="0" w:line="240" w:lineRule="auto"/>
        <w:rPr>
          <w:rFonts w:ascii="Times New Roman" w:eastAsia="Verdana" w:hAnsi="Times New Roman" w:cs="Times New Roman"/>
          <w:lang w:val="en-GB" w:eastAsia="en-GB"/>
        </w:rPr>
      </w:pPr>
      <w:bookmarkStart w:id="0" w:name="_GoBack"/>
      <w:bookmarkEnd w:id="0"/>
    </w:p>
    <w:p w14:paraId="20711E7E" w14:textId="77777777" w:rsidR="00A23D3E" w:rsidRPr="00A23D3E" w:rsidRDefault="00A23D3E" w:rsidP="00A23D3E">
      <w:pPr>
        <w:spacing w:after="0" w:line="240" w:lineRule="auto"/>
        <w:rPr>
          <w:rFonts w:ascii="Times New Roman" w:eastAsia="Verdana" w:hAnsi="Times New Roman" w:cs="Times New Roman"/>
          <w:lang w:val="en-GB" w:eastAsia="en-GB"/>
        </w:rPr>
      </w:pPr>
    </w:p>
    <w:p w14:paraId="2EAB9121" w14:textId="77777777" w:rsidR="00A23D3E" w:rsidRPr="00A23D3E" w:rsidRDefault="00A23D3E" w:rsidP="00A23D3E">
      <w:pPr>
        <w:spacing w:after="0" w:line="240" w:lineRule="auto"/>
        <w:rPr>
          <w:rFonts w:ascii="Times New Roman" w:eastAsia="Verdana" w:hAnsi="Times New Roman" w:cs="Times New Roman"/>
          <w:lang w:val="en-GB" w:eastAsia="en-GB"/>
        </w:rPr>
      </w:pPr>
    </w:p>
    <w:p w14:paraId="06EB722A" w14:textId="77777777" w:rsidR="00A23D3E" w:rsidRPr="00A23D3E" w:rsidRDefault="00A23D3E" w:rsidP="00A23D3E">
      <w:pPr>
        <w:spacing w:after="0" w:line="240" w:lineRule="auto"/>
        <w:rPr>
          <w:rFonts w:ascii="Times New Roman" w:eastAsia="Verdana" w:hAnsi="Times New Roman" w:cs="Times New Roman"/>
          <w:lang w:val="en-GB" w:eastAsia="en-GB"/>
        </w:rPr>
      </w:pPr>
    </w:p>
    <w:p w14:paraId="11875A33"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09C1F10"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506055B2"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AC45FF0"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7AA13E98"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6EB4734"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5B1764A4"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2B7CBDBF"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B881DE1"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5FEF243E"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744E40C0"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79170AF8"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40CCACD"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79CCD3F1"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41EBAA9A"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8FCBF13"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33AE94F"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6155862" w14:textId="77777777" w:rsidR="00A23D3E" w:rsidRPr="00A23D3E" w:rsidRDefault="00A23D3E" w:rsidP="00A23D3E">
      <w:pPr>
        <w:widowControl w:val="0"/>
        <w:spacing w:after="0" w:line="240" w:lineRule="auto"/>
        <w:jc w:val="center"/>
        <w:rPr>
          <w:rFonts w:ascii="Times New Roman" w:eastAsia="Calibri" w:hAnsi="Times New Roman" w:cs="Times New Roman"/>
          <w:b/>
          <w:lang w:val="en-US"/>
        </w:rPr>
      </w:pPr>
    </w:p>
    <w:p w14:paraId="5BEC9BE4" w14:textId="77777777" w:rsidR="00A23D3E" w:rsidRPr="00A23D3E" w:rsidRDefault="00A23D3E" w:rsidP="00A23D3E">
      <w:pPr>
        <w:widowControl w:val="0"/>
        <w:spacing w:after="0" w:line="240" w:lineRule="auto"/>
        <w:jc w:val="center"/>
        <w:rPr>
          <w:rFonts w:ascii="Times New Roman" w:eastAsia="Calibri" w:hAnsi="Times New Roman" w:cs="Times New Roman"/>
          <w:b/>
          <w:lang w:val="en-US"/>
        </w:rPr>
      </w:pPr>
    </w:p>
    <w:p w14:paraId="1F255013" w14:textId="77777777" w:rsidR="00A23D3E" w:rsidRPr="00A23D3E" w:rsidRDefault="00A23D3E" w:rsidP="00A23D3E">
      <w:pPr>
        <w:widowControl w:val="0"/>
        <w:spacing w:after="0" w:line="240" w:lineRule="auto"/>
        <w:jc w:val="center"/>
        <w:rPr>
          <w:rFonts w:ascii="Times New Roman" w:eastAsia="Calibri" w:hAnsi="Times New Roman" w:cs="Times New Roman"/>
          <w:b/>
          <w:lang w:val="it-IT"/>
        </w:rPr>
      </w:pPr>
      <w:r w:rsidRPr="00A23D3E">
        <w:rPr>
          <w:rFonts w:ascii="Times New Roman" w:eastAsia="Calibri" w:hAnsi="Times New Roman" w:cs="Times New Roman"/>
          <w:b/>
          <w:lang w:val="it-IT"/>
        </w:rPr>
        <w:t>I PRIEDAS</w:t>
      </w:r>
    </w:p>
    <w:p w14:paraId="757D9EFF" w14:textId="77777777" w:rsidR="00A23D3E" w:rsidRPr="00A23D3E" w:rsidRDefault="00A23D3E" w:rsidP="00A23D3E">
      <w:pPr>
        <w:widowControl w:val="0"/>
        <w:spacing w:after="0" w:line="240" w:lineRule="auto"/>
        <w:jc w:val="center"/>
        <w:rPr>
          <w:rFonts w:ascii="Times New Roman" w:eastAsia="Calibri" w:hAnsi="Times New Roman" w:cs="Times New Roman"/>
          <w:lang w:val="it-IT"/>
        </w:rPr>
      </w:pPr>
    </w:p>
    <w:p w14:paraId="6F49A262" w14:textId="77777777" w:rsidR="00A23D3E" w:rsidRPr="00A23D3E" w:rsidRDefault="00A23D3E" w:rsidP="00A23D3E">
      <w:pPr>
        <w:widowControl w:val="0"/>
        <w:spacing w:after="0" w:line="240" w:lineRule="auto"/>
        <w:jc w:val="center"/>
        <w:rPr>
          <w:rFonts w:ascii="Times New Roman" w:eastAsia="Calibri" w:hAnsi="Times New Roman" w:cs="Times New Roman"/>
          <w:b/>
          <w:lang w:val="it-IT"/>
        </w:rPr>
      </w:pPr>
      <w:r w:rsidRPr="00A23D3E">
        <w:rPr>
          <w:rFonts w:ascii="Times New Roman" w:eastAsia="Calibri" w:hAnsi="Times New Roman" w:cs="Times New Roman"/>
          <w:b/>
          <w:lang w:val="it-IT"/>
        </w:rPr>
        <w:t>PREPARATO CHARAKTERISTIKŲ SANTRAUKA</w:t>
      </w:r>
    </w:p>
    <w:p w14:paraId="76E76C47" w14:textId="77777777" w:rsidR="00A23D3E" w:rsidRPr="00A23D3E" w:rsidRDefault="00A23D3E" w:rsidP="00EA789F">
      <w:pPr>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lang w:val="it-IT"/>
        </w:rPr>
        <w:br w:type="page"/>
      </w:r>
      <w:r w:rsidRPr="00A23D3E">
        <w:rPr>
          <w:rFonts w:ascii="Times New Roman" w:eastAsia="Calibri" w:hAnsi="Times New Roman" w:cs="Times New Roman"/>
          <w:b/>
          <w:lang w:val="it-IT"/>
        </w:rPr>
        <w:lastRenderedPageBreak/>
        <w:t>1.</w:t>
      </w:r>
      <w:r w:rsidRPr="00A23D3E">
        <w:rPr>
          <w:rFonts w:ascii="Times New Roman" w:eastAsia="Calibri" w:hAnsi="Times New Roman" w:cs="Times New Roman"/>
          <w:b/>
          <w:lang w:val="it-IT"/>
        </w:rPr>
        <w:tab/>
        <w:t>VAISTINIO PREPARATO PAVADINIMAS</w:t>
      </w:r>
    </w:p>
    <w:p w14:paraId="2731E88A"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40B2BCA4" w14:textId="77777777" w:rsidR="00A23D3E" w:rsidRPr="00A23D3E" w:rsidRDefault="00A23D3E" w:rsidP="00A23D3E">
      <w:pPr>
        <w:widowControl w:val="0"/>
        <w:spacing w:after="0" w:line="240" w:lineRule="auto"/>
        <w:rPr>
          <w:rFonts w:ascii="Times New Roman" w:eastAsia="Calibri" w:hAnsi="Times New Roman" w:cs="Times New Roman"/>
          <w:spacing w:val="-3"/>
          <w:lang w:val="it-IT"/>
        </w:rPr>
      </w:pPr>
      <w:r w:rsidRPr="00A23D3E">
        <w:rPr>
          <w:rFonts w:ascii="Times New Roman" w:eastAsia="Calibri" w:hAnsi="Times New Roman" w:cs="Times New Roman"/>
          <w:lang w:val="it-IT"/>
        </w:rPr>
        <w:t>Sandostatin LAR 1</w:t>
      </w:r>
      <w:r w:rsidRPr="00A23D3E">
        <w:rPr>
          <w:rFonts w:ascii="Times New Roman" w:eastAsia="Calibri" w:hAnsi="Times New Roman" w:cs="Times New Roman"/>
          <w:spacing w:val="-3"/>
          <w:lang w:val="it-IT"/>
        </w:rPr>
        <w:t>0 mg milteliai ir tirpiklis injekcinei suspensijai</w:t>
      </w:r>
    </w:p>
    <w:p w14:paraId="23FBB67F" w14:textId="77777777" w:rsidR="00A23D3E" w:rsidRPr="00A23D3E" w:rsidRDefault="00A23D3E" w:rsidP="00A23D3E">
      <w:pPr>
        <w:widowControl w:val="0"/>
        <w:shd w:val="pct10" w:color="auto" w:fill="auto"/>
        <w:spacing w:after="0" w:line="240" w:lineRule="auto"/>
        <w:rPr>
          <w:rFonts w:ascii="Times New Roman" w:eastAsia="Calibri" w:hAnsi="Times New Roman" w:cs="Times New Roman"/>
          <w:spacing w:val="-3"/>
          <w:lang w:val="it-IT"/>
        </w:rPr>
      </w:pPr>
      <w:r w:rsidRPr="00A23D3E">
        <w:rPr>
          <w:rFonts w:ascii="Times New Roman" w:eastAsia="Calibri" w:hAnsi="Times New Roman" w:cs="Times New Roman"/>
          <w:lang w:val="it-IT"/>
        </w:rPr>
        <w:t>Sandostatin LAR 2</w:t>
      </w:r>
      <w:r w:rsidRPr="00A23D3E">
        <w:rPr>
          <w:rFonts w:ascii="Times New Roman" w:eastAsia="Calibri" w:hAnsi="Times New Roman" w:cs="Times New Roman"/>
          <w:spacing w:val="-3"/>
          <w:lang w:val="it-IT"/>
        </w:rPr>
        <w:t>0 mg milteliai ir tirpiklis injekcinei suspensijai</w:t>
      </w:r>
    </w:p>
    <w:p w14:paraId="0A94F497" w14:textId="77777777" w:rsidR="00A23D3E" w:rsidRPr="00A23D3E" w:rsidRDefault="00A23D3E" w:rsidP="00A23D3E">
      <w:pPr>
        <w:widowControl w:val="0"/>
        <w:shd w:val="pct20" w:color="auto" w:fill="auto"/>
        <w:spacing w:after="0" w:line="240" w:lineRule="auto"/>
        <w:rPr>
          <w:rFonts w:ascii="Times New Roman" w:eastAsia="Calibri" w:hAnsi="Times New Roman" w:cs="Times New Roman"/>
          <w:spacing w:val="-3"/>
          <w:lang w:val="it-IT"/>
        </w:rPr>
      </w:pPr>
      <w:r w:rsidRPr="00A23D3E">
        <w:rPr>
          <w:rFonts w:ascii="Times New Roman" w:eastAsia="Calibri" w:hAnsi="Times New Roman" w:cs="Times New Roman"/>
          <w:lang w:val="it-IT"/>
        </w:rPr>
        <w:t>Sandostatin LAR 3</w:t>
      </w:r>
      <w:r w:rsidRPr="00A23D3E">
        <w:rPr>
          <w:rFonts w:ascii="Times New Roman" w:eastAsia="Calibri" w:hAnsi="Times New Roman" w:cs="Times New Roman"/>
          <w:spacing w:val="-3"/>
          <w:lang w:val="it-IT"/>
        </w:rPr>
        <w:t>0 mg milteliai ir tirpiklis injekcinei suspensijai</w:t>
      </w:r>
    </w:p>
    <w:p w14:paraId="0F77FF27"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09843AC9"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30CFECAA" w14:textId="77777777" w:rsidR="00A23D3E" w:rsidRPr="00A23D3E" w:rsidRDefault="00A23D3E" w:rsidP="00EA789F">
      <w:pPr>
        <w:keepNext/>
        <w:widowControl w:val="0"/>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b/>
          <w:lang w:val="it-IT"/>
        </w:rPr>
        <w:t>2.</w:t>
      </w:r>
      <w:r w:rsidRPr="00A23D3E">
        <w:rPr>
          <w:rFonts w:ascii="Times New Roman" w:eastAsia="Calibri" w:hAnsi="Times New Roman" w:cs="Times New Roman"/>
          <w:b/>
          <w:lang w:val="it-IT"/>
        </w:rPr>
        <w:tab/>
        <w:t>KOKYBINĖ IR KIEKYBINĖ SUDĖTIS</w:t>
      </w:r>
    </w:p>
    <w:p w14:paraId="33B6FFB7"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0E7CCDAD"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 xml:space="preserve">Kiekviename flakone yra 10 mg oktreotido (oktreotido acetato pavidalu). </w:t>
      </w:r>
    </w:p>
    <w:p w14:paraId="64EB102E" w14:textId="77777777" w:rsidR="00A23D3E" w:rsidRPr="00A23D3E" w:rsidRDefault="00A23D3E" w:rsidP="00A23D3E">
      <w:pPr>
        <w:shd w:val="clear" w:color="auto" w:fill="D9D9D9"/>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Kiekviename flakone yra 20 mg oktreotido (oktreotido acetato pavidalu).</w:t>
      </w:r>
    </w:p>
    <w:p w14:paraId="28D8A69B" w14:textId="77777777" w:rsidR="00A23D3E" w:rsidRPr="00A23D3E" w:rsidRDefault="00A23D3E" w:rsidP="00A23D3E">
      <w:pPr>
        <w:shd w:val="clear" w:color="auto" w:fill="BFBFBF"/>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Kiekviename flakone yra 30 mg oktreotido (oktreotido acetato pavidalu).</w:t>
      </w:r>
    </w:p>
    <w:p w14:paraId="1A7C3F62"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p>
    <w:p w14:paraId="2B98597C"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Visos pagalbinės medžiagos išvardytos 6.1 skyriuje.</w:t>
      </w:r>
    </w:p>
    <w:p w14:paraId="0EADBD72"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3A497842"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F975E82"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caps/>
          <w:lang w:val="es-ES"/>
        </w:rPr>
      </w:pPr>
      <w:r w:rsidRPr="00A23D3E">
        <w:rPr>
          <w:rFonts w:ascii="Times New Roman" w:eastAsia="Calibri" w:hAnsi="Times New Roman" w:cs="Times New Roman"/>
          <w:b/>
          <w:caps/>
          <w:lang w:val="es-ES"/>
        </w:rPr>
        <w:t>3.</w:t>
      </w:r>
      <w:r w:rsidRPr="00A23D3E">
        <w:rPr>
          <w:rFonts w:ascii="Times New Roman" w:eastAsia="Calibri" w:hAnsi="Times New Roman" w:cs="Times New Roman"/>
          <w:b/>
          <w:caps/>
          <w:lang w:val="es-ES"/>
        </w:rPr>
        <w:tab/>
        <w:t>FARMACINĖ forma</w:t>
      </w:r>
    </w:p>
    <w:p w14:paraId="5D117598"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01D9364B"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Milteliai ir tirpiklis injekcinei suspensijai.</w:t>
      </w:r>
    </w:p>
    <w:p w14:paraId="05048835"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lang w:val="it-IT"/>
        </w:rPr>
        <w:t xml:space="preserve">Milteliai yra balti arba gelsvo atspalvio. </w:t>
      </w:r>
    </w:p>
    <w:p w14:paraId="19EA0C23"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lang w:val="it-IT"/>
        </w:rPr>
        <w:t xml:space="preserve">Tirpiklis yra skaidrus, bespalvis arba šiek tiek gelsvo ar rusvo atspalvio. </w:t>
      </w:r>
    </w:p>
    <w:p w14:paraId="42E04BA2"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31C267E5"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0A189CDA"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caps/>
          <w:lang w:val="it-IT"/>
        </w:rPr>
      </w:pPr>
      <w:r w:rsidRPr="00A23D3E">
        <w:rPr>
          <w:rFonts w:ascii="Times New Roman" w:eastAsia="Calibri" w:hAnsi="Times New Roman" w:cs="Times New Roman"/>
          <w:b/>
          <w:caps/>
          <w:lang w:val="it-IT"/>
        </w:rPr>
        <w:t>4.</w:t>
      </w:r>
      <w:r w:rsidRPr="00A23D3E">
        <w:rPr>
          <w:rFonts w:ascii="Times New Roman" w:eastAsia="Calibri" w:hAnsi="Times New Roman" w:cs="Times New Roman"/>
          <w:b/>
          <w:caps/>
          <w:lang w:val="it-IT"/>
        </w:rPr>
        <w:tab/>
        <w:t>klinikinĖ informacija</w:t>
      </w:r>
    </w:p>
    <w:p w14:paraId="6D4616CF"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34E5E535"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4.1</w:t>
      </w:r>
      <w:r w:rsidRPr="00A23D3E">
        <w:rPr>
          <w:rFonts w:ascii="Times New Roman" w:eastAsia="Calibri" w:hAnsi="Times New Roman" w:cs="Times New Roman"/>
          <w:b/>
          <w:lang w:val="it-IT"/>
        </w:rPr>
        <w:tab/>
        <w:t>Terapinės indikacijos</w:t>
      </w:r>
    </w:p>
    <w:p w14:paraId="7296EC35"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22F091CF"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Akromegalija sergantiems pacientams gydyti, kai jiems netinka arba neveiksmingas chirurginis gydymas, taip pat laikotarpiu kol bus pasiektas visiškas radioterapijos poveikis (žr. 4.2 skyrių).</w:t>
      </w:r>
    </w:p>
    <w:p w14:paraId="0216830D"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34AE3CD3"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Pacientams, kuriems yra simptomų, susijusių su hormonus sekretuojančiais skrandžio, žarnyno, kasos endokrininiais navikais, pvz., karcinoidiniais navikais su karcinoido sindromo požymiais, gydyti (žr. 5.1 skyrių).</w:t>
      </w:r>
    </w:p>
    <w:p w14:paraId="1B603FDA"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67E4677" w14:textId="77777777" w:rsidR="00A23D3E" w:rsidRPr="00A23D3E" w:rsidRDefault="00A23D3E" w:rsidP="00A23D3E">
      <w:pPr>
        <w:tabs>
          <w:tab w:val="left" w:pos="567"/>
        </w:tabs>
        <w:spacing w:after="0" w:line="260" w:lineRule="exact"/>
        <w:rPr>
          <w:rFonts w:ascii="Times New Roman" w:eastAsia="Calibri" w:hAnsi="Times New Roman" w:cs="Times New Roman"/>
          <w:lang w:val="it-IT"/>
        </w:rPr>
      </w:pPr>
      <w:r w:rsidRPr="00A23D3E">
        <w:rPr>
          <w:rFonts w:ascii="Times New Roman" w:eastAsia="Calibri" w:hAnsi="Times New Roman" w:cs="Times New Roman"/>
          <w:lang w:val="it-IT"/>
        </w:rPr>
        <w:t>Pacientams, sergantiems išplitusiu neuroendokrininiu virškinimo trakto naviku arba nežinomos pirminės lokalizacijos neuroendokrininiu naviku, kai atmesta kita nei virškinimo trakto kilmė, gydyti.</w:t>
      </w:r>
    </w:p>
    <w:p w14:paraId="45622CE1"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26091EC"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Pacientams, sergantiems TTH sekretuojančia hipofizės adenoma, gydyti:</w:t>
      </w:r>
    </w:p>
    <w:p w14:paraId="2DCAF0F0" w14:textId="77777777" w:rsidR="00A23D3E" w:rsidRPr="00A23D3E" w:rsidRDefault="00A23D3E" w:rsidP="00A23D3E">
      <w:pPr>
        <w:keepNext/>
        <w:widowControl w:val="0"/>
        <w:numPr>
          <w:ilvl w:val="0"/>
          <w:numId w:val="11"/>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kai sekrecija netapo normalia po atliktos chirurginės operacijos ir (arba) radioterapijos;</w:t>
      </w:r>
    </w:p>
    <w:p w14:paraId="5D89F7BC" w14:textId="77777777" w:rsidR="00A23D3E" w:rsidRPr="00A23D3E" w:rsidRDefault="00A23D3E" w:rsidP="00A23D3E">
      <w:pPr>
        <w:keepNext/>
        <w:widowControl w:val="0"/>
        <w:numPr>
          <w:ilvl w:val="0"/>
          <w:numId w:val="11"/>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pacientams, kuriems netinka chirurginė operacija;</w:t>
      </w:r>
    </w:p>
    <w:p w14:paraId="10F1CB41" w14:textId="77777777" w:rsidR="00A23D3E" w:rsidRPr="00A23D3E" w:rsidRDefault="00A23D3E" w:rsidP="00A23D3E">
      <w:pPr>
        <w:keepNext/>
        <w:widowControl w:val="0"/>
        <w:numPr>
          <w:ilvl w:val="0"/>
          <w:numId w:val="11"/>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pacientams po spindulinio gydymo, kol pasireikš radioterapijos poveikis.</w:t>
      </w:r>
    </w:p>
    <w:p w14:paraId="270F3BEE"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0E7ADF99" w14:textId="77777777" w:rsidR="00A23D3E" w:rsidRPr="00A23D3E" w:rsidRDefault="00A23D3E" w:rsidP="00A23D3E">
      <w:pPr>
        <w:spacing w:after="0" w:line="240" w:lineRule="auto"/>
        <w:jc w:val="both"/>
        <w:rPr>
          <w:rFonts w:ascii="Times New Roman" w:eastAsia="Calibri" w:hAnsi="Times New Roman" w:cs="Times New Roman"/>
          <w:b/>
          <w:lang w:val="es-ES"/>
        </w:rPr>
      </w:pPr>
      <w:r w:rsidRPr="00A23D3E">
        <w:rPr>
          <w:rFonts w:ascii="Times New Roman" w:eastAsia="Calibri" w:hAnsi="Times New Roman" w:cs="Times New Roman"/>
          <w:b/>
          <w:lang w:val="es-ES"/>
        </w:rPr>
        <w:t>4.2</w:t>
      </w:r>
      <w:r w:rsidRPr="00A23D3E">
        <w:rPr>
          <w:rFonts w:ascii="Times New Roman" w:eastAsia="Calibri" w:hAnsi="Times New Roman" w:cs="Times New Roman"/>
          <w:b/>
          <w:lang w:val="es-ES"/>
        </w:rPr>
        <w:tab/>
        <w:t>Dozavimas ir vartojimo metodas</w:t>
      </w:r>
    </w:p>
    <w:p w14:paraId="1AE0A4A9"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3719A416"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Dozavimas</w:t>
      </w:r>
    </w:p>
    <w:p w14:paraId="6DB8BEC6"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637BA983"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Akromegalija</w:t>
      </w:r>
    </w:p>
    <w:p w14:paraId="1A2302E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Rekomenduojama gydymą pradėti iš pradžių skiriant po 20 mg Sandostatin LAR kas 4 savaites 3 mėnesius. Pacientams, kurie gydomi po oda leidžiamu Sandostatin, gydymą Sandostatin LAR galima pradėti kitą dieną po paskutiniosios Sandostatin injekcijos po oda. Toliau vaistinio preparato dozės turi būti nustatomos remiantis augimo hormono (AH) ir į insuliną panašaus augimo faktoriaus 1/somatomedino C (IAF</w:t>
      </w:r>
      <w:r w:rsidRPr="00A23D3E">
        <w:rPr>
          <w:rFonts w:ascii="Times New Roman" w:eastAsia="Calibri" w:hAnsi="Times New Roman" w:cs="Times New Roman"/>
          <w:lang w:val="es-ES"/>
        </w:rPr>
        <w:noBreakHyphen/>
        <w:t>1) koncentracijomis serume bei klinikiniais simptomais.</w:t>
      </w:r>
    </w:p>
    <w:p w14:paraId="4C32F224"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59803EF2"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Jei per pirmuosius tris mėnesius klinikiniai simptomai ir biocheminiai rodikliai (AH, IAF</w:t>
      </w:r>
      <w:r w:rsidRPr="00A23D3E">
        <w:rPr>
          <w:rFonts w:ascii="Times New Roman" w:eastAsia="Calibri" w:hAnsi="Times New Roman" w:cs="Times New Roman"/>
          <w:lang w:val="es-ES"/>
        </w:rPr>
        <w:noBreakHyphen/>
        <w:t>1) nėra visiškai kontroliuojami (AH koncentracija viršija 2,5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s-ES"/>
        </w:rPr>
        <w:t>g/l), pacientams dozę galima didinti iki po 30 mg kas 4 savaites. Jeigu gydant 30 mg doze po 3 mėnesių AH, IAF</w:t>
      </w:r>
      <w:r w:rsidRPr="00A23D3E">
        <w:rPr>
          <w:rFonts w:ascii="Times New Roman" w:eastAsia="Calibri" w:hAnsi="Times New Roman" w:cs="Times New Roman"/>
          <w:lang w:val="es-ES"/>
        </w:rPr>
        <w:noBreakHyphen/>
        <w:t>1 ir (arba) simptomai yra nepakankamai kontroliuojami, dozę galima didinti iki po 40 mg kas 4 savaites.</w:t>
      </w:r>
    </w:p>
    <w:p w14:paraId="27FBAB0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7CDCC83D"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Jeigu pacientams AH koncentracija yra gerokai mažesnė negu 1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s-ES"/>
        </w:rPr>
        <w:t>g/l, IAF</w:t>
      </w:r>
      <w:r w:rsidRPr="00A23D3E">
        <w:rPr>
          <w:rFonts w:ascii="Times New Roman" w:eastAsia="Calibri" w:hAnsi="Times New Roman" w:cs="Times New Roman"/>
          <w:lang w:val="es-ES"/>
        </w:rPr>
        <w:noBreakHyphen/>
        <w:t>1 koncentracija serume tampa normalia ir dauguma grįžtamų akromegalijos požymių ar simptomų išnyko po 3 mėnesių gydymo vartojant 20 mg dozę, galima pradėti skirti po 10 mg Sandostatin LAR dozę kas 4 savaites. Tačiau šiems pacientams skiriant mažą Sandostatin LAR dozę, rekomenduojama ypatingai atidžiai stebėti tinkamą AH ir IAF</w:t>
      </w:r>
      <w:r w:rsidRPr="00A23D3E">
        <w:rPr>
          <w:rFonts w:ascii="Times New Roman" w:eastAsia="Calibri" w:hAnsi="Times New Roman" w:cs="Times New Roman"/>
          <w:lang w:val="es-ES"/>
        </w:rPr>
        <w:noBreakHyphen/>
        <w:t>1 koncentracijų serume bei klinikinius požymių ir simptomų kontrolę.</w:t>
      </w:r>
    </w:p>
    <w:p w14:paraId="3CFABBCE"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7A039A2F"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Pacientams, vartojantiems pastovią Sandostatin LAR dozę, AH ir IAF</w:t>
      </w:r>
      <w:r w:rsidRPr="00A23D3E">
        <w:rPr>
          <w:rFonts w:ascii="Times New Roman" w:eastAsia="Calibri" w:hAnsi="Times New Roman" w:cs="Times New Roman"/>
          <w:lang w:val="es-ES"/>
        </w:rPr>
        <w:noBreakHyphen/>
        <w:t>1 koncentracijas reikia tirti kas 6 mėnesius.</w:t>
      </w:r>
    </w:p>
    <w:p w14:paraId="773F00CC"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470E7889"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Skrandžio, žarnyno, kasos endokrininiai navikai</w:t>
      </w:r>
    </w:p>
    <w:p w14:paraId="1133054D" w14:textId="77777777" w:rsidR="00A23D3E" w:rsidRPr="00A23D3E" w:rsidRDefault="00A23D3E" w:rsidP="00A23D3E">
      <w:pPr>
        <w:keepNext/>
        <w:widowControl w:val="0"/>
        <w:spacing w:after="0" w:line="240" w:lineRule="auto"/>
        <w:rPr>
          <w:rFonts w:ascii="Times New Roman" w:eastAsia="Calibri" w:hAnsi="Times New Roman" w:cs="Times New Roman"/>
          <w:i/>
          <w:lang w:val="es-ES"/>
        </w:rPr>
      </w:pPr>
    </w:p>
    <w:p w14:paraId="6D5F132B" w14:textId="77777777" w:rsidR="00A23D3E" w:rsidRPr="00A23D3E" w:rsidRDefault="00A23D3E" w:rsidP="00A23D3E">
      <w:pPr>
        <w:keepNext/>
        <w:widowControl w:val="0"/>
        <w:spacing w:after="0" w:line="240" w:lineRule="auto"/>
        <w:rPr>
          <w:rFonts w:ascii="Times New Roman" w:eastAsia="Calibri" w:hAnsi="Times New Roman" w:cs="Times New Roman"/>
          <w:i/>
          <w:lang w:val="es-ES"/>
        </w:rPr>
      </w:pPr>
      <w:r w:rsidRPr="00A23D3E">
        <w:rPr>
          <w:rFonts w:ascii="Times New Roman" w:eastAsia="Calibri" w:hAnsi="Times New Roman" w:cs="Times New Roman"/>
          <w:i/>
          <w:lang w:val="es-ES"/>
        </w:rPr>
        <w:t>Pacientų, kuriems yra simptomų, susijusių su hormonus produkuojančiais skrandžio, žarnyno, kasos endokrininiais navikais, gydymas</w:t>
      </w:r>
    </w:p>
    <w:p w14:paraId="736F3B4D"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Rekomenduojama gydymą pradėti iš pradžių skiriant po 20 mg Sandostatin LAR kas 4 savaites. Pacientams, kurie buvo gydomi po oda leidžiamu Sandostatin, po pirmosios Sandostatin LAR injekcijos dar 2 savaites reikia vartoti ankstesnes veiksmingas Sandostatin dozes.</w:t>
      </w:r>
    </w:p>
    <w:p w14:paraId="0D42DB5B"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58E5F891"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Jeigu pacientams po 3 mėnesių gydymo klinikiniai simptomai ir biologiniai žymenys gerai kontroliuojami, Sandostatin LAR dozę galima mažinti iki po 10 mg kas 4 savaites.</w:t>
      </w:r>
    </w:p>
    <w:p w14:paraId="097DA999"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34DFFAAB"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Jeigu pacientams po 3 mėnesių gydymo simptomai tik dalinai kontroliuojami, Sandostatin LAR dozę galima didinti iki po 30 mg kas 4 savaites.</w:t>
      </w:r>
    </w:p>
    <w:p w14:paraId="0FA052C8"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1494824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Tomis dienomis, kai vartojant Sandostatin LAR paūmėja su skrandžio, žarnyno, kasos navikais susiję simptomai, papildomai rekomenduojama skirti tokią po oda leidžiamo Sandostatin dozę, kokia buvo vartota prieš pradedant gydyti Sandostatin LAR. Dažniausia tai gali pasireikšti pirmaisiais dviem gydymo mėnesiais, kol bus pasiekta gydomoji oktreotido koncentracija. </w:t>
      </w:r>
    </w:p>
    <w:p w14:paraId="20567313"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s-ES"/>
        </w:rPr>
      </w:pPr>
    </w:p>
    <w:p w14:paraId="2F8969DC" w14:textId="77777777" w:rsidR="00A23D3E" w:rsidRPr="00A23D3E" w:rsidRDefault="00A23D3E" w:rsidP="00A23D3E">
      <w:pPr>
        <w:keepNext/>
        <w:widowControl w:val="0"/>
        <w:spacing w:after="0" w:line="240" w:lineRule="auto"/>
        <w:rPr>
          <w:rFonts w:ascii="Times New Roman" w:eastAsia="Calibri" w:hAnsi="Times New Roman" w:cs="Times New Roman"/>
          <w:i/>
          <w:lang w:val="es-ES"/>
        </w:rPr>
      </w:pPr>
      <w:r w:rsidRPr="00A23D3E">
        <w:rPr>
          <w:rFonts w:ascii="Times New Roman" w:eastAsia="Calibri" w:hAnsi="Times New Roman" w:cs="Times New Roman"/>
          <w:i/>
          <w:lang w:val="es-ES"/>
        </w:rPr>
        <w:t>Pacientų, sergančių išplitusiu neuroendokrininiu virškinimo trakto naviku arba nežinomos pirminės lokalizacijos neuroendokrininiu naviku, kai buvo atmesta kita nei virškinimo trakto kilmė, gydymas</w:t>
      </w:r>
    </w:p>
    <w:p w14:paraId="45AEDB1D"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Rekomenduojama Sandostatin LAR dozė yra po 30 mg kas 4 savaites (žr. 5.1 skyrių). Siekiant kontroliuoti naviko simptomus, gydymą Sandostatin LAR reikia tęsti ir nesant naviko progresavimo požymių.</w:t>
      </w:r>
    </w:p>
    <w:p w14:paraId="6018B83B"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2F60A153"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Pacientų, sergančių TTH sekretuojančia adenoma, gydymas</w:t>
      </w:r>
    </w:p>
    <w:p w14:paraId="2919CA97"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Gydymą Sandostatin LAR reikėtų pradėti skiriant po 20 mg dozę kas 4 savaites 3 mėnesius ir tik po to svarstyti dozės keitimo klausimą. Vėliau dozė koreguojama, atsižvelgiant į TTH ir skydliaukės hormonų koncentracijų pokyčius.</w:t>
      </w:r>
    </w:p>
    <w:p w14:paraId="5D7DC9BC"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3DB12B0E"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Pacientams, kurių inkstų funkcija sutrikusi</w:t>
      </w:r>
    </w:p>
    <w:p w14:paraId="50CD984B"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Sutrikusi inkstų funkcija neturėjo įtakos bendrajai oktreotido ekspozicijai (AUC), kai po oda buvo leidžiama Sandostatin. Todėl Sandostatin LAR dozės keisti nereikia.</w:t>
      </w:r>
    </w:p>
    <w:p w14:paraId="7A5857C6"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2A2C41AA"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Pacientams, kurių kepenų funkcija sutrikusi</w:t>
      </w:r>
    </w:p>
    <w:p w14:paraId="7EDFDE9C"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Tyrimo metu Sandostatin leidžiant po oda ir į veną buvo nustatyta, kad kepenų ciroze sergantiems pacientams gali sumažėti vaistinio preparato eliminacija, tačiau tai nestebėta sergantiesiems riebaline kepenų liga. Tam tikrais atvejais pacientams, kuriems sutrikusi kepenų veikla, gali reikėti koreguoti vaistinio preparato dozę.</w:t>
      </w:r>
    </w:p>
    <w:p w14:paraId="6D6C0E4A"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656D2464"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Senyviems pacientams</w:t>
      </w:r>
    </w:p>
    <w:p w14:paraId="271A05BE"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Tyrimo metu Sandostatin leidžiant po oda nustatyta, kad 65 metų ir vyresniems pacientams dozės koreguoti nereikėjo. Todėl šiai pacientų grupei Sandostatin LAR dozės koreguoti nereikia.</w:t>
      </w:r>
    </w:p>
    <w:p w14:paraId="2C5B15B4"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3D5C5F66" w14:textId="77777777" w:rsidR="00A23D3E" w:rsidRPr="00A23D3E" w:rsidRDefault="00A23D3E" w:rsidP="00A23D3E">
      <w:pPr>
        <w:keepNext/>
        <w:widowControl w:val="0"/>
        <w:spacing w:after="0" w:line="240" w:lineRule="auto"/>
        <w:rPr>
          <w:rFonts w:ascii="Times New Roman" w:eastAsia="Calibri" w:hAnsi="Times New Roman" w:cs="Times New Roman"/>
          <w:i/>
          <w:u w:val="single"/>
          <w:lang w:val="es-ES"/>
        </w:rPr>
      </w:pPr>
      <w:r w:rsidRPr="00A23D3E">
        <w:rPr>
          <w:rFonts w:ascii="Times New Roman" w:eastAsia="Calibri" w:hAnsi="Times New Roman" w:cs="Times New Roman"/>
          <w:i/>
          <w:u w:val="single"/>
          <w:lang w:val="es-ES"/>
        </w:rPr>
        <w:t>Vaikų populiacija</w:t>
      </w:r>
    </w:p>
    <w:p w14:paraId="1BC4B110"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Sandostatin LAR vartojimo vaikams patirties yra nedaug.</w:t>
      </w:r>
    </w:p>
    <w:p w14:paraId="63C96098"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3F8B8062"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lastRenderedPageBreak/>
        <w:t>Vartojimo metodas</w:t>
      </w:r>
    </w:p>
    <w:p w14:paraId="65C90F48"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6D5C3BA2"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galima leisti tik giliai į raumenis. Vaistinio preparato skiriant kartotinai, reikia švirkšti tai į kairįjį, tai į dešinįjį sėdmens raumenį (žr. 6.6 skyrių).</w:t>
      </w:r>
    </w:p>
    <w:p w14:paraId="0668A712"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p>
    <w:p w14:paraId="77DE22B2"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4.3</w:t>
      </w:r>
      <w:r w:rsidRPr="00A23D3E">
        <w:rPr>
          <w:rFonts w:ascii="Times New Roman" w:eastAsia="Calibri" w:hAnsi="Times New Roman" w:cs="Times New Roman"/>
          <w:b/>
          <w:lang w:val="it-IT"/>
        </w:rPr>
        <w:tab/>
        <w:t>Kontraindikacijos</w:t>
      </w:r>
    </w:p>
    <w:p w14:paraId="1FE5F99B"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54A57B5C"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Padidėjęs jautrumas veikliajai arba bet kuriai 6.1 skyriuje nurodytai pagalbinei medžiagai.</w:t>
      </w:r>
    </w:p>
    <w:p w14:paraId="6B7A6045"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0CC2DD4"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4.4</w:t>
      </w:r>
      <w:r w:rsidRPr="00A23D3E">
        <w:rPr>
          <w:rFonts w:ascii="Times New Roman" w:eastAsia="Calibri" w:hAnsi="Times New Roman" w:cs="Times New Roman"/>
          <w:b/>
          <w:lang w:val="it-IT"/>
        </w:rPr>
        <w:tab/>
        <w:t>Specialūs įspėjimai ir atsargumo priemonės</w:t>
      </w:r>
    </w:p>
    <w:p w14:paraId="4406F41C"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59CFA4B2"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Bendrieji įspėjimai</w:t>
      </w:r>
    </w:p>
    <w:p w14:paraId="0DEE284B"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048C80BE"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 xml:space="preserve">Kartais AH išskiriantys hipofizės navikai gali didėti ir sukelti sunkių komplikacijų (pvz., akipločio defektų), dėl to svarbu atidžiai stebėti visų šių pacientų būklę. Jeigu atsiranda naviko didėjimą rodančių požymių, patariama keisti gydymo būdą. </w:t>
      </w:r>
    </w:p>
    <w:p w14:paraId="1D33B50B"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3B52D6D"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Sumažėjus augimo hormono (AH) kiekiui ir į insuliną panašaus augimo faktoriaus 1 (IAF</w:t>
      </w:r>
      <w:r w:rsidRPr="00A23D3E">
        <w:rPr>
          <w:rFonts w:ascii="Times New Roman" w:eastAsia="Calibri" w:hAnsi="Times New Roman" w:cs="Times New Roman"/>
          <w:lang w:val="it-IT"/>
        </w:rPr>
        <w:noBreakHyphen/>
        <w:t>1) koncentracijai grįžus į normos ribas, akromegalija sergančioms moterims terapinė nauda gali pasireikšti atsinaujinusiu vaisingumu. Jeigu reikia, gydymo oktreotidu metu vaisingo amžiaus pacientėms reikia patarti naudoti tinkamą kontracepcijos metodą (žr. 4.6 skyrių).</w:t>
      </w:r>
    </w:p>
    <w:p w14:paraId="389CA4E9"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C6F5137"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Pacientams, kuriems paskirtas ilgalaikis gydymas oktreotidu, reikia stebėti skydliaukės funkciją.</w:t>
      </w:r>
    </w:p>
    <w:p w14:paraId="058B8B44"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56A72EA"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Gydymo oktreotidu metu būtina stebėti kepenų funkciją.</w:t>
      </w:r>
    </w:p>
    <w:p w14:paraId="6FC75239"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4CAA3F08"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Širdies ir kraujagyslių sistemos sutrikimai</w:t>
      </w:r>
    </w:p>
    <w:p w14:paraId="3A40E628"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66CA549C"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Pranešta apie pasireiškusius dažnus bradikardijos atvejus. Gali prireikti koreguoti tokių vaistinių preparatų, kaip beta adrenoblokatorių, kalcio kanalų blokatorių ar skysčių ir elektrolitų balansą reguliuojančių preparatų, dozę (žr. 4.5 skyrių).</w:t>
      </w:r>
    </w:p>
    <w:p w14:paraId="7B1CDAD5"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1D040861"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Tulžies pūslės ir susiję sutrikimai</w:t>
      </w:r>
    </w:p>
    <w:p w14:paraId="3EC23366"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3B3AB8CE"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Cholelitiaz</w:t>
      </w:r>
      <w:r w:rsidRPr="00A23D3E">
        <w:rPr>
          <w:rFonts w:ascii="Times New Roman" w:eastAsia="Calibri" w:hAnsi="Times New Roman" w:cs="Times New Roman"/>
        </w:rPr>
        <w:t>ė labai dažnai pasireiškia gydant Sandostatin ir gali būti susijusi su cholecistitu bei tulžies latakų išsiplėtimu (žr. 4.8 skyrių). Be to, vaistinį preparatą pateikus į rinką buvo gauta pranešimų apie pasireiškusius cholangito atvejus kaip cholelitiazės komplikaciją pacientams, vartojusiems Sandostatin LAR.</w:t>
      </w:r>
      <w:r w:rsidRPr="00A23D3E">
        <w:rPr>
          <w:rFonts w:ascii="Times New Roman" w:eastAsia="Calibri" w:hAnsi="Times New Roman" w:cs="Times New Roman"/>
          <w:lang w:val="it-IT"/>
        </w:rPr>
        <w:t xml:space="preserve"> Todėl gydymo Sandostatin LAR metu rekomenduojama atlikti ultragarsinį tulžies pūslės tyrimą prieš pradedant vaistinio preparato vartojimą ir vėliau maždaug kas 6 mėnesius.</w:t>
      </w:r>
    </w:p>
    <w:p w14:paraId="56D08E20"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19E952EB"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Gliukozės metabolizmas</w:t>
      </w:r>
    </w:p>
    <w:p w14:paraId="271ECD6D"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63BB9015"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Dėl slopinančio poveikio augimo hormonui, gliukagonui ir insulino išsiskyrimui Sandostatin LAR gali įtakoti gliukozės apykaitą. Gali sutrikti gliukozės tolerancija po valgio. Po oda leidžiamo Sandostatin vartojusiems pacientams buvo nustatyta, kad kai kuriais atvejais ilgalaikis vaistinio preparato vartojimas gali sukelti pastovios hiperglikemijos būklę. Taip pat pranešta apie hipoglikemijos atvejus.</w:t>
      </w:r>
    </w:p>
    <w:p w14:paraId="2D936C64"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0BB20E59"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 xml:space="preserve">Tikėtina, kad vartojant Sandostatin LAR 1 tipo cukriniu diabetu sergantiems pacientams gali pakisti gliukozės apykaita, o insulino poreikis gali sumažėti. Diabetu nesergantiems asmenims arba 2 tipo cukriniu diabetu sergantiems pacientams, kurių insulino rezervas iš dalies nepakitęs, vartojant po oda leidžiamo Sandostatin, gali padidėti glikemija po valgio. Todėl rekomenduojama stebėti gliukozės toleranciją ir koreguoti gydymą nuo diabeto. </w:t>
      </w:r>
    </w:p>
    <w:p w14:paraId="48DD33E3"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91C7736"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Insulinoma sergantiems pacientams oktreotidas AH ir gliukagono sekreciją slopina santykinai stipriau negu insulino sekreciją, taip pat trumpiau slopina insulino veikimą, todėl šiems pacientams gali sukelti didesnio laipsnio ir ilgiau trunkančią hipoglikemiją. Šių pacientų būklę reikia atidžiai stebėti.</w:t>
      </w:r>
    </w:p>
    <w:p w14:paraId="0416341A"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2D988FC"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lastRenderedPageBreak/>
        <w:t>Mityba</w:t>
      </w:r>
    </w:p>
    <w:p w14:paraId="4E690696"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2E2E7692"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Kai kuriems pacientams oktreotidas gali sutrikdyti maisto riebalų absorbciją.</w:t>
      </w:r>
    </w:p>
    <w:p w14:paraId="47877CDB"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33CDB1C7" w14:textId="6BE6B3AF" w:rsid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Kai kuriems oktreotidu gydytiems pacientams stebėtas vitamino B12 koncentracijos sumažėjimas ir pakitę Šilingo testų rezultatai. Pacientams, kuriems anksčiau yra buvęs vitamino B12 trūkumas, gydymo Sandostatin LAR metu rekomenduojama tirti vitamino B12 koncentraciją.</w:t>
      </w:r>
    </w:p>
    <w:p w14:paraId="0C883D69" w14:textId="61A889EF" w:rsidR="00227C6D" w:rsidRDefault="00227C6D" w:rsidP="00A23D3E">
      <w:pPr>
        <w:widowControl w:val="0"/>
        <w:spacing w:after="0" w:line="240" w:lineRule="auto"/>
        <w:rPr>
          <w:rFonts w:ascii="Times New Roman" w:eastAsia="Calibri" w:hAnsi="Times New Roman" w:cs="Times New Roman"/>
          <w:lang w:val="it-IT"/>
        </w:rPr>
      </w:pPr>
    </w:p>
    <w:p w14:paraId="19C076C9" w14:textId="2B78DE5B" w:rsidR="00227C6D" w:rsidRDefault="00227C6D" w:rsidP="00A23D3E">
      <w:pPr>
        <w:widowControl w:val="0"/>
        <w:spacing w:after="0" w:line="240" w:lineRule="auto"/>
        <w:rPr>
          <w:rFonts w:ascii="Times New Roman" w:eastAsia="Calibri" w:hAnsi="Times New Roman" w:cs="Times New Roman"/>
          <w:u w:val="single"/>
          <w:lang w:val="it-IT"/>
        </w:rPr>
      </w:pPr>
      <w:r w:rsidRPr="00227C6D">
        <w:rPr>
          <w:rFonts w:ascii="Times New Roman" w:eastAsia="Calibri" w:hAnsi="Times New Roman" w:cs="Times New Roman"/>
          <w:u w:val="single"/>
          <w:lang w:val="it-IT"/>
        </w:rPr>
        <w:t>Kasos funkcija</w:t>
      </w:r>
    </w:p>
    <w:p w14:paraId="56F70872" w14:textId="5E0BF0E1" w:rsidR="00227C6D" w:rsidRDefault="00227C6D" w:rsidP="00A23D3E">
      <w:pPr>
        <w:widowControl w:val="0"/>
        <w:spacing w:after="0" w:line="240" w:lineRule="auto"/>
        <w:rPr>
          <w:rFonts w:ascii="Times New Roman" w:eastAsia="Calibri" w:hAnsi="Times New Roman" w:cs="Times New Roman"/>
          <w:u w:val="single"/>
          <w:lang w:val="it-IT"/>
        </w:rPr>
      </w:pPr>
    </w:p>
    <w:p w14:paraId="0B24BE0F" w14:textId="2A192998" w:rsidR="00227C6D" w:rsidRPr="00127DBE" w:rsidRDefault="00127DBE" w:rsidP="00A23D3E">
      <w:pPr>
        <w:widowControl w:val="0"/>
        <w:spacing w:after="0" w:line="240" w:lineRule="auto"/>
        <w:rPr>
          <w:rFonts w:ascii="Times New Roman" w:eastAsia="Calibri" w:hAnsi="Times New Roman" w:cs="Times New Roman"/>
          <w:lang w:val="it-IT"/>
        </w:rPr>
      </w:pPr>
      <w:r w:rsidRPr="00127DBE">
        <w:rPr>
          <w:rFonts w:ascii="Times New Roman" w:eastAsia="Calibri" w:hAnsi="Times New Roman" w:cs="Times New Roman"/>
          <w:lang w:val="it-IT"/>
        </w:rPr>
        <w:t>Kai kuriems pacientams, kuriems buvo taikomas gastroenteropankreatinių neuroendokrininių navikų gydymas oktreotidu, nustatytas kasos egzokrininės funkcijos nepakankamumas (KEFN). KEFN gali pasireikšti steatorėja, išmatų suskystėjimu, pilvo pūtimu ir svorio mažėjimu. Reikia apsvarstyti galimybę pacientams, kuriems pasireiškia KEFN simptomai, atlikti tyrimus dėl šio sutrikimo ir paskirti atitinkamą gydymą pagal klinikines gaires.</w:t>
      </w:r>
    </w:p>
    <w:p w14:paraId="7529FF6C"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738D428" w14:textId="77777777" w:rsidR="00A23D3E" w:rsidRPr="00A23D3E" w:rsidRDefault="00A23D3E" w:rsidP="00A23D3E">
      <w:pPr>
        <w:widowControl w:val="0"/>
        <w:spacing w:after="0" w:line="240" w:lineRule="auto"/>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Natrio kiekis</w:t>
      </w:r>
    </w:p>
    <w:p w14:paraId="0A30018A"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EB7BA09"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flakone yra mažiau kaip 1 mmol (23 mg) natrio, t. y. jis beveik neturi reikšmės.</w:t>
      </w:r>
    </w:p>
    <w:p w14:paraId="1968E03C"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76F261A"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b/>
          <w:lang w:val="it-IT"/>
        </w:rPr>
        <w:t>4.5</w:t>
      </w:r>
      <w:r w:rsidRPr="00A23D3E">
        <w:rPr>
          <w:rFonts w:ascii="Times New Roman" w:eastAsia="Calibri" w:hAnsi="Times New Roman" w:cs="Times New Roman"/>
          <w:b/>
          <w:lang w:val="it-IT"/>
        </w:rPr>
        <w:tab/>
        <w:t>Sąveika su kitais vaistiniais preparatais ir kitokia sąveika</w:t>
      </w:r>
    </w:p>
    <w:p w14:paraId="2E159826"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0D7AC871"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Vartojant kartu su Sandostatin LAR gali prireikti koreguoti tokių vaistinių preparatų, kaip beta adrenoblokatorių, kalcio kanalų blokatorių ar skysčių ir elektrolitų balansą reguliuojančių preparatų, dozę (žr. 4.4 skyrių).</w:t>
      </w:r>
    </w:p>
    <w:p w14:paraId="3A685A56"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05E736D"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Vartojant kartu su Sandostatin LAR gali prireikti koreguoti insulino ir vaistinių preparatų nuo diabeto dozę (žr. 4.4 skyrių).</w:t>
      </w:r>
    </w:p>
    <w:p w14:paraId="527F02CD"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D9B4305"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Nustatyta, kad oktreotidas mažina ciklosporino ir lėtina cimetidino absorbciją žarnyne.</w:t>
      </w:r>
    </w:p>
    <w:p w14:paraId="7866FAC5"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21AF3D65"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Kartu vartojant oktreotido ir bromokriptino, padidėja pastarojo biologinis prieinamumas. </w:t>
      </w:r>
    </w:p>
    <w:p w14:paraId="5AD31FD6"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0792DE7" w14:textId="77777777" w:rsid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Paskelbta nedaug duomenų, rodančių, kad somatostatino analogai gali mažinti citochromo P450 fermentų metabolizuojamų medžiagų metabolinį klirensą, o tai gali būti dėl augimo hormono slopinimo. Kadangi negalima paneigti tokio oktreotido poveikio, kitų vaistinių preparatų, kuriuos daugiausia metabolizuoja CYP3A4 ir kurie pasižymi siauru terapiniu indeksu (pvz., chinidino, terfenadino), vartoti kartu reikia atsargiai.</w:t>
      </w:r>
    </w:p>
    <w:p w14:paraId="73E2FCF6" w14:textId="77777777" w:rsidR="00C931EA" w:rsidRDefault="00C931EA" w:rsidP="00A23D3E">
      <w:pPr>
        <w:widowControl w:val="0"/>
        <w:spacing w:after="0" w:line="240" w:lineRule="auto"/>
        <w:rPr>
          <w:rFonts w:ascii="Times New Roman" w:eastAsia="Calibri" w:hAnsi="Times New Roman" w:cs="Times New Roman"/>
          <w:lang w:val="es-ES"/>
        </w:rPr>
      </w:pPr>
    </w:p>
    <w:p w14:paraId="660F67EB" w14:textId="77777777" w:rsidR="00C931EA" w:rsidRDefault="00C931EA" w:rsidP="00C931EA">
      <w:pPr>
        <w:widowControl w:val="0"/>
        <w:spacing w:after="0" w:line="240" w:lineRule="auto"/>
        <w:rPr>
          <w:rFonts w:ascii="Times New Roman" w:eastAsia="Calibri" w:hAnsi="Times New Roman" w:cs="Times New Roman"/>
          <w:u w:val="single"/>
          <w:lang w:val="es-ES" w:bidi="lt-LT"/>
        </w:rPr>
      </w:pPr>
      <w:r w:rsidRPr="00C931EA">
        <w:rPr>
          <w:rFonts w:ascii="Times New Roman" w:eastAsia="Calibri" w:hAnsi="Times New Roman" w:cs="Times New Roman"/>
          <w:u w:val="single"/>
          <w:lang w:val="es-ES" w:bidi="lt-LT"/>
        </w:rPr>
        <w:t xml:space="preserve">Kartu vartojami </w:t>
      </w:r>
      <w:r>
        <w:rPr>
          <w:rFonts w:ascii="Times New Roman" w:eastAsia="Calibri" w:hAnsi="Times New Roman" w:cs="Times New Roman"/>
          <w:u w:val="single"/>
          <w:lang w:val="es-ES" w:bidi="lt-LT"/>
        </w:rPr>
        <w:t>radioaktyv</w:t>
      </w:r>
      <w:r>
        <w:rPr>
          <w:rFonts w:ascii="Times New Roman" w:eastAsia="Calibri" w:hAnsi="Times New Roman" w:cs="Times New Roman"/>
          <w:u w:val="single"/>
          <w:lang w:bidi="lt-LT"/>
        </w:rPr>
        <w:t xml:space="preserve">ūs </w:t>
      </w:r>
      <w:r w:rsidRPr="00C931EA">
        <w:rPr>
          <w:rFonts w:ascii="Times New Roman" w:eastAsia="Calibri" w:hAnsi="Times New Roman" w:cs="Times New Roman"/>
          <w:u w:val="single"/>
          <w:lang w:val="es-ES" w:bidi="lt-LT"/>
        </w:rPr>
        <w:t>somatostatino analogai</w:t>
      </w:r>
    </w:p>
    <w:p w14:paraId="78129AA1" w14:textId="77777777" w:rsidR="004B39D8" w:rsidRPr="00C931EA" w:rsidRDefault="004B39D8" w:rsidP="00C931EA">
      <w:pPr>
        <w:widowControl w:val="0"/>
        <w:spacing w:after="0" w:line="240" w:lineRule="auto"/>
        <w:rPr>
          <w:rFonts w:ascii="Times New Roman" w:eastAsia="Calibri" w:hAnsi="Times New Roman" w:cs="Times New Roman"/>
          <w:u w:val="single"/>
        </w:rPr>
      </w:pPr>
    </w:p>
    <w:p w14:paraId="7CC300C8" w14:textId="77777777" w:rsidR="00C931EA" w:rsidRPr="00A23D3E" w:rsidRDefault="00C931EA" w:rsidP="00A23D3E">
      <w:pPr>
        <w:widowControl w:val="0"/>
        <w:spacing w:after="0" w:line="240" w:lineRule="auto"/>
        <w:rPr>
          <w:rFonts w:ascii="Times New Roman" w:eastAsia="Calibri" w:hAnsi="Times New Roman" w:cs="Times New Roman"/>
          <w:lang w:val="es-ES"/>
        </w:rPr>
      </w:pPr>
      <w:r w:rsidRPr="00C931EA">
        <w:rPr>
          <w:rFonts w:ascii="Times New Roman" w:eastAsia="Calibri" w:hAnsi="Times New Roman" w:cs="Times New Roman"/>
        </w:rPr>
        <w:t xml:space="preserve">Somatostatinas ir jo analogai konkurenciniu būdu prisijungia prie </w:t>
      </w:r>
      <w:r w:rsidRPr="00C931EA">
        <w:rPr>
          <w:rFonts w:ascii="Times New Roman" w:eastAsia="Calibri" w:hAnsi="Times New Roman" w:cs="Times New Roman"/>
          <w:lang w:val="es-ES" w:bidi="lt-LT"/>
        </w:rPr>
        <w:t>somatostatino receptorių, todėl gali įtakoti</w:t>
      </w:r>
      <w:r w:rsidRPr="00C931EA">
        <w:rPr>
          <w:rFonts w:ascii="Times New Roman" w:eastAsia="Calibri" w:hAnsi="Times New Roman" w:cs="Times New Roman"/>
        </w:rPr>
        <w:t xml:space="preserve"> </w:t>
      </w:r>
      <w:r>
        <w:rPr>
          <w:rFonts w:ascii="Times New Roman" w:eastAsia="Calibri" w:hAnsi="Times New Roman" w:cs="Times New Roman"/>
        </w:rPr>
        <w:t>radioaktyvių somatostatino analogų</w:t>
      </w:r>
      <w:r w:rsidRPr="00C931EA">
        <w:rPr>
          <w:rFonts w:ascii="Times New Roman" w:eastAsia="Calibri" w:hAnsi="Times New Roman" w:cs="Times New Roman"/>
        </w:rPr>
        <w:t xml:space="preserve"> veiksmingumą.</w:t>
      </w:r>
      <w:r>
        <w:rPr>
          <w:rFonts w:ascii="Times New Roman" w:eastAsia="Calibri" w:hAnsi="Times New Roman" w:cs="Times New Roman"/>
        </w:rPr>
        <w:t xml:space="preserve"> R</w:t>
      </w:r>
      <w:r w:rsidRPr="00C931EA">
        <w:rPr>
          <w:rFonts w:ascii="Times New Roman" w:eastAsia="Calibri" w:hAnsi="Times New Roman" w:cs="Times New Roman"/>
          <w:lang w:bidi="lt-LT"/>
        </w:rPr>
        <w:t>eikia vengti skirti</w:t>
      </w:r>
      <w:r>
        <w:rPr>
          <w:rFonts w:ascii="Times New Roman" w:eastAsia="Calibri" w:hAnsi="Times New Roman" w:cs="Times New Roman"/>
          <w:lang w:bidi="lt-LT"/>
        </w:rPr>
        <w:t xml:space="preserve"> Sandostatin LAR mažiausiai 4</w:t>
      </w:r>
      <w:r w:rsidRPr="00C931EA">
        <w:rPr>
          <w:rFonts w:ascii="Times New Roman" w:eastAsia="Calibri" w:hAnsi="Times New Roman" w:cs="Times New Roman"/>
          <w:lang w:bidi="lt-LT"/>
        </w:rPr>
        <w:t> </w:t>
      </w:r>
      <w:r>
        <w:rPr>
          <w:rFonts w:ascii="Times New Roman" w:eastAsia="Calibri" w:hAnsi="Times New Roman" w:cs="Times New Roman"/>
          <w:lang w:bidi="lt-LT"/>
        </w:rPr>
        <w:t xml:space="preserve">savaites prieš </w:t>
      </w:r>
      <w:r w:rsidR="00A24F8E">
        <w:rPr>
          <w:rFonts w:ascii="Times New Roman" w:eastAsia="Calibri" w:hAnsi="Times New Roman" w:cs="Times New Roman"/>
          <w:lang w:bidi="lt-LT"/>
        </w:rPr>
        <w:t>r</w:t>
      </w:r>
      <w:r w:rsidR="00A24F8E">
        <w:rPr>
          <w:rFonts w:ascii="Times New Roman" w:eastAsia="Calibri" w:hAnsi="Times New Roman" w:cs="Times New Roman"/>
          <w:lang w:val="es-ES"/>
        </w:rPr>
        <w:t>adiofarmacinio preparato</w:t>
      </w:r>
      <w:r w:rsidR="00A24F8E" w:rsidRPr="00C931EA">
        <w:rPr>
          <w:rFonts w:ascii="Times New Roman" w:eastAsia="Calibri" w:hAnsi="Times New Roman" w:cs="Times New Roman"/>
          <w:lang w:bidi="lt-LT"/>
        </w:rPr>
        <w:t xml:space="preserve"> </w:t>
      </w:r>
      <w:r w:rsidRPr="00C931EA">
        <w:rPr>
          <w:rFonts w:ascii="Times New Roman" w:eastAsia="Calibri" w:hAnsi="Times New Roman" w:cs="Times New Roman"/>
          <w:lang w:bidi="lt-LT"/>
        </w:rPr>
        <w:t>liutecio (</w:t>
      </w:r>
      <w:r w:rsidRPr="00C931EA">
        <w:rPr>
          <w:rFonts w:ascii="Times New Roman" w:eastAsia="Calibri" w:hAnsi="Times New Roman" w:cs="Times New Roman"/>
          <w:vertAlign w:val="superscript"/>
          <w:lang w:bidi="lt-LT"/>
        </w:rPr>
        <w:t>177</w:t>
      </w:r>
      <w:r w:rsidRPr="00C931EA">
        <w:rPr>
          <w:rFonts w:ascii="Times New Roman" w:eastAsia="Calibri" w:hAnsi="Times New Roman" w:cs="Times New Roman"/>
          <w:lang w:bidi="lt-LT"/>
        </w:rPr>
        <w:t>Lu) oksodotreotido</w:t>
      </w:r>
      <w:r>
        <w:rPr>
          <w:rFonts w:ascii="Times New Roman" w:eastAsia="Calibri" w:hAnsi="Times New Roman" w:cs="Times New Roman"/>
          <w:lang w:bidi="lt-LT"/>
        </w:rPr>
        <w:t xml:space="preserve">, </w:t>
      </w:r>
      <w:r>
        <w:rPr>
          <w:rFonts w:ascii="Times New Roman" w:eastAsia="Calibri" w:hAnsi="Times New Roman" w:cs="Times New Roman"/>
          <w:lang w:val="es-ES"/>
        </w:rPr>
        <w:t>kuris jungiasi prie somatostatino receptori</w:t>
      </w:r>
      <w:r w:rsidR="00A24F8E">
        <w:rPr>
          <w:rFonts w:ascii="Times New Roman" w:eastAsia="Calibri" w:hAnsi="Times New Roman" w:cs="Times New Roman"/>
        </w:rPr>
        <w:t xml:space="preserve">ų, skyrimą. Jei reikia, pacientus galima gydyti trumpalaikio poveiko somatostatino analogais likus </w:t>
      </w:r>
      <w:r w:rsidR="00A24F8E">
        <w:rPr>
          <w:rFonts w:ascii="Times New Roman" w:eastAsia="Calibri" w:hAnsi="Times New Roman" w:cs="Times New Roman"/>
          <w:lang w:val="en-US"/>
        </w:rPr>
        <w:t>24</w:t>
      </w:r>
      <w:r w:rsidR="00147BC4" w:rsidRPr="00C931EA">
        <w:rPr>
          <w:rFonts w:ascii="Times New Roman" w:eastAsia="Calibri" w:hAnsi="Times New Roman" w:cs="Times New Roman"/>
          <w:lang w:bidi="lt-LT"/>
        </w:rPr>
        <w:t> </w:t>
      </w:r>
      <w:r w:rsidR="00A24F8E">
        <w:rPr>
          <w:rFonts w:ascii="Times New Roman" w:eastAsia="Calibri" w:hAnsi="Times New Roman" w:cs="Times New Roman"/>
          <w:lang w:val="en-US"/>
        </w:rPr>
        <w:t xml:space="preserve">valandoms iki </w:t>
      </w:r>
      <w:r w:rsidR="00A24F8E" w:rsidRPr="00C931EA">
        <w:rPr>
          <w:rFonts w:ascii="Times New Roman" w:eastAsia="Calibri" w:hAnsi="Times New Roman" w:cs="Times New Roman"/>
          <w:lang w:bidi="lt-LT"/>
        </w:rPr>
        <w:t>liutecio (</w:t>
      </w:r>
      <w:r w:rsidR="00A24F8E" w:rsidRPr="00C931EA">
        <w:rPr>
          <w:rFonts w:ascii="Times New Roman" w:eastAsia="Calibri" w:hAnsi="Times New Roman" w:cs="Times New Roman"/>
          <w:vertAlign w:val="superscript"/>
          <w:lang w:bidi="lt-LT"/>
        </w:rPr>
        <w:t>177</w:t>
      </w:r>
      <w:r w:rsidR="00A24F8E" w:rsidRPr="00C931EA">
        <w:rPr>
          <w:rFonts w:ascii="Times New Roman" w:eastAsia="Calibri" w:hAnsi="Times New Roman" w:cs="Times New Roman"/>
          <w:lang w:bidi="lt-LT"/>
        </w:rPr>
        <w:t>Lu) oksodotreotido</w:t>
      </w:r>
      <w:r w:rsidR="00A24F8E">
        <w:rPr>
          <w:rFonts w:ascii="Times New Roman" w:eastAsia="Calibri" w:hAnsi="Times New Roman" w:cs="Times New Roman"/>
          <w:lang w:bidi="lt-LT"/>
        </w:rPr>
        <w:t xml:space="preserve"> skyrimo. </w:t>
      </w:r>
      <w:r w:rsidR="00147BC4">
        <w:rPr>
          <w:rFonts w:ascii="Times New Roman" w:eastAsia="Calibri" w:hAnsi="Times New Roman" w:cs="Times New Roman"/>
          <w:lang w:bidi="lt-LT"/>
        </w:rPr>
        <w:t>G</w:t>
      </w:r>
      <w:r w:rsidR="00A24F8E">
        <w:rPr>
          <w:rFonts w:ascii="Times New Roman" w:eastAsia="Calibri" w:hAnsi="Times New Roman" w:cs="Times New Roman"/>
          <w:lang w:bidi="lt-LT"/>
        </w:rPr>
        <w:t xml:space="preserve">ydymą Sandostatin LAR </w:t>
      </w:r>
      <w:r w:rsidR="00571D6D">
        <w:rPr>
          <w:rFonts w:ascii="Times New Roman" w:eastAsia="Calibri" w:hAnsi="Times New Roman" w:cs="Times New Roman"/>
          <w:lang w:bidi="lt-LT"/>
        </w:rPr>
        <w:t>galima atnaujinti</w:t>
      </w:r>
      <w:r w:rsidR="00147BC4">
        <w:rPr>
          <w:rFonts w:ascii="Times New Roman" w:eastAsia="Calibri" w:hAnsi="Times New Roman" w:cs="Times New Roman"/>
          <w:lang w:bidi="lt-LT"/>
        </w:rPr>
        <w:t xml:space="preserve"> praėjus nuo </w:t>
      </w:r>
      <w:r w:rsidR="00147BC4">
        <w:rPr>
          <w:rFonts w:ascii="Times New Roman" w:eastAsia="Calibri" w:hAnsi="Times New Roman" w:cs="Times New Roman"/>
          <w:lang w:val="en-US" w:bidi="lt-LT"/>
        </w:rPr>
        <w:t>4</w:t>
      </w:r>
      <w:r w:rsidR="00147BC4" w:rsidRPr="00C931EA">
        <w:rPr>
          <w:rFonts w:ascii="Times New Roman" w:eastAsia="Calibri" w:hAnsi="Times New Roman" w:cs="Times New Roman"/>
          <w:lang w:bidi="lt-LT"/>
        </w:rPr>
        <w:t> </w:t>
      </w:r>
      <w:r w:rsidR="00571D6D">
        <w:rPr>
          <w:rFonts w:ascii="Times New Roman" w:eastAsia="Calibri" w:hAnsi="Times New Roman" w:cs="Times New Roman"/>
          <w:lang w:val="en-US" w:bidi="lt-LT"/>
        </w:rPr>
        <w:t>iki 20</w:t>
      </w:r>
      <w:r w:rsidR="00147BC4" w:rsidRPr="00C931EA">
        <w:rPr>
          <w:rFonts w:ascii="Times New Roman" w:eastAsia="Calibri" w:hAnsi="Times New Roman" w:cs="Times New Roman"/>
          <w:lang w:bidi="lt-LT"/>
        </w:rPr>
        <w:t> </w:t>
      </w:r>
      <w:r w:rsidR="00571D6D">
        <w:rPr>
          <w:rFonts w:ascii="Times New Roman" w:eastAsia="Calibri" w:hAnsi="Times New Roman" w:cs="Times New Roman"/>
          <w:lang w:val="en-US" w:bidi="lt-LT"/>
        </w:rPr>
        <w:t>va</w:t>
      </w:r>
      <w:r w:rsidR="00147BC4">
        <w:rPr>
          <w:rFonts w:ascii="Times New Roman" w:eastAsia="Calibri" w:hAnsi="Times New Roman" w:cs="Times New Roman"/>
          <w:lang w:val="en-US" w:bidi="lt-LT"/>
        </w:rPr>
        <w:t>land</w:t>
      </w:r>
      <w:r w:rsidR="00147BC4">
        <w:rPr>
          <w:rFonts w:ascii="Times New Roman" w:eastAsia="Calibri" w:hAnsi="Times New Roman" w:cs="Times New Roman"/>
          <w:lang w:bidi="lt-LT"/>
        </w:rPr>
        <w:t xml:space="preserve">ų po </w:t>
      </w:r>
      <w:r w:rsidR="00147BC4" w:rsidRPr="00C931EA">
        <w:rPr>
          <w:rFonts w:ascii="Times New Roman" w:eastAsia="Calibri" w:hAnsi="Times New Roman" w:cs="Times New Roman"/>
          <w:lang w:bidi="lt-LT"/>
        </w:rPr>
        <w:t>liutecio (</w:t>
      </w:r>
      <w:r w:rsidR="00147BC4" w:rsidRPr="00C931EA">
        <w:rPr>
          <w:rFonts w:ascii="Times New Roman" w:eastAsia="Calibri" w:hAnsi="Times New Roman" w:cs="Times New Roman"/>
          <w:vertAlign w:val="superscript"/>
          <w:lang w:bidi="lt-LT"/>
        </w:rPr>
        <w:t>177</w:t>
      </w:r>
      <w:r w:rsidR="00147BC4" w:rsidRPr="00C931EA">
        <w:rPr>
          <w:rFonts w:ascii="Times New Roman" w:eastAsia="Calibri" w:hAnsi="Times New Roman" w:cs="Times New Roman"/>
          <w:lang w:bidi="lt-LT"/>
        </w:rPr>
        <w:t>Lu) oksodotreotido</w:t>
      </w:r>
      <w:r w:rsidR="00147BC4">
        <w:rPr>
          <w:rFonts w:ascii="Times New Roman" w:eastAsia="Calibri" w:hAnsi="Times New Roman" w:cs="Times New Roman"/>
          <w:lang w:bidi="lt-LT"/>
        </w:rPr>
        <w:t xml:space="preserve"> paskyrimo ir vėl nutraukti 4</w:t>
      </w:r>
      <w:r w:rsidR="00147BC4" w:rsidRPr="00C931EA">
        <w:rPr>
          <w:rFonts w:ascii="Times New Roman" w:eastAsia="Calibri" w:hAnsi="Times New Roman" w:cs="Times New Roman"/>
          <w:lang w:bidi="lt-LT"/>
        </w:rPr>
        <w:t> </w:t>
      </w:r>
      <w:r w:rsidR="00147BC4">
        <w:rPr>
          <w:rFonts w:ascii="Times New Roman" w:eastAsia="Calibri" w:hAnsi="Times New Roman" w:cs="Times New Roman"/>
          <w:lang w:bidi="lt-LT"/>
        </w:rPr>
        <w:t xml:space="preserve">savaitės prieš kitą </w:t>
      </w:r>
      <w:r w:rsidR="00147BC4" w:rsidRPr="00C931EA">
        <w:rPr>
          <w:rFonts w:ascii="Times New Roman" w:eastAsia="Calibri" w:hAnsi="Times New Roman" w:cs="Times New Roman"/>
          <w:lang w:bidi="lt-LT"/>
        </w:rPr>
        <w:t>liutecio (</w:t>
      </w:r>
      <w:r w:rsidR="00147BC4" w:rsidRPr="00C931EA">
        <w:rPr>
          <w:rFonts w:ascii="Times New Roman" w:eastAsia="Calibri" w:hAnsi="Times New Roman" w:cs="Times New Roman"/>
          <w:vertAlign w:val="superscript"/>
          <w:lang w:bidi="lt-LT"/>
        </w:rPr>
        <w:t>177</w:t>
      </w:r>
      <w:r w:rsidR="00147BC4" w:rsidRPr="00C931EA">
        <w:rPr>
          <w:rFonts w:ascii="Times New Roman" w:eastAsia="Calibri" w:hAnsi="Times New Roman" w:cs="Times New Roman"/>
          <w:lang w:bidi="lt-LT"/>
        </w:rPr>
        <w:t>Lu) oksodotreotido</w:t>
      </w:r>
      <w:r w:rsidR="00147BC4">
        <w:rPr>
          <w:rFonts w:ascii="Times New Roman" w:eastAsia="Calibri" w:hAnsi="Times New Roman" w:cs="Times New Roman"/>
          <w:lang w:bidi="lt-LT"/>
        </w:rPr>
        <w:t xml:space="preserve"> paskyrimą.</w:t>
      </w:r>
    </w:p>
    <w:p w14:paraId="6001E0E1"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31D0B0E"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4.6</w:t>
      </w:r>
      <w:r w:rsidRPr="00A23D3E">
        <w:rPr>
          <w:rFonts w:ascii="Times New Roman" w:eastAsia="Calibri" w:hAnsi="Times New Roman" w:cs="Times New Roman"/>
          <w:b/>
          <w:lang w:val="es-ES"/>
        </w:rPr>
        <w:tab/>
        <w:t>Vaisingumas, nėštumo ir žindymo laikotarpis</w:t>
      </w:r>
    </w:p>
    <w:p w14:paraId="4C3DE077"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7CD920E6"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Nėštumas</w:t>
      </w:r>
    </w:p>
    <w:p w14:paraId="30D0186F"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3A461DFC"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Duomenų apie oktreotido vartojimą nėštumo metu nepakanka (duomenų yra mažiau kaip apie 300 nėštumų baigčių), o maždaug trečdaliu atvejų nėštumo baigtys nežinomos. Dauguma pranešimų apie oktreotido vartojimą nėštumo metu gauti po vaistinio preparato pateikimo į rinką, o daugiau kaip 50 % atvejų vaistinio preparato nėštumo metu vartojo akromegalija sergančios pacientės. Dauguma </w:t>
      </w:r>
      <w:r w:rsidRPr="00A23D3E">
        <w:rPr>
          <w:rFonts w:ascii="Times New Roman" w:eastAsia="Calibri" w:hAnsi="Times New Roman" w:cs="Times New Roman"/>
          <w:lang w:val="es-ES"/>
        </w:rPr>
        <w:lastRenderedPageBreak/>
        <w:t>moterų oktreotido vartojo pirmuoju nėštumo trimestru, o buvo vartotos 100</w:t>
      </w:r>
      <w:r w:rsidRPr="00A23D3E">
        <w:rPr>
          <w:rFonts w:ascii="Times New Roman" w:eastAsia="Calibri" w:hAnsi="Times New Roman" w:cs="Times New Roman"/>
          <w:lang w:val="es-ES"/>
        </w:rPr>
        <w:noBreakHyphen/>
        <w:t>1200 mikrogramų per parą po oda leidžiamo Sandostatin dozės arba 10</w:t>
      </w:r>
      <w:r w:rsidRPr="00A23D3E">
        <w:rPr>
          <w:rFonts w:ascii="Times New Roman" w:eastAsia="Calibri" w:hAnsi="Times New Roman" w:cs="Times New Roman"/>
          <w:lang w:val="es-ES"/>
        </w:rPr>
        <w:noBreakHyphen/>
        <w:t>40 mg per mėnesį Sandostatin LAR dozės. Iš tų nėštumų, kurių baigtys yra žinomos, maždaug 4 % atvejų nustatytos įgimtos anomalijos. Šiais atvejais nebuvo įtartas priežastinis ryšys su oktreotido vartojimu.</w:t>
      </w:r>
    </w:p>
    <w:p w14:paraId="2EF92736"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7621437"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Tyrimai su gyvūnais tiesioginio ar netiesioginio kenksmingo toksinio poveikio reprodukcijai neparodė (žr. 5.3 skyrių).</w:t>
      </w:r>
    </w:p>
    <w:p w14:paraId="78AE5466"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52E8C5C3"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Laikantis atsargumo priemonių, nėštumo metu geriau vengti vartoti Sandostatin LAR (žr. 4.4 skyrių).</w:t>
      </w:r>
    </w:p>
    <w:p w14:paraId="46F7BBA8"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8E6F280"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Žindymas</w:t>
      </w:r>
    </w:p>
    <w:p w14:paraId="3EF1E381"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60B19EE2"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Nežinoma, ar oktreotido išsiskiria į motinos pieną. Su gyvūnais atlikti tyrimai parodė, kad oktreotido išsiskiria į gyvūnų pieną. Gydymo Sandostatin LAR metu žindyti negalima.</w:t>
      </w:r>
    </w:p>
    <w:p w14:paraId="192927D5"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5AE9E726"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Vaisingumas</w:t>
      </w:r>
    </w:p>
    <w:p w14:paraId="5A5595AA"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p>
    <w:p w14:paraId="205B7413"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Nežinoma, ar oktreotidas įtakoja žmonių vaisingumą. Patelių, kurioms nėštumo ir žindymo laikotarpiu buvo skiriama oktreotido, vyriškosios lyties palikuonims nustatytas vėluojantis sėklidžių nusileidimas. Tačiau, iki 1 mg/kg kūno svorio per parą oktreotido dozes skiriant žiurkių patinams ir patelėms, jų vislumas nepakito (žr. 5.3 skyrių).</w:t>
      </w:r>
    </w:p>
    <w:p w14:paraId="6F80C428"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39F228C5"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4.7</w:t>
      </w:r>
      <w:r w:rsidRPr="00A23D3E">
        <w:rPr>
          <w:rFonts w:ascii="Times New Roman" w:eastAsia="Calibri" w:hAnsi="Times New Roman" w:cs="Times New Roman"/>
          <w:b/>
          <w:lang w:val="es-ES"/>
        </w:rPr>
        <w:tab/>
        <w:t>Poveikis gebėjimui vairuoti ir valdyti mechanizmus</w:t>
      </w:r>
    </w:p>
    <w:p w14:paraId="1A12D952"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6027EAC4"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Sandostatin LAR gebėjimo vairuoti ir valdyti mechanizmus neveikia arba veikia nereikšmingai. Pacientams reikia patarti, kad atsargiai vairuotų ar valdytų mechanizmus, jeigu Sandostatin LAR vartojimo metu jiems pasireiškia galvos svaigimas, astenija ar nuovargis arba galvos skausmas.</w:t>
      </w:r>
    </w:p>
    <w:p w14:paraId="76664215"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C021A83" w14:textId="77777777" w:rsidR="00A23D3E" w:rsidRPr="00A23D3E" w:rsidRDefault="00A23D3E" w:rsidP="00A23D3E">
      <w:pPr>
        <w:keepNext/>
        <w:widowControl w:val="0"/>
        <w:spacing w:after="0" w:line="240" w:lineRule="auto"/>
        <w:rPr>
          <w:rFonts w:ascii="Times New Roman" w:eastAsia="Calibri" w:hAnsi="Times New Roman" w:cs="Times New Roman"/>
          <w:b/>
          <w:lang w:val="es-ES"/>
        </w:rPr>
      </w:pPr>
      <w:r w:rsidRPr="00A23D3E">
        <w:rPr>
          <w:rFonts w:ascii="Times New Roman" w:eastAsia="Calibri" w:hAnsi="Times New Roman" w:cs="Times New Roman"/>
          <w:b/>
          <w:lang w:val="es-ES"/>
        </w:rPr>
        <w:t>4.8</w:t>
      </w:r>
      <w:r w:rsidRPr="00A23D3E">
        <w:rPr>
          <w:rFonts w:ascii="Times New Roman" w:eastAsia="Calibri" w:hAnsi="Times New Roman" w:cs="Times New Roman"/>
          <w:b/>
          <w:lang w:val="es-ES"/>
        </w:rPr>
        <w:tab/>
        <w:t>Nepageidaujamas poveikis</w:t>
      </w:r>
    </w:p>
    <w:p w14:paraId="07BFE93D"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68636DDF"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Saugumo duomenų santrauka</w:t>
      </w:r>
    </w:p>
    <w:p w14:paraId="497B045D"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0F634366"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Dažniausios gydymo oktreotidu metu pasireiškusios nepageidaujamos reakcijos buvo virškinimo trakto sutrikimai, nervų sistemos sutrikimai, kepenų, tulžies pūslės ir latakų sutrikimai bei metabolizmo ir mitybos sutrikimai.</w:t>
      </w:r>
    </w:p>
    <w:p w14:paraId="6E1D4AD6"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4CCE914"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Klinikinių tyrimų, kuriuos atliekant buvo skiriama oktreotido, metu dažniausiai pasireiškusios nepageidaujamos reakcijos buvo viduriavimas, pilvo skausmas, pykinimas, vidurių pūtimas, galvos skausmas, tulžies pūslės akmenligė, hiperglikemija ir vidurių užkietėjimas. Kitos dažnai pasireiškusios nepageidaujamos reakcijos buvo galvos svaigimas, lokalus skausmas, nuosėdos tulžyje, skydliaukės funkcijos sutrikimas (pvz., skydliaukę stimuliuojančio (tirotropinio) hormono (TTH) koncentracijos sumažėjimas, bendrojo T4 ir laisvojo T4 hormono koncentracijos sumažėjimas), skystos išmatos, sutrikusi gliukozės tolerancija, vėmimas, astenija ir hipoglikemija.</w:t>
      </w:r>
    </w:p>
    <w:p w14:paraId="74168F7C"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p>
    <w:p w14:paraId="208B858E" w14:textId="77777777" w:rsidR="00A23D3E" w:rsidRPr="00A23D3E" w:rsidRDefault="00A23D3E" w:rsidP="00A23D3E">
      <w:pPr>
        <w:keepNext/>
        <w:widowControl w:val="0"/>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Nepageidaujamų reakcijų santrauka lentelėse</w:t>
      </w:r>
    </w:p>
    <w:p w14:paraId="238F55A8"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4CD5C2EE"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Informacija apie toliau 1 lentelėje išvardytas nepageidaujamas reakcijas sukaupta klinikinių tyrimų su oktreotidu metu.</w:t>
      </w:r>
    </w:p>
    <w:p w14:paraId="3FA40771"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Nepageidaujamos reakcijos (žr. 1 lentelę) išvardytos pagal dažnių kategoriją, pirmiausia nurodant dažniausias ir dažnis apibūdinamas taip: labai dažnas (≥ 1/10), dažnas (nuo ≥ 1/100 iki &lt; 1/10), nedažnas (nuo ≥ 1/1000 iki &lt; 1/100), retas (nuo ≥ 1/10000 iki &lt; 1/1000), labai retas (&lt; 1/10000), įskaitant pavienius atvejus. Kiekvienoje dažnio grupėje nepageidaujamas poveikis pateikiamas </w:t>
      </w:r>
      <w:r w:rsidRPr="00A23D3E">
        <w:rPr>
          <w:rFonts w:ascii="Times New Roman" w:eastAsia="Calibri" w:hAnsi="Times New Roman" w:cs="Times New Roman"/>
          <w:lang w:val="es-ES"/>
        </w:rPr>
        <w:lastRenderedPageBreak/>
        <w:t>mažėjančio sunkumo tvarka.</w:t>
      </w:r>
    </w:p>
    <w:p w14:paraId="12BE51DF"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2A5786FE"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b/>
          <w:lang w:val="es-ES"/>
        </w:rPr>
        <w:t>1 lentelė.</w:t>
      </w:r>
      <w:r w:rsidRPr="00A23D3E">
        <w:rPr>
          <w:rFonts w:ascii="Times New Roman" w:eastAsia="Calibri" w:hAnsi="Times New Roman" w:cs="Times New Roman"/>
          <w:b/>
          <w:lang w:val="es-ES"/>
        </w:rPr>
        <w:tab/>
        <w:t>Klinikinių tyrimų metu pasireiškusios nepageidaujamos reakcijos</w:t>
      </w:r>
    </w:p>
    <w:p w14:paraId="7AE293D7"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tbl>
      <w:tblPr>
        <w:tblW w:w="5000" w:type="pct"/>
        <w:tblBorders>
          <w:top w:val="single" w:sz="4" w:space="0" w:color="auto"/>
          <w:bottom w:val="single" w:sz="4" w:space="0" w:color="auto"/>
        </w:tblBorders>
        <w:tblLook w:val="0000" w:firstRow="0" w:lastRow="0" w:firstColumn="0" w:lastColumn="0" w:noHBand="0" w:noVBand="0"/>
      </w:tblPr>
      <w:tblGrid>
        <w:gridCol w:w="3044"/>
        <w:gridCol w:w="6017"/>
      </w:tblGrid>
      <w:tr w:rsidR="00A23D3E" w:rsidRPr="00A23D3E" w14:paraId="1D00D0F4"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614E8994" w14:textId="77777777" w:rsidR="00A23D3E" w:rsidRPr="00A23D3E" w:rsidRDefault="00A23D3E" w:rsidP="00A23D3E">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Virškinimo trakto sutrikimai</w:t>
            </w:r>
          </w:p>
        </w:tc>
      </w:tr>
      <w:tr w:rsidR="00A23D3E" w:rsidRPr="00A23D3E" w14:paraId="2E157E64" w14:textId="77777777" w:rsidTr="00C931EA">
        <w:trPr>
          <w:cantSplit/>
        </w:trPr>
        <w:tc>
          <w:tcPr>
            <w:tcW w:w="1680" w:type="pct"/>
            <w:tcBorders>
              <w:top w:val="nil"/>
              <w:left w:val="single" w:sz="4" w:space="0" w:color="auto"/>
            </w:tcBorders>
            <w:shd w:val="clear" w:color="auto" w:fill="auto"/>
          </w:tcPr>
          <w:p w14:paraId="435CE07B"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Labai dažnas:</w:t>
            </w:r>
          </w:p>
        </w:tc>
        <w:tc>
          <w:tcPr>
            <w:tcW w:w="3320" w:type="pct"/>
            <w:tcBorders>
              <w:top w:val="nil"/>
              <w:right w:val="single" w:sz="4" w:space="0" w:color="auto"/>
            </w:tcBorders>
            <w:shd w:val="clear" w:color="auto" w:fill="auto"/>
          </w:tcPr>
          <w:p w14:paraId="5D1C9F3B"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viduriavimas, pilvo skausmas, pykinimas, vidurių užkietėjimas, dujų susikaupimas.</w:t>
            </w:r>
          </w:p>
        </w:tc>
      </w:tr>
      <w:tr w:rsidR="00A23D3E" w:rsidRPr="00A23D3E" w14:paraId="5A5F7C57" w14:textId="77777777" w:rsidTr="00C931EA">
        <w:trPr>
          <w:cantSplit/>
        </w:trPr>
        <w:tc>
          <w:tcPr>
            <w:tcW w:w="1680" w:type="pct"/>
            <w:tcBorders>
              <w:top w:val="nil"/>
              <w:left w:val="single" w:sz="4" w:space="0" w:color="auto"/>
            </w:tcBorders>
            <w:shd w:val="clear" w:color="auto" w:fill="auto"/>
          </w:tcPr>
          <w:p w14:paraId="099E81A5"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right w:val="single" w:sz="4" w:space="0" w:color="auto"/>
            </w:tcBorders>
            <w:shd w:val="clear" w:color="auto" w:fill="auto"/>
          </w:tcPr>
          <w:p w14:paraId="20E05D14"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dispepsija, vėmimas, pilvo pūtimas, steatorėja, skystos išmatos, pakitusi išmatų spalva.</w:t>
            </w:r>
          </w:p>
        </w:tc>
      </w:tr>
      <w:tr w:rsidR="00A23D3E" w:rsidRPr="00A23D3E" w14:paraId="441D4A2E"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1C31F8AA"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Nervų sistemos sutrikimai</w:t>
            </w:r>
          </w:p>
        </w:tc>
      </w:tr>
      <w:tr w:rsidR="00A23D3E" w:rsidRPr="00A23D3E" w14:paraId="42F72328" w14:textId="77777777" w:rsidTr="00C931EA">
        <w:trPr>
          <w:cantSplit/>
        </w:trPr>
        <w:tc>
          <w:tcPr>
            <w:tcW w:w="1680" w:type="pct"/>
            <w:tcBorders>
              <w:top w:val="nil"/>
              <w:left w:val="single" w:sz="4" w:space="0" w:color="auto"/>
              <w:bottom w:val="nil"/>
            </w:tcBorders>
            <w:shd w:val="clear" w:color="auto" w:fill="auto"/>
          </w:tcPr>
          <w:p w14:paraId="32B397EF" w14:textId="77777777" w:rsidR="00A23D3E" w:rsidRPr="00A23D3E" w:rsidRDefault="00A23D3E" w:rsidP="00A23D3E">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lang w:val="en-US"/>
              </w:rPr>
              <w:t>Labai dažnas:</w:t>
            </w:r>
          </w:p>
        </w:tc>
        <w:tc>
          <w:tcPr>
            <w:tcW w:w="3320" w:type="pct"/>
            <w:tcBorders>
              <w:top w:val="nil"/>
              <w:bottom w:val="nil"/>
              <w:right w:val="single" w:sz="4" w:space="0" w:color="auto"/>
            </w:tcBorders>
            <w:shd w:val="clear" w:color="auto" w:fill="auto"/>
          </w:tcPr>
          <w:p w14:paraId="2ED881C5"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galvos skausmas.</w:t>
            </w:r>
          </w:p>
        </w:tc>
      </w:tr>
      <w:tr w:rsidR="00A23D3E" w:rsidRPr="00A23D3E" w14:paraId="1E75154D" w14:textId="77777777" w:rsidTr="00C931EA">
        <w:trPr>
          <w:cantSplit/>
        </w:trPr>
        <w:tc>
          <w:tcPr>
            <w:tcW w:w="1680" w:type="pct"/>
            <w:tcBorders>
              <w:top w:val="nil"/>
              <w:left w:val="single" w:sz="4" w:space="0" w:color="auto"/>
              <w:bottom w:val="single" w:sz="4" w:space="0" w:color="auto"/>
            </w:tcBorders>
            <w:shd w:val="clear" w:color="auto" w:fill="auto"/>
          </w:tcPr>
          <w:p w14:paraId="1E0C7F0A" w14:textId="77777777" w:rsidR="00A23D3E" w:rsidRPr="00A23D3E" w:rsidRDefault="00A23D3E" w:rsidP="00A23D3E">
            <w:pPr>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lang w:val="en-US"/>
              </w:rPr>
              <w:t>Dažni:</w:t>
            </w:r>
          </w:p>
        </w:tc>
        <w:tc>
          <w:tcPr>
            <w:tcW w:w="3320" w:type="pct"/>
            <w:tcBorders>
              <w:top w:val="nil"/>
              <w:bottom w:val="single" w:sz="4" w:space="0" w:color="auto"/>
              <w:right w:val="single" w:sz="4" w:space="0" w:color="auto"/>
            </w:tcBorders>
            <w:shd w:val="clear" w:color="auto" w:fill="auto"/>
          </w:tcPr>
          <w:p w14:paraId="60725D60"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galvos svaigimas.</w:t>
            </w:r>
          </w:p>
        </w:tc>
      </w:tr>
      <w:tr w:rsidR="00A23D3E" w:rsidRPr="00A23D3E" w14:paraId="14AD2DD1" w14:textId="77777777" w:rsidTr="00C931EA">
        <w:trPr>
          <w:cantSplit/>
          <w:trHeight w:val="335"/>
        </w:trPr>
        <w:tc>
          <w:tcPr>
            <w:tcW w:w="5000" w:type="pct"/>
            <w:gridSpan w:val="2"/>
            <w:tcBorders>
              <w:top w:val="single" w:sz="4" w:space="0" w:color="auto"/>
              <w:left w:val="single" w:sz="4" w:space="0" w:color="auto"/>
              <w:bottom w:val="nil"/>
              <w:right w:val="single" w:sz="4" w:space="0" w:color="auto"/>
            </w:tcBorders>
            <w:shd w:val="clear" w:color="auto" w:fill="auto"/>
          </w:tcPr>
          <w:p w14:paraId="0CBEF442"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Endokrininiai sutrikimai</w:t>
            </w:r>
          </w:p>
        </w:tc>
      </w:tr>
      <w:tr w:rsidR="00A23D3E" w:rsidRPr="00A23D3E" w14:paraId="2C5CFFF7" w14:textId="77777777" w:rsidTr="00C931EA">
        <w:trPr>
          <w:cantSplit/>
        </w:trPr>
        <w:tc>
          <w:tcPr>
            <w:tcW w:w="1680" w:type="pct"/>
            <w:tcBorders>
              <w:top w:val="nil"/>
              <w:left w:val="single" w:sz="4" w:space="0" w:color="auto"/>
              <w:bottom w:val="single" w:sz="4" w:space="0" w:color="auto"/>
            </w:tcBorders>
            <w:shd w:val="clear" w:color="auto" w:fill="auto"/>
          </w:tcPr>
          <w:p w14:paraId="52C37A59"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single" w:sz="4" w:space="0" w:color="auto"/>
              <w:right w:val="single" w:sz="4" w:space="0" w:color="auto"/>
            </w:tcBorders>
            <w:shd w:val="clear" w:color="auto" w:fill="auto"/>
          </w:tcPr>
          <w:p w14:paraId="303996DA"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hipotirozė, skydliaukės funkcijos sutrikimas (pvz., TTH koncentracijos sumažėjimas, bendrojo T4 ir laisvojo T4 hormono koncentracijos sumažėjimas).</w:t>
            </w:r>
          </w:p>
        </w:tc>
      </w:tr>
      <w:tr w:rsidR="00A23D3E" w:rsidRPr="00A23D3E" w14:paraId="1D899E6D"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06D4673F"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Kepenų, tulžies pūslės ir latakų sutrikimai</w:t>
            </w:r>
          </w:p>
        </w:tc>
      </w:tr>
      <w:tr w:rsidR="00A23D3E" w:rsidRPr="00A23D3E" w14:paraId="7E6FA92B" w14:textId="77777777" w:rsidTr="00C931EA">
        <w:trPr>
          <w:cantSplit/>
        </w:trPr>
        <w:tc>
          <w:tcPr>
            <w:tcW w:w="1680" w:type="pct"/>
            <w:tcBorders>
              <w:top w:val="nil"/>
              <w:left w:val="single" w:sz="4" w:space="0" w:color="auto"/>
            </w:tcBorders>
            <w:shd w:val="clear" w:color="auto" w:fill="auto"/>
          </w:tcPr>
          <w:p w14:paraId="438F7A76"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Labai dažnas:</w:t>
            </w:r>
          </w:p>
        </w:tc>
        <w:tc>
          <w:tcPr>
            <w:tcW w:w="3320" w:type="pct"/>
            <w:tcBorders>
              <w:top w:val="nil"/>
              <w:right w:val="single" w:sz="4" w:space="0" w:color="auto"/>
            </w:tcBorders>
            <w:shd w:val="clear" w:color="auto" w:fill="auto"/>
          </w:tcPr>
          <w:p w14:paraId="7259E9EA"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tulžies pūslės akmenligė.</w:t>
            </w:r>
          </w:p>
        </w:tc>
      </w:tr>
      <w:tr w:rsidR="00A23D3E" w:rsidRPr="00A23D3E" w14:paraId="7BA2C122" w14:textId="77777777" w:rsidTr="00C931EA">
        <w:trPr>
          <w:cantSplit/>
        </w:trPr>
        <w:tc>
          <w:tcPr>
            <w:tcW w:w="1680" w:type="pct"/>
            <w:tcBorders>
              <w:top w:val="nil"/>
              <w:left w:val="single" w:sz="4" w:space="0" w:color="auto"/>
            </w:tcBorders>
            <w:shd w:val="clear" w:color="auto" w:fill="auto"/>
          </w:tcPr>
          <w:p w14:paraId="1CB9DDDF"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right w:val="single" w:sz="4" w:space="0" w:color="auto"/>
            </w:tcBorders>
            <w:shd w:val="clear" w:color="auto" w:fill="auto"/>
          </w:tcPr>
          <w:p w14:paraId="2181623F"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cholecistitas, nuosėdos tulžyje, hiperbilirubinemija.</w:t>
            </w:r>
          </w:p>
        </w:tc>
      </w:tr>
      <w:tr w:rsidR="00A23D3E" w:rsidRPr="00A23D3E" w14:paraId="57B6FAEC"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2DD822AC"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Metabolizmo ir mitybos sutrikimai</w:t>
            </w:r>
          </w:p>
        </w:tc>
      </w:tr>
      <w:tr w:rsidR="00A23D3E" w:rsidRPr="00A23D3E" w14:paraId="511C78D8" w14:textId="77777777" w:rsidTr="00C931EA">
        <w:trPr>
          <w:cantSplit/>
        </w:trPr>
        <w:tc>
          <w:tcPr>
            <w:tcW w:w="1680" w:type="pct"/>
            <w:tcBorders>
              <w:top w:val="nil"/>
              <w:left w:val="single" w:sz="4" w:space="0" w:color="auto"/>
              <w:bottom w:val="nil"/>
            </w:tcBorders>
            <w:shd w:val="clear" w:color="auto" w:fill="auto"/>
          </w:tcPr>
          <w:p w14:paraId="21C512CB"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Labai dažnas:</w:t>
            </w:r>
          </w:p>
        </w:tc>
        <w:tc>
          <w:tcPr>
            <w:tcW w:w="3320" w:type="pct"/>
            <w:tcBorders>
              <w:top w:val="nil"/>
              <w:bottom w:val="nil"/>
              <w:right w:val="single" w:sz="4" w:space="0" w:color="auto"/>
            </w:tcBorders>
            <w:shd w:val="clear" w:color="auto" w:fill="auto"/>
          </w:tcPr>
          <w:p w14:paraId="206EAE2B"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hiperglikemija.</w:t>
            </w:r>
          </w:p>
        </w:tc>
      </w:tr>
      <w:tr w:rsidR="00A23D3E" w:rsidRPr="00A23D3E" w14:paraId="71D9EB95" w14:textId="77777777" w:rsidTr="00C931EA">
        <w:trPr>
          <w:cantSplit/>
        </w:trPr>
        <w:tc>
          <w:tcPr>
            <w:tcW w:w="1680" w:type="pct"/>
            <w:tcBorders>
              <w:top w:val="nil"/>
              <w:left w:val="single" w:sz="4" w:space="0" w:color="auto"/>
              <w:bottom w:val="nil"/>
            </w:tcBorders>
            <w:shd w:val="clear" w:color="auto" w:fill="auto"/>
          </w:tcPr>
          <w:p w14:paraId="4C54CC69"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nil"/>
              <w:right w:val="single" w:sz="4" w:space="0" w:color="auto"/>
            </w:tcBorders>
            <w:shd w:val="clear" w:color="auto" w:fill="auto"/>
          </w:tcPr>
          <w:p w14:paraId="6C32BF18"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hipoglikemija, sutrikusi gliukozės tolerancija, anoreksija.</w:t>
            </w:r>
          </w:p>
        </w:tc>
      </w:tr>
      <w:tr w:rsidR="00A23D3E" w:rsidRPr="00A23D3E" w14:paraId="2F1084C5" w14:textId="77777777" w:rsidTr="00C931EA">
        <w:trPr>
          <w:cantSplit/>
        </w:trPr>
        <w:tc>
          <w:tcPr>
            <w:tcW w:w="1680" w:type="pct"/>
            <w:tcBorders>
              <w:top w:val="nil"/>
              <w:left w:val="single" w:sz="4" w:space="0" w:color="auto"/>
              <w:bottom w:val="single" w:sz="4" w:space="0" w:color="auto"/>
            </w:tcBorders>
            <w:shd w:val="clear" w:color="auto" w:fill="auto"/>
          </w:tcPr>
          <w:p w14:paraId="502FBAAC" w14:textId="77777777" w:rsidR="00A23D3E" w:rsidRPr="00A23D3E" w:rsidRDefault="00A23D3E" w:rsidP="00A23D3E">
            <w:pPr>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lang w:val="en-US"/>
              </w:rPr>
              <w:t>Nedažnas:</w:t>
            </w:r>
          </w:p>
        </w:tc>
        <w:tc>
          <w:tcPr>
            <w:tcW w:w="3320" w:type="pct"/>
            <w:tcBorders>
              <w:top w:val="nil"/>
              <w:bottom w:val="single" w:sz="4" w:space="0" w:color="auto"/>
              <w:right w:val="single" w:sz="4" w:space="0" w:color="auto"/>
            </w:tcBorders>
            <w:shd w:val="clear" w:color="auto" w:fill="auto"/>
          </w:tcPr>
          <w:p w14:paraId="521948F3"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dehidracija.</w:t>
            </w:r>
          </w:p>
        </w:tc>
      </w:tr>
      <w:tr w:rsidR="00A23D3E" w:rsidRPr="00A23D3E" w14:paraId="626BAC74"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27C24206"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Bendrieji sutrikimai ir vartojimo vietos pažeidimai</w:t>
            </w:r>
          </w:p>
        </w:tc>
      </w:tr>
      <w:tr w:rsidR="00A23D3E" w:rsidRPr="00A23D3E" w14:paraId="24C61100" w14:textId="77777777" w:rsidTr="00C931EA">
        <w:trPr>
          <w:cantSplit/>
          <w:trHeight w:val="292"/>
        </w:trPr>
        <w:tc>
          <w:tcPr>
            <w:tcW w:w="1680" w:type="pct"/>
            <w:tcBorders>
              <w:top w:val="nil"/>
              <w:left w:val="single" w:sz="4" w:space="0" w:color="auto"/>
              <w:bottom w:val="nil"/>
              <w:right w:val="nil"/>
            </w:tcBorders>
            <w:shd w:val="clear" w:color="auto" w:fill="auto"/>
          </w:tcPr>
          <w:p w14:paraId="57C3DAE5"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Labai dažnas:</w:t>
            </w:r>
          </w:p>
        </w:tc>
        <w:tc>
          <w:tcPr>
            <w:tcW w:w="3320" w:type="pct"/>
            <w:tcBorders>
              <w:top w:val="nil"/>
              <w:left w:val="nil"/>
              <w:bottom w:val="nil"/>
              <w:right w:val="single" w:sz="4" w:space="0" w:color="auto"/>
            </w:tcBorders>
            <w:shd w:val="clear" w:color="auto" w:fill="auto"/>
          </w:tcPr>
          <w:p w14:paraId="0FB16D98"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injekcijos vietos reakcijos.</w:t>
            </w:r>
          </w:p>
        </w:tc>
      </w:tr>
      <w:tr w:rsidR="00A23D3E" w:rsidRPr="00A23D3E" w14:paraId="6A6966C6" w14:textId="77777777" w:rsidTr="00C931EA">
        <w:trPr>
          <w:cantSplit/>
          <w:trHeight w:val="268"/>
        </w:trPr>
        <w:tc>
          <w:tcPr>
            <w:tcW w:w="1680" w:type="pct"/>
            <w:tcBorders>
              <w:top w:val="nil"/>
              <w:left w:val="single" w:sz="4" w:space="0" w:color="auto"/>
              <w:bottom w:val="single" w:sz="4" w:space="0" w:color="auto"/>
            </w:tcBorders>
            <w:shd w:val="clear" w:color="auto" w:fill="auto"/>
          </w:tcPr>
          <w:p w14:paraId="5D86E9FD"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single" w:sz="4" w:space="0" w:color="auto"/>
              <w:right w:val="single" w:sz="4" w:space="0" w:color="auto"/>
            </w:tcBorders>
            <w:shd w:val="clear" w:color="auto" w:fill="auto"/>
          </w:tcPr>
          <w:p w14:paraId="1BCB8992"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astenija.</w:t>
            </w:r>
          </w:p>
        </w:tc>
      </w:tr>
      <w:tr w:rsidR="00A23D3E" w:rsidRPr="00A23D3E" w14:paraId="45CD8029"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6898B7BB"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Tyrimai</w:t>
            </w:r>
          </w:p>
        </w:tc>
      </w:tr>
      <w:tr w:rsidR="00A23D3E" w:rsidRPr="00A23D3E" w14:paraId="290D06A6" w14:textId="77777777" w:rsidTr="00C931EA">
        <w:trPr>
          <w:cantSplit/>
        </w:trPr>
        <w:tc>
          <w:tcPr>
            <w:tcW w:w="1680" w:type="pct"/>
            <w:tcBorders>
              <w:top w:val="nil"/>
              <w:left w:val="single" w:sz="4" w:space="0" w:color="auto"/>
              <w:bottom w:val="single" w:sz="4" w:space="0" w:color="auto"/>
            </w:tcBorders>
            <w:shd w:val="clear" w:color="auto" w:fill="auto"/>
          </w:tcPr>
          <w:p w14:paraId="77BA8F11"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single" w:sz="4" w:space="0" w:color="auto"/>
              <w:right w:val="single" w:sz="4" w:space="0" w:color="auto"/>
            </w:tcBorders>
            <w:shd w:val="clear" w:color="auto" w:fill="auto"/>
          </w:tcPr>
          <w:p w14:paraId="4B0F67C6"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padidėjęs transaminazių aktyvumas.</w:t>
            </w:r>
          </w:p>
        </w:tc>
      </w:tr>
      <w:tr w:rsidR="00A23D3E" w:rsidRPr="00A23D3E" w14:paraId="630AD09F"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73C4E179"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Odos ir poodinio audinio sutrikimai</w:t>
            </w:r>
          </w:p>
        </w:tc>
      </w:tr>
      <w:tr w:rsidR="00A23D3E" w:rsidRPr="00A23D3E" w14:paraId="0CF841F5" w14:textId="77777777" w:rsidTr="00C931EA">
        <w:trPr>
          <w:cantSplit/>
        </w:trPr>
        <w:tc>
          <w:tcPr>
            <w:tcW w:w="1680" w:type="pct"/>
            <w:tcBorders>
              <w:top w:val="nil"/>
              <w:left w:val="single" w:sz="4" w:space="0" w:color="auto"/>
              <w:bottom w:val="single" w:sz="4" w:space="0" w:color="auto"/>
            </w:tcBorders>
            <w:shd w:val="clear" w:color="auto" w:fill="auto"/>
          </w:tcPr>
          <w:p w14:paraId="30F252BB"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single" w:sz="4" w:space="0" w:color="auto"/>
              <w:right w:val="single" w:sz="4" w:space="0" w:color="auto"/>
            </w:tcBorders>
            <w:shd w:val="clear" w:color="auto" w:fill="auto"/>
          </w:tcPr>
          <w:p w14:paraId="5B5CAA25"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niežulys, išbėrimas, alopecija.</w:t>
            </w:r>
          </w:p>
        </w:tc>
      </w:tr>
      <w:tr w:rsidR="00A23D3E" w:rsidRPr="00A23D3E" w14:paraId="4A4ECD7B"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2B0718CA" w14:textId="77777777" w:rsidR="00A23D3E" w:rsidRPr="00A23D3E" w:rsidRDefault="00A23D3E" w:rsidP="00A23D3E">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Kvėpavimo sistemos, krūtinės ląstos ir tarpuplaučio sutrikimai</w:t>
            </w:r>
          </w:p>
        </w:tc>
      </w:tr>
      <w:tr w:rsidR="00A23D3E" w:rsidRPr="00A23D3E" w14:paraId="45163D5B" w14:textId="77777777" w:rsidTr="00C931EA">
        <w:trPr>
          <w:cantSplit/>
        </w:trPr>
        <w:tc>
          <w:tcPr>
            <w:tcW w:w="1680" w:type="pct"/>
            <w:tcBorders>
              <w:top w:val="nil"/>
              <w:left w:val="single" w:sz="4" w:space="0" w:color="auto"/>
              <w:bottom w:val="single" w:sz="4" w:space="0" w:color="auto"/>
            </w:tcBorders>
            <w:shd w:val="clear" w:color="auto" w:fill="auto"/>
          </w:tcPr>
          <w:p w14:paraId="4C2DC831"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single" w:sz="4" w:space="0" w:color="auto"/>
              <w:right w:val="single" w:sz="4" w:space="0" w:color="auto"/>
            </w:tcBorders>
            <w:shd w:val="clear" w:color="auto" w:fill="auto"/>
          </w:tcPr>
          <w:p w14:paraId="1365D7D8"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dusulys.</w:t>
            </w:r>
          </w:p>
        </w:tc>
      </w:tr>
      <w:tr w:rsidR="00A23D3E" w:rsidRPr="00A23D3E" w14:paraId="0C3716F1" w14:textId="77777777" w:rsidTr="00C931EA">
        <w:trPr>
          <w:cantSplit/>
        </w:trPr>
        <w:tc>
          <w:tcPr>
            <w:tcW w:w="5000" w:type="pct"/>
            <w:gridSpan w:val="2"/>
            <w:tcBorders>
              <w:top w:val="single" w:sz="4" w:space="0" w:color="auto"/>
              <w:left w:val="single" w:sz="4" w:space="0" w:color="auto"/>
              <w:bottom w:val="nil"/>
              <w:right w:val="single" w:sz="4" w:space="0" w:color="auto"/>
            </w:tcBorders>
            <w:shd w:val="clear" w:color="auto" w:fill="auto"/>
          </w:tcPr>
          <w:p w14:paraId="013C9545"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Širdies sutrikimai</w:t>
            </w:r>
          </w:p>
        </w:tc>
      </w:tr>
      <w:tr w:rsidR="00A23D3E" w:rsidRPr="00A23D3E" w14:paraId="0B95C1AB" w14:textId="77777777" w:rsidTr="00C931EA">
        <w:trPr>
          <w:cantSplit/>
        </w:trPr>
        <w:tc>
          <w:tcPr>
            <w:tcW w:w="1680" w:type="pct"/>
            <w:tcBorders>
              <w:top w:val="nil"/>
              <w:left w:val="single" w:sz="4" w:space="0" w:color="auto"/>
              <w:bottom w:val="nil"/>
            </w:tcBorders>
            <w:shd w:val="clear" w:color="auto" w:fill="auto"/>
          </w:tcPr>
          <w:p w14:paraId="3877C8BC"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Dažnas:</w:t>
            </w:r>
          </w:p>
        </w:tc>
        <w:tc>
          <w:tcPr>
            <w:tcW w:w="3320" w:type="pct"/>
            <w:tcBorders>
              <w:top w:val="nil"/>
              <w:bottom w:val="nil"/>
              <w:right w:val="single" w:sz="4" w:space="0" w:color="auto"/>
            </w:tcBorders>
            <w:shd w:val="clear" w:color="auto" w:fill="auto"/>
          </w:tcPr>
          <w:p w14:paraId="665CA794"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bradikardija.</w:t>
            </w:r>
          </w:p>
        </w:tc>
      </w:tr>
      <w:tr w:rsidR="00A23D3E" w:rsidRPr="00A23D3E" w14:paraId="144EC963" w14:textId="77777777" w:rsidTr="00C931EA">
        <w:trPr>
          <w:cantSplit/>
        </w:trPr>
        <w:tc>
          <w:tcPr>
            <w:tcW w:w="1680" w:type="pct"/>
            <w:tcBorders>
              <w:top w:val="nil"/>
              <w:left w:val="single" w:sz="4" w:space="0" w:color="auto"/>
              <w:bottom w:val="single" w:sz="4" w:space="0" w:color="auto"/>
            </w:tcBorders>
            <w:shd w:val="clear" w:color="auto" w:fill="auto"/>
          </w:tcPr>
          <w:p w14:paraId="0B337BFD"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Nedažnas:</w:t>
            </w:r>
          </w:p>
        </w:tc>
        <w:tc>
          <w:tcPr>
            <w:tcW w:w="3320" w:type="pct"/>
            <w:tcBorders>
              <w:top w:val="nil"/>
              <w:bottom w:val="single" w:sz="4" w:space="0" w:color="auto"/>
              <w:right w:val="single" w:sz="4" w:space="0" w:color="auto"/>
            </w:tcBorders>
            <w:shd w:val="clear" w:color="auto" w:fill="auto"/>
          </w:tcPr>
          <w:p w14:paraId="51285B98"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tachikardija.</w:t>
            </w:r>
          </w:p>
        </w:tc>
      </w:tr>
    </w:tbl>
    <w:p w14:paraId="2D909569" w14:textId="77777777" w:rsidR="00A23D3E" w:rsidRPr="00A23D3E" w:rsidRDefault="00A23D3E" w:rsidP="00A23D3E">
      <w:pPr>
        <w:widowControl w:val="0"/>
        <w:spacing w:after="0" w:line="240" w:lineRule="auto"/>
        <w:jc w:val="both"/>
        <w:rPr>
          <w:rFonts w:ascii="Times New Roman" w:eastAsia="Calibri" w:hAnsi="Times New Roman" w:cs="Times New Roman"/>
          <w:u w:val="single"/>
          <w:lang w:val="en-US"/>
        </w:rPr>
      </w:pPr>
    </w:p>
    <w:p w14:paraId="1EC0AAB3" w14:textId="77777777" w:rsidR="00A23D3E" w:rsidRPr="00A23D3E" w:rsidRDefault="00A23D3E" w:rsidP="00A23D3E">
      <w:pPr>
        <w:keepNext/>
        <w:keepLines/>
        <w:widowControl w:val="0"/>
        <w:spacing w:after="0" w:line="240" w:lineRule="auto"/>
        <w:jc w:val="both"/>
        <w:rPr>
          <w:rFonts w:ascii="Times New Roman" w:eastAsia="Calibri" w:hAnsi="Times New Roman" w:cs="Times New Roman"/>
          <w:u w:val="single"/>
          <w:lang w:val="it-IT"/>
        </w:rPr>
      </w:pPr>
      <w:r w:rsidRPr="00A23D3E">
        <w:rPr>
          <w:rFonts w:ascii="Times New Roman" w:eastAsia="Calibri" w:hAnsi="Times New Roman" w:cs="Times New Roman"/>
          <w:u w:val="single"/>
          <w:lang w:val="it-IT"/>
        </w:rPr>
        <w:t>Po vaistinio preparato pateikimo į rinką</w:t>
      </w:r>
    </w:p>
    <w:p w14:paraId="6061486D" w14:textId="77777777" w:rsidR="00A23D3E" w:rsidRPr="00A23D3E" w:rsidRDefault="00A23D3E" w:rsidP="00A23D3E">
      <w:pPr>
        <w:keepNext/>
        <w:keepLines/>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2 lentelėje nurodytos nepageidaujamos reakcijos iš spontaninių pranešimų, apie kuriuos pranešta savanoriškai, todėl ne visada įmanoma patikimai nustatyti pasireiškimo dažnį ar priežastinį ryšį su vaistinio preparato vartojimu.</w:t>
      </w:r>
    </w:p>
    <w:p w14:paraId="0F246EAB" w14:textId="77777777" w:rsidR="00A23D3E" w:rsidRPr="00A23D3E" w:rsidRDefault="00A23D3E" w:rsidP="00A23D3E">
      <w:pPr>
        <w:keepNext/>
        <w:keepLines/>
        <w:widowControl w:val="0"/>
        <w:spacing w:after="0" w:line="240" w:lineRule="auto"/>
        <w:rPr>
          <w:rFonts w:ascii="Times New Roman" w:eastAsia="Calibri" w:hAnsi="Times New Roman" w:cs="Times New Roman"/>
          <w:lang w:val="it-IT"/>
        </w:rPr>
      </w:pPr>
    </w:p>
    <w:p w14:paraId="03B64D46" w14:textId="77777777" w:rsidR="00A23D3E" w:rsidRPr="00A23D3E" w:rsidRDefault="00A23D3E" w:rsidP="00A23D3E">
      <w:pPr>
        <w:keepNext/>
        <w:keepLines/>
        <w:widowControl w:val="0"/>
        <w:spacing w:after="0" w:line="240" w:lineRule="auto"/>
        <w:outlineLvl w:val="5"/>
        <w:rPr>
          <w:rFonts w:ascii="Times New Roman" w:eastAsia="Calibri" w:hAnsi="Times New Roman" w:cs="Times New Roman"/>
          <w:b/>
          <w:lang w:val="it-IT"/>
        </w:rPr>
      </w:pPr>
      <w:bookmarkStart w:id="1" w:name="_Toc171752435"/>
      <w:r w:rsidRPr="00A23D3E">
        <w:rPr>
          <w:rFonts w:ascii="Times New Roman" w:eastAsia="Calibri" w:hAnsi="Times New Roman" w:cs="Times New Roman"/>
          <w:b/>
          <w:lang w:val="it-IT"/>
        </w:rPr>
        <w:t>2 lentelė.</w:t>
      </w:r>
      <w:r w:rsidRPr="00A23D3E">
        <w:rPr>
          <w:rFonts w:ascii="Times New Roman" w:eastAsia="Calibri" w:hAnsi="Times New Roman" w:cs="Times New Roman"/>
          <w:b/>
          <w:lang w:val="it-IT"/>
        </w:rPr>
        <w:tab/>
        <w:t>Nepageidaujamos reakcijos, apie kurias sužinota iš spontaninių pranešimų</w:t>
      </w:r>
      <w:bookmarkEnd w:id="1"/>
    </w:p>
    <w:p w14:paraId="03BF1DEC" w14:textId="77777777" w:rsidR="00A23D3E" w:rsidRPr="00A23D3E" w:rsidRDefault="00A23D3E" w:rsidP="00A23D3E">
      <w:pPr>
        <w:keepNext/>
        <w:keepLines/>
        <w:widowControl w:val="0"/>
        <w:spacing w:after="0" w:line="240" w:lineRule="auto"/>
        <w:rPr>
          <w:rFonts w:ascii="Times New Roman" w:eastAsia="Calibri" w:hAnsi="Times New Roman" w:cs="Times New Roman"/>
          <w:lang w:val="it-IT"/>
        </w:rPr>
      </w:pPr>
    </w:p>
    <w:tbl>
      <w:tblPr>
        <w:tblW w:w="5000" w:type="pct"/>
        <w:tblBorders>
          <w:top w:val="single" w:sz="4" w:space="0" w:color="auto"/>
          <w:bottom w:val="single" w:sz="4" w:space="0" w:color="auto"/>
        </w:tblBorders>
        <w:tblLook w:val="0000" w:firstRow="0" w:lastRow="0" w:firstColumn="0" w:lastColumn="0" w:noHBand="0" w:noVBand="0"/>
      </w:tblPr>
      <w:tblGrid>
        <w:gridCol w:w="9061"/>
      </w:tblGrid>
      <w:tr w:rsidR="00A23D3E" w:rsidRPr="00A23D3E" w14:paraId="48F28D86" w14:textId="77777777" w:rsidTr="00C931EA">
        <w:trPr>
          <w:cantSplit/>
        </w:trPr>
        <w:tc>
          <w:tcPr>
            <w:tcW w:w="5000" w:type="pct"/>
            <w:tcBorders>
              <w:top w:val="single" w:sz="4" w:space="0" w:color="auto"/>
              <w:left w:val="single" w:sz="4" w:space="0" w:color="auto"/>
              <w:bottom w:val="nil"/>
              <w:right w:val="single" w:sz="4" w:space="0" w:color="auto"/>
            </w:tcBorders>
            <w:shd w:val="clear" w:color="auto" w:fill="auto"/>
          </w:tcPr>
          <w:p w14:paraId="55EB8FA5" w14:textId="77777777" w:rsidR="00A23D3E" w:rsidRPr="00A23D3E" w:rsidRDefault="00A23D3E" w:rsidP="00A23D3E">
            <w:pPr>
              <w:keepNext/>
              <w:keepLines/>
              <w:widowControl w:val="0"/>
              <w:spacing w:after="0" w:line="240" w:lineRule="auto"/>
              <w:rPr>
                <w:rFonts w:ascii="Times New Roman" w:eastAsia="Calibri" w:hAnsi="Times New Roman" w:cs="Times New Roman"/>
                <w:b/>
                <w:lang w:val="es-ES"/>
              </w:rPr>
            </w:pPr>
            <w:r w:rsidRPr="00A23D3E">
              <w:rPr>
                <w:rFonts w:ascii="Times New Roman" w:eastAsia="Calibri" w:hAnsi="Times New Roman" w:cs="Times New Roman"/>
                <w:b/>
              </w:rPr>
              <w:t>Kraujo ir limfinės sistemos sutrikimai</w:t>
            </w:r>
          </w:p>
        </w:tc>
      </w:tr>
      <w:tr w:rsidR="00A23D3E" w:rsidRPr="00A23D3E" w14:paraId="65BB4210" w14:textId="77777777" w:rsidTr="00C931EA">
        <w:trPr>
          <w:cantSplit/>
        </w:trPr>
        <w:tc>
          <w:tcPr>
            <w:tcW w:w="5000" w:type="pct"/>
            <w:tcBorders>
              <w:top w:val="nil"/>
              <w:left w:val="single" w:sz="4" w:space="0" w:color="auto"/>
              <w:bottom w:val="single" w:sz="4" w:space="0" w:color="auto"/>
              <w:right w:val="single" w:sz="4" w:space="0" w:color="auto"/>
            </w:tcBorders>
            <w:shd w:val="clear" w:color="auto" w:fill="auto"/>
          </w:tcPr>
          <w:p w14:paraId="1C2C2CB1" w14:textId="77777777" w:rsidR="00A23D3E" w:rsidRPr="00A23D3E" w:rsidRDefault="00A23D3E" w:rsidP="00A23D3E">
            <w:pPr>
              <w:keepNext/>
              <w:keepLines/>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color w:val="222222"/>
              </w:rPr>
              <w:t>Trombocitopenija.</w:t>
            </w:r>
          </w:p>
        </w:tc>
      </w:tr>
      <w:tr w:rsidR="00A23D3E" w:rsidRPr="00A23D3E" w14:paraId="141A8731" w14:textId="77777777" w:rsidTr="00C931EA">
        <w:trPr>
          <w:cantSplit/>
        </w:trPr>
        <w:tc>
          <w:tcPr>
            <w:tcW w:w="5000" w:type="pct"/>
            <w:tcBorders>
              <w:top w:val="single" w:sz="4" w:space="0" w:color="auto"/>
              <w:left w:val="single" w:sz="4" w:space="0" w:color="auto"/>
              <w:bottom w:val="nil"/>
              <w:right w:val="single" w:sz="4" w:space="0" w:color="auto"/>
            </w:tcBorders>
            <w:shd w:val="clear" w:color="auto" w:fill="auto"/>
          </w:tcPr>
          <w:p w14:paraId="5BE24FC1"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Imuninės sistemos sutrikimai</w:t>
            </w:r>
          </w:p>
        </w:tc>
      </w:tr>
      <w:tr w:rsidR="00A23D3E" w:rsidRPr="00A23D3E" w14:paraId="04383FAF" w14:textId="77777777" w:rsidTr="00C931EA">
        <w:trPr>
          <w:cantSplit/>
          <w:trHeight w:val="227"/>
        </w:trPr>
        <w:tc>
          <w:tcPr>
            <w:tcW w:w="5000" w:type="pct"/>
            <w:tcBorders>
              <w:top w:val="nil"/>
              <w:left w:val="single" w:sz="4" w:space="0" w:color="auto"/>
              <w:right w:val="single" w:sz="4" w:space="0" w:color="auto"/>
            </w:tcBorders>
            <w:shd w:val="clear" w:color="auto" w:fill="auto"/>
          </w:tcPr>
          <w:p w14:paraId="58C121BD" w14:textId="77777777" w:rsidR="00A23D3E" w:rsidRPr="00A23D3E" w:rsidRDefault="00A23D3E" w:rsidP="00A23D3E">
            <w:pPr>
              <w:keepNext/>
              <w:keepLines/>
              <w:widowControl w:val="0"/>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Anafilaksija, alergija ir (arba) padidėjusio jautrumo reakcijos.</w:t>
            </w:r>
          </w:p>
        </w:tc>
      </w:tr>
      <w:tr w:rsidR="00A23D3E" w:rsidRPr="00A23D3E" w14:paraId="147B1203" w14:textId="77777777" w:rsidTr="00C931EA">
        <w:trPr>
          <w:cantSplit/>
        </w:trPr>
        <w:tc>
          <w:tcPr>
            <w:tcW w:w="5000" w:type="pct"/>
            <w:tcBorders>
              <w:top w:val="single" w:sz="4" w:space="0" w:color="auto"/>
              <w:left w:val="single" w:sz="4" w:space="0" w:color="auto"/>
              <w:bottom w:val="nil"/>
              <w:right w:val="single" w:sz="4" w:space="0" w:color="auto"/>
            </w:tcBorders>
            <w:shd w:val="clear" w:color="auto" w:fill="auto"/>
          </w:tcPr>
          <w:p w14:paraId="7CEFBEE3"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Odos ir poodinio audinio sutrikimai</w:t>
            </w:r>
          </w:p>
        </w:tc>
      </w:tr>
      <w:tr w:rsidR="00A23D3E" w:rsidRPr="00A23D3E" w14:paraId="44DC954B" w14:textId="77777777" w:rsidTr="00C931EA">
        <w:trPr>
          <w:cantSplit/>
        </w:trPr>
        <w:tc>
          <w:tcPr>
            <w:tcW w:w="5000" w:type="pct"/>
            <w:tcBorders>
              <w:top w:val="nil"/>
              <w:left w:val="single" w:sz="4" w:space="0" w:color="auto"/>
              <w:bottom w:val="nil"/>
              <w:right w:val="single" w:sz="4" w:space="0" w:color="auto"/>
            </w:tcBorders>
            <w:shd w:val="clear" w:color="auto" w:fill="auto"/>
          </w:tcPr>
          <w:p w14:paraId="506EC731"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Dilgėlinė.</w:t>
            </w:r>
          </w:p>
        </w:tc>
      </w:tr>
      <w:tr w:rsidR="00A23D3E" w:rsidRPr="00A23D3E" w14:paraId="19D193AC" w14:textId="77777777" w:rsidTr="00C931EA">
        <w:trPr>
          <w:cantSplit/>
          <w:trHeight w:val="335"/>
        </w:trPr>
        <w:tc>
          <w:tcPr>
            <w:tcW w:w="5000" w:type="pct"/>
            <w:tcBorders>
              <w:top w:val="single" w:sz="4" w:space="0" w:color="auto"/>
              <w:left w:val="single" w:sz="4" w:space="0" w:color="auto"/>
              <w:bottom w:val="nil"/>
              <w:right w:val="single" w:sz="4" w:space="0" w:color="auto"/>
            </w:tcBorders>
            <w:shd w:val="clear" w:color="auto" w:fill="auto"/>
          </w:tcPr>
          <w:p w14:paraId="5D5826B3"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Kepenų, tulžies pūslės ir latakų sutrikimai</w:t>
            </w:r>
          </w:p>
        </w:tc>
      </w:tr>
      <w:tr w:rsidR="00A23D3E" w:rsidRPr="00A23D3E" w14:paraId="59B0D4FD" w14:textId="77777777" w:rsidTr="00C931EA">
        <w:trPr>
          <w:cantSplit/>
        </w:trPr>
        <w:tc>
          <w:tcPr>
            <w:tcW w:w="5000" w:type="pct"/>
            <w:tcBorders>
              <w:top w:val="nil"/>
              <w:left w:val="single" w:sz="4" w:space="0" w:color="auto"/>
              <w:bottom w:val="single" w:sz="4" w:space="0" w:color="auto"/>
              <w:right w:val="single" w:sz="4" w:space="0" w:color="auto"/>
            </w:tcBorders>
            <w:shd w:val="clear" w:color="auto" w:fill="auto"/>
          </w:tcPr>
          <w:p w14:paraId="181ADD84"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Ūminis pankreatitas, ūminis hepatitas be cholestazės, cholestazinis hepatitas, cholestazė, gelta, cholestazinė gelta.</w:t>
            </w:r>
          </w:p>
        </w:tc>
      </w:tr>
      <w:tr w:rsidR="00A23D3E" w:rsidRPr="00A23D3E" w14:paraId="297F6714" w14:textId="77777777" w:rsidTr="00C931EA">
        <w:trPr>
          <w:cantSplit/>
        </w:trPr>
        <w:tc>
          <w:tcPr>
            <w:tcW w:w="5000" w:type="pct"/>
            <w:tcBorders>
              <w:top w:val="single" w:sz="4" w:space="0" w:color="auto"/>
              <w:left w:val="single" w:sz="4" w:space="0" w:color="auto"/>
              <w:bottom w:val="nil"/>
              <w:right w:val="single" w:sz="4" w:space="0" w:color="auto"/>
            </w:tcBorders>
            <w:shd w:val="clear" w:color="auto" w:fill="auto"/>
          </w:tcPr>
          <w:p w14:paraId="6FE7C50D"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Širdies sutrikimai</w:t>
            </w:r>
          </w:p>
        </w:tc>
      </w:tr>
      <w:tr w:rsidR="00A23D3E" w:rsidRPr="00A23D3E" w14:paraId="464C9ACB" w14:textId="77777777" w:rsidTr="00C931EA">
        <w:trPr>
          <w:cantSplit/>
        </w:trPr>
        <w:tc>
          <w:tcPr>
            <w:tcW w:w="5000" w:type="pct"/>
            <w:tcBorders>
              <w:top w:val="nil"/>
              <w:left w:val="single" w:sz="4" w:space="0" w:color="auto"/>
              <w:right w:val="single" w:sz="4" w:space="0" w:color="auto"/>
            </w:tcBorders>
            <w:shd w:val="clear" w:color="auto" w:fill="auto"/>
          </w:tcPr>
          <w:p w14:paraId="17A23EB6"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Aritmijos.</w:t>
            </w:r>
          </w:p>
        </w:tc>
      </w:tr>
      <w:tr w:rsidR="00A23D3E" w:rsidRPr="00A23D3E" w14:paraId="0A581988" w14:textId="77777777" w:rsidTr="00C931EA">
        <w:trPr>
          <w:cantSplit/>
        </w:trPr>
        <w:tc>
          <w:tcPr>
            <w:tcW w:w="5000" w:type="pct"/>
            <w:tcBorders>
              <w:top w:val="single" w:sz="4" w:space="0" w:color="auto"/>
              <w:left w:val="single" w:sz="4" w:space="0" w:color="auto"/>
              <w:bottom w:val="nil"/>
              <w:right w:val="single" w:sz="4" w:space="0" w:color="auto"/>
            </w:tcBorders>
            <w:shd w:val="clear" w:color="auto" w:fill="auto"/>
          </w:tcPr>
          <w:p w14:paraId="03DB2CF3" w14:textId="77777777" w:rsidR="00A23D3E" w:rsidRPr="00A23D3E" w:rsidRDefault="00A23D3E" w:rsidP="00A23D3E">
            <w:pPr>
              <w:keepNext/>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Tyrimai</w:t>
            </w:r>
          </w:p>
        </w:tc>
      </w:tr>
      <w:tr w:rsidR="00A23D3E" w:rsidRPr="00A23D3E" w14:paraId="313004BD" w14:textId="77777777" w:rsidTr="00C931EA">
        <w:trPr>
          <w:cantSplit/>
        </w:trPr>
        <w:tc>
          <w:tcPr>
            <w:tcW w:w="5000" w:type="pct"/>
            <w:tcBorders>
              <w:top w:val="nil"/>
              <w:left w:val="single" w:sz="4" w:space="0" w:color="auto"/>
              <w:bottom w:val="single" w:sz="4" w:space="0" w:color="auto"/>
              <w:right w:val="single" w:sz="4" w:space="0" w:color="auto"/>
            </w:tcBorders>
            <w:shd w:val="clear" w:color="auto" w:fill="auto"/>
          </w:tcPr>
          <w:p w14:paraId="70D8332C" w14:textId="77777777" w:rsidR="00A23D3E" w:rsidRPr="00A23D3E" w:rsidRDefault="00A23D3E" w:rsidP="00A23D3E">
            <w:pPr>
              <w:keepLines/>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Padidėjęs šarminės fosfatazės aktyvumas, padidėjęs gama</w:t>
            </w:r>
            <w:r w:rsidRPr="00A23D3E">
              <w:rPr>
                <w:rFonts w:ascii="Times New Roman" w:eastAsia="Calibri" w:hAnsi="Times New Roman" w:cs="Times New Roman"/>
                <w:lang w:val="en-US"/>
              </w:rPr>
              <w:noBreakHyphen/>
              <w:t>glutamil transferazės aktyvumas.</w:t>
            </w:r>
          </w:p>
        </w:tc>
      </w:tr>
    </w:tbl>
    <w:p w14:paraId="1A3293EA" w14:textId="77777777" w:rsidR="00A23D3E" w:rsidRPr="00A23D3E" w:rsidRDefault="00A23D3E" w:rsidP="00A23D3E">
      <w:pPr>
        <w:widowControl w:val="0"/>
        <w:spacing w:after="0" w:line="240" w:lineRule="auto"/>
        <w:rPr>
          <w:rFonts w:ascii="Times New Roman" w:eastAsia="Calibri" w:hAnsi="Times New Roman" w:cs="Times New Roman"/>
          <w:u w:val="single"/>
          <w:lang w:val="en-US"/>
        </w:rPr>
      </w:pPr>
    </w:p>
    <w:p w14:paraId="216135E7" w14:textId="77777777" w:rsidR="00A23D3E" w:rsidRPr="00A23D3E" w:rsidRDefault="00A23D3E" w:rsidP="00A23D3E">
      <w:pPr>
        <w:keepNext/>
        <w:spacing w:after="0" w:line="240" w:lineRule="auto"/>
        <w:rPr>
          <w:rFonts w:ascii="Times New Roman" w:eastAsia="Calibri" w:hAnsi="Times New Roman" w:cs="Times New Roman"/>
          <w:u w:val="single"/>
          <w:lang w:val="en-US"/>
        </w:rPr>
      </w:pPr>
      <w:r w:rsidRPr="00A23D3E">
        <w:rPr>
          <w:rFonts w:ascii="Times New Roman" w:eastAsia="Calibri" w:hAnsi="Times New Roman" w:cs="Times New Roman"/>
          <w:u w:val="single"/>
          <w:lang w:val="en-US"/>
        </w:rPr>
        <w:t xml:space="preserve">Atrinktų nepageidaujamų reakcijų apibūdinimas </w:t>
      </w:r>
    </w:p>
    <w:p w14:paraId="295D93BE" w14:textId="77777777" w:rsidR="00A23D3E" w:rsidRPr="00A23D3E" w:rsidRDefault="00A23D3E" w:rsidP="00A23D3E">
      <w:pPr>
        <w:widowControl w:val="0"/>
        <w:spacing w:after="0" w:line="240" w:lineRule="auto"/>
        <w:rPr>
          <w:rFonts w:ascii="Times New Roman" w:eastAsia="Times New Roman" w:hAnsi="Times New Roman" w:cs="Times New Roman"/>
          <w:lang w:val="en-GB"/>
        </w:rPr>
      </w:pPr>
    </w:p>
    <w:p w14:paraId="05F9BC0A" w14:textId="77777777" w:rsidR="00A23D3E" w:rsidRPr="00A23D3E" w:rsidRDefault="00A23D3E" w:rsidP="00A23D3E">
      <w:pPr>
        <w:widowControl w:val="0"/>
        <w:spacing w:after="0" w:line="240" w:lineRule="auto"/>
        <w:rPr>
          <w:rFonts w:ascii="Times New Roman" w:eastAsia="Times New Roman" w:hAnsi="Times New Roman" w:cs="Times New Roman"/>
          <w:i/>
          <w:lang w:val="en-GB"/>
        </w:rPr>
      </w:pPr>
      <w:r w:rsidRPr="00A23D3E">
        <w:rPr>
          <w:rFonts w:ascii="Times New Roman" w:eastAsia="Times New Roman" w:hAnsi="Times New Roman" w:cs="Times New Roman"/>
          <w:i/>
        </w:rPr>
        <w:t>Tulžies pūslės ir susijusios reakcijos</w:t>
      </w:r>
    </w:p>
    <w:p w14:paraId="58AF8135" w14:textId="77777777" w:rsidR="00A23D3E" w:rsidRPr="00A23D3E" w:rsidRDefault="00A23D3E" w:rsidP="00A23D3E">
      <w:pPr>
        <w:widowControl w:val="0"/>
        <w:spacing w:after="0" w:line="240" w:lineRule="auto"/>
        <w:rPr>
          <w:rFonts w:ascii="Times New Roman" w:eastAsia="Times New Roman" w:hAnsi="Times New Roman" w:cs="Times New Roman"/>
        </w:rPr>
      </w:pPr>
      <w:r w:rsidRPr="00A23D3E">
        <w:rPr>
          <w:rFonts w:ascii="Times New Roman" w:eastAsia="Times New Roman" w:hAnsi="Times New Roman" w:cs="Times New Roman"/>
        </w:rPr>
        <w:t>Manoma, kad somatostatino analogai slopina tulžies pūslės kontraktilumą ir sumažina tulžies sekreciją, dėl kurios gali atsirasti tulžies pūslės anomalijų ar nuosėdų.</w:t>
      </w:r>
      <w:r w:rsidRPr="00A23D3E">
        <w:rPr>
          <w:rFonts w:ascii="Times New Roman" w:eastAsia="Times New Roman" w:hAnsi="Times New Roman" w:cs="Times New Roman"/>
          <w:lang w:val="en-GB"/>
        </w:rPr>
        <w:t xml:space="preserve"> Gauta pranešimų apie tulžies akmenų atsiradimą 15</w:t>
      </w:r>
      <w:r w:rsidRPr="00A23D3E">
        <w:rPr>
          <w:rFonts w:ascii="Times New Roman" w:eastAsia="Times New Roman" w:hAnsi="Times New Roman" w:cs="Times New Roman"/>
          <w:lang w:val="en-GB"/>
        </w:rPr>
        <w:noBreakHyphen/>
        <w:t>30 </w:t>
      </w:r>
      <w:r w:rsidRPr="00A23D3E">
        <w:rPr>
          <w:rFonts w:ascii="Times New Roman" w:eastAsia="Times New Roman" w:hAnsi="Times New Roman" w:cs="Times New Roman"/>
        </w:rPr>
        <w:t xml:space="preserve">% pacientų, ilgą laiką vartojusių Sandostatin </w:t>
      </w:r>
      <w:r w:rsidRPr="00A23D3E">
        <w:rPr>
          <w:rFonts w:ascii="Times New Roman" w:eastAsia="Times New Roman" w:hAnsi="Times New Roman" w:cs="Times New Roman"/>
          <w:lang w:val="en-GB"/>
        </w:rPr>
        <w:t>injekcinį tirpalą (s.c.).</w:t>
      </w:r>
      <w:r w:rsidRPr="00A23D3E">
        <w:rPr>
          <w:rFonts w:ascii="Arial" w:eastAsia="Calibri" w:hAnsi="Arial" w:cs="Arial"/>
          <w:color w:val="222222"/>
        </w:rPr>
        <w:t xml:space="preserve"> </w:t>
      </w:r>
      <w:r w:rsidRPr="00A23D3E">
        <w:rPr>
          <w:rFonts w:ascii="Times New Roman" w:eastAsia="Times New Roman" w:hAnsi="Times New Roman" w:cs="Times New Roman"/>
        </w:rPr>
        <w:t>Bendras (40</w:t>
      </w:r>
      <w:r w:rsidRPr="00A23D3E">
        <w:rPr>
          <w:rFonts w:ascii="Times New Roman" w:eastAsia="Times New Roman" w:hAnsi="Times New Roman" w:cs="Times New Roman"/>
        </w:rPr>
        <w:noBreakHyphen/>
        <w:t>60 metų amžiaus) populiacijos dažnis yra apie 5</w:t>
      </w:r>
      <w:r w:rsidRPr="00A23D3E">
        <w:rPr>
          <w:rFonts w:ascii="Times New Roman" w:eastAsia="Times New Roman" w:hAnsi="Times New Roman" w:cs="Times New Roman"/>
        </w:rPr>
        <w:noBreakHyphen/>
        <w:t>20 %.</w:t>
      </w:r>
      <w:r w:rsidRPr="00A23D3E">
        <w:rPr>
          <w:rFonts w:ascii="Arial" w:eastAsia="Calibri" w:hAnsi="Arial" w:cs="Arial"/>
          <w:color w:val="222222"/>
        </w:rPr>
        <w:t xml:space="preserve"> </w:t>
      </w:r>
      <w:r w:rsidRPr="00A23D3E">
        <w:rPr>
          <w:rFonts w:ascii="Times New Roman" w:eastAsia="Times New Roman" w:hAnsi="Times New Roman" w:cs="Times New Roman"/>
        </w:rPr>
        <w:t>Pacientams, sergantiems akromegalija arba kuriems yra skrandžio</w:t>
      </w:r>
      <w:r w:rsidRPr="00A23D3E">
        <w:rPr>
          <w:rFonts w:ascii="Times New Roman" w:eastAsia="Times New Roman" w:hAnsi="Times New Roman" w:cs="Times New Roman"/>
        </w:rPr>
        <w:noBreakHyphen/>
        <w:t>žarnyno</w:t>
      </w:r>
      <w:r w:rsidRPr="00A23D3E">
        <w:rPr>
          <w:rFonts w:ascii="Times New Roman" w:eastAsia="Times New Roman" w:hAnsi="Times New Roman" w:cs="Times New Roman"/>
        </w:rPr>
        <w:noBreakHyphen/>
        <w:t>kasos auglių, ilgalaikis Sandostatin LAR poveikis rodo, kad gydymas Sandostatin LAR nepadidina tulžies akmenų susidarymo rizikos, lyginant su gydymu injekciniu tirpalu po oda.</w:t>
      </w:r>
      <w:r w:rsidRPr="00A23D3E">
        <w:rPr>
          <w:rFonts w:ascii="Arial" w:eastAsia="Calibri" w:hAnsi="Arial" w:cs="Arial"/>
          <w:color w:val="222222"/>
        </w:rPr>
        <w:t xml:space="preserve"> </w:t>
      </w:r>
      <w:r w:rsidRPr="00A23D3E">
        <w:rPr>
          <w:rFonts w:ascii="Times New Roman" w:eastAsia="Times New Roman" w:hAnsi="Times New Roman" w:cs="Times New Roman"/>
        </w:rPr>
        <w:t>Jei atsiranda tulžies akmenys, paprastai jie yra besimptomiai; simptominiai tulžies akmenys turi būti gydomi arba nutraukus gydymą tulžies rūgštimis arba operuojant.</w:t>
      </w:r>
    </w:p>
    <w:p w14:paraId="5FFCA339" w14:textId="77777777" w:rsidR="00A23D3E" w:rsidRPr="00A23D3E" w:rsidRDefault="00A23D3E" w:rsidP="00A23D3E">
      <w:pPr>
        <w:keepNext/>
        <w:spacing w:after="0" w:line="240" w:lineRule="auto"/>
        <w:rPr>
          <w:rFonts w:ascii="Times New Roman" w:eastAsia="Calibri" w:hAnsi="Times New Roman" w:cs="Times New Roman"/>
        </w:rPr>
      </w:pPr>
    </w:p>
    <w:p w14:paraId="7A0E9ACB" w14:textId="77777777" w:rsidR="00A23D3E" w:rsidRPr="00A23D3E" w:rsidRDefault="00A23D3E" w:rsidP="00A23D3E">
      <w:pPr>
        <w:spacing w:after="0" w:line="240" w:lineRule="auto"/>
        <w:rPr>
          <w:rFonts w:ascii="Times New Roman" w:eastAsia="Calibri" w:hAnsi="Times New Roman" w:cs="Times New Roman"/>
          <w:i/>
        </w:rPr>
      </w:pPr>
      <w:r w:rsidRPr="00A23D3E">
        <w:rPr>
          <w:rFonts w:ascii="Times New Roman" w:eastAsia="Calibri" w:hAnsi="Times New Roman" w:cs="Times New Roman"/>
          <w:i/>
        </w:rPr>
        <w:t>Virškinimo trakto sutrikimai</w:t>
      </w:r>
    </w:p>
    <w:p w14:paraId="1D555CD4"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Retais atvejais nepageidaujamas poveikis virškinimo traktui gali būti panašus į ūminį žarnų nepraeinamumą, kai pasireiškia stiprėjantis pilvo pūtimas, stiprus viršutinės pilvo dalies skausmas, padidėjęs pilvo jautrumas (jį pacientas saugo nuo bet kokio dirginimo). Nustatyta, kad tęsiant gydymą nepageidaujamų virškinimo trakto sutrikimų dažnis ilgainiui mažėja.</w:t>
      </w:r>
    </w:p>
    <w:p w14:paraId="6ED6E6E3" w14:textId="77777777" w:rsidR="00A23D3E" w:rsidRPr="00A23D3E" w:rsidRDefault="00A23D3E" w:rsidP="00A23D3E">
      <w:pPr>
        <w:widowControl w:val="0"/>
        <w:spacing w:after="0" w:line="240" w:lineRule="auto"/>
        <w:rPr>
          <w:rFonts w:ascii="Times New Roman" w:eastAsia="Calibri" w:hAnsi="Times New Roman" w:cs="Times New Roman"/>
        </w:rPr>
      </w:pPr>
    </w:p>
    <w:p w14:paraId="4564834F" w14:textId="77777777" w:rsidR="00A23D3E" w:rsidRPr="00A23D3E" w:rsidRDefault="00A23D3E" w:rsidP="00A23D3E">
      <w:pPr>
        <w:widowControl w:val="0"/>
        <w:spacing w:after="0" w:line="240" w:lineRule="auto"/>
        <w:rPr>
          <w:rFonts w:ascii="Times New Roman" w:eastAsia="Times New Roman" w:hAnsi="Times New Roman" w:cs="Times New Roman"/>
          <w:i/>
        </w:rPr>
      </w:pPr>
      <w:r w:rsidRPr="00A23D3E">
        <w:rPr>
          <w:rFonts w:ascii="Times New Roman" w:eastAsia="Times New Roman" w:hAnsi="Times New Roman" w:cs="Times New Roman"/>
          <w:i/>
        </w:rPr>
        <w:t>Padidėjęs jautrumas ir anafilaksinės reakcijos</w:t>
      </w:r>
    </w:p>
    <w:p w14:paraId="3C0E3675" w14:textId="77777777" w:rsidR="00A23D3E" w:rsidRPr="00A23D3E" w:rsidRDefault="00A23D3E" w:rsidP="00A23D3E">
      <w:pPr>
        <w:widowControl w:val="0"/>
        <w:spacing w:after="0" w:line="240" w:lineRule="auto"/>
        <w:rPr>
          <w:rFonts w:ascii="Times New Roman" w:eastAsia="Times New Roman" w:hAnsi="Times New Roman" w:cs="Times New Roman"/>
        </w:rPr>
      </w:pPr>
      <w:r w:rsidRPr="00A23D3E">
        <w:rPr>
          <w:rFonts w:ascii="Times New Roman" w:eastAsia="Times New Roman" w:hAnsi="Times New Roman" w:cs="Times New Roman"/>
        </w:rPr>
        <w:t>Vaistinį preparatą pateikus į rinką, gauta pranešimų apie padidėjusio jautrumo ir alergines reakcijas. Joms pasireiškus, dažniausiai paveikiama oda, retai - burna ir kvėpavimo takai.</w:t>
      </w:r>
      <w:r w:rsidRPr="00A23D3E">
        <w:rPr>
          <w:rFonts w:ascii="Arial" w:eastAsia="Calibri" w:hAnsi="Arial" w:cs="Arial"/>
          <w:color w:val="222222"/>
        </w:rPr>
        <w:t xml:space="preserve"> </w:t>
      </w:r>
      <w:r w:rsidRPr="00A23D3E">
        <w:rPr>
          <w:rFonts w:ascii="Times New Roman" w:eastAsia="Times New Roman" w:hAnsi="Times New Roman" w:cs="Times New Roman"/>
        </w:rPr>
        <w:t>Pastebėta atskirų anafilaksinio šoko atvejų.</w:t>
      </w:r>
    </w:p>
    <w:p w14:paraId="084BE84B" w14:textId="77777777" w:rsidR="00A23D3E" w:rsidRPr="00A23D3E" w:rsidRDefault="00A23D3E" w:rsidP="00A23D3E">
      <w:pPr>
        <w:widowControl w:val="0"/>
        <w:spacing w:after="0" w:line="240" w:lineRule="auto"/>
        <w:rPr>
          <w:rFonts w:ascii="Times New Roman" w:eastAsia="Calibri" w:hAnsi="Times New Roman" w:cs="Times New Roman"/>
        </w:rPr>
      </w:pPr>
    </w:p>
    <w:p w14:paraId="631B4B27" w14:textId="77777777" w:rsidR="00A23D3E" w:rsidRPr="00A23D3E" w:rsidRDefault="00A23D3E" w:rsidP="00A23D3E">
      <w:pPr>
        <w:widowControl w:val="0"/>
        <w:spacing w:after="0" w:line="240" w:lineRule="auto"/>
        <w:rPr>
          <w:rFonts w:ascii="Times New Roman" w:eastAsia="Calibri" w:hAnsi="Times New Roman" w:cs="Times New Roman"/>
          <w:i/>
        </w:rPr>
      </w:pPr>
      <w:r w:rsidRPr="00A23D3E">
        <w:rPr>
          <w:rFonts w:ascii="Times New Roman" w:eastAsia="Calibri" w:hAnsi="Times New Roman" w:cs="Times New Roman"/>
          <w:i/>
        </w:rPr>
        <w:t>Injekcijos vietos reakcijos</w:t>
      </w:r>
    </w:p>
    <w:p w14:paraId="291F0311"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Gauta pranešimų apie Sandostatin LAR vartojusiems pacientams dažnai pasireiškusias injekcijos vietos reakcijas, įskaitant skausmą, paraudimą, kraujavimą, niežulį, patinimą ar</w:t>
      </w:r>
      <w:r w:rsidRPr="00A23D3E">
        <w:rPr>
          <w:rFonts w:ascii="Arial" w:eastAsia="Calibri" w:hAnsi="Arial" w:cs="Arial"/>
          <w:color w:val="222222"/>
        </w:rPr>
        <w:t xml:space="preserve"> </w:t>
      </w:r>
      <w:r w:rsidRPr="00A23D3E">
        <w:rPr>
          <w:rFonts w:ascii="Times New Roman" w:eastAsia="Calibri" w:hAnsi="Times New Roman" w:cs="Times New Roman"/>
        </w:rPr>
        <w:t>sukietėjimą; tačiau dėl jų pasireiškimo daugeliu atvejų neprireikė jokių klinikinių intervencijų.</w:t>
      </w:r>
    </w:p>
    <w:p w14:paraId="25C56C3C" w14:textId="77777777" w:rsidR="00A23D3E" w:rsidRPr="00A23D3E" w:rsidRDefault="00A23D3E" w:rsidP="00A23D3E">
      <w:pPr>
        <w:widowControl w:val="0"/>
        <w:spacing w:after="0" w:line="240" w:lineRule="auto"/>
        <w:rPr>
          <w:rFonts w:ascii="Times New Roman" w:eastAsia="Calibri" w:hAnsi="Times New Roman" w:cs="Times New Roman"/>
        </w:rPr>
      </w:pPr>
    </w:p>
    <w:p w14:paraId="21D5F119" w14:textId="77777777" w:rsidR="00A23D3E" w:rsidRPr="00A23D3E" w:rsidRDefault="00A23D3E" w:rsidP="00A23D3E">
      <w:pPr>
        <w:widowControl w:val="0"/>
        <w:spacing w:after="0" w:line="240" w:lineRule="auto"/>
        <w:rPr>
          <w:rFonts w:ascii="Times New Roman" w:eastAsia="Calibri" w:hAnsi="Times New Roman" w:cs="Times New Roman"/>
          <w:i/>
        </w:rPr>
      </w:pPr>
      <w:r w:rsidRPr="00A23D3E">
        <w:rPr>
          <w:rFonts w:ascii="Times New Roman" w:eastAsia="Calibri" w:hAnsi="Times New Roman" w:cs="Times New Roman"/>
          <w:i/>
        </w:rPr>
        <w:t>Metabolizmo ir mitybos sutrikimai</w:t>
      </w:r>
    </w:p>
    <w:p w14:paraId="278F0182"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Nors gali padidėti su išmatomis šalinamų riebalų kiekis, iki šiol nėra duomenų, kad dėl ilgalaikio oktreotido vartojimo atsirastų rezorbcijos sutrikimo sukeltas mitybos nepakankamumas.</w:t>
      </w:r>
    </w:p>
    <w:p w14:paraId="34399F42" w14:textId="77777777" w:rsidR="00A23D3E" w:rsidRPr="00A23D3E" w:rsidRDefault="00A23D3E" w:rsidP="00A23D3E">
      <w:pPr>
        <w:widowControl w:val="0"/>
        <w:spacing w:after="0" w:line="240" w:lineRule="auto"/>
        <w:rPr>
          <w:rFonts w:ascii="Times New Roman" w:eastAsia="Calibri" w:hAnsi="Times New Roman" w:cs="Times New Roman"/>
        </w:rPr>
      </w:pPr>
    </w:p>
    <w:p w14:paraId="219F8850" w14:textId="77777777" w:rsidR="00A23D3E" w:rsidRPr="00A23D3E" w:rsidRDefault="00A23D3E" w:rsidP="00A23D3E">
      <w:pPr>
        <w:widowControl w:val="0"/>
        <w:spacing w:after="0" w:line="240" w:lineRule="auto"/>
        <w:rPr>
          <w:rFonts w:ascii="Times New Roman" w:eastAsia="Calibri" w:hAnsi="Times New Roman" w:cs="Times New Roman"/>
          <w:i/>
        </w:rPr>
      </w:pPr>
      <w:r w:rsidRPr="00A23D3E">
        <w:rPr>
          <w:rFonts w:ascii="Times New Roman" w:eastAsia="Calibri" w:hAnsi="Times New Roman" w:cs="Times New Roman"/>
          <w:i/>
        </w:rPr>
        <w:t>Kasos fermentai</w:t>
      </w:r>
    </w:p>
    <w:p w14:paraId="003D16AB"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Labai retais atvejais per pirmąsias kelias valandas ar dienas nuo po oda leidžiamo Sandostatin vartojimo pasireiškė ūminis pankreatitas; jis praeidavo nutraukus vaistinio preparato vartojimą. Be to, ilgai po oda leidžiamu Sandostatin gydytiems pacientams buvo tulžies pūslės akmenligės sukelto pankreatito atvejų.</w:t>
      </w:r>
    </w:p>
    <w:p w14:paraId="429B5B0A" w14:textId="77777777" w:rsidR="00A23D3E" w:rsidRPr="00A23D3E" w:rsidRDefault="00A23D3E" w:rsidP="00A23D3E">
      <w:pPr>
        <w:widowControl w:val="0"/>
        <w:spacing w:after="0" w:line="240" w:lineRule="auto"/>
        <w:rPr>
          <w:rFonts w:ascii="Times New Roman" w:eastAsia="Calibri" w:hAnsi="Times New Roman" w:cs="Times New Roman"/>
        </w:rPr>
      </w:pPr>
    </w:p>
    <w:p w14:paraId="5D005BF5" w14:textId="77777777" w:rsidR="00A23D3E" w:rsidRPr="00A23D3E" w:rsidRDefault="00A23D3E" w:rsidP="00A23D3E">
      <w:pPr>
        <w:widowControl w:val="0"/>
        <w:spacing w:after="0" w:line="240" w:lineRule="auto"/>
        <w:rPr>
          <w:rFonts w:ascii="Times New Roman" w:eastAsia="Calibri" w:hAnsi="Times New Roman" w:cs="Times New Roman"/>
          <w:i/>
        </w:rPr>
      </w:pPr>
      <w:r w:rsidRPr="00A23D3E">
        <w:rPr>
          <w:rFonts w:ascii="Times New Roman" w:eastAsia="Calibri" w:hAnsi="Times New Roman" w:cs="Times New Roman"/>
          <w:i/>
        </w:rPr>
        <w:t>Širdies sutrikimai</w:t>
      </w:r>
    </w:p>
    <w:p w14:paraId="71D4BF9C"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Bradikardija yra dažna nepageidaujama reakcija gydant somatostatino analogais. Tiek akromegalija, tiek karcinoidiniu sindromu sergantiems pacientams nustatyta EKG pokyčių, pavyzdžiui, QT intervalo pailgėjimas, elektrinės širdies ašies nuokrypis, ankstyva repoliarizacija, bangų amplitudžių sumažėjimas, R</w:t>
      </w:r>
      <w:r w:rsidRPr="00A23D3E">
        <w:rPr>
          <w:rFonts w:ascii="Times New Roman" w:eastAsia="Calibri" w:hAnsi="Times New Roman" w:cs="Times New Roman"/>
        </w:rPr>
        <w:noBreakHyphen/>
        <w:t>S dantelių pokytis, ankstyvas R bangos kilimas ir nespecifiniai ST</w:t>
      </w:r>
      <w:r w:rsidRPr="00A23D3E">
        <w:rPr>
          <w:rFonts w:ascii="Times New Roman" w:eastAsia="Calibri" w:hAnsi="Times New Roman" w:cs="Times New Roman"/>
        </w:rPr>
        <w:noBreakHyphen/>
        <w:t>T bangos pokyčiai. Šių pakitimų ryšys su oktreotido vartojimu nenustatytas, nes dauguma šį vaistinį preparatą vartojusių pacientų sirgo kitomis širdies ligomis (žr. 4.4 skyrių).</w:t>
      </w:r>
    </w:p>
    <w:p w14:paraId="09C7BC4F" w14:textId="77777777" w:rsidR="00A23D3E" w:rsidRPr="00A23D3E" w:rsidRDefault="00A23D3E" w:rsidP="00A23D3E">
      <w:pPr>
        <w:widowControl w:val="0"/>
        <w:spacing w:after="0" w:line="240" w:lineRule="auto"/>
        <w:rPr>
          <w:rFonts w:ascii="Times New Roman" w:eastAsia="Times New Roman" w:hAnsi="Times New Roman" w:cs="Times New Roman"/>
          <w:i/>
        </w:rPr>
      </w:pPr>
    </w:p>
    <w:p w14:paraId="4E8FE742" w14:textId="77777777" w:rsidR="00A23D3E" w:rsidRPr="00A23D3E" w:rsidRDefault="00A23D3E" w:rsidP="00A23D3E">
      <w:pPr>
        <w:widowControl w:val="0"/>
        <w:spacing w:after="0" w:line="240" w:lineRule="auto"/>
        <w:rPr>
          <w:rFonts w:ascii="Times New Roman" w:eastAsia="Times New Roman" w:hAnsi="Times New Roman" w:cs="Times New Roman"/>
          <w:i/>
        </w:rPr>
      </w:pPr>
      <w:r w:rsidRPr="00A23D3E">
        <w:rPr>
          <w:rFonts w:ascii="Times New Roman" w:eastAsia="Times New Roman" w:hAnsi="Times New Roman" w:cs="Times New Roman"/>
          <w:i/>
        </w:rPr>
        <w:t>Trombocitopenija</w:t>
      </w:r>
    </w:p>
    <w:p w14:paraId="01A7B08A" w14:textId="77777777" w:rsidR="00A23D3E" w:rsidRPr="00A23D3E" w:rsidRDefault="00A23D3E" w:rsidP="00A23D3E">
      <w:pPr>
        <w:widowControl w:val="0"/>
        <w:spacing w:after="0" w:line="240" w:lineRule="auto"/>
        <w:rPr>
          <w:rFonts w:ascii="Times New Roman" w:eastAsia="Times New Roman" w:hAnsi="Times New Roman" w:cs="Times New Roman"/>
        </w:rPr>
      </w:pPr>
      <w:r w:rsidRPr="00A23D3E">
        <w:rPr>
          <w:rFonts w:ascii="Times New Roman" w:eastAsia="Times New Roman" w:hAnsi="Times New Roman" w:cs="Times New Roman"/>
        </w:rPr>
        <w:t>Vaistinį preparatą pateikus į rinką, gauta pranešimų apie trombocitopenijos atvejus, ypatingai pacientams, sergantiems kepenų ciroze ir vartojantiems Sandostatin infuzinį tirpalą (i.v.) arba vartojantiems Sandostatin LAR. Tai išnyksta nutraukus gydymą.</w:t>
      </w:r>
    </w:p>
    <w:p w14:paraId="192C3E48"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rPr>
      </w:pPr>
    </w:p>
    <w:p w14:paraId="515E00B6" w14:textId="77777777" w:rsidR="00A23D3E" w:rsidRPr="00A23D3E" w:rsidRDefault="00A23D3E" w:rsidP="00A23D3E">
      <w:pPr>
        <w:tabs>
          <w:tab w:val="left" w:pos="567"/>
        </w:tabs>
        <w:autoSpaceDE w:val="0"/>
        <w:autoSpaceDN w:val="0"/>
        <w:adjustRightInd w:val="0"/>
        <w:spacing w:after="0" w:line="260" w:lineRule="exact"/>
        <w:rPr>
          <w:rFonts w:ascii="Times New Roman" w:eastAsia="Calibri" w:hAnsi="Times New Roman" w:cs="Times New Roman"/>
          <w:u w:val="single"/>
        </w:rPr>
      </w:pPr>
      <w:r w:rsidRPr="00A23D3E">
        <w:rPr>
          <w:rFonts w:ascii="Times New Roman" w:eastAsia="Calibri" w:hAnsi="Times New Roman" w:cs="Times New Roman"/>
          <w:u w:val="single"/>
        </w:rPr>
        <w:t>Pranešimas apie įtariamas nepageidaujamas reakcijas</w:t>
      </w:r>
    </w:p>
    <w:p w14:paraId="0BC3FD73" w14:textId="77777777" w:rsidR="001406A0" w:rsidRPr="001406A0" w:rsidRDefault="00A23D3E" w:rsidP="001406A0">
      <w:pPr>
        <w:tabs>
          <w:tab w:val="left" w:pos="567"/>
        </w:tabs>
        <w:autoSpaceDE w:val="0"/>
        <w:autoSpaceDN w:val="0"/>
        <w:adjustRightInd w:val="0"/>
        <w:spacing w:after="0" w:line="260" w:lineRule="exact"/>
        <w:rPr>
          <w:rFonts w:ascii="Times New Roman" w:eastAsia="Calibri" w:hAnsi="Times New Roman" w:cs="Times New Roman"/>
        </w:rPr>
      </w:pPr>
      <w:r w:rsidRPr="00A23D3E">
        <w:rPr>
          <w:rFonts w:ascii="Times New Roman" w:eastAsia="Calibri" w:hAnsi="Times New Roman" w:cs="Times New Roman"/>
        </w:rPr>
        <w:t xml:space="preserve">Svarbu pranešti apie įtariamas nepageidaujamas reakcijas, pastebėtas po vaistinio preparato registracijos, nes tai leidžia nuolat stebėti vaistinio preparato naudos ir rizikos santykį. </w:t>
      </w:r>
    </w:p>
    <w:p w14:paraId="1E4E2012" w14:textId="7A11A2B0" w:rsidR="00A23D3E" w:rsidRPr="00A23D3E" w:rsidRDefault="001406A0" w:rsidP="00A23D3E">
      <w:pPr>
        <w:tabs>
          <w:tab w:val="left" w:pos="567"/>
        </w:tabs>
        <w:autoSpaceDE w:val="0"/>
        <w:autoSpaceDN w:val="0"/>
        <w:adjustRightInd w:val="0"/>
        <w:spacing w:after="0" w:line="260" w:lineRule="exact"/>
        <w:rPr>
          <w:rFonts w:ascii="Times New Roman" w:eastAsia="Calibri" w:hAnsi="Times New Roman" w:cs="Times New Roman"/>
        </w:rPr>
      </w:pPr>
      <w:r w:rsidRPr="001406A0">
        <w:rPr>
          <w:rFonts w:ascii="Times New Roman" w:eastAsia="Calibri" w:hAnsi="Times New Roman" w:cs="Times New Roman"/>
        </w:rPr>
        <w:lastRenderedPageBreak/>
        <w:t xml:space="preserve">Sveikatos priežiūros ar farmacijos specialistai turi pranešti apie bet kokias įtariamas nepageidaujamas reakcijas, užpildę </w:t>
      </w:r>
      <w:r w:rsidR="00AA274C">
        <w:rPr>
          <w:rFonts w:ascii="Times New Roman" w:eastAsia="Calibri" w:hAnsi="Times New Roman" w:cs="Times New Roman"/>
        </w:rPr>
        <w:t xml:space="preserve">ir pateikę </w:t>
      </w:r>
      <w:r w:rsidRPr="001406A0">
        <w:rPr>
          <w:rFonts w:ascii="Times New Roman" w:eastAsia="Calibri" w:hAnsi="Times New Roman" w:cs="Times New Roman"/>
        </w:rPr>
        <w:t xml:space="preserve">pranešimo formą </w:t>
      </w:r>
      <w:r w:rsidR="00AA274C" w:rsidRPr="00AA274C">
        <w:rPr>
          <w:rFonts w:ascii="Times New Roman" w:eastAsia="Calibri" w:hAnsi="Times New Roman" w:cs="Times New Roman"/>
        </w:rPr>
        <w:t xml:space="preserve">Valstybinės vaistų kontrolės tarnybos prie Lietuvos Respublikos sveikatos apsaugos ministerijos tinklalapyje </w:t>
      </w:r>
      <w:r w:rsidR="00AA274C" w:rsidRPr="00E157A8">
        <w:rPr>
          <w:rFonts w:ascii="Times New Roman" w:hAnsi="Times New Roman"/>
        </w:rPr>
        <w:t>https://vvkt.</w:t>
      </w:r>
      <w:r w:rsidR="00AA274C" w:rsidRPr="00AA274C">
        <w:rPr>
          <w:rFonts w:ascii="Times New Roman" w:eastAsia="Calibri" w:hAnsi="Times New Roman" w:cs="Times New Roman"/>
        </w:rPr>
        <w:t>lrv.</w:t>
      </w:r>
      <w:r w:rsidR="00AA274C" w:rsidRPr="00E157A8">
        <w:rPr>
          <w:rFonts w:ascii="Times New Roman" w:hAnsi="Times New Roman"/>
        </w:rPr>
        <w:t>lt/lt/</w:t>
      </w:r>
      <w:r w:rsidR="00AA274C" w:rsidRPr="00AA274C">
        <w:rPr>
          <w:rFonts w:ascii="Times New Roman" w:eastAsia="Calibri" w:hAnsi="Times New Roman" w:cs="Times New Roman"/>
        </w:rPr>
        <w:t xml:space="preserve"> nurodytais būdais.</w:t>
      </w:r>
    </w:p>
    <w:p w14:paraId="36311B85" w14:textId="77777777" w:rsidR="00A23D3E" w:rsidRPr="00A23D3E" w:rsidRDefault="00A23D3E" w:rsidP="00A23D3E">
      <w:pPr>
        <w:tabs>
          <w:tab w:val="left" w:pos="567"/>
        </w:tabs>
        <w:autoSpaceDE w:val="0"/>
        <w:autoSpaceDN w:val="0"/>
        <w:adjustRightInd w:val="0"/>
        <w:spacing w:after="0" w:line="260" w:lineRule="exact"/>
        <w:jc w:val="both"/>
        <w:rPr>
          <w:rFonts w:ascii="Times New Roman" w:eastAsia="Calibri" w:hAnsi="Times New Roman" w:cs="Times New Roman"/>
          <w:b/>
        </w:rPr>
      </w:pPr>
    </w:p>
    <w:p w14:paraId="14F99403"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rPr>
      </w:pPr>
      <w:r w:rsidRPr="00A23D3E">
        <w:rPr>
          <w:rFonts w:ascii="Times New Roman" w:eastAsia="Calibri" w:hAnsi="Times New Roman" w:cs="Times New Roman"/>
          <w:b/>
        </w:rPr>
        <w:t>4.9</w:t>
      </w:r>
      <w:r w:rsidRPr="00A23D3E">
        <w:rPr>
          <w:rFonts w:ascii="Times New Roman" w:eastAsia="Calibri" w:hAnsi="Times New Roman" w:cs="Times New Roman"/>
          <w:b/>
        </w:rPr>
        <w:tab/>
        <w:t>Perdozavimas</w:t>
      </w:r>
    </w:p>
    <w:p w14:paraId="45AFF0A2" w14:textId="77777777" w:rsidR="00A23D3E" w:rsidRPr="00A23D3E" w:rsidRDefault="00A23D3E" w:rsidP="00A23D3E">
      <w:pPr>
        <w:keepNext/>
        <w:widowControl w:val="0"/>
        <w:spacing w:after="0" w:line="240" w:lineRule="auto"/>
        <w:rPr>
          <w:rFonts w:ascii="Times New Roman" w:eastAsia="Calibri" w:hAnsi="Times New Roman" w:cs="Times New Roman"/>
        </w:rPr>
      </w:pPr>
    </w:p>
    <w:p w14:paraId="09AF63E0"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Duomenų apie netyčinį Sandostatin LAR perdozavimą gauta nedaug. Buvo suvartotos nuo 100 mg ir 163 mg Sandostatin LAR dozės per mėnesį. Vienintelis pasireiškęs nepageidaujamas poveikis buvo karščio pylimas.</w:t>
      </w:r>
    </w:p>
    <w:p w14:paraId="289746DE" w14:textId="77777777" w:rsidR="00A23D3E" w:rsidRPr="00A23D3E" w:rsidRDefault="00A23D3E" w:rsidP="00A23D3E">
      <w:pPr>
        <w:widowControl w:val="0"/>
        <w:spacing w:after="0" w:line="240" w:lineRule="auto"/>
        <w:rPr>
          <w:rFonts w:ascii="Times New Roman" w:eastAsia="Calibri" w:hAnsi="Times New Roman" w:cs="Times New Roman"/>
        </w:rPr>
      </w:pPr>
    </w:p>
    <w:p w14:paraId="4E8678DB"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Gauta pranešimų, kad vėžiu sergantiems pacientams buvo skiriamos iki 60 mg per mėnesį ir iki 90 mg kas dvi savaites Sandostatin LAR dozės. Apibendrinant galima teigti, kad šios dozės buvo toleruojamos gerai; tačiau nustatyti tokie nepageidaujami poveikiai: dažnas šlapinimasis, nuovargis, depresija, nerimas ir koncentracijos stoka. </w:t>
      </w:r>
    </w:p>
    <w:p w14:paraId="17D74AF8" w14:textId="77777777" w:rsidR="00A23D3E" w:rsidRPr="00A23D3E" w:rsidRDefault="00A23D3E" w:rsidP="00A23D3E">
      <w:pPr>
        <w:widowControl w:val="0"/>
        <w:spacing w:after="0" w:line="240" w:lineRule="auto"/>
        <w:rPr>
          <w:rFonts w:ascii="Times New Roman" w:eastAsia="Calibri" w:hAnsi="Times New Roman" w:cs="Times New Roman"/>
        </w:rPr>
      </w:pPr>
    </w:p>
    <w:p w14:paraId="3963C4AA"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Perdozavus reikia gydyti simptomiškai. </w:t>
      </w:r>
    </w:p>
    <w:p w14:paraId="437C8CEB" w14:textId="77777777" w:rsidR="00A23D3E" w:rsidRPr="00A23D3E" w:rsidRDefault="00A23D3E" w:rsidP="00A23D3E">
      <w:pPr>
        <w:widowControl w:val="0"/>
        <w:spacing w:after="0" w:line="240" w:lineRule="auto"/>
        <w:rPr>
          <w:rFonts w:ascii="Times New Roman" w:eastAsia="Calibri" w:hAnsi="Times New Roman" w:cs="Times New Roman"/>
        </w:rPr>
      </w:pPr>
    </w:p>
    <w:p w14:paraId="1C36E113" w14:textId="77777777" w:rsidR="00A23D3E" w:rsidRPr="00A23D3E" w:rsidRDefault="00A23D3E" w:rsidP="00A23D3E">
      <w:pPr>
        <w:widowControl w:val="0"/>
        <w:spacing w:after="0" w:line="240" w:lineRule="auto"/>
        <w:rPr>
          <w:rFonts w:ascii="Times New Roman" w:eastAsia="Calibri" w:hAnsi="Times New Roman" w:cs="Times New Roman"/>
        </w:rPr>
      </w:pPr>
    </w:p>
    <w:p w14:paraId="0065573E"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rPr>
      </w:pPr>
      <w:r w:rsidRPr="00A23D3E">
        <w:rPr>
          <w:rFonts w:ascii="Times New Roman" w:eastAsia="Calibri" w:hAnsi="Times New Roman" w:cs="Times New Roman"/>
          <w:b/>
        </w:rPr>
        <w:t>5.</w:t>
      </w:r>
      <w:r w:rsidRPr="00A23D3E">
        <w:rPr>
          <w:rFonts w:ascii="Times New Roman" w:eastAsia="Calibri" w:hAnsi="Times New Roman" w:cs="Times New Roman"/>
          <w:b/>
        </w:rPr>
        <w:tab/>
        <w:t>FARMAKOLOGINĖS SAVYBĖS</w:t>
      </w:r>
    </w:p>
    <w:p w14:paraId="4AD0A7FC"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rPr>
      </w:pPr>
    </w:p>
    <w:p w14:paraId="41C94CC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rPr>
      </w:pPr>
      <w:r w:rsidRPr="00A23D3E">
        <w:rPr>
          <w:rFonts w:ascii="Times New Roman" w:eastAsia="Calibri" w:hAnsi="Times New Roman" w:cs="Times New Roman"/>
          <w:b/>
        </w:rPr>
        <w:t>5.1</w:t>
      </w:r>
      <w:r w:rsidRPr="00A23D3E">
        <w:rPr>
          <w:rFonts w:ascii="Times New Roman" w:eastAsia="Calibri" w:hAnsi="Times New Roman" w:cs="Times New Roman"/>
          <w:b/>
        </w:rPr>
        <w:tab/>
        <w:t>Farmakodinaminės savybės</w:t>
      </w:r>
    </w:p>
    <w:p w14:paraId="62947664" w14:textId="77777777" w:rsidR="00A23D3E" w:rsidRPr="00A23D3E" w:rsidRDefault="00A23D3E" w:rsidP="00A23D3E">
      <w:pPr>
        <w:keepNext/>
        <w:widowControl w:val="0"/>
        <w:spacing w:after="0" w:line="240" w:lineRule="auto"/>
        <w:rPr>
          <w:rFonts w:ascii="Times New Roman" w:eastAsia="Calibri" w:hAnsi="Times New Roman" w:cs="Times New Roman"/>
        </w:rPr>
      </w:pPr>
    </w:p>
    <w:p w14:paraId="748EC852" w14:textId="77777777" w:rsidR="00A23D3E" w:rsidRPr="00A23D3E" w:rsidRDefault="00A23D3E" w:rsidP="00A23D3E">
      <w:pPr>
        <w:keepNext/>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Farmakoterapinė grupė – somatostatinas ir jo analogai, ATC kodas – H01CB02.</w:t>
      </w:r>
    </w:p>
    <w:p w14:paraId="24A7E482" w14:textId="77777777" w:rsidR="00A23D3E" w:rsidRPr="00A23D3E" w:rsidRDefault="00A23D3E" w:rsidP="00A23D3E">
      <w:pPr>
        <w:keepNext/>
        <w:widowControl w:val="0"/>
        <w:spacing w:after="0" w:line="240" w:lineRule="auto"/>
        <w:rPr>
          <w:rFonts w:ascii="Times New Roman" w:eastAsia="Calibri" w:hAnsi="Times New Roman" w:cs="Times New Roman"/>
        </w:rPr>
      </w:pPr>
    </w:p>
    <w:p w14:paraId="57F6064C"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Oktreotidas yra sintetinis oktapeptidas, natūraliojo somatostatino junginys, pasižymintis panašiomis farmakologinėmis savybėmis, bet veikiantis gerokai ilgiau. Jis slopina patologiškai padidėjusią augimo hormono (AH) sekreciją, taip pat peptidų bei serotonino sekreciją skrandžio, žarnų ir kasos endokrininėje sistemoje. </w:t>
      </w:r>
    </w:p>
    <w:p w14:paraId="145C7EDC" w14:textId="77777777" w:rsidR="00A23D3E" w:rsidRPr="00A23D3E" w:rsidRDefault="00A23D3E" w:rsidP="00A23D3E">
      <w:pPr>
        <w:widowControl w:val="0"/>
        <w:spacing w:after="0" w:line="240" w:lineRule="auto"/>
        <w:rPr>
          <w:rFonts w:ascii="Times New Roman" w:eastAsia="Calibri" w:hAnsi="Times New Roman" w:cs="Times New Roman"/>
        </w:rPr>
      </w:pPr>
    </w:p>
    <w:p w14:paraId="3B7B6AF4"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Gyvūnams oktreotidas daug stipriau negu somatostatinas slopina AH, gliukagono ir insulino išsiskyrimą. Jis selektyviau slopina AH ir gliukagono sekreciją.</w:t>
      </w:r>
    </w:p>
    <w:p w14:paraId="08C2F2DA" w14:textId="77777777" w:rsidR="00A23D3E" w:rsidRPr="00A23D3E" w:rsidRDefault="00A23D3E" w:rsidP="00A23D3E">
      <w:pPr>
        <w:widowControl w:val="0"/>
        <w:spacing w:after="0" w:line="240" w:lineRule="auto"/>
        <w:rPr>
          <w:rFonts w:ascii="Times New Roman" w:eastAsia="Calibri" w:hAnsi="Times New Roman" w:cs="Times New Roman"/>
        </w:rPr>
      </w:pPr>
    </w:p>
    <w:p w14:paraId="39EB515D" w14:textId="77777777" w:rsidR="00A23D3E" w:rsidRPr="00A23D3E" w:rsidRDefault="00A23D3E" w:rsidP="00A23D3E">
      <w:pPr>
        <w:keepNext/>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Nustatyta, kad sveikų žmonių organizme oktreotidas, kaip ir somatostatinas, slopina:</w:t>
      </w:r>
    </w:p>
    <w:p w14:paraId="139D3128" w14:textId="77777777" w:rsidR="00A23D3E" w:rsidRPr="00A23D3E" w:rsidRDefault="00A23D3E" w:rsidP="00A23D3E">
      <w:pPr>
        <w:widowControl w:val="0"/>
        <w:numPr>
          <w:ilvl w:val="0"/>
          <w:numId w:val="3"/>
        </w:numPr>
        <w:tabs>
          <w:tab w:val="left" w:pos="567"/>
        </w:tabs>
        <w:spacing w:after="0" w:line="240" w:lineRule="auto"/>
        <w:ind w:left="567" w:hanging="567"/>
        <w:rPr>
          <w:rFonts w:ascii="Times New Roman" w:eastAsia="Calibri" w:hAnsi="Times New Roman" w:cs="Times New Roman"/>
        </w:rPr>
      </w:pPr>
      <w:r w:rsidRPr="00A23D3E">
        <w:rPr>
          <w:rFonts w:ascii="Times New Roman" w:eastAsia="Calibri" w:hAnsi="Times New Roman" w:cs="Times New Roman"/>
        </w:rPr>
        <w:t>argininu, fiziniu krūviu ir insulinu sukelta hipoglikemija skatinamą AH sekreciją,</w:t>
      </w:r>
    </w:p>
    <w:p w14:paraId="1073933E" w14:textId="77777777" w:rsidR="00A23D3E" w:rsidRPr="00A23D3E" w:rsidRDefault="00A23D3E" w:rsidP="00A23D3E">
      <w:pPr>
        <w:widowControl w:val="0"/>
        <w:numPr>
          <w:ilvl w:val="0"/>
          <w:numId w:val="3"/>
        </w:numPr>
        <w:tabs>
          <w:tab w:val="left" w:pos="567"/>
        </w:tabs>
        <w:spacing w:after="0" w:line="240" w:lineRule="auto"/>
        <w:ind w:left="567" w:hanging="567"/>
        <w:rPr>
          <w:rFonts w:ascii="Times New Roman" w:eastAsia="Calibri" w:hAnsi="Times New Roman" w:cs="Times New Roman"/>
        </w:rPr>
      </w:pPr>
      <w:r w:rsidRPr="00A23D3E">
        <w:rPr>
          <w:rFonts w:ascii="Times New Roman" w:eastAsia="Calibri" w:hAnsi="Times New Roman" w:cs="Times New Roman"/>
        </w:rPr>
        <w:t>insulino, gliukagono, gastrino, kitų skrandžio, žarnų ir kasos endokrininės sistemos peptidų išsiskyrimą pavalgius bei argininu skatinamą insulino ir gliukagono išsiskyrimą,</w:t>
      </w:r>
    </w:p>
    <w:p w14:paraId="3CE45E7B" w14:textId="77777777" w:rsidR="00A23D3E" w:rsidRPr="00A23D3E" w:rsidRDefault="00A23D3E" w:rsidP="00A23D3E">
      <w:pPr>
        <w:widowControl w:val="0"/>
        <w:numPr>
          <w:ilvl w:val="0"/>
          <w:numId w:val="3"/>
        </w:numPr>
        <w:tabs>
          <w:tab w:val="left" w:pos="567"/>
        </w:tabs>
        <w:spacing w:after="0" w:line="240" w:lineRule="auto"/>
        <w:ind w:left="567" w:hanging="567"/>
        <w:rPr>
          <w:rFonts w:ascii="Times New Roman" w:eastAsia="Calibri" w:hAnsi="Times New Roman" w:cs="Times New Roman"/>
        </w:rPr>
      </w:pPr>
      <w:r w:rsidRPr="00A23D3E">
        <w:rPr>
          <w:rFonts w:ascii="Times New Roman" w:eastAsia="Calibri" w:hAnsi="Times New Roman" w:cs="Times New Roman"/>
        </w:rPr>
        <w:t>tirotropiną atpalaiduojančiu hormonu (TRH) skatinamą tirotropino (TTH) išsiskyrimą.</w:t>
      </w:r>
    </w:p>
    <w:p w14:paraId="20096DED" w14:textId="77777777" w:rsidR="00A23D3E" w:rsidRPr="00A23D3E" w:rsidRDefault="00A23D3E" w:rsidP="00A23D3E">
      <w:pPr>
        <w:widowControl w:val="0"/>
        <w:spacing w:after="0" w:line="240" w:lineRule="auto"/>
        <w:rPr>
          <w:rFonts w:ascii="Times New Roman" w:eastAsia="Calibri" w:hAnsi="Times New Roman" w:cs="Times New Roman"/>
        </w:rPr>
      </w:pPr>
    </w:p>
    <w:p w14:paraId="24CADD63"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Oktreotidas, skirtingai negu somatostatinas, AH sekreciją slopina labiau negu insulino, o po jo vartojimo nebūna atoveiksmio sukelto hormonų (t. y. AH akromegalija sergantiems pacientams) sekrecijos padidėjimo.</w:t>
      </w:r>
    </w:p>
    <w:p w14:paraId="159BF2F6" w14:textId="77777777" w:rsidR="00A23D3E" w:rsidRPr="00A23D3E" w:rsidRDefault="00A23D3E" w:rsidP="00A23D3E">
      <w:pPr>
        <w:widowControl w:val="0"/>
        <w:spacing w:after="0" w:line="240" w:lineRule="auto"/>
        <w:rPr>
          <w:rFonts w:ascii="Times New Roman" w:eastAsia="Calibri" w:hAnsi="Times New Roman" w:cs="Times New Roman"/>
        </w:rPr>
      </w:pPr>
    </w:p>
    <w:p w14:paraId="1AC49299"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Akromegalija sergantiems pacientams vartojant Sandostatin LAR, t. y., tokią farmacinę oktreotido formą, kuri tinkama skirti kartotinai kas 4 savaites, daugelio pacientų serume susidaro pastovi gydomoji oktreotido koncentracija, todėl pastoviai mažinama AH koncentracija ir normalizuojamas IAF</w:t>
      </w:r>
      <w:r w:rsidRPr="00A23D3E">
        <w:rPr>
          <w:rFonts w:ascii="Times New Roman" w:eastAsia="Calibri" w:hAnsi="Times New Roman" w:cs="Times New Roman"/>
        </w:rPr>
        <w:noBreakHyphen/>
        <w:t>1 kiekis serume. Daugumai pacientų vartojant Sandostatin LAR ženkliai sumažėjo klinikinių ligos simptomų, pvz., galvos skausmas, prakaitavimas, parestezijos, nuovargis, osteoartralgija ir riešo kanalo sindromas. Reikšmingai daliai (50 %) anksčiau negydytų pacientų, sergančių akromegalija ir AH sekretuojančia hipofizės adenoma, kuriems buvo paskirtas gydymas Sandostatin LAR, &gt; 20 % sumažėjo naviko tūris.</w:t>
      </w:r>
    </w:p>
    <w:p w14:paraId="0238B926" w14:textId="77777777" w:rsidR="00A23D3E" w:rsidRPr="00A23D3E" w:rsidRDefault="00A23D3E" w:rsidP="00A23D3E">
      <w:pPr>
        <w:widowControl w:val="0"/>
        <w:spacing w:after="0" w:line="240" w:lineRule="auto"/>
        <w:rPr>
          <w:rFonts w:ascii="Times New Roman" w:eastAsia="Calibri" w:hAnsi="Times New Roman" w:cs="Times New Roman"/>
        </w:rPr>
      </w:pPr>
    </w:p>
    <w:p w14:paraId="552397CF" w14:textId="77777777" w:rsidR="00A23D3E" w:rsidRPr="00A23D3E" w:rsidRDefault="00A23D3E" w:rsidP="00A23D3E">
      <w:pPr>
        <w:widowControl w:val="0"/>
        <w:spacing w:after="0" w:line="240" w:lineRule="auto"/>
        <w:rPr>
          <w:rFonts w:ascii="Times New Roman" w:eastAsia="Calibri" w:hAnsi="Times New Roman" w:cs="Times New Roman"/>
        </w:rPr>
      </w:pPr>
      <w:r w:rsidRPr="00A23D3E">
        <w:rPr>
          <w:rFonts w:ascii="Times New Roman" w:eastAsia="Calibri" w:hAnsi="Times New Roman" w:cs="Times New Roman"/>
        </w:rPr>
        <w:t>Gauta pranešimų, kad atskiriems AH sekretuojančia hipofizės adenoma sergantiems ir Sandostatin LAR vartojusiems pacientams naviko tūris sumažėjo (iki operacijos). Tačiau operacijos nereikėtų atidėti.</w:t>
      </w:r>
    </w:p>
    <w:p w14:paraId="5183B219" w14:textId="77777777" w:rsidR="00A23D3E" w:rsidRPr="00A23D3E" w:rsidRDefault="00A23D3E" w:rsidP="00A23D3E">
      <w:pPr>
        <w:spacing w:after="0" w:line="240" w:lineRule="auto"/>
        <w:rPr>
          <w:rFonts w:ascii="Times New Roman" w:eastAsia="Calibri" w:hAnsi="Times New Roman" w:cs="Times New Roman"/>
        </w:rPr>
      </w:pPr>
    </w:p>
    <w:p w14:paraId="44544804"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lastRenderedPageBreak/>
        <w:t>Sandostatin LAR užtikrina ilgalaikę ligos simptomų kontrolę pacientams, kuriems yra hormonus produkuojančių skrandžio, žarnyno, kasos endokrininės sistemos navikų. Oktreotido poveikis priklauso nuo skirtingų šių navikų tipų, kaip nurodyta toliau.</w:t>
      </w:r>
    </w:p>
    <w:p w14:paraId="705BA09C" w14:textId="77777777" w:rsidR="00A23D3E" w:rsidRPr="00A23D3E" w:rsidRDefault="00A23D3E" w:rsidP="00A23D3E">
      <w:pPr>
        <w:spacing w:after="0" w:line="240" w:lineRule="auto"/>
        <w:rPr>
          <w:rFonts w:ascii="Times New Roman" w:eastAsia="Calibri" w:hAnsi="Times New Roman" w:cs="Times New Roman"/>
        </w:rPr>
      </w:pPr>
    </w:p>
    <w:p w14:paraId="062D74BD"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Karcinoidiniai navikai</w:t>
      </w:r>
    </w:p>
    <w:p w14:paraId="18E43813" w14:textId="77777777" w:rsidR="00A23D3E" w:rsidRPr="00A23D3E" w:rsidRDefault="00A23D3E" w:rsidP="00A23D3E">
      <w:pPr>
        <w:keepNext/>
        <w:spacing w:after="0" w:line="240" w:lineRule="auto"/>
        <w:rPr>
          <w:rFonts w:ascii="Times New Roman" w:eastAsia="Calibri" w:hAnsi="Times New Roman" w:cs="Times New Roman"/>
        </w:rPr>
      </w:pPr>
    </w:p>
    <w:p w14:paraId="0647FA56"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Vartojant oktreotido, gali palengvėti simptomai, ypač karščio pylimas ir viduriavimas. Daugeliu atvejų šis poveikis pasireiškia kartu su sumažėjusia serotonino koncentracija plazmoje ir sumažėjusiu 5</w:t>
      </w:r>
      <w:r w:rsidRPr="00A23D3E">
        <w:rPr>
          <w:rFonts w:ascii="Times New Roman" w:eastAsia="Calibri" w:hAnsi="Times New Roman" w:cs="Times New Roman"/>
        </w:rPr>
        <w:noBreakHyphen/>
        <w:t>hidroksiindolacto rūgšties išsiskyrimu su šlapimu.</w:t>
      </w:r>
    </w:p>
    <w:p w14:paraId="125B6905" w14:textId="77777777" w:rsidR="00A23D3E" w:rsidRPr="00A23D3E" w:rsidRDefault="00A23D3E" w:rsidP="00A23D3E">
      <w:pPr>
        <w:spacing w:after="0" w:line="240" w:lineRule="auto"/>
        <w:rPr>
          <w:rFonts w:ascii="Times New Roman" w:eastAsia="Calibri" w:hAnsi="Times New Roman" w:cs="Times New Roman"/>
        </w:rPr>
      </w:pPr>
    </w:p>
    <w:p w14:paraId="57D8ABFF"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VIP</w:t>
      </w:r>
      <w:r w:rsidRPr="00A23D3E">
        <w:rPr>
          <w:rFonts w:ascii="Times New Roman" w:eastAsia="Calibri" w:hAnsi="Times New Roman" w:cs="Times New Roman"/>
          <w:u w:val="single"/>
        </w:rPr>
        <w:noBreakHyphen/>
        <w:t>omos</w:t>
      </w:r>
    </w:p>
    <w:p w14:paraId="2E4B44E8" w14:textId="77777777" w:rsidR="00A23D3E" w:rsidRPr="00A23D3E" w:rsidRDefault="00A23D3E" w:rsidP="00A23D3E">
      <w:pPr>
        <w:keepNext/>
        <w:spacing w:after="0" w:line="240" w:lineRule="auto"/>
        <w:rPr>
          <w:rFonts w:ascii="Times New Roman" w:eastAsia="Calibri" w:hAnsi="Times New Roman" w:cs="Times New Roman"/>
        </w:rPr>
      </w:pPr>
    </w:p>
    <w:p w14:paraId="189F4802"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Biocheminė šių navikų savybė yra padidėjusi vazoaktyvaus žarnų peptido (angl., </w:t>
      </w:r>
      <w:r w:rsidRPr="00A23D3E">
        <w:rPr>
          <w:rFonts w:ascii="Times New Roman" w:eastAsia="Calibri" w:hAnsi="Times New Roman" w:cs="Times New Roman"/>
          <w:i/>
        </w:rPr>
        <w:t>vasoactive intestinal peptide – VIP</w:t>
      </w:r>
      <w:r w:rsidRPr="00A23D3E">
        <w:rPr>
          <w:rFonts w:ascii="Times New Roman" w:eastAsia="Calibri" w:hAnsi="Times New Roman" w:cs="Times New Roman"/>
        </w:rPr>
        <w:t>) sekrecija. Daugeliu atvejų pacientams vartojant oktreotido, sumažėja šiai ligai būdingas sekrecinis viduriavimas ir dėl to pagerėja gyvenimo kokybė. Taip pat pagerėja dėl viduriavimo sutrikusi elektrolitų pusiausvyra, pvz., hipokalemija, todėl pacientui nereikia skirti geriamųjų ar parenteriniu būdu vartojamų skysčių bei elektrolitų papildų. Kompiuterinės tomografijos duomenimis, kai kuriems pacientams lėtėja arba sustoja naviko progresavimas arba navikas, ypač jo metastazės kepenyse, net sumažėja. Pagerėjusi klinikinė būklė paprastai būna susijusi su sumažėjusia VIP koncentracija plazmoje, kuri net gali tapti normalia.</w:t>
      </w:r>
    </w:p>
    <w:p w14:paraId="319A3265" w14:textId="77777777" w:rsidR="00A23D3E" w:rsidRPr="00A23D3E" w:rsidRDefault="00A23D3E" w:rsidP="00A23D3E">
      <w:pPr>
        <w:spacing w:after="0" w:line="240" w:lineRule="auto"/>
        <w:rPr>
          <w:rFonts w:ascii="Times New Roman" w:eastAsia="Calibri" w:hAnsi="Times New Roman" w:cs="Times New Roman"/>
        </w:rPr>
      </w:pPr>
    </w:p>
    <w:p w14:paraId="038C12FA"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Gliukagonomos</w:t>
      </w:r>
    </w:p>
    <w:p w14:paraId="2FC0C2D5" w14:textId="77777777" w:rsidR="00A23D3E" w:rsidRPr="00A23D3E" w:rsidRDefault="00A23D3E" w:rsidP="00A23D3E">
      <w:pPr>
        <w:keepNext/>
        <w:spacing w:after="0" w:line="240" w:lineRule="auto"/>
        <w:rPr>
          <w:rFonts w:ascii="Times New Roman" w:eastAsia="Calibri" w:hAnsi="Times New Roman" w:cs="Times New Roman"/>
        </w:rPr>
      </w:pPr>
    </w:p>
    <w:p w14:paraId="10FF4032"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Vartojant oktreotido, daugeliu atvejų reikšmingai sumažėja šiai būklei būdingas nekrolizinis migruojantis išbėrimas. Oktreotido poveikis nesunkiam cukriniam diabetui, kuris yra gana dažnas, nėra ryškus, ir paprastai dėl to insulino ir gliukozės kiekį mažinančių vaistinių preparatų poreikis pacientui nesumažėja. Šiems pacientams oktreotidas sumažina viduriavimą, todėl padidėja jų kūno svoris. Nors vartojant oktreotido, dažnai iškart sumažėja gliukagono koncentracija plazmoje, tačiau toks pokytis paprastai neišlieka vaistinio preparato vartojant ilgai, tačiau išlieka simptominis būklės pagerėjimas.</w:t>
      </w:r>
    </w:p>
    <w:p w14:paraId="2B4E7756" w14:textId="77777777" w:rsidR="00A23D3E" w:rsidRPr="00A23D3E" w:rsidRDefault="00A23D3E" w:rsidP="00A23D3E">
      <w:pPr>
        <w:spacing w:after="0" w:line="240" w:lineRule="auto"/>
        <w:rPr>
          <w:rFonts w:ascii="Times New Roman" w:eastAsia="Calibri" w:hAnsi="Times New Roman" w:cs="Times New Roman"/>
        </w:rPr>
      </w:pPr>
    </w:p>
    <w:p w14:paraId="7C44E86B"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Gastrinomos ir Zollinger</w:t>
      </w:r>
      <w:r w:rsidRPr="00A23D3E">
        <w:rPr>
          <w:rFonts w:ascii="Times New Roman" w:eastAsia="Calibri" w:hAnsi="Times New Roman" w:cs="Times New Roman"/>
          <w:u w:val="single"/>
        </w:rPr>
        <w:noBreakHyphen/>
        <w:t>Ellison sindromas</w:t>
      </w:r>
    </w:p>
    <w:p w14:paraId="7A954A54" w14:textId="77777777" w:rsidR="00A23D3E" w:rsidRPr="00A23D3E" w:rsidRDefault="00A23D3E" w:rsidP="00A23D3E">
      <w:pPr>
        <w:keepNext/>
        <w:spacing w:after="0" w:line="240" w:lineRule="auto"/>
        <w:rPr>
          <w:rFonts w:ascii="Times New Roman" w:eastAsia="Calibri" w:hAnsi="Times New Roman" w:cs="Times New Roman"/>
        </w:rPr>
      </w:pPr>
    </w:p>
    <w:p w14:paraId="4C51634A"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Nors skiriant protonų siurblio inhibitorių ar H2 receptorių blokatorių dažniausiai galima kontroliuoti skrandžio rūgšties hipersekreciją, tačiau šie preparatai gali pakankamai nesumažinti viduriavimo, kuris taip pat yra reikšmingas simptomas. Skiriant Sandostatin LAR, gali labiau sumažėti skrandžio rūgšties hipersekrecija ir palengvėti ligos simptomai, įskaitant viduriavimą, kadangi šis vaistinis preparatas kai kuriems pacientams mažina padidėjusią gastrito koncentraciją.</w:t>
      </w:r>
    </w:p>
    <w:p w14:paraId="695AE193" w14:textId="77777777" w:rsidR="00A23D3E" w:rsidRPr="00A23D3E" w:rsidRDefault="00A23D3E" w:rsidP="00A23D3E">
      <w:pPr>
        <w:spacing w:after="0" w:line="240" w:lineRule="auto"/>
        <w:rPr>
          <w:rFonts w:ascii="Times New Roman" w:eastAsia="Calibri" w:hAnsi="Times New Roman" w:cs="Times New Roman"/>
        </w:rPr>
      </w:pPr>
    </w:p>
    <w:p w14:paraId="5E8CC07B"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Insulinomos</w:t>
      </w:r>
    </w:p>
    <w:p w14:paraId="58C12718" w14:textId="77777777" w:rsidR="00A23D3E" w:rsidRPr="00A23D3E" w:rsidRDefault="00A23D3E" w:rsidP="00A23D3E">
      <w:pPr>
        <w:keepNext/>
        <w:spacing w:after="0" w:line="240" w:lineRule="auto"/>
        <w:rPr>
          <w:rFonts w:ascii="Times New Roman" w:eastAsia="Calibri" w:hAnsi="Times New Roman" w:cs="Times New Roman"/>
        </w:rPr>
      </w:pPr>
    </w:p>
    <w:p w14:paraId="05059997"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Vartojant oktreotido, sumažėja cirkuliuojančio imunoreaktyvaus insulino koncentracija. Pacientams, kuriems naviką galima operuoti, paskyrus oktreotido, šis vaistinis preparatas gali padėti atstatyti ir išlaikyti normoglikemiją iki operacijos. Pacientų, kuriems gerybinio ar piktybinio naviko pašalinti neįmanoma, gliukozės kiekio kontrolė kraujyje gali pagerėti, nors cirkuliuojančio insulino kiekis ilgam nesumažėja.</w:t>
      </w:r>
    </w:p>
    <w:p w14:paraId="42E1EF7A" w14:textId="77777777" w:rsidR="00A23D3E" w:rsidRPr="00A23D3E" w:rsidRDefault="00A23D3E" w:rsidP="00A23D3E">
      <w:pPr>
        <w:spacing w:after="0" w:line="240" w:lineRule="auto"/>
        <w:rPr>
          <w:rFonts w:ascii="Times New Roman" w:eastAsia="Calibri" w:hAnsi="Times New Roman" w:cs="Times New Roman"/>
        </w:rPr>
      </w:pPr>
    </w:p>
    <w:p w14:paraId="70ACE8F2" w14:textId="77777777" w:rsidR="00A23D3E" w:rsidRPr="00A23D3E" w:rsidRDefault="00A23D3E" w:rsidP="00A23D3E">
      <w:pPr>
        <w:keepNext/>
        <w:spacing w:after="0" w:line="240" w:lineRule="auto"/>
        <w:rPr>
          <w:rFonts w:ascii="Times New Roman" w:eastAsia="Calibri" w:hAnsi="Times New Roman" w:cs="Times New Roman"/>
          <w:u w:val="single"/>
        </w:rPr>
      </w:pPr>
      <w:r w:rsidRPr="00A23D3E">
        <w:rPr>
          <w:rFonts w:ascii="Times New Roman" w:eastAsia="Calibri" w:hAnsi="Times New Roman" w:cs="Times New Roman"/>
          <w:u w:val="single"/>
        </w:rPr>
        <w:t>Išplitę neuroendokrininiai virškinimo trakto navikai arba nežinomos pirminės lokalizacijos neuroendokrininiai navikai, kai buvo atmesta kita nei virškinimo trakto kilmė</w:t>
      </w:r>
    </w:p>
    <w:p w14:paraId="34716CA6" w14:textId="77777777" w:rsidR="00A23D3E" w:rsidRPr="00A23D3E" w:rsidRDefault="00A23D3E" w:rsidP="00A23D3E">
      <w:pPr>
        <w:keepNext/>
        <w:spacing w:after="0" w:line="240" w:lineRule="auto"/>
        <w:rPr>
          <w:rFonts w:ascii="Times New Roman" w:eastAsia="Calibri" w:hAnsi="Times New Roman" w:cs="Times New Roman"/>
        </w:rPr>
      </w:pPr>
    </w:p>
    <w:p w14:paraId="7E61E2F5"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III fazės, atsitiktinių imčių, dvigubai koduotu būdu atlikto, placebu kontroliuojamo klinikinio tyrimo (PROMID) duomenimis nustatyta, kad Sandostatin LAR slopina naviko augimą pacientams, sergantiems išplitusiu virškinimo trakto neuroendokrininiu naviku.</w:t>
      </w:r>
    </w:p>
    <w:p w14:paraId="0C4CDC39" w14:textId="77777777" w:rsidR="00A23D3E" w:rsidRPr="00A23D3E" w:rsidRDefault="00A23D3E" w:rsidP="00A23D3E">
      <w:pPr>
        <w:spacing w:after="0" w:line="240" w:lineRule="auto"/>
        <w:rPr>
          <w:rFonts w:ascii="Times New Roman" w:eastAsia="Calibri" w:hAnsi="Times New Roman" w:cs="Times New Roman"/>
        </w:rPr>
      </w:pPr>
    </w:p>
    <w:p w14:paraId="7BA93D10"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Į tyrimą atsitiktiniu būdu buvo įtraukti 85 pacientai, kuriems buvo skiriamas gydymas arba Sandostatin LAR po 30 mg kas 4 savaites (n = 42), arba placebu (n = 43) 18 mėnesių laikotarpiu arba kol navikas pradėjo progresuoti, arba iki mirties.</w:t>
      </w:r>
    </w:p>
    <w:p w14:paraId="26987E28" w14:textId="77777777" w:rsidR="00A23D3E" w:rsidRPr="00A23D3E" w:rsidRDefault="00A23D3E" w:rsidP="00A23D3E">
      <w:pPr>
        <w:spacing w:after="0" w:line="240" w:lineRule="auto"/>
        <w:rPr>
          <w:rFonts w:ascii="Times New Roman" w:eastAsia="Calibri" w:hAnsi="Times New Roman" w:cs="Times New Roman"/>
        </w:rPr>
      </w:pPr>
    </w:p>
    <w:p w14:paraId="432C9B60"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Svarbiausi įtraukimo į tyrimą kriterijai buvo tokie: pacientai, kuriems anksčiau nebuvo skirtas joks gydymas; histologiškai patvirtinta diagnozė; vietiškai išplitęs neoperuotinas arba metastazavęs gerai diferencijuotas navikas; funkciškai aktyvus ar neaktyvus neuroendokrininis navikas arba karcinoma; pirminis navikas lokalizuotas virškinimo trakte arba pirminė jo lokalizacija nežinoma, kai manoma, jog navikas kilęs iš virškinimo trakto, ir kai paneigta pirminė lokalizacija kasoje, krūtinės ląstoje ar kur nors kitur.</w:t>
      </w:r>
    </w:p>
    <w:p w14:paraId="2151795C" w14:textId="77777777" w:rsidR="00A23D3E" w:rsidRPr="00A23D3E" w:rsidRDefault="00A23D3E" w:rsidP="00A23D3E">
      <w:pPr>
        <w:spacing w:after="0" w:line="240" w:lineRule="auto"/>
        <w:rPr>
          <w:rFonts w:ascii="Times New Roman" w:eastAsia="Calibri" w:hAnsi="Times New Roman" w:cs="Times New Roman"/>
        </w:rPr>
      </w:pPr>
    </w:p>
    <w:p w14:paraId="4DA97CD6"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Pirminė vertinamoji baigtis buvo laikas iki naviko progresavimo arba iki su naviku susijusios mirties (angl., </w:t>
      </w:r>
      <w:r w:rsidRPr="00A23D3E">
        <w:rPr>
          <w:rFonts w:ascii="Times New Roman" w:eastAsia="Calibri" w:hAnsi="Times New Roman" w:cs="Times New Roman"/>
          <w:i/>
        </w:rPr>
        <w:t>time to tumour progression, TTP</w:t>
      </w:r>
      <w:r w:rsidRPr="00A23D3E">
        <w:rPr>
          <w:rFonts w:ascii="Times New Roman" w:eastAsia="Calibri" w:hAnsi="Times New Roman" w:cs="Times New Roman"/>
        </w:rPr>
        <w:t>).</w:t>
      </w:r>
    </w:p>
    <w:p w14:paraId="7A270357" w14:textId="77777777" w:rsidR="00A23D3E" w:rsidRPr="00A23D3E" w:rsidRDefault="00A23D3E" w:rsidP="00A23D3E">
      <w:pPr>
        <w:spacing w:after="0" w:line="240" w:lineRule="auto"/>
        <w:rPr>
          <w:rFonts w:ascii="Times New Roman" w:eastAsia="Calibri" w:hAnsi="Times New Roman" w:cs="Times New Roman"/>
        </w:rPr>
      </w:pPr>
    </w:p>
    <w:p w14:paraId="45B82C7F"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Analizuojant numatytų gydyti pacientų populiaciją (angl., </w:t>
      </w:r>
      <w:r w:rsidRPr="00A23D3E">
        <w:rPr>
          <w:rFonts w:ascii="Times New Roman" w:eastAsia="Calibri" w:hAnsi="Times New Roman" w:cs="Times New Roman"/>
          <w:i/>
        </w:rPr>
        <w:t>intent</w:t>
      </w:r>
      <w:r w:rsidRPr="00A23D3E">
        <w:rPr>
          <w:rFonts w:ascii="Times New Roman" w:eastAsia="Calibri" w:hAnsi="Times New Roman" w:cs="Times New Roman"/>
          <w:i/>
        </w:rPr>
        <w:noBreakHyphen/>
        <w:t>to</w:t>
      </w:r>
      <w:r w:rsidRPr="00A23D3E">
        <w:rPr>
          <w:rFonts w:ascii="Times New Roman" w:eastAsia="Calibri" w:hAnsi="Times New Roman" w:cs="Times New Roman"/>
          <w:i/>
        </w:rPr>
        <w:noBreakHyphen/>
        <w:t>treat population, ITT</w:t>
      </w:r>
      <w:r w:rsidRPr="00A23D3E">
        <w:rPr>
          <w:rFonts w:ascii="Times New Roman" w:eastAsia="Calibri" w:hAnsi="Times New Roman" w:cs="Times New Roman"/>
        </w:rPr>
        <w:t>), t. y., visus randomizuotus pacientus, Sandostatin LAR vartojusių pacientų ir placebo grupėse nustatyta, atitinkamai, 26 ir 41 naviko progresavimo arba su naviku susijusios mirties atvejai (RS = 0,32; 95 % PI, nuo 0,19 iki 0,55; p = 0,000015).</w:t>
      </w:r>
    </w:p>
    <w:p w14:paraId="458FE2C5" w14:textId="77777777" w:rsidR="00A23D3E" w:rsidRPr="00A23D3E" w:rsidRDefault="00A23D3E" w:rsidP="00A23D3E">
      <w:pPr>
        <w:spacing w:after="0" w:line="240" w:lineRule="auto"/>
        <w:rPr>
          <w:rFonts w:ascii="Times New Roman" w:eastAsia="Calibri" w:hAnsi="Times New Roman" w:cs="Times New Roman"/>
        </w:rPr>
      </w:pPr>
    </w:p>
    <w:p w14:paraId="3BFB8937"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rPr>
        <w:t xml:space="preserve">Analizuojant sumažintą ITT populiaciją (angl., </w:t>
      </w:r>
      <w:r w:rsidRPr="00A23D3E">
        <w:rPr>
          <w:rFonts w:ascii="Times New Roman" w:eastAsia="Calibri" w:hAnsi="Times New Roman" w:cs="Times New Roman"/>
          <w:i/>
        </w:rPr>
        <w:t>conservative ITT, cITT</w:t>
      </w:r>
      <w:r w:rsidRPr="00A23D3E">
        <w:rPr>
          <w:rFonts w:ascii="Times New Roman" w:eastAsia="Calibri" w:hAnsi="Times New Roman" w:cs="Times New Roman"/>
        </w:rPr>
        <w:t xml:space="preserve">), kai 3 pacientai randomizacijos metu buvo pašalinti, Sandostatin LAR vartojusiųjų ir placebo grupėse nustatyta, atitinkamai, 26 ir 40 naviko progresavimo arba su naviku susijusios mirties atvejų (RS = 0,34; 95 % PI, nuo 0,20 iki 0,59; p = 0,000072; žr. 1 pav.). </w:t>
      </w:r>
      <w:r w:rsidRPr="00A23D3E">
        <w:rPr>
          <w:rFonts w:ascii="Times New Roman" w:eastAsia="Calibri" w:hAnsi="Times New Roman" w:cs="Times New Roman"/>
          <w:lang w:val="it-IT"/>
        </w:rPr>
        <w:t>Laiko iki naviko progresavimo mediana buvo 14,3 mėnesio (95 % PI, nuo 11,0 iki 28,8 mėn.) Sandostatin LAR vartojusiųjų grupėje ir 6,0 mėnesio (95 % PI, nuo 3,7 iki 9,4 mėn.) placebo grupėje.</w:t>
      </w:r>
    </w:p>
    <w:p w14:paraId="3BCBE12A" w14:textId="77777777" w:rsidR="00A23D3E" w:rsidRPr="00A23D3E" w:rsidRDefault="00A23D3E" w:rsidP="00A23D3E">
      <w:pPr>
        <w:spacing w:after="0" w:line="240" w:lineRule="auto"/>
        <w:rPr>
          <w:rFonts w:ascii="Times New Roman" w:eastAsia="Calibri" w:hAnsi="Times New Roman" w:cs="Times New Roman"/>
          <w:lang w:val="it-IT"/>
        </w:rPr>
      </w:pPr>
    </w:p>
    <w:p w14:paraId="1789EE76"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 xml:space="preserve">Analizuojant tyrimo protokolo reikalavimus atitikusių pacientų populiaciją (angl., </w:t>
      </w:r>
      <w:r w:rsidRPr="00A23D3E">
        <w:rPr>
          <w:rFonts w:ascii="Times New Roman" w:eastAsia="Calibri" w:hAnsi="Times New Roman" w:cs="Times New Roman"/>
          <w:i/>
          <w:lang w:val="it-IT"/>
        </w:rPr>
        <w:t>per</w:t>
      </w:r>
      <w:r w:rsidRPr="00A23D3E">
        <w:rPr>
          <w:rFonts w:ascii="Times New Roman" w:eastAsia="Calibri" w:hAnsi="Times New Roman" w:cs="Times New Roman"/>
          <w:i/>
          <w:lang w:val="it-IT"/>
        </w:rPr>
        <w:noBreakHyphen/>
        <w:t>protocol population, PP</w:t>
      </w:r>
      <w:r w:rsidRPr="00A23D3E">
        <w:rPr>
          <w:rFonts w:ascii="Times New Roman" w:eastAsia="Calibri" w:hAnsi="Times New Roman" w:cs="Times New Roman"/>
          <w:lang w:val="it-IT"/>
        </w:rPr>
        <w:t>), kai dar keletas pacientų buvo pašalinti iš tyrimo gydymo tiriamaisiais preparatais pabaigoje, naviko progresavimo arba su naviku susijusios mirties atvejų nustatyta 19 Sandostatin LAR vartojusių pacientų ir 38 placebo grupės pacientams (RS = 0,24; 95 % PI, nuo 0,13 iki 0,45; p = 0,0000036).</w:t>
      </w:r>
    </w:p>
    <w:p w14:paraId="218DF56B" w14:textId="77777777" w:rsidR="00A23D3E" w:rsidRPr="00A23D3E" w:rsidRDefault="00A23D3E" w:rsidP="00A23D3E">
      <w:pPr>
        <w:keepNext/>
        <w:keepLines/>
        <w:spacing w:after="0" w:line="240" w:lineRule="auto"/>
        <w:outlineLvl w:val="6"/>
        <w:rPr>
          <w:rFonts w:ascii="Times New Roman" w:eastAsia="Calibri" w:hAnsi="Times New Roman" w:cs="Times New Roman"/>
          <w:b/>
          <w:lang w:val="it-IT"/>
        </w:rPr>
      </w:pPr>
    </w:p>
    <w:p w14:paraId="5E0CC776" w14:textId="77777777" w:rsidR="00A23D3E" w:rsidRPr="00A23D3E" w:rsidRDefault="00A23D3E" w:rsidP="00A23D3E">
      <w:pPr>
        <w:keepNext/>
        <w:keepLines/>
        <w:spacing w:after="0" w:line="240" w:lineRule="auto"/>
        <w:ind w:left="1134" w:hanging="1134"/>
        <w:outlineLvl w:val="6"/>
        <w:rPr>
          <w:rFonts w:ascii="Times New Roman" w:eastAsia="Calibri" w:hAnsi="Times New Roman" w:cs="Times New Roman"/>
          <w:lang w:val="it-IT"/>
        </w:rPr>
      </w:pPr>
      <w:r w:rsidRPr="00A23D3E">
        <w:rPr>
          <w:rFonts w:ascii="Times New Roman" w:eastAsia="Calibri" w:hAnsi="Times New Roman" w:cs="Times New Roman"/>
          <w:b/>
          <w:lang w:val="it-IT"/>
        </w:rPr>
        <w:t>1 pav:</w:t>
      </w:r>
      <w:r w:rsidRPr="00A23D3E">
        <w:rPr>
          <w:rFonts w:ascii="Times New Roman" w:eastAsia="Calibri" w:hAnsi="Times New Roman" w:cs="Times New Roman"/>
          <w:b/>
          <w:lang w:val="it-IT"/>
        </w:rPr>
        <w:tab/>
        <w:t>Kaplan-Meier būdu įvertinta TTP rodiklio reikšmė, lyginant Sandostatin LAR vartojusiųjų ir placebo grupes (sumažinta ITT populiacija)</w:t>
      </w:r>
    </w:p>
    <w:p w14:paraId="2B4CDF8C" w14:textId="77777777" w:rsidR="00A23D3E" w:rsidRPr="00A23D3E" w:rsidRDefault="00A23D3E" w:rsidP="00A23D3E">
      <w:pPr>
        <w:spacing w:after="0" w:line="240" w:lineRule="auto"/>
        <w:rPr>
          <w:rFonts w:ascii="Times New Roman" w:eastAsia="Calibri" w:hAnsi="Times New Roman" w:cs="Times New Roman"/>
          <w:lang w:val="it-IT"/>
        </w:rPr>
      </w:pPr>
    </w:p>
    <w:p w14:paraId="3F28C3FE" w14:textId="77777777" w:rsidR="00A23D3E" w:rsidRPr="00A23D3E" w:rsidRDefault="00A23D3E" w:rsidP="00A23D3E">
      <w:pPr>
        <w:widowControl w:val="0"/>
        <w:spacing w:after="0" w:line="240" w:lineRule="auto"/>
        <w:ind w:left="1134" w:hanging="1134"/>
        <w:outlineLvl w:val="6"/>
        <w:rPr>
          <w:rFonts w:ascii="Times New Roman" w:eastAsia="Calibri" w:hAnsi="Times New Roman" w:cs="Times New Roman"/>
          <w:lang w:val="it-IT"/>
        </w:rPr>
      </w:pPr>
    </w:p>
    <w:p w14:paraId="19F3C1B7" w14:textId="77777777" w:rsidR="00A23D3E" w:rsidRPr="00A23D3E" w:rsidRDefault="00A23D3E" w:rsidP="00A23D3E">
      <w:pPr>
        <w:keepNext/>
        <w:keepLines/>
        <w:spacing w:after="0" w:line="240" w:lineRule="auto"/>
        <w:ind w:left="1134" w:hanging="1134"/>
        <w:outlineLvl w:val="6"/>
        <w:rPr>
          <w:rFonts w:ascii="Times New Roman" w:eastAsia="Calibri" w:hAnsi="Times New Roman" w:cs="Times New Roman"/>
          <w:b/>
          <w:lang w:val="it-IT"/>
        </w:rPr>
      </w:pPr>
      <w:r w:rsidRPr="00A23D3E">
        <w:rPr>
          <w:rFonts w:ascii="Times New Roman" w:eastAsia="Calibri" w:hAnsi="Times New Roman" w:cs="Times New Roman"/>
          <w:b/>
          <w:lang w:val="it-IT"/>
        </w:rPr>
        <w:t>3 lentelė.</w:t>
      </w:r>
      <w:r w:rsidRPr="00A23D3E">
        <w:rPr>
          <w:rFonts w:ascii="Times New Roman" w:eastAsia="Calibri" w:hAnsi="Times New Roman" w:cs="Times New Roman"/>
          <w:b/>
          <w:lang w:val="it-IT"/>
        </w:rPr>
        <w:tab/>
        <w:t>TTP rodiklio reikšmės pagal analizuotas tiriamųjų asmenų populiacijas</w:t>
      </w:r>
    </w:p>
    <w:p w14:paraId="375B462C" w14:textId="77777777" w:rsidR="00A23D3E" w:rsidRPr="00A23D3E" w:rsidRDefault="00A23D3E" w:rsidP="00A23D3E">
      <w:pPr>
        <w:keepNext/>
        <w:keepLines/>
        <w:spacing w:after="0" w:line="240" w:lineRule="auto"/>
        <w:ind w:left="1134" w:hanging="1134"/>
        <w:outlineLvl w:val="6"/>
        <w:rPr>
          <w:rFonts w:ascii="Times New Roman" w:eastAsia="Calibri" w:hAnsi="Times New Roman" w:cs="Times New Roman"/>
          <w:lang w:val="it-IT"/>
        </w:rPr>
      </w:pPr>
      <w:r w:rsidRPr="00A23D3E">
        <w:rPr>
          <w:rFonts w:ascii="Calibri" w:eastAsia="Calibri" w:hAnsi="Calibri" w:cs="Times New Roman"/>
          <w:noProof/>
          <w:lang w:eastAsia="lt-LT"/>
        </w:rPr>
        <mc:AlternateContent>
          <mc:Choice Requires="wps">
            <w:drawing>
              <wp:anchor distT="0" distB="0" distL="114300" distR="114300" simplePos="0" relativeHeight="251659264" behindDoc="0" locked="0" layoutInCell="1" allowOverlap="1" wp14:anchorId="65C39A68" wp14:editId="1C0764C5">
                <wp:simplePos x="0" y="0"/>
                <wp:positionH relativeFrom="column">
                  <wp:posOffset>6267450</wp:posOffset>
                </wp:positionH>
                <wp:positionV relativeFrom="paragraph">
                  <wp:posOffset>2801620</wp:posOffset>
                </wp:positionV>
                <wp:extent cx="5427980" cy="299720"/>
                <wp:effectExtent l="0" t="0" r="0" b="0"/>
                <wp:wrapNone/>
                <wp:docPr id="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98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56E00D" w14:textId="77777777" w:rsidR="00D32A54" w:rsidRPr="00AD28A5" w:rsidRDefault="00D32A54" w:rsidP="00A23D3E">
                            <w:pPr>
                              <w:rPr>
                                <w:rFonts w:ascii="Times New Roman" w:hAnsi="Times New Roman"/>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C39A68" id="_x0000_t202" coordsize="21600,21600" o:spt="202" path="m,l,21600r21600,l21600,xe">
                <v:stroke joinstyle="miter"/>
                <v:path gradientshapeok="t" o:connecttype="rect"/>
              </v:shapetype>
              <v:shape id="Zone de texte 2" o:spid="_x0000_s1026" type="#_x0000_t202" style="position:absolute;left:0;text-align:left;margin-left:493.5pt;margin-top:220.6pt;width:427.4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" stroked="f">
                <v:textbox inset="0,0,0,0">
                  <w:txbxContent>
                    <w:p w14:paraId="3156E00D" w14:textId="77777777" w:rsidR="00D32A54" w:rsidRPr="00AD28A5" w:rsidRDefault="00D32A54" w:rsidP="00A23D3E">
                      <w:pPr>
                        <w:rPr>
                          <w:rFonts w:ascii="Times New Roman" w:hAnsi="Times New Roman"/>
                          <w:sz w:val="18"/>
                          <w:szCs w:val="18"/>
                        </w:rPr>
                      </w:pPr>
                    </w:p>
                  </w:txbxContent>
                </v:textbox>
              </v:shape>
            </w:pict>
          </mc:Fallback>
        </mc:AlternateConten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701"/>
        <w:gridCol w:w="992"/>
        <w:gridCol w:w="1559"/>
        <w:gridCol w:w="1701"/>
        <w:gridCol w:w="2127"/>
      </w:tblGrid>
      <w:tr w:rsidR="00A23D3E" w:rsidRPr="00A23D3E" w14:paraId="3F84762C" w14:textId="77777777" w:rsidTr="00C931EA">
        <w:trPr>
          <w:trHeight w:val="647"/>
        </w:trPr>
        <w:tc>
          <w:tcPr>
            <w:tcW w:w="709" w:type="dxa"/>
            <w:vMerge w:val="restart"/>
          </w:tcPr>
          <w:p w14:paraId="439FE4C5"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it-IT"/>
              </w:rPr>
            </w:pPr>
          </w:p>
        </w:tc>
        <w:tc>
          <w:tcPr>
            <w:tcW w:w="2693" w:type="dxa"/>
            <w:gridSpan w:val="2"/>
          </w:tcPr>
          <w:p w14:paraId="68182AC9"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TTP atvejai</w:t>
            </w:r>
          </w:p>
        </w:tc>
        <w:tc>
          <w:tcPr>
            <w:tcW w:w="3260" w:type="dxa"/>
            <w:gridSpan w:val="2"/>
            <w:shd w:val="clear" w:color="auto" w:fill="auto"/>
          </w:tcPr>
          <w:p w14:paraId="022E5D54"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TTP mediana, mėn. [95 % PI]</w:t>
            </w:r>
          </w:p>
        </w:tc>
        <w:tc>
          <w:tcPr>
            <w:tcW w:w="2127" w:type="dxa"/>
            <w:vMerge w:val="restart"/>
          </w:tcPr>
          <w:p w14:paraId="47BF201B"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RS [95 % PI] </w:t>
            </w:r>
          </w:p>
          <w:p w14:paraId="0A3F7552"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 reikšmė *</w:t>
            </w:r>
          </w:p>
        </w:tc>
      </w:tr>
      <w:tr w:rsidR="00A23D3E" w:rsidRPr="00A23D3E" w14:paraId="3C6EFB2F" w14:textId="77777777" w:rsidTr="00C931EA">
        <w:trPr>
          <w:trHeight w:val="552"/>
        </w:trPr>
        <w:tc>
          <w:tcPr>
            <w:tcW w:w="709" w:type="dxa"/>
            <w:vMerge/>
          </w:tcPr>
          <w:p w14:paraId="57B65657"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p>
        </w:tc>
        <w:tc>
          <w:tcPr>
            <w:tcW w:w="1701" w:type="dxa"/>
          </w:tcPr>
          <w:p w14:paraId="091B3814"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Sandostatin LAR</w:t>
            </w:r>
          </w:p>
        </w:tc>
        <w:tc>
          <w:tcPr>
            <w:tcW w:w="992" w:type="dxa"/>
          </w:tcPr>
          <w:p w14:paraId="7442FD07"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Placebas</w:t>
            </w:r>
          </w:p>
        </w:tc>
        <w:tc>
          <w:tcPr>
            <w:tcW w:w="1559" w:type="dxa"/>
            <w:shd w:val="clear" w:color="auto" w:fill="auto"/>
          </w:tcPr>
          <w:p w14:paraId="48F1E45D"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Sandostatin LAR</w:t>
            </w:r>
          </w:p>
        </w:tc>
        <w:tc>
          <w:tcPr>
            <w:tcW w:w="1701" w:type="dxa"/>
            <w:shd w:val="clear" w:color="auto" w:fill="auto"/>
          </w:tcPr>
          <w:p w14:paraId="02D29024"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Placebas</w:t>
            </w:r>
          </w:p>
        </w:tc>
        <w:tc>
          <w:tcPr>
            <w:tcW w:w="2127" w:type="dxa"/>
            <w:vMerge/>
          </w:tcPr>
          <w:p w14:paraId="62F06C13"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p>
        </w:tc>
      </w:tr>
      <w:tr w:rsidR="00A23D3E" w:rsidRPr="00A23D3E" w14:paraId="5B569BBF" w14:textId="77777777" w:rsidTr="00C931EA">
        <w:tc>
          <w:tcPr>
            <w:tcW w:w="709" w:type="dxa"/>
          </w:tcPr>
          <w:p w14:paraId="08A7023C"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ITT</w:t>
            </w:r>
          </w:p>
        </w:tc>
        <w:tc>
          <w:tcPr>
            <w:tcW w:w="1701" w:type="dxa"/>
          </w:tcPr>
          <w:p w14:paraId="0A0D6834"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26</w:t>
            </w:r>
          </w:p>
        </w:tc>
        <w:tc>
          <w:tcPr>
            <w:tcW w:w="992" w:type="dxa"/>
          </w:tcPr>
          <w:p w14:paraId="3F635367"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41</w:t>
            </w:r>
          </w:p>
        </w:tc>
        <w:tc>
          <w:tcPr>
            <w:tcW w:w="1559" w:type="dxa"/>
          </w:tcPr>
          <w:p w14:paraId="60837F51"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NP</w:t>
            </w:r>
          </w:p>
        </w:tc>
        <w:tc>
          <w:tcPr>
            <w:tcW w:w="1701" w:type="dxa"/>
          </w:tcPr>
          <w:p w14:paraId="2FB82BA8"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NP</w:t>
            </w:r>
          </w:p>
        </w:tc>
        <w:tc>
          <w:tcPr>
            <w:tcW w:w="2127" w:type="dxa"/>
          </w:tcPr>
          <w:p w14:paraId="476F8EB8"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0,32</w:t>
            </w:r>
          </w:p>
          <w:p w14:paraId="1DC2F5A6"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[95 % PI, nuo 0,19 iki 0,55] p = 0,000015</w:t>
            </w:r>
          </w:p>
        </w:tc>
      </w:tr>
      <w:tr w:rsidR="00A23D3E" w:rsidRPr="00A23D3E" w14:paraId="52428180" w14:textId="77777777" w:rsidTr="00C931EA">
        <w:tc>
          <w:tcPr>
            <w:tcW w:w="709" w:type="dxa"/>
          </w:tcPr>
          <w:p w14:paraId="24A1E24E"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cITT</w:t>
            </w:r>
          </w:p>
        </w:tc>
        <w:tc>
          <w:tcPr>
            <w:tcW w:w="1701" w:type="dxa"/>
          </w:tcPr>
          <w:p w14:paraId="71737DBC"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26</w:t>
            </w:r>
          </w:p>
        </w:tc>
        <w:tc>
          <w:tcPr>
            <w:tcW w:w="992" w:type="dxa"/>
          </w:tcPr>
          <w:p w14:paraId="76AB865C"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40</w:t>
            </w:r>
          </w:p>
        </w:tc>
        <w:tc>
          <w:tcPr>
            <w:tcW w:w="1559" w:type="dxa"/>
          </w:tcPr>
          <w:p w14:paraId="2D4E7B5F"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14,3</w:t>
            </w:r>
          </w:p>
          <w:p w14:paraId="36DFC068"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[95 % PI, nuo 11,0 iki 28,8]</w:t>
            </w:r>
          </w:p>
        </w:tc>
        <w:tc>
          <w:tcPr>
            <w:tcW w:w="1701" w:type="dxa"/>
          </w:tcPr>
          <w:p w14:paraId="40E527E7"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6,0</w:t>
            </w:r>
          </w:p>
          <w:p w14:paraId="3238A5C1"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[95 % PI, nuo 3,7 iki 9,4]</w:t>
            </w:r>
          </w:p>
        </w:tc>
        <w:tc>
          <w:tcPr>
            <w:tcW w:w="2127" w:type="dxa"/>
          </w:tcPr>
          <w:p w14:paraId="423BB8FA"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0,34</w:t>
            </w:r>
          </w:p>
          <w:p w14:paraId="08341CD3"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[95 % PI, nuo 0,20 iki 0,59] p = 0,000072</w:t>
            </w:r>
          </w:p>
        </w:tc>
      </w:tr>
      <w:tr w:rsidR="00A23D3E" w:rsidRPr="00A23D3E" w14:paraId="65155414" w14:textId="77777777" w:rsidTr="00C931EA">
        <w:tc>
          <w:tcPr>
            <w:tcW w:w="709" w:type="dxa"/>
          </w:tcPr>
          <w:p w14:paraId="5C6EE3D7"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PP</w:t>
            </w:r>
          </w:p>
        </w:tc>
        <w:tc>
          <w:tcPr>
            <w:tcW w:w="1701" w:type="dxa"/>
          </w:tcPr>
          <w:p w14:paraId="25278EDE"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19</w:t>
            </w:r>
          </w:p>
        </w:tc>
        <w:tc>
          <w:tcPr>
            <w:tcW w:w="992" w:type="dxa"/>
          </w:tcPr>
          <w:p w14:paraId="79A0935E"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38</w:t>
            </w:r>
          </w:p>
        </w:tc>
        <w:tc>
          <w:tcPr>
            <w:tcW w:w="1559" w:type="dxa"/>
          </w:tcPr>
          <w:p w14:paraId="20426A3F"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NP</w:t>
            </w:r>
          </w:p>
        </w:tc>
        <w:tc>
          <w:tcPr>
            <w:tcW w:w="1701" w:type="dxa"/>
          </w:tcPr>
          <w:p w14:paraId="2EF2B859"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NP</w:t>
            </w:r>
          </w:p>
        </w:tc>
        <w:tc>
          <w:tcPr>
            <w:tcW w:w="2127" w:type="dxa"/>
          </w:tcPr>
          <w:p w14:paraId="3096F06C"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0,24</w:t>
            </w:r>
          </w:p>
          <w:p w14:paraId="29921AA7" w14:textId="77777777" w:rsidR="00A23D3E" w:rsidRPr="00A23D3E" w:rsidRDefault="00A23D3E" w:rsidP="00A23D3E">
            <w:pPr>
              <w:keepNext/>
              <w:keepLines/>
              <w:tabs>
                <w:tab w:val="left" w:pos="284"/>
              </w:tabs>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lang w:val="en-US"/>
              </w:rPr>
              <w:t>[95 % PI, nuo 0,13 iki 0,45] p = 0,0000036</w:t>
            </w:r>
          </w:p>
        </w:tc>
      </w:tr>
      <w:tr w:rsidR="00A23D3E" w:rsidRPr="00A23D3E" w14:paraId="5675FC8C" w14:textId="77777777" w:rsidTr="00C931EA">
        <w:trPr>
          <w:trHeight w:val="232"/>
        </w:trPr>
        <w:tc>
          <w:tcPr>
            <w:tcW w:w="8789" w:type="dxa"/>
            <w:gridSpan w:val="6"/>
          </w:tcPr>
          <w:p w14:paraId="7E47742E"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NP – nepranešta; RS – rizikos santykis; TTP – laikas iki naviko progresavimo; ITT – numatytų gydyti pacientų populiacija; cITT – sumažinta ITT populiacija; PP – tyrimo protokolo reikalavimus atitikusių pacientų populiacija.</w:t>
            </w:r>
          </w:p>
          <w:p w14:paraId="1640FEA7" w14:textId="77777777" w:rsidR="00A23D3E" w:rsidRPr="00A23D3E" w:rsidRDefault="00A23D3E" w:rsidP="00A23D3E">
            <w:pPr>
              <w:keepNext/>
              <w:keepLines/>
              <w:tabs>
                <w:tab w:val="left" w:pos="284"/>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w:t>
            </w:r>
            <w:r w:rsidRPr="00A23D3E">
              <w:rPr>
                <w:rFonts w:ascii="Times New Roman" w:eastAsia="Calibri" w:hAnsi="Times New Roman" w:cs="Times New Roman"/>
                <w:i/>
                <w:lang w:val="es-ES"/>
              </w:rPr>
              <w:t>Logrank</w:t>
            </w:r>
            <w:r w:rsidRPr="00A23D3E">
              <w:rPr>
                <w:rFonts w:ascii="Times New Roman" w:eastAsia="Calibri" w:hAnsi="Times New Roman" w:cs="Times New Roman"/>
                <w:lang w:val="es-ES"/>
              </w:rPr>
              <w:t xml:space="preserve"> testas, stratifikuotas pagal funkcinį aktyvumą.</w:t>
            </w:r>
          </w:p>
        </w:tc>
      </w:tr>
    </w:tbl>
    <w:p w14:paraId="07666353" w14:textId="77777777" w:rsidR="00A23D3E" w:rsidRPr="00A23D3E" w:rsidRDefault="00A23D3E" w:rsidP="00A23D3E">
      <w:pPr>
        <w:spacing w:after="0" w:line="240" w:lineRule="auto"/>
        <w:rPr>
          <w:rFonts w:ascii="Times New Roman" w:eastAsia="Calibri" w:hAnsi="Times New Roman" w:cs="Times New Roman"/>
          <w:lang w:val="es-ES"/>
        </w:rPr>
      </w:pPr>
    </w:p>
    <w:p w14:paraId="7DFD202B"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lastRenderedPageBreak/>
        <w:t>Pacientams, kuriems nustatytas funkciškai aktyvus navikas, gydymo poveikis buvo panašus (RS = 0,23; 95 % PI, nuo 0,09 iki 0,57) į poveikį tiems pacientams, kuriems nustatytas neaktyvus navikas (RS = 0,25; 95 % PI, nuo 0,10 iki 0,59).</w:t>
      </w:r>
    </w:p>
    <w:p w14:paraId="72C81A96" w14:textId="77777777" w:rsidR="00A23D3E" w:rsidRPr="00A23D3E" w:rsidRDefault="00A23D3E" w:rsidP="00A23D3E">
      <w:pPr>
        <w:spacing w:after="0" w:line="240" w:lineRule="auto"/>
        <w:rPr>
          <w:rFonts w:ascii="Times New Roman" w:eastAsia="Calibri" w:hAnsi="Times New Roman" w:cs="Times New Roman"/>
          <w:lang w:val="es-ES"/>
        </w:rPr>
      </w:pPr>
    </w:p>
    <w:p w14:paraId="01B0EE32"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Po 6 mėnesių gydymo stabili ligos būklė nustatyta 67 % Sandostatin LAR vartojusių pacientų grupėje ir 37 % placebo grupės pacientų.</w:t>
      </w:r>
    </w:p>
    <w:p w14:paraId="7BAEB7D2" w14:textId="77777777" w:rsidR="00A23D3E" w:rsidRPr="00A23D3E" w:rsidRDefault="00A23D3E" w:rsidP="00A23D3E">
      <w:pPr>
        <w:spacing w:after="0" w:line="240" w:lineRule="auto"/>
        <w:rPr>
          <w:rFonts w:ascii="Times New Roman" w:eastAsia="Calibri" w:hAnsi="Times New Roman" w:cs="Times New Roman"/>
          <w:lang w:val="es-ES"/>
        </w:rPr>
      </w:pPr>
    </w:p>
    <w:p w14:paraId="78CEF451"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Remiantis reikšminga klinikine gydymo Sandostatin LAR nauda, kuri buvo nustatyta atlikus šią iš anksto numatytą tarpinę duomenų analizę, įtraukimas į tyrimą buvo nutrauktas.</w:t>
      </w:r>
    </w:p>
    <w:p w14:paraId="367FB01A" w14:textId="77777777" w:rsidR="00A23D3E" w:rsidRPr="00A23D3E" w:rsidRDefault="00A23D3E" w:rsidP="00A23D3E">
      <w:pPr>
        <w:spacing w:after="0" w:line="240" w:lineRule="auto"/>
        <w:rPr>
          <w:rFonts w:ascii="Times New Roman" w:eastAsia="Calibri" w:hAnsi="Times New Roman" w:cs="Times New Roman"/>
          <w:lang w:val="es-ES"/>
        </w:rPr>
      </w:pPr>
    </w:p>
    <w:p w14:paraId="5B93A5D8"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Šio tyrimo metu nustatyti Sandostatin LAR saugumo duomenys atitiko jau žinomus šio vaistinio preparato saugumo duomenis.</w:t>
      </w:r>
    </w:p>
    <w:p w14:paraId="4A4E257C" w14:textId="77777777" w:rsidR="00A23D3E" w:rsidRPr="00A23D3E" w:rsidRDefault="00A23D3E" w:rsidP="00A23D3E">
      <w:pPr>
        <w:spacing w:after="0" w:line="240" w:lineRule="auto"/>
        <w:rPr>
          <w:rFonts w:ascii="Times New Roman" w:eastAsia="Calibri" w:hAnsi="Times New Roman" w:cs="Times New Roman"/>
          <w:lang w:val="es-ES"/>
        </w:rPr>
      </w:pPr>
    </w:p>
    <w:p w14:paraId="3300F3F8" w14:textId="77777777" w:rsidR="00A23D3E" w:rsidRPr="00A23D3E" w:rsidRDefault="00A23D3E" w:rsidP="00A23D3E">
      <w:pPr>
        <w:keepNext/>
        <w:spacing w:after="0" w:line="240" w:lineRule="auto"/>
        <w:rPr>
          <w:rFonts w:ascii="Times New Roman" w:eastAsia="Calibri" w:hAnsi="Times New Roman" w:cs="Times New Roman"/>
          <w:u w:val="single"/>
          <w:lang w:val="es-ES"/>
        </w:rPr>
      </w:pPr>
      <w:r w:rsidRPr="00A23D3E">
        <w:rPr>
          <w:rFonts w:ascii="Times New Roman" w:eastAsia="Calibri" w:hAnsi="Times New Roman" w:cs="Times New Roman"/>
          <w:u w:val="single"/>
          <w:lang w:val="es-ES"/>
        </w:rPr>
        <w:t>Pacientų, sergančių TTH sekretuojančia hipofizės adenoma, gydymas</w:t>
      </w:r>
    </w:p>
    <w:p w14:paraId="469C367A" w14:textId="77777777" w:rsidR="00A23D3E" w:rsidRPr="00A23D3E" w:rsidRDefault="00A23D3E" w:rsidP="00A23D3E">
      <w:pPr>
        <w:keepNext/>
        <w:spacing w:after="0" w:line="240" w:lineRule="auto"/>
        <w:rPr>
          <w:rFonts w:ascii="Times New Roman" w:eastAsia="Calibri" w:hAnsi="Times New Roman" w:cs="Times New Roman"/>
          <w:u w:val="single"/>
          <w:lang w:val="es-ES"/>
        </w:rPr>
      </w:pPr>
    </w:p>
    <w:p w14:paraId="71E2C7CD"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Nustatyta, kad skiriant vieną Sandostatin LAR injekciją į raumenis kas 4 savaites pacientams, sergantiems TTH sekretuojančia adenoma, sumažėja padidėjęs skydliaukės hormonų aktyvumas, TTH koncentracija tampa normalia ir palengvėja klinikiniai hipertirozės požymiai bei simptomai. Gydomasis Sandostatin LAR poveikis pasiekė statistiškai reikšmingą lygį po 28 dienų, lyginant su pradinėmis reikšmėmis, o gydomoji nauda išliko iki 6 mėnesių.</w:t>
      </w:r>
    </w:p>
    <w:p w14:paraId="2417E961"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460E2EA"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5.2</w:t>
      </w:r>
      <w:r w:rsidRPr="00A23D3E">
        <w:rPr>
          <w:rFonts w:ascii="Times New Roman" w:eastAsia="Calibri" w:hAnsi="Times New Roman" w:cs="Times New Roman"/>
          <w:b/>
          <w:lang w:val="es-ES"/>
        </w:rPr>
        <w:tab/>
        <w:t>Farmakokinetinės savybės</w:t>
      </w:r>
    </w:p>
    <w:p w14:paraId="53EDF915"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6B797ECE"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Po vienkartinės Sandostatin LAR injekcijos į raumenis, didžiausia pradinė laikina oktreotido koncentracija serume susidaro po 1 valandos, paskui per 24 valandas oktreotido koncentracija laipsniškai sumažėja iki nenustatomo kiekio. Po pradinės didžiausios koncentracijos piko 1</w:t>
      </w:r>
      <w:r w:rsidRPr="00A23D3E">
        <w:rPr>
          <w:rFonts w:ascii="Times New Roman" w:eastAsia="Calibri" w:hAnsi="Times New Roman" w:cs="Times New Roman"/>
          <w:lang w:val="es-ES"/>
        </w:rPr>
        <w:noBreakHyphen/>
        <w:t>ąją dieną daugumai pacientų kitas 7 dienas nustatoma subterapinė oktreotido koncentracija. Vėliau oktreotido koncentracija vėl didėja ir maždaug 14</w:t>
      </w:r>
      <w:r w:rsidRPr="00A23D3E">
        <w:rPr>
          <w:rFonts w:ascii="Times New Roman" w:eastAsia="Calibri" w:hAnsi="Times New Roman" w:cs="Times New Roman"/>
          <w:lang w:val="es-ES"/>
        </w:rPr>
        <w:noBreakHyphen/>
        <w:t>ąją dieną pasidaro stabilia ir tokia išlieka kitas 3</w:t>
      </w:r>
      <w:r w:rsidRPr="00A23D3E">
        <w:rPr>
          <w:rFonts w:ascii="Times New Roman" w:eastAsia="Calibri" w:hAnsi="Times New Roman" w:cs="Times New Roman"/>
          <w:lang w:val="es-ES"/>
        </w:rPr>
        <w:noBreakHyphen/>
        <w:t xml:space="preserve">4 savaites. Pirmosios dienos koncentracijos pikas yra mažesnis negu vėliau susidariusi stabili koncentracija, o pirmąją dieną išsiskiria ne daugiau kaip 0,5 % viso vaistinio preparato kiekio. Maždaug po 42 dienų oktreotido koncentracija pradeda lėtai mažėti, kartu vyksta farmacinės formos polimerinės matricos galinė skilimo fazė. </w:t>
      </w:r>
    </w:p>
    <w:p w14:paraId="2F029F6C" w14:textId="77777777" w:rsidR="00A23D3E" w:rsidRPr="00A23D3E" w:rsidRDefault="00A23D3E" w:rsidP="00A23D3E">
      <w:pPr>
        <w:spacing w:after="0" w:line="240" w:lineRule="auto"/>
        <w:rPr>
          <w:rFonts w:ascii="Times New Roman" w:eastAsia="Calibri" w:hAnsi="Times New Roman" w:cs="Times New Roman"/>
          <w:lang w:val="es-ES"/>
        </w:rPr>
      </w:pPr>
    </w:p>
    <w:p w14:paraId="12AAAC02"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Sergantiesiems akromegalija po vienos Sandostatin LAR 10 mg, 20 mg ar 30 mg dozės vartojimo susidaranti stabili oktreotido koncentracija yra, atitinkamai, 358 ng/l, 926 ng/l ir 1 710 ng/l. Pusiausvyrinės apykaitos oktreotido koncentracija serume, pasiekiama po 3 injekcijų kas 4 savaites, yra maždaug 1,6–1,8 karto didesnė. Po kartotinių 20 mg ir 30 mg Sandostatin LAR dozių vartojimo kraujo serume susidaro atitinkamai 1 557 ng/l ir 2 384 ng/l pusiausvyrinės apykaitos koncentracija. </w:t>
      </w:r>
    </w:p>
    <w:p w14:paraId="38957DED" w14:textId="77777777" w:rsidR="00A23D3E" w:rsidRPr="00A23D3E" w:rsidRDefault="00A23D3E" w:rsidP="00A23D3E">
      <w:pPr>
        <w:spacing w:after="0" w:line="240" w:lineRule="auto"/>
        <w:rPr>
          <w:rFonts w:ascii="Times New Roman" w:eastAsia="Calibri" w:hAnsi="Times New Roman" w:cs="Times New Roman"/>
          <w:lang w:val="es-ES"/>
        </w:rPr>
      </w:pPr>
    </w:p>
    <w:p w14:paraId="5A0CC596"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Pacientams, kuriems yra karcinoidinis navikas, vidutinė pusiausvyrinės apykaitos oktreotido koncentracija serume (ir jos mediana) po kartotinių 10 mg, 20 mg ir 30 mg Sandostatin LAR dozių injekcijų su 4 savaičių pertraukomis taip pat didėjo tiesiniu pobūdžiu priklausomai nuo skirtos dozės ir buvo, atitinkamai, 1 231 (894) ng/l, 2 620 (2 270) ng/l bei 3 928 (3 010) ng/l. </w:t>
      </w:r>
    </w:p>
    <w:p w14:paraId="3704F930" w14:textId="77777777" w:rsidR="00A23D3E" w:rsidRPr="00A23D3E" w:rsidRDefault="00A23D3E" w:rsidP="00A23D3E">
      <w:pPr>
        <w:spacing w:after="0" w:line="240" w:lineRule="auto"/>
        <w:rPr>
          <w:rFonts w:ascii="Times New Roman" w:eastAsia="Calibri" w:hAnsi="Times New Roman" w:cs="Times New Roman"/>
          <w:lang w:val="es-ES"/>
        </w:rPr>
      </w:pPr>
    </w:p>
    <w:p w14:paraId="54D87D47"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Sandostatin LAR vartojant iki 28 mėnesių, oktreotido akumuliacijos nenustatyta, išskyrus laukiamą atskirų dozių rezorbcijos persidengimą.</w:t>
      </w:r>
    </w:p>
    <w:p w14:paraId="104AFAA4" w14:textId="77777777" w:rsidR="00A23D3E" w:rsidRPr="00A23D3E" w:rsidRDefault="00A23D3E" w:rsidP="00A23D3E">
      <w:pPr>
        <w:spacing w:after="0" w:line="240" w:lineRule="auto"/>
        <w:rPr>
          <w:rFonts w:ascii="Times New Roman" w:eastAsia="Calibri" w:hAnsi="Times New Roman" w:cs="Times New Roman"/>
          <w:lang w:val="es-ES"/>
        </w:rPr>
      </w:pPr>
    </w:p>
    <w:p w14:paraId="277E23FF"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Po Sandostatin LAR injekcijos oktreotido farmakokinetikos pobūdis priklauso nuo jo atsipalaidavimo iš polimerinės matricos ir biodegradacijos. Į sisteminę kraujotaką patekusio oktreotido pasiskirstymas priklauso nuo žinomų jo farmakokinetinių savybių, kurios aprašytos vartojant vaistinį preparatą po oda. Nusistovėjus pusiausvyrinei apykaitai, oktreotido pasiskirstymo tūris yra 0,27 l/kg, o bendrasis organizmo klirensas – 160 ml/min. 65 % vaistinio preparato jungiasi su plazmos baltymais, tačiau jis beveik nesijungia su kraujo ląstelėmis. </w:t>
      </w:r>
    </w:p>
    <w:p w14:paraId="2D37ACE1" w14:textId="77777777" w:rsidR="00A23D3E" w:rsidRPr="00A23D3E" w:rsidRDefault="00A23D3E" w:rsidP="00A23D3E">
      <w:pPr>
        <w:spacing w:after="0" w:line="240" w:lineRule="auto"/>
        <w:rPr>
          <w:rFonts w:ascii="Times New Roman" w:eastAsia="Calibri" w:hAnsi="Times New Roman" w:cs="Times New Roman"/>
          <w:lang w:val="es-ES"/>
        </w:rPr>
      </w:pPr>
    </w:p>
    <w:p w14:paraId="4BEFF2E7"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Analizuojant farmakokinetikos duomenis, gautus ištyrus nedidelį kiekį kraujo mėginių, paimtų vaikų populiacijoje 7</w:t>
      </w:r>
      <w:r w:rsidRPr="00A23D3E">
        <w:rPr>
          <w:rFonts w:ascii="Times New Roman" w:eastAsia="Calibri" w:hAnsi="Times New Roman" w:cs="Times New Roman"/>
          <w:lang w:val="es-ES"/>
        </w:rPr>
        <w:noBreakHyphen/>
        <w:t xml:space="preserve">17 metų asmenims, kuriems buvo su pogumburio patologija susijęs nutukimas, kartą per mėnesį skiriant 40 mg Sandostatin LAR dozę, nustatyta, kad vidutinė mažiausia oktreotido </w:t>
      </w:r>
      <w:r w:rsidRPr="00A23D3E">
        <w:rPr>
          <w:rFonts w:ascii="Times New Roman" w:eastAsia="Calibri" w:hAnsi="Times New Roman" w:cs="Times New Roman"/>
          <w:lang w:val="es-ES"/>
        </w:rPr>
        <w:lastRenderedPageBreak/>
        <w:t>koncentracija plazmoje po pirmosios injekcijos buvo 1 395 ng/l, o nusistovėjus pusiausvyrinei apykaitai – 2 973 ng/l. Pastebėti labai skirtingi duomenys atskiriems pacientams.</w:t>
      </w:r>
    </w:p>
    <w:p w14:paraId="4F46667A" w14:textId="77777777" w:rsidR="00A23D3E" w:rsidRPr="00A23D3E" w:rsidRDefault="00A23D3E" w:rsidP="00A23D3E">
      <w:pPr>
        <w:spacing w:after="0" w:line="240" w:lineRule="auto"/>
        <w:rPr>
          <w:rFonts w:ascii="Times New Roman" w:eastAsia="Calibri" w:hAnsi="Times New Roman" w:cs="Times New Roman"/>
          <w:lang w:val="es-ES"/>
        </w:rPr>
      </w:pPr>
    </w:p>
    <w:p w14:paraId="5AD63900"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Mažiausia oktreotido koncentracija, nusistovėjus pusiausvyrinei apykaitai, su amžiumi ir KMI nekoreliavo, tačiau vidutiniškai koreliavo su kūno svoriu (52,3–133 kg ribose) ir reikšmingai skyrėsi vyrams bei moterims (t. y., moterų organizme ji buvo maždaug 17 % didesnė).</w:t>
      </w:r>
    </w:p>
    <w:p w14:paraId="6755974E" w14:textId="77777777" w:rsidR="00A23D3E" w:rsidRPr="00A23D3E" w:rsidRDefault="00A23D3E" w:rsidP="00A23D3E">
      <w:pPr>
        <w:spacing w:after="0" w:line="240" w:lineRule="auto"/>
        <w:rPr>
          <w:rFonts w:ascii="Times New Roman" w:eastAsia="Calibri" w:hAnsi="Times New Roman" w:cs="Times New Roman"/>
          <w:lang w:val="es-ES"/>
        </w:rPr>
      </w:pPr>
    </w:p>
    <w:p w14:paraId="599A712A"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5.3</w:t>
      </w:r>
      <w:r w:rsidRPr="00A23D3E">
        <w:rPr>
          <w:rFonts w:ascii="Times New Roman" w:eastAsia="Calibri" w:hAnsi="Times New Roman" w:cs="Times New Roman"/>
          <w:b/>
          <w:lang w:val="es-ES"/>
        </w:rPr>
        <w:tab/>
        <w:t>Ikiklinikinių saugumo tyrimų duomenys</w:t>
      </w:r>
    </w:p>
    <w:p w14:paraId="14F42C55"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765564B5"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Su gyvūnais atlikti ūminio ir kartotinių dozių toksiškumo, genotoksiškumo, kancerogeniškumo ir toksinio poveikio reprodukcijai tyrimų duomenys specifinio pavojaus žmogui nerodo.</w:t>
      </w:r>
    </w:p>
    <w:p w14:paraId="45057DEC" w14:textId="77777777" w:rsidR="00A23D3E" w:rsidRPr="00A23D3E" w:rsidRDefault="00A23D3E" w:rsidP="00A23D3E">
      <w:pPr>
        <w:spacing w:after="0" w:line="240" w:lineRule="auto"/>
        <w:rPr>
          <w:rFonts w:ascii="Times New Roman" w:eastAsia="Calibri" w:hAnsi="Times New Roman" w:cs="Times New Roman"/>
          <w:lang w:val="es-ES"/>
        </w:rPr>
      </w:pPr>
    </w:p>
    <w:p w14:paraId="7EBC9E79"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Su gyvūnais atlikti poveikio reprodukcijai tyrimai, jiems skiriant iki 1 mg/kg kūno svorio dozes per parą, jokio teratogeninio oktreotido poveikio, poveikio embrionams ar vaisiams bei kitokio poveikio reprodukcijai neparodė. Nustatytas tam tikras laikinai sulėtėjęs fiziologinis žiurkių jauniklių augimas, susijęs su AH slopinimu dėl per didelio farmakodinaminio vaistinio preparato poveikio (žr. 4.6 skyrių).</w:t>
      </w:r>
    </w:p>
    <w:p w14:paraId="25187CB3" w14:textId="77777777" w:rsidR="00A23D3E" w:rsidRPr="00A23D3E" w:rsidRDefault="00A23D3E" w:rsidP="00A23D3E">
      <w:pPr>
        <w:spacing w:after="0" w:line="240" w:lineRule="auto"/>
        <w:rPr>
          <w:rFonts w:ascii="Times New Roman" w:eastAsia="Calibri" w:hAnsi="Times New Roman" w:cs="Times New Roman"/>
          <w:lang w:val="es-ES"/>
        </w:rPr>
      </w:pPr>
    </w:p>
    <w:p w14:paraId="37749281" w14:textId="77777777" w:rsidR="00A23D3E" w:rsidRPr="00A23D3E" w:rsidRDefault="00A23D3E" w:rsidP="00A23D3E">
      <w:p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Specifinių tyrimų su žiurkių jaunikliais neatlikta. Poveikio prenataliniam ir postnataliniam vystimuisi tyrimų metu nustatytas sulėtėjęs F1 palikuonių augimas ir brendimas, kai patelėms visu nėštumo metu ir laktacijos laikotarpiu buvo skiriama oktreotido. F1 palikuonims patinams pastebėtas vėluojantis sėklidžių nusileidimas, tačiau šių F1 vyriškosios lyties jauniklių vislumas išliko normalus. Taigi, anksčiau nurodytas šis poveikis buvo grįžtamas ir laikomas susijusiu su AH slopinimo pasekmėmis.</w:t>
      </w:r>
    </w:p>
    <w:p w14:paraId="0E25308A" w14:textId="77777777" w:rsidR="00A23D3E" w:rsidRPr="00A23D3E" w:rsidRDefault="00A23D3E" w:rsidP="00A23D3E">
      <w:pPr>
        <w:widowControl w:val="0"/>
        <w:spacing w:after="0" w:line="240" w:lineRule="auto"/>
        <w:rPr>
          <w:rFonts w:ascii="Times New Roman" w:eastAsia="Calibri" w:hAnsi="Times New Roman" w:cs="Times New Roman"/>
          <w:u w:val="single"/>
          <w:lang w:val="es-ES"/>
        </w:rPr>
      </w:pPr>
    </w:p>
    <w:p w14:paraId="43C3D129"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A3BE01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6.</w:t>
      </w:r>
      <w:r w:rsidRPr="00A23D3E">
        <w:rPr>
          <w:rFonts w:ascii="Times New Roman" w:eastAsia="Calibri" w:hAnsi="Times New Roman" w:cs="Times New Roman"/>
          <w:b/>
          <w:lang w:val="es-ES"/>
        </w:rPr>
        <w:tab/>
        <w:t>FARMACINĖ INFORMACIJA</w:t>
      </w:r>
    </w:p>
    <w:p w14:paraId="7611D103"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248C526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6.1</w:t>
      </w:r>
      <w:r w:rsidRPr="00A23D3E">
        <w:rPr>
          <w:rFonts w:ascii="Times New Roman" w:eastAsia="Calibri" w:hAnsi="Times New Roman" w:cs="Times New Roman"/>
          <w:b/>
          <w:lang w:val="es-ES"/>
        </w:rPr>
        <w:tab/>
        <w:t>Pagalbinių medžiagų sąrašas</w:t>
      </w:r>
    </w:p>
    <w:p w14:paraId="364326FE" w14:textId="77777777" w:rsidR="00A23D3E" w:rsidRPr="00A23D3E" w:rsidRDefault="00A23D3E" w:rsidP="00A23D3E">
      <w:pPr>
        <w:keepNext/>
        <w:widowControl w:val="0"/>
        <w:spacing w:after="0" w:line="240" w:lineRule="auto"/>
        <w:rPr>
          <w:rFonts w:ascii="Times New Roman" w:eastAsia="Calibri" w:hAnsi="Times New Roman" w:cs="Times New Roman"/>
          <w:lang w:val="es-ES"/>
        </w:rPr>
      </w:pPr>
    </w:p>
    <w:p w14:paraId="493BC0BB"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Milteliai (flakone):</w:t>
      </w:r>
    </w:p>
    <w:p w14:paraId="145D9356"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Poli (DL</w:t>
      </w:r>
      <w:r w:rsidRPr="00A23D3E">
        <w:rPr>
          <w:rFonts w:ascii="Times New Roman" w:eastAsia="Calibri" w:hAnsi="Times New Roman" w:cs="Times New Roman"/>
          <w:lang w:val="it-IT"/>
        </w:rPr>
        <w:noBreakHyphen/>
        <w:t>laktido</w:t>
      </w:r>
      <w:r w:rsidRPr="00A23D3E">
        <w:rPr>
          <w:rFonts w:ascii="Times New Roman" w:eastAsia="Calibri" w:hAnsi="Times New Roman" w:cs="Times New Roman"/>
          <w:lang w:val="it-IT"/>
        </w:rPr>
        <w:noBreakHyphen/>
        <w:t>glikolido kopolimeras)</w:t>
      </w:r>
    </w:p>
    <w:p w14:paraId="64EA1611"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Manitolis (E421)</w:t>
      </w:r>
    </w:p>
    <w:p w14:paraId="035D837D"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p>
    <w:p w14:paraId="358A08CF"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Tirpiklis (užpildytame švirkšte):</w:t>
      </w:r>
    </w:p>
    <w:p w14:paraId="0B80C219" w14:textId="77777777" w:rsidR="00A23D3E" w:rsidRPr="00A23D3E" w:rsidRDefault="00A23D3E" w:rsidP="00A23D3E">
      <w:pPr>
        <w:tabs>
          <w:tab w:val="left" w:pos="567"/>
          <w:tab w:val="left" w:pos="1350"/>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Karmeliozės natrio druska</w:t>
      </w:r>
    </w:p>
    <w:p w14:paraId="65A2E4D7" w14:textId="77777777" w:rsidR="00A23D3E" w:rsidRPr="00A23D3E" w:rsidRDefault="00A23D3E" w:rsidP="00A23D3E">
      <w:pPr>
        <w:tabs>
          <w:tab w:val="left" w:pos="567"/>
          <w:tab w:val="left" w:pos="1350"/>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Manitolis (E421)</w:t>
      </w:r>
    </w:p>
    <w:p w14:paraId="3531E8F1" w14:textId="77777777" w:rsidR="00A23D3E" w:rsidRPr="00A23D3E" w:rsidRDefault="00A23D3E" w:rsidP="00A23D3E">
      <w:pPr>
        <w:tabs>
          <w:tab w:val="left" w:pos="567"/>
          <w:tab w:val="left" w:pos="1350"/>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Poloksameras 188</w:t>
      </w:r>
    </w:p>
    <w:p w14:paraId="56C24169" w14:textId="77777777" w:rsidR="00A23D3E" w:rsidRPr="00A23D3E" w:rsidRDefault="00A23D3E" w:rsidP="00A23D3E">
      <w:pPr>
        <w:tabs>
          <w:tab w:val="left" w:pos="567"/>
          <w:tab w:val="left" w:pos="1350"/>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Injekcinis vanduo</w:t>
      </w:r>
    </w:p>
    <w:p w14:paraId="75544D81"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3E2E5170"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6.2</w:t>
      </w:r>
      <w:r w:rsidRPr="00A23D3E">
        <w:rPr>
          <w:rFonts w:ascii="Times New Roman" w:eastAsia="Calibri" w:hAnsi="Times New Roman" w:cs="Times New Roman"/>
          <w:b/>
          <w:lang w:val="it-IT"/>
        </w:rPr>
        <w:tab/>
        <w:t>Nesuderinamumas</w:t>
      </w:r>
    </w:p>
    <w:p w14:paraId="11F70E08"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4DE2024D"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Suderinamumo tyrimų neatlikta, todėl šio vaistinio preparato maišyti su kitais negalima.</w:t>
      </w:r>
    </w:p>
    <w:p w14:paraId="727F230E"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1270BD2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6.3</w:t>
      </w:r>
      <w:r w:rsidRPr="00A23D3E">
        <w:rPr>
          <w:rFonts w:ascii="Times New Roman" w:eastAsia="Calibri" w:hAnsi="Times New Roman" w:cs="Times New Roman"/>
          <w:b/>
          <w:lang w:val="it-IT"/>
        </w:rPr>
        <w:tab/>
        <w:t>Tinkamumo laikas</w:t>
      </w:r>
    </w:p>
    <w:p w14:paraId="0A167989"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1B413EDC"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3 metai</w:t>
      </w:r>
    </w:p>
    <w:p w14:paraId="31153957"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Paruoštą vaistinio preparato suspensiją vartoti nedelsiant.</w:t>
      </w:r>
    </w:p>
    <w:p w14:paraId="16459A05" w14:textId="77777777" w:rsidR="00A23D3E" w:rsidRPr="00A23D3E" w:rsidRDefault="00A23D3E" w:rsidP="00A23D3E">
      <w:pPr>
        <w:widowControl w:val="0"/>
        <w:spacing w:after="0" w:line="240" w:lineRule="auto"/>
        <w:rPr>
          <w:rFonts w:ascii="Times New Roman" w:eastAsia="Calibri" w:hAnsi="Times New Roman" w:cs="Times New Roman"/>
        </w:rPr>
      </w:pPr>
    </w:p>
    <w:p w14:paraId="07327C60"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6.4</w:t>
      </w:r>
      <w:r w:rsidRPr="00A23D3E">
        <w:rPr>
          <w:rFonts w:ascii="Times New Roman" w:eastAsia="Calibri" w:hAnsi="Times New Roman" w:cs="Times New Roman"/>
          <w:b/>
          <w:lang w:val="it-IT"/>
        </w:rPr>
        <w:tab/>
        <w:t>Specialios laikymo sąlygos</w:t>
      </w:r>
    </w:p>
    <w:p w14:paraId="36DA1816"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67DADA15" w14:textId="77777777" w:rsidR="00A23D3E" w:rsidRPr="00A23D3E" w:rsidRDefault="00A23D3E" w:rsidP="00A23D3E">
      <w:pPr>
        <w:keepNext/>
        <w:widowControl w:val="0"/>
        <w:spacing w:after="0" w:line="240" w:lineRule="auto"/>
        <w:rPr>
          <w:rFonts w:ascii="Times New Roman" w:eastAsia="Calibri" w:hAnsi="Times New Roman" w:cs="Times New Roman"/>
          <w:i/>
          <w:lang w:val="it-IT"/>
        </w:rPr>
      </w:pPr>
      <w:r w:rsidRPr="00A23D3E">
        <w:rPr>
          <w:rFonts w:ascii="Times New Roman" w:eastAsia="Calibri" w:hAnsi="Times New Roman" w:cs="Times New Roman"/>
          <w:lang w:val="it-IT"/>
        </w:rPr>
        <w:t>Laikyti išorinėje dėžutėje, kad preparatas būtų apsaugotas nuo šviesos.</w:t>
      </w:r>
    </w:p>
    <w:p w14:paraId="51ED4C84"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Laikyti šaldytuve (2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it-IT"/>
        </w:rPr>
        <w:t>C – 8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it-IT"/>
        </w:rPr>
        <w:t xml:space="preserve">C). Negalima užšaldyti. </w:t>
      </w:r>
    </w:p>
    <w:p w14:paraId="179D4B95"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Injekcijos dieną Sandostatin LAR galima laikyti ne aukštesnėje kaip 25 ºC temperatūroje.</w:t>
      </w:r>
    </w:p>
    <w:p w14:paraId="08694EA0"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Paruošto vaistinio preparato laikymo sąlygos pateikiamos 6.3 skyriuje.</w:t>
      </w:r>
    </w:p>
    <w:p w14:paraId="4AFA0C24"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75B0ADD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6.5</w:t>
      </w:r>
      <w:r w:rsidRPr="00A23D3E">
        <w:rPr>
          <w:rFonts w:ascii="Times New Roman" w:eastAsia="Calibri" w:hAnsi="Times New Roman" w:cs="Times New Roman"/>
          <w:b/>
          <w:lang w:val="it-IT"/>
        </w:rPr>
        <w:tab/>
        <w:t>Talpyklės pobūdis ir jos turinys</w:t>
      </w:r>
    </w:p>
    <w:p w14:paraId="160B3A54"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p>
    <w:p w14:paraId="47C954CC"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lastRenderedPageBreak/>
        <w:t>Vienetinėje pakuotėje yra vienas 6 ml talpos stiklo flakonas su guminiu kamščiu (bromobutilo guma) uždengtu aliumininiu nuimamu dangteliu, kuriame yra milteliai</w:t>
      </w:r>
      <w:r w:rsidRPr="00A23D3E">
        <w:rPr>
          <w:rFonts w:ascii="Times New Roman" w:eastAsia="Calibri" w:hAnsi="Times New Roman" w:cs="Times New Roman"/>
          <w:spacing w:val="-3"/>
          <w:lang w:val="it-IT"/>
        </w:rPr>
        <w:t xml:space="preserve"> </w:t>
      </w:r>
      <w:r w:rsidRPr="00A23D3E">
        <w:rPr>
          <w:rFonts w:ascii="Times New Roman" w:eastAsia="Calibri" w:hAnsi="Times New Roman" w:cs="Times New Roman"/>
          <w:lang w:val="it-IT"/>
        </w:rPr>
        <w:t>injekcinei suspensijai ir vienas 3 ml talpos bespalvis užpildytas stiklo švirkštas, užkimštas priekiniu ir stūmoklio kamščiu (chlorobutilo guma), kuriame yra 2 ml tirpiklio, supakuotas bendrame sandariame lizdinės plokštelės dėkle, kuriame yra vienas flakono adapteris ir viena saugi injekcinė adata.</w:t>
      </w:r>
    </w:p>
    <w:p w14:paraId="11C6FD5D" w14:textId="77777777" w:rsidR="00A23D3E" w:rsidRPr="00A23D3E" w:rsidRDefault="00A23D3E" w:rsidP="00A23D3E">
      <w:pPr>
        <w:spacing w:after="0" w:line="240" w:lineRule="auto"/>
        <w:rPr>
          <w:rFonts w:ascii="Times New Roman" w:eastAsia="Calibri" w:hAnsi="Times New Roman" w:cs="Times New Roman"/>
          <w:lang w:val="it-IT"/>
        </w:rPr>
      </w:pPr>
    </w:p>
    <w:p w14:paraId="19F297CD"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Sudėtinės pakuotės, kuriose yra po tris vienetines pakuotes, kurių kiekvieną sudaro: vienas 6 ml talpos stiklo flakonas su guminiu kamščiu (bromobutilo guma), uždengtu aliumininiu nuimamu dangteliu, kuriame yra milteliai injekcinei suspensijai ir vienas 3 ml talpos bespalvis užpildytas stiklo švirkštas, užkimštas priekiniu ir stūmoklio kamščiu (chlorobutilo guma), kuriame yra 2 ml tirpiklio, supakuotas bendrame sandariame lizdinės plokštelės dėkle, kuriame yra vienas flakono adapteris ir viena saugi injekcinė adata.</w:t>
      </w:r>
    </w:p>
    <w:p w14:paraId="0AB66419" w14:textId="77777777" w:rsidR="00A23D3E" w:rsidRPr="00A23D3E" w:rsidRDefault="00A23D3E" w:rsidP="00A23D3E">
      <w:pPr>
        <w:spacing w:after="0" w:line="240" w:lineRule="auto"/>
        <w:rPr>
          <w:rFonts w:ascii="Times New Roman" w:eastAsia="Calibri" w:hAnsi="Times New Roman" w:cs="Times New Roman"/>
          <w:lang w:val="it-IT"/>
        </w:rPr>
      </w:pPr>
    </w:p>
    <w:p w14:paraId="122AD7A5"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Gali būti tiekiamos ne visų dydžių pakuotės.</w:t>
      </w:r>
    </w:p>
    <w:p w14:paraId="109F9023"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4695539" w14:textId="77777777" w:rsidR="00A23D3E" w:rsidRPr="00A23D3E" w:rsidRDefault="00A23D3E" w:rsidP="00A23D3E">
      <w:pPr>
        <w:keepNext/>
        <w:widowControl w:val="0"/>
        <w:spacing w:after="0" w:line="240" w:lineRule="auto"/>
        <w:ind w:left="567" w:hanging="567"/>
        <w:outlineLvl w:val="0"/>
        <w:rPr>
          <w:rFonts w:ascii="Times New Roman" w:eastAsia="Calibri" w:hAnsi="Times New Roman" w:cs="Times New Roman"/>
          <w:lang w:val="it-IT"/>
        </w:rPr>
      </w:pPr>
      <w:r w:rsidRPr="00A23D3E">
        <w:rPr>
          <w:rFonts w:ascii="Times New Roman" w:eastAsia="Calibri" w:hAnsi="Times New Roman" w:cs="Times New Roman"/>
          <w:b/>
          <w:lang w:val="it-IT"/>
        </w:rPr>
        <w:t>6.6</w:t>
      </w:r>
      <w:r w:rsidRPr="00A23D3E">
        <w:rPr>
          <w:rFonts w:ascii="Times New Roman" w:eastAsia="Calibri" w:hAnsi="Times New Roman" w:cs="Times New Roman"/>
          <w:b/>
          <w:lang w:val="it-IT"/>
        </w:rPr>
        <w:tab/>
        <w:t>Specialūs reikalavimai atliekoms tvarkyti ir vaistiniam preparatui ruošti</w:t>
      </w:r>
    </w:p>
    <w:p w14:paraId="67F7429F"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13C3C294"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Nesuvartotą vaistinį preparatą ar atliekas reikia tvarkyti laikantis vietinių reikalavimų.</w:t>
      </w:r>
    </w:p>
    <w:p w14:paraId="580C620F" w14:textId="77777777" w:rsidR="00A23D3E" w:rsidRPr="00A23D3E" w:rsidRDefault="00A23D3E" w:rsidP="00A23D3E">
      <w:pPr>
        <w:tabs>
          <w:tab w:val="left" w:pos="567"/>
        </w:tabs>
        <w:spacing w:after="0" w:line="240" w:lineRule="auto"/>
        <w:rPr>
          <w:rFonts w:ascii="Times New Roman" w:eastAsia="Calibri" w:hAnsi="Times New Roman" w:cs="Times New Roman"/>
          <w:lang w:val="en-US"/>
        </w:rPr>
      </w:pPr>
    </w:p>
    <w:p w14:paraId="6E1ABF6D" w14:textId="77777777" w:rsidR="00A23D3E" w:rsidRPr="00A23D3E" w:rsidRDefault="00A23D3E" w:rsidP="00A23D3E">
      <w:pPr>
        <w:tabs>
          <w:tab w:val="left" w:pos="567"/>
        </w:tabs>
        <w:spacing w:after="0" w:line="240" w:lineRule="auto"/>
        <w:rPr>
          <w:rFonts w:ascii="Times New Roman" w:eastAsia="Calibri" w:hAnsi="Times New Roman" w:cs="Times New Roman"/>
          <w:lang w:val="en-US"/>
        </w:rPr>
      </w:pPr>
    </w:p>
    <w:p w14:paraId="132E9A9B" w14:textId="77777777" w:rsidR="00A23D3E" w:rsidRPr="00A23D3E" w:rsidRDefault="00A23D3E" w:rsidP="00A23D3E">
      <w:pPr>
        <w:tabs>
          <w:tab w:val="left" w:pos="567"/>
        </w:tabs>
        <w:spacing w:after="0" w:line="240" w:lineRule="auto"/>
        <w:jc w:val="both"/>
        <w:rPr>
          <w:rFonts w:ascii="Times New Roman" w:eastAsia="Calibri" w:hAnsi="Times New Roman" w:cs="Times New Roman"/>
          <w:b/>
          <w:lang w:val="en-US"/>
        </w:rPr>
      </w:pPr>
      <w:r w:rsidRPr="00A23D3E">
        <w:rPr>
          <w:rFonts w:ascii="Times New Roman" w:eastAsia="Calibri" w:hAnsi="Times New Roman" w:cs="Times New Roman"/>
          <w:b/>
          <w:lang w:val="en-US"/>
        </w:rPr>
        <w:t>Sandostatin LAR paruošimo ir leidimo į raumenis instrukcijos</w:t>
      </w:r>
    </w:p>
    <w:p w14:paraId="7DEDF642" w14:textId="77777777" w:rsidR="00A23D3E" w:rsidRPr="00A23D3E" w:rsidRDefault="00A23D3E" w:rsidP="00A23D3E">
      <w:pPr>
        <w:tabs>
          <w:tab w:val="left" w:pos="567"/>
        </w:tabs>
        <w:spacing w:after="0" w:line="240" w:lineRule="auto"/>
        <w:jc w:val="both"/>
        <w:rPr>
          <w:rFonts w:ascii="Times New Roman" w:eastAsia="Calibri" w:hAnsi="Times New Roman" w:cs="Times New Roman"/>
          <w:b/>
          <w:lang w:val="en-US"/>
        </w:rPr>
      </w:pPr>
    </w:p>
    <w:p w14:paraId="2D0D4CE5" w14:textId="77777777" w:rsidR="00A23D3E" w:rsidRPr="00A23D3E" w:rsidRDefault="00A23D3E" w:rsidP="00A23D3E">
      <w:pPr>
        <w:tabs>
          <w:tab w:val="left" w:pos="567"/>
        </w:tabs>
        <w:spacing w:after="0" w:line="240" w:lineRule="auto"/>
        <w:jc w:val="both"/>
        <w:rPr>
          <w:rFonts w:ascii="Times New Roman" w:eastAsia="Calibri" w:hAnsi="Times New Roman" w:cs="Times New Roman"/>
          <w:lang w:val="en-US"/>
        </w:rPr>
      </w:pPr>
      <w:r w:rsidRPr="00A23D3E">
        <w:rPr>
          <w:rFonts w:ascii="Times New Roman" w:eastAsia="Calibri" w:hAnsi="Times New Roman" w:cs="Times New Roman"/>
          <w:lang w:val="en-US"/>
        </w:rPr>
        <w:t>LEISTI TIK GILIAI Į SĖDMENŲ RAUMENIS</w:t>
      </w:r>
    </w:p>
    <w:p w14:paraId="724BBE09" w14:textId="77777777" w:rsidR="00A23D3E" w:rsidRPr="00A23D3E" w:rsidRDefault="00A23D3E" w:rsidP="00A23D3E">
      <w:pPr>
        <w:tabs>
          <w:tab w:val="left" w:pos="567"/>
        </w:tabs>
        <w:spacing w:after="0" w:line="240" w:lineRule="auto"/>
        <w:jc w:val="both"/>
        <w:rPr>
          <w:rFonts w:ascii="Times New Roman" w:eastAsia="Calibri" w:hAnsi="Times New Roman" w:cs="Times New Roman"/>
          <w:lang w:val="en-US"/>
        </w:rPr>
      </w:pPr>
    </w:p>
    <w:p w14:paraId="5EC65F18" w14:textId="77777777" w:rsidR="00A23D3E" w:rsidRPr="00A23D3E" w:rsidRDefault="00A23D3E" w:rsidP="00A23D3E">
      <w:pPr>
        <w:tabs>
          <w:tab w:val="left" w:pos="567"/>
        </w:tabs>
        <w:spacing w:after="0" w:line="240" w:lineRule="auto"/>
        <w:jc w:val="both"/>
        <w:rPr>
          <w:rFonts w:ascii="Times New Roman" w:eastAsia="Times New Roman" w:hAnsi="Times New Roman" w:cs="Times New Roman"/>
          <w:lang w:val="en-GB"/>
        </w:rPr>
      </w:pPr>
      <w:r w:rsidRPr="00A23D3E">
        <w:rPr>
          <w:rFonts w:ascii="Times New Roman" w:eastAsia="Times New Roman" w:hAnsi="Times New Roman" w:cs="Times New Roman"/>
          <w:lang w:val="en-GB"/>
        </w:rPr>
        <w:t>Rinkinį sudaro:</w:t>
      </w:r>
    </w:p>
    <w:p w14:paraId="7B3B176C" w14:textId="77777777" w:rsidR="00A23D3E" w:rsidRPr="00A23D3E" w:rsidRDefault="00A23D3E" w:rsidP="00A23D3E">
      <w:pPr>
        <w:tabs>
          <w:tab w:val="left" w:pos="567"/>
        </w:tabs>
        <w:spacing w:before="120" w:after="24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sz w:val="24"/>
          <w:lang w:eastAsia="lt-LT"/>
        </w:rPr>
        <w:drawing>
          <wp:inline distT="0" distB="0" distL="0" distR="0" wp14:anchorId="62B19D00" wp14:editId="52E0F51F">
            <wp:extent cx="5753100" cy="2019300"/>
            <wp:effectExtent l="0" t="0" r="0" b="0"/>
            <wp:docPr id="1"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2019300"/>
                    </a:xfrm>
                    <a:prstGeom prst="rect">
                      <a:avLst/>
                    </a:prstGeom>
                    <a:noFill/>
                    <a:ln>
                      <a:noFill/>
                    </a:ln>
                  </pic:spPr>
                </pic:pic>
              </a:graphicData>
            </a:graphic>
          </wp:inline>
        </w:drawing>
      </w:r>
    </w:p>
    <w:tbl>
      <w:tblPr>
        <w:tblW w:w="0" w:type="auto"/>
        <w:tblLayout w:type="fixed"/>
        <w:tblLook w:val="0000" w:firstRow="0" w:lastRow="0" w:firstColumn="0" w:lastColumn="0" w:noHBand="0" w:noVBand="0"/>
      </w:tblPr>
      <w:tblGrid>
        <w:gridCol w:w="708"/>
        <w:gridCol w:w="8591"/>
      </w:tblGrid>
      <w:tr w:rsidR="00A23D3E" w:rsidRPr="00A23D3E" w14:paraId="536DE3E1" w14:textId="77777777" w:rsidTr="00C931EA">
        <w:trPr>
          <w:tblHeader/>
        </w:trPr>
        <w:tc>
          <w:tcPr>
            <w:tcW w:w="9299" w:type="dxa"/>
            <w:gridSpan w:val="2"/>
            <w:shd w:val="clear" w:color="auto" w:fill="auto"/>
          </w:tcPr>
          <w:p w14:paraId="24FE862B"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p>
        </w:tc>
      </w:tr>
      <w:tr w:rsidR="00A23D3E" w:rsidRPr="00A23D3E" w14:paraId="509F1082" w14:textId="77777777" w:rsidTr="00C931EA">
        <w:tc>
          <w:tcPr>
            <w:tcW w:w="708" w:type="dxa"/>
            <w:shd w:val="clear" w:color="auto" w:fill="auto"/>
            <w:vAlign w:val="center"/>
          </w:tcPr>
          <w:p w14:paraId="39CC1AC9" w14:textId="77777777" w:rsidR="00A23D3E" w:rsidRPr="00A23D3E" w:rsidRDefault="00A23D3E" w:rsidP="00A23D3E">
            <w:pPr>
              <w:keepLines/>
              <w:tabs>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a.</w:t>
            </w:r>
          </w:p>
        </w:tc>
        <w:tc>
          <w:tcPr>
            <w:tcW w:w="8591" w:type="dxa"/>
            <w:shd w:val="clear" w:color="auto" w:fill="auto"/>
            <w:vAlign w:val="center"/>
          </w:tcPr>
          <w:p w14:paraId="662C6802" w14:textId="77777777" w:rsidR="00A23D3E" w:rsidRPr="00A23D3E" w:rsidRDefault="00A23D3E" w:rsidP="00A23D3E">
            <w:pPr>
              <w:keepLines/>
              <w:tabs>
                <w:tab w:val="left" w:pos="284"/>
                <w:tab w:val="left" w:pos="567"/>
              </w:tabs>
              <w:spacing w:after="0" w:line="240" w:lineRule="auto"/>
              <w:rPr>
                <w:rFonts w:ascii="Times New Roman" w:eastAsia="MS Mincho" w:hAnsi="Times New Roman" w:cs="Times New Roman"/>
                <w:lang w:val="es-ES"/>
              </w:rPr>
            </w:pPr>
            <w:r w:rsidRPr="00A23D3E">
              <w:rPr>
                <w:rFonts w:ascii="Times New Roman" w:eastAsia="MS Mincho" w:hAnsi="Times New Roman" w:cs="Times New Roman"/>
                <w:lang w:val="es-ES"/>
              </w:rPr>
              <w:t>Vienas flakonas, kuriame yra Sandostatin LAR milteliai</w:t>
            </w:r>
          </w:p>
        </w:tc>
      </w:tr>
      <w:tr w:rsidR="00A23D3E" w:rsidRPr="00A23D3E" w14:paraId="57361849" w14:textId="77777777" w:rsidTr="00C931EA">
        <w:tc>
          <w:tcPr>
            <w:tcW w:w="708" w:type="dxa"/>
            <w:shd w:val="clear" w:color="auto" w:fill="auto"/>
            <w:vAlign w:val="center"/>
          </w:tcPr>
          <w:p w14:paraId="014927C4" w14:textId="77777777" w:rsidR="00A23D3E" w:rsidRPr="00A23D3E" w:rsidRDefault="00A23D3E" w:rsidP="00A23D3E">
            <w:pPr>
              <w:keepLines/>
              <w:tabs>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b.</w:t>
            </w:r>
          </w:p>
        </w:tc>
        <w:tc>
          <w:tcPr>
            <w:tcW w:w="8591" w:type="dxa"/>
            <w:shd w:val="clear" w:color="auto" w:fill="auto"/>
            <w:vAlign w:val="center"/>
          </w:tcPr>
          <w:p w14:paraId="6E874A30" w14:textId="77777777" w:rsidR="00A23D3E" w:rsidRPr="00A23D3E" w:rsidRDefault="00A23D3E" w:rsidP="00A23D3E">
            <w:pPr>
              <w:keepLines/>
              <w:tabs>
                <w:tab w:val="left" w:pos="284"/>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tirpikliu užpildytas švirkštas</w:t>
            </w:r>
          </w:p>
        </w:tc>
      </w:tr>
      <w:tr w:rsidR="00A23D3E" w:rsidRPr="00A23D3E" w14:paraId="3ADD476E" w14:textId="77777777" w:rsidTr="00C931EA">
        <w:tc>
          <w:tcPr>
            <w:tcW w:w="708" w:type="dxa"/>
            <w:shd w:val="clear" w:color="auto" w:fill="auto"/>
            <w:vAlign w:val="center"/>
          </w:tcPr>
          <w:p w14:paraId="514E8FD8" w14:textId="77777777" w:rsidR="00A23D3E" w:rsidRPr="00A23D3E" w:rsidRDefault="00A23D3E" w:rsidP="00A23D3E">
            <w:pPr>
              <w:keepLines/>
              <w:tabs>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c.</w:t>
            </w:r>
          </w:p>
        </w:tc>
        <w:tc>
          <w:tcPr>
            <w:tcW w:w="8591" w:type="dxa"/>
            <w:shd w:val="clear" w:color="auto" w:fill="auto"/>
            <w:vAlign w:val="center"/>
          </w:tcPr>
          <w:p w14:paraId="4DF13DD1" w14:textId="77777777" w:rsidR="00A23D3E" w:rsidRPr="00A23D3E" w:rsidRDefault="00A23D3E" w:rsidP="00A23D3E">
            <w:pPr>
              <w:keepLines/>
              <w:tabs>
                <w:tab w:val="left" w:pos="284"/>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flakono adapteris suspensijai ruošti</w:t>
            </w:r>
          </w:p>
        </w:tc>
      </w:tr>
      <w:tr w:rsidR="00A23D3E" w:rsidRPr="00A23D3E" w14:paraId="29353F56" w14:textId="77777777" w:rsidTr="00C931EA">
        <w:tc>
          <w:tcPr>
            <w:tcW w:w="708" w:type="dxa"/>
            <w:shd w:val="clear" w:color="auto" w:fill="auto"/>
            <w:vAlign w:val="center"/>
          </w:tcPr>
          <w:p w14:paraId="560A0BE5" w14:textId="77777777" w:rsidR="00A23D3E" w:rsidRPr="00A23D3E" w:rsidRDefault="00A23D3E" w:rsidP="00A23D3E">
            <w:pPr>
              <w:keepLines/>
              <w:tabs>
                <w:tab w:val="left" w:pos="567"/>
              </w:tabs>
              <w:spacing w:after="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d.</w:t>
            </w:r>
          </w:p>
        </w:tc>
        <w:tc>
          <w:tcPr>
            <w:tcW w:w="8591" w:type="dxa"/>
            <w:shd w:val="clear" w:color="auto" w:fill="auto"/>
            <w:vAlign w:val="center"/>
          </w:tcPr>
          <w:p w14:paraId="5A772E3A" w14:textId="77777777" w:rsidR="00A23D3E" w:rsidRPr="00A23D3E" w:rsidRDefault="00A23D3E" w:rsidP="00A23D3E">
            <w:pPr>
              <w:keepLines/>
              <w:tabs>
                <w:tab w:val="left" w:pos="284"/>
                <w:tab w:val="left" w:pos="567"/>
              </w:tabs>
              <w:spacing w:after="0" w:line="240" w:lineRule="auto"/>
              <w:rPr>
                <w:rFonts w:ascii="Times New Roman" w:eastAsia="MS Mincho" w:hAnsi="Times New Roman" w:cs="Times New Roman"/>
                <w:lang w:val="it-IT"/>
              </w:rPr>
            </w:pPr>
            <w:r w:rsidRPr="00A23D3E">
              <w:rPr>
                <w:rFonts w:ascii="Times New Roman" w:eastAsia="MS Mincho" w:hAnsi="Times New Roman" w:cs="Times New Roman"/>
                <w:lang w:val="it-IT"/>
              </w:rPr>
              <w:t xml:space="preserve">Viena saugi injekcinė adata </w:t>
            </w:r>
          </w:p>
        </w:tc>
      </w:tr>
    </w:tbl>
    <w:p w14:paraId="7ACB9F07" w14:textId="77777777" w:rsidR="00A23D3E" w:rsidRPr="00A23D3E" w:rsidRDefault="00A23D3E" w:rsidP="00A23D3E">
      <w:pPr>
        <w:keepNext/>
        <w:tabs>
          <w:tab w:val="left" w:pos="567"/>
        </w:tabs>
        <w:spacing w:after="0" w:line="240" w:lineRule="auto"/>
        <w:jc w:val="both"/>
        <w:rPr>
          <w:rFonts w:ascii="Times New Roman" w:eastAsia="Times New Roman" w:hAnsi="Times New Roman" w:cs="Times New Roman"/>
          <w:lang w:val="it-IT" w:eastAsia="x-none"/>
        </w:rPr>
      </w:pPr>
    </w:p>
    <w:p w14:paraId="70A0D91C" w14:textId="77777777" w:rsidR="00A23D3E" w:rsidRPr="00A23D3E" w:rsidRDefault="00A23D3E" w:rsidP="00A23D3E">
      <w:pPr>
        <w:keepNext/>
        <w:tabs>
          <w:tab w:val="left" w:pos="567"/>
        </w:tabs>
        <w:spacing w:after="0" w:line="240" w:lineRule="auto"/>
        <w:jc w:val="both"/>
        <w:rPr>
          <w:rFonts w:ascii="Times New Roman" w:eastAsia="Times New Roman" w:hAnsi="Times New Roman" w:cs="Times New Roman"/>
          <w:lang w:val="it-IT" w:eastAsia="x-none"/>
        </w:rPr>
      </w:pPr>
      <w:r w:rsidRPr="00A23D3E">
        <w:rPr>
          <w:rFonts w:ascii="Times New Roman" w:eastAsia="Times New Roman" w:hAnsi="Times New Roman" w:cs="Times New Roman"/>
          <w:lang w:val="it-IT" w:eastAsia="x-none"/>
        </w:rPr>
        <w:t>Tiksliai laikykitės toliau pateiktų nurodymų, kad teisingai paruoštumėte Sandostatin LAR prieš injekciją į raumenis.</w:t>
      </w:r>
    </w:p>
    <w:p w14:paraId="65B5F3E4" w14:textId="77777777" w:rsidR="00A23D3E" w:rsidRPr="00A23D3E" w:rsidRDefault="00A23D3E" w:rsidP="00A23D3E">
      <w:pPr>
        <w:tabs>
          <w:tab w:val="left" w:pos="567"/>
        </w:tabs>
        <w:autoSpaceDE w:val="0"/>
        <w:autoSpaceDN w:val="0"/>
        <w:adjustRightInd w:val="0"/>
        <w:spacing w:after="0" w:line="240" w:lineRule="auto"/>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Yra 3 kritiniai Sandostatin LAR suspensijos ruošimo etapai. </w:t>
      </w:r>
      <w:r w:rsidRPr="00A23D3E">
        <w:rPr>
          <w:rFonts w:ascii="Times New Roman" w:eastAsia="Times New Roman" w:hAnsi="Times New Roman" w:cs="Times New Roman"/>
          <w:b/>
          <w:u w:val="single"/>
          <w:lang w:val="it-IT"/>
        </w:rPr>
        <w:t>Jei nebus laikomasi reikalavimų, vaistinio preparato gali būti suleista netinkamai.</w:t>
      </w:r>
    </w:p>
    <w:p w14:paraId="105A6140" w14:textId="77777777" w:rsidR="00A23D3E" w:rsidRPr="00A23D3E" w:rsidRDefault="00A23D3E" w:rsidP="00A23D3E">
      <w:pPr>
        <w:numPr>
          <w:ilvl w:val="0"/>
          <w:numId w:val="38"/>
        </w:numPr>
        <w:autoSpaceDE w:val="0"/>
        <w:autoSpaceDN w:val="0"/>
        <w:adjustRightInd w:val="0"/>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b/>
          <w:u w:val="single"/>
          <w:lang w:val="it-IT"/>
        </w:rPr>
        <w:t>Injekcinio rinkinio temperatūra turi tapti tokia pati kaip kambario temperatūra</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color w:val="000000"/>
          <w:lang w:val="it-IT"/>
        </w:rPr>
        <w:t xml:space="preserve">Injekcinį rinkinį išimkite iš šaldytuvo ir prieš suspensijos ruošimą palaikykite kambario temperatūroje </w:t>
      </w:r>
      <w:r w:rsidRPr="00A23D3E">
        <w:rPr>
          <w:rFonts w:ascii="Times New Roman" w:eastAsia="Times New Roman" w:hAnsi="Times New Roman" w:cs="Times New Roman"/>
          <w:lang w:val="it-IT"/>
        </w:rPr>
        <w:t>ne trumpiau kaip 30 minučių, tačiau ne ilgiau kaip 24 valandas.</w:t>
      </w:r>
    </w:p>
    <w:p w14:paraId="76518B8B" w14:textId="77777777" w:rsidR="00A23D3E" w:rsidRPr="00A23D3E" w:rsidRDefault="00A23D3E" w:rsidP="00A23D3E">
      <w:pPr>
        <w:numPr>
          <w:ilvl w:val="0"/>
          <w:numId w:val="38"/>
        </w:numPr>
        <w:autoSpaceDE w:val="0"/>
        <w:autoSpaceDN w:val="0"/>
        <w:adjustRightInd w:val="0"/>
        <w:spacing w:after="0" w:line="240" w:lineRule="auto"/>
        <w:ind w:left="567" w:hanging="567"/>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Po tirpiklio sušvirkštimo, nejudinkite flakono 5 minutes, kad būtų </w:t>
      </w:r>
      <w:r w:rsidRPr="00A23D3E">
        <w:rPr>
          <w:rFonts w:ascii="Times New Roman" w:eastAsia="Times New Roman" w:hAnsi="Times New Roman" w:cs="Times New Roman"/>
          <w:b/>
          <w:bCs/>
          <w:lang w:val="it-IT"/>
        </w:rPr>
        <w:t>užtikrinta, jog</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b/>
          <w:u w:val="single"/>
          <w:lang w:val="it-IT"/>
        </w:rPr>
        <w:t>sudrėko visi milteliai.</w:t>
      </w:r>
    </w:p>
    <w:p w14:paraId="316355A6" w14:textId="77777777" w:rsidR="00A23D3E" w:rsidRPr="00A23D3E" w:rsidRDefault="00A23D3E" w:rsidP="00A23D3E">
      <w:pPr>
        <w:numPr>
          <w:ilvl w:val="0"/>
          <w:numId w:val="38"/>
        </w:numPr>
        <w:spacing w:after="0" w:line="240" w:lineRule="auto"/>
        <w:ind w:left="567" w:hanging="567"/>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it-IT" w:eastAsia="x-none"/>
        </w:rPr>
        <w:lastRenderedPageBreak/>
        <w:t xml:space="preserve">Milteliams sudrėkus, </w:t>
      </w:r>
      <w:r w:rsidRPr="00A23D3E">
        <w:rPr>
          <w:rFonts w:ascii="Times New Roman" w:eastAsia="Times New Roman" w:hAnsi="Times New Roman" w:cs="Times New Roman"/>
          <w:b/>
          <w:u w:val="single"/>
          <w:lang w:val="it-IT" w:eastAsia="x-none"/>
        </w:rPr>
        <w:t>flakoną nestipriai pakratykite</w:t>
      </w:r>
      <w:r w:rsidRPr="00A23D3E">
        <w:rPr>
          <w:rFonts w:ascii="Times New Roman" w:eastAsia="Times New Roman" w:hAnsi="Times New Roman" w:cs="Times New Roman"/>
          <w:lang w:val="it-IT" w:eastAsia="x-none"/>
        </w:rPr>
        <w:t xml:space="preserve"> horizontalia kryptimi mažiausiai 30 sekundžių, </w:t>
      </w:r>
      <w:r w:rsidRPr="00A23D3E">
        <w:rPr>
          <w:rFonts w:ascii="Times New Roman" w:eastAsia="Times New Roman" w:hAnsi="Times New Roman" w:cs="Times New Roman"/>
          <w:b/>
          <w:u w:val="single"/>
          <w:lang w:val="it-IT" w:eastAsia="x-none"/>
        </w:rPr>
        <w:t xml:space="preserve">kol susidarys vienalytė suspensija. </w:t>
      </w:r>
      <w:r w:rsidRPr="00A23D3E">
        <w:rPr>
          <w:rFonts w:ascii="Times New Roman" w:eastAsia="Times New Roman" w:hAnsi="Times New Roman" w:cs="Times New Roman"/>
          <w:lang w:val="en-GB" w:eastAsia="x-none"/>
        </w:rPr>
        <w:t xml:space="preserve">Sandostatin LAR suspensiją reikia paruošti </w:t>
      </w:r>
      <w:r w:rsidRPr="00A23D3E">
        <w:rPr>
          <w:rFonts w:ascii="Times New Roman" w:eastAsia="Times New Roman" w:hAnsi="Times New Roman" w:cs="Times New Roman"/>
          <w:b/>
          <w:lang w:val="en-GB" w:eastAsia="x-none"/>
        </w:rPr>
        <w:t xml:space="preserve">tik </w:t>
      </w:r>
      <w:r w:rsidRPr="00A23D3E">
        <w:rPr>
          <w:rFonts w:ascii="Times New Roman" w:eastAsia="Times New Roman" w:hAnsi="Times New Roman" w:cs="Times New Roman"/>
          <w:lang w:val="en-GB" w:eastAsia="x-none"/>
        </w:rPr>
        <w:t>prieš pat injekciją.</w:t>
      </w:r>
    </w:p>
    <w:p w14:paraId="4AD98869" w14:textId="77777777" w:rsidR="00A23D3E" w:rsidRPr="00A23D3E" w:rsidRDefault="00A23D3E" w:rsidP="00A23D3E">
      <w:pPr>
        <w:keepLines/>
        <w:tabs>
          <w:tab w:val="left" w:pos="567"/>
        </w:tabs>
        <w:spacing w:before="120" w:after="0" w:line="240" w:lineRule="auto"/>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en-GB" w:eastAsia="x-none"/>
        </w:rPr>
        <w:t>Sandostatin LAR gali leisti tik išmokytas sveikatos priežiūros specialistas.</w:t>
      </w:r>
    </w:p>
    <w:tbl>
      <w:tblPr>
        <w:tblW w:w="9475" w:type="dxa"/>
        <w:tblInd w:w="-176" w:type="dxa"/>
        <w:tblLayout w:type="fixed"/>
        <w:tblLook w:val="0000" w:firstRow="0" w:lastRow="0" w:firstColumn="0" w:lastColumn="0" w:noHBand="0" w:noVBand="0"/>
      </w:tblPr>
      <w:tblGrid>
        <w:gridCol w:w="6164"/>
        <w:gridCol w:w="3311"/>
      </w:tblGrid>
      <w:tr w:rsidR="00A23D3E" w:rsidRPr="00A23D3E" w14:paraId="56DB73AA" w14:textId="77777777" w:rsidTr="00C931EA">
        <w:trPr>
          <w:tblHeader/>
        </w:trPr>
        <w:tc>
          <w:tcPr>
            <w:tcW w:w="6164" w:type="dxa"/>
            <w:shd w:val="clear" w:color="auto" w:fill="auto"/>
          </w:tcPr>
          <w:p w14:paraId="16530C73" w14:textId="77777777" w:rsidR="00A23D3E" w:rsidRPr="00A23D3E" w:rsidRDefault="00A23D3E" w:rsidP="00A23D3E">
            <w:pPr>
              <w:tabs>
                <w:tab w:val="left" w:pos="426"/>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lastRenderedPageBreak/>
              <w:t>1 etapas</w:t>
            </w:r>
          </w:p>
          <w:p w14:paraId="0B114543"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Sandostatin LAR injekcinį rinkinį išimkite iš šaldytuvo.</w:t>
            </w:r>
          </w:p>
          <w:p w14:paraId="309AD8A2"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 xml:space="preserve">DĖMESIO! Labai svarbu suspensiją pradėti ruošti tik tada, kai injekcinis rinkinys sušyla iki kambario temperatūros. </w:t>
            </w:r>
            <w:r w:rsidRPr="00A23D3E">
              <w:rPr>
                <w:rFonts w:ascii="Times New Roman" w:eastAsia="Times New Roman" w:hAnsi="Times New Roman" w:cs="Times New Roman"/>
                <w:b/>
                <w:bCs/>
                <w:color w:val="000000"/>
                <w:lang w:val="en-GB"/>
              </w:rPr>
              <w:t xml:space="preserve">Prieš ruošdami suspensiją, palaikykite rinkinį kambario temperatūroje </w:t>
            </w:r>
            <w:r w:rsidRPr="00A23D3E">
              <w:rPr>
                <w:rFonts w:ascii="Times New Roman" w:eastAsia="Times New Roman" w:hAnsi="Times New Roman" w:cs="Times New Roman"/>
                <w:b/>
                <w:bCs/>
                <w:lang w:val="en-GB"/>
              </w:rPr>
              <w:t>ne trumpiau kaip 30 minučių, tačiau ne ilgiau kaip 24 valandas.</w:t>
            </w:r>
          </w:p>
          <w:p w14:paraId="3F7588A8"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reikia, injekcinį rinkinį vėl galima įdėti į šaldytuvą.</w:t>
            </w:r>
          </w:p>
          <w:p w14:paraId="1B086BA7"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2D16983F"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B288439" wp14:editId="7C655000">
                  <wp:extent cx="1390650" cy="1390650"/>
                  <wp:effectExtent l="0" t="0" r="0" b="0"/>
                  <wp:docPr id="2"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tc>
      </w:tr>
      <w:tr w:rsidR="00A23D3E" w:rsidRPr="00A23D3E" w14:paraId="6EFA871E" w14:textId="77777777" w:rsidTr="00C931EA">
        <w:trPr>
          <w:tblHeader/>
        </w:trPr>
        <w:tc>
          <w:tcPr>
            <w:tcW w:w="6164" w:type="dxa"/>
            <w:shd w:val="clear" w:color="auto" w:fill="auto"/>
          </w:tcPr>
          <w:p w14:paraId="3BF1253D" w14:textId="77777777" w:rsidR="00A23D3E" w:rsidRPr="00A23D3E" w:rsidRDefault="00A23D3E" w:rsidP="00A23D3E">
            <w:pPr>
              <w:tabs>
                <w:tab w:val="left" w:pos="-2410"/>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2 etapas</w:t>
            </w:r>
          </w:p>
          <w:p w14:paraId="2D2E5EE4"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plastikinį flakono dangtelį ir guminį flakono kamštį nuvalykite alkoholiu suvilgytu tamponu.</w:t>
            </w:r>
          </w:p>
          <w:p w14:paraId="66FB207A"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dengiamąją plėvelę nuo flakono adapterio pakuotės, tačiau NEIŠIMKITE flakono adapterio iš jo pakuotės.</w:t>
            </w:r>
          </w:p>
          <w:p w14:paraId="4B19C562"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lang w:val="en-GB"/>
              </w:rPr>
              <w:t>Laikydami flakono adapterio pakuotę, flakono adapterį uždėkite ant flakono viršūnės ir iki galo pastumkite, kad jis įsistatytų į savo vietą (tai įvykus išgirsite klaktelėjimą</w:t>
            </w:r>
            <w:r w:rsidRPr="00A23D3E">
              <w:rPr>
                <w:rFonts w:ascii="Times New Roman" w:eastAsia="Times New Roman" w:hAnsi="Times New Roman" w:cs="Times New Roman"/>
                <w:color w:val="000000"/>
                <w:lang w:val="en-GB"/>
              </w:rPr>
              <w:t>).</w:t>
            </w:r>
          </w:p>
          <w:p w14:paraId="36B60B02"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Vertikaliu judesiu nuo flakono adapterio nuimkite pakuotę.</w:t>
            </w:r>
          </w:p>
        </w:tc>
        <w:tc>
          <w:tcPr>
            <w:tcW w:w="3311" w:type="dxa"/>
            <w:shd w:val="clear" w:color="auto" w:fill="auto"/>
          </w:tcPr>
          <w:p w14:paraId="00D10D5E"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55BB1346" wp14:editId="04DF4744">
                  <wp:extent cx="1895475" cy="1428750"/>
                  <wp:effectExtent l="0" t="0" r="9525" b="0"/>
                  <wp:docPr id="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95475" cy="14287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04BD9F39" wp14:editId="799204ED">
                  <wp:extent cx="1962150" cy="1447800"/>
                  <wp:effectExtent l="0" t="0" r="0" b="0"/>
                  <wp:docPr id="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A23D3E" w:rsidRPr="00A23D3E" w14:paraId="289C40FA" w14:textId="77777777" w:rsidTr="00C931EA">
        <w:trPr>
          <w:tblHeader/>
        </w:trPr>
        <w:tc>
          <w:tcPr>
            <w:tcW w:w="6164" w:type="dxa"/>
            <w:shd w:val="clear" w:color="auto" w:fill="auto"/>
          </w:tcPr>
          <w:p w14:paraId="1C1E7E0A"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58D6197A"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71D3F347" wp14:editId="6B28DC4F">
                  <wp:extent cx="1962150" cy="1447800"/>
                  <wp:effectExtent l="0" t="0" r="0" b="0"/>
                  <wp:docPr id="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A23D3E" w:rsidRPr="00A23D3E" w14:paraId="4E177960" w14:textId="77777777" w:rsidTr="00C931EA">
        <w:trPr>
          <w:tblHeader/>
        </w:trPr>
        <w:tc>
          <w:tcPr>
            <w:tcW w:w="6164" w:type="dxa"/>
            <w:shd w:val="clear" w:color="auto" w:fill="auto"/>
          </w:tcPr>
          <w:p w14:paraId="0D7580A1" w14:textId="77777777" w:rsidR="00A23D3E" w:rsidRPr="00A23D3E" w:rsidRDefault="00A23D3E" w:rsidP="00A23D3E">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3 etapas</w:t>
            </w:r>
          </w:p>
          <w:p w14:paraId="6FD450BD"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Nuo tirpikliu užpildyto švirkšto numaukite dangtelį ir švirkštą užsukite ant flakono adapterio.</w:t>
            </w:r>
          </w:p>
          <w:p w14:paraId="3F2A61F7"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Stūmoklį lėtai spauskite iki galo, kad į flakoną patektų visas tirpiklio kiekis.</w:t>
            </w:r>
          </w:p>
          <w:p w14:paraId="57FD0B95"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21B23E94"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998A3BC" wp14:editId="0FCE1F78">
                  <wp:extent cx="1952625" cy="1466850"/>
                  <wp:effectExtent l="0" t="0" r="9525" b="0"/>
                  <wp:docPr id="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A23D3E" w:rsidRPr="00A23D3E" w14:paraId="438880F5" w14:textId="77777777" w:rsidTr="00C931EA">
        <w:trPr>
          <w:tblHeader/>
        </w:trPr>
        <w:tc>
          <w:tcPr>
            <w:tcW w:w="6164" w:type="dxa"/>
            <w:shd w:val="clear" w:color="auto" w:fill="auto"/>
          </w:tcPr>
          <w:p w14:paraId="759827E5"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693F7C18"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7199EC99" wp14:editId="391697A7">
                  <wp:extent cx="1952625" cy="1466850"/>
                  <wp:effectExtent l="0" t="0" r="9525" b="0"/>
                  <wp:docPr id="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A23D3E" w:rsidRPr="00A23D3E" w14:paraId="13A664AD" w14:textId="77777777" w:rsidTr="00C931EA">
        <w:trPr>
          <w:tblHeader/>
        </w:trPr>
        <w:tc>
          <w:tcPr>
            <w:tcW w:w="6164" w:type="dxa"/>
            <w:shd w:val="clear" w:color="auto" w:fill="auto"/>
          </w:tcPr>
          <w:p w14:paraId="66C8017B" w14:textId="77777777" w:rsidR="00A23D3E" w:rsidRPr="00A23D3E" w:rsidRDefault="00A23D3E" w:rsidP="00A23D3E">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4 etapas</w:t>
            </w:r>
          </w:p>
          <w:p w14:paraId="21EDBAA8" w14:textId="77777777" w:rsidR="00A23D3E" w:rsidRPr="00A23D3E" w:rsidRDefault="00A23D3E" w:rsidP="00A23D3E">
            <w:pPr>
              <w:spacing w:before="120" w:after="0" w:line="240" w:lineRule="auto"/>
              <w:ind w:left="426"/>
              <w:rPr>
                <w:rFonts w:ascii="Times New Roman" w:eastAsia="Times New Roman" w:hAnsi="Times New Roman" w:cs="Times New Roman"/>
                <w:b/>
                <w:u w:val="single"/>
                <w:lang w:val="en-GB"/>
              </w:rPr>
            </w:pPr>
            <w:r w:rsidRPr="00A23D3E">
              <w:rPr>
                <w:rFonts w:ascii="Times New Roman" w:eastAsia="Times New Roman" w:hAnsi="Times New Roman" w:cs="Times New Roman"/>
                <w:lang w:val="en-GB"/>
              </w:rPr>
              <w:t xml:space="preserve">DĖMESIO! </w:t>
            </w:r>
            <w:r w:rsidRPr="00A23D3E">
              <w:rPr>
                <w:rFonts w:ascii="Times New Roman" w:eastAsia="Times New Roman" w:hAnsi="Times New Roman" w:cs="Times New Roman"/>
                <w:b/>
                <w:bCs/>
                <w:lang w:val="en-GB"/>
              </w:rPr>
              <w:t xml:space="preserve">Labai svarbu nejudinti flakono </w:t>
            </w:r>
            <w:r w:rsidRPr="00A23D3E">
              <w:rPr>
                <w:rFonts w:ascii="Times New Roman" w:eastAsia="Times New Roman" w:hAnsi="Times New Roman" w:cs="Times New Roman"/>
                <w:b/>
                <w:lang w:val="en-GB"/>
              </w:rPr>
              <w:t>5 minutes</w:t>
            </w:r>
            <w:r w:rsidRPr="00A23D3E">
              <w:rPr>
                <w:rFonts w:ascii="Times New Roman" w:eastAsia="Times New Roman" w:hAnsi="Times New Roman" w:cs="Times New Roman"/>
                <w:lang w:val="en-GB"/>
              </w:rPr>
              <w:t xml:space="preserve">, kad būtų užtikrinta, jog </w:t>
            </w:r>
            <w:r w:rsidRPr="00A23D3E">
              <w:rPr>
                <w:rFonts w:ascii="Times New Roman" w:eastAsia="Times New Roman" w:hAnsi="Times New Roman" w:cs="Times New Roman"/>
                <w:bCs/>
                <w:u w:val="single"/>
                <w:lang w:val="en-GB"/>
              </w:rPr>
              <w:t>tirpiklis sudrėkino visus miltelius.</w:t>
            </w:r>
          </w:p>
          <w:p w14:paraId="381E72E2"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stūmoklis šiek tiek pajuda aukštyn, tai normalu, kadangi flakone gali būti šiek tiek padidėjęs slėgis.</w:t>
            </w:r>
          </w:p>
          <w:p w14:paraId="032A1641"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Šiame etape parenkite pacientą injekcijai.</w:t>
            </w:r>
          </w:p>
          <w:p w14:paraId="00A48067"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41DE9928" w14:textId="77777777" w:rsidR="00A23D3E" w:rsidRPr="00A23D3E" w:rsidRDefault="00A23D3E" w:rsidP="00A23D3E">
            <w:pPr>
              <w:tabs>
                <w:tab w:val="left" w:pos="567"/>
              </w:tabs>
              <w:spacing w:before="120" w:after="0" w:line="240" w:lineRule="auto"/>
              <w:jc w:val="center"/>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32C4B510" wp14:editId="3F630705">
                  <wp:extent cx="1647825" cy="1257300"/>
                  <wp:effectExtent l="0" t="0" r="9525" b="0"/>
                  <wp:docPr id="8"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r w:rsidR="00A23D3E" w:rsidRPr="00A23D3E" w14:paraId="6EA438B7" w14:textId="77777777" w:rsidTr="00C931EA">
        <w:trPr>
          <w:tblHeader/>
        </w:trPr>
        <w:tc>
          <w:tcPr>
            <w:tcW w:w="6164" w:type="dxa"/>
            <w:shd w:val="clear" w:color="auto" w:fill="auto"/>
          </w:tcPr>
          <w:p w14:paraId="7170FCB6" w14:textId="77777777" w:rsidR="00A23D3E" w:rsidRPr="00A23D3E" w:rsidRDefault="00A23D3E" w:rsidP="00A23D3E">
            <w:pPr>
              <w:spacing w:before="120" w:after="0" w:line="240" w:lineRule="auto"/>
              <w:ind w:left="426"/>
              <w:rPr>
                <w:rFonts w:ascii="Times New Roman" w:eastAsia="Times New Roman" w:hAnsi="Times New Roman" w:cs="Times New Roman"/>
                <w:b/>
                <w:lang w:val="en-GB"/>
              </w:rPr>
            </w:pPr>
            <w:r w:rsidRPr="00A23D3E">
              <w:rPr>
                <w:rFonts w:ascii="Times New Roman" w:eastAsia="Times New Roman" w:hAnsi="Times New Roman" w:cs="Times New Roman"/>
                <w:b/>
                <w:lang w:val="en-GB"/>
              </w:rPr>
              <w:t>5 etapas</w:t>
            </w:r>
          </w:p>
          <w:p w14:paraId="169BD758"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Kai visi milteliai sudrėksta, patikrinkite, ar stūmoklis yra iki galo įstumtas į švirkštą.</w:t>
            </w:r>
          </w:p>
          <w:p w14:paraId="70883B49" w14:textId="77777777" w:rsidR="00A23D3E" w:rsidRDefault="00A23D3E" w:rsidP="00A23D3E">
            <w:pPr>
              <w:spacing w:before="120" w:after="0" w:line="240" w:lineRule="auto"/>
              <w:ind w:left="426"/>
              <w:rPr>
                <w:rFonts w:ascii="Times New Roman" w:eastAsia="Times New Roman" w:hAnsi="Times New Roman" w:cs="Times New Roman"/>
                <w:lang w:val="it-IT"/>
              </w:rPr>
            </w:pPr>
            <w:r w:rsidRPr="00A23D3E">
              <w:rPr>
                <w:rFonts w:ascii="Times New Roman" w:eastAsia="Times New Roman" w:hAnsi="Times New Roman" w:cs="Times New Roman"/>
                <w:b/>
                <w:lang w:val="en-GB"/>
              </w:rPr>
              <w:t>DĖMESIO!</w:t>
            </w:r>
            <w:r w:rsidRPr="00A23D3E">
              <w:rPr>
                <w:rFonts w:ascii="Times New Roman" w:eastAsia="Times New Roman" w:hAnsi="Times New Roman" w:cs="Times New Roman"/>
                <w:lang w:val="en-GB"/>
              </w:rPr>
              <w:t xml:space="preserve"> Stūmoklį laikykite įspaustą ir flakoną </w:t>
            </w:r>
            <w:r w:rsidRPr="00A23D3E">
              <w:rPr>
                <w:rFonts w:ascii="Times New Roman" w:eastAsia="Times New Roman" w:hAnsi="Times New Roman" w:cs="Times New Roman"/>
                <w:b/>
                <w:lang w:val="en-GB"/>
              </w:rPr>
              <w:t xml:space="preserve">nestipriai </w:t>
            </w:r>
            <w:r w:rsidRPr="00A23D3E">
              <w:rPr>
                <w:rFonts w:ascii="Times New Roman" w:eastAsia="Times New Roman" w:hAnsi="Times New Roman" w:cs="Times New Roman"/>
                <w:lang w:val="en-GB"/>
              </w:rPr>
              <w:t xml:space="preserve">pakratykite horizontaliai </w:t>
            </w:r>
            <w:r w:rsidRPr="00A23D3E">
              <w:rPr>
                <w:rFonts w:ascii="Times New Roman" w:eastAsia="Times New Roman" w:hAnsi="Times New Roman" w:cs="Times New Roman"/>
                <w:b/>
                <w:lang w:val="en-GB"/>
              </w:rPr>
              <w:t>ne trumpiau kaip 30</w:t>
            </w:r>
            <w:r w:rsidRPr="00A23D3E">
              <w:rPr>
                <w:rFonts w:ascii="Times New Roman" w:eastAsia="Times New Roman" w:hAnsi="Times New Roman" w:cs="Times New Roman"/>
                <w:b/>
                <w:bCs/>
                <w:lang w:val="en-GB"/>
              </w:rPr>
              <w:t> </w:t>
            </w:r>
            <w:r w:rsidRPr="00A23D3E">
              <w:rPr>
                <w:rFonts w:ascii="Times New Roman" w:eastAsia="Times New Roman" w:hAnsi="Times New Roman" w:cs="Times New Roman"/>
                <w:b/>
                <w:lang w:val="en-GB"/>
              </w:rPr>
              <w:t>sekundžių</w:t>
            </w:r>
            <w:r w:rsidRPr="00A23D3E">
              <w:rPr>
                <w:rFonts w:ascii="Times New Roman" w:eastAsia="Times New Roman" w:hAnsi="Times New Roman" w:cs="Times New Roman"/>
                <w:lang w:val="en-GB"/>
              </w:rPr>
              <w:t xml:space="preserve">, kad visi milteliai susimaišytų su skysčiu (susidarytų į pieną panaši vienalytė suspensija). </w:t>
            </w:r>
            <w:r w:rsidRPr="00A23D3E">
              <w:rPr>
                <w:rFonts w:ascii="Times New Roman" w:eastAsia="Times New Roman" w:hAnsi="Times New Roman" w:cs="Times New Roman"/>
                <w:b/>
                <w:bCs/>
                <w:lang w:val="it-IT"/>
              </w:rPr>
              <w:t>Jei ne visi milteliai virto suspensija, nestipriai pakratykite dar 30 sekundžių</w:t>
            </w:r>
            <w:r w:rsidRPr="00A23D3E">
              <w:rPr>
                <w:rFonts w:ascii="Times New Roman" w:eastAsia="Times New Roman" w:hAnsi="Times New Roman" w:cs="Times New Roman"/>
                <w:lang w:val="it-IT"/>
              </w:rPr>
              <w:t>.</w:t>
            </w:r>
          </w:p>
          <w:p w14:paraId="73A0FCF1" w14:textId="72A2F46F" w:rsidR="004B177A" w:rsidRPr="00A23D3E" w:rsidRDefault="004B177A" w:rsidP="00A23D3E">
            <w:pPr>
              <w:spacing w:before="120" w:after="0" w:line="240" w:lineRule="auto"/>
              <w:ind w:left="426"/>
              <w:rPr>
                <w:rFonts w:ascii="Times New Roman" w:eastAsia="Times New Roman" w:hAnsi="Times New Roman" w:cs="Times New Roman"/>
                <w:lang w:val="it-IT"/>
              </w:rPr>
            </w:pPr>
          </w:p>
        </w:tc>
        <w:tc>
          <w:tcPr>
            <w:tcW w:w="3311" w:type="dxa"/>
            <w:shd w:val="clear" w:color="auto" w:fill="auto"/>
          </w:tcPr>
          <w:p w14:paraId="0214AFAD"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55112D59" wp14:editId="0F0583B4">
                  <wp:extent cx="1866900" cy="1362075"/>
                  <wp:effectExtent l="0" t="0" r="0" b="9525"/>
                  <wp:docPr id="9"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A23D3E" w:rsidRPr="00A23D3E" w14:paraId="4907A446" w14:textId="77777777" w:rsidTr="00C931EA">
        <w:trPr>
          <w:tblHeader/>
        </w:trPr>
        <w:tc>
          <w:tcPr>
            <w:tcW w:w="6164" w:type="dxa"/>
            <w:shd w:val="clear" w:color="auto" w:fill="auto"/>
          </w:tcPr>
          <w:p w14:paraId="2D20BF84" w14:textId="77777777" w:rsidR="00A23D3E" w:rsidRPr="00A23D3E" w:rsidRDefault="00A23D3E" w:rsidP="00A23D3E">
            <w:pPr>
              <w:spacing w:before="120"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6 etapas</w:t>
            </w:r>
          </w:p>
          <w:p w14:paraId="4260FDF8" w14:textId="34A08797" w:rsidR="00D32A54" w:rsidRPr="00D32A54" w:rsidRDefault="00D32A54" w:rsidP="00D32A54">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color w:val="000000"/>
                <w:lang w:val="en-US"/>
              </w:rPr>
              <w:t>Paruoškite injekcijos vietą alkoholiu suvilgyta servetėle.</w:t>
            </w:r>
          </w:p>
          <w:p w14:paraId="5C5FFF3F" w14:textId="52AC9871"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ir flakoną apverskite, lėtai traukite stūmoklį atgal ir įsiurbkite visą flakono turinį į švirkštą.</w:t>
            </w:r>
          </w:p>
          <w:p w14:paraId="69CFFAFC"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nusukite nuo flakono adapterio.</w:t>
            </w:r>
          </w:p>
          <w:p w14:paraId="6ADC9359"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2B0DBC90"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619A5818" wp14:editId="79328A66">
                  <wp:extent cx="1924050" cy="1428750"/>
                  <wp:effectExtent l="0" t="0" r="0" b="0"/>
                  <wp:docPr id="1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24050" cy="1428750"/>
                          </a:xfrm>
                          <a:prstGeom prst="rect">
                            <a:avLst/>
                          </a:prstGeom>
                          <a:noFill/>
                          <a:ln>
                            <a:noFill/>
                          </a:ln>
                        </pic:spPr>
                      </pic:pic>
                    </a:graphicData>
                  </a:graphic>
                </wp:inline>
              </w:drawing>
            </w:r>
          </w:p>
        </w:tc>
      </w:tr>
      <w:tr w:rsidR="00A23D3E" w:rsidRPr="00A23D3E" w14:paraId="4BDBDB27" w14:textId="77777777" w:rsidTr="00C931EA">
        <w:trPr>
          <w:tblHeader/>
        </w:trPr>
        <w:tc>
          <w:tcPr>
            <w:tcW w:w="6164" w:type="dxa"/>
            <w:shd w:val="clear" w:color="auto" w:fill="auto"/>
          </w:tcPr>
          <w:p w14:paraId="4535E19A" w14:textId="77777777" w:rsidR="00A23D3E" w:rsidRPr="00A23D3E" w:rsidRDefault="00A23D3E" w:rsidP="00A23D3E">
            <w:pPr>
              <w:tabs>
                <w:tab w:val="left" w:pos="567"/>
              </w:tabs>
              <w:autoSpaceDE w:val="0"/>
              <w:autoSpaceDN w:val="0"/>
              <w:adjustRightInd w:val="0"/>
              <w:spacing w:after="0" w:line="240" w:lineRule="auto"/>
              <w:rPr>
                <w:rFonts w:ascii="Times New Roman" w:eastAsia="Times New Roman" w:hAnsi="Times New Roman" w:cs="Times New Roman"/>
                <w:color w:val="000000"/>
                <w:lang w:val="en-GB"/>
              </w:rPr>
            </w:pPr>
          </w:p>
        </w:tc>
        <w:tc>
          <w:tcPr>
            <w:tcW w:w="3311" w:type="dxa"/>
            <w:shd w:val="clear" w:color="auto" w:fill="auto"/>
          </w:tcPr>
          <w:p w14:paraId="3F1CB86C"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22F46AA9" wp14:editId="15AC95C3">
                  <wp:extent cx="1924050" cy="1419225"/>
                  <wp:effectExtent l="0" t="0" r="0" b="9525"/>
                  <wp:docPr id="1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4050" cy="1419225"/>
                          </a:xfrm>
                          <a:prstGeom prst="rect">
                            <a:avLst/>
                          </a:prstGeom>
                          <a:noFill/>
                          <a:ln>
                            <a:noFill/>
                          </a:ln>
                        </pic:spPr>
                      </pic:pic>
                    </a:graphicData>
                  </a:graphic>
                </wp:inline>
              </w:drawing>
            </w:r>
          </w:p>
        </w:tc>
      </w:tr>
      <w:tr w:rsidR="00A23D3E" w:rsidRPr="00A23D3E" w14:paraId="05AAB896" w14:textId="77777777" w:rsidTr="00C931EA">
        <w:trPr>
          <w:tblHeader/>
        </w:trPr>
        <w:tc>
          <w:tcPr>
            <w:tcW w:w="6164" w:type="dxa"/>
            <w:shd w:val="clear" w:color="auto" w:fill="auto"/>
          </w:tcPr>
          <w:p w14:paraId="4C7351CA"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lastRenderedPageBreak/>
              <w:t>7 etapas</w:t>
            </w:r>
          </w:p>
          <w:p w14:paraId="7F159E6D"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 xml:space="preserve">Prie švirkšto prisukite saugią injekcinę adatą. </w:t>
            </w:r>
          </w:p>
          <w:p w14:paraId="079381EF" w14:textId="027C5659" w:rsidR="00A23D3E" w:rsidRPr="00A23D3E" w:rsidRDefault="00D32A54"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Pr>
                <w:rFonts w:ascii="Times New Roman" w:eastAsia="Times New Roman" w:hAnsi="Times New Roman" w:cs="Times New Roman"/>
                <w:color w:val="000000"/>
              </w:rPr>
              <w:t>Š</w:t>
            </w:r>
            <w:r w:rsidR="00A23D3E" w:rsidRPr="00A23D3E">
              <w:rPr>
                <w:rFonts w:ascii="Times New Roman" w:eastAsia="Times New Roman" w:hAnsi="Times New Roman" w:cs="Times New Roman"/>
                <w:color w:val="000000"/>
                <w:lang w:val="en-GB"/>
              </w:rPr>
              <w:t>virkštą</w:t>
            </w:r>
            <w:r>
              <w:rPr>
                <w:rFonts w:ascii="Times New Roman" w:eastAsia="Times New Roman" w:hAnsi="Times New Roman" w:cs="Times New Roman"/>
                <w:color w:val="000000"/>
                <w:lang w:val="en-GB"/>
              </w:rPr>
              <w:t xml:space="preserve"> vėl švelniai pakratykite</w:t>
            </w:r>
            <w:r w:rsidR="00A23D3E" w:rsidRPr="00A23D3E">
              <w:rPr>
                <w:rFonts w:ascii="Times New Roman" w:eastAsia="Times New Roman" w:hAnsi="Times New Roman" w:cs="Times New Roman"/>
                <w:color w:val="000000"/>
                <w:lang w:val="en-GB"/>
              </w:rPr>
              <w:t>, kad susidarytų į pieną panaši vienalytė suspensija.Traukdami tiesiai nuimkite apsauginį adatos dangtelį.</w:t>
            </w:r>
          </w:p>
          <w:p w14:paraId="40EC70BC" w14:textId="29B1DA89" w:rsidR="00A23D3E" w:rsidRPr="004278E9" w:rsidRDefault="00A23D3E" w:rsidP="00D32A54">
            <w:pPr>
              <w:numPr>
                <w:ilvl w:val="0"/>
                <w:numId w:val="38"/>
              </w:numPr>
              <w:autoSpaceDE w:val="0"/>
              <w:autoSpaceDN w:val="0"/>
              <w:adjustRightInd w:val="0"/>
              <w:spacing w:after="0" w:line="240" w:lineRule="auto"/>
              <w:ind w:left="488" w:hanging="488"/>
              <w:rPr>
                <w:rFonts w:ascii="Times New Roman" w:eastAsia="Times New Roman" w:hAnsi="Times New Roman" w:cs="Times New Roman"/>
                <w:i/>
                <w:color w:val="000000"/>
                <w:lang w:val="en-GB"/>
              </w:rPr>
            </w:pPr>
            <w:r w:rsidRPr="00A23D3E">
              <w:rPr>
                <w:rFonts w:ascii="Times New Roman" w:eastAsia="Times New Roman" w:hAnsi="Times New Roman" w:cs="Times New Roman"/>
                <w:color w:val="000000"/>
                <w:lang w:val="en-GB"/>
              </w:rPr>
              <w:t>Švelniai patapšnokite švirkštą, kad iškiltų visi oro burbuliukai, ir juos išstumkite iš švirkšto.</w:t>
            </w:r>
            <w:r w:rsidR="00D32A54">
              <w:rPr>
                <w:rFonts w:ascii="Times New Roman" w:eastAsia="Times New Roman" w:hAnsi="Times New Roman" w:cs="Times New Roman"/>
                <w:color w:val="000000"/>
                <w:lang w:val="en-GB"/>
              </w:rPr>
              <w:t xml:space="preserve"> </w:t>
            </w:r>
            <w:r w:rsidR="00D32A54" w:rsidRPr="004278E9">
              <w:rPr>
                <w:rFonts w:ascii="Times New Roman" w:eastAsia="Times New Roman" w:hAnsi="Times New Roman" w:cs="Times New Roman"/>
                <w:i/>
                <w:color w:val="000000"/>
                <w:lang w:val="en-GB"/>
              </w:rPr>
              <w:t>Įsitikinkite, kad injekcijos vieta nebuvo užteršta.</w:t>
            </w:r>
          </w:p>
          <w:p w14:paraId="49ADBE01"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b/>
                <w:color w:val="000000"/>
                <w:lang w:val="it-IT"/>
              </w:rPr>
              <w:t>Nedelsiant</w:t>
            </w:r>
            <w:r w:rsidRPr="00A23D3E">
              <w:rPr>
                <w:rFonts w:ascii="Times New Roman" w:eastAsia="Calibri" w:hAnsi="Times New Roman" w:cs="Times New Roman"/>
                <w:color w:val="000000"/>
                <w:lang w:val="it-IT"/>
              </w:rPr>
              <w:t xml:space="preserve"> pereikite prie 8 etape nurodyto vartojimo pacientui. </w:t>
            </w:r>
            <w:r w:rsidRPr="00A23D3E">
              <w:rPr>
                <w:rFonts w:ascii="Times New Roman" w:eastAsia="Calibri" w:hAnsi="Times New Roman" w:cs="Times New Roman"/>
                <w:color w:val="000000"/>
                <w:lang w:val="en-US"/>
              </w:rPr>
              <w:t>Uždelsus, gali susidaryti nuosėdos.</w:t>
            </w:r>
            <w:r w:rsidRPr="00A23D3E">
              <w:rPr>
                <w:rFonts w:ascii="Times New Roman" w:eastAsia="Times New Roman" w:hAnsi="Times New Roman" w:cs="Times New Roman"/>
                <w:color w:val="000000"/>
                <w:lang w:val="en-GB"/>
              </w:rPr>
              <w:t xml:space="preserve"> </w:t>
            </w:r>
          </w:p>
          <w:p w14:paraId="295F00CF"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r w:rsidRPr="00A23D3E">
              <w:rPr>
                <w:rFonts w:ascii="Times New Roman" w:eastAsia="Times New Roman" w:hAnsi="Times New Roman" w:cs="Times New Roman"/>
                <w:lang w:val="en-GB"/>
              </w:rPr>
              <w:t>.</w:t>
            </w:r>
          </w:p>
        </w:tc>
        <w:tc>
          <w:tcPr>
            <w:tcW w:w="3311" w:type="dxa"/>
            <w:shd w:val="clear" w:color="auto" w:fill="auto"/>
          </w:tcPr>
          <w:p w14:paraId="3CAED3E0"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18FA0E71" wp14:editId="4C08CC28">
                  <wp:extent cx="1866900" cy="1362075"/>
                  <wp:effectExtent l="0" t="0" r="0" b="9525"/>
                  <wp:docPr id="12"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14:paraId="1A030794"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88D02D6" wp14:editId="24B2793A">
                  <wp:extent cx="1866900" cy="1362075"/>
                  <wp:effectExtent l="0" t="0" r="0" b="9525"/>
                  <wp:docPr id="13"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14:paraId="01466C05"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p>
        </w:tc>
      </w:tr>
      <w:tr w:rsidR="00A23D3E" w:rsidRPr="00A23D3E" w14:paraId="7D54846B" w14:textId="77777777" w:rsidTr="00C931EA">
        <w:trPr>
          <w:tblHeader/>
        </w:trPr>
        <w:tc>
          <w:tcPr>
            <w:tcW w:w="6164" w:type="dxa"/>
            <w:shd w:val="clear" w:color="auto" w:fill="auto"/>
          </w:tcPr>
          <w:p w14:paraId="017811E3"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t>8 etapas</w:t>
            </w:r>
          </w:p>
          <w:p w14:paraId="7652E3B2"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Calibri" w:hAnsi="Times New Roman" w:cs="Times New Roman"/>
                <w:color w:val="000000"/>
                <w:lang w:val="it-IT"/>
              </w:rPr>
            </w:pPr>
            <w:r w:rsidRPr="00A23D3E">
              <w:rPr>
                <w:rFonts w:ascii="Times New Roman" w:eastAsia="Calibri" w:hAnsi="Times New Roman" w:cs="Times New Roman"/>
                <w:color w:val="000000"/>
                <w:lang w:val="it-IT"/>
              </w:rPr>
              <w:t xml:space="preserve">Sandostatin LAR galima leisti tik giliai į sėdmenų raumenis, leisti į veną </w:t>
            </w:r>
            <w:r w:rsidRPr="00A23D3E">
              <w:rPr>
                <w:rFonts w:ascii="Times New Roman" w:eastAsia="Calibri" w:hAnsi="Times New Roman" w:cs="Times New Roman"/>
                <w:b/>
                <w:color w:val="000000"/>
                <w:lang w:val="it-IT"/>
              </w:rPr>
              <w:t>DRAUDŽIAMA</w:t>
            </w:r>
            <w:r w:rsidRPr="00A23D3E">
              <w:rPr>
                <w:rFonts w:ascii="Times New Roman" w:eastAsia="Calibri" w:hAnsi="Times New Roman" w:cs="Times New Roman"/>
                <w:color w:val="000000"/>
                <w:lang w:val="it-IT"/>
              </w:rPr>
              <w:t>.</w:t>
            </w:r>
          </w:p>
          <w:p w14:paraId="64F6275D"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Times New Roman" w:hAnsi="Times New Roman" w:cs="Times New Roman"/>
                <w:color w:val="000000"/>
                <w:lang w:val="it-IT"/>
              </w:rPr>
            </w:pPr>
            <w:r w:rsidRPr="00A23D3E">
              <w:rPr>
                <w:rFonts w:ascii="Times New Roman" w:eastAsia="Calibri" w:hAnsi="Times New Roman" w:cs="Times New Roman"/>
                <w:color w:val="000000"/>
                <w:lang w:val="it-IT"/>
              </w:rPr>
              <w:t xml:space="preserve">Įdurkite adatą į kairės </w:t>
            </w:r>
            <w:r w:rsidRPr="00A23D3E">
              <w:rPr>
                <w:rFonts w:ascii="Times New Roman" w:eastAsia="Times New Roman" w:hAnsi="Times New Roman" w:cs="Times New Roman"/>
                <w:color w:val="000000"/>
                <w:lang w:val="it-IT"/>
              </w:rPr>
              <w:t>ar dešinės pusės sėdmenų raumenis 90º kampu odos atžvilgiu.</w:t>
            </w:r>
          </w:p>
          <w:p w14:paraId="52510CE6"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Times New Roman" w:hAnsi="Times New Roman" w:cs="Times New Roman"/>
                <w:color w:val="000000"/>
                <w:lang w:val="it-IT"/>
              </w:rPr>
            </w:pPr>
            <w:r w:rsidRPr="00A23D3E">
              <w:rPr>
                <w:rFonts w:ascii="Times New Roman" w:eastAsia="Times New Roman" w:hAnsi="Times New Roman" w:cs="Times New Roman"/>
                <w:color w:val="000000"/>
                <w:lang w:val="it-IT"/>
              </w:rPr>
              <w:t>Lėtai atitraukite stūmoklį, kad įsitikintumėte, jog nepataikėte į kraujagyslę (jei pataikėte į kraujagyslę, pakeiskite adatos padėtį).</w:t>
            </w:r>
          </w:p>
          <w:p w14:paraId="0A68C5E6" w14:textId="77777777" w:rsidR="00A23D3E" w:rsidRPr="00A23D3E" w:rsidRDefault="00A23D3E" w:rsidP="00A23D3E">
            <w:pPr>
              <w:numPr>
                <w:ilvl w:val="0"/>
                <w:numId w:val="38"/>
              </w:numPr>
              <w:spacing w:before="120" w:after="0" w:line="240" w:lineRule="auto"/>
              <w:ind w:left="460" w:hanging="426"/>
              <w:contextualSpacing/>
              <w:rPr>
                <w:rFonts w:ascii="Times New Roman" w:eastAsia="Times New Roman" w:hAnsi="Times New Roman" w:cs="Times New Roman"/>
                <w:szCs w:val="20"/>
                <w:lang w:val="it-IT"/>
              </w:rPr>
            </w:pPr>
            <w:r w:rsidRPr="00A23D3E">
              <w:rPr>
                <w:rFonts w:ascii="Times New Roman" w:eastAsia="Times New Roman" w:hAnsi="Times New Roman" w:cs="Times New Roman"/>
                <w:color w:val="000000"/>
                <w:szCs w:val="20"/>
                <w:lang w:val="it-IT"/>
              </w:rPr>
              <w:t xml:space="preserve">Lėtai spauskite stūmoklį, kol švirkštas taps tuščias. Adatą ištraukite iš injekcijos vietos ir suaktyvinkite saugumo sistemą (kaip nurodyta </w:t>
            </w:r>
            <w:r w:rsidRPr="00A23D3E">
              <w:rPr>
                <w:rFonts w:ascii="Times New Roman" w:eastAsia="Times New Roman" w:hAnsi="Times New Roman" w:cs="Times New Roman"/>
                <w:b/>
                <w:bCs/>
                <w:color w:val="000000"/>
                <w:szCs w:val="20"/>
                <w:lang w:val="it-IT"/>
              </w:rPr>
              <w:t>9 etape</w:t>
            </w:r>
            <w:r w:rsidRPr="00A23D3E">
              <w:rPr>
                <w:rFonts w:ascii="Times New Roman" w:eastAsia="Times New Roman" w:hAnsi="Times New Roman" w:cs="Times New Roman"/>
                <w:color w:val="000000"/>
                <w:szCs w:val="20"/>
                <w:lang w:val="it-IT"/>
              </w:rPr>
              <w:t>).</w:t>
            </w:r>
          </w:p>
        </w:tc>
        <w:tc>
          <w:tcPr>
            <w:tcW w:w="3311" w:type="dxa"/>
            <w:shd w:val="clear" w:color="auto" w:fill="auto"/>
          </w:tcPr>
          <w:p w14:paraId="707CC312" w14:textId="77777777" w:rsidR="00A23D3E" w:rsidRPr="00A23D3E" w:rsidRDefault="00A23D3E" w:rsidP="00A23D3E">
            <w:pPr>
              <w:tabs>
                <w:tab w:val="left" w:pos="567"/>
              </w:tabs>
              <w:spacing w:before="120" w:after="0" w:line="240" w:lineRule="auto"/>
              <w:ind w:left="108" w:right="294"/>
              <w:jc w:val="both"/>
              <w:rPr>
                <w:rFonts w:ascii="Times New Roman" w:eastAsia="Times New Roman" w:hAnsi="Times New Roman" w:cs="Times New Roman"/>
                <w:lang w:val="en-GB"/>
              </w:rPr>
            </w:pPr>
            <w:r w:rsidRPr="00A23D3E">
              <w:rPr>
                <w:rFonts w:ascii="Calibri" w:eastAsia="Calibri" w:hAnsi="Calibri" w:cs="Times New Roman"/>
                <w:noProof/>
                <w:lang w:eastAsia="lt-LT"/>
              </w:rPr>
              <mc:AlternateContent>
                <mc:Choice Requires="wps">
                  <w:drawing>
                    <wp:anchor distT="0" distB="0" distL="114300" distR="114300" simplePos="0" relativeHeight="251661312" behindDoc="0" locked="0" layoutInCell="1" allowOverlap="1" wp14:anchorId="6DE1635C" wp14:editId="7AADB096">
                      <wp:simplePos x="0" y="0"/>
                      <wp:positionH relativeFrom="column">
                        <wp:posOffset>407670</wp:posOffset>
                      </wp:positionH>
                      <wp:positionV relativeFrom="paragraph">
                        <wp:posOffset>881380</wp:posOffset>
                      </wp:positionV>
                      <wp:extent cx="723265" cy="299720"/>
                      <wp:effectExtent l="0" t="0" r="0" b="5080"/>
                      <wp:wrapNone/>
                      <wp:docPr id="182"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473131" w14:textId="77777777" w:rsidR="00D32A54" w:rsidRPr="000B196A" w:rsidRDefault="00D32A54" w:rsidP="00A23D3E">
                                  <w:pPr>
                                    <w:rPr>
                                      <w:rFonts w:ascii="Times New Roman" w:hAnsi="Times New Roman"/>
                                      <w:b/>
                                    </w:rPr>
                                  </w:pPr>
                                  <w:r w:rsidRPr="000B196A">
                                    <w:rPr>
                                      <w:rFonts w:ascii="Times New Roman" w:hAnsi="Times New Roman"/>
                                      <w:b/>
                                    </w:rPr>
                                    <w:t>kampu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E1635C" id="Text Box 37" o:spid="_x0000_s1027" type="#_x0000_t202" style="position:absolute;left:0;text-align:left;margin-left:32.1pt;margin-top:69.4pt;width:56.95pt;height:2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" filled="f" stroked="f">
                      <v:textbox>
                        <w:txbxContent>
                          <w:p w14:paraId="1E473131" w14:textId="77777777" w:rsidR="00D32A54" w:rsidRPr="000B196A" w:rsidRDefault="00D32A54" w:rsidP="00A23D3E">
                            <w:pPr>
                              <w:rPr>
                                <w:rFonts w:ascii="Times New Roman" w:hAnsi="Times New Roman"/>
                                <w:b/>
                              </w:rPr>
                            </w:pPr>
                            <w:r w:rsidRPr="000B196A">
                              <w:rPr>
                                <w:rFonts w:ascii="Times New Roman" w:hAnsi="Times New Roman"/>
                                <w:b/>
                              </w:rPr>
                              <w:t>kampu</w:t>
                            </w:r>
                          </w:p>
                        </w:txbxContent>
                      </v:textbox>
                    </v:shape>
                  </w:pict>
                </mc:Fallback>
              </mc:AlternateContent>
            </w:r>
            <w:r w:rsidRPr="00A23D3E">
              <w:rPr>
                <w:rFonts w:ascii="Calibri" w:eastAsia="Calibri" w:hAnsi="Calibri" w:cs="Times New Roman"/>
                <w:noProof/>
                <w:lang w:eastAsia="lt-LT"/>
              </w:rPr>
              <mc:AlternateContent>
                <mc:Choice Requires="wps">
                  <w:drawing>
                    <wp:anchor distT="0" distB="0" distL="114300" distR="114300" simplePos="0" relativeHeight="251660288" behindDoc="0" locked="0" layoutInCell="1" allowOverlap="1" wp14:anchorId="745C678B" wp14:editId="17FD45D8">
                      <wp:simplePos x="0" y="0"/>
                      <wp:positionH relativeFrom="column">
                        <wp:posOffset>529590</wp:posOffset>
                      </wp:positionH>
                      <wp:positionV relativeFrom="paragraph">
                        <wp:posOffset>36830</wp:posOffset>
                      </wp:positionV>
                      <wp:extent cx="1257300" cy="260350"/>
                      <wp:effectExtent l="0" t="0" r="0" b="6350"/>
                      <wp:wrapNone/>
                      <wp:docPr id="18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392046" w14:textId="77777777" w:rsidR="00D32A54" w:rsidRPr="00AD28A5" w:rsidRDefault="00D32A54" w:rsidP="00A23D3E">
                                  <w:pPr>
                                    <w:jc w:val="center"/>
                                    <w:rPr>
                                      <w:rFonts w:ascii="Times New Roman" w:hAnsi="Times New Roman"/>
                                      <w:b/>
                                    </w:rPr>
                                  </w:pPr>
                                  <w:r w:rsidRPr="00AD28A5">
                                    <w:rPr>
                                      <w:rFonts w:ascii="Times New Roman" w:hAnsi="Times New Roman"/>
                                      <w:b/>
                                    </w:rPr>
                                    <w:t>Injekcijos vietos</w:t>
                                  </w:r>
                                </w:p>
                                <w:p w14:paraId="3A97F878" w14:textId="77777777" w:rsidR="00D32A54" w:rsidRDefault="00D32A54" w:rsidP="00A23D3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5C678B" id="Text Box 36" o:spid="_x0000_s1028" type="#_x0000_t202" style="position:absolute;left:0;text-align:left;margin-left:41.7pt;margin-top:2.9pt;width:99pt;height: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" filled="f" stroked="f">
                      <v:textbox>
                        <w:txbxContent>
                          <w:p w14:paraId="50392046" w14:textId="77777777" w:rsidR="00D32A54" w:rsidRPr="00AD28A5" w:rsidRDefault="00D32A54" w:rsidP="00A23D3E">
                            <w:pPr>
                              <w:jc w:val="center"/>
                              <w:rPr>
                                <w:rFonts w:ascii="Times New Roman" w:hAnsi="Times New Roman"/>
                                <w:b/>
                              </w:rPr>
                            </w:pPr>
                            <w:r w:rsidRPr="00AD28A5">
                              <w:rPr>
                                <w:rFonts w:ascii="Times New Roman" w:hAnsi="Times New Roman"/>
                                <w:b/>
                              </w:rPr>
                              <w:t>Injekcijos vietos</w:t>
                            </w:r>
                          </w:p>
                          <w:p w14:paraId="3A97F878" w14:textId="77777777" w:rsidR="00D32A54" w:rsidRDefault="00D32A54" w:rsidP="00A23D3E">
                            <w:pPr>
                              <w:rPr>
                                <w:sz w:val="24"/>
                              </w:rPr>
                            </w:pPr>
                          </w:p>
                        </w:txbxContent>
                      </v:textbox>
                    </v:shape>
                  </w:pict>
                </mc:Fallback>
              </mc:AlternateContent>
            </w:r>
            <w:r w:rsidRPr="00A23D3E">
              <w:rPr>
                <w:rFonts w:ascii="Calibri" w:eastAsia="Calibri" w:hAnsi="Calibri" w:cs="Times New Roman"/>
                <w:noProof/>
                <w:lang w:eastAsia="lt-LT"/>
              </w:rPr>
              <w:drawing>
                <wp:inline distT="0" distB="0" distL="0" distR="0" wp14:anchorId="6A6D3D2B" wp14:editId="7BD08252">
                  <wp:extent cx="1866900" cy="1362075"/>
                  <wp:effectExtent l="0" t="0" r="0" b="9525"/>
                  <wp:docPr id="14" name="Paveikslėlis 32" descr="Injection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2" descr="Injection si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A23D3E" w:rsidRPr="00A23D3E" w14:paraId="0C209AE5" w14:textId="77777777" w:rsidTr="00C931EA">
        <w:trPr>
          <w:gridAfter w:val="1"/>
          <w:wAfter w:w="3311" w:type="dxa"/>
          <w:tblHeader/>
        </w:trPr>
        <w:tc>
          <w:tcPr>
            <w:tcW w:w="6164" w:type="dxa"/>
            <w:shd w:val="clear" w:color="auto" w:fill="auto"/>
          </w:tcPr>
          <w:p w14:paraId="2E68F8E1"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color w:val="000000"/>
                <w:lang w:val="en-GB"/>
              </w:rPr>
            </w:pPr>
          </w:p>
        </w:tc>
      </w:tr>
      <w:tr w:rsidR="00A23D3E" w:rsidRPr="00A23D3E" w14:paraId="338E0DC8" w14:textId="77777777" w:rsidTr="00C931EA">
        <w:trPr>
          <w:tblHeader/>
        </w:trPr>
        <w:tc>
          <w:tcPr>
            <w:tcW w:w="6164" w:type="dxa"/>
            <w:shd w:val="clear" w:color="auto" w:fill="auto"/>
          </w:tcPr>
          <w:p w14:paraId="59E2FDC9" w14:textId="77777777" w:rsidR="00A23D3E" w:rsidRPr="00A23D3E" w:rsidRDefault="00A23D3E" w:rsidP="00A23D3E">
            <w:pPr>
              <w:spacing w:before="120" w:after="0" w:line="240" w:lineRule="auto"/>
              <w:ind w:left="460"/>
              <w:rPr>
                <w:rFonts w:ascii="Times New Roman" w:eastAsia="Times New Roman" w:hAnsi="Times New Roman" w:cs="Times New Roman"/>
                <w:lang w:val="en-GB"/>
              </w:rPr>
            </w:pPr>
            <w:r w:rsidRPr="00A23D3E">
              <w:rPr>
                <w:rFonts w:ascii="Times New Roman" w:eastAsia="Times New Roman" w:hAnsi="Times New Roman" w:cs="Times New Roman"/>
                <w:b/>
                <w:lang w:val="en-GB"/>
              </w:rPr>
              <w:t>9 etapas</w:t>
            </w:r>
          </w:p>
          <w:p w14:paraId="742EE381"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Suaktyvinkite adatos apsaugos mechanizmą vienu iš 2 pateiktų metodų:</w:t>
            </w:r>
          </w:p>
          <w:p w14:paraId="45DAC3C0" w14:textId="77777777" w:rsidR="00A23D3E" w:rsidRPr="00A23D3E" w:rsidRDefault="00A23D3E" w:rsidP="00A23D3E">
            <w:pPr>
              <w:numPr>
                <w:ilvl w:val="0"/>
                <w:numId w:val="43"/>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į kietą paviršių (A paveikslas);</w:t>
            </w:r>
          </w:p>
          <w:p w14:paraId="74946833" w14:textId="77777777" w:rsidR="00A23D3E" w:rsidRPr="00A23D3E" w:rsidRDefault="00A23D3E" w:rsidP="00A23D3E">
            <w:pPr>
              <w:numPr>
                <w:ilvl w:val="0"/>
                <w:numId w:val="43"/>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pirštu (B paveikslas).</w:t>
            </w:r>
          </w:p>
          <w:p w14:paraId="7C6E695B"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Pasigirdęs klaktelėjimas patvirtins, kad apsaugos mechanizmas buvo tinkamai suaktyvintas.</w:t>
            </w:r>
          </w:p>
          <w:p w14:paraId="32CCB993"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Nedelsdami išmeskite švirkštą (į aštrių daiktų talpyklę).</w:t>
            </w:r>
          </w:p>
        </w:tc>
        <w:tc>
          <w:tcPr>
            <w:tcW w:w="3311" w:type="dxa"/>
            <w:shd w:val="clear" w:color="auto" w:fill="auto"/>
          </w:tcPr>
          <w:p w14:paraId="72F81D6F"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9246C9E" wp14:editId="5567A15E">
                  <wp:extent cx="1866900" cy="1390650"/>
                  <wp:effectExtent l="0" t="0" r="0" b="0"/>
                  <wp:docPr id="15"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66900" cy="13906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03A6874B" wp14:editId="26A0EA31">
                  <wp:extent cx="1924050" cy="1333500"/>
                  <wp:effectExtent l="0" t="0" r="0" b="0"/>
                  <wp:docPr id="16"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24050" cy="1333500"/>
                          </a:xfrm>
                          <a:prstGeom prst="rect">
                            <a:avLst/>
                          </a:prstGeom>
                          <a:noFill/>
                          <a:ln>
                            <a:noFill/>
                          </a:ln>
                        </pic:spPr>
                      </pic:pic>
                    </a:graphicData>
                  </a:graphic>
                </wp:inline>
              </w:drawing>
            </w:r>
          </w:p>
        </w:tc>
      </w:tr>
    </w:tbl>
    <w:p w14:paraId="6023EE04"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b/>
          <w:lang w:val="en-US"/>
        </w:rPr>
        <w:t>7.</w:t>
      </w:r>
      <w:r w:rsidRPr="00A23D3E">
        <w:rPr>
          <w:rFonts w:ascii="Times New Roman" w:eastAsia="Calibri" w:hAnsi="Times New Roman" w:cs="Times New Roman"/>
          <w:b/>
          <w:lang w:val="en-US"/>
        </w:rPr>
        <w:tab/>
        <w:t>REGISTRUOTOJAS</w:t>
      </w:r>
    </w:p>
    <w:p w14:paraId="5D6F00AB"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p>
    <w:p w14:paraId="06798B92"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SIA Novartis Baltics</w:t>
      </w:r>
    </w:p>
    <w:p w14:paraId="48F33F2F" w14:textId="22120EFC" w:rsidR="002B040E" w:rsidRPr="00A23D3E" w:rsidRDefault="002B040E" w:rsidP="00A23D3E">
      <w:pPr>
        <w:tabs>
          <w:tab w:val="left" w:pos="567"/>
        </w:tabs>
        <w:spacing w:after="0" w:line="240" w:lineRule="auto"/>
        <w:ind w:left="567" w:hanging="567"/>
        <w:rPr>
          <w:rFonts w:ascii="Times New Roman" w:eastAsia="Calibri" w:hAnsi="Times New Roman" w:cs="Times New Roman"/>
          <w:lang w:val="en-US"/>
        </w:rPr>
      </w:pPr>
      <w:r w:rsidRPr="002B040E">
        <w:rPr>
          <w:rFonts w:ascii="Times New Roman" w:eastAsia="Calibri" w:hAnsi="Times New Roman" w:cs="Times New Roman"/>
          <w:lang w:val="en-US"/>
        </w:rPr>
        <w:t>Skanstes iela 25</w:t>
      </w:r>
    </w:p>
    <w:p w14:paraId="216D2155" w14:textId="7D3AEE7B" w:rsidR="00A23D3E" w:rsidRPr="00A23D3E" w:rsidRDefault="00A23D3E" w:rsidP="00A23D3E">
      <w:p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LV-</w:t>
      </w:r>
      <w:r w:rsidR="002B040E">
        <w:rPr>
          <w:rFonts w:ascii="Times New Roman" w:eastAsia="Calibri" w:hAnsi="Times New Roman" w:cs="Times New Roman"/>
          <w:lang w:val="en-US"/>
        </w:rPr>
        <w:t>1013</w:t>
      </w:r>
      <w:r w:rsidRPr="00A23D3E">
        <w:rPr>
          <w:rFonts w:ascii="Times New Roman" w:eastAsia="Calibri" w:hAnsi="Times New Roman" w:cs="Times New Roman"/>
          <w:lang w:val="en-US"/>
        </w:rPr>
        <w:t>, Rīga</w:t>
      </w:r>
    </w:p>
    <w:p w14:paraId="72A46D0D"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en-US"/>
        </w:rPr>
        <w:t>Latvija</w:t>
      </w:r>
    </w:p>
    <w:p w14:paraId="28F88E40"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6275F0E9"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lastRenderedPageBreak/>
        <w:t>8.</w:t>
      </w:r>
      <w:r w:rsidRPr="00A23D3E">
        <w:rPr>
          <w:rFonts w:ascii="Times New Roman" w:eastAsia="Calibri" w:hAnsi="Times New Roman" w:cs="Times New Roman"/>
          <w:b/>
          <w:lang w:val="it-IT"/>
        </w:rPr>
        <w:tab/>
        <w:t xml:space="preserve">REGISTRACIJOS PAŽYMĖJIMO NUMERIS (-IAI) </w:t>
      </w:r>
    </w:p>
    <w:p w14:paraId="61A7F54E"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037AA94D"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10 mg milteliai ir tirpiklis injekcinei suspensijai</w:t>
      </w:r>
    </w:p>
    <w:p w14:paraId="13BD9B09" w14:textId="77777777" w:rsidR="00A23D3E" w:rsidRPr="00A23D3E" w:rsidRDefault="00A23D3E" w:rsidP="00A23D3E">
      <w:pPr>
        <w:tabs>
          <w:tab w:val="left" w:pos="0"/>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LT/1/94/1033/005</w:t>
      </w:r>
    </w:p>
    <w:p w14:paraId="6BF15440"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p>
    <w:p w14:paraId="243A0CFE"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 xml:space="preserve">Sandostatin LAR 20 mg milteliai ir tirpiklis injekcinei suspensijai </w:t>
      </w:r>
    </w:p>
    <w:p w14:paraId="62113BEC"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LT/1/94/1033/007</w:t>
      </w:r>
    </w:p>
    <w:p w14:paraId="4A34A9CC"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p>
    <w:p w14:paraId="6162C183"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30 mg milteliai ir tirpiklis injekcinei suspensijai</w:t>
      </w:r>
    </w:p>
    <w:p w14:paraId="24A6A698"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LT/1/94/1033/009</w:t>
      </w:r>
    </w:p>
    <w:p w14:paraId="2851CD31" w14:textId="77777777" w:rsidR="00A23D3E" w:rsidRPr="00A23D3E" w:rsidRDefault="00A23D3E" w:rsidP="00A23D3E">
      <w:pPr>
        <w:widowControl w:val="0"/>
        <w:spacing w:after="0" w:line="240" w:lineRule="auto"/>
        <w:rPr>
          <w:rFonts w:ascii="Times New Roman" w:eastAsia="Calibri" w:hAnsi="Times New Roman" w:cs="Times New Roman"/>
          <w:i/>
          <w:lang w:val="it-IT"/>
        </w:rPr>
      </w:pPr>
    </w:p>
    <w:p w14:paraId="65399E93" w14:textId="77777777" w:rsidR="00A23D3E" w:rsidRPr="00A23D3E" w:rsidRDefault="00A23D3E" w:rsidP="00A23D3E">
      <w:pPr>
        <w:widowControl w:val="0"/>
        <w:spacing w:after="0" w:line="240" w:lineRule="auto"/>
        <w:rPr>
          <w:rFonts w:ascii="Times New Roman" w:eastAsia="Calibri" w:hAnsi="Times New Roman" w:cs="Times New Roman"/>
          <w:i/>
          <w:lang w:val="it-IT"/>
        </w:rPr>
      </w:pPr>
    </w:p>
    <w:p w14:paraId="6E855C12"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b/>
          <w:lang w:val="it-IT"/>
        </w:rPr>
        <w:t>9.</w:t>
      </w:r>
      <w:r w:rsidRPr="00A23D3E">
        <w:rPr>
          <w:rFonts w:ascii="Times New Roman" w:eastAsia="Calibri" w:hAnsi="Times New Roman" w:cs="Times New Roman"/>
          <w:b/>
          <w:lang w:val="it-IT"/>
        </w:rPr>
        <w:tab/>
        <w:t>REGISTRAVIMO / PERREGISTRAVIMO DATA</w:t>
      </w:r>
    </w:p>
    <w:p w14:paraId="0D2A033F"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1FCB4029"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10 mg milteliai ir tirpiklis injekcinei suspensijai</w:t>
      </w:r>
    </w:p>
    <w:p w14:paraId="5369282E"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20 mg milteliai ir tirpiklis injekcinei suspensijai</w:t>
      </w:r>
    </w:p>
    <w:p w14:paraId="04374AE6"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Registravimo data 2000 m. liepos 4 d.</w:t>
      </w:r>
    </w:p>
    <w:p w14:paraId="58411964"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Paskutinio perregistravimo data 2010 m. lapkričio 10 d.</w:t>
      </w:r>
    </w:p>
    <w:p w14:paraId="5478083D"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p>
    <w:p w14:paraId="1BE0F01E"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Sandostatin LAR 30 mg milteliai ir tirpiklis injekcinei suspensijai</w:t>
      </w:r>
    </w:p>
    <w:p w14:paraId="1F686E37"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Registravimo data 2012 m. kovo 27 d.</w:t>
      </w:r>
    </w:p>
    <w:p w14:paraId="0458FA1E"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lang w:val="it-IT"/>
        </w:rPr>
        <w:t>Paskutinio perregistravimo data 2017 m. sausio 3 d.</w:t>
      </w:r>
    </w:p>
    <w:p w14:paraId="648004F9"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1E4BA784"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7662B5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10.</w:t>
      </w:r>
      <w:r w:rsidRPr="00A23D3E">
        <w:rPr>
          <w:rFonts w:ascii="Times New Roman" w:eastAsia="Calibri" w:hAnsi="Times New Roman" w:cs="Times New Roman"/>
          <w:b/>
          <w:lang w:val="it-IT"/>
        </w:rPr>
        <w:tab/>
        <w:t>TEKSTO PERŽIŪROS DATA</w:t>
      </w:r>
    </w:p>
    <w:p w14:paraId="059AD31A"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07889923" w14:textId="7EF30C98" w:rsidR="00A23D3E" w:rsidRDefault="00D64C15" w:rsidP="00A23D3E">
      <w:pPr>
        <w:widowControl w:val="0"/>
        <w:numPr>
          <w:ilvl w:val="12"/>
          <w:numId w:val="0"/>
        </w:numPr>
        <w:spacing w:after="0" w:line="240" w:lineRule="auto"/>
        <w:ind w:right="-2"/>
        <w:rPr>
          <w:rFonts w:ascii="Times New Roman" w:eastAsia="Calibri" w:hAnsi="Times New Roman" w:cs="Times New Roman"/>
          <w:lang w:val="en-US"/>
        </w:rPr>
      </w:pPr>
      <w:r>
        <w:rPr>
          <w:rFonts w:ascii="Times New Roman" w:eastAsia="Calibri" w:hAnsi="Times New Roman" w:cs="Times New Roman"/>
          <w:lang w:val="en-US"/>
        </w:rPr>
        <w:t>202</w:t>
      </w:r>
      <w:r w:rsidR="002B040E">
        <w:rPr>
          <w:rFonts w:ascii="Times New Roman" w:eastAsia="Calibri" w:hAnsi="Times New Roman" w:cs="Times New Roman"/>
          <w:lang w:val="en-US"/>
        </w:rPr>
        <w:t>4</w:t>
      </w:r>
      <w:r>
        <w:rPr>
          <w:rFonts w:ascii="Times New Roman" w:eastAsia="Calibri" w:hAnsi="Times New Roman" w:cs="Times New Roman"/>
          <w:lang w:val="en-US"/>
        </w:rPr>
        <w:t xml:space="preserve"> m. </w:t>
      </w:r>
      <w:r w:rsidR="002B040E">
        <w:rPr>
          <w:rFonts w:ascii="Times New Roman" w:eastAsia="Calibri" w:hAnsi="Times New Roman" w:cs="Times New Roman"/>
          <w:lang w:val="en-US"/>
        </w:rPr>
        <w:t>liepos 15</w:t>
      </w:r>
      <w:r>
        <w:rPr>
          <w:rFonts w:ascii="Times New Roman" w:eastAsia="Calibri" w:hAnsi="Times New Roman" w:cs="Times New Roman"/>
          <w:lang w:val="en-US"/>
        </w:rPr>
        <w:t xml:space="preserve"> d.</w:t>
      </w:r>
    </w:p>
    <w:p w14:paraId="17875A85" w14:textId="4D7404E7" w:rsidR="00354374" w:rsidRDefault="00354374" w:rsidP="00A23D3E">
      <w:pPr>
        <w:widowControl w:val="0"/>
        <w:numPr>
          <w:ilvl w:val="12"/>
          <w:numId w:val="0"/>
        </w:numPr>
        <w:spacing w:after="0" w:line="240" w:lineRule="auto"/>
        <w:ind w:right="-2"/>
        <w:rPr>
          <w:rFonts w:ascii="Times New Roman" w:eastAsia="Calibri" w:hAnsi="Times New Roman" w:cs="Times New Roman"/>
          <w:lang w:val="en-US"/>
        </w:rPr>
      </w:pPr>
    </w:p>
    <w:p w14:paraId="76ECE2EA" w14:textId="77777777" w:rsidR="00354374" w:rsidRPr="00A23D3E" w:rsidRDefault="00354374" w:rsidP="00A23D3E">
      <w:pPr>
        <w:widowControl w:val="0"/>
        <w:numPr>
          <w:ilvl w:val="12"/>
          <w:numId w:val="0"/>
        </w:numPr>
        <w:spacing w:after="0" w:line="240" w:lineRule="auto"/>
        <w:ind w:right="-2"/>
        <w:rPr>
          <w:rFonts w:ascii="Times New Roman" w:eastAsia="Calibri" w:hAnsi="Times New Roman" w:cs="Times New Roman"/>
          <w:lang w:val="it-IT"/>
        </w:rPr>
      </w:pPr>
    </w:p>
    <w:p w14:paraId="1E6776DC" w14:textId="569060FA"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 xml:space="preserve">Išsami informacija apie šį vaistinį preparatą pateikiama Valstybinės vaistų kontrolės tarnybos prie Lietuvos Respublikos sveikatos apsaugos ministerijos tinklalapyje </w:t>
      </w:r>
      <w:r w:rsidR="00AA274C" w:rsidRPr="00AA274C">
        <w:rPr>
          <w:rFonts w:ascii="Times New Roman" w:eastAsia="Calibri" w:hAnsi="Times New Roman" w:cs="Times New Roman"/>
          <w:lang w:val="it-IT"/>
        </w:rPr>
        <w:t>https://vvkt.lrv.lt/lt/.</w:t>
      </w:r>
    </w:p>
    <w:p w14:paraId="024790AB" w14:textId="77777777" w:rsidR="00A23D3E" w:rsidRPr="00A23D3E" w:rsidRDefault="00A23D3E" w:rsidP="00A23D3E">
      <w:pPr>
        <w:spacing w:after="200" w:line="276" w:lineRule="auto"/>
        <w:rPr>
          <w:rFonts w:ascii="Times New Roman" w:eastAsia="Calibri" w:hAnsi="Times New Roman" w:cs="Times New Roman"/>
          <w:lang w:val="it-IT"/>
        </w:rPr>
      </w:pPr>
      <w:r w:rsidRPr="00A23D3E">
        <w:rPr>
          <w:rFonts w:ascii="Times New Roman" w:eastAsia="Calibri" w:hAnsi="Times New Roman" w:cs="Times New Roman"/>
          <w:lang w:val="it-IT"/>
        </w:rPr>
        <w:br w:type="page"/>
      </w:r>
    </w:p>
    <w:p w14:paraId="0E85B32F"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3A37DB5B"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0BE71544"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3B279810"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790166CA"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45D15070"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0A07B8AD"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65446C1C"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0CF44EE8"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1383E0DE"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45565C2C"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1D1ACE51"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2869B419"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7A2EDF2C"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73348EBF"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425527A7"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57DF0BA8"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22CF0BA4"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7BFE63B9"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6944A58B"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098FB0B9"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687B59E9"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5F351C08"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13813753"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r w:rsidRPr="00A23D3E">
        <w:rPr>
          <w:rFonts w:ascii="Times New Roman" w:eastAsia="Calibri" w:hAnsi="Times New Roman" w:cs="Times New Roman"/>
          <w:b/>
          <w:lang w:val="it-IT"/>
        </w:rPr>
        <w:t>II PRIEDAS</w:t>
      </w:r>
    </w:p>
    <w:p w14:paraId="5F342B84" w14:textId="77777777" w:rsidR="00A23D3E" w:rsidRPr="00A23D3E" w:rsidRDefault="00A23D3E" w:rsidP="00A23D3E">
      <w:pPr>
        <w:tabs>
          <w:tab w:val="left" w:pos="567"/>
        </w:tabs>
        <w:spacing w:after="0" w:line="260" w:lineRule="exact"/>
        <w:jc w:val="center"/>
        <w:rPr>
          <w:rFonts w:ascii="Times New Roman" w:eastAsia="Calibri" w:hAnsi="Times New Roman" w:cs="Times New Roman"/>
          <w:b/>
          <w:lang w:val="it-IT"/>
        </w:rPr>
      </w:pPr>
    </w:p>
    <w:p w14:paraId="6F7641EA" w14:textId="77777777" w:rsidR="00A23D3E" w:rsidRPr="00A23D3E" w:rsidRDefault="00A23D3E" w:rsidP="00A23D3E">
      <w:pPr>
        <w:tabs>
          <w:tab w:val="left" w:pos="567"/>
        </w:tabs>
        <w:spacing w:after="0" w:line="260" w:lineRule="exact"/>
        <w:jc w:val="center"/>
        <w:rPr>
          <w:rFonts w:ascii="Times New Roman" w:eastAsia="Calibri" w:hAnsi="Times New Roman" w:cs="Times New Roman"/>
          <w:lang w:val="it-IT"/>
        </w:rPr>
      </w:pPr>
      <w:r w:rsidRPr="00A23D3E">
        <w:rPr>
          <w:rFonts w:ascii="Times New Roman" w:eastAsia="Calibri" w:hAnsi="Times New Roman" w:cs="Times New Roman"/>
          <w:b/>
          <w:lang w:val="it-IT"/>
        </w:rPr>
        <w:t>REGISTRACIJOS SĄLYGOS</w:t>
      </w:r>
    </w:p>
    <w:p w14:paraId="26CB9B7B" w14:textId="77777777" w:rsidR="00A23D3E" w:rsidRPr="00A23D3E" w:rsidRDefault="00A23D3E" w:rsidP="00A23D3E">
      <w:pPr>
        <w:tabs>
          <w:tab w:val="left" w:pos="567"/>
        </w:tabs>
        <w:spacing w:after="0" w:line="260" w:lineRule="exact"/>
        <w:ind w:left="1701" w:right="1416" w:hanging="567"/>
        <w:rPr>
          <w:rFonts w:ascii="Times New Roman" w:eastAsia="Calibri" w:hAnsi="Times New Roman" w:cs="Times New Roman"/>
          <w:highlight w:val="yellow"/>
          <w:lang w:val="it-IT"/>
        </w:rPr>
      </w:pPr>
    </w:p>
    <w:p w14:paraId="6C187FB1" w14:textId="77777777" w:rsidR="00A23D3E" w:rsidRPr="00A23D3E" w:rsidRDefault="00A23D3E" w:rsidP="00A23D3E">
      <w:pPr>
        <w:tabs>
          <w:tab w:val="left" w:pos="567"/>
        </w:tabs>
        <w:spacing w:after="0" w:line="260" w:lineRule="exact"/>
        <w:ind w:left="1701" w:right="1416" w:hanging="708"/>
        <w:rPr>
          <w:rFonts w:ascii="Times New Roman" w:eastAsia="Calibri" w:hAnsi="Times New Roman" w:cs="Times New Roman"/>
          <w:b/>
          <w:highlight w:val="yellow"/>
          <w:lang w:val="it-IT"/>
        </w:rPr>
      </w:pPr>
      <w:r w:rsidRPr="00A23D3E">
        <w:rPr>
          <w:rFonts w:ascii="Times New Roman" w:eastAsia="Calibri" w:hAnsi="Times New Roman" w:cs="Times New Roman"/>
          <w:b/>
          <w:lang w:val="it-IT"/>
        </w:rPr>
        <w:t>A.</w:t>
      </w:r>
      <w:r w:rsidRPr="00A23D3E">
        <w:rPr>
          <w:rFonts w:ascii="Times New Roman" w:eastAsia="Calibri" w:hAnsi="Times New Roman" w:cs="Times New Roman"/>
          <w:b/>
          <w:lang w:val="it-IT"/>
        </w:rPr>
        <w:tab/>
        <w:t>GAMINTOJAS (-AI), ATSAKINGAS (-I) UŽ SERIJŲ IŠLEIDIMĄ</w:t>
      </w:r>
    </w:p>
    <w:p w14:paraId="02E7AA7B" w14:textId="77777777" w:rsidR="00A23D3E" w:rsidRPr="00A23D3E" w:rsidRDefault="00A23D3E" w:rsidP="00A23D3E">
      <w:pPr>
        <w:tabs>
          <w:tab w:val="left" w:pos="567"/>
        </w:tabs>
        <w:spacing w:after="0" w:line="260" w:lineRule="exact"/>
        <w:ind w:left="567" w:hanging="567"/>
        <w:rPr>
          <w:rFonts w:ascii="Times New Roman" w:eastAsia="Calibri" w:hAnsi="Times New Roman" w:cs="Times New Roman"/>
          <w:highlight w:val="yellow"/>
          <w:lang w:val="it-IT"/>
        </w:rPr>
      </w:pPr>
    </w:p>
    <w:p w14:paraId="0C83E9DB" w14:textId="77777777" w:rsidR="00A23D3E" w:rsidRPr="00A23D3E" w:rsidRDefault="00A23D3E" w:rsidP="00A23D3E">
      <w:pPr>
        <w:tabs>
          <w:tab w:val="left" w:pos="567"/>
        </w:tabs>
        <w:spacing w:after="0" w:line="260" w:lineRule="exact"/>
        <w:ind w:left="1701" w:right="1416" w:hanging="708"/>
        <w:rPr>
          <w:rFonts w:ascii="Times New Roman" w:eastAsia="Times New Roman" w:hAnsi="Times New Roman" w:cs="Times New Roman"/>
          <w:b/>
          <w:lang w:val="es-ES"/>
        </w:rPr>
      </w:pPr>
      <w:r w:rsidRPr="00A23D3E">
        <w:rPr>
          <w:rFonts w:ascii="Times New Roman" w:eastAsia="Times New Roman" w:hAnsi="Times New Roman" w:cs="Times New Roman"/>
          <w:b/>
          <w:lang w:val="es-ES"/>
        </w:rPr>
        <w:t>B.</w:t>
      </w:r>
      <w:r w:rsidRPr="00A23D3E">
        <w:rPr>
          <w:rFonts w:ascii="Times New Roman" w:eastAsia="Times New Roman" w:hAnsi="Times New Roman" w:cs="Times New Roman"/>
          <w:b/>
          <w:lang w:val="es-ES"/>
        </w:rPr>
        <w:tab/>
        <w:t>TIEKIMO IR VARTOJIMO SĄLYGOS AR APRIBOJIMAI</w:t>
      </w:r>
    </w:p>
    <w:p w14:paraId="3BAF40BE" w14:textId="77777777" w:rsidR="00A23D3E" w:rsidRPr="00A23D3E" w:rsidRDefault="00A23D3E" w:rsidP="00A23D3E">
      <w:pPr>
        <w:tabs>
          <w:tab w:val="left" w:pos="567"/>
        </w:tabs>
        <w:spacing w:after="0" w:line="260" w:lineRule="exact"/>
        <w:ind w:left="567" w:hanging="567"/>
        <w:rPr>
          <w:rFonts w:ascii="Times New Roman" w:eastAsia="Times New Roman" w:hAnsi="Times New Roman" w:cs="Times New Roman"/>
          <w:highlight w:val="yellow"/>
          <w:lang w:val="es-ES"/>
        </w:rPr>
      </w:pPr>
    </w:p>
    <w:p w14:paraId="4D537CC0" w14:textId="77777777" w:rsidR="00A23D3E" w:rsidRPr="00A23D3E" w:rsidRDefault="00A23D3E" w:rsidP="00A23D3E">
      <w:pPr>
        <w:tabs>
          <w:tab w:val="left" w:pos="567"/>
        </w:tabs>
        <w:spacing w:after="0" w:line="260" w:lineRule="exact"/>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br w:type="page"/>
      </w:r>
      <w:r w:rsidRPr="00A23D3E">
        <w:rPr>
          <w:rFonts w:ascii="Times New Roman" w:eastAsia="Times New Roman" w:hAnsi="Times New Roman" w:cs="Times New Roman"/>
          <w:b/>
          <w:lang w:val="es-ES"/>
        </w:rPr>
        <w:lastRenderedPageBreak/>
        <w:t>A.</w:t>
      </w:r>
      <w:r w:rsidRPr="00A23D3E">
        <w:rPr>
          <w:rFonts w:ascii="Times New Roman" w:eastAsia="Times New Roman" w:hAnsi="Times New Roman" w:cs="Times New Roman"/>
          <w:b/>
          <w:lang w:val="es-ES"/>
        </w:rPr>
        <w:tab/>
        <w:t>GAMINTOJAS (-AI), ATSAKINGAS (-I) UŽ SERIJŲ IŠLEIDIMĄ</w:t>
      </w:r>
    </w:p>
    <w:p w14:paraId="16E5A419"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02D51E77" w14:textId="77777777" w:rsidR="00A23D3E" w:rsidRPr="00A23D3E" w:rsidRDefault="00A23D3E" w:rsidP="00A23D3E">
      <w:pPr>
        <w:tabs>
          <w:tab w:val="left" w:pos="567"/>
        </w:tabs>
        <w:spacing w:after="0" w:line="260" w:lineRule="exact"/>
        <w:rPr>
          <w:rFonts w:ascii="Times New Roman" w:eastAsia="Times New Roman" w:hAnsi="Times New Roman" w:cs="Times New Roman"/>
          <w:u w:val="single"/>
          <w:lang w:val="es-ES"/>
        </w:rPr>
      </w:pPr>
      <w:r w:rsidRPr="00A23D3E">
        <w:rPr>
          <w:rFonts w:ascii="Times New Roman" w:eastAsia="Times New Roman" w:hAnsi="Times New Roman" w:cs="Times New Roman"/>
          <w:u w:val="single"/>
          <w:lang w:val="es-ES"/>
        </w:rPr>
        <w:t>Gamintojo (-ų), atsakingo (-ų) už serijų išleidimą, pavadinimas (-ai) ir adresas (-ai)</w:t>
      </w:r>
    </w:p>
    <w:p w14:paraId="44FE645E"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6E5D3946" w14:textId="77777777" w:rsidR="00A23D3E" w:rsidRPr="00A23D3E" w:rsidRDefault="00A23D3E" w:rsidP="00A23D3E">
      <w:pPr>
        <w:tabs>
          <w:tab w:val="left" w:pos="567"/>
        </w:tabs>
        <w:spacing w:after="0" w:line="260" w:lineRule="exact"/>
        <w:rPr>
          <w:rFonts w:ascii="Times New Roman" w:eastAsia="Calibri" w:hAnsi="Times New Roman" w:cs="Times New Roman"/>
          <w:lang w:val="de-DE"/>
        </w:rPr>
      </w:pPr>
      <w:r w:rsidRPr="00A23D3E">
        <w:rPr>
          <w:rFonts w:ascii="Times New Roman" w:eastAsia="Calibri" w:hAnsi="Times New Roman" w:cs="Times New Roman"/>
          <w:lang w:val="de-DE"/>
        </w:rPr>
        <w:t>Novartis Pharma GmbH</w:t>
      </w:r>
    </w:p>
    <w:p w14:paraId="096B1C15" w14:textId="77777777" w:rsidR="00A23D3E" w:rsidRPr="00A23D3E" w:rsidRDefault="00A23D3E" w:rsidP="00A23D3E">
      <w:pPr>
        <w:tabs>
          <w:tab w:val="left" w:pos="567"/>
        </w:tabs>
        <w:spacing w:after="0" w:line="260" w:lineRule="exact"/>
        <w:rPr>
          <w:rFonts w:ascii="Times New Roman" w:eastAsia="Times New Roman" w:hAnsi="Times New Roman" w:cs="Times New Roman"/>
          <w:lang w:val="de-DE"/>
        </w:rPr>
      </w:pPr>
      <w:r w:rsidRPr="00A23D3E">
        <w:rPr>
          <w:rFonts w:ascii="Times New Roman" w:eastAsia="Times New Roman" w:hAnsi="Times New Roman" w:cs="Times New Roman"/>
          <w:lang w:val="de-DE"/>
        </w:rPr>
        <w:t xml:space="preserve">Roonstrasse 25 </w:t>
      </w:r>
    </w:p>
    <w:p w14:paraId="6D210999" w14:textId="77777777" w:rsidR="00A23D3E" w:rsidRPr="00A23D3E" w:rsidRDefault="00A23D3E" w:rsidP="00A23D3E">
      <w:pPr>
        <w:tabs>
          <w:tab w:val="left" w:pos="567"/>
        </w:tabs>
        <w:spacing w:after="0" w:line="260" w:lineRule="exact"/>
        <w:rPr>
          <w:rFonts w:ascii="Times New Roman" w:eastAsia="Times New Roman" w:hAnsi="Times New Roman" w:cs="Times New Roman"/>
          <w:lang w:val="de-DE"/>
        </w:rPr>
      </w:pPr>
      <w:r w:rsidRPr="00A23D3E">
        <w:rPr>
          <w:rFonts w:ascii="Times New Roman" w:eastAsia="Times New Roman" w:hAnsi="Times New Roman" w:cs="Times New Roman"/>
          <w:lang w:val="de-DE"/>
        </w:rPr>
        <w:t>90429 Nürnberg</w:t>
      </w:r>
    </w:p>
    <w:p w14:paraId="277A26B9"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r w:rsidRPr="00A23D3E">
        <w:rPr>
          <w:rFonts w:ascii="Times New Roman" w:eastAsia="Times New Roman" w:hAnsi="Times New Roman" w:cs="Times New Roman"/>
          <w:lang w:val="es-ES"/>
        </w:rPr>
        <w:t>Vokietija</w:t>
      </w:r>
    </w:p>
    <w:p w14:paraId="142C4FAA"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02F8F90A"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r w:rsidRPr="00A23D3E">
        <w:rPr>
          <w:rFonts w:ascii="Times New Roman" w:eastAsia="Times New Roman" w:hAnsi="Times New Roman" w:cs="Times New Roman"/>
          <w:lang w:val="es-ES"/>
        </w:rPr>
        <w:t>arba</w:t>
      </w:r>
    </w:p>
    <w:p w14:paraId="2476A4AA"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7697D1CB"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GmbH</w:t>
      </w:r>
    </w:p>
    <w:p w14:paraId="395846E4" w14:textId="77777777" w:rsidR="00994B3D" w:rsidRPr="00D22CB3" w:rsidRDefault="00994B3D"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Jakov-Lind-Straße 5, Top 3.05</w:t>
      </w:r>
    </w:p>
    <w:p w14:paraId="0AA47345"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1020 Wien</w:t>
      </w:r>
    </w:p>
    <w:p w14:paraId="61E6DAC2"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Austrija</w:t>
      </w:r>
    </w:p>
    <w:p w14:paraId="70632342"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264C9290"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29F7441"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1A3BC891"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NV</w:t>
      </w:r>
    </w:p>
    <w:p w14:paraId="028A2C2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Medialaan 40 Bus 1</w:t>
      </w:r>
    </w:p>
    <w:p w14:paraId="09CDC1D2"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Vilvoorde, B-1800</w:t>
      </w:r>
    </w:p>
    <w:p w14:paraId="3591585A"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Belgija</w:t>
      </w:r>
    </w:p>
    <w:p w14:paraId="2CE28DB7"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A6360D4"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2186531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392EB4C2" w14:textId="0A5074A2"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Healthcare A/S</w:t>
      </w:r>
    </w:p>
    <w:p w14:paraId="4FD945AD"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Edvard Thomsens Vej 14</w:t>
      </w:r>
    </w:p>
    <w:p w14:paraId="5D52D77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København S, 2300</w:t>
      </w:r>
    </w:p>
    <w:p w14:paraId="4E20ACF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Danija</w:t>
      </w:r>
    </w:p>
    <w:p w14:paraId="56999863"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5D78016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5FDBAF47"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9E01A3A" w14:textId="037B1784"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Finland Oy</w:t>
      </w:r>
    </w:p>
    <w:p w14:paraId="755AD7F7"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Metsäneidonkuja 10</w:t>
      </w:r>
    </w:p>
    <w:p w14:paraId="391C2813"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Espoo, FI-02130</w:t>
      </w:r>
    </w:p>
    <w:p w14:paraId="083A38CC"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Suomija</w:t>
      </w:r>
    </w:p>
    <w:p w14:paraId="3CA1A00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1F8630E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7A0EAC0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1FEAD639" w14:textId="32E5A164"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SAS</w:t>
      </w:r>
    </w:p>
    <w:p w14:paraId="0F29136A"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8-10 rue Henri Sainte-Claire Deville</w:t>
      </w:r>
    </w:p>
    <w:p w14:paraId="35DA80A8"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92500 Rueil Malmaison</w:t>
      </w:r>
    </w:p>
    <w:p w14:paraId="1A867AE2"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Prancūzija</w:t>
      </w:r>
    </w:p>
    <w:p w14:paraId="3424FF60"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A65E67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0246F584"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774588B7" w14:textId="5B8CE66D"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(HELLAS) SA</w:t>
      </w:r>
    </w:p>
    <w:p w14:paraId="419AC46D"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12th km National Road Athinon-Lamias</w:t>
      </w:r>
    </w:p>
    <w:p w14:paraId="696E6263"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Metamorfosi Attiki, 14451</w:t>
      </w:r>
    </w:p>
    <w:p w14:paraId="4AC1532B"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Graikija</w:t>
      </w:r>
    </w:p>
    <w:p w14:paraId="75A08557"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2A2849F3"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6A9C61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1A225ABF" w14:textId="467A5001"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Hungary Ltd.</w:t>
      </w:r>
    </w:p>
    <w:p w14:paraId="33000FC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Vasύt u.13.</w:t>
      </w:r>
    </w:p>
    <w:p w14:paraId="246B1114"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Budaörs, 2040</w:t>
      </w:r>
    </w:p>
    <w:p w14:paraId="3A7AEB6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lastRenderedPageBreak/>
        <w:t>Vengrija</w:t>
      </w:r>
    </w:p>
    <w:p w14:paraId="18A6B98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4F2805F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4D7AE9F1"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7F6DA860" w14:textId="6B035521"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14:paraId="2CE1654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Via Provinciale Schito 131</w:t>
      </w:r>
    </w:p>
    <w:p w14:paraId="5DF85A0B"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80058 Torre Annunziata (NA)</w:t>
      </w:r>
    </w:p>
    <w:p w14:paraId="1BA349BD"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14:paraId="6250A728"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4B299F05"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16C65577"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51C9771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14:paraId="56B20E3A" w14:textId="60419AA2" w:rsidR="00E62CBE" w:rsidRPr="00E62CBE" w:rsidRDefault="00E62CBE" w:rsidP="00E62CBE">
      <w:pPr>
        <w:tabs>
          <w:tab w:val="left" w:pos="567"/>
        </w:tabs>
        <w:spacing w:after="0" w:line="260" w:lineRule="exact"/>
        <w:rPr>
          <w:rFonts w:ascii="Times New Roman" w:eastAsia="Times New Roman" w:hAnsi="Times New Roman" w:cs="Times New Roman"/>
          <w:highlight w:val="lightGray"/>
          <w:lang w:val="es-ES"/>
        </w:rPr>
      </w:pPr>
      <w:r w:rsidRPr="00E62CBE">
        <w:rPr>
          <w:rFonts w:ascii="Times New Roman" w:eastAsia="Times New Roman" w:hAnsi="Times New Roman" w:cs="Times New Roman"/>
          <w:highlight w:val="lightGray"/>
          <w:lang w:val="es-ES"/>
        </w:rPr>
        <w:t>Viale Luigi Sturzo 43</w:t>
      </w:r>
    </w:p>
    <w:p w14:paraId="07D8AE8D" w14:textId="77777777" w:rsidR="00E62CBE" w:rsidRPr="004E2135" w:rsidRDefault="00E62CBE" w:rsidP="00E62CBE">
      <w:pPr>
        <w:tabs>
          <w:tab w:val="left" w:pos="567"/>
        </w:tabs>
        <w:spacing w:after="0" w:line="260" w:lineRule="exact"/>
        <w:rPr>
          <w:rFonts w:ascii="Times New Roman" w:hAnsi="Times New Roman"/>
          <w:lang w:val="es-ES"/>
        </w:rPr>
      </w:pPr>
      <w:r w:rsidRPr="00E62CBE">
        <w:rPr>
          <w:rFonts w:ascii="Times New Roman" w:eastAsia="Times New Roman" w:hAnsi="Times New Roman" w:cs="Times New Roman"/>
          <w:highlight w:val="lightGray"/>
          <w:lang w:val="es-ES"/>
        </w:rPr>
        <w:t>20154 - Milan (MI)</w:t>
      </w:r>
    </w:p>
    <w:p w14:paraId="343CC86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14:paraId="3A9AEC4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646847D2"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0F983B2D"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5E22F8CD" w14:textId="2D1B13C9"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 Produtos Farmacêuticos, S.A.</w:t>
      </w:r>
    </w:p>
    <w:p w14:paraId="7EAFA6F0"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Avenida Professor Doutor Cavaco</w:t>
      </w:r>
    </w:p>
    <w:p w14:paraId="33A4368E" w14:textId="609EDCE1"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Silva, n.10E,</w:t>
      </w:r>
      <w:r w:rsidR="00543C18" w:rsidRPr="00D22CB3">
        <w:rPr>
          <w:rFonts w:ascii="Times New Roman" w:eastAsia="Times New Roman" w:hAnsi="Times New Roman" w:cs="Times New Roman"/>
          <w:highlight w:val="lightGray"/>
          <w:lang w:val="es-ES"/>
        </w:rPr>
        <w:t xml:space="preserve"> </w:t>
      </w:r>
      <w:r w:rsidRPr="00D22CB3">
        <w:rPr>
          <w:rFonts w:ascii="Times New Roman" w:eastAsia="Times New Roman" w:hAnsi="Times New Roman" w:cs="Times New Roman"/>
          <w:highlight w:val="lightGray"/>
          <w:lang w:val="es-ES"/>
        </w:rPr>
        <w:t>Taguspark</w:t>
      </w:r>
    </w:p>
    <w:p w14:paraId="3DCDB8A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Porto Salvo, 2740-255</w:t>
      </w:r>
    </w:p>
    <w:p w14:paraId="1832D5E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Portugalija</w:t>
      </w:r>
    </w:p>
    <w:p w14:paraId="7145184B"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2C1EE7C"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4E6BAA0"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2927315" w14:textId="57196D8A"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Poland Sp. z o.o.</w:t>
      </w:r>
    </w:p>
    <w:p w14:paraId="4755A6C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15 Marynarska Street</w:t>
      </w:r>
    </w:p>
    <w:p w14:paraId="3BEBD1F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02-674 Warsaw</w:t>
      </w:r>
    </w:p>
    <w:p w14:paraId="60E31858"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Lenkija</w:t>
      </w:r>
    </w:p>
    <w:p w14:paraId="0329CE7A"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75E2BE03" w14:textId="77777777" w:rsidR="00A23D3E" w:rsidRPr="00B63A2D" w:rsidRDefault="00A23D3E" w:rsidP="00A23D3E">
      <w:pPr>
        <w:tabs>
          <w:tab w:val="left" w:pos="567"/>
        </w:tabs>
        <w:spacing w:after="0" w:line="260" w:lineRule="exact"/>
        <w:rPr>
          <w:rFonts w:ascii="Times New Roman" w:hAnsi="Times New Roman"/>
          <w:lang w:val="es-ES"/>
        </w:rPr>
      </w:pPr>
      <w:r w:rsidRPr="00D22CB3">
        <w:rPr>
          <w:rFonts w:ascii="Times New Roman" w:eastAsia="Times New Roman" w:hAnsi="Times New Roman" w:cs="Times New Roman"/>
          <w:highlight w:val="lightGray"/>
          <w:lang w:val="es-ES"/>
        </w:rPr>
        <w:t>arba</w:t>
      </w:r>
    </w:p>
    <w:p w14:paraId="16A072EE" w14:textId="77777777" w:rsidR="00A23D3E" w:rsidRPr="00B63A2D" w:rsidRDefault="00A23D3E" w:rsidP="00A23D3E">
      <w:pPr>
        <w:tabs>
          <w:tab w:val="left" w:pos="567"/>
        </w:tabs>
        <w:spacing w:after="0" w:line="260" w:lineRule="exact"/>
        <w:rPr>
          <w:rFonts w:ascii="Times New Roman" w:hAnsi="Times New Roman"/>
          <w:lang w:val="es-ES"/>
        </w:rPr>
      </w:pPr>
    </w:p>
    <w:p w14:paraId="2465C5FE" w14:textId="7EF3C14D" w:rsidR="00A23D3E" w:rsidRPr="00B63A2D" w:rsidRDefault="00A23D3E" w:rsidP="00A23D3E">
      <w:pPr>
        <w:tabs>
          <w:tab w:val="left" w:pos="567"/>
        </w:tabs>
        <w:spacing w:after="0" w:line="260" w:lineRule="exact"/>
        <w:rPr>
          <w:rFonts w:ascii="Times New Roman" w:hAnsi="Times New Roman"/>
          <w:lang w:val="es-ES"/>
        </w:rPr>
      </w:pPr>
      <w:r w:rsidRPr="00B63A2D">
        <w:rPr>
          <w:rFonts w:ascii="Times New Roman" w:hAnsi="Times New Roman"/>
          <w:lang w:val="es-ES"/>
        </w:rPr>
        <w:t xml:space="preserve">Novartis </w:t>
      </w:r>
      <w:r w:rsidRPr="005D1D75">
        <w:rPr>
          <w:rFonts w:ascii="Times New Roman" w:eastAsia="Times New Roman" w:hAnsi="Times New Roman" w:cs="Times New Roman"/>
          <w:lang w:val="es-ES"/>
        </w:rPr>
        <w:t>Farmacéutica S</w:t>
      </w:r>
      <w:r w:rsidR="005D1D75" w:rsidRPr="005D1D75">
        <w:rPr>
          <w:rFonts w:ascii="Times New Roman" w:eastAsia="Times New Roman" w:hAnsi="Times New Roman" w:cs="Times New Roman"/>
          <w:lang w:val="es-ES"/>
        </w:rPr>
        <w:t>.</w:t>
      </w:r>
      <w:r w:rsidRPr="005D1D75">
        <w:rPr>
          <w:rFonts w:ascii="Times New Roman" w:eastAsia="Times New Roman" w:hAnsi="Times New Roman" w:cs="Times New Roman"/>
          <w:lang w:val="es-ES"/>
        </w:rPr>
        <w:t>A</w:t>
      </w:r>
      <w:r w:rsidR="005D1D75" w:rsidRPr="00B63A2D">
        <w:rPr>
          <w:rFonts w:ascii="Times New Roman" w:hAnsi="Times New Roman"/>
          <w:lang w:val="es-ES"/>
        </w:rPr>
        <w:t>.</w:t>
      </w:r>
    </w:p>
    <w:p w14:paraId="6F695738" w14:textId="77777777" w:rsidR="002826F9" w:rsidRPr="005D1D75" w:rsidRDefault="002826F9" w:rsidP="002826F9">
      <w:pPr>
        <w:tabs>
          <w:tab w:val="left" w:pos="567"/>
        </w:tabs>
        <w:spacing w:after="0" w:line="260" w:lineRule="exact"/>
        <w:rPr>
          <w:rFonts w:ascii="Times New Roman" w:eastAsia="Times New Roman" w:hAnsi="Times New Roman" w:cs="Times New Roman"/>
          <w:lang w:val="es-ES"/>
        </w:rPr>
      </w:pPr>
      <w:r w:rsidRPr="005D1D75">
        <w:rPr>
          <w:rFonts w:ascii="Times New Roman" w:eastAsia="Times New Roman" w:hAnsi="Times New Roman" w:cs="Times New Roman"/>
          <w:lang w:val="es-ES"/>
        </w:rPr>
        <w:t>Gran Via de les Corts Catalanes, 764</w:t>
      </w:r>
    </w:p>
    <w:p w14:paraId="75B94BD3" w14:textId="77777777" w:rsidR="00543C18" w:rsidRDefault="002826F9" w:rsidP="00A23D3E">
      <w:pPr>
        <w:tabs>
          <w:tab w:val="left" w:pos="567"/>
        </w:tabs>
        <w:spacing w:after="0" w:line="260" w:lineRule="exact"/>
        <w:rPr>
          <w:rFonts w:ascii="Times New Roman" w:eastAsia="Times New Roman" w:hAnsi="Times New Roman" w:cs="Times New Roman"/>
          <w:lang w:val="es-ES"/>
        </w:rPr>
      </w:pPr>
      <w:r w:rsidRPr="005D1D75">
        <w:rPr>
          <w:rFonts w:ascii="Times New Roman" w:eastAsia="Times New Roman" w:hAnsi="Times New Roman" w:cs="Times New Roman"/>
          <w:lang w:val="es-ES"/>
        </w:rPr>
        <w:t>08013 Barcelona</w:t>
      </w:r>
    </w:p>
    <w:p w14:paraId="148B19EA" w14:textId="0B87D9C0" w:rsidR="00A23D3E" w:rsidRPr="00A23D3E" w:rsidRDefault="00A23D3E" w:rsidP="00A23D3E">
      <w:pPr>
        <w:tabs>
          <w:tab w:val="left" w:pos="567"/>
        </w:tabs>
        <w:spacing w:after="0" w:line="260" w:lineRule="exact"/>
        <w:rPr>
          <w:rFonts w:ascii="Times New Roman" w:eastAsia="Times New Roman" w:hAnsi="Times New Roman" w:cs="Times New Roman"/>
          <w:lang w:val="es-ES"/>
        </w:rPr>
      </w:pPr>
      <w:r w:rsidRPr="00A23D3E">
        <w:rPr>
          <w:rFonts w:ascii="Times New Roman" w:eastAsia="Times New Roman" w:hAnsi="Times New Roman" w:cs="Times New Roman"/>
          <w:lang w:val="es-ES"/>
        </w:rPr>
        <w:t>Ispanija</w:t>
      </w:r>
    </w:p>
    <w:p w14:paraId="376DEC84" w14:textId="77777777" w:rsidR="00A23D3E" w:rsidRPr="00B63A2D" w:rsidRDefault="00A23D3E" w:rsidP="00A23D3E">
      <w:pPr>
        <w:tabs>
          <w:tab w:val="left" w:pos="567"/>
        </w:tabs>
        <w:spacing w:after="0" w:line="260" w:lineRule="exact"/>
        <w:rPr>
          <w:rFonts w:ascii="Times New Roman" w:hAnsi="Times New Roman"/>
          <w:lang w:val="es-ES"/>
        </w:rPr>
      </w:pPr>
    </w:p>
    <w:p w14:paraId="0F175AE0" w14:textId="77777777" w:rsidR="00A23D3E" w:rsidRPr="00B63A2D" w:rsidRDefault="00A23D3E" w:rsidP="00A23D3E">
      <w:pPr>
        <w:tabs>
          <w:tab w:val="left" w:pos="567"/>
        </w:tabs>
        <w:spacing w:after="0" w:line="260" w:lineRule="exact"/>
        <w:rPr>
          <w:rFonts w:ascii="Times New Roman" w:hAnsi="Times New Roman"/>
          <w:highlight w:val="lightGray"/>
          <w:lang w:val="es-ES"/>
        </w:rPr>
      </w:pPr>
      <w:r w:rsidRPr="00D22CB3">
        <w:rPr>
          <w:rFonts w:ascii="Times New Roman" w:eastAsia="Times New Roman" w:hAnsi="Times New Roman" w:cs="Times New Roman"/>
          <w:highlight w:val="lightGray"/>
          <w:lang w:val="es-ES"/>
        </w:rPr>
        <w:t>arba</w:t>
      </w:r>
    </w:p>
    <w:p w14:paraId="0E05EB77" w14:textId="77777777" w:rsidR="00A23D3E" w:rsidRPr="00B63A2D" w:rsidRDefault="00A23D3E" w:rsidP="00A23D3E">
      <w:pPr>
        <w:tabs>
          <w:tab w:val="left" w:pos="567"/>
        </w:tabs>
        <w:spacing w:after="0" w:line="260" w:lineRule="exact"/>
        <w:rPr>
          <w:rFonts w:ascii="Times New Roman" w:hAnsi="Times New Roman"/>
          <w:highlight w:val="lightGray"/>
          <w:lang w:val="es-ES"/>
        </w:rPr>
      </w:pPr>
    </w:p>
    <w:p w14:paraId="1426EE87" w14:textId="0BFD0C92" w:rsidR="00A23D3E" w:rsidRPr="00B63A2D" w:rsidRDefault="00A23D3E" w:rsidP="00A23D3E">
      <w:pPr>
        <w:tabs>
          <w:tab w:val="left" w:pos="567"/>
        </w:tabs>
        <w:spacing w:after="0" w:line="260" w:lineRule="exact"/>
        <w:rPr>
          <w:rFonts w:ascii="Times New Roman" w:hAnsi="Times New Roman"/>
          <w:highlight w:val="lightGray"/>
          <w:lang w:val="es-ES"/>
        </w:rPr>
      </w:pPr>
      <w:r w:rsidRPr="00B63A2D">
        <w:rPr>
          <w:rFonts w:ascii="Times New Roman" w:hAnsi="Times New Roman"/>
          <w:highlight w:val="lightGray"/>
          <w:lang w:val="es-ES"/>
        </w:rPr>
        <w:t xml:space="preserve">Novartis </w:t>
      </w:r>
      <w:r w:rsidRPr="00D22CB3">
        <w:rPr>
          <w:rFonts w:ascii="Times New Roman" w:eastAsia="Times New Roman" w:hAnsi="Times New Roman" w:cs="Times New Roman"/>
          <w:highlight w:val="lightGray"/>
          <w:lang w:val="es-ES"/>
        </w:rPr>
        <w:t>Sverige AB,</w:t>
      </w:r>
    </w:p>
    <w:p w14:paraId="349970A8"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 xml:space="preserve">Torshamnsgatan 48, </w:t>
      </w:r>
    </w:p>
    <w:p w14:paraId="7D83BF0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164 40 Kista</w:t>
      </w:r>
    </w:p>
    <w:p w14:paraId="4244AC9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Švedija</w:t>
      </w:r>
    </w:p>
    <w:p w14:paraId="5F9DDB1F" w14:textId="77777777" w:rsidR="00A23D3E" w:rsidRPr="00B63A2D" w:rsidRDefault="00A23D3E" w:rsidP="00A23D3E">
      <w:pPr>
        <w:tabs>
          <w:tab w:val="left" w:pos="567"/>
        </w:tabs>
        <w:spacing w:after="0" w:line="260" w:lineRule="exact"/>
        <w:rPr>
          <w:rFonts w:ascii="Times New Roman" w:hAnsi="Times New Roman"/>
          <w:highlight w:val="lightGray"/>
          <w:lang w:val="es-ES"/>
        </w:rPr>
      </w:pPr>
    </w:p>
    <w:p w14:paraId="45EC0BEE"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0B9270DF"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p>
    <w:p w14:paraId="0C00D276"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B.V.</w:t>
      </w:r>
    </w:p>
    <w:p w14:paraId="1696BC3B"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Haaksbergweg 16</w:t>
      </w:r>
    </w:p>
    <w:p w14:paraId="2FBFE23A"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1101 BX Amsterdam</w:t>
      </w:r>
    </w:p>
    <w:p w14:paraId="6F5686C9" w14:textId="77777777" w:rsidR="00A23D3E" w:rsidRPr="00D22CB3" w:rsidRDefault="00A23D3E" w:rsidP="00A23D3E">
      <w:pPr>
        <w:tabs>
          <w:tab w:val="left" w:pos="567"/>
        </w:tabs>
        <w:spacing w:after="0" w:line="260" w:lineRule="exact"/>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Nyderlandai</w:t>
      </w:r>
    </w:p>
    <w:p w14:paraId="6360D820" w14:textId="15501C45" w:rsidR="00D91E2E" w:rsidRDefault="00D91E2E" w:rsidP="00A23D3E">
      <w:pPr>
        <w:tabs>
          <w:tab w:val="left" w:pos="567"/>
        </w:tabs>
        <w:spacing w:after="0" w:line="260" w:lineRule="exact"/>
        <w:rPr>
          <w:rFonts w:ascii="Times New Roman" w:eastAsia="Times New Roman" w:hAnsi="Times New Roman" w:cs="Times New Roman"/>
          <w:lang w:val="es-ES"/>
        </w:rPr>
      </w:pPr>
    </w:p>
    <w:p w14:paraId="3D5931F9" w14:textId="6E3E8379" w:rsidR="00D91E2E" w:rsidRDefault="00D91E2E" w:rsidP="00A23D3E">
      <w:pPr>
        <w:tabs>
          <w:tab w:val="left" w:pos="567"/>
        </w:tabs>
        <w:spacing w:after="0" w:line="260" w:lineRule="exact"/>
        <w:rPr>
          <w:rFonts w:ascii="Times New Roman" w:eastAsia="Times New Roman" w:hAnsi="Times New Roman" w:cs="Times New Roman"/>
          <w:lang w:val="es-ES"/>
        </w:rPr>
      </w:pPr>
      <w:r w:rsidRPr="00D91E2E">
        <w:rPr>
          <w:rFonts w:ascii="Times New Roman" w:eastAsia="Times New Roman" w:hAnsi="Times New Roman" w:cs="Times New Roman"/>
          <w:lang w:val="es-ES"/>
        </w:rPr>
        <w:t>Su pakuote pateikiamame lapelyje nurodomas gamintojo, atsakingo už konkrečios serijos išleidimą, pavadinimas ir adresas.</w:t>
      </w:r>
    </w:p>
    <w:p w14:paraId="6F46BE2D" w14:textId="77777777" w:rsidR="00D91E2E" w:rsidRPr="00A23D3E" w:rsidRDefault="00D91E2E" w:rsidP="00A23D3E">
      <w:pPr>
        <w:tabs>
          <w:tab w:val="left" w:pos="567"/>
        </w:tabs>
        <w:spacing w:after="0" w:line="260" w:lineRule="exact"/>
        <w:rPr>
          <w:rFonts w:ascii="Times New Roman" w:eastAsia="Times New Roman" w:hAnsi="Times New Roman" w:cs="Times New Roman"/>
          <w:lang w:val="es-ES"/>
        </w:rPr>
      </w:pPr>
    </w:p>
    <w:p w14:paraId="306C54EF"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4703327C"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r w:rsidRPr="00A23D3E">
        <w:rPr>
          <w:rFonts w:ascii="Times New Roman" w:eastAsia="Times New Roman" w:hAnsi="Times New Roman" w:cs="Times New Roman"/>
          <w:b/>
          <w:lang w:val="es-ES"/>
        </w:rPr>
        <w:lastRenderedPageBreak/>
        <w:t>B.</w:t>
      </w:r>
      <w:r w:rsidRPr="00A23D3E">
        <w:rPr>
          <w:rFonts w:ascii="Times New Roman" w:eastAsia="Times New Roman" w:hAnsi="Times New Roman" w:cs="Times New Roman"/>
          <w:b/>
          <w:lang w:val="es-ES"/>
        </w:rPr>
        <w:tab/>
        <w:t xml:space="preserve">TIEKIMO IR VARTOJIMO SĄLYGOS AR APRIBOJIMAI </w:t>
      </w:r>
    </w:p>
    <w:p w14:paraId="60B49AD5" w14:textId="77777777" w:rsidR="00A23D3E" w:rsidRPr="00A23D3E" w:rsidRDefault="00A23D3E" w:rsidP="00A23D3E">
      <w:pPr>
        <w:tabs>
          <w:tab w:val="left" w:pos="567"/>
        </w:tabs>
        <w:spacing w:after="0" w:line="260" w:lineRule="exact"/>
        <w:rPr>
          <w:rFonts w:ascii="Times New Roman" w:eastAsia="Times New Roman" w:hAnsi="Times New Roman" w:cs="Times New Roman"/>
          <w:lang w:val="es-ES"/>
        </w:rPr>
      </w:pPr>
    </w:p>
    <w:p w14:paraId="0BA4CAC7" w14:textId="77777777" w:rsidR="00A23D3E" w:rsidRPr="00A23D3E" w:rsidRDefault="00A23D3E" w:rsidP="00A23D3E">
      <w:pPr>
        <w:numPr>
          <w:ilvl w:val="12"/>
          <w:numId w:val="0"/>
        </w:numPr>
        <w:tabs>
          <w:tab w:val="left" w:pos="567"/>
        </w:tabs>
        <w:spacing w:after="0" w:line="260" w:lineRule="exact"/>
        <w:jc w:val="both"/>
        <w:rPr>
          <w:rFonts w:ascii="Times New Roman" w:eastAsia="Times New Roman" w:hAnsi="Times New Roman" w:cs="Times New Roman"/>
          <w:lang w:val="es-ES"/>
        </w:rPr>
      </w:pPr>
      <w:r w:rsidRPr="00A23D3E">
        <w:rPr>
          <w:rFonts w:ascii="Times New Roman" w:eastAsia="Times New Roman" w:hAnsi="Times New Roman" w:cs="Times New Roman"/>
          <w:lang w:val="es-ES"/>
        </w:rPr>
        <w:t>Receptinis vaistinis preparatas.</w:t>
      </w:r>
    </w:p>
    <w:p w14:paraId="4C03EF43" w14:textId="77777777" w:rsidR="00A23D3E" w:rsidRPr="00A23D3E" w:rsidRDefault="00A23D3E" w:rsidP="00A23D3E">
      <w:pPr>
        <w:numPr>
          <w:ilvl w:val="12"/>
          <w:numId w:val="0"/>
        </w:numPr>
        <w:tabs>
          <w:tab w:val="left" w:pos="567"/>
        </w:tabs>
        <w:spacing w:after="0" w:line="260" w:lineRule="exact"/>
        <w:rPr>
          <w:rFonts w:ascii="Times New Roman" w:eastAsia="Times New Roman" w:hAnsi="Times New Roman" w:cs="Times New Roman"/>
          <w:lang w:val="es-ES"/>
        </w:rPr>
      </w:pPr>
    </w:p>
    <w:p w14:paraId="4DFEB54E" w14:textId="77777777" w:rsidR="00A23D3E" w:rsidRPr="00A23D3E" w:rsidRDefault="00A23D3E" w:rsidP="00A23D3E">
      <w:pPr>
        <w:widowControl w:val="0"/>
        <w:spacing w:after="0" w:line="240" w:lineRule="auto"/>
        <w:rPr>
          <w:rFonts w:ascii="Times New Roman" w:eastAsia="Calibri" w:hAnsi="Times New Roman" w:cs="Times New Roman"/>
          <w:b/>
          <w:lang w:val="es-ES"/>
        </w:rPr>
      </w:pPr>
    </w:p>
    <w:p w14:paraId="3F7E549E" w14:textId="77777777" w:rsidR="00A23D3E" w:rsidRPr="00A23D3E" w:rsidRDefault="00A23D3E" w:rsidP="00A23D3E">
      <w:pPr>
        <w:widowControl w:val="0"/>
        <w:spacing w:after="0" w:line="240" w:lineRule="auto"/>
        <w:rPr>
          <w:rFonts w:ascii="Times New Roman" w:eastAsia="Calibri" w:hAnsi="Times New Roman" w:cs="Times New Roman"/>
          <w:lang w:val="es-ES"/>
        </w:rPr>
      </w:pPr>
      <w:r w:rsidRPr="00A23D3E">
        <w:rPr>
          <w:rFonts w:ascii="Times New Roman" w:eastAsia="Calibri" w:hAnsi="Times New Roman" w:cs="Times New Roman"/>
          <w:b/>
          <w:lang w:val="es-ES"/>
        </w:rPr>
        <w:br w:type="page"/>
      </w:r>
    </w:p>
    <w:p w14:paraId="6C80FEB9"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BB8EA6E"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006551A"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3DFBA9CD"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AADF1EA"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E26930B"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8E402B6"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E48C161"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582F8818"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3284E31A"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F0922E1"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0C8BE1B1"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6D5DEF82"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7BA2E82"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C971ACD"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5BEC01B0"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0809A744"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5628583"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5FA8DA10"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6BC2922B"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26E6D37"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0160988C"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71C8E3DC"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42DA672F" w14:textId="77777777" w:rsidR="00A23D3E" w:rsidRPr="00A23D3E" w:rsidRDefault="00A23D3E" w:rsidP="00A23D3E">
      <w:pPr>
        <w:tabs>
          <w:tab w:val="left" w:pos="567"/>
        </w:tabs>
        <w:spacing w:after="0" w:line="240" w:lineRule="auto"/>
        <w:jc w:val="center"/>
        <w:outlineLvl w:val="0"/>
        <w:rPr>
          <w:rFonts w:ascii="Times New Roman" w:eastAsia="Calibri" w:hAnsi="Times New Roman" w:cs="Times New Roman"/>
          <w:b/>
          <w:kern w:val="28"/>
          <w:lang w:val="es-ES"/>
        </w:rPr>
      </w:pPr>
      <w:r w:rsidRPr="00A23D3E">
        <w:rPr>
          <w:rFonts w:ascii="Times New Roman" w:eastAsia="Calibri" w:hAnsi="Times New Roman" w:cs="Times New Roman"/>
          <w:b/>
          <w:kern w:val="28"/>
          <w:lang w:val="es-ES"/>
        </w:rPr>
        <w:t>III PRIEDAS</w:t>
      </w:r>
    </w:p>
    <w:p w14:paraId="4FB5499E" w14:textId="77777777" w:rsidR="00A23D3E" w:rsidRPr="00A23D3E" w:rsidRDefault="00A23D3E" w:rsidP="00A23D3E">
      <w:pPr>
        <w:tabs>
          <w:tab w:val="left" w:pos="567"/>
        </w:tabs>
        <w:spacing w:after="0" w:line="240" w:lineRule="auto"/>
        <w:jc w:val="center"/>
        <w:outlineLvl w:val="0"/>
        <w:rPr>
          <w:rFonts w:ascii="Times New Roman" w:eastAsia="Calibri" w:hAnsi="Times New Roman" w:cs="Times New Roman"/>
          <w:b/>
          <w:kern w:val="28"/>
          <w:lang w:val="es-ES"/>
        </w:rPr>
      </w:pPr>
    </w:p>
    <w:p w14:paraId="78D6208A" w14:textId="77777777" w:rsidR="00A23D3E" w:rsidRPr="00A23D3E" w:rsidRDefault="00A23D3E" w:rsidP="00A23D3E">
      <w:pPr>
        <w:tabs>
          <w:tab w:val="left" w:pos="567"/>
        </w:tabs>
        <w:spacing w:after="0" w:line="240" w:lineRule="auto"/>
        <w:jc w:val="center"/>
        <w:outlineLvl w:val="0"/>
        <w:rPr>
          <w:rFonts w:ascii="Times New Roman" w:eastAsia="Calibri" w:hAnsi="Times New Roman" w:cs="Times New Roman"/>
          <w:b/>
          <w:kern w:val="28"/>
          <w:lang w:val="es-ES"/>
        </w:rPr>
      </w:pPr>
      <w:r w:rsidRPr="00A23D3E">
        <w:rPr>
          <w:rFonts w:ascii="Times New Roman" w:eastAsia="Calibri" w:hAnsi="Times New Roman" w:cs="Times New Roman"/>
          <w:b/>
          <w:kern w:val="28"/>
          <w:lang w:val="es-ES"/>
        </w:rPr>
        <w:t>ŽENKLINIMAS IR PAKUOTĖS LAPELIS</w:t>
      </w:r>
    </w:p>
    <w:p w14:paraId="49AB4EC9" w14:textId="77777777" w:rsidR="00A23D3E" w:rsidRPr="00A23D3E" w:rsidRDefault="00A23D3E" w:rsidP="00A23D3E">
      <w:pPr>
        <w:spacing w:after="200" w:line="276" w:lineRule="auto"/>
        <w:rPr>
          <w:rFonts w:ascii="Times New Roman" w:eastAsia="Calibri" w:hAnsi="Times New Roman" w:cs="Times New Roman"/>
          <w:b/>
          <w:lang w:val="es-ES"/>
        </w:rPr>
      </w:pPr>
      <w:r w:rsidRPr="00A23D3E">
        <w:rPr>
          <w:rFonts w:ascii="Times New Roman" w:eastAsia="Calibri" w:hAnsi="Times New Roman" w:cs="Times New Roman"/>
          <w:b/>
          <w:lang w:val="es-ES"/>
        </w:rPr>
        <w:br w:type="page"/>
      </w:r>
    </w:p>
    <w:p w14:paraId="4BFA4A36"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5BFDE79C"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36AB3E63"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62853953"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2BF50B6E"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72C45279"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709CF227"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5002A84B"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10FF3544"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29AB3A63"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28EBA2C9"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72D0C30C"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4DD78EE2"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619140C0"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1C6DFEFD"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42DBDF57"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0813E5A0"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7E5CD681"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4A9E1996"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2E4859BF"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28A7CE74"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48A7F85B"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6EEF8815"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b/>
          <w:lang w:val="es-ES"/>
        </w:rPr>
      </w:pPr>
    </w:p>
    <w:p w14:paraId="76448357" w14:textId="77777777" w:rsidR="00A23D3E" w:rsidRPr="00A23D3E" w:rsidRDefault="00A23D3E" w:rsidP="00A23D3E">
      <w:pPr>
        <w:widowControl w:val="0"/>
        <w:numPr>
          <w:ilvl w:val="0"/>
          <w:numId w:val="42"/>
        </w:numPr>
        <w:tabs>
          <w:tab w:val="left" w:pos="567"/>
        </w:tabs>
        <w:spacing w:after="0" w:line="240" w:lineRule="auto"/>
        <w:contextualSpacing/>
        <w:jc w:val="center"/>
        <w:outlineLvl w:val="0"/>
        <w:rPr>
          <w:rFonts w:ascii="Times New Roman" w:eastAsia="Calibri" w:hAnsi="Times New Roman" w:cs="Times New Roman"/>
          <w:lang w:val="en-US"/>
        </w:rPr>
      </w:pPr>
      <w:r w:rsidRPr="00A23D3E">
        <w:rPr>
          <w:rFonts w:ascii="Times New Roman" w:eastAsia="Calibri" w:hAnsi="Times New Roman" w:cs="Times New Roman"/>
          <w:b/>
          <w:lang w:val="en-US"/>
        </w:rPr>
        <w:t>ŽENKLINIMAS</w:t>
      </w:r>
    </w:p>
    <w:p w14:paraId="3D6F883B" w14:textId="77777777" w:rsidR="00A23D3E" w:rsidRPr="00A23D3E" w:rsidRDefault="00A23D3E" w:rsidP="00A23D3E">
      <w:pPr>
        <w:widowControl w:val="0"/>
        <w:shd w:val="clear" w:color="auto" w:fill="FFFFFF"/>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br w:type="page"/>
      </w:r>
    </w:p>
    <w:p w14:paraId="7ACA215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caps/>
          <w:lang w:val="en-US"/>
        </w:rPr>
      </w:pPr>
      <w:r w:rsidRPr="00A23D3E">
        <w:rPr>
          <w:rFonts w:ascii="Times New Roman" w:eastAsia="Times New Roman" w:hAnsi="Times New Roman" w:cs="Times New Roman"/>
          <w:b/>
          <w:caps/>
          <w:lang w:val="en-US"/>
        </w:rPr>
        <w:lastRenderedPageBreak/>
        <w:t xml:space="preserve">Informacija ant </w:t>
      </w:r>
      <w:r w:rsidRPr="00A23D3E">
        <w:rPr>
          <w:rFonts w:ascii="Times New Roman" w:eastAsia="Times New Roman" w:hAnsi="Times New Roman" w:cs="Times New Roman"/>
          <w:b/>
          <w:lang w:val="en-US"/>
        </w:rPr>
        <w:t>IŠORINĖS PAKUOTĖS</w:t>
      </w:r>
    </w:p>
    <w:p w14:paraId="376ED623"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lang w:val="en-US"/>
        </w:rPr>
      </w:pPr>
    </w:p>
    <w:p w14:paraId="3219BF2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lang w:val="en-US"/>
        </w:rPr>
      </w:pPr>
      <w:r w:rsidRPr="00A23D3E">
        <w:rPr>
          <w:rFonts w:ascii="Times New Roman" w:eastAsia="Times New Roman" w:hAnsi="Times New Roman" w:cs="Times New Roman"/>
          <w:b/>
          <w:caps/>
          <w:lang w:val="en-US"/>
        </w:rPr>
        <w:t>IŠORINĖ DĖŽUTĖ / VIENETINĖ PAKUOTĖ</w:t>
      </w:r>
    </w:p>
    <w:p w14:paraId="20C7FF9C"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US"/>
        </w:rPr>
      </w:pPr>
    </w:p>
    <w:p w14:paraId="33A5CA7B"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US"/>
        </w:rPr>
      </w:pPr>
    </w:p>
    <w:p w14:paraId="7A559D1B"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n-US"/>
        </w:rPr>
      </w:pPr>
      <w:r w:rsidRPr="00A23D3E">
        <w:rPr>
          <w:rFonts w:ascii="Times New Roman" w:eastAsia="Times New Roman" w:hAnsi="Times New Roman" w:cs="Times New Roman"/>
          <w:b/>
          <w:caps/>
          <w:lang w:val="en-US"/>
        </w:rPr>
        <w:t>1.</w:t>
      </w:r>
      <w:r w:rsidRPr="00A23D3E">
        <w:rPr>
          <w:rFonts w:ascii="Times New Roman" w:eastAsia="Times New Roman" w:hAnsi="Times New Roman" w:cs="Times New Roman"/>
          <w:b/>
          <w:caps/>
          <w:lang w:val="en-US"/>
        </w:rPr>
        <w:tab/>
        <w:t>vaistinio preparato pavadinimas</w:t>
      </w:r>
    </w:p>
    <w:p w14:paraId="41791F80"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US"/>
        </w:rPr>
      </w:pPr>
    </w:p>
    <w:p w14:paraId="5EBA53BB"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US"/>
        </w:rPr>
      </w:pPr>
      <w:r w:rsidRPr="00A23D3E">
        <w:rPr>
          <w:rFonts w:ascii="Times New Roman" w:eastAsia="Times New Roman" w:hAnsi="Times New Roman" w:cs="Times New Roman"/>
          <w:lang w:val="en-US"/>
        </w:rPr>
        <w:t>Sandostatin LAR 10 mg milteliai ir tirpiklis injekcinei suspensijai</w:t>
      </w:r>
    </w:p>
    <w:p w14:paraId="2D2B0BCB" w14:textId="77777777" w:rsidR="00A23D3E" w:rsidRPr="00A23D3E" w:rsidRDefault="00A23D3E" w:rsidP="00A23D3E">
      <w:pPr>
        <w:shd w:val="clear" w:color="auto" w:fill="D9D9D9"/>
        <w:tabs>
          <w:tab w:val="left" w:pos="567"/>
        </w:tabs>
        <w:spacing w:after="0" w:line="240" w:lineRule="auto"/>
        <w:ind w:left="567" w:hanging="567"/>
        <w:rPr>
          <w:rFonts w:ascii="Times New Roman" w:eastAsia="Times New Roman" w:hAnsi="Times New Roman" w:cs="Times New Roman"/>
          <w:lang w:val="en-US"/>
        </w:rPr>
      </w:pPr>
      <w:r w:rsidRPr="00A23D3E">
        <w:rPr>
          <w:rFonts w:ascii="Times New Roman" w:eastAsia="Times New Roman" w:hAnsi="Times New Roman" w:cs="Times New Roman"/>
          <w:lang w:val="en-US"/>
        </w:rPr>
        <w:t>Sandostatin LAR 20 mg milteliai ir tirpiklis injekcinei suspensijai</w:t>
      </w:r>
    </w:p>
    <w:p w14:paraId="677042EF" w14:textId="77777777" w:rsidR="00A23D3E" w:rsidRPr="00A23D3E" w:rsidRDefault="00A23D3E" w:rsidP="00A23D3E">
      <w:pPr>
        <w:shd w:val="clear" w:color="auto" w:fill="A6A6A6"/>
        <w:tabs>
          <w:tab w:val="left" w:pos="567"/>
        </w:tabs>
        <w:spacing w:after="0" w:line="240" w:lineRule="auto"/>
        <w:ind w:left="567" w:hanging="567"/>
        <w:rPr>
          <w:rFonts w:ascii="Times New Roman" w:eastAsia="Times New Roman" w:hAnsi="Times New Roman" w:cs="Times New Roman"/>
          <w:lang w:val="en-US"/>
        </w:rPr>
      </w:pPr>
      <w:r w:rsidRPr="00A23D3E">
        <w:rPr>
          <w:rFonts w:ascii="Times New Roman" w:eastAsia="Times New Roman" w:hAnsi="Times New Roman" w:cs="Times New Roman"/>
          <w:lang w:val="en-US"/>
        </w:rPr>
        <w:t>Sandostatin LAR 30 mg milteliai ir tirpiklis injekcinei suspensijai</w:t>
      </w:r>
    </w:p>
    <w:p w14:paraId="58C4C302"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i/>
          <w:lang w:val="en-US"/>
        </w:rPr>
      </w:pPr>
      <w:r w:rsidRPr="00A23D3E">
        <w:rPr>
          <w:rFonts w:ascii="Times New Roman" w:eastAsia="Times New Roman" w:hAnsi="Times New Roman" w:cs="Times New Roman"/>
          <w:i/>
          <w:lang w:val="en-US"/>
        </w:rPr>
        <w:t>octreotidum</w:t>
      </w:r>
    </w:p>
    <w:p w14:paraId="0F7A0B0E" w14:textId="77777777" w:rsidR="00A23D3E" w:rsidRPr="00A23D3E" w:rsidRDefault="00A23D3E" w:rsidP="00A23D3E">
      <w:pPr>
        <w:tabs>
          <w:tab w:val="left" w:pos="567"/>
        </w:tabs>
        <w:spacing w:after="0" w:line="240" w:lineRule="auto"/>
        <w:rPr>
          <w:rFonts w:ascii="Times New Roman" w:eastAsia="Times New Roman" w:hAnsi="Times New Roman" w:cs="Times New Roman"/>
          <w:lang w:val="en-US"/>
        </w:rPr>
      </w:pPr>
    </w:p>
    <w:p w14:paraId="5806DE11" w14:textId="77777777" w:rsidR="00A23D3E" w:rsidRPr="00A23D3E" w:rsidRDefault="00A23D3E" w:rsidP="00A23D3E">
      <w:pPr>
        <w:tabs>
          <w:tab w:val="left" w:pos="567"/>
        </w:tabs>
        <w:spacing w:after="0" w:line="240" w:lineRule="auto"/>
        <w:rPr>
          <w:rFonts w:ascii="Times New Roman" w:eastAsia="Times New Roman" w:hAnsi="Times New Roman" w:cs="Times New Roman"/>
          <w:lang w:val="en-US"/>
        </w:rPr>
      </w:pPr>
    </w:p>
    <w:p w14:paraId="1A82250B"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2.</w:t>
      </w:r>
      <w:r w:rsidRPr="00A23D3E">
        <w:rPr>
          <w:rFonts w:ascii="Times New Roman" w:eastAsia="Times New Roman" w:hAnsi="Times New Roman" w:cs="Times New Roman"/>
          <w:b/>
          <w:caps/>
          <w:lang w:val="es-ES"/>
        </w:rPr>
        <w:tab/>
        <w:t>VEIKLIOJI (-IOS) MEDŽIAGA (-OS) IR JOS (-Ų) KIEKIS (-IAI)</w:t>
      </w:r>
    </w:p>
    <w:p w14:paraId="0DD3DBE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13A91780"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Viename flakone yra 10 mg oktreotido (</w:t>
      </w:r>
      <w:r w:rsidRPr="00A23D3E">
        <w:rPr>
          <w:rFonts w:ascii="Times New Roman" w:eastAsia="Calibri" w:hAnsi="Times New Roman" w:cs="Times New Roman"/>
          <w:lang w:val="es-ES"/>
        </w:rPr>
        <w:t>oktreotido acetato pavidalu)</w:t>
      </w:r>
      <w:r w:rsidRPr="00A23D3E">
        <w:rPr>
          <w:rFonts w:ascii="Times New Roman" w:eastAsia="Times New Roman" w:hAnsi="Times New Roman" w:cs="Times New Roman"/>
          <w:lang w:val="es-ES"/>
        </w:rPr>
        <w:t>.</w:t>
      </w:r>
    </w:p>
    <w:p w14:paraId="58F73B67" w14:textId="77777777" w:rsidR="00A23D3E" w:rsidRPr="00A23D3E" w:rsidRDefault="00A23D3E" w:rsidP="00A23D3E">
      <w:pPr>
        <w:shd w:val="clear" w:color="auto" w:fill="D9D9D9"/>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Viename flakone yra 20 mg oktreotido (</w:t>
      </w:r>
      <w:r w:rsidRPr="00A23D3E">
        <w:rPr>
          <w:rFonts w:ascii="Times New Roman" w:eastAsia="Calibri" w:hAnsi="Times New Roman" w:cs="Times New Roman"/>
          <w:lang w:val="es-ES"/>
        </w:rPr>
        <w:t>oktreotido acetato pavidalu)</w:t>
      </w:r>
      <w:r w:rsidRPr="00A23D3E">
        <w:rPr>
          <w:rFonts w:ascii="Times New Roman" w:eastAsia="Times New Roman" w:hAnsi="Times New Roman" w:cs="Times New Roman"/>
          <w:lang w:val="es-ES"/>
        </w:rPr>
        <w:t>.</w:t>
      </w:r>
    </w:p>
    <w:p w14:paraId="1FAEB736" w14:textId="77777777" w:rsidR="00A23D3E" w:rsidRPr="00A23D3E" w:rsidRDefault="00A23D3E" w:rsidP="00A23D3E">
      <w:pPr>
        <w:shd w:val="clear" w:color="auto" w:fill="A6A6A6"/>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Viename flakone yra 30 mg oktreotido (</w:t>
      </w:r>
      <w:r w:rsidRPr="00A23D3E">
        <w:rPr>
          <w:rFonts w:ascii="Times New Roman" w:eastAsia="Calibri" w:hAnsi="Times New Roman" w:cs="Times New Roman"/>
          <w:lang w:val="es-ES"/>
        </w:rPr>
        <w:t>oktreotido acetato pavidalu)</w:t>
      </w:r>
      <w:r w:rsidRPr="00A23D3E">
        <w:rPr>
          <w:rFonts w:ascii="Times New Roman" w:eastAsia="Times New Roman" w:hAnsi="Times New Roman" w:cs="Times New Roman"/>
          <w:lang w:val="es-ES"/>
        </w:rPr>
        <w:t>.</w:t>
      </w:r>
    </w:p>
    <w:p w14:paraId="0CB74F76"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6F702839"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3CC4020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3.</w:t>
      </w:r>
      <w:r w:rsidRPr="00A23D3E">
        <w:rPr>
          <w:rFonts w:ascii="Times New Roman" w:eastAsia="Times New Roman" w:hAnsi="Times New Roman" w:cs="Times New Roman"/>
          <w:b/>
          <w:caps/>
          <w:lang w:val="es-ES"/>
        </w:rPr>
        <w:tab/>
        <w:t>pagalbinių medžiagų sąrašas</w:t>
      </w:r>
    </w:p>
    <w:p w14:paraId="468F8391"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0AB71929"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iCs/>
          <w:lang w:val="it-IT"/>
        </w:rPr>
        <w:t>Milteli</w:t>
      </w:r>
      <w:r w:rsidRPr="00A23D3E">
        <w:rPr>
          <w:rFonts w:ascii="Times New Roman" w:eastAsia="Times New Roman" w:hAnsi="Times New Roman" w:cs="Times New Roman"/>
          <w:iCs/>
        </w:rPr>
        <w:t>ų sudėtyje taip pat yra</w:t>
      </w:r>
      <w:r w:rsidRPr="00A23D3E">
        <w:rPr>
          <w:rFonts w:ascii="Times New Roman" w:eastAsia="Times New Roman" w:hAnsi="Times New Roman" w:cs="Times New Roman"/>
          <w:iCs/>
          <w:lang w:val="it-IT"/>
        </w:rPr>
        <w:t xml:space="preserve"> (flakone): poli (</w:t>
      </w:r>
      <w:r w:rsidRPr="00A23D3E">
        <w:rPr>
          <w:rFonts w:ascii="Times New Roman" w:eastAsia="Times New Roman" w:hAnsi="Times New Roman" w:cs="Times New Roman"/>
          <w:lang w:val="it-IT"/>
        </w:rPr>
        <w:t>DL</w:t>
      </w:r>
      <w:r w:rsidRPr="00A23D3E">
        <w:rPr>
          <w:rFonts w:ascii="Times New Roman" w:eastAsia="Times New Roman" w:hAnsi="Times New Roman" w:cs="Times New Roman"/>
          <w:lang w:val="it-IT"/>
        </w:rPr>
        <w:noBreakHyphen/>
        <w:t>laktido</w:t>
      </w:r>
      <w:r w:rsidRPr="00A23D3E">
        <w:rPr>
          <w:rFonts w:ascii="Times New Roman" w:eastAsia="Times New Roman" w:hAnsi="Times New Roman" w:cs="Times New Roman"/>
          <w:lang w:val="it-IT"/>
        </w:rPr>
        <w:noBreakHyphen/>
        <w:t>glikolido kopolimero),</w:t>
      </w:r>
      <w:r w:rsidRPr="00A23D3E">
        <w:rPr>
          <w:rFonts w:ascii="Times New Roman" w:eastAsia="Times New Roman" w:hAnsi="Times New Roman" w:cs="Times New Roman"/>
          <w:iCs/>
          <w:lang w:val="it-IT"/>
        </w:rPr>
        <w:t xml:space="preserve"> manitolio (E421).</w:t>
      </w:r>
    </w:p>
    <w:p w14:paraId="2D4CF850" w14:textId="77777777" w:rsidR="00A23D3E" w:rsidRPr="00A23D3E" w:rsidRDefault="00A23D3E" w:rsidP="00A23D3E">
      <w:pPr>
        <w:tabs>
          <w:tab w:val="left" w:pos="567"/>
        </w:tabs>
        <w:spacing w:after="0" w:line="240" w:lineRule="auto"/>
        <w:rPr>
          <w:rFonts w:ascii="Times New Roman" w:eastAsia="Times New Roman" w:hAnsi="Times New Roman" w:cs="Times New Roman"/>
          <w:iCs/>
          <w:lang w:val="it-IT"/>
        </w:rPr>
      </w:pPr>
      <w:r w:rsidRPr="00A23D3E">
        <w:rPr>
          <w:rFonts w:ascii="Times New Roman" w:eastAsia="Times New Roman" w:hAnsi="Times New Roman" w:cs="Times New Roman"/>
          <w:iCs/>
          <w:lang w:val="it-IT"/>
        </w:rPr>
        <w:t xml:space="preserve">Tirpiklio </w:t>
      </w:r>
      <w:r w:rsidRPr="00A23D3E">
        <w:rPr>
          <w:rFonts w:ascii="Times New Roman" w:eastAsia="Times New Roman" w:hAnsi="Times New Roman" w:cs="Times New Roman"/>
          <w:iCs/>
        </w:rPr>
        <w:t>sudėtyje taip pat yra</w:t>
      </w:r>
      <w:r w:rsidRPr="00A23D3E">
        <w:rPr>
          <w:rFonts w:ascii="Times New Roman" w:eastAsia="Times New Roman" w:hAnsi="Times New Roman" w:cs="Times New Roman"/>
          <w:iCs/>
          <w:lang w:val="it-IT"/>
        </w:rPr>
        <w:t xml:space="preserve"> (užpildytame švirkšte): k</w:t>
      </w:r>
      <w:r w:rsidRPr="00A23D3E">
        <w:rPr>
          <w:rFonts w:ascii="Times New Roman" w:eastAsia="Times New Roman" w:hAnsi="Times New Roman" w:cs="Times New Roman"/>
          <w:lang w:val="it-IT"/>
        </w:rPr>
        <w:t>armeliozės natrio druskos,</w:t>
      </w:r>
      <w:r w:rsidRPr="00A23D3E">
        <w:rPr>
          <w:rFonts w:ascii="Times New Roman" w:eastAsia="Times New Roman" w:hAnsi="Times New Roman" w:cs="Times New Roman"/>
          <w:iCs/>
          <w:lang w:val="it-IT"/>
        </w:rPr>
        <w:t xml:space="preserve"> manitolio (E421), poloksamero 188, injekcinio vandens.</w:t>
      </w:r>
    </w:p>
    <w:p w14:paraId="7CDED44C" w14:textId="77777777" w:rsidR="00A23D3E" w:rsidRPr="00A23D3E" w:rsidRDefault="00A23D3E" w:rsidP="00A23D3E">
      <w:pPr>
        <w:tabs>
          <w:tab w:val="left" w:pos="567"/>
        </w:tabs>
        <w:spacing w:after="0" w:line="240" w:lineRule="auto"/>
        <w:rPr>
          <w:rFonts w:ascii="Times New Roman" w:eastAsia="Times New Roman" w:hAnsi="Times New Roman" w:cs="Times New Roman"/>
          <w:iCs/>
          <w:lang w:val="es-ES"/>
        </w:rPr>
      </w:pPr>
      <w:r w:rsidRPr="00A23D3E">
        <w:rPr>
          <w:rFonts w:ascii="Times New Roman" w:eastAsia="Times New Roman" w:hAnsi="Times New Roman" w:cs="Times New Roman"/>
          <w:iCs/>
          <w:lang w:val="es-ES"/>
        </w:rPr>
        <w:t>Daugiau informacijos pateikta pakuotės lapelyje.</w:t>
      </w:r>
    </w:p>
    <w:p w14:paraId="0B837381"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4CF2D422"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1AC10601"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4.</w:t>
      </w:r>
      <w:r w:rsidRPr="00A23D3E">
        <w:rPr>
          <w:rFonts w:ascii="Times New Roman" w:eastAsia="Times New Roman" w:hAnsi="Times New Roman" w:cs="Times New Roman"/>
          <w:b/>
          <w:caps/>
          <w:lang w:val="es-ES"/>
        </w:rPr>
        <w:tab/>
        <w:t>FARMACINĖ forma ir KIEKIS PAKUOTĖJE</w:t>
      </w:r>
    </w:p>
    <w:p w14:paraId="7A100C2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54B04D47" w14:textId="77777777" w:rsidR="00A23D3E" w:rsidRPr="00A23D3E" w:rsidRDefault="00A23D3E" w:rsidP="00A23D3E">
      <w:pPr>
        <w:shd w:val="clear" w:color="auto" w:fill="D9D9D9"/>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 xml:space="preserve">Milteliai ir tirpiklis injekcinei suspensijai. </w:t>
      </w:r>
    </w:p>
    <w:p w14:paraId="0A916D58"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Vienas miltelių flakonas,</w:t>
      </w:r>
    </w:p>
    <w:p w14:paraId="081C8690"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vienas tirpikliu užpildytas 2 ml švirkštas,</w:t>
      </w:r>
    </w:p>
    <w:p w14:paraId="496301A0"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lang w:val="it-IT"/>
        </w:rPr>
        <w:t xml:space="preserve">viena saugi </w:t>
      </w:r>
      <w:r w:rsidRPr="00A23D3E">
        <w:rPr>
          <w:rFonts w:ascii="Times New Roman" w:eastAsia="MS Mincho" w:hAnsi="Times New Roman" w:cs="Times New Roman"/>
          <w:lang w:val="it-IT"/>
        </w:rPr>
        <w:t xml:space="preserve">injekcinė adata, </w:t>
      </w:r>
    </w:p>
    <w:p w14:paraId="7642439E"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lang w:val="it-IT"/>
        </w:rPr>
        <w:t>vienas flakono adapteris.</w:t>
      </w:r>
    </w:p>
    <w:p w14:paraId="67290533"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it-IT"/>
        </w:rPr>
      </w:pPr>
    </w:p>
    <w:p w14:paraId="2BB958A9"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it-IT"/>
        </w:rPr>
      </w:pPr>
    </w:p>
    <w:p w14:paraId="008B0ACA"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5.</w:t>
      </w:r>
      <w:r w:rsidRPr="00A23D3E">
        <w:rPr>
          <w:rFonts w:ascii="Times New Roman" w:eastAsia="Times New Roman" w:hAnsi="Times New Roman" w:cs="Times New Roman"/>
          <w:b/>
          <w:caps/>
          <w:lang w:val="es-ES"/>
        </w:rPr>
        <w:tab/>
        <w:t>vartojimo METODAS IR būdas (-AI)</w:t>
      </w:r>
    </w:p>
    <w:p w14:paraId="71298E1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623E1194"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Prieš vartojimą perskaitykite pakuotės lapelį.</w:t>
      </w:r>
    </w:p>
    <w:p w14:paraId="023549BD"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Leisti į raumenis</w:t>
      </w:r>
    </w:p>
    <w:p w14:paraId="515A8B83"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Vienkartiniam naudojimui</w:t>
      </w:r>
    </w:p>
    <w:p w14:paraId="19A6EEBF"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3421CAD0"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0F6E5499"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720" w:hanging="720"/>
        <w:outlineLvl w:val="0"/>
        <w:rPr>
          <w:rFonts w:ascii="Times New Roman" w:eastAsia="Calibri" w:hAnsi="Times New Roman" w:cs="Times New Roman"/>
          <w:b/>
          <w:caps/>
          <w:lang w:val="es-ES"/>
        </w:rPr>
      </w:pPr>
      <w:r w:rsidRPr="00A23D3E">
        <w:rPr>
          <w:rFonts w:ascii="Times New Roman" w:eastAsia="Calibri" w:hAnsi="Times New Roman" w:cs="Times New Roman"/>
          <w:b/>
          <w:caps/>
          <w:lang w:val="es-ES"/>
        </w:rPr>
        <w:t>6.</w:t>
      </w:r>
      <w:r w:rsidRPr="00A23D3E">
        <w:rPr>
          <w:rFonts w:ascii="Times New Roman" w:eastAsia="Calibri" w:hAnsi="Times New Roman" w:cs="Times New Roman"/>
          <w:b/>
          <w:caps/>
          <w:lang w:val="es-ES"/>
        </w:rPr>
        <w:tab/>
        <w:t>SPECIALUS Įspėjimas</w:t>
      </w:r>
      <w:r w:rsidRPr="00A23D3E">
        <w:rPr>
          <w:rFonts w:ascii="Times New Roman" w:eastAsia="Calibri" w:hAnsi="Times New Roman" w:cs="Times New Roman"/>
          <w:lang w:val="es-ES"/>
        </w:rPr>
        <w:t xml:space="preserve">, </w:t>
      </w:r>
      <w:r w:rsidRPr="00A23D3E">
        <w:rPr>
          <w:rFonts w:ascii="Times New Roman" w:eastAsia="Calibri" w:hAnsi="Times New Roman" w:cs="Times New Roman"/>
          <w:b/>
          <w:lang w:val="es-ES"/>
        </w:rPr>
        <w:t xml:space="preserve">KAD VAISTINĮ PREPARATĄ BŪTINA LAIKYTI </w:t>
      </w:r>
      <w:r w:rsidRPr="00A23D3E">
        <w:rPr>
          <w:rFonts w:ascii="Times New Roman" w:eastAsia="Calibri" w:hAnsi="Times New Roman" w:cs="Times New Roman"/>
          <w:b/>
          <w:caps/>
          <w:lang w:val="es-ES"/>
        </w:rPr>
        <w:t>vaikams nepastebimoje ir nepasiekiamoje vietoje</w:t>
      </w:r>
    </w:p>
    <w:p w14:paraId="16B02C8E"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7FA9F52F" w14:textId="77777777" w:rsidR="00A23D3E" w:rsidRPr="00A23D3E" w:rsidRDefault="00A23D3E" w:rsidP="00A23D3E">
      <w:pPr>
        <w:tabs>
          <w:tab w:val="left" w:pos="567"/>
        </w:tabs>
        <w:spacing w:after="0" w:line="240" w:lineRule="auto"/>
        <w:ind w:left="567" w:hanging="567"/>
        <w:outlineLvl w:val="0"/>
        <w:rPr>
          <w:rFonts w:ascii="Times New Roman" w:eastAsia="Calibri" w:hAnsi="Times New Roman" w:cs="Times New Roman"/>
          <w:lang w:val="es-ES"/>
        </w:rPr>
      </w:pPr>
      <w:r w:rsidRPr="00A23D3E">
        <w:rPr>
          <w:rFonts w:ascii="Times New Roman" w:eastAsia="Calibri" w:hAnsi="Times New Roman" w:cs="Times New Roman"/>
          <w:lang w:val="es-ES"/>
        </w:rPr>
        <w:t>Laikyti vaikams nepastebimoje ir nepasiekiamoje vietoje.</w:t>
      </w:r>
    </w:p>
    <w:p w14:paraId="363015B8"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6DBE013E"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2D4299B7"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val="es-ES"/>
        </w:rPr>
      </w:pPr>
      <w:r w:rsidRPr="00A23D3E">
        <w:rPr>
          <w:rFonts w:ascii="Times New Roman" w:eastAsia="Calibri" w:hAnsi="Times New Roman" w:cs="Times New Roman"/>
          <w:b/>
          <w:caps/>
          <w:lang w:val="es-ES"/>
        </w:rPr>
        <w:t>7.</w:t>
      </w:r>
      <w:r w:rsidRPr="00A23D3E">
        <w:rPr>
          <w:rFonts w:ascii="Times New Roman" w:eastAsia="Calibri" w:hAnsi="Times New Roman" w:cs="Times New Roman"/>
          <w:b/>
          <w:caps/>
          <w:lang w:val="es-ES"/>
        </w:rPr>
        <w:tab/>
        <w:t>KITAS (-I) SPECIALUS (-ŪS) ĮSPĖJIMAS (-AI) (JEI REIKIA)</w:t>
      </w:r>
    </w:p>
    <w:p w14:paraId="6F0FD46C"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caps/>
          <w:lang w:val="es-ES"/>
        </w:rPr>
      </w:pPr>
    </w:p>
    <w:p w14:paraId="4D55365C"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caps/>
          <w:lang w:val="es-ES"/>
        </w:rPr>
      </w:pPr>
    </w:p>
    <w:p w14:paraId="59133C77"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val="es-ES"/>
        </w:rPr>
      </w:pPr>
      <w:r w:rsidRPr="00A23D3E">
        <w:rPr>
          <w:rFonts w:ascii="Times New Roman" w:eastAsia="Calibri" w:hAnsi="Times New Roman" w:cs="Times New Roman"/>
          <w:b/>
          <w:caps/>
          <w:lang w:val="es-ES"/>
        </w:rPr>
        <w:t>8.</w:t>
      </w:r>
      <w:r w:rsidRPr="00A23D3E">
        <w:rPr>
          <w:rFonts w:ascii="Times New Roman" w:eastAsia="Calibri" w:hAnsi="Times New Roman" w:cs="Times New Roman"/>
          <w:b/>
          <w:caps/>
          <w:lang w:val="es-ES"/>
        </w:rPr>
        <w:tab/>
        <w:t>tinkamumo laikas</w:t>
      </w:r>
    </w:p>
    <w:p w14:paraId="5203814A"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6B83C879" w14:textId="77777777" w:rsidR="00A23D3E" w:rsidRPr="00A23D3E" w:rsidRDefault="00A23D3E" w:rsidP="00A23D3E">
      <w:pPr>
        <w:tabs>
          <w:tab w:val="left" w:pos="567"/>
        </w:tabs>
        <w:spacing w:after="0" w:line="240" w:lineRule="auto"/>
        <w:ind w:left="567" w:hanging="567"/>
        <w:outlineLvl w:val="0"/>
        <w:rPr>
          <w:rFonts w:ascii="Times New Roman" w:eastAsia="Calibri" w:hAnsi="Times New Roman" w:cs="Times New Roman"/>
          <w:lang w:val="es-ES"/>
        </w:rPr>
      </w:pPr>
      <w:r w:rsidRPr="00A23D3E">
        <w:rPr>
          <w:rFonts w:ascii="Times New Roman" w:eastAsia="Calibri" w:hAnsi="Times New Roman" w:cs="Times New Roman"/>
          <w:lang w:val="es-ES"/>
        </w:rPr>
        <w:lastRenderedPageBreak/>
        <w:t>EXP {mm MMMM}</w:t>
      </w:r>
    </w:p>
    <w:p w14:paraId="39AECCEF"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01F8B3C9"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3D15DA05"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val="es-ES"/>
        </w:rPr>
      </w:pPr>
      <w:r w:rsidRPr="00A23D3E">
        <w:rPr>
          <w:rFonts w:ascii="Times New Roman" w:eastAsia="Calibri" w:hAnsi="Times New Roman" w:cs="Times New Roman"/>
          <w:b/>
          <w:caps/>
          <w:lang w:val="es-ES"/>
        </w:rPr>
        <w:t>9.</w:t>
      </w:r>
      <w:r w:rsidRPr="00A23D3E">
        <w:rPr>
          <w:rFonts w:ascii="Times New Roman" w:eastAsia="Calibri" w:hAnsi="Times New Roman" w:cs="Times New Roman"/>
          <w:b/>
          <w:caps/>
          <w:lang w:val="es-ES"/>
        </w:rPr>
        <w:tab/>
        <w:t>SPECIALIOS laikymo sąlygos</w:t>
      </w:r>
    </w:p>
    <w:p w14:paraId="0A59CDE9"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323D10D4"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Laikyti šaldytuve (2</w:t>
      </w:r>
      <w:r w:rsidRPr="00A23D3E">
        <w:rPr>
          <w:rFonts w:ascii="Times New Roman" w:eastAsia="Calibri" w:hAnsi="Times New Roman" w:cs="Times New Roman"/>
          <w:b/>
          <w:lang w:val="es-ES"/>
        </w:rPr>
        <w:t> </w:t>
      </w:r>
      <w:r w:rsidRPr="00A23D3E">
        <w:rPr>
          <w:rFonts w:ascii="Times New Roman" w:eastAsia="Times New Roman" w:hAnsi="Times New Roman" w:cs="Times New Roman"/>
          <w:lang w:val="en-GB"/>
        </w:rPr>
        <w:sym w:font="Symbol" w:char="F0B0"/>
      </w:r>
      <w:r w:rsidRPr="00A23D3E">
        <w:rPr>
          <w:rFonts w:ascii="Times New Roman" w:eastAsia="Calibri" w:hAnsi="Times New Roman" w:cs="Times New Roman"/>
          <w:lang w:val="es-ES"/>
        </w:rPr>
        <w:t>C–8</w:t>
      </w:r>
      <w:r w:rsidRPr="00A23D3E">
        <w:rPr>
          <w:rFonts w:ascii="Times New Roman" w:eastAsia="Calibri" w:hAnsi="Times New Roman" w:cs="Times New Roman"/>
          <w:b/>
          <w:lang w:val="es-ES"/>
        </w:rPr>
        <w:t> </w:t>
      </w:r>
      <w:r w:rsidRPr="00A23D3E">
        <w:rPr>
          <w:rFonts w:ascii="Times New Roman" w:eastAsia="Times New Roman" w:hAnsi="Times New Roman" w:cs="Times New Roman"/>
          <w:lang w:val="en-GB"/>
        </w:rPr>
        <w:sym w:font="Symbol" w:char="F0B0"/>
      </w:r>
      <w:r w:rsidRPr="00A23D3E">
        <w:rPr>
          <w:rFonts w:ascii="Times New Roman" w:eastAsia="Calibri" w:hAnsi="Times New Roman" w:cs="Times New Roman"/>
          <w:lang w:val="es-ES"/>
        </w:rPr>
        <w:t>C). Negalima užšaldyti.</w:t>
      </w:r>
    </w:p>
    <w:p w14:paraId="6BBB5CCB"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Laikyti gamintojo pakuotėje, kad vaistas būtų apsaugotas nuo šviesos. </w:t>
      </w:r>
    </w:p>
    <w:p w14:paraId="0DE3D867"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78F1963F"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es-ES"/>
        </w:rPr>
      </w:pPr>
    </w:p>
    <w:p w14:paraId="671DDCE1"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val="es-ES"/>
        </w:rPr>
      </w:pPr>
      <w:r w:rsidRPr="00A23D3E">
        <w:rPr>
          <w:rFonts w:ascii="Times New Roman" w:eastAsia="Calibri" w:hAnsi="Times New Roman" w:cs="Times New Roman"/>
          <w:b/>
          <w:caps/>
          <w:lang w:val="es-ES"/>
        </w:rPr>
        <w:t>10.</w:t>
      </w:r>
      <w:r w:rsidRPr="00A23D3E">
        <w:rPr>
          <w:rFonts w:ascii="Times New Roman" w:eastAsia="Calibri" w:hAnsi="Times New Roman" w:cs="Times New Roman"/>
          <w:b/>
          <w:caps/>
          <w:lang w:val="es-ES"/>
        </w:rPr>
        <w:tab/>
        <w:t>specialios atsargumo priemonės dėl</w:t>
      </w:r>
      <w:r w:rsidRPr="00A23D3E">
        <w:rPr>
          <w:rFonts w:ascii="Times New Roman" w:eastAsia="Calibri" w:hAnsi="Times New Roman" w:cs="Times New Roman"/>
          <w:b/>
          <w:lang w:val="es-ES"/>
        </w:rPr>
        <w:t xml:space="preserve"> </w:t>
      </w:r>
      <w:r w:rsidRPr="00A23D3E">
        <w:rPr>
          <w:rFonts w:ascii="Times New Roman" w:eastAsia="Calibri" w:hAnsi="Times New Roman" w:cs="Times New Roman"/>
          <w:b/>
          <w:caps/>
          <w:lang w:val="es-ES"/>
        </w:rPr>
        <w:t>Nesuvartoto VAISTINIO PREPARATO AR jo ATLIEKų tvarkymo</w:t>
      </w:r>
      <w:r w:rsidRPr="00A23D3E">
        <w:rPr>
          <w:rFonts w:ascii="Times New Roman" w:eastAsia="Calibri" w:hAnsi="Times New Roman" w:cs="Times New Roman"/>
          <w:caps/>
          <w:lang w:val="es-ES"/>
        </w:rPr>
        <w:t xml:space="preserve"> </w:t>
      </w:r>
      <w:r w:rsidRPr="00A23D3E">
        <w:rPr>
          <w:rFonts w:ascii="Times New Roman" w:eastAsia="Calibri" w:hAnsi="Times New Roman" w:cs="Times New Roman"/>
          <w:b/>
          <w:caps/>
          <w:lang w:val="es-ES"/>
        </w:rPr>
        <w:t>(jei reikia)</w:t>
      </w:r>
    </w:p>
    <w:p w14:paraId="7FAF9673"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caps/>
          <w:lang w:val="es-ES"/>
        </w:rPr>
      </w:pPr>
    </w:p>
    <w:p w14:paraId="0E2BBD81"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caps/>
          <w:lang w:val="es-ES"/>
        </w:rPr>
      </w:pPr>
    </w:p>
    <w:p w14:paraId="3F11BDE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11.</w:t>
      </w:r>
      <w:r w:rsidRPr="00A23D3E">
        <w:rPr>
          <w:rFonts w:ascii="Times New Roman" w:eastAsia="Times New Roman" w:hAnsi="Times New Roman" w:cs="Times New Roman"/>
          <w:b/>
          <w:caps/>
          <w:lang w:val="es-ES"/>
        </w:rPr>
        <w:tab/>
        <w:t>rEGISTRUOTOJO pavadinimas ir adresas</w:t>
      </w:r>
    </w:p>
    <w:p w14:paraId="26B0128D"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4BC482D0" w14:textId="77777777" w:rsidR="00A23D3E" w:rsidRPr="00A23D3E" w:rsidRDefault="00A23D3E" w:rsidP="00A23D3E">
      <w:pPr>
        <w:tabs>
          <w:tab w:val="left" w:pos="567"/>
          <w:tab w:val="center" w:pos="4536"/>
          <w:tab w:val="center" w:pos="8930"/>
        </w:tabs>
        <w:spacing w:after="0" w:line="240" w:lineRule="auto"/>
        <w:rPr>
          <w:rFonts w:ascii="Times New Roman" w:eastAsia="Times New Roman" w:hAnsi="Times New Roman" w:cs="Times New Roman"/>
          <w:lang w:val="cs-CZ" w:eastAsia="x-none"/>
        </w:rPr>
      </w:pPr>
      <w:r w:rsidRPr="00A23D3E">
        <w:rPr>
          <w:rFonts w:ascii="Times New Roman" w:eastAsia="Times New Roman" w:hAnsi="Times New Roman" w:cs="Times New Roman"/>
          <w:lang w:val="cs-CZ" w:eastAsia="x-none"/>
        </w:rPr>
        <w:t>SIA Novartis Baltics</w:t>
      </w:r>
    </w:p>
    <w:p w14:paraId="648E335F" w14:textId="7D4BB800" w:rsidR="002B040E" w:rsidRPr="00A23D3E" w:rsidRDefault="002B040E" w:rsidP="00A23D3E">
      <w:pPr>
        <w:tabs>
          <w:tab w:val="left" w:pos="567"/>
          <w:tab w:val="center" w:pos="4536"/>
          <w:tab w:val="center" w:pos="8930"/>
        </w:tabs>
        <w:spacing w:after="0" w:line="240" w:lineRule="auto"/>
        <w:rPr>
          <w:rFonts w:ascii="Times New Roman" w:eastAsia="Times New Roman" w:hAnsi="Times New Roman" w:cs="Times New Roman"/>
          <w:lang w:val="cs-CZ" w:eastAsia="x-none"/>
        </w:rPr>
      </w:pPr>
      <w:r w:rsidRPr="002B040E">
        <w:rPr>
          <w:rFonts w:ascii="Times New Roman" w:eastAsia="Times New Roman" w:hAnsi="Times New Roman" w:cs="Times New Roman"/>
          <w:lang w:val="cs-CZ" w:eastAsia="x-none"/>
        </w:rPr>
        <w:t>Skanstes iela 25</w:t>
      </w:r>
    </w:p>
    <w:p w14:paraId="140D6DB8" w14:textId="26EC8280" w:rsidR="00A23D3E" w:rsidRPr="00A23D3E" w:rsidRDefault="00A23D3E" w:rsidP="00A23D3E">
      <w:pPr>
        <w:tabs>
          <w:tab w:val="left" w:pos="567"/>
          <w:tab w:val="center" w:pos="4536"/>
          <w:tab w:val="center" w:pos="8930"/>
        </w:tabs>
        <w:spacing w:after="0" w:line="240" w:lineRule="auto"/>
        <w:rPr>
          <w:rFonts w:ascii="Times New Roman" w:eastAsia="Times New Roman" w:hAnsi="Times New Roman" w:cs="Times New Roman"/>
          <w:lang w:val="cs-CZ" w:eastAsia="x-none"/>
        </w:rPr>
      </w:pPr>
      <w:r w:rsidRPr="00A23D3E">
        <w:rPr>
          <w:rFonts w:ascii="Times New Roman" w:eastAsia="Times New Roman" w:hAnsi="Times New Roman" w:cs="Times New Roman"/>
          <w:lang w:val="cs-CZ" w:eastAsia="x-none"/>
        </w:rPr>
        <w:t>LV</w:t>
      </w:r>
      <w:r w:rsidRPr="00A23D3E">
        <w:rPr>
          <w:rFonts w:ascii="Times New Roman" w:eastAsia="Times New Roman" w:hAnsi="Times New Roman" w:cs="Times New Roman"/>
          <w:lang w:val="cs-CZ" w:eastAsia="x-none"/>
        </w:rPr>
        <w:noBreakHyphen/>
      </w:r>
      <w:r w:rsidR="002B040E">
        <w:rPr>
          <w:rFonts w:ascii="Times New Roman" w:eastAsia="Times New Roman" w:hAnsi="Times New Roman" w:cs="Times New Roman"/>
          <w:lang w:val="cs-CZ" w:eastAsia="x-none"/>
        </w:rPr>
        <w:t>1013</w:t>
      </w:r>
      <w:r w:rsidRPr="00A23D3E">
        <w:rPr>
          <w:rFonts w:ascii="Times New Roman" w:eastAsia="Times New Roman" w:hAnsi="Times New Roman" w:cs="Times New Roman"/>
          <w:lang w:val="cs-CZ" w:eastAsia="x-none"/>
        </w:rPr>
        <w:t>, Rīga</w:t>
      </w:r>
    </w:p>
    <w:p w14:paraId="6236EED4"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cs-CZ"/>
        </w:rPr>
      </w:pPr>
      <w:r w:rsidRPr="00A23D3E">
        <w:rPr>
          <w:rFonts w:ascii="Times New Roman" w:eastAsia="Times New Roman" w:hAnsi="Times New Roman" w:cs="Times New Roman"/>
          <w:lang w:val="cs-CZ" w:eastAsia="x-none"/>
        </w:rPr>
        <w:t>Latvija</w:t>
      </w:r>
    </w:p>
    <w:p w14:paraId="707523B0"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cs-CZ"/>
        </w:rPr>
      </w:pPr>
    </w:p>
    <w:p w14:paraId="58E70D9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cs-CZ"/>
        </w:rPr>
      </w:pPr>
    </w:p>
    <w:p w14:paraId="3302822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cs-CZ"/>
        </w:rPr>
      </w:pPr>
      <w:r w:rsidRPr="00A23D3E">
        <w:rPr>
          <w:rFonts w:ascii="Times New Roman" w:eastAsia="Times New Roman" w:hAnsi="Times New Roman" w:cs="Times New Roman"/>
          <w:b/>
          <w:caps/>
          <w:lang w:val="cs-CZ"/>
        </w:rPr>
        <w:t>12.</w:t>
      </w:r>
      <w:r w:rsidRPr="00A23D3E">
        <w:rPr>
          <w:rFonts w:ascii="Times New Roman" w:eastAsia="Times New Roman" w:hAnsi="Times New Roman" w:cs="Times New Roman"/>
          <w:b/>
          <w:caps/>
          <w:lang w:val="cs-CZ"/>
        </w:rPr>
        <w:tab/>
        <w:t>rEGISTRACIJOS PAŽYMĖJIMO numeris (-IAI)</w:t>
      </w:r>
    </w:p>
    <w:p w14:paraId="0248C408"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3C95058D" w14:textId="77777777" w:rsidR="00A23D3E" w:rsidRPr="00A23D3E" w:rsidRDefault="00A23D3E" w:rsidP="00A23D3E">
      <w:pPr>
        <w:tabs>
          <w:tab w:val="left" w:pos="567"/>
        </w:tabs>
        <w:spacing w:after="0" w:line="240" w:lineRule="auto"/>
        <w:ind w:left="567" w:hanging="567"/>
        <w:rPr>
          <w:rFonts w:ascii="Times New Roman" w:eastAsia="Calibri" w:hAnsi="Times New Roman" w:cs="Times New Roman"/>
          <w:lang w:val="cs-CZ"/>
        </w:rPr>
      </w:pPr>
      <w:r w:rsidRPr="00A23D3E">
        <w:rPr>
          <w:rFonts w:ascii="Times New Roman" w:eastAsia="Calibri" w:hAnsi="Times New Roman" w:cs="Times New Roman"/>
          <w:lang w:val="cs-CZ"/>
        </w:rPr>
        <w:t>LT/1/94/1033/005</w:t>
      </w:r>
    </w:p>
    <w:p w14:paraId="3C02D73B" w14:textId="77777777" w:rsidR="00A23D3E" w:rsidRPr="00A23D3E" w:rsidRDefault="00A23D3E" w:rsidP="00A23D3E">
      <w:pPr>
        <w:shd w:val="clear" w:color="auto" w:fill="D9D9D9"/>
        <w:tabs>
          <w:tab w:val="left" w:pos="567"/>
        </w:tabs>
        <w:spacing w:after="0" w:line="240" w:lineRule="auto"/>
        <w:ind w:left="567" w:hanging="567"/>
        <w:rPr>
          <w:rFonts w:ascii="Times New Roman" w:eastAsia="Calibri" w:hAnsi="Times New Roman" w:cs="Times New Roman"/>
          <w:lang w:val="cs-CZ"/>
        </w:rPr>
      </w:pPr>
      <w:r w:rsidRPr="00A23D3E">
        <w:rPr>
          <w:rFonts w:ascii="Times New Roman" w:eastAsia="Calibri" w:hAnsi="Times New Roman" w:cs="Times New Roman"/>
          <w:lang w:val="cs-CZ"/>
        </w:rPr>
        <w:t>LT/1/94/1033/007</w:t>
      </w:r>
    </w:p>
    <w:p w14:paraId="5407B738" w14:textId="77777777" w:rsidR="00A23D3E" w:rsidRPr="00A23D3E" w:rsidRDefault="00A23D3E" w:rsidP="00A23D3E">
      <w:pPr>
        <w:shd w:val="clear" w:color="auto" w:fill="A6A6A6"/>
        <w:tabs>
          <w:tab w:val="left" w:pos="567"/>
        </w:tabs>
        <w:spacing w:after="0" w:line="240" w:lineRule="auto"/>
        <w:ind w:left="567" w:hanging="567"/>
        <w:rPr>
          <w:rFonts w:ascii="Times New Roman" w:eastAsia="Calibri" w:hAnsi="Times New Roman" w:cs="Times New Roman"/>
          <w:lang w:val="cs-CZ"/>
        </w:rPr>
      </w:pPr>
      <w:r w:rsidRPr="00A23D3E">
        <w:rPr>
          <w:rFonts w:ascii="Times New Roman" w:eastAsia="Calibri" w:hAnsi="Times New Roman" w:cs="Times New Roman"/>
          <w:lang w:val="cs-CZ"/>
        </w:rPr>
        <w:t>LT/1/94/1033/009</w:t>
      </w:r>
    </w:p>
    <w:p w14:paraId="470CAF71"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4CB3628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18D8DFFE"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cs-CZ"/>
        </w:rPr>
      </w:pPr>
      <w:r w:rsidRPr="00A23D3E">
        <w:rPr>
          <w:rFonts w:ascii="Times New Roman" w:eastAsia="Times New Roman" w:hAnsi="Times New Roman" w:cs="Times New Roman"/>
          <w:b/>
          <w:caps/>
          <w:lang w:val="cs-CZ"/>
        </w:rPr>
        <w:t>13.</w:t>
      </w:r>
      <w:r w:rsidRPr="00A23D3E">
        <w:rPr>
          <w:rFonts w:ascii="Times New Roman" w:eastAsia="Times New Roman" w:hAnsi="Times New Roman" w:cs="Times New Roman"/>
          <w:b/>
          <w:caps/>
          <w:lang w:val="cs-CZ"/>
        </w:rPr>
        <w:tab/>
        <w:t>serijos numeris</w:t>
      </w:r>
    </w:p>
    <w:p w14:paraId="5315D728"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07EC091A"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r w:rsidRPr="00A23D3E">
        <w:rPr>
          <w:rFonts w:ascii="Times New Roman" w:eastAsia="Times New Roman" w:hAnsi="Times New Roman" w:cs="Times New Roman"/>
          <w:lang w:val="cs-CZ"/>
        </w:rPr>
        <w:t>Lot {numeris}</w:t>
      </w:r>
    </w:p>
    <w:p w14:paraId="0525EFA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1B68B9C2"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1BAB0F43"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cs-CZ"/>
        </w:rPr>
      </w:pPr>
      <w:r w:rsidRPr="00A23D3E">
        <w:rPr>
          <w:rFonts w:ascii="Times New Roman" w:eastAsia="Times New Roman" w:hAnsi="Times New Roman" w:cs="Times New Roman"/>
          <w:b/>
          <w:caps/>
          <w:lang w:val="cs-CZ"/>
        </w:rPr>
        <w:t>14.</w:t>
      </w:r>
      <w:r w:rsidRPr="00A23D3E">
        <w:rPr>
          <w:rFonts w:ascii="Times New Roman" w:eastAsia="Times New Roman" w:hAnsi="Times New Roman" w:cs="Times New Roman"/>
          <w:b/>
          <w:caps/>
          <w:lang w:val="cs-CZ"/>
        </w:rPr>
        <w:tab/>
        <w:t>pardavimo (išdavimo) tvarka</w:t>
      </w:r>
    </w:p>
    <w:p w14:paraId="0C753145"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06EFD2D3"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r w:rsidRPr="00A23D3E">
        <w:rPr>
          <w:rFonts w:ascii="Times New Roman" w:eastAsia="Times New Roman" w:hAnsi="Times New Roman" w:cs="Times New Roman"/>
          <w:lang w:val="cs-CZ"/>
        </w:rPr>
        <w:t>Receptinis vaistas</w:t>
      </w:r>
    </w:p>
    <w:p w14:paraId="3977A951" w14:textId="77777777" w:rsidR="00A23D3E" w:rsidRPr="00A23D3E" w:rsidRDefault="00A23D3E" w:rsidP="00A23D3E">
      <w:pPr>
        <w:tabs>
          <w:tab w:val="left" w:pos="567"/>
        </w:tabs>
        <w:spacing w:after="0" w:line="240" w:lineRule="auto"/>
        <w:rPr>
          <w:rFonts w:ascii="Times New Roman" w:eastAsia="Times New Roman" w:hAnsi="Times New Roman" w:cs="Times New Roman"/>
          <w:lang w:val="cs-CZ"/>
        </w:rPr>
      </w:pPr>
    </w:p>
    <w:p w14:paraId="3EA758E6" w14:textId="77777777" w:rsidR="00A23D3E" w:rsidRPr="00A23D3E" w:rsidRDefault="00A23D3E" w:rsidP="00A23D3E">
      <w:pPr>
        <w:tabs>
          <w:tab w:val="left" w:pos="567"/>
        </w:tabs>
        <w:spacing w:after="0" w:line="240" w:lineRule="auto"/>
        <w:rPr>
          <w:rFonts w:ascii="Times New Roman" w:eastAsia="Times New Roman" w:hAnsi="Times New Roman" w:cs="Times New Roman"/>
          <w:lang w:val="cs-CZ"/>
        </w:rPr>
      </w:pPr>
    </w:p>
    <w:p w14:paraId="350A4C8B"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cs-CZ"/>
        </w:rPr>
      </w:pPr>
      <w:r w:rsidRPr="00A23D3E">
        <w:rPr>
          <w:rFonts w:ascii="Times New Roman" w:eastAsia="Times New Roman" w:hAnsi="Times New Roman" w:cs="Times New Roman"/>
          <w:b/>
          <w:caps/>
          <w:lang w:val="cs-CZ"/>
        </w:rPr>
        <w:t>15.</w:t>
      </w:r>
      <w:r w:rsidRPr="00A23D3E">
        <w:rPr>
          <w:rFonts w:ascii="Times New Roman" w:eastAsia="Times New Roman" w:hAnsi="Times New Roman" w:cs="Times New Roman"/>
          <w:b/>
          <w:caps/>
          <w:lang w:val="cs-CZ"/>
        </w:rPr>
        <w:tab/>
        <w:t>vartojimo instrukcijA</w:t>
      </w:r>
    </w:p>
    <w:p w14:paraId="672733E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66001D95" w14:textId="77777777" w:rsidR="00A23D3E" w:rsidRPr="00A23D3E" w:rsidRDefault="00A23D3E" w:rsidP="00A23D3E">
      <w:pPr>
        <w:tabs>
          <w:tab w:val="left" w:pos="567"/>
        </w:tabs>
        <w:spacing w:after="0" w:line="240" w:lineRule="auto"/>
        <w:rPr>
          <w:rFonts w:ascii="Times New Roman" w:eastAsia="Times New Roman" w:hAnsi="Times New Roman" w:cs="Times New Roman"/>
          <w:lang w:val="cs-CZ"/>
        </w:rPr>
      </w:pPr>
    </w:p>
    <w:p w14:paraId="2D7BBB17"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cs-CZ"/>
        </w:rPr>
      </w:pPr>
      <w:r w:rsidRPr="00A23D3E">
        <w:rPr>
          <w:rFonts w:ascii="Times New Roman" w:eastAsia="Times New Roman" w:hAnsi="Times New Roman" w:cs="Times New Roman"/>
          <w:b/>
          <w:caps/>
          <w:lang w:val="cs-CZ"/>
        </w:rPr>
        <w:t>16.</w:t>
      </w:r>
      <w:r w:rsidRPr="00A23D3E">
        <w:rPr>
          <w:rFonts w:ascii="Times New Roman" w:eastAsia="Times New Roman" w:hAnsi="Times New Roman" w:cs="Times New Roman"/>
          <w:b/>
          <w:caps/>
          <w:lang w:val="cs-CZ"/>
        </w:rPr>
        <w:tab/>
        <w:t>INformacija BRAILIO RAŠTU</w:t>
      </w:r>
    </w:p>
    <w:p w14:paraId="7EC532A6"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6E350D94"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r w:rsidRPr="00A23D3E">
        <w:rPr>
          <w:rFonts w:ascii="Times New Roman" w:eastAsia="Times New Roman" w:hAnsi="Times New Roman" w:cs="Times New Roman"/>
          <w:lang w:val="cs-CZ"/>
        </w:rPr>
        <w:t>Sandostatin LAR 10 mg</w:t>
      </w:r>
    </w:p>
    <w:p w14:paraId="0456C99A" w14:textId="77777777" w:rsidR="00A23D3E" w:rsidRPr="00A23D3E" w:rsidRDefault="00A23D3E" w:rsidP="00A23D3E">
      <w:pPr>
        <w:shd w:val="clear" w:color="auto" w:fill="D9D9D9"/>
        <w:tabs>
          <w:tab w:val="left" w:pos="567"/>
        </w:tabs>
        <w:spacing w:after="0" w:line="240" w:lineRule="auto"/>
        <w:ind w:left="567" w:hanging="567"/>
        <w:rPr>
          <w:rFonts w:ascii="Times New Roman" w:eastAsia="Times New Roman" w:hAnsi="Times New Roman" w:cs="Times New Roman"/>
          <w:lang w:val="cs-CZ"/>
        </w:rPr>
      </w:pPr>
      <w:r w:rsidRPr="00A23D3E">
        <w:rPr>
          <w:rFonts w:ascii="Times New Roman" w:eastAsia="Times New Roman" w:hAnsi="Times New Roman" w:cs="Times New Roman"/>
          <w:lang w:val="cs-CZ"/>
        </w:rPr>
        <w:t>Sandostatin LAR 20 mg</w:t>
      </w:r>
    </w:p>
    <w:p w14:paraId="1080BC8A" w14:textId="77777777" w:rsidR="00A23D3E" w:rsidRPr="00A23D3E" w:rsidRDefault="00A23D3E" w:rsidP="00A23D3E">
      <w:pPr>
        <w:shd w:val="clear" w:color="auto" w:fill="BFBFBF"/>
        <w:tabs>
          <w:tab w:val="left" w:pos="567"/>
        </w:tabs>
        <w:spacing w:after="0" w:line="240" w:lineRule="auto"/>
        <w:ind w:left="567" w:hanging="567"/>
        <w:rPr>
          <w:rFonts w:ascii="Times New Roman" w:eastAsia="Times New Roman" w:hAnsi="Times New Roman" w:cs="Times New Roman"/>
          <w:lang w:val="cs-CZ"/>
        </w:rPr>
      </w:pPr>
      <w:r w:rsidRPr="00A23D3E">
        <w:rPr>
          <w:rFonts w:ascii="Times New Roman" w:eastAsia="Times New Roman" w:hAnsi="Times New Roman" w:cs="Times New Roman"/>
          <w:lang w:val="cs-CZ"/>
        </w:rPr>
        <w:t>Sandostatin LAR 30 mg</w:t>
      </w:r>
    </w:p>
    <w:p w14:paraId="35CDB853" w14:textId="77777777" w:rsidR="00A23D3E" w:rsidRPr="00A23D3E" w:rsidRDefault="00A23D3E" w:rsidP="00A23D3E">
      <w:pPr>
        <w:spacing w:after="0" w:line="240" w:lineRule="auto"/>
        <w:rPr>
          <w:rFonts w:ascii="Times New Roman" w:eastAsia="Calibri" w:hAnsi="Times New Roman" w:cs="Times New Roman"/>
        </w:rPr>
      </w:pPr>
    </w:p>
    <w:p w14:paraId="302518DA" w14:textId="77777777" w:rsidR="00A23D3E" w:rsidRPr="00A23D3E" w:rsidRDefault="00A23D3E" w:rsidP="00A23D3E">
      <w:pPr>
        <w:tabs>
          <w:tab w:val="left" w:pos="567"/>
        </w:tabs>
        <w:spacing w:after="0" w:line="240" w:lineRule="auto"/>
        <w:rPr>
          <w:rFonts w:ascii="Times New Roman" w:eastAsia="Calibri" w:hAnsi="Times New Roman" w:cs="Times New Roman"/>
          <w:shd w:val="clear" w:color="auto" w:fill="CCCCCC"/>
        </w:rPr>
      </w:pPr>
    </w:p>
    <w:p w14:paraId="1A372EBA" w14:textId="77777777" w:rsidR="00A23D3E" w:rsidRPr="00A23D3E" w:rsidRDefault="00A23D3E" w:rsidP="00A23D3E">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r w:rsidRPr="00A23D3E">
        <w:rPr>
          <w:rFonts w:ascii="Times New Roman" w:eastAsia="Times New Roman" w:hAnsi="Times New Roman" w:cs="Times New Roman"/>
          <w:b/>
        </w:rPr>
        <w:t>17.</w:t>
      </w:r>
      <w:r w:rsidRPr="00A23D3E">
        <w:rPr>
          <w:rFonts w:ascii="Times New Roman" w:eastAsia="Times New Roman" w:hAnsi="Times New Roman" w:cs="Times New Roman"/>
          <w:b/>
        </w:rPr>
        <w:tab/>
        <w:t>UNIKALUS IDENTIFIKATORIUS – 2D BRŪKŠNINIS KODAS</w:t>
      </w:r>
    </w:p>
    <w:p w14:paraId="52084CA4" w14:textId="77777777" w:rsidR="00A23D3E" w:rsidRPr="00A23D3E" w:rsidRDefault="00A23D3E" w:rsidP="00A23D3E">
      <w:pPr>
        <w:spacing w:after="0" w:line="240" w:lineRule="auto"/>
        <w:rPr>
          <w:rFonts w:ascii="Times New Roman" w:eastAsia="Times New Roman" w:hAnsi="Times New Roman" w:cs="Times New Roman"/>
          <w:noProof/>
          <w:szCs w:val="20"/>
        </w:rPr>
      </w:pPr>
    </w:p>
    <w:p w14:paraId="23711CD3" w14:textId="77777777" w:rsidR="00A23D3E" w:rsidRPr="00A23D3E" w:rsidRDefault="00A23D3E" w:rsidP="00A23D3E">
      <w:pPr>
        <w:tabs>
          <w:tab w:val="left" w:pos="567"/>
        </w:tabs>
        <w:spacing w:after="0" w:line="240" w:lineRule="auto"/>
        <w:rPr>
          <w:rFonts w:ascii="Times New Roman" w:eastAsia="Times New Roman" w:hAnsi="Times New Roman" w:cs="Times New Roman"/>
          <w:shd w:val="pct15" w:color="auto" w:fill="auto"/>
        </w:rPr>
      </w:pPr>
      <w:r w:rsidRPr="00A23D3E">
        <w:rPr>
          <w:rFonts w:ascii="Times New Roman" w:eastAsia="Times New Roman" w:hAnsi="Times New Roman" w:cs="Times New Roman"/>
          <w:shd w:val="pct15" w:color="auto" w:fill="auto"/>
        </w:rPr>
        <w:t>2D brūkšninis kodas su nurodytu unikaliu identifikatoriumi.</w:t>
      </w:r>
    </w:p>
    <w:p w14:paraId="456B9E0C" w14:textId="77777777" w:rsidR="00A23D3E" w:rsidRPr="00A23D3E" w:rsidRDefault="00A23D3E" w:rsidP="00A23D3E">
      <w:pPr>
        <w:tabs>
          <w:tab w:val="left" w:pos="567"/>
        </w:tabs>
        <w:spacing w:after="0" w:line="240" w:lineRule="auto"/>
        <w:rPr>
          <w:rFonts w:ascii="Times New Roman" w:eastAsia="Times New Roman" w:hAnsi="Times New Roman" w:cs="Times New Roman"/>
          <w:noProof/>
          <w:shd w:val="clear" w:color="auto" w:fill="CCCCCC"/>
        </w:rPr>
      </w:pPr>
    </w:p>
    <w:p w14:paraId="4C9B1291" w14:textId="77777777" w:rsidR="00A23D3E" w:rsidRPr="00A23D3E" w:rsidRDefault="00A23D3E" w:rsidP="00A23D3E">
      <w:pPr>
        <w:spacing w:after="0" w:line="240" w:lineRule="auto"/>
        <w:rPr>
          <w:rFonts w:ascii="Times New Roman" w:eastAsia="Times New Roman" w:hAnsi="Times New Roman" w:cs="Times New Roman"/>
          <w:noProof/>
          <w:szCs w:val="20"/>
        </w:rPr>
      </w:pPr>
    </w:p>
    <w:p w14:paraId="74242734" w14:textId="77777777" w:rsidR="00A23D3E" w:rsidRPr="00A23D3E" w:rsidRDefault="00A23D3E" w:rsidP="00A23D3E">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r w:rsidRPr="00A23D3E">
        <w:rPr>
          <w:rFonts w:ascii="Times New Roman" w:eastAsia="Times New Roman" w:hAnsi="Times New Roman" w:cs="Times New Roman"/>
          <w:b/>
        </w:rPr>
        <w:t>18.</w:t>
      </w:r>
      <w:r w:rsidRPr="00A23D3E">
        <w:rPr>
          <w:rFonts w:ascii="Times New Roman" w:eastAsia="Times New Roman" w:hAnsi="Times New Roman" w:cs="Times New Roman"/>
          <w:b/>
        </w:rPr>
        <w:tab/>
        <w:t>UNIKALUS IDENTIFIKATORIUS – ŽMONĖMS SUPRANTAMI DUOMENYS</w:t>
      </w:r>
    </w:p>
    <w:p w14:paraId="2A00F0A0" w14:textId="77777777" w:rsidR="00A23D3E" w:rsidRPr="00A23D3E" w:rsidRDefault="00A23D3E" w:rsidP="00A23D3E">
      <w:pPr>
        <w:spacing w:after="0" w:line="240" w:lineRule="auto"/>
        <w:rPr>
          <w:rFonts w:ascii="Times New Roman" w:eastAsia="Times New Roman" w:hAnsi="Times New Roman" w:cs="Times New Roman"/>
          <w:noProof/>
          <w:szCs w:val="20"/>
        </w:rPr>
      </w:pPr>
    </w:p>
    <w:p w14:paraId="011BF1FC" w14:textId="77777777" w:rsidR="00A23D3E" w:rsidRPr="00A23D3E" w:rsidRDefault="00A23D3E" w:rsidP="00A23D3E">
      <w:pPr>
        <w:tabs>
          <w:tab w:val="left" w:pos="567"/>
        </w:tabs>
        <w:spacing w:after="0" w:line="260" w:lineRule="exact"/>
        <w:rPr>
          <w:rFonts w:ascii="Times New Roman" w:eastAsia="Times New Roman" w:hAnsi="Times New Roman" w:cs="Times New Roman"/>
          <w:color w:val="008000"/>
        </w:rPr>
      </w:pPr>
      <w:r w:rsidRPr="00A23D3E">
        <w:rPr>
          <w:rFonts w:ascii="Times New Roman" w:eastAsia="Times New Roman" w:hAnsi="Times New Roman" w:cs="Times New Roman"/>
          <w:szCs w:val="20"/>
        </w:rPr>
        <w:lastRenderedPageBreak/>
        <w:t>PC</w:t>
      </w:r>
    </w:p>
    <w:p w14:paraId="281F0B71" w14:textId="77777777" w:rsidR="00A23D3E" w:rsidRPr="00A23D3E" w:rsidRDefault="00A23D3E" w:rsidP="00A23D3E">
      <w:pPr>
        <w:tabs>
          <w:tab w:val="left" w:pos="567"/>
        </w:tabs>
        <w:spacing w:after="0" w:line="260" w:lineRule="exact"/>
        <w:rPr>
          <w:rFonts w:ascii="Times New Roman" w:eastAsia="Times New Roman" w:hAnsi="Times New Roman" w:cs="Times New Roman"/>
        </w:rPr>
      </w:pPr>
      <w:r w:rsidRPr="00A23D3E">
        <w:rPr>
          <w:rFonts w:ascii="Times New Roman" w:eastAsia="Times New Roman" w:hAnsi="Times New Roman" w:cs="Times New Roman"/>
          <w:szCs w:val="20"/>
        </w:rPr>
        <w:t>SN</w:t>
      </w:r>
    </w:p>
    <w:p w14:paraId="4A06BF0D" w14:textId="77777777" w:rsidR="00A23D3E" w:rsidRPr="00A23D3E" w:rsidRDefault="00A23D3E" w:rsidP="00A23D3E">
      <w:pPr>
        <w:tabs>
          <w:tab w:val="left" w:pos="567"/>
        </w:tabs>
        <w:spacing w:after="0" w:line="260" w:lineRule="exact"/>
        <w:rPr>
          <w:rFonts w:ascii="Times New Roman" w:eastAsia="Times New Roman" w:hAnsi="Times New Roman" w:cs="Times New Roman"/>
        </w:rPr>
      </w:pPr>
      <w:r w:rsidRPr="00A23D3E">
        <w:rPr>
          <w:rFonts w:ascii="Times New Roman" w:eastAsia="Times New Roman" w:hAnsi="Times New Roman" w:cs="Times New Roman"/>
          <w:szCs w:val="20"/>
        </w:rPr>
        <w:t>NN</w:t>
      </w:r>
    </w:p>
    <w:p w14:paraId="7FDC2242"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cs-CZ"/>
        </w:rPr>
      </w:pPr>
    </w:p>
    <w:p w14:paraId="3B1B3FE7" w14:textId="77777777" w:rsidR="00A23D3E" w:rsidRPr="00A23D3E" w:rsidRDefault="00A23D3E" w:rsidP="00A23D3E">
      <w:pPr>
        <w:spacing w:after="200" w:line="276" w:lineRule="auto"/>
        <w:rPr>
          <w:rFonts w:ascii="Times New Roman" w:eastAsia="Times New Roman" w:hAnsi="Times New Roman" w:cs="Times New Roman"/>
          <w:lang w:val="cs-CZ"/>
        </w:rPr>
      </w:pPr>
      <w:r w:rsidRPr="00A23D3E">
        <w:rPr>
          <w:rFonts w:ascii="Times New Roman" w:eastAsia="Times New Roman" w:hAnsi="Times New Roman" w:cs="Times New Roman"/>
          <w:lang w:val="cs-CZ"/>
        </w:rPr>
        <w:br w:type="page"/>
      </w:r>
    </w:p>
    <w:p w14:paraId="1F6F598F" w14:textId="77777777" w:rsidR="00A23D3E" w:rsidRPr="00A23D3E" w:rsidRDefault="00A23D3E" w:rsidP="00A23D3E">
      <w:pPr>
        <w:spacing w:after="200" w:line="276" w:lineRule="auto"/>
        <w:rPr>
          <w:rFonts w:ascii="Times New Roman" w:eastAsia="Times New Roman" w:hAnsi="Times New Roman" w:cs="Times New Roman"/>
          <w:lang w:val="cs-CZ"/>
        </w:rPr>
      </w:pPr>
    </w:p>
    <w:p w14:paraId="0DCB9839" w14:textId="77777777" w:rsidR="00A23D3E" w:rsidRPr="00A23D3E" w:rsidRDefault="00A23D3E" w:rsidP="00A23D3E">
      <w:pPr>
        <w:pBdr>
          <w:top w:val="single" w:sz="4" w:space="1" w:color="auto"/>
          <w:left w:val="single" w:sz="4" w:space="2"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val="cs-CZ"/>
        </w:rPr>
      </w:pPr>
      <w:r w:rsidRPr="00A23D3E">
        <w:rPr>
          <w:rFonts w:ascii="Times New Roman" w:eastAsia="Times New Roman" w:hAnsi="Times New Roman" w:cs="Times New Roman"/>
          <w:b/>
          <w:lang w:val="cs-CZ"/>
        </w:rPr>
        <w:t xml:space="preserve">MINIMALI </w:t>
      </w:r>
      <w:r w:rsidRPr="00A23D3E">
        <w:rPr>
          <w:rFonts w:ascii="Times New Roman" w:eastAsia="Times New Roman" w:hAnsi="Times New Roman" w:cs="Times New Roman"/>
          <w:b/>
          <w:caps/>
          <w:lang w:val="cs-CZ"/>
        </w:rPr>
        <w:t xml:space="preserve">informacija ant </w:t>
      </w:r>
      <w:r w:rsidRPr="00A23D3E">
        <w:rPr>
          <w:rFonts w:ascii="Times New Roman" w:eastAsia="Times New Roman" w:hAnsi="Times New Roman" w:cs="Times New Roman"/>
          <w:b/>
          <w:lang w:val="cs-CZ"/>
        </w:rPr>
        <w:t>MAŽŲ VIDINIŲ PAKUOČIŲ</w:t>
      </w:r>
    </w:p>
    <w:p w14:paraId="569B6AF1" w14:textId="77777777" w:rsidR="00A23D3E" w:rsidRPr="00A23D3E" w:rsidRDefault="00A23D3E" w:rsidP="00A23D3E">
      <w:pPr>
        <w:pBdr>
          <w:top w:val="single" w:sz="4" w:space="1" w:color="auto"/>
          <w:left w:val="single" w:sz="4" w:space="2"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val="cs-CZ"/>
        </w:rPr>
      </w:pPr>
    </w:p>
    <w:p w14:paraId="23628E26" w14:textId="77777777" w:rsidR="00A23D3E" w:rsidRPr="00A23D3E" w:rsidRDefault="00A23D3E" w:rsidP="00A23D3E">
      <w:pPr>
        <w:pBdr>
          <w:top w:val="single" w:sz="4" w:space="1" w:color="auto"/>
          <w:left w:val="single" w:sz="4" w:space="2"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caps/>
          <w:lang w:val="cs-CZ"/>
        </w:rPr>
      </w:pPr>
      <w:r w:rsidRPr="00A23D3E">
        <w:rPr>
          <w:rFonts w:ascii="Times New Roman" w:eastAsia="Times New Roman" w:hAnsi="Times New Roman" w:cs="Times New Roman"/>
          <w:b/>
          <w:lang w:val="cs-CZ"/>
        </w:rPr>
        <w:t>FLAKONO ETIKETĖ</w:t>
      </w:r>
    </w:p>
    <w:p w14:paraId="16F3FF2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cs-CZ"/>
        </w:rPr>
      </w:pPr>
    </w:p>
    <w:p w14:paraId="2991441B"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cs-CZ"/>
        </w:rPr>
      </w:pPr>
    </w:p>
    <w:p w14:paraId="44EE82B8"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caps/>
          <w:lang w:val="it-IT"/>
        </w:rPr>
        <w:t>1.</w:t>
      </w:r>
      <w:r w:rsidRPr="00A23D3E">
        <w:rPr>
          <w:rFonts w:ascii="Times New Roman" w:eastAsia="Times New Roman" w:hAnsi="Times New Roman" w:cs="Times New Roman"/>
          <w:b/>
          <w:caps/>
          <w:lang w:val="it-IT"/>
        </w:rPr>
        <w:tab/>
        <w:t>Vaistinio preparato pavadinimas IR VARTOJIMO BŪDAS (-ai)</w:t>
      </w:r>
    </w:p>
    <w:p w14:paraId="0D19AE8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2D4A2BAB" w14:textId="77777777" w:rsidR="00A23D3E" w:rsidRPr="00A23D3E" w:rsidRDefault="00A23D3E" w:rsidP="00A23D3E">
      <w:pPr>
        <w:tabs>
          <w:tab w:val="left" w:pos="567"/>
        </w:tabs>
        <w:spacing w:after="0" w:line="240" w:lineRule="auto"/>
        <w:rPr>
          <w:rFonts w:ascii="Times New Roman" w:eastAsia="Times New Roman" w:hAnsi="Times New Roman" w:cs="Times New Roman"/>
          <w:snapToGrid w:val="0"/>
          <w:lang w:val="it-IT"/>
        </w:rPr>
      </w:pPr>
      <w:r w:rsidRPr="00A23D3E">
        <w:rPr>
          <w:rFonts w:ascii="Times New Roman" w:eastAsia="Times New Roman" w:hAnsi="Times New Roman" w:cs="Times New Roman"/>
          <w:lang w:val="it-IT"/>
        </w:rPr>
        <w:t>Sandostatin LAR 10 mg milteliai injekcinei suspensijai</w:t>
      </w:r>
    </w:p>
    <w:p w14:paraId="117A0DCD" w14:textId="77777777" w:rsidR="00A23D3E" w:rsidRPr="00A23D3E" w:rsidRDefault="00A23D3E" w:rsidP="00A23D3E">
      <w:pPr>
        <w:shd w:val="clear" w:color="auto" w:fill="D9D9D9"/>
        <w:tabs>
          <w:tab w:val="left" w:pos="567"/>
        </w:tabs>
        <w:spacing w:after="0" w:line="240" w:lineRule="auto"/>
        <w:rPr>
          <w:rFonts w:ascii="Times New Roman" w:eastAsia="Times New Roman" w:hAnsi="Times New Roman" w:cs="Times New Roman"/>
          <w:snapToGrid w:val="0"/>
          <w:lang w:val="it-IT"/>
        </w:rPr>
      </w:pPr>
      <w:r w:rsidRPr="00A23D3E">
        <w:rPr>
          <w:rFonts w:ascii="Times New Roman" w:eastAsia="Times New Roman" w:hAnsi="Times New Roman" w:cs="Times New Roman"/>
          <w:lang w:val="it-IT"/>
        </w:rPr>
        <w:t>Sandostatin LAR 20 mg milteliai injekcinei suspensijai</w:t>
      </w:r>
    </w:p>
    <w:p w14:paraId="12701A50" w14:textId="77777777" w:rsidR="00A23D3E" w:rsidRPr="00A23D3E" w:rsidRDefault="00A23D3E" w:rsidP="00A23D3E">
      <w:pPr>
        <w:shd w:val="clear" w:color="auto" w:fill="BFBFBF"/>
        <w:tabs>
          <w:tab w:val="left" w:pos="567"/>
        </w:tabs>
        <w:spacing w:after="0" w:line="240" w:lineRule="auto"/>
        <w:rPr>
          <w:rFonts w:ascii="Times New Roman" w:eastAsia="Times New Roman" w:hAnsi="Times New Roman" w:cs="Times New Roman"/>
          <w:snapToGrid w:val="0"/>
          <w:lang w:val="it-IT"/>
        </w:rPr>
      </w:pPr>
      <w:r w:rsidRPr="00A23D3E">
        <w:rPr>
          <w:rFonts w:ascii="Times New Roman" w:eastAsia="Times New Roman" w:hAnsi="Times New Roman" w:cs="Times New Roman"/>
          <w:lang w:val="it-IT"/>
        </w:rPr>
        <w:t>Sandostatin LAR 30 mg milteliai injekcinei suspensijai</w:t>
      </w:r>
    </w:p>
    <w:p w14:paraId="71AE2250"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i/>
          <w:caps/>
          <w:lang w:val="it-IT"/>
        </w:rPr>
      </w:pPr>
      <w:r w:rsidRPr="00A23D3E">
        <w:rPr>
          <w:rFonts w:ascii="Times New Roman" w:eastAsia="Times New Roman" w:hAnsi="Times New Roman" w:cs="Times New Roman"/>
          <w:i/>
          <w:lang w:val="it-IT"/>
        </w:rPr>
        <w:t>octreotidum</w:t>
      </w:r>
    </w:p>
    <w:p w14:paraId="40673A31"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lang w:val="it-IT"/>
        </w:rPr>
        <w:t>i.m.</w:t>
      </w:r>
    </w:p>
    <w:p w14:paraId="53304FA1"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7F6BA78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6007EB25" w14:textId="77777777" w:rsidR="00A23D3E" w:rsidRPr="00A23D3E" w:rsidRDefault="00A23D3E" w:rsidP="00A23D3E">
      <w:pPr>
        <w:pBdr>
          <w:top w:val="single" w:sz="4" w:space="1" w:color="auto"/>
          <w:left w:val="single" w:sz="4" w:space="4" w:color="auto"/>
          <w:bottom w:val="single" w:sz="4" w:space="0"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lang w:val="it-IT"/>
        </w:rPr>
        <w:t>2.</w:t>
      </w:r>
      <w:r w:rsidRPr="00A23D3E">
        <w:rPr>
          <w:rFonts w:ascii="Times New Roman" w:eastAsia="Times New Roman" w:hAnsi="Times New Roman" w:cs="Times New Roman"/>
          <w:b/>
          <w:lang w:val="it-IT"/>
        </w:rPr>
        <w:tab/>
      </w:r>
      <w:r w:rsidRPr="00A23D3E">
        <w:rPr>
          <w:rFonts w:ascii="Times New Roman" w:eastAsia="Times New Roman" w:hAnsi="Times New Roman" w:cs="Times New Roman"/>
          <w:b/>
          <w:caps/>
          <w:lang w:val="it-IT"/>
        </w:rPr>
        <w:t>VARTOJIMO METODAS</w:t>
      </w:r>
    </w:p>
    <w:p w14:paraId="2AD4CE53"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40FBFE80"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1E5F3EC2"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lang w:val="it-IT"/>
        </w:rPr>
        <w:t>3.</w:t>
      </w:r>
      <w:r w:rsidRPr="00A23D3E">
        <w:rPr>
          <w:rFonts w:ascii="Times New Roman" w:eastAsia="Times New Roman" w:hAnsi="Times New Roman" w:cs="Times New Roman"/>
          <w:b/>
          <w:lang w:val="it-IT"/>
        </w:rPr>
        <w:tab/>
      </w:r>
      <w:r w:rsidRPr="00A23D3E">
        <w:rPr>
          <w:rFonts w:ascii="Times New Roman" w:eastAsia="Times New Roman" w:hAnsi="Times New Roman" w:cs="Times New Roman"/>
          <w:b/>
          <w:caps/>
          <w:lang w:val="it-IT"/>
        </w:rPr>
        <w:t>tinkamumo laikas</w:t>
      </w:r>
    </w:p>
    <w:p w14:paraId="46F74C2D"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183240ED" w14:textId="77777777" w:rsidR="00A23D3E" w:rsidRPr="00A23D3E" w:rsidRDefault="00A23D3E" w:rsidP="00A23D3E">
      <w:pPr>
        <w:tabs>
          <w:tab w:val="left" w:pos="567"/>
        </w:tabs>
        <w:spacing w:after="0" w:line="240" w:lineRule="auto"/>
        <w:ind w:left="567" w:hanging="567"/>
        <w:outlineLvl w:val="0"/>
        <w:rPr>
          <w:rFonts w:ascii="Times New Roman" w:eastAsia="Times New Roman" w:hAnsi="Times New Roman" w:cs="Times New Roman"/>
          <w:lang w:val="en-GB"/>
        </w:rPr>
      </w:pPr>
      <w:r w:rsidRPr="00A23D3E">
        <w:rPr>
          <w:rFonts w:ascii="Times New Roman" w:eastAsia="Times New Roman" w:hAnsi="Times New Roman" w:cs="Times New Roman"/>
          <w:lang w:val="en-GB"/>
        </w:rPr>
        <w:t>EXP {mm MMMM}</w:t>
      </w:r>
    </w:p>
    <w:p w14:paraId="5AF1911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GB"/>
        </w:rPr>
      </w:pPr>
    </w:p>
    <w:p w14:paraId="005947FA"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GB"/>
        </w:rPr>
      </w:pPr>
    </w:p>
    <w:p w14:paraId="7C2B0301"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n-GB"/>
        </w:rPr>
      </w:pPr>
      <w:r w:rsidRPr="00A23D3E">
        <w:rPr>
          <w:rFonts w:ascii="Times New Roman" w:eastAsia="Times New Roman" w:hAnsi="Times New Roman" w:cs="Times New Roman"/>
          <w:b/>
          <w:caps/>
          <w:lang w:val="en-GB"/>
        </w:rPr>
        <w:t>4.</w:t>
      </w:r>
      <w:r w:rsidRPr="00A23D3E">
        <w:rPr>
          <w:rFonts w:ascii="Times New Roman" w:eastAsia="Times New Roman" w:hAnsi="Times New Roman" w:cs="Times New Roman"/>
          <w:b/>
          <w:caps/>
          <w:lang w:val="en-GB"/>
        </w:rPr>
        <w:tab/>
        <w:t>serijos numeris</w:t>
      </w:r>
    </w:p>
    <w:p w14:paraId="191F3E9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GB"/>
        </w:rPr>
      </w:pPr>
    </w:p>
    <w:p w14:paraId="5EB201F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GB"/>
        </w:rPr>
      </w:pPr>
      <w:r w:rsidRPr="00A23D3E">
        <w:rPr>
          <w:rFonts w:ascii="Times New Roman" w:eastAsia="Times New Roman" w:hAnsi="Times New Roman" w:cs="Times New Roman"/>
          <w:lang w:val="en-GB"/>
        </w:rPr>
        <w:t>Lot {numeris}</w:t>
      </w:r>
    </w:p>
    <w:p w14:paraId="6E03823A" w14:textId="77777777" w:rsidR="00A23D3E" w:rsidRPr="00A23D3E" w:rsidRDefault="00A23D3E" w:rsidP="00A23D3E">
      <w:pPr>
        <w:tabs>
          <w:tab w:val="left" w:pos="567"/>
        </w:tabs>
        <w:spacing w:after="0" w:line="240" w:lineRule="auto"/>
        <w:rPr>
          <w:rFonts w:ascii="Times New Roman" w:eastAsia="Times New Roman" w:hAnsi="Times New Roman" w:cs="Times New Roman"/>
          <w:lang w:val="en-GB"/>
        </w:rPr>
      </w:pPr>
    </w:p>
    <w:p w14:paraId="17A7EF2C" w14:textId="77777777" w:rsidR="00A23D3E" w:rsidRPr="00A23D3E" w:rsidRDefault="00A23D3E" w:rsidP="00A23D3E">
      <w:pPr>
        <w:tabs>
          <w:tab w:val="left" w:pos="567"/>
        </w:tabs>
        <w:spacing w:after="0" w:line="240" w:lineRule="auto"/>
        <w:rPr>
          <w:rFonts w:ascii="Times New Roman" w:eastAsia="Times New Roman" w:hAnsi="Times New Roman" w:cs="Times New Roman"/>
          <w:lang w:val="en-GB"/>
        </w:rPr>
      </w:pPr>
    </w:p>
    <w:p w14:paraId="208F2774"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n-GB"/>
        </w:rPr>
      </w:pPr>
      <w:r w:rsidRPr="00A23D3E">
        <w:rPr>
          <w:rFonts w:ascii="Times New Roman" w:eastAsia="Times New Roman" w:hAnsi="Times New Roman" w:cs="Times New Roman"/>
          <w:b/>
          <w:caps/>
          <w:lang w:val="en-GB"/>
        </w:rPr>
        <w:t>5.</w:t>
      </w:r>
      <w:r w:rsidRPr="00A23D3E">
        <w:rPr>
          <w:rFonts w:ascii="Times New Roman" w:eastAsia="Times New Roman" w:hAnsi="Times New Roman" w:cs="Times New Roman"/>
          <w:b/>
          <w:caps/>
          <w:lang w:val="en-GB"/>
        </w:rPr>
        <w:tab/>
        <w:t>KIEKIS (MASĖ, TŪRIS ARBA VIENETAI)</w:t>
      </w:r>
    </w:p>
    <w:p w14:paraId="2EE95705"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n-GB"/>
        </w:rPr>
      </w:pPr>
    </w:p>
    <w:p w14:paraId="48BC3867" w14:textId="77777777" w:rsidR="00A23D3E" w:rsidRPr="00A23D3E" w:rsidRDefault="00A23D3E" w:rsidP="00A23D3E">
      <w:pPr>
        <w:tabs>
          <w:tab w:val="left" w:pos="567"/>
        </w:tabs>
        <w:spacing w:after="0" w:line="240" w:lineRule="auto"/>
        <w:rPr>
          <w:rFonts w:ascii="Times New Roman" w:eastAsia="Times New Roman" w:hAnsi="Times New Roman" w:cs="Times New Roman"/>
          <w:lang w:val="en-GB"/>
        </w:rPr>
      </w:pPr>
      <w:r w:rsidRPr="00A23D3E">
        <w:rPr>
          <w:rFonts w:ascii="Times New Roman" w:eastAsia="Times New Roman" w:hAnsi="Times New Roman" w:cs="Times New Roman"/>
          <w:lang w:val="en-GB"/>
        </w:rPr>
        <w:t>10 mg octreotidum</w:t>
      </w:r>
    </w:p>
    <w:p w14:paraId="77CC9C3C" w14:textId="77777777" w:rsidR="00A23D3E" w:rsidRPr="00A23D3E" w:rsidRDefault="00A23D3E" w:rsidP="00A23D3E">
      <w:pPr>
        <w:shd w:val="clear" w:color="auto" w:fill="D9D9D9"/>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20 mg octreotidum</w:t>
      </w:r>
    </w:p>
    <w:p w14:paraId="7F929B4F" w14:textId="77777777" w:rsidR="00A23D3E" w:rsidRPr="00A23D3E" w:rsidRDefault="00A23D3E" w:rsidP="00A23D3E">
      <w:pPr>
        <w:shd w:val="clear" w:color="auto" w:fill="BFBFBF"/>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30 mg octreotidum</w:t>
      </w:r>
    </w:p>
    <w:p w14:paraId="365D2D18"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2F97D440"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6EB66F9E"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6.</w:t>
      </w:r>
      <w:r w:rsidRPr="00A23D3E">
        <w:rPr>
          <w:rFonts w:ascii="Times New Roman" w:eastAsia="Times New Roman" w:hAnsi="Times New Roman" w:cs="Times New Roman"/>
          <w:b/>
          <w:caps/>
          <w:lang w:val="es-ES"/>
        </w:rPr>
        <w:tab/>
        <w:t xml:space="preserve">KITA </w:t>
      </w:r>
    </w:p>
    <w:p w14:paraId="67E4EE77"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p>
    <w:p w14:paraId="549D44FD"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Novartis</w:t>
      </w:r>
    </w:p>
    <w:p w14:paraId="306C7E1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p>
    <w:p w14:paraId="4D2F276E" w14:textId="77777777" w:rsidR="00A23D3E" w:rsidRPr="00A23D3E" w:rsidRDefault="00A23D3E" w:rsidP="00A23D3E">
      <w:pPr>
        <w:spacing w:after="200" w:line="276"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br w:type="page"/>
      </w:r>
    </w:p>
    <w:p w14:paraId="25087B55" w14:textId="77777777" w:rsidR="00A23D3E" w:rsidRPr="00A23D3E" w:rsidRDefault="00A23D3E" w:rsidP="00A23D3E">
      <w:pPr>
        <w:tabs>
          <w:tab w:val="left" w:pos="567"/>
        </w:tabs>
        <w:spacing w:after="0" w:line="240" w:lineRule="auto"/>
        <w:jc w:val="center"/>
        <w:rPr>
          <w:rFonts w:ascii="Times New Roman" w:eastAsia="Times New Roman" w:hAnsi="Times New Roman" w:cs="Times New Roman"/>
          <w:b/>
          <w:caps/>
          <w:highlight w:val="yellow"/>
          <w:lang w:val="es-ES" w:eastAsia="x-none"/>
        </w:rPr>
      </w:pPr>
    </w:p>
    <w:p w14:paraId="51703396" w14:textId="77777777" w:rsidR="00A23D3E" w:rsidRPr="00A23D3E" w:rsidRDefault="00A23D3E" w:rsidP="00A23D3E">
      <w:pPr>
        <w:pBdr>
          <w:top w:val="single" w:sz="4" w:space="0" w:color="auto"/>
          <w:left w:val="single" w:sz="4" w:space="0"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val="es-ES"/>
        </w:rPr>
      </w:pPr>
      <w:r w:rsidRPr="00A23D3E">
        <w:rPr>
          <w:rFonts w:ascii="Times New Roman" w:eastAsia="Times New Roman" w:hAnsi="Times New Roman" w:cs="Times New Roman"/>
          <w:b/>
          <w:lang w:val="es-ES"/>
        </w:rPr>
        <w:t xml:space="preserve">MINIMALI </w:t>
      </w:r>
      <w:r w:rsidRPr="00A23D3E">
        <w:rPr>
          <w:rFonts w:ascii="Times New Roman" w:eastAsia="Times New Roman" w:hAnsi="Times New Roman" w:cs="Times New Roman"/>
          <w:b/>
          <w:caps/>
          <w:lang w:val="es-ES"/>
        </w:rPr>
        <w:t xml:space="preserve">informacija ant </w:t>
      </w:r>
      <w:r w:rsidRPr="00A23D3E">
        <w:rPr>
          <w:rFonts w:ascii="Times New Roman" w:eastAsia="Times New Roman" w:hAnsi="Times New Roman" w:cs="Times New Roman"/>
          <w:b/>
          <w:lang w:val="es-ES"/>
        </w:rPr>
        <w:t>MAŽŲ VIDINIŲ PAKUOČIŲ</w:t>
      </w:r>
    </w:p>
    <w:p w14:paraId="5877D4D0" w14:textId="77777777" w:rsidR="00A23D3E" w:rsidRPr="00A23D3E" w:rsidRDefault="00A23D3E" w:rsidP="00A23D3E">
      <w:pPr>
        <w:pBdr>
          <w:top w:val="single" w:sz="4" w:space="0" w:color="auto"/>
          <w:left w:val="single" w:sz="4" w:space="0"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val="es-ES"/>
        </w:rPr>
      </w:pPr>
    </w:p>
    <w:p w14:paraId="082C08CE" w14:textId="77777777" w:rsidR="00A23D3E" w:rsidRPr="00A23D3E" w:rsidRDefault="00A23D3E" w:rsidP="00A23D3E">
      <w:pPr>
        <w:pBdr>
          <w:top w:val="single" w:sz="4" w:space="0" w:color="auto"/>
          <w:left w:val="single" w:sz="4" w:space="0"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caps/>
          <w:lang w:val="es-ES"/>
        </w:rPr>
      </w:pPr>
      <w:r w:rsidRPr="00A23D3E">
        <w:rPr>
          <w:rFonts w:ascii="Times New Roman" w:eastAsia="Times New Roman" w:hAnsi="Times New Roman" w:cs="Times New Roman"/>
          <w:b/>
          <w:lang w:val="es-ES"/>
        </w:rPr>
        <w:t>ŠVIRKŠTO ETIKETĖ</w:t>
      </w:r>
    </w:p>
    <w:p w14:paraId="1C5A8720"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57FEAA9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caps/>
          <w:lang w:val="es-ES"/>
        </w:rPr>
      </w:pPr>
    </w:p>
    <w:p w14:paraId="5FE460FD"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caps/>
          <w:lang w:val="it-IT"/>
        </w:rPr>
        <w:t>1.</w:t>
      </w:r>
      <w:r w:rsidRPr="00A23D3E">
        <w:rPr>
          <w:rFonts w:ascii="Times New Roman" w:eastAsia="Times New Roman" w:hAnsi="Times New Roman" w:cs="Times New Roman"/>
          <w:b/>
          <w:caps/>
          <w:lang w:val="it-IT"/>
        </w:rPr>
        <w:tab/>
        <w:t>Vaistinio preparato pavadinimas IR VARTOJIMO BŪDAS (-ai)</w:t>
      </w:r>
    </w:p>
    <w:p w14:paraId="5769B1D6"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0CD8361D" w14:textId="77777777" w:rsidR="00A23D3E" w:rsidRPr="00A23D3E" w:rsidRDefault="00A23D3E" w:rsidP="00A23D3E">
      <w:pPr>
        <w:tabs>
          <w:tab w:val="left" w:pos="567"/>
        </w:tabs>
        <w:spacing w:after="0" w:line="240" w:lineRule="auto"/>
        <w:rPr>
          <w:rFonts w:ascii="Times New Roman" w:eastAsia="Times New Roman" w:hAnsi="Times New Roman" w:cs="Times New Roman"/>
          <w:snapToGrid w:val="0"/>
          <w:lang w:val="it-IT"/>
        </w:rPr>
      </w:pPr>
      <w:r w:rsidRPr="00A23D3E">
        <w:rPr>
          <w:rFonts w:ascii="Times New Roman" w:eastAsia="Times New Roman" w:hAnsi="Times New Roman" w:cs="Times New Roman"/>
          <w:lang w:val="it-IT"/>
        </w:rPr>
        <w:t>Sandostatin LAR tirpiklis</w:t>
      </w:r>
    </w:p>
    <w:p w14:paraId="5DA0A211"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76765478"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349367D2"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lang w:val="it-IT"/>
        </w:rPr>
        <w:t>2.</w:t>
      </w:r>
      <w:r w:rsidRPr="00A23D3E">
        <w:rPr>
          <w:rFonts w:ascii="Times New Roman" w:eastAsia="Times New Roman" w:hAnsi="Times New Roman" w:cs="Times New Roman"/>
          <w:b/>
          <w:lang w:val="it-IT"/>
        </w:rPr>
        <w:tab/>
      </w:r>
      <w:r w:rsidRPr="00A23D3E">
        <w:rPr>
          <w:rFonts w:ascii="Times New Roman" w:eastAsia="Times New Roman" w:hAnsi="Times New Roman" w:cs="Times New Roman"/>
          <w:b/>
          <w:caps/>
          <w:lang w:val="it-IT"/>
        </w:rPr>
        <w:t>VARTOJIMO METODAS</w:t>
      </w:r>
    </w:p>
    <w:p w14:paraId="1602B03E"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003002E9"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i.m.</w:t>
      </w:r>
    </w:p>
    <w:p w14:paraId="4CEC4397"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1EE9D25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0B385890"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lang w:val="it-IT"/>
        </w:rPr>
        <w:t>3.</w:t>
      </w:r>
      <w:r w:rsidRPr="00A23D3E">
        <w:rPr>
          <w:rFonts w:ascii="Times New Roman" w:eastAsia="Times New Roman" w:hAnsi="Times New Roman" w:cs="Times New Roman"/>
          <w:b/>
          <w:lang w:val="it-IT"/>
        </w:rPr>
        <w:tab/>
      </w:r>
      <w:r w:rsidRPr="00A23D3E">
        <w:rPr>
          <w:rFonts w:ascii="Times New Roman" w:eastAsia="Times New Roman" w:hAnsi="Times New Roman" w:cs="Times New Roman"/>
          <w:b/>
          <w:caps/>
          <w:lang w:val="it-IT"/>
        </w:rPr>
        <w:t>tinkamumo laikas</w:t>
      </w:r>
    </w:p>
    <w:p w14:paraId="0BAA3BD2"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1CC5A0E9" w14:textId="77777777" w:rsidR="00A23D3E" w:rsidRPr="00A23D3E" w:rsidRDefault="00A23D3E" w:rsidP="00A23D3E">
      <w:pPr>
        <w:tabs>
          <w:tab w:val="left" w:pos="567"/>
        </w:tabs>
        <w:spacing w:after="0" w:line="240" w:lineRule="auto"/>
        <w:ind w:left="567" w:hanging="567"/>
        <w:outlineLvl w:val="0"/>
        <w:rPr>
          <w:rFonts w:ascii="Times New Roman" w:eastAsia="Times New Roman" w:hAnsi="Times New Roman" w:cs="Times New Roman"/>
          <w:lang w:val="it-IT"/>
        </w:rPr>
      </w:pPr>
      <w:r w:rsidRPr="00A23D3E">
        <w:rPr>
          <w:rFonts w:ascii="Times New Roman" w:eastAsia="Times New Roman" w:hAnsi="Times New Roman" w:cs="Times New Roman"/>
          <w:lang w:val="it-IT"/>
        </w:rPr>
        <w:t>EXP {mm MMMM}</w:t>
      </w:r>
    </w:p>
    <w:p w14:paraId="64BAD845"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6F07AFCC"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14F0120F"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it-IT"/>
        </w:rPr>
      </w:pPr>
      <w:r w:rsidRPr="00A23D3E">
        <w:rPr>
          <w:rFonts w:ascii="Times New Roman" w:eastAsia="Times New Roman" w:hAnsi="Times New Roman" w:cs="Times New Roman"/>
          <w:b/>
          <w:caps/>
          <w:lang w:val="it-IT"/>
        </w:rPr>
        <w:t>4.</w:t>
      </w:r>
      <w:r w:rsidRPr="00A23D3E">
        <w:rPr>
          <w:rFonts w:ascii="Times New Roman" w:eastAsia="Times New Roman" w:hAnsi="Times New Roman" w:cs="Times New Roman"/>
          <w:b/>
          <w:caps/>
          <w:lang w:val="it-IT"/>
        </w:rPr>
        <w:tab/>
        <w:t xml:space="preserve">serijA </w:t>
      </w:r>
    </w:p>
    <w:p w14:paraId="58F1811F"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p>
    <w:p w14:paraId="43F35A87"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it-IT"/>
        </w:rPr>
      </w:pPr>
      <w:r w:rsidRPr="00A23D3E">
        <w:rPr>
          <w:rFonts w:ascii="Times New Roman" w:eastAsia="Times New Roman" w:hAnsi="Times New Roman" w:cs="Times New Roman"/>
          <w:lang w:val="it-IT"/>
        </w:rPr>
        <w:t>Lot {numeris}</w:t>
      </w:r>
    </w:p>
    <w:p w14:paraId="69E4C5D5"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p>
    <w:p w14:paraId="08865F96" w14:textId="77777777" w:rsidR="00A23D3E" w:rsidRPr="00A23D3E" w:rsidRDefault="00A23D3E" w:rsidP="00A23D3E">
      <w:pPr>
        <w:tabs>
          <w:tab w:val="left" w:pos="567"/>
        </w:tabs>
        <w:spacing w:after="0" w:line="240" w:lineRule="auto"/>
        <w:rPr>
          <w:rFonts w:ascii="Times New Roman" w:eastAsia="Times New Roman" w:hAnsi="Times New Roman" w:cs="Times New Roman"/>
          <w:lang w:val="it-IT"/>
        </w:rPr>
      </w:pPr>
    </w:p>
    <w:p w14:paraId="260DC3DA"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5.</w:t>
      </w:r>
      <w:r w:rsidRPr="00A23D3E">
        <w:rPr>
          <w:rFonts w:ascii="Times New Roman" w:eastAsia="Times New Roman" w:hAnsi="Times New Roman" w:cs="Times New Roman"/>
          <w:b/>
          <w:caps/>
          <w:lang w:val="es-ES"/>
        </w:rPr>
        <w:tab/>
        <w:t xml:space="preserve">KIEKIS (MASĖ, TŪRIS ARBA VIENETAI) </w:t>
      </w:r>
    </w:p>
    <w:p w14:paraId="791F4B2C"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4093D40A"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2 ml</w:t>
      </w:r>
    </w:p>
    <w:p w14:paraId="023A639F"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150C7207"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197F30EB" w14:textId="77777777" w:rsidR="00A23D3E" w:rsidRPr="00A23D3E" w:rsidRDefault="00A23D3E" w:rsidP="00A23D3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caps/>
          <w:lang w:val="es-ES"/>
        </w:rPr>
      </w:pPr>
      <w:r w:rsidRPr="00A23D3E">
        <w:rPr>
          <w:rFonts w:ascii="Times New Roman" w:eastAsia="Times New Roman" w:hAnsi="Times New Roman" w:cs="Times New Roman"/>
          <w:b/>
          <w:caps/>
          <w:lang w:val="es-ES"/>
        </w:rPr>
        <w:t>6.</w:t>
      </w:r>
      <w:r w:rsidRPr="00A23D3E">
        <w:rPr>
          <w:rFonts w:ascii="Times New Roman" w:eastAsia="Times New Roman" w:hAnsi="Times New Roman" w:cs="Times New Roman"/>
          <w:b/>
          <w:caps/>
          <w:lang w:val="es-ES"/>
        </w:rPr>
        <w:tab/>
        <w:t>KITA</w:t>
      </w:r>
    </w:p>
    <w:p w14:paraId="3F845E98"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542DC209"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Novartis</w:t>
      </w:r>
    </w:p>
    <w:p w14:paraId="7A79C4C8" w14:textId="77777777" w:rsidR="00A23D3E" w:rsidRPr="00A23D3E" w:rsidRDefault="00A23D3E" w:rsidP="00A23D3E">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en-US"/>
        </w:rPr>
      </w:pPr>
      <w:r w:rsidRPr="00A23D3E">
        <w:rPr>
          <w:rFonts w:ascii="Times New Roman" w:eastAsia="Calibri" w:hAnsi="Times New Roman" w:cs="Times New Roman"/>
          <w:b/>
          <w:u w:val="single"/>
        </w:rPr>
        <w:br w:type="page"/>
      </w:r>
    </w:p>
    <w:p w14:paraId="2C7F33FA"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26F9D976"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5A183CF6"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EE792F0"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44FCFEC4"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38C68F87"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347CFE38"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3A316B75"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4F43B6D"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789888DB"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EC7259C"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8FA8274"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D6B5923"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A4741A5"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4AAE3E0B"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98F0371"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1E83B88E"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3E4BE365"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05F824C"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B164099"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4FB9271E"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0D1E8397"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66AAFB97"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4882B17D" w14:textId="77777777" w:rsidR="00A23D3E" w:rsidRPr="00A23D3E" w:rsidRDefault="00A23D3E" w:rsidP="00A23D3E">
      <w:pPr>
        <w:widowControl w:val="0"/>
        <w:numPr>
          <w:ilvl w:val="0"/>
          <w:numId w:val="42"/>
        </w:numPr>
        <w:spacing w:after="0" w:line="240" w:lineRule="auto"/>
        <w:contextualSpacing/>
        <w:jc w:val="center"/>
        <w:outlineLvl w:val="0"/>
        <w:rPr>
          <w:rFonts w:ascii="Times New Roman" w:eastAsia="Calibri" w:hAnsi="Times New Roman" w:cs="Times New Roman"/>
          <w:lang w:val="en-US"/>
        </w:rPr>
      </w:pPr>
      <w:r w:rsidRPr="00A23D3E">
        <w:rPr>
          <w:rFonts w:ascii="Times New Roman" w:eastAsia="Calibri" w:hAnsi="Times New Roman" w:cs="Times New Roman"/>
          <w:b/>
          <w:lang w:val="en-US"/>
        </w:rPr>
        <w:t>PAKUOTĖS LAPELIS</w:t>
      </w:r>
    </w:p>
    <w:p w14:paraId="58DFD5E3"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lang w:val="en-US"/>
        </w:rPr>
      </w:pPr>
      <w:r w:rsidRPr="00A23D3E">
        <w:rPr>
          <w:rFonts w:ascii="Times New Roman" w:eastAsia="Calibri" w:hAnsi="Times New Roman" w:cs="Times New Roman"/>
          <w:b/>
          <w:lang w:val="en-US"/>
        </w:rPr>
        <w:br w:type="page"/>
      </w:r>
      <w:r w:rsidRPr="00A23D3E">
        <w:rPr>
          <w:rFonts w:ascii="Times New Roman" w:eastAsia="Calibri" w:hAnsi="Times New Roman" w:cs="Times New Roman"/>
          <w:b/>
          <w:lang w:val="en-US"/>
        </w:rPr>
        <w:lastRenderedPageBreak/>
        <w:t>Pakuotės lapelis: informacija pacientui</w:t>
      </w:r>
    </w:p>
    <w:p w14:paraId="1E1D3843" w14:textId="77777777" w:rsidR="00A23D3E" w:rsidRPr="00A23D3E" w:rsidRDefault="00A23D3E" w:rsidP="00A23D3E">
      <w:pPr>
        <w:widowControl w:val="0"/>
        <w:spacing w:after="0" w:line="240" w:lineRule="auto"/>
        <w:jc w:val="center"/>
        <w:outlineLvl w:val="0"/>
        <w:rPr>
          <w:rFonts w:ascii="Times New Roman" w:eastAsia="Calibri" w:hAnsi="Times New Roman" w:cs="Times New Roman"/>
          <w:lang w:val="en-US"/>
        </w:rPr>
      </w:pPr>
    </w:p>
    <w:p w14:paraId="6204312A" w14:textId="77777777" w:rsidR="00A23D3E" w:rsidRPr="00A23D3E" w:rsidRDefault="00A23D3E" w:rsidP="00A23D3E">
      <w:pPr>
        <w:widowControl w:val="0"/>
        <w:numPr>
          <w:ilvl w:val="12"/>
          <w:numId w:val="0"/>
        </w:numPr>
        <w:spacing w:after="0" w:line="240" w:lineRule="auto"/>
        <w:jc w:val="center"/>
        <w:rPr>
          <w:rFonts w:ascii="Times New Roman" w:eastAsia="Calibri" w:hAnsi="Times New Roman" w:cs="Times New Roman"/>
          <w:b/>
          <w:lang w:val="en-US"/>
        </w:rPr>
      </w:pPr>
      <w:r w:rsidRPr="00A23D3E">
        <w:rPr>
          <w:rFonts w:ascii="Times New Roman" w:eastAsia="Calibri" w:hAnsi="Times New Roman" w:cs="Times New Roman"/>
          <w:b/>
          <w:lang w:val="en-US"/>
        </w:rPr>
        <w:t>Sandostatin LAR 10 mg milteliai ir tirpiklis injekcinei suspensijai</w:t>
      </w:r>
    </w:p>
    <w:p w14:paraId="55DEF565" w14:textId="77777777" w:rsidR="00A23D3E" w:rsidRPr="00A23D3E" w:rsidRDefault="00A23D3E" w:rsidP="00A23D3E">
      <w:pPr>
        <w:widowControl w:val="0"/>
        <w:numPr>
          <w:ilvl w:val="12"/>
          <w:numId w:val="0"/>
        </w:numPr>
        <w:shd w:val="pct10" w:color="auto" w:fill="auto"/>
        <w:spacing w:after="0" w:line="240" w:lineRule="auto"/>
        <w:jc w:val="center"/>
        <w:rPr>
          <w:rFonts w:ascii="Times New Roman" w:eastAsia="Calibri" w:hAnsi="Times New Roman" w:cs="Times New Roman"/>
          <w:b/>
          <w:lang w:val="en-US"/>
        </w:rPr>
      </w:pPr>
      <w:r w:rsidRPr="00A23D3E">
        <w:rPr>
          <w:rFonts w:ascii="Times New Roman" w:eastAsia="Calibri" w:hAnsi="Times New Roman" w:cs="Times New Roman"/>
          <w:b/>
          <w:lang w:val="en-US"/>
        </w:rPr>
        <w:t>Sandostatin LAR 20 mg milteliai ir tirpiklis injekcinei suspensijai</w:t>
      </w:r>
    </w:p>
    <w:p w14:paraId="6578F510" w14:textId="77777777" w:rsidR="00A23D3E" w:rsidRPr="00A23D3E" w:rsidRDefault="00A23D3E" w:rsidP="00A23D3E">
      <w:pPr>
        <w:widowControl w:val="0"/>
        <w:numPr>
          <w:ilvl w:val="12"/>
          <w:numId w:val="0"/>
        </w:numPr>
        <w:shd w:val="pct20" w:color="auto" w:fill="auto"/>
        <w:spacing w:after="0" w:line="240" w:lineRule="auto"/>
        <w:jc w:val="center"/>
        <w:rPr>
          <w:rFonts w:ascii="Times New Roman" w:eastAsia="Calibri" w:hAnsi="Times New Roman" w:cs="Times New Roman"/>
          <w:lang w:val="en-US"/>
        </w:rPr>
      </w:pPr>
      <w:r w:rsidRPr="00A23D3E">
        <w:rPr>
          <w:rFonts w:ascii="Times New Roman" w:eastAsia="Calibri" w:hAnsi="Times New Roman" w:cs="Times New Roman"/>
          <w:b/>
          <w:lang w:val="en-US"/>
        </w:rPr>
        <w:t>Sandostatin LAR 30 mg milteliai ir tirpiklis injekcinei suspensijai</w:t>
      </w:r>
    </w:p>
    <w:p w14:paraId="6C5E4AB1"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p>
    <w:p w14:paraId="78644702" w14:textId="77777777" w:rsidR="00A23D3E" w:rsidRPr="00A23D3E" w:rsidRDefault="00A23D3E" w:rsidP="00A23D3E">
      <w:pPr>
        <w:tabs>
          <w:tab w:val="left" w:pos="567"/>
        </w:tabs>
        <w:spacing w:after="0" w:line="260" w:lineRule="exact"/>
        <w:ind w:left="567" w:hanging="567"/>
        <w:jc w:val="center"/>
        <w:rPr>
          <w:rFonts w:ascii="Times New Roman" w:eastAsia="Calibri" w:hAnsi="Times New Roman" w:cs="Times New Roman"/>
          <w:lang w:val="it-IT"/>
        </w:rPr>
      </w:pPr>
      <w:r w:rsidRPr="00A23D3E">
        <w:rPr>
          <w:rFonts w:ascii="Times New Roman" w:eastAsia="Calibri" w:hAnsi="Times New Roman" w:cs="Times New Roman"/>
          <w:lang w:val="en-US"/>
        </w:rPr>
        <w:t>Oktreotidas (</w:t>
      </w:r>
      <w:r w:rsidRPr="00A23D3E">
        <w:rPr>
          <w:rFonts w:ascii="Times New Roman" w:eastAsia="Calibri" w:hAnsi="Times New Roman" w:cs="Times New Roman"/>
          <w:i/>
          <w:lang w:val="it-IT"/>
        </w:rPr>
        <w:t>octreotidum</w:t>
      </w:r>
      <w:r w:rsidRPr="00A23D3E">
        <w:rPr>
          <w:rFonts w:ascii="Times New Roman" w:eastAsia="Calibri" w:hAnsi="Times New Roman" w:cs="Times New Roman"/>
          <w:lang w:val="it-IT"/>
        </w:rPr>
        <w:t>)</w:t>
      </w:r>
    </w:p>
    <w:p w14:paraId="3A050858" w14:textId="77777777" w:rsidR="00A23D3E" w:rsidRPr="00A23D3E" w:rsidRDefault="00A23D3E" w:rsidP="00A23D3E">
      <w:pPr>
        <w:tabs>
          <w:tab w:val="left" w:pos="567"/>
        </w:tabs>
        <w:spacing w:after="0" w:line="260" w:lineRule="exact"/>
        <w:ind w:left="567" w:hanging="567"/>
        <w:jc w:val="center"/>
        <w:rPr>
          <w:rFonts w:ascii="Times New Roman" w:eastAsia="Calibri" w:hAnsi="Times New Roman" w:cs="Times New Roman"/>
          <w:lang w:val="en-US"/>
        </w:rPr>
      </w:pPr>
    </w:p>
    <w:p w14:paraId="6E1DF21B" w14:textId="77777777" w:rsidR="00A23D3E" w:rsidRPr="00A23D3E" w:rsidRDefault="00A23D3E" w:rsidP="00A23D3E">
      <w:pPr>
        <w:widowControl w:val="0"/>
        <w:numPr>
          <w:ilvl w:val="12"/>
          <w:numId w:val="0"/>
        </w:numPr>
        <w:spacing w:after="0" w:line="240" w:lineRule="auto"/>
        <w:jc w:val="center"/>
        <w:rPr>
          <w:rFonts w:ascii="Times New Roman" w:eastAsia="Calibri" w:hAnsi="Times New Roman" w:cs="Times New Roman"/>
          <w:lang w:val="en-US"/>
        </w:rPr>
      </w:pPr>
    </w:p>
    <w:p w14:paraId="0DDDE35B"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Atidžiai perskaitykite visą šį lapelį, prieš pradėdami vartoti vaistą, nes jame pateikiama Jums svarbi informacija.</w:t>
      </w:r>
    </w:p>
    <w:p w14:paraId="1467E31E" w14:textId="77777777" w:rsidR="00A23D3E" w:rsidRPr="00A23D3E" w:rsidRDefault="00A23D3E" w:rsidP="00A23D3E">
      <w:pPr>
        <w:widowControl w:val="0"/>
        <w:numPr>
          <w:ilvl w:val="0"/>
          <w:numId w:val="8"/>
        </w:num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Neišmeskite šio lapelio, nes vėl gali prireikti jį perskaityti.</w:t>
      </w:r>
    </w:p>
    <w:p w14:paraId="7080AD31" w14:textId="77777777" w:rsidR="00A23D3E" w:rsidRPr="00A23D3E" w:rsidRDefault="00A23D3E" w:rsidP="00A23D3E">
      <w:pPr>
        <w:widowControl w:val="0"/>
        <w:numPr>
          <w:ilvl w:val="0"/>
          <w:numId w:val="8"/>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kiltų daugiau klausimų, kreipkitės į gydytoją, vaistininką arba slaugytoją.</w:t>
      </w:r>
    </w:p>
    <w:p w14:paraId="138132F4" w14:textId="77777777" w:rsidR="00A23D3E" w:rsidRPr="00A23D3E" w:rsidRDefault="00A23D3E" w:rsidP="00A23D3E">
      <w:pPr>
        <w:widowControl w:val="0"/>
        <w:numPr>
          <w:ilvl w:val="0"/>
          <w:numId w:val="8"/>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Šis vaistas skirtas tik Jums, todėl kitiems žmonėms jo duoti negalima. Vaistas gali jiems pakenkti (net tiems, kurių ligos požymiai yra tokie patys kaip Jūsų).</w:t>
      </w:r>
    </w:p>
    <w:p w14:paraId="5E8C81BF" w14:textId="77777777" w:rsidR="00A23D3E" w:rsidRPr="00A23D3E" w:rsidRDefault="00A23D3E" w:rsidP="00A23D3E">
      <w:pPr>
        <w:widowControl w:val="0"/>
        <w:numPr>
          <w:ilvl w:val="0"/>
          <w:numId w:val="8"/>
        </w:numPr>
        <w:tabs>
          <w:tab w:val="left" w:pos="567"/>
        </w:tabs>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pasireiškė šalutinis poveikis (net jeigu jis šiame lapelyje nenurodytas), kreipkitės į gydytoją, vaistininką arba slaugytoją. Žr. 4</w:t>
      </w:r>
      <w:r w:rsidRPr="00A23D3E">
        <w:rPr>
          <w:rFonts w:ascii="Times New Roman" w:eastAsia="Calibri" w:hAnsi="Times New Roman" w:cs="Times New Roman"/>
          <w:b/>
          <w:lang w:val="en-US"/>
        </w:rPr>
        <w:t> </w:t>
      </w:r>
      <w:r w:rsidRPr="00A23D3E">
        <w:rPr>
          <w:rFonts w:ascii="Times New Roman" w:eastAsia="Calibri" w:hAnsi="Times New Roman" w:cs="Times New Roman"/>
          <w:lang w:val="en-US"/>
        </w:rPr>
        <w:t>skyrių.</w:t>
      </w:r>
    </w:p>
    <w:p w14:paraId="4F5A64B0"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59D587C8" w14:textId="77777777" w:rsidR="00A23D3E" w:rsidRPr="00A23D3E" w:rsidRDefault="00A23D3E" w:rsidP="00A23D3E">
      <w:pPr>
        <w:keepNext/>
        <w:widowControl w:val="0"/>
        <w:numPr>
          <w:ilvl w:val="12"/>
          <w:numId w:val="0"/>
        </w:numPr>
        <w:spacing w:after="0" w:line="240" w:lineRule="auto"/>
        <w:ind w:right="-2"/>
        <w:outlineLvl w:val="0"/>
        <w:rPr>
          <w:rFonts w:ascii="Times New Roman" w:eastAsia="Calibri" w:hAnsi="Times New Roman" w:cs="Times New Roman"/>
          <w:b/>
          <w:lang w:val="en-US"/>
        </w:rPr>
      </w:pPr>
      <w:r w:rsidRPr="00A23D3E">
        <w:rPr>
          <w:rFonts w:ascii="Times New Roman" w:eastAsia="Calibri" w:hAnsi="Times New Roman" w:cs="Times New Roman"/>
          <w:b/>
          <w:lang w:val="en-US"/>
        </w:rPr>
        <w:t>Apie ką rašoma šiame lapelyje?</w:t>
      </w:r>
    </w:p>
    <w:p w14:paraId="6FC6E74F" w14:textId="77777777" w:rsidR="00A23D3E" w:rsidRPr="00A23D3E" w:rsidRDefault="00A23D3E" w:rsidP="00A23D3E">
      <w:pPr>
        <w:widowControl w:val="0"/>
        <w:numPr>
          <w:ilvl w:val="12"/>
          <w:numId w:val="0"/>
        </w:numPr>
        <w:spacing w:after="0" w:line="240" w:lineRule="auto"/>
        <w:ind w:left="567" w:right="-29" w:hanging="567"/>
        <w:rPr>
          <w:rFonts w:ascii="Times New Roman" w:eastAsia="Calibri" w:hAnsi="Times New Roman" w:cs="Times New Roman"/>
          <w:lang w:val="es-ES"/>
        </w:rPr>
      </w:pPr>
      <w:r w:rsidRPr="00A23D3E">
        <w:rPr>
          <w:rFonts w:ascii="Times New Roman" w:eastAsia="Calibri" w:hAnsi="Times New Roman" w:cs="Times New Roman"/>
          <w:lang w:val="es-ES"/>
        </w:rPr>
        <w:t>1.</w:t>
      </w:r>
      <w:r w:rsidRPr="00A23D3E">
        <w:rPr>
          <w:rFonts w:ascii="Times New Roman" w:eastAsia="Calibri" w:hAnsi="Times New Roman" w:cs="Times New Roman"/>
          <w:lang w:val="es-ES"/>
        </w:rPr>
        <w:tab/>
        <w:t>Kas yra Sandostatin LAR ir kam jis vartojamas</w:t>
      </w:r>
    </w:p>
    <w:p w14:paraId="3CA4B1DE" w14:textId="77777777" w:rsidR="00A23D3E" w:rsidRPr="00A23D3E" w:rsidRDefault="00A23D3E" w:rsidP="00A23D3E">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2.</w:t>
      </w:r>
      <w:r w:rsidRPr="00A23D3E">
        <w:rPr>
          <w:rFonts w:ascii="Times New Roman" w:eastAsia="Calibri" w:hAnsi="Times New Roman" w:cs="Times New Roman"/>
          <w:lang w:val="it-IT"/>
        </w:rPr>
        <w:tab/>
        <w:t>Kas žinotina prieš vartojant Sandostatin LAR</w:t>
      </w:r>
    </w:p>
    <w:p w14:paraId="15486858" w14:textId="77777777" w:rsidR="00A23D3E" w:rsidRPr="00A23D3E" w:rsidRDefault="00A23D3E" w:rsidP="00A23D3E">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3.</w:t>
      </w:r>
      <w:r w:rsidRPr="00A23D3E">
        <w:rPr>
          <w:rFonts w:ascii="Times New Roman" w:eastAsia="Calibri" w:hAnsi="Times New Roman" w:cs="Times New Roman"/>
          <w:lang w:val="it-IT"/>
        </w:rPr>
        <w:tab/>
        <w:t>Kaip vartoti Sandostatin LAR</w:t>
      </w:r>
    </w:p>
    <w:p w14:paraId="15D7B184" w14:textId="77777777" w:rsidR="00A23D3E" w:rsidRPr="00A23D3E" w:rsidRDefault="00A23D3E" w:rsidP="00A23D3E">
      <w:pPr>
        <w:widowControl w:val="0"/>
        <w:numPr>
          <w:ilvl w:val="12"/>
          <w:numId w:val="0"/>
        </w:numPr>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4.</w:t>
      </w:r>
      <w:r w:rsidRPr="00A23D3E">
        <w:rPr>
          <w:rFonts w:ascii="Times New Roman" w:eastAsia="Calibri" w:hAnsi="Times New Roman" w:cs="Times New Roman"/>
          <w:lang w:val="it-IT"/>
        </w:rPr>
        <w:tab/>
        <w:t>Galimas šalutinis poveikis</w:t>
      </w:r>
    </w:p>
    <w:p w14:paraId="0EC1DB9D" w14:textId="77777777" w:rsidR="00A23D3E" w:rsidRPr="00A23D3E" w:rsidRDefault="00A23D3E" w:rsidP="00A23D3E">
      <w:pPr>
        <w:widowControl w:val="0"/>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5.</w:t>
      </w:r>
      <w:r w:rsidRPr="00A23D3E">
        <w:rPr>
          <w:rFonts w:ascii="Times New Roman" w:eastAsia="Calibri" w:hAnsi="Times New Roman" w:cs="Times New Roman"/>
          <w:lang w:val="it-IT"/>
        </w:rPr>
        <w:tab/>
        <w:t>Kaip laikyti Sandostatin LAR</w:t>
      </w:r>
    </w:p>
    <w:p w14:paraId="3E12D487" w14:textId="77777777" w:rsidR="00A23D3E" w:rsidRPr="00A23D3E" w:rsidRDefault="00A23D3E" w:rsidP="00A23D3E">
      <w:pPr>
        <w:widowControl w:val="0"/>
        <w:spacing w:after="0" w:line="240" w:lineRule="auto"/>
        <w:ind w:left="567" w:right="-29" w:hanging="567"/>
        <w:rPr>
          <w:rFonts w:ascii="Times New Roman" w:eastAsia="Calibri" w:hAnsi="Times New Roman" w:cs="Times New Roman"/>
          <w:lang w:val="it-IT"/>
        </w:rPr>
      </w:pPr>
      <w:r w:rsidRPr="00A23D3E">
        <w:rPr>
          <w:rFonts w:ascii="Times New Roman" w:eastAsia="Calibri" w:hAnsi="Times New Roman" w:cs="Times New Roman"/>
          <w:lang w:val="it-IT"/>
        </w:rPr>
        <w:t>6.</w:t>
      </w:r>
      <w:r w:rsidRPr="00A23D3E">
        <w:rPr>
          <w:rFonts w:ascii="Times New Roman" w:eastAsia="Calibri" w:hAnsi="Times New Roman" w:cs="Times New Roman"/>
          <w:lang w:val="it-IT"/>
        </w:rPr>
        <w:tab/>
        <w:t>Pakuotės turinys ir kita informacija</w:t>
      </w:r>
    </w:p>
    <w:p w14:paraId="7370053F"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p>
    <w:p w14:paraId="2B8649A9"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p>
    <w:p w14:paraId="59C490F7" w14:textId="77777777" w:rsidR="00A23D3E" w:rsidRPr="00A23D3E" w:rsidRDefault="00A23D3E" w:rsidP="00A23D3E">
      <w:pPr>
        <w:keepNext/>
        <w:widowControl w:val="0"/>
        <w:spacing w:after="0" w:line="240" w:lineRule="auto"/>
        <w:ind w:left="567" w:right="-2" w:hanging="567"/>
        <w:rPr>
          <w:rFonts w:ascii="Times New Roman" w:eastAsia="Calibri" w:hAnsi="Times New Roman" w:cs="Times New Roman"/>
          <w:b/>
          <w:lang w:val="es-ES"/>
        </w:rPr>
      </w:pPr>
      <w:r w:rsidRPr="00A23D3E">
        <w:rPr>
          <w:rFonts w:ascii="Times New Roman" w:eastAsia="Calibri" w:hAnsi="Times New Roman" w:cs="Times New Roman"/>
          <w:b/>
          <w:lang w:val="es-ES"/>
        </w:rPr>
        <w:t>1.</w:t>
      </w:r>
      <w:r w:rsidRPr="00A23D3E">
        <w:rPr>
          <w:rFonts w:ascii="Times New Roman" w:eastAsia="Calibri" w:hAnsi="Times New Roman" w:cs="Times New Roman"/>
          <w:b/>
          <w:lang w:val="es-ES"/>
        </w:rPr>
        <w:tab/>
        <w:t>Kas yra Sandostatin LAR ir kam jis vartojamas</w:t>
      </w:r>
    </w:p>
    <w:p w14:paraId="64FA32E3" w14:textId="77777777" w:rsidR="00A23D3E" w:rsidRPr="00A23D3E" w:rsidRDefault="00A23D3E" w:rsidP="00A23D3E">
      <w:pPr>
        <w:keepNext/>
        <w:widowControl w:val="0"/>
        <w:spacing w:after="0" w:line="240" w:lineRule="auto"/>
        <w:ind w:right="-2"/>
        <w:rPr>
          <w:rFonts w:ascii="Times New Roman" w:eastAsia="Calibri" w:hAnsi="Times New Roman" w:cs="Times New Roman"/>
          <w:lang w:val="es-ES"/>
        </w:rPr>
      </w:pPr>
    </w:p>
    <w:p w14:paraId="6D7F2287"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Sandostatin LAR yra sintetinis somatostatino junginys. Somatostatino normaliai būna žmonių organizme, kur jis slopina kai kurių hormonų, pavyzdžiui, augimo hormono, išsiskyrimą. Sandostatin LAR privalumas, lyginant su somatostatinu, yra tas, kad jis veikia stipriau ir ilgiau. </w:t>
      </w:r>
    </w:p>
    <w:p w14:paraId="415C7CBE"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s-ES"/>
        </w:rPr>
      </w:pPr>
    </w:p>
    <w:p w14:paraId="142A6DDA" w14:textId="77777777" w:rsidR="00A23D3E" w:rsidRPr="00A23D3E" w:rsidRDefault="00A23D3E" w:rsidP="00A23D3E">
      <w:pPr>
        <w:keepNext/>
        <w:widowControl w:val="0"/>
        <w:spacing w:after="0" w:line="240" w:lineRule="auto"/>
        <w:rPr>
          <w:rFonts w:ascii="Times New Roman" w:eastAsia="Calibri" w:hAnsi="Times New Roman" w:cs="Times New Roman"/>
          <w:b/>
          <w:lang w:val="es-ES"/>
        </w:rPr>
      </w:pPr>
      <w:r w:rsidRPr="00A23D3E">
        <w:rPr>
          <w:rFonts w:ascii="Times New Roman" w:eastAsia="Calibri" w:hAnsi="Times New Roman" w:cs="Times New Roman"/>
          <w:b/>
          <w:lang w:val="es-ES"/>
        </w:rPr>
        <w:t>Sandostatin LAR vartojamas</w:t>
      </w:r>
    </w:p>
    <w:p w14:paraId="3AC4FC18" w14:textId="77777777" w:rsidR="00A23D3E" w:rsidRPr="00A23D3E" w:rsidRDefault="00A23D3E" w:rsidP="00A23D3E">
      <w:pPr>
        <w:keepNext/>
        <w:widowControl w:val="0"/>
        <w:numPr>
          <w:ilvl w:val="0"/>
          <w:numId w:val="4"/>
        </w:numPr>
        <w:tabs>
          <w:tab w:val="left" w:pos="567"/>
        </w:tabs>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akromegalija</w:t>
      </w:r>
      <w:r w:rsidRPr="00A23D3E">
        <w:rPr>
          <w:rFonts w:ascii="Times New Roman" w:eastAsia="Calibri" w:hAnsi="Times New Roman" w:cs="Times New Roman"/>
          <w:b/>
          <w:lang w:val="en-US"/>
        </w:rPr>
        <w:t xml:space="preserve"> </w:t>
      </w:r>
      <w:r w:rsidRPr="00A23D3E">
        <w:rPr>
          <w:rFonts w:ascii="Times New Roman" w:eastAsia="Calibri" w:hAnsi="Times New Roman" w:cs="Times New Roman"/>
          <w:lang w:val="en-US"/>
        </w:rPr>
        <w:t>sergantiems pacientams gydyti;</w:t>
      </w:r>
    </w:p>
    <w:p w14:paraId="3207EB87"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Akromegalija – tai tokia būklė, kai organizme gaminama per daug augimo hormono. Sveikame organizme augimo hormonas kontroliuoja audinių, organų ir kaulų augimą. Augimo hormono perteklius sukelia kaulų ir audinių, ypač plaštakų bei pėdų, padidėjimą. Sandostatin LAR ženkliai palengvina akromegalijos požymius, pavyzdžiui, galvos skausmą, sustiprėjusį prakaitavimą, plaštakų ir pėdų tirpimo pojūtį, nuovargį ir sąnarių skausmą. Dažniausiai augimo hormono organizme gaminama per daug dėl padidėjusios posmegeninės liaukos (hipofizės adenomos); vartojant Sandostatin LAR, adenoma gali sumažėti. </w:t>
      </w:r>
    </w:p>
    <w:p w14:paraId="74E36678"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p>
    <w:p w14:paraId="52DEEDEC" w14:textId="77777777" w:rsidR="00A23D3E" w:rsidRPr="00A23D3E" w:rsidRDefault="00A23D3E" w:rsidP="00A23D3E">
      <w:pPr>
        <w:keepNext/>
        <w:numPr>
          <w:ilvl w:val="12"/>
          <w:numId w:val="0"/>
        </w:numPr>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Sandostatin LAR vartojamas akromegalija sergantiems pacientams gydyti:</w:t>
      </w:r>
    </w:p>
    <w:p w14:paraId="4D5A58F7" w14:textId="77777777" w:rsidR="00A23D3E" w:rsidRPr="00A23D3E" w:rsidRDefault="00A23D3E" w:rsidP="00A23D3E">
      <w:pPr>
        <w:numPr>
          <w:ilvl w:val="0"/>
          <w:numId w:val="9"/>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kai kiti akromegalijos gydymo būdai (chirurginis ar radioterapija) netinka arba buvo neveiksmingi;</w:t>
      </w:r>
    </w:p>
    <w:p w14:paraId="1E13DA98" w14:textId="77777777" w:rsidR="00A23D3E" w:rsidRPr="00A23D3E" w:rsidRDefault="00A23D3E" w:rsidP="00A23D3E">
      <w:pPr>
        <w:numPr>
          <w:ilvl w:val="0"/>
          <w:numId w:val="9"/>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po radioterapijos, laikotarpiu iki bus pasiektas visiškas radioterapijos efektas.</w:t>
      </w:r>
    </w:p>
    <w:p w14:paraId="7AB5AB0B" w14:textId="77777777" w:rsidR="00A23D3E" w:rsidRPr="00A23D3E" w:rsidRDefault="00A23D3E" w:rsidP="00A23D3E">
      <w:pPr>
        <w:widowControl w:val="0"/>
        <w:spacing w:after="0" w:line="240" w:lineRule="auto"/>
        <w:rPr>
          <w:rFonts w:ascii="Times New Roman" w:eastAsia="Calibri" w:hAnsi="Times New Roman" w:cs="Times New Roman"/>
          <w:lang w:val="es-ES"/>
        </w:rPr>
      </w:pPr>
    </w:p>
    <w:p w14:paraId="266FBD2F" w14:textId="77777777" w:rsidR="00A23D3E" w:rsidRPr="00A23D3E" w:rsidRDefault="00A23D3E" w:rsidP="00A23D3E">
      <w:pPr>
        <w:keepNext/>
        <w:widowControl w:val="0"/>
        <w:numPr>
          <w:ilvl w:val="0"/>
          <w:numId w:val="4"/>
        </w:numPr>
        <w:tabs>
          <w:tab w:val="left" w:pos="567"/>
        </w:tabs>
        <w:spacing w:after="0" w:line="240" w:lineRule="auto"/>
        <w:ind w:left="567" w:hanging="567"/>
        <w:rPr>
          <w:rFonts w:ascii="Times New Roman" w:eastAsia="Calibri" w:hAnsi="Times New Roman" w:cs="Times New Roman"/>
          <w:lang w:val="es-ES"/>
        </w:rPr>
      </w:pPr>
      <w:r w:rsidRPr="00A23D3E">
        <w:rPr>
          <w:rFonts w:ascii="Times New Roman" w:eastAsia="Calibri" w:hAnsi="Times New Roman" w:cs="Times New Roman"/>
          <w:lang w:val="es-ES"/>
        </w:rPr>
        <w:t>požymiams, kuriuos sukelia padidėjęs kai kurių specifinių hormonų ir su jais susijusių medžiagų, gaminamų skrandyje, žarnyne ar kasoje, kiekis, silpninti;</w:t>
      </w:r>
    </w:p>
    <w:p w14:paraId="27B9750A"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s-ES"/>
        </w:rPr>
        <w:t xml:space="preserve">Specifinių hormonų ir kitų su jais susijusių medžiagų gamyba organizme gali padidėti dėl kai kurių retų skrandžio, žarnyno ar kasos ligų. Dėl to organizme sutrinka natūrali hormonų pusiausvyra ir išryškėja įvairūs požymiai, pavyzdžiui, karščio pylimas, viduriavimas, sumažėjęs kraujospūdis, išbėrimas ir kūno svorio mažėjimas. </w:t>
      </w:r>
      <w:r w:rsidRPr="00A23D3E">
        <w:rPr>
          <w:rFonts w:ascii="Times New Roman" w:eastAsia="Calibri" w:hAnsi="Times New Roman" w:cs="Times New Roman"/>
          <w:lang w:val="en-US"/>
        </w:rPr>
        <w:t xml:space="preserve">Gydymas Sandostatin LAR padeda kontroliuoti šiuos požymius. </w:t>
      </w:r>
    </w:p>
    <w:p w14:paraId="10CBC69E"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p>
    <w:p w14:paraId="748F67E6" w14:textId="77777777" w:rsidR="00A23D3E" w:rsidRPr="00A23D3E" w:rsidRDefault="00A23D3E" w:rsidP="00A23D3E">
      <w:pPr>
        <w:keepNext/>
        <w:widowControl w:val="0"/>
        <w:numPr>
          <w:ilvl w:val="0"/>
          <w:numId w:val="4"/>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 xml:space="preserve">pacientams, kurių žarnyne (pvz., aklosios žarnos kirmėlinėje ataugoje, plonosiose žarnose ar </w:t>
      </w:r>
      <w:r w:rsidRPr="00A23D3E">
        <w:rPr>
          <w:rFonts w:ascii="Times New Roman" w:eastAsia="Calibri" w:hAnsi="Times New Roman" w:cs="Times New Roman"/>
          <w:lang w:val="en-US"/>
        </w:rPr>
        <w:lastRenderedPageBreak/>
        <w:t>gaubtinėje žarnoje) yra neuroendokrininių auglių, gydyti.</w:t>
      </w:r>
    </w:p>
    <w:p w14:paraId="3C91CDDA"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Neuroendokrininiai augliai yra reti augliai, kurių gali būti nustatoma įvairiose organizmo srityse. Sandostatin LAR taip pat vartojama siekiant kontroliuoti šių auglių augimą, kai jų atsiranda žarnyne (pvz., aklosios žarnos kirmėlinėje ataugoje, plonosiose žarnose ar gaubtinėje žarnoje).</w:t>
      </w:r>
    </w:p>
    <w:p w14:paraId="4093023B" w14:textId="77777777" w:rsidR="00A23D3E" w:rsidRPr="00A23D3E" w:rsidRDefault="00A23D3E" w:rsidP="00A23D3E">
      <w:pPr>
        <w:numPr>
          <w:ilvl w:val="12"/>
          <w:numId w:val="0"/>
        </w:numPr>
        <w:spacing w:after="0" w:line="240" w:lineRule="auto"/>
        <w:rPr>
          <w:rFonts w:ascii="Times New Roman" w:eastAsia="Calibri" w:hAnsi="Times New Roman" w:cs="Times New Roman"/>
          <w:lang w:val="en-US"/>
        </w:rPr>
      </w:pPr>
    </w:p>
    <w:p w14:paraId="62C969B3" w14:textId="77777777" w:rsidR="00A23D3E" w:rsidRPr="00A23D3E" w:rsidRDefault="00A23D3E" w:rsidP="00A23D3E">
      <w:pPr>
        <w:keepNext/>
        <w:widowControl w:val="0"/>
        <w:numPr>
          <w:ilvl w:val="0"/>
          <w:numId w:val="4"/>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pacientams, kuriems yra hipofizės augliai, gydyti, kai šie augliai gamina per daug skydliaukę stimuliuojančio hormono (TTH). Per didelis skydliaukę stimuliuojančio hormono (TTH) kiekis sukelia hipertirozę. Sandostatin LAR vartojamas pacientams, kuriems yra hipofizės augliai, dėl kurių per daug gaminama skydliaukę stimuliuojančio hormono (TTH), gydyti:</w:t>
      </w:r>
    </w:p>
    <w:p w14:paraId="63E8D0D1" w14:textId="77777777" w:rsidR="00A23D3E" w:rsidRPr="00A23D3E" w:rsidRDefault="00A23D3E" w:rsidP="00A23D3E">
      <w:pPr>
        <w:keepNext/>
        <w:widowControl w:val="0"/>
        <w:spacing w:after="0" w:line="240" w:lineRule="auto"/>
        <w:ind w:left="1134" w:hanging="567"/>
        <w:rPr>
          <w:rFonts w:ascii="Times New Roman" w:eastAsia="Calibri" w:hAnsi="Times New Roman" w:cs="Times New Roman"/>
          <w:lang w:val="en-US"/>
        </w:rPr>
      </w:pPr>
      <w:r w:rsidRPr="00A23D3E">
        <w:rPr>
          <w:rFonts w:ascii="Times New Roman" w:eastAsia="Calibri" w:hAnsi="Times New Roman" w:cs="Times New Roman"/>
          <w:lang w:val="en-US"/>
        </w:rPr>
        <w:t>-</w:t>
      </w:r>
      <w:r w:rsidRPr="00A23D3E">
        <w:rPr>
          <w:rFonts w:ascii="Times New Roman" w:eastAsia="Calibri" w:hAnsi="Times New Roman" w:cs="Times New Roman"/>
          <w:lang w:val="en-US"/>
        </w:rPr>
        <w:tab/>
        <w:t>kai kitokie gydymo metodai (chirurginė operacija ar radioterapija) netinka ar buvo neveiksmingi;</w:t>
      </w:r>
    </w:p>
    <w:p w14:paraId="759FC521" w14:textId="77777777" w:rsidR="00A23D3E" w:rsidRPr="00A23D3E" w:rsidRDefault="00A23D3E" w:rsidP="00A23D3E">
      <w:pPr>
        <w:keepNext/>
        <w:widowControl w:val="0"/>
        <w:spacing w:after="0" w:line="240" w:lineRule="auto"/>
        <w:ind w:left="1134" w:hanging="567"/>
        <w:rPr>
          <w:rFonts w:ascii="Times New Roman" w:eastAsia="Calibri" w:hAnsi="Times New Roman" w:cs="Times New Roman"/>
          <w:lang w:val="en-US"/>
        </w:rPr>
      </w:pPr>
      <w:r w:rsidRPr="00A23D3E">
        <w:rPr>
          <w:rFonts w:ascii="Times New Roman" w:eastAsia="Calibri" w:hAnsi="Times New Roman" w:cs="Times New Roman"/>
          <w:lang w:val="en-US"/>
        </w:rPr>
        <w:t>-</w:t>
      </w:r>
      <w:r w:rsidRPr="00A23D3E">
        <w:rPr>
          <w:rFonts w:ascii="Times New Roman" w:eastAsia="Calibri" w:hAnsi="Times New Roman" w:cs="Times New Roman"/>
          <w:lang w:val="en-US"/>
        </w:rPr>
        <w:tab/>
        <w:t>tarpiniu laikotarpiui po radioterapijos, kol pasireikš jos poveikis.</w:t>
      </w:r>
    </w:p>
    <w:p w14:paraId="0D5A6FB6"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p>
    <w:p w14:paraId="617C622C"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p>
    <w:p w14:paraId="7BCF0FA4" w14:textId="77777777" w:rsidR="00A23D3E" w:rsidRPr="00A23D3E" w:rsidRDefault="00A23D3E" w:rsidP="00A23D3E">
      <w:pPr>
        <w:keepNext/>
        <w:widowControl w:val="0"/>
        <w:spacing w:after="0" w:line="240" w:lineRule="auto"/>
        <w:ind w:left="567" w:right="-2" w:hanging="567"/>
        <w:rPr>
          <w:rFonts w:ascii="Times New Roman" w:eastAsia="Calibri" w:hAnsi="Times New Roman" w:cs="Times New Roman"/>
          <w:b/>
          <w:lang w:val="en-US"/>
        </w:rPr>
      </w:pPr>
      <w:r w:rsidRPr="00A23D3E">
        <w:rPr>
          <w:rFonts w:ascii="Times New Roman" w:eastAsia="Calibri" w:hAnsi="Times New Roman" w:cs="Times New Roman"/>
          <w:b/>
          <w:lang w:val="en-US"/>
        </w:rPr>
        <w:t>2.</w:t>
      </w:r>
      <w:r w:rsidRPr="00A23D3E">
        <w:rPr>
          <w:rFonts w:ascii="Times New Roman" w:eastAsia="Calibri" w:hAnsi="Times New Roman" w:cs="Times New Roman"/>
          <w:b/>
          <w:lang w:val="en-US"/>
        </w:rPr>
        <w:tab/>
        <w:t>Kas žinotina prieš vartojant Sandostatin LAR</w:t>
      </w:r>
    </w:p>
    <w:p w14:paraId="519808BA" w14:textId="77777777" w:rsidR="00A23D3E" w:rsidRPr="00A23D3E" w:rsidRDefault="00A23D3E" w:rsidP="00A23D3E">
      <w:pPr>
        <w:keepNext/>
        <w:widowControl w:val="0"/>
        <w:spacing w:after="0" w:line="240" w:lineRule="auto"/>
        <w:outlineLvl w:val="0"/>
        <w:rPr>
          <w:rFonts w:ascii="Times New Roman" w:eastAsia="Calibri" w:hAnsi="Times New Roman" w:cs="Times New Roman"/>
          <w:lang w:val="en-US"/>
        </w:rPr>
      </w:pPr>
    </w:p>
    <w:p w14:paraId="5093B50A" w14:textId="77777777" w:rsidR="00A23D3E" w:rsidRPr="00A23D3E" w:rsidRDefault="00A23D3E" w:rsidP="00A23D3E">
      <w:pPr>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Tiksliai laikykitės visų gydytojo nurodymų. Jie gali skirtis nuo šiame lapelyje nurodytos informacijos.</w:t>
      </w:r>
    </w:p>
    <w:p w14:paraId="4D9528EF" w14:textId="77777777" w:rsidR="00A23D3E" w:rsidRPr="00A23D3E" w:rsidRDefault="00A23D3E" w:rsidP="00A23D3E">
      <w:pPr>
        <w:numPr>
          <w:ilvl w:val="12"/>
          <w:numId w:val="0"/>
        </w:numPr>
        <w:spacing w:after="0" w:line="240" w:lineRule="auto"/>
        <w:ind w:right="-2"/>
        <w:rPr>
          <w:rFonts w:ascii="Times New Roman" w:eastAsia="Calibri" w:hAnsi="Times New Roman" w:cs="Times New Roman"/>
          <w:lang w:val="en-US"/>
        </w:rPr>
      </w:pPr>
    </w:p>
    <w:p w14:paraId="6E502CAB" w14:textId="77777777" w:rsidR="00A23D3E" w:rsidRPr="00A23D3E" w:rsidRDefault="00A23D3E" w:rsidP="00A23D3E">
      <w:pPr>
        <w:keepNext/>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Prieš pradėdami vartoti Sandostatin LAR, atidžiai perskaitykite toliau pateiktus paaiškinimus.</w:t>
      </w:r>
    </w:p>
    <w:p w14:paraId="14CE7FC7" w14:textId="77777777" w:rsidR="00A23D3E" w:rsidRPr="00A23D3E" w:rsidRDefault="00A23D3E" w:rsidP="00A23D3E">
      <w:pPr>
        <w:keepNext/>
        <w:numPr>
          <w:ilvl w:val="12"/>
          <w:numId w:val="0"/>
        </w:numPr>
        <w:spacing w:after="0" w:line="240" w:lineRule="auto"/>
        <w:ind w:right="-2"/>
        <w:rPr>
          <w:rFonts w:ascii="Times New Roman" w:eastAsia="Calibri" w:hAnsi="Times New Roman" w:cs="Times New Roman"/>
          <w:lang w:val="en-US"/>
        </w:rPr>
      </w:pPr>
    </w:p>
    <w:p w14:paraId="5108BF3F" w14:textId="77777777" w:rsidR="00A23D3E" w:rsidRPr="00A23D3E" w:rsidRDefault="00A23D3E" w:rsidP="00A23D3E">
      <w:pPr>
        <w:keepNext/>
        <w:widowControl w:val="0"/>
        <w:spacing w:after="0" w:line="240" w:lineRule="auto"/>
        <w:outlineLvl w:val="0"/>
        <w:rPr>
          <w:rFonts w:ascii="Times New Roman" w:eastAsia="Calibri" w:hAnsi="Times New Roman" w:cs="Times New Roman"/>
          <w:lang w:val="en-US"/>
        </w:rPr>
      </w:pPr>
      <w:r w:rsidRPr="00A23D3E">
        <w:rPr>
          <w:rFonts w:ascii="Times New Roman" w:eastAsia="Calibri" w:hAnsi="Times New Roman" w:cs="Times New Roman"/>
          <w:b/>
          <w:lang w:val="en-US"/>
        </w:rPr>
        <w:t>Sandostatin LAR vartoti negalima:</w:t>
      </w:r>
    </w:p>
    <w:p w14:paraId="579DB870" w14:textId="77777777" w:rsidR="00A23D3E" w:rsidRPr="00A23D3E" w:rsidRDefault="00A23D3E" w:rsidP="00A23D3E">
      <w:pPr>
        <w:widowControl w:val="0"/>
        <w:numPr>
          <w:ilvl w:val="0"/>
          <w:numId w:val="8"/>
        </w:numPr>
        <w:autoSpaceDE w:val="0"/>
        <w:autoSpaceDN w:val="0"/>
        <w:adjustRightInd w:val="0"/>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yra alergija oktreotidui arba bet kuriai pagalbinei šio vaisto medžiagai (jos išvardytos 6 skyriuje).</w:t>
      </w:r>
    </w:p>
    <w:p w14:paraId="58B997BF"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62FF6C47" w14:textId="77777777" w:rsidR="00A23D3E" w:rsidRPr="00A23D3E" w:rsidRDefault="00A23D3E" w:rsidP="00A23D3E">
      <w:pPr>
        <w:keepNext/>
        <w:widowControl w:val="0"/>
        <w:numPr>
          <w:ilvl w:val="12"/>
          <w:numId w:val="0"/>
        </w:numPr>
        <w:spacing w:after="0" w:line="240" w:lineRule="auto"/>
        <w:outlineLvl w:val="0"/>
        <w:rPr>
          <w:rFonts w:ascii="Times New Roman" w:eastAsia="Calibri" w:hAnsi="Times New Roman" w:cs="Times New Roman"/>
          <w:b/>
          <w:lang w:val="en-US"/>
        </w:rPr>
      </w:pPr>
      <w:r w:rsidRPr="00A23D3E">
        <w:rPr>
          <w:rFonts w:ascii="Times New Roman" w:eastAsia="Calibri" w:hAnsi="Times New Roman" w:cs="Times New Roman"/>
          <w:b/>
          <w:lang w:val="en-US"/>
        </w:rPr>
        <w:t>Įspėjimai ir atsargumo priemonės</w:t>
      </w:r>
    </w:p>
    <w:p w14:paraId="7BE9BD3A"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Pasitarkite su gydytoju, prieš pradėdami vartoti Sandostatin LAR:</w:t>
      </w:r>
    </w:p>
    <w:p w14:paraId="510D4751" w14:textId="77777777" w:rsidR="00A23D3E" w:rsidRPr="00A23D3E" w:rsidRDefault="00A23D3E" w:rsidP="00A23D3E">
      <w:pPr>
        <w:widowControl w:val="0"/>
        <w:numPr>
          <w:ilvl w:val="0"/>
          <w:numId w:val="7"/>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žinote, kad Jums yra tulžies akmenų arba jų buvo anksčiau,</w:t>
      </w:r>
      <w:r w:rsidRPr="00A23D3E">
        <w:rPr>
          <w:rFonts w:ascii="Calibri" w:eastAsia="Calibri" w:hAnsi="Calibri" w:cs="Times New Roman"/>
          <w:lang w:val="en-US"/>
        </w:rPr>
        <w:t xml:space="preserve"> </w:t>
      </w:r>
      <w:r w:rsidRPr="00A23D3E">
        <w:rPr>
          <w:rFonts w:ascii="Times New Roman" w:eastAsia="Calibri" w:hAnsi="Times New Roman" w:cs="Times New Roman"/>
          <w:lang w:val="en-US"/>
        </w:rPr>
        <w:t xml:space="preserve">arba Jūs patiriate kokių nors komplikacijų, tokių kaip karščiavimas, šaltkrėtis, pilvo skausmas, odos ar akių pageltimas; apie tai pasakykite gydytojui, nes ilgai vartojant Sandostatin LAR, gali jų susidaryti. Jūsų gydytojas gali periodiškai tirti tulžies pūslę; </w:t>
      </w:r>
    </w:p>
    <w:p w14:paraId="0575C1FA" w14:textId="77777777" w:rsidR="00A23D3E" w:rsidRPr="00A23D3E" w:rsidRDefault="00A23D3E" w:rsidP="00A23D3E">
      <w:pPr>
        <w:widowControl w:val="0"/>
        <w:numPr>
          <w:ilvl w:val="0"/>
          <w:numId w:val="7"/>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žinote, kad sergate diabetu, nes Sandostatin LAR gali įtakoti cukraus kiekį kraujyje. Jei sergate cukriniu diabetu, Jums būtina reguliariai tirti cukraus kiekį kraujyje;</w:t>
      </w:r>
    </w:p>
    <w:p w14:paraId="119F353E" w14:textId="77777777" w:rsidR="00A23D3E" w:rsidRPr="00A23D3E" w:rsidRDefault="00A23D3E" w:rsidP="00A23D3E">
      <w:pPr>
        <w:widowControl w:val="0"/>
        <w:numPr>
          <w:ilvl w:val="0"/>
          <w:numId w:val="7"/>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lang w:val="en-US"/>
        </w:rPr>
        <w:t>jeigu Jums anksčiau buvo nustatytas vitamino B12 trūkumas; tokiu atveju gydytojas gali periodiškai tirti vitamino B12 kiekį Jūsų organizme.</w:t>
      </w:r>
    </w:p>
    <w:p w14:paraId="23CA3F73"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p>
    <w:p w14:paraId="20F0F3E6" w14:textId="7ACEA5D0"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Tyrimai </w:t>
      </w:r>
      <w:r w:rsidR="00CF3375">
        <w:rPr>
          <w:rFonts w:ascii="Times New Roman" w:eastAsia="Calibri" w:hAnsi="Times New Roman" w:cs="Times New Roman"/>
          <w:b/>
          <w:lang w:val="en-US"/>
        </w:rPr>
        <w:t>i</w:t>
      </w:r>
      <w:r w:rsidRPr="00A23D3E">
        <w:rPr>
          <w:rFonts w:ascii="Times New Roman" w:eastAsia="Calibri" w:hAnsi="Times New Roman" w:cs="Times New Roman"/>
          <w:b/>
          <w:lang w:val="en-US"/>
        </w:rPr>
        <w:t>r patikrinimai</w:t>
      </w:r>
    </w:p>
    <w:p w14:paraId="56C97F37"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Sandostatin LAR vartosite ilgai, gydytojas gali reguliariai atlikinėti Jūsų skydliaukės funkcijos tyrimus.</w:t>
      </w:r>
    </w:p>
    <w:p w14:paraId="0B2257D2"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3F8FC9EA" w14:textId="77777777" w:rsidR="00A23D3E" w:rsidRPr="00A23D3E" w:rsidRDefault="00A23D3E" w:rsidP="00A23D3E">
      <w:pPr>
        <w:widowControl w:val="0"/>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Gydytojas taip pat tikrins Jūsų kepenų veiklą.</w:t>
      </w:r>
    </w:p>
    <w:p w14:paraId="33F1318A" w14:textId="77777777" w:rsidR="00CF3375" w:rsidRDefault="00CF3375" w:rsidP="00A23D3E">
      <w:pPr>
        <w:widowControl w:val="0"/>
        <w:autoSpaceDE w:val="0"/>
        <w:autoSpaceDN w:val="0"/>
        <w:adjustRightInd w:val="0"/>
        <w:spacing w:after="0" w:line="240" w:lineRule="auto"/>
        <w:rPr>
          <w:rFonts w:ascii="Times New Roman" w:eastAsia="Calibri" w:hAnsi="Times New Roman" w:cs="Times New Roman"/>
          <w:lang w:val="en-US"/>
        </w:rPr>
      </w:pPr>
    </w:p>
    <w:p w14:paraId="0A41D972" w14:textId="47063953" w:rsidR="00A23D3E" w:rsidRDefault="00CF3375" w:rsidP="00A23D3E">
      <w:pPr>
        <w:widowControl w:val="0"/>
        <w:autoSpaceDE w:val="0"/>
        <w:autoSpaceDN w:val="0"/>
        <w:adjustRightInd w:val="0"/>
        <w:spacing w:after="0" w:line="240" w:lineRule="auto"/>
        <w:rPr>
          <w:rFonts w:ascii="Times New Roman" w:eastAsia="Calibri" w:hAnsi="Times New Roman" w:cs="Times New Roman"/>
          <w:lang w:val="en-US"/>
        </w:rPr>
      </w:pPr>
      <w:r w:rsidRPr="00CF3375">
        <w:rPr>
          <w:rFonts w:ascii="Times New Roman" w:eastAsia="Calibri" w:hAnsi="Times New Roman" w:cs="Times New Roman"/>
          <w:lang w:val="en-US"/>
        </w:rPr>
        <w:t xml:space="preserve">Jūsų gydytojas gali patikrinti </w:t>
      </w:r>
      <w:r>
        <w:rPr>
          <w:rFonts w:ascii="Times New Roman" w:eastAsia="Calibri" w:hAnsi="Times New Roman" w:cs="Times New Roman"/>
          <w:lang w:val="en-US"/>
        </w:rPr>
        <w:t>J</w:t>
      </w:r>
      <w:r w:rsidRPr="00CF3375">
        <w:rPr>
          <w:rFonts w:ascii="Times New Roman" w:eastAsia="Calibri" w:hAnsi="Times New Roman" w:cs="Times New Roman"/>
          <w:lang w:val="en-US"/>
        </w:rPr>
        <w:t xml:space="preserve">ūsų kasos </w:t>
      </w:r>
      <w:r>
        <w:rPr>
          <w:rFonts w:ascii="Times New Roman" w:eastAsia="Calibri" w:hAnsi="Times New Roman" w:cs="Times New Roman"/>
          <w:lang w:val="en-US"/>
        </w:rPr>
        <w:t>fermentų gamybos</w:t>
      </w:r>
      <w:r w:rsidRPr="00CF3375">
        <w:rPr>
          <w:rFonts w:ascii="Times New Roman" w:eastAsia="Calibri" w:hAnsi="Times New Roman" w:cs="Times New Roman"/>
          <w:lang w:val="en-US"/>
        </w:rPr>
        <w:t xml:space="preserve"> funkciją.</w:t>
      </w:r>
    </w:p>
    <w:p w14:paraId="41BD7782" w14:textId="77777777" w:rsidR="00CF3375" w:rsidRPr="00A23D3E" w:rsidRDefault="00CF3375" w:rsidP="00A23D3E">
      <w:pPr>
        <w:widowControl w:val="0"/>
        <w:autoSpaceDE w:val="0"/>
        <w:autoSpaceDN w:val="0"/>
        <w:adjustRightInd w:val="0"/>
        <w:spacing w:after="0" w:line="240" w:lineRule="auto"/>
        <w:rPr>
          <w:rFonts w:ascii="Times New Roman" w:eastAsia="Calibri" w:hAnsi="Times New Roman" w:cs="Times New Roman"/>
          <w:lang w:val="en-US"/>
        </w:rPr>
      </w:pPr>
    </w:p>
    <w:p w14:paraId="1B3FB02D"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Vaikams</w:t>
      </w:r>
    </w:p>
    <w:p w14:paraId="755665F1"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Sandostatin LAR vartojimo vaikams patirties yra labai nedaug.</w:t>
      </w:r>
    </w:p>
    <w:p w14:paraId="0E91C637"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en-US"/>
        </w:rPr>
      </w:pPr>
    </w:p>
    <w:p w14:paraId="096DE29B" w14:textId="77777777" w:rsidR="00A23D3E" w:rsidRPr="00A23D3E" w:rsidRDefault="00A23D3E" w:rsidP="00A23D3E">
      <w:pPr>
        <w:keepNext/>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b/>
          <w:lang w:val="en-US"/>
        </w:rPr>
        <w:t>Kiti vaistai ir Sandostatin LAR</w:t>
      </w:r>
    </w:p>
    <w:p w14:paraId="579B17BE"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vartojate ar neseniai vartojote kitų vaistų arba dėl to nesate tikri, apie tai pasakykite gydytojui arba vaistininkui.</w:t>
      </w:r>
    </w:p>
    <w:p w14:paraId="73EAC024"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0FDA2968"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Vartodami Sandostatin LAR paprastai Jūs galėsite ir toliau vartoti kitų vaistų. Tačiau nustatyta, kad Sandostatin LAR įtakoja kai kurių vaistų, pavyzdžiui, cimetidino, ciklosporino, bromokriptino, chinidino ir terfenadino, poveikį. </w:t>
      </w:r>
    </w:p>
    <w:p w14:paraId="3F7325DE" w14:textId="77777777" w:rsidR="00A23D3E" w:rsidRPr="00A23D3E" w:rsidRDefault="00A23D3E" w:rsidP="00A23D3E">
      <w:pPr>
        <w:widowControl w:val="0"/>
        <w:spacing w:after="0" w:line="240" w:lineRule="auto"/>
        <w:jc w:val="both"/>
        <w:rPr>
          <w:rFonts w:ascii="Times New Roman" w:eastAsia="Calibri" w:hAnsi="Times New Roman" w:cs="Times New Roman"/>
          <w:lang w:val="en-US"/>
        </w:rPr>
      </w:pPr>
    </w:p>
    <w:p w14:paraId="3F807A22" w14:textId="77777777" w:rsidR="00A23D3E" w:rsidRP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vartojate kraujospūdžiui reguliuoti skirtų vaistų (pvz., beta adrenoblokatorių ar kalcio kanalų blokatorių) arba skysčių ir elektrolitų pusiausvyrą reguliuojančių vaistų, gydytojas gali koreguoti jų dozę.</w:t>
      </w:r>
    </w:p>
    <w:p w14:paraId="3EDA44F1" w14:textId="77777777" w:rsidR="00A23D3E" w:rsidRPr="00A23D3E" w:rsidRDefault="00A23D3E" w:rsidP="00A23D3E">
      <w:pPr>
        <w:widowControl w:val="0"/>
        <w:spacing w:after="0" w:line="240" w:lineRule="auto"/>
        <w:rPr>
          <w:rFonts w:ascii="Times New Roman" w:eastAsia="Calibri" w:hAnsi="Times New Roman" w:cs="Times New Roman"/>
          <w:lang w:val="en-US"/>
        </w:rPr>
      </w:pPr>
    </w:p>
    <w:p w14:paraId="56939C2E" w14:textId="77777777" w:rsidR="00A23D3E" w:rsidRDefault="00A23D3E" w:rsidP="00A23D3E">
      <w:pPr>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sergate diabetu, gydytojui gali tekti koreguoti Jūsų vartojamo insulino dozę.</w:t>
      </w:r>
    </w:p>
    <w:p w14:paraId="77DB6740" w14:textId="77777777" w:rsidR="004B39D8" w:rsidRPr="00742F37" w:rsidRDefault="00742F37" w:rsidP="004B39D8">
      <w:pPr>
        <w:widowControl w:val="0"/>
        <w:spacing w:after="0" w:line="240" w:lineRule="auto"/>
        <w:rPr>
          <w:rFonts w:ascii="Times New Roman" w:eastAsia="Calibri" w:hAnsi="Times New Roman" w:cs="Times New Roman"/>
          <w:lang w:val="en-GB"/>
        </w:rPr>
      </w:pPr>
      <w:r w:rsidRPr="00A656D5">
        <w:rPr>
          <w:rFonts w:ascii="Times New Roman" w:eastAsia="Calibri" w:hAnsi="Times New Roman" w:cs="Times New Roman"/>
          <w:lang w:val="en-GB"/>
        </w:rPr>
        <w:t>Jeigu Jums paskirtas radiofarmacinis gydymas liutecio (</w:t>
      </w:r>
      <w:r w:rsidRPr="00A656D5">
        <w:rPr>
          <w:rFonts w:ascii="Times New Roman" w:eastAsia="Calibri" w:hAnsi="Times New Roman" w:cs="Times New Roman"/>
          <w:vertAlign w:val="superscript"/>
          <w:lang w:val="en-GB"/>
        </w:rPr>
        <w:t>177</w:t>
      </w:r>
      <w:r w:rsidRPr="00A656D5">
        <w:rPr>
          <w:rFonts w:ascii="Times New Roman" w:eastAsia="Calibri" w:hAnsi="Times New Roman" w:cs="Times New Roman"/>
          <w:lang w:val="en-GB"/>
        </w:rPr>
        <w:t>Lu) oksodotreotidu</w:t>
      </w:r>
      <w:r w:rsidRPr="00A656D5">
        <w:rPr>
          <w:rFonts w:ascii="Times New Roman" w:hAnsi="Times New Roman" w:cs="Times New Roman"/>
          <w:lang w:bidi="lt-LT"/>
        </w:rPr>
        <w:t xml:space="preserve">, </w:t>
      </w:r>
      <w:r w:rsidR="00951751" w:rsidRPr="00A656D5">
        <w:rPr>
          <w:rFonts w:ascii="Times New Roman" w:hAnsi="Times New Roman" w:cs="Times New Roman"/>
          <w:lang w:bidi="lt-LT"/>
        </w:rPr>
        <w:t xml:space="preserve">Jūsų </w:t>
      </w:r>
      <w:r w:rsidRPr="00A656D5">
        <w:rPr>
          <w:rFonts w:ascii="Times New Roman" w:hAnsi="Times New Roman" w:cs="Times New Roman"/>
          <w:lang w:bidi="lt-LT"/>
        </w:rPr>
        <w:t xml:space="preserve">gydytojas gali trumpam laikotarpiui pristabdyti ir (arba) </w:t>
      </w:r>
      <w:r w:rsidR="00951751" w:rsidRPr="00A656D5">
        <w:rPr>
          <w:rFonts w:ascii="Times New Roman" w:hAnsi="Times New Roman" w:cs="Times New Roman"/>
          <w:lang w:bidi="lt-LT"/>
        </w:rPr>
        <w:t xml:space="preserve">pritaikyti </w:t>
      </w:r>
      <w:r w:rsidRPr="00A656D5">
        <w:rPr>
          <w:rFonts w:ascii="Times New Roman" w:hAnsi="Times New Roman" w:cs="Times New Roman"/>
          <w:lang w:bidi="lt-LT"/>
        </w:rPr>
        <w:t>gydymą Sandostatin LAR.</w:t>
      </w:r>
    </w:p>
    <w:p w14:paraId="3714FA96" w14:textId="77777777" w:rsidR="00A23D3E" w:rsidRPr="00A23D3E" w:rsidRDefault="00A23D3E" w:rsidP="00A23D3E">
      <w:pPr>
        <w:widowControl w:val="0"/>
        <w:spacing w:after="0" w:line="240" w:lineRule="auto"/>
        <w:jc w:val="both"/>
        <w:rPr>
          <w:rFonts w:ascii="Times New Roman" w:eastAsia="Calibri" w:hAnsi="Times New Roman" w:cs="Times New Roman"/>
          <w:lang w:val="en-US"/>
        </w:rPr>
      </w:pPr>
    </w:p>
    <w:p w14:paraId="3ADE1B8B" w14:textId="77777777" w:rsidR="00A23D3E" w:rsidRPr="00A23D3E" w:rsidRDefault="00A23D3E" w:rsidP="00A23D3E">
      <w:pPr>
        <w:keepNext/>
        <w:widowControl w:val="0"/>
        <w:numPr>
          <w:ilvl w:val="12"/>
          <w:numId w:val="0"/>
        </w:numPr>
        <w:spacing w:after="0" w:line="240" w:lineRule="auto"/>
        <w:ind w:right="-2"/>
        <w:outlineLvl w:val="0"/>
        <w:rPr>
          <w:rFonts w:ascii="Times New Roman" w:eastAsia="Calibri" w:hAnsi="Times New Roman" w:cs="Times New Roman"/>
          <w:lang w:val="en-US"/>
        </w:rPr>
      </w:pPr>
      <w:r w:rsidRPr="00A23D3E">
        <w:rPr>
          <w:rFonts w:ascii="Times New Roman" w:eastAsia="Calibri" w:hAnsi="Times New Roman" w:cs="Times New Roman"/>
          <w:b/>
          <w:lang w:val="en-US"/>
        </w:rPr>
        <w:t>Nėštumas ir žindymo laikotarpis</w:t>
      </w:r>
    </w:p>
    <w:p w14:paraId="75D36F2C" w14:textId="77777777" w:rsidR="00A23D3E" w:rsidRPr="00A23D3E" w:rsidRDefault="00A23D3E" w:rsidP="00A23D3E">
      <w:pPr>
        <w:widowControl w:val="0"/>
        <w:numPr>
          <w:ilvl w:val="12"/>
          <w:numId w:val="0"/>
        </w:numPr>
        <w:spacing w:after="0" w:line="240" w:lineRule="auto"/>
        <w:ind w:right="-2"/>
        <w:outlineLvl w:val="0"/>
        <w:rPr>
          <w:rFonts w:ascii="Times New Roman" w:eastAsia="Calibri" w:hAnsi="Times New Roman" w:cs="Times New Roman"/>
          <w:lang w:val="en-US"/>
        </w:rPr>
      </w:pPr>
      <w:r w:rsidRPr="00A23D3E">
        <w:rPr>
          <w:rFonts w:ascii="Times New Roman" w:eastAsia="Calibri" w:hAnsi="Times New Roman" w:cs="Times New Roman"/>
          <w:lang w:val="en-US"/>
        </w:rPr>
        <w:t>Jeigu esate nėščia, žindote kūdikį, manote, kad galbūt esate nėščia arba planuojate pastoti, tai prieš vartodama šį vaistą pasitarkite su gydytoju.</w:t>
      </w:r>
    </w:p>
    <w:p w14:paraId="4B5CD65B" w14:textId="77777777" w:rsidR="00A23D3E" w:rsidRPr="00A23D3E" w:rsidRDefault="00A23D3E" w:rsidP="00A23D3E">
      <w:pPr>
        <w:widowControl w:val="0"/>
        <w:numPr>
          <w:ilvl w:val="12"/>
          <w:numId w:val="0"/>
        </w:numPr>
        <w:spacing w:after="0" w:line="240" w:lineRule="auto"/>
        <w:ind w:right="-2"/>
        <w:outlineLvl w:val="0"/>
        <w:rPr>
          <w:rFonts w:ascii="Times New Roman" w:eastAsia="Calibri" w:hAnsi="Times New Roman" w:cs="Times New Roman"/>
          <w:lang w:val="en-US"/>
        </w:rPr>
      </w:pPr>
    </w:p>
    <w:p w14:paraId="43984623"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n</w:t>
      </w:r>
      <w:r w:rsidRPr="00A23D3E">
        <w:rPr>
          <w:rFonts w:ascii="Times New Roman" w:eastAsia="Times New Roman" w:hAnsi="Times New Roman" w:cs="Times New Roman"/>
          <w:lang w:val="it-IT"/>
        </w:rPr>
        <w:t>ė</w:t>
      </w:r>
      <w:r w:rsidRPr="00A23D3E">
        <w:rPr>
          <w:rFonts w:ascii="Times New Roman" w:eastAsia="Calibri" w:hAnsi="Times New Roman" w:cs="Times New Roman"/>
          <w:lang w:val="it-IT"/>
        </w:rPr>
        <w:t>štumo metu galima vartoti tik tuomet, kai neabejotinai būtina.</w:t>
      </w:r>
    </w:p>
    <w:p w14:paraId="43C787D4"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8B2A50F"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Gydymo metu vaisingo amžiaus moterys turi naudoti veiksmingą kontracepcijos metodą.</w:t>
      </w:r>
    </w:p>
    <w:p w14:paraId="58731082" w14:textId="77777777" w:rsidR="00A23D3E" w:rsidRPr="00A23D3E" w:rsidRDefault="00A23D3E" w:rsidP="00A23D3E">
      <w:pPr>
        <w:widowControl w:val="0"/>
        <w:spacing w:after="0" w:line="240" w:lineRule="auto"/>
        <w:rPr>
          <w:rFonts w:ascii="Times New Roman" w:eastAsia="Calibri" w:hAnsi="Times New Roman" w:cs="Times New Roman"/>
          <w:lang w:val="it-IT"/>
        </w:rPr>
      </w:pPr>
    </w:p>
    <w:p w14:paraId="514D1FD2" w14:textId="77777777" w:rsidR="00A23D3E" w:rsidRPr="00A23D3E" w:rsidRDefault="00A23D3E" w:rsidP="00A23D3E">
      <w:pPr>
        <w:widowControl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vartojimo metu žindyti negalima. Nėra žinoma, ar Sandostatin LAR išsiskiria į motinos pieną.</w:t>
      </w:r>
    </w:p>
    <w:p w14:paraId="16CA97E7" w14:textId="77777777" w:rsidR="00A23D3E" w:rsidRPr="00A23D3E" w:rsidRDefault="00A23D3E" w:rsidP="00A23D3E">
      <w:pPr>
        <w:widowControl w:val="0"/>
        <w:numPr>
          <w:ilvl w:val="12"/>
          <w:numId w:val="0"/>
        </w:numPr>
        <w:spacing w:after="0" w:line="240" w:lineRule="auto"/>
        <w:ind w:right="-2"/>
        <w:outlineLvl w:val="0"/>
        <w:rPr>
          <w:rFonts w:ascii="Times New Roman" w:eastAsia="Calibri" w:hAnsi="Times New Roman" w:cs="Times New Roman"/>
          <w:lang w:val="it-IT"/>
        </w:rPr>
      </w:pPr>
    </w:p>
    <w:p w14:paraId="75323FDF" w14:textId="77777777" w:rsidR="00A23D3E" w:rsidRPr="00A23D3E" w:rsidRDefault="00A23D3E" w:rsidP="00A23D3E">
      <w:pPr>
        <w:keepNext/>
        <w:widowControl w:val="0"/>
        <w:numPr>
          <w:ilvl w:val="12"/>
          <w:numId w:val="0"/>
        </w:numPr>
        <w:spacing w:after="0" w:line="240" w:lineRule="auto"/>
        <w:ind w:right="-2"/>
        <w:outlineLvl w:val="0"/>
        <w:rPr>
          <w:rFonts w:ascii="Times New Roman" w:eastAsia="Calibri" w:hAnsi="Times New Roman" w:cs="Times New Roman"/>
          <w:b/>
          <w:lang w:val="it-IT"/>
        </w:rPr>
      </w:pPr>
      <w:r w:rsidRPr="00A23D3E">
        <w:rPr>
          <w:rFonts w:ascii="Times New Roman" w:eastAsia="Calibri" w:hAnsi="Times New Roman" w:cs="Times New Roman"/>
          <w:b/>
          <w:lang w:val="it-IT"/>
        </w:rPr>
        <w:t>Vairavimas ir mechanizmų valdymas</w:t>
      </w:r>
    </w:p>
    <w:p w14:paraId="23C94EBE" w14:textId="77777777" w:rsidR="00A23D3E" w:rsidRPr="00A23D3E" w:rsidRDefault="00A23D3E" w:rsidP="00A23D3E">
      <w:pPr>
        <w:widowControl w:val="0"/>
        <w:autoSpaceDE w:val="0"/>
        <w:autoSpaceDN w:val="0"/>
        <w:adjustRightInd w:val="0"/>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gebėjimo vairuoti ir valdyti mechanizmus neveikia arba veikia nereikšmingai. Tačiau vartodami Sandostatin LAR galite patirti kai kurių šalutinių reiškinių, pavyzdžiui, galvos skausmą ir nuovargį, kurie gali bloginti Jūsų gebėjimą saugiai vairuoti ir valdyti mechanizmus.</w:t>
      </w:r>
    </w:p>
    <w:p w14:paraId="7CDE84E5"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p>
    <w:p w14:paraId="7F9D3608"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b/>
          <w:lang w:val="it-IT"/>
        </w:rPr>
      </w:pPr>
      <w:r w:rsidRPr="00A23D3E">
        <w:rPr>
          <w:rFonts w:ascii="Times New Roman" w:eastAsia="Calibri" w:hAnsi="Times New Roman" w:cs="Times New Roman"/>
          <w:b/>
          <w:lang w:val="it-IT"/>
        </w:rPr>
        <w:t>Sandostatin LAR sudėtyje yra natrio</w:t>
      </w:r>
    </w:p>
    <w:p w14:paraId="4D2EC006"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Šio vaisto flakone yra mažiau kaip 1 mmol (23 mg) natrio, t. y. jis beveik neturi reikšmės.</w:t>
      </w:r>
    </w:p>
    <w:p w14:paraId="15898E68"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p>
    <w:p w14:paraId="5928F8A8" w14:textId="77777777" w:rsidR="00A23D3E" w:rsidRPr="00A23D3E" w:rsidRDefault="00A23D3E" w:rsidP="00A23D3E">
      <w:pPr>
        <w:widowControl w:val="0"/>
        <w:numPr>
          <w:ilvl w:val="12"/>
          <w:numId w:val="0"/>
        </w:numPr>
        <w:spacing w:after="0" w:line="240" w:lineRule="auto"/>
        <w:rPr>
          <w:rFonts w:ascii="Times New Roman" w:eastAsia="Calibri" w:hAnsi="Times New Roman" w:cs="Times New Roman"/>
          <w:lang w:val="it-IT"/>
        </w:rPr>
      </w:pPr>
    </w:p>
    <w:p w14:paraId="13D82CCF" w14:textId="77777777" w:rsidR="00A23D3E" w:rsidRPr="00A23D3E" w:rsidRDefault="00A23D3E" w:rsidP="00A23D3E">
      <w:pPr>
        <w:keepNext/>
        <w:widowControl w:val="0"/>
        <w:spacing w:after="0" w:line="240" w:lineRule="auto"/>
        <w:ind w:left="567" w:hanging="567"/>
        <w:rPr>
          <w:rFonts w:ascii="Times New Roman" w:eastAsia="Calibri" w:hAnsi="Times New Roman" w:cs="Times New Roman"/>
          <w:b/>
          <w:lang w:val="it-IT"/>
        </w:rPr>
      </w:pPr>
      <w:r w:rsidRPr="00A23D3E">
        <w:rPr>
          <w:rFonts w:ascii="Times New Roman" w:eastAsia="Calibri" w:hAnsi="Times New Roman" w:cs="Times New Roman"/>
          <w:b/>
          <w:lang w:val="it-IT"/>
        </w:rPr>
        <w:t>3.</w:t>
      </w:r>
      <w:r w:rsidRPr="00A23D3E">
        <w:rPr>
          <w:rFonts w:ascii="Times New Roman" w:eastAsia="Calibri" w:hAnsi="Times New Roman" w:cs="Times New Roman"/>
          <w:b/>
          <w:lang w:val="it-IT"/>
        </w:rPr>
        <w:tab/>
        <w:t>Kaip vartoti Sandostatin LAR</w:t>
      </w:r>
    </w:p>
    <w:p w14:paraId="673BCAA0"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7BD95CA0" w14:textId="77777777" w:rsidR="00A23D3E" w:rsidRPr="00A23D3E" w:rsidRDefault="00A23D3E" w:rsidP="00A23D3E">
      <w:pPr>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Sandostatin LAR privaloma visada skirti injekcijos būdu į sėdmenų raumenis. Vaisto skiriant kartotinai, jo reikia švirkšti tai į kairįjį, tai į dešinįjį sėdmenį.</w:t>
      </w:r>
    </w:p>
    <w:p w14:paraId="5CC353AB" w14:textId="77777777" w:rsidR="00A23D3E" w:rsidRPr="00A23D3E" w:rsidRDefault="00A23D3E" w:rsidP="00A23D3E">
      <w:pPr>
        <w:spacing w:after="0" w:line="240" w:lineRule="auto"/>
        <w:rPr>
          <w:rFonts w:ascii="Times New Roman" w:eastAsia="Calibri" w:hAnsi="Times New Roman" w:cs="Times New Roman"/>
          <w:lang w:val="it-IT"/>
        </w:rPr>
      </w:pPr>
    </w:p>
    <w:p w14:paraId="4C6DB68A" w14:textId="77777777" w:rsidR="00A23D3E" w:rsidRPr="00A23D3E" w:rsidRDefault="00A23D3E" w:rsidP="00A23D3E">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Ką daryti pavartojus per didelę Sandostatin LAR dozę?</w:t>
      </w:r>
    </w:p>
    <w:p w14:paraId="2800A9CC"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Nenustatyta jokių gyvybei pavojingų reakcijų pavartojus per didelę Sandostatin LAR dozę.</w:t>
      </w:r>
    </w:p>
    <w:p w14:paraId="3C7EAC89"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62ADCACD"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 xml:space="preserve">Perdozavimo požymiai yra karščio pylimas, dažnas šlapinimasis, nuovargis, depresija, nerimas ir koncentracijos stoka. </w:t>
      </w:r>
    </w:p>
    <w:p w14:paraId="4049FBCE"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714DE5CD"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 manote, kad pavartojote per didelę vaisto dozę, ir Jums pasireiškė šių požymių, nedelsdami kreipkitės į gydytoją.</w:t>
      </w:r>
    </w:p>
    <w:p w14:paraId="5475CCC0"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463CD584" w14:textId="77777777" w:rsidR="00A23D3E" w:rsidRPr="00A23D3E" w:rsidRDefault="00A23D3E" w:rsidP="00A23D3E">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Pamiršus pavartoti Sandostatin LAR</w:t>
      </w:r>
    </w:p>
    <w:p w14:paraId="26D7F4C8"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Pamiršus sušvirkšti vaisto, rekomenduojama, kad vaisto Jums būtų sušvirkšta iškart prisiminus, o toliau vaisto reikia vartoti įprastai. Nebus jokios žalos, jeigu dozė bus sušvirkšta keliomis dienomis vėliau, tačiau kol vaisto pradėsite vartoti įprastu režimu, gali laikinai atsinaujinti ligos požymiai.</w:t>
      </w:r>
    </w:p>
    <w:p w14:paraId="45D66F9A"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4E8443B5" w14:textId="77777777" w:rsidR="00A23D3E" w:rsidRPr="00A23D3E" w:rsidRDefault="00A23D3E" w:rsidP="00A23D3E">
      <w:pPr>
        <w:keepNext/>
        <w:widowControl w:val="0"/>
        <w:numPr>
          <w:ilvl w:val="12"/>
          <w:numId w:val="0"/>
        </w:numPr>
        <w:spacing w:after="0" w:line="240" w:lineRule="auto"/>
        <w:outlineLvl w:val="0"/>
        <w:rPr>
          <w:rFonts w:ascii="Times New Roman" w:eastAsia="Calibri" w:hAnsi="Times New Roman" w:cs="Times New Roman"/>
          <w:b/>
          <w:lang w:val="it-IT"/>
        </w:rPr>
      </w:pPr>
      <w:r w:rsidRPr="00A23D3E">
        <w:rPr>
          <w:rFonts w:ascii="Times New Roman" w:eastAsia="Calibri" w:hAnsi="Times New Roman" w:cs="Times New Roman"/>
          <w:b/>
          <w:lang w:val="it-IT"/>
        </w:rPr>
        <w:t>Nustojus vartoti Sandostatin LAR</w:t>
      </w:r>
    </w:p>
    <w:p w14:paraId="43264BA6" w14:textId="77777777" w:rsidR="00A23D3E" w:rsidRPr="00A23D3E" w:rsidRDefault="00A23D3E" w:rsidP="00A23D3E">
      <w:pPr>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Jeigu nutrauksite gydymą Sandostatin LAR, Jūsų ligos simptomai gali atsinaujinti. Todėl nenutraukite Sandostatin LAR vartojimo, nebent taip padaryti nurodė gydytojas.</w:t>
      </w:r>
    </w:p>
    <w:p w14:paraId="2F30F16D" w14:textId="77777777" w:rsidR="00A23D3E" w:rsidRPr="00A23D3E" w:rsidRDefault="00A23D3E" w:rsidP="00A23D3E">
      <w:pPr>
        <w:numPr>
          <w:ilvl w:val="12"/>
          <w:numId w:val="0"/>
        </w:numPr>
        <w:spacing w:after="0" w:line="240" w:lineRule="auto"/>
        <w:ind w:right="-2"/>
        <w:rPr>
          <w:rFonts w:ascii="Times New Roman" w:eastAsia="Calibri" w:hAnsi="Times New Roman" w:cs="Times New Roman"/>
          <w:lang w:val="it-IT"/>
        </w:rPr>
      </w:pPr>
    </w:p>
    <w:p w14:paraId="03AABF70"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Jeigu kiltų daugiau klausimų dėl šio vaisto vartojimo, kreipkitės į gydytoją, slaugytoją arba vaistininką.</w:t>
      </w:r>
    </w:p>
    <w:p w14:paraId="487EE130"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4691BC70"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5FF6F1E6" w14:textId="77777777" w:rsidR="00A23D3E" w:rsidRPr="00A23D3E" w:rsidRDefault="00A23D3E" w:rsidP="00A23D3E">
      <w:pPr>
        <w:keepNext/>
        <w:widowControl w:val="0"/>
        <w:numPr>
          <w:ilvl w:val="12"/>
          <w:numId w:val="0"/>
        </w:numPr>
        <w:spacing w:after="0" w:line="240" w:lineRule="auto"/>
        <w:ind w:left="567" w:hanging="567"/>
        <w:rPr>
          <w:rFonts w:ascii="Times New Roman" w:eastAsia="Calibri" w:hAnsi="Times New Roman" w:cs="Times New Roman"/>
          <w:lang w:val="it-IT"/>
        </w:rPr>
      </w:pPr>
      <w:r w:rsidRPr="00A23D3E">
        <w:rPr>
          <w:rFonts w:ascii="Times New Roman" w:eastAsia="Calibri" w:hAnsi="Times New Roman" w:cs="Times New Roman"/>
          <w:b/>
          <w:lang w:val="it-IT"/>
        </w:rPr>
        <w:t>4.</w:t>
      </w:r>
      <w:r w:rsidRPr="00A23D3E">
        <w:rPr>
          <w:rFonts w:ascii="Times New Roman" w:eastAsia="Calibri" w:hAnsi="Times New Roman" w:cs="Times New Roman"/>
          <w:b/>
          <w:lang w:val="it-IT"/>
        </w:rPr>
        <w:tab/>
        <w:t>Galimas šalutinis poveikis</w:t>
      </w:r>
    </w:p>
    <w:p w14:paraId="1FAADCE6"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lang w:val="it-IT"/>
        </w:rPr>
      </w:pPr>
    </w:p>
    <w:p w14:paraId="78E91CF2"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Šis vaistas, kaip ir visi kiti, gali sukelti šalutinį poveikį, nors jis pasireiškia ne visiems žmonėms.</w:t>
      </w:r>
    </w:p>
    <w:p w14:paraId="2208755D"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398B3798" w14:textId="77777777" w:rsidR="00A23D3E" w:rsidRPr="00A23D3E" w:rsidRDefault="00A23D3E" w:rsidP="00A23D3E">
      <w:pPr>
        <w:keepNext/>
        <w:widowControl w:val="0"/>
        <w:spacing w:after="0" w:line="240" w:lineRule="auto"/>
        <w:rPr>
          <w:rFonts w:ascii="Times New Roman" w:eastAsia="Calibri" w:hAnsi="Times New Roman" w:cs="Times New Roman"/>
          <w:b/>
          <w:lang w:val="it-IT"/>
        </w:rPr>
      </w:pPr>
      <w:r w:rsidRPr="00A23D3E">
        <w:rPr>
          <w:rFonts w:ascii="Times New Roman" w:eastAsia="Calibri" w:hAnsi="Times New Roman" w:cs="Times New Roman"/>
          <w:b/>
          <w:lang w:val="it-IT"/>
        </w:rPr>
        <w:t xml:space="preserve">Kai kurie šalutiniai reiškiniai gali būti sunkūs. Jeigu Jums pasireikštų bet kurių toliau išvardytų </w:t>
      </w:r>
      <w:r w:rsidRPr="00A23D3E">
        <w:rPr>
          <w:rFonts w:ascii="Times New Roman" w:eastAsia="Calibri" w:hAnsi="Times New Roman" w:cs="Times New Roman"/>
          <w:b/>
          <w:lang w:val="it-IT"/>
        </w:rPr>
        <w:lastRenderedPageBreak/>
        <w:t>reiškinių, nedelsdami kreipkitės į gydytoją:</w:t>
      </w:r>
    </w:p>
    <w:p w14:paraId="2CE08EA6" w14:textId="77777777" w:rsidR="00A23D3E" w:rsidRPr="00A23D3E" w:rsidRDefault="00A23D3E" w:rsidP="00A23D3E">
      <w:pPr>
        <w:keepNext/>
        <w:widowControl w:val="0"/>
        <w:spacing w:after="0" w:line="240" w:lineRule="auto"/>
        <w:rPr>
          <w:rFonts w:ascii="Times New Roman" w:eastAsia="Calibri" w:hAnsi="Times New Roman" w:cs="Times New Roman"/>
          <w:lang w:val="it-IT"/>
        </w:rPr>
      </w:pPr>
    </w:p>
    <w:p w14:paraId="3DCD3445" w14:textId="77777777" w:rsidR="00A23D3E" w:rsidRPr="00A23D3E" w:rsidRDefault="00A23D3E" w:rsidP="00A23D3E">
      <w:pPr>
        <w:keepNext/>
        <w:widowControl w:val="0"/>
        <w:spacing w:after="0" w:line="240" w:lineRule="auto"/>
        <w:rPr>
          <w:rFonts w:ascii="Times New Roman" w:eastAsia="Calibri" w:hAnsi="Times New Roman" w:cs="Times New Roman"/>
          <w:i/>
          <w:lang w:val="it-IT"/>
        </w:rPr>
      </w:pPr>
      <w:r w:rsidRPr="00A23D3E">
        <w:rPr>
          <w:rFonts w:ascii="Times New Roman" w:eastAsia="Calibri" w:hAnsi="Times New Roman" w:cs="Times New Roman"/>
          <w:b/>
          <w:lang w:val="it-IT"/>
        </w:rPr>
        <w:t xml:space="preserve">Labai dažni </w:t>
      </w:r>
      <w:r w:rsidRPr="00A23D3E">
        <w:rPr>
          <w:rFonts w:ascii="Times New Roman" w:eastAsia="Calibri" w:hAnsi="Times New Roman" w:cs="Times New Roman"/>
          <w:lang w:val="it-IT"/>
        </w:rPr>
        <w:t>(gali pasireikšti daugiau kaip 1 asmeniui iš 10):</w:t>
      </w:r>
    </w:p>
    <w:p w14:paraId="045B1D3A"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it-IT"/>
        </w:rPr>
      </w:pPr>
      <w:r w:rsidRPr="00A23D3E">
        <w:rPr>
          <w:rFonts w:ascii="Times New Roman" w:eastAsia="Calibri" w:hAnsi="Times New Roman" w:cs="Times New Roman"/>
          <w:lang w:val="it-IT"/>
        </w:rPr>
        <w:t>tulžies akmenų atsiradimas, pasireiškiantis staigiu nugaros skausmu;</w:t>
      </w:r>
    </w:p>
    <w:p w14:paraId="367CEB99"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per didelis cukraus kiekis kraujyje.</w:t>
      </w:r>
    </w:p>
    <w:p w14:paraId="716728E4" w14:textId="77777777" w:rsidR="00A23D3E" w:rsidRPr="00A23D3E" w:rsidRDefault="00A23D3E" w:rsidP="00A23D3E">
      <w:pPr>
        <w:widowControl w:val="0"/>
        <w:spacing w:after="0" w:line="240" w:lineRule="auto"/>
        <w:ind w:right="-2"/>
        <w:rPr>
          <w:rFonts w:ascii="Times New Roman" w:eastAsia="Calibri" w:hAnsi="Times New Roman" w:cs="Times New Roman"/>
          <w:lang w:val="de-DE"/>
        </w:rPr>
      </w:pPr>
    </w:p>
    <w:p w14:paraId="1D98AAA4" w14:textId="77777777" w:rsidR="00A23D3E" w:rsidRPr="00A23D3E" w:rsidRDefault="00A23D3E" w:rsidP="00A23D3E">
      <w:pPr>
        <w:keepNext/>
        <w:widowControl w:val="0"/>
        <w:spacing w:after="0" w:line="240" w:lineRule="auto"/>
        <w:rPr>
          <w:rFonts w:ascii="Times New Roman" w:eastAsia="Calibri" w:hAnsi="Times New Roman" w:cs="Times New Roman"/>
          <w:i/>
          <w:lang w:val="de-DE"/>
        </w:rPr>
      </w:pPr>
      <w:r w:rsidRPr="00A23D3E">
        <w:rPr>
          <w:rFonts w:ascii="Times New Roman" w:eastAsia="Calibri" w:hAnsi="Times New Roman" w:cs="Times New Roman"/>
          <w:b/>
          <w:lang w:val="de-DE"/>
        </w:rPr>
        <w:t xml:space="preserve">Dažni </w:t>
      </w:r>
      <w:r w:rsidRPr="00A23D3E">
        <w:rPr>
          <w:rFonts w:ascii="Times New Roman" w:eastAsia="Calibri" w:hAnsi="Times New Roman" w:cs="Times New Roman"/>
          <w:lang w:val="de-DE"/>
        </w:rPr>
        <w:t>(gali pasireikšti rečiau kaip 1 asmeniui iš 10):</w:t>
      </w:r>
    </w:p>
    <w:p w14:paraId="04D71A24"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nepakankama skydliaukės veikla (hipotirozė), dėl ko pakinta širdies susitraukimų greitis, apetitas ir kūno svoris; atsiranda nuovargis, šalčio pojūtis arba priekinės kaklo dalies patinimas;</w:t>
      </w:r>
    </w:p>
    <w:p w14:paraId="4B129245"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skydliaukės veiklos tyrimų rodmenų pokyčiai;</w:t>
      </w:r>
    </w:p>
    <w:p w14:paraId="22824DF0"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tulžies pūslės uždegimas (cholecistitas), kurio simptomais gali būti viršutinės dešiniosios pilvo srities skausmas, karščiavimas, pykinimas, odos ir akių pageltimas (gelta);</w:t>
      </w:r>
    </w:p>
    <w:p w14:paraId="7BF4C71A"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de-DE"/>
        </w:rPr>
      </w:pPr>
      <w:r w:rsidRPr="00A23D3E">
        <w:rPr>
          <w:rFonts w:ascii="Times New Roman" w:eastAsia="Calibri" w:hAnsi="Times New Roman" w:cs="Times New Roman"/>
          <w:lang w:val="de-DE"/>
        </w:rPr>
        <w:t>per mažas cukraus kiekis kraujyje;</w:t>
      </w:r>
    </w:p>
    <w:p w14:paraId="78872541"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sutrikęs gliukozės toleravimas;</w:t>
      </w:r>
    </w:p>
    <w:p w14:paraId="73AD35B5"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retas širdies plakimas.</w:t>
      </w:r>
    </w:p>
    <w:p w14:paraId="56F24DC6"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289E89DC"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Nedažni </w:t>
      </w:r>
      <w:r w:rsidRPr="00A23D3E">
        <w:rPr>
          <w:rFonts w:ascii="Times New Roman" w:eastAsia="Calibri" w:hAnsi="Times New Roman" w:cs="Times New Roman"/>
          <w:lang w:val="en-US"/>
        </w:rPr>
        <w:t>(gali pasireikšti rečiau kaip 1 asmeniui iš 100):</w:t>
      </w:r>
    </w:p>
    <w:p w14:paraId="651B8A19"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troškulys, sumažėjęs išskiriamo šlapimo kiekis, tamsios spalvos šlapimas, sausa paraudusi oda;</w:t>
      </w:r>
    </w:p>
    <w:p w14:paraId="6C8DBE5E"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greitas širdies plakimas.</w:t>
      </w:r>
    </w:p>
    <w:p w14:paraId="14CCFB76"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16D79325" w14:textId="77777777" w:rsidR="00A23D3E" w:rsidRPr="00A23D3E" w:rsidRDefault="00A23D3E" w:rsidP="00A23D3E">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Kitas sunkus šalutinis poveikis</w:t>
      </w:r>
    </w:p>
    <w:p w14:paraId="6734AB89"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padidėjusio jautrumo (alerginė) reakcija, įskaitant odos išbėrimą;</w:t>
      </w:r>
    </w:p>
    <w:p w14:paraId="6AA59057"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alerginės reakcijos tipas (anafilaksija), kuris gali sukelti</w:t>
      </w:r>
      <w:r w:rsidRPr="00A23D3E">
        <w:rPr>
          <w:rFonts w:ascii="Arial" w:eastAsia="Calibri" w:hAnsi="Arial" w:cs="Arial"/>
          <w:color w:val="222222"/>
        </w:rPr>
        <w:t xml:space="preserve"> </w:t>
      </w:r>
      <w:r w:rsidRPr="00A23D3E">
        <w:rPr>
          <w:rFonts w:ascii="Times New Roman" w:eastAsia="Calibri" w:hAnsi="Times New Roman" w:cs="Times New Roman"/>
        </w:rPr>
        <w:t>rijimo ar kvėpavimo sunkumą, patinimą ir dilgčiojimą, galimą kraujospūdžio sumažėjimą kartu su galvos sukimusi arba sąmonės netekimu</w:t>
      </w:r>
      <w:r w:rsidRPr="00A23D3E">
        <w:rPr>
          <w:rFonts w:ascii="Times New Roman" w:eastAsia="Calibri" w:hAnsi="Times New Roman" w:cs="Times New Roman"/>
          <w:lang w:val="en-US"/>
        </w:rPr>
        <w:t>;</w:t>
      </w:r>
    </w:p>
    <w:p w14:paraId="6C9F572F"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kasos liaukos uždegimas (pankreatitas), kurio simptomais gali būti ūmus viršutinės pilvo srities skausmas, pykinimas, vėmimas, viduriavimas;</w:t>
      </w:r>
    </w:p>
    <w:p w14:paraId="37E09066"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kepenų uždegimas (hepatitas), kurio simptomai gali būti odos ir akių pageltimas (gelta), pykinimas, vėmimas, apetito nebuvimas, bendras negalavimas, niežulys, šviesios spalvos šlapimas;</w:t>
      </w:r>
    </w:p>
    <w:p w14:paraId="3D10694E"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nereguliarus širdies plakimas;</w:t>
      </w:r>
    </w:p>
    <w:p w14:paraId="39A49D6B"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rPr>
        <w:t>mažas trombocitų kiekis kraujyje; tai gali sukelti padidėjusį kraujavimą ar mėlynes</w:t>
      </w:r>
      <w:r w:rsidRPr="00A23D3E">
        <w:rPr>
          <w:rFonts w:ascii="Times New Roman" w:eastAsia="Calibri" w:hAnsi="Times New Roman" w:cs="Times New Roman"/>
          <w:lang w:val="en-US"/>
        </w:rPr>
        <w:t>.</w:t>
      </w:r>
    </w:p>
    <w:p w14:paraId="7B37E1AB"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29D9481F"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Jums pasireiškė bet kuris iš anksčiau nurodytų šalutinių poveikių, nedelsdami kreipkitės į gydytoją.</w:t>
      </w:r>
    </w:p>
    <w:p w14:paraId="0FB08F6D"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037B0AFD" w14:textId="77777777" w:rsidR="00A23D3E" w:rsidRPr="00A23D3E" w:rsidRDefault="00A23D3E" w:rsidP="00A23D3E">
      <w:pPr>
        <w:keepNext/>
        <w:widowControl w:val="0"/>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Kitas šalutinis poveikis:</w:t>
      </w:r>
    </w:p>
    <w:p w14:paraId="22613CD7"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Jums pasireikštų bet kuris toliau nurodytas šalutinis poveikis, pasakykite apie tai gydytojui, vaistininkui arba slaugytojui. Paprastai šie reiškiniai yra nesunkūs ir praeina savaime tęsiant gydymą.</w:t>
      </w:r>
    </w:p>
    <w:p w14:paraId="0767CF0A"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p>
    <w:p w14:paraId="347E5853" w14:textId="77777777" w:rsidR="00A23D3E" w:rsidRPr="00A23D3E" w:rsidRDefault="00A23D3E" w:rsidP="00A23D3E">
      <w:pPr>
        <w:keepNext/>
        <w:widowControl w:val="0"/>
        <w:spacing w:after="0" w:line="240" w:lineRule="auto"/>
        <w:rPr>
          <w:rFonts w:ascii="Times New Roman" w:eastAsia="Calibri" w:hAnsi="Times New Roman" w:cs="Times New Roman"/>
          <w:lang w:val="en-US"/>
        </w:rPr>
      </w:pPr>
      <w:r w:rsidRPr="00A23D3E">
        <w:rPr>
          <w:rFonts w:ascii="Times New Roman" w:eastAsia="Calibri" w:hAnsi="Times New Roman" w:cs="Times New Roman"/>
          <w:b/>
          <w:lang w:val="en-US"/>
        </w:rPr>
        <w:t xml:space="preserve">Labai dažni </w:t>
      </w:r>
      <w:r w:rsidRPr="00A23D3E">
        <w:rPr>
          <w:rFonts w:ascii="Times New Roman" w:eastAsia="Calibri" w:hAnsi="Times New Roman" w:cs="Times New Roman"/>
          <w:lang w:val="en-US"/>
        </w:rPr>
        <w:t>(gali pasireikšti daugiau kaip 1 asmeniui iš 10):</w:t>
      </w:r>
    </w:p>
    <w:p w14:paraId="6E0F29A3"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viduriavimas;</w:t>
      </w:r>
    </w:p>
    <w:p w14:paraId="56BD48FA"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pilvo skausmas;</w:t>
      </w:r>
    </w:p>
    <w:p w14:paraId="36A574EA"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pykinimas;</w:t>
      </w:r>
    </w:p>
    <w:p w14:paraId="04830389"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vidurių užkietėjimas;</w:t>
      </w:r>
    </w:p>
    <w:p w14:paraId="312B6009"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vidurių pūtimas (dujų susikaupimas);</w:t>
      </w:r>
    </w:p>
    <w:p w14:paraId="680FF4C3"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galvos skausmas;</w:t>
      </w:r>
    </w:p>
    <w:p w14:paraId="472DBF38" w14:textId="77777777" w:rsidR="00A23D3E" w:rsidRPr="00A23D3E" w:rsidRDefault="00A23D3E" w:rsidP="00A23D3E">
      <w:pPr>
        <w:widowControl w:val="0"/>
        <w:numPr>
          <w:ilvl w:val="0"/>
          <w:numId w:val="5"/>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injekcijos vietos skausmas.</w:t>
      </w:r>
    </w:p>
    <w:p w14:paraId="410DB424" w14:textId="77777777" w:rsidR="00A23D3E" w:rsidRPr="00A23D3E" w:rsidRDefault="00A23D3E" w:rsidP="00A23D3E">
      <w:pPr>
        <w:widowControl w:val="0"/>
        <w:spacing w:after="0" w:line="240" w:lineRule="auto"/>
        <w:ind w:right="-2"/>
        <w:rPr>
          <w:rFonts w:ascii="Times New Roman" w:eastAsia="Calibri" w:hAnsi="Times New Roman" w:cs="Times New Roman"/>
          <w:lang w:val="en-US"/>
        </w:rPr>
      </w:pPr>
    </w:p>
    <w:p w14:paraId="45C49907" w14:textId="77777777" w:rsidR="00A23D3E" w:rsidRPr="00A23D3E" w:rsidRDefault="00A23D3E" w:rsidP="00A23D3E">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b/>
          <w:lang w:val="en-US"/>
        </w:rPr>
        <w:t xml:space="preserve">Dažni </w:t>
      </w:r>
      <w:r w:rsidRPr="00A23D3E">
        <w:rPr>
          <w:rFonts w:ascii="Times New Roman" w:eastAsia="Calibri" w:hAnsi="Times New Roman" w:cs="Times New Roman"/>
          <w:lang w:val="en-US"/>
        </w:rPr>
        <w:t>(gali pasireikšti rečiau kaip 1 asmeniui iš 10):</w:t>
      </w:r>
    </w:p>
    <w:p w14:paraId="222F741E"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po valgio atsirandantis diskomfortas pilve (dispepsija);</w:t>
      </w:r>
    </w:p>
    <w:p w14:paraId="11865CD2"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vėmimas;</w:t>
      </w:r>
    </w:p>
    <w:p w14:paraId="6AA3A76C"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skrandžio pilnumo pojūtis;</w:t>
      </w:r>
    </w:p>
    <w:p w14:paraId="235AD0D9"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riebios išmatos;</w:t>
      </w:r>
    </w:p>
    <w:p w14:paraId="6E0ADCE9"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laisvi viduriai;</w:t>
      </w:r>
    </w:p>
    <w:p w14:paraId="31C9CCCF"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lastRenderedPageBreak/>
        <w:t>išmatų spalvos pakitimas;</w:t>
      </w:r>
    </w:p>
    <w:p w14:paraId="25C2E5E9"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galvos sukimasis;</w:t>
      </w:r>
    </w:p>
    <w:p w14:paraId="40FAE4C6"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apetito nebuvimas;</w:t>
      </w:r>
    </w:p>
    <w:p w14:paraId="7427648E"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kepenų funkcijos tyrimų rodmenų pokyčiai;</w:t>
      </w:r>
    </w:p>
    <w:p w14:paraId="2649999E"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nuplikimas;</w:t>
      </w:r>
    </w:p>
    <w:p w14:paraId="709709F4"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dusulys;</w:t>
      </w:r>
    </w:p>
    <w:p w14:paraId="6D65C163" w14:textId="77777777" w:rsidR="00A23D3E" w:rsidRPr="00A23D3E" w:rsidRDefault="00A23D3E" w:rsidP="00A23D3E">
      <w:pPr>
        <w:widowControl w:val="0"/>
        <w:numPr>
          <w:ilvl w:val="0"/>
          <w:numId w:val="6"/>
        </w:numPr>
        <w:tabs>
          <w:tab w:val="clear" w:pos="357"/>
          <w:tab w:val="left" w:pos="567"/>
        </w:tabs>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silpnumas.</w:t>
      </w:r>
    </w:p>
    <w:p w14:paraId="73B8D498"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14C0BF23"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Jeigu Jums pasireiškė bet kuris iš anksčiau nurodytų šalutinių poveikių, apie tai pasakykite gydytojui, slaugytojui arba vaistininkui.</w:t>
      </w:r>
    </w:p>
    <w:p w14:paraId="41715531"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33DE0A79"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b/>
          <w:lang w:val="en-US"/>
        </w:rPr>
      </w:pPr>
      <w:r w:rsidRPr="00A23D3E">
        <w:rPr>
          <w:rFonts w:ascii="Times New Roman" w:eastAsia="Calibri" w:hAnsi="Times New Roman" w:cs="Times New Roman"/>
          <w:b/>
          <w:lang w:val="en-US"/>
        </w:rPr>
        <w:t>Pranešimas apie šalutinį poveikį</w:t>
      </w:r>
    </w:p>
    <w:p w14:paraId="68449D58" w14:textId="62EC73F9" w:rsidR="00A23D3E" w:rsidRPr="00A23D3E" w:rsidRDefault="00A23D3E" w:rsidP="00A23D3E">
      <w:pPr>
        <w:tabs>
          <w:tab w:val="left" w:pos="567"/>
        </w:tabs>
        <w:spacing w:after="0" w:line="260" w:lineRule="exact"/>
        <w:ind w:right="49"/>
        <w:rPr>
          <w:rFonts w:ascii="Times New Roman" w:eastAsia="Calibri" w:hAnsi="Times New Roman" w:cs="Times New Roman"/>
        </w:rPr>
      </w:pPr>
      <w:r w:rsidRPr="00A23D3E">
        <w:rPr>
          <w:rFonts w:ascii="Times New Roman" w:eastAsia="Calibri" w:hAnsi="Times New Roman" w:cs="Times New Roman"/>
        </w:rPr>
        <w:t xml:space="preserve">Jeigu pasireiškė šalutinis poveikis, įskaitant šiame lapelyje nenurodytą, pasakykite gydytojui, vaistininkui arba slaugytojui. </w:t>
      </w:r>
      <w:r w:rsidR="005E2DD4" w:rsidRPr="005E2DD4">
        <w:rPr>
          <w:rFonts w:ascii="Times New Roman" w:eastAsia="Calibri" w:hAnsi="Times New Roman" w:cs="Times New Roman"/>
        </w:rPr>
        <w:t xml:space="preserve">Pranešimą apie šalutinį poveikį galite </w:t>
      </w:r>
      <w:r w:rsidR="00AA274C">
        <w:rPr>
          <w:rFonts w:ascii="Times New Roman" w:eastAsia="Calibri" w:hAnsi="Times New Roman" w:cs="Times New Roman"/>
        </w:rPr>
        <w:t xml:space="preserve">užpildyti ir </w:t>
      </w:r>
      <w:r w:rsidR="005E2DD4" w:rsidRPr="005E2DD4">
        <w:rPr>
          <w:rFonts w:ascii="Times New Roman" w:eastAsia="Calibri" w:hAnsi="Times New Roman" w:cs="Times New Roman"/>
        </w:rPr>
        <w:t xml:space="preserve">pateikti Valstybinės vaistų kontrolės tarnybos prie Lietuvos Respublikos sveikatos apsaugos ministerijos </w:t>
      </w:r>
      <w:r w:rsidR="00AA274C" w:rsidRPr="00AA274C">
        <w:rPr>
          <w:rFonts w:ascii="Times New Roman" w:eastAsia="Calibri" w:hAnsi="Times New Roman" w:cs="Times New Roman"/>
        </w:rPr>
        <w:t xml:space="preserve">tinklalapyje </w:t>
      </w:r>
      <w:r w:rsidR="00AA274C" w:rsidRPr="00E157A8">
        <w:rPr>
          <w:rFonts w:ascii="Times New Roman" w:hAnsi="Times New Roman"/>
        </w:rPr>
        <w:t>https://vvkt.</w:t>
      </w:r>
      <w:r w:rsidR="00AA274C" w:rsidRPr="00AA274C">
        <w:rPr>
          <w:rFonts w:ascii="Times New Roman" w:eastAsia="Calibri" w:hAnsi="Times New Roman" w:cs="Times New Roman"/>
        </w:rPr>
        <w:t>lrv.</w:t>
      </w:r>
      <w:r w:rsidR="00AA274C" w:rsidRPr="00E157A8">
        <w:rPr>
          <w:rFonts w:ascii="Times New Roman" w:hAnsi="Times New Roman"/>
        </w:rPr>
        <w:t>lt/</w:t>
      </w:r>
      <w:r w:rsidR="00AA274C" w:rsidRPr="00AA274C">
        <w:rPr>
          <w:rFonts w:ascii="Times New Roman" w:eastAsia="Calibri" w:hAnsi="Times New Roman" w:cs="Times New Roman"/>
        </w:rPr>
        <w:t>lt/ nurodytais būdais arba paskambint</w:t>
      </w:r>
      <w:r w:rsidR="00AA274C">
        <w:rPr>
          <w:rFonts w:ascii="Times New Roman" w:eastAsia="Calibri" w:hAnsi="Times New Roman" w:cs="Times New Roman"/>
        </w:rPr>
        <w:t xml:space="preserve">i </w:t>
      </w:r>
      <w:r w:rsidR="005E2DD4" w:rsidRPr="005E2DD4">
        <w:rPr>
          <w:rFonts w:ascii="Times New Roman" w:eastAsia="Calibri" w:hAnsi="Times New Roman" w:cs="Times New Roman"/>
        </w:rPr>
        <w:t>nemokamu telefonu 8 800 73 568. Pranešdami apie šalutinį poveikį galite mums padėti gauti daugiau informacijos apie šio vaisto saugumą.</w:t>
      </w:r>
    </w:p>
    <w:p w14:paraId="2B552D8F"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7DC192B3"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0625CF5F" w14:textId="77777777" w:rsidR="00A23D3E" w:rsidRPr="00A23D3E" w:rsidRDefault="00A23D3E" w:rsidP="00A23D3E">
      <w:pPr>
        <w:keepNext/>
        <w:widowControl w:val="0"/>
        <w:numPr>
          <w:ilvl w:val="12"/>
          <w:numId w:val="0"/>
        </w:numPr>
        <w:spacing w:after="0" w:line="240" w:lineRule="auto"/>
        <w:ind w:left="567" w:hanging="567"/>
        <w:rPr>
          <w:rFonts w:ascii="Times New Roman" w:eastAsia="Calibri" w:hAnsi="Times New Roman" w:cs="Times New Roman"/>
          <w:lang w:val="en-US"/>
        </w:rPr>
      </w:pPr>
      <w:r w:rsidRPr="00A23D3E">
        <w:rPr>
          <w:rFonts w:ascii="Times New Roman" w:eastAsia="Calibri" w:hAnsi="Times New Roman" w:cs="Times New Roman"/>
          <w:b/>
          <w:lang w:val="en-US"/>
        </w:rPr>
        <w:t>5.</w:t>
      </w:r>
      <w:r w:rsidRPr="00A23D3E">
        <w:rPr>
          <w:rFonts w:ascii="Times New Roman" w:eastAsia="Calibri" w:hAnsi="Times New Roman" w:cs="Times New Roman"/>
          <w:b/>
          <w:lang w:val="en-US"/>
        </w:rPr>
        <w:tab/>
        <w:t>Kaip laikyti Sandostatin LAR</w:t>
      </w:r>
    </w:p>
    <w:p w14:paraId="73912A2E"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230C092B"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Šį vaistą laikykite vaikams nepastebimoje ir nepasiekiamoje vietoje.</w:t>
      </w:r>
    </w:p>
    <w:p w14:paraId="1FC8842D"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Laikyti išorinėje dėžutėje, kad vaistas būtų apsaugotas nuo šviesos.</w:t>
      </w:r>
    </w:p>
    <w:p w14:paraId="6A8365BF"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Laikyti šaldytuve (2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en-US"/>
        </w:rPr>
        <w:t>C–8 </w:t>
      </w:r>
      <w:r w:rsidRPr="00A23D3E">
        <w:rPr>
          <w:rFonts w:ascii="Times New Roman" w:eastAsia="Times New Roman" w:hAnsi="Times New Roman" w:cs="Times New Roman"/>
          <w:noProof/>
          <w:lang w:val="en-GB"/>
        </w:rPr>
        <w:sym w:font="Symbol" w:char="F0B0"/>
      </w:r>
      <w:r w:rsidRPr="00A23D3E">
        <w:rPr>
          <w:rFonts w:ascii="Times New Roman" w:eastAsia="Calibri" w:hAnsi="Times New Roman" w:cs="Times New Roman"/>
          <w:lang w:val="en-US"/>
        </w:rPr>
        <w:t>C). Negalima užšaldyti.</w:t>
      </w:r>
    </w:p>
    <w:p w14:paraId="4DE34174"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Injekcijos dieną Sandostatin LAR galima laikyti ne aukštesnėje kaip 25 ºC temperatūroje.</w:t>
      </w:r>
    </w:p>
    <w:p w14:paraId="2252DCA7"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Times New Roman" w:hAnsi="Times New Roman" w:cs="Times New Roman"/>
          <w:noProof/>
          <w:lang w:val="it-IT"/>
        </w:rPr>
        <w:t>Paruoštą Sandostatin LAR suspensiją vartoti nedelsiant.</w:t>
      </w:r>
    </w:p>
    <w:p w14:paraId="5FE7C084"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Ant dėžutės ir etiketės po „EXP“ nurodytam tinkamumo laikui pasibaigus, šio vaisto vartoti negalima. Vaistas tinkamas vartoti iki paskutinės nurodyto mėnesio dienos.</w:t>
      </w:r>
    </w:p>
    <w:p w14:paraId="58D17D97"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77CBEA6F"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Pastebėjus dalelių arba spalvos pokyčių, šio vaisto vartoti negalima.</w:t>
      </w:r>
    </w:p>
    <w:p w14:paraId="64EDA9B2"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0C93F7CB"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r w:rsidRPr="00A23D3E">
        <w:rPr>
          <w:rFonts w:ascii="Times New Roman" w:eastAsia="Calibri" w:hAnsi="Times New Roman" w:cs="Times New Roman"/>
          <w:lang w:val="it-IT"/>
        </w:rPr>
        <w:t>Vaistų negalima išmesti į kanalizaciją arba su buitinėmis atliekomis. Kaip išmesti nereikalingus vaistus, klauskite vaistininko. Šios priemonės padės apsaugoti aplinką.</w:t>
      </w:r>
    </w:p>
    <w:p w14:paraId="2395F054"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4A31883A"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it-IT"/>
        </w:rPr>
      </w:pPr>
    </w:p>
    <w:p w14:paraId="6943FE5F" w14:textId="77777777" w:rsidR="00A23D3E" w:rsidRPr="00A23D3E" w:rsidRDefault="00A23D3E" w:rsidP="00A23D3E">
      <w:pPr>
        <w:keepNext/>
        <w:widowControl w:val="0"/>
        <w:numPr>
          <w:ilvl w:val="12"/>
          <w:numId w:val="0"/>
        </w:numPr>
        <w:spacing w:after="0" w:line="240" w:lineRule="auto"/>
        <w:ind w:left="567" w:hanging="567"/>
        <w:rPr>
          <w:rFonts w:ascii="Times New Roman" w:eastAsia="Calibri" w:hAnsi="Times New Roman" w:cs="Times New Roman"/>
          <w:b/>
          <w:lang w:val="es-ES"/>
        </w:rPr>
      </w:pPr>
      <w:r w:rsidRPr="00A23D3E">
        <w:rPr>
          <w:rFonts w:ascii="Times New Roman" w:eastAsia="Calibri" w:hAnsi="Times New Roman" w:cs="Times New Roman"/>
          <w:b/>
          <w:lang w:val="es-ES"/>
        </w:rPr>
        <w:t>6.</w:t>
      </w:r>
      <w:r w:rsidRPr="00A23D3E">
        <w:rPr>
          <w:rFonts w:ascii="Times New Roman" w:eastAsia="Calibri" w:hAnsi="Times New Roman" w:cs="Times New Roman"/>
          <w:b/>
          <w:lang w:val="es-ES"/>
        </w:rPr>
        <w:tab/>
        <w:t>Pakuotės turinys ir kita informacija</w:t>
      </w:r>
    </w:p>
    <w:p w14:paraId="70827287" w14:textId="77777777" w:rsidR="00A23D3E" w:rsidRPr="00A23D3E" w:rsidRDefault="00A23D3E" w:rsidP="00A23D3E">
      <w:pPr>
        <w:keepNext/>
        <w:widowControl w:val="0"/>
        <w:numPr>
          <w:ilvl w:val="12"/>
          <w:numId w:val="0"/>
        </w:numPr>
        <w:spacing w:after="0" w:line="240" w:lineRule="auto"/>
        <w:rPr>
          <w:rFonts w:ascii="Times New Roman" w:eastAsia="Calibri" w:hAnsi="Times New Roman" w:cs="Times New Roman"/>
          <w:lang w:val="es-ES"/>
        </w:rPr>
      </w:pPr>
    </w:p>
    <w:p w14:paraId="57709416"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Sandostatin LAR sudėtis</w:t>
      </w:r>
    </w:p>
    <w:p w14:paraId="14EDF154" w14:textId="77777777" w:rsidR="00A23D3E" w:rsidRPr="00A23D3E" w:rsidRDefault="00A23D3E" w:rsidP="00A23D3E">
      <w:pPr>
        <w:widowControl w:val="0"/>
        <w:numPr>
          <w:ilvl w:val="0"/>
          <w:numId w:val="1"/>
        </w:numPr>
        <w:spacing w:after="0" w:line="240" w:lineRule="auto"/>
        <w:ind w:left="567" w:right="-2" w:hanging="567"/>
        <w:rPr>
          <w:rFonts w:ascii="Times New Roman" w:eastAsia="Calibri" w:hAnsi="Times New Roman" w:cs="Times New Roman"/>
          <w:lang w:val="es-ES"/>
        </w:rPr>
      </w:pPr>
      <w:r w:rsidRPr="00A23D3E">
        <w:rPr>
          <w:rFonts w:ascii="Times New Roman" w:eastAsia="Calibri" w:hAnsi="Times New Roman" w:cs="Times New Roman"/>
          <w:lang w:val="es-ES"/>
        </w:rPr>
        <w:t>Veiklioji (-sios) medžiaga (</w:t>
      </w:r>
      <w:r w:rsidRPr="00A23D3E">
        <w:rPr>
          <w:rFonts w:ascii="Times New Roman" w:eastAsia="Calibri" w:hAnsi="Times New Roman" w:cs="Times New Roman"/>
          <w:lang w:val="es-ES"/>
        </w:rPr>
        <w:noBreakHyphen/>
        <w:t>os) yra</w:t>
      </w:r>
      <w:r w:rsidRPr="00A23D3E">
        <w:rPr>
          <w:rFonts w:ascii="Times New Roman" w:eastAsia="Times New Roman" w:hAnsi="Times New Roman" w:cs="Times New Roman"/>
          <w:noProof/>
          <w:lang w:val="es-ES" w:eastAsia="x-none"/>
        </w:rPr>
        <w:t xml:space="preserve"> oktreotidas (oktreotido acetato pavidalu). </w:t>
      </w:r>
    </w:p>
    <w:p w14:paraId="074FD51F" w14:textId="77777777" w:rsidR="00A23D3E" w:rsidRPr="00A23D3E" w:rsidRDefault="00A23D3E" w:rsidP="00A23D3E">
      <w:pPr>
        <w:widowControl w:val="0"/>
        <w:spacing w:after="0" w:line="240" w:lineRule="auto"/>
        <w:ind w:left="567" w:right="-2"/>
        <w:rPr>
          <w:rFonts w:ascii="Times New Roman" w:eastAsia="Calibri" w:hAnsi="Times New Roman" w:cs="Times New Roman"/>
          <w:lang w:val="es-ES"/>
        </w:rPr>
      </w:pPr>
      <w:r w:rsidRPr="00A23D3E">
        <w:rPr>
          <w:rFonts w:ascii="Times New Roman" w:eastAsia="Calibri" w:hAnsi="Times New Roman" w:cs="Times New Roman"/>
          <w:lang w:val="es-ES"/>
        </w:rPr>
        <w:t>Kiekviename flakone yra 10 mg, 20 mg arba 30 mg oktreotido (oktreotido acetato pavidalu).</w:t>
      </w:r>
    </w:p>
    <w:p w14:paraId="1CAFC32E" w14:textId="77777777" w:rsidR="00A23D3E" w:rsidRPr="00A23D3E" w:rsidRDefault="00A23D3E" w:rsidP="00A23D3E">
      <w:pPr>
        <w:widowControl w:val="0"/>
        <w:numPr>
          <w:ilvl w:val="0"/>
          <w:numId w:val="1"/>
        </w:numPr>
        <w:spacing w:after="0" w:line="240" w:lineRule="auto"/>
        <w:ind w:left="567" w:right="-2" w:hanging="567"/>
        <w:rPr>
          <w:rFonts w:ascii="Times New Roman" w:eastAsia="Calibri" w:hAnsi="Times New Roman" w:cs="Times New Roman"/>
          <w:lang w:val="en-US"/>
        </w:rPr>
      </w:pPr>
      <w:r w:rsidRPr="00A23D3E">
        <w:rPr>
          <w:rFonts w:ascii="Times New Roman" w:eastAsia="Calibri" w:hAnsi="Times New Roman" w:cs="Times New Roman"/>
          <w:lang w:val="en-US"/>
        </w:rPr>
        <w:t>Pagalbinės medžiagos yra:</w:t>
      </w:r>
    </w:p>
    <w:p w14:paraId="1DDF890A" w14:textId="77777777" w:rsidR="00A23D3E" w:rsidRPr="00A23D3E" w:rsidRDefault="00A23D3E" w:rsidP="00A23D3E">
      <w:pPr>
        <w:widowControl w:val="0"/>
        <w:spacing w:after="0" w:line="240" w:lineRule="auto"/>
        <w:ind w:left="567" w:right="-2"/>
        <w:rPr>
          <w:rFonts w:ascii="Times New Roman" w:eastAsia="Calibri" w:hAnsi="Times New Roman" w:cs="Times New Roman"/>
          <w:lang w:val="it-IT"/>
        </w:rPr>
      </w:pPr>
      <w:r w:rsidRPr="00A23D3E">
        <w:rPr>
          <w:rFonts w:ascii="Times New Roman" w:eastAsia="Calibri" w:hAnsi="Times New Roman" w:cs="Times New Roman"/>
          <w:lang w:val="it-IT"/>
        </w:rPr>
        <w:t>milteliai (flakone): poli (DL</w:t>
      </w:r>
      <w:r w:rsidRPr="00A23D3E">
        <w:rPr>
          <w:rFonts w:ascii="Times New Roman" w:eastAsia="Calibri" w:hAnsi="Times New Roman" w:cs="Times New Roman"/>
          <w:lang w:val="it-IT"/>
        </w:rPr>
        <w:noBreakHyphen/>
        <w:t>laktido</w:t>
      </w:r>
      <w:r w:rsidRPr="00A23D3E">
        <w:rPr>
          <w:rFonts w:ascii="Times New Roman" w:eastAsia="Calibri" w:hAnsi="Times New Roman" w:cs="Times New Roman"/>
          <w:lang w:val="it-IT"/>
        </w:rPr>
        <w:noBreakHyphen/>
        <w:t xml:space="preserve">glikolido kopolimeras), manitolis </w:t>
      </w:r>
      <w:r w:rsidRPr="00A23D3E">
        <w:rPr>
          <w:rFonts w:ascii="Times New Roman" w:eastAsia="Times New Roman" w:hAnsi="Times New Roman" w:cs="Times New Roman"/>
          <w:noProof/>
          <w:lang w:val="it-IT" w:eastAsia="x-none"/>
        </w:rPr>
        <w:t>(E421)</w:t>
      </w:r>
      <w:r w:rsidRPr="00A23D3E">
        <w:rPr>
          <w:rFonts w:ascii="Times New Roman" w:eastAsia="Calibri" w:hAnsi="Times New Roman" w:cs="Times New Roman"/>
          <w:lang w:val="it-IT"/>
        </w:rPr>
        <w:t xml:space="preserve">. </w:t>
      </w:r>
    </w:p>
    <w:p w14:paraId="2399097E" w14:textId="77777777" w:rsidR="00A23D3E" w:rsidRPr="00A23D3E" w:rsidRDefault="00A23D3E" w:rsidP="00A23D3E">
      <w:pPr>
        <w:widowControl w:val="0"/>
        <w:spacing w:after="0" w:line="240" w:lineRule="auto"/>
        <w:ind w:left="567" w:right="-2"/>
        <w:rPr>
          <w:rFonts w:ascii="Times New Roman" w:eastAsia="Calibri" w:hAnsi="Times New Roman" w:cs="Times New Roman"/>
          <w:lang w:val="it-IT"/>
        </w:rPr>
      </w:pPr>
      <w:r w:rsidRPr="00A23D3E">
        <w:rPr>
          <w:rFonts w:ascii="Times New Roman" w:eastAsia="Calibri" w:hAnsi="Times New Roman" w:cs="Times New Roman"/>
          <w:lang w:val="it-IT"/>
        </w:rPr>
        <w:t>tirpiklis (užpildytame švirkšte): karmeliozės natrio druska, manitolis (E421), poloksameras 188, injekcinis vanduo.</w:t>
      </w:r>
    </w:p>
    <w:p w14:paraId="410DFDD7" w14:textId="77777777" w:rsidR="00A23D3E" w:rsidRPr="00A23D3E" w:rsidRDefault="00A23D3E" w:rsidP="00A23D3E">
      <w:pPr>
        <w:widowControl w:val="0"/>
        <w:spacing w:after="0" w:line="240" w:lineRule="auto"/>
        <w:ind w:right="-2"/>
        <w:rPr>
          <w:rFonts w:ascii="Times New Roman" w:eastAsia="Calibri" w:hAnsi="Times New Roman" w:cs="Times New Roman"/>
          <w:lang w:val="it-IT"/>
        </w:rPr>
      </w:pPr>
    </w:p>
    <w:p w14:paraId="50CFFD7E"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Sandostatin LAR išvaizda ir kiekis pakuotėje</w:t>
      </w:r>
    </w:p>
    <w:p w14:paraId="563CA330"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Vienetinėje pakuotėje yra vienas 6 ml talpos stiklo flakonas su guminiu kamščiu (bromobutilo guma) uždengtu aliumininiu nuimamu dangteliu, kuriame yra milteliai injekcinei suspensijai ir vienas 3 ml talpos bespalvis užpildytas stiklo švirkštas, užkimštas priekiniu ir stūmoklio kamščiu (chlorobutilo guma), kuriame yra 2 ml tirpiklio, supakuotas bendrame sandariame lizdinės plokštelės dėkle, kuriame yra vienas flakono adapteris ir viena saugi injekcinė adata.</w:t>
      </w:r>
    </w:p>
    <w:p w14:paraId="6F4D4F29"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03E2D93A"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r w:rsidRPr="00A23D3E">
        <w:rPr>
          <w:rFonts w:ascii="Times New Roman" w:eastAsia="Calibri" w:hAnsi="Times New Roman" w:cs="Times New Roman"/>
          <w:lang w:val="es-ES"/>
        </w:rPr>
        <w:t xml:space="preserve">Sudėtinės pakuotės, kuriose yra po tris vienetines pakuotes, kurių kiekvieną sudaro: vienas 6 ml talpos stiklo flakonas su guminiu kamščiu (bromobutilo guma), uždengtu aliumininiu nuimamu dangteliu, kuriame yra milteliai injekcinei suspensijai ir vienas 3 ml talpos bespalvis užpildytas stiklo švirkštas, </w:t>
      </w:r>
      <w:r w:rsidRPr="00A23D3E">
        <w:rPr>
          <w:rFonts w:ascii="Times New Roman" w:eastAsia="Calibri" w:hAnsi="Times New Roman" w:cs="Times New Roman"/>
          <w:lang w:val="es-ES"/>
        </w:rPr>
        <w:lastRenderedPageBreak/>
        <w:t>užkimštas priekiniu ir stūmoklio kamščiu (chlorobutilo guma), kuriame yra 2 ml tirpiklio, supakuotas bendrame sandariame lizdinės plokštelės dėkle, kuriame yra vienas flakono adapteris ir viena saugi injekcinė adata.</w:t>
      </w:r>
    </w:p>
    <w:p w14:paraId="30B426F7" w14:textId="77777777" w:rsidR="00A23D3E" w:rsidRPr="00A23D3E" w:rsidRDefault="00A23D3E" w:rsidP="00A23D3E">
      <w:pPr>
        <w:tabs>
          <w:tab w:val="left" w:pos="567"/>
        </w:tabs>
        <w:spacing w:after="0" w:line="240" w:lineRule="auto"/>
        <w:rPr>
          <w:rFonts w:ascii="Times New Roman" w:eastAsia="Calibri" w:hAnsi="Times New Roman" w:cs="Times New Roman"/>
          <w:lang w:val="es-ES"/>
        </w:rPr>
      </w:pPr>
    </w:p>
    <w:p w14:paraId="0A47A19C" w14:textId="77777777" w:rsidR="00A23D3E" w:rsidRPr="00A23D3E" w:rsidRDefault="00A23D3E" w:rsidP="00A23D3E">
      <w:pPr>
        <w:tabs>
          <w:tab w:val="left" w:pos="567"/>
        </w:tabs>
        <w:spacing w:after="0" w:line="240" w:lineRule="auto"/>
        <w:rPr>
          <w:rFonts w:ascii="Times New Roman" w:eastAsia="Calibri" w:hAnsi="Times New Roman" w:cs="Times New Roman"/>
          <w:lang w:val="it-IT"/>
        </w:rPr>
      </w:pPr>
      <w:r w:rsidRPr="00A23D3E">
        <w:rPr>
          <w:rFonts w:ascii="Times New Roman" w:eastAsia="Calibri" w:hAnsi="Times New Roman" w:cs="Times New Roman"/>
          <w:lang w:val="it-IT"/>
        </w:rPr>
        <w:t>Gali būti tiekiamos ne visų stiprumų ir dydžių pakuotės.</w:t>
      </w:r>
    </w:p>
    <w:p w14:paraId="790F82E8"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u w:val="single"/>
          <w:lang w:val="it-IT"/>
        </w:rPr>
      </w:pPr>
    </w:p>
    <w:p w14:paraId="631E090C"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b/>
          <w:lang w:val="es-ES"/>
        </w:rPr>
      </w:pPr>
      <w:r w:rsidRPr="00A23D3E">
        <w:rPr>
          <w:rFonts w:ascii="Times New Roman" w:eastAsia="Calibri" w:hAnsi="Times New Roman" w:cs="Times New Roman"/>
          <w:b/>
          <w:lang w:val="es-ES"/>
        </w:rPr>
        <w:t>Registruotojas</w:t>
      </w:r>
    </w:p>
    <w:p w14:paraId="124DFA7D"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SIA Novartis Baltics</w:t>
      </w:r>
    </w:p>
    <w:p w14:paraId="7FD1E698" w14:textId="70203C3A" w:rsidR="002B040E" w:rsidRPr="00A23D3E" w:rsidRDefault="002B040E" w:rsidP="00A23D3E">
      <w:pPr>
        <w:tabs>
          <w:tab w:val="left" w:pos="567"/>
        </w:tabs>
        <w:spacing w:after="0" w:line="240" w:lineRule="auto"/>
        <w:ind w:left="567" w:hanging="567"/>
        <w:rPr>
          <w:rFonts w:ascii="Times New Roman" w:eastAsia="Times New Roman" w:hAnsi="Times New Roman" w:cs="Times New Roman"/>
          <w:lang w:val="es-ES"/>
        </w:rPr>
      </w:pPr>
      <w:r w:rsidRPr="002B040E">
        <w:rPr>
          <w:rFonts w:ascii="Times New Roman" w:eastAsia="Times New Roman" w:hAnsi="Times New Roman" w:cs="Times New Roman"/>
          <w:lang w:val="es-ES"/>
        </w:rPr>
        <w:t>Skanstes iela 25</w:t>
      </w:r>
    </w:p>
    <w:p w14:paraId="15D0409D" w14:textId="78629F0C"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LV</w:t>
      </w:r>
      <w:r w:rsidRPr="00A23D3E">
        <w:rPr>
          <w:rFonts w:ascii="Times New Roman" w:eastAsia="Times New Roman" w:hAnsi="Times New Roman" w:cs="Times New Roman"/>
          <w:lang w:val="es-ES"/>
        </w:rPr>
        <w:noBreakHyphen/>
      </w:r>
      <w:r w:rsidR="002B040E">
        <w:rPr>
          <w:rFonts w:ascii="Times New Roman" w:eastAsia="Times New Roman" w:hAnsi="Times New Roman" w:cs="Times New Roman"/>
          <w:lang w:val="es-ES"/>
        </w:rPr>
        <w:t>1013</w:t>
      </w:r>
      <w:r w:rsidRPr="00A23D3E">
        <w:rPr>
          <w:rFonts w:ascii="Times New Roman" w:eastAsia="Times New Roman" w:hAnsi="Times New Roman" w:cs="Times New Roman"/>
          <w:lang w:val="es-ES"/>
        </w:rPr>
        <w:t>, Rīga</w:t>
      </w:r>
    </w:p>
    <w:p w14:paraId="714B94F5"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lang w:val="es-ES"/>
        </w:rPr>
      </w:pPr>
      <w:r w:rsidRPr="00A23D3E">
        <w:rPr>
          <w:rFonts w:ascii="Times New Roman" w:eastAsia="Times New Roman" w:hAnsi="Times New Roman" w:cs="Times New Roman"/>
          <w:lang w:val="es-ES"/>
        </w:rPr>
        <w:t>Latvija</w:t>
      </w:r>
    </w:p>
    <w:p w14:paraId="7B9E779B"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b/>
          <w:lang w:val="es-ES"/>
        </w:rPr>
      </w:pPr>
    </w:p>
    <w:p w14:paraId="095F7836" w14:textId="77777777" w:rsidR="00A23D3E" w:rsidRPr="00A23D3E" w:rsidRDefault="00A23D3E" w:rsidP="00A23D3E">
      <w:pPr>
        <w:tabs>
          <w:tab w:val="left" w:pos="567"/>
        </w:tabs>
        <w:spacing w:after="0" w:line="240" w:lineRule="auto"/>
        <w:ind w:left="567" w:hanging="567"/>
        <w:rPr>
          <w:rFonts w:ascii="Times New Roman" w:eastAsia="Times New Roman" w:hAnsi="Times New Roman" w:cs="Times New Roman"/>
          <w:b/>
          <w:lang w:val="es-ES"/>
        </w:rPr>
      </w:pPr>
      <w:r w:rsidRPr="00A23D3E">
        <w:rPr>
          <w:rFonts w:ascii="Times New Roman" w:eastAsia="Times New Roman" w:hAnsi="Times New Roman" w:cs="Times New Roman"/>
          <w:b/>
          <w:lang w:val="es-ES"/>
        </w:rPr>
        <w:t>Gamintojas</w:t>
      </w:r>
    </w:p>
    <w:p w14:paraId="2E936FAF"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 xml:space="preserve">Novartis Pharma GmbH </w:t>
      </w:r>
    </w:p>
    <w:p w14:paraId="69304BA9"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Roonstrasse 25</w:t>
      </w:r>
    </w:p>
    <w:p w14:paraId="7CD39058"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 xml:space="preserve">90429 Nürnberg </w:t>
      </w:r>
    </w:p>
    <w:p w14:paraId="5B558D22"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Vokietija</w:t>
      </w:r>
    </w:p>
    <w:p w14:paraId="7C143348"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2E003A82"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r w:rsidRPr="00A23D3E">
        <w:rPr>
          <w:rFonts w:ascii="Times New Roman" w:eastAsia="Times New Roman" w:hAnsi="Times New Roman" w:cs="Times New Roman"/>
          <w:lang w:val="es-ES"/>
        </w:rPr>
        <w:t>arba</w:t>
      </w:r>
    </w:p>
    <w:p w14:paraId="59D14FB0" w14:textId="77777777" w:rsidR="00A23D3E" w:rsidRPr="00A23D3E" w:rsidRDefault="00A23D3E" w:rsidP="00A23D3E">
      <w:pPr>
        <w:tabs>
          <w:tab w:val="left" w:pos="567"/>
        </w:tabs>
        <w:spacing w:after="0" w:line="240" w:lineRule="auto"/>
        <w:rPr>
          <w:rFonts w:ascii="Times New Roman" w:eastAsia="Times New Roman" w:hAnsi="Times New Roman" w:cs="Times New Roman"/>
          <w:lang w:val="es-ES"/>
        </w:rPr>
      </w:pPr>
    </w:p>
    <w:p w14:paraId="4DEAF13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GmbH</w:t>
      </w:r>
    </w:p>
    <w:p w14:paraId="4933F856" w14:textId="77777777" w:rsidR="00A23D3E" w:rsidRPr="00D22CB3" w:rsidRDefault="00994B3D"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Jakov-Lind-Straße 5, Top 3.05</w:t>
      </w:r>
      <w:r w:rsidR="00A23D3E" w:rsidRPr="00D22CB3">
        <w:rPr>
          <w:rFonts w:ascii="Times New Roman" w:eastAsia="Times New Roman" w:hAnsi="Times New Roman" w:cs="Times New Roman"/>
          <w:highlight w:val="lightGray"/>
          <w:lang w:val="es-ES"/>
        </w:rPr>
        <w:t>1020 Wien</w:t>
      </w:r>
    </w:p>
    <w:p w14:paraId="69CAC7AB"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Austrija</w:t>
      </w:r>
    </w:p>
    <w:p w14:paraId="235ACF74"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6DD550EE"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2B8EB8B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1D5120DF"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NV</w:t>
      </w:r>
    </w:p>
    <w:p w14:paraId="4C66BD1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Medialaan 40 Bus 1</w:t>
      </w:r>
    </w:p>
    <w:p w14:paraId="1C6FF58B"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Vilvoorde, B-1800</w:t>
      </w:r>
    </w:p>
    <w:p w14:paraId="0E2B8A19"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Belgija</w:t>
      </w:r>
    </w:p>
    <w:p w14:paraId="4A6652B6"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527FDEA4"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0E8D2135"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573FA9BF" w14:textId="2AE435C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Healthcare A/S</w:t>
      </w:r>
    </w:p>
    <w:p w14:paraId="405FE6C5"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Edvard Thomsens Vej 14</w:t>
      </w:r>
    </w:p>
    <w:p w14:paraId="3A24DA0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København S, 2300</w:t>
      </w:r>
    </w:p>
    <w:p w14:paraId="32CC01F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Danija</w:t>
      </w:r>
    </w:p>
    <w:p w14:paraId="577399D9"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08E1FA1E"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0451408"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551E6D84" w14:textId="5FF7F7AB"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Finland Oy</w:t>
      </w:r>
    </w:p>
    <w:p w14:paraId="0B5C4F6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Metsäneidonkuja 10</w:t>
      </w:r>
    </w:p>
    <w:p w14:paraId="6F5ECBD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Espoo, FI-02130</w:t>
      </w:r>
    </w:p>
    <w:p w14:paraId="22BF553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Suomija</w:t>
      </w:r>
    </w:p>
    <w:p w14:paraId="21342154"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67EF55E6"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3BF5635"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3E5B208C" w14:textId="255EF61A"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SAS</w:t>
      </w:r>
    </w:p>
    <w:p w14:paraId="48FC66E9"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8-10 rue Henri Sainte-Claire Deville</w:t>
      </w:r>
    </w:p>
    <w:p w14:paraId="1604E07F"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92500 Rueil Malmaison</w:t>
      </w:r>
    </w:p>
    <w:p w14:paraId="54253889"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Prancūzija</w:t>
      </w:r>
    </w:p>
    <w:p w14:paraId="32F6B5C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3DA8CDF1"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0FF15BF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3960C14F" w14:textId="685EAAD4"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(HELLAS) SA</w:t>
      </w:r>
    </w:p>
    <w:p w14:paraId="4FE4B33D"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12th km National Road Athinon-Lamias</w:t>
      </w:r>
    </w:p>
    <w:p w14:paraId="13BD063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Metamorfosi Attiki, 14451</w:t>
      </w:r>
    </w:p>
    <w:p w14:paraId="55A3A09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lastRenderedPageBreak/>
        <w:t>Graikija</w:t>
      </w:r>
    </w:p>
    <w:p w14:paraId="01551821"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388B57D8"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54B5D99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5F69CFF8" w14:textId="105767CA"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Hungary Ltd.</w:t>
      </w:r>
    </w:p>
    <w:p w14:paraId="795C53ED"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Vasύt u.13.</w:t>
      </w:r>
    </w:p>
    <w:p w14:paraId="660CAE7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Budaörs, 2040</w:t>
      </w:r>
    </w:p>
    <w:p w14:paraId="0F8D354B"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Vengrija</w:t>
      </w:r>
    </w:p>
    <w:p w14:paraId="3742249C"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7F834E8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6B67C94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07A0E8E2" w14:textId="270E3500"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14:paraId="4312DBF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Via Provinciale Schito 131</w:t>
      </w:r>
    </w:p>
    <w:p w14:paraId="458DD04D"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80058 Torre Annunziata (NA)</w:t>
      </w:r>
    </w:p>
    <w:p w14:paraId="6C7CE29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14:paraId="0E0D21FC"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28DD6856"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50F8700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65EE8CA4"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S.p.A.</w:t>
      </w:r>
    </w:p>
    <w:p w14:paraId="3EC8E4DF" w14:textId="106542F8" w:rsidR="00E62CBE" w:rsidRPr="00E62CBE" w:rsidRDefault="00E62CBE" w:rsidP="00E62CBE">
      <w:pPr>
        <w:tabs>
          <w:tab w:val="left" w:pos="567"/>
        </w:tabs>
        <w:spacing w:after="0" w:line="240" w:lineRule="auto"/>
        <w:rPr>
          <w:rFonts w:ascii="Times New Roman" w:eastAsia="Times New Roman" w:hAnsi="Times New Roman" w:cs="Times New Roman"/>
          <w:highlight w:val="lightGray"/>
          <w:lang w:val="es-ES"/>
        </w:rPr>
      </w:pPr>
      <w:r w:rsidRPr="00E62CBE">
        <w:rPr>
          <w:rFonts w:ascii="Times New Roman" w:eastAsia="Times New Roman" w:hAnsi="Times New Roman" w:cs="Times New Roman"/>
          <w:highlight w:val="lightGray"/>
          <w:lang w:val="es-ES"/>
        </w:rPr>
        <w:t>Viale Luigi Sturzo 43</w:t>
      </w:r>
    </w:p>
    <w:p w14:paraId="3C0120A5" w14:textId="77777777" w:rsidR="00E62CBE" w:rsidRPr="004E2135" w:rsidRDefault="00E62CBE" w:rsidP="00E62CBE">
      <w:pPr>
        <w:tabs>
          <w:tab w:val="left" w:pos="567"/>
        </w:tabs>
        <w:spacing w:after="0" w:line="240" w:lineRule="auto"/>
        <w:rPr>
          <w:rFonts w:ascii="Times New Roman" w:hAnsi="Times New Roman"/>
          <w:lang w:val="es-ES"/>
        </w:rPr>
      </w:pPr>
      <w:r w:rsidRPr="00E62CBE">
        <w:rPr>
          <w:rFonts w:ascii="Times New Roman" w:eastAsia="Times New Roman" w:hAnsi="Times New Roman" w:cs="Times New Roman"/>
          <w:highlight w:val="lightGray"/>
          <w:lang w:val="es-ES"/>
        </w:rPr>
        <w:t>20154 - Milan (MI)</w:t>
      </w:r>
    </w:p>
    <w:p w14:paraId="17580128"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Italija</w:t>
      </w:r>
    </w:p>
    <w:p w14:paraId="7A59EA5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668015EC"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5AD5E49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5AAE3C61" w14:textId="60C499D1"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Farma – Produtos Farmacêuticos, S.A.</w:t>
      </w:r>
    </w:p>
    <w:p w14:paraId="694F4DCC"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Avenida Professor Doutor Cavaco</w:t>
      </w:r>
    </w:p>
    <w:p w14:paraId="22686EE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Silva, n.10E,Taguspark</w:t>
      </w:r>
    </w:p>
    <w:p w14:paraId="1B73DEC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Porto Salvo, 2740-255</w:t>
      </w:r>
    </w:p>
    <w:p w14:paraId="47353A2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Portugalija</w:t>
      </w:r>
    </w:p>
    <w:p w14:paraId="6003B75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099C622A"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4F6EA08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62112884" w14:textId="15F7B336"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Poland Sp. z o.o.</w:t>
      </w:r>
    </w:p>
    <w:p w14:paraId="474C491D"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15 Marynarska Street</w:t>
      </w:r>
    </w:p>
    <w:p w14:paraId="549DAC5C"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02-674 Warsaw</w:t>
      </w:r>
    </w:p>
    <w:p w14:paraId="3FEA228F"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Lenkija</w:t>
      </w:r>
    </w:p>
    <w:p w14:paraId="143C995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73D2C2AA" w14:textId="77777777" w:rsidR="00A23D3E" w:rsidRPr="00B63A2D" w:rsidRDefault="00A23D3E" w:rsidP="00A23D3E">
      <w:pPr>
        <w:tabs>
          <w:tab w:val="left" w:pos="567"/>
        </w:tabs>
        <w:spacing w:after="0" w:line="240" w:lineRule="auto"/>
        <w:rPr>
          <w:rFonts w:ascii="Times New Roman" w:hAnsi="Times New Roman"/>
          <w:lang w:val="es-ES"/>
        </w:rPr>
      </w:pPr>
      <w:r w:rsidRPr="00D22CB3">
        <w:rPr>
          <w:rFonts w:ascii="Times New Roman" w:eastAsia="Times New Roman" w:hAnsi="Times New Roman" w:cs="Times New Roman"/>
          <w:highlight w:val="lightGray"/>
          <w:lang w:val="es-ES"/>
        </w:rPr>
        <w:t>arba</w:t>
      </w:r>
    </w:p>
    <w:p w14:paraId="7782F8D4" w14:textId="77777777" w:rsidR="00A23D3E" w:rsidRPr="00B63A2D" w:rsidRDefault="00A23D3E" w:rsidP="00A23D3E">
      <w:pPr>
        <w:tabs>
          <w:tab w:val="left" w:pos="567"/>
        </w:tabs>
        <w:spacing w:after="0" w:line="240" w:lineRule="auto"/>
        <w:rPr>
          <w:rFonts w:ascii="Times New Roman" w:hAnsi="Times New Roman"/>
          <w:lang w:val="es-ES"/>
        </w:rPr>
      </w:pPr>
    </w:p>
    <w:p w14:paraId="7690CDA1" w14:textId="27CBCA8E" w:rsidR="00A23D3E" w:rsidRPr="00B63A2D" w:rsidRDefault="00A23D3E" w:rsidP="00A23D3E">
      <w:pPr>
        <w:tabs>
          <w:tab w:val="left" w:pos="567"/>
        </w:tabs>
        <w:spacing w:after="0" w:line="240" w:lineRule="auto"/>
        <w:rPr>
          <w:rFonts w:ascii="Times New Roman" w:hAnsi="Times New Roman"/>
          <w:lang w:val="es-ES"/>
        </w:rPr>
      </w:pPr>
      <w:r w:rsidRPr="00B63A2D">
        <w:rPr>
          <w:rFonts w:ascii="Times New Roman" w:hAnsi="Times New Roman"/>
          <w:lang w:val="es-ES"/>
        </w:rPr>
        <w:t xml:space="preserve">Novartis </w:t>
      </w:r>
      <w:r w:rsidRPr="00A23D3E">
        <w:rPr>
          <w:rFonts w:ascii="Times New Roman" w:eastAsia="Times New Roman" w:hAnsi="Times New Roman" w:cs="Times New Roman"/>
          <w:lang w:val="es-ES"/>
        </w:rPr>
        <w:t>Farmacéutica S</w:t>
      </w:r>
      <w:r w:rsidR="005D1D75">
        <w:rPr>
          <w:rFonts w:ascii="Times New Roman" w:eastAsia="Times New Roman" w:hAnsi="Times New Roman" w:cs="Times New Roman"/>
          <w:lang w:val="es-ES"/>
        </w:rPr>
        <w:t>.</w:t>
      </w:r>
      <w:r w:rsidRPr="00A23D3E">
        <w:rPr>
          <w:rFonts w:ascii="Times New Roman" w:eastAsia="Times New Roman" w:hAnsi="Times New Roman" w:cs="Times New Roman"/>
          <w:lang w:val="es-ES"/>
        </w:rPr>
        <w:t>A</w:t>
      </w:r>
      <w:r w:rsidR="005D1D75" w:rsidRPr="00B63A2D">
        <w:rPr>
          <w:rFonts w:ascii="Times New Roman" w:hAnsi="Times New Roman"/>
          <w:lang w:val="es-ES"/>
        </w:rPr>
        <w:t>.</w:t>
      </w:r>
    </w:p>
    <w:p w14:paraId="2C2D99FE" w14:textId="4C65B029" w:rsidR="002826F9" w:rsidRPr="005D1D75" w:rsidRDefault="002826F9" w:rsidP="002826F9">
      <w:pPr>
        <w:tabs>
          <w:tab w:val="left" w:pos="567"/>
        </w:tabs>
        <w:spacing w:after="0" w:line="240" w:lineRule="auto"/>
        <w:rPr>
          <w:rFonts w:ascii="Times New Roman" w:eastAsia="Times New Roman" w:hAnsi="Times New Roman" w:cs="Times New Roman"/>
          <w:lang w:val="en-US"/>
        </w:rPr>
      </w:pPr>
      <w:r w:rsidRPr="005D1D75">
        <w:rPr>
          <w:rFonts w:ascii="Times New Roman" w:eastAsia="Times New Roman" w:hAnsi="Times New Roman" w:cs="Times New Roman"/>
          <w:lang w:val="en-US"/>
        </w:rPr>
        <w:t>Gran Via de les Corts Catalanes, 764</w:t>
      </w:r>
    </w:p>
    <w:p w14:paraId="477E2EE9" w14:textId="7423F147" w:rsidR="00A23D3E" w:rsidRPr="00A23D3E" w:rsidRDefault="002826F9" w:rsidP="00A23D3E">
      <w:pPr>
        <w:tabs>
          <w:tab w:val="left" w:pos="567"/>
        </w:tabs>
        <w:spacing w:after="0" w:line="240" w:lineRule="auto"/>
        <w:rPr>
          <w:rFonts w:ascii="Times New Roman" w:eastAsia="Times New Roman" w:hAnsi="Times New Roman" w:cs="Times New Roman"/>
          <w:lang w:val="es-ES"/>
        </w:rPr>
      </w:pPr>
      <w:r w:rsidRPr="005D1D75">
        <w:rPr>
          <w:rFonts w:ascii="Times New Roman" w:eastAsia="Times New Roman" w:hAnsi="Times New Roman" w:cs="Times New Roman"/>
          <w:lang w:val="en-US"/>
        </w:rPr>
        <w:t>08013</w:t>
      </w:r>
      <w:r w:rsidRPr="00D22CB3">
        <w:rPr>
          <w:rFonts w:ascii="Times New Roman" w:hAnsi="Times New Roman"/>
          <w:lang w:val="en-US"/>
        </w:rPr>
        <w:t xml:space="preserve"> Barcelona</w:t>
      </w:r>
      <w:r w:rsidRPr="005D1D75">
        <w:rPr>
          <w:rFonts w:ascii="Times New Roman" w:eastAsia="Times New Roman" w:hAnsi="Times New Roman" w:cs="Times New Roman"/>
          <w:lang w:val="en-US"/>
        </w:rPr>
        <w:br/>
      </w:r>
      <w:r w:rsidR="00A23D3E" w:rsidRPr="00A23D3E">
        <w:rPr>
          <w:rFonts w:ascii="Times New Roman" w:eastAsia="Times New Roman" w:hAnsi="Times New Roman" w:cs="Times New Roman"/>
          <w:lang w:val="es-ES"/>
        </w:rPr>
        <w:t>Ispanija</w:t>
      </w:r>
    </w:p>
    <w:p w14:paraId="4EDA6C9F" w14:textId="77777777" w:rsidR="00A23D3E" w:rsidRPr="00B63A2D" w:rsidRDefault="00A23D3E" w:rsidP="00A23D3E">
      <w:pPr>
        <w:tabs>
          <w:tab w:val="left" w:pos="567"/>
        </w:tabs>
        <w:spacing w:after="0" w:line="240" w:lineRule="auto"/>
        <w:rPr>
          <w:rFonts w:ascii="Times New Roman" w:hAnsi="Times New Roman"/>
          <w:lang w:val="es-ES"/>
        </w:rPr>
      </w:pPr>
    </w:p>
    <w:p w14:paraId="2C85F0A5" w14:textId="77777777" w:rsidR="00A23D3E" w:rsidRPr="00B63A2D" w:rsidRDefault="00A23D3E" w:rsidP="00A23D3E">
      <w:pPr>
        <w:tabs>
          <w:tab w:val="left" w:pos="567"/>
        </w:tabs>
        <w:spacing w:after="0" w:line="240" w:lineRule="auto"/>
        <w:rPr>
          <w:rFonts w:ascii="Times New Roman" w:hAnsi="Times New Roman"/>
          <w:highlight w:val="lightGray"/>
          <w:lang w:val="es-ES"/>
        </w:rPr>
      </w:pPr>
      <w:r w:rsidRPr="00D22CB3">
        <w:rPr>
          <w:rFonts w:ascii="Times New Roman" w:eastAsia="Times New Roman" w:hAnsi="Times New Roman" w:cs="Times New Roman"/>
          <w:highlight w:val="lightGray"/>
          <w:lang w:val="es-ES"/>
        </w:rPr>
        <w:t>arba</w:t>
      </w:r>
    </w:p>
    <w:p w14:paraId="296DBE76" w14:textId="77777777" w:rsidR="00A23D3E" w:rsidRPr="00B63A2D" w:rsidRDefault="00A23D3E" w:rsidP="00A23D3E">
      <w:pPr>
        <w:tabs>
          <w:tab w:val="left" w:pos="567"/>
        </w:tabs>
        <w:spacing w:after="0" w:line="240" w:lineRule="auto"/>
        <w:rPr>
          <w:rFonts w:ascii="Times New Roman" w:hAnsi="Times New Roman"/>
          <w:highlight w:val="lightGray"/>
          <w:lang w:val="es-ES"/>
        </w:rPr>
      </w:pPr>
    </w:p>
    <w:p w14:paraId="72308A82" w14:textId="5754A0EF" w:rsidR="00A23D3E" w:rsidRPr="00B63A2D" w:rsidRDefault="00A23D3E" w:rsidP="00A23D3E">
      <w:pPr>
        <w:tabs>
          <w:tab w:val="left" w:pos="567"/>
        </w:tabs>
        <w:spacing w:after="0" w:line="240" w:lineRule="auto"/>
        <w:rPr>
          <w:rFonts w:ascii="Times New Roman" w:hAnsi="Times New Roman"/>
          <w:highlight w:val="lightGray"/>
          <w:lang w:val="es-ES"/>
        </w:rPr>
      </w:pPr>
      <w:r w:rsidRPr="00B63A2D">
        <w:rPr>
          <w:rFonts w:ascii="Times New Roman" w:hAnsi="Times New Roman"/>
          <w:highlight w:val="lightGray"/>
          <w:lang w:val="es-ES"/>
        </w:rPr>
        <w:t xml:space="preserve">Novartis </w:t>
      </w:r>
      <w:r w:rsidRPr="00D22CB3">
        <w:rPr>
          <w:rFonts w:ascii="Times New Roman" w:eastAsia="Times New Roman" w:hAnsi="Times New Roman" w:cs="Times New Roman"/>
          <w:highlight w:val="lightGray"/>
          <w:lang w:val="es-ES"/>
        </w:rPr>
        <w:t>Sverige AB</w:t>
      </w:r>
    </w:p>
    <w:p w14:paraId="4B3E8EAB"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 xml:space="preserve">Torshamnsgatan 48 </w:t>
      </w:r>
    </w:p>
    <w:p w14:paraId="39F4104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164 40 Kista</w:t>
      </w:r>
    </w:p>
    <w:p w14:paraId="6320A185"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Švedija</w:t>
      </w:r>
    </w:p>
    <w:p w14:paraId="75E15A95" w14:textId="77777777" w:rsidR="00A23D3E" w:rsidRPr="00B63A2D" w:rsidRDefault="00A23D3E" w:rsidP="00A23D3E">
      <w:pPr>
        <w:tabs>
          <w:tab w:val="left" w:pos="567"/>
        </w:tabs>
        <w:spacing w:after="0" w:line="240" w:lineRule="auto"/>
        <w:rPr>
          <w:rFonts w:ascii="Times New Roman" w:hAnsi="Times New Roman"/>
          <w:highlight w:val="lightGray"/>
          <w:lang w:val="es-ES"/>
        </w:rPr>
      </w:pPr>
    </w:p>
    <w:p w14:paraId="615CFC37"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arba</w:t>
      </w:r>
    </w:p>
    <w:p w14:paraId="4744AE02"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p>
    <w:p w14:paraId="30D46F60"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Novartis Pharma B.V.</w:t>
      </w:r>
    </w:p>
    <w:p w14:paraId="60C177E3"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Haaksbergweg 16</w:t>
      </w:r>
    </w:p>
    <w:p w14:paraId="79211A46"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t>1101 BX Amsterdam</w:t>
      </w:r>
    </w:p>
    <w:p w14:paraId="05F9F555" w14:textId="77777777" w:rsidR="00A23D3E" w:rsidRPr="00D22CB3" w:rsidRDefault="00A23D3E" w:rsidP="00A23D3E">
      <w:pPr>
        <w:tabs>
          <w:tab w:val="left" w:pos="567"/>
        </w:tabs>
        <w:spacing w:after="0" w:line="240" w:lineRule="auto"/>
        <w:rPr>
          <w:rFonts w:ascii="Times New Roman" w:eastAsia="Times New Roman" w:hAnsi="Times New Roman" w:cs="Times New Roman"/>
          <w:highlight w:val="lightGray"/>
          <w:lang w:val="es-ES"/>
        </w:rPr>
      </w:pPr>
      <w:r w:rsidRPr="00D22CB3">
        <w:rPr>
          <w:rFonts w:ascii="Times New Roman" w:eastAsia="Times New Roman" w:hAnsi="Times New Roman" w:cs="Times New Roman"/>
          <w:highlight w:val="lightGray"/>
          <w:lang w:val="es-ES"/>
        </w:rPr>
        <w:lastRenderedPageBreak/>
        <w:t>Nyderlandai</w:t>
      </w:r>
    </w:p>
    <w:p w14:paraId="67D59230" w14:textId="77777777" w:rsidR="00007488" w:rsidRPr="00A23D3E" w:rsidRDefault="00007488" w:rsidP="00A23D3E">
      <w:pPr>
        <w:tabs>
          <w:tab w:val="left" w:pos="567"/>
        </w:tabs>
        <w:spacing w:after="0" w:line="240" w:lineRule="auto"/>
        <w:rPr>
          <w:rFonts w:ascii="Times New Roman" w:eastAsia="Times New Roman" w:hAnsi="Times New Roman" w:cs="Times New Roman"/>
          <w:noProof/>
          <w:lang w:val="de-DE" w:eastAsia="x-none"/>
        </w:rPr>
      </w:pPr>
    </w:p>
    <w:p w14:paraId="07563B7E" w14:textId="77777777" w:rsidR="00A23D3E" w:rsidRPr="00A23D3E" w:rsidRDefault="00A23D3E" w:rsidP="00A23D3E">
      <w:pPr>
        <w:tabs>
          <w:tab w:val="left" w:pos="567"/>
        </w:tabs>
        <w:spacing w:after="0" w:line="240" w:lineRule="auto"/>
        <w:rPr>
          <w:rFonts w:ascii="Times New Roman" w:eastAsia="Times New Roman" w:hAnsi="Times New Roman" w:cs="Times New Roman"/>
          <w:noProof/>
          <w:lang w:val="de-DE" w:eastAsia="x-none"/>
        </w:rPr>
      </w:pPr>
      <w:r w:rsidRPr="00A23D3E">
        <w:rPr>
          <w:rFonts w:ascii="Times New Roman" w:eastAsia="Times New Roman" w:hAnsi="Times New Roman" w:cs="Times New Roman"/>
          <w:noProof/>
          <w:lang w:val="de-DE" w:eastAsia="x-none"/>
        </w:rPr>
        <w:t>Jeigu apie šį vaistą norite sužinoti daugiau, kreipkitės į vietinį registruotojo atstovą.</w:t>
      </w:r>
    </w:p>
    <w:p w14:paraId="12351483" w14:textId="77777777" w:rsidR="00A23D3E" w:rsidRPr="00A23D3E" w:rsidRDefault="00A23D3E" w:rsidP="00A23D3E">
      <w:pPr>
        <w:tabs>
          <w:tab w:val="left" w:pos="567"/>
        </w:tabs>
        <w:spacing w:after="0" w:line="240" w:lineRule="auto"/>
        <w:rPr>
          <w:rFonts w:ascii="Times New Roman" w:eastAsia="Times New Roman" w:hAnsi="Times New Roman" w:cs="Times New Roman"/>
          <w:lang w:val="de-DE"/>
        </w:rPr>
      </w:pPr>
    </w:p>
    <w:p w14:paraId="1960A0DC" w14:textId="77777777" w:rsidR="00A23D3E" w:rsidRPr="00A23D3E" w:rsidRDefault="00A23D3E" w:rsidP="00A23D3E">
      <w:pPr>
        <w:spacing w:after="0" w:line="240" w:lineRule="auto"/>
        <w:rPr>
          <w:rFonts w:ascii="Times New Roman" w:eastAsia="Calibri" w:hAnsi="Times New Roman" w:cs="Times New Roman"/>
        </w:rPr>
      </w:pPr>
      <w:r w:rsidRPr="00A23D3E">
        <w:rPr>
          <w:rFonts w:ascii="Times New Roman" w:eastAsia="Calibri" w:hAnsi="Times New Roman" w:cs="Times New Roman"/>
        </w:rPr>
        <w:t xml:space="preserve">SIA </w:t>
      </w:r>
      <w:r w:rsidRPr="00A23D3E">
        <w:rPr>
          <w:rFonts w:ascii="Times New Roman" w:eastAsia="Calibri" w:hAnsi="Times New Roman" w:cs="Times New Roman"/>
          <w:lang w:val="et-EE"/>
        </w:rPr>
        <w:t>Novartis Baltics</w:t>
      </w:r>
      <w:r w:rsidRPr="00A23D3E">
        <w:rPr>
          <w:rFonts w:ascii="Times New Roman" w:eastAsia="Calibri" w:hAnsi="Times New Roman" w:cs="Times New Roman"/>
        </w:rPr>
        <w:t xml:space="preserve"> Lietuvos filialas</w:t>
      </w:r>
    </w:p>
    <w:p w14:paraId="2B07E566" w14:textId="02C4740B" w:rsidR="00A23D3E" w:rsidRPr="00E157A8" w:rsidRDefault="00A23D3E" w:rsidP="00A23D3E">
      <w:pPr>
        <w:tabs>
          <w:tab w:val="left" w:pos="567"/>
        </w:tabs>
        <w:spacing w:after="0" w:line="240" w:lineRule="auto"/>
        <w:jc w:val="both"/>
        <w:rPr>
          <w:rFonts w:ascii="Times New Roman" w:hAnsi="Times New Roman"/>
        </w:rPr>
      </w:pPr>
      <w:r w:rsidRPr="00A23D3E">
        <w:rPr>
          <w:rFonts w:ascii="Times New Roman" w:eastAsia="Times New Roman" w:hAnsi="Times New Roman" w:cs="Times New Roman"/>
          <w:lang w:val="fr-FR"/>
        </w:rPr>
        <w:t>Upės g. 19</w:t>
      </w:r>
      <w:r w:rsidR="00AA274C">
        <w:rPr>
          <w:rFonts w:ascii="Times New Roman" w:eastAsia="Times New Roman" w:hAnsi="Times New Roman" w:cs="Times New Roman"/>
          <w:lang w:val="en-US"/>
        </w:rPr>
        <w:t>-1</w:t>
      </w:r>
    </w:p>
    <w:p w14:paraId="68F84CD9" w14:textId="77777777" w:rsidR="00A23D3E" w:rsidRPr="00A23D3E" w:rsidRDefault="00A23D3E" w:rsidP="00A23D3E">
      <w:pPr>
        <w:tabs>
          <w:tab w:val="left" w:pos="567"/>
        </w:tabs>
        <w:spacing w:after="0" w:line="240" w:lineRule="auto"/>
        <w:jc w:val="both"/>
        <w:rPr>
          <w:rFonts w:ascii="Times New Roman" w:eastAsia="Times New Roman" w:hAnsi="Times New Roman" w:cs="Times New Roman"/>
          <w:lang w:val="fr-FR"/>
        </w:rPr>
      </w:pPr>
      <w:r w:rsidRPr="00A23D3E">
        <w:rPr>
          <w:rFonts w:ascii="Times New Roman" w:eastAsia="Times New Roman" w:hAnsi="Times New Roman" w:cs="Times New Roman"/>
          <w:lang w:val="fr-FR"/>
        </w:rPr>
        <w:t>LT</w:t>
      </w:r>
      <w:r w:rsidRPr="00A23D3E">
        <w:rPr>
          <w:rFonts w:ascii="Times New Roman" w:eastAsia="Times New Roman" w:hAnsi="Times New Roman" w:cs="Times New Roman"/>
          <w:lang w:val="fr-FR"/>
        </w:rPr>
        <w:noBreakHyphen/>
      </w:r>
      <w:r w:rsidRPr="00A23D3E">
        <w:rPr>
          <w:rFonts w:ascii="Times New Roman" w:eastAsia="Times New Roman" w:hAnsi="Times New Roman" w:cs="Times New Roman"/>
          <w:lang w:val="en-US"/>
        </w:rPr>
        <w:t>08128</w:t>
      </w:r>
      <w:r w:rsidRPr="00A23D3E">
        <w:rPr>
          <w:rFonts w:ascii="Times New Roman" w:eastAsia="Times New Roman" w:hAnsi="Times New Roman" w:cs="Times New Roman"/>
          <w:lang w:val="fr-FR"/>
        </w:rPr>
        <w:t>, Vilnius</w:t>
      </w:r>
    </w:p>
    <w:p w14:paraId="18A91606" w14:textId="77777777" w:rsidR="00A23D3E" w:rsidRPr="00A23D3E" w:rsidRDefault="00A23D3E" w:rsidP="00A23D3E">
      <w:pPr>
        <w:tabs>
          <w:tab w:val="left" w:pos="567"/>
        </w:tabs>
        <w:spacing w:after="0" w:line="240" w:lineRule="auto"/>
        <w:jc w:val="both"/>
        <w:rPr>
          <w:rFonts w:ascii="Times New Roman" w:eastAsia="Times New Roman" w:hAnsi="Times New Roman" w:cs="Times New Roman"/>
          <w:lang w:val="fr-FR"/>
        </w:rPr>
      </w:pPr>
      <w:r w:rsidRPr="00A23D3E">
        <w:rPr>
          <w:rFonts w:ascii="Times New Roman" w:eastAsia="Times New Roman" w:hAnsi="Times New Roman" w:cs="Times New Roman"/>
          <w:lang w:val="fr-FR"/>
        </w:rPr>
        <w:t>Tel. +370 5 269 16 50</w:t>
      </w:r>
    </w:p>
    <w:p w14:paraId="29BE9AF4" w14:textId="77777777" w:rsidR="00A23D3E" w:rsidRPr="00A23D3E" w:rsidRDefault="00A23D3E" w:rsidP="00A23D3E">
      <w:pPr>
        <w:widowControl w:val="0"/>
        <w:numPr>
          <w:ilvl w:val="12"/>
          <w:numId w:val="0"/>
        </w:numPr>
        <w:spacing w:after="0" w:line="240" w:lineRule="auto"/>
        <w:ind w:right="-2"/>
        <w:rPr>
          <w:rFonts w:ascii="Times New Roman" w:eastAsia="Times New Roman" w:hAnsi="Times New Roman" w:cs="Times New Roman"/>
          <w:lang w:val="fr-FR"/>
        </w:rPr>
      </w:pPr>
    </w:p>
    <w:p w14:paraId="104B5404" w14:textId="514DB2E5" w:rsidR="00A23D3E" w:rsidRPr="00A23D3E" w:rsidRDefault="00A23D3E" w:rsidP="00A23D3E">
      <w:pPr>
        <w:widowControl w:val="0"/>
        <w:spacing w:after="0" w:line="240" w:lineRule="auto"/>
        <w:rPr>
          <w:rFonts w:ascii="Times New Roman" w:eastAsia="Calibri" w:hAnsi="Times New Roman" w:cs="Times New Roman"/>
          <w:b/>
          <w:lang w:val="fr-FR"/>
        </w:rPr>
      </w:pPr>
      <w:r w:rsidRPr="00A23D3E">
        <w:rPr>
          <w:rFonts w:ascii="Times New Roman" w:eastAsia="Calibri" w:hAnsi="Times New Roman" w:cs="Times New Roman"/>
          <w:b/>
          <w:lang w:val="fr-FR"/>
        </w:rPr>
        <w:t>Šis vaistas EEE valstybėse narėse</w:t>
      </w:r>
      <w:r w:rsidR="00D41736">
        <w:rPr>
          <w:rFonts w:ascii="Times New Roman" w:eastAsia="Calibri" w:hAnsi="Times New Roman" w:cs="Times New Roman"/>
          <w:b/>
          <w:lang w:val="fr-FR"/>
        </w:rPr>
        <w:t xml:space="preserve"> </w:t>
      </w:r>
      <w:r w:rsidRPr="00A23D3E">
        <w:rPr>
          <w:rFonts w:ascii="Times New Roman" w:eastAsia="Calibri" w:hAnsi="Times New Roman" w:cs="Times New Roman"/>
          <w:b/>
          <w:lang w:val="fr-FR"/>
        </w:rPr>
        <w:t>registruotas tokiais pavadinimais:</w:t>
      </w:r>
    </w:p>
    <w:p w14:paraId="34E2DAF8" w14:textId="77777777" w:rsidR="00A23D3E" w:rsidRPr="00A23D3E" w:rsidRDefault="00A23D3E" w:rsidP="00A23D3E">
      <w:pPr>
        <w:widowControl w:val="0"/>
        <w:spacing w:after="0" w:line="240" w:lineRule="auto"/>
        <w:rPr>
          <w:rFonts w:ascii="Times New Roman" w:eastAsia="Calibri" w:hAnsi="Times New Roman" w:cs="Times New Roman"/>
          <w:b/>
          <w:lang w:val="fr-FR"/>
        </w:rPr>
      </w:pPr>
    </w:p>
    <w:tbl>
      <w:tblPr>
        <w:tblW w:w="0" w:type="auto"/>
        <w:tblLook w:val="01E0" w:firstRow="1" w:lastRow="1" w:firstColumn="1" w:lastColumn="1" w:noHBand="0" w:noVBand="0"/>
      </w:tblPr>
      <w:tblGrid>
        <w:gridCol w:w="6321"/>
        <w:gridCol w:w="2750"/>
      </w:tblGrid>
      <w:tr w:rsidR="00A23D3E" w:rsidRPr="00A23D3E" w14:paraId="27F13B7F" w14:textId="77777777" w:rsidTr="00C931EA">
        <w:tc>
          <w:tcPr>
            <w:tcW w:w="6487" w:type="dxa"/>
          </w:tcPr>
          <w:p w14:paraId="7DF73ACD" w14:textId="6C633C68" w:rsidR="00A23D3E" w:rsidRPr="00D22CB3" w:rsidRDefault="00A23D3E" w:rsidP="00A23D3E">
            <w:pPr>
              <w:tabs>
                <w:tab w:val="left" w:pos="720"/>
              </w:tabs>
              <w:spacing w:after="0" w:line="240" w:lineRule="auto"/>
              <w:rPr>
                <w:rFonts w:ascii="Times New Roman" w:hAnsi="Times New Roman"/>
              </w:rPr>
            </w:pPr>
            <w:r w:rsidRPr="00A23D3E">
              <w:rPr>
                <w:rFonts w:ascii="Times New Roman" w:eastAsia="Calibri" w:hAnsi="Times New Roman" w:cs="Times New Roman"/>
                <w:lang w:val="fr-FR"/>
              </w:rPr>
              <w:t>Austrija, Bulgarija, Kroatija, Kipras, Čekija, Danija, Estija, Suomija, Vokietija, Graikija, Vengrija, Airija, Islandija, Latvija, Lietuva, Malta, Norvegija, Lenkija, Rumunija, Slovakija, Slovėnija, Ispanija, Švedija</w:t>
            </w:r>
          </w:p>
        </w:tc>
        <w:tc>
          <w:tcPr>
            <w:tcW w:w="2800" w:type="dxa"/>
          </w:tcPr>
          <w:p w14:paraId="1097BB18"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color w:val="000000"/>
                <w:lang w:val="en-GB"/>
              </w:rPr>
              <w:t>Sandostatin LAR</w:t>
            </w:r>
          </w:p>
        </w:tc>
      </w:tr>
      <w:tr w:rsidR="00A23D3E" w:rsidRPr="00A23D3E" w14:paraId="4389B476" w14:textId="77777777" w:rsidTr="00C931EA">
        <w:tc>
          <w:tcPr>
            <w:tcW w:w="6487" w:type="dxa"/>
          </w:tcPr>
          <w:p w14:paraId="6C843E51"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Belgija, Liuksemburgas, Nyderlandai</w:t>
            </w:r>
          </w:p>
        </w:tc>
        <w:tc>
          <w:tcPr>
            <w:tcW w:w="2800" w:type="dxa"/>
          </w:tcPr>
          <w:p w14:paraId="285798B2"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lang w:val="en-GB"/>
              </w:rPr>
              <w:t>Sandostatine LAR</w:t>
            </w:r>
          </w:p>
        </w:tc>
      </w:tr>
      <w:tr w:rsidR="00A23D3E" w:rsidRPr="00A23D3E" w14:paraId="1B13C0F4" w14:textId="77777777" w:rsidTr="00C931EA">
        <w:tc>
          <w:tcPr>
            <w:tcW w:w="6487" w:type="dxa"/>
          </w:tcPr>
          <w:p w14:paraId="14DCFDDE"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Italija, Portugalija</w:t>
            </w:r>
          </w:p>
        </w:tc>
        <w:tc>
          <w:tcPr>
            <w:tcW w:w="2800" w:type="dxa"/>
          </w:tcPr>
          <w:p w14:paraId="7D03EFCF"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Times New Roman" w:hAnsi="Times New Roman" w:cs="Times New Roman"/>
                <w:spacing w:val="-3"/>
                <w:lang w:val="en-GB"/>
              </w:rPr>
              <w:t>Sandostatina LAR</w:t>
            </w:r>
          </w:p>
        </w:tc>
      </w:tr>
      <w:tr w:rsidR="00A23D3E" w:rsidRPr="00A23D3E" w14:paraId="63C4B1ED" w14:textId="77777777" w:rsidTr="00C931EA">
        <w:tc>
          <w:tcPr>
            <w:tcW w:w="6487" w:type="dxa"/>
          </w:tcPr>
          <w:p w14:paraId="5FDE01B8" w14:textId="77777777" w:rsidR="00A23D3E" w:rsidRPr="00A23D3E" w:rsidRDefault="00A23D3E" w:rsidP="00A23D3E">
            <w:pPr>
              <w:tabs>
                <w:tab w:val="left" w:pos="720"/>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Prancūzija</w:t>
            </w:r>
          </w:p>
        </w:tc>
        <w:tc>
          <w:tcPr>
            <w:tcW w:w="2800" w:type="dxa"/>
          </w:tcPr>
          <w:p w14:paraId="62F4C8B5" w14:textId="77777777" w:rsidR="00A23D3E" w:rsidRPr="00A23D3E" w:rsidRDefault="00A23D3E" w:rsidP="00A23D3E">
            <w:pPr>
              <w:tabs>
                <w:tab w:val="left" w:pos="720"/>
              </w:tabs>
              <w:spacing w:after="0" w:line="240" w:lineRule="auto"/>
              <w:rPr>
                <w:rFonts w:ascii="Times New Roman" w:eastAsia="Times New Roman" w:hAnsi="Times New Roman" w:cs="Times New Roman"/>
                <w:spacing w:val="-3"/>
                <w:lang w:val="en-GB"/>
              </w:rPr>
            </w:pPr>
            <w:r w:rsidRPr="00A23D3E">
              <w:rPr>
                <w:rFonts w:ascii="Times New Roman" w:eastAsia="Times New Roman" w:hAnsi="Times New Roman" w:cs="Times New Roman"/>
                <w:lang w:val="en-GB"/>
              </w:rPr>
              <w:t>Sandostatine L.P.</w:t>
            </w:r>
          </w:p>
        </w:tc>
      </w:tr>
    </w:tbl>
    <w:p w14:paraId="0BEAB9B3"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46E2D162" w14:textId="638434BB" w:rsidR="00A23D3E" w:rsidRPr="00A23D3E" w:rsidRDefault="00A23D3E" w:rsidP="00A23D3E">
      <w:pPr>
        <w:widowControl w:val="0"/>
        <w:numPr>
          <w:ilvl w:val="12"/>
          <w:numId w:val="0"/>
        </w:numPr>
        <w:spacing w:after="0" w:line="240" w:lineRule="auto"/>
        <w:ind w:right="-2"/>
        <w:outlineLvl w:val="0"/>
        <w:rPr>
          <w:rFonts w:ascii="Times New Roman" w:eastAsia="Calibri" w:hAnsi="Times New Roman" w:cs="Times New Roman"/>
          <w:b/>
          <w:lang w:val="en-US"/>
        </w:rPr>
      </w:pPr>
      <w:r w:rsidRPr="00A23D3E">
        <w:rPr>
          <w:rFonts w:ascii="Times New Roman" w:eastAsia="Calibri" w:hAnsi="Times New Roman" w:cs="Times New Roman"/>
          <w:b/>
          <w:lang w:val="en-US"/>
        </w:rPr>
        <w:t>Šis pakuotės lapelis paskutinį kartą peržiūrėtas</w:t>
      </w:r>
      <w:r w:rsidR="00450EDE">
        <w:rPr>
          <w:rFonts w:ascii="Times New Roman" w:eastAsia="Calibri" w:hAnsi="Times New Roman" w:cs="Times New Roman"/>
          <w:b/>
          <w:lang w:val="en-US"/>
        </w:rPr>
        <w:t xml:space="preserve"> 202</w:t>
      </w:r>
      <w:r w:rsidR="00E250F7">
        <w:rPr>
          <w:rFonts w:ascii="Times New Roman" w:eastAsia="Calibri" w:hAnsi="Times New Roman" w:cs="Times New Roman"/>
          <w:b/>
          <w:lang w:val="en-US"/>
        </w:rPr>
        <w:t>4-</w:t>
      </w:r>
      <w:r w:rsidR="000A570B">
        <w:rPr>
          <w:rFonts w:ascii="Times New Roman" w:eastAsia="Calibri" w:hAnsi="Times New Roman" w:cs="Times New Roman"/>
          <w:b/>
          <w:lang w:val="en-US"/>
        </w:rPr>
        <w:t>10</w:t>
      </w:r>
      <w:r w:rsidR="00E250F7">
        <w:rPr>
          <w:rFonts w:ascii="Times New Roman" w:eastAsia="Calibri" w:hAnsi="Times New Roman" w:cs="Times New Roman"/>
          <w:b/>
          <w:lang w:val="en-US"/>
        </w:rPr>
        <w:t>-</w:t>
      </w:r>
      <w:r w:rsidR="000A570B">
        <w:rPr>
          <w:rFonts w:ascii="Times New Roman" w:eastAsia="Calibri" w:hAnsi="Times New Roman" w:cs="Times New Roman"/>
          <w:b/>
          <w:lang w:val="en-US"/>
        </w:rPr>
        <w:t>09</w:t>
      </w:r>
      <w:r w:rsidR="00B36B32">
        <w:rPr>
          <w:rFonts w:ascii="Times New Roman" w:eastAsia="Calibri" w:hAnsi="Times New Roman" w:cs="Times New Roman"/>
          <w:b/>
          <w:lang w:val="en-US"/>
        </w:rPr>
        <w:t>.</w:t>
      </w:r>
    </w:p>
    <w:p w14:paraId="06876FC7" w14:textId="77777777" w:rsidR="00A23D3E" w:rsidRPr="00A23D3E" w:rsidRDefault="00A23D3E" w:rsidP="00A23D3E">
      <w:pPr>
        <w:numPr>
          <w:ilvl w:val="12"/>
          <w:numId w:val="0"/>
        </w:numPr>
        <w:tabs>
          <w:tab w:val="left" w:pos="567"/>
        </w:tabs>
        <w:spacing w:after="0" w:line="240" w:lineRule="auto"/>
        <w:ind w:right="-2"/>
        <w:rPr>
          <w:rFonts w:ascii="Times New Roman" w:eastAsia="Calibri" w:hAnsi="Times New Roman" w:cs="Times New Roman"/>
          <w:lang w:val="en-US"/>
        </w:rPr>
      </w:pPr>
    </w:p>
    <w:p w14:paraId="14D7CA3C" w14:textId="1BE2A9CA" w:rsidR="00A23D3E" w:rsidRPr="00A23D3E" w:rsidRDefault="00A23D3E" w:rsidP="00A23D3E">
      <w:pPr>
        <w:numPr>
          <w:ilvl w:val="12"/>
          <w:numId w:val="0"/>
        </w:numPr>
        <w:tabs>
          <w:tab w:val="left" w:pos="567"/>
        </w:tabs>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Išsami informacija apie šį vaistą pateikiama Valstybinės vaistų kontrolės tarnybos prie Lietuvos Respublikos sveikatos apsaugos ministerijos tinklalapyje</w:t>
      </w:r>
      <w:r w:rsidRPr="00A23D3E">
        <w:rPr>
          <w:rFonts w:ascii="Times New Roman" w:eastAsia="Calibri" w:hAnsi="Times New Roman" w:cs="Times New Roman"/>
          <w:i/>
          <w:lang w:val="en-US"/>
        </w:rPr>
        <w:t xml:space="preserve"> </w:t>
      </w:r>
      <w:r w:rsidR="00AA274C" w:rsidRPr="00AA274C">
        <w:rPr>
          <w:rFonts w:ascii="Times New Roman" w:eastAsia="Calibri" w:hAnsi="Times New Roman" w:cs="Times New Roman"/>
          <w:lang w:val="en-US"/>
        </w:rPr>
        <w:t>https://vvkt.lrv.lt/lt/.</w:t>
      </w:r>
    </w:p>
    <w:p w14:paraId="081FCA47" w14:textId="77777777" w:rsidR="00543C18" w:rsidRDefault="00543C18" w:rsidP="00A23D3E">
      <w:pPr>
        <w:widowControl w:val="0"/>
        <w:numPr>
          <w:ilvl w:val="12"/>
          <w:numId w:val="0"/>
        </w:numPr>
        <w:spacing w:after="0" w:line="240" w:lineRule="auto"/>
        <w:ind w:right="-2"/>
        <w:rPr>
          <w:rFonts w:ascii="Times New Roman" w:eastAsia="Calibri" w:hAnsi="Times New Roman" w:cs="Times New Roman"/>
          <w:lang w:val="en-US"/>
        </w:rPr>
      </w:pPr>
    </w:p>
    <w:p w14:paraId="785FA010" w14:textId="77777777" w:rsidR="00543C18" w:rsidRDefault="00543C18" w:rsidP="00A23D3E">
      <w:pPr>
        <w:widowControl w:val="0"/>
        <w:numPr>
          <w:ilvl w:val="12"/>
          <w:numId w:val="0"/>
        </w:numPr>
        <w:spacing w:after="0" w:line="240" w:lineRule="auto"/>
        <w:ind w:right="-2"/>
        <w:rPr>
          <w:rFonts w:ascii="Times New Roman" w:eastAsia="Calibri" w:hAnsi="Times New Roman" w:cs="Times New Roman"/>
          <w:lang w:val="en-US"/>
        </w:rPr>
      </w:pPr>
    </w:p>
    <w:p w14:paraId="35762854" w14:textId="469FB7EC"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r w:rsidRPr="00A23D3E">
        <w:rPr>
          <w:rFonts w:ascii="Times New Roman" w:eastAsia="Calibri" w:hAnsi="Times New Roman" w:cs="Times New Roman"/>
          <w:lang w:val="en-US"/>
        </w:rPr>
        <w:t>Toliau pateikta informacija skirta tik sveikatos priežiūros specialistams:</w:t>
      </w:r>
    </w:p>
    <w:p w14:paraId="10F5F1C4"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4648981C"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b/>
          <w:lang w:val="en-US"/>
        </w:rPr>
      </w:pPr>
      <w:r w:rsidRPr="00A23D3E">
        <w:rPr>
          <w:rFonts w:ascii="Times New Roman" w:eastAsia="Calibri" w:hAnsi="Times New Roman" w:cs="Times New Roman"/>
          <w:b/>
          <w:lang w:val="en-US"/>
        </w:rPr>
        <w:t>Kokią Sandostatin LAR dozę vartoti</w:t>
      </w:r>
    </w:p>
    <w:p w14:paraId="6A0054F1" w14:textId="77777777" w:rsidR="00A23D3E" w:rsidRPr="00A23D3E" w:rsidRDefault="00A23D3E" w:rsidP="00A23D3E">
      <w:pPr>
        <w:widowControl w:val="0"/>
        <w:numPr>
          <w:ilvl w:val="12"/>
          <w:numId w:val="0"/>
        </w:numPr>
        <w:spacing w:after="0" w:line="240" w:lineRule="auto"/>
        <w:ind w:right="-2"/>
        <w:rPr>
          <w:rFonts w:ascii="Times New Roman" w:eastAsia="Calibri" w:hAnsi="Times New Roman" w:cs="Times New Roman"/>
          <w:lang w:val="en-US"/>
        </w:rPr>
      </w:pPr>
    </w:p>
    <w:p w14:paraId="29C79B89" w14:textId="77777777" w:rsidR="00A23D3E" w:rsidRPr="00A23D3E" w:rsidRDefault="00A23D3E" w:rsidP="00A23D3E">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Akromegalija</w:t>
      </w:r>
    </w:p>
    <w:p w14:paraId="69A6A584"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gydymą pradėti iš pradžių skiriant po 20 mg Sandostatin LAR kas 4 savaites 3 mėnesius. Pacientams, kurie gydomi po oda leidžiamu Sandostatin, gydymą Sandostatin LAR galima pradėti kitą dieną po paskutiniosios Sandostatin injekcijos po oda. Toliau vaistinio preparato dozės turi būti nustatomos remiantis augimo hormono (AH) ir į insuliną panašaus augimo faktoriaus</w:t>
      </w:r>
      <w:r w:rsidRPr="00A23D3E">
        <w:rPr>
          <w:rFonts w:ascii="Times New Roman" w:eastAsia="Calibri" w:hAnsi="Times New Roman" w:cs="Times New Roman"/>
          <w:lang w:val="en-US"/>
        </w:rPr>
        <w:noBreakHyphen/>
        <w:t>1/somatomedino C (IAF</w:t>
      </w:r>
      <w:r w:rsidRPr="00A23D3E">
        <w:rPr>
          <w:rFonts w:ascii="Times New Roman" w:eastAsia="Calibri" w:hAnsi="Times New Roman" w:cs="Times New Roman"/>
          <w:lang w:val="en-US"/>
        </w:rPr>
        <w:noBreakHyphen/>
        <w:t>1) koncentracijomis serume bei klinikiniais simptomais.</w:t>
      </w:r>
    </w:p>
    <w:p w14:paraId="3928B57C"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69C72B8A"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 per pirmuosius tris mėnesius klinikiniai simptomai ir biocheminiai rodikliai (AH, IAF</w:t>
      </w:r>
      <w:r w:rsidRPr="00A23D3E">
        <w:rPr>
          <w:rFonts w:ascii="Times New Roman" w:eastAsia="Calibri" w:hAnsi="Times New Roman" w:cs="Times New Roman"/>
          <w:lang w:val="en-US"/>
        </w:rPr>
        <w:noBreakHyphen/>
        <w:t>1) nėra visiškai kontroliuojami (AH koncentracija viršija 2,5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n-US"/>
        </w:rPr>
        <w:t>g/l), pacientams dozę galima didinti iki po 30 mg kas 4 savaites. Jeigu gydant 30 mg doze po 3 mėnesių AH, IAF</w:t>
      </w:r>
      <w:r w:rsidRPr="00A23D3E">
        <w:rPr>
          <w:rFonts w:ascii="Times New Roman" w:eastAsia="Calibri" w:hAnsi="Times New Roman" w:cs="Times New Roman"/>
          <w:lang w:val="en-US"/>
        </w:rPr>
        <w:noBreakHyphen/>
        <w:t>1 ir (arba) simptomai yra nepakankamai kontroliuojami, dozę galima didinti iki po 40 mg kas 4 savaites.</w:t>
      </w:r>
    </w:p>
    <w:p w14:paraId="18DE30A4"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1EFCBF73"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AH koncentracija yra gerokai mažesnė negu 1 </w:t>
      </w:r>
      <w:r w:rsidRPr="00A23D3E">
        <w:rPr>
          <w:rFonts w:ascii="Times New Roman" w:eastAsia="Calibri" w:hAnsi="Times New Roman" w:cs="Times New Roman"/>
          <w:lang w:val="en-US"/>
        </w:rPr>
        <w:sym w:font="Symbol" w:char="F06D"/>
      </w:r>
      <w:r w:rsidRPr="00A23D3E">
        <w:rPr>
          <w:rFonts w:ascii="Times New Roman" w:eastAsia="Calibri" w:hAnsi="Times New Roman" w:cs="Times New Roman"/>
          <w:lang w:val="en-US"/>
        </w:rPr>
        <w:t>g/l, IAF</w:t>
      </w:r>
      <w:r w:rsidRPr="00A23D3E">
        <w:rPr>
          <w:rFonts w:ascii="Times New Roman" w:eastAsia="Calibri" w:hAnsi="Times New Roman" w:cs="Times New Roman"/>
          <w:lang w:val="en-US"/>
        </w:rPr>
        <w:noBreakHyphen/>
        <w:t>1 koncentracija serume tampa normalia ir dauguma grįžtamų akromegalijos požymių ar simptomų išnyko po 3 mėnesių gydymo vartojant 20 mg dozę, galima pradėti skirti po 10 mg Sandostatin LAR dozę kas 4 savaites. Tačiau šiems pacientams skiriant mažą Sandostatin LAR dozę, rekomenduojama ypatingai atidžiai stebėti tinkamą AH ir IAF</w:t>
      </w:r>
      <w:r w:rsidRPr="00A23D3E">
        <w:rPr>
          <w:rFonts w:ascii="Times New Roman" w:eastAsia="Calibri" w:hAnsi="Times New Roman" w:cs="Times New Roman"/>
          <w:lang w:val="en-US"/>
        </w:rPr>
        <w:noBreakHyphen/>
        <w:t>1 koncentracijų serume bei klinikinius požymių ir simptomų kontrolę.</w:t>
      </w:r>
    </w:p>
    <w:p w14:paraId="6149574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55A5F09F"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Pacientams, vartojantiems pastovią Sandostatin LAR dozę, AH ir IAF</w:t>
      </w:r>
      <w:r w:rsidRPr="00A23D3E">
        <w:rPr>
          <w:rFonts w:ascii="Times New Roman" w:eastAsia="Calibri" w:hAnsi="Times New Roman" w:cs="Times New Roman"/>
          <w:lang w:val="en-US"/>
        </w:rPr>
        <w:noBreakHyphen/>
        <w:t>1 koncentracijas reikia tirti kas 6 mėnesius.</w:t>
      </w:r>
    </w:p>
    <w:p w14:paraId="5A0CD595"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396A9C75" w14:textId="77777777" w:rsidR="00A23D3E" w:rsidRPr="00A23D3E" w:rsidRDefault="00A23D3E" w:rsidP="00A23D3E">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Skrandžio, žarnyno, kasos endokrininiai augliai</w:t>
      </w:r>
    </w:p>
    <w:p w14:paraId="4A00FA7D" w14:textId="77777777" w:rsidR="00A23D3E" w:rsidRPr="00A23D3E" w:rsidRDefault="00A23D3E" w:rsidP="00A23D3E">
      <w:pPr>
        <w:keepNext/>
        <w:widowControl w:val="0"/>
        <w:spacing w:after="0" w:line="240" w:lineRule="auto"/>
        <w:rPr>
          <w:rFonts w:ascii="Times New Roman" w:eastAsia="Calibri" w:hAnsi="Times New Roman" w:cs="Times New Roman"/>
          <w:i/>
          <w:lang w:val="en-US"/>
        </w:rPr>
      </w:pPr>
    </w:p>
    <w:p w14:paraId="229659EA" w14:textId="77777777" w:rsidR="00A23D3E" w:rsidRPr="00A23D3E" w:rsidRDefault="00A23D3E" w:rsidP="00A23D3E">
      <w:pPr>
        <w:keepNext/>
        <w:widowControl w:val="0"/>
        <w:numPr>
          <w:ilvl w:val="0"/>
          <w:numId w:val="10"/>
        </w:numPr>
        <w:spacing w:after="0" w:line="240" w:lineRule="auto"/>
        <w:ind w:left="567" w:hanging="567"/>
        <w:rPr>
          <w:rFonts w:ascii="Times New Roman" w:eastAsia="Calibri" w:hAnsi="Times New Roman" w:cs="Times New Roman"/>
          <w:i/>
          <w:lang w:val="en-US"/>
        </w:rPr>
      </w:pPr>
      <w:r w:rsidRPr="00A23D3E">
        <w:rPr>
          <w:rFonts w:ascii="Times New Roman" w:eastAsia="Calibri" w:hAnsi="Times New Roman" w:cs="Times New Roman"/>
          <w:i/>
          <w:lang w:val="en-US"/>
        </w:rPr>
        <w:t>Pacientų, kuriems yra simptomų, susijusių su hormonus produkuojančiais skrandžio, žarnyno, kasos endokrininiais augliais, gydymas</w:t>
      </w:r>
    </w:p>
    <w:p w14:paraId="7D042AF0"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gydymą pradėti iš pradžių skiriant po 20 mg Sandostatin LAR kas 4 savaites. Pacientams, kurie buvo gydomi po oda leidžiamu Sandostatin, po pirmosios Sandostatin LAR injekcijos dar 2 savaites reikia vartoti ankstesnes veiksmingas Sandostatin dozes.</w:t>
      </w:r>
    </w:p>
    <w:p w14:paraId="23F03D9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52777BD5"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po 3 mėnesių gydymo klinikiniai simptomai ir biologiniai žymenys gerai kontroliuojami, Sandostatin LAR dozę galima mažinti iki po 10 mg kas 4 savaites.</w:t>
      </w:r>
    </w:p>
    <w:p w14:paraId="4CD67A23"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5B186FCC"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Jeigu pacientams po 3 mėnesių gydymo simptomai tik dalinai kontroliuojami, Sandostatin LAR dozę galima didinti iki po 30 mg kas 4 savaites.</w:t>
      </w:r>
    </w:p>
    <w:p w14:paraId="5385D234"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4FDE00B6"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 xml:space="preserve">Tomis dienomis, kai vartojant Sandostatin LAR paūmėja su skrandžio, žarnyno, kasos augliais susiję simptomai, papildomai rekomenduojama skirti tokią po oda leidžiamo Sandostatin dozę, kokia buvo vartota prieš pradedant gydyti Sandostatin LAR. Dažniausia tai gali pasireikšti pirmaisiais dviem gydymo mėnesiais, kol bus pasiekta gydomoji oktreotido koncentracija. </w:t>
      </w:r>
    </w:p>
    <w:p w14:paraId="12CE2E92" w14:textId="77777777" w:rsidR="00A23D3E" w:rsidRPr="00A23D3E" w:rsidRDefault="00A23D3E" w:rsidP="00A23D3E">
      <w:pPr>
        <w:autoSpaceDE w:val="0"/>
        <w:autoSpaceDN w:val="0"/>
        <w:adjustRightInd w:val="0"/>
        <w:spacing w:after="0" w:line="240" w:lineRule="auto"/>
        <w:rPr>
          <w:rFonts w:ascii="Times New Roman" w:eastAsia="Calibri" w:hAnsi="Times New Roman" w:cs="Times New Roman"/>
          <w:lang w:val="en-US"/>
        </w:rPr>
      </w:pPr>
    </w:p>
    <w:p w14:paraId="0ADD5276" w14:textId="77777777" w:rsidR="00A23D3E" w:rsidRPr="00A23D3E" w:rsidRDefault="00A23D3E" w:rsidP="00A23D3E">
      <w:pPr>
        <w:keepNext/>
        <w:widowControl w:val="0"/>
        <w:numPr>
          <w:ilvl w:val="0"/>
          <w:numId w:val="10"/>
        </w:numPr>
        <w:spacing w:after="0" w:line="240" w:lineRule="auto"/>
        <w:ind w:left="567" w:hanging="567"/>
        <w:rPr>
          <w:rFonts w:ascii="Times New Roman" w:eastAsia="Calibri" w:hAnsi="Times New Roman" w:cs="Times New Roman"/>
          <w:i/>
          <w:lang w:val="en-US"/>
        </w:rPr>
      </w:pPr>
      <w:r w:rsidRPr="00A23D3E">
        <w:rPr>
          <w:rFonts w:ascii="Times New Roman" w:eastAsia="Calibri" w:hAnsi="Times New Roman" w:cs="Times New Roman"/>
          <w:i/>
          <w:lang w:val="en-US"/>
        </w:rPr>
        <w:t>Pacientų, sergančių išplitusiu neuroendokrininiu virškinimo trakto augliu arba nežinomos pirminės lokalizacijos neuroendokrininiu augliu, kai buvo atmesta kita nei virškinimo trakto kilmė, gydymas</w:t>
      </w:r>
    </w:p>
    <w:p w14:paraId="67B12DEA" w14:textId="77777777" w:rsidR="00A23D3E" w:rsidRPr="00A23D3E" w:rsidRDefault="00A23D3E" w:rsidP="00A23D3E">
      <w:pPr>
        <w:tabs>
          <w:tab w:val="left" w:pos="567"/>
        </w:tabs>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Rekomenduojama Sandostatin LAR dozė yra po 30 mg kas 4 savaites. Siekiant kontroliuoti auglio simptomus, gydymą Sandostatin LAR reikia tęsti ir nesant auglio progresavimo požymių.</w:t>
      </w:r>
    </w:p>
    <w:p w14:paraId="133B5AEE" w14:textId="77777777" w:rsidR="00A23D3E" w:rsidRPr="00A23D3E" w:rsidRDefault="00A23D3E" w:rsidP="00A23D3E">
      <w:pPr>
        <w:tabs>
          <w:tab w:val="left" w:pos="567"/>
        </w:tabs>
        <w:spacing w:after="0" w:line="240" w:lineRule="auto"/>
        <w:rPr>
          <w:rFonts w:ascii="Times New Roman" w:eastAsia="Calibri" w:hAnsi="Times New Roman" w:cs="Times New Roman"/>
          <w:lang w:val="en-US"/>
        </w:rPr>
      </w:pPr>
    </w:p>
    <w:p w14:paraId="671C05AB" w14:textId="77777777" w:rsidR="00A23D3E" w:rsidRPr="00A23D3E" w:rsidRDefault="00A23D3E" w:rsidP="00A23D3E">
      <w:pPr>
        <w:keepNext/>
        <w:widowControl w:val="0"/>
        <w:spacing w:after="0" w:line="240" w:lineRule="auto"/>
        <w:rPr>
          <w:rFonts w:ascii="Times New Roman" w:eastAsia="Calibri" w:hAnsi="Times New Roman" w:cs="Times New Roman"/>
          <w:i/>
          <w:lang w:val="en-US"/>
        </w:rPr>
      </w:pPr>
      <w:r w:rsidRPr="00A23D3E">
        <w:rPr>
          <w:rFonts w:ascii="Times New Roman" w:eastAsia="Calibri" w:hAnsi="Times New Roman" w:cs="Times New Roman"/>
          <w:i/>
          <w:lang w:val="en-US"/>
        </w:rPr>
        <w:t>Pacientų, sergančių TTH sekretuojančia adenoma, gydymas</w:t>
      </w:r>
    </w:p>
    <w:p w14:paraId="39126D94" w14:textId="77777777" w:rsidR="00A23D3E" w:rsidRPr="00A23D3E" w:rsidRDefault="00A23D3E" w:rsidP="00A23D3E">
      <w:pPr>
        <w:spacing w:after="0" w:line="240" w:lineRule="auto"/>
        <w:rPr>
          <w:rFonts w:ascii="Times New Roman" w:eastAsia="Calibri" w:hAnsi="Times New Roman" w:cs="Times New Roman"/>
          <w:lang w:val="en-US"/>
        </w:rPr>
      </w:pPr>
      <w:r w:rsidRPr="00A23D3E">
        <w:rPr>
          <w:rFonts w:ascii="Times New Roman" w:eastAsia="Calibri" w:hAnsi="Times New Roman" w:cs="Times New Roman"/>
          <w:lang w:val="en-US"/>
        </w:rPr>
        <w:t>Gydymą Sandostatin LAR reikėtų pradėti skiriant po 20 mg dozę kas 4 savaites 3 mėnesius ir tik po to svarstyti dozės keitimo klausimą. Vėliau dozė koreguojama, atsižvelgiant į TTH ir skydliaukės hormonų koncentracijų pokyčius.</w:t>
      </w:r>
    </w:p>
    <w:p w14:paraId="1302954B" w14:textId="77777777" w:rsidR="00A23D3E" w:rsidRPr="00A23D3E" w:rsidRDefault="00A23D3E" w:rsidP="00A23D3E">
      <w:pPr>
        <w:spacing w:after="0" w:line="240" w:lineRule="auto"/>
        <w:rPr>
          <w:rFonts w:ascii="Times New Roman" w:eastAsia="Calibri" w:hAnsi="Times New Roman" w:cs="Times New Roman"/>
          <w:lang w:val="en-US"/>
        </w:rPr>
      </w:pPr>
    </w:p>
    <w:p w14:paraId="65261F82" w14:textId="77777777" w:rsidR="00A23D3E" w:rsidRPr="00A23D3E" w:rsidRDefault="00A23D3E" w:rsidP="00A23D3E">
      <w:pPr>
        <w:spacing w:after="0" w:line="240" w:lineRule="auto"/>
        <w:rPr>
          <w:rFonts w:ascii="Times New Roman" w:eastAsia="Calibri" w:hAnsi="Times New Roman" w:cs="Times New Roman"/>
          <w:lang w:val="en-US"/>
        </w:rPr>
      </w:pPr>
    </w:p>
    <w:p w14:paraId="0293A016" w14:textId="77777777" w:rsidR="00A23D3E" w:rsidRPr="00A23D3E" w:rsidRDefault="00A23D3E" w:rsidP="00A23D3E">
      <w:pPr>
        <w:tabs>
          <w:tab w:val="left" w:pos="567"/>
        </w:tabs>
        <w:spacing w:before="120" w:after="240" w:line="240" w:lineRule="auto"/>
        <w:jc w:val="both"/>
        <w:rPr>
          <w:rFonts w:ascii="Times New Roman" w:eastAsia="Calibri" w:hAnsi="Times New Roman" w:cs="Times New Roman"/>
          <w:b/>
          <w:lang w:val="en-US"/>
        </w:rPr>
      </w:pPr>
      <w:r w:rsidRPr="00A23D3E">
        <w:rPr>
          <w:rFonts w:ascii="Times New Roman" w:eastAsia="Calibri" w:hAnsi="Times New Roman" w:cs="Times New Roman"/>
          <w:b/>
          <w:lang w:val="en-US"/>
        </w:rPr>
        <w:t>Sandostatin LAR paruošimo ir leidimo į raumenis instrukcijos</w:t>
      </w:r>
    </w:p>
    <w:p w14:paraId="74712802" w14:textId="77777777" w:rsidR="00A23D3E" w:rsidRPr="00A23D3E" w:rsidRDefault="00A23D3E" w:rsidP="00A23D3E">
      <w:pPr>
        <w:tabs>
          <w:tab w:val="left" w:pos="567"/>
        </w:tabs>
        <w:spacing w:before="120" w:after="240" w:line="240" w:lineRule="auto"/>
        <w:jc w:val="both"/>
        <w:rPr>
          <w:rFonts w:ascii="Times New Roman" w:eastAsia="Calibri" w:hAnsi="Times New Roman" w:cs="Times New Roman"/>
          <w:lang w:val="en-US"/>
        </w:rPr>
      </w:pPr>
      <w:r w:rsidRPr="00A23D3E">
        <w:rPr>
          <w:rFonts w:ascii="Times New Roman" w:eastAsia="Calibri" w:hAnsi="Times New Roman" w:cs="Times New Roman"/>
          <w:lang w:val="en-US"/>
        </w:rPr>
        <w:t>LEISTI TIK GILIAI Į SĖDMENŲ RAUMENIS</w:t>
      </w:r>
    </w:p>
    <w:p w14:paraId="3418C187" w14:textId="77777777" w:rsidR="00A23D3E" w:rsidRPr="00A23D3E" w:rsidRDefault="00A23D3E" w:rsidP="00A23D3E">
      <w:pPr>
        <w:tabs>
          <w:tab w:val="left" w:pos="567"/>
        </w:tabs>
        <w:spacing w:before="120" w:after="240" w:line="240" w:lineRule="auto"/>
        <w:jc w:val="both"/>
        <w:rPr>
          <w:rFonts w:ascii="Times New Roman" w:eastAsia="Times New Roman" w:hAnsi="Times New Roman" w:cs="Times New Roman"/>
          <w:lang w:val="en-GB"/>
        </w:rPr>
      </w:pPr>
      <w:r w:rsidRPr="00A23D3E">
        <w:rPr>
          <w:rFonts w:ascii="Times New Roman" w:eastAsia="Times New Roman" w:hAnsi="Times New Roman" w:cs="Times New Roman"/>
          <w:lang w:val="en-GB"/>
        </w:rPr>
        <w:t>Rinkinį sudaro:</w:t>
      </w:r>
    </w:p>
    <w:p w14:paraId="34C518B5" w14:textId="77777777" w:rsidR="00A23D3E" w:rsidRPr="00A23D3E" w:rsidRDefault="00A23D3E" w:rsidP="00A23D3E">
      <w:pPr>
        <w:tabs>
          <w:tab w:val="left" w:pos="567"/>
        </w:tabs>
        <w:spacing w:before="120" w:after="24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sz w:val="24"/>
          <w:lang w:eastAsia="lt-LT"/>
        </w:rPr>
        <w:drawing>
          <wp:inline distT="0" distB="0" distL="0" distR="0" wp14:anchorId="06451825" wp14:editId="23BBFBB7">
            <wp:extent cx="5753100" cy="2019300"/>
            <wp:effectExtent l="0" t="0" r="0" b="0"/>
            <wp:docPr id="1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2019300"/>
                    </a:xfrm>
                    <a:prstGeom prst="rect">
                      <a:avLst/>
                    </a:prstGeom>
                    <a:noFill/>
                    <a:ln>
                      <a:noFill/>
                    </a:ln>
                  </pic:spPr>
                </pic:pic>
              </a:graphicData>
            </a:graphic>
          </wp:inline>
        </w:drawing>
      </w:r>
    </w:p>
    <w:tbl>
      <w:tblPr>
        <w:tblW w:w="0" w:type="auto"/>
        <w:tblLayout w:type="fixed"/>
        <w:tblLook w:val="0000" w:firstRow="0" w:lastRow="0" w:firstColumn="0" w:lastColumn="0" w:noHBand="0" w:noVBand="0"/>
      </w:tblPr>
      <w:tblGrid>
        <w:gridCol w:w="708"/>
        <w:gridCol w:w="8591"/>
      </w:tblGrid>
      <w:tr w:rsidR="00A23D3E" w:rsidRPr="00A23D3E" w14:paraId="3FAF960F" w14:textId="77777777" w:rsidTr="00C931EA">
        <w:trPr>
          <w:tblHeader/>
        </w:trPr>
        <w:tc>
          <w:tcPr>
            <w:tcW w:w="9299" w:type="dxa"/>
            <w:gridSpan w:val="2"/>
            <w:shd w:val="clear" w:color="auto" w:fill="auto"/>
          </w:tcPr>
          <w:p w14:paraId="0851A83B"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p>
        </w:tc>
      </w:tr>
      <w:tr w:rsidR="00A23D3E" w:rsidRPr="00A23D3E" w14:paraId="4BF14AAB" w14:textId="77777777" w:rsidTr="00C931EA">
        <w:tc>
          <w:tcPr>
            <w:tcW w:w="708" w:type="dxa"/>
            <w:shd w:val="clear" w:color="auto" w:fill="auto"/>
            <w:vAlign w:val="center"/>
          </w:tcPr>
          <w:p w14:paraId="4E1C80E2" w14:textId="77777777" w:rsidR="00A23D3E" w:rsidRPr="00A23D3E" w:rsidRDefault="00A23D3E" w:rsidP="00A23D3E">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a.</w:t>
            </w:r>
          </w:p>
        </w:tc>
        <w:tc>
          <w:tcPr>
            <w:tcW w:w="8591" w:type="dxa"/>
            <w:shd w:val="clear" w:color="auto" w:fill="auto"/>
            <w:vAlign w:val="center"/>
          </w:tcPr>
          <w:p w14:paraId="36894A39" w14:textId="77777777" w:rsidR="00A23D3E" w:rsidRPr="00A23D3E" w:rsidRDefault="00A23D3E" w:rsidP="00A23D3E">
            <w:pPr>
              <w:keepLines/>
              <w:tabs>
                <w:tab w:val="left" w:pos="284"/>
                <w:tab w:val="left" w:pos="567"/>
              </w:tabs>
              <w:spacing w:before="40" w:after="20" w:line="240" w:lineRule="auto"/>
              <w:rPr>
                <w:rFonts w:ascii="Times New Roman" w:eastAsia="MS Mincho" w:hAnsi="Times New Roman" w:cs="Times New Roman"/>
                <w:lang w:val="es-ES"/>
              </w:rPr>
            </w:pPr>
            <w:r w:rsidRPr="00A23D3E">
              <w:rPr>
                <w:rFonts w:ascii="Times New Roman" w:eastAsia="MS Mincho" w:hAnsi="Times New Roman" w:cs="Times New Roman"/>
                <w:lang w:val="es-ES"/>
              </w:rPr>
              <w:t>Vienas flakonas, kuriame yra Sandostatin LAR milteliai</w:t>
            </w:r>
          </w:p>
        </w:tc>
      </w:tr>
      <w:tr w:rsidR="00A23D3E" w:rsidRPr="00A23D3E" w14:paraId="3BCA377D" w14:textId="77777777" w:rsidTr="00C931EA">
        <w:tc>
          <w:tcPr>
            <w:tcW w:w="708" w:type="dxa"/>
            <w:shd w:val="clear" w:color="auto" w:fill="auto"/>
            <w:vAlign w:val="center"/>
          </w:tcPr>
          <w:p w14:paraId="02CA536C" w14:textId="77777777" w:rsidR="00A23D3E" w:rsidRPr="00A23D3E" w:rsidRDefault="00A23D3E" w:rsidP="00A23D3E">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b.</w:t>
            </w:r>
          </w:p>
        </w:tc>
        <w:tc>
          <w:tcPr>
            <w:tcW w:w="8591" w:type="dxa"/>
            <w:shd w:val="clear" w:color="auto" w:fill="auto"/>
            <w:vAlign w:val="center"/>
          </w:tcPr>
          <w:p w14:paraId="26EF0CC9" w14:textId="77777777" w:rsidR="00A23D3E" w:rsidRPr="00A23D3E" w:rsidRDefault="00A23D3E" w:rsidP="00A23D3E">
            <w:pPr>
              <w:keepLines/>
              <w:tabs>
                <w:tab w:val="left" w:pos="284"/>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tirpikliu užpildytas švirkštas</w:t>
            </w:r>
          </w:p>
        </w:tc>
      </w:tr>
      <w:tr w:rsidR="00A23D3E" w:rsidRPr="00A23D3E" w14:paraId="0656F0DA" w14:textId="77777777" w:rsidTr="00C931EA">
        <w:tc>
          <w:tcPr>
            <w:tcW w:w="708" w:type="dxa"/>
            <w:shd w:val="clear" w:color="auto" w:fill="auto"/>
            <w:vAlign w:val="center"/>
          </w:tcPr>
          <w:p w14:paraId="57BF974B" w14:textId="77777777" w:rsidR="00A23D3E" w:rsidRPr="00A23D3E" w:rsidRDefault="00A23D3E" w:rsidP="00A23D3E">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c.</w:t>
            </w:r>
          </w:p>
        </w:tc>
        <w:tc>
          <w:tcPr>
            <w:tcW w:w="8591" w:type="dxa"/>
            <w:shd w:val="clear" w:color="auto" w:fill="auto"/>
            <w:vAlign w:val="center"/>
          </w:tcPr>
          <w:p w14:paraId="6C1BECC3" w14:textId="77777777" w:rsidR="00A23D3E" w:rsidRPr="00A23D3E" w:rsidRDefault="00A23D3E" w:rsidP="00A23D3E">
            <w:pPr>
              <w:keepLines/>
              <w:tabs>
                <w:tab w:val="left" w:pos="284"/>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Vienas flakono adapteris suspensijai ruošti</w:t>
            </w:r>
          </w:p>
        </w:tc>
      </w:tr>
      <w:tr w:rsidR="00A23D3E" w:rsidRPr="00A23D3E" w14:paraId="16F67B5B" w14:textId="77777777" w:rsidTr="00C931EA">
        <w:tc>
          <w:tcPr>
            <w:tcW w:w="708" w:type="dxa"/>
            <w:shd w:val="clear" w:color="auto" w:fill="auto"/>
            <w:vAlign w:val="center"/>
          </w:tcPr>
          <w:p w14:paraId="50627FFC" w14:textId="77777777" w:rsidR="00A23D3E" w:rsidRPr="00A23D3E" w:rsidRDefault="00A23D3E" w:rsidP="00A23D3E">
            <w:pPr>
              <w:keepLines/>
              <w:tabs>
                <w:tab w:val="left" w:pos="567"/>
              </w:tabs>
              <w:spacing w:before="40" w:after="20" w:line="240" w:lineRule="auto"/>
              <w:rPr>
                <w:rFonts w:ascii="Times New Roman" w:eastAsia="MS Mincho" w:hAnsi="Times New Roman" w:cs="Times New Roman"/>
                <w:lang w:val="en-GB"/>
              </w:rPr>
            </w:pPr>
            <w:r w:rsidRPr="00A23D3E">
              <w:rPr>
                <w:rFonts w:ascii="Times New Roman" w:eastAsia="MS Mincho" w:hAnsi="Times New Roman" w:cs="Times New Roman"/>
                <w:lang w:val="en-GB"/>
              </w:rPr>
              <w:t>d.</w:t>
            </w:r>
          </w:p>
        </w:tc>
        <w:tc>
          <w:tcPr>
            <w:tcW w:w="8591" w:type="dxa"/>
            <w:shd w:val="clear" w:color="auto" w:fill="auto"/>
            <w:vAlign w:val="center"/>
          </w:tcPr>
          <w:p w14:paraId="6DD4C780" w14:textId="77777777" w:rsidR="00A23D3E" w:rsidRPr="00A23D3E" w:rsidRDefault="00A23D3E" w:rsidP="00A23D3E">
            <w:pPr>
              <w:keepLines/>
              <w:tabs>
                <w:tab w:val="left" w:pos="284"/>
                <w:tab w:val="left" w:pos="567"/>
              </w:tabs>
              <w:spacing w:before="40" w:after="20" w:line="240" w:lineRule="auto"/>
              <w:rPr>
                <w:rFonts w:ascii="Times New Roman" w:eastAsia="MS Mincho" w:hAnsi="Times New Roman" w:cs="Times New Roman"/>
                <w:lang w:val="it-IT"/>
              </w:rPr>
            </w:pPr>
            <w:r w:rsidRPr="00A23D3E">
              <w:rPr>
                <w:rFonts w:ascii="Times New Roman" w:eastAsia="MS Mincho" w:hAnsi="Times New Roman" w:cs="Times New Roman"/>
                <w:lang w:val="it-IT"/>
              </w:rPr>
              <w:t xml:space="preserve">Viena saugi injekcinė adata </w:t>
            </w:r>
          </w:p>
        </w:tc>
      </w:tr>
    </w:tbl>
    <w:p w14:paraId="08E6FD4C" w14:textId="77777777" w:rsidR="00A23D3E" w:rsidRPr="00A23D3E" w:rsidRDefault="00A23D3E" w:rsidP="00A23D3E">
      <w:pPr>
        <w:keepNext/>
        <w:tabs>
          <w:tab w:val="left" w:pos="567"/>
        </w:tabs>
        <w:spacing w:before="120" w:after="0" w:line="240" w:lineRule="auto"/>
        <w:jc w:val="both"/>
        <w:rPr>
          <w:rFonts w:ascii="Times New Roman" w:eastAsia="Times New Roman" w:hAnsi="Times New Roman" w:cs="Times New Roman"/>
          <w:lang w:val="it-IT" w:eastAsia="x-none"/>
        </w:rPr>
      </w:pPr>
    </w:p>
    <w:p w14:paraId="208FF8AB" w14:textId="77777777" w:rsidR="00A23D3E" w:rsidRPr="00A23D3E" w:rsidRDefault="00A23D3E" w:rsidP="00A23D3E">
      <w:pPr>
        <w:keepNext/>
        <w:tabs>
          <w:tab w:val="left" w:pos="567"/>
        </w:tabs>
        <w:spacing w:after="0" w:line="240" w:lineRule="auto"/>
        <w:jc w:val="both"/>
        <w:rPr>
          <w:rFonts w:ascii="Times New Roman" w:eastAsia="Times New Roman" w:hAnsi="Times New Roman" w:cs="Times New Roman"/>
          <w:lang w:val="it-IT" w:eastAsia="x-none"/>
        </w:rPr>
      </w:pPr>
      <w:r w:rsidRPr="00A23D3E">
        <w:rPr>
          <w:rFonts w:ascii="Times New Roman" w:eastAsia="Times New Roman" w:hAnsi="Times New Roman" w:cs="Times New Roman"/>
          <w:lang w:val="it-IT" w:eastAsia="x-none"/>
        </w:rPr>
        <w:t>Tiksliai laikykitės toliau pateiktų nurodymų, kad teisingai paruoštumėte Sandostatin LAR prieš injekciją į raumenis.</w:t>
      </w:r>
    </w:p>
    <w:p w14:paraId="4E438A77" w14:textId="77777777" w:rsidR="00A23D3E" w:rsidRPr="00A23D3E" w:rsidRDefault="00A23D3E" w:rsidP="00A23D3E">
      <w:pPr>
        <w:tabs>
          <w:tab w:val="left" w:pos="567"/>
        </w:tabs>
        <w:autoSpaceDE w:val="0"/>
        <w:autoSpaceDN w:val="0"/>
        <w:adjustRightInd w:val="0"/>
        <w:spacing w:after="0" w:line="240" w:lineRule="auto"/>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Yra 3 kritiniai Sandostatin LAR suspensijos ruošimo etapai. </w:t>
      </w:r>
      <w:r w:rsidRPr="00A23D3E">
        <w:rPr>
          <w:rFonts w:ascii="Times New Roman" w:eastAsia="Times New Roman" w:hAnsi="Times New Roman" w:cs="Times New Roman"/>
          <w:b/>
          <w:u w:val="single"/>
          <w:lang w:val="it-IT"/>
        </w:rPr>
        <w:t>Jei nebus laikomasi reikalavimų, vaistinio preparato gali būti suleista netinkamai.</w:t>
      </w:r>
    </w:p>
    <w:p w14:paraId="1023E8FA" w14:textId="77777777" w:rsidR="00A23D3E" w:rsidRPr="00A23D3E" w:rsidRDefault="00A23D3E" w:rsidP="00A23D3E">
      <w:pPr>
        <w:numPr>
          <w:ilvl w:val="0"/>
          <w:numId w:val="38"/>
        </w:numPr>
        <w:autoSpaceDE w:val="0"/>
        <w:autoSpaceDN w:val="0"/>
        <w:adjustRightInd w:val="0"/>
        <w:spacing w:after="0" w:line="240" w:lineRule="auto"/>
        <w:rPr>
          <w:rFonts w:ascii="Times New Roman" w:eastAsia="Times New Roman" w:hAnsi="Times New Roman" w:cs="Times New Roman"/>
          <w:lang w:val="it-IT"/>
        </w:rPr>
      </w:pPr>
      <w:r w:rsidRPr="00A23D3E">
        <w:rPr>
          <w:rFonts w:ascii="Times New Roman" w:eastAsia="Times New Roman" w:hAnsi="Times New Roman" w:cs="Times New Roman"/>
          <w:b/>
          <w:u w:val="single"/>
          <w:lang w:val="it-IT"/>
        </w:rPr>
        <w:lastRenderedPageBreak/>
        <w:t>Injekcinio rinkinio temperatūra turi būti tokia pati kaip  kambario temperatūra</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color w:val="000000"/>
          <w:lang w:val="it-IT"/>
        </w:rPr>
        <w:t xml:space="preserve">Injekcinį rinkinį išimkite iš šaldytuvo ir prieš suspensijos ruošimą palaikykite kambario temperatūroje </w:t>
      </w:r>
      <w:r w:rsidRPr="00A23D3E">
        <w:rPr>
          <w:rFonts w:ascii="Times New Roman" w:eastAsia="Times New Roman" w:hAnsi="Times New Roman" w:cs="Times New Roman"/>
          <w:lang w:val="it-IT"/>
        </w:rPr>
        <w:t>ne trumpiau kaip 30 minučių, tačiau ne ilgiau kaip 24 valandas.</w:t>
      </w:r>
    </w:p>
    <w:p w14:paraId="4CAD67F5" w14:textId="77777777" w:rsidR="00A23D3E" w:rsidRPr="00A23D3E" w:rsidRDefault="00A23D3E" w:rsidP="00A23D3E">
      <w:pPr>
        <w:numPr>
          <w:ilvl w:val="0"/>
          <w:numId w:val="38"/>
        </w:numPr>
        <w:autoSpaceDE w:val="0"/>
        <w:autoSpaceDN w:val="0"/>
        <w:adjustRightInd w:val="0"/>
        <w:spacing w:after="0" w:line="240" w:lineRule="auto"/>
        <w:rPr>
          <w:rFonts w:ascii="Times New Roman" w:eastAsia="Times New Roman" w:hAnsi="Times New Roman" w:cs="Times New Roman"/>
          <w:b/>
          <w:u w:val="single"/>
          <w:lang w:val="it-IT"/>
        </w:rPr>
      </w:pPr>
      <w:r w:rsidRPr="00A23D3E">
        <w:rPr>
          <w:rFonts w:ascii="Times New Roman" w:eastAsia="Times New Roman" w:hAnsi="Times New Roman" w:cs="Times New Roman"/>
          <w:lang w:val="it-IT"/>
        </w:rPr>
        <w:t xml:space="preserve">Po tirpiklio sušvirkštimo, nejudinkite flakono 5 minutes, kad būtų </w:t>
      </w:r>
      <w:r w:rsidRPr="00A23D3E">
        <w:rPr>
          <w:rFonts w:ascii="Times New Roman" w:eastAsia="Times New Roman" w:hAnsi="Times New Roman" w:cs="Times New Roman"/>
          <w:b/>
          <w:bCs/>
          <w:lang w:val="it-IT"/>
        </w:rPr>
        <w:t>užtikrinta, jog</w:t>
      </w:r>
      <w:r w:rsidRPr="00A23D3E">
        <w:rPr>
          <w:rFonts w:ascii="Times New Roman" w:eastAsia="Times New Roman" w:hAnsi="Times New Roman" w:cs="Times New Roman"/>
          <w:lang w:val="it-IT"/>
        </w:rPr>
        <w:t xml:space="preserve"> </w:t>
      </w:r>
      <w:r w:rsidRPr="00A23D3E">
        <w:rPr>
          <w:rFonts w:ascii="Times New Roman" w:eastAsia="Times New Roman" w:hAnsi="Times New Roman" w:cs="Times New Roman"/>
          <w:b/>
          <w:u w:val="single"/>
          <w:lang w:val="it-IT"/>
        </w:rPr>
        <w:t>sudrėko visi milteliai.</w:t>
      </w:r>
    </w:p>
    <w:p w14:paraId="3379F121" w14:textId="77777777" w:rsidR="00A23D3E" w:rsidRPr="00A23D3E" w:rsidRDefault="00A23D3E" w:rsidP="00A23D3E">
      <w:pPr>
        <w:numPr>
          <w:ilvl w:val="0"/>
          <w:numId w:val="38"/>
        </w:numPr>
        <w:spacing w:after="0" w:line="240" w:lineRule="auto"/>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it-IT" w:eastAsia="x-none"/>
        </w:rPr>
        <w:t xml:space="preserve">Milteliams sudrėkus, </w:t>
      </w:r>
      <w:r w:rsidRPr="00A23D3E">
        <w:rPr>
          <w:rFonts w:ascii="Times New Roman" w:eastAsia="Times New Roman" w:hAnsi="Times New Roman" w:cs="Times New Roman"/>
          <w:b/>
          <w:u w:val="single"/>
          <w:lang w:val="it-IT" w:eastAsia="x-none"/>
        </w:rPr>
        <w:t>flakoną nestipriai pakratykite</w:t>
      </w:r>
      <w:r w:rsidRPr="00A23D3E">
        <w:rPr>
          <w:rFonts w:ascii="Times New Roman" w:eastAsia="Times New Roman" w:hAnsi="Times New Roman" w:cs="Times New Roman"/>
          <w:lang w:val="it-IT" w:eastAsia="x-none"/>
        </w:rPr>
        <w:t xml:space="preserve"> horizontalia kryptimi mažiausiai 30 sekundžių, </w:t>
      </w:r>
      <w:r w:rsidRPr="00A23D3E">
        <w:rPr>
          <w:rFonts w:ascii="Times New Roman" w:eastAsia="Times New Roman" w:hAnsi="Times New Roman" w:cs="Times New Roman"/>
          <w:b/>
          <w:u w:val="single"/>
          <w:lang w:val="it-IT" w:eastAsia="x-none"/>
        </w:rPr>
        <w:t xml:space="preserve">kol susidarys vienalytė suspensija. </w:t>
      </w:r>
      <w:r w:rsidRPr="00A23D3E">
        <w:rPr>
          <w:rFonts w:ascii="Times New Roman" w:eastAsia="Times New Roman" w:hAnsi="Times New Roman" w:cs="Times New Roman"/>
          <w:lang w:val="en-GB" w:eastAsia="x-none"/>
        </w:rPr>
        <w:t xml:space="preserve">Sandostatin LAR suspensiją reikia paruošti </w:t>
      </w:r>
      <w:r w:rsidRPr="00A23D3E">
        <w:rPr>
          <w:rFonts w:ascii="Times New Roman" w:eastAsia="Times New Roman" w:hAnsi="Times New Roman" w:cs="Times New Roman"/>
          <w:b/>
          <w:lang w:val="en-GB" w:eastAsia="x-none"/>
        </w:rPr>
        <w:t xml:space="preserve">tik </w:t>
      </w:r>
      <w:r w:rsidRPr="00A23D3E">
        <w:rPr>
          <w:rFonts w:ascii="Times New Roman" w:eastAsia="Times New Roman" w:hAnsi="Times New Roman" w:cs="Times New Roman"/>
          <w:lang w:val="en-GB" w:eastAsia="x-none"/>
        </w:rPr>
        <w:t>prieš pat injekciją.</w:t>
      </w:r>
    </w:p>
    <w:p w14:paraId="682451A2" w14:textId="77777777" w:rsidR="00A23D3E" w:rsidRPr="00A23D3E" w:rsidRDefault="00A23D3E" w:rsidP="00A23D3E">
      <w:pPr>
        <w:keepLines/>
        <w:tabs>
          <w:tab w:val="left" w:pos="567"/>
        </w:tabs>
        <w:spacing w:before="120" w:after="0" w:line="240" w:lineRule="auto"/>
        <w:jc w:val="both"/>
        <w:rPr>
          <w:rFonts w:ascii="Times New Roman" w:eastAsia="Times New Roman" w:hAnsi="Times New Roman" w:cs="Times New Roman"/>
          <w:lang w:val="en-GB" w:eastAsia="x-none"/>
        </w:rPr>
      </w:pPr>
      <w:r w:rsidRPr="00A23D3E">
        <w:rPr>
          <w:rFonts w:ascii="Times New Roman" w:eastAsia="Times New Roman" w:hAnsi="Times New Roman" w:cs="Times New Roman"/>
          <w:lang w:val="en-GB" w:eastAsia="x-none"/>
        </w:rPr>
        <w:t>Sandostatin LAR gali leisti tik išmokytas sveikatos priežiūros specialistas.</w:t>
      </w:r>
    </w:p>
    <w:tbl>
      <w:tblPr>
        <w:tblW w:w="9475" w:type="dxa"/>
        <w:tblInd w:w="-176" w:type="dxa"/>
        <w:tblLayout w:type="fixed"/>
        <w:tblLook w:val="0000" w:firstRow="0" w:lastRow="0" w:firstColumn="0" w:lastColumn="0" w:noHBand="0" w:noVBand="0"/>
      </w:tblPr>
      <w:tblGrid>
        <w:gridCol w:w="6164"/>
        <w:gridCol w:w="3311"/>
      </w:tblGrid>
      <w:tr w:rsidR="00A23D3E" w:rsidRPr="00A23D3E" w14:paraId="54740A2D" w14:textId="77777777" w:rsidTr="00C931EA">
        <w:trPr>
          <w:tblHeader/>
        </w:trPr>
        <w:tc>
          <w:tcPr>
            <w:tcW w:w="6164" w:type="dxa"/>
            <w:shd w:val="clear" w:color="auto" w:fill="auto"/>
          </w:tcPr>
          <w:p w14:paraId="545C9B1A" w14:textId="77777777" w:rsidR="00A23D3E" w:rsidRPr="00A23D3E" w:rsidRDefault="00A23D3E" w:rsidP="00A23D3E">
            <w:pPr>
              <w:tabs>
                <w:tab w:val="left" w:pos="426"/>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lastRenderedPageBreak/>
              <w:t>1 etapas</w:t>
            </w:r>
          </w:p>
          <w:p w14:paraId="7FB719D2"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Sandostatin LAR injekcinį rinkinį išimkite iš šaldytuvo.</w:t>
            </w:r>
          </w:p>
          <w:p w14:paraId="2E668447"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 xml:space="preserve">DĖMESIO! Labai svarbu suspensiją pradėti ruošti tik tada, kai injekcinis rinkinys sušyla iki kambario temperatūros. </w:t>
            </w:r>
            <w:r w:rsidRPr="00A23D3E">
              <w:rPr>
                <w:rFonts w:ascii="Times New Roman" w:eastAsia="Times New Roman" w:hAnsi="Times New Roman" w:cs="Times New Roman"/>
                <w:b/>
                <w:bCs/>
                <w:color w:val="000000"/>
                <w:lang w:val="en-GB"/>
              </w:rPr>
              <w:t xml:space="preserve">Prieš ruošdami suspensiją, palaikykite rinkinį kambario temperatūroje </w:t>
            </w:r>
            <w:r w:rsidRPr="00A23D3E">
              <w:rPr>
                <w:rFonts w:ascii="Times New Roman" w:eastAsia="Times New Roman" w:hAnsi="Times New Roman" w:cs="Times New Roman"/>
                <w:b/>
                <w:bCs/>
                <w:lang w:val="en-GB"/>
              </w:rPr>
              <w:t>ne trumpiau kaip 30 minučių, tačiau ne ilgiau kaip 24 valandas.</w:t>
            </w:r>
          </w:p>
          <w:p w14:paraId="2DED5C5B"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reikia, injekcinį rinkinį vėl galima įdėti į šaldytuvą.</w:t>
            </w:r>
          </w:p>
          <w:p w14:paraId="05FCCA41"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4DE7E61F"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7DB45EC3" wp14:editId="0BA46364">
                  <wp:extent cx="1390650" cy="1390650"/>
                  <wp:effectExtent l="0" t="0" r="0" b="0"/>
                  <wp:docPr id="18"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90650" cy="1390650"/>
                          </a:xfrm>
                          <a:prstGeom prst="rect">
                            <a:avLst/>
                          </a:prstGeom>
                          <a:noFill/>
                          <a:ln>
                            <a:noFill/>
                          </a:ln>
                        </pic:spPr>
                      </pic:pic>
                    </a:graphicData>
                  </a:graphic>
                </wp:inline>
              </w:drawing>
            </w:r>
          </w:p>
        </w:tc>
      </w:tr>
      <w:tr w:rsidR="00A23D3E" w:rsidRPr="00A23D3E" w14:paraId="53A11CC9" w14:textId="77777777" w:rsidTr="00C931EA">
        <w:trPr>
          <w:tblHeader/>
        </w:trPr>
        <w:tc>
          <w:tcPr>
            <w:tcW w:w="6164" w:type="dxa"/>
            <w:shd w:val="clear" w:color="auto" w:fill="auto"/>
          </w:tcPr>
          <w:p w14:paraId="02B7552A" w14:textId="77777777" w:rsidR="00A23D3E" w:rsidRPr="00A23D3E" w:rsidRDefault="00A23D3E" w:rsidP="00A23D3E">
            <w:pPr>
              <w:tabs>
                <w:tab w:val="left" w:pos="-2410"/>
              </w:tabs>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2 etapas</w:t>
            </w:r>
          </w:p>
          <w:p w14:paraId="4E4AE68D"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plastikinį flakono dangtelį ir guminį flakono kamštį nuvalykite alkoholiu suvilgytu tamponu.</w:t>
            </w:r>
          </w:p>
          <w:p w14:paraId="2A7B9534"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lang w:val="en-GB"/>
              </w:rPr>
            </w:pPr>
            <w:r w:rsidRPr="00A23D3E">
              <w:rPr>
                <w:rFonts w:ascii="Times New Roman" w:eastAsia="Times New Roman" w:hAnsi="Times New Roman" w:cs="Times New Roman"/>
                <w:lang w:val="en-GB"/>
              </w:rPr>
              <w:t>Nuimkite dengiamąją plėvelę nuo flakono adapterio pakuotės, tačiau NEIŠIMKITE flakono adapterio iš jo pakuotės.</w:t>
            </w:r>
          </w:p>
          <w:p w14:paraId="6217BE89"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lang w:val="en-GB"/>
              </w:rPr>
              <w:t>Laikydami flakono adapterio pakuotę, flakono adapterį uždėkite ant flakono viršūnės ir iki galo pastumkite, kad jis įsistatytų į savo vietą (tai įvykus išgirsite klaktelėjimą</w:t>
            </w:r>
            <w:r w:rsidRPr="00A23D3E">
              <w:rPr>
                <w:rFonts w:ascii="Times New Roman" w:eastAsia="Times New Roman" w:hAnsi="Times New Roman" w:cs="Times New Roman"/>
                <w:color w:val="000000"/>
                <w:lang w:val="en-GB"/>
              </w:rPr>
              <w:t>).</w:t>
            </w:r>
          </w:p>
          <w:p w14:paraId="43F57505"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Vertikaliu judesiu nuo flakono adapterio nuimkite pakuotę.</w:t>
            </w:r>
          </w:p>
        </w:tc>
        <w:tc>
          <w:tcPr>
            <w:tcW w:w="3311" w:type="dxa"/>
            <w:shd w:val="clear" w:color="auto" w:fill="auto"/>
          </w:tcPr>
          <w:p w14:paraId="3A972632"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3C85B33E" wp14:editId="703A2909">
                  <wp:extent cx="1895475" cy="1428750"/>
                  <wp:effectExtent l="0" t="0" r="9525" b="0"/>
                  <wp:docPr id="19"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95475" cy="14287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02454478" wp14:editId="36606F5C">
                  <wp:extent cx="1962150" cy="1447800"/>
                  <wp:effectExtent l="0" t="0" r="0" b="0"/>
                  <wp:docPr id="20"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A23D3E" w:rsidRPr="00A23D3E" w14:paraId="272C38AE" w14:textId="77777777" w:rsidTr="00C931EA">
        <w:trPr>
          <w:tblHeader/>
        </w:trPr>
        <w:tc>
          <w:tcPr>
            <w:tcW w:w="6164" w:type="dxa"/>
            <w:shd w:val="clear" w:color="auto" w:fill="auto"/>
          </w:tcPr>
          <w:p w14:paraId="66DA35F1"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5C54401B"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2C9CE601" wp14:editId="1A308D15">
                  <wp:extent cx="1962150" cy="1447800"/>
                  <wp:effectExtent l="0" t="0" r="0" b="0"/>
                  <wp:docPr id="21"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62150" cy="1447800"/>
                          </a:xfrm>
                          <a:prstGeom prst="rect">
                            <a:avLst/>
                          </a:prstGeom>
                          <a:noFill/>
                          <a:ln>
                            <a:noFill/>
                          </a:ln>
                        </pic:spPr>
                      </pic:pic>
                    </a:graphicData>
                  </a:graphic>
                </wp:inline>
              </w:drawing>
            </w:r>
          </w:p>
        </w:tc>
      </w:tr>
      <w:tr w:rsidR="00A23D3E" w:rsidRPr="00A23D3E" w14:paraId="301B1079" w14:textId="77777777" w:rsidTr="00C931EA">
        <w:trPr>
          <w:tblHeader/>
        </w:trPr>
        <w:tc>
          <w:tcPr>
            <w:tcW w:w="6164" w:type="dxa"/>
            <w:shd w:val="clear" w:color="auto" w:fill="auto"/>
          </w:tcPr>
          <w:p w14:paraId="66874220" w14:textId="77777777" w:rsidR="00A23D3E" w:rsidRPr="00A23D3E" w:rsidRDefault="00A23D3E" w:rsidP="00A23D3E">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3 etapas</w:t>
            </w:r>
          </w:p>
          <w:p w14:paraId="6E00BA70"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Nuo tirpikliu užpildyto švirkšto numaukite dangtelį ir švirkštą užsukite ant flakono adapterio.</w:t>
            </w:r>
          </w:p>
          <w:p w14:paraId="2CFD3B59"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Stūmoklį lėtai spauskite iki galo, kad į flakoną patektų visas tirpiklio kiekis.</w:t>
            </w:r>
          </w:p>
          <w:p w14:paraId="09DA851A"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1F30D9AA"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53A11480" wp14:editId="659C6357">
                  <wp:extent cx="1952625" cy="1466850"/>
                  <wp:effectExtent l="0" t="0" r="9525" b="0"/>
                  <wp:docPr id="22"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A23D3E" w:rsidRPr="00A23D3E" w14:paraId="7A8AAD4B" w14:textId="77777777" w:rsidTr="00C931EA">
        <w:trPr>
          <w:tblHeader/>
        </w:trPr>
        <w:tc>
          <w:tcPr>
            <w:tcW w:w="6164" w:type="dxa"/>
            <w:shd w:val="clear" w:color="auto" w:fill="auto"/>
          </w:tcPr>
          <w:p w14:paraId="1953B0E6"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3AB63136"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3B9BEF93" wp14:editId="6842B49D">
                  <wp:extent cx="1952625" cy="1466850"/>
                  <wp:effectExtent l="0" t="0" r="9525" b="0"/>
                  <wp:docPr id="23"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52625" cy="1466850"/>
                          </a:xfrm>
                          <a:prstGeom prst="rect">
                            <a:avLst/>
                          </a:prstGeom>
                          <a:noFill/>
                          <a:ln>
                            <a:noFill/>
                          </a:ln>
                        </pic:spPr>
                      </pic:pic>
                    </a:graphicData>
                  </a:graphic>
                </wp:inline>
              </w:drawing>
            </w:r>
          </w:p>
        </w:tc>
      </w:tr>
      <w:tr w:rsidR="00A23D3E" w:rsidRPr="00A23D3E" w14:paraId="52FE3B43" w14:textId="77777777" w:rsidTr="00C931EA">
        <w:trPr>
          <w:tblHeader/>
        </w:trPr>
        <w:tc>
          <w:tcPr>
            <w:tcW w:w="6164" w:type="dxa"/>
            <w:shd w:val="clear" w:color="auto" w:fill="auto"/>
          </w:tcPr>
          <w:p w14:paraId="35271DCB" w14:textId="77777777" w:rsidR="00A23D3E" w:rsidRPr="00A23D3E" w:rsidRDefault="00A23D3E" w:rsidP="00A23D3E">
            <w:pPr>
              <w:spacing w:before="120" w:after="0" w:line="240" w:lineRule="auto"/>
              <w:ind w:firstLine="426"/>
              <w:rPr>
                <w:rFonts w:ascii="Times New Roman" w:eastAsia="Times New Roman" w:hAnsi="Times New Roman" w:cs="Times New Roman"/>
                <w:b/>
                <w:lang w:val="en-GB"/>
              </w:rPr>
            </w:pPr>
            <w:r w:rsidRPr="00A23D3E">
              <w:rPr>
                <w:rFonts w:ascii="Times New Roman" w:eastAsia="Times New Roman" w:hAnsi="Times New Roman" w:cs="Times New Roman"/>
                <w:b/>
                <w:lang w:val="en-GB"/>
              </w:rPr>
              <w:t>4 etapas</w:t>
            </w:r>
          </w:p>
          <w:p w14:paraId="38AEBEDA" w14:textId="77777777" w:rsidR="00A23D3E" w:rsidRPr="00A23D3E" w:rsidRDefault="00A23D3E" w:rsidP="00A23D3E">
            <w:pPr>
              <w:spacing w:before="120" w:after="0" w:line="240" w:lineRule="auto"/>
              <w:ind w:left="426"/>
              <w:rPr>
                <w:rFonts w:ascii="Times New Roman" w:eastAsia="Times New Roman" w:hAnsi="Times New Roman" w:cs="Times New Roman"/>
                <w:b/>
                <w:u w:val="single"/>
                <w:lang w:val="en-GB"/>
              </w:rPr>
            </w:pPr>
            <w:r w:rsidRPr="00A23D3E">
              <w:rPr>
                <w:rFonts w:ascii="Times New Roman" w:eastAsia="Times New Roman" w:hAnsi="Times New Roman" w:cs="Times New Roman"/>
                <w:lang w:val="en-GB"/>
              </w:rPr>
              <w:t xml:space="preserve">DĖMESIO! </w:t>
            </w:r>
            <w:r w:rsidRPr="00A23D3E">
              <w:rPr>
                <w:rFonts w:ascii="Times New Roman" w:eastAsia="Times New Roman" w:hAnsi="Times New Roman" w:cs="Times New Roman"/>
                <w:b/>
                <w:bCs/>
                <w:lang w:val="en-GB"/>
              </w:rPr>
              <w:t xml:space="preserve">Labai svarbu nejudinti flakono </w:t>
            </w:r>
            <w:r w:rsidRPr="00A23D3E">
              <w:rPr>
                <w:rFonts w:ascii="Times New Roman" w:eastAsia="Times New Roman" w:hAnsi="Times New Roman" w:cs="Times New Roman"/>
                <w:b/>
                <w:lang w:val="en-GB"/>
              </w:rPr>
              <w:t>5 minutes</w:t>
            </w:r>
            <w:r w:rsidRPr="00A23D3E">
              <w:rPr>
                <w:rFonts w:ascii="Times New Roman" w:eastAsia="Times New Roman" w:hAnsi="Times New Roman" w:cs="Times New Roman"/>
                <w:lang w:val="en-GB"/>
              </w:rPr>
              <w:t xml:space="preserve">, kad būtų užtikrinta, jog </w:t>
            </w:r>
            <w:r w:rsidRPr="00A23D3E">
              <w:rPr>
                <w:rFonts w:ascii="Times New Roman" w:eastAsia="Times New Roman" w:hAnsi="Times New Roman" w:cs="Times New Roman"/>
                <w:bCs/>
                <w:u w:val="single"/>
                <w:lang w:val="en-GB"/>
              </w:rPr>
              <w:t>tirpiklis sudrėkino visus miltelius.</w:t>
            </w:r>
          </w:p>
          <w:p w14:paraId="22DC7D53"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lang w:val="en-GB"/>
              </w:rPr>
              <w:t>Pastaba. Jei stūmoklis šiek tiek pajuda aukštyn, tai normalu, kadangi flakone gali būti šiek tiek padidėjęs slėgis.</w:t>
            </w:r>
          </w:p>
          <w:p w14:paraId="7FC0A19B"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Šiame etape parenkite pacientą injekcijai.</w:t>
            </w:r>
          </w:p>
          <w:p w14:paraId="1C04A9F4"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79F8A5D1" w14:textId="77777777" w:rsidR="00A23D3E" w:rsidRPr="00A23D3E" w:rsidRDefault="00A23D3E" w:rsidP="00A23D3E">
            <w:pPr>
              <w:tabs>
                <w:tab w:val="left" w:pos="567"/>
              </w:tabs>
              <w:spacing w:before="120" w:after="0" w:line="240" w:lineRule="auto"/>
              <w:jc w:val="center"/>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6217DF8C" wp14:editId="48E7E902">
                  <wp:extent cx="1647825" cy="1257300"/>
                  <wp:effectExtent l="0" t="0" r="9525" b="0"/>
                  <wp:docPr id="24"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47825" cy="1257300"/>
                          </a:xfrm>
                          <a:prstGeom prst="rect">
                            <a:avLst/>
                          </a:prstGeom>
                          <a:noFill/>
                          <a:ln>
                            <a:noFill/>
                          </a:ln>
                        </pic:spPr>
                      </pic:pic>
                    </a:graphicData>
                  </a:graphic>
                </wp:inline>
              </w:drawing>
            </w:r>
          </w:p>
        </w:tc>
      </w:tr>
      <w:tr w:rsidR="00A23D3E" w:rsidRPr="00A23D3E" w14:paraId="2557680D" w14:textId="77777777" w:rsidTr="00C931EA">
        <w:trPr>
          <w:tblHeader/>
        </w:trPr>
        <w:tc>
          <w:tcPr>
            <w:tcW w:w="6164" w:type="dxa"/>
            <w:shd w:val="clear" w:color="auto" w:fill="auto"/>
          </w:tcPr>
          <w:p w14:paraId="7E344863" w14:textId="77777777" w:rsidR="00A23D3E" w:rsidRPr="00A23D3E" w:rsidRDefault="00A23D3E" w:rsidP="00A23D3E">
            <w:pPr>
              <w:spacing w:before="120" w:after="0" w:line="240" w:lineRule="auto"/>
              <w:ind w:left="426"/>
              <w:rPr>
                <w:rFonts w:ascii="Times New Roman" w:eastAsia="Times New Roman" w:hAnsi="Times New Roman" w:cs="Times New Roman"/>
                <w:b/>
                <w:lang w:val="en-GB"/>
              </w:rPr>
            </w:pPr>
            <w:r w:rsidRPr="00A23D3E">
              <w:rPr>
                <w:rFonts w:ascii="Times New Roman" w:eastAsia="Times New Roman" w:hAnsi="Times New Roman" w:cs="Times New Roman"/>
                <w:b/>
                <w:lang w:val="en-GB"/>
              </w:rPr>
              <w:t>5 etapas</w:t>
            </w:r>
          </w:p>
          <w:p w14:paraId="36C9F002"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Kai visi milteliai sudrėksta, patikrinkite, ar stūmoklis yra iki galo įstumtas į švirkštą.</w:t>
            </w:r>
          </w:p>
          <w:p w14:paraId="7C11C908" w14:textId="77777777" w:rsidR="00A23D3E" w:rsidRDefault="00A23D3E" w:rsidP="00A23D3E">
            <w:pPr>
              <w:spacing w:before="120" w:after="0" w:line="240" w:lineRule="auto"/>
              <w:ind w:left="426"/>
              <w:rPr>
                <w:rFonts w:ascii="Times New Roman" w:eastAsia="Times New Roman" w:hAnsi="Times New Roman" w:cs="Times New Roman"/>
                <w:lang w:val="it-IT"/>
              </w:rPr>
            </w:pPr>
            <w:r w:rsidRPr="00A23D3E">
              <w:rPr>
                <w:rFonts w:ascii="Times New Roman" w:eastAsia="Times New Roman" w:hAnsi="Times New Roman" w:cs="Times New Roman"/>
                <w:b/>
                <w:lang w:val="en-GB"/>
              </w:rPr>
              <w:t>DĖMESIO!</w:t>
            </w:r>
            <w:r w:rsidRPr="00A23D3E">
              <w:rPr>
                <w:rFonts w:ascii="Times New Roman" w:eastAsia="Times New Roman" w:hAnsi="Times New Roman" w:cs="Times New Roman"/>
                <w:lang w:val="en-GB"/>
              </w:rPr>
              <w:t xml:space="preserve"> Stūmoklį laikykite įspaustą ir flakoną </w:t>
            </w:r>
            <w:r w:rsidRPr="00A23D3E">
              <w:rPr>
                <w:rFonts w:ascii="Times New Roman" w:eastAsia="Times New Roman" w:hAnsi="Times New Roman" w:cs="Times New Roman"/>
                <w:b/>
                <w:lang w:val="en-GB"/>
              </w:rPr>
              <w:t xml:space="preserve">nestipriai </w:t>
            </w:r>
            <w:r w:rsidRPr="00A23D3E">
              <w:rPr>
                <w:rFonts w:ascii="Times New Roman" w:eastAsia="Times New Roman" w:hAnsi="Times New Roman" w:cs="Times New Roman"/>
                <w:lang w:val="en-GB"/>
              </w:rPr>
              <w:t xml:space="preserve">pakratykite horizontaliai </w:t>
            </w:r>
            <w:r w:rsidRPr="00A23D3E">
              <w:rPr>
                <w:rFonts w:ascii="Times New Roman" w:eastAsia="Times New Roman" w:hAnsi="Times New Roman" w:cs="Times New Roman"/>
                <w:b/>
                <w:lang w:val="en-GB"/>
              </w:rPr>
              <w:t>ne trumpiau kaip 30</w:t>
            </w:r>
            <w:r w:rsidRPr="00A23D3E">
              <w:rPr>
                <w:rFonts w:ascii="Times New Roman" w:eastAsia="Times New Roman" w:hAnsi="Times New Roman" w:cs="Times New Roman"/>
                <w:b/>
                <w:bCs/>
                <w:lang w:val="en-GB"/>
              </w:rPr>
              <w:t> </w:t>
            </w:r>
            <w:r w:rsidRPr="00A23D3E">
              <w:rPr>
                <w:rFonts w:ascii="Times New Roman" w:eastAsia="Times New Roman" w:hAnsi="Times New Roman" w:cs="Times New Roman"/>
                <w:b/>
                <w:lang w:val="en-GB"/>
              </w:rPr>
              <w:t>sekundžių</w:t>
            </w:r>
            <w:r w:rsidRPr="00A23D3E">
              <w:rPr>
                <w:rFonts w:ascii="Times New Roman" w:eastAsia="Times New Roman" w:hAnsi="Times New Roman" w:cs="Times New Roman"/>
                <w:lang w:val="en-GB"/>
              </w:rPr>
              <w:t xml:space="preserve">, kad visi milteliai susimaišytų su skysčiu (susidarytų į pieną panaši vienalytė suspensija). </w:t>
            </w:r>
            <w:r w:rsidRPr="00A23D3E">
              <w:rPr>
                <w:rFonts w:ascii="Times New Roman" w:eastAsia="Times New Roman" w:hAnsi="Times New Roman" w:cs="Times New Roman"/>
                <w:b/>
                <w:bCs/>
                <w:lang w:val="it-IT"/>
              </w:rPr>
              <w:t>Jei ne visi milteliai virto suspensija, nestipriai pakratykite dar 30 sekundžių</w:t>
            </w:r>
            <w:r w:rsidRPr="00A23D3E">
              <w:rPr>
                <w:rFonts w:ascii="Times New Roman" w:eastAsia="Times New Roman" w:hAnsi="Times New Roman" w:cs="Times New Roman"/>
                <w:lang w:val="it-IT"/>
              </w:rPr>
              <w:t>.</w:t>
            </w:r>
          </w:p>
          <w:p w14:paraId="7C0941E2" w14:textId="0A7315A3" w:rsidR="006C5904" w:rsidRPr="00A23D3E" w:rsidRDefault="006C5904" w:rsidP="00A23D3E">
            <w:pPr>
              <w:spacing w:before="120" w:after="0" w:line="240" w:lineRule="auto"/>
              <w:ind w:left="426"/>
              <w:rPr>
                <w:rFonts w:ascii="Times New Roman" w:eastAsia="Times New Roman" w:hAnsi="Times New Roman" w:cs="Times New Roman"/>
                <w:lang w:val="it-IT"/>
              </w:rPr>
            </w:pPr>
          </w:p>
        </w:tc>
        <w:tc>
          <w:tcPr>
            <w:tcW w:w="3311" w:type="dxa"/>
            <w:shd w:val="clear" w:color="auto" w:fill="auto"/>
          </w:tcPr>
          <w:p w14:paraId="0A316E0C"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3E2C1D4" wp14:editId="2D329C29">
                  <wp:extent cx="1866900" cy="1362075"/>
                  <wp:effectExtent l="0" t="0" r="0" b="9525"/>
                  <wp:docPr id="25"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A23D3E" w:rsidRPr="00A23D3E" w14:paraId="2A5F4DBA" w14:textId="77777777" w:rsidTr="00C931EA">
        <w:trPr>
          <w:tblHeader/>
        </w:trPr>
        <w:tc>
          <w:tcPr>
            <w:tcW w:w="6164" w:type="dxa"/>
            <w:shd w:val="clear" w:color="auto" w:fill="auto"/>
          </w:tcPr>
          <w:p w14:paraId="253F7C36" w14:textId="0882180E" w:rsidR="00A23D3E" w:rsidRDefault="00A23D3E" w:rsidP="00A23D3E">
            <w:pPr>
              <w:spacing w:before="120" w:after="0" w:line="240" w:lineRule="auto"/>
              <w:ind w:left="426"/>
              <w:rPr>
                <w:rFonts w:ascii="Times New Roman" w:eastAsia="Times New Roman" w:hAnsi="Times New Roman" w:cs="Times New Roman"/>
                <w:b/>
                <w:bCs/>
                <w:lang w:val="en-GB"/>
              </w:rPr>
            </w:pPr>
            <w:r w:rsidRPr="00A23D3E">
              <w:rPr>
                <w:rFonts w:ascii="Times New Roman" w:eastAsia="Times New Roman" w:hAnsi="Times New Roman" w:cs="Times New Roman"/>
                <w:b/>
                <w:bCs/>
                <w:lang w:val="en-GB"/>
              </w:rPr>
              <w:t>6 etapas</w:t>
            </w:r>
          </w:p>
          <w:p w14:paraId="01E17581" w14:textId="561EA4F6" w:rsidR="0012067E" w:rsidRPr="004278E9" w:rsidRDefault="0012067E" w:rsidP="004278E9">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color w:val="000000"/>
                <w:lang w:val="en-US"/>
              </w:rPr>
              <w:t>Paruoškite injekcijos vietą alkoholiu suvilgyta servetėle.</w:t>
            </w:r>
          </w:p>
          <w:p w14:paraId="0F8CF405"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ir flakoną apverskite, lėtai traukite stūmoklį atgal ir įsiurbkite visą flakono turinį į švirkštą.</w:t>
            </w:r>
          </w:p>
          <w:p w14:paraId="2D7A1379"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Švirkštą nusukite nuo flakono adapterio.</w:t>
            </w:r>
          </w:p>
          <w:p w14:paraId="3F49D084"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p>
        </w:tc>
        <w:tc>
          <w:tcPr>
            <w:tcW w:w="3311" w:type="dxa"/>
            <w:shd w:val="clear" w:color="auto" w:fill="auto"/>
          </w:tcPr>
          <w:p w14:paraId="0DD11D57"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99DA8F0" wp14:editId="0066C314">
                  <wp:extent cx="1924050" cy="1428750"/>
                  <wp:effectExtent l="0" t="0" r="0" b="0"/>
                  <wp:docPr id="26"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24050" cy="1428750"/>
                          </a:xfrm>
                          <a:prstGeom prst="rect">
                            <a:avLst/>
                          </a:prstGeom>
                          <a:noFill/>
                          <a:ln>
                            <a:noFill/>
                          </a:ln>
                        </pic:spPr>
                      </pic:pic>
                    </a:graphicData>
                  </a:graphic>
                </wp:inline>
              </w:drawing>
            </w:r>
          </w:p>
        </w:tc>
      </w:tr>
      <w:tr w:rsidR="00A23D3E" w:rsidRPr="00A23D3E" w14:paraId="2880F6B2" w14:textId="77777777" w:rsidTr="00C931EA">
        <w:trPr>
          <w:tblHeader/>
        </w:trPr>
        <w:tc>
          <w:tcPr>
            <w:tcW w:w="6164" w:type="dxa"/>
            <w:shd w:val="clear" w:color="auto" w:fill="auto"/>
          </w:tcPr>
          <w:p w14:paraId="2535981D" w14:textId="77777777" w:rsidR="00A23D3E" w:rsidRPr="00A23D3E" w:rsidRDefault="00A23D3E" w:rsidP="00A23D3E">
            <w:pPr>
              <w:tabs>
                <w:tab w:val="left" w:pos="567"/>
              </w:tabs>
              <w:autoSpaceDE w:val="0"/>
              <w:autoSpaceDN w:val="0"/>
              <w:adjustRightInd w:val="0"/>
              <w:spacing w:after="0" w:line="240" w:lineRule="auto"/>
              <w:rPr>
                <w:rFonts w:ascii="Times New Roman" w:eastAsia="Times New Roman" w:hAnsi="Times New Roman" w:cs="Times New Roman"/>
                <w:color w:val="000000"/>
                <w:lang w:val="en-GB"/>
              </w:rPr>
            </w:pPr>
          </w:p>
        </w:tc>
        <w:tc>
          <w:tcPr>
            <w:tcW w:w="3311" w:type="dxa"/>
            <w:shd w:val="clear" w:color="auto" w:fill="auto"/>
          </w:tcPr>
          <w:p w14:paraId="14194536"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0156791D" wp14:editId="6D70EC68">
                  <wp:extent cx="1924050" cy="1419225"/>
                  <wp:effectExtent l="0" t="0" r="0" b="9525"/>
                  <wp:docPr id="27"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24050" cy="1419225"/>
                          </a:xfrm>
                          <a:prstGeom prst="rect">
                            <a:avLst/>
                          </a:prstGeom>
                          <a:noFill/>
                          <a:ln>
                            <a:noFill/>
                          </a:ln>
                        </pic:spPr>
                      </pic:pic>
                    </a:graphicData>
                  </a:graphic>
                </wp:inline>
              </w:drawing>
            </w:r>
          </w:p>
        </w:tc>
      </w:tr>
      <w:tr w:rsidR="00A23D3E" w:rsidRPr="00A23D3E" w14:paraId="554A37FC" w14:textId="77777777" w:rsidTr="00C931EA">
        <w:trPr>
          <w:tblHeader/>
        </w:trPr>
        <w:tc>
          <w:tcPr>
            <w:tcW w:w="6164" w:type="dxa"/>
            <w:shd w:val="clear" w:color="auto" w:fill="auto"/>
          </w:tcPr>
          <w:p w14:paraId="7684C87A"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lastRenderedPageBreak/>
              <w:t>7 etapas</w:t>
            </w:r>
          </w:p>
          <w:p w14:paraId="5F0BEAE7"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 xml:space="preserve">Prie švirkšto prisukite saugią injekcinę adatą. </w:t>
            </w:r>
          </w:p>
          <w:p w14:paraId="14681F03" w14:textId="126EDE6D" w:rsidR="00A23D3E" w:rsidRPr="00A23D3E" w:rsidRDefault="0012067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Pr>
                <w:rFonts w:ascii="Times New Roman" w:eastAsia="Times New Roman" w:hAnsi="Times New Roman" w:cs="Times New Roman"/>
                <w:color w:val="000000"/>
                <w:lang w:val="en-GB"/>
              </w:rPr>
              <w:t>Š</w:t>
            </w:r>
            <w:r w:rsidR="00A23D3E" w:rsidRPr="00A23D3E">
              <w:rPr>
                <w:rFonts w:ascii="Times New Roman" w:eastAsia="Times New Roman" w:hAnsi="Times New Roman" w:cs="Times New Roman"/>
                <w:color w:val="000000"/>
                <w:lang w:val="en-GB"/>
              </w:rPr>
              <w:t>virkštą</w:t>
            </w:r>
            <w:r>
              <w:rPr>
                <w:rFonts w:ascii="Times New Roman" w:eastAsia="Times New Roman" w:hAnsi="Times New Roman" w:cs="Times New Roman"/>
                <w:color w:val="000000"/>
                <w:lang w:val="en-GB"/>
              </w:rPr>
              <w:t xml:space="preserve"> </w:t>
            </w:r>
            <w:r w:rsidRPr="0012067E">
              <w:rPr>
                <w:rFonts w:ascii="Times New Roman" w:eastAsia="Times New Roman" w:hAnsi="Times New Roman" w:cs="Times New Roman"/>
                <w:color w:val="000000"/>
                <w:lang w:val="en-GB"/>
              </w:rPr>
              <w:t>vėl švelniai pakratykite,</w:t>
            </w:r>
            <w:r w:rsidR="00A23D3E" w:rsidRPr="00A23D3E">
              <w:rPr>
                <w:rFonts w:ascii="Times New Roman" w:eastAsia="Times New Roman" w:hAnsi="Times New Roman" w:cs="Times New Roman"/>
                <w:color w:val="000000"/>
                <w:lang w:val="en-GB"/>
              </w:rPr>
              <w:t xml:space="preserve"> kad susidarytų į pieną panaši vienalytė suspensija.Traukdami tiesiai nuimkite apsauginį adatos dangtelį.</w:t>
            </w:r>
          </w:p>
          <w:p w14:paraId="797A7D6B" w14:textId="04583E22" w:rsidR="00A23D3E" w:rsidRPr="004278E9" w:rsidRDefault="00A23D3E" w:rsidP="004278E9">
            <w:pPr>
              <w:pStyle w:val="Sraopastraipa"/>
              <w:numPr>
                <w:ilvl w:val="0"/>
                <w:numId w:val="38"/>
              </w:numPr>
              <w:ind w:left="346"/>
              <w:rPr>
                <w:color w:val="000000"/>
              </w:rPr>
            </w:pPr>
            <w:r w:rsidRPr="0012067E">
              <w:rPr>
                <w:color w:val="000000"/>
              </w:rPr>
              <w:t>Švelniai patapšnokite švirkštą, kad iškiltų visi oro burbuliukai, ir juos išstumkite iš švirkšto.</w:t>
            </w:r>
            <w:r w:rsidR="0012067E" w:rsidRPr="0012067E">
              <w:rPr>
                <w:color w:val="000000"/>
              </w:rPr>
              <w:t xml:space="preserve"> </w:t>
            </w:r>
            <w:r w:rsidR="0012067E" w:rsidRPr="0012067E">
              <w:rPr>
                <w:color w:val="000000"/>
                <w:szCs w:val="22"/>
              </w:rPr>
              <w:t>Įsitikinkite, kad injekcijos vieta nebuvo užteršta.</w:t>
            </w:r>
          </w:p>
          <w:p w14:paraId="6B2A6F13" w14:textId="77777777" w:rsidR="00A23D3E" w:rsidRPr="00A23D3E" w:rsidRDefault="00A23D3E" w:rsidP="00A23D3E">
            <w:pPr>
              <w:numPr>
                <w:ilvl w:val="0"/>
                <w:numId w:val="38"/>
              </w:numPr>
              <w:autoSpaceDE w:val="0"/>
              <w:autoSpaceDN w:val="0"/>
              <w:adjustRightInd w:val="0"/>
              <w:spacing w:after="0" w:line="240" w:lineRule="auto"/>
              <w:ind w:left="426" w:hanging="426"/>
              <w:rPr>
                <w:rFonts w:ascii="Times New Roman" w:eastAsia="Times New Roman" w:hAnsi="Times New Roman" w:cs="Times New Roman"/>
                <w:color w:val="000000"/>
                <w:lang w:val="en-GB"/>
              </w:rPr>
            </w:pPr>
            <w:r w:rsidRPr="00A23D3E">
              <w:rPr>
                <w:rFonts w:ascii="Times New Roman" w:eastAsia="Calibri" w:hAnsi="Times New Roman" w:cs="Times New Roman"/>
                <w:b/>
                <w:color w:val="000000"/>
                <w:lang w:val="it-IT"/>
              </w:rPr>
              <w:t xml:space="preserve">Nedelsiant </w:t>
            </w:r>
            <w:r w:rsidRPr="00A23D3E">
              <w:rPr>
                <w:rFonts w:ascii="Times New Roman" w:eastAsia="Calibri" w:hAnsi="Times New Roman" w:cs="Times New Roman"/>
                <w:color w:val="000000"/>
                <w:lang w:val="it-IT"/>
              </w:rPr>
              <w:t xml:space="preserve">pereikite prie 8 etape nurodyto vartojimo pacientui. </w:t>
            </w:r>
            <w:r w:rsidRPr="00A23D3E">
              <w:rPr>
                <w:rFonts w:ascii="Times New Roman" w:eastAsia="Calibri" w:hAnsi="Times New Roman" w:cs="Times New Roman"/>
                <w:color w:val="000000"/>
                <w:lang w:val="en-US"/>
              </w:rPr>
              <w:t>Uždelsus, gali susidaryti nuosėdos.</w:t>
            </w:r>
            <w:r w:rsidRPr="00A23D3E">
              <w:rPr>
                <w:rFonts w:ascii="Times New Roman" w:eastAsia="Times New Roman" w:hAnsi="Times New Roman" w:cs="Times New Roman"/>
                <w:color w:val="000000"/>
                <w:lang w:val="en-GB"/>
              </w:rPr>
              <w:t xml:space="preserve"> </w:t>
            </w:r>
          </w:p>
          <w:p w14:paraId="55F419D2" w14:textId="77777777" w:rsidR="00A23D3E" w:rsidRPr="00A23D3E" w:rsidRDefault="00A23D3E" w:rsidP="00A23D3E">
            <w:pPr>
              <w:tabs>
                <w:tab w:val="left" w:pos="567"/>
              </w:tabs>
              <w:spacing w:before="120" w:after="0" w:line="240" w:lineRule="auto"/>
              <w:rPr>
                <w:rFonts w:ascii="Times New Roman" w:eastAsia="Times New Roman" w:hAnsi="Times New Roman" w:cs="Times New Roman"/>
                <w:lang w:val="en-GB"/>
              </w:rPr>
            </w:pPr>
            <w:r w:rsidRPr="00A23D3E">
              <w:rPr>
                <w:rFonts w:ascii="Times New Roman" w:eastAsia="Times New Roman" w:hAnsi="Times New Roman" w:cs="Times New Roman"/>
                <w:lang w:val="en-GB"/>
              </w:rPr>
              <w:t>.</w:t>
            </w:r>
          </w:p>
        </w:tc>
        <w:tc>
          <w:tcPr>
            <w:tcW w:w="3311" w:type="dxa"/>
            <w:shd w:val="clear" w:color="auto" w:fill="auto"/>
          </w:tcPr>
          <w:p w14:paraId="108F791D"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202A33B4" wp14:editId="0E0E3811">
                  <wp:extent cx="1866900" cy="1362075"/>
                  <wp:effectExtent l="0" t="0" r="0" b="9525"/>
                  <wp:docPr id="28"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14:paraId="6B260F9F"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52899614" wp14:editId="034F560F">
                  <wp:extent cx="1866900" cy="1362075"/>
                  <wp:effectExtent l="0" t="0" r="0" b="9525"/>
                  <wp:docPr id="29"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p w14:paraId="2E32288B"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p>
        </w:tc>
      </w:tr>
      <w:tr w:rsidR="00A23D3E" w:rsidRPr="00A23D3E" w14:paraId="242408C5" w14:textId="77777777" w:rsidTr="00C931EA">
        <w:trPr>
          <w:tblHeader/>
        </w:trPr>
        <w:tc>
          <w:tcPr>
            <w:tcW w:w="6164" w:type="dxa"/>
            <w:shd w:val="clear" w:color="auto" w:fill="auto"/>
          </w:tcPr>
          <w:p w14:paraId="1B529012" w14:textId="77777777" w:rsidR="00A23D3E" w:rsidRPr="00A23D3E" w:rsidRDefault="00A23D3E" w:rsidP="00A23D3E">
            <w:pPr>
              <w:spacing w:before="120" w:after="0" w:line="240" w:lineRule="auto"/>
              <w:ind w:left="426"/>
              <w:rPr>
                <w:rFonts w:ascii="Times New Roman" w:eastAsia="Times New Roman" w:hAnsi="Times New Roman" w:cs="Times New Roman"/>
                <w:lang w:val="en-GB"/>
              </w:rPr>
            </w:pPr>
            <w:r w:rsidRPr="00A23D3E">
              <w:rPr>
                <w:rFonts w:ascii="Times New Roman" w:eastAsia="Times New Roman" w:hAnsi="Times New Roman" w:cs="Times New Roman"/>
                <w:b/>
                <w:lang w:val="en-GB"/>
              </w:rPr>
              <w:t>8 etapas</w:t>
            </w:r>
          </w:p>
          <w:p w14:paraId="496DCDFE"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 xml:space="preserve">Sandostatin LAR galima leisti tik giliai į sėdmenų raumenis, į veną švirkšti </w:t>
            </w:r>
            <w:r w:rsidRPr="00A23D3E">
              <w:rPr>
                <w:rFonts w:ascii="Times New Roman" w:eastAsia="Times New Roman" w:hAnsi="Times New Roman" w:cs="Times New Roman"/>
                <w:b/>
                <w:bCs/>
                <w:color w:val="000000"/>
                <w:lang w:val="en-GB"/>
              </w:rPr>
              <w:t>DRAUDŽIAMA</w:t>
            </w:r>
            <w:r w:rsidRPr="00A23D3E">
              <w:rPr>
                <w:rFonts w:ascii="Times New Roman" w:eastAsia="Times New Roman" w:hAnsi="Times New Roman" w:cs="Times New Roman"/>
                <w:color w:val="000000"/>
                <w:lang w:val="en-GB"/>
              </w:rPr>
              <w:t>.</w:t>
            </w:r>
          </w:p>
          <w:p w14:paraId="14845FBE"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Įdurkite adatą į kairės ar dešinės pusės sėdmenų raumenis 90ºkampu odos atžvilgiu.</w:t>
            </w:r>
          </w:p>
          <w:p w14:paraId="3559C707" w14:textId="77777777" w:rsidR="00A23D3E" w:rsidRPr="00A23D3E" w:rsidRDefault="00A23D3E" w:rsidP="00A23D3E">
            <w:pPr>
              <w:numPr>
                <w:ilvl w:val="0"/>
                <w:numId w:val="38"/>
              </w:numPr>
              <w:autoSpaceDE w:val="0"/>
              <w:autoSpaceDN w:val="0"/>
              <w:adjustRightInd w:val="0"/>
              <w:spacing w:after="0" w:line="240" w:lineRule="auto"/>
              <w:ind w:left="426" w:hanging="392"/>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Lėtai atitraukite stūmoklį, kad įsitikintumėte, jog nepataikėte į kraujagyslę (jei pataikėte į kraujagyslę, pakeiskite adatos padėtį).</w:t>
            </w:r>
          </w:p>
          <w:p w14:paraId="50352A90" w14:textId="77777777" w:rsidR="00A23D3E" w:rsidRPr="00A23D3E" w:rsidRDefault="00A23D3E" w:rsidP="00A23D3E">
            <w:pPr>
              <w:numPr>
                <w:ilvl w:val="0"/>
                <w:numId w:val="38"/>
              </w:numPr>
              <w:spacing w:before="120" w:after="0" w:line="240" w:lineRule="auto"/>
              <w:ind w:left="460" w:hanging="426"/>
              <w:contextualSpacing/>
              <w:rPr>
                <w:rFonts w:ascii="Times New Roman" w:eastAsia="Times New Roman" w:hAnsi="Times New Roman" w:cs="Times New Roman"/>
                <w:szCs w:val="20"/>
                <w:lang w:val="en-GB"/>
              </w:rPr>
            </w:pPr>
            <w:r w:rsidRPr="00A23D3E">
              <w:rPr>
                <w:rFonts w:ascii="Times New Roman" w:eastAsia="Times New Roman" w:hAnsi="Times New Roman" w:cs="Times New Roman"/>
                <w:color w:val="000000"/>
                <w:szCs w:val="20"/>
                <w:lang w:val="en-GB"/>
              </w:rPr>
              <w:t xml:space="preserve">Lėtai spauskite stūmoklį, kol švirkštas taps tuščias. Adatą ištraukite iš injekcijos vietos ir suaktyvinkite saugumo sistemą (kaip nurodyta </w:t>
            </w:r>
            <w:r w:rsidRPr="00A23D3E">
              <w:rPr>
                <w:rFonts w:ascii="Times New Roman" w:eastAsia="Times New Roman" w:hAnsi="Times New Roman" w:cs="Times New Roman"/>
                <w:b/>
                <w:bCs/>
                <w:color w:val="000000"/>
                <w:szCs w:val="20"/>
                <w:lang w:val="en-GB"/>
              </w:rPr>
              <w:t>9 etape</w:t>
            </w:r>
            <w:r w:rsidRPr="00A23D3E">
              <w:rPr>
                <w:rFonts w:ascii="Times New Roman" w:eastAsia="Times New Roman" w:hAnsi="Times New Roman" w:cs="Times New Roman"/>
                <w:color w:val="000000"/>
                <w:szCs w:val="20"/>
                <w:lang w:val="en-GB"/>
              </w:rPr>
              <w:t>).</w:t>
            </w:r>
          </w:p>
        </w:tc>
        <w:tc>
          <w:tcPr>
            <w:tcW w:w="3311" w:type="dxa"/>
            <w:shd w:val="clear" w:color="auto" w:fill="auto"/>
          </w:tcPr>
          <w:p w14:paraId="22AEBA0B" w14:textId="7ADA3696" w:rsidR="00A23D3E" w:rsidRPr="00A23D3E" w:rsidRDefault="00DB0D00"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Calibri" w:eastAsia="Calibri" w:hAnsi="Calibri" w:cs="Times New Roman"/>
                <w:noProof/>
                <w:lang w:eastAsia="lt-LT"/>
              </w:rPr>
              <mc:AlternateContent>
                <mc:Choice Requires="wps">
                  <w:drawing>
                    <wp:anchor distT="0" distB="0" distL="114300" distR="114300" simplePos="0" relativeHeight="251662336" behindDoc="0" locked="0" layoutInCell="1" allowOverlap="1" wp14:anchorId="43DBBB4B" wp14:editId="24DD5535">
                      <wp:simplePos x="0" y="0"/>
                      <wp:positionH relativeFrom="column">
                        <wp:posOffset>373104</wp:posOffset>
                      </wp:positionH>
                      <wp:positionV relativeFrom="page">
                        <wp:posOffset>894384</wp:posOffset>
                      </wp:positionV>
                      <wp:extent cx="723265" cy="299720"/>
                      <wp:effectExtent l="0" t="0" r="0" b="5080"/>
                      <wp:wrapNone/>
                      <wp:docPr id="17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265" cy="299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32447" w14:textId="7A2E456F" w:rsidR="00D32A54" w:rsidRPr="000B196A" w:rsidRDefault="00D32A54" w:rsidP="00A23D3E">
                                  <w:pPr>
                                    <w:rPr>
                                      <w:rFonts w:ascii="Times New Roman" w:hAnsi="Times New Roman"/>
                                      <w:b/>
                                    </w:rPr>
                                  </w:pPr>
                                  <w:r w:rsidRPr="000B196A">
                                    <w:rPr>
                                      <w:rFonts w:ascii="Times New Roman" w:hAnsi="Times New Roman"/>
                                      <w:b/>
                                    </w:rPr>
                                    <w:t>kampu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BBB4B" id="Text Box 38" o:spid="_x0000_s1029" type="#_x0000_t202" style="position:absolute;left:0;text-align:left;margin-left:29.4pt;margin-top:70.4pt;width:56.95pt;height:2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" filled="f" stroked="f">
                      <v:textbox>
                        <w:txbxContent>
                          <w:p w14:paraId="40332447" w14:textId="7A2E456F" w:rsidR="00D32A54" w:rsidRPr="000B196A" w:rsidRDefault="00D32A54" w:rsidP="00A23D3E">
                            <w:pPr>
                              <w:rPr>
                                <w:rFonts w:ascii="Times New Roman" w:hAnsi="Times New Roman"/>
                                <w:b/>
                              </w:rPr>
                            </w:pPr>
                            <w:r w:rsidRPr="000B196A">
                              <w:rPr>
                                <w:rFonts w:ascii="Times New Roman" w:hAnsi="Times New Roman"/>
                                <w:b/>
                              </w:rPr>
                              <w:t>kampu</w:t>
                            </w:r>
                          </w:p>
                        </w:txbxContent>
                      </v:textbox>
                      <w10:wrap anchory="page"/>
                    </v:shape>
                  </w:pict>
                </mc:Fallback>
              </mc:AlternateContent>
            </w:r>
            <w:r w:rsidR="00A23D3E" w:rsidRPr="00A23D3E">
              <w:rPr>
                <w:rFonts w:ascii="Calibri" w:eastAsia="Calibri" w:hAnsi="Calibri" w:cs="Times New Roman"/>
                <w:noProof/>
                <w:lang w:eastAsia="lt-LT"/>
              </w:rPr>
              <mc:AlternateContent>
                <mc:Choice Requires="wps">
                  <w:drawing>
                    <wp:anchor distT="0" distB="0" distL="114300" distR="114300" simplePos="0" relativeHeight="251663360" behindDoc="0" locked="0" layoutInCell="1" allowOverlap="1" wp14:anchorId="15A53A4B" wp14:editId="7CD0F752">
                      <wp:simplePos x="0" y="0"/>
                      <wp:positionH relativeFrom="column">
                        <wp:posOffset>373104</wp:posOffset>
                      </wp:positionH>
                      <wp:positionV relativeFrom="page">
                        <wp:posOffset>11789</wp:posOffset>
                      </wp:positionV>
                      <wp:extent cx="1487805" cy="351155"/>
                      <wp:effectExtent l="0" t="0" r="0" b="0"/>
                      <wp:wrapNone/>
                      <wp:docPr id="18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7805" cy="351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95414D" w14:textId="77777777" w:rsidR="00D32A54" w:rsidRPr="00AD28A5" w:rsidRDefault="00D32A54" w:rsidP="00A23D3E">
                                  <w:pPr>
                                    <w:jc w:val="center"/>
                                    <w:rPr>
                                      <w:rFonts w:ascii="Times New Roman" w:hAnsi="Times New Roman"/>
                                      <w:b/>
                                    </w:rPr>
                                  </w:pPr>
                                  <w:r w:rsidRPr="00AD28A5">
                                    <w:rPr>
                                      <w:rFonts w:ascii="Times New Roman" w:hAnsi="Times New Roman"/>
                                      <w:b/>
                                    </w:rPr>
                                    <w:t>Injekcijos vietos</w:t>
                                  </w:r>
                                </w:p>
                                <w:p w14:paraId="72F6FB44" w14:textId="77777777" w:rsidR="00D32A54" w:rsidRDefault="00D32A54" w:rsidP="00A23D3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A53A4B" id="Text Box 39" o:spid="_x0000_s1030" type="#_x0000_t202" style="position:absolute;left:0;text-align:left;margin-left:29.4pt;margin-top:.95pt;width:117.15pt;height:2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ISauQIAAMM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" filled="f" stroked="f">
                      <v:textbox>
                        <w:txbxContent>
                          <w:p w14:paraId="4295414D" w14:textId="77777777" w:rsidR="00D32A54" w:rsidRPr="00AD28A5" w:rsidRDefault="00D32A54" w:rsidP="00A23D3E">
                            <w:pPr>
                              <w:jc w:val="center"/>
                              <w:rPr>
                                <w:rFonts w:ascii="Times New Roman" w:hAnsi="Times New Roman"/>
                                <w:b/>
                              </w:rPr>
                            </w:pPr>
                            <w:r w:rsidRPr="00AD28A5">
                              <w:rPr>
                                <w:rFonts w:ascii="Times New Roman" w:hAnsi="Times New Roman"/>
                                <w:b/>
                              </w:rPr>
                              <w:t>Injekcijos vietos</w:t>
                            </w:r>
                          </w:p>
                          <w:p w14:paraId="72F6FB44" w14:textId="77777777" w:rsidR="00D32A54" w:rsidRDefault="00D32A54" w:rsidP="00A23D3E">
                            <w:pPr>
                              <w:rPr>
                                <w:sz w:val="24"/>
                              </w:rPr>
                            </w:pPr>
                          </w:p>
                        </w:txbxContent>
                      </v:textbox>
                      <w10:wrap anchory="page"/>
                    </v:shape>
                  </w:pict>
                </mc:Fallback>
              </mc:AlternateContent>
            </w:r>
            <w:r w:rsidRPr="00A23D3E">
              <w:rPr>
                <w:rFonts w:ascii="Calibri" w:eastAsia="Calibri" w:hAnsi="Calibri" w:cs="Times New Roman"/>
                <w:noProof/>
                <w:lang w:eastAsia="lt-LT"/>
              </w:rPr>
              <w:drawing>
                <wp:inline distT="0" distB="0" distL="0" distR="0" wp14:anchorId="6D3B9A54" wp14:editId="229C72D7">
                  <wp:extent cx="1866900" cy="1362075"/>
                  <wp:effectExtent l="0" t="0" r="0" b="9525"/>
                  <wp:docPr id="65" name="Paveikslėlis 32" descr="Injection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2" descr="Injection si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866900" cy="1362075"/>
                          </a:xfrm>
                          <a:prstGeom prst="rect">
                            <a:avLst/>
                          </a:prstGeom>
                          <a:noFill/>
                          <a:ln>
                            <a:noFill/>
                          </a:ln>
                        </pic:spPr>
                      </pic:pic>
                    </a:graphicData>
                  </a:graphic>
                </wp:inline>
              </w:drawing>
            </w:r>
          </w:p>
        </w:tc>
      </w:tr>
      <w:tr w:rsidR="00A23D3E" w:rsidRPr="00A23D3E" w14:paraId="34B37F21" w14:textId="77777777" w:rsidTr="00C931EA">
        <w:trPr>
          <w:gridAfter w:val="1"/>
          <w:wAfter w:w="3311" w:type="dxa"/>
          <w:tblHeader/>
        </w:trPr>
        <w:tc>
          <w:tcPr>
            <w:tcW w:w="6164" w:type="dxa"/>
            <w:shd w:val="clear" w:color="auto" w:fill="auto"/>
          </w:tcPr>
          <w:p w14:paraId="15714011" w14:textId="77777777" w:rsidR="00A23D3E" w:rsidRPr="00A23D3E" w:rsidRDefault="00A23D3E" w:rsidP="00A23D3E">
            <w:pPr>
              <w:autoSpaceDE w:val="0"/>
              <w:autoSpaceDN w:val="0"/>
              <w:adjustRightInd w:val="0"/>
              <w:spacing w:after="0" w:line="240" w:lineRule="auto"/>
              <w:ind w:left="426"/>
              <w:rPr>
                <w:rFonts w:ascii="Times New Roman" w:eastAsia="Times New Roman" w:hAnsi="Times New Roman" w:cs="Times New Roman"/>
                <w:color w:val="000000"/>
                <w:lang w:val="en-GB"/>
              </w:rPr>
            </w:pPr>
          </w:p>
        </w:tc>
      </w:tr>
      <w:tr w:rsidR="00A23D3E" w:rsidRPr="00A23D3E" w14:paraId="7627ABDD" w14:textId="77777777" w:rsidTr="00C931EA">
        <w:trPr>
          <w:tblHeader/>
        </w:trPr>
        <w:tc>
          <w:tcPr>
            <w:tcW w:w="6164" w:type="dxa"/>
            <w:shd w:val="clear" w:color="auto" w:fill="auto"/>
          </w:tcPr>
          <w:p w14:paraId="6520DC3E" w14:textId="77777777" w:rsidR="00A23D3E" w:rsidRPr="00A23D3E" w:rsidRDefault="00A23D3E" w:rsidP="00A23D3E">
            <w:pPr>
              <w:spacing w:before="120" w:after="0" w:line="240" w:lineRule="auto"/>
              <w:ind w:left="460"/>
              <w:rPr>
                <w:rFonts w:ascii="Times New Roman" w:eastAsia="Times New Roman" w:hAnsi="Times New Roman" w:cs="Times New Roman"/>
                <w:lang w:val="en-GB"/>
              </w:rPr>
            </w:pPr>
            <w:r w:rsidRPr="00A23D3E">
              <w:rPr>
                <w:rFonts w:ascii="Times New Roman" w:eastAsia="Times New Roman" w:hAnsi="Times New Roman" w:cs="Times New Roman"/>
                <w:b/>
                <w:lang w:val="en-GB"/>
              </w:rPr>
              <w:t>9 etapas</w:t>
            </w:r>
          </w:p>
          <w:p w14:paraId="38AE2CC3"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Suaktyvinkite adatos apsaugos mechanizmą vienu iš 2 pateiktų metodų:</w:t>
            </w:r>
          </w:p>
          <w:p w14:paraId="0CF80072" w14:textId="77777777" w:rsidR="00A23D3E" w:rsidRPr="00A23D3E" w:rsidRDefault="00A23D3E" w:rsidP="00A23D3E">
            <w:pPr>
              <w:numPr>
                <w:ilvl w:val="0"/>
                <w:numId w:val="43"/>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į kietą paviršių (A paveikslas);</w:t>
            </w:r>
          </w:p>
          <w:p w14:paraId="2135D375" w14:textId="77777777" w:rsidR="00A23D3E" w:rsidRPr="00A23D3E" w:rsidRDefault="00A23D3E" w:rsidP="00A23D3E">
            <w:pPr>
              <w:numPr>
                <w:ilvl w:val="0"/>
                <w:numId w:val="43"/>
              </w:numPr>
              <w:autoSpaceDE w:val="0"/>
              <w:autoSpaceDN w:val="0"/>
              <w:adjustRightInd w:val="0"/>
              <w:spacing w:after="0" w:line="240" w:lineRule="auto"/>
              <w:ind w:hanging="260"/>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arba spauskite susilenkiančią adatos apsaugos mechanizmo dalį pirštu (B paveikslas).</w:t>
            </w:r>
          </w:p>
          <w:p w14:paraId="28FDF244"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Pasigirdęs klaktelėjimas patvirtins, kad apsaugos mechanizmas buvo tinkamai suaktyvintas.</w:t>
            </w:r>
          </w:p>
          <w:p w14:paraId="3143EE79" w14:textId="77777777" w:rsidR="00A23D3E" w:rsidRPr="00A23D3E" w:rsidRDefault="00A23D3E" w:rsidP="00A23D3E">
            <w:pPr>
              <w:numPr>
                <w:ilvl w:val="0"/>
                <w:numId w:val="38"/>
              </w:numPr>
              <w:autoSpaceDE w:val="0"/>
              <w:autoSpaceDN w:val="0"/>
              <w:adjustRightInd w:val="0"/>
              <w:spacing w:after="0" w:line="240" w:lineRule="auto"/>
              <w:ind w:left="460" w:hanging="426"/>
              <w:rPr>
                <w:rFonts w:ascii="Times New Roman" w:eastAsia="Times New Roman" w:hAnsi="Times New Roman" w:cs="Times New Roman"/>
                <w:color w:val="000000"/>
                <w:lang w:val="en-GB"/>
              </w:rPr>
            </w:pPr>
            <w:r w:rsidRPr="00A23D3E">
              <w:rPr>
                <w:rFonts w:ascii="Times New Roman" w:eastAsia="Times New Roman" w:hAnsi="Times New Roman" w:cs="Times New Roman"/>
                <w:color w:val="000000"/>
                <w:lang w:val="en-GB"/>
              </w:rPr>
              <w:t>Nedelsdami išmeskite švirkštą (į aštrių daiktų talpyklę).</w:t>
            </w:r>
          </w:p>
        </w:tc>
        <w:tc>
          <w:tcPr>
            <w:tcW w:w="3311" w:type="dxa"/>
            <w:shd w:val="clear" w:color="auto" w:fill="auto"/>
          </w:tcPr>
          <w:p w14:paraId="162074A5" w14:textId="77777777" w:rsidR="00A23D3E" w:rsidRPr="00A23D3E" w:rsidRDefault="00A23D3E" w:rsidP="00A23D3E">
            <w:pPr>
              <w:tabs>
                <w:tab w:val="left" w:pos="567"/>
              </w:tabs>
              <w:spacing w:before="120" w:after="0" w:line="240" w:lineRule="auto"/>
              <w:jc w:val="both"/>
              <w:rPr>
                <w:rFonts w:ascii="Times New Roman" w:eastAsia="Times New Roman" w:hAnsi="Times New Roman" w:cs="Times New Roman"/>
                <w:lang w:val="en-GB"/>
              </w:rPr>
            </w:pPr>
            <w:r w:rsidRPr="00A23D3E">
              <w:rPr>
                <w:rFonts w:ascii="Times New Roman" w:eastAsia="Calibri" w:hAnsi="Times New Roman" w:cs="Times New Roman"/>
                <w:noProof/>
                <w:lang w:eastAsia="lt-LT"/>
              </w:rPr>
              <w:drawing>
                <wp:inline distT="0" distB="0" distL="0" distR="0" wp14:anchorId="5726C92E" wp14:editId="0600D6E3">
                  <wp:extent cx="1866900" cy="1390650"/>
                  <wp:effectExtent l="0" t="0" r="0" b="0"/>
                  <wp:docPr id="31"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66900" cy="1390650"/>
                          </a:xfrm>
                          <a:prstGeom prst="rect">
                            <a:avLst/>
                          </a:prstGeom>
                          <a:noFill/>
                          <a:ln>
                            <a:noFill/>
                          </a:ln>
                        </pic:spPr>
                      </pic:pic>
                    </a:graphicData>
                  </a:graphic>
                </wp:inline>
              </w:drawing>
            </w:r>
            <w:r w:rsidRPr="00A23D3E">
              <w:rPr>
                <w:rFonts w:ascii="Times New Roman" w:eastAsia="Calibri" w:hAnsi="Times New Roman" w:cs="Times New Roman"/>
                <w:noProof/>
                <w:lang w:eastAsia="lt-LT"/>
              </w:rPr>
              <w:drawing>
                <wp:inline distT="0" distB="0" distL="0" distR="0" wp14:anchorId="69406887" wp14:editId="66F6E75F">
                  <wp:extent cx="1924050" cy="1438275"/>
                  <wp:effectExtent l="0" t="0" r="0" b="9525"/>
                  <wp:docPr id="64"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24050" cy="1438275"/>
                          </a:xfrm>
                          <a:prstGeom prst="rect">
                            <a:avLst/>
                          </a:prstGeom>
                          <a:noFill/>
                          <a:ln>
                            <a:noFill/>
                          </a:ln>
                        </pic:spPr>
                      </pic:pic>
                    </a:graphicData>
                  </a:graphic>
                </wp:inline>
              </w:drawing>
            </w:r>
          </w:p>
        </w:tc>
      </w:tr>
    </w:tbl>
    <w:p w14:paraId="79FD2235" w14:textId="77777777" w:rsidR="00CD207B" w:rsidRDefault="00CD207B"/>
    <w:sectPr w:rsidR="00CD207B" w:rsidSect="00C931EA">
      <w:headerReference w:type="even" r:id="rId27"/>
      <w:headerReference w:type="default" r:id="rId28"/>
      <w:footerReference w:type="even" r:id="rId29"/>
      <w:footerReference w:type="default" r:id="rId30"/>
      <w:headerReference w:type="first" r:id="rId31"/>
      <w:footerReference w:type="first" r:id="rId32"/>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9DDF3C" w14:textId="77777777" w:rsidR="00F656EB" w:rsidRDefault="00F656EB">
      <w:pPr>
        <w:spacing w:after="0" w:line="240" w:lineRule="auto"/>
      </w:pPr>
      <w:r>
        <w:separator/>
      </w:r>
    </w:p>
  </w:endnote>
  <w:endnote w:type="continuationSeparator" w:id="0">
    <w:p w14:paraId="34AC6FDA" w14:textId="77777777" w:rsidR="00F656EB" w:rsidRDefault="00F656EB">
      <w:pPr>
        <w:spacing w:after="0" w:line="240" w:lineRule="auto"/>
      </w:pPr>
      <w:r>
        <w:continuationSeparator/>
      </w:r>
    </w:p>
  </w:endnote>
  <w:endnote w:type="continuationNotice" w:id="1">
    <w:p w14:paraId="37695A68" w14:textId="77777777" w:rsidR="00F656EB" w:rsidRDefault="00F656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99F3DF" w14:textId="77777777" w:rsidR="00D32A54" w:rsidRDefault="00D32A54">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4A90A" w14:textId="72D9D615" w:rsidR="00D32A54" w:rsidRPr="000C1913" w:rsidRDefault="00D32A54">
    <w:pPr>
      <w:pStyle w:val="Porat"/>
      <w:tabs>
        <w:tab w:val="clear" w:pos="8930"/>
        <w:tab w:val="right" w:pos="8931"/>
      </w:tabs>
      <w:ind w:right="96"/>
      <w:jc w:val="center"/>
      <w:rPr>
        <w:rFonts w:ascii="Arial" w:hAnsi="Arial" w:cs="Arial"/>
      </w:rPr>
    </w:pPr>
    <w:r w:rsidRPr="000C1913">
      <w:rPr>
        <w:rFonts w:ascii="Arial" w:hAnsi="Arial" w:cs="Arial"/>
      </w:rPr>
      <w:fldChar w:fldCharType="begin"/>
    </w:r>
    <w:r w:rsidRPr="000C1913">
      <w:rPr>
        <w:rFonts w:ascii="Arial" w:hAnsi="Arial" w:cs="Arial"/>
      </w:rPr>
      <w:instrText xml:space="preserve"> EQ </w:instrText>
    </w:r>
    <w:r w:rsidRPr="000C1913">
      <w:rPr>
        <w:rFonts w:ascii="Arial" w:hAnsi="Arial" w:cs="Arial"/>
      </w:rPr>
      <w:fldChar w:fldCharType="end"/>
    </w:r>
    <w:r w:rsidRPr="000C1913">
      <w:rPr>
        <w:rStyle w:val="Puslapionumeris"/>
        <w:rFonts w:ascii="Arial" w:hAnsi="Arial" w:cs="Arial"/>
      </w:rPr>
      <w:fldChar w:fldCharType="begin"/>
    </w:r>
    <w:r w:rsidRPr="000C1913">
      <w:rPr>
        <w:rStyle w:val="Puslapionumeris"/>
        <w:rFonts w:ascii="Arial" w:hAnsi="Arial" w:cs="Arial"/>
      </w:rPr>
      <w:instrText xml:space="preserve">PAGE  </w:instrText>
    </w:r>
    <w:r w:rsidRPr="000C1913">
      <w:rPr>
        <w:rStyle w:val="Puslapionumeris"/>
        <w:rFonts w:ascii="Arial" w:hAnsi="Arial" w:cs="Arial"/>
      </w:rPr>
      <w:fldChar w:fldCharType="separate"/>
    </w:r>
    <w:r w:rsidR="00794119">
      <w:rPr>
        <w:rStyle w:val="Puslapionumeris"/>
        <w:rFonts w:ascii="Arial" w:hAnsi="Arial" w:cs="Arial"/>
        <w:noProof/>
      </w:rPr>
      <w:t>2</w:t>
    </w:r>
    <w:r w:rsidRPr="000C1913">
      <w:rPr>
        <w:rStyle w:val="Puslapionumeris"/>
        <w:rFonts w:ascii="Arial" w:hAnsi="Arial"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00FD7" w14:textId="035955A2" w:rsidR="00D32A54" w:rsidRPr="000C1913" w:rsidRDefault="00D32A54">
    <w:pPr>
      <w:pStyle w:val="Porat"/>
      <w:tabs>
        <w:tab w:val="clear" w:pos="8930"/>
        <w:tab w:val="right" w:pos="8931"/>
      </w:tabs>
      <w:ind w:right="96"/>
      <w:jc w:val="center"/>
      <w:rPr>
        <w:rFonts w:ascii="Arial" w:hAnsi="Arial" w:cs="Arial"/>
      </w:rPr>
    </w:pPr>
    <w:r w:rsidRPr="000C1913">
      <w:rPr>
        <w:rFonts w:ascii="Arial" w:hAnsi="Arial" w:cs="Arial"/>
      </w:rPr>
      <w:fldChar w:fldCharType="begin"/>
    </w:r>
    <w:r w:rsidRPr="000C1913">
      <w:rPr>
        <w:rFonts w:ascii="Arial" w:hAnsi="Arial" w:cs="Arial"/>
      </w:rPr>
      <w:instrText xml:space="preserve"> EQ </w:instrText>
    </w:r>
    <w:r w:rsidRPr="000C1913">
      <w:rPr>
        <w:rFonts w:ascii="Arial" w:hAnsi="Arial" w:cs="Arial"/>
      </w:rPr>
      <w:fldChar w:fldCharType="end"/>
    </w:r>
    <w:r w:rsidRPr="007710EC">
      <w:rPr>
        <w:rStyle w:val="Puslapionumeris"/>
        <w:rFonts w:ascii="Arial" w:hAnsi="Arial" w:cs="Arial"/>
      </w:rPr>
      <w:fldChar w:fldCharType="begin"/>
    </w:r>
    <w:r w:rsidRPr="000C1913">
      <w:rPr>
        <w:rStyle w:val="Puslapionumeris"/>
        <w:rFonts w:ascii="Arial" w:hAnsi="Arial" w:cs="Arial"/>
      </w:rPr>
      <w:instrText xml:space="preserve">PAGE  </w:instrText>
    </w:r>
    <w:r w:rsidRPr="007710EC">
      <w:rPr>
        <w:rStyle w:val="Puslapionumeris"/>
        <w:rFonts w:ascii="Arial" w:hAnsi="Arial" w:cs="Arial"/>
      </w:rPr>
      <w:fldChar w:fldCharType="separate"/>
    </w:r>
    <w:r w:rsidR="00794119">
      <w:rPr>
        <w:rStyle w:val="Puslapionumeris"/>
        <w:rFonts w:ascii="Arial" w:hAnsi="Arial" w:cs="Arial"/>
        <w:noProof/>
      </w:rPr>
      <w:t>1</w:t>
    </w:r>
    <w:r w:rsidRPr="007710EC">
      <w:rPr>
        <w:rStyle w:val="Puslapionumeris"/>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DACE25" w14:textId="77777777" w:rsidR="00F656EB" w:rsidRDefault="00F656EB">
      <w:pPr>
        <w:spacing w:after="0" w:line="240" w:lineRule="auto"/>
      </w:pPr>
      <w:r>
        <w:separator/>
      </w:r>
    </w:p>
  </w:footnote>
  <w:footnote w:type="continuationSeparator" w:id="0">
    <w:p w14:paraId="664CC353" w14:textId="77777777" w:rsidR="00F656EB" w:rsidRDefault="00F656EB">
      <w:pPr>
        <w:spacing w:after="0" w:line="240" w:lineRule="auto"/>
      </w:pPr>
      <w:r>
        <w:continuationSeparator/>
      </w:r>
    </w:p>
  </w:footnote>
  <w:footnote w:type="continuationNotice" w:id="1">
    <w:p w14:paraId="33CFCFC5" w14:textId="77777777" w:rsidR="00F656EB" w:rsidRDefault="00F656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65724" w14:textId="77777777" w:rsidR="00D32A54" w:rsidRDefault="00D32A5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4193A0" w14:textId="77777777" w:rsidR="00D32A54" w:rsidRDefault="00D32A54">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2866B2" w14:textId="77777777" w:rsidR="00D32A54" w:rsidRDefault="00D32A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DE656E"/>
    <w:lvl w:ilvl="0">
      <w:numFmt w:val="decimal"/>
      <w:lvlText w:val="*"/>
      <w:lvlJc w:val="left"/>
    </w:lvl>
  </w:abstractNum>
  <w:abstractNum w:abstractNumId="1" w15:restartNumberingAfterBreak="0">
    <w:nsid w:val="0661774D"/>
    <w:multiLevelType w:val="multilevel"/>
    <w:tmpl w:val="A02E932A"/>
    <w:numStyleLink w:val="BulletsAgency"/>
  </w:abstractNum>
  <w:abstractNum w:abstractNumId="2" w15:restartNumberingAfterBreak="0">
    <w:nsid w:val="074F0B61"/>
    <w:multiLevelType w:val="hybridMultilevel"/>
    <w:tmpl w:val="5F1C17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rPr>
        <w:rFonts w:hint="default"/>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lef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left"/>
      <w:pPr>
        <w:tabs>
          <w:tab w:val="num" w:pos="720"/>
        </w:tabs>
        <w:ind w:left="720" w:firstLine="0"/>
      </w:pPr>
      <w:rPr>
        <w:rFonts w:hint="default"/>
      </w:rPr>
    </w:lvl>
  </w:abstractNum>
  <w:abstractNum w:abstractNumId="4" w15:restartNumberingAfterBreak="0">
    <w:nsid w:val="0A127BC8"/>
    <w:multiLevelType w:val="multilevel"/>
    <w:tmpl w:val="A66AC686"/>
    <w:lvl w:ilvl="0">
      <w:start w:val="1"/>
      <w:numFmt w:val="decimal"/>
      <w:pStyle w:val="TableheadingAgency"/>
      <w:suff w:val="space"/>
      <w:lvlText w:val="Table %1. "/>
      <w:lvlJc w:val="left"/>
      <w:pPr>
        <w:ind w:left="0" w:firstLine="0"/>
      </w:pPr>
      <w:rPr>
        <w:rFonts w:ascii="Verdana" w:hAnsi="Verdana" w:hint="default"/>
        <w:b/>
        <w:i w:val="0"/>
        <w:sz w:val="18"/>
        <w:szCs w:val="18"/>
      </w:rPr>
    </w:lvl>
    <w:lvl w:ilvl="1">
      <w:start w:val="1"/>
      <w:numFmt w:val="decimalZero"/>
      <w:isLgl/>
      <w:lvlText w:val="%1Section .%2"/>
      <w:lvlJc w:val="left"/>
      <w:pPr>
        <w:tabs>
          <w:tab w:val="num" w:pos="1080"/>
        </w:tabs>
        <w:ind w:left="0" w:firstLine="0"/>
      </w:pPr>
      <w:rPr>
        <w:rFonts w:hint="default"/>
      </w:rPr>
    </w:lvl>
    <w:lvl w:ilvl="2">
      <w:start w:val="1"/>
      <w:numFmt w:val="lowerLetter"/>
      <w:lvlText w:val="(%3)"/>
      <w:lvlJc w:val="left"/>
      <w:pPr>
        <w:tabs>
          <w:tab w:val="num" w:pos="720"/>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5" w15:restartNumberingAfterBreak="0">
    <w:nsid w:val="0BF617E8"/>
    <w:multiLevelType w:val="hybridMultilevel"/>
    <w:tmpl w:val="C9265E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4028F1"/>
    <w:multiLevelType w:val="hybridMultilevel"/>
    <w:tmpl w:val="E624A704"/>
    <w:lvl w:ilvl="0" w:tplc="35661826">
      <w:start w:val="1"/>
      <w:numFmt w:val="lowerLetter"/>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AA6AD7"/>
    <w:multiLevelType w:val="singleLevel"/>
    <w:tmpl w:val="4BE4D29E"/>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0E7A0AF4"/>
    <w:multiLevelType w:val="multilevel"/>
    <w:tmpl w:val="14DA7716"/>
    <w:lvl w:ilvl="0">
      <w:start w:val="1"/>
      <w:numFmt w:val="decimal"/>
      <w:pStyle w:val="FigureheadingAgency"/>
      <w:suff w:val="space"/>
      <w:lvlText w:val="Figure %1. "/>
      <w:lvlJc w:val="left"/>
      <w:pPr>
        <w:ind w:left="432" w:hanging="432"/>
      </w:pPr>
      <w:rPr>
        <w:rFonts w:ascii="Verdana" w:hAnsi="Verdana" w:hint="default"/>
        <w:b/>
        <w:i w:val="0"/>
        <w:color w:val="auto"/>
        <w:sz w:val="18"/>
        <w:szCs w:val="18"/>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19807EE4"/>
    <w:multiLevelType w:val="hybridMultilevel"/>
    <w:tmpl w:val="A1EED104"/>
    <w:lvl w:ilvl="0" w:tplc="AE22C492">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BE313F"/>
    <w:multiLevelType w:val="multilevel"/>
    <w:tmpl w:val="9BF80866"/>
    <w:lvl w:ilvl="0">
      <w:start w:val="1"/>
      <w:numFmt w:val="decimal"/>
      <w:lvlText w:val="%1."/>
      <w:lvlJc w:val="left"/>
      <w:pPr>
        <w:tabs>
          <w:tab w:val="num" w:pos="1890"/>
        </w:tabs>
        <w:ind w:left="1890" w:hanging="360"/>
      </w:pPr>
    </w:lvl>
    <w:lvl w:ilvl="1">
      <w:start w:val="1"/>
      <w:numFmt w:val="lowerLetter"/>
      <w:lvlText w:val="%2."/>
      <w:lvlJc w:val="left"/>
      <w:pPr>
        <w:tabs>
          <w:tab w:val="num" w:pos="2610"/>
        </w:tabs>
        <w:ind w:left="2610" w:hanging="360"/>
      </w:pPr>
    </w:lvl>
    <w:lvl w:ilvl="2">
      <w:start w:val="1"/>
      <w:numFmt w:val="lowerRoman"/>
      <w:lvlText w:val="%3."/>
      <w:lvlJc w:val="right"/>
      <w:pPr>
        <w:tabs>
          <w:tab w:val="num" w:pos="3330"/>
        </w:tabs>
        <w:ind w:left="3330" w:hanging="180"/>
      </w:pPr>
    </w:lvl>
    <w:lvl w:ilvl="3">
      <w:start w:val="1"/>
      <w:numFmt w:val="decimal"/>
      <w:lvlText w:val="%4."/>
      <w:lvlJc w:val="left"/>
      <w:pPr>
        <w:tabs>
          <w:tab w:val="num" w:pos="4050"/>
        </w:tabs>
        <w:ind w:left="4050" w:hanging="360"/>
      </w:pPr>
    </w:lvl>
    <w:lvl w:ilvl="4">
      <w:start w:val="1"/>
      <w:numFmt w:val="lowerLetter"/>
      <w:lvlText w:val="%5."/>
      <w:lvlJc w:val="left"/>
      <w:pPr>
        <w:tabs>
          <w:tab w:val="num" w:pos="4770"/>
        </w:tabs>
        <w:ind w:left="4770" w:hanging="360"/>
      </w:pPr>
    </w:lvl>
    <w:lvl w:ilvl="5">
      <w:start w:val="1"/>
      <w:numFmt w:val="lowerRoman"/>
      <w:lvlText w:val="%6."/>
      <w:lvlJc w:val="right"/>
      <w:pPr>
        <w:tabs>
          <w:tab w:val="num" w:pos="5490"/>
        </w:tabs>
        <w:ind w:left="5490" w:hanging="180"/>
      </w:pPr>
    </w:lvl>
    <w:lvl w:ilvl="6">
      <w:start w:val="1"/>
      <w:numFmt w:val="decimal"/>
      <w:lvlText w:val="%7."/>
      <w:lvlJc w:val="left"/>
      <w:pPr>
        <w:tabs>
          <w:tab w:val="num" w:pos="6210"/>
        </w:tabs>
        <w:ind w:left="6210" w:hanging="360"/>
      </w:pPr>
    </w:lvl>
    <w:lvl w:ilvl="7">
      <w:start w:val="1"/>
      <w:numFmt w:val="lowerLetter"/>
      <w:lvlText w:val="%8."/>
      <w:lvlJc w:val="left"/>
      <w:pPr>
        <w:tabs>
          <w:tab w:val="num" w:pos="6930"/>
        </w:tabs>
        <w:ind w:left="6930" w:hanging="360"/>
      </w:pPr>
    </w:lvl>
    <w:lvl w:ilvl="8">
      <w:start w:val="1"/>
      <w:numFmt w:val="lowerRoman"/>
      <w:lvlText w:val="%9."/>
      <w:lvlJc w:val="right"/>
      <w:pPr>
        <w:tabs>
          <w:tab w:val="num" w:pos="7650"/>
        </w:tabs>
        <w:ind w:left="7650" w:hanging="180"/>
      </w:pPr>
    </w:lvl>
  </w:abstractNum>
  <w:abstractNum w:abstractNumId="11"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vanish w:val="0"/>
        <w:color w:val="auto"/>
        <w:sz w:val="18"/>
        <w:szCs w:val="18"/>
        <w:u w:val="none"/>
        <w:vertAlign w:val="baseline"/>
        <w:em w:val="none"/>
      </w:rPr>
    </w:lvl>
    <w:lvl w:ilvl="1">
      <w:start w:val="1"/>
      <w:numFmt w:val="decimal"/>
      <w:lvlText w:val="%1.%2."/>
      <w:lvlJc w:val="left"/>
      <w:pPr>
        <w:tabs>
          <w:tab w:val="num" w:pos="964"/>
        </w:tabs>
        <w:ind w:left="964" w:hanging="604"/>
      </w:pPr>
      <w:rPr>
        <w:rFonts w:ascii="Verdana" w:hAnsi="Verdana" w:hint="default"/>
        <w:b w:val="0"/>
        <w:i w:val="0"/>
        <w:caps w:val="0"/>
        <w:strike w:val="0"/>
        <w:dstrike w:val="0"/>
        <w:vanish w:val="0"/>
        <w:color w:val="auto"/>
        <w:sz w:val="18"/>
        <w:szCs w:val="18"/>
        <w:u w:val="none"/>
        <w:vertAlign w:val="baseline"/>
        <w:em w:val="none"/>
      </w:rPr>
    </w:lvl>
    <w:lvl w:ilvl="2">
      <w:start w:val="1"/>
      <w:numFmt w:val="none"/>
      <w:lvlText w:val=""/>
      <w:lvlJc w:val="left"/>
      <w:pPr>
        <w:tabs>
          <w:tab w:val="num" w:pos="964"/>
        </w:tabs>
        <w:ind w:left="964" w:hanging="607"/>
      </w:pPr>
      <w:rPr>
        <w:rFonts w:hint="default"/>
      </w:rPr>
    </w:lvl>
    <w:lvl w:ilvl="3">
      <w:start w:val="1"/>
      <w:numFmt w:val="none"/>
      <w:lvlText w:val=""/>
      <w:lvlJc w:val="left"/>
      <w:pPr>
        <w:tabs>
          <w:tab w:val="num" w:pos="964"/>
        </w:tabs>
        <w:ind w:left="964" w:hanging="607"/>
      </w:pPr>
      <w:rPr>
        <w:rFonts w:hint="default"/>
      </w:rPr>
    </w:lvl>
    <w:lvl w:ilvl="4">
      <w:start w:val="1"/>
      <w:numFmt w:val="none"/>
      <w:lvlText w:val=""/>
      <w:lvlJc w:val="left"/>
      <w:pPr>
        <w:tabs>
          <w:tab w:val="num" w:pos="964"/>
        </w:tabs>
        <w:ind w:left="964" w:hanging="607"/>
      </w:pPr>
      <w:rPr>
        <w:rFonts w:hint="default"/>
      </w:rPr>
    </w:lvl>
    <w:lvl w:ilvl="5">
      <w:start w:val="1"/>
      <w:numFmt w:val="none"/>
      <w:lvlText w:val=""/>
      <w:lvlJc w:val="left"/>
      <w:pPr>
        <w:tabs>
          <w:tab w:val="num" w:pos="964"/>
        </w:tabs>
        <w:ind w:left="964" w:hanging="607"/>
      </w:pPr>
      <w:rPr>
        <w:rFonts w:hint="default"/>
      </w:rPr>
    </w:lvl>
    <w:lvl w:ilvl="6">
      <w:start w:val="1"/>
      <w:numFmt w:val="none"/>
      <w:lvlText w:val="%7"/>
      <w:lvlJc w:val="left"/>
      <w:pPr>
        <w:tabs>
          <w:tab w:val="num" w:pos="964"/>
        </w:tabs>
        <w:ind w:left="964" w:hanging="607"/>
      </w:pPr>
      <w:rPr>
        <w:rFonts w:hint="default"/>
      </w:rPr>
    </w:lvl>
    <w:lvl w:ilvl="7">
      <w:start w:val="1"/>
      <w:numFmt w:val="none"/>
      <w:lvlText w:val=""/>
      <w:lvlJc w:val="left"/>
      <w:pPr>
        <w:tabs>
          <w:tab w:val="num" w:pos="964"/>
        </w:tabs>
        <w:ind w:left="964" w:hanging="607"/>
      </w:pPr>
      <w:rPr>
        <w:rFonts w:hint="default"/>
      </w:rPr>
    </w:lvl>
    <w:lvl w:ilvl="8">
      <w:start w:val="1"/>
      <w:numFmt w:val="none"/>
      <w:lvlText w:val=""/>
      <w:lvlJc w:val="left"/>
      <w:pPr>
        <w:tabs>
          <w:tab w:val="num" w:pos="964"/>
        </w:tabs>
        <w:ind w:left="964" w:hanging="607"/>
      </w:pPr>
      <w:rPr>
        <w:rFonts w:hint="default"/>
      </w:rPr>
    </w:lvl>
  </w:abstractNum>
  <w:abstractNum w:abstractNumId="12"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3" w15:restartNumberingAfterBreak="0">
    <w:nsid w:val="204E1AD7"/>
    <w:multiLevelType w:val="hybridMultilevel"/>
    <w:tmpl w:val="134CC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62978"/>
    <w:multiLevelType w:val="multilevel"/>
    <w:tmpl w:val="7614763A"/>
    <w:numStyleLink w:val="NumberlistAgency"/>
  </w:abstractNum>
  <w:abstractNum w:abstractNumId="15" w15:restartNumberingAfterBreak="0">
    <w:nsid w:val="23181481"/>
    <w:multiLevelType w:val="multilevel"/>
    <w:tmpl w:val="7614763A"/>
    <w:numStyleLink w:val="NumberlistAgency"/>
  </w:abstractNum>
  <w:abstractNum w:abstractNumId="16" w15:restartNumberingAfterBreak="0">
    <w:nsid w:val="23B17A57"/>
    <w:multiLevelType w:val="singleLevel"/>
    <w:tmpl w:val="B7A49E96"/>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26C8068B"/>
    <w:multiLevelType w:val="hybridMultilevel"/>
    <w:tmpl w:val="4DAC0D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C673943"/>
    <w:multiLevelType w:val="singleLevel"/>
    <w:tmpl w:val="347020E6"/>
    <w:lvl w:ilvl="0">
      <w:start w:val="1"/>
      <w:numFmt w:val="bullet"/>
      <w:lvlText w:val=""/>
      <w:lvlJc w:val="left"/>
      <w:pPr>
        <w:tabs>
          <w:tab w:val="num" w:pos="499"/>
        </w:tabs>
        <w:ind w:left="499" w:hanging="357"/>
      </w:pPr>
      <w:rPr>
        <w:rFonts w:ascii="Symbol" w:hAnsi="Symbol" w:hint="default"/>
      </w:rPr>
    </w:lvl>
  </w:abstractNum>
  <w:abstractNum w:abstractNumId="19" w15:restartNumberingAfterBreak="0">
    <w:nsid w:val="32A7664F"/>
    <w:multiLevelType w:val="multilevel"/>
    <w:tmpl w:val="7614763A"/>
    <w:numStyleLink w:val="NumberlistAgency"/>
  </w:abstractNum>
  <w:abstractNum w:abstractNumId="20" w15:restartNumberingAfterBreak="0">
    <w:nsid w:val="36C02A9B"/>
    <w:multiLevelType w:val="multilevel"/>
    <w:tmpl w:val="A02E932A"/>
    <w:numStyleLink w:val="BulletsAgency"/>
  </w:abstractNum>
  <w:abstractNum w:abstractNumId="21" w15:restartNumberingAfterBreak="0">
    <w:nsid w:val="37986EA3"/>
    <w:multiLevelType w:val="hybridMultilevel"/>
    <w:tmpl w:val="5B5411B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185AE5"/>
    <w:multiLevelType w:val="multilevel"/>
    <w:tmpl w:val="7614763A"/>
    <w:numStyleLink w:val="NumberlistAgency"/>
  </w:abstractNum>
  <w:abstractNum w:abstractNumId="23" w15:restartNumberingAfterBreak="0">
    <w:nsid w:val="3B70718B"/>
    <w:multiLevelType w:val="hybridMultilevel"/>
    <w:tmpl w:val="BFE06BC0"/>
    <w:lvl w:ilvl="0" w:tplc="9ED030C8">
      <w:start w:val="3"/>
      <w:numFmt w:val="bullet"/>
      <w:lvlText w:val="-"/>
      <w:lvlJc w:val="left"/>
      <w:pPr>
        <w:tabs>
          <w:tab w:val="num" w:pos="1080"/>
        </w:tabs>
        <w:ind w:left="1080" w:hanging="720"/>
      </w:pPr>
      <w:rPr>
        <w:rFonts w:ascii="Verdana" w:eastAsia="Verdana" w:hAnsi="Verdana" w:cs="Verdan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DF945F7"/>
    <w:multiLevelType w:val="hybridMultilevel"/>
    <w:tmpl w:val="BC56D4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368284C"/>
    <w:multiLevelType w:val="hybridMultilevel"/>
    <w:tmpl w:val="54047246"/>
    <w:lvl w:ilvl="0" w:tplc="FFFFFFFF">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A95ECF"/>
    <w:multiLevelType w:val="multilevel"/>
    <w:tmpl w:val="A02E932A"/>
    <w:numStyleLink w:val="BulletsAgency"/>
  </w:abstractNum>
  <w:abstractNum w:abstractNumId="27" w15:restartNumberingAfterBreak="0">
    <w:nsid w:val="441A6191"/>
    <w:multiLevelType w:val="hybridMultilevel"/>
    <w:tmpl w:val="D118FE9C"/>
    <w:lvl w:ilvl="0" w:tplc="35661826">
      <w:start w:val="1"/>
      <w:numFmt w:val="lowerLetter"/>
      <w:lvlText w:val="%1."/>
      <w:lvlJc w:val="left"/>
      <w:pPr>
        <w:tabs>
          <w:tab w:val="num" w:pos="1620"/>
        </w:tabs>
        <w:ind w:left="1620" w:hanging="360"/>
      </w:pPr>
      <w:rPr>
        <w:rFonts w:hint="default"/>
        <w:color w:val="auto"/>
      </w:rPr>
    </w:lvl>
    <w:lvl w:ilvl="1" w:tplc="04090019" w:tentative="1">
      <w:start w:val="1"/>
      <w:numFmt w:val="lowerLetter"/>
      <w:lvlText w:val="%2."/>
      <w:lvlJc w:val="left"/>
      <w:pPr>
        <w:tabs>
          <w:tab w:val="num" w:pos="2610"/>
        </w:tabs>
        <w:ind w:left="2610" w:hanging="360"/>
      </w:pPr>
    </w:lvl>
    <w:lvl w:ilvl="2" w:tplc="0409001B" w:tentative="1">
      <w:start w:val="1"/>
      <w:numFmt w:val="lowerRoman"/>
      <w:lvlText w:val="%3."/>
      <w:lvlJc w:val="right"/>
      <w:pPr>
        <w:tabs>
          <w:tab w:val="num" w:pos="3330"/>
        </w:tabs>
        <w:ind w:left="3330" w:hanging="180"/>
      </w:pPr>
    </w:lvl>
    <w:lvl w:ilvl="3" w:tplc="0409000F" w:tentative="1">
      <w:start w:val="1"/>
      <w:numFmt w:val="decimal"/>
      <w:lvlText w:val="%4."/>
      <w:lvlJc w:val="left"/>
      <w:pPr>
        <w:tabs>
          <w:tab w:val="num" w:pos="4050"/>
        </w:tabs>
        <w:ind w:left="4050" w:hanging="360"/>
      </w:pPr>
    </w:lvl>
    <w:lvl w:ilvl="4" w:tplc="04090019" w:tentative="1">
      <w:start w:val="1"/>
      <w:numFmt w:val="lowerLetter"/>
      <w:lvlText w:val="%5."/>
      <w:lvlJc w:val="left"/>
      <w:pPr>
        <w:tabs>
          <w:tab w:val="num" w:pos="4770"/>
        </w:tabs>
        <w:ind w:left="4770" w:hanging="360"/>
      </w:pPr>
    </w:lvl>
    <w:lvl w:ilvl="5" w:tplc="0409001B" w:tentative="1">
      <w:start w:val="1"/>
      <w:numFmt w:val="lowerRoman"/>
      <w:lvlText w:val="%6."/>
      <w:lvlJc w:val="right"/>
      <w:pPr>
        <w:tabs>
          <w:tab w:val="num" w:pos="5490"/>
        </w:tabs>
        <w:ind w:left="5490" w:hanging="180"/>
      </w:pPr>
    </w:lvl>
    <w:lvl w:ilvl="6" w:tplc="0409000F" w:tentative="1">
      <w:start w:val="1"/>
      <w:numFmt w:val="decimal"/>
      <w:lvlText w:val="%7."/>
      <w:lvlJc w:val="left"/>
      <w:pPr>
        <w:tabs>
          <w:tab w:val="num" w:pos="6210"/>
        </w:tabs>
        <w:ind w:left="6210" w:hanging="360"/>
      </w:pPr>
    </w:lvl>
    <w:lvl w:ilvl="7" w:tplc="04090019" w:tentative="1">
      <w:start w:val="1"/>
      <w:numFmt w:val="lowerLetter"/>
      <w:lvlText w:val="%8."/>
      <w:lvlJc w:val="left"/>
      <w:pPr>
        <w:tabs>
          <w:tab w:val="num" w:pos="6930"/>
        </w:tabs>
        <w:ind w:left="6930" w:hanging="360"/>
      </w:pPr>
    </w:lvl>
    <w:lvl w:ilvl="8" w:tplc="0409001B" w:tentative="1">
      <w:start w:val="1"/>
      <w:numFmt w:val="lowerRoman"/>
      <w:lvlText w:val="%9."/>
      <w:lvlJc w:val="right"/>
      <w:pPr>
        <w:tabs>
          <w:tab w:val="num" w:pos="7650"/>
        </w:tabs>
        <w:ind w:left="7650" w:hanging="180"/>
      </w:pPr>
    </w:lvl>
  </w:abstractNum>
  <w:abstractNum w:abstractNumId="28" w15:restartNumberingAfterBreak="0">
    <w:nsid w:val="46BA7E5A"/>
    <w:multiLevelType w:val="hybridMultilevel"/>
    <w:tmpl w:val="F3C20A9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9" w15:restartNumberingAfterBreak="0">
    <w:nsid w:val="4AD933C5"/>
    <w:multiLevelType w:val="hybridMultilevel"/>
    <w:tmpl w:val="6EEE0D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102EDC"/>
    <w:multiLevelType w:val="multilevel"/>
    <w:tmpl w:val="BB181F7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51E21733"/>
    <w:multiLevelType w:val="multilevel"/>
    <w:tmpl w:val="A94C57BE"/>
    <w:lvl w:ilvl="0">
      <w:start w:val="1"/>
      <w:numFmt w:val="decimal"/>
      <w:pStyle w:val="Heading1Agency"/>
      <w:suff w:val="space"/>
      <w:lvlText w:val="%1. "/>
      <w:lvlJc w:val="left"/>
      <w:pPr>
        <w:ind w:left="0" w:firstLine="0"/>
      </w:pPr>
      <w:rPr>
        <w:rFonts w:hint="default"/>
      </w:rPr>
    </w:lvl>
    <w:lvl w:ilvl="1">
      <w:start w:val="1"/>
      <w:numFmt w:val="decimal"/>
      <w:pStyle w:val="Heading2Agency"/>
      <w:suff w:val="space"/>
      <w:lvlText w:val="%1.%2. "/>
      <w:lvlJc w:val="left"/>
      <w:pPr>
        <w:ind w:left="0" w:firstLine="0"/>
      </w:pPr>
      <w:rPr>
        <w:rFonts w:hint="default"/>
      </w:rPr>
    </w:lvl>
    <w:lvl w:ilvl="2">
      <w:start w:val="1"/>
      <w:numFmt w:val="decimal"/>
      <w:pStyle w:val="Heading3Agency"/>
      <w:suff w:val="space"/>
      <w:lvlText w:val="%1.%2.%3. "/>
      <w:lvlJc w:val="left"/>
      <w:pPr>
        <w:ind w:left="0" w:firstLine="0"/>
      </w:pPr>
      <w:rPr>
        <w:rFonts w:hint="default"/>
      </w:rPr>
    </w:lvl>
    <w:lvl w:ilvl="3">
      <w:start w:val="1"/>
      <w:numFmt w:val="decimal"/>
      <w:pStyle w:val="Heading4Agency"/>
      <w:isLgl/>
      <w:suff w:val="space"/>
      <w:lvlText w:val="%1.%2.%3.%4. "/>
      <w:lvlJc w:val="left"/>
      <w:pPr>
        <w:ind w:left="0" w:firstLine="0"/>
      </w:pPr>
      <w:rPr>
        <w:rFonts w:hint="default"/>
      </w:rPr>
    </w:lvl>
    <w:lvl w:ilvl="4">
      <w:start w:val="1"/>
      <w:numFmt w:val="decimal"/>
      <w:pStyle w:val="Heading5Agency"/>
      <w:suff w:val="space"/>
      <w:lvlText w:val="%1.%2.%3.%4.%5. "/>
      <w:lvlJc w:val="left"/>
      <w:pPr>
        <w:ind w:left="0" w:firstLine="0"/>
      </w:pPr>
      <w:rPr>
        <w:rFonts w:hint="default"/>
      </w:rPr>
    </w:lvl>
    <w:lvl w:ilvl="5">
      <w:start w:val="1"/>
      <w:numFmt w:val="decimal"/>
      <w:pStyle w:val="Heading6Agency"/>
      <w:suff w:val="space"/>
      <w:lvlText w:val="%1.%2.%3.%4.%5.%6. "/>
      <w:lvlJc w:val="left"/>
      <w:pPr>
        <w:ind w:left="0" w:firstLine="0"/>
      </w:pPr>
      <w:rPr>
        <w:rFonts w:hint="default"/>
      </w:rPr>
    </w:lvl>
    <w:lvl w:ilvl="6">
      <w:start w:val="1"/>
      <w:numFmt w:val="decimal"/>
      <w:pStyle w:val="Heading7Agency"/>
      <w:suff w:val="space"/>
      <w:lvlText w:val="%1.%2.%3.%4.%5.%6.%7. "/>
      <w:lvlJc w:val="left"/>
      <w:pPr>
        <w:ind w:left="0" w:firstLine="0"/>
      </w:pPr>
      <w:rPr>
        <w:rFonts w:hint="default"/>
      </w:rPr>
    </w:lvl>
    <w:lvl w:ilvl="7">
      <w:start w:val="1"/>
      <w:numFmt w:val="decimal"/>
      <w:pStyle w:val="Heading8Agency"/>
      <w:suff w:val="space"/>
      <w:lvlText w:val="%1.%2.%3.%4.%5.%6.%7.%8. "/>
      <w:lvlJc w:val="left"/>
      <w:pPr>
        <w:ind w:left="0" w:firstLine="0"/>
      </w:pPr>
      <w:rPr>
        <w:rFonts w:hint="default"/>
      </w:rPr>
    </w:lvl>
    <w:lvl w:ilvl="8">
      <w:start w:val="1"/>
      <w:numFmt w:val="decimal"/>
      <w:pStyle w:val="Heading9Agency"/>
      <w:suff w:val="space"/>
      <w:lvlText w:val="%1.%2.%3.%4.%5.%6.%7.%8.%9. "/>
      <w:lvlJc w:val="left"/>
      <w:pPr>
        <w:ind w:left="0" w:firstLine="0"/>
      </w:pPr>
      <w:rPr>
        <w:rFonts w:hint="default"/>
      </w:rPr>
    </w:lvl>
  </w:abstractNum>
  <w:abstractNum w:abstractNumId="32" w15:restartNumberingAfterBreak="0">
    <w:nsid w:val="5844765E"/>
    <w:multiLevelType w:val="multilevel"/>
    <w:tmpl w:val="7614763A"/>
    <w:numStyleLink w:val="NumberlistAgency"/>
  </w:abstractNum>
  <w:abstractNum w:abstractNumId="33" w15:restartNumberingAfterBreak="0">
    <w:nsid w:val="5D097EF8"/>
    <w:multiLevelType w:val="multilevel"/>
    <w:tmpl w:val="A02E932A"/>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rPr>
        <w:rFonts w:hint="default"/>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lef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left"/>
      <w:pPr>
        <w:tabs>
          <w:tab w:val="num" w:pos="720"/>
        </w:tabs>
        <w:ind w:left="720" w:firstLine="0"/>
      </w:pPr>
      <w:rPr>
        <w:rFonts w:hint="default"/>
      </w:rPr>
    </w:lvl>
  </w:abstractNum>
  <w:abstractNum w:abstractNumId="34" w15:restartNumberingAfterBreak="0">
    <w:nsid w:val="619612C4"/>
    <w:multiLevelType w:val="hybridMultilevel"/>
    <w:tmpl w:val="19AC1C26"/>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5" w15:restartNumberingAfterBreak="0">
    <w:nsid w:val="62C67FD8"/>
    <w:multiLevelType w:val="hybridMultilevel"/>
    <w:tmpl w:val="1FBA6FE8"/>
    <w:lvl w:ilvl="0" w:tplc="2E584FF0">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65111AA7"/>
    <w:multiLevelType w:val="hybridMultilevel"/>
    <w:tmpl w:val="4584663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6C5143"/>
    <w:multiLevelType w:val="multilevel"/>
    <w:tmpl w:val="7614763A"/>
    <w:numStyleLink w:val="NumberlistAgency"/>
  </w:abstractNum>
  <w:abstractNum w:abstractNumId="38" w15:restartNumberingAfterBreak="0">
    <w:nsid w:val="788147DE"/>
    <w:multiLevelType w:val="hybridMultilevel"/>
    <w:tmpl w:val="D60291D6"/>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9A50508"/>
    <w:multiLevelType w:val="singleLevel"/>
    <w:tmpl w:val="0F4ADFEC"/>
    <w:lvl w:ilvl="0">
      <w:start w:val="1"/>
      <w:numFmt w:val="bullet"/>
      <w:lvlText w:val=""/>
      <w:lvlJc w:val="left"/>
      <w:pPr>
        <w:tabs>
          <w:tab w:val="num" w:pos="357"/>
        </w:tabs>
        <w:ind w:left="357" w:hanging="357"/>
      </w:pPr>
      <w:rPr>
        <w:rFonts w:ascii="Symbol" w:hAnsi="Symbol" w:hint="default"/>
      </w:rPr>
    </w:lvl>
  </w:abstractNum>
  <w:abstractNum w:abstractNumId="40" w15:restartNumberingAfterBreak="0">
    <w:nsid w:val="7B9271B1"/>
    <w:multiLevelType w:val="hybridMultilevel"/>
    <w:tmpl w:val="BF824D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D40455A"/>
    <w:multiLevelType w:val="hybridMultilevel"/>
    <w:tmpl w:val="B74ED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lang w:val="pt-BR"/>
        </w:rPr>
      </w:lvl>
    </w:lvlOverride>
  </w:num>
  <w:num w:numId="2">
    <w:abstractNumId w:val="12"/>
  </w:num>
  <w:num w:numId="3">
    <w:abstractNumId w:val="13"/>
  </w:num>
  <w:num w:numId="4">
    <w:abstractNumId w:val="18"/>
  </w:num>
  <w:num w:numId="5">
    <w:abstractNumId w:val="39"/>
  </w:num>
  <w:num w:numId="6">
    <w:abstractNumId w:val="16"/>
  </w:num>
  <w:num w:numId="7">
    <w:abstractNumId w:val="25"/>
  </w:num>
  <w:num w:numId="8">
    <w:abstractNumId w:val="21"/>
  </w:num>
  <w:num w:numId="9">
    <w:abstractNumId w:val="34"/>
  </w:num>
  <w:num w:numId="10">
    <w:abstractNumId w:val="9"/>
  </w:num>
  <w:num w:numId="11">
    <w:abstractNumId w:val="41"/>
  </w:num>
  <w:num w:numId="12">
    <w:abstractNumId w:val="3"/>
  </w:num>
  <w:num w:numId="13">
    <w:abstractNumId w:val="8"/>
  </w:num>
  <w:num w:numId="14">
    <w:abstractNumId w:val="31"/>
  </w:num>
  <w:num w:numId="15">
    <w:abstractNumId w:val="11"/>
  </w:num>
  <w:num w:numId="16">
    <w:abstractNumId w:val="4"/>
  </w:num>
  <w:num w:numId="17">
    <w:abstractNumId w:val="0"/>
    <w:lvlOverride w:ilvl="0">
      <w:lvl w:ilvl="0">
        <w:numFmt w:val="bullet"/>
        <w:lvlText w:val="-"/>
        <w:legacy w:legacy="1" w:legacySpace="0" w:legacyIndent="570"/>
        <w:lvlJc w:val="left"/>
        <w:pPr>
          <w:ind w:left="570" w:hanging="570"/>
        </w:pPr>
      </w:lvl>
    </w:lvlOverride>
  </w:num>
  <w:num w:numId="18">
    <w:abstractNumId w:val="37"/>
  </w:num>
  <w:num w:numId="19">
    <w:abstractNumId w:val="19"/>
  </w:num>
  <w:num w:numId="20">
    <w:abstractNumId w:val="14"/>
  </w:num>
  <w:num w:numId="21">
    <w:abstractNumId w:val="15"/>
  </w:num>
  <w:num w:numId="22">
    <w:abstractNumId w:val="22"/>
  </w:num>
  <w:num w:numId="23">
    <w:abstractNumId w:val="32"/>
  </w:num>
  <w:num w:numId="24">
    <w:abstractNumId w:val="20"/>
  </w:num>
  <w:num w:numId="25">
    <w:abstractNumId w:val="23"/>
  </w:num>
  <w:num w:numId="26">
    <w:abstractNumId w:val="26"/>
  </w:num>
  <w:num w:numId="27">
    <w:abstractNumId w:val="1"/>
  </w:num>
  <w:num w:numId="28">
    <w:abstractNumId w:val="17"/>
  </w:num>
  <w:num w:numId="29">
    <w:abstractNumId w:val="24"/>
  </w:num>
  <w:num w:numId="30">
    <w:abstractNumId w:val="6"/>
  </w:num>
  <w:num w:numId="31">
    <w:abstractNumId w:val="30"/>
  </w:num>
  <w:num w:numId="32">
    <w:abstractNumId w:val="33"/>
  </w:num>
  <w:num w:numId="33">
    <w:abstractNumId w:val="27"/>
  </w:num>
  <w:num w:numId="34">
    <w:abstractNumId w:val="10"/>
  </w:num>
  <w:num w:numId="35">
    <w:abstractNumId w:val="29"/>
  </w:num>
  <w:num w:numId="36">
    <w:abstractNumId w:val="40"/>
  </w:num>
  <w:num w:numId="37">
    <w:abstractNumId w:val="7"/>
  </w:num>
  <w:num w:numId="38">
    <w:abstractNumId w:val="28"/>
  </w:num>
  <w:num w:numId="39">
    <w:abstractNumId w:val="5"/>
  </w:num>
  <w:num w:numId="40">
    <w:abstractNumId w:val="2"/>
  </w:num>
  <w:num w:numId="41">
    <w:abstractNumId w:val="38"/>
  </w:num>
  <w:num w:numId="42">
    <w:abstractNumId w:val="35"/>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1296"/>
  <w:hyphenationZone w:val="396"/>
  <w:characterSpacingControl w:val="doNotCompress"/>
  <w:hdrShapeDefaults>
    <o:shapedefaults v:ext="edit" spidmax="614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822"/>
    <w:rsid w:val="00007488"/>
    <w:rsid w:val="00067765"/>
    <w:rsid w:val="000A570B"/>
    <w:rsid w:val="000D1592"/>
    <w:rsid w:val="0012067E"/>
    <w:rsid w:val="00121B85"/>
    <w:rsid w:val="00127DBE"/>
    <w:rsid w:val="001406A0"/>
    <w:rsid w:val="001419FC"/>
    <w:rsid w:val="00142A80"/>
    <w:rsid w:val="001445B7"/>
    <w:rsid w:val="00147BC4"/>
    <w:rsid w:val="00175DBD"/>
    <w:rsid w:val="001D32F9"/>
    <w:rsid w:val="001F5617"/>
    <w:rsid w:val="00227C6D"/>
    <w:rsid w:val="00232F24"/>
    <w:rsid w:val="00236CA3"/>
    <w:rsid w:val="0027039E"/>
    <w:rsid w:val="00273E20"/>
    <w:rsid w:val="002826F9"/>
    <w:rsid w:val="002B040E"/>
    <w:rsid w:val="002C69A8"/>
    <w:rsid w:val="003412A6"/>
    <w:rsid w:val="00354374"/>
    <w:rsid w:val="00374AE5"/>
    <w:rsid w:val="00392822"/>
    <w:rsid w:val="003B160F"/>
    <w:rsid w:val="00402E4E"/>
    <w:rsid w:val="004278E9"/>
    <w:rsid w:val="0044629E"/>
    <w:rsid w:val="00450EDE"/>
    <w:rsid w:val="00465D75"/>
    <w:rsid w:val="004B177A"/>
    <w:rsid w:val="004B39D8"/>
    <w:rsid w:val="004D04C2"/>
    <w:rsid w:val="004D594F"/>
    <w:rsid w:val="004E2135"/>
    <w:rsid w:val="005050E8"/>
    <w:rsid w:val="005315D3"/>
    <w:rsid w:val="00543C18"/>
    <w:rsid w:val="0056042F"/>
    <w:rsid w:val="005674FB"/>
    <w:rsid w:val="00571D6D"/>
    <w:rsid w:val="005A71AD"/>
    <w:rsid w:val="005B579F"/>
    <w:rsid w:val="005D1D75"/>
    <w:rsid w:val="005D2C19"/>
    <w:rsid w:val="005E2DD4"/>
    <w:rsid w:val="00605F62"/>
    <w:rsid w:val="00635397"/>
    <w:rsid w:val="006C5904"/>
    <w:rsid w:val="0071654B"/>
    <w:rsid w:val="00742F37"/>
    <w:rsid w:val="00764D22"/>
    <w:rsid w:val="00794119"/>
    <w:rsid w:val="0079418B"/>
    <w:rsid w:val="008259F5"/>
    <w:rsid w:val="0083503F"/>
    <w:rsid w:val="0087632C"/>
    <w:rsid w:val="00883789"/>
    <w:rsid w:val="008D1F2B"/>
    <w:rsid w:val="008E1849"/>
    <w:rsid w:val="009021EF"/>
    <w:rsid w:val="009309D3"/>
    <w:rsid w:val="00947211"/>
    <w:rsid w:val="00951751"/>
    <w:rsid w:val="00994B3D"/>
    <w:rsid w:val="009F3FCA"/>
    <w:rsid w:val="00A05FE0"/>
    <w:rsid w:val="00A23D3E"/>
    <w:rsid w:val="00A24F8E"/>
    <w:rsid w:val="00A656D5"/>
    <w:rsid w:val="00AA274C"/>
    <w:rsid w:val="00B13F3D"/>
    <w:rsid w:val="00B36B32"/>
    <w:rsid w:val="00B40053"/>
    <w:rsid w:val="00B63A2D"/>
    <w:rsid w:val="00B951CA"/>
    <w:rsid w:val="00BC7B76"/>
    <w:rsid w:val="00C369DF"/>
    <w:rsid w:val="00C55AD7"/>
    <w:rsid w:val="00C770D2"/>
    <w:rsid w:val="00C91056"/>
    <w:rsid w:val="00C931EA"/>
    <w:rsid w:val="00CB7F43"/>
    <w:rsid w:val="00CD111D"/>
    <w:rsid w:val="00CD207B"/>
    <w:rsid w:val="00CE1CDA"/>
    <w:rsid w:val="00CF3375"/>
    <w:rsid w:val="00D22CB3"/>
    <w:rsid w:val="00D32A54"/>
    <w:rsid w:val="00D41736"/>
    <w:rsid w:val="00D64C15"/>
    <w:rsid w:val="00D91E2E"/>
    <w:rsid w:val="00DA6637"/>
    <w:rsid w:val="00DB0D00"/>
    <w:rsid w:val="00DF0AE2"/>
    <w:rsid w:val="00E157A8"/>
    <w:rsid w:val="00E250F7"/>
    <w:rsid w:val="00E62CBE"/>
    <w:rsid w:val="00EA789F"/>
    <w:rsid w:val="00EA7FC3"/>
    <w:rsid w:val="00EF01E6"/>
    <w:rsid w:val="00F074D8"/>
    <w:rsid w:val="00F443AF"/>
    <w:rsid w:val="00F64E05"/>
    <w:rsid w:val="00F656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9AD5B3"/>
  <w15:chartTrackingRefBased/>
  <w15:docId w15:val="{54C78130-70D4-4851-9D56-2D8216964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A23D3E"/>
    <w:pPr>
      <w:tabs>
        <w:tab w:val="left" w:pos="567"/>
      </w:tabs>
      <w:spacing w:before="240" w:after="120" w:line="260" w:lineRule="exact"/>
      <w:ind w:left="357" w:hanging="357"/>
      <w:outlineLvl w:val="0"/>
    </w:pPr>
    <w:rPr>
      <w:rFonts w:ascii="Times New Roman" w:eastAsia="Times New Roman" w:hAnsi="Times New Roman" w:cs="Times New Roman"/>
      <w:b/>
      <w:caps/>
      <w:sz w:val="26"/>
      <w:szCs w:val="20"/>
      <w:lang w:val="en-US"/>
    </w:rPr>
  </w:style>
  <w:style w:type="paragraph" w:styleId="Antrat2">
    <w:name w:val="heading 2"/>
    <w:basedOn w:val="prastasis"/>
    <w:next w:val="prastasis"/>
    <w:link w:val="Antrat2Diagrama"/>
    <w:qFormat/>
    <w:rsid w:val="00A23D3E"/>
    <w:pPr>
      <w:keepNext/>
      <w:tabs>
        <w:tab w:val="left" w:pos="567"/>
      </w:tabs>
      <w:spacing w:before="240" w:after="60" w:line="260" w:lineRule="exact"/>
      <w:outlineLvl w:val="1"/>
    </w:pPr>
    <w:rPr>
      <w:rFonts w:ascii="Helvetica" w:eastAsia="Times New Roman" w:hAnsi="Helvetica" w:cs="Times New Roman"/>
      <w:b/>
      <w:i/>
      <w:sz w:val="24"/>
      <w:szCs w:val="20"/>
      <w:lang w:val="en-GB"/>
    </w:rPr>
  </w:style>
  <w:style w:type="paragraph" w:styleId="Antrat3">
    <w:name w:val="heading 3"/>
    <w:basedOn w:val="prastasis"/>
    <w:next w:val="prastasis"/>
    <w:link w:val="Antrat3Diagrama"/>
    <w:qFormat/>
    <w:rsid w:val="00A23D3E"/>
    <w:pPr>
      <w:keepNext/>
      <w:keepLines/>
      <w:tabs>
        <w:tab w:val="left" w:pos="567"/>
      </w:tabs>
      <w:spacing w:before="120" w:after="80" w:line="260" w:lineRule="exact"/>
      <w:outlineLvl w:val="2"/>
    </w:pPr>
    <w:rPr>
      <w:rFonts w:ascii="Times New Roman" w:eastAsia="Times New Roman" w:hAnsi="Times New Roman" w:cs="Times New Roman"/>
      <w:b/>
      <w:kern w:val="28"/>
      <w:sz w:val="24"/>
      <w:szCs w:val="20"/>
      <w:lang w:val="en-US"/>
    </w:rPr>
  </w:style>
  <w:style w:type="paragraph" w:styleId="Antrat4">
    <w:name w:val="heading 4"/>
    <w:basedOn w:val="prastasis"/>
    <w:next w:val="prastasis"/>
    <w:link w:val="Antrat4Diagrama"/>
    <w:qFormat/>
    <w:rsid w:val="00A23D3E"/>
    <w:pPr>
      <w:keepNext/>
      <w:tabs>
        <w:tab w:val="left" w:pos="567"/>
      </w:tabs>
      <w:spacing w:after="0" w:line="260" w:lineRule="exact"/>
      <w:jc w:val="both"/>
      <w:outlineLvl w:val="3"/>
    </w:pPr>
    <w:rPr>
      <w:rFonts w:ascii="Times New Roman" w:eastAsia="Times New Roman" w:hAnsi="Times New Roman" w:cs="Times New Roman"/>
      <w:b/>
      <w:noProof/>
      <w:szCs w:val="20"/>
      <w:lang w:val="en-GB"/>
    </w:rPr>
  </w:style>
  <w:style w:type="paragraph" w:styleId="Antrat5">
    <w:name w:val="heading 5"/>
    <w:basedOn w:val="prastasis"/>
    <w:next w:val="prastasis"/>
    <w:link w:val="Antrat5Diagrama"/>
    <w:qFormat/>
    <w:rsid w:val="00A23D3E"/>
    <w:pPr>
      <w:keepNext/>
      <w:tabs>
        <w:tab w:val="left" w:pos="567"/>
      </w:tabs>
      <w:spacing w:after="0" w:line="260" w:lineRule="exact"/>
      <w:jc w:val="both"/>
      <w:outlineLvl w:val="4"/>
    </w:pPr>
    <w:rPr>
      <w:rFonts w:ascii="Times New Roman" w:eastAsia="Times New Roman" w:hAnsi="Times New Roman" w:cs="Times New Roman"/>
      <w:noProof/>
      <w:szCs w:val="20"/>
      <w:lang w:val="en-GB"/>
    </w:rPr>
  </w:style>
  <w:style w:type="paragraph" w:styleId="Antrat6">
    <w:name w:val="heading 6"/>
    <w:basedOn w:val="prastasis"/>
    <w:next w:val="prastasis"/>
    <w:link w:val="Antrat6Diagrama"/>
    <w:qFormat/>
    <w:rsid w:val="00A23D3E"/>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szCs w:val="20"/>
      <w:lang w:val="en-GB"/>
    </w:rPr>
  </w:style>
  <w:style w:type="paragraph" w:styleId="Antrat7">
    <w:name w:val="heading 7"/>
    <w:basedOn w:val="prastasis"/>
    <w:next w:val="prastasis"/>
    <w:link w:val="Antrat7Diagrama"/>
    <w:qFormat/>
    <w:rsid w:val="00A23D3E"/>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szCs w:val="20"/>
      <w:lang w:val="en-GB"/>
    </w:rPr>
  </w:style>
  <w:style w:type="paragraph" w:styleId="Antrat8">
    <w:name w:val="heading 8"/>
    <w:basedOn w:val="prastasis"/>
    <w:next w:val="prastasis"/>
    <w:link w:val="Antrat8Diagrama"/>
    <w:qFormat/>
    <w:rsid w:val="00A23D3E"/>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en-GB"/>
    </w:rPr>
  </w:style>
  <w:style w:type="paragraph" w:styleId="Antrat9">
    <w:name w:val="heading 9"/>
    <w:basedOn w:val="prastasis"/>
    <w:next w:val="prastasis"/>
    <w:link w:val="Antrat9Diagrama"/>
    <w:qFormat/>
    <w:rsid w:val="00A23D3E"/>
    <w:pPr>
      <w:keepNext/>
      <w:tabs>
        <w:tab w:val="left" w:pos="567"/>
      </w:tabs>
      <w:spacing w:after="0" w:line="260" w:lineRule="exact"/>
      <w:jc w:val="both"/>
      <w:outlineLvl w:val="8"/>
    </w:pPr>
    <w:rPr>
      <w:rFonts w:ascii="Times New Roman" w:eastAsia="Times New Roma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23D3E"/>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A23D3E"/>
    <w:rPr>
      <w:rFonts w:ascii="Helvetica" w:eastAsia="Times New Roman" w:hAnsi="Helvetica" w:cs="Times New Roman"/>
      <w:b/>
      <w:i/>
      <w:sz w:val="24"/>
      <w:szCs w:val="20"/>
      <w:lang w:val="en-GB"/>
    </w:rPr>
  </w:style>
  <w:style w:type="character" w:customStyle="1" w:styleId="Antrat3Diagrama">
    <w:name w:val="Antraštė 3 Diagrama"/>
    <w:basedOn w:val="Numatytasispastraiposriftas"/>
    <w:link w:val="Antrat3"/>
    <w:rsid w:val="00A23D3E"/>
    <w:rPr>
      <w:rFonts w:ascii="Times New Roman" w:eastAsia="Times New Roman" w:hAnsi="Times New Roman" w:cs="Times New Roman"/>
      <w:b/>
      <w:kern w:val="28"/>
      <w:sz w:val="24"/>
      <w:szCs w:val="20"/>
      <w:lang w:val="en-US"/>
    </w:rPr>
  </w:style>
  <w:style w:type="character" w:customStyle="1" w:styleId="Antrat4Diagrama">
    <w:name w:val="Antraštė 4 Diagrama"/>
    <w:basedOn w:val="Numatytasispastraiposriftas"/>
    <w:link w:val="Antrat4"/>
    <w:rsid w:val="00A23D3E"/>
    <w:rPr>
      <w:rFonts w:ascii="Times New Roman" w:eastAsia="Times New Roman" w:hAnsi="Times New Roman" w:cs="Times New Roman"/>
      <w:b/>
      <w:noProof/>
      <w:szCs w:val="20"/>
      <w:lang w:val="en-GB"/>
    </w:rPr>
  </w:style>
  <w:style w:type="character" w:customStyle="1" w:styleId="Antrat5Diagrama">
    <w:name w:val="Antraštė 5 Diagrama"/>
    <w:basedOn w:val="Numatytasispastraiposriftas"/>
    <w:link w:val="Antrat5"/>
    <w:rsid w:val="00A23D3E"/>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rsid w:val="00A23D3E"/>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rsid w:val="00A23D3E"/>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rsid w:val="00A23D3E"/>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rsid w:val="00A23D3E"/>
    <w:rPr>
      <w:rFonts w:ascii="Times New Roman" w:eastAsia="Times New Roman" w:hAnsi="Times New Roman" w:cs="Times New Roman"/>
      <w:b/>
      <w:i/>
      <w:szCs w:val="20"/>
      <w:lang w:val="en-GB"/>
    </w:rPr>
  </w:style>
  <w:style w:type="numbering" w:customStyle="1" w:styleId="NoList1">
    <w:name w:val="No List1"/>
    <w:next w:val="Sraonra"/>
    <w:uiPriority w:val="99"/>
    <w:semiHidden/>
    <w:unhideWhenUsed/>
    <w:rsid w:val="00A23D3E"/>
  </w:style>
  <w:style w:type="numbering" w:customStyle="1" w:styleId="NoList11">
    <w:name w:val="No List11"/>
    <w:next w:val="Sraonra"/>
    <w:uiPriority w:val="99"/>
    <w:semiHidden/>
    <w:unhideWhenUsed/>
    <w:rsid w:val="00A23D3E"/>
  </w:style>
  <w:style w:type="numbering" w:customStyle="1" w:styleId="NoList111">
    <w:name w:val="No List111"/>
    <w:next w:val="Sraonra"/>
    <w:uiPriority w:val="99"/>
    <w:semiHidden/>
    <w:unhideWhenUsed/>
    <w:rsid w:val="00A23D3E"/>
  </w:style>
  <w:style w:type="numbering" w:customStyle="1" w:styleId="NoList1111">
    <w:name w:val="No List1111"/>
    <w:next w:val="Sraonra"/>
    <w:uiPriority w:val="99"/>
    <w:semiHidden/>
    <w:unhideWhenUsed/>
    <w:rsid w:val="00A23D3E"/>
  </w:style>
  <w:style w:type="paragraph" w:styleId="Antrats">
    <w:name w:val="header"/>
    <w:basedOn w:val="prastasis"/>
    <w:link w:val="AntratsDiagrama"/>
    <w:rsid w:val="00A23D3E"/>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A23D3E"/>
    <w:rPr>
      <w:rFonts w:ascii="Helvetica" w:eastAsia="Times New Roman" w:hAnsi="Helvetica" w:cs="Times New Roman"/>
      <w:sz w:val="20"/>
      <w:szCs w:val="20"/>
      <w:lang w:val="en-GB"/>
    </w:rPr>
  </w:style>
  <w:style w:type="paragraph" w:styleId="Porat">
    <w:name w:val="footer"/>
    <w:basedOn w:val="prastasis"/>
    <w:link w:val="PoratDiagrama"/>
    <w:uiPriority w:val="99"/>
    <w:rsid w:val="00A23D3E"/>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character" w:customStyle="1" w:styleId="PoratDiagrama">
    <w:name w:val="Poraštė Diagrama"/>
    <w:basedOn w:val="Numatytasispastraiposriftas"/>
    <w:link w:val="Porat"/>
    <w:uiPriority w:val="99"/>
    <w:rsid w:val="00A23D3E"/>
    <w:rPr>
      <w:rFonts w:ascii="Helvetica" w:eastAsia="Times New Roman" w:hAnsi="Helvetica" w:cs="Times New Roman"/>
      <w:sz w:val="16"/>
      <w:szCs w:val="20"/>
      <w:lang w:val="en-GB"/>
    </w:rPr>
  </w:style>
  <w:style w:type="character" w:styleId="Puslapionumeris">
    <w:name w:val="page number"/>
    <w:basedOn w:val="Numatytasispastraiposriftas"/>
    <w:rsid w:val="00A23D3E"/>
  </w:style>
  <w:style w:type="paragraph" w:styleId="Pagrindiniotekstotrauka">
    <w:name w:val="Body Text Indent"/>
    <w:basedOn w:val="prastasis"/>
    <w:link w:val="PagrindiniotekstotraukaDiagrama"/>
    <w:rsid w:val="00A23D3E"/>
    <w:pPr>
      <w:autoSpaceDE w:val="0"/>
      <w:autoSpaceDN w:val="0"/>
      <w:adjustRightInd w:val="0"/>
      <w:spacing w:after="0" w:line="240" w:lineRule="auto"/>
      <w:ind w:left="720"/>
      <w:jc w:val="both"/>
    </w:pPr>
    <w:rPr>
      <w:rFonts w:ascii="Times New Roman" w:eastAsia="Times New Roma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rsid w:val="00A23D3E"/>
    <w:rPr>
      <w:rFonts w:ascii="Times New Roman" w:eastAsia="Times New Roman" w:hAnsi="Times New Roman" w:cs="Times New Roman"/>
      <w:lang w:val="en-GB" w:eastAsia="en-GB"/>
    </w:rPr>
  </w:style>
  <w:style w:type="paragraph" w:styleId="Pagrindinistekstas3">
    <w:name w:val="Body Text 3"/>
    <w:basedOn w:val="prastasis"/>
    <w:link w:val="Pagrindinistekstas3Diagrama"/>
    <w:rsid w:val="00A23D3E"/>
    <w:pPr>
      <w:autoSpaceDE w:val="0"/>
      <w:autoSpaceDN w:val="0"/>
      <w:adjustRightInd w:val="0"/>
      <w:spacing w:after="0" w:line="240" w:lineRule="auto"/>
      <w:jc w:val="both"/>
    </w:pPr>
    <w:rPr>
      <w:rFonts w:ascii="Times New Roman" w:eastAsia="Times New Roma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rsid w:val="00A23D3E"/>
    <w:rPr>
      <w:rFonts w:ascii="Times New Roman" w:eastAsia="Times New Roman" w:hAnsi="Times New Roman" w:cs="Times New Roman"/>
      <w:color w:val="0000FF"/>
      <w:lang w:val="en-GB" w:eastAsia="en-GB"/>
    </w:rPr>
  </w:style>
  <w:style w:type="paragraph" w:styleId="Pagrindiniotekstotrauka2">
    <w:name w:val="Body Text Indent 2"/>
    <w:basedOn w:val="prastasis"/>
    <w:link w:val="Pagrindiniotekstotrauka2Diagrama"/>
    <w:rsid w:val="00A23D3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rsid w:val="00A23D3E"/>
    <w:rPr>
      <w:rFonts w:ascii="Times New Roman" w:eastAsia="Times New Roman" w:hAnsi="Times New Roman" w:cs="Times New Roman"/>
      <w:b/>
      <w:bCs/>
      <w:color w:val="0000FF"/>
      <w:lang w:val="en-GB"/>
    </w:rPr>
  </w:style>
  <w:style w:type="paragraph" w:styleId="Pagrindinistekstas">
    <w:name w:val="Body Text"/>
    <w:basedOn w:val="prastasis"/>
    <w:link w:val="PagrindinistekstasDiagrama"/>
    <w:rsid w:val="00A23D3E"/>
    <w:pPr>
      <w:spacing w:after="0" w:line="240" w:lineRule="auto"/>
    </w:pPr>
    <w:rPr>
      <w:rFonts w:ascii="Times New Roman" w:eastAsia="Times New Roma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sid w:val="00A23D3E"/>
    <w:rPr>
      <w:rFonts w:ascii="Times New Roman" w:eastAsia="Times New Roman" w:hAnsi="Times New Roman" w:cs="Times New Roman"/>
      <w:i/>
      <w:color w:val="008000"/>
      <w:szCs w:val="20"/>
      <w:lang w:val="en-GB"/>
    </w:rPr>
  </w:style>
  <w:style w:type="paragraph" w:styleId="Pagrindinistekstas2">
    <w:name w:val="Body Text 2"/>
    <w:basedOn w:val="prastasis"/>
    <w:link w:val="Pagrindinistekstas2Diagrama"/>
    <w:rsid w:val="00A23D3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Times New Roma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sid w:val="00A23D3E"/>
    <w:rPr>
      <w:rFonts w:ascii="Times New Roman" w:eastAsia="Times New Roman" w:hAnsi="Times New Roman" w:cs="Times New Roman"/>
      <w:b/>
      <w:bCs/>
      <w:color w:val="0000FF"/>
      <w:u w:val="single"/>
      <w:lang w:val="en-GB"/>
    </w:rPr>
  </w:style>
  <w:style w:type="character" w:styleId="Komentaronuoroda">
    <w:name w:val="annotation reference"/>
    <w:rsid w:val="00A23D3E"/>
    <w:rPr>
      <w:sz w:val="16"/>
      <w:szCs w:val="16"/>
    </w:rPr>
  </w:style>
  <w:style w:type="paragraph" w:styleId="Komentarotekstas">
    <w:name w:val="annotation text"/>
    <w:basedOn w:val="prastasis"/>
    <w:link w:val="KomentarotekstasDiagrama"/>
    <w:semiHidden/>
    <w:rsid w:val="00A23D3E"/>
    <w:pPr>
      <w:tabs>
        <w:tab w:val="left" w:pos="567"/>
      </w:tabs>
      <w:spacing w:after="0" w:line="260" w:lineRule="exact"/>
    </w:pPr>
    <w:rPr>
      <w:rFonts w:ascii="Times New Roman" w:eastAsia="Times New Roman" w:hAnsi="Times New Roman" w:cs="Times New Roman"/>
      <w:sz w:val="20"/>
      <w:szCs w:val="20"/>
      <w:lang w:val="en-GB"/>
    </w:rPr>
  </w:style>
  <w:style w:type="character" w:customStyle="1" w:styleId="KomentarotekstasDiagrama">
    <w:name w:val="Komentaro tekstas Diagrama"/>
    <w:basedOn w:val="Numatytasispastraiposriftas"/>
    <w:link w:val="Komentarotekstas"/>
    <w:semiHidden/>
    <w:rsid w:val="00A23D3E"/>
    <w:rPr>
      <w:rFonts w:ascii="Times New Roman" w:eastAsia="Times New Roman" w:hAnsi="Times New Roman" w:cs="Times New Roman"/>
      <w:sz w:val="20"/>
      <w:szCs w:val="20"/>
      <w:lang w:val="en-GB"/>
    </w:rPr>
  </w:style>
  <w:style w:type="paragraph" w:customStyle="1" w:styleId="EMEAEnBodyText">
    <w:name w:val="EMEA En Body Text"/>
    <w:basedOn w:val="prastasis"/>
    <w:rsid w:val="00A23D3E"/>
    <w:pPr>
      <w:spacing w:before="120" w:after="120" w:line="240" w:lineRule="auto"/>
      <w:jc w:val="both"/>
    </w:pPr>
    <w:rPr>
      <w:rFonts w:ascii="Times New Roman" w:eastAsia="Times New Roman" w:hAnsi="Times New Roman" w:cs="Times New Roman"/>
      <w:szCs w:val="20"/>
      <w:lang w:val="en-US"/>
    </w:rPr>
  </w:style>
  <w:style w:type="paragraph" w:styleId="Dokumentostruktra">
    <w:name w:val="Document Map"/>
    <w:basedOn w:val="prastasis"/>
    <w:link w:val="DokumentostruktraDiagrama"/>
    <w:semiHidden/>
    <w:rsid w:val="00A23D3E"/>
    <w:pPr>
      <w:shd w:val="clear" w:color="auto" w:fill="000080"/>
      <w:tabs>
        <w:tab w:val="left" w:pos="567"/>
      </w:tabs>
      <w:spacing w:after="0" w:line="260" w:lineRule="exact"/>
    </w:pPr>
    <w:rPr>
      <w:rFonts w:ascii="Tahoma" w:eastAsia="Times New Roman" w:hAnsi="Tahoma" w:cs="Tahoma"/>
      <w:szCs w:val="20"/>
      <w:lang w:val="en-GB"/>
    </w:rPr>
  </w:style>
  <w:style w:type="character" w:customStyle="1" w:styleId="DokumentostruktraDiagrama">
    <w:name w:val="Dokumento struktūra Diagrama"/>
    <w:basedOn w:val="Numatytasispastraiposriftas"/>
    <w:link w:val="Dokumentostruktra"/>
    <w:semiHidden/>
    <w:rsid w:val="00A23D3E"/>
    <w:rPr>
      <w:rFonts w:ascii="Tahoma" w:eastAsia="Times New Roman" w:hAnsi="Tahoma" w:cs="Tahoma"/>
      <w:szCs w:val="20"/>
      <w:shd w:val="clear" w:color="auto" w:fill="000080"/>
      <w:lang w:val="en-GB"/>
    </w:rPr>
  </w:style>
  <w:style w:type="character" w:styleId="Hipersaitas">
    <w:name w:val="Hyperlink"/>
    <w:uiPriority w:val="99"/>
    <w:rsid w:val="00A23D3E"/>
    <w:rPr>
      <w:color w:val="0000FF"/>
      <w:u w:val="single"/>
    </w:rPr>
  </w:style>
  <w:style w:type="paragraph" w:customStyle="1" w:styleId="AHeader1">
    <w:name w:val="AHeader 1"/>
    <w:basedOn w:val="prastasis"/>
    <w:rsid w:val="00A23D3E"/>
    <w:pPr>
      <w:numPr>
        <w:numId w:val="2"/>
      </w:numPr>
      <w:spacing w:after="120" w:line="240" w:lineRule="auto"/>
    </w:pPr>
    <w:rPr>
      <w:rFonts w:ascii="Arial" w:eastAsia="Times New Roman" w:hAnsi="Arial" w:cs="Arial"/>
      <w:b/>
      <w:bCs/>
      <w:sz w:val="24"/>
      <w:szCs w:val="20"/>
      <w:lang w:val="en-GB"/>
    </w:rPr>
  </w:style>
  <w:style w:type="paragraph" w:customStyle="1" w:styleId="AHeader2">
    <w:name w:val="AHeader 2"/>
    <w:basedOn w:val="AHeader1"/>
    <w:rsid w:val="00A23D3E"/>
    <w:pPr>
      <w:numPr>
        <w:ilvl w:val="1"/>
      </w:numPr>
      <w:tabs>
        <w:tab w:val="clear" w:pos="709"/>
        <w:tab w:val="num" w:pos="360"/>
      </w:tabs>
    </w:pPr>
    <w:rPr>
      <w:sz w:val="22"/>
    </w:rPr>
  </w:style>
  <w:style w:type="paragraph" w:customStyle="1" w:styleId="AHeader3">
    <w:name w:val="AHeader 3"/>
    <w:basedOn w:val="AHeader2"/>
    <w:rsid w:val="00A23D3E"/>
    <w:pPr>
      <w:numPr>
        <w:ilvl w:val="2"/>
      </w:numPr>
      <w:tabs>
        <w:tab w:val="clear" w:pos="1276"/>
        <w:tab w:val="num" w:pos="360"/>
      </w:tabs>
    </w:pPr>
  </w:style>
  <w:style w:type="paragraph" w:customStyle="1" w:styleId="AHeader2abc">
    <w:name w:val="AHeader 2 abc"/>
    <w:basedOn w:val="AHeader3"/>
    <w:rsid w:val="00A23D3E"/>
    <w:pPr>
      <w:numPr>
        <w:ilvl w:val="3"/>
      </w:numPr>
      <w:tabs>
        <w:tab w:val="clear" w:pos="1276"/>
        <w:tab w:val="num" w:pos="360"/>
      </w:tabs>
      <w:jc w:val="both"/>
    </w:pPr>
    <w:rPr>
      <w:b w:val="0"/>
      <w:bCs w:val="0"/>
    </w:rPr>
  </w:style>
  <w:style w:type="paragraph" w:customStyle="1" w:styleId="AHeader3abc">
    <w:name w:val="AHeader 3 abc"/>
    <w:basedOn w:val="AHeader2abc"/>
    <w:rsid w:val="00A23D3E"/>
    <w:pPr>
      <w:numPr>
        <w:ilvl w:val="4"/>
      </w:numPr>
      <w:tabs>
        <w:tab w:val="clear" w:pos="1701"/>
        <w:tab w:val="num" w:pos="360"/>
      </w:tabs>
    </w:pPr>
  </w:style>
  <w:style w:type="paragraph" w:styleId="Pagrindiniotekstotrauka3">
    <w:name w:val="Body Text Indent 3"/>
    <w:basedOn w:val="prastasis"/>
    <w:link w:val="Pagrindiniotekstotrauka3Diagrama"/>
    <w:rsid w:val="00A23D3E"/>
    <w:pPr>
      <w:tabs>
        <w:tab w:val="left" w:pos="567"/>
        <w:tab w:val="left" w:pos="1134"/>
      </w:tabs>
      <w:autoSpaceDE w:val="0"/>
      <w:autoSpaceDN w:val="0"/>
      <w:adjustRightInd w:val="0"/>
      <w:spacing w:after="0" w:line="260" w:lineRule="exact"/>
      <w:ind w:left="633"/>
      <w:jc w:val="both"/>
    </w:pPr>
    <w:rPr>
      <w:rFonts w:ascii="Times New Roman" w:eastAsia="Times New Roma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rsid w:val="00A23D3E"/>
    <w:rPr>
      <w:rFonts w:ascii="Times New Roman" w:eastAsia="Times New Roman" w:hAnsi="Times New Roman" w:cs="Times New Roman"/>
      <w:szCs w:val="21"/>
      <w:lang w:val="en-GB"/>
    </w:rPr>
  </w:style>
  <w:style w:type="character" w:styleId="Perirtashipersaitas">
    <w:name w:val="FollowedHyperlink"/>
    <w:rsid w:val="00A23D3E"/>
    <w:rPr>
      <w:color w:val="800080"/>
      <w:u w:val="single"/>
    </w:rPr>
  </w:style>
  <w:style w:type="paragraph" w:customStyle="1" w:styleId="Default">
    <w:name w:val="Default"/>
    <w:rsid w:val="00A23D3E"/>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Debesliotekstas">
    <w:name w:val="Balloon Text"/>
    <w:basedOn w:val="prastasis"/>
    <w:link w:val="DebesliotekstasDiagrama"/>
    <w:semiHidden/>
    <w:rsid w:val="00A23D3E"/>
    <w:pPr>
      <w:tabs>
        <w:tab w:val="left" w:pos="567"/>
      </w:tabs>
      <w:spacing w:after="0" w:line="260" w:lineRule="exact"/>
    </w:pPr>
    <w:rPr>
      <w:rFonts w:ascii="Tahoma" w:eastAsia="Times New Roman" w:hAnsi="Tahoma" w:cs="Tahoma"/>
      <w:sz w:val="16"/>
      <w:szCs w:val="16"/>
      <w:lang w:val="en-GB"/>
    </w:rPr>
  </w:style>
  <w:style w:type="character" w:customStyle="1" w:styleId="DebesliotekstasDiagrama">
    <w:name w:val="Debesėlio tekstas Diagrama"/>
    <w:basedOn w:val="Numatytasispastraiposriftas"/>
    <w:link w:val="Debesliotekstas"/>
    <w:semiHidden/>
    <w:rsid w:val="00A23D3E"/>
    <w:rPr>
      <w:rFonts w:ascii="Tahoma" w:eastAsia="Times New Roman" w:hAnsi="Tahoma" w:cs="Tahoma"/>
      <w:sz w:val="16"/>
      <w:szCs w:val="16"/>
      <w:lang w:val="en-GB"/>
    </w:rPr>
  </w:style>
  <w:style w:type="paragraph" w:styleId="Komentarotema">
    <w:name w:val="annotation subject"/>
    <w:basedOn w:val="Komentarotekstas"/>
    <w:next w:val="Komentarotekstas"/>
    <w:link w:val="KomentarotemaDiagrama"/>
    <w:semiHidden/>
    <w:rsid w:val="00A23D3E"/>
    <w:rPr>
      <w:b/>
      <w:bCs/>
    </w:rPr>
  </w:style>
  <w:style w:type="character" w:customStyle="1" w:styleId="KomentarotemaDiagrama">
    <w:name w:val="Komentaro tema Diagrama"/>
    <w:basedOn w:val="KomentarotekstasDiagrama"/>
    <w:link w:val="Komentarotema"/>
    <w:semiHidden/>
    <w:rsid w:val="00A23D3E"/>
    <w:rPr>
      <w:rFonts w:ascii="Times New Roman" w:eastAsia="Times New Roman" w:hAnsi="Times New Roman" w:cs="Times New Roman"/>
      <w:b/>
      <w:bCs/>
      <w:sz w:val="20"/>
      <w:szCs w:val="20"/>
      <w:lang w:val="en-GB"/>
    </w:rPr>
  </w:style>
  <w:style w:type="paragraph" w:customStyle="1" w:styleId="BodytextAgency">
    <w:name w:val="Body text (Agency)"/>
    <w:basedOn w:val="prastasis"/>
    <w:link w:val="BodytextAgencyChar"/>
    <w:qFormat/>
    <w:rsid w:val="00A23D3E"/>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A23D3E"/>
    <w:rPr>
      <w:rFonts w:ascii="Verdana" w:eastAsia="Verdana" w:hAnsi="Verdana" w:cs="Verdana"/>
      <w:sz w:val="18"/>
      <w:szCs w:val="18"/>
      <w:lang w:val="en-GB" w:eastAsia="en-GB"/>
    </w:rPr>
  </w:style>
  <w:style w:type="paragraph" w:customStyle="1" w:styleId="Text">
    <w:name w:val="Text"/>
    <w:basedOn w:val="prastasis"/>
    <w:link w:val="TextChar"/>
    <w:rsid w:val="00A23D3E"/>
    <w:pPr>
      <w:spacing w:before="120" w:after="0" w:line="240" w:lineRule="auto"/>
      <w:jc w:val="both"/>
    </w:pPr>
    <w:rPr>
      <w:rFonts w:ascii="Times New Roman" w:eastAsia="Times New Roman" w:hAnsi="Times New Roman" w:cs="Times New Roman"/>
      <w:sz w:val="24"/>
      <w:szCs w:val="20"/>
      <w:lang w:val="en-US"/>
    </w:rPr>
  </w:style>
  <w:style w:type="paragraph" w:customStyle="1" w:styleId="Nottoc-headings">
    <w:name w:val="Not toc-headings"/>
    <w:basedOn w:val="prastasis"/>
    <w:next w:val="Text"/>
    <w:link w:val="Nottoc-headingsChar"/>
    <w:rsid w:val="00A23D3E"/>
    <w:pPr>
      <w:keepNext/>
      <w:keepLines/>
      <w:spacing w:before="240" w:after="60" w:line="240" w:lineRule="auto"/>
      <w:ind w:left="1701" w:hanging="1701"/>
    </w:pPr>
    <w:rPr>
      <w:rFonts w:ascii="Arial" w:eastAsia="Times New Roman" w:hAnsi="Arial" w:cs="Times New Roman"/>
      <w:b/>
      <w:szCs w:val="20"/>
      <w:lang w:val="en-US"/>
    </w:rPr>
  </w:style>
  <w:style w:type="character" w:customStyle="1" w:styleId="TextChar">
    <w:name w:val="Text Char"/>
    <w:link w:val="Text"/>
    <w:rsid w:val="00A23D3E"/>
    <w:rPr>
      <w:rFonts w:ascii="Times New Roman" w:eastAsia="Times New Roman" w:hAnsi="Times New Roman" w:cs="Times New Roman"/>
      <w:sz w:val="24"/>
      <w:szCs w:val="20"/>
      <w:lang w:val="en-US"/>
    </w:rPr>
  </w:style>
  <w:style w:type="character" w:customStyle="1" w:styleId="Nottoc-headingsChar">
    <w:name w:val="Not toc-headings Char"/>
    <w:link w:val="Nottoc-headings"/>
    <w:rsid w:val="00A23D3E"/>
    <w:rPr>
      <w:rFonts w:ascii="Arial" w:eastAsia="Times New Roman" w:hAnsi="Arial" w:cs="Times New Roman"/>
      <w:b/>
      <w:szCs w:val="20"/>
      <w:lang w:val="en-US"/>
    </w:rPr>
  </w:style>
  <w:style w:type="paragraph" w:customStyle="1" w:styleId="Listlevel1">
    <w:name w:val="List level 1"/>
    <w:basedOn w:val="prastasis"/>
    <w:rsid w:val="00A23D3E"/>
    <w:pPr>
      <w:spacing w:before="40" w:after="20" w:line="240" w:lineRule="auto"/>
      <w:ind w:left="425" w:hanging="425"/>
    </w:pPr>
    <w:rPr>
      <w:rFonts w:ascii="Times New Roman" w:eastAsia="Times New Roman" w:hAnsi="Times New Roman" w:cs="Times New Roman"/>
      <w:sz w:val="24"/>
      <w:szCs w:val="20"/>
      <w:lang w:val="en-US"/>
    </w:rPr>
  </w:style>
  <w:style w:type="character" w:customStyle="1" w:styleId="TextChar1">
    <w:name w:val="Text Char1"/>
    <w:rsid w:val="00A23D3E"/>
    <w:rPr>
      <w:sz w:val="24"/>
      <w:lang w:val="en-US" w:eastAsia="en-US" w:bidi="ar-SA"/>
    </w:rPr>
  </w:style>
  <w:style w:type="paragraph" w:styleId="Pataisymai">
    <w:name w:val="Revision"/>
    <w:hidden/>
    <w:uiPriority w:val="99"/>
    <w:semiHidden/>
    <w:rsid w:val="00A23D3E"/>
    <w:pPr>
      <w:spacing w:after="0" w:line="240" w:lineRule="auto"/>
    </w:pPr>
    <w:rPr>
      <w:rFonts w:ascii="Times New Roman" w:eastAsia="Times New Roman" w:hAnsi="Times New Roman" w:cs="Times New Roman"/>
      <w:szCs w:val="20"/>
      <w:lang w:val="en-GB"/>
    </w:rPr>
  </w:style>
  <w:style w:type="character" w:styleId="Grietas">
    <w:name w:val="Strong"/>
    <w:qFormat/>
    <w:rsid w:val="00A23D3E"/>
    <w:rPr>
      <w:b/>
      <w:bCs/>
    </w:rPr>
  </w:style>
  <w:style w:type="paragraph" w:customStyle="1" w:styleId="Table">
    <w:name w:val="Table"/>
    <w:basedOn w:val="prastasis"/>
    <w:link w:val="TableChar"/>
    <w:rsid w:val="00A23D3E"/>
    <w:pPr>
      <w:keepNext/>
      <w:keepLines/>
      <w:tabs>
        <w:tab w:val="left" w:pos="284"/>
      </w:tabs>
      <w:spacing w:before="40" w:after="20" w:line="240" w:lineRule="auto"/>
    </w:pPr>
    <w:rPr>
      <w:rFonts w:ascii="Arial" w:eastAsia="Times New Roman" w:hAnsi="Arial" w:cs="Times New Roman"/>
      <w:sz w:val="20"/>
      <w:szCs w:val="20"/>
      <w:lang w:val="en-GB" w:eastAsia="x-none"/>
    </w:rPr>
  </w:style>
  <w:style w:type="character" w:customStyle="1" w:styleId="TableChar">
    <w:name w:val="Table Char"/>
    <w:link w:val="Table"/>
    <w:rsid w:val="00A23D3E"/>
    <w:rPr>
      <w:rFonts w:ascii="Arial" w:eastAsia="Times New Roman" w:hAnsi="Arial" w:cs="Times New Roman"/>
      <w:sz w:val="20"/>
      <w:szCs w:val="20"/>
      <w:lang w:val="en-GB" w:eastAsia="x-none"/>
    </w:rPr>
  </w:style>
  <w:style w:type="character" w:customStyle="1" w:styleId="hps">
    <w:name w:val="hps"/>
    <w:rsid w:val="00A23D3E"/>
  </w:style>
  <w:style w:type="paragraph" w:styleId="Puslapioinaostekstas">
    <w:name w:val="footnote text"/>
    <w:basedOn w:val="prastasis"/>
    <w:link w:val="PuslapioinaostekstasDiagrama"/>
    <w:rsid w:val="00A23D3E"/>
    <w:pPr>
      <w:spacing w:after="0" w:line="240" w:lineRule="auto"/>
    </w:pPr>
    <w:rPr>
      <w:rFonts w:ascii="Verdana" w:eastAsia="Verdana" w:hAnsi="Verdana" w:cs="Verdana"/>
      <w:sz w:val="15"/>
      <w:szCs w:val="20"/>
      <w:lang w:val="en-GB" w:eastAsia="en-GB"/>
    </w:rPr>
  </w:style>
  <w:style w:type="character" w:customStyle="1" w:styleId="PuslapioinaostekstasDiagrama">
    <w:name w:val="Puslapio išnašos tekstas Diagrama"/>
    <w:basedOn w:val="Numatytasispastraiposriftas"/>
    <w:link w:val="Puslapioinaostekstas"/>
    <w:rsid w:val="00A23D3E"/>
    <w:rPr>
      <w:rFonts w:ascii="Verdana" w:eastAsia="Verdana" w:hAnsi="Verdana" w:cs="Verdana"/>
      <w:sz w:val="15"/>
      <w:szCs w:val="20"/>
      <w:lang w:val="en-GB" w:eastAsia="en-GB"/>
    </w:rPr>
  </w:style>
  <w:style w:type="character" w:styleId="Puslapioinaosnuoroda">
    <w:name w:val="footnote reference"/>
    <w:rsid w:val="00A23D3E"/>
    <w:rPr>
      <w:rFonts w:ascii="Verdana" w:hAnsi="Verdana"/>
      <w:vertAlign w:val="superscript"/>
    </w:rPr>
  </w:style>
  <w:style w:type="paragraph" w:customStyle="1" w:styleId="FooterAgency">
    <w:name w:val="Footer (Agency)"/>
    <w:basedOn w:val="prastasis"/>
    <w:link w:val="FooterAgencyCharChar"/>
    <w:rsid w:val="00A23D3E"/>
    <w:pPr>
      <w:spacing w:after="0" w:line="240" w:lineRule="auto"/>
    </w:pPr>
    <w:rPr>
      <w:rFonts w:ascii="Verdana" w:eastAsia="Verdana" w:hAnsi="Verdana" w:cs="Verdana"/>
      <w:color w:val="6D6F71"/>
      <w:sz w:val="14"/>
      <w:szCs w:val="14"/>
      <w:lang w:val="en-GB" w:eastAsia="en-GB"/>
    </w:rPr>
  </w:style>
  <w:style w:type="paragraph" w:customStyle="1" w:styleId="FooterblueAgency">
    <w:name w:val="Footer blue (Agency)"/>
    <w:basedOn w:val="prastasis"/>
    <w:link w:val="FooterblueAgencyCharChar"/>
    <w:rsid w:val="00A23D3E"/>
    <w:pPr>
      <w:spacing w:after="0" w:line="240" w:lineRule="auto"/>
    </w:pPr>
    <w:rPr>
      <w:rFonts w:ascii="Verdana" w:eastAsia="Verdana" w:hAnsi="Verdana" w:cs="Verdana"/>
      <w:b/>
      <w:color w:val="003399"/>
      <w:sz w:val="13"/>
      <w:szCs w:val="14"/>
      <w:lang w:val="en-GB" w:eastAsia="en-GB"/>
    </w:rPr>
  </w:style>
  <w:style w:type="table" w:customStyle="1" w:styleId="FootertableAgency">
    <w:name w:val="Footer table (Agency)"/>
    <w:basedOn w:val="prastojilentel"/>
    <w:semiHidden/>
    <w:rsid w:val="00A23D3E"/>
    <w:pPr>
      <w:spacing w:after="0" w:line="240" w:lineRule="auto"/>
    </w:pPr>
    <w:rPr>
      <w:rFonts w:ascii="Verdana" w:eastAsia="SimSun" w:hAnsi="Verdana" w:cs="Times New Roman"/>
      <w:sz w:val="20"/>
      <w:szCs w:val="20"/>
      <w:lang w:eastAsia="lt-LT"/>
    </w:rPr>
    <w:tblPr/>
    <w:tcPr>
      <w:shd w:val="clear" w:color="auto" w:fill="auto"/>
      <w:tcMar>
        <w:left w:w="0" w:type="dxa"/>
        <w:right w:w="0" w:type="dxa"/>
      </w:tcMar>
    </w:tcPr>
    <w:tblStylePr w:type="firstRow">
      <w:rPr>
        <w:rFonts w:ascii="Cambria" w:hAnsi="Cambria"/>
        <w:b w:val="0"/>
        <w:sz w:val="18"/>
      </w:rPr>
      <w:tblPr/>
      <w:tcPr>
        <w:tcBorders>
          <w:top w:val="single" w:sz="2" w:space="0" w:color="auto"/>
          <w:left w:val="nil"/>
          <w:bottom w:val="nil"/>
          <w:right w:val="nil"/>
          <w:insideH w:val="nil"/>
          <w:insideV w:val="nil"/>
          <w:tl2br w:val="nil"/>
          <w:tr2bl w:val="nil"/>
        </w:tcBorders>
        <w:shd w:val="clear" w:color="auto" w:fill="auto"/>
      </w:tcPr>
    </w:tblStylePr>
  </w:style>
  <w:style w:type="character" w:customStyle="1" w:styleId="FooterAgencyCharChar">
    <w:name w:val="Footer (Agency) Char Char"/>
    <w:link w:val="FooterAgency"/>
    <w:rsid w:val="00A23D3E"/>
    <w:rPr>
      <w:rFonts w:ascii="Verdana" w:eastAsia="Verdana" w:hAnsi="Verdana" w:cs="Verdana"/>
      <w:color w:val="6D6F71"/>
      <w:sz w:val="14"/>
      <w:szCs w:val="14"/>
      <w:lang w:val="en-GB" w:eastAsia="en-GB"/>
    </w:rPr>
  </w:style>
  <w:style w:type="paragraph" w:customStyle="1" w:styleId="PagenumberAgency">
    <w:name w:val="Page number (Agency)"/>
    <w:basedOn w:val="prastasis"/>
    <w:next w:val="prastasis"/>
    <w:link w:val="PagenumberAgencyCharChar"/>
    <w:semiHidden/>
    <w:rsid w:val="00A23D3E"/>
    <w:pPr>
      <w:tabs>
        <w:tab w:val="right" w:pos="9781"/>
      </w:tabs>
      <w:spacing w:after="0" w:line="240" w:lineRule="auto"/>
      <w:jc w:val="right"/>
    </w:pPr>
    <w:rPr>
      <w:rFonts w:ascii="Verdana" w:eastAsia="Verdana" w:hAnsi="Verdana" w:cs="Verdana"/>
      <w:noProof/>
      <w:color w:val="6D6F71"/>
      <w:sz w:val="14"/>
      <w:szCs w:val="14"/>
      <w:lang w:val="en-GB" w:eastAsia="en-GB"/>
    </w:rPr>
  </w:style>
  <w:style w:type="character" w:customStyle="1" w:styleId="PagenumberAgencyCharChar">
    <w:name w:val="Page number (Agency) Char Char"/>
    <w:link w:val="PagenumberAgency"/>
    <w:semiHidden/>
    <w:rsid w:val="00A23D3E"/>
    <w:rPr>
      <w:rFonts w:ascii="Verdana" w:eastAsia="Verdana" w:hAnsi="Verdana" w:cs="Verdana"/>
      <w:noProof/>
      <w:color w:val="6D6F71"/>
      <w:sz w:val="14"/>
      <w:szCs w:val="14"/>
      <w:lang w:val="en-GB" w:eastAsia="en-GB"/>
    </w:rPr>
  </w:style>
  <w:style w:type="table" w:customStyle="1" w:styleId="TablegridAgencyblank">
    <w:name w:val="Table grid (Agency) blank"/>
    <w:basedOn w:val="prastojilentel"/>
    <w:semiHidden/>
    <w:rsid w:val="00A23D3E"/>
    <w:pPr>
      <w:spacing w:after="0" w:line="240" w:lineRule="auto"/>
    </w:pPr>
    <w:rPr>
      <w:rFonts w:ascii="Verdana" w:eastAsia="SimSun" w:hAnsi="Verdana" w:cs="Times New Roman"/>
      <w:sz w:val="18"/>
      <w:szCs w:val="20"/>
      <w:lang w:eastAsia="lt-LT"/>
    </w:rPr>
    <w:tblPr/>
    <w:tcPr>
      <w:shd w:val="clear" w:color="auto" w:fill="auto"/>
    </w:tcPr>
    <w:tblStylePr w:type="firstRow">
      <w:rPr>
        <w:rFonts w:ascii="Cambria" w:hAnsi="Cambria"/>
        <w:b w:val="0"/>
        <w:i w:val="0"/>
        <w:color w:val="auto"/>
        <w:sz w:val="18"/>
        <w:szCs w:val="18"/>
      </w:rPr>
      <w:tblPr/>
      <w:trPr>
        <w:tblHeader/>
      </w:trPr>
      <w:tcPr>
        <w:tcBorders>
          <w:top w:val="nil"/>
          <w:left w:val="nil"/>
          <w:bottom w:val="nil"/>
          <w:right w:val="nil"/>
          <w:insideH w:val="nil"/>
          <w:insideV w:val="nil"/>
          <w:tl2br w:val="nil"/>
          <w:tr2bl w:val="nil"/>
        </w:tcBorders>
        <w:shd w:val="clear" w:color="auto" w:fill="auto"/>
      </w:tcPr>
    </w:tblStylePr>
  </w:style>
  <w:style w:type="character" w:customStyle="1" w:styleId="FooterblueAgencyCharChar">
    <w:name w:val="Footer blue (Agency) Char Char"/>
    <w:link w:val="FooterblueAgency"/>
    <w:rsid w:val="00A23D3E"/>
    <w:rPr>
      <w:rFonts w:ascii="Verdana" w:eastAsia="Verdana" w:hAnsi="Verdana" w:cs="Verdana"/>
      <w:b/>
      <w:color w:val="003399"/>
      <w:sz w:val="13"/>
      <w:szCs w:val="14"/>
      <w:lang w:val="en-GB" w:eastAsia="en-GB"/>
    </w:rPr>
  </w:style>
  <w:style w:type="numbering" w:customStyle="1" w:styleId="BulletsAgency">
    <w:name w:val="Bullets (Agency)"/>
    <w:basedOn w:val="Sraonra"/>
    <w:rsid w:val="00A23D3E"/>
    <w:pPr>
      <w:numPr>
        <w:numId w:val="12"/>
      </w:numPr>
    </w:pPr>
  </w:style>
  <w:style w:type="paragraph" w:customStyle="1" w:styleId="DisclaimerAgency">
    <w:name w:val="Disclaimer (Agency)"/>
    <w:basedOn w:val="prastasis"/>
    <w:semiHidden/>
    <w:rsid w:val="00A23D3E"/>
    <w:pPr>
      <w:tabs>
        <w:tab w:val="center" w:pos="4320"/>
        <w:tab w:val="right" w:pos="8640"/>
      </w:tabs>
      <w:spacing w:after="57" w:line="150" w:lineRule="exact"/>
    </w:pPr>
    <w:rPr>
      <w:rFonts w:ascii="Verdana" w:eastAsia="Verdana" w:hAnsi="Verdana" w:cs="Verdana"/>
      <w:noProof/>
      <w:snapToGrid w:val="0"/>
      <w:color w:val="6D6F71"/>
      <w:sz w:val="13"/>
      <w:szCs w:val="13"/>
      <w:lang w:val="en-GB" w:eastAsia="en-GB"/>
    </w:rPr>
  </w:style>
  <w:style w:type="paragraph" w:customStyle="1" w:styleId="DocsubtitleAgency">
    <w:name w:val="Doc subtitle (Agency)"/>
    <w:basedOn w:val="prastasis"/>
    <w:next w:val="BodytextAgency"/>
    <w:rsid w:val="00A23D3E"/>
    <w:pPr>
      <w:spacing w:after="640" w:line="360" w:lineRule="atLeast"/>
    </w:pPr>
    <w:rPr>
      <w:rFonts w:ascii="Verdana" w:eastAsia="Verdana" w:hAnsi="Verdana" w:cs="Verdana"/>
      <w:sz w:val="24"/>
      <w:szCs w:val="24"/>
      <w:lang w:val="en-GB" w:eastAsia="en-GB"/>
    </w:rPr>
  </w:style>
  <w:style w:type="paragraph" w:customStyle="1" w:styleId="DoctitleAgency">
    <w:name w:val="Doc title (Agency)"/>
    <w:basedOn w:val="prastasis"/>
    <w:next w:val="DocsubtitleAgency"/>
    <w:rsid w:val="00A23D3E"/>
    <w:pPr>
      <w:spacing w:before="720" w:after="0" w:line="360" w:lineRule="atLeast"/>
    </w:pPr>
    <w:rPr>
      <w:rFonts w:ascii="Verdana" w:eastAsia="Verdana" w:hAnsi="Verdana" w:cs="Verdana"/>
      <w:color w:val="003399"/>
      <w:sz w:val="32"/>
      <w:szCs w:val="32"/>
      <w:lang w:val="en-GB" w:eastAsia="en-GB"/>
    </w:rPr>
  </w:style>
  <w:style w:type="paragraph" w:customStyle="1" w:styleId="DraftingNotesAgency">
    <w:name w:val="Drafting Notes (Agency)"/>
    <w:basedOn w:val="prastasis"/>
    <w:next w:val="BodytextAgency"/>
    <w:link w:val="DraftingNotesAgencyChar"/>
    <w:rsid w:val="00A23D3E"/>
    <w:pPr>
      <w:spacing w:after="140" w:line="280" w:lineRule="atLeast"/>
    </w:pPr>
    <w:rPr>
      <w:rFonts w:ascii="Courier New" w:eastAsia="Verdana" w:hAnsi="Courier New" w:cs="Times New Roman"/>
      <w:i/>
      <w:color w:val="339966"/>
      <w:szCs w:val="18"/>
      <w:lang w:val="en-GB" w:eastAsia="en-GB"/>
    </w:rPr>
  </w:style>
  <w:style w:type="character" w:styleId="Dokumentoinaosnumeris">
    <w:name w:val="endnote reference"/>
    <w:rsid w:val="00A23D3E"/>
    <w:rPr>
      <w:rFonts w:ascii="Verdana" w:hAnsi="Verdana"/>
      <w:vertAlign w:val="superscript"/>
    </w:rPr>
  </w:style>
  <w:style w:type="character" w:customStyle="1" w:styleId="EndnotereferenceAgency">
    <w:name w:val="Endnote reference (Agency)"/>
    <w:semiHidden/>
    <w:rsid w:val="00A23D3E"/>
    <w:rPr>
      <w:rFonts w:ascii="Verdana" w:hAnsi="Verdana"/>
      <w:vertAlign w:val="superscript"/>
    </w:rPr>
  </w:style>
  <w:style w:type="paragraph" w:styleId="Dokumentoinaostekstas">
    <w:name w:val="endnote text"/>
    <w:basedOn w:val="prastasis"/>
    <w:link w:val="DokumentoinaostekstasDiagrama"/>
    <w:rsid w:val="00A23D3E"/>
    <w:pPr>
      <w:spacing w:after="0" w:line="240" w:lineRule="auto"/>
    </w:pPr>
    <w:rPr>
      <w:rFonts w:ascii="Verdana" w:eastAsia="Verdana" w:hAnsi="Verdana" w:cs="Verdana"/>
      <w:sz w:val="15"/>
      <w:szCs w:val="15"/>
      <w:lang w:val="en-GB" w:eastAsia="en-GB"/>
    </w:rPr>
  </w:style>
  <w:style w:type="character" w:customStyle="1" w:styleId="DokumentoinaostekstasDiagrama">
    <w:name w:val="Dokumento išnašos tekstas Diagrama"/>
    <w:basedOn w:val="Numatytasispastraiposriftas"/>
    <w:link w:val="Dokumentoinaostekstas"/>
    <w:rsid w:val="00A23D3E"/>
    <w:rPr>
      <w:rFonts w:ascii="Verdana" w:eastAsia="Verdana" w:hAnsi="Verdana" w:cs="Verdana"/>
      <w:sz w:val="15"/>
      <w:szCs w:val="15"/>
      <w:lang w:val="en-GB" w:eastAsia="en-GB"/>
    </w:rPr>
  </w:style>
  <w:style w:type="paragraph" w:customStyle="1" w:styleId="EndnotetextAgency">
    <w:name w:val="Endnote text (Agency)"/>
    <w:basedOn w:val="prastasis"/>
    <w:semiHidden/>
    <w:rsid w:val="00A23D3E"/>
    <w:pPr>
      <w:spacing w:after="0" w:line="240" w:lineRule="auto"/>
    </w:pPr>
    <w:rPr>
      <w:rFonts w:ascii="Verdana" w:eastAsia="Verdana" w:hAnsi="Verdana" w:cs="Verdana"/>
      <w:sz w:val="15"/>
      <w:szCs w:val="18"/>
      <w:lang w:val="en-GB" w:eastAsia="en-GB"/>
    </w:rPr>
  </w:style>
  <w:style w:type="paragraph" w:customStyle="1" w:styleId="FigureAgency">
    <w:name w:val="Figure (Agency)"/>
    <w:basedOn w:val="prastasis"/>
    <w:next w:val="BodytextAgency"/>
    <w:semiHidden/>
    <w:rsid w:val="00A23D3E"/>
    <w:pPr>
      <w:spacing w:after="0" w:line="240" w:lineRule="auto"/>
      <w:jc w:val="center"/>
    </w:pPr>
    <w:rPr>
      <w:rFonts w:ascii="Verdana" w:eastAsia="SimSun" w:hAnsi="Verdana" w:cs="Verdana"/>
      <w:sz w:val="18"/>
      <w:szCs w:val="18"/>
      <w:lang w:val="en-GB" w:eastAsia="zh-CN"/>
    </w:rPr>
  </w:style>
  <w:style w:type="paragraph" w:customStyle="1" w:styleId="FigureheadingAgency">
    <w:name w:val="Figure heading (Agency)"/>
    <w:basedOn w:val="prastasis"/>
    <w:next w:val="FigureAgency"/>
    <w:semiHidden/>
    <w:rsid w:val="00A23D3E"/>
    <w:pPr>
      <w:keepNext/>
      <w:numPr>
        <w:numId w:val="13"/>
      </w:numPr>
      <w:spacing w:before="240" w:after="120" w:line="240" w:lineRule="auto"/>
    </w:pPr>
    <w:rPr>
      <w:rFonts w:ascii="Verdana" w:eastAsia="SimSun" w:hAnsi="Verdana" w:cs="Verdana"/>
      <w:sz w:val="18"/>
      <w:szCs w:val="18"/>
      <w:lang w:val="en-GB" w:eastAsia="zh-CN"/>
    </w:rPr>
  </w:style>
  <w:style w:type="character" w:customStyle="1" w:styleId="FootnotereferenceAgency">
    <w:name w:val="Footnote reference (Agency)"/>
    <w:semiHidden/>
    <w:rsid w:val="00A23D3E"/>
    <w:rPr>
      <w:rFonts w:ascii="Verdana" w:hAnsi="Verdana"/>
      <w:color w:val="auto"/>
      <w:vertAlign w:val="superscript"/>
    </w:rPr>
  </w:style>
  <w:style w:type="paragraph" w:customStyle="1" w:styleId="FootnotetextAgency">
    <w:name w:val="Footnote text (Agency)"/>
    <w:basedOn w:val="prastasis"/>
    <w:semiHidden/>
    <w:rsid w:val="00A23D3E"/>
    <w:pPr>
      <w:spacing w:after="0" w:line="240" w:lineRule="auto"/>
    </w:pPr>
    <w:rPr>
      <w:rFonts w:ascii="Verdana" w:eastAsia="Verdana" w:hAnsi="Verdana" w:cs="Verdana"/>
      <w:sz w:val="15"/>
      <w:szCs w:val="18"/>
      <w:lang w:val="en-GB" w:eastAsia="en-GB"/>
    </w:rPr>
  </w:style>
  <w:style w:type="paragraph" w:customStyle="1" w:styleId="HeaderAgency">
    <w:name w:val="Header (Agency)"/>
    <w:basedOn w:val="prastasis"/>
    <w:semiHidden/>
    <w:rsid w:val="00A23D3E"/>
    <w:pPr>
      <w:spacing w:after="0" w:line="240" w:lineRule="auto"/>
    </w:pPr>
    <w:rPr>
      <w:rFonts w:ascii="Verdana" w:eastAsia="Verdana" w:hAnsi="Verdana" w:cs="Verdana"/>
      <w:sz w:val="18"/>
      <w:szCs w:val="18"/>
      <w:lang w:val="en-GB" w:eastAsia="en-GB"/>
    </w:rPr>
  </w:style>
  <w:style w:type="paragraph" w:customStyle="1" w:styleId="Heading1Agency">
    <w:name w:val="Heading 1 (Agency)"/>
    <w:basedOn w:val="prastasis"/>
    <w:next w:val="BodytextAgency"/>
    <w:rsid w:val="00A23D3E"/>
    <w:pPr>
      <w:keepNext/>
      <w:numPr>
        <w:numId w:val="14"/>
      </w:numPr>
      <w:spacing w:before="280" w:after="220" w:line="240" w:lineRule="auto"/>
      <w:outlineLvl w:val="0"/>
    </w:pPr>
    <w:rPr>
      <w:rFonts w:ascii="Verdana" w:eastAsia="Verdana" w:hAnsi="Verdana" w:cs="Arial"/>
      <w:b/>
      <w:bCs/>
      <w:kern w:val="32"/>
      <w:sz w:val="27"/>
      <w:szCs w:val="27"/>
      <w:lang w:val="en-GB" w:eastAsia="en-GB"/>
    </w:rPr>
  </w:style>
  <w:style w:type="paragraph" w:customStyle="1" w:styleId="Heading2Agency">
    <w:name w:val="Heading 2 (Agency)"/>
    <w:basedOn w:val="prastasis"/>
    <w:next w:val="BodytextAgency"/>
    <w:rsid w:val="00A23D3E"/>
    <w:pPr>
      <w:keepNext/>
      <w:numPr>
        <w:ilvl w:val="1"/>
        <w:numId w:val="14"/>
      </w:numPr>
      <w:spacing w:before="280" w:after="220" w:line="240" w:lineRule="auto"/>
      <w:outlineLvl w:val="1"/>
    </w:pPr>
    <w:rPr>
      <w:rFonts w:ascii="Verdana" w:eastAsia="Verdana" w:hAnsi="Verdana" w:cs="Arial"/>
      <w:b/>
      <w:bCs/>
      <w:i/>
      <w:kern w:val="32"/>
      <w:lang w:val="en-GB" w:eastAsia="en-GB"/>
    </w:rPr>
  </w:style>
  <w:style w:type="paragraph" w:customStyle="1" w:styleId="Heading3Agency">
    <w:name w:val="Heading 3 (Agency)"/>
    <w:basedOn w:val="prastasis"/>
    <w:next w:val="BodytextAgency"/>
    <w:rsid w:val="00A23D3E"/>
    <w:pPr>
      <w:keepNext/>
      <w:numPr>
        <w:ilvl w:val="2"/>
        <w:numId w:val="14"/>
      </w:numPr>
      <w:spacing w:before="280" w:after="220" w:line="240" w:lineRule="auto"/>
      <w:outlineLvl w:val="2"/>
    </w:pPr>
    <w:rPr>
      <w:rFonts w:ascii="Verdana" w:eastAsia="Verdana" w:hAnsi="Verdana" w:cs="Arial"/>
      <w:b/>
      <w:bCs/>
      <w:kern w:val="32"/>
      <w:lang w:val="en-GB" w:eastAsia="en-GB"/>
    </w:rPr>
  </w:style>
  <w:style w:type="paragraph" w:customStyle="1" w:styleId="Heading4Agency">
    <w:name w:val="Heading 4 (Agency)"/>
    <w:basedOn w:val="Heading3Agency"/>
    <w:next w:val="BodytextAgency"/>
    <w:semiHidden/>
    <w:rsid w:val="00A23D3E"/>
    <w:pPr>
      <w:numPr>
        <w:ilvl w:val="3"/>
      </w:numPr>
      <w:outlineLvl w:val="3"/>
    </w:pPr>
    <w:rPr>
      <w:i/>
      <w:sz w:val="18"/>
      <w:szCs w:val="18"/>
    </w:rPr>
  </w:style>
  <w:style w:type="paragraph" w:customStyle="1" w:styleId="Heading5Agency">
    <w:name w:val="Heading 5 (Agency)"/>
    <w:basedOn w:val="Heading4Agency"/>
    <w:next w:val="BodytextAgency"/>
    <w:semiHidden/>
    <w:rsid w:val="00A23D3E"/>
    <w:pPr>
      <w:numPr>
        <w:ilvl w:val="4"/>
      </w:numPr>
      <w:outlineLvl w:val="4"/>
    </w:pPr>
    <w:rPr>
      <w:i w:val="0"/>
    </w:rPr>
  </w:style>
  <w:style w:type="paragraph" w:customStyle="1" w:styleId="Heading6Agency">
    <w:name w:val="Heading 6 (Agency)"/>
    <w:basedOn w:val="Heading5Agency"/>
    <w:next w:val="BodytextAgency"/>
    <w:semiHidden/>
    <w:rsid w:val="00A23D3E"/>
    <w:pPr>
      <w:numPr>
        <w:ilvl w:val="5"/>
      </w:numPr>
      <w:outlineLvl w:val="5"/>
    </w:pPr>
  </w:style>
  <w:style w:type="paragraph" w:customStyle="1" w:styleId="Heading7Agency">
    <w:name w:val="Heading 7 (Agency)"/>
    <w:basedOn w:val="Heading6Agency"/>
    <w:next w:val="BodytextAgency"/>
    <w:semiHidden/>
    <w:rsid w:val="00A23D3E"/>
    <w:pPr>
      <w:numPr>
        <w:ilvl w:val="6"/>
      </w:numPr>
      <w:outlineLvl w:val="6"/>
    </w:pPr>
  </w:style>
  <w:style w:type="paragraph" w:customStyle="1" w:styleId="Heading8Agency">
    <w:name w:val="Heading 8 (Agency)"/>
    <w:basedOn w:val="Heading7Agency"/>
    <w:next w:val="BodytextAgency"/>
    <w:semiHidden/>
    <w:rsid w:val="00A23D3E"/>
    <w:pPr>
      <w:numPr>
        <w:ilvl w:val="7"/>
      </w:numPr>
      <w:outlineLvl w:val="7"/>
    </w:pPr>
  </w:style>
  <w:style w:type="paragraph" w:customStyle="1" w:styleId="Heading9Agency">
    <w:name w:val="Heading 9 (Agency)"/>
    <w:basedOn w:val="Heading8Agency"/>
    <w:next w:val="BodytextAgency"/>
    <w:semiHidden/>
    <w:rsid w:val="00A23D3E"/>
    <w:pPr>
      <w:numPr>
        <w:ilvl w:val="8"/>
      </w:numPr>
      <w:outlineLvl w:val="8"/>
    </w:pPr>
  </w:style>
  <w:style w:type="paragraph" w:customStyle="1" w:styleId="No-numheading1Agency">
    <w:name w:val="No-num heading 1 (Agency)"/>
    <w:basedOn w:val="prastasis"/>
    <w:next w:val="BodytextAgency"/>
    <w:link w:val="No-numheading1AgencyChar"/>
    <w:rsid w:val="00A23D3E"/>
    <w:pPr>
      <w:keepNext/>
      <w:spacing w:before="280" w:after="220" w:line="240" w:lineRule="auto"/>
      <w:outlineLvl w:val="0"/>
    </w:pPr>
    <w:rPr>
      <w:rFonts w:ascii="Verdana" w:eastAsia="Verdana" w:hAnsi="Verdana" w:cs="Arial"/>
      <w:b/>
      <w:bCs/>
      <w:kern w:val="32"/>
      <w:sz w:val="27"/>
      <w:szCs w:val="27"/>
      <w:lang w:val="en-GB" w:eastAsia="en-GB"/>
    </w:rPr>
  </w:style>
  <w:style w:type="paragraph" w:customStyle="1" w:styleId="No-numheading2Agency">
    <w:name w:val="No-num heading 2 (Agency)"/>
    <w:basedOn w:val="prastasis"/>
    <w:next w:val="BodytextAgency"/>
    <w:link w:val="No-numheading2AgencyChar"/>
    <w:rsid w:val="00A23D3E"/>
    <w:pPr>
      <w:keepNext/>
      <w:spacing w:before="280" w:after="220" w:line="240" w:lineRule="auto"/>
      <w:outlineLvl w:val="1"/>
    </w:pPr>
    <w:rPr>
      <w:rFonts w:ascii="Verdana" w:eastAsia="Verdana" w:hAnsi="Verdana" w:cs="Arial"/>
      <w:b/>
      <w:bCs/>
      <w:i/>
      <w:kern w:val="32"/>
      <w:lang w:val="en-GB" w:eastAsia="en-GB"/>
    </w:rPr>
  </w:style>
  <w:style w:type="paragraph" w:customStyle="1" w:styleId="No-numheading3Agency">
    <w:name w:val="No-num heading 3 (Agency)"/>
    <w:basedOn w:val="Heading3Agency"/>
    <w:next w:val="BodytextAgency"/>
    <w:rsid w:val="00A23D3E"/>
    <w:pPr>
      <w:numPr>
        <w:ilvl w:val="0"/>
        <w:numId w:val="0"/>
      </w:numPr>
    </w:pPr>
  </w:style>
  <w:style w:type="paragraph" w:customStyle="1" w:styleId="No-numheading4Agency">
    <w:name w:val="No-num heading 4 (Agency)"/>
    <w:basedOn w:val="Heading4Agency"/>
    <w:next w:val="BodytextAgency"/>
    <w:semiHidden/>
    <w:rsid w:val="00A23D3E"/>
    <w:pPr>
      <w:numPr>
        <w:ilvl w:val="0"/>
        <w:numId w:val="0"/>
      </w:numPr>
    </w:pPr>
  </w:style>
  <w:style w:type="paragraph" w:customStyle="1" w:styleId="No-numheading5Agency">
    <w:name w:val="No-num heading 5 (Agency)"/>
    <w:basedOn w:val="Heading5Agency"/>
    <w:next w:val="BodytextAgency"/>
    <w:semiHidden/>
    <w:rsid w:val="00A23D3E"/>
    <w:pPr>
      <w:numPr>
        <w:ilvl w:val="0"/>
        <w:numId w:val="0"/>
      </w:numPr>
    </w:pPr>
  </w:style>
  <w:style w:type="paragraph" w:customStyle="1" w:styleId="No-numheading6Agency">
    <w:name w:val="No-num heading 6 (Agency)"/>
    <w:basedOn w:val="No-numheading5Agency"/>
    <w:next w:val="BodytextAgency"/>
    <w:semiHidden/>
    <w:rsid w:val="00A23D3E"/>
    <w:pPr>
      <w:outlineLvl w:val="5"/>
    </w:pPr>
  </w:style>
  <w:style w:type="paragraph" w:customStyle="1" w:styleId="No-numheading7Agency">
    <w:name w:val="No-num heading 7 (Agency)"/>
    <w:basedOn w:val="No-numheading6Agency"/>
    <w:next w:val="BodytextAgency"/>
    <w:semiHidden/>
    <w:rsid w:val="00A23D3E"/>
    <w:pPr>
      <w:outlineLvl w:val="6"/>
    </w:pPr>
  </w:style>
  <w:style w:type="paragraph" w:customStyle="1" w:styleId="No-numheading8Agency">
    <w:name w:val="No-num heading 8 (Agency)"/>
    <w:basedOn w:val="No-numheading7Agency"/>
    <w:next w:val="BodytextAgency"/>
    <w:semiHidden/>
    <w:rsid w:val="00A23D3E"/>
    <w:pPr>
      <w:outlineLvl w:val="7"/>
    </w:pPr>
  </w:style>
  <w:style w:type="paragraph" w:customStyle="1" w:styleId="No-numheading9Agency">
    <w:name w:val="No-num heading 9 (Agency)"/>
    <w:basedOn w:val="No-numheading8Agency"/>
    <w:next w:val="BodytextAgency"/>
    <w:semiHidden/>
    <w:rsid w:val="00A23D3E"/>
    <w:pPr>
      <w:outlineLvl w:val="8"/>
    </w:pPr>
  </w:style>
  <w:style w:type="paragraph" w:customStyle="1" w:styleId="NormalAgency">
    <w:name w:val="Normal (Agency)"/>
    <w:link w:val="NormalAgencyChar"/>
    <w:rsid w:val="00A23D3E"/>
    <w:pPr>
      <w:spacing w:after="0" w:line="240" w:lineRule="auto"/>
    </w:pPr>
    <w:rPr>
      <w:rFonts w:ascii="Verdana" w:eastAsia="Verdana" w:hAnsi="Verdana" w:cs="Verdana"/>
      <w:sz w:val="18"/>
      <w:szCs w:val="18"/>
      <w:lang w:val="en-GB" w:eastAsia="en-GB"/>
    </w:rPr>
  </w:style>
  <w:style w:type="paragraph" w:customStyle="1" w:styleId="No-TOCheadingAgency">
    <w:name w:val="No-TOC heading (Agency)"/>
    <w:basedOn w:val="prastasis"/>
    <w:next w:val="prastasis"/>
    <w:rsid w:val="00A23D3E"/>
    <w:pPr>
      <w:keepNext/>
      <w:spacing w:before="280" w:after="220" w:line="240" w:lineRule="auto"/>
    </w:pPr>
    <w:rPr>
      <w:rFonts w:ascii="Verdana" w:eastAsia="Times New Roman" w:hAnsi="Verdana" w:cs="Arial"/>
      <w:b/>
      <w:kern w:val="32"/>
      <w:sz w:val="27"/>
      <w:szCs w:val="27"/>
      <w:lang w:val="en-GB" w:eastAsia="en-GB"/>
    </w:rPr>
  </w:style>
  <w:style w:type="numbering" w:customStyle="1" w:styleId="NumberlistAgency">
    <w:name w:val="Number list (Agency)"/>
    <w:basedOn w:val="Sraonra"/>
    <w:rsid w:val="00A23D3E"/>
    <w:pPr>
      <w:numPr>
        <w:numId w:val="15"/>
      </w:numPr>
    </w:pPr>
  </w:style>
  <w:style w:type="paragraph" w:customStyle="1" w:styleId="RefAgency">
    <w:name w:val="Ref. (Agency)"/>
    <w:basedOn w:val="prastasis"/>
    <w:rsid w:val="00A23D3E"/>
    <w:pPr>
      <w:spacing w:after="0" w:line="240" w:lineRule="auto"/>
    </w:pPr>
    <w:rPr>
      <w:rFonts w:ascii="Verdana" w:eastAsia="Times New Roman" w:hAnsi="Verdana" w:cs="Times New Roman"/>
      <w:sz w:val="17"/>
      <w:szCs w:val="18"/>
      <w:lang w:val="en-GB" w:eastAsia="en-GB"/>
    </w:rPr>
  </w:style>
  <w:style w:type="paragraph" w:customStyle="1" w:styleId="TablefirstrowAgency">
    <w:name w:val="Table first row (Agency)"/>
    <w:basedOn w:val="BodytextAgency"/>
    <w:rsid w:val="00A23D3E"/>
    <w:pPr>
      <w:keepNext/>
    </w:pPr>
    <w:rPr>
      <w:rFonts w:eastAsia="Times New Roman"/>
      <w:b/>
    </w:rPr>
  </w:style>
  <w:style w:type="table" w:customStyle="1" w:styleId="TablegridAgency">
    <w:name w:val="Table grid (Agency)"/>
    <w:basedOn w:val="prastojilentel"/>
    <w:semiHidden/>
    <w:rsid w:val="00A23D3E"/>
    <w:pPr>
      <w:spacing w:after="0" w:line="240" w:lineRule="auto"/>
    </w:pPr>
    <w:rPr>
      <w:rFonts w:ascii="Verdana" w:eastAsia="SimSun" w:hAnsi="Verdana" w:cs="Times New Roman"/>
      <w:sz w:val="18"/>
      <w:szCs w:val="20"/>
      <w:lang w:eastAsia="lt-LT"/>
    </w:rPr>
    <w:tblPr>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Pr>
    <w:tcPr>
      <w:shd w:val="clear" w:color="auto" w:fill="E1E3F2"/>
    </w:tcPr>
    <w:tblStylePr w:type="firstRow">
      <w:rPr>
        <w:rFonts w:ascii="Cambria" w:hAnsi="Cambria"/>
        <w:b/>
        <w:i w:val="0"/>
        <w:sz w:val="18"/>
        <w:szCs w:val="18"/>
      </w:rPr>
      <w:tblPr/>
      <w:trPr>
        <w:tblHeader/>
      </w:trPr>
      <w:tcPr>
        <w:tcBorders>
          <w:top w:val="nil"/>
          <w:left w:val="nil"/>
          <w:bottom w:val="nil"/>
          <w:right w:val="nil"/>
          <w:insideH w:val="nil"/>
          <w:insideV w:val="nil"/>
          <w:tl2br w:val="nil"/>
          <w:tr2bl w:val="nil"/>
        </w:tcBorders>
        <w:shd w:val="clear" w:color="auto" w:fill="003399"/>
      </w:tcPr>
    </w:tblStylePr>
  </w:style>
  <w:style w:type="table" w:customStyle="1" w:styleId="TablegridAgencyblack">
    <w:name w:val="Table grid (Agency) black"/>
    <w:basedOn w:val="TablegridAgency"/>
    <w:semiHidden/>
    <w:rsid w:val="00A23D3E"/>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Cambria" w:hAnsi="Cambria"/>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Agency">
    <w:name w:val="Table heading (Agency)"/>
    <w:basedOn w:val="prastasis"/>
    <w:next w:val="BodytextAgency"/>
    <w:semiHidden/>
    <w:rsid w:val="00A23D3E"/>
    <w:pPr>
      <w:keepNext/>
      <w:numPr>
        <w:numId w:val="16"/>
      </w:numPr>
      <w:spacing w:before="240" w:after="120" w:line="240" w:lineRule="auto"/>
    </w:pPr>
    <w:rPr>
      <w:rFonts w:ascii="Verdana" w:eastAsia="SimSun" w:hAnsi="Verdana" w:cs="Verdana"/>
      <w:sz w:val="18"/>
      <w:szCs w:val="18"/>
      <w:lang w:val="en-GB" w:eastAsia="zh-CN"/>
    </w:rPr>
  </w:style>
  <w:style w:type="paragraph" w:customStyle="1" w:styleId="TableheadingrowsAgency">
    <w:name w:val="Table heading rows (Agency)"/>
    <w:basedOn w:val="BodytextAgency"/>
    <w:semiHidden/>
    <w:rsid w:val="00A23D3E"/>
    <w:pPr>
      <w:keepNext/>
    </w:pPr>
    <w:rPr>
      <w:rFonts w:eastAsia="Times New Roman"/>
      <w:b/>
    </w:rPr>
  </w:style>
  <w:style w:type="paragraph" w:customStyle="1" w:styleId="TabletextrowsAgency">
    <w:name w:val="Table text rows (Agency)"/>
    <w:basedOn w:val="prastasis"/>
    <w:rsid w:val="00A23D3E"/>
    <w:pPr>
      <w:spacing w:after="0" w:line="280" w:lineRule="exact"/>
    </w:pPr>
    <w:rPr>
      <w:rFonts w:ascii="Verdana" w:eastAsia="Times New Roman" w:hAnsi="Verdana" w:cs="Verdana"/>
      <w:sz w:val="18"/>
      <w:szCs w:val="18"/>
      <w:lang w:val="en-GB" w:eastAsia="zh-CN"/>
    </w:rPr>
  </w:style>
  <w:style w:type="paragraph" w:customStyle="1" w:styleId="TableFigurenoteAgency">
    <w:name w:val="Table/Figure note (Agency)"/>
    <w:basedOn w:val="BodytextAgency"/>
    <w:next w:val="BodytextAgency"/>
    <w:semiHidden/>
    <w:rsid w:val="00A23D3E"/>
    <w:pPr>
      <w:spacing w:before="60" w:after="240" w:line="240" w:lineRule="auto"/>
    </w:pPr>
    <w:rPr>
      <w:sz w:val="16"/>
      <w:szCs w:val="16"/>
    </w:rPr>
  </w:style>
  <w:style w:type="paragraph" w:styleId="Turinys1">
    <w:name w:val="toc 1"/>
    <w:basedOn w:val="prastasis"/>
    <w:next w:val="BodytextAgency"/>
    <w:rsid w:val="00A23D3E"/>
    <w:pPr>
      <w:keepNext/>
      <w:tabs>
        <w:tab w:val="right" w:leader="dot" w:pos="9401"/>
      </w:tabs>
      <w:spacing w:before="140" w:after="57" w:line="240" w:lineRule="atLeast"/>
    </w:pPr>
    <w:rPr>
      <w:rFonts w:ascii="Verdana" w:eastAsia="Verdana" w:hAnsi="Verdana" w:cs="Verdana"/>
      <w:b/>
      <w:noProof/>
      <w:lang w:val="en-GB" w:eastAsia="en-GB"/>
    </w:rPr>
  </w:style>
  <w:style w:type="paragraph" w:styleId="Turinys2">
    <w:name w:val="toc 2"/>
    <w:basedOn w:val="prastasis"/>
    <w:next w:val="BodytextAgency"/>
    <w:rsid w:val="00A23D3E"/>
    <w:pPr>
      <w:tabs>
        <w:tab w:val="right" w:leader="dot" w:pos="9401"/>
      </w:tabs>
      <w:spacing w:after="57" w:line="240" w:lineRule="atLeast"/>
    </w:pPr>
    <w:rPr>
      <w:rFonts w:ascii="Verdana" w:eastAsia="Verdana" w:hAnsi="Verdana" w:cs="Verdana"/>
      <w:noProof/>
      <w:sz w:val="20"/>
      <w:szCs w:val="18"/>
      <w:lang w:val="en-GB" w:eastAsia="en-GB"/>
    </w:rPr>
  </w:style>
  <w:style w:type="paragraph" w:styleId="Turinys3">
    <w:name w:val="toc 3"/>
    <w:basedOn w:val="prastasis"/>
    <w:next w:val="BodytextAgency"/>
    <w:rsid w:val="00A23D3E"/>
    <w:pPr>
      <w:tabs>
        <w:tab w:val="right" w:leader="dot" w:pos="9401"/>
      </w:tabs>
      <w:spacing w:after="57" w:line="240" w:lineRule="atLeast"/>
    </w:pPr>
    <w:rPr>
      <w:rFonts w:ascii="Verdana" w:eastAsia="Verdana" w:hAnsi="Verdana" w:cs="Verdana"/>
      <w:noProof/>
      <w:sz w:val="20"/>
      <w:szCs w:val="18"/>
      <w:lang w:val="en-GB" w:eastAsia="en-GB"/>
    </w:rPr>
  </w:style>
  <w:style w:type="paragraph" w:styleId="Turinys4">
    <w:name w:val="toc 4"/>
    <w:basedOn w:val="prastasis"/>
    <w:next w:val="BodytextAgency"/>
    <w:rsid w:val="00A23D3E"/>
    <w:pPr>
      <w:tabs>
        <w:tab w:val="right" w:leader="dot" w:pos="9401"/>
      </w:tabs>
      <w:spacing w:after="57" w:line="240" w:lineRule="atLeast"/>
    </w:pPr>
    <w:rPr>
      <w:rFonts w:ascii="Verdana" w:eastAsia="SimSun" w:hAnsi="Verdana" w:cs="Verdana"/>
      <w:noProof/>
      <w:sz w:val="20"/>
      <w:szCs w:val="18"/>
      <w:lang w:val="en-GB" w:eastAsia="zh-CN"/>
    </w:rPr>
  </w:style>
  <w:style w:type="paragraph" w:styleId="Turinys5">
    <w:name w:val="toc 5"/>
    <w:basedOn w:val="prastasis"/>
    <w:next w:val="BodytextAgency"/>
    <w:rsid w:val="00A23D3E"/>
    <w:pPr>
      <w:tabs>
        <w:tab w:val="right" w:leader="dot" w:pos="9401"/>
      </w:tabs>
      <w:spacing w:after="57" w:line="240" w:lineRule="atLeast"/>
    </w:pPr>
    <w:rPr>
      <w:rFonts w:ascii="Verdana" w:eastAsia="SimSun" w:hAnsi="Verdana" w:cs="Verdana"/>
      <w:noProof/>
      <w:sz w:val="20"/>
      <w:szCs w:val="18"/>
      <w:lang w:val="en-GB" w:eastAsia="zh-CN"/>
    </w:rPr>
  </w:style>
  <w:style w:type="paragraph" w:styleId="Turinys6">
    <w:name w:val="toc 6"/>
    <w:basedOn w:val="prastasis"/>
    <w:next w:val="BodytextAgency"/>
    <w:autoRedefine/>
    <w:rsid w:val="00A23D3E"/>
    <w:pPr>
      <w:spacing w:after="57" w:line="240" w:lineRule="exact"/>
    </w:pPr>
    <w:rPr>
      <w:rFonts w:ascii="Verdana" w:eastAsia="Times New Roman" w:hAnsi="Verdana" w:cs="Verdana"/>
      <w:sz w:val="18"/>
      <w:szCs w:val="18"/>
      <w:lang w:val="en-GB" w:eastAsia="zh-CN"/>
    </w:rPr>
  </w:style>
  <w:style w:type="paragraph" w:styleId="Turinys7">
    <w:name w:val="toc 7"/>
    <w:basedOn w:val="prastasis"/>
    <w:next w:val="BodytextAgency"/>
    <w:rsid w:val="00A23D3E"/>
    <w:pPr>
      <w:spacing w:after="57" w:line="240" w:lineRule="exact"/>
    </w:pPr>
    <w:rPr>
      <w:rFonts w:ascii="Verdana" w:eastAsia="Times New Roman" w:hAnsi="Verdana" w:cs="Verdana"/>
      <w:sz w:val="18"/>
      <w:szCs w:val="18"/>
      <w:lang w:val="en-GB" w:eastAsia="zh-CN"/>
    </w:rPr>
  </w:style>
  <w:style w:type="paragraph" w:styleId="Turinys8">
    <w:name w:val="toc 8"/>
    <w:basedOn w:val="prastasis"/>
    <w:next w:val="BodytextAgency"/>
    <w:rsid w:val="00A23D3E"/>
    <w:pPr>
      <w:spacing w:after="57" w:line="240" w:lineRule="exact"/>
    </w:pPr>
    <w:rPr>
      <w:rFonts w:ascii="Verdana" w:eastAsia="Times New Roman" w:hAnsi="Verdana" w:cs="Verdana"/>
      <w:sz w:val="18"/>
      <w:szCs w:val="18"/>
      <w:lang w:val="en-GB" w:eastAsia="zh-CN"/>
    </w:rPr>
  </w:style>
  <w:style w:type="paragraph" w:styleId="Turinys9">
    <w:name w:val="toc 9"/>
    <w:basedOn w:val="prastasis"/>
    <w:next w:val="BodytextAgency"/>
    <w:rsid w:val="00A23D3E"/>
    <w:pPr>
      <w:spacing w:after="57" w:line="240" w:lineRule="exact"/>
    </w:pPr>
    <w:rPr>
      <w:rFonts w:ascii="Verdana" w:eastAsia="Times New Roman" w:hAnsi="Verdana" w:cs="Verdana"/>
      <w:sz w:val="18"/>
      <w:szCs w:val="18"/>
      <w:lang w:val="en-GB" w:eastAsia="zh-CN"/>
    </w:rPr>
  </w:style>
  <w:style w:type="character" w:customStyle="1" w:styleId="NormalAgencyChar">
    <w:name w:val="Normal (Agency) Char"/>
    <w:link w:val="NormalAgency"/>
    <w:rsid w:val="00A23D3E"/>
    <w:rPr>
      <w:rFonts w:ascii="Verdana" w:eastAsia="Verdana" w:hAnsi="Verdana" w:cs="Verdana"/>
      <w:sz w:val="18"/>
      <w:szCs w:val="18"/>
      <w:lang w:val="en-GB" w:eastAsia="en-GB"/>
    </w:rPr>
  </w:style>
  <w:style w:type="character" w:customStyle="1" w:styleId="DraftingNotesAgencyChar">
    <w:name w:val="Drafting Notes (Agency) Char"/>
    <w:link w:val="DraftingNotesAgency"/>
    <w:rsid w:val="00A23D3E"/>
    <w:rPr>
      <w:rFonts w:ascii="Courier New" w:eastAsia="Verdana" w:hAnsi="Courier New" w:cs="Times New Roman"/>
      <w:i/>
      <w:color w:val="339966"/>
      <w:szCs w:val="18"/>
      <w:lang w:val="en-GB" w:eastAsia="en-GB"/>
    </w:rPr>
  </w:style>
  <w:style w:type="character" w:customStyle="1" w:styleId="No-numheading2AgencyChar">
    <w:name w:val="No-num heading 2 (Agency) Char"/>
    <w:link w:val="No-numheading2Agency"/>
    <w:rsid w:val="00A23D3E"/>
    <w:rPr>
      <w:rFonts w:ascii="Verdana" w:eastAsia="Verdana" w:hAnsi="Verdana" w:cs="Arial"/>
      <w:b/>
      <w:bCs/>
      <w:i/>
      <w:kern w:val="32"/>
      <w:lang w:val="en-GB" w:eastAsia="en-GB"/>
    </w:rPr>
  </w:style>
  <w:style w:type="character" w:customStyle="1" w:styleId="No-numheading1AgencyChar">
    <w:name w:val="No-num heading 1 (Agency) Char"/>
    <w:link w:val="No-numheading1Agency"/>
    <w:rsid w:val="00A23D3E"/>
    <w:rPr>
      <w:rFonts w:ascii="Verdana" w:eastAsia="Verdana" w:hAnsi="Verdana" w:cs="Arial"/>
      <w:b/>
      <w:bCs/>
      <w:kern w:val="32"/>
      <w:sz w:val="27"/>
      <w:szCs w:val="27"/>
      <w:lang w:val="en-GB" w:eastAsia="en-GB"/>
    </w:rPr>
  </w:style>
  <w:style w:type="paragraph" w:customStyle="1" w:styleId="Reference">
    <w:name w:val="Reference"/>
    <w:basedOn w:val="prastasis"/>
    <w:rsid w:val="00A23D3E"/>
    <w:pPr>
      <w:spacing w:before="80" w:after="60" w:line="240" w:lineRule="auto"/>
    </w:pPr>
    <w:rPr>
      <w:rFonts w:ascii="Times New Roman" w:eastAsia="MS Mincho" w:hAnsi="Times New Roman" w:cs="Times New Roman"/>
      <w:sz w:val="24"/>
      <w:szCs w:val="20"/>
      <w:lang w:val="en-US" w:eastAsia="ja-JP"/>
    </w:rPr>
  </w:style>
  <w:style w:type="paragraph" w:styleId="Pavadinimas">
    <w:name w:val="Title"/>
    <w:basedOn w:val="prastasis"/>
    <w:link w:val="PavadinimasDiagrama"/>
    <w:autoRedefine/>
    <w:qFormat/>
    <w:rsid w:val="00A23D3E"/>
    <w:pPr>
      <w:tabs>
        <w:tab w:val="left" w:pos="567"/>
      </w:tabs>
      <w:spacing w:after="0" w:line="240" w:lineRule="auto"/>
      <w:jc w:val="center"/>
      <w:outlineLvl w:val="0"/>
    </w:pPr>
    <w:rPr>
      <w:rFonts w:ascii="Times New Roman" w:eastAsia="Times New Roman" w:hAnsi="Times New Roman" w:cs="Times New Roman"/>
      <w:b/>
      <w:kern w:val="28"/>
      <w:lang w:eastAsia="lt-LT"/>
    </w:rPr>
  </w:style>
  <w:style w:type="character" w:customStyle="1" w:styleId="PavadinimasDiagrama">
    <w:name w:val="Pavadinimas Diagrama"/>
    <w:basedOn w:val="Numatytasispastraiposriftas"/>
    <w:link w:val="Pavadinimas"/>
    <w:rsid w:val="00A23D3E"/>
    <w:rPr>
      <w:rFonts w:ascii="Times New Roman" w:eastAsia="Times New Roman" w:hAnsi="Times New Roman" w:cs="Times New Roman"/>
      <w:b/>
      <w:kern w:val="28"/>
      <w:lang w:eastAsia="lt-LT"/>
    </w:rPr>
  </w:style>
  <w:style w:type="paragraph" w:styleId="Sraopastraipa">
    <w:name w:val="List Paragraph"/>
    <w:basedOn w:val="prastasis"/>
    <w:uiPriority w:val="34"/>
    <w:qFormat/>
    <w:rsid w:val="00A23D3E"/>
    <w:pPr>
      <w:tabs>
        <w:tab w:val="left" w:pos="567"/>
      </w:tabs>
      <w:spacing w:after="0" w:line="260" w:lineRule="exact"/>
      <w:ind w:left="720"/>
      <w:contextualSpacing/>
    </w:pPr>
    <w:rPr>
      <w:rFonts w:ascii="Times New Roman" w:eastAsia="Times New Roman" w:hAnsi="Times New Roman" w:cs="Times New Roman"/>
      <w:szCs w:val="20"/>
      <w:lang w:val="en-GB"/>
    </w:rPr>
  </w:style>
  <w:style w:type="numbering" w:customStyle="1" w:styleId="Sraonra1">
    <w:name w:val="Sąrašo nėra1"/>
    <w:next w:val="Sraonra"/>
    <w:uiPriority w:val="99"/>
    <w:semiHidden/>
    <w:unhideWhenUsed/>
    <w:rsid w:val="00A23D3E"/>
  </w:style>
  <w:style w:type="character" w:customStyle="1" w:styleId="shorttext">
    <w:name w:val="short_text"/>
    <w:basedOn w:val="Numatytasispastraiposriftas"/>
    <w:rsid w:val="00A23D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6440744">
      <w:bodyDiv w:val="1"/>
      <w:marLeft w:val="0"/>
      <w:marRight w:val="0"/>
      <w:marTop w:val="0"/>
      <w:marBottom w:val="0"/>
      <w:divBdr>
        <w:top w:val="none" w:sz="0" w:space="0" w:color="auto"/>
        <w:left w:val="none" w:sz="0" w:space="0" w:color="auto"/>
        <w:bottom w:val="none" w:sz="0" w:space="0" w:color="auto"/>
        <w:right w:val="none" w:sz="0" w:space="0" w:color="auto"/>
      </w:divBdr>
    </w:div>
    <w:div w:id="1469930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8.png"/><Relationship Id="rId26" Type="http://schemas.openxmlformats.org/officeDocument/2006/relationships/image" Target="media/image16.emf"/><Relationship Id="rId3" Type="http://schemas.openxmlformats.org/officeDocument/2006/relationships/customXml" Target="../customXml/item3.xml"/><Relationship Id="rId21" Type="http://schemas.openxmlformats.org/officeDocument/2006/relationships/image" Target="media/image11.emf"/><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image" Target="media/image15.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image" Target="media/image14.jpeg"/><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image" Target="media/image9.emf"/><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3" ma:contentTypeDescription="Create a new document." ma:contentTypeScope="" ma:versionID="6bb23f564ccf0b4b04cbf54f31b6632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9e7258cc12ff8ace56d6d1e5f948f1d8"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1D32A-9A38-46EC-BEE7-790F804A21EA}">
  <ds:schemaRefs>
    <ds:schemaRef ds:uri="http://schemas.microsoft.com/sharepoint/v3/contenttype/forms"/>
  </ds:schemaRefs>
</ds:datastoreItem>
</file>

<file path=customXml/itemProps2.xml><?xml version="1.0" encoding="utf-8"?>
<ds:datastoreItem xmlns:ds="http://schemas.openxmlformats.org/officeDocument/2006/customXml" ds:itemID="{89DF58DB-D710-4A5B-A5B1-D83622ECBB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B57A27-DDA2-4798-BC4B-D9916CC7596D}">
  <ds:schemaRefs>
    <ds:schemaRef ds:uri="http://schemas.openxmlformats.org/package/2006/metadata/core-properties"/>
    <ds:schemaRef ds:uri="http://purl.org/dc/dcmitype/"/>
    <ds:schemaRef ds:uri="http://schemas.microsoft.com/office/2006/documentManagement/types"/>
    <ds:schemaRef ds:uri="78b9413f-6859-4e7b-aa81-638b49c633fc"/>
    <ds:schemaRef ds:uri="http://purl.org/dc/terms/"/>
    <ds:schemaRef ds:uri="d798c64d-64dd-4293-a90a-054293018c05"/>
    <ds:schemaRef ds:uri="http://schemas.microsoft.com/office/2006/metadata/properties"/>
    <ds:schemaRef ds:uri="http://purl.org/dc/elements/1.1/"/>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ED6E4D0E-CD97-44ED-BFCA-0D3089BBD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46094</Words>
  <Characters>26274</Characters>
  <Application>Microsoft Office Word</Application>
  <DocSecurity>4</DocSecurity>
  <Lines>218</Lines>
  <Paragraphs>144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85</vt:i4>
      </vt:variant>
    </vt:vector>
  </HeadingPairs>
  <TitlesOfParts>
    <vt:vector size="87" baseType="lpstr">
      <vt:lpstr/>
      <vt:lpstr/>
      <vt:lpstr>6.6	Specialūs reikalavimai atliekoms tvarkyti ir vaistiniam preparatui ruošti</vt:lpstr>
      <vt:lpstr>III PRIEDAS</vt:lpstr>
      <vt:lpstr/>
      <vt:lpstr>ŽENKLINIMAS IR PAKUOTĖS LAPELIS</vt:lpstr>
      <vt:lpstr/>
      <vt:lpstr/>
      <vt:lpstr/>
      <vt:lpstr/>
      <vt:lpstr/>
      <vt:lpstr/>
      <vt:lpstr/>
      <vt:lpstr/>
      <vt:lpstr/>
      <vt:lpstr/>
      <vt:lpstr/>
      <vt:lpstr/>
      <vt:lpstr/>
      <vt:lpstr/>
      <vt:lpstr/>
      <vt:lpstr/>
      <vt:lpstr/>
      <vt:lpstr/>
      <vt:lpstr/>
      <vt:lpstr/>
      <vt:lpstr/>
      <vt:lpstr/>
      <vt:lpstr/>
      <vt:lpstr>ŽENKLINIMAS</vt:lpstr>
      <vt:lpstr>Informacija ant IŠORINĖS PAKUOTĖS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EXP {mm MMMM}</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MINIMALI informacija ant MAŽŲ VIDINIŲ PAKUOČIŲ</vt:lpstr>
      <vt:lpstr/>
      <vt:lpstr>FLAKONO ETIKETĖ</vt:lpstr>
      <vt:lpstr>1.	Vaistinio preparato pavadinimas IR VARTOJIMO BŪDAS (-ai)</vt:lpstr>
      <vt:lpstr>2.	VARTOJIMO METODAS</vt:lpstr>
      <vt:lpstr>3.	tinkamumo laikas</vt:lpstr>
      <vt:lpstr>EXP {mm MMMM}</vt:lpstr>
      <vt:lpstr>4.	serijos numeris</vt:lpstr>
      <vt:lpstr>5.	KIEKIS (MASĖ, TŪRIS ARBA VIENETAI)</vt:lpstr>
      <vt:lpstr>6.	KITA </vt:lpstr>
      <vt:lpstr>MINIMALI informacija ant MAŽŲ VIDINIŲ PAKUOČIŲ</vt:lpstr>
      <vt:lpstr/>
      <vt:lpstr>ŠVIRKŠTO ETIKETĖ</vt:lpstr>
      <vt:lpstr>1.	Vaistinio preparato pavadinimas IR VARTOJIMO BŪDAS (-ai)</vt:lpstr>
      <vt:lpstr>2.	VARTOJIMO METODAS</vt:lpstr>
      <vt:lpstr>3.	tinkamumo laikas</vt:lpstr>
      <vt:lpstr>EXP {mm MMMM}</vt:lpstr>
      <vt:lpstr>4.	serijA </vt:lpstr>
      <vt:lpstr>5.	KIEKIS (MASĖ, TŪRIS ARBA VIENETAI) </vt:lpstr>
      <vt:lpstr>6.	KITA</vt:lpstr>
      <vt:lpstr>PAKUOTĖS LAPELIS</vt:lpstr>
      <vt:lpstr>Pakuotės lapelis: informacija pacientui</vt:lpstr>
      <vt:lpstr/>
      <vt:lpstr>Apie ką rašoma šiame lapelyje?</vt:lpstr>
      <vt:lpstr/>
      <vt:lpstr>Sandostatin LAR vartoti negalima:</vt:lpstr>
      <vt:lpstr>Įspėjimai ir atsargumo priemonės</vt:lpstr>
      <vt:lpstr>Nėštumas ir žindymo laikotarpis</vt:lpstr>
      <vt:lpstr>Jeigu esate nėščia, žindote kūdikį, manote, kad galbūt esate nėščia arba planuoj</vt:lpstr>
      <vt:lpstr/>
      <vt:lpstr/>
      <vt:lpstr>Vairavimas ir mechanizmų valdymas</vt:lpstr>
      <vt:lpstr>Ką daryti pavartojus per didelę Sandostatin LAR dozę?</vt:lpstr>
      <vt:lpstr>Pamiršus pavartoti Sandostatin LAR</vt:lpstr>
      <vt:lpstr>Nustojus vartoti Sandostatin LAR</vt:lpstr>
      <vt:lpstr>Šis pakuotės lapelis paskutinį kartą peržiūrėtas 2024-07-1510-09.</vt:lpstr>
    </vt:vector>
  </TitlesOfParts>
  <Company/>
  <LinksUpToDate>false</LinksUpToDate>
  <CharactersWithSpaces>72224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2025-05-08T07:29:00Z</dcterms:created>
  <dcterms:modified xsi:type="dcterms:W3CDTF">2025-05-08T07:29:00Z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2020-11-17T14:39:20Z</vt:lpwstr>
  </property>
  <property fmtid="{D5CDD505-2E9C-101B-9397-08002B2CF9AE}" pid="4" name="MSIP_Label_4929bff8-5b33-42aa-95d2-28f72e792cb0_Method">
    <vt:lpwstr>Privileged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ea23470d-7fd1-4494-8929-1fe60e64b607</vt:lpwstr>
  </property>
  <property fmtid="{D5CDD505-2E9C-101B-9397-08002B2CF9AE}" pid="8" name="MSIP_Label_4929bff8-5b33-42aa-95d2-28f72e792cb0_ContentBits">
    <vt:lpwstr>0</vt:lpwstr>
  </property>
  <property fmtid="{D5CDD505-2E9C-101B-9397-08002B2CF9AE}" pid="9" name="ContentTypeId">
    <vt:lpwstr>0x0101003CBA17EE8CA5E74982F40A760858AFCE</vt:lpwstr>
  </property>
</Properties>
</file>