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2C00" w:rsidRPr="00A23D3E" w:rsidRDefault="00122C00" w:rsidP="00122C00">
      <w:pPr>
        <w:widowControl w:val="0"/>
        <w:spacing w:after="0" w:line="240" w:lineRule="auto"/>
        <w:jc w:val="center"/>
        <w:outlineLvl w:val="0"/>
        <w:rPr>
          <w:rFonts w:ascii="Times New Roman" w:eastAsia="Calibri" w:hAnsi="Times New Roman" w:cs="Times New Roman"/>
          <w:lang w:val="en-US"/>
        </w:rPr>
      </w:pPr>
      <w:r w:rsidRPr="00A23D3E">
        <w:rPr>
          <w:rFonts w:ascii="Times New Roman" w:eastAsia="Calibri" w:hAnsi="Times New Roman" w:cs="Times New Roman"/>
          <w:b/>
          <w:lang w:val="en-US"/>
        </w:rPr>
        <w:t>Pakuotės lapelis: informacija pacientui</w:t>
      </w:r>
    </w:p>
    <w:p w:rsidR="00122C00" w:rsidRPr="00A23D3E" w:rsidRDefault="00122C00" w:rsidP="00122C00">
      <w:pPr>
        <w:widowControl w:val="0"/>
        <w:spacing w:after="0" w:line="240" w:lineRule="auto"/>
        <w:jc w:val="center"/>
        <w:outlineLvl w:val="0"/>
        <w:rPr>
          <w:rFonts w:ascii="Times New Roman" w:eastAsia="Calibri" w:hAnsi="Times New Roman" w:cs="Times New Roman"/>
          <w:lang w:val="en-US"/>
        </w:rPr>
      </w:pPr>
    </w:p>
    <w:p w:rsidR="00122C00" w:rsidRPr="00A23D3E" w:rsidRDefault="00122C00" w:rsidP="00122C00">
      <w:pPr>
        <w:widowControl w:val="0"/>
        <w:numPr>
          <w:ilvl w:val="12"/>
          <w:numId w:val="0"/>
        </w:numPr>
        <w:spacing w:after="0" w:line="240" w:lineRule="auto"/>
        <w:jc w:val="center"/>
        <w:rPr>
          <w:rFonts w:ascii="Times New Roman" w:eastAsia="Calibri" w:hAnsi="Times New Roman" w:cs="Times New Roman"/>
          <w:b/>
          <w:lang w:val="en-US"/>
        </w:rPr>
      </w:pPr>
      <w:r w:rsidRPr="00A23D3E">
        <w:rPr>
          <w:rFonts w:ascii="Times New Roman" w:eastAsia="Calibri" w:hAnsi="Times New Roman" w:cs="Times New Roman"/>
          <w:b/>
          <w:lang w:val="en-US"/>
        </w:rPr>
        <w:t>Sandostatin LAR 10 mg milteliai ir tirpiklis injekcinei suspensijai</w:t>
      </w:r>
    </w:p>
    <w:p w:rsidR="00122C00" w:rsidRPr="00A23D3E" w:rsidRDefault="00122C00" w:rsidP="00122C00">
      <w:pPr>
        <w:widowControl w:val="0"/>
        <w:numPr>
          <w:ilvl w:val="12"/>
          <w:numId w:val="0"/>
        </w:numPr>
        <w:shd w:val="pct10" w:color="auto" w:fill="auto"/>
        <w:spacing w:after="0" w:line="240" w:lineRule="auto"/>
        <w:jc w:val="center"/>
        <w:rPr>
          <w:rFonts w:ascii="Times New Roman" w:eastAsia="Calibri" w:hAnsi="Times New Roman" w:cs="Times New Roman"/>
          <w:b/>
          <w:lang w:val="en-US"/>
        </w:rPr>
      </w:pPr>
      <w:r w:rsidRPr="00A23D3E">
        <w:rPr>
          <w:rFonts w:ascii="Times New Roman" w:eastAsia="Calibri" w:hAnsi="Times New Roman" w:cs="Times New Roman"/>
          <w:b/>
          <w:lang w:val="en-US"/>
        </w:rPr>
        <w:t>Sandostatin LAR 20 mg milteliai ir tirpiklis injekcinei suspensijai</w:t>
      </w:r>
    </w:p>
    <w:p w:rsidR="00122C00" w:rsidRPr="00A23D3E" w:rsidRDefault="00122C00" w:rsidP="00122C00">
      <w:pPr>
        <w:widowControl w:val="0"/>
        <w:numPr>
          <w:ilvl w:val="12"/>
          <w:numId w:val="0"/>
        </w:numPr>
        <w:shd w:val="pct20" w:color="auto" w:fill="auto"/>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b/>
          <w:lang w:val="en-US"/>
        </w:rPr>
        <w:t>Sandostatin LAR 30 mg milteliai ir tirpiklis injekcinei suspensijai</w:t>
      </w: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en-US"/>
        </w:rPr>
      </w:pPr>
    </w:p>
    <w:p w:rsidR="00122C00" w:rsidRPr="00A23D3E" w:rsidRDefault="00122C00" w:rsidP="00122C00">
      <w:pPr>
        <w:tabs>
          <w:tab w:val="left" w:pos="567"/>
        </w:tabs>
        <w:spacing w:after="0" w:line="260" w:lineRule="exact"/>
        <w:ind w:left="567" w:hanging="567"/>
        <w:jc w:val="center"/>
        <w:rPr>
          <w:rFonts w:ascii="Times New Roman" w:eastAsia="Calibri" w:hAnsi="Times New Roman" w:cs="Times New Roman"/>
          <w:lang w:val="it-IT"/>
        </w:rPr>
      </w:pPr>
      <w:r w:rsidRPr="00A23D3E">
        <w:rPr>
          <w:rFonts w:ascii="Times New Roman" w:eastAsia="Calibri" w:hAnsi="Times New Roman" w:cs="Times New Roman"/>
          <w:lang w:val="en-US"/>
        </w:rPr>
        <w:t>Oktreotidas (</w:t>
      </w:r>
      <w:r w:rsidRPr="00A23D3E">
        <w:rPr>
          <w:rFonts w:ascii="Times New Roman" w:eastAsia="Calibri" w:hAnsi="Times New Roman" w:cs="Times New Roman"/>
          <w:i/>
          <w:lang w:val="it-IT"/>
        </w:rPr>
        <w:t>octreotidum</w:t>
      </w:r>
      <w:r w:rsidRPr="00A23D3E">
        <w:rPr>
          <w:rFonts w:ascii="Times New Roman" w:eastAsia="Calibri" w:hAnsi="Times New Roman" w:cs="Times New Roman"/>
          <w:lang w:val="it-IT"/>
        </w:rPr>
        <w:t>)</w:t>
      </w:r>
    </w:p>
    <w:p w:rsidR="00122C00" w:rsidRPr="00A23D3E" w:rsidRDefault="00122C00" w:rsidP="00122C00">
      <w:pPr>
        <w:tabs>
          <w:tab w:val="left" w:pos="567"/>
        </w:tabs>
        <w:spacing w:after="0" w:line="260" w:lineRule="exact"/>
        <w:ind w:left="567" w:hanging="567"/>
        <w:jc w:val="center"/>
        <w:rPr>
          <w:rFonts w:ascii="Times New Roman" w:eastAsia="Calibri" w:hAnsi="Times New Roman" w:cs="Times New Roman"/>
          <w:lang w:val="en-US"/>
        </w:rPr>
      </w:pPr>
    </w:p>
    <w:p w:rsidR="00122C00" w:rsidRPr="00A23D3E" w:rsidRDefault="00122C00" w:rsidP="00122C00">
      <w:pPr>
        <w:widowControl w:val="0"/>
        <w:numPr>
          <w:ilvl w:val="12"/>
          <w:numId w:val="0"/>
        </w:numPr>
        <w:spacing w:after="0" w:line="240" w:lineRule="auto"/>
        <w:jc w:val="center"/>
        <w:rPr>
          <w:rFonts w:ascii="Times New Roman" w:eastAsia="Calibri" w:hAnsi="Times New Roman" w:cs="Times New Roman"/>
          <w:lang w:val="en-US"/>
        </w:rPr>
      </w:pPr>
    </w:p>
    <w:p w:rsidR="00122C00" w:rsidRPr="00A23D3E" w:rsidRDefault="00122C00" w:rsidP="00122C00">
      <w:pPr>
        <w:keepNext/>
        <w:widowControl w:val="0"/>
        <w:numPr>
          <w:ilvl w:val="12"/>
          <w:numId w:val="0"/>
        </w:numPr>
        <w:spacing w:after="0" w:line="240" w:lineRule="auto"/>
        <w:rPr>
          <w:rFonts w:ascii="Times New Roman" w:eastAsia="Calibri" w:hAnsi="Times New Roman" w:cs="Times New Roman"/>
          <w:b/>
          <w:lang w:val="en-US"/>
        </w:rPr>
      </w:pPr>
      <w:r w:rsidRPr="00A23D3E">
        <w:rPr>
          <w:rFonts w:ascii="Times New Roman" w:eastAsia="Calibri" w:hAnsi="Times New Roman" w:cs="Times New Roman"/>
          <w:b/>
          <w:lang w:val="en-US"/>
        </w:rPr>
        <w:t>Atidžiai perskaitykite visą šį lapelį, prieš pradėdami vartoti vaistą, nes jame pateikiama Jums svarbi informacija.</w:t>
      </w:r>
    </w:p>
    <w:p w:rsidR="00122C00" w:rsidRPr="00A23D3E" w:rsidRDefault="00122C00" w:rsidP="00122C00">
      <w:pPr>
        <w:widowControl w:val="0"/>
        <w:numPr>
          <w:ilvl w:val="0"/>
          <w:numId w:val="6"/>
        </w:numPr>
        <w:tabs>
          <w:tab w:val="left" w:pos="567"/>
        </w:tabs>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Neišmeskite šio lapelio, nes vėl gali prireikti jį perskaityti.</w:t>
      </w:r>
    </w:p>
    <w:p w:rsidR="00122C00" w:rsidRPr="00A23D3E" w:rsidRDefault="00122C00" w:rsidP="00122C00">
      <w:pPr>
        <w:widowControl w:val="0"/>
        <w:numPr>
          <w:ilvl w:val="0"/>
          <w:numId w:val="6"/>
        </w:numPr>
        <w:tabs>
          <w:tab w:val="left" w:pos="567"/>
        </w:tabs>
        <w:autoSpaceDE w:val="0"/>
        <w:autoSpaceDN w:val="0"/>
        <w:adjustRightInd w:val="0"/>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Jeigu kiltų daugiau klausimų, kreipkitės į gydytoją, vaistininką arba slaugytoją.</w:t>
      </w:r>
    </w:p>
    <w:p w:rsidR="00122C00" w:rsidRPr="00A23D3E" w:rsidRDefault="00122C00" w:rsidP="00122C00">
      <w:pPr>
        <w:widowControl w:val="0"/>
        <w:numPr>
          <w:ilvl w:val="0"/>
          <w:numId w:val="6"/>
        </w:numPr>
        <w:tabs>
          <w:tab w:val="left" w:pos="567"/>
        </w:tabs>
        <w:autoSpaceDE w:val="0"/>
        <w:autoSpaceDN w:val="0"/>
        <w:adjustRightInd w:val="0"/>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Šis vaistas skirtas tik Jums, todėl kitiems žmonėms jo duoti negalima. Vaistas gali jiems pakenkti (net tiems, kurių ligos požymiai yra tokie patys kaip Jūsų).</w:t>
      </w:r>
    </w:p>
    <w:p w:rsidR="00122C00" w:rsidRPr="00A23D3E" w:rsidRDefault="00122C00" w:rsidP="00122C00">
      <w:pPr>
        <w:widowControl w:val="0"/>
        <w:numPr>
          <w:ilvl w:val="0"/>
          <w:numId w:val="6"/>
        </w:numPr>
        <w:tabs>
          <w:tab w:val="left" w:pos="567"/>
        </w:tabs>
        <w:autoSpaceDE w:val="0"/>
        <w:autoSpaceDN w:val="0"/>
        <w:adjustRightInd w:val="0"/>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Jeigu pasireiškė šalutinis poveikis (net jeigu jis šiame lapelyje nenurodytas), kreipkitės į gydytoją, vaistininką arba slaugytoją. Žr. 4</w:t>
      </w:r>
      <w:r w:rsidRPr="00A23D3E">
        <w:rPr>
          <w:rFonts w:ascii="Times New Roman" w:eastAsia="Calibri" w:hAnsi="Times New Roman" w:cs="Times New Roman"/>
          <w:b/>
          <w:lang w:val="en-US"/>
        </w:rPr>
        <w:t> </w:t>
      </w:r>
      <w:r w:rsidRPr="00A23D3E">
        <w:rPr>
          <w:rFonts w:ascii="Times New Roman" w:eastAsia="Calibri" w:hAnsi="Times New Roman" w:cs="Times New Roman"/>
          <w:lang w:val="en-US"/>
        </w:rPr>
        <w:t>skyrių.</w:t>
      </w:r>
    </w:p>
    <w:p w:rsidR="00122C00" w:rsidRPr="00A23D3E" w:rsidRDefault="00122C00" w:rsidP="00122C00">
      <w:pPr>
        <w:widowControl w:val="0"/>
        <w:spacing w:after="0" w:line="240" w:lineRule="auto"/>
        <w:ind w:right="-2"/>
        <w:rPr>
          <w:rFonts w:ascii="Times New Roman" w:eastAsia="Calibri" w:hAnsi="Times New Roman" w:cs="Times New Roman"/>
          <w:lang w:val="en-US"/>
        </w:rPr>
      </w:pPr>
    </w:p>
    <w:p w:rsidR="00122C00" w:rsidRPr="00A23D3E" w:rsidRDefault="00122C00" w:rsidP="00122C00">
      <w:pPr>
        <w:keepNext/>
        <w:widowControl w:val="0"/>
        <w:numPr>
          <w:ilvl w:val="12"/>
          <w:numId w:val="0"/>
        </w:numPr>
        <w:spacing w:after="0" w:line="240" w:lineRule="auto"/>
        <w:ind w:right="-2"/>
        <w:outlineLvl w:val="0"/>
        <w:rPr>
          <w:rFonts w:ascii="Times New Roman" w:eastAsia="Calibri" w:hAnsi="Times New Roman" w:cs="Times New Roman"/>
          <w:b/>
          <w:lang w:val="en-US"/>
        </w:rPr>
      </w:pPr>
      <w:r w:rsidRPr="00A23D3E">
        <w:rPr>
          <w:rFonts w:ascii="Times New Roman" w:eastAsia="Calibri" w:hAnsi="Times New Roman" w:cs="Times New Roman"/>
          <w:b/>
          <w:lang w:val="en-US"/>
        </w:rPr>
        <w:t>Apie ką rašoma šiame lapelyje?</w:t>
      </w:r>
    </w:p>
    <w:p w:rsidR="00122C00" w:rsidRPr="00A23D3E" w:rsidRDefault="00122C00" w:rsidP="00122C00">
      <w:pPr>
        <w:widowControl w:val="0"/>
        <w:numPr>
          <w:ilvl w:val="12"/>
          <w:numId w:val="0"/>
        </w:numPr>
        <w:spacing w:after="0" w:line="240" w:lineRule="auto"/>
        <w:ind w:left="567" w:right="-29" w:hanging="567"/>
        <w:rPr>
          <w:rFonts w:ascii="Times New Roman" w:eastAsia="Calibri" w:hAnsi="Times New Roman" w:cs="Times New Roman"/>
          <w:lang w:val="es-ES"/>
        </w:rPr>
      </w:pPr>
      <w:r w:rsidRPr="00A23D3E">
        <w:rPr>
          <w:rFonts w:ascii="Times New Roman" w:eastAsia="Calibri" w:hAnsi="Times New Roman" w:cs="Times New Roman"/>
          <w:lang w:val="es-ES"/>
        </w:rPr>
        <w:t>1.</w:t>
      </w:r>
      <w:r w:rsidRPr="00A23D3E">
        <w:rPr>
          <w:rFonts w:ascii="Times New Roman" w:eastAsia="Calibri" w:hAnsi="Times New Roman" w:cs="Times New Roman"/>
          <w:lang w:val="es-ES"/>
        </w:rPr>
        <w:tab/>
        <w:t>Kas yra Sandostatin LAR ir kam jis vartojamas</w:t>
      </w:r>
    </w:p>
    <w:p w:rsidR="00122C00" w:rsidRPr="00A23D3E" w:rsidRDefault="00122C00" w:rsidP="00122C00">
      <w:pPr>
        <w:widowControl w:val="0"/>
        <w:numPr>
          <w:ilvl w:val="12"/>
          <w:numId w:val="0"/>
        </w:numPr>
        <w:spacing w:after="0" w:line="240" w:lineRule="auto"/>
        <w:ind w:left="567" w:right="-29" w:hanging="567"/>
        <w:rPr>
          <w:rFonts w:ascii="Times New Roman" w:eastAsia="Calibri" w:hAnsi="Times New Roman" w:cs="Times New Roman"/>
          <w:lang w:val="it-IT"/>
        </w:rPr>
      </w:pPr>
      <w:r w:rsidRPr="00A23D3E">
        <w:rPr>
          <w:rFonts w:ascii="Times New Roman" w:eastAsia="Calibri" w:hAnsi="Times New Roman" w:cs="Times New Roman"/>
          <w:lang w:val="it-IT"/>
        </w:rPr>
        <w:t>2.</w:t>
      </w:r>
      <w:r w:rsidRPr="00A23D3E">
        <w:rPr>
          <w:rFonts w:ascii="Times New Roman" w:eastAsia="Calibri" w:hAnsi="Times New Roman" w:cs="Times New Roman"/>
          <w:lang w:val="it-IT"/>
        </w:rPr>
        <w:tab/>
        <w:t>Kas žinotina prieš vartojant Sandostatin LAR</w:t>
      </w:r>
    </w:p>
    <w:p w:rsidR="00122C00" w:rsidRPr="00A23D3E" w:rsidRDefault="00122C00" w:rsidP="00122C00">
      <w:pPr>
        <w:widowControl w:val="0"/>
        <w:numPr>
          <w:ilvl w:val="12"/>
          <w:numId w:val="0"/>
        </w:numPr>
        <w:spacing w:after="0" w:line="240" w:lineRule="auto"/>
        <w:ind w:left="567" w:right="-29" w:hanging="567"/>
        <w:rPr>
          <w:rFonts w:ascii="Times New Roman" w:eastAsia="Calibri" w:hAnsi="Times New Roman" w:cs="Times New Roman"/>
          <w:lang w:val="it-IT"/>
        </w:rPr>
      </w:pPr>
      <w:r w:rsidRPr="00A23D3E">
        <w:rPr>
          <w:rFonts w:ascii="Times New Roman" w:eastAsia="Calibri" w:hAnsi="Times New Roman" w:cs="Times New Roman"/>
          <w:lang w:val="it-IT"/>
        </w:rPr>
        <w:t>3.</w:t>
      </w:r>
      <w:r w:rsidRPr="00A23D3E">
        <w:rPr>
          <w:rFonts w:ascii="Times New Roman" w:eastAsia="Calibri" w:hAnsi="Times New Roman" w:cs="Times New Roman"/>
          <w:lang w:val="it-IT"/>
        </w:rPr>
        <w:tab/>
        <w:t>Kaip vartoti Sandostatin LAR</w:t>
      </w:r>
    </w:p>
    <w:p w:rsidR="00122C00" w:rsidRPr="00A23D3E" w:rsidRDefault="00122C00" w:rsidP="00122C00">
      <w:pPr>
        <w:widowControl w:val="0"/>
        <w:numPr>
          <w:ilvl w:val="12"/>
          <w:numId w:val="0"/>
        </w:numPr>
        <w:spacing w:after="0" w:line="240" w:lineRule="auto"/>
        <w:ind w:left="567" w:right="-29" w:hanging="567"/>
        <w:rPr>
          <w:rFonts w:ascii="Times New Roman" w:eastAsia="Calibri" w:hAnsi="Times New Roman" w:cs="Times New Roman"/>
          <w:lang w:val="it-IT"/>
        </w:rPr>
      </w:pPr>
      <w:r w:rsidRPr="00A23D3E">
        <w:rPr>
          <w:rFonts w:ascii="Times New Roman" w:eastAsia="Calibri" w:hAnsi="Times New Roman" w:cs="Times New Roman"/>
          <w:lang w:val="it-IT"/>
        </w:rPr>
        <w:t>4.</w:t>
      </w:r>
      <w:r w:rsidRPr="00A23D3E">
        <w:rPr>
          <w:rFonts w:ascii="Times New Roman" w:eastAsia="Calibri" w:hAnsi="Times New Roman" w:cs="Times New Roman"/>
          <w:lang w:val="it-IT"/>
        </w:rPr>
        <w:tab/>
        <w:t>Galimas šalutinis poveikis</w:t>
      </w:r>
    </w:p>
    <w:p w:rsidR="00122C00" w:rsidRPr="00A23D3E" w:rsidRDefault="00122C00" w:rsidP="00122C00">
      <w:pPr>
        <w:widowControl w:val="0"/>
        <w:spacing w:after="0" w:line="240" w:lineRule="auto"/>
        <w:ind w:left="567" w:right="-29" w:hanging="567"/>
        <w:rPr>
          <w:rFonts w:ascii="Times New Roman" w:eastAsia="Calibri" w:hAnsi="Times New Roman" w:cs="Times New Roman"/>
          <w:lang w:val="it-IT"/>
        </w:rPr>
      </w:pPr>
      <w:r w:rsidRPr="00A23D3E">
        <w:rPr>
          <w:rFonts w:ascii="Times New Roman" w:eastAsia="Calibri" w:hAnsi="Times New Roman" w:cs="Times New Roman"/>
          <w:lang w:val="it-IT"/>
        </w:rPr>
        <w:t>5.</w:t>
      </w:r>
      <w:r w:rsidRPr="00A23D3E">
        <w:rPr>
          <w:rFonts w:ascii="Times New Roman" w:eastAsia="Calibri" w:hAnsi="Times New Roman" w:cs="Times New Roman"/>
          <w:lang w:val="it-IT"/>
        </w:rPr>
        <w:tab/>
        <w:t>Kaip laikyti Sandostatin LAR</w:t>
      </w:r>
    </w:p>
    <w:p w:rsidR="00122C00" w:rsidRPr="00A23D3E" w:rsidRDefault="00122C00" w:rsidP="00122C00">
      <w:pPr>
        <w:widowControl w:val="0"/>
        <w:spacing w:after="0" w:line="240" w:lineRule="auto"/>
        <w:ind w:left="567" w:right="-29" w:hanging="567"/>
        <w:rPr>
          <w:rFonts w:ascii="Times New Roman" w:eastAsia="Calibri" w:hAnsi="Times New Roman" w:cs="Times New Roman"/>
          <w:lang w:val="it-IT"/>
        </w:rPr>
      </w:pPr>
      <w:r w:rsidRPr="00A23D3E">
        <w:rPr>
          <w:rFonts w:ascii="Times New Roman" w:eastAsia="Calibri" w:hAnsi="Times New Roman" w:cs="Times New Roman"/>
          <w:lang w:val="it-IT"/>
        </w:rPr>
        <w:t>6.</w:t>
      </w:r>
      <w:r w:rsidRPr="00A23D3E">
        <w:rPr>
          <w:rFonts w:ascii="Times New Roman" w:eastAsia="Calibri" w:hAnsi="Times New Roman" w:cs="Times New Roman"/>
          <w:lang w:val="it-IT"/>
        </w:rPr>
        <w:tab/>
        <w:t>Pakuotės turinys ir kita informacija</w:t>
      </w: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it-IT"/>
        </w:rPr>
      </w:pP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it-IT"/>
        </w:rPr>
      </w:pPr>
    </w:p>
    <w:p w:rsidR="00122C00" w:rsidRPr="00A23D3E" w:rsidRDefault="00122C00" w:rsidP="00122C00">
      <w:pPr>
        <w:keepNext/>
        <w:widowControl w:val="0"/>
        <w:spacing w:after="0" w:line="240" w:lineRule="auto"/>
        <w:ind w:left="567" w:right="-2" w:hanging="567"/>
        <w:rPr>
          <w:rFonts w:ascii="Times New Roman" w:eastAsia="Calibri" w:hAnsi="Times New Roman" w:cs="Times New Roman"/>
          <w:b/>
          <w:lang w:val="es-ES"/>
        </w:rPr>
      </w:pPr>
      <w:r w:rsidRPr="00A23D3E">
        <w:rPr>
          <w:rFonts w:ascii="Times New Roman" w:eastAsia="Calibri" w:hAnsi="Times New Roman" w:cs="Times New Roman"/>
          <w:b/>
          <w:lang w:val="es-ES"/>
        </w:rPr>
        <w:t>1.</w:t>
      </w:r>
      <w:r w:rsidRPr="00A23D3E">
        <w:rPr>
          <w:rFonts w:ascii="Times New Roman" w:eastAsia="Calibri" w:hAnsi="Times New Roman" w:cs="Times New Roman"/>
          <w:b/>
          <w:lang w:val="es-ES"/>
        </w:rPr>
        <w:tab/>
        <w:t>Kas yra Sandostatin LAR ir kam jis vartojamas</w:t>
      </w:r>
    </w:p>
    <w:p w:rsidR="00122C00" w:rsidRPr="00A23D3E" w:rsidRDefault="00122C00" w:rsidP="00122C00">
      <w:pPr>
        <w:keepNext/>
        <w:widowControl w:val="0"/>
        <w:spacing w:after="0" w:line="240" w:lineRule="auto"/>
        <w:ind w:right="-2"/>
        <w:rPr>
          <w:rFonts w:ascii="Times New Roman" w:eastAsia="Calibri" w:hAnsi="Times New Roman" w:cs="Times New Roman"/>
          <w:lang w:val="es-ES"/>
        </w:rPr>
      </w:pP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 xml:space="preserve">Sandostatin LAR yra sintetinis somatostatino junginys. Somatostatino normaliai būna žmonių organizme, kur jis slopina kai kurių hormonų, pavyzdžiui, augimo hormono, išsiskyrimą. Sandostatin LAR privalumas, lyginant su somatostatinu, yra tas, kad jis veikia stipriau ir ilgiau. </w:t>
      </w: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es-ES"/>
        </w:rPr>
      </w:pPr>
    </w:p>
    <w:p w:rsidR="00122C00" w:rsidRPr="00A23D3E" w:rsidRDefault="00122C00" w:rsidP="00122C00">
      <w:pPr>
        <w:keepNext/>
        <w:widowControl w:val="0"/>
        <w:spacing w:after="0" w:line="240" w:lineRule="auto"/>
        <w:rPr>
          <w:rFonts w:ascii="Times New Roman" w:eastAsia="Calibri" w:hAnsi="Times New Roman" w:cs="Times New Roman"/>
          <w:b/>
          <w:lang w:val="es-ES"/>
        </w:rPr>
      </w:pPr>
      <w:r w:rsidRPr="00A23D3E">
        <w:rPr>
          <w:rFonts w:ascii="Times New Roman" w:eastAsia="Calibri" w:hAnsi="Times New Roman" w:cs="Times New Roman"/>
          <w:b/>
          <w:lang w:val="es-ES"/>
        </w:rPr>
        <w:t>Sandostatin LAR vartojamas</w:t>
      </w:r>
    </w:p>
    <w:p w:rsidR="00122C00" w:rsidRPr="00A23D3E" w:rsidRDefault="00122C00" w:rsidP="00122C00">
      <w:pPr>
        <w:keepNext/>
        <w:widowControl w:val="0"/>
        <w:numPr>
          <w:ilvl w:val="0"/>
          <w:numId w:val="2"/>
        </w:numPr>
        <w:tabs>
          <w:tab w:val="left" w:pos="567"/>
        </w:tabs>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akromegalija</w:t>
      </w:r>
      <w:r w:rsidRPr="00A23D3E">
        <w:rPr>
          <w:rFonts w:ascii="Times New Roman" w:eastAsia="Calibri" w:hAnsi="Times New Roman" w:cs="Times New Roman"/>
          <w:b/>
          <w:lang w:val="en-US"/>
        </w:rPr>
        <w:t xml:space="preserve"> </w:t>
      </w:r>
      <w:r w:rsidRPr="00A23D3E">
        <w:rPr>
          <w:rFonts w:ascii="Times New Roman" w:eastAsia="Calibri" w:hAnsi="Times New Roman" w:cs="Times New Roman"/>
          <w:lang w:val="en-US"/>
        </w:rPr>
        <w:t>sergantiems pacientams gydyti;</w:t>
      </w:r>
    </w:p>
    <w:p w:rsidR="00122C00" w:rsidRPr="00A23D3E" w:rsidRDefault="00122C00" w:rsidP="00122C00">
      <w:pPr>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 xml:space="preserve">Akromegalija – tai tokia būklė, kai organizme gaminama per daug augimo hormono. Sveikame organizme augimo hormonas kontroliuoja audinių, organų ir kaulų augimą. Augimo hormono perteklius sukelia kaulų ir audinių, ypač plaštakų bei pėdų, padidėjimą. Sandostatin LAR ženkliai palengvina akromegalijos požymius, pavyzdžiui, galvos skausmą, sustiprėjusį prakaitavimą, plaštakų ir pėdų tirpimo pojūtį, nuovargį ir sąnarių skausmą. Dažniausiai augimo hormono organizme gaminama per daug dėl padidėjusios posmegeninės liaukos (hipofizės adenomos); vartojant Sandostatin LAR, adenoma gali sumažėti. </w:t>
      </w:r>
    </w:p>
    <w:p w:rsidR="00122C00" w:rsidRPr="00A23D3E" w:rsidRDefault="00122C00" w:rsidP="00122C00">
      <w:pPr>
        <w:numPr>
          <w:ilvl w:val="12"/>
          <w:numId w:val="0"/>
        </w:numPr>
        <w:spacing w:after="0" w:line="240" w:lineRule="auto"/>
        <w:rPr>
          <w:rFonts w:ascii="Times New Roman" w:eastAsia="Calibri" w:hAnsi="Times New Roman" w:cs="Times New Roman"/>
          <w:lang w:val="en-US"/>
        </w:rPr>
      </w:pPr>
    </w:p>
    <w:p w:rsidR="00122C00" w:rsidRPr="00A23D3E" w:rsidRDefault="00122C00" w:rsidP="00122C00">
      <w:pPr>
        <w:keepNext/>
        <w:numPr>
          <w:ilvl w:val="12"/>
          <w:numId w:val="0"/>
        </w:num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Sandostatin LAR vartojamas akromegalija sergantiems pacientams gydyti:</w:t>
      </w:r>
    </w:p>
    <w:p w:rsidR="00122C00" w:rsidRPr="00A23D3E" w:rsidRDefault="00122C00" w:rsidP="00122C00">
      <w:pPr>
        <w:numPr>
          <w:ilvl w:val="0"/>
          <w:numId w:val="7"/>
        </w:numPr>
        <w:tabs>
          <w:tab w:val="left" w:pos="567"/>
        </w:tabs>
        <w:spacing w:after="0" w:line="240" w:lineRule="auto"/>
        <w:ind w:left="567" w:hanging="567"/>
        <w:rPr>
          <w:rFonts w:ascii="Times New Roman" w:eastAsia="Calibri" w:hAnsi="Times New Roman" w:cs="Times New Roman"/>
          <w:lang w:val="es-ES"/>
        </w:rPr>
      </w:pPr>
      <w:r w:rsidRPr="00A23D3E">
        <w:rPr>
          <w:rFonts w:ascii="Times New Roman" w:eastAsia="Calibri" w:hAnsi="Times New Roman" w:cs="Times New Roman"/>
          <w:lang w:val="es-ES"/>
        </w:rPr>
        <w:t>kai kiti akromegalijos gydymo būdai (chirurginis ar radioterapija) netinka arba buvo neveiksmingi;</w:t>
      </w:r>
    </w:p>
    <w:p w:rsidR="00122C00" w:rsidRPr="00A23D3E" w:rsidRDefault="00122C00" w:rsidP="00122C00">
      <w:pPr>
        <w:numPr>
          <w:ilvl w:val="0"/>
          <w:numId w:val="7"/>
        </w:numPr>
        <w:tabs>
          <w:tab w:val="left" w:pos="567"/>
        </w:tabs>
        <w:spacing w:after="0" w:line="240" w:lineRule="auto"/>
        <w:ind w:left="567" w:hanging="567"/>
        <w:rPr>
          <w:rFonts w:ascii="Times New Roman" w:eastAsia="Calibri" w:hAnsi="Times New Roman" w:cs="Times New Roman"/>
          <w:lang w:val="es-ES"/>
        </w:rPr>
      </w:pPr>
      <w:r w:rsidRPr="00A23D3E">
        <w:rPr>
          <w:rFonts w:ascii="Times New Roman" w:eastAsia="Calibri" w:hAnsi="Times New Roman" w:cs="Times New Roman"/>
          <w:lang w:val="es-ES"/>
        </w:rPr>
        <w:t>po radioterapijos, laikotarpiu iki bus pasiektas visiškas radioterapijos efektas.</w:t>
      </w:r>
    </w:p>
    <w:p w:rsidR="00122C00" w:rsidRPr="00A23D3E" w:rsidRDefault="00122C00" w:rsidP="00122C00">
      <w:pPr>
        <w:widowControl w:val="0"/>
        <w:spacing w:after="0" w:line="240" w:lineRule="auto"/>
        <w:rPr>
          <w:rFonts w:ascii="Times New Roman" w:eastAsia="Calibri" w:hAnsi="Times New Roman" w:cs="Times New Roman"/>
          <w:lang w:val="es-ES"/>
        </w:rPr>
      </w:pPr>
    </w:p>
    <w:p w:rsidR="00122C00" w:rsidRPr="00A23D3E" w:rsidRDefault="00122C00" w:rsidP="00122C00">
      <w:pPr>
        <w:keepNext/>
        <w:widowControl w:val="0"/>
        <w:numPr>
          <w:ilvl w:val="0"/>
          <w:numId w:val="2"/>
        </w:numPr>
        <w:tabs>
          <w:tab w:val="left" w:pos="567"/>
        </w:tabs>
        <w:spacing w:after="0" w:line="240" w:lineRule="auto"/>
        <w:ind w:left="567" w:hanging="567"/>
        <w:rPr>
          <w:rFonts w:ascii="Times New Roman" w:eastAsia="Calibri" w:hAnsi="Times New Roman" w:cs="Times New Roman"/>
          <w:lang w:val="es-ES"/>
        </w:rPr>
      </w:pPr>
      <w:r w:rsidRPr="00A23D3E">
        <w:rPr>
          <w:rFonts w:ascii="Times New Roman" w:eastAsia="Calibri" w:hAnsi="Times New Roman" w:cs="Times New Roman"/>
          <w:lang w:val="es-ES"/>
        </w:rPr>
        <w:t>požymiams, kuriuos sukelia padidėjęs kai kurių specifinių hormonų ir su jais susijusių medžiagų, gaminamų skrandyje, žarnyne ar kasoje, kiekis, silpninti;</w:t>
      </w:r>
    </w:p>
    <w:p w:rsidR="00122C00" w:rsidRPr="00A23D3E" w:rsidRDefault="00122C00" w:rsidP="00122C00">
      <w:pPr>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s-ES"/>
        </w:rPr>
        <w:t xml:space="preserve">Specifinių hormonų ir kitų su jais susijusių medžiagų gamyba organizme gali padidėti dėl kai kurių retų skrandžio, žarnyno ar kasos ligų. Dėl to organizme sutrinka natūrali hormonų pusiausvyra ir išryškėja įvairūs požymiai, pavyzdžiui, karščio pylimas, viduriavimas, sumažėjęs kraujospūdis, išbėrimas ir kūno svorio mažėjimas. </w:t>
      </w:r>
      <w:r w:rsidRPr="00A23D3E">
        <w:rPr>
          <w:rFonts w:ascii="Times New Roman" w:eastAsia="Calibri" w:hAnsi="Times New Roman" w:cs="Times New Roman"/>
          <w:lang w:val="en-US"/>
        </w:rPr>
        <w:t xml:space="preserve">Gydymas Sandostatin LAR padeda kontroliuoti šiuos požymius. </w:t>
      </w:r>
    </w:p>
    <w:p w:rsidR="00122C00" w:rsidRPr="00A23D3E" w:rsidRDefault="00122C00" w:rsidP="00122C00">
      <w:pPr>
        <w:numPr>
          <w:ilvl w:val="12"/>
          <w:numId w:val="0"/>
        </w:numPr>
        <w:spacing w:after="0" w:line="240" w:lineRule="auto"/>
        <w:rPr>
          <w:rFonts w:ascii="Times New Roman" w:eastAsia="Calibri" w:hAnsi="Times New Roman" w:cs="Times New Roman"/>
          <w:lang w:val="en-US"/>
        </w:rPr>
      </w:pPr>
    </w:p>
    <w:p w:rsidR="00122C00" w:rsidRPr="00A23D3E" w:rsidRDefault="00122C00" w:rsidP="00122C00">
      <w:pPr>
        <w:keepNext/>
        <w:widowControl w:val="0"/>
        <w:numPr>
          <w:ilvl w:val="0"/>
          <w:numId w:val="2"/>
        </w:numPr>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 xml:space="preserve">pacientams, kurių žarnyne (pvz., aklosios žarnos kirmėlinėje ataugoje, plonosiose žarnose ar </w:t>
      </w:r>
      <w:r w:rsidRPr="00A23D3E">
        <w:rPr>
          <w:rFonts w:ascii="Times New Roman" w:eastAsia="Calibri" w:hAnsi="Times New Roman" w:cs="Times New Roman"/>
          <w:lang w:val="en-US"/>
        </w:rPr>
        <w:lastRenderedPageBreak/>
        <w:t>gaubtinėje žarnoje) yra neuroendokrininių auglių, gydyti.</w:t>
      </w:r>
    </w:p>
    <w:p w:rsidR="00122C00" w:rsidRPr="00A23D3E" w:rsidRDefault="00122C00" w:rsidP="00122C00">
      <w:pPr>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Neuroendokrininiai augliai yra reti augliai, kurių gali būti nustatoma įvairiose organizmo srityse. Sandostatin LAR taip pat vartojama siekiant kontroliuoti šių auglių augimą, kai jų atsiranda žarnyne (pvz., aklosios žarnos kirmėlinėje ataugoje, plonosiose žarnose ar gaubtinėje žarnoje).</w:t>
      </w:r>
    </w:p>
    <w:p w:rsidR="00122C00" w:rsidRPr="00A23D3E" w:rsidRDefault="00122C00" w:rsidP="00122C00">
      <w:pPr>
        <w:numPr>
          <w:ilvl w:val="12"/>
          <w:numId w:val="0"/>
        </w:numPr>
        <w:spacing w:after="0" w:line="240" w:lineRule="auto"/>
        <w:rPr>
          <w:rFonts w:ascii="Times New Roman" w:eastAsia="Calibri" w:hAnsi="Times New Roman" w:cs="Times New Roman"/>
          <w:lang w:val="en-US"/>
        </w:rPr>
      </w:pPr>
    </w:p>
    <w:p w:rsidR="00122C00" w:rsidRPr="00A23D3E" w:rsidRDefault="00122C00" w:rsidP="00122C00">
      <w:pPr>
        <w:keepNext/>
        <w:widowControl w:val="0"/>
        <w:numPr>
          <w:ilvl w:val="0"/>
          <w:numId w:val="2"/>
        </w:numPr>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pacientams, kuriems yra hipofizės augliai, gydyti, kai šie augliai gamina per daug skydliaukę stimuliuojančio hormono (TTH). Per didelis skydliaukę stimuliuojančio hormono (TTH) kiekis sukelia hipertirozę. Sandostatin LAR vartojamas pacientams, kuriems yra hipofizės augliai, dėl kurių per daug gaminama skydliaukę stimuliuojančio hormono (TTH), gydyti:</w:t>
      </w:r>
    </w:p>
    <w:p w:rsidR="00122C00" w:rsidRPr="00A23D3E" w:rsidRDefault="00122C00" w:rsidP="00122C00">
      <w:pPr>
        <w:keepNext/>
        <w:widowControl w:val="0"/>
        <w:spacing w:after="0" w:line="240" w:lineRule="auto"/>
        <w:ind w:left="1134" w:hanging="567"/>
        <w:rPr>
          <w:rFonts w:ascii="Times New Roman" w:eastAsia="Calibri" w:hAnsi="Times New Roman" w:cs="Times New Roman"/>
          <w:lang w:val="en-US"/>
        </w:rPr>
      </w:pPr>
      <w:r w:rsidRPr="00A23D3E">
        <w:rPr>
          <w:rFonts w:ascii="Times New Roman" w:eastAsia="Calibri" w:hAnsi="Times New Roman" w:cs="Times New Roman"/>
          <w:lang w:val="en-US"/>
        </w:rPr>
        <w:t>-</w:t>
      </w:r>
      <w:r w:rsidRPr="00A23D3E">
        <w:rPr>
          <w:rFonts w:ascii="Times New Roman" w:eastAsia="Calibri" w:hAnsi="Times New Roman" w:cs="Times New Roman"/>
          <w:lang w:val="en-US"/>
        </w:rPr>
        <w:tab/>
        <w:t>kai kitokie gydymo metodai (chirurginė operacija ar radioterapija) netinka ar buvo neveiksmingi;</w:t>
      </w:r>
    </w:p>
    <w:p w:rsidR="00122C00" w:rsidRPr="00A23D3E" w:rsidRDefault="00122C00" w:rsidP="00122C00">
      <w:pPr>
        <w:keepNext/>
        <w:widowControl w:val="0"/>
        <w:spacing w:after="0" w:line="240" w:lineRule="auto"/>
        <w:ind w:left="1134" w:hanging="567"/>
        <w:rPr>
          <w:rFonts w:ascii="Times New Roman" w:eastAsia="Calibri" w:hAnsi="Times New Roman" w:cs="Times New Roman"/>
          <w:lang w:val="en-US"/>
        </w:rPr>
      </w:pPr>
      <w:r w:rsidRPr="00A23D3E">
        <w:rPr>
          <w:rFonts w:ascii="Times New Roman" w:eastAsia="Calibri" w:hAnsi="Times New Roman" w:cs="Times New Roman"/>
          <w:lang w:val="en-US"/>
        </w:rPr>
        <w:t>-</w:t>
      </w:r>
      <w:r w:rsidRPr="00A23D3E">
        <w:rPr>
          <w:rFonts w:ascii="Times New Roman" w:eastAsia="Calibri" w:hAnsi="Times New Roman" w:cs="Times New Roman"/>
          <w:lang w:val="en-US"/>
        </w:rPr>
        <w:tab/>
        <w:t>tarpiniu laikotarpiui po radioterapijos, kol pasireikš jos poveikis.</w:t>
      </w: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en-US"/>
        </w:rPr>
      </w:pP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en-US"/>
        </w:rPr>
      </w:pPr>
    </w:p>
    <w:p w:rsidR="00122C00" w:rsidRPr="00A23D3E" w:rsidRDefault="00122C00" w:rsidP="00122C00">
      <w:pPr>
        <w:keepNext/>
        <w:widowControl w:val="0"/>
        <w:spacing w:after="0" w:line="240" w:lineRule="auto"/>
        <w:ind w:left="567" w:right="-2" w:hanging="567"/>
        <w:rPr>
          <w:rFonts w:ascii="Times New Roman" w:eastAsia="Calibri" w:hAnsi="Times New Roman" w:cs="Times New Roman"/>
          <w:b/>
          <w:lang w:val="en-US"/>
        </w:rPr>
      </w:pPr>
      <w:r w:rsidRPr="00A23D3E">
        <w:rPr>
          <w:rFonts w:ascii="Times New Roman" w:eastAsia="Calibri" w:hAnsi="Times New Roman" w:cs="Times New Roman"/>
          <w:b/>
          <w:lang w:val="en-US"/>
        </w:rPr>
        <w:t>2.</w:t>
      </w:r>
      <w:r w:rsidRPr="00A23D3E">
        <w:rPr>
          <w:rFonts w:ascii="Times New Roman" w:eastAsia="Calibri" w:hAnsi="Times New Roman" w:cs="Times New Roman"/>
          <w:b/>
          <w:lang w:val="en-US"/>
        </w:rPr>
        <w:tab/>
        <w:t>Kas žinotina prieš vartojant Sandostatin LAR</w:t>
      </w:r>
    </w:p>
    <w:p w:rsidR="00122C00" w:rsidRPr="00A23D3E" w:rsidRDefault="00122C00" w:rsidP="00122C00">
      <w:pPr>
        <w:keepNext/>
        <w:widowControl w:val="0"/>
        <w:spacing w:after="0" w:line="240" w:lineRule="auto"/>
        <w:outlineLvl w:val="0"/>
        <w:rPr>
          <w:rFonts w:ascii="Times New Roman" w:eastAsia="Calibri" w:hAnsi="Times New Roman" w:cs="Times New Roman"/>
          <w:lang w:val="en-US"/>
        </w:rPr>
      </w:pPr>
    </w:p>
    <w:p w:rsidR="00122C00" w:rsidRPr="00A23D3E" w:rsidRDefault="00122C00" w:rsidP="00122C00">
      <w:pPr>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Tiksliai laikykitės visų gydytojo nurodymų. Jie gali skirtis nuo šiame lapelyje nurodytos informacijos.</w:t>
      </w:r>
    </w:p>
    <w:p w:rsidR="00122C00" w:rsidRPr="00A23D3E" w:rsidRDefault="00122C00" w:rsidP="00122C00">
      <w:pPr>
        <w:numPr>
          <w:ilvl w:val="12"/>
          <w:numId w:val="0"/>
        </w:numPr>
        <w:spacing w:after="0" w:line="240" w:lineRule="auto"/>
        <w:ind w:right="-2"/>
        <w:rPr>
          <w:rFonts w:ascii="Times New Roman" w:eastAsia="Calibri" w:hAnsi="Times New Roman" w:cs="Times New Roman"/>
          <w:lang w:val="en-US"/>
        </w:rPr>
      </w:pPr>
    </w:p>
    <w:p w:rsidR="00122C00" w:rsidRPr="00A23D3E" w:rsidRDefault="00122C00" w:rsidP="00122C00">
      <w:pPr>
        <w:keepNext/>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Prieš pradėdami vartoti Sandostatin LAR, atidžiai perskaitykite toliau pateiktus paaiškinimus.</w:t>
      </w:r>
    </w:p>
    <w:p w:rsidR="00122C00" w:rsidRPr="00A23D3E" w:rsidRDefault="00122C00" w:rsidP="00122C00">
      <w:pPr>
        <w:keepNext/>
        <w:numPr>
          <w:ilvl w:val="12"/>
          <w:numId w:val="0"/>
        </w:numPr>
        <w:spacing w:after="0" w:line="240" w:lineRule="auto"/>
        <w:ind w:right="-2"/>
        <w:rPr>
          <w:rFonts w:ascii="Times New Roman" w:eastAsia="Calibri" w:hAnsi="Times New Roman" w:cs="Times New Roman"/>
          <w:lang w:val="en-US"/>
        </w:rPr>
      </w:pPr>
    </w:p>
    <w:p w:rsidR="00122C00" w:rsidRPr="00A23D3E" w:rsidRDefault="00122C00" w:rsidP="00122C00">
      <w:pPr>
        <w:keepNext/>
        <w:widowControl w:val="0"/>
        <w:spacing w:after="0" w:line="240" w:lineRule="auto"/>
        <w:outlineLvl w:val="0"/>
        <w:rPr>
          <w:rFonts w:ascii="Times New Roman" w:eastAsia="Calibri" w:hAnsi="Times New Roman" w:cs="Times New Roman"/>
          <w:lang w:val="en-US"/>
        </w:rPr>
      </w:pPr>
      <w:r w:rsidRPr="00A23D3E">
        <w:rPr>
          <w:rFonts w:ascii="Times New Roman" w:eastAsia="Calibri" w:hAnsi="Times New Roman" w:cs="Times New Roman"/>
          <w:b/>
          <w:lang w:val="en-US"/>
        </w:rPr>
        <w:t>Sandostatin LAR vartoti negalima:</w:t>
      </w:r>
    </w:p>
    <w:p w:rsidR="00122C00" w:rsidRPr="00A23D3E" w:rsidRDefault="00122C00" w:rsidP="00122C00">
      <w:pPr>
        <w:widowControl w:val="0"/>
        <w:numPr>
          <w:ilvl w:val="0"/>
          <w:numId w:val="6"/>
        </w:numPr>
        <w:autoSpaceDE w:val="0"/>
        <w:autoSpaceDN w:val="0"/>
        <w:adjustRightInd w:val="0"/>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jeigu yra alergija oktreotidui arba bet kuriai pagalbinei šio vaisto medžiagai (jos išvardytos 6 skyriuje).</w:t>
      </w:r>
    </w:p>
    <w:p w:rsidR="00122C00" w:rsidRPr="00A23D3E" w:rsidRDefault="00122C00" w:rsidP="00122C00">
      <w:pPr>
        <w:widowControl w:val="0"/>
        <w:spacing w:after="0" w:line="240" w:lineRule="auto"/>
        <w:ind w:right="-2"/>
        <w:rPr>
          <w:rFonts w:ascii="Times New Roman" w:eastAsia="Calibri" w:hAnsi="Times New Roman" w:cs="Times New Roman"/>
          <w:lang w:val="en-US"/>
        </w:rPr>
      </w:pPr>
    </w:p>
    <w:p w:rsidR="00122C00" w:rsidRPr="00A23D3E" w:rsidRDefault="00122C00" w:rsidP="00122C00">
      <w:pPr>
        <w:keepNext/>
        <w:widowControl w:val="0"/>
        <w:numPr>
          <w:ilvl w:val="12"/>
          <w:numId w:val="0"/>
        </w:numPr>
        <w:spacing w:after="0" w:line="240" w:lineRule="auto"/>
        <w:outlineLvl w:val="0"/>
        <w:rPr>
          <w:rFonts w:ascii="Times New Roman" w:eastAsia="Calibri" w:hAnsi="Times New Roman" w:cs="Times New Roman"/>
          <w:b/>
          <w:lang w:val="en-US"/>
        </w:rPr>
      </w:pPr>
      <w:r w:rsidRPr="00A23D3E">
        <w:rPr>
          <w:rFonts w:ascii="Times New Roman" w:eastAsia="Calibri" w:hAnsi="Times New Roman" w:cs="Times New Roman"/>
          <w:b/>
          <w:lang w:val="en-US"/>
        </w:rPr>
        <w:t>Įspėjimai ir atsargumo priemonės</w:t>
      </w:r>
    </w:p>
    <w:p w:rsidR="00122C00" w:rsidRPr="00A23D3E" w:rsidRDefault="00122C00" w:rsidP="00122C00">
      <w:pPr>
        <w:keepNext/>
        <w:widowControl w:val="0"/>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Pasitarkite su gydytoju, prieš pradėdami vartoti Sandostatin LAR:</w:t>
      </w:r>
    </w:p>
    <w:p w:rsidR="00122C00" w:rsidRPr="00A23D3E" w:rsidRDefault="00122C00" w:rsidP="00122C00">
      <w:pPr>
        <w:widowControl w:val="0"/>
        <w:numPr>
          <w:ilvl w:val="0"/>
          <w:numId w:val="5"/>
        </w:numPr>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jeigu žinote, kad Jums yra tulžies akmenų arba jų buvo anksčiau,</w:t>
      </w:r>
      <w:r w:rsidRPr="00A23D3E">
        <w:rPr>
          <w:rFonts w:ascii="Calibri" w:eastAsia="Calibri" w:hAnsi="Calibri" w:cs="Times New Roman"/>
          <w:lang w:val="en-US"/>
        </w:rPr>
        <w:t xml:space="preserve"> </w:t>
      </w:r>
      <w:r w:rsidRPr="00A23D3E">
        <w:rPr>
          <w:rFonts w:ascii="Times New Roman" w:eastAsia="Calibri" w:hAnsi="Times New Roman" w:cs="Times New Roman"/>
          <w:lang w:val="en-US"/>
        </w:rPr>
        <w:t xml:space="preserve">arba Jūs patiriate kokių nors komplikacijų, tokių kaip karščiavimas, šaltkrėtis, pilvo skausmas, odos ar akių pageltimas; apie tai pasakykite gydytojui, nes ilgai vartojant Sandostatin LAR, gali jų susidaryti. Jūsų gydytojas gali periodiškai tirti tulžies pūslę; </w:t>
      </w:r>
    </w:p>
    <w:p w:rsidR="00122C00" w:rsidRPr="00A23D3E" w:rsidRDefault="00122C00" w:rsidP="00122C00">
      <w:pPr>
        <w:widowControl w:val="0"/>
        <w:numPr>
          <w:ilvl w:val="0"/>
          <w:numId w:val="5"/>
        </w:numPr>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jeigu žinote, kad sergate diabetu, nes Sandostatin LAR gali įtakoti cukraus kiekį kraujyje. Jei sergate cukriniu diabetu, Jums būtina reguliariai tirti cukraus kiekį kraujyje;</w:t>
      </w:r>
    </w:p>
    <w:p w:rsidR="00122C00" w:rsidRPr="00A23D3E" w:rsidRDefault="00122C00" w:rsidP="00122C00">
      <w:pPr>
        <w:widowControl w:val="0"/>
        <w:numPr>
          <w:ilvl w:val="0"/>
          <w:numId w:val="5"/>
        </w:numPr>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jeigu Jums anksčiau buvo nustatytas vitamino B12 trūkumas; tokiu atveju gydytojas gali periodiškai tirti vitamino B12 kiekį Jūsų organizme.</w:t>
      </w: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en-US"/>
        </w:rPr>
      </w:pP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 xml:space="preserve">Tyrimai </w:t>
      </w:r>
      <w:r>
        <w:rPr>
          <w:rFonts w:ascii="Times New Roman" w:eastAsia="Calibri" w:hAnsi="Times New Roman" w:cs="Times New Roman"/>
          <w:b/>
          <w:lang w:val="en-US"/>
        </w:rPr>
        <w:t>i</w:t>
      </w:r>
      <w:r w:rsidRPr="00A23D3E">
        <w:rPr>
          <w:rFonts w:ascii="Times New Roman" w:eastAsia="Calibri" w:hAnsi="Times New Roman" w:cs="Times New Roman"/>
          <w:b/>
          <w:lang w:val="en-US"/>
        </w:rPr>
        <w:t>r patikrinimai</w:t>
      </w: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Sandostatin LAR vartosite ilgai, gydytojas gali reguliariai atlikinėti Jūsų skydliaukės funkcijos tyrimus.</w:t>
      </w:r>
    </w:p>
    <w:p w:rsidR="00122C00" w:rsidRPr="00A23D3E" w:rsidRDefault="00122C00" w:rsidP="00122C00">
      <w:pPr>
        <w:widowControl w:val="0"/>
        <w:spacing w:after="0" w:line="240" w:lineRule="auto"/>
        <w:rPr>
          <w:rFonts w:ascii="Times New Roman" w:eastAsia="Calibri" w:hAnsi="Times New Roman" w:cs="Times New Roman"/>
          <w:lang w:val="en-US"/>
        </w:rPr>
      </w:pPr>
    </w:p>
    <w:p w:rsidR="00122C00" w:rsidRPr="00A23D3E" w:rsidRDefault="00122C00" w:rsidP="00122C00">
      <w:pPr>
        <w:widowControl w:val="0"/>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Gydytojas taip pat tikrins Jūsų kepenų veiklą.</w:t>
      </w:r>
    </w:p>
    <w:p w:rsidR="00122C00" w:rsidRDefault="00122C00" w:rsidP="00122C00">
      <w:pPr>
        <w:widowControl w:val="0"/>
        <w:autoSpaceDE w:val="0"/>
        <w:autoSpaceDN w:val="0"/>
        <w:adjustRightInd w:val="0"/>
        <w:spacing w:after="0" w:line="240" w:lineRule="auto"/>
        <w:rPr>
          <w:rFonts w:ascii="Times New Roman" w:eastAsia="Calibri" w:hAnsi="Times New Roman" w:cs="Times New Roman"/>
          <w:lang w:val="en-US"/>
        </w:rPr>
      </w:pPr>
    </w:p>
    <w:p w:rsidR="00122C00" w:rsidRDefault="00122C00" w:rsidP="00122C00">
      <w:pPr>
        <w:widowControl w:val="0"/>
        <w:autoSpaceDE w:val="0"/>
        <w:autoSpaceDN w:val="0"/>
        <w:adjustRightInd w:val="0"/>
        <w:spacing w:after="0" w:line="240" w:lineRule="auto"/>
        <w:rPr>
          <w:rFonts w:ascii="Times New Roman" w:eastAsia="Calibri" w:hAnsi="Times New Roman" w:cs="Times New Roman"/>
          <w:lang w:val="en-US"/>
        </w:rPr>
      </w:pPr>
      <w:r w:rsidRPr="00CF3375">
        <w:rPr>
          <w:rFonts w:ascii="Times New Roman" w:eastAsia="Calibri" w:hAnsi="Times New Roman" w:cs="Times New Roman"/>
          <w:lang w:val="en-US"/>
        </w:rPr>
        <w:t xml:space="preserve">Jūsų gydytojas gali patikrinti </w:t>
      </w:r>
      <w:r>
        <w:rPr>
          <w:rFonts w:ascii="Times New Roman" w:eastAsia="Calibri" w:hAnsi="Times New Roman" w:cs="Times New Roman"/>
          <w:lang w:val="en-US"/>
        </w:rPr>
        <w:t>J</w:t>
      </w:r>
      <w:r w:rsidRPr="00CF3375">
        <w:rPr>
          <w:rFonts w:ascii="Times New Roman" w:eastAsia="Calibri" w:hAnsi="Times New Roman" w:cs="Times New Roman"/>
          <w:lang w:val="en-US"/>
        </w:rPr>
        <w:t xml:space="preserve">ūsų kasos </w:t>
      </w:r>
      <w:r>
        <w:rPr>
          <w:rFonts w:ascii="Times New Roman" w:eastAsia="Calibri" w:hAnsi="Times New Roman" w:cs="Times New Roman"/>
          <w:lang w:val="en-US"/>
        </w:rPr>
        <w:t>fermentų gamybos</w:t>
      </w:r>
      <w:r w:rsidRPr="00CF3375">
        <w:rPr>
          <w:rFonts w:ascii="Times New Roman" w:eastAsia="Calibri" w:hAnsi="Times New Roman" w:cs="Times New Roman"/>
          <w:lang w:val="en-US"/>
        </w:rPr>
        <w:t xml:space="preserve"> funkciją.</w:t>
      </w:r>
    </w:p>
    <w:p w:rsidR="00122C00" w:rsidRPr="00A23D3E" w:rsidRDefault="00122C00" w:rsidP="00122C00">
      <w:pPr>
        <w:widowControl w:val="0"/>
        <w:autoSpaceDE w:val="0"/>
        <w:autoSpaceDN w:val="0"/>
        <w:adjustRightInd w:val="0"/>
        <w:spacing w:after="0" w:line="240" w:lineRule="auto"/>
        <w:rPr>
          <w:rFonts w:ascii="Times New Roman" w:eastAsia="Calibri" w:hAnsi="Times New Roman" w:cs="Times New Roman"/>
          <w:lang w:val="en-US"/>
        </w:rPr>
      </w:pPr>
    </w:p>
    <w:p w:rsidR="00122C00" w:rsidRPr="00A23D3E" w:rsidRDefault="00122C00" w:rsidP="00122C00">
      <w:pPr>
        <w:keepNext/>
        <w:widowControl w:val="0"/>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Vaikams</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Sandostatin LAR vartojimo vaikams patirties yra labai nedaug.</w:t>
      </w: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en-US"/>
        </w:rPr>
      </w:pPr>
    </w:p>
    <w:p w:rsidR="00122C00" w:rsidRPr="00A23D3E" w:rsidRDefault="00122C00" w:rsidP="00122C00">
      <w:pPr>
        <w:keepNext/>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b/>
          <w:lang w:val="en-US"/>
        </w:rPr>
        <w:t>Kiti vaistai ir Sandostatin LAR</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Jeigu vartojate ar neseniai vartojote kitų vaistų arba dėl to nesate tikri, apie tai pasakykite gydytojui arba vaistininkui.</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p>
    <w:p w:rsidR="00122C00" w:rsidRPr="00A23D3E" w:rsidRDefault="00122C00" w:rsidP="00122C00">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 xml:space="preserve">Vartodami Sandostatin LAR paprastai Jūs galėsite ir toliau vartoti kitų vaistų. Tačiau nustatyta, kad Sandostatin LAR įtakoja kai kurių vaistų, pavyzdžiui, cimetidino, ciklosporino, bromokriptino, chinidino ir terfenadino, poveikį. </w:t>
      </w:r>
    </w:p>
    <w:p w:rsidR="00122C00" w:rsidRPr="00A23D3E" w:rsidRDefault="00122C00" w:rsidP="00122C00">
      <w:pPr>
        <w:widowControl w:val="0"/>
        <w:spacing w:after="0" w:line="240" w:lineRule="auto"/>
        <w:jc w:val="both"/>
        <w:rPr>
          <w:rFonts w:ascii="Times New Roman" w:eastAsia="Calibri" w:hAnsi="Times New Roman" w:cs="Times New Roman"/>
          <w:lang w:val="en-US"/>
        </w:rPr>
      </w:pPr>
    </w:p>
    <w:p w:rsidR="00122C00" w:rsidRPr="00A23D3E" w:rsidRDefault="00122C00" w:rsidP="00122C00">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vartojate kraujospūdžiui reguliuoti skirtų vaistų (pvz., beta adrenoblokatorių ar kalcio kanalų blokatorių) arba skysčių ir elektrolitų pusiausvyrą reguliuojančių vaistų, gydytojas gali koreguoti jų dozę.</w:t>
      </w:r>
    </w:p>
    <w:p w:rsidR="00122C00" w:rsidRPr="00A23D3E" w:rsidRDefault="00122C00" w:rsidP="00122C00">
      <w:pPr>
        <w:widowControl w:val="0"/>
        <w:spacing w:after="0" w:line="240" w:lineRule="auto"/>
        <w:rPr>
          <w:rFonts w:ascii="Times New Roman" w:eastAsia="Calibri" w:hAnsi="Times New Roman" w:cs="Times New Roman"/>
          <w:lang w:val="en-US"/>
        </w:rPr>
      </w:pPr>
    </w:p>
    <w:p w:rsidR="00122C00" w:rsidRDefault="00122C00" w:rsidP="00122C00">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sergate diabetu, gydytojui gali tekti koreguoti Jūsų vartojamo insulino dozę.</w:t>
      </w:r>
    </w:p>
    <w:p w:rsidR="00122C00" w:rsidRPr="00742F37" w:rsidRDefault="00122C00" w:rsidP="00122C00">
      <w:pPr>
        <w:widowControl w:val="0"/>
        <w:spacing w:after="0" w:line="240" w:lineRule="auto"/>
        <w:rPr>
          <w:rFonts w:ascii="Times New Roman" w:eastAsia="Calibri" w:hAnsi="Times New Roman" w:cs="Times New Roman"/>
          <w:lang w:val="en-GB"/>
        </w:rPr>
      </w:pPr>
      <w:r w:rsidRPr="00A656D5">
        <w:rPr>
          <w:rFonts w:ascii="Times New Roman" w:eastAsia="Calibri" w:hAnsi="Times New Roman" w:cs="Times New Roman"/>
          <w:lang w:val="en-GB"/>
        </w:rPr>
        <w:t>Jeigu Jums paskirtas radiofarmacinis gydymas liutecio (</w:t>
      </w:r>
      <w:r w:rsidRPr="00A656D5">
        <w:rPr>
          <w:rFonts w:ascii="Times New Roman" w:eastAsia="Calibri" w:hAnsi="Times New Roman" w:cs="Times New Roman"/>
          <w:vertAlign w:val="superscript"/>
          <w:lang w:val="en-GB"/>
        </w:rPr>
        <w:t>177</w:t>
      </w:r>
      <w:r w:rsidRPr="00A656D5">
        <w:rPr>
          <w:rFonts w:ascii="Times New Roman" w:eastAsia="Calibri" w:hAnsi="Times New Roman" w:cs="Times New Roman"/>
          <w:lang w:val="en-GB"/>
        </w:rPr>
        <w:t>Lu) oksodotreotidu</w:t>
      </w:r>
      <w:r w:rsidRPr="00A656D5">
        <w:rPr>
          <w:rFonts w:ascii="Times New Roman" w:hAnsi="Times New Roman" w:cs="Times New Roman"/>
          <w:lang w:bidi="lt-LT"/>
        </w:rPr>
        <w:t>, Jūsų gydytojas gali trumpam laikotarpiui pristabdyti ir (arba) pritaikyti gydymą Sandostatin LAR.</w:t>
      </w:r>
    </w:p>
    <w:p w:rsidR="00122C00" w:rsidRPr="00A23D3E" w:rsidRDefault="00122C00" w:rsidP="00122C00">
      <w:pPr>
        <w:widowControl w:val="0"/>
        <w:spacing w:after="0" w:line="240" w:lineRule="auto"/>
        <w:jc w:val="both"/>
        <w:rPr>
          <w:rFonts w:ascii="Times New Roman" w:eastAsia="Calibri" w:hAnsi="Times New Roman" w:cs="Times New Roman"/>
          <w:lang w:val="en-US"/>
        </w:rPr>
      </w:pPr>
    </w:p>
    <w:p w:rsidR="00122C00" w:rsidRPr="00A23D3E" w:rsidRDefault="00122C00" w:rsidP="00122C00">
      <w:pPr>
        <w:keepNext/>
        <w:widowControl w:val="0"/>
        <w:numPr>
          <w:ilvl w:val="12"/>
          <w:numId w:val="0"/>
        </w:numPr>
        <w:spacing w:after="0" w:line="240" w:lineRule="auto"/>
        <w:ind w:right="-2"/>
        <w:outlineLvl w:val="0"/>
        <w:rPr>
          <w:rFonts w:ascii="Times New Roman" w:eastAsia="Calibri" w:hAnsi="Times New Roman" w:cs="Times New Roman"/>
          <w:lang w:val="en-US"/>
        </w:rPr>
      </w:pPr>
      <w:r w:rsidRPr="00A23D3E">
        <w:rPr>
          <w:rFonts w:ascii="Times New Roman" w:eastAsia="Calibri" w:hAnsi="Times New Roman" w:cs="Times New Roman"/>
          <w:b/>
          <w:lang w:val="en-US"/>
        </w:rPr>
        <w:t>Nėštumas ir žindymo laikotarpis</w:t>
      </w:r>
    </w:p>
    <w:p w:rsidR="00122C00" w:rsidRPr="00A23D3E" w:rsidRDefault="00122C00" w:rsidP="00122C00">
      <w:pPr>
        <w:widowControl w:val="0"/>
        <w:numPr>
          <w:ilvl w:val="12"/>
          <w:numId w:val="0"/>
        </w:numPr>
        <w:spacing w:after="0" w:line="240" w:lineRule="auto"/>
        <w:ind w:right="-2"/>
        <w:outlineLvl w:val="0"/>
        <w:rPr>
          <w:rFonts w:ascii="Times New Roman" w:eastAsia="Calibri" w:hAnsi="Times New Roman" w:cs="Times New Roman"/>
          <w:lang w:val="en-US"/>
        </w:rPr>
      </w:pPr>
      <w:r w:rsidRPr="00A23D3E">
        <w:rPr>
          <w:rFonts w:ascii="Times New Roman" w:eastAsia="Calibri" w:hAnsi="Times New Roman" w:cs="Times New Roman"/>
          <w:lang w:val="en-US"/>
        </w:rPr>
        <w:t>Jeigu esate nėščia, žindote kūdikį, manote, kad galbūt esate nėščia arba planuojate pastoti, tai prieš vartodama šį vaistą pasitarkite su gydytoju.</w:t>
      </w:r>
    </w:p>
    <w:p w:rsidR="00122C00" w:rsidRPr="00A23D3E" w:rsidRDefault="00122C00" w:rsidP="00122C00">
      <w:pPr>
        <w:widowControl w:val="0"/>
        <w:numPr>
          <w:ilvl w:val="12"/>
          <w:numId w:val="0"/>
        </w:numPr>
        <w:spacing w:after="0" w:line="240" w:lineRule="auto"/>
        <w:ind w:right="-2"/>
        <w:outlineLvl w:val="0"/>
        <w:rPr>
          <w:rFonts w:ascii="Times New Roman" w:eastAsia="Calibri" w:hAnsi="Times New Roman" w:cs="Times New Roman"/>
          <w:lang w:val="en-US"/>
        </w:rPr>
      </w:pPr>
    </w:p>
    <w:p w:rsidR="00122C00" w:rsidRPr="00A23D3E" w:rsidRDefault="00122C00" w:rsidP="00122C00">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n</w:t>
      </w:r>
      <w:r w:rsidRPr="00A23D3E">
        <w:rPr>
          <w:rFonts w:ascii="Times New Roman" w:eastAsia="Times New Roman" w:hAnsi="Times New Roman" w:cs="Times New Roman"/>
          <w:lang w:val="it-IT"/>
        </w:rPr>
        <w:t>ė</w:t>
      </w:r>
      <w:r w:rsidRPr="00A23D3E">
        <w:rPr>
          <w:rFonts w:ascii="Times New Roman" w:eastAsia="Calibri" w:hAnsi="Times New Roman" w:cs="Times New Roman"/>
          <w:lang w:val="it-IT"/>
        </w:rPr>
        <w:t>štumo metu galima vartoti tik tuomet, kai neabejotinai būtina.</w:t>
      </w:r>
    </w:p>
    <w:p w:rsidR="00122C00" w:rsidRPr="00A23D3E" w:rsidRDefault="00122C00" w:rsidP="00122C00">
      <w:pPr>
        <w:widowControl w:val="0"/>
        <w:spacing w:after="0" w:line="240" w:lineRule="auto"/>
        <w:rPr>
          <w:rFonts w:ascii="Times New Roman" w:eastAsia="Calibri" w:hAnsi="Times New Roman" w:cs="Times New Roman"/>
          <w:lang w:val="it-IT"/>
        </w:rPr>
      </w:pPr>
    </w:p>
    <w:p w:rsidR="00122C00" w:rsidRPr="00A23D3E" w:rsidRDefault="00122C00" w:rsidP="00122C00">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Gydymo metu vaisingo amžiaus moterys turi naudoti veiksmingą kontracepcijos metodą.</w:t>
      </w:r>
    </w:p>
    <w:p w:rsidR="00122C00" w:rsidRPr="00A23D3E" w:rsidRDefault="00122C00" w:rsidP="00122C00">
      <w:pPr>
        <w:widowControl w:val="0"/>
        <w:spacing w:after="0" w:line="240" w:lineRule="auto"/>
        <w:rPr>
          <w:rFonts w:ascii="Times New Roman" w:eastAsia="Calibri" w:hAnsi="Times New Roman" w:cs="Times New Roman"/>
          <w:lang w:val="it-IT"/>
        </w:rPr>
      </w:pPr>
    </w:p>
    <w:p w:rsidR="00122C00" w:rsidRPr="00A23D3E" w:rsidRDefault="00122C00" w:rsidP="00122C00">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vartojimo metu žindyti negalima. Nėra žinoma, ar Sandostatin LAR išsiskiria į motinos pieną.</w:t>
      </w:r>
    </w:p>
    <w:p w:rsidR="00122C00" w:rsidRPr="00A23D3E" w:rsidRDefault="00122C00" w:rsidP="00122C00">
      <w:pPr>
        <w:widowControl w:val="0"/>
        <w:numPr>
          <w:ilvl w:val="12"/>
          <w:numId w:val="0"/>
        </w:numPr>
        <w:spacing w:after="0" w:line="240" w:lineRule="auto"/>
        <w:ind w:right="-2"/>
        <w:outlineLvl w:val="0"/>
        <w:rPr>
          <w:rFonts w:ascii="Times New Roman" w:eastAsia="Calibri" w:hAnsi="Times New Roman" w:cs="Times New Roman"/>
          <w:lang w:val="it-IT"/>
        </w:rPr>
      </w:pPr>
    </w:p>
    <w:p w:rsidR="00122C00" w:rsidRPr="00A23D3E" w:rsidRDefault="00122C00" w:rsidP="00122C00">
      <w:pPr>
        <w:keepNext/>
        <w:widowControl w:val="0"/>
        <w:numPr>
          <w:ilvl w:val="12"/>
          <w:numId w:val="0"/>
        </w:numPr>
        <w:spacing w:after="0" w:line="240" w:lineRule="auto"/>
        <w:ind w:right="-2"/>
        <w:outlineLvl w:val="0"/>
        <w:rPr>
          <w:rFonts w:ascii="Times New Roman" w:eastAsia="Calibri" w:hAnsi="Times New Roman" w:cs="Times New Roman"/>
          <w:b/>
          <w:lang w:val="it-IT"/>
        </w:rPr>
      </w:pPr>
      <w:r w:rsidRPr="00A23D3E">
        <w:rPr>
          <w:rFonts w:ascii="Times New Roman" w:eastAsia="Calibri" w:hAnsi="Times New Roman" w:cs="Times New Roman"/>
          <w:b/>
          <w:lang w:val="it-IT"/>
        </w:rPr>
        <w:t>Vairavimas ir mechanizmų valdymas</w:t>
      </w:r>
    </w:p>
    <w:p w:rsidR="00122C00" w:rsidRPr="00A23D3E" w:rsidRDefault="00122C00" w:rsidP="00122C00">
      <w:pPr>
        <w:widowControl w:val="0"/>
        <w:autoSpaceDE w:val="0"/>
        <w:autoSpaceDN w:val="0"/>
        <w:adjustRightInd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gebėjimo vairuoti ir valdyti mechanizmus neveikia arba veikia nereikšmingai. Tačiau vartodami Sandostatin LAR galite patirti kai kurių šalutinių reiškinių, pavyzdžiui, galvos skausmą ir nuovargį, kurie gali bloginti Jūsų gebėjimą saugiai vairuoti ir valdyti mechanizmus.</w:t>
      </w: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it-IT"/>
        </w:rPr>
      </w:pPr>
    </w:p>
    <w:p w:rsidR="00122C00" w:rsidRPr="00A23D3E" w:rsidRDefault="00122C00" w:rsidP="00122C00">
      <w:pPr>
        <w:widowControl w:val="0"/>
        <w:numPr>
          <w:ilvl w:val="12"/>
          <w:numId w:val="0"/>
        </w:numPr>
        <w:spacing w:after="0" w:line="240" w:lineRule="auto"/>
        <w:rPr>
          <w:rFonts w:ascii="Times New Roman" w:eastAsia="Calibri" w:hAnsi="Times New Roman" w:cs="Times New Roman"/>
          <w:b/>
          <w:lang w:val="it-IT"/>
        </w:rPr>
      </w:pPr>
      <w:r w:rsidRPr="00A23D3E">
        <w:rPr>
          <w:rFonts w:ascii="Times New Roman" w:eastAsia="Calibri" w:hAnsi="Times New Roman" w:cs="Times New Roman"/>
          <w:b/>
          <w:lang w:val="it-IT"/>
        </w:rPr>
        <w:t>Sandostatin LAR sudėtyje yra natrio</w:t>
      </w: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Šio vaisto flakone yra mažiau kaip 1 mmol (23 mg) natrio, t. y. jis beveik neturi reikšmės.</w:t>
      </w: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it-IT"/>
        </w:rPr>
      </w:pPr>
    </w:p>
    <w:p w:rsidR="00122C00" w:rsidRPr="00A23D3E" w:rsidRDefault="00122C00" w:rsidP="00122C00">
      <w:pPr>
        <w:widowControl w:val="0"/>
        <w:numPr>
          <w:ilvl w:val="12"/>
          <w:numId w:val="0"/>
        </w:numPr>
        <w:spacing w:after="0" w:line="240" w:lineRule="auto"/>
        <w:rPr>
          <w:rFonts w:ascii="Times New Roman" w:eastAsia="Calibri" w:hAnsi="Times New Roman" w:cs="Times New Roman"/>
          <w:lang w:val="it-IT"/>
        </w:rPr>
      </w:pPr>
    </w:p>
    <w:p w:rsidR="00122C00" w:rsidRPr="00A23D3E" w:rsidRDefault="00122C00" w:rsidP="00122C00">
      <w:pPr>
        <w:keepNext/>
        <w:widowControl w:val="0"/>
        <w:spacing w:after="0" w:line="240" w:lineRule="auto"/>
        <w:ind w:left="567" w:hanging="567"/>
        <w:rPr>
          <w:rFonts w:ascii="Times New Roman" w:eastAsia="Calibri" w:hAnsi="Times New Roman" w:cs="Times New Roman"/>
          <w:b/>
          <w:lang w:val="it-IT"/>
        </w:rPr>
      </w:pPr>
      <w:r w:rsidRPr="00A23D3E">
        <w:rPr>
          <w:rFonts w:ascii="Times New Roman" w:eastAsia="Calibri" w:hAnsi="Times New Roman" w:cs="Times New Roman"/>
          <w:b/>
          <w:lang w:val="it-IT"/>
        </w:rPr>
        <w:t>3.</w:t>
      </w:r>
      <w:r w:rsidRPr="00A23D3E">
        <w:rPr>
          <w:rFonts w:ascii="Times New Roman" w:eastAsia="Calibri" w:hAnsi="Times New Roman" w:cs="Times New Roman"/>
          <w:b/>
          <w:lang w:val="it-IT"/>
        </w:rPr>
        <w:tab/>
        <w:t>Kaip vartoti Sandostatin LAR</w:t>
      </w:r>
    </w:p>
    <w:p w:rsidR="00122C00" w:rsidRPr="00A23D3E" w:rsidRDefault="00122C00" w:rsidP="00122C00">
      <w:pPr>
        <w:keepNext/>
        <w:widowControl w:val="0"/>
        <w:spacing w:after="0" w:line="240" w:lineRule="auto"/>
        <w:rPr>
          <w:rFonts w:ascii="Times New Roman" w:eastAsia="Calibri" w:hAnsi="Times New Roman" w:cs="Times New Roman"/>
          <w:lang w:val="it-IT"/>
        </w:rPr>
      </w:pPr>
    </w:p>
    <w:p w:rsidR="00122C00" w:rsidRPr="00A23D3E" w:rsidRDefault="00122C00" w:rsidP="00122C00">
      <w:pPr>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privaloma visada skirti injekcijos būdu į sėdmenų raumenis. Vaisto skiriant kartotinai, jo reikia švirkšti tai į kairįjį, tai į dešinįjį sėdmenį.</w:t>
      </w:r>
    </w:p>
    <w:p w:rsidR="00122C00" w:rsidRPr="00A23D3E" w:rsidRDefault="00122C00" w:rsidP="00122C00">
      <w:pPr>
        <w:spacing w:after="0" w:line="240" w:lineRule="auto"/>
        <w:rPr>
          <w:rFonts w:ascii="Times New Roman" w:eastAsia="Calibri" w:hAnsi="Times New Roman" w:cs="Times New Roman"/>
          <w:lang w:val="it-IT"/>
        </w:rPr>
      </w:pPr>
    </w:p>
    <w:p w:rsidR="00122C00" w:rsidRPr="00A23D3E" w:rsidRDefault="00122C00" w:rsidP="00122C00">
      <w:pPr>
        <w:keepNext/>
        <w:widowControl w:val="0"/>
        <w:numPr>
          <w:ilvl w:val="12"/>
          <w:numId w:val="0"/>
        </w:numPr>
        <w:spacing w:after="0" w:line="240" w:lineRule="auto"/>
        <w:outlineLvl w:val="0"/>
        <w:rPr>
          <w:rFonts w:ascii="Times New Roman" w:eastAsia="Calibri" w:hAnsi="Times New Roman" w:cs="Times New Roman"/>
          <w:b/>
          <w:lang w:val="it-IT"/>
        </w:rPr>
      </w:pPr>
      <w:r w:rsidRPr="00A23D3E">
        <w:rPr>
          <w:rFonts w:ascii="Times New Roman" w:eastAsia="Calibri" w:hAnsi="Times New Roman" w:cs="Times New Roman"/>
          <w:b/>
          <w:lang w:val="it-IT"/>
        </w:rPr>
        <w:t>Ką daryti pavartojus per didelę Sandostatin LAR dozę?</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Nenustatyta jokių gyvybei pavojingų reakcijų pavartojus per didelę Sandostatin LAR dozę.</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 xml:space="preserve">Perdozavimo požymiai yra karščio pylimas, dažnas šlapinimasis, nuovargis, depresija, nerimas ir koncentracijos stoka. </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Jei manote, kad pavartojote per didelę vaisto dozę, ir Jums pasireiškė šių požymių, nedelsdami kreipkitės į gydytoją.</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p>
    <w:p w:rsidR="00122C00" w:rsidRPr="00A23D3E" w:rsidRDefault="00122C00" w:rsidP="00122C00">
      <w:pPr>
        <w:keepNext/>
        <w:widowControl w:val="0"/>
        <w:numPr>
          <w:ilvl w:val="12"/>
          <w:numId w:val="0"/>
        </w:numPr>
        <w:spacing w:after="0" w:line="240" w:lineRule="auto"/>
        <w:outlineLvl w:val="0"/>
        <w:rPr>
          <w:rFonts w:ascii="Times New Roman" w:eastAsia="Calibri" w:hAnsi="Times New Roman" w:cs="Times New Roman"/>
          <w:b/>
          <w:lang w:val="it-IT"/>
        </w:rPr>
      </w:pPr>
      <w:r w:rsidRPr="00A23D3E">
        <w:rPr>
          <w:rFonts w:ascii="Times New Roman" w:eastAsia="Calibri" w:hAnsi="Times New Roman" w:cs="Times New Roman"/>
          <w:b/>
          <w:lang w:val="it-IT"/>
        </w:rPr>
        <w:t>Pamiršus pavartoti Sandostatin LAR</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Pamiršus sušvirkšti vaisto, rekomenduojama, kad vaisto Jums būtų sušvirkšta iškart prisiminus, o toliau vaisto reikia vartoti įprastai. Nebus jokios žalos, jeigu dozė bus sušvirkšta keliomis dienomis vėliau, tačiau kol vaisto pradėsite vartoti įprastu režimu, gali laikinai atsinaujinti ligos požymiai.</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p>
    <w:p w:rsidR="00122C00" w:rsidRPr="00A23D3E" w:rsidRDefault="00122C00" w:rsidP="00122C00">
      <w:pPr>
        <w:keepNext/>
        <w:widowControl w:val="0"/>
        <w:numPr>
          <w:ilvl w:val="12"/>
          <w:numId w:val="0"/>
        </w:numPr>
        <w:spacing w:after="0" w:line="240" w:lineRule="auto"/>
        <w:outlineLvl w:val="0"/>
        <w:rPr>
          <w:rFonts w:ascii="Times New Roman" w:eastAsia="Calibri" w:hAnsi="Times New Roman" w:cs="Times New Roman"/>
          <w:b/>
          <w:lang w:val="it-IT"/>
        </w:rPr>
      </w:pPr>
      <w:r w:rsidRPr="00A23D3E">
        <w:rPr>
          <w:rFonts w:ascii="Times New Roman" w:eastAsia="Calibri" w:hAnsi="Times New Roman" w:cs="Times New Roman"/>
          <w:b/>
          <w:lang w:val="it-IT"/>
        </w:rPr>
        <w:t>Nustojus vartoti Sandostatin LAR</w:t>
      </w:r>
    </w:p>
    <w:p w:rsidR="00122C00" w:rsidRPr="00A23D3E" w:rsidRDefault="00122C00" w:rsidP="00122C00">
      <w:pPr>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Jeigu nutrauksite gydymą Sandostatin LAR, Jūsų ligos simptomai gali atsinaujinti. Todėl nenutraukite Sandostatin LAR vartojimo, nebent taip padaryti nurodė gydytojas.</w:t>
      </w:r>
    </w:p>
    <w:p w:rsidR="00122C00" w:rsidRPr="00A23D3E" w:rsidRDefault="00122C00" w:rsidP="00122C00">
      <w:pPr>
        <w:numPr>
          <w:ilvl w:val="12"/>
          <w:numId w:val="0"/>
        </w:numPr>
        <w:spacing w:after="0" w:line="240" w:lineRule="auto"/>
        <w:ind w:right="-2"/>
        <w:rPr>
          <w:rFonts w:ascii="Times New Roman" w:eastAsia="Calibri" w:hAnsi="Times New Roman" w:cs="Times New Roman"/>
          <w:lang w:val="it-IT"/>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Jeigu kiltų daugiau klausimų dėl šio vaisto vartojimo, kreipkitės į gydytoją, slaugytoją arba vaistininką.</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p>
    <w:p w:rsidR="00122C00" w:rsidRPr="00A23D3E" w:rsidRDefault="00122C00" w:rsidP="00122C00">
      <w:pPr>
        <w:keepNext/>
        <w:widowControl w:val="0"/>
        <w:numPr>
          <w:ilvl w:val="12"/>
          <w:numId w:val="0"/>
        </w:numPr>
        <w:spacing w:after="0" w:line="240" w:lineRule="auto"/>
        <w:ind w:left="567" w:hanging="567"/>
        <w:rPr>
          <w:rFonts w:ascii="Times New Roman" w:eastAsia="Calibri" w:hAnsi="Times New Roman" w:cs="Times New Roman"/>
          <w:lang w:val="it-IT"/>
        </w:rPr>
      </w:pPr>
      <w:r w:rsidRPr="00A23D3E">
        <w:rPr>
          <w:rFonts w:ascii="Times New Roman" w:eastAsia="Calibri" w:hAnsi="Times New Roman" w:cs="Times New Roman"/>
          <w:b/>
          <w:lang w:val="it-IT"/>
        </w:rPr>
        <w:t>4.</w:t>
      </w:r>
      <w:r w:rsidRPr="00A23D3E">
        <w:rPr>
          <w:rFonts w:ascii="Times New Roman" w:eastAsia="Calibri" w:hAnsi="Times New Roman" w:cs="Times New Roman"/>
          <w:b/>
          <w:lang w:val="it-IT"/>
        </w:rPr>
        <w:tab/>
        <w:t>Galimas šalutinis poveikis</w:t>
      </w:r>
    </w:p>
    <w:p w:rsidR="00122C00" w:rsidRPr="00A23D3E" w:rsidRDefault="00122C00" w:rsidP="00122C00">
      <w:pPr>
        <w:keepNext/>
        <w:widowControl w:val="0"/>
        <w:numPr>
          <w:ilvl w:val="12"/>
          <w:numId w:val="0"/>
        </w:numPr>
        <w:spacing w:after="0" w:line="240" w:lineRule="auto"/>
        <w:rPr>
          <w:rFonts w:ascii="Times New Roman" w:eastAsia="Calibri" w:hAnsi="Times New Roman" w:cs="Times New Roman"/>
          <w:lang w:val="it-IT"/>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Šis vaistas, kaip ir visi kiti, gali sukelti šalutinį poveikį, nors jis pasireiškia ne visiems žmonėms.</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p>
    <w:p w:rsidR="00122C00" w:rsidRPr="00A23D3E" w:rsidRDefault="00122C00" w:rsidP="00122C00">
      <w:pPr>
        <w:keepNext/>
        <w:widowControl w:val="0"/>
        <w:spacing w:after="0" w:line="240" w:lineRule="auto"/>
        <w:rPr>
          <w:rFonts w:ascii="Times New Roman" w:eastAsia="Calibri" w:hAnsi="Times New Roman" w:cs="Times New Roman"/>
          <w:b/>
          <w:lang w:val="it-IT"/>
        </w:rPr>
      </w:pPr>
      <w:r w:rsidRPr="00A23D3E">
        <w:rPr>
          <w:rFonts w:ascii="Times New Roman" w:eastAsia="Calibri" w:hAnsi="Times New Roman" w:cs="Times New Roman"/>
          <w:b/>
          <w:lang w:val="it-IT"/>
        </w:rPr>
        <w:t xml:space="preserve">Kai kurie šalutiniai reiškiniai gali būti sunkūs. Jeigu Jums pasireikštų bet kurių toliau išvardytų </w:t>
      </w:r>
      <w:r w:rsidRPr="00A23D3E">
        <w:rPr>
          <w:rFonts w:ascii="Times New Roman" w:eastAsia="Calibri" w:hAnsi="Times New Roman" w:cs="Times New Roman"/>
          <w:b/>
          <w:lang w:val="it-IT"/>
        </w:rPr>
        <w:lastRenderedPageBreak/>
        <w:t>reiškinių, nedelsdami kreipkitės į gydytoją:</w:t>
      </w:r>
    </w:p>
    <w:p w:rsidR="00122C00" w:rsidRPr="00A23D3E" w:rsidRDefault="00122C00" w:rsidP="00122C00">
      <w:pPr>
        <w:keepNext/>
        <w:widowControl w:val="0"/>
        <w:spacing w:after="0" w:line="240" w:lineRule="auto"/>
        <w:rPr>
          <w:rFonts w:ascii="Times New Roman" w:eastAsia="Calibri" w:hAnsi="Times New Roman" w:cs="Times New Roman"/>
          <w:lang w:val="it-IT"/>
        </w:rPr>
      </w:pPr>
    </w:p>
    <w:p w:rsidR="00122C00" w:rsidRPr="00A23D3E" w:rsidRDefault="00122C00" w:rsidP="00122C00">
      <w:pPr>
        <w:keepNext/>
        <w:widowControl w:val="0"/>
        <w:spacing w:after="0" w:line="240" w:lineRule="auto"/>
        <w:rPr>
          <w:rFonts w:ascii="Times New Roman" w:eastAsia="Calibri" w:hAnsi="Times New Roman" w:cs="Times New Roman"/>
          <w:i/>
          <w:lang w:val="it-IT"/>
        </w:rPr>
      </w:pPr>
      <w:r w:rsidRPr="00A23D3E">
        <w:rPr>
          <w:rFonts w:ascii="Times New Roman" w:eastAsia="Calibri" w:hAnsi="Times New Roman" w:cs="Times New Roman"/>
          <w:b/>
          <w:lang w:val="it-IT"/>
        </w:rPr>
        <w:t xml:space="preserve">Labai dažni </w:t>
      </w:r>
      <w:r w:rsidRPr="00A23D3E">
        <w:rPr>
          <w:rFonts w:ascii="Times New Roman" w:eastAsia="Calibri" w:hAnsi="Times New Roman" w:cs="Times New Roman"/>
          <w:lang w:val="it-IT"/>
        </w:rPr>
        <w:t>(gali pasireikšti daugiau kaip 1 asmeniui iš 10):</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it-IT"/>
        </w:rPr>
      </w:pPr>
      <w:r w:rsidRPr="00A23D3E">
        <w:rPr>
          <w:rFonts w:ascii="Times New Roman" w:eastAsia="Calibri" w:hAnsi="Times New Roman" w:cs="Times New Roman"/>
          <w:lang w:val="it-IT"/>
        </w:rPr>
        <w:t>tulžies akmenų atsiradimas, pasireiškiantis staigiu nugaros skausmu;</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de-DE"/>
        </w:rPr>
      </w:pPr>
      <w:r w:rsidRPr="00A23D3E">
        <w:rPr>
          <w:rFonts w:ascii="Times New Roman" w:eastAsia="Calibri" w:hAnsi="Times New Roman" w:cs="Times New Roman"/>
          <w:lang w:val="de-DE"/>
        </w:rPr>
        <w:t>per didelis cukraus kiekis kraujyje.</w:t>
      </w:r>
    </w:p>
    <w:p w:rsidR="00122C00" w:rsidRPr="00A23D3E" w:rsidRDefault="00122C00" w:rsidP="00122C00">
      <w:pPr>
        <w:widowControl w:val="0"/>
        <w:spacing w:after="0" w:line="240" w:lineRule="auto"/>
        <w:ind w:right="-2"/>
        <w:rPr>
          <w:rFonts w:ascii="Times New Roman" w:eastAsia="Calibri" w:hAnsi="Times New Roman" w:cs="Times New Roman"/>
          <w:lang w:val="de-DE"/>
        </w:rPr>
      </w:pPr>
    </w:p>
    <w:p w:rsidR="00122C00" w:rsidRPr="00A23D3E" w:rsidRDefault="00122C00" w:rsidP="00122C00">
      <w:pPr>
        <w:keepNext/>
        <w:widowControl w:val="0"/>
        <w:spacing w:after="0" w:line="240" w:lineRule="auto"/>
        <w:rPr>
          <w:rFonts w:ascii="Times New Roman" w:eastAsia="Calibri" w:hAnsi="Times New Roman" w:cs="Times New Roman"/>
          <w:i/>
          <w:lang w:val="de-DE"/>
        </w:rPr>
      </w:pPr>
      <w:r w:rsidRPr="00A23D3E">
        <w:rPr>
          <w:rFonts w:ascii="Times New Roman" w:eastAsia="Calibri" w:hAnsi="Times New Roman" w:cs="Times New Roman"/>
          <w:b/>
          <w:lang w:val="de-DE"/>
        </w:rPr>
        <w:t xml:space="preserve">Dažni </w:t>
      </w:r>
      <w:r w:rsidRPr="00A23D3E">
        <w:rPr>
          <w:rFonts w:ascii="Times New Roman" w:eastAsia="Calibri" w:hAnsi="Times New Roman" w:cs="Times New Roman"/>
          <w:lang w:val="de-DE"/>
        </w:rPr>
        <w:t>(gali pasireikšti rečiau kaip 1 asmeniui iš 10):</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de-DE"/>
        </w:rPr>
      </w:pPr>
      <w:r w:rsidRPr="00A23D3E">
        <w:rPr>
          <w:rFonts w:ascii="Times New Roman" w:eastAsia="Calibri" w:hAnsi="Times New Roman" w:cs="Times New Roman"/>
          <w:lang w:val="de-DE"/>
        </w:rPr>
        <w:t>nepakankama skydliaukės veikla (hipotirozė), dėl ko pakinta širdies susitraukimų greitis, apetitas ir kūno svoris; atsiranda nuovargis, šalčio pojūtis arba priekinės kaklo dalies patinimas;</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de-DE"/>
        </w:rPr>
      </w:pPr>
      <w:r w:rsidRPr="00A23D3E">
        <w:rPr>
          <w:rFonts w:ascii="Times New Roman" w:eastAsia="Calibri" w:hAnsi="Times New Roman" w:cs="Times New Roman"/>
          <w:lang w:val="de-DE"/>
        </w:rPr>
        <w:t>skydliaukės veiklos tyrimų rodmenų pokyčiai;</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de-DE"/>
        </w:rPr>
      </w:pPr>
      <w:r w:rsidRPr="00A23D3E">
        <w:rPr>
          <w:rFonts w:ascii="Times New Roman" w:eastAsia="Calibri" w:hAnsi="Times New Roman" w:cs="Times New Roman"/>
          <w:lang w:val="de-DE"/>
        </w:rPr>
        <w:t>tulžies pūslės uždegimas (cholecistitas), kurio simptomais gali būti viršutinės dešiniosios pilvo srities skausmas, karščiavimas, pykinimas, odos ir akių pageltimas (gelta);</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de-DE"/>
        </w:rPr>
      </w:pPr>
      <w:r w:rsidRPr="00A23D3E">
        <w:rPr>
          <w:rFonts w:ascii="Times New Roman" w:eastAsia="Calibri" w:hAnsi="Times New Roman" w:cs="Times New Roman"/>
          <w:lang w:val="de-DE"/>
        </w:rPr>
        <w:t>per mažas cukraus kiekis kraujyje;</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sutrikęs gliukozės toleravimas;</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retas širdies plakimas.</w:t>
      </w:r>
    </w:p>
    <w:p w:rsidR="00122C00" w:rsidRPr="00A23D3E" w:rsidRDefault="00122C00" w:rsidP="00122C00">
      <w:pPr>
        <w:widowControl w:val="0"/>
        <w:spacing w:after="0" w:line="240" w:lineRule="auto"/>
        <w:ind w:right="-2"/>
        <w:rPr>
          <w:rFonts w:ascii="Times New Roman" w:eastAsia="Calibri" w:hAnsi="Times New Roman" w:cs="Times New Roman"/>
          <w:lang w:val="en-US"/>
        </w:rPr>
      </w:pPr>
    </w:p>
    <w:p w:rsidR="00122C00" w:rsidRPr="00A23D3E" w:rsidRDefault="00122C00" w:rsidP="00122C00">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 xml:space="preserve">Nedažni </w:t>
      </w:r>
      <w:r w:rsidRPr="00A23D3E">
        <w:rPr>
          <w:rFonts w:ascii="Times New Roman" w:eastAsia="Calibri" w:hAnsi="Times New Roman" w:cs="Times New Roman"/>
          <w:lang w:val="en-US"/>
        </w:rPr>
        <w:t>(gali pasireikšti rečiau kaip 1 asmeniui iš 100):</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troškulys, sumažėjęs išskiriamo šlapimo kiekis, tamsios spalvos šlapimas, sausa paraudusi oda;</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greitas širdies plakimas.</w:t>
      </w:r>
    </w:p>
    <w:p w:rsidR="00122C00" w:rsidRPr="00A23D3E" w:rsidRDefault="00122C00" w:rsidP="00122C00">
      <w:pPr>
        <w:widowControl w:val="0"/>
        <w:spacing w:after="0" w:line="240" w:lineRule="auto"/>
        <w:ind w:right="-2"/>
        <w:rPr>
          <w:rFonts w:ascii="Times New Roman" w:eastAsia="Calibri" w:hAnsi="Times New Roman" w:cs="Times New Roman"/>
          <w:lang w:val="en-US"/>
        </w:rPr>
      </w:pPr>
    </w:p>
    <w:p w:rsidR="00122C00" w:rsidRPr="00A23D3E" w:rsidRDefault="00122C00" w:rsidP="00122C00">
      <w:pPr>
        <w:keepNext/>
        <w:widowControl w:val="0"/>
        <w:spacing w:after="0" w:line="240" w:lineRule="auto"/>
        <w:rPr>
          <w:rFonts w:ascii="Times New Roman" w:eastAsia="Calibri" w:hAnsi="Times New Roman" w:cs="Times New Roman"/>
          <w:b/>
          <w:lang w:val="en-US"/>
        </w:rPr>
      </w:pPr>
      <w:r w:rsidRPr="00A23D3E">
        <w:rPr>
          <w:rFonts w:ascii="Times New Roman" w:eastAsia="Calibri" w:hAnsi="Times New Roman" w:cs="Times New Roman"/>
          <w:b/>
          <w:lang w:val="en-US"/>
        </w:rPr>
        <w:t>Kitas sunkus šalutinis poveikis</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padidėjusio jautrumo (alerginė) reakcija, įskaitant odos išbėrimą;</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alerginės reakcijos tipas (anafilaksija), kuris gali sukelti</w:t>
      </w:r>
      <w:r w:rsidRPr="00A23D3E">
        <w:rPr>
          <w:rFonts w:ascii="Arial" w:eastAsia="Calibri" w:hAnsi="Arial" w:cs="Arial"/>
          <w:color w:val="222222"/>
        </w:rPr>
        <w:t xml:space="preserve"> </w:t>
      </w:r>
      <w:r w:rsidRPr="00A23D3E">
        <w:rPr>
          <w:rFonts w:ascii="Times New Roman" w:eastAsia="Calibri" w:hAnsi="Times New Roman" w:cs="Times New Roman"/>
        </w:rPr>
        <w:t>rijimo ar kvėpavimo sunkumą, patinimą ir dilgčiojimą, galimą kraujospūdžio sumažėjimą kartu su galvos sukimusi arba sąmonės netekimu</w:t>
      </w:r>
      <w:r w:rsidRPr="00A23D3E">
        <w:rPr>
          <w:rFonts w:ascii="Times New Roman" w:eastAsia="Calibri" w:hAnsi="Times New Roman" w:cs="Times New Roman"/>
          <w:lang w:val="en-US"/>
        </w:rPr>
        <w:t>;</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kasos liaukos uždegimas (pankreatitas), kurio simptomais gali būti ūmus viršutinės pilvo srities skausmas, pykinimas, vėmimas, viduriavimas;</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kepenų uždegimas (hepatitas), kurio simptomai gali būti odos ir akių pageltimas (gelta), pykinimas, vėmimas, apetito nebuvimas, bendras negalavimas, niežulys, šviesios spalvos šlapimas;</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nereguliarus širdies plakimas;</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rPr>
        <w:t>mažas trombocitų kiekis kraujyje; tai gali sukelti padidėjusį kraujavimą ar mėlynes</w:t>
      </w:r>
      <w:r w:rsidRPr="00A23D3E">
        <w:rPr>
          <w:rFonts w:ascii="Times New Roman" w:eastAsia="Calibri" w:hAnsi="Times New Roman" w:cs="Times New Roman"/>
          <w:lang w:val="en-US"/>
        </w:rPr>
        <w:t>.</w:t>
      </w:r>
    </w:p>
    <w:p w:rsidR="00122C00" w:rsidRPr="00A23D3E" w:rsidRDefault="00122C00" w:rsidP="00122C00">
      <w:pPr>
        <w:widowControl w:val="0"/>
        <w:spacing w:after="0" w:line="240" w:lineRule="auto"/>
        <w:ind w:right="-2"/>
        <w:rPr>
          <w:rFonts w:ascii="Times New Roman" w:eastAsia="Calibri" w:hAnsi="Times New Roman" w:cs="Times New Roman"/>
          <w:lang w:val="en-US"/>
        </w:rPr>
      </w:pPr>
    </w:p>
    <w:p w:rsidR="00122C00" w:rsidRPr="00A23D3E" w:rsidRDefault="00122C00" w:rsidP="00122C00">
      <w:pPr>
        <w:widowControl w:val="0"/>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Jeigu Jums pasireiškė bet kuris iš anksčiau nurodytų šalutinių poveikių, nedelsdami kreipkitės į gydytoją.</w:t>
      </w:r>
    </w:p>
    <w:p w:rsidR="00122C00" w:rsidRPr="00A23D3E" w:rsidRDefault="00122C00" w:rsidP="00122C00">
      <w:pPr>
        <w:widowControl w:val="0"/>
        <w:spacing w:after="0" w:line="240" w:lineRule="auto"/>
        <w:ind w:right="-2"/>
        <w:rPr>
          <w:rFonts w:ascii="Times New Roman" w:eastAsia="Calibri" w:hAnsi="Times New Roman" w:cs="Times New Roman"/>
          <w:lang w:val="en-US"/>
        </w:rPr>
      </w:pPr>
    </w:p>
    <w:p w:rsidR="00122C00" w:rsidRPr="00A23D3E" w:rsidRDefault="00122C00" w:rsidP="00122C00">
      <w:pPr>
        <w:keepNext/>
        <w:widowControl w:val="0"/>
        <w:spacing w:after="0" w:line="240" w:lineRule="auto"/>
        <w:rPr>
          <w:rFonts w:ascii="Times New Roman" w:eastAsia="Calibri" w:hAnsi="Times New Roman" w:cs="Times New Roman"/>
          <w:b/>
          <w:lang w:val="en-US"/>
        </w:rPr>
      </w:pPr>
      <w:r w:rsidRPr="00A23D3E">
        <w:rPr>
          <w:rFonts w:ascii="Times New Roman" w:eastAsia="Calibri" w:hAnsi="Times New Roman" w:cs="Times New Roman"/>
          <w:b/>
          <w:lang w:val="en-US"/>
        </w:rPr>
        <w:t>Kitas šalutinis poveikis:</w:t>
      </w:r>
    </w:p>
    <w:p w:rsidR="00122C00" w:rsidRPr="00A23D3E" w:rsidRDefault="00122C00" w:rsidP="00122C00">
      <w:pPr>
        <w:keepNext/>
        <w:widowControl w:val="0"/>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Jums pasireikštų bet kuris toliau nurodytas šalutinis poveikis, pasakykite apie tai gydytojui, vaistininkui arba slaugytojui. Paprastai šie reiškiniai yra nesunkūs ir praeina savaime tęsiant gydymą.</w:t>
      </w:r>
    </w:p>
    <w:p w:rsidR="00122C00" w:rsidRPr="00A23D3E" w:rsidRDefault="00122C00" w:rsidP="00122C00">
      <w:pPr>
        <w:keepNext/>
        <w:widowControl w:val="0"/>
        <w:spacing w:after="0" w:line="240" w:lineRule="auto"/>
        <w:rPr>
          <w:rFonts w:ascii="Times New Roman" w:eastAsia="Calibri" w:hAnsi="Times New Roman" w:cs="Times New Roman"/>
          <w:lang w:val="en-US"/>
        </w:rPr>
      </w:pPr>
    </w:p>
    <w:p w:rsidR="00122C00" w:rsidRPr="00A23D3E" w:rsidRDefault="00122C00" w:rsidP="00122C00">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 xml:space="preserve">Labai dažni </w:t>
      </w:r>
      <w:r w:rsidRPr="00A23D3E">
        <w:rPr>
          <w:rFonts w:ascii="Times New Roman" w:eastAsia="Calibri" w:hAnsi="Times New Roman" w:cs="Times New Roman"/>
          <w:lang w:val="en-US"/>
        </w:rPr>
        <w:t>(gali pasireikšti daugiau kaip 1 asmeniui iš 10):</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viduriavimas;</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pilvo skausmas;</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pykinimas;</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vidurių užkietėjimas;</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vidurių pūtimas (dujų susikaupimas);</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galvos skausmas;</w:t>
      </w:r>
    </w:p>
    <w:p w:rsidR="00122C00" w:rsidRPr="00A23D3E" w:rsidRDefault="00122C00" w:rsidP="00122C00">
      <w:pPr>
        <w:widowControl w:val="0"/>
        <w:numPr>
          <w:ilvl w:val="0"/>
          <w:numId w:val="3"/>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injekcijos vietos skausmas.</w:t>
      </w:r>
    </w:p>
    <w:p w:rsidR="00122C00" w:rsidRPr="00A23D3E" w:rsidRDefault="00122C00" w:rsidP="00122C00">
      <w:pPr>
        <w:widowControl w:val="0"/>
        <w:spacing w:after="0" w:line="240" w:lineRule="auto"/>
        <w:ind w:right="-2"/>
        <w:rPr>
          <w:rFonts w:ascii="Times New Roman" w:eastAsia="Calibri" w:hAnsi="Times New Roman" w:cs="Times New Roman"/>
          <w:lang w:val="en-US"/>
        </w:rPr>
      </w:pPr>
    </w:p>
    <w:p w:rsidR="00122C00" w:rsidRPr="00A23D3E" w:rsidRDefault="00122C00" w:rsidP="00122C00">
      <w:pPr>
        <w:keepNext/>
        <w:widowControl w:val="0"/>
        <w:spacing w:after="0" w:line="240" w:lineRule="auto"/>
        <w:rPr>
          <w:rFonts w:ascii="Times New Roman" w:eastAsia="Calibri" w:hAnsi="Times New Roman" w:cs="Times New Roman"/>
          <w:i/>
          <w:lang w:val="en-US"/>
        </w:rPr>
      </w:pPr>
      <w:r w:rsidRPr="00A23D3E">
        <w:rPr>
          <w:rFonts w:ascii="Times New Roman" w:eastAsia="Calibri" w:hAnsi="Times New Roman" w:cs="Times New Roman"/>
          <w:b/>
          <w:lang w:val="en-US"/>
        </w:rPr>
        <w:t xml:space="preserve">Dažni </w:t>
      </w:r>
      <w:r w:rsidRPr="00A23D3E">
        <w:rPr>
          <w:rFonts w:ascii="Times New Roman" w:eastAsia="Calibri" w:hAnsi="Times New Roman" w:cs="Times New Roman"/>
          <w:lang w:val="en-US"/>
        </w:rPr>
        <w:t>(gali pasireikšti rečiau kaip 1 asmeniui iš 10):</w:t>
      </w:r>
    </w:p>
    <w:p w:rsidR="00122C00" w:rsidRPr="00A23D3E" w:rsidRDefault="00122C00" w:rsidP="00122C00">
      <w:pPr>
        <w:widowControl w:val="0"/>
        <w:numPr>
          <w:ilvl w:val="0"/>
          <w:numId w:val="4"/>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po valgio atsirandantis diskomfortas pilve (dispepsija);</w:t>
      </w:r>
    </w:p>
    <w:p w:rsidR="00122C00" w:rsidRPr="00A23D3E" w:rsidRDefault="00122C00" w:rsidP="00122C00">
      <w:pPr>
        <w:widowControl w:val="0"/>
        <w:numPr>
          <w:ilvl w:val="0"/>
          <w:numId w:val="4"/>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vėmimas;</w:t>
      </w:r>
    </w:p>
    <w:p w:rsidR="00122C00" w:rsidRPr="00A23D3E" w:rsidRDefault="00122C00" w:rsidP="00122C00">
      <w:pPr>
        <w:widowControl w:val="0"/>
        <w:numPr>
          <w:ilvl w:val="0"/>
          <w:numId w:val="4"/>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skrandžio pilnumo pojūtis;</w:t>
      </w:r>
    </w:p>
    <w:p w:rsidR="00122C00" w:rsidRPr="00A23D3E" w:rsidRDefault="00122C00" w:rsidP="00122C00">
      <w:pPr>
        <w:widowControl w:val="0"/>
        <w:numPr>
          <w:ilvl w:val="0"/>
          <w:numId w:val="4"/>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riebios išmatos;</w:t>
      </w:r>
    </w:p>
    <w:p w:rsidR="00122C00" w:rsidRPr="00A23D3E" w:rsidRDefault="00122C00" w:rsidP="00122C00">
      <w:pPr>
        <w:widowControl w:val="0"/>
        <w:numPr>
          <w:ilvl w:val="0"/>
          <w:numId w:val="4"/>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laisvi viduriai;</w:t>
      </w:r>
    </w:p>
    <w:p w:rsidR="00122C00" w:rsidRPr="00A23D3E" w:rsidRDefault="00122C00" w:rsidP="00122C00">
      <w:pPr>
        <w:widowControl w:val="0"/>
        <w:numPr>
          <w:ilvl w:val="0"/>
          <w:numId w:val="4"/>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lastRenderedPageBreak/>
        <w:t>išmatų spalvos pakitimas;</w:t>
      </w:r>
    </w:p>
    <w:p w:rsidR="00122C00" w:rsidRPr="00A23D3E" w:rsidRDefault="00122C00" w:rsidP="00122C00">
      <w:pPr>
        <w:widowControl w:val="0"/>
        <w:numPr>
          <w:ilvl w:val="0"/>
          <w:numId w:val="4"/>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galvos sukimasis;</w:t>
      </w:r>
    </w:p>
    <w:p w:rsidR="00122C00" w:rsidRPr="00A23D3E" w:rsidRDefault="00122C00" w:rsidP="00122C00">
      <w:pPr>
        <w:widowControl w:val="0"/>
        <w:numPr>
          <w:ilvl w:val="0"/>
          <w:numId w:val="4"/>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apetito nebuvimas;</w:t>
      </w:r>
    </w:p>
    <w:p w:rsidR="00122C00" w:rsidRPr="00A23D3E" w:rsidRDefault="00122C00" w:rsidP="00122C00">
      <w:pPr>
        <w:widowControl w:val="0"/>
        <w:numPr>
          <w:ilvl w:val="0"/>
          <w:numId w:val="4"/>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kepenų funkcijos tyrimų rodmenų pokyčiai;</w:t>
      </w:r>
    </w:p>
    <w:p w:rsidR="00122C00" w:rsidRPr="00A23D3E" w:rsidRDefault="00122C00" w:rsidP="00122C00">
      <w:pPr>
        <w:widowControl w:val="0"/>
        <w:numPr>
          <w:ilvl w:val="0"/>
          <w:numId w:val="4"/>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nuplikimas;</w:t>
      </w:r>
    </w:p>
    <w:p w:rsidR="00122C00" w:rsidRPr="00A23D3E" w:rsidRDefault="00122C00" w:rsidP="00122C00">
      <w:pPr>
        <w:widowControl w:val="0"/>
        <w:numPr>
          <w:ilvl w:val="0"/>
          <w:numId w:val="4"/>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dusulys;</w:t>
      </w:r>
    </w:p>
    <w:p w:rsidR="00122C00" w:rsidRPr="00A23D3E" w:rsidRDefault="00122C00" w:rsidP="00122C00">
      <w:pPr>
        <w:widowControl w:val="0"/>
        <w:numPr>
          <w:ilvl w:val="0"/>
          <w:numId w:val="4"/>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silpnumas.</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Jeigu Jums pasireiškė bet kuris iš anksčiau nurodytų šalutinių poveikių, apie tai pasakykite gydytojui, slaugytojui arba vaistininkui.</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p>
    <w:p w:rsidR="00122C00" w:rsidRPr="00A23D3E" w:rsidRDefault="00122C00" w:rsidP="00122C00">
      <w:pPr>
        <w:keepNext/>
        <w:widowControl w:val="0"/>
        <w:numPr>
          <w:ilvl w:val="12"/>
          <w:numId w:val="0"/>
        </w:numPr>
        <w:spacing w:after="0" w:line="240" w:lineRule="auto"/>
        <w:rPr>
          <w:rFonts w:ascii="Times New Roman" w:eastAsia="Calibri" w:hAnsi="Times New Roman" w:cs="Times New Roman"/>
          <w:b/>
          <w:lang w:val="en-US"/>
        </w:rPr>
      </w:pPr>
      <w:r w:rsidRPr="00A23D3E">
        <w:rPr>
          <w:rFonts w:ascii="Times New Roman" w:eastAsia="Calibri" w:hAnsi="Times New Roman" w:cs="Times New Roman"/>
          <w:b/>
          <w:lang w:val="en-US"/>
        </w:rPr>
        <w:t>Pranešimas apie šalutinį poveikį</w:t>
      </w:r>
    </w:p>
    <w:p w:rsidR="00122C00" w:rsidRPr="00A23D3E" w:rsidRDefault="00122C00" w:rsidP="00122C00">
      <w:pPr>
        <w:tabs>
          <w:tab w:val="left" w:pos="567"/>
        </w:tabs>
        <w:spacing w:after="0" w:line="260" w:lineRule="exact"/>
        <w:ind w:right="49"/>
        <w:rPr>
          <w:rFonts w:ascii="Times New Roman" w:eastAsia="Calibri" w:hAnsi="Times New Roman" w:cs="Times New Roman"/>
        </w:rPr>
      </w:pPr>
      <w:r w:rsidRPr="00A23D3E">
        <w:rPr>
          <w:rFonts w:ascii="Times New Roman" w:eastAsia="Calibri" w:hAnsi="Times New Roman" w:cs="Times New Roman"/>
        </w:rPr>
        <w:t xml:space="preserve">Jeigu pasireiškė šalutinis poveikis, įskaitant šiame lapelyje nenurodytą, pasakykite gydytojui, vaistininkui arba slaugytojui. </w:t>
      </w:r>
      <w:r w:rsidRPr="005E2DD4">
        <w:rPr>
          <w:rFonts w:ascii="Times New Roman" w:eastAsia="Calibri" w:hAnsi="Times New Roman" w:cs="Times New Roman"/>
        </w:rPr>
        <w:t xml:space="preserve">Pranešimą apie šalutinį poveikį galite </w:t>
      </w:r>
      <w:r>
        <w:rPr>
          <w:rFonts w:ascii="Times New Roman" w:eastAsia="Calibri" w:hAnsi="Times New Roman" w:cs="Times New Roman"/>
        </w:rPr>
        <w:t xml:space="preserve">užpildyti ir </w:t>
      </w:r>
      <w:r w:rsidRPr="005E2DD4">
        <w:rPr>
          <w:rFonts w:ascii="Times New Roman" w:eastAsia="Calibri" w:hAnsi="Times New Roman" w:cs="Times New Roman"/>
        </w:rPr>
        <w:t xml:space="preserve">pateikti Valstybinės vaistų kontrolės tarnybos prie Lietuvos Respublikos sveikatos apsaugos ministerijos </w:t>
      </w:r>
      <w:r w:rsidRPr="00AA274C">
        <w:rPr>
          <w:rFonts w:ascii="Times New Roman" w:eastAsia="Calibri" w:hAnsi="Times New Roman" w:cs="Times New Roman"/>
        </w:rPr>
        <w:t xml:space="preserve">tinklalapyje </w:t>
      </w:r>
      <w:r w:rsidRPr="00E157A8">
        <w:rPr>
          <w:rFonts w:ascii="Times New Roman" w:hAnsi="Times New Roman"/>
        </w:rPr>
        <w:t>https://vvkt.</w:t>
      </w:r>
      <w:r w:rsidRPr="00AA274C">
        <w:rPr>
          <w:rFonts w:ascii="Times New Roman" w:eastAsia="Calibri" w:hAnsi="Times New Roman" w:cs="Times New Roman"/>
        </w:rPr>
        <w:t>lrv.</w:t>
      </w:r>
      <w:r w:rsidRPr="00E157A8">
        <w:rPr>
          <w:rFonts w:ascii="Times New Roman" w:hAnsi="Times New Roman"/>
        </w:rPr>
        <w:t>lt/</w:t>
      </w:r>
      <w:r w:rsidRPr="00AA274C">
        <w:rPr>
          <w:rFonts w:ascii="Times New Roman" w:eastAsia="Calibri" w:hAnsi="Times New Roman" w:cs="Times New Roman"/>
        </w:rPr>
        <w:t>lt/ nurodytais būdais arba paskambint</w:t>
      </w:r>
      <w:r>
        <w:rPr>
          <w:rFonts w:ascii="Times New Roman" w:eastAsia="Calibri" w:hAnsi="Times New Roman" w:cs="Times New Roman"/>
        </w:rPr>
        <w:t xml:space="preserve">i </w:t>
      </w:r>
      <w:r w:rsidRPr="005E2DD4">
        <w:rPr>
          <w:rFonts w:ascii="Times New Roman" w:eastAsia="Calibri" w:hAnsi="Times New Roman" w:cs="Times New Roman"/>
        </w:rPr>
        <w:t>nemokamu telefonu 8 800 73 568. Pranešdami apie šalutinį poveikį galite mums padėti gauti daugiau informacijos apie šio vaisto saugumą.</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p>
    <w:p w:rsidR="00122C00" w:rsidRPr="00A23D3E" w:rsidRDefault="00122C00" w:rsidP="00122C00">
      <w:pPr>
        <w:keepNext/>
        <w:widowControl w:val="0"/>
        <w:numPr>
          <w:ilvl w:val="12"/>
          <w:numId w:val="0"/>
        </w:numPr>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b/>
          <w:lang w:val="en-US"/>
        </w:rPr>
        <w:t>5.</w:t>
      </w:r>
      <w:r w:rsidRPr="00A23D3E">
        <w:rPr>
          <w:rFonts w:ascii="Times New Roman" w:eastAsia="Calibri" w:hAnsi="Times New Roman" w:cs="Times New Roman"/>
          <w:b/>
          <w:lang w:val="en-US"/>
        </w:rPr>
        <w:tab/>
        <w:t>Kaip laikyti Sandostatin LAR</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Šį vaistą laikykite vaikams nepastebimoje ir nepasiekiamoje vietoje.</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Laikyti išorinėje dėžutėje, kad vaistas būtų apsaugotas nuo šviesos.</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Laikyti šaldytuve (2 </w:t>
      </w:r>
      <w:r w:rsidRPr="00A23D3E">
        <w:rPr>
          <w:rFonts w:ascii="Times New Roman" w:eastAsia="Times New Roman" w:hAnsi="Times New Roman" w:cs="Times New Roman"/>
          <w:noProof/>
          <w:lang w:val="en-GB"/>
        </w:rPr>
        <w:sym w:font="Symbol" w:char="F0B0"/>
      </w:r>
      <w:r w:rsidRPr="00A23D3E">
        <w:rPr>
          <w:rFonts w:ascii="Times New Roman" w:eastAsia="Calibri" w:hAnsi="Times New Roman" w:cs="Times New Roman"/>
          <w:lang w:val="en-US"/>
        </w:rPr>
        <w:t>C–8 </w:t>
      </w:r>
      <w:r w:rsidRPr="00A23D3E">
        <w:rPr>
          <w:rFonts w:ascii="Times New Roman" w:eastAsia="Times New Roman" w:hAnsi="Times New Roman" w:cs="Times New Roman"/>
          <w:noProof/>
          <w:lang w:val="en-GB"/>
        </w:rPr>
        <w:sym w:font="Symbol" w:char="F0B0"/>
      </w:r>
      <w:r w:rsidRPr="00A23D3E">
        <w:rPr>
          <w:rFonts w:ascii="Times New Roman" w:eastAsia="Calibri" w:hAnsi="Times New Roman" w:cs="Times New Roman"/>
          <w:lang w:val="en-US"/>
        </w:rPr>
        <w:t>C). Negalima užšaldyti.</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Injekcijos dieną Sandostatin LAR galima laikyti ne aukštesnėje kaip 25 ºC temperatūroje.</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Times New Roman" w:hAnsi="Times New Roman" w:cs="Times New Roman"/>
          <w:noProof/>
          <w:lang w:val="it-IT"/>
        </w:rPr>
        <w:t>Paruoštą Sandostatin LAR suspensiją vartoti nedelsiant.</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Ant dėžutės ir etiketės po „EXP“ nurodytam tinkamumo laikui pasibaigus, šio vaisto vartoti negalima. Vaistas tinkamas vartoti iki paskutinės nurodyto mėnesio dienos.</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Pastebėjus dalelių arba spalvos pokyčių, šio vaisto vartoti negalima.</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Vaistų negalima išmesti į kanalizaciją arba su buitinėmis atliekomis. Kaip išmesti nereikalingus vaistus, klauskite vaistininko. Šios priemonės padės apsaugoti aplinką.</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it-IT"/>
        </w:rPr>
      </w:pPr>
    </w:p>
    <w:p w:rsidR="00122C00" w:rsidRPr="00A23D3E" w:rsidRDefault="00122C00" w:rsidP="00122C00">
      <w:pPr>
        <w:keepNext/>
        <w:widowControl w:val="0"/>
        <w:numPr>
          <w:ilvl w:val="12"/>
          <w:numId w:val="0"/>
        </w:numPr>
        <w:spacing w:after="0" w:line="240" w:lineRule="auto"/>
        <w:ind w:left="567" w:hanging="567"/>
        <w:rPr>
          <w:rFonts w:ascii="Times New Roman" w:eastAsia="Calibri" w:hAnsi="Times New Roman" w:cs="Times New Roman"/>
          <w:b/>
          <w:lang w:val="es-ES"/>
        </w:rPr>
      </w:pPr>
      <w:r w:rsidRPr="00A23D3E">
        <w:rPr>
          <w:rFonts w:ascii="Times New Roman" w:eastAsia="Calibri" w:hAnsi="Times New Roman" w:cs="Times New Roman"/>
          <w:b/>
          <w:lang w:val="es-ES"/>
        </w:rPr>
        <w:t>6.</w:t>
      </w:r>
      <w:r w:rsidRPr="00A23D3E">
        <w:rPr>
          <w:rFonts w:ascii="Times New Roman" w:eastAsia="Calibri" w:hAnsi="Times New Roman" w:cs="Times New Roman"/>
          <w:b/>
          <w:lang w:val="es-ES"/>
        </w:rPr>
        <w:tab/>
        <w:t>Pakuotės turinys ir kita informacija</w:t>
      </w:r>
    </w:p>
    <w:p w:rsidR="00122C00" w:rsidRPr="00A23D3E" w:rsidRDefault="00122C00" w:rsidP="00122C00">
      <w:pPr>
        <w:keepNext/>
        <w:widowControl w:val="0"/>
        <w:numPr>
          <w:ilvl w:val="12"/>
          <w:numId w:val="0"/>
        </w:numPr>
        <w:spacing w:after="0" w:line="240" w:lineRule="auto"/>
        <w:rPr>
          <w:rFonts w:ascii="Times New Roman" w:eastAsia="Calibri" w:hAnsi="Times New Roman" w:cs="Times New Roman"/>
          <w:lang w:val="es-ES"/>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b/>
          <w:lang w:val="es-ES"/>
        </w:rPr>
      </w:pPr>
      <w:r w:rsidRPr="00A23D3E">
        <w:rPr>
          <w:rFonts w:ascii="Times New Roman" w:eastAsia="Calibri" w:hAnsi="Times New Roman" w:cs="Times New Roman"/>
          <w:b/>
          <w:lang w:val="es-ES"/>
        </w:rPr>
        <w:t>Sandostatin LAR sudėtis</w:t>
      </w:r>
    </w:p>
    <w:p w:rsidR="00122C00" w:rsidRPr="00A23D3E" w:rsidRDefault="00122C00" w:rsidP="00122C00">
      <w:pPr>
        <w:widowControl w:val="0"/>
        <w:numPr>
          <w:ilvl w:val="0"/>
          <w:numId w:val="1"/>
        </w:numPr>
        <w:spacing w:after="0" w:line="240" w:lineRule="auto"/>
        <w:ind w:left="567" w:right="-2" w:hanging="567"/>
        <w:rPr>
          <w:rFonts w:ascii="Times New Roman" w:eastAsia="Calibri" w:hAnsi="Times New Roman" w:cs="Times New Roman"/>
          <w:lang w:val="es-ES"/>
        </w:rPr>
      </w:pPr>
      <w:r w:rsidRPr="00A23D3E">
        <w:rPr>
          <w:rFonts w:ascii="Times New Roman" w:eastAsia="Calibri" w:hAnsi="Times New Roman" w:cs="Times New Roman"/>
          <w:lang w:val="es-ES"/>
        </w:rPr>
        <w:t>Veiklioji (-sios) medžiaga (</w:t>
      </w:r>
      <w:r w:rsidRPr="00A23D3E">
        <w:rPr>
          <w:rFonts w:ascii="Times New Roman" w:eastAsia="Calibri" w:hAnsi="Times New Roman" w:cs="Times New Roman"/>
          <w:lang w:val="es-ES"/>
        </w:rPr>
        <w:noBreakHyphen/>
        <w:t>os) yra</w:t>
      </w:r>
      <w:r w:rsidRPr="00A23D3E">
        <w:rPr>
          <w:rFonts w:ascii="Times New Roman" w:eastAsia="Times New Roman" w:hAnsi="Times New Roman" w:cs="Times New Roman"/>
          <w:noProof/>
          <w:lang w:val="es-ES" w:eastAsia="x-none"/>
        </w:rPr>
        <w:t xml:space="preserve"> oktreotidas (oktreotido acetato pavidalu). </w:t>
      </w:r>
    </w:p>
    <w:p w:rsidR="00122C00" w:rsidRPr="00A23D3E" w:rsidRDefault="00122C00" w:rsidP="00122C00">
      <w:pPr>
        <w:widowControl w:val="0"/>
        <w:spacing w:after="0" w:line="240" w:lineRule="auto"/>
        <w:ind w:left="567" w:right="-2"/>
        <w:rPr>
          <w:rFonts w:ascii="Times New Roman" w:eastAsia="Calibri" w:hAnsi="Times New Roman" w:cs="Times New Roman"/>
          <w:lang w:val="es-ES"/>
        </w:rPr>
      </w:pPr>
      <w:r w:rsidRPr="00A23D3E">
        <w:rPr>
          <w:rFonts w:ascii="Times New Roman" w:eastAsia="Calibri" w:hAnsi="Times New Roman" w:cs="Times New Roman"/>
          <w:lang w:val="es-ES"/>
        </w:rPr>
        <w:t>Kiekviename flakone yra 10 mg, 20 mg arba 30 mg oktreotido (oktreotido acetato pavidalu).</w:t>
      </w:r>
    </w:p>
    <w:p w:rsidR="00122C00" w:rsidRPr="00A23D3E" w:rsidRDefault="00122C00" w:rsidP="00122C00">
      <w:pPr>
        <w:widowControl w:val="0"/>
        <w:numPr>
          <w:ilvl w:val="0"/>
          <w:numId w:val="1"/>
        </w:numPr>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Pagalbinės medžiagos yra:</w:t>
      </w:r>
    </w:p>
    <w:p w:rsidR="00122C00" w:rsidRPr="00A23D3E" w:rsidRDefault="00122C00" w:rsidP="00122C00">
      <w:pPr>
        <w:widowControl w:val="0"/>
        <w:spacing w:after="0" w:line="240" w:lineRule="auto"/>
        <w:ind w:left="567" w:right="-2"/>
        <w:rPr>
          <w:rFonts w:ascii="Times New Roman" w:eastAsia="Calibri" w:hAnsi="Times New Roman" w:cs="Times New Roman"/>
          <w:lang w:val="it-IT"/>
        </w:rPr>
      </w:pPr>
      <w:r w:rsidRPr="00A23D3E">
        <w:rPr>
          <w:rFonts w:ascii="Times New Roman" w:eastAsia="Calibri" w:hAnsi="Times New Roman" w:cs="Times New Roman"/>
          <w:lang w:val="it-IT"/>
        </w:rPr>
        <w:t>milteliai (flakone): poli (DL</w:t>
      </w:r>
      <w:r w:rsidRPr="00A23D3E">
        <w:rPr>
          <w:rFonts w:ascii="Times New Roman" w:eastAsia="Calibri" w:hAnsi="Times New Roman" w:cs="Times New Roman"/>
          <w:lang w:val="it-IT"/>
        </w:rPr>
        <w:noBreakHyphen/>
        <w:t>laktido</w:t>
      </w:r>
      <w:r w:rsidRPr="00A23D3E">
        <w:rPr>
          <w:rFonts w:ascii="Times New Roman" w:eastAsia="Calibri" w:hAnsi="Times New Roman" w:cs="Times New Roman"/>
          <w:lang w:val="it-IT"/>
        </w:rPr>
        <w:noBreakHyphen/>
        <w:t xml:space="preserve">glikolido kopolimeras), manitolis </w:t>
      </w:r>
      <w:r w:rsidRPr="00A23D3E">
        <w:rPr>
          <w:rFonts w:ascii="Times New Roman" w:eastAsia="Times New Roman" w:hAnsi="Times New Roman" w:cs="Times New Roman"/>
          <w:noProof/>
          <w:lang w:val="it-IT" w:eastAsia="x-none"/>
        </w:rPr>
        <w:t>(E421)</w:t>
      </w:r>
      <w:r w:rsidRPr="00A23D3E">
        <w:rPr>
          <w:rFonts w:ascii="Times New Roman" w:eastAsia="Calibri" w:hAnsi="Times New Roman" w:cs="Times New Roman"/>
          <w:lang w:val="it-IT"/>
        </w:rPr>
        <w:t xml:space="preserve">. </w:t>
      </w:r>
    </w:p>
    <w:p w:rsidR="00122C00" w:rsidRPr="00A23D3E" w:rsidRDefault="00122C00" w:rsidP="00122C00">
      <w:pPr>
        <w:widowControl w:val="0"/>
        <w:spacing w:after="0" w:line="240" w:lineRule="auto"/>
        <w:ind w:left="567" w:right="-2"/>
        <w:rPr>
          <w:rFonts w:ascii="Times New Roman" w:eastAsia="Calibri" w:hAnsi="Times New Roman" w:cs="Times New Roman"/>
          <w:lang w:val="it-IT"/>
        </w:rPr>
      </w:pPr>
      <w:r w:rsidRPr="00A23D3E">
        <w:rPr>
          <w:rFonts w:ascii="Times New Roman" w:eastAsia="Calibri" w:hAnsi="Times New Roman" w:cs="Times New Roman"/>
          <w:lang w:val="it-IT"/>
        </w:rPr>
        <w:t>tirpiklis (užpildytame švirkšte): karmeliozės natrio druska, manitolis (E421), poloksameras 188, injekcinis vanduo.</w:t>
      </w:r>
    </w:p>
    <w:p w:rsidR="00122C00" w:rsidRPr="00A23D3E" w:rsidRDefault="00122C00" w:rsidP="00122C00">
      <w:pPr>
        <w:widowControl w:val="0"/>
        <w:spacing w:after="0" w:line="240" w:lineRule="auto"/>
        <w:ind w:right="-2"/>
        <w:rPr>
          <w:rFonts w:ascii="Times New Roman" w:eastAsia="Calibri" w:hAnsi="Times New Roman" w:cs="Times New Roman"/>
          <w:lang w:val="it-IT"/>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b/>
          <w:lang w:val="es-ES"/>
        </w:rPr>
      </w:pPr>
      <w:r w:rsidRPr="00A23D3E">
        <w:rPr>
          <w:rFonts w:ascii="Times New Roman" w:eastAsia="Calibri" w:hAnsi="Times New Roman" w:cs="Times New Roman"/>
          <w:b/>
          <w:lang w:val="es-ES"/>
        </w:rPr>
        <w:t>Sandostatin LAR išvaizda ir kiekis pakuotėje</w:t>
      </w:r>
    </w:p>
    <w:p w:rsidR="00122C00" w:rsidRPr="00A23D3E" w:rsidRDefault="00122C00" w:rsidP="00122C00">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Vienetinėje pakuotėje yra vienas 6 ml talpos stiklo flakonas su guminiu kamščiu (bromobutilo guma) uždengtu aliumininiu nuimamu dangteliu, kuriame yra milteliai injekcinei suspensijai ir vienas 3 ml talpos bespalvis užpildytas stiklo švirkštas, užkimštas priekiniu ir stūmoklio kamščiu (chlorobutilo guma), kuriame yra 2 ml tirpiklio, supakuotas bendrame sandariame lizdinės plokštelės dėkle, kuriame yra vienas flakono adapteris ir viena saugi injekcinė adata.</w:t>
      </w:r>
    </w:p>
    <w:p w:rsidR="00122C00" w:rsidRPr="00A23D3E" w:rsidRDefault="00122C00" w:rsidP="00122C00">
      <w:pPr>
        <w:tabs>
          <w:tab w:val="left" w:pos="567"/>
        </w:tabs>
        <w:spacing w:after="0" w:line="240" w:lineRule="auto"/>
        <w:rPr>
          <w:rFonts w:ascii="Times New Roman" w:eastAsia="Calibri" w:hAnsi="Times New Roman" w:cs="Times New Roman"/>
          <w:lang w:val="es-ES"/>
        </w:rPr>
      </w:pPr>
    </w:p>
    <w:p w:rsidR="00122C00" w:rsidRPr="00A23D3E" w:rsidRDefault="00122C00" w:rsidP="00122C00">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 xml:space="preserve">Sudėtinės pakuotės, kuriose yra po tris vienetines pakuotes, kurių kiekvieną sudaro: vienas 6 ml talpos stiklo flakonas su guminiu kamščiu (bromobutilo guma), uždengtu aliumininiu nuimamu dangteliu, kuriame yra milteliai injekcinei suspensijai ir vienas 3 ml talpos bespalvis užpildytas stiklo švirkštas, </w:t>
      </w:r>
      <w:r w:rsidRPr="00A23D3E">
        <w:rPr>
          <w:rFonts w:ascii="Times New Roman" w:eastAsia="Calibri" w:hAnsi="Times New Roman" w:cs="Times New Roman"/>
          <w:lang w:val="es-ES"/>
        </w:rPr>
        <w:lastRenderedPageBreak/>
        <w:t>užkimštas priekiniu ir stūmoklio kamščiu (chlorobutilo guma), kuriame yra 2 ml tirpiklio, supakuotas bendrame sandariame lizdinės plokštelės dėkle, kuriame yra vienas flakono adapteris ir viena saugi injekcinė adata.</w:t>
      </w:r>
    </w:p>
    <w:p w:rsidR="00122C00" w:rsidRPr="00A23D3E" w:rsidRDefault="00122C00" w:rsidP="00122C00">
      <w:pPr>
        <w:tabs>
          <w:tab w:val="left" w:pos="567"/>
        </w:tabs>
        <w:spacing w:after="0" w:line="240" w:lineRule="auto"/>
        <w:rPr>
          <w:rFonts w:ascii="Times New Roman" w:eastAsia="Calibri" w:hAnsi="Times New Roman" w:cs="Times New Roman"/>
          <w:lang w:val="es-ES"/>
        </w:rPr>
      </w:pPr>
    </w:p>
    <w:p w:rsidR="00122C00" w:rsidRPr="00A23D3E" w:rsidRDefault="00122C00" w:rsidP="00122C00">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Gali būti tiekiamos ne visų stiprumų ir dydžių pakuotės.</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u w:val="single"/>
          <w:lang w:val="it-IT"/>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b/>
          <w:lang w:val="es-ES"/>
        </w:rPr>
      </w:pPr>
      <w:r w:rsidRPr="00A23D3E">
        <w:rPr>
          <w:rFonts w:ascii="Times New Roman" w:eastAsia="Calibri" w:hAnsi="Times New Roman" w:cs="Times New Roman"/>
          <w:b/>
          <w:lang w:val="es-ES"/>
        </w:rPr>
        <w:t>Registruotojas</w:t>
      </w:r>
    </w:p>
    <w:p w:rsidR="00122C00" w:rsidRPr="00A23D3E" w:rsidRDefault="00122C00" w:rsidP="00122C00">
      <w:pPr>
        <w:tabs>
          <w:tab w:val="left" w:pos="567"/>
        </w:tabs>
        <w:spacing w:after="0" w:line="240" w:lineRule="auto"/>
        <w:ind w:left="567" w:hanging="567"/>
        <w:rPr>
          <w:rFonts w:ascii="Times New Roman" w:eastAsia="Times New Roman" w:hAnsi="Times New Roman" w:cs="Times New Roman"/>
          <w:lang w:val="es-ES"/>
        </w:rPr>
      </w:pPr>
      <w:r w:rsidRPr="00A23D3E">
        <w:rPr>
          <w:rFonts w:ascii="Times New Roman" w:eastAsia="Times New Roman" w:hAnsi="Times New Roman" w:cs="Times New Roman"/>
          <w:lang w:val="es-ES"/>
        </w:rPr>
        <w:t>SIA Novartis Baltics</w:t>
      </w:r>
    </w:p>
    <w:p w:rsidR="00122C00" w:rsidRPr="00A23D3E" w:rsidRDefault="00122C00" w:rsidP="00122C00">
      <w:pPr>
        <w:tabs>
          <w:tab w:val="left" w:pos="567"/>
        </w:tabs>
        <w:spacing w:after="0" w:line="240" w:lineRule="auto"/>
        <w:ind w:left="567" w:hanging="567"/>
        <w:rPr>
          <w:rFonts w:ascii="Times New Roman" w:eastAsia="Times New Roman" w:hAnsi="Times New Roman" w:cs="Times New Roman"/>
          <w:lang w:val="es-ES"/>
        </w:rPr>
      </w:pPr>
      <w:r w:rsidRPr="002B040E">
        <w:rPr>
          <w:rFonts w:ascii="Times New Roman" w:eastAsia="Times New Roman" w:hAnsi="Times New Roman" w:cs="Times New Roman"/>
          <w:lang w:val="es-ES"/>
        </w:rPr>
        <w:t>Skanstes iela 25</w:t>
      </w:r>
    </w:p>
    <w:p w:rsidR="00122C00" w:rsidRPr="00A23D3E" w:rsidRDefault="00122C00" w:rsidP="00122C00">
      <w:pPr>
        <w:tabs>
          <w:tab w:val="left" w:pos="567"/>
        </w:tabs>
        <w:spacing w:after="0" w:line="240" w:lineRule="auto"/>
        <w:ind w:left="567" w:hanging="567"/>
        <w:rPr>
          <w:rFonts w:ascii="Times New Roman" w:eastAsia="Times New Roman" w:hAnsi="Times New Roman" w:cs="Times New Roman"/>
          <w:lang w:val="es-ES"/>
        </w:rPr>
      </w:pPr>
      <w:r w:rsidRPr="00A23D3E">
        <w:rPr>
          <w:rFonts w:ascii="Times New Roman" w:eastAsia="Times New Roman" w:hAnsi="Times New Roman" w:cs="Times New Roman"/>
          <w:lang w:val="es-ES"/>
        </w:rPr>
        <w:t>LV</w:t>
      </w:r>
      <w:r w:rsidRPr="00A23D3E">
        <w:rPr>
          <w:rFonts w:ascii="Times New Roman" w:eastAsia="Times New Roman" w:hAnsi="Times New Roman" w:cs="Times New Roman"/>
          <w:lang w:val="es-ES"/>
        </w:rPr>
        <w:noBreakHyphen/>
      </w:r>
      <w:r>
        <w:rPr>
          <w:rFonts w:ascii="Times New Roman" w:eastAsia="Times New Roman" w:hAnsi="Times New Roman" w:cs="Times New Roman"/>
          <w:lang w:val="es-ES"/>
        </w:rPr>
        <w:t>1013</w:t>
      </w:r>
      <w:r w:rsidRPr="00A23D3E">
        <w:rPr>
          <w:rFonts w:ascii="Times New Roman" w:eastAsia="Times New Roman" w:hAnsi="Times New Roman" w:cs="Times New Roman"/>
          <w:lang w:val="es-ES"/>
        </w:rPr>
        <w:t>, Rīga</w:t>
      </w:r>
    </w:p>
    <w:p w:rsidR="00122C00" w:rsidRPr="00A23D3E" w:rsidRDefault="00122C00" w:rsidP="00122C00">
      <w:pPr>
        <w:tabs>
          <w:tab w:val="left" w:pos="567"/>
        </w:tabs>
        <w:spacing w:after="0" w:line="240" w:lineRule="auto"/>
        <w:ind w:left="567" w:hanging="567"/>
        <w:rPr>
          <w:rFonts w:ascii="Times New Roman" w:eastAsia="Times New Roman" w:hAnsi="Times New Roman" w:cs="Times New Roman"/>
          <w:lang w:val="es-ES"/>
        </w:rPr>
      </w:pPr>
      <w:r w:rsidRPr="00A23D3E">
        <w:rPr>
          <w:rFonts w:ascii="Times New Roman" w:eastAsia="Times New Roman" w:hAnsi="Times New Roman" w:cs="Times New Roman"/>
          <w:lang w:val="es-ES"/>
        </w:rPr>
        <w:t>Latvija</w:t>
      </w:r>
    </w:p>
    <w:p w:rsidR="00122C00" w:rsidRPr="00A23D3E" w:rsidRDefault="00122C00" w:rsidP="00122C00">
      <w:pPr>
        <w:tabs>
          <w:tab w:val="left" w:pos="567"/>
        </w:tabs>
        <w:spacing w:after="0" w:line="240" w:lineRule="auto"/>
        <w:ind w:left="567" w:hanging="567"/>
        <w:rPr>
          <w:rFonts w:ascii="Times New Roman" w:eastAsia="Times New Roman" w:hAnsi="Times New Roman" w:cs="Times New Roman"/>
          <w:b/>
          <w:lang w:val="es-ES"/>
        </w:rPr>
      </w:pPr>
    </w:p>
    <w:p w:rsidR="00122C00" w:rsidRPr="00A23D3E" w:rsidRDefault="00122C00" w:rsidP="00122C00">
      <w:pPr>
        <w:tabs>
          <w:tab w:val="left" w:pos="567"/>
        </w:tabs>
        <w:spacing w:after="0" w:line="240" w:lineRule="auto"/>
        <w:ind w:left="567" w:hanging="567"/>
        <w:rPr>
          <w:rFonts w:ascii="Times New Roman" w:eastAsia="Times New Roman" w:hAnsi="Times New Roman" w:cs="Times New Roman"/>
          <w:b/>
          <w:lang w:val="es-ES"/>
        </w:rPr>
      </w:pPr>
      <w:r w:rsidRPr="00A23D3E">
        <w:rPr>
          <w:rFonts w:ascii="Times New Roman" w:eastAsia="Times New Roman" w:hAnsi="Times New Roman" w:cs="Times New Roman"/>
          <w:b/>
          <w:lang w:val="es-ES"/>
        </w:rPr>
        <w:t>Gamintojas</w:t>
      </w:r>
    </w:p>
    <w:p w:rsidR="00122C00" w:rsidRPr="00A23D3E" w:rsidRDefault="00122C00" w:rsidP="00122C00">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 xml:space="preserve">Novartis Pharma GmbH </w:t>
      </w:r>
    </w:p>
    <w:p w:rsidR="00122C00" w:rsidRPr="00A23D3E" w:rsidRDefault="00122C00" w:rsidP="00122C00">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Roonstrasse 25</w:t>
      </w:r>
    </w:p>
    <w:p w:rsidR="00122C00" w:rsidRPr="00A23D3E" w:rsidRDefault="00122C00" w:rsidP="00122C00">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 xml:space="preserve">90429 Nürnberg </w:t>
      </w:r>
    </w:p>
    <w:p w:rsidR="00122C00" w:rsidRPr="00A23D3E" w:rsidRDefault="00122C00" w:rsidP="00122C00">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Vokietija</w:t>
      </w:r>
    </w:p>
    <w:p w:rsidR="00122C00" w:rsidRPr="00A23D3E" w:rsidRDefault="00122C00" w:rsidP="00122C00">
      <w:pPr>
        <w:tabs>
          <w:tab w:val="left" w:pos="567"/>
        </w:tabs>
        <w:spacing w:after="0" w:line="240" w:lineRule="auto"/>
        <w:rPr>
          <w:rFonts w:ascii="Times New Roman" w:eastAsia="Times New Roman" w:hAnsi="Times New Roman" w:cs="Times New Roman"/>
          <w:lang w:val="es-ES"/>
        </w:rPr>
      </w:pPr>
    </w:p>
    <w:p w:rsidR="00122C00" w:rsidRPr="00A23D3E" w:rsidRDefault="00122C00" w:rsidP="00122C00">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arba</w:t>
      </w:r>
    </w:p>
    <w:p w:rsidR="00122C00" w:rsidRPr="00A23D3E" w:rsidRDefault="00122C00" w:rsidP="00122C00">
      <w:pPr>
        <w:tabs>
          <w:tab w:val="left" w:pos="567"/>
        </w:tabs>
        <w:spacing w:after="0" w:line="240" w:lineRule="auto"/>
        <w:rPr>
          <w:rFonts w:ascii="Times New Roman" w:eastAsia="Times New Roman" w:hAnsi="Times New Roman" w:cs="Times New Roman"/>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Pharma GmbH</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Jakov-Lind-Straße 5, Top 3.051020 Wien</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Austrija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Pharma NV</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Medialaan 40 Bus 1</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Vilvoorde, B-1800</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Belgija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Healthcare A/S</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Edvard Thomsens Vej 14</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København S, 2300</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Danija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Finland Oy</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Metsäneidonkuja 10</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Espoo, FI-02130</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Suomija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Pharma SAS</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8-10 rue Henri Sainte-Claire Deville</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92500 Rueil Malmaison</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Prancūzija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(HELLAS) SA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12th km National Road Athinon-Lamias</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Metamorfosi Attiki, 14451</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lastRenderedPageBreak/>
        <w:t>Graikija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Hungary Ltd.</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Vasύt u.13.</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Budaörs, 2040</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Vengrija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Farma S.p.A.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Via Provinciale Schito 131</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80058 Torre Annunziata (NA)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Italija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Farma S.p.A.</w:t>
      </w:r>
    </w:p>
    <w:p w:rsidR="00122C00" w:rsidRPr="00E62CBE"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E62CBE">
        <w:rPr>
          <w:rFonts w:ascii="Times New Roman" w:eastAsia="Times New Roman" w:hAnsi="Times New Roman" w:cs="Times New Roman"/>
          <w:highlight w:val="lightGray"/>
          <w:lang w:val="es-ES"/>
        </w:rPr>
        <w:t>Viale Luigi Sturzo 43</w:t>
      </w:r>
    </w:p>
    <w:p w:rsidR="00122C00" w:rsidRPr="004E2135" w:rsidRDefault="00122C00" w:rsidP="00122C00">
      <w:pPr>
        <w:tabs>
          <w:tab w:val="left" w:pos="567"/>
        </w:tabs>
        <w:spacing w:after="0" w:line="240" w:lineRule="auto"/>
        <w:rPr>
          <w:rFonts w:ascii="Times New Roman" w:hAnsi="Times New Roman"/>
          <w:lang w:val="es-ES"/>
        </w:rPr>
      </w:pPr>
      <w:r w:rsidRPr="00E62CBE">
        <w:rPr>
          <w:rFonts w:ascii="Times New Roman" w:eastAsia="Times New Roman" w:hAnsi="Times New Roman" w:cs="Times New Roman"/>
          <w:highlight w:val="lightGray"/>
          <w:lang w:val="es-ES"/>
        </w:rPr>
        <w:t>20154 - Milan (MI)</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Italija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Farma – Produtos Farmacêuticos, S.A.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Avenida Professor Doutor Cavaco</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Silva, n.10E,Taguspark</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Porto Salvo, 2740-255</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Portugalija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Poland Sp. z o.o.</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15 Marynarska Street</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02-674 Warsaw</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Lenkija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B63A2D" w:rsidRDefault="00122C00" w:rsidP="00122C00">
      <w:pPr>
        <w:tabs>
          <w:tab w:val="left" w:pos="567"/>
        </w:tabs>
        <w:spacing w:after="0" w:line="240" w:lineRule="auto"/>
        <w:rPr>
          <w:rFonts w:ascii="Times New Roman" w:hAnsi="Times New Roman"/>
          <w:lang w:val="es-ES"/>
        </w:rPr>
      </w:pPr>
      <w:r w:rsidRPr="00D22CB3">
        <w:rPr>
          <w:rFonts w:ascii="Times New Roman" w:eastAsia="Times New Roman" w:hAnsi="Times New Roman" w:cs="Times New Roman"/>
          <w:highlight w:val="lightGray"/>
          <w:lang w:val="es-ES"/>
        </w:rPr>
        <w:t>arba</w:t>
      </w:r>
    </w:p>
    <w:p w:rsidR="00122C00" w:rsidRPr="00B63A2D" w:rsidRDefault="00122C00" w:rsidP="00122C00">
      <w:pPr>
        <w:tabs>
          <w:tab w:val="left" w:pos="567"/>
        </w:tabs>
        <w:spacing w:after="0" w:line="240" w:lineRule="auto"/>
        <w:rPr>
          <w:rFonts w:ascii="Times New Roman" w:hAnsi="Times New Roman"/>
          <w:lang w:val="es-ES"/>
        </w:rPr>
      </w:pPr>
    </w:p>
    <w:p w:rsidR="00122C00" w:rsidRPr="00B63A2D" w:rsidRDefault="00122C00" w:rsidP="00122C00">
      <w:pPr>
        <w:tabs>
          <w:tab w:val="left" w:pos="567"/>
        </w:tabs>
        <w:spacing w:after="0" w:line="240" w:lineRule="auto"/>
        <w:rPr>
          <w:rFonts w:ascii="Times New Roman" w:hAnsi="Times New Roman"/>
          <w:lang w:val="es-ES"/>
        </w:rPr>
      </w:pPr>
      <w:r w:rsidRPr="00B63A2D">
        <w:rPr>
          <w:rFonts w:ascii="Times New Roman" w:hAnsi="Times New Roman"/>
          <w:lang w:val="es-ES"/>
        </w:rPr>
        <w:t xml:space="preserve">Novartis </w:t>
      </w:r>
      <w:r w:rsidRPr="00A23D3E">
        <w:rPr>
          <w:rFonts w:ascii="Times New Roman" w:eastAsia="Times New Roman" w:hAnsi="Times New Roman" w:cs="Times New Roman"/>
          <w:lang w:val="es-ES"/>
        </w:rPr>
        <w:t>Farmacéutica S</w:t>
      </w:r>
      <w:r>
        <w:rPr>
          <w:rFonts w:ascii="Times New Roman" w:eastAsia="Times New Roman" w:hAnsi="Times New Roman" w:cs="Times New Roman"/>
          <w:lang w:val="es-ES"/>
        </w:rPr>
        <w:t>.</w:t>
      </w:r>
      <w:r w:rsidRPr="00A23D3E">
        <w:rPr>
          <w:rFonts w:ascii="Times New Roman" w:eastAsia="Times New Roman" w:hAnsi="Times New Roman" w:cs="Times New Roman"/>
          <w:lang w:val="es-ES"/>
        </w:rPr>
        <w:t>A</w:t>
      </w:r>
      <w:r w:rsidRPr="00B63A2D">
        <w:rPr>
          <w:rFonts w:ascii="Times New Roman" w:hAnsi="Times New Roman"/>
          <w:lang w:val="es-ES"/>
        </w:rPr>
        <w:t>.</w:t>
      </w:r>
    </w:p>
    <w:p w:rsidR="00122C00" w:rsidRPr="005D1D75" w:rsidRDefault="00122C00" w:rsidP="00122C00">
      <w:pPr>
        <w:tabs>
          <w:tab w:val="left" w:pos="567"/>
        </w:tabs>
        <w:spacing w:after="0" w:line="240" w:lineRule="auto"/>
        <w:rPr>
          <w:rFonts w:ascii="Times New Roman" w:eastAsia="Times New Roman" w:hAnsi="Times New Roman" w:cs="Times New Roman"/>
          <w:lang w:val="en-US"/>
        </w:rPr>
      </w:pPr>
      <w:r w:rsidRPr="005D1D75">
        <w:rPr>
          <w:rFonts w:ascii="Times New Roman" w:eastAsia="Times New Roman" w:hAnsi="Times New Roman" w:cs="Times New Roman"/>
          <w:lang w:val="en-US"/>
        </w:rPr>
        <w:t>Gran Via de les Corts Catalanes, 764</w:t>
      </w:r>
    </w:p>
    <w:p w:rsidR="00122C00" w:rsidRPr="00A23D3E" w:rsidRDefault="00122C00" w:rsidP="00122C00">
      <w:pPr>
        <w:tabs>
          <w:tab w:val="left" w:pos="567"/>
        </w:tabs>
        <w:spacing w:after="0" w:line="240" w:lineRule="auto"/>
        <w:rPr>
          <w:rFonts w:ascii="Times New Roman" w:eastAsia="Times New Roman" w:hAnsi="Times New Roman" w:cs="Times New Roman"/>
          <w:lang w:val="es-ES"/>
        </w:rPr>
      </w:pPr>
      <w:r w:rsidRPr="005D1D75">
        <w:rPr>
          <w:rFonts w:ascii="Times New Roman" w:eastAsia="Times New Roman" w:hAnsi="Times New Roman" w:cs="Times New Roman"/>
          <w:lang w:val="en-US"/>
        </w:rPr>
        <w:t>08013</w:t>
      </w:r>
      <w:r w:rsidRPr="00D22CB3">
        <w:rPr>
          <w:rFonts w:ascii="Times New Roman" w:hAnsi="Times New Roman"/>
          <w:lang w:val="en-US"/>
        </w:rPr>
        <w:t xml:space="preserve"> Barcelona</w:t>
      </w:r>
      <w:r w:rsidRPr="005D1D75">
        <w:rPr>
          <w:rFonts w:ascii="Times New Roman" w:eastAsia="Times New Roman" w:hAnsi="Times New Roman" w:cs="Times New Roman"/>
          <w:lang w:val="en-US"/>
        </w:rPr>
        <w:br/>
      </w:r>
      <w:r w:rsidRPr="00A23D3E">
        <w:rPr>
          <w:rFonts w:ascii="Times New Roman" w:eastAsia="Times New Roman" w:hAnsi="Times New Roman" w:cs="Times New Roman"/>
          <w:lang w:val="es-ES"/>
        </w:rPr>
        <w:t>Ispanija</w:t>
      </w:r>
    </w:p>
    <w:p w:rsidR="00122C00" w:rsidRPr="00B63A2D" w:rsidRDefault="00122C00" w:rsidP="00122C00">
      <w:pPr>
        <w:tabs>
          <w:tab w:val="left" w:pos="567"/>
        </w:tabs>
        <w:spacing w:after="0" w:line="240" w:lineRule="auto"/>
        <w:rPr>
          <w:rFonts w:ascii="Times New Roman" w:hAnsi="Times New Roman"/>
          <w:lang w:val="es-ES"/>
        </w:rPr>
      </w:pPr>
    </w:p>
    <w:p w:rsidR="00122C00" w:rsidRPr="00B63A2D" w:rsidRDefault="00122C00" w:rsidP="00122C00">
      <w:pPr>
        <w:tabs>
          <w:tab w:val="left" w:pos="567"/>
        </w:tabs>
        <w:spacing w:after="0" w:line="240" w:lineRule="auto"/>
        <w:rPr>
          <w:rFonts w:ascii="Times New Roman" w:hAnsi="Times New Roman"/>
          <w:highlight w:val="lightGray"/>
          <w:lang w:val="es-ES"/>
        </w:rPr>
      </w:pPr>
      <w:r w:rsidRPr="00D22CB3">
        <w:rPr>
          <w:rFonts w:ascii="Times New Roman" w:eastAsia="Times New Roman" w:hAnsi="Times New Roman" w:cs="Times New Roman"/>
          <w:highlight w:val="lightGray"/>
          <w:lang w:val="es-ES"/>
        </w:rPr>
        <w:t>arba</w:t>
      </w:r>
    </w:p>
    <w:p w:rsidR="00122C00" w:rsidRPr="00B63A2D" w:rsidRDefault="00122C00" w:rsidP="00122C00">
      <w:pPr>
        <w:tabs>
          <w:tab w:val="left" w:pos="567"/>
        </w:tabs>
        <w:spacing w:after="0" w:line="240" w:lineRule="auto"/>
        <w:rPr>
          <w:rFonts w:ascii="Times New Roman" w:hAnsi="Times New Roman"/>
          <w:highlight w:val="lightGray"/>
          <w:lang w:val="es-ES"/>
        </w:rPr>
      </w:pPr>
    </w:p>
    <w:p w:rsidR="00122C00" w:rsidRPr="00B63A2D" w:rsidRDefault="00122C00" w:rsidP="00122C00">
      <w:pPr>
        <w:tabs>
          <w:tab w:val="left" w:pos="567"/>
        </w:tabs>
        <w:spacing w:after="0" w:line="240" w:lineRule="auto"/>
        <w:rPr>
          <w:rFonts w:ascii="Times New Roman" w:hAnsi="Times New Roman"/>
          <w:highlight w:val="lightGray"/>
          <w:lang w:val="es-ES"/>
        </w:rPr>
      </w:pPr>
      <w:r w:rsidRPr="00B63A2D">
        <w:rPr>
          <w:rFonts w:ascii="Times New Roman" w:hAnsi="Times New Roman"/>
          <w:highlight w:val="lightGray"/>
          <w:lang w:val="es-ES"/>
        </w:rPr>
        <w:t xml:space="preserve">Novartis </w:t>
      </w:r>
      <w:r w:rsidRPr="00D22CB3">
        <w:rPr>
          <w:rFonts w:ascii="Times New Roman" w:eastAsia="Times New Roman" w:hAnsi="Times New Roman" w:cs="Times New Roman"/>
          <w:highlight w:val="lightGray"/>
          <w:lang w:val="es-ES"/>
        </w:rPr>
        <w:t>Sverige AB</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 xml:space="preserve">Torshamnsgatan 48 </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164 40 Kista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Švedija</w:t>
      </w:r>
    </w:p>
    <w:p w:rsidR="00122C00" w:rsidRPr="00B63A2D" w:rsidRDefault="00122C00" w:rsidP="00122C00">
      <w:pPr>
        <w:tabs>
          <w:tab w:val="left" w:pos="567"/>
        </w:tabs>
        <w:spacing w:after="0" w:line="240" w:lineRule="auto"/>
        <w:rPr>
          <w:rFonts w:ascii="Times New Roman" w:hAnsi="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Pharma B.V.</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Haaksbergweg 16</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1101 BX Amsterdam</w:t>
      </w:r>
    </w:p>
    <w:p w:rsidR="00122C00" w:rsidRPr="00D22CB3" w:rsidRDefault="00122C00" w:rsidP="00122C00">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lastRenderedPageBreak/>
        <w:t>Nyderlandai</w:t>
      </w:r>
    </w:p>
    <w:p w:rsidR="00122C00" w:rsidRPr="00A23D3E" w:rsidRDefault="00122C00" w:rsidP="00122C00">
      <w:pPr>
        <w:tabs>
          <w:tab w:val="left" w:pos="567"/>
        </w:tabs>
        <w:spacing w:after="0" w:line="240" w:lineRule="auto"/>
        <w:rPr>
          <w:rFonts w:ascii="Times New Roman" w:eastAsia="Times New Roman" w:hAnsi="Times New Roman" w:cs="Times New Roman"/>
          <w:noProof/>
          <w:lang w:val="de-DE" w:eastAsia="x-none"/>
        </w:rPr>
      </w:pPr>
    </w:p>
    <w:p w:rsidR="00122C00" w:rsidRPr="00A23D3E" w:rsidRDefault="00122C00" w:rsidP="00122C00">
      <w:pPr>
        <w:tabs>
          <w:tab w:val="left" w:pos="567"/>
        </w:tabs>
        <w:spacing w:after="0" w:line="240" w:lineRule="auto"/>
        <w:rPr>
          <w:rFonts w:ascii="Times New Roman" w:eastAsia="Times New Roman" w:hAnsi="Times New Roman" w:cs="Times New Roman"/>
          <w:noProof/>
          <w:lang w:val="de-DE" w:eastAsia="x-none"/>
        </w:rPr>
      </w:pPr>
      <w:r w:rsidRPr="00A23D3E">
        <w:rPr>
          <w:rFonts w:ascii="Times New Roman" w:eastAsia="Times New Roman" w:hAnsi="Times New Roman" w:cs="Times New Roman"/>
          <w:noProof/>
          <w:lang w:val="de-DE" w:eastAsia="x-none"/>
        </w:rPr>
        <w:t>Jeigu apie šį vaistą norite sužinoti daugiau, kreipkitės į vietinį registruotojo atstovą.</w:t>
      </w:r>
    </w:p>
    <w:p w:rsidR="00122C00" w:rsidRPr="00A23D3E" w:rsidRDefault="00122C00" w:rsidP="00122C00">
      <w:pPr>
        <w:tabs>
          <w:tab w:val="left" w:pos="567"/>
        </w:tabs>
        <w:spacing w:after="0" w:line="240" w:lineRule="auto"/>
        <w:rPr>
          <w:rFonts w:ascii="Times New Roman" w:eastAsia="Times New Roman" w:hAnsi="Times New Roman" w:cs="Times New Roman"/>
          <w:lang w:val="de-DE"/>
        </w:rPr>
      </w:pPr>
    </w:p>
    <w:p w:rsidR="00122C00" w:rsidRPr="00A23D3E" w:rsidRDefault="00122C00" w:rsidP="00122C00">
      <w:pPr>
        <w:spacing w:after="0" w:line="240" w:lineRule="auto"/>
        <w:rPr>
          <w:rFonts w:ascii="Times New Roman" w:eastAsia="Calibri" w:hAnsi="Times New Roman" w:cs="Times New Roman"/>
        </w:rPr>
      </w:pPr>
      <w:r w:rsidRPr="00A23D3E">
        <w:rPr>
          <w:rFonts w:ascii="Times New Roman" w:eastAsia="Calibri" w:hAnsi="Times New Roman" w:cs="Times New Roman"/>
        </w:rPr>
        <w:t xml:space="preserve">SIA </w:t>
      </w:r>
      <w:r w:rsidRPr="00A23D3E">
        <w:rPr>
          <w:rFonts w:ascii="Times New Roman" w:eastAsia="Calibri" w:hAnsi="Times New Roman" w:cs="Times New Roman"/>
          <w:lang w:val="et-EE"/>
        </w:rPr>
        <w:t>Novartis Baltics</w:t>
      </w:r>
      <w:r w:rsidRPr="00A23D3E">
        <w:rPr>
          <w:rFonts w:ascii="Times New Roman" w:eastAsia="Calibri" w:hAnsi="Times New Roman" w:cs="Times New Roman"/>
        </w:rPr>
        <w:t xml:space="preserve"> Lietuvos filialas</w:t>
      </w:r>
    </w:p>
    <w:p w:rsidR="00122C00" w:rsidRPr="00E157A8" w:rsidRDefault="00122C00" w:rsidP="00122C00">
      <w:pPr>
        <w:tabs>
          <w:tab w:val="left" w:pos="567"/>
        </w:tabs>
        <w:spacing w:after="0" w:line="240" w:lineRule="auto"/>
        <w:jc w:val="both"/>
        <w:rPr>
          <w:rFonts w:ascii="Times New Roman" w:hAnsi="Times New Roman"/>
        </w:rPr>
      </w:pPr>
      <w:r w:rsidRPr="00A23D3E">
        <w:rPr>
          <w:rFonts w:ascii="Times New Roman" w:eastAsia="Times New Roman" w:hAnsi="Times New Roman" w:cs="Times New Roman"/>
          <w:lang w:val="fr-FR"/>
        </w:rPr>
        <w:t>Upės g. 19</w:t>
      </w:r>
      <w:r>
        <w:rPr>
          <w:rFonts w:ascii="Times New Roman" w:eastAsia="Times New Roman" w:hAnsi="Times New Roman" w:cs="Times New Roman"/>
          <w:lang w:val="en-US"/>
        </w:rPr>
        <w:t>-1</w:t>
      </w:r>
    </w:p>
    <w:p w:rsidR="00122C00" w:rsidRPr="00A23D3E" w:rsidRDefault="00122C00" w:rsidP="00122C00">
      <w:pPr>
        <w:tabs>
          <w:tab w:val="left" w:pos="567"/>
        </w:tabs>
        <w:spacing w:after="0" w:line="240" w:lineRule="auto"/>
        <w:jc w:val="both"/>
        <w:rPr>
          <w:rFonts w:ascii="Times New Roman" w:eastAsia="Times New Roman" w:hAnsi="Times New Roman" w:cs="Times New Roman"/>
          <w:lang w:val="fr-FR"/>
        </w:rPr>
      </w:pPr>
      <w:r w:rsidRPr="00A23D3E">
        <w:rPr>
          <w:rFonts w:ascii="Times New Roman" w:eastAsia="Times New Roman" w:hAnsi="Times New Roman" w:cs="Times New Roman"/>
          <w:lang w:val="fr-FR"/>
        </w:rPr>
        <w:t>LT</w:t>
      </w:r>
      <w:r w:rsidRPr="00A23D3E">
        <w:rPr>
          <w:rFonts w:ascii="Times New Roman" w:eastAsia="Times New Roman" w:hAnsi="Times New Roman" w:cs="Times New Roman"/>
          <w:lang w:val="fr-FR"/>
        </w:rPr>
        <w:noBreakHyphen/>
      </w:r>
      <w:r w:rsidRPr="00A23D3E">
        <w:rPr>
          <w:rFonts w:ascii="Times New Roman" w:eastAsia="Times New Roman" w:hAnsi="Times New Roman" w:cs="Times New Roman"/>
          <w:lang w:val="en-US"/>
        </w:rPr>
        <w:t>08128</w:t>
      </w:r>
      <w:r w:rsidRPr="00A23D3E">
        <w:rPr>
          <w:rFonts w:ascii="Times New Roman" w:eastAsia="Times New Roman" w:hAnsi="Times New Roman" w:cs="Times New Roman"/>
          <w:lang w:val="fr-FR"/>
        </w:rPr>
        <w:t>, Vilnius</w:t>
      </w:r>
    </w:p>
    <w:p w:rsidR="00122C00" w:rsidRPr="00A23D3E" w:rsidRDefault="00122C00" w:rsidP="00122C00">
      <w:pPr>
        <w:tabs>
          <w:tab w:val="left" w:pos="567"/>
        </w:tabs>
        <w:spacing w:after="0" w:line="240" w:lineRule="auto"/>
        <w:jc w:val="both"/>
        <w:rPr>
          <w:rFonts w:ascii="Times New Roman" w:eastAsia="Times New Roman" w:hAnsi="Times New Roman" w:cs="Times New Roman"/>
          <w:lang w:val="fr-FR"/>
        </w:rPr>
      </w:pPr>
      <w:r w:rsidRPr="00A23D3E">
        <w:rPr>
          <w:rFonts w:ascii="Times New Roman" w:eastAsia="Times New Roman" w:hAnsi="Times New Roman" w:cs="Times New Roman"/>
          <w:lang w:val="fr-FR"/>
        </w:rPr>
        <w:t>Tel. +370 5 269 16 50</w:t>
      </w:r>
    </w:p>
    <w:p w:rsidR="00122C00" w:rsidRPr="00A23D3E" w:rsidRDefault="00122C00" w:rsidP="00122C00">
      <w:pPr>
        <w:widowControl w:val="0"/>
        <w:numPr>
          <w:ilvl w:val="12"/>
          <w:numId w:val="0"/>
        </w:numPr>
        <w:spacing w:after="0" w:line="240" w:lineRule="auto"/>
        <w:ind w:right="-2"/>
        <w:rPr>
          <w:rFonts w:ascii="Times New Roman" w:eastAsia="Times New Roman" w:hAnsi="Times New Roman" w:cs="Times New Roman"/>
          <w:lang w:val="fr-FR"/>
        </w:rPr>
      </w:pPr>
    </w:p>
    <w:p w:rsidR="00122C00" w:rsidRPr="00A23D3E" w:rsidRDefault="00122C00" w:rsidP="00122C00">
      <w:pPr>
        <w:widowControl w:val="0"/>
        <w:spacing w:after="0" w:line="240" w:lineRule="auto"/>
        <w:rPr>
          <w:rFonts w:ascii="Times New Roman" w:eastAsia="Calibri" w:hAnsi="Times New Roman" w:cs="Times New Roman"/>
          <w:b/>
          <w:lang w:val="fr-FR"/>
        </w:rPr>
      </w:pPr>
      <w:r w:rsidRPr="00A23D3E">
        <w:rPr>
          <w:rFonts w:ascii="Times New Roman" w:eastAsia="Calibri" w:hAnsi="Times New Roman" w:cs="Times New Roman"/>
          <w:b/>
          <w:lang w:val="fr-FR"/>
        </w:rPr>
        <w:t>Šis vaistas EEE valstybėse narėse</w:t>
      </w:r>
      <w:r>
        <w:rPr>
          <w:rFonts w:ascii="Times New Roman" w:eastAsia="Calibri" w:hAnsi="Times New Roman" w:cs="Times New Roman"/>
          <w:b/>
          <w:lang w:val="fr-FR"/>
        </w:rPr>
        <w:t xml:space="preserve"> </w:t>
      </w:r>
      <w:r w:rsidRPr="00A23D3E">
        <w:rPr>
          <w:rFonts w:ascii="Times New Roman" w:eastAsia="Calibri" w:hAnsi="Times New Roman" w:cs="Times New Roman"/>
          <w:b/>
          <w:lang w:val="fr-FR"/>
        </w:rPr>
        <w:t>registruotas tokiais pavadinimais:</w:t>
      </w:r>
    </w:p>
    <w:p w:rsidR="00122C00" w:rsidRPr="00A23D3E" w:rsidRDefault="00122C00" w:rsidP="00122C00">
      <w:pPr>
        <w:widowControl w:val="0"/>
        <w:spacing w:after="0" w:line="240" w:lineRule="auto"/>
        <w:rPr>
          <w:rFonts w:ascii="Times New Roman" w:eastAsia="Calibri" w:hAnsi="Times New Roman" w:cs="Times New Roman"/>
          <w:b/>
          <w:lang w:val="fr-FR"/>
        </w:rPr>
      </w:pPr>
    </w:p>
    <w:tbl>
      <w:tblPr>
        <w:tblW w:w="0" w:type="auto"/>
        <w:tblLook w:val="01E0" w:firstRow="1" w:lastRow="1" w:firstColumn="1" w:lastColumn="1" w:noHBand="0" w:noVBand="0"/>
      </w:tblPr>
      <w:tblGrid>
        <w:gridCol w:w="6321"/>
        <w:gridCol w:w="2750"/>
      </w:tblGrid>
      <w:tr w:rsidR="00122C00" w:rsidRPr="00A23D3E" w:rsidTr="00A740B4">
        <w:tc>
          <w:tcPr>
            <w:tcW w:w="6487" w:type="dxa"/>
          </w:tcPr>
          <w:p w:rsidR="00122C00" w:rsidRPr="00D22CB3" w:rsidRDefault="00122C00" w:rsidP="00A740B4">
            <w:pPr>
              <w:tabs>
                <w:tab w:val="left" w:pos="720"/>
              </w:tabs>
              <w:spacing w:after="0" w:line="240" w:lineRule="auto"/>
              <w:rPr>
                <w:rFonts w:ascii="Times New Roman" w:hAnsi="Times New Roman"/>
              </w:rPr>
            </w:pPr>
            <w:r w:rsidRPr="00A23D3E">
              <w:rPr>
                <w:rFonts w:ascii="Times New Roman" w:eastAsia="Calibri" w:hAnsi="Times New Roman" w:cs="Times New Roman"/>
                <w:lang w:val="fr-FR"/>
              </w:rPr>
              <w:t>Austrija, Bulgarija, Kroatija, Kipras, Čekija, Danija, Estija, Suomija, Vokietija, Graikija, Vengrija, Airija, Islandija, Latvija, Lietuva, Malta, Norvegija, Lenkija, Rumunija, Slovakija, Slovėnija, Ispanija, Švedija</w:t>
            </w:r>
          </w:p>
        </w:tc>
        <w:tc>
          <w:tcPr>
            <w:tcW w:w="2800" w:type="dxa"/>
          </w:tcPr>
          <w:p w:rsidR="00122C00" w:rsidRPr="00A23D3E" w:rsidRDefault="00122C00" w:rsidP="00A740B4">
            <w:pPr>
              <w:tabs>
                <w:tab w:val="left" w:pos="720"/>
              </w:tabs>
              <w:spacing w:after="0" w:line="240" w:lineRule="auto"/>
              <w:rPr>
                <w:rFonts w:ascii="Times New Roman" w:eastAsia="Calibri" w:hAnsi="Times New Roman" w:cs="Times New Roman"/>
                <w:lang w:val="en-US"/>
              </w:rPr>
            </w:pPr>
            <w:r w:rsidRPr="00A23D3E">
              <w:rPr>
                <w:rFonts w:ascii="Times New Roman" w:eastAsia="Times New Roman" w:hAnsi="Times New Roman" w:cs="Times New Roman"/>
                <w:color w:val="000000"/>
                <w:lang w:val="en-GB"/>
              </w:rPr>
              <w:t>Sandostatin LAR</w:t>
            </w:r>
          </w:p>
        </w:tc>
      </w:tr>
      <w:tr w:rsidR="00122C00" w:rsidRPr="00A23D3E" w:rsidTr="00A740B4">
        <w:tc>
          <w:tcPr>
            <w:tcW w:w="6487" w:type="dxa"/>
          </w:tcPr>
          <w:p w:rsidR="00122C00" w:rsidRPr="00A23D3E" w:rsidRDefault="00122C00" w:rsidP="00A740B4">
            <w:pPr>
              <w:tabs>
                <w:tab w:val="left" w:pos="720"/>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Belgija, Liuksemburgas, Nyderlandai</w:t>
            </w:r>
          </w:p>
        </w:tc>
        <w:tc>
          <w:tcPr>
            <w:tcW w:w="2800" w:type="dxa"/>
          </w:tcPr>
          <w:p w:rsidR="00122C00" w:rsidRPr="00A23D3E" w:rsidRDefault="00122C00" w:rsidP="00A740B4">
            <w:pPr>
              <w:tabs>
                <w:tab w:val="left" w:pos="720"/>
              </w:tabs>
              <w:spacing w:after="0" w:line="240" w:lineRule="auto"/>
              <w:rPr>
                <w:rFonts w:ascii="Times New Roman" w:eastAsia="Calibri" w:hAnsi="Times New Roman" w:cs="Times New Roman"/>
                <w:lang w:val="en-US"/>
              </w:rPr>
            </w:pPr>
            <w:r w:rsidRPr="00A23D3E">
              <w:rPr>
                <w:rFonts w:ascii="Times New Roman" w:eastAsia="Times New Roman" w:hAnsi="Times New Roman" w:cs="Times New Roman"/>
                <w:lang w:val="en-GB"/>
              </w:rPr>
              <w:t>Sandostatine LAR</w:t>
            </w:r>
          </w:p>
        </w:tc>
      </w:tr>
      <w:tr w:rsidR="00122C00" w:rsidRPr="00A23D3E" w:rsidTr="00A740B4">
        <w:tc>
          <w:tcPr>
            <w:tcW w:w="6487" w:type="dxa"/>
          </w:tcPr>
          <w:p w:rsidR="00122C00" w:rsidRPr="00A23D3E" w:rsidRDefault="00122C00" w:rsidP="00A740B4">
            <w:pPr>
              <w:tabs>
                <w:tab w:val="left" w:pos="720"/>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Italija, Portugalija</w:t>
            </w:r>
          </w:p>
        </w:tc>
        <w:tc>
          <w:tcPr>
            <w:tcW w:w="2800" w:type="dxa"/>
          </w:tcPr>
          <w:p w:rsidR="00122C00" w:rsidRPr="00A23D3E" w:rsidRDefault="00122C00" w:rsidP="00A740B4">
            <w:pPr>
              <w:tabs>
                <w:tab w:val="left" w:pos="720"/>
              </w:tabs>
              <w:spacing w:after="0" w:line="240" w:lineRule="auto"/>
              <w:rPr>
                <w:rFonts w:ascii="Times New Roman" w:eastAsia="Calibri" w:hAnsi="Times New Roman" w:cs="Times New Roman"/>
                <w:lang w:val="en-US"/>
              </w:rPr>
            </w:pPr>
            <w:r w:rsidRPr="00A23D3E">
              <w:rPr>
                <w:rFonts w:ascii="Times New Roman" w:eastAsia="Times New Roman" w:hAnsi="Times New Roman" w:cs="Times New Roman"/>
                <w:spacing w:val="-3"/>
                <w:lang w:val="en-GB"/>
              </w:rPr>
              <w:t>Sandostatina LAR</w:t>
            </w:r>
          </w:p>
        </w:tc>
      </w:tr>
      <w:tr w:rsidR="00122C00" w:rsidRPr="00A23D3E" w:rsidTr="00A740B4">
        <w:tc>
          <w:tcPr>
            <w:tcW w:w="6487" w:type="dxa"/>
          </w:tcPr>
          <w:p w:rsidR="00122C00" w:rsidRPr="00A23D3E" w:rsidRDefault="00122C00" w:rsidP="00A740B4">
            <w:pPr>
              <w:tabs>
                <w:tab w:val="left" w:pos="720"/>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Prancūzija</w:t>
            </w:r>
          </w:p>
        </w:tc>
        <w:tc>
          <w:tcPr>
            <w:tcW w:w="2800" w:type="dxa"/>
          </w:tcPr>
          <w:p w:rsidR="00122C00" w:rsidRPr="00A23D3E" w:rsidRDefault="00122C00" w:rsidP="00A740B4">
            <w:pPr>
              <w:tabs>
                <w:tab w:val="left" w:pos="720"/>
              </w:tabs>
              <w:spacing w:after="0" w:line="240" w:lineRule="auto"/>
              <w:rPr>
                <w:rFonts w:ascii="Times New Roman" w:eastAsia="Times New Roman" w:hAnsi="Times New Roman" w:cs="Times New Roman"/>
                <w:spacing w:val="-3"/>
                <w:lang w:val="en-GB"/>
              </w:rPr>
            </w:pPr>
            <w:r w:rsidRPr="00A23D3E">
              <w:rPr>
                <w:rFonts w:ascii="Times New Roman" w:eastAsia="Times New Roman" w:hAnsi="Times New Roman" w:cs="Times New Roman"/>
                <w:lang w:val="en-GB"/>
              </w:rPr>
              <w:t>Sandostatine L.P.</w:t>
            </w:r>
          </w:p>
        </w:tc>
      </w:tr>
    </w:tbl>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p>
    <w:p w:rsidR="00122C00" w:rsidRPr="00A23D3E" w:rsidRDefault="00122C00" w:rsidP="00122C00">
      <w:pPr>
        <w:widowControl w:val="0"/>
        <w:numPr>
          <w:ilvl w:val="12"/>
          <w:numId w:val="0"/>
        </w:numPr>
        <w:spacing w:after="0" w:line="240" w:lineRule="auto"/>
        <w:ind w:right="-2"/>
        <w:outlineLvl w:val="0"/>
        <w:rPr>
          <w:rFonts w:ascii="Times New Roman" w:eastAsia="Calibri" w:hAnsi="Times New Roman" w:cs="Times New Roman"/>
          <w:b/>
          <w:lang w:val="en-US"/>
        </w:rPr>
      </w:pPr>
      <w:r w:rsidRPr="00A23D3E">
        <w:rPr>
          <w:rFonts w:ascii="Times New Roman" w:eastAsia="Calibri" w:hAnsi="Times New Roman" w:cs="Times New Roman"/>
          <w:b/>
          <w:lang w:val="en-US"/>
        </w:rPr>
        <w:t>Šis pakuotės lapelis paskutinį kartą peržiūrėtas</w:t>
      </w:r>
      <w:r>
        <w:rPr>
          <w:rFonts w:ascii="Times New Roman" w:eastAsia="Calibri" w:hAnsi="Times New Roman" w:cs="Times New Roman"/>
          <w:b/>
          <w:lang w:val="en-US"/>
        </w:rPr>
        <w:t xml:space="preserve"> 2024-10-09.</w:t>
      </w:r>
    </w:p>
    <w:p w:rsidR="00122C00" w:rsidRPr="00A23D3E" w:rsidRDefault="00122C00" w:rsidP="00122C00">
      <w:pPr>
        <w:numPr>
          <w:ilvl w:val="12"/>
          <w:numId w:val="0"/>
        </w:numPr>
        <w:tabs>
          <w:tab w:val="left" w:pos="567"/>
        </w:tabs>
        <w:spacing w:after="0" w:line="240" w:lineRule="auto"/>
        <w:ind w:right="-2"/>
        <w:rPr>
          <w:rFonts w:ascii="Times New Roman" w:eastAsia="Calibri" w:hAnsi="Times New Roman" w:cs="Times New Roman"/>
          <w:lang w:val="en-US"/>
        </w:rPr>
      </w:pPr>
    </w:p>
    <w:p w:rsidR="00122C00" w:rsidRPr="00A23D3E" w:rsidRDefault="00122C00" w:rsidP="00122C00">
      <w:pPr>
        <w:numPr>
          <w:ilvl w:val="12"/>
          <w:numId w:val="0"/>
        </w:numPr>
        <w:tabs>
          <w:tab w:val="left" w:pos="567"/>
        </w:tabs>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Išsami informacija apie šį vaistą pateikiama Valstybinės vaistų kontrolės tarnybos prie Lietuvos Respublikos sveikatos apsaugos ministerijos tinklalapyje</w:t>
      </w:r>
      <w:r w:rsidRPr="00A23D3E">
        <w:rPr>
          <w:rFonts w:ascii="Times New Roman" w:eastAsia="Calibri" w:hAnsi="Times New Roman" w:cs="Times New Roman"/>
          <w:i/>
          <w:lang w:val="en-US"/>
        </w:rPr>
        <w:t xml:space="preserve"> </w:t>
      </w:r>
      <w:r w:rsidRPr="00AA274C">
        <w:rPr>
          <w:rFonts w:ascii="Times New Roman" w:eastAsia="Calibri" w:hAnsi="Times New Roman" w:cs="Times New Roman"/>
          <w:lang w:val="en-US"/>
        </w:rPr>
        <w:t>https://vvkt.lrv.lt/lt/.</w:t>
      </w:r>
    </w:p>
    <w:p w:rsidR="00122C00" w:rsidRDefault="00122C00" w:rsidP="00122C00">
      <w:pPr>
        <w:widowControl w:val="0"/>
        <w:numPr>
          <w:ilvl w:val="12"/>
          <w:numId w:val="0"/>
        </w:numPr>
        <w:spacing w:after="0" w:line="240" w:lineRule="auto"/>
        <w:ind w:right="-2"/>
        <w:rPr>
          <w:rFonts w:ascii="Times New Roman" w:eastAsia="Calibri" w:hAnsi="Times New Roman" w:cs="Times New Roman"/>
          <w:lang w:val="en-US"/>
        </w:rPr>
      </w:pPr>
    </w:p>
    <w:p w:rsidR="00122C00" w:rsidRDefault="00122C00" w:rsidP="00122C00">
      <w:pPr>
        <w:widowControl w:val="0"/>
        <w:numPr>
          <w:ilvl w:val="12"/>
          <w:numId w:val="0"/>
        </w:numPr>
        <w:spacing w:after="0" w:line="240" w:lineRule="auto"/>
        <w:ind w:right="-2"/>
        <w:rPr>
          <w:rFonts w:ascii="Times New Roman" w:eastAsia="Calibri" w:hAnsi="Times New Roman" w:cs="Times New Roman"/>
          <w:lang w:val="en-US"/>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Toliau pateikta informacija skirta tik sveikatos priežiūros specialistams:</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b/>
          <w:lang w:val="en-US"/>
        </w:rPr>
      </w:pPr>
      <w:r w:rsidRPr="00A23D3E">
        <w:rPr>
          <w:rFonts w:ascii="Times New Roman" w:eastAsia="Calibri" w:hAnsi="Times New Roman" w:cs="Times New Roman"/>
          <w:b/>
          <w:lang w:val="en-US"/>
        </w:rPr>
        <w:t>Kokią Sandostatin LAR dozę vartoti</w:t>
      </w:r>
    </w:p>
    <w:p w:rsidR="00122C00" w:rsidRPr="00A23D3E" w:rsidRDefault="00122C00" w:rsidP="00122C00">
      <w:pPr>
        <w:widowControl w:val="0"/>
        <w:numPr>
          <w:ilvl w:val="12"/>
          <w:numId w:val="0"/>
        </w:numPr>
        <w:spacing w:after="0" w:line="240" w:lineRule="auto"/>
        <w:ind w:right="-2"/>
        <w:rPr>
          <w:rFonts w:ascii="Times New Roman" w:eastAsia="Calibri" w:hAnsi="Times New Roman" w:cs="Times New Roman"/>
          <w:lang w:val="en-US"/>
        </w:rPr>
      </w:pPr>
    </w:p>
    <w:p w:rsidR="00122C00" w:rsidRPr="00A23D3E" w:rsidRDefault="00122C00" w:rsidP="00122C00">
      <w:pPr>
        <w:keepNext/>
        <w:widowControl w:val="0"/>
        <w:spacing w:after="0" w:line="240" w:lineRule="auto"/>
        <w:rPr>
          <w:rFonts w:ascii="Times New Roman" w:eastAsia="Calibri" w:hAnsi="Times New Roman" w:cs="Times New Roman"/>
          <w:i/>
          <w:lang w:val="en-US"/>
        </w:rPr>
      </w:pPr>
      <w:r w:rsidRPr="00A23D3E">
        <w:rPr>
          <w:rFonts w:ascii="Times New Roman" w:eastAsia="Calibri" w:hAnsi="Times New Roman" w:cs="Times New Roman"/>
          <w:i/>
          <w:lang w:val="en-US"/>
        </w:rPr>
        <w:t>Akromegalija</w:t>
      </w: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Rekomenduojama gydymą pradėti iš pradžių skiriant po 20 mg Sandostatin LAR kas 4 savaites 3 mėnesius. Pacientams, kurie gydomi po oda leidžiamu Sandostatin, gydymą Sandostatin LAR galima pradėti kitą dieną po paskutiniosios Sandostatin injekcijos po oda. Toliau vaistinio preparato dozės turi būti nustatomos remiantis augimo hormono (AH) ir į insuliną panašaus augimo faktoriaus</w:t>
      </w:r>
      <w:r w:rsidRPr="00A23D3E">
        <w:rPr>
          <w:rFonts w:ascii="Times New Roman" w:eastAsia="Calibri" w:hAnsi="Times New Roman" w:cs="Times New Roman"/>
          <w:lang w:val="en-US"/>
        </w:rPr>
        <w:noBreakHyphen/>
        <w:t>1/somatomedino C (IAF</w:t>
      </w:r>
      <w:r w:rsidRPr="00A23D3E">
        <w:rPr>
          <w:rFonts w:ascii="Times New Roman" w:eastAsia="Calibri" w:hAnsi="Times New Roman" w:cs="Times New Roman"/>
          <w:lang w:val="en-US"/>
        </w:rPr>
        <w:noBreakHyphen/>
        <w:t>1) koncentracijomis serume bei klinikiniais simptomais.</w:t>
      </w: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 per pirmuosius tris mėnesius klinikiniai simptomai ir biocheminiai rodikliai (AH, IAF</w:t>
      </w:r>
      <w:r w:rsidRPr="00A23D3E">
        <w:rPr>
          <w:rFonts w:ascii="Times New Roman" w:eastAsia="Calibri" w:hAnsi="Times New Roman" w:cs="Times New Roman"/>
          <w:lang w:val="en-US"/>
        </w:rPr>
        <w:noBreakHyphen/>
        <w:t>1) nėra visiškai kontroliuojami (AH koncentracija viršija 2,5 </w:t>
      </w:r>
      <w:r w:rsidRPr="00A23D3E">
        <w:rPr>
          <w:rFonts w:ascii="Times New Roman" w:eastAsia="Calibri" w:hAnsi="Times New Roman" w:cs="Times New Roman"/>
          <w:lang w:val="en-US"/>
        </w:rPr>
        <w:sym w:font="Symbol" w:char="F06D"/>
      </w:r>
      <w:r w:rsidRPr="00A23D3E">
        <w:rPr>
          <w:rFonts w:ascii="Times New Roman" w:eastAsia="Calibri" w:hAnsi="Times New Roman" w:cs="Times New Roman"/>
          <w:lang w:val="en-US"/>
        </w:rPr>
        <w:t>g/l), pacientams dozę galima didinti iki po 30 mg kas 4 savaites. Jeigu gydant 30 mg doze po 3 mėnesių AH, IAF</w:t>
      </w:r>
      <w:r w:rsidRPr="00A23D3E">
        <w:rPr>
          <w:rFonts w:ascii="Times New Roman" w:eastAsia="Calibri" w:hAnsi="Times New Roman" w:cs="Times New Roman"/>
          <w:lang w:val="en-US"/>
        </w:rPr>
        <w:noBreakHyphen/>
        <w:t>1 ir (arba) simptomai yra nepakankamai kontroliuojami, dozę galima didinti iki po 40 mg kas 4 savaites.</w:t>
      </w: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pacientams AH koncentracija yra gerokai mažesnė negu 1 </w:t>
      </w:r>
      <w:r w:rsidRPr="00A23D3E">
        <w:rPr>
          <w:rFonts w:ascii="Times New Roman" w:eastAsia="Calibri" w:hAnsi="Times New Roman" w:cs="Times New Roman"/>
          <w:lang w:val="en-US"/>
        </w:rPr>
        <w:sym w:font="Symbol" w:char="F06D"/>
      </w:r>
      <w:r w:rsidRPr="00A23D3E">
        <w:rPr>
          <w:rFonts w:ascii="Times New Roman" w:eastAsia="Calibri" w:hAnsi="Times New Roman" w:cs="Times New Roman"/>
          <w:lang w:val="en-US"/>
        </w:rPr>
        <w:t>g/l, IAF</w:t>
      </w:r>
      <w:r w:rsidRPr="00A23D3E">
        <w:rPr>
          <w:rFonts w:ascii="Times New Roman" w:eastAsia="Calibri" w:hAnsi="Times New Roman" w:cs="Times New Roman"/>
          <w:lang w:val="en-US"/>
        </w:rPr>
        <w:noBreakHyphen/>
        <w:t>1 koncentracija serume tampa normalia ir dauguma grįžtamų akromegalijos požymių ar simptomų išnyko po 3 mėnesių gydymo vartojant 20 mg dozę, galima pradėti skirti po 10 mg Sandostatin LAR dozę kas 4 savaites. Tačiau šiems pacientams skiriant mažą Sandostatin LAR dozę, rekomenduojama ypatingai atidžiai stebėti tinkamą AH ir IAF</w:t>
      </w:r>
      <w:r w:rsidRPr="00A23D3E">
        <w:rPr>
          <w:rFonts w:ascii="Times New Roman" w:eastAsia="Calibri" w:hAnsi="Times New Roman" w:cs="Times New Roman"/>
          <w:lang w:val="en-US"/>
        </w:rPr>
        <w:noBreakHyphen/>
        <w:t>1 koncentracijų serume bei klinikinius požymių ir simptomų kontrolę.</w:t>
      </w: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Pacientams, vartojantiems pastovią Sandostatin LAR dozę, AH ir IAF</w:t>
      </w:r>
      <w:r w:rsidRPr="00A23D3E">
        <w:rPr>
          <w:rFonts w:ascii="Times New Roman" w:eastAsia="Calibri" w:hAnsi="Times New Roman" w:cs="Times New Roman"/>
          <w:lang w:val="en-US"/>
        </w:rPr>
        <w:noBreakHyphen/>
        <w:t>1 koncentracijas reikia tirti kas 6 mėnesius.</w:t>
      </w: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p>
    <w:p w:rsidR="00122C00" w:rsidRPr="00A23D3E" w:rsidRDefault="00122C00" w:rsidP="00122C00">
      <w:pPr>
        <w:keepNext/>
        <w:widowControl w:val="0"/>
        <w:spacing w:after="0" w:line="240" w:lineRule="auto"/>
        <w:rPr>
          <w:rFonts w:ascii="Times New Roman" w:eastAsia="Calibri" w:hAnsi="Times New Roman" w:cs="Times New Roman"/>
          <w:i/>
          <w:lang w:val="en-US"/>
        </w:rPr>
      </w:pPr>
      <w:r w:rsidRPr="00A23D3E">
        <w:rPr>
          <w:rFonts w:ascii="Times New Roman" w:eastAsia="Calibri" w:hAnsi="Times New Roman" w:cs="Times New Roman"/>
          <w:i/>
          <w:lang w:val="en-US"/>
        </w:rPr>
        <w:t>Skrandžio, žarnyno, kasos endokrininiai augliai</w:t>
      </w:r>
    </w:p>
    <w:p w:rsidR="00122C00" w:rsidRPr="00A23D3E" w:rsidRDefault="00122C00" w:rsidP="00122C00">
      <w:pPr>
        <w:keepNext/>
        <w:widowControl w:val="0"/>
        <w:spacing w:after="0" w:line="240" w:lineRule="auto"/>
        <w:rPr>
          <w:rFonts w:ascii="Times New Roman" w:eastAsia="Calibri" w:hAnsi="Times New Roman" w:cs="Times New Roman"/>
          <w:i/>
          <w:lang w:val="en-US"/>
        </w:rPr>
      </w:pPr>
    </w:p>
    <w:p w:rsidR="00122C00" w:rsidRPr="00A23D3E" w:rsidRDefault="00122C00" w:rsidP="00122C00">
      <w:pPr>
        <w:keepNext/>
        <w:widowControl w:val="0"/>
        <w:numPr>
          <w:ilvl w:val="0"/>
          <w:numId w:val="8"/>
        </w:numPr>
        <w:spacing w:after="0" w:line="240" w:lineRule="auto"/>
        <w:ind w:left="567" w:hanging="567"/>
        <w:rPr>
          <w:rFonts w:ascii="Times New Roman" w:eastAsia="Calibri" w:hAnsi="Times New Roman" w:cs="Times New Roman"/>
          <w:i/>
          <w:lang w:val="en-US"/>
        </w:rPr>
      </w:pPr>
      <w:r w:rsidRPr="00A23D3E">
        <w:rPr>
          <w:rFonts w:ascii="Times New Roman" w:eastAsia="Calibri" w:hAnsi="Times New Roman" w:cs="Times New Roman"/>
          <w:i/>
          <w:lang w:val="en-US"/>
        </w:rPr>
        <w:t>Pacientų, kuriems yra simptomų, susijusių su hormonus produkuojančiais skrandžio, žarnyno, kasos endokrininiais augliais, gydymas</w:t>
      </w: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Rekomenduojama gydymą pradėti iš pradžių skiriant po 20 mg Sandostatin LAR kas 4 savaites. Pacientams, kurie buvo gydomi po oda leidžiamu Sandostatin, po pirmosios Sandostatin LAR injekcijos dar 2 savaites reikia vartoti ankstesnes veiksmingas Sandostatin dozes.</w:t>
      </w: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pacientams po 3 mėnesių gydymo klinikiniai simptomai ir biologiniai žymenys gerai kontroliuojami, Sandostatin LAR dozę galima mažinti iki po 10 mg kas 4 savaites.</w:t>
      </w: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pacientams po 3 mėnesių gydymo simptomai tik dalinai kontroliuojami, Sandostatin LAR dozę galima didinti iki po 30 mg kas 4 savaites.</w:t>
      </w: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 xml:space="preserve">Tomis dienomis, kai vartojant Sandostatin LAR paūmėja su skrandžio, žarnyno, kasos augliais susiję simptomai, papildomai rekomenduojama skirti tokią po oda leidžiamo Sandostatin dozę, kokia buvo vartota prieš pradedant gydyti Sandostatin LAR. Dažniausia tai gali pasireikšti pirmaisiais dviem gydymo mėnesiais, kol bus pasiekta gydomoji oktreotido koncentracija. </w:t>
      </w:r>
    </w:p>
    <w:p w:rsidR="00122C00" w:rsidRPr="00A23D3E" w:rsidRDefault="00122C00" w:rsidP="00122C00">
      <w:pPr>
        <w:autoSpaceDE w:val="0"/>
        <w:autoSpaceDN w:val="0"/>
        <w:adjustRightInd w:val="0"/>
        <w:spacing w:after="0" w:line="240" w:lineRule="auto"/>
        <w:rPr>
          <w:rFonts w:ascii="Times New Roman" w:eastAsia="Calibri" w:hAnsi="Times New Roman" w:cs="Times New Roman"/>
          <w:lang w:val="en-US"/>
        </w:rPr>
      </w:pPr>
    </w:p>
    <w:p w:rsidR="00122C00" w:rsidRPr="00A23D3E" w:rsidRDefault="00122C00" w:rsidP="00122C00">
      <w:pPr>
        <w:keepNext/>
        <w:widowControl w:val="0"/>
        <w:numPr>
          <w:ilvl w:val="0"/>
          <w:numId w:val="8"/>
        </w:numPr>
        <w:spacing w:after="0" w:line="240" w:lineRule="auto"/>
        <w:ind w:left="567" w:hanging="567"/>
        <w:rPr>
          <w:rFonts w:ascii="Times New Roman" w:eastAsia="Calibri" w:hAnsi="Times New Roman" w:cs="Times New Roman"/>
          <w:i/>
          <w:lang w:val="en-US"/>
        </w:rPr>
      </w:pPr>
      <w:r w:rsidRPr="00A23D3E">
        <w:rPr>
          <w:rFonts w:ascii="Times New Roman" w:eastAsia="Calibri" w:hAnsi="Times New Roman" w:cs="Times New Roman"/>
          <w:i/>
          <w:lang w:val="en-US"/>
        </w:rPr>
        <w:t>Pacientų, sergančių išplitusiu neuroendokrininiu virškinimo trakto augliu arba nežinomos pirminės lokalizacijos neuroendokrininiu augliu, kai buvo atmesta kita nei virškinimo trakto kilmė, gydymas</w:t>
      </w:r>
    </w:p>
    <w:p w:rsidR="00122C00" w:rsidRPr="00A23D3E" w:rsidRDefault="00122C00" w:rsidP="00122C00">
      <w:pPr>
        <w:tabs>
          <w:tab w:val="left" w:pos="567"/>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Rekomenduojama Sandostatin LAR dozė yra po 30 mg kas 4 savaites. Siekiant kontroliuoti auglio simptomus, gydymą Sandostatin LAR reikia tęsti ir nesant auglio progresavimo požymių.</w:t>
      </w:r>
    </w:p>
    <w:p w:rsidR="00122C00" w:rsidRPr="00A23D3E" w:rsidRDefault="00122C00" w:rsidP="00122C00">
      <w:pPr>
        <w:tabs>
          <w:tab w:val="left" w:pos="567"/>
        </w:tabs>
        <w:spacing w:after="0" w:line="240" w:lineRule="auto"/>
        <w:rPr>
          <w:rFonts w:ascii="Times New Roman" w:eastAsia="Calibri" w:hAnsi="Times New Roman" w:cs="Times New Roman"/>
          <w:lang w:val="en-US"/>
        </w:rPr>
      </w:pPr>
    </w:p>
    <w:p w:rsidR="00122C00" w:rsidRPr="00A23D3E" w:rsidRDefault="00122C00" w:rsidP="00122C00">
      <w:pPr>
        <w:keepNext/>
        <w:widowControl w:val="0"/>
        <w:spacing w:after="0" w:line="240" w:lineRule="auto"/>
        <w:rPr>
          <w:rFonts w:ascii="Times New Roman" w:eastAsia="Calibri" w:hAnsi="Times New Roman" w:cs="Times New Roman"/>
          <w:i/>
          <w:lang w:val="en-US"/>
        </w:rPr>
      </w:pPr>
      <w:r w:rsidRPr="00A23D3E">
        <w:rPr>
          <w:rFonts w:ascii="Times New Roman" w:eastAsia="Calibri" w:hAnsi="Times New Roman" w:cs="Times New Roman"/>
          <w:i/>
          <w:lang w:val="en-US"/>
        </w:rPr>
        <w:t>Pacientų, sergančių TTH sekretuojančia adenoma, gydymas</w:t>
      </w:r>
    </w:p>
    <w:p w:rsidR="00122C00" w:rsidRPr="00A23D3E" w:rsidRDefault="00122C00" w:rsidP="00122C00">
      <w:p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Gydymą Sandostatin LAR reikėtų pradėti skiriant po 20 mg dozę kas 4 savaites 3 mėnesius ir tik po to svarstyti dozės keitimo klausimą. Vėliau dozė koreguojama, atsižvelgiant į TTH ir skydliaukės hormonų koncentracijų pokyčius.</w:t>
      </w:r>
    </w:p>
    <w:p w:rsidR="00122C00" w:rsidRPr="00A23D3E" w:rsidRDefault="00122C00" w:rsidP="00122C00">
      <w:pPr>
        <w:spacing w:after="0" w:line="240" w:lineRule="auto"/>
        <w:rPr>
          <w:rFonts w:ascii="Times New Roman" w:eastAsia="Calibri" w:hAnsi="Times New Roman" w:cs="Times New Roman"/>
          <w:lang w:val="en-US"/>
        </w:rPr>
      </w:pPr>
    </w:p>
    <w:p w:rsidR="00122C00" w:rsidRPr="00A23D3E" w:rsidRDefault="00122C00" w:rsidP="00122C00">
      <w:pPr>
        <w:spacing w:after="0" w:line="240" w:lineRule="auto"/>
        <w:rPr>
          <w:rFonts w:ascii="Times New Roman" w:eastAsia="Calibri" w:hAnsi="Times New Roman" w:cs="Times New Roman"/>
          <w:lang w:val="en-US"/>
        </w:rPr>
      </w:pPr>
    </w:p>
    <w:p w:rsidR="00122C00" w:rsidRPr="00A23D3E" w:rsidRDefault="00122C00" w:rsidP="00122C00">
      <w:pPr>
        <w:tabs>
          <w:tab w:val="left" w:pos="567"/>
        </w:tabs>
        <w:spacing w:before="120" w:after="240" w:line="240" w:lineRule="auto"/>
        <w:jc w:val="both"/>
        <w:rPr>
          <w:rFonts w:ascii="Times New Roman" w:eastAsia="Calibri" w:hAnsi="Times New Roman" w:cs="Times New Roman"/>
          <w:b/>
          <w:lang w:val="en-US"/>
        </w:rPr>
      </w:pPr>
      <w:r w:rsidRPr="00A23D3E">
        <w:rPr>
          <w:rFonts w:ascii="Times New Roman" w:eastAsia="Calibri" w:hAnsi="Times New Roman" w:cs="Times New Roman"/>
          <w:b/>
          <w:lang w:val="en-US"/>
        </w:rPr>
        <w:t>Sandostatin LAR paruošimo ir leidimo į raumenis instrukcijos</w:t>
      </w:r>
    </w:p>
    <w:p w:rsidR="00122C00" w:rsidRPr="00A23D3E" w:rsidRDefault="00122C00" w:rsidP="00122C00">
      <w:pPr>
        <w:tabs>
          <w:tab w:val="left" w:pos="567"/>
        </w:tabs>
        <w:spacing w:before="120" w:after="240" w:line="240" w:lineRule="auto"/>
        <w:jc w:val="both"/>
        <w:rPr>
          <w:rFonts w:ascii="Times New Roman" w:eastAsia="Calibri" w:hAnsi="Times New Roman" w:cs="Times New Roman"/>
          <w:lang w:val="en-US"/>
        </w:rPr>
      </w:pPr>
      <w:r w:rsidRPr="00A23D3E">
        <w:rPr>
          <w:rFonts w:ascii="Times New Roman" w:eastAsia="Calibri" w:hAnsi="Times New Roman" w:cs="Times New Roman"/>
          <w:lang w:val="en-US"/>
        </w:rPr>
        <w:t>LEISTI TIK GILIAI Į SĖDMENŲ RAUMENIS</w:t>
      </w:r>
    </w:p>
    <w:p w:rsidR="00122C00" w:rsidRPr="00A23D3E" w:rsidRDefault="00122C00" w:rsidP="00122C00">
      <w:pPr>
        <w:tabs>
          <w:tab w:val="left" w:pos="567"/>
        </w:tabs>
        <w:spacing w:before="120" w:after="240" w:line="240" w:lineRule="auto"/>
        <w:jc w:val="both"/>
        <w:rPr>
          <w:rFonts w:ascii="Times New Roman" w:eastAsia="Times New Roman" w:hAnsi="Times New Roman" w:cs="Times New Roman"/>
          <w:lang w:val="en-GB"/>
        </w:rPr>
      </w:pPr>
      <w:r w:rsidRPr="00A23D3E">
        <w:rPr>
          <w:rFonts w:ascii="Times New Roman" w:eastAsia="Times New Roman" w:hAnsi="Times New Roman" w:cs="Times New Roman"/>
          <w:lang w:val="en-GB"/>
        </w:rPr>
        <w:t>Rinkinį sudaro:</w:t>
      </w:r>
    </w:p>
    <w:p w:rsidR="00122C00" w:rsidRPr="00A23D3E" w:rsidRDefault="00122C00" w:rsidP="00122C00">
      <w:pPr>
        <w:tabs>
          <w:tab w:val="left" w:pos="567"/>
        </w:tabs>
        <w:spacing w:before="120" w:after="24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sz w:val="24"/>
          <w:lang w:eastAsia="lt-LT"/>
        </w:rPr>
        <w:drawing>
          <wp:inline distT="0" distB="0" distL="0" distR="0" wp14:anchorId="53CBC238" wp14:editId="4AE6CD3D">
            <wp:extent cx="5753100" cy="2019300"/>
            <wp:effectExtent l="0" t="0" r="0" b="0"/>
            <wp:docPr id="17"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53100" cy="2019300"/>
                    </a:xfrm>
                    <a:prstGeom prst="rect">
                      <a:avLst/>
                    </a:prstGeom>
                    <a:noFill/>
                    <a:ln>
                      <a:noFill/>
                    </a:ln>
                  </pic:spPr>
                </pic:pic>
              </a:graphicData>
            </a:graphic>
          </wp:inline>
        </w:drawing>
      </w:r>
    </w:p>
    <w:tbl>
      <w:tblPr>
        <w:tblW w:w="0" w:type="auto"/>
        <w:tblLayout w:type="fixed"/>
        <w:tblLook w:val="0000" w:firstRow="0" w:lastRow="0" w:firstColumn="0" w:lastColumn="0" w:noHBand="0" w:noVBand="0"/>
      </w:tblPr>
      <w:tblGrid>
        <w:gridCol w:w="708"/>
        <w:gridCol w:w="8591"/>
      </w:tblGrid>
      <w:tr w:rsidR="00122C00" w:rsidRPr="00A23D3E" w:rsidTr="00A740B4">
        <w:trPr>
          <w:tblHeader/>
        </w:trPr>
        <w:tc>
          <w:tcPr>
            <w:tcW w:w="9299" w:type="dxa"/>
            <w:gridSpan w:val="2"/>
            <w:shd w:val="clear" w:color="auto" w:fill="auto"/>
          </w:tcPr>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p>
        </w:tc>
      </w:tr>
      <w:tr w:rsidR="00122C00" w:rsidRPr="00A23D3E" w:rsidTr="00A740B4">
        <w:tc>
          <w:tcPr>
            <w:tcW w:w="708" w:type="dxa"/>
            <w:shd w:val="clear" w:color="auto" w:fill="auto"/>
            <w:vAlign w:val="center"/>
          </w:tcPr>
          <w:p w:rsidR="00122C00" w:rsidRPr="00A23D3E" w:rsidRDefault="00122C00" w:rsidP="00A740B4">
            <w:pPr>
              <w:keepLines/>
              <w:tabs>
                <w:tab w:val="left" w:pos="567"/>
              </w:tabs>
              <w:spacing w:before="40" w:after="2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a.</w:t>
            </w:r>
          </w:p>
        </w:tc>
        <w:tc>
          <w:tcPr>
            <w:tcW w:w="8591" w:type="dxa"/>
            <w:shd w:val="clear" w:color="auto" w:fill="auto"/>
            <w:vAlign w:val="center"/>
          </w:tcPr>
          <w:p w:rsidR="00122C00" w:rsidRPr="00A23D3E" w:rsidRDefault="00122C00" w:rsidP="00A740B4">
            <w:pPr>
              <w:keepLines/>
              <w:tabs>
                <w:tab w:val="left" w:pos="284"/>
                <w:tab w:val="left" w:pos="567"/>
              </w:tabs>
              <w:spacing w:before="40" w:after="20" w:line="240" w:lineRule="auto"/>
              <w:rPr>
                <w:rFonts w:ascii="Times New Roman" w:eastAsia="MS Mincho" w:hAnsi="Times New Roman" w:cs="Times New Roman"/>
                <w:lang w:val="es-ES"/>
              </w:rPr>
            </w:pPr>
            <w:r w:rsidRPr="00A23D3E">
              <w:rPr>
                <w:rFonts w:ascii="Times New Roman" w:eastAsia="MS Mincho" w:hAnsi="Times New Roman" w:cs="Times New Roman"/>
                <w:lang w:val="es-ES"/>
              </w:rPr>
              <w:t>Vienas flakonas, kuriame yra Sandostatin LAR milteliai</w:t>
            </w:r>
          </w:p>
        </w:tc>
      </w:tr>
      <w:tr w:rsidR="00122C00" w:rsidRPr="00A23D3E" w:rsidTr="00A740B4">
        <w:tc>
          <w:tcPr>
            <w:tcW w:w="708" w:type="dxa"/>
            <w:shd w:val="clear" w:color="auto" w:fill="auto"/>
            <w:vAlign w:val="center"/>
          </w:tcPr>
          <w:p w:rsidR="00122C00" w:rsidRPr="00A23D3E" w:rsidRDefault="00122C00" w:rsidP="00A740B4">
            <w:pPr>
              <w:keepLines/>
              <w:tabs>
                <w:tab w:val="left" w:pos="567"/>
              </w:tabs>
              <w:spacing w:before="40" w:after="2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b.</w:t>
            </w:r>
          </w:p>
        </w:tc>
        <w:tc>
          <w:tcPr>
            <w:tcW w:w="8591" w:type="dxa"/>
            <w:shd w:val="clear" w:color="auto" w:fill="auto"/>
            <w:vAlign w:val="center"/>
          </w:tcPr>
          <w:p w:rsidR="00122C00" w:rsidRPr="00A23D3E" w:rsidRDefault="00122C00" w:rsidP="00A740B4">
            <w:pPr>
              <w:keepLines/>
              <w:tabs>
                <w:tab w:val="left" w:pos="284"/>
                <w:tab w:val="left" w:pos="567"/>
              </w:tabs>
              <w:spacing w:before="40" w:after="2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Vienas tirpikliu užpildytas švirkštas</w:t>
            </w:r>
          </w:p>
        </w:tc>
      </w:tr>
      <w:tr w:rsidR="00122C00" w:rsidRPr="00A23D3E" w:rsidTr="00A740B4">
        <w:tc>
          <w:tcPr>
            <w:tcW w:w="708" w:type="dxa"/>
            <w:shd w:val="clear" w:color="auto" w:fill="auto"/>
            <w:vAlign w:val="center"/>
          </w:tcPr>
          <w:p w:rsidR="00122C00" w:rsidRPr="00A23D3E" w:rsidRDefault="00122C00" w:rsidP="00A740B4">
            <w:pPr>
              <w:keepLines/>
              <w:tabs>
                <w:tab w:val="left" w:pos="567"/>
              </w:tabs>
              <w:spacing w:before="40" w:after="2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c.</w:t>
            </w:r>
          </w:p>
        </w:tc>
        <w:tc>
          <w:tcPr>
            <w:tcW w:w="8591" w:type="dxa"/>
            <w:shd w:val="clear" w:color="auto" w:fill="auto"/>
            <w:vAlign w:val="center"/>
          </w:tcPr>
          <w:p w:rsidR="00122C00" w:rsidRPr="00A23D3E" w:rsidRDefault="00122C00" w:rsidP="00A740B4">
            <w:pPr>
              <w:keepLines/>
              <w:tabs>
                <w:tab w:val="left" w:pos="284"/>
                <w:tab w:val="left" w:pos="567"/>
              </w:tabs>
              <w:spacing w:before="40" w:after="2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Vienas flakono adapteris suspensijai ruošti</w:t>
            </w:r>
          </w:p>
        </w:tc>
      </w:tr>
      <w:tr w:rsidR="00122C00" w:rsidRPr="00A23D3E" w:rsidTr="00A740B4">
        <w:tc>
          <w:tcPr>
            <w:tcW w:w="708" w:type="dxa"/>
            <w:shd w:val="clear" w:color="auto" w:fill="auto"/>
            <w:vAlign w:val="center"/>
          </w:tcPr>
          <w:p w:rsidR="00122C00" w:rsidRPr="00A23D3E" w:rsidRDefault="00122C00" w:rsidP="00A740B4">
            <w:pPr>
              <w:keepLines/>
              <w:tabs>
                <w:tab w:val="left" w:pos="567"/>
              </w:tabs>
              <w:spacing w:before="40" w:after="2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d.</w:t>
            </w:r>
          </w:p>
        </w:tc>
        <w:tc>
          <w:tcPr>
            <w:tcW w:w="8591" w:type="dxa"/>
            <w:shd w:val="clear" w:color="auto" w:fill="auto"/>
            <w:vAlign w:val="center"/>
          </w:tcPr>
          <w:p w:rsidR="00122C00" w:rsidRPr="00A23D3E" w:rsidRDefault="00122C00" w:rsidP="00A740B4">
            <w:pPr>
              <w:keepLines/>
              <w:tabs>
                <w:tab w:val="left" w:pos="284"/>
                <w:tab w:val="left" w:pos="567"/>
              </w:tabs>
              <w:spacing w:before="40" w:after="20" w:line="240" w:lineRule="auto"/>
              <w:rPr>
                <w:rFonts w:ascii="Times New Roman" w:eastAsia="MS Mincho" w:hAnsi="Times New Roman" w:cs="Times New Roman"/>
                <w:lang w:val="it-IT"/>
              </w:rPr>
            </w:pPr>
            <w:r w:rsidRPr="00A23D3E">
              <w:rPr>
                <w:rFonts w:ascii="Times New Roman" w:eastAsia="MS Mincho" w:hAnsi="Times New Roman" w:cs="Times New Roman"/>
                <w:lang w:val="it-IT"/>
              </w:rPr>
              <w:t xml:space="preserve">Viena saugi injekcinė adata </w:t>
            </w:r>
          </w:p>
        </w:tc>
      </w:tr>
    </w:tbl>
    <w:p w:rsidR="00122C00" w:rsidRPr="00A23D3E" w:rsidRDefault="00122C00" w:rsidP="00122C00">
      <w:pPr>
        <w:keepNext/>
        <w:tabs>
          <w:tab w:val="left" w:pos="567"/>
        </w:tabs>
        <w:spacing w:before="120" w:after="0" w:line="240" w:lineRule="auto"/>
        <w:jc w:val="both"/>
        <w:rPr>
          <w:rFonts w:ascii="Times New Roman" w:eastAsia="Times New Roman" w:hAnsi="Times New Roman" w:cs="Times New Roman"/>
          <w:lang w:val="it-IT" w:eastAsia="x-none"/>
        </w:rPr>
      </w:pPr>
    </w:p>
    <w:p w:rsidR="00122C00" w:rsidRPr="00A23D3E" w:rsidRDefault="00122C00" w:rsidP="00122C00">
      <w:pPr>
        <w:keepNext/>
        <w:tabs>
          <w:tab w:val="left" w:pos="567"/>
        </w:tabs>
        <w:spacing w:after="0" w:line="240" w:lineRule="auto"/>
        <w:jc w:val="both"/>
        <w:rPr>
          <w:rFonts w:ascii="Times New Roman" w:eastAsia="Times New Roman" w:hAnsi="Times New Roman" w:cs="Times New Roman"/>
          <w:lang w:val="it-IT" w:eastAsia="x-none"/>
        </w:rPr>
      </w:pPr>
      <w:r w:rsidRPr="00A23D3E">
        <w:rPr>
          <w:rFonts w:ascii="Times New Roman" w:eastAsia="Times New Roman" w:hAnsi="Times New Roman" w:cs="Times New Roman"/>
          <w:lang w:val="it-IT" w:eastAsia="x-none"/>
        </w:rPr>
        <w:t>Tiksliai laikykitės toliau pateiktų nurodymų, kad teisingai paruoštumėte Sandostatin LAR prieš injekciją į raumenis.</w:t>
      </w:r>
    </w:p>
    <w:p w:rsidR="00122C00" w:rsidRPr="00A23D3E" w:rsidRDefault="00122C00" w:rsidP="00122C00">
      <w:pPr>
        <w:tabs>
          <w:tab w:val="left" w:pos="567"/>
        </w:tabs>
        <w:autoSpaceDE w:val="0"/>
        <w:autoSpaceDN w:val="0"/>
        <w:adjustRightInd w:val="0"/>
        <w:spacing w:after="0" w:line="240" w:lineRule="auto"/>
        <w:rPr>
          <w:rFonts w:ascii="Times New Roman" w:eastAsia="Times New Roman" w:hAnsi="Times New Roman" w:cs="Times New Roman"/>
          <w:b/>
          <w:u w:val="single"/>
          <w:lang w:val="it-IT"/>
        </w:rPr>
      </w:pPr>
      <w:r w:rsidRPr="00A23D3E">
        <w:rPr>
          <w:rFonts w:ascii="Times New Roman" w:eastAsia="Times New Roman" w:hAnsi="Times New Roman" w:cs="Times New Roman"/>
          <w:lang w:val="it-IT"/>
        </w:rPr>
        <w:t xml:space="preserve">Yra 3 kritiniai Sandostatin LAR suspensijos ruošimo etapai. </w:t>
      </w:r>
      <w:r w:rsidRPr="00A23D3E">
        <w:rPr>
          <w:rFonts w:ascii="Times New Roman" w:eastAsia="Times New Roman" w:hAnsi="Times New Roman" w:cs="Times New Roman"/>
          <w:b/>
          <w:u w:val="single"/>
          <w:lang w:val="it-IT"/>
        </w:rPr>
        <w:t>Jei nebus laikomasi reikalavimų, vaistinio preparato gali būti suleista netinkamai.</w:t>
      </w:r>
    </w:p>
    <w:p w:rsidR="00122C00" w:rsidRPr="00A23D3E" w:rsidRDefault="00122C00" w:rsidP="00122C00">
      <w:pPr>
        <w:numPr>
          <w:ilvl w:val="0"/>
          <w:numId w:val="9"/>
        </w:numPr>
        <w:autoSpaceDE w:val="0"/>
        <w:autoSpaceDN w:val="0"/>
        <w:adjustRightInd w:val="0"/>
        <w:spacing w:after="0" w:line="240" w:lineRule="auto"/>
        <w:rPr>
          <w:rFonts w:ascii="Times New Roman" w:eastAsia="Times New Roman" w:hAnsi="Times New Roman" w:cs="Times New Roman"/>
          <w:lang w:val="it-IT"/>
        </w:rPr>
      </w:pPr>
      <w:r w:rsidRPr="00A23D3E">
        <w:rPr>
          <w:rFonts w:ascii="Times New Roman" w:eastAsia="Times New Roman" w:hAnsi="Times New Roman" w:cs="Times New Roman"/>
          <w:b/>
          <w:u w:val="single"/>
          <w:lang w:val="it-IT"/>
        </w:rPr>
        <w:lastRenderedPageBreak/>
        <w:t>Injekcinio rinkinio temperatūra turi būti tokia pati kaip  kambario temperatūra</w:t>
      </w:r>
      <w:r w:rsidRPr="00A23D3E">
        <w:rPr>
          <w:rFonts w:ascii="Times New Roman" w:eastAsia="Times New Roman" w:hAnsi="Times New Roman" w:cs="Times New Roman"/>
          <w:lang w:val="it-IT"/>
        </w:rPr>
        <w:t xml:space="preserve">. </w:t>
      </w:r>
      <w:r w:rsidRPr="00A23D3E">
        <w:rPr>
          <w:rFonts w:ascii="Times New Roman" w:eastAsia="Times New Roman" w:hAnsi="Times New Roman" w:cs="Times New Roman"/>
          <w:color w:val="000000"/>
          <w:lang w:val="it-IT"/>
        </w:rPr>
        <w:t xml:space="preserve">Injekcinį rinkinį išimkite iš šaldytuvo ir prieš suspensijos ruošimą palaikykite kambario temperatūroje </w:t>
      </w:r>
      <w:r w:rsidRPr="00A23D3E">
        <w:rPr>
          <w:rFonts w:ascii="Times New Roman" w:eastAsia="Times New Roman" w:hAnsi="Times New Roman" w:cs="Times New Roman"/>
          <w:lang w:val="it-IT"/>
        </w:rPr>
        <w:t>ne trumpiau kaip 30 minučių, tačiau ne ilgiau kaip 24 valandas.</w:t>
      </w:r>
    </w:p>
    <w:p w:rsidR="00122C00" w:rsidRPr="00A23D3E" w:rsidRDefault="00122C00" w:rsidP="00122C00">
      <w:pPr>
        <w:numPr>
          <w:ilvl w:val="0"/>
          <w:numId w:val="9"/>
        </w:numPr>
        <w:autoSpaceDE w:val="0"/>
        <w:autoSpaceDN w:val="0"/>
        <w:adjustRightInd w:val="0"/>
        <w:spacing w:after="0" w:line="240" w:lineRule="auto"/>
        <w:rPr>
          <w:rFonts w:ascii="Times New Roman" w:eastAsia="Times New Roman" w:hAnsi="Times New Roman" w:cs="Times New Roman"/>
          <w:b/>
          <w:u w:val="single"/>
          <w:lang w:val="it-IT"/>
        </w:rPr>
      </w:pPr>
      <w:r w:rsidRPr="00A23D3E">
        <w:rPr>
          <w:rFonts w:ascii="Times New Roman" w:eastAsia="Times New Roman" w:hAnsi="Times New Roman" w:cs="Times New Roman"/>
          <w:lang w:val="it-IT"/>
        </w:rPr>
        <w:t xml:space="preserve">Po tirpiklio sušvirkštimo, nejudinkite flakono 5 minutes, kad būtų </w:t>
      </w:r>
      <w:r w:rsidRPr="00A23D3E">
        <w:rPr>
          <w:rFonts w:ascii="Times New Roman" w:eastAsia="Times New Roman" w:hAnsi="Times New Roman" w:cs="Times New Roman"/>
          <w:b/>
          <w:bCs/>
          <w:lang w:val="it-IT"/>
        </w:rPr>
        <w:t>užtikrinta, jog</w:t>
      </w:r>
      <w:r w:rsidRPr="00A23D3E">
        <w:rPr>
          <w:rFonts w:ascii="Times New Roman" w:eastAsia="Times New Roman" w:hAnsi="Times New Roman" w:cs="Times New Roman"/>
          <w:lang w:val="it-IT"/>
        </w:rPr>
        <w:t xml:space="preserve"> </w:t>
      </w:r>
      <w:r w:rsidRPr="00A23D3E">
        <w:rPr>
          <w:rFonts w:ascii="Times New Roman" w:eastAsia="Times New Roman" w:hAnsi="Times New Roman" w:cs="Times New Roman"/>
          <w:b/>
          <w:u w:val="single"/>
          <w:lang w:val="it-IT"/>
        </w:rPr>
        <w:t>sudrėko visi milteliai.</w:t>
      </w:r>
    </w:p>
    <w:p w:rsidR="00122C00" w:rsidRPr="00A23D3E" w:rsidRDefault="00122C00" w:rsidP="00122C00">
      <w:pPr>
        <w:numPr>
          <w:ilvl w:val="0"/>
          <w:numId w:val="9"/>
        </w:numPr>
        <w:spacing w:after="0" w:line="240" w:lineRule="auto"/>
        <w:jc w:val="both"/>
        <w:rPr>
          <w:rFonts w:ascii="Times New Roman" w:eastAsia="Times New Roman" w:hAnsi="Times New Roman" w:cs="Times New Roman"/>
          <w:lang w:val="en-GB" w:eastAsia="x-none"/>
        </w:rPr>
      </w:pPr>
      <w:r w:rsidRPr="00A23D3E">
        <w:rPr>
          <w:rFonts w:ascii="Times New Roman" w:eastAsia="Times New Roman" w:hAnsi="Times New Roman" w:cs="Times New Roman"/>
          <w:lang w:val="it-IT" w:eastAsia="x-none"/>
        </w:rPr>
        <w:t xml:space="preserve">Milteliams sudrėkus, </w:t>
      </w:r>
      <w:r w:rsidRPr="00A23D3E">
        <w:rPr>
          <w:rFonts w:ascii="Times New Roman" w:eastAsia="Times New Roman" w:hAnsi="Times New Roman" w:cs="Times New Roman"/>
          <w:b/>
          <w:u w:val="single"/>
          <w:lang w:val="it-IT" w:eastAsia="x-none"/>
        </w:rPr>
        <w:t>flakoną nestipriai pakratykite</w:t>
      </w:r>
      <w:r w:rsidRPr="00A23D3E">
        <w:rPr>
          <w:rFonts w:ascii="Times New Roman" w:eastAsia="Times New Roman" w:hAnsi="Times New Roman" w:cs="Times New Roman"/>
          <w:lang w:val="it-IT" w:eastAsia="x-none"/>
        </w:rPr>
        <w:t xml:space="preserve"> horizontalia kryptimi mažiausiai 30 sekundžių, </w:t>
      </w:r>
      <w:r w:rsidRPr="00A23D3E">
        <w:rPr>
          <w:rFonts w:ascii="Times New Roman" w:eastAsia="Times New Roman" w:hAnsi="Times New Roman" w:cs="Times New Roman"/>
          <w:b/>
          <w:u w:val="single"/>
          <w:lang w:val="it-IT" w:eastAsia="x-none"/>
        </w:rPr>
        <w:t xml:space="preserve">kol susidarys vienalytė suspensija. </w:t>
      </w:r>
      <w:r w:rsidRPr="00A23D3E">
        <w:rPr>
          <w:rFonts w:ascii="Times New Roman" w:eastAsia="Times New Roman" w:hAnsi="Times New Roman" w:cs="Times New Roman"/>
          <w:lang w:val="en-GB" w:eastAsia="x-none"/>
        </w:rPr>
        <w:t xml:space="preserve">Sandostatin LAR suspensiją reikia paruošti </w:t>
      </w:r>
      <w:r w:rsidRPr="00A23D3E">
        <w:rPr>
          <w:rFonts w:ascii="Times New Roman" w:eastAsia="Times New Roman" w:hAnsi="Times New Roman" w:cs="Times New Roman"/>
          <w:b/>
          <w:lang w:val="en-GB" w:eastAsia="x-none"/>
        </w:rPr>
        <w:t xml:space="preserve">tik </w:t>
      </w:r>
      <w:r w:rsidRPr="00A23D3E">
        <w:rPr>
          <w:rFonts w:ascii="Times New Roman" w:eastAsia="Times New Roman" w:hAnsi="Times New Roman" w:cs="Times New Roman"/>
          <w:lang w:val="en-GB" w:eastAsia="x-none"/>
        </w:rPr>
        <w:t>prieš pat injekciją.</w:t>
      </w:r>
    </w:p>
    <w:p w:rsidR="00122C00" w:rsidRPr="00A23D3E" w:rsidRDefault="00122C00" w:rsidP="00122C00">
      <w:pPr>
        <w:keepLines/>
        <w:tabs>
          <w:tab w:val="left" w:pos="567"/>
        </w:tabs>
        <w:spacing w:before="120" w:after="0" w:line="240" w:lineRule="auto"/>
        <w:jc w:val="both"/>
        <w:rPr>
          <w:rFonts w:ascii="Times New Roman" w:eastAsia="Times New Roman" w:hAnsi="Times New Roman" w:cs="Times New Roman"/>
          <w:lang w:val="en-GB" w:eastAsia="x-none"/>
        </w:rPr>
      </w:pPr>
      <w:r w:rsidRPr="00A23D3E">
        <w:rPr>
          <w:rFonts w:ascii="Times New Roman" w:eastAsia="Times New Roman" w:hAnsi="Times New Roman" w:cs="Times New Roman"/>
          <w:lang w:val="en-GB" w:eastAsia="x-none"/>
        </w:rPr>
        <w:t>Sandostatin LAR gali leisti tik išmokytas sveikatos priežiūros specialistas.</w:t>
      </w:r>
    </w:p>
    <w:tbl>
      <w:tblPr>
        <w:tblW w:w="9475" w:type="dxa"/>
        <w:tblInd w:w="-176" w:type="dxa"/>
        <w:tblLayout w:type="fixed"/>
        <w:tblLook w:val="0000" w:firstRow="0" w:lastRow="0" w:firstColumn="0" w:lastColumn="0" w:noHBand="0" w:noVBand="0"/>
      </w:tblPr>
      <w:tblGrid>
        <w:gridCol w:w="6164"/>
        <w:gridCol w:w="3311"/>
      </w:tblGrid>
      <w:tr w:rsidR="00122C00" w:rsidRPr="00A23D3E" w:rsidTr="00A740B4">
        <w:trPr>
          <w:tblHeader/>
        </w:trPr>
        <w:tc>
          <w:tcPr>
            <w:tcW w:w="6164" w:type="dxa"/>
            <w:shd w:val="clear" w:color="auto" w:fill="auto"/>
          </w:tcPr>
          <w:p w:rsidR="00122C00" w:rsidRPr="00A23D3E" w:rsidRDefault="00122C00" w:rsidP="00A740B4">
            <w:pPr>
              <w:tabs>
                <w:tab w:val="left" w:pos="426"/>
              </w:tabs>
              <w:spacing w:before="120" w:after="0" w:line="240" w:lineRule="auto"/>
              <w:ind w:firstLine="426"/>
              <w:rPr>
                <w:rFonts w:ascii="Times New Roman" w:eastAsia="Times New Roman" w:hAnsi="Times New Roman" w:cs="Times New Roman"/>
                <w:b/>
                <w:lang w:val="en-GB"/>
              </w:rPr>
            </w:pPr>
            <w:r w:rsidRPr="00A23D3E">
              <w:rPr>
                <w:rFonts w:ascii="Times New Roman" w:eastAsia="Times New Roman" w:hAnsi="Times New Roman" w:cs="Times New Roman"/>
                <w:b/>
                <w:lang w:val="en-GB"/>
              </w:rPr>
              <w:lastRenderedPageBreak/>
              <w:t>1 etapas</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lang w:val="en-GB"/>
              </w:rPr>
            </w:pPr>
            <w:r w:rsidRPr="00A23D3E">
              <w:rPr>
                <w:rFonts w:ascii="Times New Roman" w:eastAsia="Times New Roman" w:hAnsi="Times New Roman" w:cs="Times New Roman"/>
                <w:lang w:val="en-GB"/>
              </w:rPr>
              <w:t>Sandostatin LAR injekcinį rinkinį išimkite iš šaldytuvo.</w:t>
            </w:r>
          </w:p>
          <w:p w:rsidR="00122C00" w:rsidRPr="00A23D3E" w:rsidRDefault="00122C00" w:rsidP="00A740B4">
            <w:pPr>
              <w:autoSpaceDE w:val="0"/>
              <w:autoSpaceDN w:val="0"/>
              <w:adjustRightInd w:val="0"/>
              <w:spacing w:after="0" w:line="240" w:lineRule="auto"/>
              <w:ind w:left="426"/>
              <w:rPr>
                <w:rFonts w:ascii="Times New Roman" w:eastAsia="Times New Roman" w:hAnsi="Times New Roman" w:cs="Times New Roman"/>
                <w:b/>
                <w:bCs/>
                <w:lang w:val="en-GB"/>
              </w:rPr>
            </w:pPr>
            <w:r w:rsidRPr="00A23D3E">
              <w:rPr>
                <w:rFonts w:ascii="Times New Roman" w:eastAsia="Times New Roman" w:hAnsi="Times New Roman" w:cs="Times New Roman"/>
                <w:b/>
                <w:bCs/>
                <w:lang w:val="en-GB"/>
              </w:rPr>
              <w:t xml:space="preserve">DĖMESIO! Labai svarbu suspensiją pradėti ruošti tik tada, kai injekcinis rinkinys sušyla iki kambario temperatūros. </w:t>
            </w:r>
            <w:r w:rsidRPr="00A23D3E">
              <w:rPr>
                <w:rFonts w:ascii="Times New Roman" w:eastAsia="Times New Roman" w:hAnsi="Times New Roman" w:cs="Times New Roman"/>
                <w:b/>
                <w:bCs/>
                <w:color w:val="000000"/>
                <w:lang w:val="en-GB"/>
              </w:rPr>
              <w:t xml:space="preserve">Prieš ruošdami suspensiją, palaikykite rinkinį kambario temperatūroje </w:t>
            </w:r>
            <w:r w:rsidRPr="00A23D3E">
              <w:rPr>
                <w:rFonts w:ascii="Times New Roman" w:eastAsia="Times New Roman" w:hAnsi="Times New Roman" w:cs="Times New Roman"/>
                <w:b/>
                <w:bCs/>
                <w:lang w:val="en-GB"/>
              </w:rPr>
              <w:t>ne trumpiau kaip 30 minučių, tačiau ne ilgiau kaip 24 valandas.</w:t>
            </w:r>
          </w:p>
          <w:p w:rsidR="00122C00" w:rsidRPr="00A23D3E" w:rsidRDefault="00122C00" w:rsidP="00A740B4">
            <w:pPr>
              <w:autoSpaceDE w:val="0"/>
              <w:autoSpaceDN w:val="0"/>
              <w:adjustRightInd w:val="0"/>
              <w:spacing w:after="0" w:line="240" w:lineRule="auto"/>
              <w:ind w:left="426"/>
              <w:rPr>
                <w:rFonts w:ascii="Times New Roman" w:eastAsia="Times New Roman" w:hAnsi="Times New Roman" w:cs="Times New Roman"/>
                <w:lang w:val="en-GB"/>
              </w:rPr>
            </w:pPr>
            <w:r w:rsidRPr="00A23D3E">
              <w:rPr>
                <w:rFonts w:ascii="Times New Roman" w:eastAsia="Times New Roman" w:hAnsi="Times New Roman" w:cs="Times New Roman"/>
                <w:lang w:val="en-GB"/>
              </w:rPr>
              <w:t>Pastaba. Jei reikia, injekcinį rinkinį vėl galima įdėti į šaldytuvą.</w:t>
            </w:r>
          </w:p>
          <w:p w:rsidR="00122C00" w:rsidRPr="00A23D3E" w:rsidRDefault="00122C00" w:rsidP="00A740B4">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135C7069" wp14:editId="5C51180D">
                  <wp:extent cx="1390650" cy="1390650"/>
                  <wp:effectExtent l="0" t="0" r="0" b="0"/>
                  <wp:docPr id="18"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90650" cy="1390650"/>
                          </a:xfrm>
                          <a:prstGeom prst="rect">
                            <a:avLst/>
                          </a:prstGeom>
                          <a:noFill/>
                          <a:ln>
                            <a:noFill/>
                          </a:ln>
                        </pic:spPr>
                      </pic:pic>
                    </a:graphicData>
                  </a:graphic>
                </wp:inline>
              </w:drawing>
            </w:r>
          </w:p>
        </w:tc>
      </w:tr>
      <w:tr w:rsidR="00122C00" w:rsidRPr="00A23D3E" w:rsidTr="00A740B4">
        <w:trPr>
          <w:tblHeader/>
        </w:trPr>
        <w:tc>
          <w:tcPr>
            <w:tcW w:w="6164" w:type="dxa"/>
            <w:shd w:val="clear" w:color="auto" w:fill="auto"/>
          </w:tcPr>
          <w:p w:rsidR="00122C00" w:rsidRPr="00A23D3E" w:rsidRDefault="00122C00" w:rsidP="00A740B4">
            <w:pPr>
              <w:tabs>
                <w:tab w:val="left" w:pos="-2410"/>
              </w:tabs>
              <w:spacing w:before="120" w:after="0" w:line="240" w:lineRule="auto"/>
              <w:ind w:firstLine="426"/>
              <w:rPr>
                <w:rFonts w:ascii="Times New Roman" w:eastAsia="Times New Roman" w:hAnsi="Times New Roman" w:cs="Times New Roman"/>
                <w:b/>
                <w:lang w:val="en-GB"/>
              </w:rPr>
            </w:pPr>
            <w:r w:rsidRPr="00A23D3E">
              <w:rPr>
                <w:rFonts w:ascii="Times New Roman" w:eastAsia="Times New Roman" w:hAnsi="Times New Roman" w:cs="Times New Roman"/>
                <w:b/>
                <w:lang w:val="en-GB"/>
              </w:rPr>
              <w:t>2 etapas</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lang w:val="en-GB"/>
              </w:rPr>
            </w:pPr>
            <w:r w:rsidRPr="00A23D3E">
              <w:rPr>
                <w:rFonts w:ascii="Times New Roman" w:eastAsia="Times New Roman" w:hAnsi="Times New Roman" w:cs="Times New Roman"/>
                <w:lang w:val="en-GB"/>
              </w:rPr>
              <w:t>Nuimkite plastikinį flakono dangtelį ir guminį flakono kamštį nuvalykite alkoholiu suvilgytu tamponu.</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lang w:val="en-GB"/>
              </w:rPr>
            </w:pPr>
            <w:r w:rsidRPr="00A23D3E">
              <w:rPr>
                <w:rFonts w:ascii="Times New Roman" w:eastAsia="Times New Roman" w:hAnsi="Times New Roman" w:cs="Times New Roman"/>
                <w:lang w:val="en-GB"/>
              </w:rPr>
              <w:t>Nuimkite dengiamąją plėvelę nuo flakono adapterio pakuotės, tačiau NEIŠIMKITE flakono adapterio iš jo pakuotės.</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lang w:val="en-GB"/>
              </w:rPr>
              <w:t>Laikydami flakono adapterio pakuotę, flakono adapterį uždėkite ant flakono viršūnės ir iki galo pastumkite, kad jis įsistatytų į savo vietą (tai įvykus išgirsite klaktelėjimą</w:t>
            </w:r>
            <w:r w:rsidRPr="00A23D3E">
              <w:rPr>
                <w:rFonts w:ascii="Times New Roman" w:eastAsia="Times New Roman" w:hAnsi="Times New Roman" w:cs="Times New Roman"/>
                <w:color w:val="000000"/>
                <w:lang w:val="en-GB"/>
              </w:rPr>
              <w:t>).</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Vertikaliu judesiu nuo flakono adapterio nuimkite pakuotę.</w:t>
            </w:r>
          </w:p>
        </w:tc>
        <w:tc>
          <w:tcPr>
            <w:tcW w:w="3311" w:type="dxa"/>
            <w:shd w:val="clear" w:color="auto" w:fill="auto"/>
          </w:tcPr>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2E14957F" wp14:editId="66B7FCC1">
                  <wp:extent cx="1895475" cy="1428750"/>
                  <wp:effectExtent l="0" t="0" r="9525" b="0"/>
                  <wp:docPr id="19"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95475" cy="1428750"/>
                          </a:xfrm>
                          <a:prstGeom prst="rect">
                            <a:avLst/>
                          </a:prstGeom>
                          <a:noFill/>
                          <a:ln>
                            <a:noFill/>
                          </a:ln>
                        </pic:spPr>
                      </pic:pic>
                    </a:graphicData>
                  </a:graphic>
                </wp:inline>
              </w:drawing>
            </w:r>
            <w:r w:rsidRPr="00A23D3E">
              <w:rPr>
                <w:rFonts w:ascii="Times New Roman" w:eastAsia="Calibri" w:hAnsi="Times New Roman" w:cs="Times New Roman"/>
                <w:noProof/>
                <w:lang w:eastAsia="lt-LT"/>
              </w:rPr>
              <w:drawing>
                <wp:inline distT="0" distB="0" distL="0" distR="0" wp14:anchorId="3B686D3A" wp14:editId="3033203D">
                  <wp:extent cx="1962150" cy="1447800"/>
                  <wp:effectExtent l="0" t="0" r="0" b="0"/>
                  <wp:docPr id="20"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2150" cy="1447800"/>
                          </a:xfrm>
                          <a:prstGeom prst="rect">
                            <a:avLst/>
                          </a:prstGeom>
                          <a:noFill/>
                          <a:ln>
                            <a:noFill/>
                          </a:ln>
                        </pic:spPr>
                      </pic:pic>
                    </a:graphicData>
                  </a:graphic>
                </wp:inline>
              </w:drawing>
            </w:r>
          </w:p>
        </w:tc>
      </w:tr>
      <w:tr w:rsidR="00122C00" w:rsidRPr="00A23D3E" w:rsidTr="00A740B4">
        <w:trPr>
          <w:tblHeader/>
        </w:trPr>
        <w:tc>
          <w:tcPr>
            <w:tcW w:w="6164" w:type="dxa"/>
            <w:shd w:val="clear" w:color="auto" w:fill="auto"/>
          </w:tcPr>
          <w:p w:rsidR="00122C00" w:rsidRPr="00A23D3E" w:rsidRDefault="00122C00" w:rsidP="00A740B4">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346899A8" wp14:editId="2BDB7F2D">
                  <wp:extent cx="1962150" cy="1447800"/>
                  <wp:effectExtent l="0" t="0" r="0" b="0"/>
                  <wp:docPr id="21"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62150" cy="1447800"/>
                          </a:xfrm>
                          <a:prstGeom prst="rect">
                            <a:avLst/>
                          </a:prstGeom>
                          <a:noFill/>
                          <a:ln>
                            <a:noFill/>
                          </a:ln>
                        </pic:spPr>
                      </pic:pic>
                    </a:graphicData>
                  </a:graphic>
                </wp:inline>
              </w:drawing>
            </w:r>
          </w:p>
        </w:tc>
      </w:tr>
      <w:tr w:rsidR="00122C00" w:rsidRPr="00A23D3E" w:rsidTr="00A740B4">
        <w:trPr>
          <w:tblHeader/>
        </w:trPr>
        <w:tc>
          <w:tcPr>
            <w:tcW w:w="6164" w:type="dxa"/>
            <w:shd w:val="clear" w:color="auto" w:fill="auto"/>
          </w:tcPr>
          <w:p w:rsidR="00122C00" w:rsidRPr="00A23D3E" w:rsidRDefault="00122C00" w:rsidP="00A740B4">
            <w:pPr>
              <w:spacing w:before="120" w:after="0" w:line="240" w:lineRule="auto"/>
              <w:ind w:firstLine="426"/>
              <w:rPr>
                <w:rFonts w:ascii="Times New Roman" w:eastAsia="Times New Roman" w:hAnsi="Times New Roman" w:cs="Times New Roman"/>
                <w:b/>
                <w:lang w:val="en-GB"/>
              </w:rPr>
            </w:pPr>
            <w:r w:rsidRPr="00A23D3E">
              <w:rPr>
                <w:rFonts w:ascii="Times New Roman" w:eastAsia="Times New Roman" w:hAnsi="Times New Roman" w:cs="Times New Roman"/>
                <w:b/>
                <w:lang w:val="en-GB"/>
              </w:rPr>
              <w:t>3 etapas</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Nuo tirpikliu užpildyto švirkšto numaukite dangtelį ir švirkštą užsukite ant flakono adapterio.</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Stūmoklį lėtai spauskite iki galo, kad į flakoną patektų visas tirpiklio kiekis.</w:t>
            </w:r>
          </w:p>
          <w:p w:rsidR="00122C00" w:rsidRPr="00A23D3E" w:rsidRDefault="00122C00" w:rsidP="00A740B4">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1EAA9D38" wp14:editId="125E25D8">
                  <wp:extent cx="1952625" cy="1466850"/>
                  <wp:effectExtent l="0" t="0" r="9525" b="0"/>
                  <wp:docPr id="22"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52625" cy="1466850"/>
                          </a:xfrm>
                          <a:prstGeom prst="rect">
                            <a:avLst/>
                          </a:prstGeom>
                          <a:noFill/>
                          <a:ln>
                            <a:noFill/>
                          </a:ln>
                        </pic:spPr>
                      </pic:pic>
                    </a:graphicData>
                  </a:graphic>
                </wp:inline>
              </w:drawing>
            </w:r>
          </w:p>
        </w:tc>
      </w:tr>
      <w:tr w:rsidR="00122C00" w:rsidRPr="00A23D3E" w:rsidTr="00A740B4">
        <w:trPr>
          <w:tblHeader/>
        </w:trPr>
        <w:tc>
          <w:tcPr>
            <w:tcW w:w="6164" w:type="dxa"/>
            <w:shd w:val="clear" w:color="auto" w:fill="auto"/>
          </w:tcPr>
          <w:p w:rsidR="00122C00" w:rsidRPr="00A23D3E" w:rsidRDefault="00122C00" w:rsidP="00A740B4">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40DE814C" wp14:editId="3313126F">
                  <wp:extent cx="1952625" cy="1466850"/>
                  <wp:effectExtent l="0" t="0" r="9525" b="0"/>
                  <wp:docPr id="23"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52625" cy="1466850"/>
                          </a:xfrm>
                          <a:prstGeom prst="rect">
                            <a:avLst/>
                          </a:prstGeom>
                          <a:noFill/>
                          <a:ln>
                            <a:noFill/>
                          </a:ln>
                        </pic:spPr>
                      </pic:pic>
                    </a:graphicData>
                  </a:graphic>
                </wp:inline>
              </w:drawing>
            </w:r>
          </w:p>
        </w:tc>
      </w:tr>
      <w:tr w:rsidR="00122C00" w:rsidRPr="00A23D3E" w:rsidTr="00A740B4">
        <w:trPr>
          <w:tblHeader/>
        </w:trPr>
        <w:tc>
          <w:tcPr>
            <w:tcW w:w="6164" w:type="dxa"/>
            <w:shd w:val="clear" w:color="auto" w:fill="auto"/>
          </w:tcPr>
          <w:p w:rsidR="00122C00" w:rsidRPr="00A23D3E" w:rsidRDefault="00122C00" w:rsidP="00A740B4">
            <w:pPr>
              <w:spacing w:before="120" w:after="0" w:line="240" w:lineRule="auto"/>
              <w:ind w:firstLine="426"/>
              <w:rPr>
                <w:rFonts w:ascii="Times New Roman" w:eastAsia="Times New Roman" w:hAnsi="Times New Roman" w:cs="Times New Roman"/>
                <w:b/>
                <w:lang w:val="en-GB"/>
              </w:rPr>
            </w:pPr>
            <w:r w:rsidRPr="00A23D3E">
              <w:rPr>
                <w:rFonts w:ascii="Times New Roman" w:eastAsia="Times New Roman" w:hAnsi="Times New Roman" w:cs="Times New Roman"/>
                <w:b/>
                <w:lang w:val="en-GB"/>
              </w:rPr>
              <w:t>4 etapas</w:t>
            </w:r>
          </w:p>
          <w:p w:rsidR="00122C00" w:rsidRPr="00A23D3E" w:rsidRDefault="00122C00" w:rsidP="00A740B4">
            <w:pPr>
              <w:spacing w:before="120" w:after="0" w:line="240" w:lineRule="auto"/>
              <w:ind w:left="426"/>
              <w:rPr>
                <w:rFonts w:ascii="Times New Roman" w:eastAsia="Times New Roman" w:hAnsi="Times New Roman" w:cs="Times New Roman"/>
                <w:b/>
                <w:u w:val="single"/>
                <w:lang w:val="en-GB"/>
              </w:rPr>
            </w:pPr>
            <w:r w:rsidRPr="00A23D3E">
              <w:rPr>
                <w:rFonts w:ascii="Times New Roman" w:eastAsia="Times New Roman" w:hAnsi="Times New Roman" w:cs="Times New Roman"/>
                <w:lang w:val="en-GB"/>
              </w:rPr>
              <w:t xml:space="preserve">DĖMESIO! </w:t>
            </w:r>
            <w:r w:rsidRPr="00A23D3E">
              <w:rPr>
                <w:rFonts w:ascii="Times New Roman" w:eastAsia="Times New Roman" w:hAnsi="Times New Roman" w:cs="Times New Roman"/>
                <w:b/>
                <w:bCs/>
                <w:lang w:val="en-GB"/>
              </w:rPr>
              <w:t xml:space="preserve">Labai svarbu nejudinti flakono </w:t>
            </w:r>
            <w:r w:rsidRPr="00A23D3E">
              <w:rPr>
                <w:rFonts w:ascii="Times New Roman" w:eastAsia="Times New Roman" w:hAnsi="Times New Roman" w:cs="Times New Roman"/>
                <w:b/>
                <w:lang w:val="en-GB"/>
              </w:rPr>
              <w:t>5 minutes</w:t>
            </w:r>
            <w:r w:rsidRPr="00A23D3E">
              <w:rPr>
                <w:rFonts w:ascii="Times New Roman" w:eastAsia="Times New Roman" w:hAnsi="Times New Roman" w:cs="Times New Roman"/>
                <w:lang w:val="en-GB"/>
              </w:rPr>
              <w:t xml:space="preserve">, kad būtų užtikrinta, jog </w:t>
            </w:r>
            <w:r w:rsidRPr="00A23D3E">
              <w:rPr>
                <w:rFonts w:ascii="Times New Roman" w:eastAsia="Times New Roman" w:hAnsi="Times New Roman" w:cs="Times New Roman"/>
                <w:bCs/>
                <w:u w:val="single"/>
                <w:lang w:val="en-GB"/>
              </w:rPr>
              <w:t>tirpiklis sudrėkino visus miltelius.</w:t>
            </w:r>
          </w:p>
          <w:p w:rsidR="00122C00" w:rsidRPr="00A23D3E" w:rsidRDefault="00122C00" w:rsidP="00A740B4">
            <w:pPr>
              <w:spacing w:before="120" w:after="0" w:line="240" w:lineRule="auto"/>
              <w:ind w:left="426"/>
              <w:rPr>
                <w:rFonts w:ascii="Times New Roman" w:eastAsia="Times New Roman" w:hAnsi="Times New Roman" w:cs="Times New Roman"/>
                <w:lang w:val="en-GB"/>
              </w:rPr>
            </w:pPr>
            <w:r w:rsidRPr="00A23D3E">
              <w:rPr>
                <w:rFonts w:ascii="Times New Roman" w:eastAsia="Times New Roman" w:hAnsi="Times New Roman" w:cs="Times New Roman"/>
                <w:lang w:val="en-GB"/>
              </w:rPr>
              <w:t>Pastaba. Jei stūmoklis šiek tiek pajuda aukštyn, tai normalu, kadangi flakone gali būti šiek tiek padidėjęs slėgis.</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Šiame etape parenkite pacientą injekcijai.</w:t>
            </w:r>
          </w:p>
          <w:p w:rsidR="00122C00" w:rsidRPr="00A23D3E" w:rsidRDefault="00122C00" w:rsidP="00A740B4">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rsidR="00122C00" w:rsidRPr="00A23D3E" w:rsidRDefault="00122C00" w:rsidP="00A740B4">
            <w:pPr>
              <w:tabs>
                <w:tab w:val="left" w:pos="567"/>
              </w:tabs>
              <w:spacing w:before="120" w:after="0" w:line="240" w:lineRule="auto"/>
              <w:jc w:val="center"/>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7DB6ED49" wp14:editId="6DB9F5DD">
                  <wp:extent cx="1647825" cy="1257300"/>
                  <wp:effectExtent l="0" t="0" r="9525" b="0"/>
                  <wp:docPr id="24"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47825" cy="1257300"/>
                          </a:xfrm>
                          <a:prstGeom prst="rect">
                            <a:avLst/>
                          </a:prstGeom>
                          <a:noFill/>
                          <a:ln>
                            <a:noFill/>
                          </a:ln>
                        </pic:spPr>
                      </pic:pic>
                    </a:graphicData>
                  </a:graphic>
                </wp:inline>
              </w:drawing>
            </w:r>
          </w:p>
        </w:tc>
      </w:tr>
      <w:tr w:rsidR="00122C00" w:rsidRPr="00A23D3E" w:rsidTr="00A740B4">
        <w:trPr>
          <w:tblHeader/>
        </w:trPr>
        <w:tc>
          <w:tcPr>
            <w:tcW w:w="6164" w:type="dxa"/>
            <w:shd w:val="clear" w:color="auto" w:fill="auto"/>
          </w:tcPr>
          <w:p w:rsidR="00122C00" w:rsidRPr="00A23D3E" w:rsidRDefault="00122C00" w:rsidP="00A740B4">
            <w:pPr>
              <w:spacing w:before="120" w:after="0" w:line="240" w:lineRule="auto"/>
              <w:ind w:left="426"/>
              <w:rPr>
                <w:rFonts w:ascii="Times New Roman" w:eastAsia="Times New Roman" w:hAnsi="Times New Roman" w:cs="Times New Roman"/>
                <w:b/>
                <w:lang w:val="en-GB"/>
              </w:rPr>
            </w:pPr>
            <w:r w:rsidRPr="00A23D3E">
              <w:rPr>
                <w:rFonts w:ascii="Times New Roman" w:eastAsia="Times New Roman" w:hAnsi="Times New Roman" w:cs="Times New Roman"/>
                <w:b/>
                <w:lang w:val="en-GB"/>
              </w:rPr>
              <w:t>5 etapas</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Kai visi milteliai sudrėksta, patikrinkite, ar stūmoklis yra iki galo įstumtas į švirkštą.</w:t>
            </w:r>
          </w:p>
          <w:p w:rsidR="00122C00" w:rsidRDefault="00122C00" w:rsidP="00A740B4">
            <w:pPr>
              <w:spacing w:before="120" w:after="0" w:line="240" w:lineRule="auto"/>
              <w:ind w:left="426"/>
              <w:rPr>
                <w:rFonts w:ascii="Times New Roman" w:eastAsia="Times New Roman" w:hAnsi="Times New Roman" w:cs="Times New Roman"/>
                <w:lang w:val="it-IT"/>
              </w:rPr>
            </w:pPr>
            <w:r w:rsidRPr="00A23D3E">
              <w:rPr>
                <w:rFonts w:ascii="Times New Roman" w:eastAsia="Times New Roman" w:hAnsi="Times New Roman" w:cs="Times New Roman"/>
                <w:b/>
                <w:lang w:val="en-GB"/>
              </w:rPr>
              <w:t>DĖMESIO!</w:t>
            </w:r>
            <w:r w:rsidRPr="00A23D3E">
              <w:rPr>
                <w:rFonts w:ascii="Times New Roman" w:eastAsia="Times New Roman" w:hAnsi="Times New Roman" w:cs="Times New Roman"/>
                <w:lang w:val="en-GB"/>
              </w:rPr>
              <w:t xml:space="preserve"> Stūmoklį laikykite įspaustą ir flakoną </w:t>
            </w:r>
            <w:r w:rsidRPr="00A23D3E">
              <w:rPr>
                <w:rFonts w:ascii="Times New Roman" w:eastAsia="Times New Roman" w:hAnsi="Times New Roman" w:cs="Times New Roman"/>
                <w:b/>
                <w:lang w:val="en-GB"/>
              </w:rPr>
              <w:t xml:space="preserve">nestipriai </w:t>
            </w:r>
            <w:r w:rsidRPr="00A23D3E">
              <w:rPr>
                <w:rFonts w:ascii="Times New Roman" w:eastAsia="Times New Roman" w:hAnsi="Times New Roman" w:cs="Times New Roman"/>
                <w:lang w:val="en-GB"/>
              </w:rPr>
              <w:t xml:space="preserve">pakratykite horizontaliai </w:t>
            </w:r>
            <w:r w:rsidRPr="00A23D3E">
              <w:rPr>
                <w:rFonts w:ascii="Times New Roman" w:eastAsia="Times New Roman" w:hAnsi="Times New Roman" w:cs="Times New Roman"/>
                <w:b/>
                <w:lang w:val="en-GB"/>
              </w:rPr>
              <w:t>ne trumpiau kaip 30</w:t>
            </w:r>
            <w:r w:rsidRPr="00A23D3E">
              <w:rPr>
                <w:rFonts w:ascii="Times New Roman" w:eastAsia="Times New Roman" w:hAnsi="Times New Roman" w:cs="Times New Roman"/>
                <w:b/>
                <w:bCs/>
                <w:lang w:val="en-GB"/>
              </w:rPr>
              <w:t> </w:t>
            </w:r>
            <w:r w:rsidRPr="00A23D3E">
              <w:rPr>
                <w:rFonts w:ascii="Times New Roman" w:eastAsia="Times New Roman" w:hAnsi="Times New Roman" w:cs="Times New Roman"/>
                <w:b/>
                <w:lang w:val="en-GB"/>
              </w:rPr>
              <w:t>sekundžių</w:t>
            </w:r>
            <w:r w:rsidRPr="00A23D3E">
              <w:rPr>
                <w:rFonts w:ascii="Times New Roman" w:eastAsia="Times New Roman" w:hAnsi="Times New Roman" w:cs="Times New Roman"/>
                <w:lang w:val="en-GB"/>
              </w:rPr>
              <w:t xml:space="preserve">, kad visi milteliai susimaišytų su skysčiu (susidarytų į pieną panaši vienalytė suspensija). </w:t>
            </w:r>
            <w:r w:rsidRPr="00A23D3E">
              <w:rPr>
                <w:rFonts w:ascii="Times New Roman" w:eastAsia="Times New Roman" w:hAnsi="Times New Roman" w:cs="Times New Roman"/>
                <w:b/>
                <w:bCs/>
                <w:lang w:val="it-IT"/>
              </w:rPr>
              <w:t>Jei ne visi milteliai virto suspensija, nestipriai pakratykite dar 30 sekundžių</w:t>
            </w:r>
            <w:r w:rsidRPr="00A23D3E">
              <w:rPr>
                <w:rFonts w:ascii="Times New Roman" w:eastAsia="Times New Roman" w:hAnsi="Times New Roman" w:cs="Times New Roman"/>
                <w:lang w:val="it-IT"/>
              </w:rPr>
              <w:t>.</w:t>
            </w:r>
          </w:p>
          <w:p w:rsidR="00122C00" w:rsidRPr="00A23D3E" w:rsidRDefault="00122C00" w:rsidP="00A740B4">
            <w:pPr>
              <w:spacing w:before="120" w:after="0" w:line="240" w:lineRule="auto"/>
              <w:ind w:left="426"/>
              <w:rPr>
                <w:rFonts w:ascii="Times New Roman" w:eastAsia="Times New Roman" w:hAnsi="Times New Roman" w:cs="Times New Roman"/>
                <w:lang w:val="it-IT"/>
              </w:rPr>
            </w:pPr>
          </w:p>
        </w:tc>
        <w:tc>
          <w:tcPr>
            <w:tcW w:w="3311" w:type="dxa"/>
            <w:shd w:val="clear" w:color="auto" w:fill="auto"/>
          </w:tcPr>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121A124E" wp14:editId="0D3CE6EC">
                  <wp:extent cx="1866900" cy="1362075"/>
                  <wp:effectExtent l="0" t="0" r="0" b="9525"/>
                  <wp:docPr id="25"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66900" cy="1362075"/>
                          </a:xfrm>
                          <a:prstGeom prst="rect">
                            <a:avLst/>
                          </a:prstGeom>
                          <a:noFill/>
                          <a:ln>
                            <a:noFill/>
                          </a:ln>
                        </pic:spPr>
                      </pic:pic>
                    </a:graphicData>
                  </a:graphic>
                </wp:inline>
              </w:drawing>
            </w:r>
          </w:p>
        </w:tc>
      </w:tr>
      <w:tr w:rsidR="00122C00" w:rsidRPr="00A23D3E" w:rsidTr="00A740B4">
        <w:trPr>
          <w:tblHeader/>
        </w:trPr>
        <w:tc>
          <w:tcPr>
            <w:tcW w:w="6164" w:type="dxa"/>
            <w:shd w:val="clear" w:color="auto" w:fill="auto"/>
          </w:tcPr>
          <w:p w:rsidR="00122C00" w:rsidRDefault="00122C00" w:rsidP="00A740B4">
            <w:pPr>
              <w:spacing w:before="120" w:after="0" w:line="240" w:lineRule="auto"/>
              <w:ind w:left="426"/>
              <w:rPr>
                <w:rFonts w:ascii="Times New Roman" w:eastAsia="Times New Roman" w:hAnsi="Times New Roman" w:cs="Times New Roman"/>
                <w:b/>
                <w:bCs/>
                <w:lang w:val="en-GB"/>
              </w:rPr>
            </w:pPr>
            <w:r w:rsidRPr="00A23D3E">
              <w:rPr>
                <w:rFonts w:ascii="Times New Roman" w:eastAsia="Times New Roman" w:hAnsi="Times New Roman" w:cs="Times New Roman"/>
                <w:b/>
                <w:bCs/>
                <w:lang w:val="en-GB"/>
              </w:rPr>
              <w:t>6 etapas</w:t>
            </w:r>
          </w:p>
          <w:p w:rsidR="00122C00" w:rsidRPr="004278E9"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Calibri" w:hAnsi="Times New Roman" w:cs="Times New Roman"/>
                <w:color w:val="000000"/>
                <w:lang w:val="en-US"/>
              </w:rPr>
              <w:t>Paruoškite injekcijos vietą alkoholiu suvilgyta servetėle.</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Švirkštą ir flakoną apverskite, lėtai traukite stūmoklį atgal ir įsiurbkite visą flakono turinį į švirkštą.</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Švirkštą nusukite nuo flakono adapterio.</w:t>
            </w:r>
          </w:p>
          <w:p w:rsidR="00122C00" w:rsidRPr="00A23D3E" w:rsidRDefault="00122C00" w:rsidP="00A740B4">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7473A221" wp14:editId="131FC740">
                  <wp:extent cx="1924050" cy="1428750"/>
                  <wp:effectExtent l="0" t="0" r="0" b="0"/>
                  <wp:docPr id="26"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24050" cy="1428750"/>
                          </a:xfrm>
                          <a:prstGeom prst="rect">
                            <a:avLst/>
                          </a:prstGeom>
                          <a:noFill/>
                          <a:ln>
                            <a:noFill/>
                          </a:ln>
                        </pic:spPr>
                      </pic:pic>
                    </a:graphicData>
                  </a:graphic>
                </wp:inline>
              </w:drawing>
            </w:r>
          </w:p>
        </w:tc>
      </w:tr>
      <w:tr w:rsidR="00122C00" w:rsidRPr="00A23D3E" w:rsidTr="00A740B4">
        <w:trPr>
          <w:tblHeader/>
        </w:trPr>
        <w:tc>
          <w:tcPr>
            <w:tcW w:w="6164" w:type="dxa"/>
            <w:shd w:val="clear" w:color="auto" w:fill="auto"/>
          </w:tcPr>
          <w:p w:rsidR="00122C00" w:rsidRPr="00A23D3E" w:rsidRDefault="00122C00" w:rsidP="00A740B4">
            <w:pPr>
              <w:tabs>
                <w:tab w:val="left" w:pos="567"/>
              </w:tabs>
              <w:autoSpaceDE w:val="0"/>
              <w:autoSpaceDN w:val="0"/>
              <w:adjustRightInd w:val="0"/>
              <w:spacing w:after="0" w:line="240" w:lineRule="auto"/>
              <w:rPr>
                <w:rFonts w:ascii="Times New Roman" w:eastAsia="Times New Roman" w:hAnsi="Times New Roman" w:cs="Times New Roman"/>
                <w:color w:val="000000"/>
                <w:lang w:val="en-GB"/>
              </w:rPr>
            </w:pPr>
          </w:p>
        </w:tc>
        <w:tc>
          <w:tcPr>
            <w:tcW w:w="3311" w:type="dxa"/>
            <w:shd w:val="clear" w:color="auto" w:fill="auto"/>
          </w:tcPr>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452B8E15" wp14:editId="32F69F6F">
                  <wp:extent cx="1924050" cy="1419225"/>
                  <wp:effectExtent l="0" t="0" r="0" b="9525"/>
                  <wp:docPr id="27"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24050" cy="1419225"/>
                          </a:xfrm>
                          <a:prstGeom prst="rect">
                            <a:avLst/>
                          </a:prstGeom>
                          <a:noFill/>
                          <a:ln>
                            <a:noFill/>
                          </a:ln>
                        </pic:spPr>
                      </pic:pic>
                    </a:graphicData>
                  </a:graphic>
                </wp:inline>
              </w:drawing>
            </w:r>
          </w:p>
        </w:tc>
      </w:tr>
      <w:tr w:rsidR="00122C00" w:rsidRPr="00A23D3E" w:rsidTr="00A740B4">
        <w:trPr>
          <w:tblHeader/>
        </w:trPr>
        <w:tc>
          <w:tcPr>
            <w:tcW w:w="6164" w:type="dxa"/>
            <w:shd w:val="clear" w:color="auto" w:fill="auto"/>
          </w:tcPr>
          <w:p w:rsidR="00122C00" w:rsidRPr="00A23D3E" w:rsidRDefault="00122C00" w:rsidP="00A740B4">
            <w:pPr>
              <w:spacing w:before="120" w:after="0" w:line="240" w:lineRule="auto"/>
              <w:ind w:left="426"/>
              <w:rPr>
                <w:rFonts w:ascii="Times New Roman" w:eastAsia="Times New Roman" w:hAnsi="Times New Roman" w:cs="Times New Roman"/>
                <w:lang w:val="en-GB"/>
              </w:rPr>
            </w:pPr>
            <w:r w:rsidRPr="00A23D3E">
              <w:rPr>
                <w:rFonts w:ascii="Times New Roman" w:eastAsia="Times New Roman" w:hAnsi="Times New Roman" w:cs="Times New Roman"/>
                <w:b/>
                <w:lang w:val="en-GB"/>
              </w:rPr>
              <w:lastRenderedPageBreak/>
              <w:t>7 etapas</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 xml:space="preserve">Prie švirkšto prisukite saugią injekcinę adatą. </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Š</w:t>
            </w:r>
            <w:r w:rsidRPr="00A23D3E">
              <w:rPr>
                <w:rFonts w:ascii="Times New Roman" w:eastAsia="Times New Roman" w:hAnsi="Times New Roman" w:cs="Times New Roman"/>
                <w:color w:val="000000"/>
                <w:lang w:val="en-GB"/>
              </w:rPr>
              <w:t>virkštą</w:t>
            </w:r>
            <w:r>
              <w:rPr>
                <w:rFonts w:ascii="Times New Roman" w:eastAsia="Times New Roman" w:hAnsi="Times New Roman" w:cs="Times New Roman"/>
                <w:color w:val="000000"/>
                <w:lang w:val="en-GB"/>
              </w:rPr>
              <w:t xml:space="preserve"> </w:t>
            </w:r>
            <w:r w:rsidRPr="0012067E">
              <w:rPr>
                <w:rFonts w:ascii="Times New Roman" w:eastAsia="Times New Roman" w:hAnsi="Times New Roman" w:cs="Times New Roman"/>
                <w:color w:val="000000"/>
                <w:lang w:val="en-GB"/>
              </w:rPr>
              <w:t>vėl švelniai pakratykite,</w:t>
            </w:r>
            <w:r w:rsidRPr="00A23D3E">
              <w:rPr>
                <w:rFonts w:ascii="Times New Roman" w:eastAsia="Times New Roman" w:hAnsi="Times New Roman" w:cs="Times New Roman"/>
                <w:color w:val="000000"/>
                <w:lang w:val="en-GB"/>
              </w:rPr>
              <w:t xml:space="preserve"> kad susidarytų į pieną panaši vienalytė suspensija.Traukdami tiesiai nuimkite apsauginį adatos dangtelį.</w:t>
            </w:r>
          </w:p>
          <w:p w:rsidR="00122C00" w:rsidRPr="004278E9" w:rsidRDefault="00122C00" w:rsidP="00122C00">
            <w:pPr>
              <w:pStyle w:val="Sraopastraipa"/>
              <w:numPr>
                <w:ilvl w:val="0"/>
                <w:numId w:val="9"/>
              </w:numPr>
              <w:ind w:left="346"/>
              <w:rPr>
                <w:color w:val="000000"/>
              </w:rPr>
            </w:pPr>
            <w:r w:rsidRPr="0012067E">
              <w:rPr>
                <w:color w:val="000000"/>
              </w:rPr>
              <w:t xml:space="preserve">Švelniai patapšnokite švirkštą, kad iškiltų visi oro burbuliukai, ir juos išstumkite iš švirkšto. </w:t>
            </w:r>
            <w:r w:rsidRPr="0012067E">
              <w:rPr>
                <w:color w:val="000000"/>
                <w:szCs w:val="22"/>
              </w:rPr>
              <w:t>Įsitikinkite, kad injekcijos vieta nebuvo užteršta.</w:t>
            </w:r>
          </w:p>
          <w:p w:rsidR="00122C00" w:rsidRPr="00A23D3E" w:rsidRDefault="00122C00" w:rsidP="00122C00">
            <w:pPr>
              <w:numPr>
                <w:ilvl w:val="0"/>
                <w:numId w:val="9"/>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Calibri" w:hAnsi="Times New Roman" w:cs="Times New Roman"/>
                <w:b/>
                <w:color w:val="000000"/>
                <w:lang w:val="it-IT"/>
              </w:rPr>
              <w:t xml:space="preserve">Nedelsiant </w:t>
            </w:r>
            <w:r w:rsidRPr="00A23D3E">
              <w:rPr>
                <w:rFonts w:ascii="Times New Roman" w:eastAsia="Calibri" w:hAnsi="Times New Roman" w:cs="Times New Roman"/>
                <w:color w:val="000000"/>
                <w:lang w:val="it-IT"/>
              </w:rPr>
              <w:t xml:space="preserve">pereikite prie 8 etape nurodyto vartojimo pacientui. </w:t>
            </w:r>
            <w:r w:rsidRPr="00A23D3E">
              <w:rPr>
                <w:rFonts w:ascii="Times New Roman" w:eastAsia="Calibri" w:hAnsi="Times New Roman" w:cs="Times New Roman"/>
                <w:color w:val="000000"/>
                <w:lang w:val="en-US"/>
              </w:rPr>
              <w:t>Uždelsus, gali susidaryti nuosėdos.</w:t>
            </w:r>
            <w:r w:rsidRPr="00A23D3E">
              <w:rPr>
                <w:rFonts w:ascii="Times New Roman" w:eastAsia="Times New Roman" w:hAnsi="Times New Roman" w:cs="Times New Roman"/>
                <w:color w:val="000000"/>
                <w:lang w:val="en-GB"/>
              </w:rPr>
              <w:t xml:space="preserve"> </w:t>
            </w:r>
          </w:p>
          <w:p w:rsidR="00122C00" w:rsidRPr="00A23D3E" w:rsidRDefault="00122C00" w:rsidP="00A740B4">
            <w:pPr>
              <w:tabs>
                <w:tab w:val="left" w:pos="567"/>
              </w:tabs>
              <w:spacing w:before="120" w:after="0" w:line="240" w:lineRule="auto"/>
              <w:rPr>
                <w:rFonts w:ascii="Times New Roman" w:eastAsia="Times New Roman" w:hAnsi="Times New Roman" w:cs="Times New Roman"/>
                <w:lang w:val="en-GB"/>
              </w:rPr>
            </w:pPr>
            <w:r w:rsidRPr="00A23D3E">
              <w:rPr>
                <w:rFonts w:ascii="Times New Roman" w:eastAsia="Times New Roman" w:hAnsi="Times New Roman" w:cs="Times New Roman"/>
                <w:lang w:val="en-GB"/>
              </w:rPr>
              <w:t>.</w:t>
            </w:r>
          </w:p>
        </w:tc>
        <w:tc>
          <w:tcPr>
            <w:tcW w:w="3311" w:type="dxa"/>
            <w:shd w:val="clear" w:color="auto" w:fill="auto"/>
          </w:tcPr>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3A4F3D11" wp14:editId="0CE6838E">
                  <wp:extent cx="1866900" cy="1362075"/>
                  <wp:effectExtent l="0" t="0" r="0" b="9525"/>
                  <wp:docPr id="28"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66900" cy="1362075"/>
                          </a:xfrm>
                          <a:prstGeom prst="rect">
                            <a:avLst/>
                          </a:prstGeom>
                          <a:noFill/>
                          <a:ln>
                            <a:noFill/>
                          </a:ln>
                        </pic:spPr>
                      </pic:pic>
                    </a:graphicData>
                  </a:graphic>
                </wp:inline>
              </w:drawing>
            </w:r>
          </w:p>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025191EA" wp14:editId="0E5781BF">
                  <wp:extent cx="1866900" cy="1362075"/>
                  <wp:effectExtent l="0" t="0" r="0" b="9525"/>
                  <wp:docPr id="29"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66900" cy="1362075"/>
                          </a:xfrm>
                          <a:prstGeom prst="rect">
                            <a:avLst/>
                          </a:prstGeom>
                          <a:noFill/>
                          <a:ln>
                            <a:noFill/>
                          </a:ln>
                        </pic:spPr>
                      </pic:pic>
                    </a:graphicData>
                  </a:graphic>
                </wp:inline>
              </w:drawing>
            </w:r>
          </w:p>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p>
        </w:tc>
      </w:tr>
      <w:tr w:rsidR="00122C00" w:rsidRPr="00A23D3E" w:rsidTr="00A740B4">
        <w:trPr>
          <w:tblHeader/>
        </w:trPr>
        <w:tc>
          <w:tcPr>
            <w:tcW w:w="6164" w:type="dxa"/>
            <w:shd w:val="clear" w:color="auto" w:fill="auto"/>
          </w:tcPr>
          <w:p w:rsidR="00122C00" w:rsidRPr="00A23D3E" w:rsidRDefault="00122C00" w:rsidP="00A740B4">
            <w:pPr>
              <w:spacing w:before="120" w:after="0" w:line="240" w:lineRule="auto"/>
              <w:ind w:left="426"/>
              <w:rPr>
                <w:rFonts w:ascii="Times New Roman" w:eastAsia="Times New Roman" w:hAnsi="Times New Roman" w:cs="Times New Roman"/>
                <w:lang w:val="en-GB"/>
              </w:rPr>
            </w:pPr>
            <w:r w:rsidRPr="00A23D3E">
              <w:rPr>
                <w:rFonts w:ascii="Times New Roman" w:eastAsia="Times New Roman" w:hAnsi="Times New Roman" w:cs="Times New Roman"/>
                <w:b/>
                <w:lang w:val="en-GB"/>
              </w:rPr>
              <w:t>8 etapas</w:t>
            </w:r>
          </w:p>
          <w:p w:rsidR="00122C00" w:rsidRPr="00A23D3E" w:rsidRDefault="00122C00" w:rsidP="00122C00">
            <w:pPr>
              <w:numPr>
                <w:ilvl w:val="0"/>
                <w:numId w:val="9"/>
              </w:numPr>
              <w:autoSpaceDE w:val="0"/>
              <w:autoSpaceDN w:val="0"/>
              <w:adjustRightInd w:val="0"/>
              <w:spacing w:after="0" w:line="240" w:lineRule="auto"/>
              <w:ind w:left="426" w:hanging="392"/>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 xml:space="preserve">Sandostatin LAR galima leisti tik giliai į sėdmenų raumenis, į veną švirkšti </w:t>
            </w:r>
            <w:r w:rsidRPr="00A23D3E">
              <w:rPr>
                <w:rFonts w:ascii="Times New Roman" w:eastAsia="Times New Roman" w:hAnsi="Times New Roman" w:cs="Times New Roman"/>
                <w:b/>
                <w:bCs/>
                <w:color w:val="000000"/>
                <w:lang w:val="en-GB"/>
              </w:rPr>
              <w:t>DRAUDŽIAMA</w:t>
            </w:r>
            <w:r w:rsidRPr="00A23D3E">
              <w:rPr>
                <w:rFonts w:ascii="Times New Roman" w:eastAsia="Times New Roman" w:hAnsi="Times New Roman" w:cs="Times New Roman"/>
                <w:color w:val="000000"/>
                <w:lang w:val="en-GB"/>
              </w:rPr>
              <w:t>.</w:t>
            </w:r>
          </w:p>
          <w:p w:rsidR="00122C00" w:rsidRPr="00A23D3E" w:rsidRDefault="00122C00" w:rsidP="00122C00">
            <w:pPr>
              <w:numPr>
                <w:ilvl w:val="0"/>
                <w:numId w:val="9"/>
              </w:numPr>
              <w:autoSpaceDE w:val="0"/>
              <w:autoSpaceDN w:val="0"/>
              <w:adjustRightInd w:val="0"/>
              <w:spacing w:after="0" w:line="240" w:lineRule="auto"/>
              <w:ind w:left="426" w:hanging="392"/>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Įdurkite adatą į kairės ar dešinės pusės sėdmenų raumenis 90ºkampu odos atžvilgiu.</w:t>
            </w:r>
          </w:p>
          <w:p w:rsidR="00122C00" w:rsidRPr="00A23D3E" w:rsidRDefault="00122C00" w:rsidP="00122C00">
            <w:pPr>
              <w:numPr>
                <w:ilvl w:val="0"/>
                <w:numId w:val="9"/>
              </w:numPr>
              <w:autoSpaceDE w:val="0"/>
              <w:autoSpaceDN w:val="0"/>
              <w:adjustRightInd w:val="0"/>
              <w:spacing w:after="0" w:line="240" w:lineRule="auto"/>
              <w:ind w:left="426" w:hanging="392"/>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Lėtai atitraukite stūmoklį, kad įsitikintumėte, jog nepataikėte į kraujagyslę (jei pataikėte į kraujagyslę, pakeiskite adatos padėtį).</w:t>
            </w:r>
          </w:p>
          <w:p w:rsidR="00122C00" w:rsidRPr="00A23D3E" w:rsidRDefault="00122C00" w:rsidP="00122C00">
            <w:pPr>
              <w:numPr>
                <w:ilvl w:val="0"/>
                <w:numId w:val="9"/>
              </w:numPr>
              <w:spacing w:before="120" w:after="0" w:line="240" w:lineRule="auto"/>
              <w:ind w:left="460" w:hanging="426"/>
              <w:contextualSpacing/>
              <w:rPr>
                <w:rFonts w:ascii="Times New Roman" w:eastAsia="Times New Roman" w:hAnsi="Times New Roman" w:cs="Times New Roman"/>
                <w:szCs w:val="20"/>
                <w:lang w:val="en-GB"/>
              </w:rPr>
            </w:pPr>
            <w:r w:rsidRPr="00A23D3E">
              <w:rPr>
                <w:rFonts w:ascii="Times New Roman" w:eastAsia="Times New Roman" w:hAnsi="Times New Roman" w:cs="Times New Roman"/>
                <w:color w:val="000000"/>
                <w:szCs w:val="20"/>
                <w:lang w:val="en-GB"/>
              </w:rPr>
              <w:t xml:space="preserve">Lėtai spauskite stūmoklį, kol švirkštas taps tuščias. Adatą ištraukite iš injekcijos vietos ir suaktyvinkite saugumo sistemą (kaip nurodyta </w:t>
            </w:r>
            <w:r w:rsidRPr="00A23D3E">
              <w:rPr>
                <w:rFonts w:ascii="Times New Roman" w:eastAsia="Times New Roman" w:hAnsi="Times New Roman" w:cs="Times New Roman"/>
                <w:b/>
                <w:bCs/>
                <w:color w:val="000000"/>
                <w:szCs w:val="20"/>
                <w:lang w:val="en-GB"/>
              </w:rPr>
              <w:t>9 etape</w:t>
            </w:r>
            <w:r w:rsidRPr="00A23D3E">
              <w:rPr>
                <w:rFonts w:ascii="Times New Roman" w:eastAsia="Times New Roman" w:hAnsi="Times New Roman" w:cs="Times New Roman"/>
                <w:color w:val="000000"/>
                <w:szCs w:val="20"/>
                <w:lang w:val="en-GB"/>
              </w:rPr>
              <w:t>).</w:t>
            </w:r>
          </w:p>
        </w:tc>
        <w:tc>
          <w:tcPr>
            <w:tcW w:w="3311" w:type="dxa"/>
            <w:shd w:val="clear" w:color="auto" w:fill="auto"/>
          </w:tcPr>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r w:rsidRPr="00A23D3E">
              <w:rPr>
                <w:rFonts w:ascii="Calibri" w:eastAsia="Calibri" w:hAnsi="Calibri" w:cs="Times New Roman"/>
                <w:noProof/>
                <w:lang w:eastAsia="lt-LT"/>
              </w:rPr>
              <mc:AlternateContent>
                <mc:Choice Requires="wps">
                  <w:drawing>
                    <wp:anchor distT="0" distB="0" distL="114300" distR="114300" simplePos="0" relativeHeight="251659264" behindDoc="0" locked="0" layoutInCell="1" allowOverlap="1" wp14:anchorId="4E1937A8" wp14:editId="38790C83">
                      <wp:simplePos x="0" y="0"/>
                      <wp:positionH relativeFrom="column">
                        <wp:posOffset>373104</wp:posOffset>
                      </wp:positionH>
                      <wp:positionV relativeFrom="page">
                        <wp:posOffset>894384</wp:posOffset>
                      </wp:positionV>
                      <wp:extent cx="723265" cy="299720"/>
                      <wp:effectExtent l="0" t="0" r="0" b="5080"/>
                      <wp:wrapNone/>
                      <wp:docPr id="179"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265"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C00" w:rsidRPr="000B196A" w:rsidRDefault="00122C00" w:rsidP="00122C00">
                                  <w:pPr>
                                    <w:rPr>
                                      <w:rFonts w:ascii="Times New Roman" w:hAnsi="Times New Roman"/>
                                      <w:b/>
                                    </w:rPr>
                                  </w:pPr>
                                  <w:r w:rsidRPr="000B196A">
                                    <w:rPr>
                                      <w:rFonts w:ascii="Times New Roman" w:hAnsi="Times New Roman"/>
                                      <w:b/>
                                    </w:rPr>
                                    <w:t>kampu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1937A8" id="_x0000_t202" coordsize="21600,21600" o:spt="202" path="m,l,21600r21600,l21600,xe">
                      <v:stroke joinstyle="miter"/>
                      <v:path gradientshapeok="t" o:connecttype="rect"/>
                    </v:shapetype>
                    <v:shape id="Text Box 38" o:spid="_x0000_s1026" type="#_x0000_t202" style="position:absolute;left:0;text-align:left;margin-left:29.4pt;margin-top:70.4pt;width:56.95pt;height:2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" filled="f" stroked="f">
                      <v:textbox>
                        <w:txbxContent>
                          <w:p w:rsidR="00122C00" w:rsidRPr="000B196A" w:rsidRDefault="00122C00" w:rsidP="00122C00">
                            <w:pPr>
                              <w:rPr>
                                <w:rFonts w:ascii="Times New Roman" w:hAnsi="Times New Roman"/>
                                <w:b/>
                              </w:rPr>
                            </w:pPr>
                            <w:r w:rsidRPr="000B196A">
                              <w:rPr>
                                <w:rFonts w:ascii="Times New Roman" w:hAnsi="Times New Roman"/>
                                <w:b/>
                              </w:rPr>
                              <w:t>kampu</w:t>
                            </w:r>
                          </w:p>
                        </w:txbxContent>
                      </v:textbox>
                      <w10:wrap anchory="page"/>
                    </v:shape>
                  </w:pict>
                </mc:Fallback>
              </mc:AlternateContent>
            </w:r>
            <w:r w:rsidRPr="00A23D3E">
              <w:rPr>
                <w:rFonts w:ascii="Calibri" w:eastAsia="Calibri" w:hAnsi="Calibri" w:cs="Times New Roman"/>
                <w:noProof/>
                <w:lang w:eastAsia="lt-LT"/>
              </w:rPr>
              <mc:AlternateContent>
                <mc:Choice Requires="wps">
                  <w:drawing>
                    <wp:anchor distT="0" distB="0" distL="114300" distR="114300" simplePos="0" relativeHeight="251660288" behindDoc="0" locked="0" layoutInCell="1" allowOverlap="1" wp14:anchorId="16E1C752" wp14:editId="6EA8646F">
                      <wp:simplePos x="0" y="0"/>
                      <wp:positionH relativeFrom="column">
                        <wp:posOffset>373104</wp:posOffset>
                      </wp:positionH>
                      <wp:positionV relativeFrom="page">
                        <wp:posOffset>11789</wp:posOffset>
                      </wp:positionV>
                      <wp:extent cx="1487805" cy="351155"/>
                      <wp:effectExtent l="0" t="0" r="0" b="0"/>
                      <wp:wrapNone/>
                      <wp:docPr id="180"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7805" cy="351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C00" w:rsidRPr="00AD28A5" w:rsidRDefault="00122C00" w:rsidP="00122C00">
                                  <w:pPr>
                                    <w:jc w:val="center"/>
                                    <w:rPr>
                                      <w:rFonts w:ascii="Times New Roman" w:hAnsi="Times New Roman"/>
                                      <w:b/>
                                    </w:rPr>
                                  </w:pPr>
                                  <w:r w:rsidRPr="00AD28A5">
                                    <w:rPr>
                                      <w:rFonts w:ascii="Times New Roman" w:hAnsi="Times New Roman"/>
                                      <w:b/>
                                    </w:rPr>
                                    <w:t>Injekcijos vietos</w:t>
                                  </w:r>
                                </w:p>
                                <w:p w:rsidR="00122C00" w:rsidRDefault="00122C00" w:rsidP="00122C00">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E1C752" id="Text Box 39" o:spid="_x0000_s1027" type="#_x0000_t202" style="position:absolute;left:0;text-align:left;margin-left:29.4pt;margin-top:.95pt;width:117.15pt;height:27.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EZzuQIAAMM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" filled="f" stroked="f">
                      <v:textbox>
                        <w:txbxContent>
                          <w:p w:rsidR="00122C00" w:rsidRPr="00AD28A5" w:rsidRDefault="00122C00" w:rsidP="00122C00">
                            <w:pPr>
                              <w:jc w:val="center"/>
                              <w:rPr>
                                <w:rFonts w:ascii="Times New Roman" w:hAnsi="Times New Roman"/>
                                <w:b/>
                              </w:rPr>
                            </w:pPr>
                            <w:r w:rsidRPr="00AD28A5">
                              <w:rPr>
                                <w:rFonts w:ascii="Times New Roman" w:hAnsi="Times New Roman"/>
                                <w:b/>
                              </w:rPr>
                              <w:t>Injekcijos vietos</w:t>
                            </w:r>
                          </w:p>
                          <w:p w:rsidR="00122C00" w:rsidRDefault="00122C00" w:rsidP="00122C00">
                            <w:pPr>
                              <w:rPr>
                                <w:sz w:val="24"/>
                              </w:rPr>
                            </w:pPr>
                          </w:p>
                        </w:txbxContent>
                      </v:textbox>
                      <w10:wrap anchory="page"/>
                    </v:shape>
                  </w:pict>
                </mc:Fallback>
              </mc:AlternateContent>
            </w:r>
            <w:r w:rsidRPr="00A23D3E">
              <w:rPr>
                <w:rFonts w:ascii="Calibri" w:eastAsia="Calibri" w:hAnsi="Calibri" w:cs="Times New Roman"/>
                <w:noProof/>
                <w:lang w:eastAsia="lt-LT"/>
              </w:rPr>
              <w:drawing>
                <wp:inline distT="0" distB="0" distL="0" distR="0" wp14:anchorId="4D21F9BF" wp14:editId="2B77054E">
                  <wp:extent cx="1866900" cy="1362075"/>
                  <wp:effectExtent l="0" t="0" r="0" b="9525"/>
                  <wp:docPr id="65" name="Paveikslėlis 32" descr="Injection 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2" descr="Injection si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66900" cy="1362075"/>
                          </a:xfrm>
                          <a:prstGeom prst="rect">
                            <a:avLst/>
                          </a:prstGeom>
                          <a:noFill/>
                          <a:ln>
                            <a:noFill/>
                          </a:ln>
                        </pic:spPr>
                      </pic:pic>
                    </a:graphicData>
                  </a:graphic>
                </wp:inline>
              </w:drawing>
            </w:r>
          </w:p>
        </w:tc>
      </w:tr>
      <w:tr w:rsidR="00122C00" w:rsidRPr="00A23D3E" w:rsidTr="00A740B4">
        <w:trPr>
          <w:gridAfter w:val="1"/>
          <w:wAfter w:w="3311" w:type="dxa"/>
          <w:tblHeader/>
        </w:trPr>
        <w:tc>
          <w:tcPr>
            <w:tcW w:w="6164" w:type="dxa"/>
            <w:shd w:val="clear" w:color="auto" w:fill="auto"/>
          </w:tcPr>
          <w:p w:rsidR="00122C00" w:rsidRPr="00A23D3E" w:rsidRDefault="00122C00" w:rsidP="00A740B4">
            <w:pPr>
              <w:autoSpaceDE w:val="0"/>
              <w:autoSpaceDN w:val="0"/>
              <w:adjustRightInd w:val="0"/>
              <w:spacing w:after="0" w:line="240" w:lineRule="auto"/>
              <w:ind w:left="426"/>
              <w:rPr>
                <w:rFonts w:ascii="Times New Roman" w:eastAsia="Times New Roman" w:hAnsi="Times New Roman" w:cs="Times New Roman"/>
                <w:color w:val="000000"/>
                <w:lang w:val="en-GB"/>
              </w:rPr>
            </w:pPr>
          </w:p>
        </w:tc>
      </w:tr>
      <w:tr w:rsidR="00122C00" w:rsidRPr="00A23D3E" w:rsidTr="00A740B4">
        <w:trPr>
          <w:tblHeader/>
        </w:trPr>
        <w:tc>
          <w:tcPr>
            <w:tcW w:w="6164" w:type="dxa"/>
            <w:shd w:val="clear" w:color="auto" w:fill="auto"/>
          </w:tcPr>
          <w:p w:rsidR="00122C00" w:rsidRPr="00A23D3E" w:rsidRDefault="00122C00" w:rsidP="00A740B4">
            <w:pPr>
              <w:spacing w:before="120" w:after="0" w:line="240" w:lineRule="auto"/>
              <w:ind w:left="460"/>
              <w:rPr>
                <w:rFonts w:ascii="Times New Roman" w:eastAsia="Times New Roman" w:hAnsi="Times New Roman" w:cs="Times New Roman"/>
                <w:lang w:val="en-GB"/>
              </w:rPr>
            </w:pPr>
            <w:r w:rsidRPr="00A23D3E">
              <w:rPr>
                <w:rFonts w:ascii="Times New Roman" w:eastAsia="Times New Roman" w:hAnsi="Times New Roman" w:cs="Times New Roman"/>
                <w:b/>
                <w:lang w:val="en-GB"/>
              </w:rPr>
              <w:t>9 etapas</w:t>
            </w:r>
          </w:p>
          <w:p w:rsidR="00122C00" w:rsidRPr="00A23D3E" w:rsidRDefault="00122C00" w:rsidP="00122C00">
            <w:pPr>
              <w:numPr>
                <w:ilvl w:val="0"/>
                <w:numId w:val="9"/>
              </w:numPr>
              <w:autoSpaceDE w:val="0"/>
              <w:autoSpaceDN w:val="0"/>
              <w:adjustRightInd w:val="0"/>
              <w:spacing w:after="0" w:line="240" w:lineRule="auto"/>
              <w:ind w:left="460"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Suaktyvinkite adatos apsaugos mechanizmą vienu iš 2 pateiktų metodų:</w:t>
            </w:r>
          </w:p>
          <w:p w:rsidR="00122C00" w:rsidRPr="00A23D3E" w:rsidRDefault="00122C00" w:rsidP="00122C00">
            <w:pPr>
              <w:numPr>
                <w:ilvl w:val="0"/>
                <w:numId w:val="10"/>
              </w:numPr>
              <w:autoSpaceDE w:val="0"/>
              <w:autoSpaceDN w:val="0"/>
              <w:adjustRightInd w:val="0"/>
              <w:spacing w:after="0" w:line="240" w:lineRule="auto"/>
              <w:ind w:hanging="260"/>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arba spauskite susilenkiančią adatos apsaugos mechanizmo dalį į kietą paviršių (A paveikslas);</w:t>
            </w:r>
          </w:p>
          <w:p w:rsidR="00122C00" w:rsidRPr="00A23D3E" w:rsidRDefault="00122C00" w:rsidP="00122C00">
            <w:pPr>
              <w:numPr>
                <w:ilvl w:val="0"/>
                <w:numId w:val="10"/>
              </w:numPr>
              <w:autoSpaceDE w:val="0"/>
              <w:autoSpaceDN w:val="0"/>
              <w:adjustRightInd w:val="0"/>
              <w:spacing w:after="0" w:line="240" w:lineRule="auto"/>
              <w:ind w:hanging="260"/>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arba spauskite susilenkiančią adatos apsaugos mechanizmo dalį pirštu (B paveikslas).</w:t>
            </w:r>
          </w:p>
          <w:p w:rsidR="00122C00" w:rsidRPr="00A23D3E" w:rsidRDefault="00122C00" w:rsidP="00122C00">
            <w:pPr>
              <w:numPr>
                <w:ilvl w:val="0"/>
                <w:numId w:val="9"/>
              </w:numPr>
              <w:autoSpaceDE w:val="0"/>
              <w:autoSpaceDN w:val="0"/>
              <w:adjustRightInd w:val="0"/>
              <w:spacing w:after="0" w:line="240" w:lineRule="auto"/>
              <w:ind w:left="460"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Pasigirdęs klaktelėjimas patvirtins, kad apsaugos mechanizmas buvo tinkamai suaktyvintas.</w:t>
            </w:r>
          </w:p>
          <w:p w:rsidR="00122C00" w:rsidRPr="00A23D3E" w:rsidRDefault="00122C00" w:rsidP="00122C00">
            <w:pPr>
              <w:numPr>
                <w:ilvl w:val="0"/>
                <w:numId w:val="9"/>
              </w:numPr>
              <w:autoSpaceDE w:val="0"/>
              <w:autoSpaceDN w:val="0"/>
              <w:adjustRightInd w:val="0"/>
              <w:spacing w:after="0" w:line="240" w:lineRule="auto"/>
              <w:ind w:left="460"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Nedelsdami išmeskite švirkštą (į aštrių daiktų talpyklę).</w:t>
            </w:r>
          </w:p>
        </w:tc>
        <w:tc>
          <w:tcPr>
            <w:tcW w:w="3311" w:type="dxa"/>
            <w:shd w:val="clear" w:color="auto" w:fill="auto"/>
          </w:tcPr>
          <w:p w:rsidR="00122C00" w:rsidRPr="00A23D3E" w:rsidRDefault="00122C00" w:rsidP="00A740B4">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101350EA" wp14:editId="5013D0BD">
                  <wp:extent cx="1866900" cy="1390650"/>
                  <wp:effectExtent l="0" t="0" r="0" b="0"/>
                  <wp:docPr id="31"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66900" cy="1390650"/>
                          </a:xfrm>
                          <a:prstGeom prst="rect">
                            <a:avLst/>
                          </a:prstGeom>
                          <a:noFill/>
                          <a:ln>
                            <a:noFill/>
                          </a:ln>
                        </pic:spPr>
                      </pic:pic>
                    </a:graphicData>
                  </a:graphic>
                </wp:inline>
              </w:drawing>
            </w:r>
            <w:r w:rsidRPr="00A23D3E">
              <w:rPr>
                <w:rFonts w:ascii="Times New Roman" w:eastAsia="Calibri" w:hAnsi="Times New Roman" w:cs="Times New Roman"/>
                <w:noProof/>
                <w:lang w:eastAsia="lt-LT"/>
              </w:rPr>
              <w:drawing>
                <wp:inline distT="0" distB="0" distL="0" distR="0" wp14:anchorId="233BB130" wp14:editId="44093FB3">
                  <wp:extent cx="1924050" cy="1438275"/>
                  <wp:effectExtent l="0" t="0" r="0" b="9525"/>
                  <wp:docPr id="64"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p>
        </w:tc>
      </w:tr>
    </w:tbl>
    <w:p w:rsidR="00122C00" w:rsidRDefault="00122C00" w:rsidP="00122C00"/>
    <w:p w:rsidR="00BA6577" w:rsidRDefault="00BA6577">
      <w:bookmarkStart w:id="0" w:name="_GoBack"/>
      <w:bookmarkEnd w:id="0"/>
    </w:p>
    <w:sectPr w:rsidR="00BA6577" w:rsidSect="00C931EA">
      <w:headerReference w:type="even" r:id="rId21"/>
      <w:headerReference w:type="default" r:id="rId22"/>
      <w:footerReference w:type="even" r:id="rId23"/>
      <w:footerReference w:type="default" r:id="rId24"/>
      <w:headerReference w:type="first" r:id="rId25"/>
      <w:footerReference w:type="first" r:id="rId26"/>
      <w:endnotePr>
        <w:numFmt w:val="decimal"/>
      </w:endnotePr>
      <w:pgSz w:w="11907" w:h="16840" w:code="9"/>
      <w:pgMar w:top="1134" w:right="1418" w:bottom="1134" w:left="1418" w:header="737" w:footer="737" w:gutter="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2A54" w:rsidRDefault="00122C00">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2A54" w:rsidRPr="000C1913" w:rsidRDefault="00122C00">
    <w:pPr>
      <w:pStyle w:val="Porat"/>
      <w:tabs>
        <w:tab w:val="clear" w:pos="8930"/>
        <w:tab w:val="right" w:pos="8931"/>
      </w:tabs>
      <w:ind w:right="96"/>
      <w:jc w:val="center"/>
      <w:rPr>
        <w:rFonts w:ascii="Arial" w:hAnsi="Arial" w:cs="Arial"/>
      </w:rPr>
    </w:pPr>
    <w:r w:rsidRPr="000C1913">
      <w:rPr>
        <w:rFonts w:ascii="Arial" w:hAnsi="Arial" w:cs="Arial"/>
      </w:rPr>
      <w:fldChar w:fldCharType="begin"/>
    </w:r>
    <w:r w:rsidRPr="000C1913">
      <w:rPr>
        <w:rFonts w:ascii="Arial" w:hAnsi="Arial" w:cs="Arial"/>
      </w:rPr>
      <w:instrText xml:space="preserve"> EQ </w:instrText>
    </w:r>
    <w:r w:rsidRPr="000C1913">
      <w:rPr>
        <w:rFonts w:ascii="Arial" w:hAnsi="Arial" w:cs="Arial"/>
      </w:rPr>
      <w:fldChar w:fldCharType="end"/>
    </w:r>
    <w:r w:rsidRPr="000C1913">
      <w:rPr>
        <w:rStyle w:val="Puslapionumeris"/>
        <w:rFonts w:ascii="Arial" w:hAnsi="Arial" w:cs="Arial"/>
      </w:rPr>
      <w:fldChar w:fldCharType="begin"/>
    </w:r>
    <w:r w:rsidRPr="000C1913">
      <w:rPr>
        <w:rStyle w:val="Puslapionumeris"/>
        <w:rFonts w:ascii="Arial" w:hAnsi="Arial" w:cs="Arial"/>
      </w:rPr>
      <w:instrText xml:space="preserve">PAGE  </w:instrText>
    </w:r>
    <w:r w:rsidRPr="000C1913">
      <w:rPr>
        <w:rStyle w:val="Puslapionumeris"/>
        <w:rFonts w:ascii="Arial" w:hAnsi="Arial" w:cs="Arial"/>
      </w:rPr>
      <w:fldChar w:fldCharType="separate"/>
    </w:r>
    <w:r>
      <w:rPr>
        <w:rStyle w:val="Puslapionumeris"/>
        <w:rFonts w:ascii="Arial" w:hAnsi="Arial" w:cs="Arial"/>
        <w:noProof/>
      </w:rPr>
      <w:t>13</w:t>
    </w:r>
    <w:r w:rsidRPr="000C1913">
      <w:rPr>
        <w:rStyle w:val="Puslapionumeris"/>
        <w:rFonts w:ascii="Arial" w:hAnsi="Arial" w:cs="Aria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2A54" w:rsidRPr="000C1913" w:rsidRDefault="00122C00">
    <w:pPr>
      <w:pStyle w:val="Porat"/>
      <w:tabs>
        <w:tab w:val="clear" w:pos="8930"/>
        <w:tab w:val="right" w:pos="8931"/>
      </w:tabs>
      <w:ind w:right="96"/>
      <w:jc w:val="center"/>
      <w:rPr>
        <w:rFonts w:ascii="Arial" w:hAnsi="Arial" w:cs="Arial"/>
      </w:rPr>
    </w:pPr>
    <w:r w:rsidRPr="000C1913">
      <w:rPr>
        <w:rFonts w:ascii="Arial" w:hAnsi="Arial" w:cs="Arial"/>
      </w:rPr>
      <w:fldChar w:fldCharType="begin"/>
    </w:r>
    <w:r w:rsidRPr="000C1913">
      <w:rPr>
        <w:rFonts w:ascii="Arial" w:hAnsi="Arial" w:cs="Arial"/>
      </w:rPr>
      <w:instrText xml:space="preserve"> EQ </w:instrText>
    </w:r>
    <w:r w:rsidRPr="000C1913">
      <w:rPr>
        <w:rFonts w:ascii="Arial" w:hAnsi="Arial" w:cs="Arial"/>
      </w:rPr>
      <w:fldChar w:fldCharType="end"/>
    </w:r>
    <w:r w:rsidRPr="007710EC">
      <w:rPr>
        <w:rStyle w:val="Puslapionumeris"/>
        <w:rFonts w:ascii="Arial" w:hAnsi="Arial" w:cs="Arial"/>
      </w:rPr>
      <w:fldChar w:fldCharType="begin"/>
    </w:r>
    <w:r w:rsidRPr="000C1913">
      <w:rPr>
        <w:rStyle w:val="Puslapionumeris"/>
        <w:rFonts w:ascii="Arial" w:hAnsi="Arial" w:cs="Arial"/>
      </w:rPr>
      <w:instrText xml:space="preserve">PAGE  </w:instrText>
    </w:r>
    <w:r w:rsidRPr="007710EC">
      <w:rPr>
        <w:rStyle w:val="Puslapionumeris"/>
        <w:rFonts w:ascii="Arial" w:hAnsi="Arial" w:cs="Arial"/>
      </w:rPr>
      <w:fldChar w:fldCharType="separate"/>
    </w:r>
    <w:r>
      <w:rPr>
        <w:rStyle w:val="Puslapionumeris"/>
        <w:rFonts w:ascii="Arial" w:hAnsi="Arial" w:cs="Arial"/>
        <w:noProof/>
      </w:rPr>
      <w:t>1</w:t>
    </w:r>
    <w:r w:rsidRPr="007710EC">
      <w:rPr>
        <w:rStyle w:val="Puslapionumeris"/>
        <w:rFonts w:ascii="Arial" w:hAnsi="Arial" w:cs="Arial"/>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2A54" w:rsidRDefault="00122C0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2A54" w:rsidRDefault="00122C00">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2A54" w:rsidRDefault="00122C0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DE656E"/>
    <w:lvl w:ilvl="0">
      <w:numFmt w:val="decimal"/>
      <w:lvlText w:val="*"/>
      <w:lvlJc w:val="left"/>
    </w:lvl>
  </w:abstractNum>
  <w:abstractNum w:abstractNumId="1" w15:restartNumberingAfterBreak="0">
    <w:nsid w:val="19807EE4"/>
    <w:multiLevelType w:val="hybridMultilevel"/>
    <w:tmpl w:val="A1EED104"/>
    <w:lvl w:ilvl="0" w:tplc="AE22C492">
      <w:start w:val="1"/>
      <w:numFmt w:val="bullet"/>
      <w:lvlText w:val=""/>
      <w:lvlJc w:val="left"/>
      <w:pPr>
        <w:tabs>
          <w:tab w:val="num" w:pos="720"/>
        </w:tabs>
        <w:ind w:left="72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3B17A57"/>
    <w:multiLevelType w:val="singleLevel"/>
    <w:tmpl w:val="B7A49E96"/>
    <w:lvl w:ilvl="0">
      <w:start w:val="1"/>
      <w:numFmt w:val="bullet"/>
      <w:lvlText w:val=""/>
      <w:lvlJc w:val="left"/>
      <w:pPr>
        <w:tabs>
          <w:tab w:val="num" w:pos="357"/>
        </w:tabs>
        <w:ind w:left="357" w:hanging="357"/>
      </w:pPr>
      <w:rPr>
        <w:rFonts w:ascii="Symbol" w:hAnsi="Symbol" w:hint="default"/>
      </w:rPr>
    </w:lvl>
  </w:abstractNum>
  <w:abstractNum w:abstractNumId="3" w15:restartNumberingAfterBreak="0">
    <w:nsid w:val="2C673943"/>
    <w:multiLevelType w:val="singleLevel"/>
    <w:tmpl w:val="347020E6"/>
    <w:lvl w:ilvl="0">
      <w:start w:val="1"/>
      <w:numFmt w:val="bullet"/>
      <w:lvlText w:val=""/>
      <w:lvlJc w:val="left"/>
      <w:pPr>
        <w:tabs>
          <w:tab w:val="num" w:pos="499"/>
        </w:tabs>
        <w:ind w:left="499" w:hanging="357"/>
      </w:pPr>
      <w:rPr>
        <w:rFonts w:ascii="Symbol" w:hAnsi="Symbol" w:hint="default"/>
      </w:rPr>
    </w:lvl>
  </w:abstractNum>
  <w:abstractNum w:abstractNumId="4" w15:restartNumberingAfterBreak="0">
    <w:nsid w:val="37986EA3"/>
    <w:multiLevelType w:val="hybridMultilevel"/>
    <w:tmpl w:val="5B5411B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68284C"/>
    <w:multiLevelType w:val="hybridMultilevel"/>
    <w:tmpl w:val="54047246"/>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BA7E5A"/>
    <w:multiLevelType w:val="hybridMultilevel"/>
    <w:tmpl w:val="F3C20A9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7" w15:restartNumberingAfterBreak="0">
    <w:nsid w:val="619612C4"/>
    <w:multiLevelType w:val="hybridMultilevel"/>
    <w:tmpl w:val="19AC1C26"/>
    <w:lvl w:ilvl="0" w:tplc="FFFFFFFF">
      <w:start w:val="1"/>
      <w:numFmt w:val="bullet"/>
      <w:lvlText w:val="-"/>
      <w:lvlJc w:val="left"/>
      <w:pPr>
        <w:ind w:left="1077" w:hanging="360"/>
      </w:p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8" w15:restartNumberingAfterBreak="0">
    <w:nsid w:val="65111AA7"/>
    <w:multiLevelType w:val="hybridMultilevel"/>
    <w:tmpl w:val="45846630"/>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A50508"/>
    <w:multiLevelType w:val="singleLevel"/>
    <w:tmpl w:val="0F4ADFEC"/>
    <w:lvl w:ilvl="0">
      <w:start w:val="1"/>
      <w:numFmt w:val="bullet"/>
      <w:lvlText w:val=""/>
      <w:lvlJc w:val="left"/>
      <w:pPr>
        <w:tabs>
          <w:tab w:val="num" w:pos="357"/>
        </w:tabs>
        <w:ind w:left="357" w:hanging="357"/>
      </w:pPr>
      <w:rPr>
        <w:rFonts w:ascii="Symbol" w:hAnsi="Symbol" w:hint="default"/>
      </w:rPr>
    </w:lvl>
  </w:abstractNum>
  <w:num w:numId="1">
    <w:abstractNumId w:val="0"/>
    <w:lvlOverride w:ilvl="0">
      <w:lvl w:ilvl="0">
        <w:start w:val="1"/>
        <w:numFmt w:val="bullet"/>
        <w:lvlText w:val="-"/>
        <w:legacy w:legacy="1" w:legacySpace="0" w:legacyIndent="360"/>
        <w:lvlJc w:val="left"/>
        <w:pPr>
          <w:ind w:left="360" w:hanging="360"/>
        </w:pPr>
        <w:rPr>
          <w:lang w:val="pt-BR"/>
        </w:rPr>
      </w:lvl>
    </w:lvlOverride>
  </w:num>
  <w:num w:numId="2">
    <w:abstractNumId w:val="3"/>
  </w:num>
  <w:num w:numId="3">
    <w:abstractNumId w:val="9"/>
  </w:num>
  <w:num w:numId="4">
    <w:abstractNumId w:val="2"/>
  </w:num>
  <w:num w:numId="5">
    <w:abstractNumId w:val="5"/>
  </w:num>
  <w:num w:numId="6">
    <w:abstractNumId w:val="4"/>
  </w:num>
  <w:num w:numId="7">
    <w:abstractNumId w:val="7"/>
  </w:num>
  <w:num w:numId="8">
    <w:abstractNumId w:val="1"/>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C00"/>
    <w:rsid w:val="00072F85"/>
    <w:rsid w:val="000A5E72"/>
    <w:rsid w:val="000A7B60"/>
    <w:rsid w:val="00122C0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19F986-9BCA-4FE3-B7EE-D98047853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22C00"/>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Antrats">
    <w:name w:val="header"/>
    <w:basedOn w:val="prastasis"/>
    <w:link w:val="AntratsDiagrama"/>
    <w:rsid w:val="00122C00"/>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character" w:customStyle="1" w:styleId="AntratsDiagrama">
    <w:name w:val="Antraštės Diagrama"/>
    <w:basedOn w:val="Numatytasispastraiposriftas"/>
    <w:link w:val="Antrats"/>
    <w:rsid w:val="00122C00"/>
    <w:rPr>
      <w:rFonts w:ascii="Helvetica" w:hAnsi="Helvetica" w:cs="Times New Roman"/>
      <w:sz w:val="20"/>
      <w:szCs w:val="20"/>
      <w:lang w:val="en-GB"/>
    </w:rPr>
  </w:style>
  <w:style w:type="paragraph" w:styleId="Porat">
    <w:name w:val="footer"/>
    <w:basedOn w:val="prastasis"/>
    <w:link w:val="PoratDiagrama"/>
    <w:uiPriority w:val="99"/>
    <w:rsid w:val="00122C00"/>
    <w:pPr>
      <w:tabs>
        <w:tab w:val="left" w:pos="567"/>
        <w:tab w:val="center" w:pos="4536"/>
        <w:tab w:val="center" w:pos="8930"/>
      </w:tabs>
      <w:spacing w:after="0" w:line="240" w:lineRule="auto"/>
    </w:pPr>
    <w:rPr>
      <w:rFonts w:ascii="Helvetica" w:eastAsia="Times New Roman" w:hAnsi="Helvetica" w:cs="Times New Roman"/>
      <w:sz w:val="16"/>
      <w:szCs w:val="20"/>
      <w:lang w:val="en-GB"/>
    </w:rPr>
  </w:style>
  <w:style w:type="character" w:customStyle="1" w:styleId="PoratDiagrama">
    <w:name w:val="Poraštė Diagrama"/>
    <w:basedOn w:val="Numatytasispastraiposriftas"/>
    <w:link w:val="Porat"/>
    <w:uiPriority w:val="99"/>
    <w:rsid w:val="00122C00"/>
    <w:rPr>
      <w:rFonts w:ascii="Helvetica" w:hAnsi="Helvetica" w:cs="Times New Roman"/>
      <w:sz w:val="16"/>
      <w:szCs w:val="20"/>
      <w:lang w:val="en-GB"/>
    </w:rPr>
  </w:style>
  <w:style w:type="character" w:styleId="Puslapionumeris">
    <w:name w:val="page number"/>
    <w:basedOn w:val="Numatytasispastraiposriftas"/>
    <w:rsid w:val="00122C00"/>
  </w:style>
  <w:style w:type="paragraph" w:styleId="Sraopastraipa">
    <w:name w:val="List Paragraph"/>
    <w:basedOn w:val="prastasis"/>
    <w:uiPriority w:val="34"/>
    <w:qFormat/>
    <w:rsid w:val="00122C00"/>
    <w:pPr>
      <w:tabs>
        <w:tab w:val="left" w:pos="567"/>
      </w:tabs>
      <w:spacing w:after="0" w:line="260" w:lineRule="exact"/>
      <w:ind w:left="720"/>
      <w:contextualSpacing/>
    </w:pPr>
    <w:rPr>
      <w:rFonts w:ascii="Times New Roman" w:eastAsia="Times New Roman" w:hAnsi="Times New Roman" w:cs="Times New Roman"/>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jpeg"/><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3.emf"/><Relationship Id="rId12" Type="http://schemas.openxmlformats.org/officeDocument/2006/relationships/image" Target="media/image8.png"/><Relationship Id="rId17" Type="http://schemas.openxmlformats.org/officeDocument/2006/relationships/image" Target="media/image13.emf"/><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em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emf"/><Relationship Id="rId24" Type="http://schemas.openxmlformats.org/officeDocument/2006/relationships/footer" Target="footer2.xml"/><Relationship Id="rId5" Type="http://schemas.openxmlformats.org/officeDocument/2006/relationships/image" Target="media/image1.wmf"/><Relationship Id="rId15" Type="http://schemas.openxmlformats.org/officeDocument/2006/relationships/image" Target="media/image11.emf"/><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15359</Words>
  <Characters>8755</Characters>
  <Application>Microsoft Office Word</Application>
  <DocSecurity>0</DocSecurity>
  <Lines>72</Lines>
  <Paragraphs>48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2025-05-08T07:32:00Z</dcterms:created>
  <dcterms:modified xsi:type="dcterms:W3CDTF">2025-05-08T07:33:00Z</dcterms:modified>
</cp:coreProperties>
</file>